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E5A" w:rsidRPr="00CA42C5" w:rsidRDefault="00E1570F" w:rsidP="00270E5A">
      <w:pPr>
        <w:spacing w:before="240" w:after="240" w:line="360" w:lineRule="auto"/>
        <w:ind w:right="-142"/>
        <w:jc w:val="center"/>
        <w:rPr>
          <w:rFonts w:ascii="Palatino Linotype" w:eastAsiaTheme="minorEastAsia" w:hAnsi="Palatino Linotype"/>
          <w:b/>
          <w:sz w:val="24"/>
          <w:szCs w:val="24"/>
          <w:lang w:val="es-ES_tradnl" w:eastAsia="es-ES"/>
        </w:rPr>
      </w:pPr>
      <w:r w:rsidRPr="00CA42C5">
        <w:rPr>
          <w:rFonts w:ascii="Palatino Linotype" w:eastAsiaTheme="minorEastAsia" w:hAnsi="Palatino Linotype"/>
          <w:b/>
          <w:sz w:val="24"/>
          <w:szCs w:val="24"/>
          <w:lang w:val="es-ES_tradnl" w:eastAsia="es-ES"/>
        </w:rPr>
        <w:t>LÍNEAS ARGUMENTATIVAS</w:t>
      </w:r>
    </w:p>
    <w:p w:rsidR="00E1570F" w:rsidRDefault="00E1570F" w:rsidP="00CA42C5">
      <w:pPr>
        <w:spacing w:after="0" w:line="360" w:lineRule="auto"/>
        <w:jc w:val="both"/>
        <w:rPr>
          <w:rFonts w:ascii="Palatino Linotype" w:eastAsia="Arial Unicode MS" w:hAnsi="Palatino Linotype" w:cs="Arial"/>
          <w:sz w:val="24"/>
          <w:szCs w:val="24"/>
          <w:lang w:val="es-ES_tradnl" w:eastAsia="es-ES"/>
        </w:rPr>
      </w:pPr>
      <w:r w:rsidRPr="00CA42C5">
        <w:rPr>
          <w:rFonts w:ascii="Palatino Linotype" w:eastAsia="Arial Unicode MS" w:hAnsi="Palatino Linotype" w:cs="Arial"/>
          <w:b/>
          <w:sz w:val="24"/>
          <w:szCs w:val="24"/>
          <w:lang w:val="es-ES_tradnl" w:eastAsia="es-ES"/>
        </w:rPr>
        <w:t>DEBERES DE LAS AUTORIDADES</w:t>
      </w:r>
      <w:r w:rsidRPr="00CA42C5">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270E5A" w:rsidRDefault="00270E5A" w:rsidP="00CA42C5">
      <w:pPr>
        <w:spacing w:after="0" w:line="360" w:lineRule="auto"/>
        <w:jc w:val="both"/>
        <w:rPr>
          <w:rFonts w:ascii="Palatino Linotype" w:eastAsia="Arial Unicode MS" w:hAnsi="Palatino Linotype" w:cs="Arial"/>
          <w:sz w:val="24"/>
          <w:szCs w:val="24"/>
          <w:lang w:val="es-ES_tradnl" w:eastAsia="es-ES"/>
        </w:rPr>
      </w:pPr>
    </w:p>
    <w:p w:rsidR="00270E5A" w:rsidRPr="00CA42C5" w:rsidRDefault="00270E5A" w:rsidP="00270E5A">
      <w:pPr>
        <w:spacing w:after="0" w:line="360" w:lineRule="auto"/>
        <w:contextualSpacing/>
        <w:jc w:val="both"/>
        <w:rPr>
          <w:rFonts w:ascii="Palatino Linotype" w:eastAsia="Times New Roman" w:hAnsi="Palatino Linotype" w:cs="Arial"/>
          <w:sz w:val="24"/>
          <w:szCs w:val="24"/>
          <w:lang w:val="es-ES_tradnl" w:eastAsia="es-MX"/>
        </w:rPr>
      </w:pPr>
      <w:r w:rsidRPr="00CA42C5">
        <w:rPr>
          <w:rFonts w:ascii="Palatino Linotype" w:eastAsia="Calibri" w:hAnsi="Palatino Linotype" w:cs="Times New Roman"/>
          <w:b/>
          <w:sz w:val="24"/>
          <w:szCs w:val="24"/>
        </w:rPr>
        <w:t>DE LAS RESPUESTAS INCOMPLETAS Y DEFICIENTES.</w:t>
      </w:r>
      <w:r w:rsidRPr="00CA42C5">
        <w:rPr>
          <w:rFonts w:ascii="Palatino Linotype" w:eastAsia="Calibri" w:hAnsi="Palatino Linotype" w:cs="Times New Roman"/>
          <w:sz w:val="24"/>
          <w:szCs w:val="24"/>
        </w:rPr>
        <w:t xml:space="preserve"> Las respuestas proporcionadas por los sujetos obligados que resulten incongruentes con lo solicitado, trae como consecuencia que se retrase el </w:t>
      </w:r>
      <w:r w:rsidRPr="00CA42C5">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270E5A" w:rsidRPr="00CA42C5" w:rsidRDefault="00270E5A" w:rsidP="00270E5A">
      <w:pPr>
        <w:spacing w:after="0" w:line="360" w:lineRule="auto"/>
        <w:jc w:val="both"/>
        <w:rPr>
          <w:rFonts w:ascii="Palatino Linotype" w:eastAsia="Calibri" w:hAnsi="Palatino Linotype" w:cs="Times New Roman"/>
          <w:b/>
          <w:sz w:val="24"/>
          <w:szCs w:val="24"/>
          <w:lang w:val="es-ES_tradnl" w:eastAsia="es-ES"/>
        </w:rPr>
      </w:pPr>
    </w:p>
    <w:p w:rsidR="00270E5A" w:rsidRPr="00CA42C5" w:rsidRDefault="00270E5A" w:rsidP="00270E5A">
      <w:pPr>
        <w:spacing w:after="0" w:line="360" w:lineRule="auto"/>
        <w:jc w:val="both"/>
        <w:rPr>
          <w:rFonts w:ascii="Palatino Linotype" w:eastAsia="Calibri" w:hAnsi="Palatino Linotype" w:cs="Times New Roman"/>
          <w:sz w:val="24"/>
          <w:szCs w:val="24"/>
          <w:lang w:val="es-ES_tradnl" w:eastAsia="es-ES"/>
        </w:rPr>
      </w:pPr>
      <w:r w:rsidRPr="00CA42C5">
        <w:rPr>
          <w:rFonts w:ascii="Palatino Linotype" w:eastAsia="Calibri" w:hAnsi="Palatino Linotype" w:cs="Times New Roman"/>
          <w:b/>
          <w:sz w:val="24"/>
          <w:szCs w:val="24"/>
          <w:lang w:val="es-ES_tradnl" w:eastAsia="es-ES"/>
        </w:rPr>
        <w:t>DE LA GARANTÍA DE PROPORCIONAR LA INFORMACIÓN PÚBLICA GUBERNAMENTAL.</w:t>
      </w:r>
      <w:r w:rsidRPr="00CA42C5">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270E5A" w:rsidRPr="00CA42C5" w:rsidRDefault="00270E5A" w:rsidP="00CA42C5">
      <w:pPr>
        <w:spacing w:after="0" w:line="360" w:lineRule="auto"/>
        <w:jc w:val="both"/>
        <w:rPr>
          <w:rFonts w:ascii="Palatino Linotype" w:eastAsia="Arial Unicode MS" w:hAnsi="Palatino Linotype" w:cs="Arial"/>
          <w:sz w:val="24"/>
          <w:szCs w:val="24"/>
          <w:lang w:val="es-ES_tradnl" w:eastAsia="es-ES"/>
        </w:rPr>
      </w:pPr>
    </w:p>
    <w:p w:rsidR="00E1570F" w:rsidRPr="00CA42C5" w:rsidRDefault="00E1570F" w:rsidP="00CA42C5">
      <w:pPr>
        <w:spacing w:after="0" w:line="360" w:lineRule="auto"/>
        <w:contextualSpacing/>
        <w:jc w:val="both"/>
        <w:rPr>
          <w:rFonts w:ascii="Palatino Linotype" w:eastAsia="Calibri" w:hAnsi="Palatino Linotype" w:cs="Times New Roman"/>
          <w:b/>
          <w:sz w:val="24"/>
          <w:szCs w:val="24"/>
        </w:rPr>
      </w:pPr>
    </w:p>
    <w:p w:rsidR="00E1570F" w:rsidRPr="00CA42C5" w:rsidRDefault="00E1570F" w:rsidP="00270E5A">
      <w:pPr>
        <w:spacing w:after="0" w:line="360" w:lineRule="auto"/>
        <w:contextualSpacing/>
        <w:jc w:val="both"/>
        <w:rPr>
          <w:rFonts w:ascii="Palatino Linotype" w:eastAsia="Calibri" w:hAnsi="Palatino Linotype" w:cs="Times New Roman"/>
          <w:sz w:val="24"/>
          <w:szCs w:val="24"/>
          <w:lang w:val="es-ES_tradnl" w:eastAsia="es-ES"/>
        </w:rPr>
      </w:pPr>
    </w:p>
    <w:p w:rsidR="00E1570F" w:rsidRPr="00CA42C5" w:rsidRDefault="00E1570F" w:rsidP="00CA42C5">
      <w:pPr>
        <w:spacing w:before="240" w:after="240" w:line="360" w:lineRule="auto"/>
        <w:ind w:right="-142"/>
        <w:jc w:val="both"/>
        <w:rPr>
          <w:rFonts w:ascii="Palatino Linotype" w:eastAsia="Times New Roman" w:hAnsi="Palatino Linotype" w:cs="Arial"/>
          <w:color w:val="000000"/>
          <w:sz w:val="24"/>
          <w:szCs w:val="24"/>
          <w:lang w:val="es-ES" w:eastAsia="es-MX"/>
        </w:rPr>
      </w:pPr>
    </w:p>
    <w:p w:rsidR="00E1570F" w:rsidRPr="00CA42C5" w:rsidRDefault="00E1570F" w:rsidP="00CA42C5">
      <w:pPr>
        <w:spacing w:before="240" w:after="240" w:line="360" w:lineRule="auto"/>
        <w:ind w:right="-142"/>
        <w:jc w:val="both"/>
        <w:rPr>
          <w:rFonts w:ascii="Palatino Linotype" w:eastAsia="Times New Roman" w:hAnsi="Palatino Linotype" w:cs="Arial"/>
          <w:color w:val="000000"/>
          <w:sz w:val="24"/>
          <w:szCs w:val="24"/>
          <w:lang w:val="es-ES" w:eastAsia="es-MX"/>
        </w:rPr>
      </w:pPr>
    </w:p>
    <w:p w:rsidR="00E1570F" w:rsidRPr="00CA42C5" w:rsidRDefault="00E1570F" w:rsidP="00270E5A">
      <w:pPr>
        <w:spacing w:before="240" w:after="240" w:line="360" w:lineRule="auto"/>
        <w:ind w:right="-142"/>
        <w:jc w:val="center"/>
        <w:rPr>
          <w:rFonts w:ascii="Palatino Linotype" w:eastAsiaTheme="minorEastAsia" w:hAnsi="Palatino Linotype"/>
          <w:sz w:val="24"/>
          <w:szCs w:val="24"/>
          <w:lang w:val="es-ES_tradnl" w:eastAsia="es-ES"/>
        </w:rPr>
      </w:pPr>
      <w:r w:rsidRPr="00CA42C5">
        <w:rPr>
          <w:rFonts w:ascii="Palatino Linotype" w:eastAsiaTheme="minorEastAsia" w:hAnsi="Palatino Linotype"/>
          <w:b/>
          <w:sz w:val="24"/>
          <w:szCs w:val="24"/>
          <w:lang w:val="es-ES_tradnl" w:eastAsia="es-ES"/>
        </w:rPr>
        <w:lastRenderedPageBreak/>
        <w:t>Índice</w:t>
      </w:r>
      <w:r w:rsidRPr="00CA42C5">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E1570F" w:rsidRPr="00CA42C5" w:rsidRDefault="00E1570F" w:rsidP="00270E5A">
          <w:pPr>
            <w:keepNext/>
            <w:keepLines/>
            <w:spacing w:before="240" w:line="480" w:lineRule="auto"/>
            <w:ind w:right="-142"/>
            <w:jc w:val="both"/>
            <w:rPr>
              <w:rFonts w:ascii="Palatino Linotype" w:eastAsiaTheme="majorEastAsia" w:hAnsi="Palatino Linotype" w:cstheme="majorBidi"/>
              <w:b/>
              <w:sz w:val="24"/>
              <w:szCs w:val="24"/>
              <w:lang w:eastAsia="es-MX"/>
            </w:rPr>
          </w:pPr>
        </w:p>
        <w:p w:rsidR="00133665" w:rsidRPr="00CA42C5" w:rsidRDefault="00E1570F" w:rsidP="00270E5A">
          <w:pPr>
            <w:pStyle w:val="TDC1"/>
            <w:spacing w:after="160"/>
            <w:jc w:val="both"/>
            <w:rPr>
              <w:rFonts w:ascii="Palatino Linotype" w:eastAsiaTheme="minorEastAsia" w:hAnsi="Palatino Linotype"/>
              <w:noProof/>
              <w:sz w:val="24"/>
              <w:szCs w:val="24"/>
              <w:lang w:eastAsia="es-MX"/>
            </w:rPr>
          </w:pPr>
          <w:r w:rsidRPr="00CA42C5">
            <w:rPr>
              <w:rFonts w:ascii="Palatino Linotype" w:eastAsiaTheme="minorEastAsia" w:hAnsi="Palatino Linotype"/>
              <w:b/>
              <w:sz w:val="24"/>
              <w:szCs w:val="24"/>
              <w:lang w:val="es-ES_tradnl" w:eastAsia="es-ES"/>
            </w:rPr>
            <w:fldChar w:fldCharType="begin"/>
          </w:r>
          <w:r w:rsidRPr="00CA42C5">
            <w:rPr>
              <w:rFonts w:ascii="Palatino Linotype" w:eastAsiaTheme="minorEastAsia" w:hAnsi="Palatino Linotype"/>
              <w:b/>
              <w:sz w:val="24"/>
              <w:szCs w:val="24"/>
              <w:lang w:val="es-ES_tradnl" w:eastAsia="es-ES"/>
            </w:rPr>
            <w:instrText xml:space="preserve"> TOC \o "1-3" \h \z \u </w:instrText>
          </w:r>
          <w:r w:rsidRPr="00CA42C5">
            <w:rPr>
              <w:rFonts w:ascii="Palatino Linotype" w:eastAsiaTheme="minorEastAsia" w:hAnsi="Palatino Linotype"/>
              <w:b/>
              <w:sz w:val="24"/>
              <w:szCs w:val="24"/>
              <w:lang w:val="es-ES_tradnl" w:eastAsia="es-ES"/>
            </w:rPr>
            <w:fldChar w:fldCharType="separate"/>
          </w:r>
          <w:hyperlink w:anchor="_Toc7113855" w:history="1">
            <w:r w:rsidR="00133665" w:rsidRPr="00CA42C5">
              <w:rPr>
                <w:rStyle w:val="Hipervnculo"/>
                <w:rFonts w:ascii="Palatino Linotype" w:eastAsiaTheme="majorEastAsia" w:hAnsi="Palatino Linotype" w:cstheme="majorBidi"/>
                <w:b/>
                <w:noProof/>
                <w:sz w:val="24"/>
                <w:szCs w:val="24"/>
              </w:rPr>
              <w:t>A N T E C E D E N T E S</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_Toc7113855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3</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1"/>
            <w:spacing w:after="160"/>
            <w:jc w:val="both"/>
            <w:rPr>
              <w:rFonts w:ascii="Palatino Linotype" w:eastAsiaTheme="minorEastAsia" w:hAnsi="Palatino Linotype"/>
              <w:noProof/>
              <w:sz w:val="24"/>
              <w:szCs w:val="24"/>
              <w:lang w:eastAsia="es-MX"/>
            </w:rPr>
          </w:pPr>
          <w:hyperlink w:anchor="_Toc7113856" w:history="1">
            <w:r w:rsidR="00133665" w:rsidRPr="00CA42C5">
              <w:rPr>
                <w:rStyle w:val="Hipervnculo"/>
                <w:rFonts w:ascii="Palatino Linotype" w:eastAsiaTheme="majorEastAsia" w:hAnsi="Palatino Linotype" w:cstheme="majorBidi"/>
                <w:b/>
                <w:noProof/>
                <w:sz w:val="24"/>
                <w:szCs w:val="24"/>
              </w:rPr>
              <w:t>C O N S I D E R A N D O</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_Toc7113856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7</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2"/>
            <w:tabs>
              <w:tab w:val="right" w:leader="dot" w:pos="8828"/>
            </w:tabs>
            <w:spacing w:after="160"/>
            <w:jc w:val="both"/>
            <w:rPr>
              <w:rFonts w:ascii="Palatino Linotype" w:eastAsiaTheme="minorEastAsia" w:hAnsi="Palatino Linotype"/>
              <w:noProof/>
              <w:sz w:val="24"/>
              <w:szCs w:val="24"/>
              <w:lang w:eastAsia="es-MX"/>
            </w:rPr>
          </w:pPr>
          <w:hyperlink w:anchor="_Toc7113857" w:history="1">
            <w:r w:rsidR="00133665" w:rsidRPr="00CA42C5">
              <w:rPr>
                <w:rStyle w:val="Hipervnculo"/>
                <w:rFonts w:ascii="Palatino Linotype" w:eastAsiaTheme="majorEastAsia" w:hAnsi="Palatino Linotype" w:cstheme="majorBidi"/>
                <w:b/>
                <w:noProof/>
                <w:sz w:val="24"/>
                <w:szCs w:val="24"/>
              </w:rPr>
              <w:t>PRIMERO. De la competencia.</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_Toc7113857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7</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2"/>
            <w:tabs>
              <w:tab w:val="right" w:leader="dot" w:pos="8828"/>
            </w:tabs>
            <w:spacing w:after="160"/>
            <w:jc w:val="both"/>
            <w:rPr>
              <w:rFonts w:ascii="Palatino Linotype" w:eastAsiaTheme="minorEastAsia" w:hAnsi="Palatino Linotype"/>
              <w:noProof/>
              <w:sz w:val="24"/>
              <w:szCs w:val="24"/>
              <w:lang w:eastAsia="es-MX"/>
            </w:rPr>
          </w:pPr>
          <w:hyperlink w:anchor="_Toc7113858" w:history="1">
            <w:r w:rsidR="00133665" w:rsidRPr="00CA42C5">
              <w:rPr>
                <w:rStyle w:val="Hipervnculo"/>
                <w:rFonts w:ascii="Palatino Linotype" w:eastAsiaTheme="majorEastAsia" w:hAnsi="Palatino Linotype" w:cstheme="majorBidi"/>
                <w:b/>
                <w:noProof/>
                <w:sz w:val="24"/>
                <w:szCs w:val="24"/>
              </w:rPr>
              <w:t>SEGUNDO. De la oportunidad y procedencia.</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_Toc7113858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8</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1"/>
            <w:spacing w:after="160"/>
            <w:jc w:val="both"/>
            <w:rPr>
              <w:rFonts w:ascii="Palatino Linotype" w:eastAsiaTheme="minorEastAsia" w:hAnsi="Palatino Linotype"/>
              <w:noProof/>
              <w:sz w:val="24"/>
              <w:szCs w:val="24"/>
              <w:lang w:eastAsia="es-MX"/>
            </w:rPr>
          </w:pPr>
          <w:hyperlink w:anchor="_Toc7113859" w:history="1">
            <w:r w:rsidR="00133665" w:rsidRPr="00CA42C5">
              <w:rPr>
                <w:rStyle w:val="Hipervnculo"/>
                <w:rFonts w:ascii="Palatino Linotype" w:eastAsia="MS Mincho" w:hAnsi="Palatino Linotype" w:cstheme="majorBidi"/>
                <w:b/>
                <w:noProof/>
                <w:sz w:val="24"/>
                <w:szCs w:val="24"/>
                <w:lang w:val="es-ES_tradnl" w:eastAsia="es-ES"/>
              </w:rPr>
              <w:t>TERCERO. Del planteamiento de la Litis.</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_Toc7113859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11</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1"/>
            <w:spacing w:after="160"/>
            <w:jc w:val="both"/>
            <w:rPr>
              <w:rFonts w:ascii="Palatino Linotype" w:eastAsiaTheme="minorEastAsia" w:hAnsi="Palatino Linotype"/>
              <w:noProof/>
              <w:sz w:val="24"/>
              <w:szCs w:val="24"/>
              <w:lang w:eastAsia="es-MX"/>
            </w:rPr>
          </w:pPr>
          <w:hyperlink w:anchor="_Toc7113860" w:history="1">
            <w:r w:rsidR="00133665" w:rsidRPr="00CA42C5">
              <w:rPr>
                <w:rStyle w:val="Hipervnculo"/>
                <w:rFonts w:ascii="Palatino Linotype" w:eastAsia="MS Gothic" w:hAnsi="Palatino Linotype" w:cstheme="majorBidi"/>
                <w:b/>
                <w:noProof/>
                <w:sz w:val="24"/>
                <w:szCs w:val="24"/>
                <w:lang w:val="es-ES_tradnl" w:eastAsia="es-ES"/>
              </w:rPr>
              <w:t>CUARTO. Del estudio y resolución del recurso de revisión.</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_Toc7113860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11</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1"/>
            <w:spacing w:after="160"/>
            <w:jc w:val="both"/>
            <w:rPr>
              <w:rFonts w:ascii="Palatino Linotype" w:eastAsiaTheme="minorEastAsia" w:hAnsi="Palatino Linotype"/>
              <w:noProof/>
              <w:sz w:val="24"/>
              <w:szCs w:val="24"/>
              <w:lang w:eastAsia="es-MX"/>
            </w:rPr>
          </w:pPr>
          <w:hyperlink w:anchor="_Toc7113861" w:history="1">
            <w:r w:rsidR="00133665" w:rsidRPr="00CA42C5">
              <w:rPr>
                <w:rStyle w:val="Hipervnculo"/>
                <w:rFonts w:ascii="Palatino Linotype" w:hAnsi="Palatino Linotype"/>
                <w:b/>
                <w:i/>
                <w:noProof/>
                <w:sz w:val="24"/>
                <w:szCs w:val="24"/>
                <w:lang w:val="es-ES_tradnl" w:eastAsia="es-MX"/>
              </w:rPr>
              <w:t>I.</w:t>
            </w:r>
            <w:r w:rsidR="00133665" w:rsidRPr="00CA42C5">
              <w:rPr>
                <w:rFonts w:ascii="Palatino Linotype" w:eastAsiaTheme="minorEastAsia" w:hAnsi="Palatino Linotype"/>
                <w:noProof/>
                <w:sz w:val="24"/>
                <w:szCs w:val="24"/>
                <w:lang w:eastAsia="es-MX"/>
              </w:rPr>
              <w:tab/>
            </w:r>
            <w:r w:rsidR="00133665" w:rsidRPr="00CA42C5">
              <w:rPr>
                <w:rStyle w:val="Hipervnculo"/>
                <w:rFonts w:ascii="Palatino Linotype" w:eastAsia="MS Gothic" w:hAnsi="Palatino Linotype" w:cstheme="majorBidi"/>
                <w:b/>
                <w:i/>
                <w:noProof/>
                <w:sz w:val="24"/>
                <w:szCs w:val="24"/>
              </w:rPr>
              <w:t>El derecho de acceso a la información publica</w:t>
            </w:r>
            <w:r w:rsidR="00133665" w:rsidRPr="00CA42C5">
              <w:rPr>
                <w:rStyle w:val="Hipervnculo"/>
                <w:rFonts w:ascii="Palatino Linotype" w:eastAsia="MS Mincho" w:hAnsi="Palatino Linotype" w:cs="Arial"/>
                <w:b/>
                <w:i/>
                <w:noProof/>
                <w:sz w:val="24"/>
                <w:szCs w:val="24"/>
                <w:lang w:val="es-ES_tradnl" w:eastAsia="es-MX"/>
              </w:rPr>
              <w:t>.</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_Toc7113861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11</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2"/>
            <w:tabs>
              <w:tab w:val="right" w:leader="dot" w:pos="8828"/>
            </w:tabs>
            <w:spacing w:after="160"/>
            <w:jc w:val="both"/>
            <w:rPr>
              <w:rFonts w:ascii="Palatino Linotype" w:eastAsiaTheme="minorEastAsia" w:hAnsi="Palatino Linotype"/>
              <w:noProof/>
              <w:sz w:val="24"/>
              <w:szCs w:val="24"/>
              <w:lang w:eastAsia="es-MX"/>
            </w:rPr>
          </w:pPr>
          <w:hyperlink w:anchor="_Toc7113862" w:history="1">
            <w:r w:rsidR="00133665" w:rsidRPr="00CA42C5">
              <w:rPr>
                <w:rStyle w:val="Hipervnculo"/>
                <w:rFonts w:ascii="Palatino Linotype" w:eastAsia="MS Mincho" w:hAnsi="Palatino Linotype" w:cstheme="majorBidi"/>
                <w:b/>
                <w:i/>
                <w:noProof/>
                <w:sz w:val="24"/>
                <w:szCs w:val="24"/>
                <w:lang w:val="es-ES_tradnl" w:eastAsia="es-ES"/>
              </w:rPr>
              <w:t>II. Análisis del contenido de la repuesta</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_Toc7113862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13</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2"/>
            <w:tabs>
              <w:tab w:val="left" w:pos="660"/>
              <w:tab w:val="right" w:leader="dot" w:pos="8828"/>
            </w:tabs>
            <w:spacing w:after="160"/>
            <w:jc w:val="both"/>
            <w:rPr>
              <w:rFonts w:ascii="Palatino Linotype" w:eastAsiaTheme="minorEastAsia" w:hAnsi="Palatino Linotype"/>
              <w:noProof/>
              <w:sz w:val="24"/>
              <w:szCs w:val="24"/>
              <w:lang w:eastAsia="es-MX"/>
            </w:rPr>
          </w:pPr>
          <w:hyperlink w:anchor="_Toc7113863" w:history="1">
            <w:r w:rsidR="00133665" w:rsidRPr="00CA42C5">
              <w:rPr>
                <w:rStyle w:val="Hipervnculo"/>
                <w:rFonts w:ascii="Palatino Linotype" w:eastAsia="MS Mincho" w:hAnsi="Palatino Linotype"/>
                <w:b/>
                <w:i/>
                <w:noProof/>
                <w:sz w:val="24"/>
                <w:szCs w:val="24"/>
                <w:lang w:val="es-ES_tradnl" w:eastAsia="es-ES"/>
              </w:rPr>
              <w:t>a)</w:t>
            </w:r>
            <w:r w:rsidR="00133665" w:rsidRPr="00CA42C5">
              <w:rPr>
                <w:rFonts w:ascii="Palatino Linotype" w:eastAsiaTheme="minorEastAsia" w:hAnsi="Palatino Linotype"/>
                <w:noProof/>
                <w:sz w:val="24"/>
                <w:szCs w:val="24"/>
                <w:lang w:eastAsia="es-MX"/>
              </w:rPr>
              <w:tab/>
            </w:r>
            <w:r w:rsidR="00133665" w:rsidRPr="00CA42C5">
              <w:rPr>
                <w:rStyle w:val="Hipervnculo"/>
                <w:rFonts w:ascii="Palatino Linotype" w:eastAsia="MS Mincho" w:hAnsi="Palatino Linotype"/>
                <w:b/>
                <w:i/>
                <w:noProof/>
                <w:sz w:val="24"/>
                <w:szCs w:val="24"/>
                <w:lang w:val="es-ES_tradnl" w:eastAsia="es-ES"/>
              </w:rPr>
              <w:t>Del contenido del informe justificado</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_Toc7113863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16</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2"/>
            <w:tabs>
              <w:tab w:val="right" w:leader="dot" w:pos="8828"/>
            </w:tabs>
            <w:spacing w:after="160"/>
            <w:jc w:val="both"/>
            <w:rPr>
              <w:rFonts w:ascii="Palatino Linotype" w:eastAsiaTheme="minorEastAsia" w:hAnsi="Palatino Linotype"/>
              <w:noProof/>
              <w:sz w:val="24"/>
              <w:szCs w:val="24"/>
              <w:lang w:eastAsia="es-MX"/>
            </w:rPr>
          </w:pPr>
          <w:hyperlink w:anchor="_Toc7113864" w:history="1">
            <w:r w:rsidR="00133665" w:rsidRPr="00CA42C5">
              <w:rPr>
                <w:rStyle w:val="Hipervnculo"/>
                <w:rFonts w:ascii="Palatino Linotype" w:eastAsia="MS Mincho" w:hAnsi="Palatino Linotype" w:cstheme="majorBidi"/>
                <w:b/>
                <w:i/>
                <w:noProof/>
                <w:sz w:val="24"/>
                <w:szCs w:val="24"/>
                <w:lang w:val="es-ES_tradnl" w:eastAsia="es-ES"/>
              </w:rPr>
              <w:t>III. De la información faltante</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_Toc7113864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17</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2"/>
            <w:tabs>
              <w:tab w:val="left" w:pos="660"/>
              <w:tab w:val="right" w:leader="dot" w:pos="8828"/>
            </w:tabs>
            <w:spacing w:after="160"/>
            <w:jc w:val="both"/>
            <w:rPr>
              <w:rFonts w:ascii="Palatino Linotype" w:eastAsiaTheme="minorEastAsia" w:hAnsi="Palatino Linotype"/>
              <w:noProof/>
              <w:sz w:val="24"/>
              <w:szCs w:val="24"/>
              <w:lang w:eastAsia="es-MX"/>
            </w:rPr>
          </w:pPr>
          <w:hyperlink w:anchor="_Toc7113865" w:history="1">
            <w:r w:rsidR="00133665" w:rsidRPr="00CA42C5">
              <w:rPr>
                <w:rStyle w:val="Hipervnculo"/>
                <w:rFonts w:ascii="Palatino Linotype" w:eastAsia="MS Mincho" w:hAnsi="Palatino Linotype" w:cstheme="majorBidi"/>
                <w:b/>
                <w:i/>
                <w:noProof/>
                <w:sz w:val="24"/>
                <w:szCs w:val="24"/>
                <w:lang w:val="es-ES_tradnl" w:eastAsia="es-ES"/>
              </w:rPr>
              <w:t>a)</w:t>
            </w:r>
            <w:r w:rsidR="00133665" w:rsidRPr="00CA42C5">
              <w:rPr>
                <w:rFonts w:ascii="Palatino Linotype" w:eastAsiaTheme="minorEastAsia" w:hAnsi="Palatino Linotype"/>
                <w:noProof/>
                <w:sz w:val="24"/>
                <w:szCs w:val="24"/>
                <w:lang w:eastAsia="es-MX"/>
              </w:rPr>
              <w:tab/>
            </w:r>
            <w:r w:rsidR="00133665" w:rsidRPr="00CA42C5">
              <w:rPr>
                <w:rStyle w:val="Hipervnculo"/>
                <w:rFonts w:ascii="Palatino Linotype" w:eastAsia="MS Mincho" w:hAnsi="Palatino Linotype" w:cstheme="majorBidi"/>
                <w:b/>
                <w:i/>
                <w:noProof/>
                <w:sz w:val="24"/>
                <w:szCs w:val="24"/>
                <w:lang w:val="es-ES_tradnl" w:eastAsia="es-ES"/>
              </w:rPr>
              <w:t>De las compensaciones y otras prestaciones.</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_Toc7113865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17</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2"/>
            <w:tabs>
              <w:tab w:val="left" w:pos="660"/>
              <w:tab w:val="right" w:leader="dot" w:pos="8828"/>
            </w:tabs>
            <w:spacing w:after="160"/>
            <w:jc w:val="both"/>
            <w:rPr>
              <w:rFonts w:ascii="Palatino Linotype" w:eastAsiaTheme="minorEastAsia" w:hAnsi="Palatino Linotype"/>
              <w:noProof/>
              <w:sz w:val="24"/>
              <w:szCs w:val="24"/>
              <w:lang w:eastAsia="es-MX"/>
            </w:rPr>
          </w:pPr>
          <w:hyperlink w:anchor="_Toc7113866" w:history="1">
            <w:r w:rsidR="00133665" w:rsidRPr="00CA42C5">
              <w:rPr>
                <w:rStyle w:val="Hipervnculo"/>
                <w:rFonts w:ascii="Palatino Linotype" w:eastAsia="MS Mincho" w:hAnsi="Palatino Linotype" w:cstheme="majorBidi"/>
                <w:b/>
                <w:i/>
                <w:noProof/>
                <w:sz w:val="24"/>
                <w:szCs w:val="24"/>
                <w:lang w:val="es-ES_tradnl" w:eastAsia="es-ES"/>
              </w:rPr>
              <w:t>b)</w:t>
            </w:r>
            <w:r w:rsidR="00133665" w:rsidRPr="00CA42C5">
              <w:rPr>
                <w:rFonts w:ascii="Palatino Linotype" w:eastAsiaTheme="minorEastAsia" w:hAnsi="Palatino Linotype"/>
                <w:noProof/>
                <w:sz w:val="24"/>
                <w:szCs w:val="24"/>
                <w:lang w:eastAsia="es-MX"/>
              </w:rPr>
              <w:tab/>
            </w:r>
            <w:r w:rsidR="00133665" w:rsidRPr="00CA42C5">
              <w:rPr>
                <w:rStyle w:val="Hipervnculo"/>
                <w:rFonts w:ascii="Palatino Linotype" w:eastAsia="MS Mincho" w:hAnsi="Palatino Linotype" w:cstheme="majorBidi"/>
                <w:b/>
                <w:i/>
                <w:noProof/>
                <w:sz w:val="24"/>
                <w:szCs w:val="24"/>
                <w:lang w:val="es-ES_tradnl" w:eastAsia="es-ES"/>
              </w:rPr>
              <w:t>Del inventario de bienes muebles e inmuebles</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_Toc7113866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21</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1"/>
            <w:spacing w:after="160"/>
            <w:jc w:val="both"/>
            <w:rPr>
              <w:rFonts w:ascii="Palatino Linotype" w:eastAsiaTheme="minorEastAsia" w:hAnsi="Palatino Linotype"/>
              <w:noProof/>
              <w:sz w:val="24"/>
              <w:szCs w:val="24"/>
              <w:lang w:eastAsia="es-MX"/>
            </w:rPr>
          </w:pPr>
          <w:hyperlink w:anchor="_Toc7113867" w:history="1">
            <w:r w:rsidR="00133665" w:rsidRPr="00CA42C5">
              <w:rPr>
                <w:rStyle w:val="Hipervnculo"/>
                <w:rFonts w:ascii="Palatino Linotype" w:eastAsia="MS Gothic" w:hAnsi="Palatino Linotype" w:cstheme="majorBidi"/>
                <w:b/>
                <w:noProof/>
                <w:sz w:val="24"/>
                <w:szCs w:val="24"/>
                <w:lang w:val="es-ES_tradnl"/>
              </w:rPr>
              <w:t>QUINTO. De la Versión Pública</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_Toc7113867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35</w:t>
            </w:r>
            <w:r w:rsidR="00133665" w:rsidRPr="00CA42C5">
              <w:rPr>
                <w:rFonts w:ascii="Palatino Linotype" w:hAnsi="Palatino Linotype"/>
                <w:noProof/>
                <w:webHidden/>
                <w:sz w:val="24"/>
                <w:szCs w:val="24"/>
              </w:rPr>
              <w:fldChar w:fldCharType="end"/>
            </w:r>
          </w:hyperlink>
        </w:p>
        <w:p w:rsidR="00133665" w:rsidRPr="00CA42C5" w:rsidRDefault="00265E76" w:rsidP="00270E5A">
          <w:pPr>
            <w:pStyle w:val="TDC1"/>
            <w:spacing w:after="160"/>
            <w:jc w:val="both"/>
            <w:rPr>
              <w:rFonts w:ascii="Palatino Linotype" w:eastAsiaTheme="minorEastAsia" w:hAnsi="Palatino Linotype"/>
              <w:noProof/>
              <w:sz w:val="24"/>
              <w:szCs w:val="24"/>
              <w:lang w:eastAsia="es-MX"/>
            </w:rPr>
          </w:pPr>
          <w:hyperlink w:anchor="_Toc7113868" w:history="1">
            <w:r w:rsidR="00133665" w:rsidRPr="00CA42C5">
              <w:rPr>
                <w:rStyle w:val="Hipervnculo"/>
                <w:rFonts w:ascii="Palatino Linotype" w:eastAsia="Calibri" w:hAnsi="Palatino Linotype" w:cstheme="majorBidi"/>
                <w:b/>
                <w:noProof/>
                <w:sz w:val="24"/>
                <w:szCs w:val="24"/>
                <w:lang w:val="es-ES" w:eastAsia="es-ES"/>
              </w:rPr>
              <w:t>R E S O L U T I V O S</w:t>
            </w:r>
            <w:r w:rsidR="00133665" w:rsidRPr="00CA42C5">
              <w:rPr>
                <w:rFonts w:ascii="Palatino Linotype" w:hAnsi="Palatino Linotype"/>
                <w:noProof/>
                <w:webHidden/>
                <w:sz w:val="24"/>
                <w:szCs w:val="24"/>
              </w:rPr>
              <w:tab/>
            </w:r>
            <w:r w:rsidR="00133665" w:rsidRPr="00CA42C5">
              <w:rPr>
                <w:rFonts w:ascii="Palatino Linotype" w:hAnsi="Palatino Linotype"/>
                <w:noProof/>
                <w:webHidden/>
                <w:sz w:val="24"/>
                <w:szCs w:val="24"/>
              </w:rPr>
              <w:fldChar w:fldCharType="begin"/>
            </w:r>
            <w:r w:rsidR="00133665" w:rsidRPr="00CA42C5">
              <w:rPr>
                <w:rFonts w:ascii="Palatino Linotype" w:hAnsi="Palatino Linotype"/>
                <w:noProof/>
                <w:webHidden/>
                <w:sz w:val="24"/>
                <w:szCs w:val="24"/>
              </w:rPr>
              <w:instrText xml:space="preserve"> PAGEREF _Toc7113868 \h </w:instrText>
            </w:r>
            <w:r w:rsidR="00133665" w:rsidRPr="00CA42C5">
              <w:rPr>
                <w:rFonts w:ascii="Palatino Linotype" w:hAnsi="Palatino Linotype"/>
                <w:noProof/>
                <w:webHidden/>
                <w:sz w:val="24"/>
                <w:szCs w:val="24"/>
              </w:rPr>
            </w:r>
            <w:r w:rsidR="00133665" w:rsidRPr="00CA42C5">
              <w:rPr>
                <w:rFonts w:ascii="Palatino Linotype" w:hAnsi="Palatino Linotype"/>
                <w:noProof/>
                <w:webHidden/>
                <w:sz w:val="24"/>
                <w:szCs w:val="24"/>
              </w:rPr>
              <w:fldChar w:fldCharType="separate"/>
            </w:r>
            <w:r w:rsidR="00A5616B">
              <w:rPr>
                <w:rFonts w:ascii="Palatino Linotype" w:hAnsi="Palatino Linotype"/>
                <w:noProof/>
                <w:webHidden/>
                <w:sz w:val="24"/>
                <w:szCs w:val="24"/>
              </w:rPr>
              <w:t>56</w:t>
            </w:r>
            <w:r w:rsidR="00133665" w:rsidRPr="00CA42C5">
              <w:rPr>
                <w:rFonts w:ascii="Palatino Linotype" w:hAnsi="Palatino Linotype"/>
                <w:noProof/>
                <w:webHidden/>
                <w:sz w:val="24"/>
                <w:szCs w:val="24"/>
              </w:rPr>
              <w:fldChar w:fldCharType="end"/>
            </w:r>
          </w:hyperlink>
        </w:p>
        <w:p w:rsidR="00E1570F" w:rsidRPr="00CA42C5" w:rsidRDefault="00E1570F" w:rsidP="00270E5A">
          <w:pPr>
            <w:spacing w:line="720" w:lineRule="auto"/>
            <w:ind w:right="-142"/>
            <w:jc w:val="both"/>
            <w:rPr>
              <w:rFonts w:ascii="Palatino Linotype" w:eastAsiaTheme="minorEastAsia" w:hAnsi="Palatino Linotype"/>
              <w:bCs/>
              <w:sz w:val="24"/>
              <w:szCs w:val="24"/>
              <w:lang w:val="es-ES" w:eastAsia="es-ES"/>
            </w:rPr>
          </w:pPr>
          <w:r w:rsidRPr="00CA42C5">
            <w:rPr>
              <w:rFonts w:ascii="Palatino Linotype" w:eastAsiaTheme="minorEastAsia" w:hAnsi="Palatino Linotype"/>
              <w:b/>
              <w:bCs/>
              <w:sz w:val="24"/>
              <w:szCs w:val="24"/>
              <w:lang w:val="es-ES" w:eastAsia="es-ES"/>
            </w:rPr>
            <w:fldChar w:fldCharType="end"/>
          </w:r>
        </w:p>
      </w:sdtContent>
    </w:sdt>
    <w:p w:rsidR="00E1570F" w:rsidRPr="00CA42C5" w:rsidRDefault="00E1570F" w:rsidP="00CA42C5">
      <w:pPr>
        <w:spacing w:before="240" w:after="240" w:line="360" w:lineRule="auto"/>
        <w:jc w:val="both"/>
        <w:rPr>
          <w:rFonts w:ascii="Palatino Linotype" w:eastAsiaTheme="minorEastAsia" w:hAnsi="Palatino Linotype"/>
          <w:sz w:val="24"/>
          <w:szCs w:val="24"/>
          <w:lang w:val="es-ES_tradnl" w:eastAsia="es-ES"/>
        </w:rPr>
      </w:pPr>
    </w:p>
    <w:p w:rsidR="00270E5A" w:rsidRPr="00CA42C5" w:rsidRDefault="00E1570F" w:rsidP="00CA42C5">
      <w:pPr>
        <w:spacing w:before="240" w:after="240" w:line="360" w:lineRule="auto"/>
        <w:jc w:val="both"/>
        <w:rPr>
          <w:rFonts w:ascii="Palatino Linotype" w:eastAsiaTheme="minorEastAsia" w:hAnsi="Palatino Linotype"/>
          <w:sz w:val="24"/>
          <w:szCs w:val="24"/>
          <w:lang w:val="es-ES_tradnl" w:eastAsia="es-ES"/>
        </w:rPr>
      </w:pPr>
      <w:r w:rsidRPr="00CA42C5">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w:t>
      </w:r>
      <w:r w:rsidRPr="00270E5A">
        <w:rPr>
          <w:rFonts w:ascii="Palatino Linotype" w:eastAsiaTheme="minorEastAsia" w:hAnsi="Palatino Linotype"/>
          <w:sz w:val="24"/>
          <w:szCs w:val="24"/>
          <w:lang w:val="es-ES_tradnl" w:eastAsia="es-ES"/>
        </w:rPr>
        <w:t xml:space="preserve">; de fecha </w:t>
      </w:r>
      <w:r w:rsidR="00422C32" w:rsidRPr="00270E5A">
        <w:rPr>
          <w:rFonts w:ascii="Palatino Linotype" w:eastAsiaTheme="minorEastAsia" w:hAnsi="Palatino Linotype"/>
          <w:sz w:val="24"/>
          <w:szCs w:val="24"/>
          <w:lang w:val="es-ES_tradnl" w:eastAsia="es-ES"/>
        </w:rPr>
        <w:t>dos (</w:t>
      </w:r>
      <w:r w:rsidR="00270E5A">
        <w:rPr>
          <w:rFonts w:ascii="Palatino Linotype" w:eastAsiaTheme="minorEastAsia" w:hAnsi="Palatino Linotype"/>
          <w:sz w:val="24"/>
          <w:szCs w:val="24"/>
          <w:lang w:val="es-ES_tradnl" w:eastAsia="es-ES"/>
        </w:rPr>
        <w:t>0</w:t>
      </w:r>
      <w:r w:rsidR="00422C32" w:rsidRPr="00270E5A">
        <w:rPr>
          <w:rFonts w:ascii="Palatino Linotype" w:eastAsiaTheme="minorEastAsia" w:hAnsi="Palatino Linotype"/>
          <w:sz w:val="24"/>
          <w:szCs w:val="24"/>
          <w:lang w:val="es-ES_tradnl" w:eastAsia="es-ES"/>
        </w:rPr>
        <w:t xml:space="preserve">2) de mayo </w:t>
      </w:r>
      <w:r w:rsidRPr="00270E5A">
        <w:rPr>
          <w:rFonts w:ascii="Palatino Linotype" w:eastAsiaTheme="minorEastAsia" w:hAnsi="Palatino Linotype"/>
          <w:sz w:val="24"/>
          <w:szCs w:val="24"/>
          <w:lang w:val="es-ES_tradnl" w:eastAsia="es-ES"/>
        </w:rPr>
        <w:t>de dos mil diecinueve.</w:t>
      </w:r>
    </w:p>
    <w:p w:rsidR="00E1570F" w:rsidRPr="00CA42C5" w:rsidRDefault="00E1570F" w:rsidP="00270E5A">
      <w:pPr>
        <w:spacing w:before="240" w:after="360" w:line="360" w:lineRule="auto"/>
        <w:jc w:val="both"/>
        <w:rPr>
          <w:rFonts w:ascii="Palatino Linotype" w:eastAsiaTheme="minorEastAsia" w:hAnsi="Palatino Linotype"/>
          <w:sz w:val="24"/>
          <w:szCs w:val="24"/>
          <w:lang w:val="es-ES_tradnl" w:eastAsia="es-ES"/>
        </w:rPr>
      </w:pPr>
      <w:r w:rsidRPr="00CA42C5">
        <w:rPr>
          <w:rFonts w:ascii="Palatino Linotype" w:eastAsiaTheme="minorEastAsia" w:hAnsi="Palatino Linotype"/>
          <w:b/>
          <w:sz w:val="24"/>
          <w:szCs w:val="24"/>
          <w:lang w:val="es-ES_tradnl" w:eastAsia="es-ES"/>
        </w:rPr>
        <w:t>VISTO</w:t>
      </w:r>
      <w:r w:rsidRPr="00CA42C5">
        <w:rPr>
          <w:rFonts w:ascii="Palatino Linotype" w:eastAsiaTheme="minorEastAsia" w:hAnsi="Palatino Linotype"/>
          <w:sz w:val="24"/>
          <w:szCs w:val="24"/>
          <w:lang w:val="es-ES_tradnl" w:eastAsia="es-ES"/>
        </w:rPr>
        <w:t xml:space="preserve"> el expediente electrónico formado con motivo del recurso de revisión </w:t>
      </w:r>
      <w:r w:rsidRPr="00CA42C5">
        <w:rPr>
          <w:rFonts w:ascii="Palatino Linotype" w:eastAsiaTheme="minorEastAsia" w:hAnsi="Palatino Linotype" w:cs="Arial"/>
          <w:b/>
          <w:bCs/>
          <w:sz w:val="24"/>
          <w:szCs w:val="24"/>
          <w:lang w:val="es-ES_tradnl" w:eastAsia="es-ES"/>
        </w:rPr>
        <w:t xml:space="preserve">01083/INFOEM/IP/RR/2019 </w:t>
      </w:r>
      <w:r w:rsidRPr="00CA42C5">
        <w:rPr>
          <w:rFonts w:ascii="Palatino Linotype" w:eastAsiaTheme="minorEastAsia" w:hAnsi="Palatino Linotype"/>
          <w:sz w:val="24"/>
          <w:szCs w:val="24"/>
          <w:lang w:val="es-ES_tradnl" w:eastAsia="es-ES"/>
        </w:rPr>
        <w:t xml:space="preserve">promovido por </w:t>
      </w:r>
      <w:r w:rsidR="005479F7" w:rsidRPr="005479F7">
        <w:rPr>
          <w:rFonts w:ascii="Palatino Linotype" w:eastAsiaTheme="minorEastAsia" w:hAnsi="Palatino Linotype"/>
          <w:b/>
          <w:sz w:val="24"/>
          <w:szCs w:val="24"/>
          <w:highlight w:val="black"/>
          <w:lang w:val="es-ES_tradnl" w:eastAsia="es-ES"/>
        </w:rPr>
        <w:t>-----------------------</w:t>
      </w:r>
      <w:r w:rsidRPr="00CA42C5">
        <w:rPr>
          <w:rFonts w:ascii="Palatino Linotype" w:eastAsiaTheme="minorEastAsia" w:hAnsi="Palatino Linotype"/>
          <w:b/>
          <w:sz w:val="24"/>
          <w:szCs w:val="24"/>
          <w:lang w:val="es-ES_tradnl" w:eastAsia="es-ES"/>
        </w:rPr>
        <w:t xml:space="preserve">, </w:t>
      </w:r>
      <w:r w:rsidRPr="00CA42C5">
        <w:rPr>
          <w:rFonts w:ascii="Palatino Linotype" w:eastAsiaTheme="minorEastAsia" w:hAnsi="Palatino Linotype" w:cs="Arial"/>
          <w:sz w:val="24"/>
          <w:szCs w:val="24"/>
          <w:lang w:val="es-ES_tradnl" w:eastAsia="es-ES"/>
        </w:rPr>
        <w:t xml:space="preserve">en su calidad de </w:t>
      </w:r>
      <w:r w:rsidRPr="00CA42C5">
        <w:rPr>
          <w:rFonts w:ascii="Palatino Linotype" w:eastAsiaTheme="minorEastAsia" w:hAnsi="Palatino Linotype" w:cs="Arial"/>
          <w:b/>
          <w:sz w:val="24"/>
          <w:szCs w:val="24"/>
          <w:lang w:val="es-ES_tradnl" w:eastAsia="es-ES"/>
        </w:rPr>
        <w:t>RECURRENTE</w:t>
      </w:r>
      <w:r w:rsidRPr="00CA42C5">
        <w:rPr>
          <w:rFonts w:ascii="Palatino Linotype" w:eastAsiaTheme="minorEastAsia" w:hAnsi="Palatino Linotype" w:cs="Arial"/>
          <w:sz w:val="24"/>
          <w:szCs w:val="24"/>
          <w:lang w:val="es-ES_tradnl" w:eastAsia="es-ES"/>
        </w:rPr>
        <w:t xml:space="preserve">, en contra de la respuesta del </w:t>
      </w:r>
      <w:r w:rsidRPr="00CA42C5">
        <w:rPr>
          <w:rFonts w:ascii="Palatino Linotype" w:eastAsiaTheme="minorEastAsia" w:hAnsi="Palatino Linotype" w:cs="Arial"/>
          <w:b/>
          <w:sz w:val="24"/>
          <w:szCs w:val="24"/>
          <w:lang w:val="es-ES_tradnl" w:eastAsia="es-ES"/>
        </w:rPr>
        <w:t>Ayuntamiento de Ecatepec de Morelos</w:t>
      </w:r>
      <w:r w:rsidRPr="00CA42C5">
        <w:rPr>
          <w:rFonts w:ascii="Palatino Linotype" w:eastAsiaTheme="minorEastAsia" w:hAnsi="Palatino Linotype"/>
          <w:sz w:val="24"/>
          <w:szCs w:val="24"/>
          <w:lang w:val="es-ES_tradnl" w:eastAsia="es-ES"/>
        </w:rPr>
        <w:t xml:space="preserve"> en lo sucesivo el</w:t>
      </w:r>
      <w:r w:rsidRPr="00CA42C5">
        <w:rPr>
          <w:rFonts w:ascii="Palatino Linotype" w:eastAsiaTheme="minorEastAsia" w:hAnsi="Palatino Linotype"/>
          <w:b/>
          <w:sz w:val="24"/>
          <w:szCs w:val="24"/>
          <w:lang w:val="es-ES_tradnl" w:eastAsia="es-ES"/>
        </w:rPr>
        <w:t xml:space="preserve"> SUJETO OBLIGADO, </w:t>
      </w:r>
      <w:r w:rsidRPr="00CA42C5">
        <w:rPr>
          <w:rFonts w:ascii="Palatino Linotype" w:eastAsiaTheme="minorEastAsia" w:hAnsi="Palatino Linotype"/>
          <w:sz w:val="24"/>
          <w:szCs w:val="24"/>
          <w:lang w:val="es-ES_tradnl" w:eastAsia="es-ES"/>
        </w:rPr>
        <w:t>se procede a dictar la presente resolución, con base en los siguientes:</w:t>
      </w:r>
    </w:p>
    <w:p w:rsidR="00E1570F" w:rsidRPr="00CA42C5" w:rsidRDefault="00E1570F" w:rsidP="00270E5A">
      <w:pPr>
        <w:keepNext/>
        <w:keepLines/>
        <w:spacing w:before="240" w:after="0"/>
        <w:ind w:right="-142"/>
        <w:jc w:val="center"/>
        <w:outlineLvl w:val="0"/>
        <w:rPr>
          <w:rFonts w:ascii="Palatino Linotype" w:eastAsiaTheme="majorEastAsia" w:hAnsi="Palatino Linotype" w:cstheme="majorBidi"/>
          <w:b/>
          <w:sz w:val="24"/>
          <w:szCs w:val="24"/>
        </w:rPr>
      </w:pPr>
      <w:bookmarkStart w:id="0" w:name="_Toc7113855"/>
      <w:r w:rsidRPr="00CA42C5">
        <w:rPr>
          <w:rFonts w:ascii="Palatino Linotype" w:eastAsiaTheme="majorEastAsia" w:hAnsi="Palatino Linotype" w:cstheme="majorBidi"/>
          <w:b/>
          <w:sz w:val="24"/>
          <w:szCs w:val="24"/>
        </w:rPr>
        <w:t>A N T E C E D E N T E S</w:t>
      </w:r>
      <w:bookmarkEnd w:id="0"/>
    </w:p>
    <w:p w:rsidR="00E1570F" w:rsidRPr="00CA42C5" w:rsidRDefault="00E1570F" w:rsidP="00CA42C5">
      <w:pPr>
        <w:keepNext/>
        <w:keepLines/>
        <w:spacing w:before="240" w:after="0"/>
        <w:ind w:right="-142"/>
        <w:jc w:val="both"/>
        <w:outlineLvl w:val="0"/>
        <w:rPr>
          <w:rFonts w:ascii="Palatino Linotype" w:eastAsiaTheme="majorEastAsia" w:hAnsi="Palatino Linotype" w:cstheme="majorBidi"/>
          <w:sz w:val="24"/>
          <w:szCs w:val="24"/>
        </w:rPr>
      </w:pPr>
    </w:p>
    <w:p w:rsidR="00E1570F" w:rsidRPr="00CA42C5" w:rsidRDefault="00E1570F" w:rsidP="00CA42C5">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CA42C5">
        <w:rPr>
          <w:rFonts w:ascii="Palatino Linotype" w:eastAsia="Calibri" w:hAnsi="Palatino Linotype" w:cs="Arial"/>
          <w:sz w:val="24"/>
          <w:szCs w:val="24"/>
          <w:lang w:val="es-ES" w:eastAsia="es-ES"/>
        </w:rPr>
        <w:t xml:space="preserve">El día </w:t>
      </w:r>
      <w:r w:rsidRPr="00CA42C5">
        <w:rPr>
          <w:rFonts w:ascii="Palatino Linotype" w:eastAsia="Calibri" w:hAnsi="Palatino Linotype" w:cs="Arial"/>
          <w:b/>
          <w:sz w:val="24"/>
          <w:szCs w:val="24"/>
          <w:lang w:val="es-ES" w:eastAsia="es-ES"/>
        </w:rPr>
        <w:t>trece (13) de febrero</w:t>
      </w:r>
      <w:r w:rsidRPr="00CA42C5">
        <w:rPr>
          <w:rFonts w:ascii="Palatino Linotype" w:eastAsia="Calibri" w:hAnsi="Palatino Linotype" w:cs="Arial"/>
          <w:sz w:val="24"/>
          <w:szCs w:val="24"/>
          <w:lang w:val="es-ES" w:eastAsia="es-ES"/>
        </w:rPr>
        <w:t xml:space="preserve"> de dos mil diecinueve,</w:t>
      </w:r>
      <w:r w:rsidRPr="00CA42C5">
        <w:rPr>
          <w:rFonts w:ascii="Palatino Linotype" w:eastAsia="Calibri" w:hAnsi="Palatino Linotype" w:cs="Times New Roman"/>
          <w:sz w:val="24"/>
          <w:szCs w:val="24"/>
          <w:lang w:val="es-ES" w:eastAsia="es-ES"/>
        </w:rPr>
        <w:t xml:space="preserve"> se</w:t>
      </w:r>
      <w:r w:rsidRPr="00CA42C5">
        <w:rPr>
          <w:rFonts w:ascii="Palatino Linotype" w:eastAsiaTheme="minorEastAsia" w:hAnsi="Palatino Linotype"/>
          <w:b/>
          <w:sz w:val="24"/>
          <w:szCs w:val="24"/>
          <w:lang w:val="es-ES_tradnl" w:eastAsia="es-ES"/>
        </w:rPr>
        <w:t xml:space="preserve"> </w:t>
      </w:r>
      <w:r w:rsidRPr="00CA42C5">
        <w:rPr>
          <w:rFonts w:ascii="Palatino Linotype" w:eastAsiaTheme="minorEastAsia" w:hAnsi="Palatino Linotype"/>
          <w:sz w:val="24"/>
          <w:szCs w:val="24"/>
          <w:lang w:val="es-ES_tradnl" w:eastAsia="es-ES"/>
        </w:rPr>
        <w:t xml:space="preserve">presentó </w:t>
      </w:r>
      <w:r w:rsidRPr="00CA42C5">
        <w:rPr>
          <w:rFonts w:ascii="Palatino Linotype" w:eastAsia="Calibri" w:hAnsi="Palatino Linotype" w:cs="Arial"/>
          <w:sz w:val="24"/>
          <w:szCs w:val="24"/>
          <w:lang w:val="es-ES" w:eastAsia="es-ES"/>
        </w:rPr>
        <w:t xml:space="preserve">ante el </w:t>
      </w:r>
      <w:r w:rsidRPr="00CA42C5">
        <w:rPr>
          <w:rFonts w:ascii="Palatino Linotype" w:eastAsia="Calibri" w:hAnsi="Palatino Linotype" w:cs="Arial"/>
          <w:b/>
          <w:sz w:val="24"/>
          <w:szCs w:val="24"/>
          <w:lang w:val="es-ES" w:eastAsia="es-ES"/>
        </w:rPr>
        <w:t>SUJETO OBLIGADO,</w:t>
      </w:r>
      <w:r w:rsidRPr="00CA42C5">
        <w:rPr>
          <w:rFonts w:ascii="Palatino Linotype" w:eastAsia="Calibri" w:hAnsi="Palatino Linotype" w:cs="Arial"/>
          <w:sz w:val="24"/>
          <w:szCs w:val="24"/>
          <w:lang w:val="es-ES_tradnl" w:eastAsia="es-ES"/>
        </w:rPr>
        <w:t xml:space="preserve"> vía </w:t>
      </w:r>
      <w:r w:rsidRPr="00CA42C5">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CA42C5">
        <w:rPr>
          <w:rFonts w:ascii="Palatino Linotype" w:eastAsia="Times New Roman" w:hAnsi="Palatino Linotype" w:cs="Arial"/>
          <w:b/>
          <w:sz w:val="24"/>
          <w:szCs w:val="24"/>
          <w:lang w:val="es-ES" w:eastAsia="es-ES"/>
        </w:rPr>
        <w:t>00067/ECATEPEC/IP/2019</w:t>
      </w:r>
      <w:r w:rsidRPr="00CA42C5">
        <w:rPr>
          <w:rFonts w:ascii="Palatino Linotype" w:eastAsia="Calibri" w:hAnsi="Palatino Linotype" w:cs="Arial"/>
          <w:sz w:val="24"/>
          <w:szCs w:val="24"/>
          <w:lang w:val="es-ES" w:eastAsia="es-ES"/>
        </w:rPr>
        <w:t>, mediante la cual se requirió:</w:t>
      </w:r>
    </w:p>
    <w:p w:rsidR="00E1570F" w:rsidRPr="00CA42C5" w:rsidRDefault="00E1570F" w:rsidP="00CA42C5">
      <w:pPr>
        <w:spacing w:before="240" w:after="240" w:line="360" w:lineRule="auto"/>
        <w:ind w:right="-142"/>
        <w:contextualSpacing/>
        <w:jc w:val="both"/>
        <w:rPr>
          <w:rFonts w:ascii="Palatino Linotype" w:eastAsia="Calibri" w:hAnsi="Palatino Linotype" w:cs="Arial"/>
          <w:sz w:val="24"/>
          <w:szCs w:val="24"/>
          <w:lang w:val="es-ES" w:eastAsia="es-ES"/>
        </w:rPr>
      </w:pPr>
    </w:p>
    <w:p w:rsidR="00E1570F" w:rsidRPr="00CA42C5" w:rsidRDefault="00E1570F" w:rsidP="00CA42C5">
      <w:pPr>
        <w:spacing w:after="0" w:line="360" w:lineRule="auto"/>
        <w:ind w:right="616"/>
        <w:jc w:val="both"/>
        <w:rPr>
          <w:rFonts w:ascii="Palatino Linotype" w:eastAsia="Times New Roman" w:hAnsi="Palatino Linotype" w:cs="Times New Roman"/>
          <w:i/>
          <w:sz w:val="24"/>
          <w:szCs w:val="24"/>
          <w:lang w:eastAsia="es-MX"/>
        </w:rPr>
      </w:pPr>
      <w:r w:rsidRPr="00CA42C5">
        <w:rPr>
          <w:rFonts w:ascii="Palatino Linotype" w:eastAsia="Times New Roman" w:hAnsi="Palatino Linotype" w:cs="Times New Roman"/>
          <w:i/>
          <w:sz w:val="24"/>
          <w:szCs w:val="24"/>
          <w:lang w:eastAsia="es-MX"/>
        </w:rPr>
        <w:t>“</w:t>
      </w:r>
      <w:r w:rsidRPr="00CA42C5">
        <w:rPr>
          <w:rFonts w:ascii="Palatino Linotype" w:eastAsia="Times New Roman" w:hAnsi="Palatino Linotype" w:cs="Times New Roman"/>
          <w:b/>
          <w:i/>
          <w:sz w:val="24"/>
          <w:szCs w:val="24"/>
          <w:lang w:eastAsia="es-MX"/>
        </w:rPr>
        <w:t>COPIA SIMPLE DE NOMBRAMIENTOS</w:t>
      </w:r>
      <w:r w:rsidRPr="00CA42C5">
        <w:rPr>
          <w:rFonts w:ascii="Palatino Linotype" w:eastAsia="Times New Roman" w:hAnsi="Palatino Linotype" w:cs="Times New Roman"/>
          <w:i/>
          <w:sz w:val="24"/>
          <w:szCs w:val="24"/>
          <w:lang w:eastAsia="es-MX"/>
        </w:rPr>
        <w:t xml:space="preserve"> COMO </w:t>
      </w:r>
      <w:r w:rsidRPr="00CA42C5">
        <w:rPr>
          <w:rFonts w:ascii="Palatino Linotype" w:eastAsia="Times New Roman" w:hAnsi="Palatino Linotype" w:cs="Times New Roman"/>
          <w:i/>
          <w:sz w:val="24"/>
          <w:szCs w:val="24"/>
          <w:u w:val="single"/>
          <w:lang w:eastAsia="es-MX"/>
        </w:rPr>
        <w:t xml:space="preserve">DIRECTOR O </w:t>
      </w:r>
      <w:r w:rsidRPr="00CA42C5">
        <w:rPr>
          <w:rFonts w:ascii="Palatino Linotype" w:eastAsia="Times New Roman" w:hAnsi="Palatino Linotype" w:cs="Times New Roman"/>
          <w:b/>
          <w:i/>
          <w:sz w:val="24"/>
          <w:szCs w:val="24"/>
          <w:u w:val="single"/>
          <w:lang w:eastAsia="es-MX"/>
        </w:rPr>
        <w:t>COORDINADOR DEL INSTITUTO DE CULTURA FISICA Y DEPORTE</w:t>
      </w:r>
      <w:r w:rsidRPr="00CA42C5">
        <w:rPr>
          <w:rFonts w:ascii="Palatino Linotype" w:eastAsia="Times New Roman" w:hAnsi="Palatino Linotype" w:cs="Times New Roman"/>
          <w:i/>
          <w:sz w:val="24"/>
          <w:szCs w:val="24"/>
          <w:lang w:eastAsia="es-MX"/>
        </w:rPr>
        <w:t xml:space="preserve"> DEL C. ERICK AYALA LIMON, COMO </w:t>
      </w:r>
      <w:r w:rsidRPr="00CA42C5">
        <w:rPr>
          <w:rFonts w:ascii="Palatino Linotype" w:eastAsia="Times New Roman" w:hAnsi="Palatino Linotype" w:cs="Times New Roman"/>
          <w:b/>
          <w:i/>
          <w:sz w:val="24"/>
          <w:szCs w:val="24"/>
          <w:u w:val="single"/>
          <w:lang w:eastAsia="es-MX"/>
        </w:rPr>
        <w:t>COORDINADOR O DIRECTOR DEL INSTITUTO DE LA JUVENTUD</w:t>
      </w:r>
      <w:r w:rsidRPr="00CA42C5">
        <w:rPr>
          <w:rFonts w:ascii="Palatino Linotype" w:eastAsia="Times New Roman" w:hAnsi="Palatino Linotype" w:cs="Times New Roman"/>
          <w:i/>
          <w:sz w:val="24"/>
          <w:szCs w:val="24"/>
          <w:lang w:eastAsia="es-MX"/>
        </w:rPr>
        <w:t xml:space="preserve"> DEL C. ERICK ANTONIO CONTRERAS PEREZ, COMO </w:t>
      </w:r>
      <w:r w:rsidRPr="00CA42C5">
        <w:rPr>
          <w:rFonts w:ascii="Palatino Linotype" w:eastAsia="Times New Roman" w:hAnsi="Palatino Linotype" w:cs="Times New Roman"/>
          <w:b/>
          <w:i/>
          <w:sz w:val="24"/>
          <w:szCs w:val="24"/>
          <w:u w:val="single"/>
          <w:lang w:eastAsia="es-MX"/>
        </w:rPr>
        <w:t>DIRECTORA DE DESARROLLO ECONOMICO</w:t>
      </w:r>
      <w:r w:rsidRPr="00CA42C5">
        <w:rPr>
          <w:rFonts w:ascii="Palatino Linotype" w:eastAsia="Times New Roman" w:hAnsi="Palatino Linotype" w:cs="Times New Roman"/>
          <w:i/>
          <w:sz w:val="24"/>
          <w:szCs w:val="24"/>
          <w:lang w:eastAsia="es-MX"/>
        </w:rPr>
        <w:t xml:space="preserve"> DE LA C. </w:t>
      </w:r>
      <w:r w:rsidRPr="00CA42C5">
        <w:rPr>
          <w:rFonts w:ascii="Palatino Linotype" w:eastAsia="Times New Roman" w:hAnsi="Palatino Linotype" w:cs="Times New Roman"/>
          <w:i/>
          <w:sz w:val="24"/>
          <w:szCs w:val="24"/>
          <w:lang w:eastAsia="es-MX"/>
        </w:rPr>
        <w:lastRenderedPageBreak/>
        <w:t xml:space="preserve">ANAI ESPERZA ACEVEDO, COMO </w:t>
      </w:r>
      <w:r w:rsidRPr="00CA42C5">
        <w:rPr>
          <w:rFonts w:ascii="Palatino Linotype" w:eastAsia="Times New Roman" w:hAnsi="Palatino Linotype" w:cs="Times New Roman"/>
          <w:b/>
          <w:i/>
          <w:sz w:val="24"/>
          <w:szCs w:val="24"/>
          <w:u w:val="single"/>
          <w:lang w:eastAsia="es-MX"/>
        </w:rPr>
        <w:t>DIRECTOR DE DESARROLLO SOCIAL</w:t>
      </w:r>
      <w:r w:rsidRPr="00CA42C5">
        <w:rPr>
          <w:rFonts w:ascii="Palatino Linotype" w:eastAsia="Times New Roman" w:hAnsi="Palatino Linotype" w:cs="Times New Roman"/>
          <w:i/>
          <w:sz w:val="24"/>
          <w:szCs w:val="24"/>
          <w:lang w:eastAsia="es-MX"/>
        </w:rPr>
        <w:t xml:space="preserve">, EL C. EVERARDO LOBATO TUFIÑO Y DEL C. JESUS PALACIOS ALVARADO COMO </w:t>
      </w:r>
      <w:r w:rsidRPr="00CA42C5">
        <w:rPr>
          <w:rFonts w:ascii="Palatino Linotype" w:eastAsia="Times New Roman" w:hAnsi="Palatino Linotype" w:cs="Times New Roman"/>
          <w:b/>
          <w:i/>
          <w:sz w:val="24"/>
          <w:szCs w:val="24"/>
          <w:u w:val="single"/>
          <w:lang w:eastAsia="es-MX"/>
        </w:rPr>
        <w:t>SECRETARIO DE AYUNTAMIENTO</w:t>
      </w:r>
      <w:r w:rsidRPr="00CA42C5">
        <w:rPr>
          <w:rFonts w:ascii="Palatino Linotype" w:eastAsia="Times New Roman" w:hAnsi="Palatino Linotype" w:cs="Times New Roman"/>
          <w:i/>
          <w:sz w:val="24"/>
          <w:szCs w:val="24"/>
          <w:lang w:eastAsia="es-MX"/>
        </w:rPr>
        <w:t xml:space="preserve"> DE LA MISMA MANERA </w:t>
      </w:r>
      <w:r w:rsidRPr="00CA42C5">
        <w:rPr>
          <w:rFonts w:ascii="Palatino Linotype" w:eastAsia="Times New Roman" w:hAnsi="Palatino Linotype" w:cs="Times New Roman"/>
          <w:b/>
          <w:i/>
          <w:sz w:val="24"/>
          <w:szCs w:val="24"/>
          <w:lang w:eastAsia="es-MX"/>
        </w:rPr>
        <w:t>SOLICITO PERCEPCIONES MENSUALES BRUTAS Y NETAS, COMPENSACIONES Y APOYOS ECONOMICOS, MATERIALES CON QUE CUENTA CADA DIRECCIÓN, SECRETARIA O COORDINACIÓN MENCIONADA.</w:t>
      </w:r>
      <w:r w:rsidRPr="00CA42C5">
        <w:rPr>
          <w:rFonts w:ascii="Palatino Linotype" w:eastAsia="Times New Roman" w:hAnsi="Palatino Linotype" w:cs="Times New Roman"/>
          <w:i/>
          <w:sz w:val="24"/>
          <w:szCs w:val="24"/>
          <w:lang w:eastAsia="es-MX"/>
        </w:rPr>
        <w:t>”(SIC)</w:t>
      </w:r>
    </w:p>
    <w:p w:rsidR="00E1570F" w:rsidRPr="00CA42C5" w:rsidRDefault="00E1570F" w:rsidP="00CA42C5">
      <w:pPr>
        <w:spacing w:after="0" w:line="360" w:lineRule="auto"/>
        <w:ind w:right="616"/>
        <w:jc w:val="both"/>
        <w:rPr>
          <w:rFonts w:ascii="Palatino Linotype" w:eastAsia="Times New Roman" w:hAnsi="Palatino Linotype" w:cs="Times New Roman"/>
          <w:i/>
          <w:sz w:val="24"/>
          <w:szCs w:val="24"/>
          <w:lang w:eastAsia="es-MX"/>
        </w:rPr>
      </w:pPr>
    </w:p>
    <w:p w:rsidR="00E1570F" w:rsidRPr="00CA42C5" w:rsidRDefault="00E1570F" w:rsidP="00CA42C5">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CA42C5">
        <w:rPr>
          <w:rFonts w:ascii="Palatino Linotype" w:eastAsia="Times New Roman" w:hAnsi="Palatino Linotype" w:cs="Arial"/>
          <w:sz w:val="24"/>
          <w:szCs w:val="24"/>
          <w:lang w:val="es-ES" w:eastAsia="es-ES"/>
        </w:rPr>
        <w:t>Señaló como modalidad de entrega de la información</w:t>
      </w:r>
      <w:r w:rsidRPr="00CA42C5">
        <w:rPr>
          <w:rFonts w:ascii="Palatino Linotype" w:eastAsia="Times New Roman" w:hAnsi="Palatino Linotype" w:cs="Arial"/>
          <w:b/>
          <w:sz w:val="24"/>
          <w:szCs w:val="24"/>
          <w:lang w:val="es-ES" w:eastAsia="es-ES"/>
        </w:rPr>
        <w:t>:</w:t>
      </w:r>
      <w:r w:rsidRPr="00CA42C5">
        <w:rPr>
          <w:rFonts w:ascii="Palatino Linotype" w:eastAsia="Times New Roman" w:hAnsi="Palatino Linotype" w:cs="Arial"/>
          <w:sz w:val="24"/>
          <w:szCs w:val="24"/>
          <w:lang w:val="es-ES" w:eastAsia="es-ES"/>
        </w:rPr>
        <w:t xml:space="preserve"> a través del </w:t>
      </w:r>
      <w:r w:rsidRPr="00CA42C5">
        <w:rPr>
          <w:rFonts w:ascii="Palatino Linotype" w:eastAsia="Times New Roman" w:hAnsi="Palatino Linotype" w:cs="Arial"/>
          <w:b/>
          <w:sz w:val="24"/>
          <w:szCs w:val="24"/>
          <w:lang w:val="es-ES" w:eastAsia="es-ES"/>
        </w:rPr>
        <w:t>SAIMEX</w:t>
      </w:r>
    </w:p>
    <w:p w:rsidR="00E1570F" w:rsidRPr="00CA42C5" w:rsidRDefault="00E1570F" w:rsidP="00CA42C5">
      <w:pPr>
        <w:spacing w:after="0" w:line="360" w:lineRule="auto"/>
        <w:contextualSpacing/>
        <w:jc w:val="both"/>
        <w:rPr>
          <w:rFonts w:ascii="Palatino Linotype" w:eastAsiaTheme="minorEastAsia" w:hAnsi="Palatino Linotype" w:cs="Arial"/>
          <w:i/>
          <w:sz w:val="24"/>
          <w:szCs w:val="24"/>
          <w:lang w:val="es-ES_tradnl" w:eastAsia="es-ES"/>
        </w:rPr>
      </w:pPr>
    </w:p>
    <w:p w:rsidR="00151D53" w:rsidRPr="00CA42C5" w:rsidRDefault="00E1570F" w:rsidP="00CA42C5">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CA42C5">
        <w:rPr>
          <w:rFonts w:ascii="Palatino Linotype" w:eastAsiaTheme="minorEastAsia" w:hAnsi="Palatino Linotype" w:cs="Arial"/>
          <w:sz w:val="24"/>
          <w:szCs w:val="24"/>
          <w:lang w:val="es-ES_tradnl" w:eastAsia="es-ES"/>
        </w:rPr>
        <w:t xml:space="preserve">El día </w:t>
      </w:r>
      <w:r w:rsidR="00151D53" w:rsidRPr="00CA42C5">
        <w:rPr>
          <w:rFonts w:ascii="Palatino Linotype" w:eastAsiaTheme="minorEastAsia" w:hAnsi="Palatino Linotype" w:cs="Arial"/>
          <w:b/>
          <w:sz w:val="24"/>
          <w:szCs w:val="24"/>
          <w:lang w:val="es-ES_tradnl" w:eastAsia="es-ES"/>
        </w:rPr>
        <w:t>veintiuno (21) de febrero</w:t>
      </w:r>
      <w:r w:rsidRPr="00CA42C5">
        <w:rPr>
          <w:rFonts w:ascii="Palatino Linotype" w:eastAsiaTheme="minorEastAsia" w:hAnsi="Palatino Linotype" w:cs="Arial"/>
          <w:b/>
          <w:sz w:val="24"/>
          <w:szCs w:val="24"/>
          <w:lang w:val="es-ES_tradnl" w:eastAsia="es-ES"/>
        </w:rPr>
        <w:t xml:space="preserve"> </w:t>
      </w:r>
      <w:r w:rsidRPr="00CA42C5">
        <w:rPr>
          <w:rFonts w:ascii="Palatino Linotype" w:eastAsiaTheme="minorEastAsia" w:hAnsi="Palatino Linotype" w:cs="Arial"/>
          <w:sz w:val="24"/>
          <w:szCs w:val="24"/>
          <w:lang w:val="es-ES_tradnl" w:eastAsia="es-ES"/>
        </w:rPr>
        <w:t xml:space="preserve">de dos mil diecinueve el </w:t>
      </w:r>
      <w:r w:rsidRPr="00CA42C5">
        <w:rPr>
          <w:rFonts w:ascii="Palatino Linotype" w:eastAsiaTheme="minorEastAsia" w:hAnsi="Palatino Linotype" w:cs="Arial"/>
          <w:b/>
          <w:sz w:val="24"/>
          <w:szCs w:val="24"/>
          <w:lang w:val="es-ES_tradnl" w:eastAsia="es-ES"/>
        </w:rPr>
        <w:t xml:space="preserve">SUJETO OBLIGADO </w:t>
      </w:r>
      <w:r w:rsidRPr="00CA42C5">
        <w:rPr>
          <w:rFonts w:ascii="Palatino Linotype" w:eastAsiaTheme="minorEastAsia" w:hAnsi="Palatino Linotype" w:cs="Arial"/>
          <w:sz w:val="24"/>
          <w:szCs w:val="24"/>
          <w:lang w:val="es-ES_tradnl" w:eastAsia="es-ES"/>
        </w:rPr>
        <w:t>emitió su respectiva respuesta a la solicitud de información presentada por el particular</w:t>
      </w:r>
      <w:r w:rsidRPr="00CA42C5">
        <w:rPr>
          <w:rFonts w:ascii="Palatino Linotype" w:eastAsiaTheme="minorEastAsia" w:hAnsi="Palatino Linotype" w:cs="Arial"/>
          <w:b/>
          <w:sz w:val="24"/>
          <w:szCs w:val="24"/>
          <w:lang w:val="es-ES_tradnl" w:eastAsia="es-ES"/>
        </w:rPr>
        <w:t xml:space="preserve">, </w:t>
      </w:r>
      <w:r w:rsidR="00832332" w:rsidRPr="00CA42C5">
        <w:rPr>
          <w:rFonts w:ascii="Palatino Linotype" w:eastAsiaTheme="minorEastAsia" w:hAnsi="Palatino Linotype" w:cs="Arial"/>
          <w:sz w:val="24"/>
          <w:szCs w:val="24"/>
          <w:lang w:val="es-ES_tradnl" w:eastAsia="es-ES"/>
        </w:rPr>
        <w:t>se adjuntó</w:t>
      </w:r>
      <w:r w:rsidRPr="00CA42C5">
        <w:rPr>
          <w:rFonts w:ascii="Palatino Linotype" w:eastAsiaTheme="minorEastAsia" w:hAnsi="Palatino Linotype" w:cs="Arial"/>
          <w:sz w:val="24"/>
          <w:szCs w:val="24"/>
          <w:lang w:val="es-ES_tradnl" w:eastAsia="es-ES"/>
        </w:rPr>
        <w:t xml:space="preserve"> </w:t>
      </w:r>
      <w:r w:rsidR="00151D53" w:rsidRPr="00CA42C5">
        <w:rPr>
          <w:rFonts w:ascii="Palatino Linotype" w:eastAsiaTheme="minorEastAsia" w:hAnsi="Palatino Linotype" w:cs="Arial"/>
          <w:sz w:val="24"/>
          <w:szCs w:val="24"/>
          <w:lang w:val="es-ES_tradnl" w:eastAsia="es-ES"/>
        </w:rPr>
        <w:t>un archivo electrónico identificado</w:t>
      </w:r>
      <w:r w:rsidRPr="00CA42C5">
        <w:rPr>
          <w:rFonts w:ascii="Palatino Linotype" w:eastAsiaTheme="minorEastAsia" w:hAnsi="Palatino Linotype" w:cs="Arial"/>
          <w:sz w:val="24"/>
          <w:szCs w:val="24"/>
          <w:lang w:val="es-ES_tradnl" w:eastAsia="es-ES"/>
        </w:rPr>
        <w:t xml:space="preserve"> como </w:t>
      </w:r>
      <w:r w:rsidR="00151D53" w:rsidRPr="00CA42C5">
        <w:rPr>
          <w:rFonts w:ascii="Palatino Linotype" w:eastAsiaTheme="minorEastAsia" w:hAnsi="Palatino Linotype" w:cs="Arial"/>
          <w:sz w:val="24"/>
          <w:szCs w:val="24"/>
          <w:lang w:val="es-ES_tradnl" w:eastAsia="es-ES"/>
        </w:rPr>
        <w:t xml:space="preserve">67_2019_respuesta.pdf, consistente en </w:t>
      </w:r>
      <w:r w:rsidR="00397940" w:rsidRPr="00CA42C5">
        <w:rPr>
          <w:rFonts w:ascii="Palatino Linotype" w:eastAsiaTheme="minorEastAsia" w:hAnsi="Palatino Linotype" w:cs="Arial"/>
          <w:sz w:val="24"/>
          <w:szCs w:val="24"/>
          <w:lang w:val="es-ES_tradnl" w:eastAsia="es-ES"/>
        </w:rPr>
        <w:t>seis hojas las cuales corresponde al escrito por el cual se notifica al solicitante las áreas administrativas que responden la solicitud, las subsecuentes son el nombramiento del Director de desarrollo Social, Director de Cultura Física y Deporte, Coordinar del Instituto de la Juventud, Secretario del H. Ayuntamiento y Directora de Desarrollo Económico.</w:t>
      </w:r>
    </w:p>
    <w:p w:rsidR="00151D53" w:rsidRPr="00CA42C5" w:rsidRDefault="00151D53" w:rsidP="00CA42C5">
      <w:pPr>
        <w:spacing w:before="240" w:after="240" w:line="360" w:lineRule="auto"/>
        <w:contextualSpacing/>
        <w:jc w:val="both"/>
        <w:rPr>
          <w:rFonts w:ascii="Palatino Linotype" w:eastAsiaTheme="minorEastAsia" w:hAnsi="Palatino Linotype" w:cs="Arial"/>
          <w:i/>
          <w:sz w:val="24"/>
          <w:szCs w:val="24"/>
          <w:lang w:val="es-ES_tradnl" w:eastAsia="es-ES"/>
        </w:rPr>
      </w:pPr>
    </w:p>
    <w:p w:rsidR="00E1570F" w:rsidRPr="00CA42C5" w:rsidRDefault="009A4DBC" w:rsidP="00CA42C5">
      <w:pPr>
        <w:spacing w:before="240" w:after="240" w:line="360" w:lineRule="auto"/>
        <w:ind w:right="616"/>
        <w:contextualSpacing/>
        <w:jc w:val="both"/>
        <w:rPr>
          <w:rFonts w:ascii="Palatino Linotype" w:eastAsiaTheme="minorEastAsia" w:hAnsi="Palatino Linotype" w:cs="Arial"/>
          <w:i/>
          <w:sz w:val="24"/>
          <w:szCs w:val="24"/>
          <w:lang w:val="es-ES_tradnl" w:eastAsia="es-ES"/>
        </w:rPr>
      </w:pPr>
      <w:r w:rsidRPr="00CA42C5">
        <w:rPr>
          <w:rFonts w:ascii="Palatino Linotype" w:eastAsiaTheme="minorEastAsia" w:hAnsi="Palatino Linotype" w:cs="Arial"/>
          <w:i/>
          <w:sz w:val="24"/>
          <w:szCs w:val="24"/>
          <w:lang w:eastAsia="es-ES"/>
        </w:rPr>
        <w:t xml:space="preserve">Con fundamento en lo dispuesto por el artículo 12 de la Ley de Transparencia y Acceso a la Información Pública del Estado de México Municipios, así como en contestación a la Solicitud de Información 00067/ECATEPEC/IP/2019, me permito informarle lo </w:t>
      </w:r>
      <w:r w:rsidRPr="00CA42C5">
        <w:rPr>
          <w:rFonts w:ascii="Palatino Linotype" w:eastAsiaTheme="minorEastAsia" w:hAnsi="Palatino Linotype" w:cs="Arial"/>
          <w:i/>
          <w:sz w:val="24"/>
          <w:szCs w:val="24"/>
          <w:lang w:eastAsia="es-ES"/>
        </w:rPr>
        <w:lastRenderedPageBreak/>
        <w:t>siguiente: El H. Ayuntamiento Constitucional de Ecatepec de Morelos hace de su conocimiento la contestación emitida por las Direcciones de: Bienestar, Cultura Física y Deporte, Desarrollo Económico, así como de la Coordinación del Instituto de la Juventud, y de la Secretaría del H. Ayuntamiento. A efecto de dar la debida atención a lo solicitado en su petición, me permito anexar copia simple de los nombramientos expedidos a los titulares de las áreas en comento</w:t>
      </w:r>
      <w:r w:rsidR="00E1570F" w:rsidRPr="00CA42C5">
        <w:rPr>
          <w:rFonts w:ascii="Palatino Linotype" w:eastAsiaTheme="minorEastAsia" w:hAnsi="Palatino Linotype" w:cs="Arial"/>
          <w:i/>
          <w:sz w:val="24"/>
          <w:szCs w:val="24"/>
          <w:lang w:eastAsia="es-ES"/>
        </w:rPr>
        <w:t>” (sic)</w:t>
      </w:r>
    </w:p>
    <w:p w:rsidR="00E1570F" w:rsidRPr="00CA42C5" w:rsidRDefault="00E1570F" w:rsidP="00CA42C5">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E1570F" w:rsidRPr="00CA42C5" w:rsidRDefault="00E1570F" w:rsidP="00CA42C5">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CA42C5">
        <w:rPr>
          <w:rFonts w:ascii="Palatino Linotype" w:eastAsia="Calibri" w:hAnsi="Palatino Linotype" w:cs="Arial"/>
          <w:sz w:val="24"/>
          <w:szCs w:val="24"/>
          <w:lang w:val="es-AR" w:eastAsia="es-ES"/>
        </w:rPr>
        <w:t>El</w:t>
      </w:r>
      <w:r w:rsidRPr="00CA42C5">
        <w:rPr>
          <w:rFonts w:ascii="Palatino Linotype" w:eastAsia="Times New Roman" w:hAnsi="Palatino Linotype" w:cs="Arial"/>
          <w:sz w:val="24"/>
          <w:szCs w:val="24"/>
          <w:lang w:val="es-ES" w:eastAsia="es-ES"/>
        </w:rPr>
        <w:t xml:space="preserve"> día </w:t>
      </w:r>
      <w:r w:rsidR="009A4DBC" w:rsidRPr="00CA42C5">
        <w:rPr>
          <w:rFonts w:ascii="Palatino Linotype" w:eastAsia="Times New Roman" w:hAnsi="Palatino Linotype" w:cs="Arial"/>
          <w:b/>
          <w:sz w:val="24"/>
          <w:szCs w:val="24"/>
          <w:lang w:val="es-ES" w:eastAsia="es-ES"/>
        </w:rPr>
        <w:t>doce (25</w:t>
      </w:r>
      <w:r w:rsidRPr="00CA42C5">
        <w:rPr>
          <w:rFonts w:ascii="Palatino Linotype" w:eastAsia="Times New Roman" w:hAnsi="Palatino Linotype" w:cs="Arial"/>
          <w:b/>
          <w:sz w:val="24"/>
          <w:szCs w:val="24"/>
          <w:lang w:val="es-ES" w:eastAsia="es-ES"/>
        </w:rPr>
        <w:t xml:space="preserve">) de febrero </w:t>
      </w:r>
      <w:r w:rsidRPr="00CA42C5">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1" w:name="_Toc462307683"/>
      <w:bookmarkStart w:id="2" w:name="_Toc472427085"/>
      <w:bookmarkStart w:id="3" w:name="_Toc472500652"/>
    </w:p>
    <w:p w:rsidR="00E1570F" w:rsidRPr="00CA42C5" w:rsidRDefault="00E1570F" w:rsidP="00CA42C5">
      <w:pPr>
        <w:spacing w:before="240" w:after="240" w:line="360" w:lineRule="auto"/>
        <w:contextualSpacing/>
        <w:jc w:val="both"/>
        <w:rPr>
          <w:rFonts w:ascii="Palatino Linotype" w:eastAsiaTheme="minorEastAsia" w:hAnsi="Palatino Linotype" w:cs="Arial"/>
          <w:i/>
          <w:sz w:val="24"/>
          <w:szCs w:val="24"/>
          <w:lang w:val="es-ES_tradnl" w:eastAsia="es-ES"/>
        </w:rPr>
      </w:pPr>
    </w:p>
    <w:p w:rsidR="00E1570F" w:rsidRPr="00CA42C5" w:rsidRDefault="00E1570F" w:rsidP="00CA42C5">
      <w:pPr>
        <w:numPr>
          <w:ilvl w:val="0"/>
          <w:numId w:val="3"/>
        </w:numPr>
        <w:spacing w:after="0" w:line="24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CA42C5">
        <w:rPr>
          <w:rFonts w:ascii="Palatino Linotype" w:eastAsiaTheme="majorEastAsia" w:hAnsi="Palatino Linotype" w:cstheme="majorBidi"/>
          <w:b/>
          <w:sz w:val="24"/>
          <w:szCs w:val="24"/>
          <w:lang w:val="es-ES" w:eastAsia="es-ES"/>
        </w:rPr>
        <w:t>Acto impugnado</w:t>
      </w:r>
      <w:r w:rsidRPr="00CA42C5">
        <w:rPr>
          <w:rFonts w:ascii="Palatino Linotype" w:eastAsiaTheme="majorEastAsia" w:hAnsi="Palatino Linotype" w:cstheme="majorBidi"/>
          <w:b/>
          <w:i/>
          <w:sz w:val="24"/>
          <w:szCs w:val="24"/>
          <w:lang w:val="es-ES" w:eastAsia="es-ES"/>
        </w:rPr>
        <w:t>:</w:t>
      </w:r>
      <w:bookmarkEnd w:id="1"/>
      <w:bookmarkEnd w:id="2"/>
      <w:bookmarkEnd w:id="3"/>
      <w:r w:rsidRPr="00CA42C5">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E1570F" w:rsidRPr="00CA42C5" w:rsidRDefault="00E1570F" w:rsidP="00CA42C5">
      <w:pPr>
        <w:spacing w:after="0" w:line="240" w:lineRule="auto"/>
        <w:ind w:right="616"/>
        <w:contextualSpacing/>
        <w:jc w:val="both"/>
        <w:rPr>
          <w:rFonts w:ascii="Palatino Linotype" w:eastAsiaTheme="majorEastAsia" w:hAnsi="Palatino Linotype" w:cstheme="majorBidi"/>
          <w:b/>
          <w:sz w:val="24"/>
          <w:szCs w:val="24"/>
          <w:lang w:val="es-ES" w:eastAsia="es-ES"/>
        </w:rPr>
      </w:pPr>
    </w:p>
    <w:p w:rsidR="00E1570F" w:rsidRDefault="00E1570F" w:rsidP="00270E5A">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CA42C5">
        <w:rPr>
          <w:rFonts w:ascii="Palatino Linotype" w:eastAsiaTheme="majorEastAsia" w:hAnsi="Palatino Linotype" w:cstheme="majorBidi"/>
          <w:i/>
          <w:sz w:val="24"/>
          <w:szCs w:val="24"/>
          <w:lang w:val="es-ES" w:eastAsia="es-ES"/>
        </w:rPr>
        <w:t>“</w:t>
      </w:r>
      <w:r w:rsidR="009A4DBC" w:rsidRPr="00CA42C5">
        <w:rPr>
          <w:rFonts w:ascii="Palatino Linotype" w:eastAsiaTheme="majorEastAsia" w:hAnsi="Palatino Linotype" w:cstheme="majorBidi"/>
          <w:i/>
          <w:sz w:val="24"/>
          <w:szCs w:val="24"/>
          <w:lang w:eastAsia="es-ES"/>
        </w:rPr>
        <w:t>LA RESPUESTA OTORGADA POR LA OFICINA DE INFORMACIÓN PÚBLICA DEL AYUNTAMIENTO DE ECATEPEC, ASÍ COMO LAS DIRECCIONES CORRESPONDIENTES</w:t>
      </w:r>
      <w:r w:rsidRPr="00CA42C5">
        <w:rPr>
          <w:rFonts w:ascii="Palatino Linotype" w:eastAsia="Times New Roman" w:hAnsi="Palatino Linotype" w:cs="Times New Roman"/>
          <w:i/>
          <w:sz w:val="24"/>
          <w:szCs w:val="24"/>
          <w:lang w:eastAsia="es-MX"/>
        </w:rPr>
        <w:t>.</w:t>
      </w:r>
      <w:r w:rsidRPr="00CA42C5">
        <w:rPr>
          <w:rFonts w:ascii="Palatino Linotype" w:eastAsiaTheme="majorEastAsia"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CA42C5">
        <w:rPr>
          <w:rFonts w:ascii="Palatino Linotype" w:eastAsia="Calibri" w:hAnsi="Palatino Linotype" w:cs="Arial"/>
          <w:i/>
          <w:sz w:val="24"/>
          <w:szCs w:val="24"/>
          <w:lang w:val="es-ES" w:eastAsia="es-ES"/>
        </w:rPr>
        <w:t xml:space="preserve">; </w:t>
      </w:r>
      <w:r w:rsidRPr="00CA42C5">
        <w:rPr>
          <w:rFonts w:ascii="Palatino Linotype" w:eastAsia="Calibri" w:hAnsi="Palatino Linotype" w:cs="Arial"/>
          <w:sz w:val="24"/>
          <w:szCs w:val="24"/>
          <w:lang w:val="es-ES" w:eastAsia="es-ES"/>
        </w:rPr>
        <w:t xml:space="preserve">y como </w:t>
      </w:r>
    </w:p>
    <w:p w:rsidR="00270E5A" w:rsidRPr="00270E5A" w:rsidRDefault="00270E5A" w:rsidP="00270E5A">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E1570F" w:rsidRPr="00CA42C5" w:rsidRDefault="00E1570F" w:rsidP="00CA42C5">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CA42C5">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CA42C5">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9A4DBC" w:rsidRPr="00CA42C5" w:rsidRDefault="009A4DBC" w:rsidP="00CA42C5">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E1570F" w:rsidRPr="00CA42C5" w:rsidRDefault="00E1570F" w:rsidP="00CA42C5">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CA42C5">
        <w:rPr>
          <w:rFonts w:ascii="Palatino Linotype" w:eastAsiaTheme="minorEastAsia" w:hAnsi="Palatino Linotype"/>
          <w:i/>
          <w:sz w:val="24"/>
          <w:szCs w:val="24"/>
          <w:lang w:val="es-ES_tradnl" w:eastAsia="es-ES"/>
        </w:rPr>
        <w:t>“</w:t>
      </w:r>
      <w:r w:rsidR="009A4DBC" w:rsidRPr="00CA42C5">
        <w:rPr>
          <w:rFonts w:ascii="Palatino Linotype" w:eastAsiaTheme="minorEastAsia" w:hAnsi="Palatino Linotype"/>
          <w:b/>
          <w:i/>
          <w:sz w:val="24"/>
          <w:szCs w:val="24"/>
          <w:lang w:eastAsia="es-ES"/>
        </w:rPr>
        <w:t>OMITIERON ENTREGAR INFORMACIÓN CORRESPONDIENTE AL SALARIO MENSUAL BRUTO Y NETO, COMPENSACIONES Y APOYOS ECONOMICOS, MATERIALES CON QUE CUENTA CADA DIRECCIÓN, SECRETARIA O COORDINACIÓN</w:t>
      </w:r>
      <w:r w:rsidR="009A4DBC" w:rsidRPr="00CA42C5">
        <w:rPr>
          <w:rFonts w:ascii="Palatino Linotype" w:eastAsiaTheme="minorEastAsia" w:hAnsi="Palatino Linotype"/>
          <w:i/>
          <w:sz w:val="24"/>
          <w:szCs w:val="24"/>
          <w:lang w:eastAsia="es-ES"/>
        </w:rPr>
        <w:t xml:space="preserve"> DE LOS NOMBRAMIENTOS QUE </w:t>
      </w:r>
      <w:r w:rsidR="009A4DBC" w:rsidRPr="00CA42C5">
        <w:rPr>
          <w:rFonts w:ascii="Palatino Linotype" w:eastAsiaTheme="minorEastAsia" w:hAnsi="Palatino Linotype"/>
          <w:i/>
          <w:sz w:val="24"/>
          <w:szCs w:val="24"/>
          <w:lang w:eastAsia="es-ES"/>
        </w:rPr>
        <w:lastRenderedPageBreak/>
        <w:t>MOSTRARON NO PERMITIENDO EL ACCESO A LA INFORMACIÓN YA QUE EL H. AYUNTAMIENTO ES UN SUJETO OBLIGADO.</w:t>
      </w:r>
      <w:r w:rsidRPr="00CA42C5">
        <w:rPr>
          <w:rFonts w:ascii="Palatino Linotype" w:eastAsiaTheme="minorEastAsia" w:hAnsi="Palatino Linotype"/>
          <w:i/>
          <w:sz w:val="24"/>
          <w:szCs w:val="24"/>
          <w:lang w:val="es-ES_tradnl" w:eastAsia="es-ES"/>
        </w:rPr>
        <w:t xml:space="preserve">” </w:t>
      </w:r>
      <w:r w:rsidRPr="00CA42C5">
        <w:rPr>
          <w:rFonts w:ascii="Palatino Linotype" w:eastAsiaTheme="minorEastAsia" w:hAnsi="Palatino Linotype" w:cs="Arial"/>
          <w:i/>
          <w:sz w:val="24"/>
          <w:szCs w:val="24"/>
          <w:lang w:val="es-ES_tradnl" w:eastAsia="es-ES"/>
        </w:rPr>
        <w:t>(Sic)</w:t>
      </w:r>
    </w:p>
    <w:p w:rsidR="00E1570F" w:rsidRPr="00CA42C5" w:rsidRDefault="00E1570F" w:rsidP="00CA42C5">
      <w:pPr>
        <w:spacing w:after="0" w:line="360" w:lineRule="auto"/>
        <w:ind w:right="-142"/>
        <w:contextualSpacing/>
        <w:jc w:val="both"/>
        <w:rPr>
          <w:rFonts w:ascii="Palatino Linotype" w:eastAsiaTheme="minorEastAsia" w:hAnsi="Palatino Linotype" w:cs="Arial"/>
          <w:sz w:val="24"/>
          <w:szCs w:val="24"/>
          <w:lang w:val="es-ES_tradnl" w:eastAsia="es-ES"/>
        </w:rPr>
      </w:pPr>
    </w:p>
    <w:p w:rsidR="00E1570F" w:rsidRPr="00CA42C5" w:rsidRDefault="00E1570F" w:rsidP="00CA42C5">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CA42C5">
        <w:rPr>
          <w:rFonts w:ascii="Palatino Linotype" w:eastAsia="Times New Roman" w:hAnsi="Palatino Linotype" w:cs="Arial"/>
          <w:sz w:val="24"/>
          <w:szCs w:val="24"/>
          <w:lang w:val="es-ES" w:eastAsia="es-ES"/>
        </w:rPr>
        <w:t xml:space="preserve">Se registró el recurso de revisión bajo el número de expediente </w:t>
      </w:r>
      <w:r w:rsidRPr="00CA42C5">
        <w:rPr>
          <w:rFonts w:ascii="Palatino Linotype" w:eastAsiaTheme="minorEastAsia" w:hAnsi="Palatino Linotype" w:cs="Arial"/>
          <w:bCs/>
          <w:sz w:val="24"/>
          <w:szCs w:val="24"/>
          <w:lang w:val="es-ES_tradnl" w:eastAsia="es-ES"/>
        </w:rPr>
        <w:t xml:space="preserve">al rubro indicado, asimismo con fundamento en lo dispuesto por el </w:t>
      </w:r>
      <w:r w:rsidRPr="00CA42C5">
        <w:rPr>
          <w:rFonts w:ascii="Palatino Linotype" w:eastAsia="Calibri" w:hAnsi="Palatino Linotype" w:cs="Arial"/>
          <w:sz w:val="24"/>
          <w:szCs w:val="24"/>
          <w:lang w:val="es-ES" w:eastAsia="es-ES"/>
        </w:rPr>
        <w:t xml:space="preserve">artículo 185 fracción I de la </w:t>
      </w:r>
      <w:r w:rsidRPr="00CA42C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CA42C5">
        <w:rPr>
          <w:rFonts w:ascii="Palatino Linotype" w:eastAsia="Times New Roman" w:hAnsi="Palatino Linotype" w:cs="Arial"/>
          <w:sz w:val="24"/>
          <w:szCs w:val="24"/>
          <w:lang w:val="es-ES" w:eastAsia="es-ES"/>
        </w:rPr>
        <w:t xml:space="preserve">se turnó al </w:t>
      </w:r>
      <w:r w:rsidRPr="00CA42C5">
        <w:rPr>
          <w:rFonts w:ascii="Palatino Linotype" w:eastAsia="Times New Roman" w:hAnsi="Palatino Linotype" w:cs="Arial"/>
          <w:b/>
          <w:sz w:val="24"/>
          <w:szCs w:val="24"/>
          <w:lang w:val="es-ES" w:eastAsia="es-ES"/>
        </w:rPr>
        <w:t xml:space="preserve">Comisionado José Guadalupe Luna Hernández, </w:t>
      </w:r>
      <w:r w:rsidRPr="00CA42C5">
        <w:rPr>
          <w:rFonts w:ascii="Palatino Linotype" w:eastAsia="Times New Roman" w:hAnsi="Palatino Linotype" w:cs="Arial"/>
          <w:sz w:val="24"/>
          <w:szCs w:val="24"/>
          <w:lang w:val="es-ES" w:eastAsia="es-ES"/>
        </w:rPr>
        <w:t xml:space="preserve">con el objeto de </w:t>
      </w:r>
      <w:r w:rsidRPr="00CA42C5">
        <w:rPr>
          <w:rFonts w:ascii="Palatino Linotype" w:eastAsia="Times New Roman" w:hAnsi="Palatino Linotype" w:cs="Arial"/>
          <w:sz w:val="24"/>
          <w:szCs w:val="24"/>
          <w:lang w:eastAsia="es-ES"/>
        </w:rPr>
        <w:t>su análisis.</w:t>
      </w:r>
    </w:p>
    <w:p w:rsidR="00E1570F" w:rsidRPr="00CA42C5" w:rsidRDefault="00E1570F" w:rsidP="00CA42C5">
      <w:pPr>
        <w:spacing w:after="0" w:line="240" w:lineRule="auto"/>
        <w:ind w:right="-142"/>
        <w:contextualSpacing/>
        <w:jc w:val="both"/>
        <w:rPr>
          <w:rFonts w:ascii="Palatino Linotype" w:eastAsiaTheme="minorEastAsia" w:hAnsi="Palatino Linotype"/>
          <w:i/>
          <w:color w:val="000000"/>
          <w:sz w:val="24"/>
          <w:szCs w:val="24"/>
          <w:lang w:val="es-ES_tradnl" w:eastAsia="es-ES"/>
        </w:rPr>
      </w:pPr>
    </w:p>
    <w:p w:rsidR="00E1570F" w:rsidRPr="00CA42C5" w:rsidRDefault="00E1570F" w:rsidP="00CA42C5">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CA42C5">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9A4DBC" w:rsidRPr="00CA42C5">
        <w:rPr>
          <w:rFonts w:ascii="Palatino Linotype" w:eastAsia="Calibri" w:hAnsi="Palatino Linotype" w:cs="Arial"/>
          <w:b/>
          <w:sz w:val="24"/>
          <w:szCs w:val="24"/>
          <w:lang w:val="es-ES" w:eastAsia="es-ES"/>
        </w:rPr>
        <w:t>cuatro (04) de marzo</w:t>
      </w:r>
      <w:r w:rsidRPr="00CA42C5">
        <w:rPr>
          <w:rFonts w:ascii="Palatino Linotype" w:eastAsia="Calibri" w:hAnsi="Palatino Linotype" w:cs="Arial"/>
          <w:sz w:val="24"/>
          <w:szCs w:val="24"/>
          <w:lang w:val="es-ES" w:eastAsia="es-ES"/>
        </w:rPr>
        <w:t xml:space="preserve"> de dos mil diecinueve, puso a disposición de las partes el expediente electrónico </w:t>
      </w:r>
      <w:r w:rsidRPr="00CA42C5">
        <w:rPr>
          <w:rFonts w:ascii="Palatino Linotype" w:eastAsia="Calibri" w:hAnsi="Palatino Linotype" w:cs="Arial"/>
          <w:sz w:val="24"/>
          <w:szCs w:val="24"/>
          <w:lang w:val="es-ES_tradnl" w:eastAsia="es-ES"/>
        </w:rPr>
        <w:t xml:space="preserve">vía </w:t>
      </w:r>
      <w:r w:rsidRPr="00CA42C5">
        <w:rPr>
          <w:rFonts w:ascii="Palatino Linotype" w:eastAsia="Calibri" w:hAnsi="Palatino Linotype" w:cs="Arial"/>
          <w:sz w:val="24"/>
          <w:szCs w:val="24"/>
          <w:lang w:val="es-ES" w:eastAsia="es-ES"/>
        </w:rPr>
        <w:t xml:space="preserve">Sistema de Acceso a la Información Mexiquense </w:t>
      </w:r>
      <w:r w:rsidRPr="00CA42C5">
        <w:rPr>
          <w:rFonts w:ascii="Palatino Linotype" w:eastAsia="Calibri" w:hAnsi="Palatino Linotype" w:cs="Arial"/>
          <w:b/>
          <w:sz w:val="24"/>
          <w:szCs w:val="24"/>
          <w:lang w:val="es-ES" w:eastAsia="es-ES"/>
        </w:rPr>
        <w:t xml:space="preserve">SAIMEX </w:t>
      </w:r>
      <w:r w:rsidRPr="00CA42C5">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CA42C5">
        <w:rPr>
          <w:rFonts w:ascii="Palatino Linotype" w:eastAsia="Calibri" w:hAnsi="Palatino Linotype" w:cs="Arial"/>
          <w:b/>
          <w:sz w:val="24"/>
          <w:szCs w:val="24"/>
          <w:lang w:val="es-ES" w:eastAsia="es-ES"/>
        </w:rPr>
        <w:t>SUJETO OBLIGADO</w:t>
      </w:r>
      <w:r w:rsidRPr="00CA42C5">
        <w:rPr>
          <w:rFonts w:ascii="Palatino Linotype" w:eastAsia="Calibri" w:hAnsi="Palatino Linotype" w:cs="Arial"/>
          <w:sz w:val="24"/>
          <w:szCs w:val="24"/>
          <w:lang w:val="es-ES" w:eastAsia="es-ES"/>
        </w:rPr>
        <w:t xml:space="preserve"> presentará el Informe Justificado procedente.  </w:t>
      </w:r>
    </w:p>
    <w:p w:rsidR="00E1570F" w:rsidRPr="00CA42C5" w:rsidRDefault="00E1570F" w:rsidP="00CA42C5">
      <w:pPr>
        <w:spacing w:before="240" w:after="240" w:line="360" w:lineRule="auto"/>
        <w:ind w:right="-142"/>
        <w:contextualSpacing/>
        <w:jc w:val="both"/>
        <w:rPr>
          <w:rFonts w:ascii="Palatino Linotype" w:eastAsiaTheme="minorEastAsia" w:hAnsi="Palatino Linotype"/>
          <w:i/>
          <w:color w:val="000000"/>
          <w:sz w:val="24"/>
          <w:szCs w:val="24"/>
          <w:lang w:val="es-ES_tradnl" w:eastAsia="es-ES"/>
        </w:rPr>
      </w:pPr>
    </w:p>
    <w:p w:rsidR="00E1570F" w:rsidRPr="00CA42C5" w:rsidRDefault="00E1570F" w:rsidP="00CA42C5">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CA42C5">
        <w:rPr>
          <w:rFonts w:ascii="Palatino Linotype" w:eastAsiaTheme="minorEastAsia" w:hAnsi="Palatino Linotype"/>
          <w:color w:val="000000"/>
          <w:sz w:val="24"/>
          <w:szCs w:val="24"/>
          <w:lang w:val="es-ES_tradnl" w:eastAsia="es-ES"/>
        </w:rPr>
        <w:t xml:space="preserve">El día </w:t>
      </w:r>
      <w:r w:rsidR="009A4DBC" w:rsidRPr="00CA42C5">
        <w:rPr>
          <w:rFonts w:ascii="Palatino Linotype" w:eastAsiaTheme="minorEastAsia" w:hAnsi="Palatino Linotype"/>
          <w:b/>
          <w:color w:val="000000"/>
          <w:sz w:val="24"/>
          <w:szCs w:val="24"/>
          <w:lang w:val="es-ES_tradnl" w:eastAsia="es-ES"/>
        </w:rPr>
        <w:t>cuatro (4</w:t>
      </w:r>
      <w:r w:rsidRPr="00CA42C5">
        <w:rPr>
          <w:rFonts w:ascii="Palatino Linotype" w:eastAsiaTheme="minorEastAsia" w:hAnsi="Palatino Linotype"/>
          <w:b/>
          <w:color w:val="000000"/>
          <w:sz w:val="24"/>
          <w:szCs w:val="24"/>
          <w:lang w:val="es-ES_tradnl" w:eastAsia="es-ES"/>
        </w:rPr>
        <w:t xml:space="preserve">) de </w:t>
      </w:r>
      <w:r w:rsidR="009A4DBC" w:rsidRPr="00CA42C5">
        <w:rPr>
          <w:rFonts w:ascii="Palatino Linotype" w:eastAsiaTheme="minorEastAsia" w:hAnsi="Palatino Linotype"/>
          <w:b/>
          <w:color w:val="000000"/>
          <w:sz w:val="24"/>
          <w:szCs w:val="24"/>
          <w:lang w:val="es-ES_tradnl" w:eastAsia="es-ES"/>
        </w:rPr>
        <w:t xml:space="preserve">marzo </w:t>
      </w:r>
      <w:r w:rsidRPr="00CA42C5">
        <w:rPr>
          <w:rFonts w:ascii="Palatino Linotype" w:eastAsiaTheme="minorEastAsia" w:hAnsi="Palatino Linotype"/>
          <w:color w:val="000000"/>
          <w:sz w:val="24"/>
          <w:szCs w:val="24"/>
          <w:lang w:val="es-ES_tradnl" w:eastAsia="es-ES"/>
        </w:rPr>
        <w:t xml:space="preserve">de la presente anualidad, el </w:t>
      </w:r>
      <w:r w:rsidRPr="00CA42C5">
        <w:rPr>
          <w:rFonts w:ascii="Palatino Linotype" w:eastAsiaTheme="minorEastAsia" w:hAnsi="Palatino Linotype"/>
          <w:b/>
          <w:color w:val="000000"/>
          <w:sz w:val="24"/>
          <w:szCs w:val="24"/>
          <w:lang w:val="es-ES_tradnl" w:eastAsia="es-ES"/>
        </w:rPr>
        <w:t>SUJETO OBLIGADO</w:t>
      </w:r>
      <w:r w:rsidRPr="00CA42C5">
        <w:rPr>
          <w:rFonts w:ascii="Palatino Linotype" w:eastAsiaTheme="minorEastAsia" w:hAnsi="Palatino Linotype"/>
          <w:color w:val="000000"/>
          <w:sz w:val="24"/>
          <w:szCs w:val="24"/>
          <w:lang w:val="es-ES_tradnl" w:eastAsia="es-ES"/>
        </w:rPr>
        <w:t xml:space="preserve"> presentó su respectivo informe justificado mismo que</w:t>
      </w:r>
      <w:r w:rsidR="009A4DBC" w:rsidRPr="00CA42C5">
        <w:rPr>
          <w:rFonts w:ascii="Palatino Linotype" w:eastAsiaTheme="minorEastAsia" w:hAnsi="Palatino Linotype"/>
          <w:color w:val="000000"/>
          <w:sz w:val="24"/>
          <w:szCs w:val="24"/>
          <w:lang w:val="es-ES_tradnl" w:eastAsia="es-ES"/>
        </w:rPr>
        <w:t xml:space="preserve"> SI</w:t>
      </w:r>
      <w:r w:rsidRPr="00CA42C5">
        <w:rPr>
          <w:rFonts w:ascii="Palatino Linotype" w:eastAsiaTheme="minorEastAsia" w:hAnsi="Palatino Linotype"/>
          <w:color w:val="000000"/>
          <w:sz w:val="24"/>
          <w:szCs w:val="24"/>
          <w:lang w:val="es-ES_tradnl" w:eastAsia="es-ES"/>
        </w:rPr>
        <w:t xml:space="preserve"> fue puesto a la vista del particular,</w:t>
      </w:r>
      <w:r w:rsidR="000546A6" w:rsidRPr="00CA42C5">
        <w:rPr>
          <w:rFonts w:ascii="Palatino Linotype" w:eastAsiaTheme="minorEastAsia" w:hAnsi="Palatino Linotype"/>
          <w:color w:val="000000"/>
          <w:sz w:val="24"/>
          <w:szCs w:val="24"/>
          <w:lang w:val="es-ES_tradnl" w:eastAsia="es-ES"/>
        </w:rPr>
        <w:t xml:space="preserve"> a través del cual se proporciona las cantidades de la percepciones mensuales bruta y neta de los servidores públicos referidos</w:t>
      </w:r>
      <w:r w:rsidRPr="00CA42C5">
        <w:rPr>
          <w:rFonts w:ascii="Palatino Linotype" w:eastAsiaTheme="minorEastAsia" w:hAnsi="Palatino Linotype"/>
          <w:color w:val="000000"/>
          <w:sz w:val="24"/>
          <w:szCs w:val="24"/>
          <w:lang w:val="es-ES_tradnl" w:eastAsia="es-ES"/>
        </w:rPr>
        <w:t>.</w:t>
      </w:r>
    </w:p>
    <w:p w:rsidR="00E1570F" w:rsidRPr="00CA42C5" w:rsidRDefault="00E1570F" w:rsidP="00CA42C5">
      <w:pPr>
        <w:spacing w:before="240" w:after="240" w:line="360" w:lineRule="auto"/>
        <w:ind w:right="-142"/>
        <w:contextualSpacing/>
        <w:jc w:val="both"/>
        <w:rPr>
          <w:rFonts w:ascii="Palatino Linotype" w:eastAsia="Calibri" w:hAnsi="Palatino Linotype" w:cs="Arial"/>
          <w:sz w:val="24"/>
          <w:szCs w:val="24"/>
          <w:lang w:val="es-ES" w:eastAsia="es-ES"/>
        </w:rPr>
      </w:pPr>
    </w:p>
    <w:p w:rsidR="00E1570F" w:rsidRPr="00270E5A" w:rsidRDefault="00E1570F" w:rsidP="00CA42C5">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CA42C5">
        <w:rPr>
          <w:rFonts w:ascii="Palatino Linotype" w:eastAsiaTheme="minorEastAsia" w:hAnsi="Palatino Linotype"/>
          <w:sz w:val="24"/>
          <w:szCs w:val="24"/>
          <w:lang w:val="es-ES_tradnl" w:eastAsia="es-ES"/>
        </w:rPr>
        <w:lastRenderedPageBreak/>
        <w:t>El Comisionado Ponente decretó el cierre de instrucción</w:t>
      </w:r>
      <w:r w:rsidRPr="00CA42C5">
        <w:rPr>
          <w:rFonts w:ascii="Palatino Linotype" w:eastAsiaTheme="minorEastAsia" w:hAnsi="Palatino Linotype" w:cs="Arial"/>
          <w:sz w:val="24"/>
          <w:szCs w:val="24"/>
          <w:lang w:val="es-ES_tradnl" w:eastAsia="es-ES"/>
        </w:rPr>
        <w:t xml:space="preserve"> </w:t>
      </w:r>
      <w:r w:rsidRPr="00CA42C5">
        <w:rPr>
          <w:rFonts w:ascii="Palatino Linotype" w:eastAsiaTheme="minorEastAsia" w:hAnsi="Palatino Linotype"/>
          <w:sz w:val="24"/>
          <w:szCs w:val="24"/>
          <w:lang w:val="es-ES_tradnl" w:eastAsia="es-ES"/>
        </w:rPr>
        <w:t xml:space="preserve">mediante acuerdo de fecha </w:t>
      </w:r>
      <w:r w:rsidR="000546A6" w:rsidRPr="00CA42C5">
        <w:rPr>
          <w:rFonts w:ascii="Palatino Linotype" w:eastAsiaTheme="minorEastAsia" w:hAnsi="Palatino Linotype"/>
          <w:b/>
          <w:sz w:val="24"/>
          <w:szCs w:val="24"/>
          <w:lang w:val="es-ES_tradnl" w:eastAsia="es-ES"/>
        </w:rPr>
        <w:t>doce (12</w:t>
      </w:r>
      <w:r w:rsidRPr="00CA42C5">
        <w:rPr>
          <w:rFonts w:ascii="Palatino Linotype" w:eastAsiaTheme="minorEastAsia" w:hAnsi="Palatino Linotype"/>
          <w:b/>
          <w:sz w:val="24"/>
          <w:szCs w:val="24"/>
          <w:lang w:val="es-ES_tradnl" w:eastAsia="es-ES"/>
        </w:rPr>
        <w:t>) de abril</w:t>
      </w:r>
      <w:r w:rsidRPr="00CA42C5">
        <w:rPr>
          <w:rFonts w:ascii="Palatino Linotype" w:eastAsiaTheme="minorEastAsia" w:hAnsi="Palatino Linotype"/>
          <w:sz w:val="24"/>
          <w:szCs w:val="24"/>
          <w:lang w:val="es-ES_tradnl" w:eastAsia="es-ES"/>
        </w:rPr>
        <w:t xml:space="preserve"> de dos mil diecinueve, </w:t>
      </w:r>
      <w:r w:rsidRPr="00CA42C5">
        <w:rPr>
          <w:rFonts w:ascii="Palatino Linotype" w:eastAsiaTheme="minorEastAsia" w:hAnsi="Palatino Linotype" w:cs="Arial"/>
          <w:sz w:val="24"/>
          <w:szCs w:val="24"/>
          <w:lang w:val="es-ES_tradnl" w:eastAsia="es-ES"/>
        </w:rPr>
        <w:t xml:space="preserve">por lo que, ordenó turnar el expediente a resolución; sin embargo, en fecha </w:t>
      </w:r>
      <w:r w:rsidR="000546A6" w:rsidRPr="00CA42C5">
        <w:rPr>
          <w:rFonts w:ascii="Palatino Linotype" w:eastAsiaTheme="minorEastAsia" w:hAnsi="Palatino Linotype" w:cs="Arial"/>
          <w:b/>
          <w:sz w:val="24"/>
          <w:szCs w:val="24"/>
          <w:lang w:val="es-ES_tradnl" w:eastAsia="es-ES"/>
        </w:rPr>
        <w:t>veinticinco (25</w:t>
      </w:r>
      <w:r w:rsidRPr="00CA42C5">
        <w:rPr>
          <w:rFonts w:ascii="Palatino Linotype" w:eastAsiaTheme="minorEastAsia" w:hAnsi="Palatino Linotype" w:cs="Arial"/>
          <w:b/>
          <w:sz w:val="24"/>
          <w:szCs w:val="24"/>
          <w:lang w:val="es-ES_tradnl" w:eastAsia="es-ES"/>
        </w:rPr>
        <w:t>) de abril</w:t>
      </w:r>
      <w:r w:rsidRPr="00CA42C5">
        <w:rPr>
          <w:rFonts w:ascii="Palatino Linotype" w:eastAsiaTheme="minorEastAsia" w:hAnsi="Palatino Linotype" w:cs="Arial"/>
          <w:sz w:val="24"/>
          <w:szCs w:val="24"/>
          <w:lang w:val="es-ES_tradnl" w:eastAsia="es-ES"/>
        </w:rPr>
        <w:t xml:space="preserve"> de la presente anualidad se </w:t>
      </w:r>
      <w:r w:rsidRPr="00CA42C5">
        <w:rPr>
          <w:rFonts w:ascii="Palatino Linotype" w:eastAsiaTheme="minorEastAsia" w:hAnsi="Palatino Linotype" w:cs="Arial"/>
          <w:sz w:val="24"/>
          <w:szCs w:val="24"/>
          <w:highlight w:val="cyan"/>
          <w:lang w:val="es-ES_tradnl" w:eastAsia="es-ES"/>
        </w:rPr>
        <w:t>acordó</w:t>
      </w:r>
      <w:r w:rsidRPr="00CA42C5">
        <w:rPr>
          <w:rFonts w:ascii="Palatino Linotype" w:eastAsiaTheme="minorEastAsia" w:hAnsi="Palatino Linotype" w:cs="Arial"/>
          <w:sz w:val="24"/>
          <w:szCs w:val="24"/>
          <w:lang w:val="es-ES_tradnl" w:eastAsia="es-ES"/>
        </w:rPr>
        <w:t xml:space="preserve"> la ampliación del plazo derivado del cumulo de información que se integra el informe justificado, a efecto de emitir un mejor estudio del asunto, por lo que no habiendo más que hacer constar, y - - - - - - - - - - - - - - - -</w:t>
      </w:r>
      <w:r w:rsidR="00270E5A">
        <w:rPr>
          <w:rFonts w:ascii="Palatino Linotype" w:eastAsiaTheme="minorEastAsia" w:hAnsi="Palatino Linotype" w:cs="Arial"/>
          <w:sz w:val="24"/>
          <w:szCs w:val="24"/>
          <w:lang w:val="es-ES_tradnl" w:eastAsia="es-ES"/>
        </w:rPr>
        <w:t xml:space="preserve"> - - - - - - - - - - - - - - </w:t>
      </w:r>
    </w:p>
    <w:p w:rsidR="00270E5A" w:rsidRPr="00CA42C5" w:rsidRDefault="00270E5A" w:rsidP="00270E5A">
      <w:pPr>
        <w:spacing w:before="240" w:after="240" w:line="360" w:lineRule="auto"/>
        <w:ind w:right="-142"/>
        <w:contextualSpacing/>
        <w:jc w:val="both"/>
        <w:rPr>
          <w:rFonts w:ascii="Palatino Linotype" w:eastAsia="Calibri" w:hAnsi="Palatino Linotype" w:cs="Arial"/>
          <w:sz w:val="24"/>
          <w:szCs w:val="24"/>
          <w:lang w:val="es-ES" w:eastAsia="es-ES"/>
        </w:rPr>
      </w:pPr>
    </w:p>
    <w:p w:rsidR="00E1570F" w:rsidRPr="00CA42C5" w:rsidRDefault="00E1570F" w:rsidP="00270E5A">
      <w:pPr>
        <w:keepNext/>
        <w:keepLines/>
        <w:spacing w:before="240" w:after="0"/>
        <w:ind w:right="-142"/>
        <w:jc w:val="center"/>
        <w:outlineLvl w:val="0"/>
        <w:rPr>
          <w:rFonts w:ascii="Palatino Linotype" w:eastAsiaTheme="majorEastAsia" w:hAnsi="Palatino Linotype" w:cstheme="majorBidi"/>
          <w:b/>
          <w:sz w:val="24"/>
          <w:szCs w:val="24"/>
        </w:rPr>
      </w:pPr>
      <w:bookmarkStart w:id="55" w:name="_Toc7113856"/>
      <w:r w:rsidRPr="00CA42C5">
        <w:rPr>
          <w:rFonts w:ascii="Palatino Linotype" w:eastAsiaTheme="majorEastAsia" w:hAnsi="Palatino Linotype" w:cstheme="majorBidi"/>
          <w:b/>
          <w:sz w:val="24"/>
          <w:szCs w:val="24"/>
        </w:rPr>
        <w:t>C O N S I D E R A N D O</w:t>
      </w:r>
      <w:bookmarkEnd w:id="55"/>
    </w:p>
    <w:p w:rsidR="00E1570F" w:rsidRPr="00CA42C5" w:rsidRDefault="00E1570F" w:rsidP="00CA42C5">
      <w:pPr>
        <w:spacing w:after="0" w:line="240" w:lineRule="auto"/>
        <w:ind w:right="-142"/>
        <w:jc w:val="both"/>
        <w:rPr>
          <w:rFonts w:ascii="Palatino Linotype" w:eastAsiaTheme="minorEastAsia" w:hAnsi="Palatino Linotype"/>
          <w:sz w:val="24"/>
          <w:szCs w:val="24"/>
        </w:rPr>
      </w:pPr>
    </w:p>
    <w:p w:rsidR="00E1570F" w:rsidRPr="00CA42C5" w:rsidRDefault="00E1570F" w:rsidP="00CA42C5">
      <w:pPr>
        <w:keepNext/>
        <w:keepLines/>
        <w:spacing w:before="40" w:after="0"/>
        <w:ind w:right="-142"/>
        <w:jc w:val="both"/>
        <w:outlineLvl w:val="1"/>
        <w:rPr>
          <w:rFonts w:ascii="Palatino Linotype" w:eastAsiaTheme="majorEastAsia" w:hAnsi="Palatino Linotype" w:cstheme="majorBidi"/>
          <w:b/>
          <w:sz w:val="24"/>
          <w:szCs w:val="24"/>
        </w:rPr>
      </w:pPr>
      <w:bookmarkStart w:id="56" w:name="_Toc7113857"/>
      <w:r w:rsidRPr="00CA42C5">
        <w:rPr>
          <w:rFonts w:ascii="Palatino Linotype" w:eastAsiaTheme="majorEastAsia" w:hAnsi="Palatino Linotype" w:cstheme="majorBidi"/>
          <w:b/>
          <w:sz w:val="24"/>
          <w:szCs w:val="24"/>
        </w:rPr>
        <w:t>PRIMERO. De la competencia.</w:t>
      </w:r>
      <w:bookmarkEnd w:id="56"/>
    </w:p>
    <w:p w:rsidR="000546A6" w:rsidRPr="00CA42C5" w:rsidRDefault="000546A6" w:rsidP="00CA42C5">
      <w:pPr>
        <w:keepNext/>
        <w:keepLines/>
        <w:spacing w:before="40" w:after="0"/>
        <w:ind w:right="-142"/>
        <w:jc w:val="both"/>
        <w:outlineLvl w:val="1"/>
        <w:rPr>
          <w:rFonts w:ascii="Palatino Linotype" w:eastAsiaTheme="majorEastAsia" w:hAnsi="Palatino Linotype" w:cstheme="majorBidi"/>
          <w:b/>
          <w:sz w:val="24"/>
          <w:szCs w:val="24"/>
        </w:rPr>
      </w:pPr>
    </w:p>
    <w:p w:rsidR="00E1570F" w:rsidRPr="00CA42C5" w:rsidRDefault="00E1570F" w:rsidP="00CA42C5">
      <w:pPr>
        <w:spacing w:after="0" w:line="240" w:lineRule="auto"/>
        <w:ind w:right="-142"/>
        <w:jc w:val="both"/>
        <w:rPr>
          <w:rFonts w:ascii="Palatino Linotype" w:eastAsiaTheme="minorEastAsia" w:hAnsi="Palatino Linotype"/>
          <w:sz w:val="24"/>
          <w:szCs w:val="24"/>
        </w:rPr>
      </w:pPr>
    </w:p>
    <w:p w:rsidR="00E1570F" w:rsidRPr="00CA42C5" w:rsidRDefault="00E1570F" w:rsidP="00CA42C5">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CA42C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A42C5">
        <w:rPr>
          <w:rFonts w:ascii="Palatino Linotype" w:eastAsia="Calibri" w:hAnsi="Palatino Linotype" w:cs="Times New Roman"/>
          <w:b/>
          <w:sz w:val="24"/>
          <w:szCs w:val="24"/>
          <w:lang w:val="es-ES" w:eastAsia="es-ES"/>
        </w:rPr>
        <w:t>Constitución Política de los Estados Unidos Mexicanos</w:t>
      </w:r>
      <w:r w:rsidRPr="00CA42C5">
        <w:rPr>
          <w:rFonts w:ascii="Palatino Linotype" w:eastAsia="Calibri" w:hAnsi="Palatino Linotype" w:cs="Times New Roman"/>
          <w:sz w:val="24"/>
          <w:szCs w:val="24"/>
          <w:lang w:val="es-ES" w:eastAsia="es-ES"/>
        </w:rPr>
        <w:t xml:space="preserve">; 5, párrafos </w:t>
      </w:r>
      <w:r w:rsidRPr="00CA42C5">
        <w:rPr>
          <w:rFonts w:ascii="Palatino Linotype" w:eastAsiaTheme="minorEastAsia" w:hAnsi="Palatino Linotype" w:cs="Arial"/>
          <w:bCs/>
          <w:color w:val="222222"/>
          <w:sz w:val="24"/>
          <w:szCs w:val="24"/>
          <w:lang w:val="es-ES" w:eastAsia="es-ES"/>
        </w:rPr>
        <w:t xml:space="preserve">vigésimo, vigésimo primero y vigésimo segundo </w:t>
      </w:r>
      <w:r w:rsidRPr="00CA42C5">
        <w:rPr>
          <w:rFonts w:ascii="Palatino Linotype" w:eastAsia="Calibri" w:hAnsi="Palatino Linotype" w:cs="Times New Roman"/>
          <w:sz w:val="24"/>
          <w:szCs w:val="24"/>
          <w:lang w:val="es-ES" w:eastAsia="es-ES"/>
        </w:rPr>
        <w:t xml:space="preserve">fracciones IV y V de la </w:t>
      </w:r>
      <w:r w:rsidRPr="00CA42C5">
        <w:rPr>
          <w:rFonts w:ascii="Palatino Linotype" w:eastAsia="Calibri" w:hAnsi="Palatino Linotype" w:cs="Times New Roman"/>
          <w:b/>
          <w:sz w:val="24"/>
          <w:szCs w:val="24"/>
          <w:lang w:val="es-ES" w:eastAsia="es-ES"/>
        </w:rPr>
        <w:t>Constitución Política del Estado Libre y Soberano de México</w:t>
      </w:r>
      <w:r w:rsidRPr="00CA42C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A42C5">
        <w:rPr>
          <w:rFonts w:ascii="Palatino Linotype" w:eastAsia="Calibri" w:hAnsi="Palatino Linotype" w:cs="Arial"/>
          <w:sz w:val="24"/>
          <w:szCs w:val="24"/>
          <w:lang w:val="es-ES" w:eastAsia="es-ES"/>
        </w:rPr>
        <w:t xml:space="preserve">de la </w:t>
      </w:r>
      <w:r w:rsidRPr="00CA42C5">
        <w:rPr>
          <w:rFonts w:ascii="Palatino Linotype" w:eastAsia="Calibri" w:hAnsi="Palatino Linotype" w:cs="Arial"/>
          <w:b/>
          <w:sz w:val="24"/>
          <w:szCs w:val="24"/>
          <w:lang w:val="es-ES" w:eastAsia="es-ES"/>
        </w:rPr>
        <w:t>Ley de Transparencia y Acceso a la Información Pública del Estado de México y Municipios</w:t>
      </w:r>
      <w:r w:rsidRPr="00CA42C5">
        <w:rPr>
          <w:rFonts w:ascii="Palatino Linotype" w:eastAsia="Calibri" w:hAnsi="Palatino Linotype" w:cs="Arial"/>
          <w:sz w:val="24"/>
          <w:szCs w:val="24"/>
          <w:lang w:val="es-ES" w:eastAsia="es-ES"/>
        </w:rPr>
        <w:t xml:space="preserve">; y 7, 9 fracciones I y XXIV, y 11 del </w:t>
      </w:r>
      <w:r w:rsidRPr="00CA42C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A42C5">
        <w:rPr>
          <w:rFonts w:ascii="Palatino Linotype" w:eastAsiaTheme="minorEastAsia" w:hAnsi="Palatino Linotype"/>
          <w:sz w:val="24"/>
          <w:szCs w:val="24"/>
          <w:lang w:val="es-ES_tradnl" w:eastAsia="es-ES"/>
        </w:rPr>
        <w:t>.</w:t>
      </w:r>
    </w:p>
    <w:p w:rsidR="000546A6" w:rsidRPr="00CA42C5" w:rsidRDefault="000546A6" w:rsidP="00CA42C5">
      <w:pPr>
        <w:keepNext/>
        <w:keepLines/>
        <w:spacing w:before="40" w:after="0"/>
        <w:ind w:right="-142"/>
        <w:jc w:val="both"/>
        <w:outlineLvl w:val="1"/>
        <w:rPr>
          <w:rFonts w:ascii="Palatino Linotype" w:eastAsiaTheme="majorEastAsia" w:hAnsi="Palatino Linotype" w:cstheme="majorBidi"/>
          <w:b/>
          <w:sz w:val="24"/>
          <w:szCs w:val="24"/>
        </w:rPr>
      </w:pPr>
    </w:p>
    <w:p w:rsidR="00E1570F" w:rsidRPr="00CA42C5" w:rsidRDefault="00E1570F" w:rsidP="00CA42C5">
      <w:pPr>
        <w:keepNext/>
        <w:keepLines/>
        <w:spacing w:before="40" w:after="0"/>
        <w:ind w:right="-142"/>
        <w:jc w:val="both"/>
        <w:outlineLvl w:val="1"/>
        <w:rPr>
          <w:rFonts w:ascii="Palatino Linotype" w:eastAsiaTheme="majorEastAsia" w:hAnsi="Palatino Linotype" w:cstheme="majorBidi"/>
          <w:b/>
          <w:sz w:val="24"/>
          <w:szCs w:val="24"/>
        </w:rPr>
      </w:pPr>
      <w:bookmarkStart w:id="57" w:name="_Toc7113858"/>
      <w:r w:rsidRPr="00CA42C5">
        <w:rPr>
          <w:rFonts w:ascii="Palatino Linotype" w:eastAsiaTheme="majorEastAsia" w:hAnsi="Palatino Linotype" w:cstheme="majorBidi"/>
          <w:b/>
          <w:sz w:val="24"/>
          <w:szCs w:val="24"/>
        </w:rPr>
        <w:t>SEGUNDO. De la oportunidad y procedencia.</w:t>
      </w:r>
      <w:bookmarkEnd w:id="57"/>
    </w:p>
    <w:p w:rsidR="00E1570F" w:rsidRPr="00CA42C5" w:rsidRDefault="00E1570F" w:rsidP="00CA42C5">
      <w:pPr>
        <w:keepNext/>
        <w:keepLines/>
        <w:spacing w:before="40" w:after="0"/>
        <w:ind w:right="-142"/>
        <w:jc w:val="both"/>
        <w:outlineLvl w:val="1"/>
        <w:rPr>
          <w:rFonts w:ascii="Palatino Linotype" w:eastAsiaTheme="majorEastAsia" w:hAnsi="Palatino Linotype" w:cstheme="majorBidi"/>
          <w:b/>
          <w:sz w:val="24"/>
          <w:szCs w:val="24"/>
        </w:rPr>
      </w:pPr>
    </w:p>
    <w:p w:rsidR="000546A6" w:rsidRPr="00CA42C5" w:rsidRDefault="00E1570F" w:rsidP="00CA42C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A42C5">
        <w:rPr>
          <w:rFonts w:ascii="Palatino Linotype" w:eastAsia="Calibri" w:hAnsi="Palatino Linotype" w:cs="Arial"/>
          <w:sz w:val="24"/>
          <w:szCs w:val="24"/>
        </w:rPr>
        <w:t xml:space="preserve">El medio de impugnación fue presentado a través del </w:t>
      </w:r>
      <w:r w:rsidRPr="00CA42C5">
        <w:rPr>
          <w:rFonts w:ascii="Palatino Linotype" w:eastAsia="Calibri" w:hAnsi="Palatino Linotype" w:cs="Arial"/>
          <w:b/>
          <w:sz w:val="24"/>
          <w:szCs w:val="24"/>
        </w:rPr>
        <w:t>SAIMEX,</w:t>
      </w:r>
      <w:r w:rsidRPr="00CA42C5">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CA42C5">
        <w:rPr>
          <w:rFonts w:ascii="Palatino Linotype" w:eastAsia="Calibri" w:hAnsi="Palatino Linotype" w:cs="Arial"/>
          <w:b/>
          <w:sz w:val="24"/>
          <w:szCs w:val="24"/>
        </w:rPr>
        <w:t>SUJETO OBLIGADO</w:t>
      </w:r>
      <w:r w:rsidRPr="00CA42C5">
        <w:rPr>
          <w:rFonts w:ascii="Palatino Linotype" w:eastAsia="Calibri" w:hAnsi="Palatino Linotype" w:cs="Arial"/>
          <w:sz w:val="24"/>
          <w:szCs w:val="24"/>
        </w:rPr>
        <w:t xml:space="preserve"> entregó su respuesta el día </w:t>
      </w:r>
      <w:r w:rsidR="000546A6" w:rsidRPr="00CA42C5">
        <w:rPr>
          <w:rFonts w:ascii="Palatino Linotype" w:eastAsia="Calibri" w:hAnsi="Palatino Linotype" w:cs="Arial"/>
          <w:b/>
          <w:sz w:val="24"/>
          <w:szCs w:val="24"/>
        </w:rPr>
        <w:t>veintiuno (21</w:t>
      </w:r>
      <w:r w:rsidRPr="00CA42C5">
        <w:rPr>
          <w:rFonts w:ascii="Palatino Linotype" w:eastAsia="Calibri" w:hAnsi="Palatino Linotype" w:cs="Arial"/>
          <w:b/>
          <w:sz w:val="24"/>
          <w:szCs w:val="24"/>
        </w:rPr>
        <w:t xml:space="preserve">) febrero </w:t>
      </w:r>
      <w:r w:rsidRPr="00CA42C5">
        <w:rPr>
          <w:rFonts w:ascii="Palatino Linotype" w:eastAsia="Calibri" w:hAnsi="Palatino Linotype" w:cs="Arial"/>
          <w:sz w:val="24"/>
          <w:szCs w:val="24"/>
        </w:rPr>
        <w:t xml:space="preserve">dos mil diecinueve, </w:t>
      </w:r>
      <w:r w:rsidRPr="00CA42C5">
        <w:rPr>
          <w:rFonts w:ascii="Palatino Linotype" w:hAnsi="Palatino Linotype" w:cs="Arial"/>
          <w:sz w:val="24"/>
          <w:szCs w:val="24"/>
        </w:rPr>
        <w:t xml:space="preserve">de tal forma que el plazo para interponer el recurso transcurrió del día </w:t>
      </w:r>
      <w:r w:rsidR="000546A6" w:rsidRPr="00CA42C5">
        <w:rPr>
          <w:rFonts w:ascii="Palatino Linotype" w:hAnsi="Palatino Linotype" w:cs="Arial"/>
          <w:b/>
          <w:sz w:val="24"/>
          <w:szCs w:val="24"/>
        </w:rPr>
        <w:t>veintidós</w:t>
      </w:r>
      <w:r w:rsidRPr="00CA42C5">
        <w:rPr>
          <w:rFonts w:ascii="Palatino Linotype" w:hAnsi="Palatino Linotype" w:cs="Arial"/>
          <w:sz w:val="24"/>
          <w:szCs w:val="24"/>
        </w:rPr>
        <w:t xml:space="preserve"> </w:t>
      </w:r>
      <w:r w:rsidR="000546A6" w:rsidRPr="00CA42C5">
        <w:rPr>
          <w:rFonts w:ascii="Palatino Linotype" w:hAnsi="Palatino Linotype" w:cs="Arial"/>
          <w:b/>
          <w:sz w:val="24"/>
          <w:szCs w:val="24"/>
        </w:rPr>
        <w:t>(22</w:t>
      </w:r>
      <w:r w:rsidRPr="00CA42C5">
        <w:rPr>
          <w:rFonts w:ascii="Palatino Linotype" w:hAnsi="Palatino Linotype" w:cs="Arial"/>
          <w:b/>
          <w:sz w:val="24"/>
          <w:szCs w:val="24"/>
        </w:rPr>
        <w:t xml:space="preserve">) de febrero </w:t>
      </w:r>
      <w:r w:rsidR="000546A6" w:rsidRPr="00CA42C5">
        <w:rPr>
          <w:rFonts w:ascii="Palatino Linotype" w:hAnsi="Palatino Linotype" w:cs="Arial"/>
          <w:b/>
          <w:sz w:val="24"/>
          <w:szCs w:val="24"/>
        </w:rPr>
        <w:t>al quince</w:t>
      </w:r>
      <w:r w:rsidRPr="00CA42C5">
        <w:rPr>
          <w:rFonts w:ascii="Palatino Linotype" w:hAnsi="Palatino Linotype" w:cs="Arial"/>
          <w:b/>
          <w:sz w:val="24"/>
          <w:szCs w:val="24"/>
        </w:rPr>
        <w:t xml:space="preserve"> (</w:t>
      </w:r>
      <w:r w:rsidR="000546A6" w:rsidRPr="00CA42C5">
        <w:rPr>
          <w:rFonts w:ascii="Palatino Linotype" w:hAnsi="Palatino Linotype" w:cs="Arial"/>
          <w:b/>
          <w:sz w:val="24"/>
          <w:szCs w:val="24"/>
        </w:rPr>
        <w:t>1</w:t>
      </w:r>
      <w:r w:rsidRPr="00CA42C5">
        <w:rPr>
          <w:rFonts w:ascii="Palatino Linotype" w:hAnsi="Palatino Linotype" w:cs="Arial"/>
          <w:b/>
          <w:sz w:val="24"/>
          <w:szCs w:val="24"/>
        </w:rPr>
        <w:t>5) de marzo del</w:t>
      </w:r>
      <w:r w:rsidRPr="00CA42C5">
        <w:rPr>
          <w:rFonts w:ascii="Palatino Linotype" w:eastAsia="Calibri" w:hAnsi="Palatino Linotype" w:cs="Times New Roman"/>
          <w:b/>
          <w:sz w:val="24"/>
          <w:szCs w:val="24"/>
          <w:lang w:val="es-ES" w:eastAsia="es-ES"/>
        </w:rPr>
        <w:t xml:space="preserve"> </w:t>
      </w:r>
      <w:r w:rsidRPr="00CA42C5">
        <w:rPr>
          <w:rFonts w:ascii="Palatino Linotype" w:eastAsia="Calibri" w:hAnsi="Palatino Linotype" w:cs="Times New Roman"/>
          <w:sz w:val="24"/>
          <w:szCs w:val="24"/>
          <w:lang w:val="es-ES" w:eastAsia="es-ES"/>
        </w:rPr>
        <w:t>dos mil diecinueve</w:t>
      </w:r>
      <w:r w:rsidRPr="00CA42C5">
        <w:rPr>
          <w:rFonts w:ascii="Palatino Linotype" w:hAnsi="Palatino Linotype" w:cs="Arial"/>
          <w:sz w:val="24"/>
          <w:szCs w:val="24"/>
        </w:rPr>
        <w:t xml:space="preserve">; en consecuencia, presentó  la inconformidad el </w:t>
      </w:r>
      <w:r w:rsidR="000546A6" w:rsidRPr="00CA42C5">
        <w:rPr>
          <w:rFonts w:ascii="Palatino Linotype" w:hAnsi="Palatino Linotype" w:cs="Arial"/>
          <w:b/>
          <w:sz w:val="24"/>
          <w:szCs w:val="24"/>
        </w:rPr>
        <w:t>día doce (25</w:t>
      </w:r>
      <w:r w:rsidRPr="00CA42C5">
        <w:rPr>
          <w:rFonts w:ascii="Palatino Linotype" w:hAnsi="Palatino Linotype" w:cs="Arial"/>
          <w:b/>
          <w:sz w:val="24"/>
          <w:szCs w:val="24"/>
        </w:rPr>
        <w:t>)</w:t>
      </w:r>
      <w:r w:rsidRPr="00CA42C5">
        <w:rPr>
          <w:rFonts w:ascii="Palatino Linotype" w:hAnsi="Palatino Linotype" w:cs="Arial"/>
          <w:sz w:val="24"/>
          <w:szCs w:val="24"/>
        </w:rPr>
        <w:t xml:space="preserve"> </w:t>
      </w:r>
      <w:r w:rsidRPr="00CA42C5">
        <w:rPr>
          <w:rFonts w:ascii="Palatino Linotype" w:hAnsi="Palatino Linotype" w:cs="Arial"/>
          <w:b/>
          <w:sz w:val="24"/>
          <w:szCs w:val="24"/>
        </w:rPr>
        <w:t>de febrero</w:t>
      </w:r>
      <w:r w:rsidRPr="00CA42C5">
        <w:rPr>
          <w:rFonts w:ascii="Palatino Linotype" w:eastAsia="Calibri" w:hAnsi="Palatino Linotype" w:cs="Times New Roman"/>
          <w:sz w:val="24"/>
          <w:szCs w:val="24"/>
          <w:lang w:val="es-ES" w:eastAsia="es-ES"/>
        </w:rPr>
        <w:t xml:space="preserve"> </w:t>
      </w:r>
      <w:r w:rsidRPr="00CA42C5">
        <w:rPr>
          <w:rFonts w:ascii="Palatino Linotype" w:hAnsi="Palatino Linotype" w:cs="Arial"/>
          <w:sz w:val="24"/>
          <w:szCs w:val="24"/>
        </w:rPr>
        <w:t xml:space="preserve">de dos mil diecinueve, éste se encuentran dentro de los márgenes temporales previstos en el artículo 178 de la </w:t>
      </w:r>
      <w:r w:rsidRPr="00CA42C5">
        <w:rPr>
          <w:rFonts w:ascii="Palatino Linotype" w:hAnsi="Palatino Linotype" w:cs="Arial"/>
          <w:b/>
          <w:sz w:val="24"/>
          <w:szCs w:val="24"/>
        </w:rPr>
        <w:t>Ley de Transparencia y Acceso a la Información Pública del Estado de México y Municipios</w:t>
      </w:r>
      <w:r w:rsidRPr="00CA42C5">
        <w:rPr>
          <w:rFonts w:ascii="Palatino Linotype" w:hAnsi="Palatino Linotype" w:cs="Arial"/>
          <w:sz w:val="24"/>
          <w:szCs w:val="24"/>
        </w:rPr>
        <w:t>.</w:t>
      </w:r>
    </w:p>
    <w:p w:rsidR="000546A6" w:rsidRPr="00CA42C5" w:rsidRDefault="000546A6" w:rsidP="00CA42C5">
      <w:pPr>
        <w:spacing w:after="0" w:line="360" w:lineRule="auto"/>
        <w:contextualSpacing/>
        <w:jc w:val="both"/>
        <w:rPr>
          <w:rFonts w:ascii="Palatino Linotype" w:eastAsia="Calibri" w:hAnsi="Palatino Linotype" w:cs="Times New Roman"/>
          <w:sz w:val="24"/>
          <w:szCs w:val="24"/>
          <w:lang w:val="es-ES" w:eastAsia="es-ES"/>
        </w:rPr>
      </w:pPr>
    </w:p>
    <w:p w:rsidR="00EB5480" w:rsidRPr="00CA42C5" w:rsidRDefault="000546A6" w:rsidP="00CA42C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A42C5">
        <w:rPr>
          <w:rFonts w:ascii="Palatino Linotype" w:eastAsia="Calibri" w:hAnsi="Palatino Linotype" w:cs="Times New Roman"/>
          <w:sz w:val="24"/>
          <w:szCs w:val="24"/>
        </w:rPr>
        <w:t xml:space="preserve">Por otra parte, de la revisión al expediente electrónico del SAIMEX se desprende que la parte solicitante, en ejercicio de su derecho de acceso a la información pública en el expediente que se revisa, tanto en las solicitud de información como en el recurso de revisión </w:t>
      </w:r>
      <w:r w:rsidRPr="00CA42C5">
        <w:rPr>
          <w:rFonts w:ascii="Palatino Linotype" w:eastAsia="Calibri" w:hAnsi="Palatino Linotype" w:cs="Times New Roman"/>
          <w:b/>
          <w:sz w:val="24"/>
          <w:szCs w:val="24"/>
        </w:rPr>
        <w:t xml:space="preserve">no proporciona su nombre completo para que sea </w:t>
      </w:r>
      <w:r w:rsidRPr="00CA42C5">
        <w:rPr>
          <w:rFonts w:ascii="Palatino Linotype" w:eastAsia="Calibri" w:hAnsi="Palatino Linotype" w:cs="Times New Roman"/>
          <w:b/>
          <w:sz w:val="24"/>
          <w:szCs w:val="24"/>
          <w:u w:val="single"/>
        </w:rPr>
        <w:t>identificado</w:t>
      </w:r>
      <w:r w:rsidRPr="00CA42C5">
        <w:rPr>
          <w:rFonts w:ascii="Palatino Linotype" w:eastAsia="Calibri" w:hAnsi="Palatino Linotype" w:cs="Times New Roman"/>
          <w:b/>
          <w:sz w:val="24"/>
          <w:szCs w:val="24"/>
        </w:rPr>
        <w:t>,</w:t>
      </w:r>
      <w:r w:rsidRPr="00CA42C5">
        <w:rPr>
          <w:rFonts w:ascii="Palatino Linotype" w:eastAsia="Calibri" w:hAnsi="Palatino Linotype" w:cs="Times New Roman"/>
          <w:sz w:val="24"/>
          <w:szCs w:val="24"/>
        </w:rPr>
        <w:t xml:space="preserve"> ni se tiene la certeza sobre su identidad, sin embargo, es importante señalar también que </w:t>
      </w:r>
      <w:r w:rsidRPr="00CA42C5">
        <w:rPr>
          <w:rFonts w:ascii="Palatino Linotype" w:hAnsi="Palatino Linotype" w:cs="Arial"/>
          <w:sz w:val="24"/>
          <w:szCs w:val="24"/>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EB5480" w:rsidRPr="00CA42C5" w:rsidRDefault="00EB5480" w:rsidP="00CA42C5">
      <w:pPr>
        <w:pStyle w:val="Prrafodelista"/>
        <w:jc w:val="both"/>
        <w:rPr>
          <w:rFonts w:ascii="Palatino Linotype" w:eastAsia="Calibri" w:hAnsi="Palatino Linotype" w:cs="Times New Roman"/>
          <w:sz w:val="24"/>
          <w:szCs w:val="24"/>
        </w:rPr>
      </w:pPr>
    </w:p>
    <w:p w:rsidR="00EB5480" w:rsidRPr="00CA42C5" w:rsidRDefault="000546A6" w:rsidP="00CA42C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A42C5">
        <w:rPr>
          <w:rFonts w:ascii="Palatino Linotype" w:eastAsia="Calibri" w:hAnsi="Palatino Linotype" w:cs="Times New Roman"/>
          <w:sz w:val="24"/>
          <w:szCs w:val="24"/>
        </w:rPr>
        <w:t>Esto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EB5480" w:rsidRPr="00CA42C5" w:rsidRDefault="00EB5480" w:rsidP="00CA42C5">
      <w:pPr>
        <w:pStyle w:val="Prrafodelista"/>
        <w:jc w:val="both"/>
        <w:rPr>
          <w:rFonts w:ascii="Palatino Linotype" w:eastAsia="Calibri" w:hAnsi="Palatino Linotype" w:cs="Times New Roman"/>
          <w:sz w:val="24"/>
          <w:szCs w:val="24"/>
        </w:rPr>
      </w:pPr>
    </w:p>
    <w:p w:rsidR="00EB5480" w:rsidRPr="00CA42C5" w:rsidRDefault="000546A6" w:rsidP="00CA42C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A42C5">
        <w:rPr>
          <w:rFonts w:ascii="Palatino Linotype" w:eastAsia="Calibri" w:hAnsi="Palatino Linotype" w:cs="Times New Roman"/>
          <w:sz w:val="24"/>
          <w:szCs w:val="24"/>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las solicitudes de acceso a la información puedan ser anónimas o no contener un nombre que identifique al solicitante o que permita tener certeza sobre su identidad.</w:t>
      </w:r>
    </w:p>
    <w:p w:rsidR="00EB5480" w:rsidRPr="00CA42C5" w:rsidRDefault="00EB5480" w:rsidP="00CA42C5">
      <w:pPr>
        <w:pStyle w:val="Prrafodelista"/>
        <w:jc w:val="both"/>
        <w:rPr>
          <w:rFonts w:ascii="Palatino Linotype" w:eastAsia="Calibri" w:hAnsi="Palatino Linotype" w:cs="Times New Roman"/>
          <w:sz w:val="24"/>
          <w:szCs w:val="24"/>
        </w:rPr>
      </w:pPr>
    </w:p>
    <w:p w:rsidR="00EB5480" w:rsidRPr="00CA42C5" w:rsidRDefault="000546A6" w:rsidP="00CA42C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A42C5">
        <w:rPr>
          <w:rFonts w:ascii="Palatino Linotype" w:eastAsia="Calibri" w:hAnsi="Palatino Linotype" w:cs="Times New Roman"/>
          <w:sz w:val="24"/>
          <w:szCs w:val="24"/>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EB5480" w:rsidRPr="00CA42C5" w:rsidRDefault="00EB5480" w:rsidP="00CA42C5">
      <w:pPr>
        <w:pStyle w:val="Prrafodelista"/>
        <w:jc w:val="both"/>
        <w:rPr>
          <w:rFonts w:ascii="Palatino Linotype" w:eastAsia="Calibri" w:hAnsi="Palatino Linotype" w:cs="Times New Roman"/>
          <w:sz w:val="24"/>
          <w:szCs w:val="24"/>
        </w:rPr>
      </w:pPr>
    </w:p>
    <w:p w:rsidR="00EB5480" w:rsidRPr="00CA42C5" w:rsidRDefault="000546A6" w:rsidP="00CA42C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A42C5">
        <w:rPr>
          <w:rFonts w:ascii="Palatino Linotype" w:eastAsia="Calibri" w:hAnsi="Palatino Linotype" w:cs="Times New Roman"/>
          <w:sz w:val="24"/>
          <w:szCs w:val="24"/>
        </w:rPr>
        <w:t>Por</w:t>
      </w:r>
      <w:r w:rsidRPr="00CA42C5">
        <w:rPr>
          <w:rFonts w:ascii="Palatino Linotype" w:eastAsia="Times New Roman" w:hAnsi="Palatino Linotype" w:cs="Arial"/>
          <w:sz w:val="24"/>
          <w:szCs w:val="24"/>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CA42C5">
        <w:rPr>
          <w:rFonts w:ascii="Palatino Linotype" w:eastAsia="Times New Roman" w:hAnsi="Palatino Linotype" w:cs="Arial"/>
          <w:sz w:val="24"/>
          <w:szCs w:val="24"/>
        </w:rPr>
        <w:t>Resolutor</w:t>
      </w:r>
      <w:proofErr w:type="spellEnd"/>
      <w:r w:rsidRPr="00CA42C5">
        <w:rPr>
          <w:rFonts w:ascii="Palatino Linotype" w:eastAsia="Times New Roman" w:hAnsi="Palatino Linotype" w:cs="Arial"/>
          <w:sz w:val="24"/>
          <w:szCs w:val="24"/>
        </w:rPr>
        <w:t>.</w:t>
      </w:r>
    </w:p>
    <w:p w:rsidR="00EB5480" w:rsidRPr="00CA42C5" w:rsidRDefault="00EB5480" w:rsidP="00CA42C5">
      <w:pPr>
        <w:pStyle w:val="Prrafodelista"/>
        <w:jc w:val="both"/>
        <w:rPr>
          <w:rFonts w:ascii="Palatino Linotype" w:hAnsi="Palatino Linotype" w:cs="Arial"/>
          <w:sz w:val="24"/>
          <w:szCs w:val="24"/>
        </w:rPr>
      </w:pPr>
    </w:p>
    <w:p w:rsidR="00EB5480" w:rsidRPr="00CA42C5" w:rsidRDefault="000546A6" w:rsidP="00CA42C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A42C5">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CA42C5">
        <w:rPr>
          <w:rFonts w:ascii="Palatino Linotype" w:hAnsi="Palatino Linotype" w:cs="Arial"/>
          <w:b/>
          <w:sz w:val="24"/>
          <w:szCs w:val="24"/>
        </w:rPr>
        <w:t>Ley de Transparencia y Acceso a la Información Pública del Estado de México y Municipios</w:t>
      </w:r>
      <w:r w:rsidRPr="00CA42C5">
        <w:rPr>
          <w:rFonts w:ascii="Palatino Linotype" w:hAnsi="Palatino Linotype" w:cs="Arial"/>
          <w:sz w:val="24"/>
          <w:szCs w:val="24"/>
        </w:rPr>
        <w:t xml:space="preserve">, y determinar la confirmación; revocación o modificación; </w:t>
      </w:r>
      <w:proofErr w:type="spellStart"/>
      <w:r w:rsidRPr="00CA42C5">
        <w:rPr>
          <w:rFonts w:ascii="Palatino Linotype" w:hAnsi="Palatino Linotype" w:cs="Arial"/>
          <w:sz w:val="24"/>
          <w:szCs w:val="24"/>
        </w:rPr>
        <w:t>desechamiento</w:t>
      </w:r>
      <w:proofErr w:type="spellEnd"/>
      <w:r w:rsidRPr="00CA42C5">
        <w:rPr>
          <w:rFonts w:ascii="Palatino Linotype" w:hAnsi="Palatino Linotype" w:cs="Arial"/>
          <w:sz w:val="24"/>
          <w:szCs w:val="24"/>
        </w:rPr>
        <w:t xml:space="preserve"> o sobreseimiento; y en su caso ordenar la entrega de la información.</w:t>
      </w:r>
    </w:p>
    <w:p w:rsidR="00EB5480" w:rsidRPr="00CA42C5" w:rsidRDefault="00EB5480" w:rsidP="00CA42C5">
      <w:pPr>
        <w:pStyle w:val="Prrafodelista"/>
        <w:jc w:val="both"/>
        <w:rPr>
          <w:rFonts w:ascii="Palatino Linotype" w:eastAsia="Calibri" w:hAnsi="Palatino Linotype" w:cs="Arial"/>
          <w:sz w:val="24"/>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A42C5">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E1570F" w:rsidRPr="00CA42C5" w:rsidRDefault="00E1570F" w:rsidP="00CA42C5">
      <w:pPr>
        <w:keepNext/>
        <w:keepLines/>
        <w:spacing w:before="240" w:after="0"/>
        <w:jc w:val="both"/>
        <w:outlineLvl w:val="0"/>
        <w:rPr>
          <w:rFonts w:ascii="Palatino Linotype" w:eastAsia="MS Mincho" w:hAnsi="Palatino Linotype" w:cstheme="majorBidi"/>
          <w:b/>
          <w:sz w:val="24"/>
          <w:szCs w:val="24"/>
          <w:lang w:val="es-ES_tradnl" w:eastAsia="es-ES"/>
        </w:rPr>
      </w:pPr>
      <w:bookmarkStart w:id="58" w:name="_Toc2881747"/>
      <w:bookmarkStart w:id="59" w:name="_Toc7113859"/>
      <w:r w:rsidRPr="00CA42C5">
        <w:rPr>
          <w:rFonts w:ascii="Palatino Linotype" w:eastAsia="MS Mincho" w:hAnsi="Palatino Linotype" w:cstheme="majorBidi"/>
          <w:b/>
          <w:sz w:val="24"/>
          <w:szCs w:val="24"/>
          <w:lang w:val="es-ES_tradnl" w:eastAsia="es-ES"/>
        </w:rPr>
        <w:lastRenderedPageBreak/>
        <w:t>TERCERO. Del planteamiento de la Litis.</w:t>
      </w:r>
      <w:bookmarkEnd w:id="58"/>
      <w:bookmarkEnd w:id="59"/>
    </w:p>
    <w:p w:rsidR="00E1570F" w:rsidRPr="00CA42C5" w:rsidRDefault="00E1570F" w:rsidP="00CA42C5">
      <w:pPr>
        <w:spacing w:after="0" w:line="360" w:lineRule="auto"/>
        <w:contextualSpacing/>
        <w:jc w:val="both"/>
        <w:rPr>
          <w:rFonts w:ascii="Palatino Linotype" w:eastAsia="Calibri" w:hAnsi="Palatino Linotype" w:cs="Arial"/>
          <w:b/>
          <w:sz w:val="24"/>
          <w:szCs w:val="24"/>
          <w:lang w:val="es-ES_tradnl" w:eastAsia="es-ES"/>
        </w:rPr>
      </w:pPr>
    </w:p>
    <w:p w:rsidR="00EB5480" w:rsidRPr="00270E5A" w:rsidRDefault="00E1570F" w:rsidP="00CA42C5">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CA42C5">
        <w:rPr>
          <w:rFonts w:ascii="Palatino Linotype" w:eastAsia="MS Mincho" w:hAnsi="Palatino Linotype" w:cs="Arial"/>
          <w:sz w:val="24"/>
          <w:szCs w:val="24"/>
          <w:lang w:val="es-ES_tradnl" w:eastAsia="es-ES"/>
        </w:rPr>
        <w:t xml:space="preserve">De </w:t>
      </w:r>
      <w:r w:rsidR="00EB5480" w:rsidRPr="00CA42C5">
        <w:rPr>
          <w:rFonts w:ascii="Palatino Linotype" w:eastAsia="MS Mincho" w:hAnsi="Palatino Linotype" w:cs="Arial"/>
          <w:sz w:val="24"/>
          <w:szCs w:val="24"/>
          <w:lang w:val="es-ES_tradnl" w:eastAsia="es-ES"/>
        </w:rPr>
        <w:t xml:space="preserve">lo solicitado por el particular  </w:t>
      </w:r>
      <w:r w:rsidRPr="00CA42C5">
        <w:rPr>
          <w:rFonts w:ascii="Palatino Linotype" w:eastAsia="MS Mincho" w:hAnsi="Palatino Linotype" w:cs="Arial"/>
          <w:sz w:val="24"/>
          <w:szCs w:val="24"/>
          <w:lang w:val="es-ES_tradnl" w:eastAsia="es-ES"/>
        </w:rPr>
        <w:t xml:space="preserve">el </w:t>
      </w:r>
      <w:r w:rsidRPr="00CA42C5">
        <w:rPr>
          <w:rFonts w:ascii="Palatino Linotype" w:eastAsia="MS Mincho" w:hAnsi="Palatino Linotype" w:cs="Arial"/>
          <w:b/>
          <w:sz w:val="24"/>
          <w:szCs w:val="24"/>
          <w:lang w:val="es-ES_tradnl" w:eastAsia="es-ES"/>
        </w:rPr>
        <w:t>SUJETO OBLIGADO</w:t>
      </w:r>
      <w:r w:rsidRPr="00CA42C5">
        <w:rPr>
          <w:rFonts w:ascii="Palatino Linotype" w:eastAsia="MS Mincho" w:hAnsi="Palatino Linotype" w:cs="Arial"/>
          <w:sz w:val="24"/>
          <w:szCs w:val="24"/>
          <w:lang w:val="es-ES_tradnl" w:eastAsia="es-ES"/>
        </w:rPr>
        <w:t xml:space="preserve"> proporcionó </w:t>
      </w:r>
      <w:r w:rsidR="00EB5480" w:rsidRPr="00CA42C5">
        <w:rPr>
          <w:rFonts w:ascii="Palatino Linotype" w:eastAsia="MS Mincho" w:hAnsi="Palatino Linotype" w:cs="Arial"/>
          <w:sz w:val="24"/>
          <w:szCs w:val="24"/>
          <w:lang w:val="es-ES_tradnl" w:eastAsia="es-ES"/>
        </w:rPr>
        <w:t xml:space="preserve"> a su consideración su respuesta a la solicitud de información; sin embargo, el recurrente presentó el medio de impugnación </w:t>
      </w:r>
      <w:r w:rsidR="004B6D6F" w:rsidRPr="00CA42C5">
        <w:rPr>
          <w:rFonts w:ascii="Palatino Linotype" w:eastAsia="MS Mincho" w:hAnsi="Palatino Linotype" w:cs="Arial"/>
          <w:sz w:val="24"/>
          <w:szCs w:val="24"/>
          <w:lang w:val="es-ES_tradnl" w:eastAsia="es-ES"/>
        </w:rPr>
        <w:t>argumentando que la respuesta es incompleta al no haberle proporcionado lo relativo al salario mensual y bruto y netos, compensaciones y apoyos económicos, materiales con que cuantas cada dirección, secretaría y coordinación.</w:t>
      </w:r>
    </w:p>
    <w:p w:rsidR="00270E5A" w:rsidRPr="00CA42C5" w:rsidRDefault="00270E5A" w:rsidP="00270E5A">
      <w:pPr>
        <w:spacing w:after="0" w:line="360" w:lineRule="auto"/>
        <w:contextualSpacing/>
        <w:jc w:val="both"/>
        <w:rPr>
          <w:rFonts w:ascii="Palatino Linotype" w:hAnsi="Palatino Linotype" w:cs="Arial"/>
          <w:sz w:val="24"/>
          <w:szCs w:val="24"/>
          <w:lang w:val="es-ES_tradnl"/>
        </w:rPr>
      </w:pPr>
    </w:p>
    <w:p w:rsidR="00E1570F" w:rsidRPr="00CA42C5" w:rsidRDefault="00E1570F" w:rsidP="00CA42C5">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CA42C5">
        <w:rPr>
          <w:rFonts w:ascii="Palatino Linotype" w:hAnsi="Palatino Linotype" w:cs="Arial"/>
          <w:sz w:val="24"/>
          <w:szCs w:val="24"/>
          <w:lang w:val="es-ES_tradnl"/>
        </w:rPr>
        <w:t xml:space="preserve">En consecuencia, la Litis del presente asunto corresponde </w:t>
      </w:r>
      <w:r w:rsidR="004B6D6F" w:rsidRPr="00CA42C5">
        <w:rPr>
          <w:rFonts w:ascii="Palatino Linotype" w:hAnsi="Palatino Linotype" w:cs="Arial"/>
          <w:sz w:val="24"/>
          <w:szCs w:val="24"/>
          <w:lang w:val="es-ES_tradnl"/>
        </w:rPr>
        <w:t xml:space="preserve">en verificar que la </w:t>
      </w:r>
      <w:r w:rsidRPr="00CA42C5">
        <w:rPr>
          <w:rFonts w:ascii="Palatino Linotype" w:hAnsi="Palatino Linotype" w:cs="Arial"/>
          <w:sz w:val="24"/>
          <w:szCs w:val="24"/>
          <w:lang w:val="es-ES_tradnl"/>
        </w:rPr>
        <w:t>respuesta cumpl</w:t>
      </w:r>
      <w:r w:rsidR="004B6D6F" w:rsidRPr="00CA42C5">
        <w:rPr>
          <w:rFonts w:ascii="Palatino Linotype" w:hAnsi="Palatino Linotype" w:cs="Arial"/>
          <w:sz w:val="24"/>
          <w:szCs w:val="24"/>
          <w:lang w:val="es-ES_tradnl"/>
        </w:rPr>
        <w:t>a con</w:t>
      </w:r>
      <w:r w:rsidRPr="00CA42C5">
        <w:rPr>
          <w:rFonts w:ascii="Palatino Linotype" w:hAnsi="Palatino Linotype" w:cs="Arial"/>
          <w:sz w:val="24"/>
          <w:szCs w:val="24"/>
          <w:lang w:val="es-ES_tradnl"/>
        </w:rPr>
        <w:t xml:space="preserve"> lo establecido por el artículo 11 de la Ley en la materia, lo anterior, a efecto de verificar que se da</w:t>
      </w:r>
      <w:r w:rsidR="004B6D6F" w:rsidRPr="00CA42C5">
        <w:rPr>
          <w:rFonts w:ascii="Palatino Linotype" w:hAnsi="Palatino Linotype" w:cs="Arial"/>
          <w:sz w:val="24"/>
          <w:szCs w:val="24"/>
          <w:lang w:val="es-ES_tradnl"/>
        </w:rPr>
        <w:t>r</w:t>
      </w:r>
      <w:r w:rsidRPr="00CA42C5">
        <w:rPr>
          <w:rFonts w:ascii="Palatino Linotype" w:hAnsi="Palatino Linotype" w:cs="Arial"/>
          <w:sz w:val="24"/>
          <w:szCs w:val="24"/>
          <w:lang w:val="es-ES_tradnl"/>
        </w:rPr>
        <w:t xml:space="preserve"> cumplimiento al derecho de acceso a la información o en su defecto si se vulneró, ordenar su reparación.</w:t>
      </w:r>
    </w:p>
    <w:p w:rsidR="00E1570F" w:rsidRPr="00CA42C5" w:rsidRDefault="00E1570F" w:rsidP="00CA42C5">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270E5A" w:rsidRDefault="00E1570F" w:rsidP="00270E5A">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CA42C5">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CA42C5">
        <w:rPr>
          <w:rFonts w:ascii="Palatino Linotype" w:eastAsia="MS Mincho" w:hAnsi="Palatino Linotype" w:cs="Times New Roman"/>
          <w:b/>
          <w:sz w:val="24"/>
          <w:szCs w:val="24"/>
          <w:lang w:val="es-ES_tradnl" w:eastAsia="es-ES"/>
        </w:rPr>
        <w:t>fracción V del artículo 179 de la Ley de Transparencia y Acceso a la Información Pública del Estado de México y Municipio</w:t>
      </w:r>
      <w:r w:rsidRPr="00CA42C5">
        <w:rPr>
          <w:rFonts w:ascii="Palatino Linotype" w:eastAsia="MS Mincho" w:hAnsi="Palatino Linotype" w:cs="Times New Roman"/>
          <w:sz w:val="24"/>
          <w:szCs w:val="24"/>
          <w:lang w:val="es-ES_tradnl" w:eastAsia="es-ES"/>
        </w:rPr>
        <w:t>.</w:t>
      </w:r>
    </w:p>
    <w:p w:rsidR="00270E5A" w:rsidRPr="00270E5A" w:rsidRDefault="00270E5A" w:rsidP="00270E5A">
      <w:pPr>
        <w:spacing w:before="240" w:after="240" w:line="360" w:lineRule="auto"/>
        <w:ind w:right="49"/>
        <w:contextualSpacing/>
        <w:jc w:val="both"/>
        <w:rPr>
          <w:rFonts w:ascii="Palatino Linotype" w:eastAsia="MS Mincho" w:hAnsi="Palatino Linotype" w:cs="Arial"/>
          <w:sz w:val="24"/>
          <w:szCs w:val="24"/>
          <w:lang w:val="es-ES_tradnl" w:eastAsia="es-ES"/>
        </w:rPr>
      </w:pPr>
    </w:p>
    <w:p w:rsidR="00E1570F" w:rsidRPr="00CA42C5" w:rsidRDefault="00E1570F" w:rsidP="00CA42C5">
      <w:pPr>
        <w:keepNext/>
        <w:keepLines/>
        <w:spacing w:before="240" w:after="0"/>
        <w:jc w:val="both"/>
        <w:outlineLvl w:val="0"/>
        <w:rPr>
          <w:rFonts w:ascii="Palatino Linotype" w:eastAsia="MS Gothic" w:hAnsi="Palatino Linotype" w:cstheme="majorBidi"/>
          <w:b/>
          <w:sz w:val="24"/>
          <w:szCs w:val="24"/>
          <w:lang w:val="es-ES_tradnl" w:eastAsia="es-ES"/>
        </w:rPr>
      </w:pPr>
      <w:bookmarkStart w:id="68" w:name="_Toc2881748"/>
      <w:bookmarkStart w:id="69" w:name="_Toc7113860"/>
      <w:r w:rsidRPr="00CA42C5">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E1570F" w:rsidRPr="00CA42C5" w:rsidRDefault="00E1570F" w:rsidP="00CA42C5">
      <w:pPr>
        <w:jc w:val="both"/>
        <w:rPr>
          <w:rFonts w:ascii="Palatino Linotype" w:hAnsi="Palatino Linotype"/>
          <w:sz w:val="24"/>
          <w:szCs w:val="24"/>
          <w:lang w:val="es-ES_tradnl" w:eastAsia="es-ES"/>
        </w:rPr>
      </w:pPr>
    </w:p>
    <w:p w:rsidR="00E1570F" w:rsidRPr="00CA42C5" w:rsidRDefault="00E1570F" w:rsidP="00CA42C5">
      <w:pPr>
        <w:keepNext/>
        <w:keepLines/>
        <w:numPr>
          <w:ilvl w:val="1"/>
          <w:numId w:val="2"/>
        </w:numPr>
        <w:spacing w:before="240" w:after="0"/>
        <w:ind w:left="0" w:firstLine="0"/>
        <w:jc w:val="both"/>
        <w:outlineLvl w:val="0"/>
        <w:rPr>
          <w:rFonts w:ascii="Palatino Linotype" w:eastAsia="MS Mincho" w:hAnsi="Palatino Linotype" w:cs="Arial"/>
          <w:b/>
          <w:i/>
          <w:sz w:val="24"/>
          <w:szCs w:val="24"/>
          <w:lang w:val="es-ES_tradnl" w:eastAsia="es-MX"/>
        </w:rPr>
      </w:pPr>
      <w:bookmarkStart w:id="70" w:name="_Toc536726461"/>
      <w:bookmarkStart w:id="71" w:name="_Toc7113861"/>
      <w:r w:rsidRPr="00CA42C5">
        <w:rPr>
          <w:rFonts w:ascii="Palatino Linotype" w:eastAsia="MS Gothic" w:hAnsi="Palatino Linotype" w:cstheme="majorBidi"/>
          <w:b/>
          <w:i/>
          <w:noProof/>
          <w:sz w:val="24"/>
          <w:szCs w:val="24"/>
        </w:rPr>
        <w:t>El derecho de acceso a la información publica</w:t>
      </w:r>
      <w:bookmarkEnd w:id="70"/>
      <w:r w:rsidRPr="00CA42C5">
        <w:rPr>
          <w:rFonts w:ascii="Palatino Linotype" w:eastAsia="MS Mincho" w:hAnsi="Palatino Linotype" w:cs="Arial"/>
          <w:b/>
          <w:i/>
          <w:sz w:val="24"/>
          <w:szCs w:val="24"/>
          <w:lang w:val="es-ES_tradnl" w:eastAsia="es-MX"/>
        </w:rPr>
        <w:t>.</w:t>
      </w:r>
      <w:bookmarkEnd w:id="71"/>
    </w:p>
    <w:p w:rsidR="00E1570F" w:rsidRPr="00CA42C5" w:rsidRDefault="00E1570F" w:rsidP="00CA42C5">
      <w:pPr>
        <w:spacing w:after="0" w:line="360" w:lineRule="auto"/>
        <w:contextualSpacing/>
        <w:jc w:val="both"/>
        <w:rPr>
          <w:rFonts w:ascii="Palatino Linotype" w:eastAsia="MS Mincho" w:hAnsi="Palatino Linotype" w:cs="Arial"/>
          <w:sz w:val="24"/>
          <w:szCs w:val="24"/>
          <w:lang w:val="es-ES_tradnl" w:eastAsia="es-MX"/>
        </w:rPr>
      </w:pPr>
    </w:p>
    <w:p w:rsidR="00E1570F" w:rsidRPr="00CA42C5" w:rsidRDefault="00E1570F" w:rsidP="00CA42C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A42C5">
        <w:rPr>
          <w:rFonts w:ascii="Palatino Linotype" w:eastAsia="MS Mincho" w:hAnsi="Palatino Linotype" w:cs="Times New Roman"/>
          <w:sz w:val="24"/>
          <w:szCs w:val="24"/>
          <w:lang w:val="es-ES_tradnl" w:eastAsia="es-ES"/>
        </w:rPr>
        <w:lastRenderedPageBreak/>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E1570F" w:rsidRPr="00CA42C5" w:rsidRDefault="00E1570F" w:rsidP="00CA42C5">
      <w:pPr>
        <w:spacing w:after="0" w:line="360" w:lineRule="auto"/>
        <w:ind w:right="49"/>
        <w:contextualSpacing/>
        <w:jc w:val="both"/>
        <w:rPr>
          <w:rFonts w:ascii="Palatino Linotype" w:eastAsia="MS Mincho" w:hAnsi="Palatino Linotype" w:cs="Times New Roman"/>
          <w:sz w:val="24"/>
          <w:szCs w:val="24"/>
          <w:lang w:val="es-ES_tradnl" w:eastAsia="es-ES"/>
        </w:rPr>
      </w:pPr>
    </w:p>
    <w:p w:rsidR="00E1570F" w:rsidRPr="00CA42C5" w:rsidRDefault="00E1570F" w:rsidP="00CA42C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A42C5">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E1570F" w:rsidRPr="00CA42C5" w:rsidRDefault="00E1570F" w:rsidP="00CA42C5">
      <w:pPr>
        <w:spacing w:after="0" w:line="360" w:lineRule="auto"/>
        <w:ind w:right="49"/>
        <w:contextualSpacing/>
        <w:jc w:val="both"/>
        <w:rPr>
          <w:rFonts w:ascii="Palatino Linotype" w:eastAsia="MS Mincho" w:hAnsi="Palatino Linotype" w:cs="Times New Roman"/>
          <w:sz w:val="24"/>
          <w:szCs w:val="24"/>
          <w:lang w:val="es-ES_tradnl" w:eastAsia="es-ES"/>
        </w:rPr>
      </w:pPr>
    </w:p>
    <w:p w:rsidR="00E1570F" w:rsidRPr="00CA42C5" w:rsidRDefault="00E1570F" w:rsidP="00CA42C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A42C5">
        <w:rPr>
          <w:rFonts w:ascii="Palatino Linotype" w:eastAsia="MS Mincho" w:hAnsi="Palatino Linotype" w:cs="Times New Roman"/>
          <w:sz w:val="24"/>
          <w:szCs w:val="24"/>
          <w:lang w:val="es-ES_tradnl" w:eastAsia="es-ES"/>
        </w:rPr>
        <w:t xml:space="preserve">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w:t>
      </w:r>
      <w:r w:rsidRPr="00CA42C5">
        <w:rPr>
          <w:rFonts w:ascii="Palatino Linotype" w:eastAsia="MS Mincho" w:hAnsi="Palatino Linotype" w:cs="Times New Roman"/>
          <w:sz w:val="24"/>
          <w:szCs w:val="24"/>
          <w:lang w:val="es-ES_tradnl" w:eastAsia="es-ES"/>
        </w:rPr>
        <w:lastRenderedPageBreak/>
        <w:t>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E1570F" w:rsidRPr="00CA42C5" w:rsidRDefault="00E1570F" w:rsidP="00CA42C5">
      <w:pPr>
        <w:spacing w:after="0" w:line="360" w:lineRule="auto"/>
        <w:contextualSpacing/>
        <w:jc w:val="both"/>
        <w:rPr>
          <w:rFonts w:ascii="Palatino Linotype" w:eastAsia="MS Mincho" w:hAnsi="Palatino Linotype" w:cs="Times New Roman"/>
          <w:sz w:val="24"/>
          <w:szCs w:val="24"/>
          <w:lang w:val="es-ES_tradnl" w:eastAsia="es-ES"/>
        </w:rPr>
      </w:pPr>
    </w:p>
    <w:p w:rsidR="00E1570F" w:rsidRPr="00CA42C5" w:rsidRDefault="00E1570F" w:rsidP="00CA42C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A42C5">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1570F" w:rsidRPr="00CA42C5" w:rsidRDefault="00E1570F" w:rsidP="00CA42C5">
      <w:pPr>
        <w:spacing w:after="0" w:line="360" w:lineRule="auto"/>
        <w:ind w:right="34"/>
        <w:contextualSpacing/>
        <w:jc w:val="both"/>
        <w:rPr>
          <w:rFonts w:ascii="Palatino Linotype" w:eastAsia="MS Mincho" w:hAnsi="Palatino Linotype" w:cs="Times New Roman"/>
          <w:sz w:val="24"/>
          <w:szCs w:val="24"/>
          <w:lang w:val="es-ES_tradnl" w:eastAsia="es-ES"/>
        </w:rPr>
      </w:pPr>
    </w:p>
    <w:p w:rsidR="00E1570F" w:rsidRPr="00CA42C5" w:rsidRDefault="00E1570F" w:rsidP="00CA42C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CA42C5">
        <w:rPr>
          <w:rFonts w:ascii="Palatino Linotype" w:eastAsia="MS Mincho" w:hAnsi="Palatino Linotype" w:cs="Times New Roman"/>
          <w:sz w:val="24"/>
          <w:szCs w:val="24"/>
          <w:lang w:val="es-ES_tradnl" w:eastAsia="es-ES"/>
        </w:rPr>
        <w:t>Derivado</w:t>
      </w:r>
      <w:r w:rsidRPr="00CA42C5">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E1570F" w:rsidRPr="00CA42C5" w:rsidRDefault="00E1570F" w:rsidP="00CA42C5">
      <w:pPr>
        <w:keepNext/>
        <w:keepLines/>
        <w:spacing w:before="40" w:after="0"/>
        <w:jc w:val="both"/>
        <w:outlineLvl w:val="1"/>
        <w:rPr>
          <w:rFonts w:ascii="Palatino Linotype" w:eastAsia="MS Mincho" w:hAnsi="Palatino Linotype" w:cstheme="majorBidi"/>
          <w:b/>
          <w:i/>
          <w:sz w:val="24"/>
          <w:szCs w:val="24"/>
          <w:lang w:val="es-ES_tradnl" w:eastAsia="es-ES"/>
        </w:rPr>
      </w:pPr>
    </w:p>
    <w:p w:rsidR="00E1570F" w:rsidRPr="00CA42C5" w:rsidRDefault="00E1570F" w:rsidP="00CA42C5">
      <w:pPr>
        <w:keepNext/>
        <w:keepLines/>
        <w:spacing w:before="40" w:after="0"/>
        <w:jc w:val="both"/>
        <w:outlineLvl w:val="1"/>
        <w:rPr>
          <w:rFonts w:ascii="Palatino Linotype" w:eastAsia="MS Mincho" w:hAnsi="Palatino Linotype" w:cstheme="majorBidi"/>
          <w:b/>
          <w:i/>
          <w:sz w:val="24"/>
          <w:szCs w:val="24"/>
          <w:lang w:val="es-ES_tradnl" w:eastAsia="es-ES"/>
        </w:rPr>
      </w:pPr>
      <w:bookmarkStart w:id="72" w:name="_Toc7113862"/>
      <w:r w:rsidRPr="00CA42C5">
        <w:rPr>
          <w:rFonts w:ascii="Palatino Linotype" w:eastAsia="MS Mincho" w:hAnsi="Palatino Linotype" w:cstheme="majorBidi"/>
          <w:b/>
          <w:i/>
          <w:sz w:val="24"/>
          <w:szCs w:val="24"/>
          <w:lang w:val="es-ES_tradnl" w:eastAsia="es-ES"/>
        </w:rPr>
        <w:t>II. Análisis del contenido de la repuesta</w:t>
      </w:r>
      <w:bookmarkEnd w:id="72"/>
      <w:r w:rsidRPr="00CA42C5">
        <w:rPr>
          <w:rFonts w:ascii="Palatino Linotype" w:eastAsia="MS Mincho" w:hAnsi="Palatino Linotype" w:cstheme="majorBidi"/>
          <w:b/>
          <w:i/>
          <w:sz w:val="24"/>
          <w:szCs w:val="24"/>
          <w:lang w:val="es-ES_tradnl" w:eastAsia="es-ES"/>
        </w:rPr>
        <w:t xml:space="preserve"> </w:t>
      </w:r>
    </w:p>
    <w:p w:rsidR="00E1570F" w:rsidRPr="00CA42C5" w:rsidRDefault="00E1570F" w:rsidP="00CA42C5">
      <w:pPr>
        <w:jc w:val="both"/>
        <w:rPr>
          <w:rFonts w:ascii="Palatino Linotype" w:hAnsi="Palatino Linotype"/>
          <w:sz w:val="24"/>
          <w:szCs w:val="24"/>
          <w:lang w:val="es-ES_tradnl" w:eastAsia="es-ES"/>
        </w:rPr>
      </w:pPr>
    </w:p>
    <w:p w:rsidR="004B6D6F" w:rsidRDefault="004B6D6F" w:rsidP="00CA42C5">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CA42C5">
        <w:rPr>
          <w:rFonts w:ascii="Palatino Linotype" w:eastAsia="MS Mincho" w:hAnsi="Palatino Linotype" w:cstheme="majorBidi"/>
          <w:sz w:val="24"/>
          <w:szCs w:val="24"/>
          <w:lang w:val="es-ES_tradnl" w:eastAsia="es-ES"/>
        </w:rPr>
        <w:lastRenderedPageBreak/>
        <w:t>El particular tiene el interés de acceder a los nombramiento, percepciones mensuales brutas y netas,</w:t>
      </w:r>
      <w:r w:rsidR="009F2118" w:rsidRPr="00CA42C5">
        <w:rPr>
          <w:rFonts w:ascii="Palatino Linotype" w:eastAsia="MS Mincho" w:hAnsi="Palatino Linotype" w:cstheme="majorBidi"/>
          <w:sz w:val="24"/>
          <w:szCs w:val="24"/>
          <w:lang w:val="es-ES_tradnl" w:eastAsia="es-ES"/>
        </w:rPr>
        <w:t xml:space="preserve"> compensaciones, apoyos económicos,</w:t>
      </w:r>
      <w:r w:rsidRPr="00CA42C5">
        <w:rPr>
          <w:rFonts w:ascii="Palatino Linotype" w:eastAsia="MS Mincho" w:hAnsi="Palatino Linotype" w:cstheme="majorBidi"/>
          <w:sz w:val="24"/>
          <w:szCs w:val="24"/>
          <w:lang w:val="es-ES_tradnl" w:eastAsia="es-ES"/>
        </w:rPr>
        <w:t xml:space="preserve"> así como los materiales con lo que cuenta cada área que refirió, como resultan ser:</w:t>
      </w:r>
    </w:p>
    <w:p w:rsidR="00270E5A" w:rsidRPr="00CA42C5" w:rsidRDefault="00270E5A" w:rsidP="00270E5A">
      <w:pPr>
        <w:spacing w:after="120" w:line="360" w:lineRule="auto"/>
        <w:ind w:right="49"/>
        <w:contextualSpacing/>
        <w:jc w:val="both"/>
        <w:rPr>
          <w:rFonts w:ascii="Palatino Linotype" w:eastAsia="MS Mincho" w:hAnsi="Palatino Linotype" w:cstheme="majorBidi"/>
          <w:sz w:val="24"/>
          <w:szCs w:val="24"/>
          <w:lang w:val="es-ES_tradnl" w:eastAsia="es-ES"/>
        </w:rPr>
      </w:pPr>
    </w:p>
    <w:p w:rsidR="004B6D6F" w:rsidRPr="00CA42C5" w:rsidRDefault="004B6D6F" w:rsidP="00CA42C5">
      <w:pPr>
        <w:pStyle w:val="Prrafodelista"/>
        <w:numPr>
          <w:ilvl w:val="0"/>
          <w:numId w:val="18"/>
        </w:numPr>
        <w:spacing w:after="120" w:line="360" w:lineRule="auto"/>
        <w:ind w:right="49"/>
        <w:jc w:val="both"/>
        <w:rPr>
          <w:rFonts w:ascii="Palatino Linotype" w:eastAsia="MS Mincho" w:hAnsi="Palatino Linotype" w:cstheme="majorBidi"/>
          <w:sz w:val="24"/>
          <w:szCs w:val="24"/>
          <w:lang w:val="es-ES_tradnl" w:eastAsia="es-ES"/>
        </w:rPr>
      </w:pPr>
      <w:r w:rsidRPr="00CA42C5">
        <w:rPr>
          <w:rFonts w:ascii="Palatino Linotype" w:eastAsia="Times New Roman" w:hAnsi="Palatino Linotype" w:cs="Times New Roman"/>
          <w:b/>
          <w:i/>
          <w:sz w:val="24"/>
          <w:szCs w:val="24"/>
          <w:u w:val="single"/>
          <w:lang w:eastAsia="es-MX"/>
        </w:rPr>
        <w:t>DIRECTOR</w:t>
      </w:r>
      <w:r w:rsidRPr="00CA42C5">
        <w:rPr>
          <w:rFonts w:ascii="Palatino Linotype" w:eastAsia="Times New Roman" w:hAnsi="Palatino Linotype" w:cs="Times New Roman"/>
          <w:i/>
          <w:sz w:val="24"/>
          <w:szCs w:val="24"/>
          <w:u w:val="single"/>
          <w:lang w:eastAsia="es-MX"/>
        </w:rPr>
        <w:t xml:space="preserve"> O </w:t>
      </w:r>
      <w:r w:rsidRPr="00CA42C5">
        <w:rPr>
          <w:rFonts w:ascii="Palatino Linotype" w:eastAsia="Times New Roman" w:hAnsi="Palatino Linotype" w:cs="Times New Roman"/>
          <w:b/>
          <w:i/>
          <w:sz w:val="24"/>
          <w:szCs w:val="24"/>
          <w:u w:val="single"/>
          <w:lang w:eastAsia="es-MX"/>
        </w:rPr>
        <w:t>COORDINADOR DEL INSTITUTO DE CULTURA FISICA Y DEPORTE;</w:t>
      </w:r>
    </w:p>
    <w:p w:rsidR="004B6D6F" w:rsidRPr="00CA42C5" w:rsidRDefault="004B6D6F" w:rsidP="00CA42C5">
      <w:pPr>
        <w:pStyle w:val="Prrafodelista"/>
        <w:numPr>
          <w:ilvl w:val="0"/>
          <w:numId w:val="18"/>
        </w:numPr>
        <w:spacing w:after="120" w:line="360" w:lineRule="auto"/>
        <w:ind w:right="49"/>
        <w:jc w:val="both"/>
        <w:rPr>
          <w:rFonts w:ascii="Palatino Linotype" w:eastAsia="MS Mincho" w:hAnsi="Palatino Linotype" w:cstheme="majorBidi"/>
          <w:sz w:val="24"/>
          <w:szCs w:val="24"/>
          <w:lang w:val="es-ES_tradnl" w:eastAsia="es-ES"/>
        </w:rPr>
      </w:pPr>
      <w:r w:rsidRPr="00CA42C5">
        <w:rPr>
          <w:rFonts w:ascii="Palatino Linotype" w:eastAsia="MS Mincho" w:hAnsi="Palatino Linotype" w:cstheme="majorBidi"/>
          <w:b/>
          <w:i/>
          <w:sz w:val="24"/>
          <w:szCs w:val="24"/>
          <w:u w:val="single"/>
          <w:lang w:eastAsia="es-ES"/>
        </w:rPr>
        <w:t>COORDINADOR O DIRECTOR DEL INSTITUTO DE LA JUVENTUD;</w:t>
      </w:r>
    </w:p>
    <w:p w:rsidR="004B6D6F" w:rsidRPr="00CA42C5" w:rsidRDefault="004B6D6F" w:rsidP="00CA42C5">
      <w:pPr>
        <w:pStyle w:val="Prrafodelista"/>
        <w:numPr>
          <w:ilvl w:val="0"/>
          <w:numId w:val="18"/>
        </w:numPr>
        <w:spacing w:after="120" w:line="360" w:lineRule="auto"/>
        <w:ind w:right="49"/>
        <w:jc w:val="both"/>
        <w:rPr>
          <w:rFonts w:ascii="Palatino Linotype" w:eastAsia="MS Mincho" w:hAnsi="Palatino Linotype" w:cstheme="majorBidi"/>
          <w:sz w:val="24"/>
          <w:szCs w:val="24"/>
          <w:lang w:val="es-ES_tradnl" w:eastAsia="es-ES"/>
        </w:rPr>
      </w:pPr>
      <w:r w:rsidRPr="00CA42C5">
        <w:rPr>
          <w:rFonts w:ascii="Palatino Linotype" w:eastAsia="MS Mincho" w:hAnsi="Palatino Linotype" w:cstheme="majorBidi"/>
          <w:b/>
          <w:i/>
          <w:sz w:val="24"/>
          <w:szCs w:val="24"/>
          <w:u w:val="single"/>
          <w:lang w:eastAsia="es-ES"/>
        </w:rPr>
        <w:t>DIRECTORA DE DESARROLLO ECONOMICO;</w:t>
      </w:r>
    </w:p>
    <w:p w:rsidR="004B6D6F" w:rsidRPr="00CA42C5" w:rsidRDefault="004B6D6F" w:rsidP="00CA42C5">
      <w:pPr>
        <w:pStyle w:val="Prrafodelista"/>
        <w:numPr>
          <w:ilvl w:val="0"/>
          <w:numId w:val="18"/>
        </w:numPr>
        <w:spacing w:after="120" w:line="360" w:lineRule="auto"/>
        <w:ind w:right="49"/>
        <w:jc w:val="both"/>
        <w:rPr>
          <w:rFonts w:ascii="Palatino Linotype" w:eastAsia="MS Mincho" w:hAnsi="Palatino Linotype" w:cstheme="majorBidi"/>
          <w:sz w:val="24"/>
          <w:szCs w:val="24"/>
          <w:lang w:val="es-ES_tradnl" w:eastAsia="es-ES"/>
        </w:rPr>
      </w:pPr>
      <w:r w:rsidRPr="00CA42C5">
        <w:rPr>
          <w:rFonts w:ascii="Palatino Linotype" w:eastAsia="MS Mincho" w:hAnsi="Palatino Linotype" w:cstheme="majorBidi"/>
          <w:b/>
          <w:i/>
          <w:sz w:val="24"/>
          <w:szCs w:val="24"/>
          <w:u w:val="single"/>
          <w:lang w:eastAsia="es-ES"/>
        </w:rPr>
        <w:t>DIRECTOR DE DESARROLLO SOCIAL; y</w:t>
      </w:r>
    </w:p>
    <w:p w:rsidR="004B6D6F" w:rsidRPr="00CA42C5" w:rsidRDefault="004B6D6F" w:rsidP="00CA42C5">
      <w:pPr>
        <w:pStyle w:val="Prrafodelista"/>
        <w:numPr>
          <w:ilvl w:val="0"/>
          <w:numId w:val="18"/>
        </w:numPr>
        <w:spacing w:after="120" w:line="360" w:lineRule="auto"/>
        <w:ind w:right="49"/>
        <w:jc w:val="both"/>
        <w:rPr>
          <w:rFonts w:ascii="Palatino Linotype" w:eastAsia="MS Mincho" w:hAnsi="Palatino Linotype" w:cstheme="majorBidi"/>
          <w:sz w:val="24"/>
          <w:szCs w:val="24"/>
          <w:lang w:val="es-ES_tradnl" w:eastAsia="es-ES"/>
        </w:rPr>
      </w:pPr>
      <w:r w:rsidRPr="00CA42C5">
        <w:rPr>
          <w:rFonts w:ascii="Palatino Linotype" w:eastAsia="MS Mincho" w:hAnsi="Palatino Linotype" w:cstheme="majorBidi"/>
          <w:b/>
          <w:i/>
          <w:sz w:val="24"/>
          <w:szCs w:val="24"/>
          <w:u w:val="single"/>
          <w:lang w:eastAsia="es-ES"/>
        </w:rPr>
        <w:t>SECRETARIO DE AYUNTAMIENTO.</w:t>
      </w:r>
    </w:p>
    <w:p w:rsidR="004B6D6F" w:rsidRPr="00CA42C5" w:rsidRDefault="004B6D6F" w:rsidP="00CA42C5">
      <w:pPr>
        <w:spacing w:after="120" w:line="360" w:lineRule="auto"/>
        <w:ind w:right="49"/>
        <w:contextualSpacing/>
        <w:jc w:val="both"/>
        <w:rPr>
          <w:rFonts w:ascii="Palatino Linotype" w:eastAsia="MS Mincho" w:hAnsi="Palatino Linotype" w:cstheme="majorBidi"/>
          <w:sz w:val="24"/>
          <w:szCs w:val="24"/>
          <w:lang w:val="es-ES_tradnl" w:eastAsia="es-ES"/>
        </w:rPr>
      </w:pPr>
    </w:p>
    <w:p w:rsidR="00E1570F" w:rsidRPr="00CA42C5" w:rsidRDefault="00E1570F" w:rsidP="00CA42C5">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CA42C5">
        <w:rPr>
          <w:rFonts w:ascii="Palatino Linotype" w:eastAsia="MS Mincho" w:hAnsi="Palatino Linotype" w:cstheme="majorBidi"/>
          <w:sz w:val="24"/>
          <w:szCs w:val="24"/>
          <w:lang w:val="es-ES_tradnl" w:eastAsia="es-ES"/>
        </w:rPr>
        <w:t xml:space="preserve">El </w:t>
      </w:r>
      <w:r w:rsidRPr="00CA42C5">
        <w:rPr>
          <w:rFonts w:ascii="Palatino Linotype" w:eastAsia="MS Mincho" w:hAnsi="Palatino Linotype" w:cstheme="majorBidi"/>
          <w:b/>
          <w:sz w:val="24"/>
          <w:szCs w:val="24"/>
          <w:lang w:val="es-ES_tradnl" w:eastAsia="es-ES"/>
        </w:rPr>
        <w:t>SUJETO OBLIGADO</w:t>
      </w:r>
      <w:r w:rsidRPr="00CA42C5">
        <w:rPr>
          <w:rFonts w:ascii="Palatino Linotype" w:eastAsia="MS Mincho" w:hAnsi="Palatino Linotype" w:cstheme="majorBidi"/>
          <w:sz w:val="24"/>
          <w:szCs w:val="24"/>
          <w:lang w:val="es-ES_tradnl" w:eastAsia="es-ES"/>
        </w:rPr>
        <w:t xml:space="preserve"> estando en tiempo y forma dio contestación a la solicitud de información, </w:t>
      </w:r>
      <w:r w:rsidR="00156792" w:rsidRPr="00CA42C5">
        <w:rPr>
          <w:rFonts w:ascii="Palatino Linotype" w:eastAsia="MS Mincho" w:hAnsi="Palatino Linotype" w:cstheme="majorBidi"/>
          <w:sz w:val="24"/>
          <w:szCs w:val="24"/>
          <w:lang w:val="es-ES_tradnl" w:eastAsia="es-ES"/>
        </w:rPr>
        <w:t xml:space="preserve">proporcionado los respectivos nombramientos de los Titulares de las áreas referidas en la solicitud. </w:t>
      </w:r>
      <w:r w:rsidRPr="00CA42C5">
        <w:rPr>
          <w:rFonts w:ascii="Palatino Linotype" w:eastAsia="MS Mincho" w:hAnsi="Palatino Linotype" w:cstheme="majorBidi"/>
          <w:sz w:val="24"/>
          <w:szCs w:val="24"/>
          <w:lang w:val="es-ES_tradnl" w:eastAsia="es-ES"/>
        </w:rPr>
        <w:t xml:space="preserve">De la revisión realizada al contenido de la respuesta se puede observar que </w:t>
      </w:r>
      <w:r w:rsidR="00156792" w:rsidRPr="00CA42C5">
        <w:rPr>
          <w:rFonts w:ascii="Palatino Linotype" w:eastAsia="MS Mincho" w:hAnsi="Palatino Linotype" w:cstheme="majorBidi"/>
          <w:sz w:val="24"/>
          <w:szCs w:val="24"/>
          <w:lang w:val="es-ES_tradnl" w:eastAsia="es-ES"/>
        </w:rPr>
        <w:t>efectivamente ésta es</w:t>
      </w:r>
      <w:r w:rsidRPr="00CA42C5">
        <w:rPr>
          <w:rFonts w:ascii="Palatino Linotype" w:eastAsia="MS Mincho" w:hAnsi="Palatino Linotype" w:cstheme="majorBidi"/>
          <w:sz w:val="24"/>
          <w:szCs w:val="24"/>
          <w:lang w:val="es-ES_tradnl" w:eastAsia="es-ES"/>
        </w:rPr>
        <w:t xml:space="preserve"> incompleta por lo tanto resulta evidente que se vulnera el derecho de acceso a la información del particular, siendo que los motivos de inconformidad resultan fundados y procedentes.</w:t>
      </w:r>
    </w:p>
    <w:p w:rsidR="00E1570F" w:rsidRPr="00CA42C5" w:rsidRDefault="00E1570F" w:rsidP="00CA42C5">
      <w:pPr>
        <w:spacing w:after="120" w:line="360" w:lineRule="auto"/>
        <w:ind w:right="49"/>
        <w:contextualSpacing/>
        <w:jc w:val="both"/>
        <w:rPr>
          <w:rFonts w:ascii="Palatino Linotype" w:eastAsia="MS Mincho" w:hAnsi="Palatino Linotype" w:cstheme="majorBidi"/>
          <w:sz w:val="24"/>
          <w:szCs w:val="24"/>
          <w:lang w:val="es-ES_tradnl" w:eastAsia="es-ES"/>
        </w:rPr>
      </w:pPr>
    </w:p>
    <w:p w:rsidR="00E1570F" w:rsidRPr="00CA42C5" w:rsidRDefault="00E1570F" w:rsidP="00CA42C5">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CA42C5">
        <w:rPr>
          <w:rFonts w:ascii="Palatino Linotype" w:eastAsia="MS Mincho" w:hAnsi="Palatino Linotype" w:cstheme="majorBidi"/>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w:t>
      </w:r>
      <w:r w:rsidRPr="00CA42C5">
        <w:rPr>
          <w:rFonts w:ascii="Palatino Linotype" w:eastAsia="MS Mincho" w:hAnsi="Palatino Linotype" w:cstheme="majorBidi"/>
          <w:sz w:val="24"/>
          <w:szCs w:val="24"/>
          <w:lang w:val="es-ES_tradnl" w:eastAsia="es-ES"/>
        </w:rPr>
        <w:lastRenderedPageBreak/>
        <w:t xml:space="preserve">facultado para manifestarse sobre la veracidad de la información proporcionada por parte de los </w:t>
      </w:r>
      <w:r w:rsidRPr="00CA42C5">
        <w:rPr>
          <w:rFonts w:ascii="Palatino Linotype" w:eastAsia="MS Mincho" w:hAnsi="Palatino Linotype" w:cstheme="majorBidi"/>
          <w:b/>
          <w:sz w:val="24"/>
          <w:szCs w:val="24"/>
          <w:lang w:val="es-ES_tradnl" w:eastAsia="es-ES"/>
        </w:rPr>
        <w:t>SUJETOS OBLIGADOS</w:t>
      </w:r>
      <w:r w:rsidRPr="00CA42C5">
        <w:rPr>
          <w:rFonts w:ascii="Palatino Linotype" w:eastAsia="MS Mincho" w:hAnsi="Palatino Linotype" w:cstheme="majorBidi"/>
          <w:sz w:val="24"/>
          <w:szCs w:val="24"/>
          <w:lang w:val="es-ES_tradnl" w:eastAsia="es-ES"/>
        </w:rPr>
        <w:t>, en ese sentido se procede a citar el siguiente Criterio:</w:t>
      </w:r>
    </w:p>
    <w:p w:rsidR="00E1570F" w:rsidRPr="00CA42C5" w:rsidRDefault="00E1570F" w:rsidP="00CA42C5">
      <w:pPr>
        <w:spacing w:after="120" w:line="360" w:lineRule="auto"/>
        <w:ind w:right="616"/>
        <w:contextualSpacing/>
        <w:jc w:val="both"/>
        <w:rPr>
          <w:rFonts w:ascii="Palatino Linotype" w:eastAsia="MS Mincho" w:hAnsi="Palatino Linotype" w:cstheme="majorBidi"/>
          <w:b/>
          <w:i/>
          <w:sz w:val="24"/>
          <w:szCs w:val="24"/>
          <w:lang w:eastAsia="es-ES"/>
        </w:rPr>
      </w:pPr>
    </w:p>
    <w:p w:rsidR="00E1570F" w:rsidRDefault="00E1570F" w:rsidP="00CA42C5">
      <w:pPr>
        <w:spacing w:after="120" w:line="360" w:lineRule="auto"/>
        <w:ind w:right="616"/>
        <w:contextualSpacing/>
        <w:jc w:val="both"/>
        <w:rPr>
          <w:rFonts w:ascii="Palatino Linotype" w:eastAsia="MS Mincho" w:hAnsi="Palatino Linotype" w:cstheme="majorBidi"/>
          <w:i/>
          <w:sz w:val="24"/>
          <w:szCs w:val="24"/>
          <w:lang w:eastAsia="es-ES"/>
        </w:rPr>
      </w:pPr>
      <w:r w:rsidRPr="00CA42C5">
        <w:rPr>
          <w:rFonts w:ascii="Palatino Linotype" w:eastAsia="MS Mincho" w:hAnsi="Palatino Linotype" w:cstheme="majorBidi"/>
          <w:b/>
          <w:i/>
          <w:sz w:val="24"/>
          <w:szCs w:val="24"/>
          <w:lang w:eastAsia="es-ES"/>
        </w:rPr>
        <w:t>El Instituto Federal de Acceso a la Información y Protección de Datos no cuenta con facultades para pronunciarse respecto de la veracidad de los documentos proporcionados por los sujetos obligados.</w:t>
      </w:r>
      <w:r w:rsidRPr="00CA42C5">
        <w:rPr>
          <w:rFonts w:ascii="Palatino Linotype" w:eastAsia="MS Mincho" w:hAnsi="Palatino Linotype" w:cstheme="majorBidi"/>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70E5A" w:rsidRPr="00270E5A" w:rsidRDefault="00270E5A" w:rsidP="00CA42C5">
      <w:pPr>
        <w:spacing w:after="120" w:line="360" w:lineRule="auto"/>
        <w:ind w:right="616"/>
        <w:contextualSpacing/>
        <w:jc w:val="both"/>
        <w:rPr>
          <w:rFonts w:ascii="Palatino Linotype" w:eastAsia="MS Mincho" w:hAnsi="Palatino Linotype" w:cstheme="majorBidi"/>
          <w:i/>
          <w:sz w:val="12"/>
          <w:szCs w:val="24"/>
          <w:lang w:eastAsia="es-ES"/>
        </w:rPr>
      </w:pPr>
    </w:p>
    <w:p w:rsidR="00E1570F" w:rsidRDefault="00E1570F" w:rsidP="00CA42C5">
      <w:pPr>
        <w:spacing w:after="120" w:line="360" w:lineRule="auto"/>
        <w:ind w:right="616"/>
        <w:contextualSpacing/>
        <w:jc w:val="both"/>
        <w:rPr>
          <w:rFonts w:ascii="Palatino Linotype" w:eastAsia="MS Mincho" w:hAnsi="Palatino Linotype" w:cstheme="majorBidi"/>
          <w:i/>
          <w:sz w:val="24"/>
          <w:szCs w:val="24"/>
          <w:lang w:eastAsia="es-ES"/>
        </w:rPr>
      </w:pPr>
      <w:r w:rsidRPr="00CA42C5">
        <w:rPr>
          <w:rFonts w:ascii="Palatino Linotype" w:eastAsia="MS Mincho" w:hAnsi="Palatino Linotype" w:cstheme="majorBidi"/>
          <w:i/>
          <w:sz w:val="24"/>
          <w:szCs w:val="24"/>
          <w:lang w:eastAsia="es-ES"/>
        </w:rPr>
        <w:t>Expedientes:</w:t>
      </w:r>
    </w:p>
    <w:p w:rsidR="00270E5A" w:rsidRPr="00270E5A" w:rsidRDefault="00270E5A" w:rsidP="00CA42C5">
      <w:pPr>
        <w:spacing w:after="120" w:line="360" w:lineRule="auto"/>
        <w:ind w:right="616"/>
        <w:contextualSpacing/>
        <w:jc w:val="both"/>
        <w:rPr>
          <w:rFonts w:ascii="Palatino Linotype" w:eastAsia="MS Mincho" w:hAnsi="Palatino Linotype" w:cstheme="majorBidi"/>
          <w:i/>
          <w:sz w:val="12"/>
          <w:szCs w:val="24"/>
          <w:lang w:eastAsia="es-ES"/>
        </w:rPr>
      </w:pPr>
    </w:p>
    <w:p w:rsidR="00E1570F" w:rsidRPr="00CA42C5" w:rsidRDefault="00E1570F" w:rsidP="00CA42C5">
      <w:pPr>
        <w:spacing w:after="120" w:line="360" w:lineRule="auto"/>
        <w:ind w:right="616"/>
        <w:contextualSpacing/>
        <w:jc w:val="both"/>
        <w:rPr>
          <w:rFonts w:ascii="Palatino Linotype" w:eastAsia="MS Mincho" w:hAnsi="Palatino Linotype" w:cstheme="majorBidi"/>
          <w:i/>
          <w:sz w:val="24"/>
          <w:szCs w:val="24"/>
          <w:lang w:eastAsia="es-ES"/>
        </w:rPr>
      </w:pPr>
      <w:r w:rsidRPr="00CA42C5">
        <w:rPr>
          <w:rFonts w:ascii="Palatino Linotype" w:eastAsia="MS Mincho" w:hAnsi="Palatino Linotype" w:cstheme="majorBidi"/>
          <w:i/>
          <w:sz w:val="24"/>
          <w:szCs w:val="24"/>
          <w:lang w:eastAsia="es-ES"/>
        </w:rPr>
        <w:t>2440/07 Comisión Federal de Electricidad - Alonso Lujambio Irazábal</w:t>
      </w:r>
    </w:p>
    <w:p w:rsidR="00E1570F" w:rsidRPr="00CA42C5" w:rsidRDefault="00E1570F" w:rsidP="00CA42C5">
      <w:pPr>
        <w:spacing w:after="120" w:line="360" w:lineRule="auto"/>
        <w:ind w:right="616"/>
        <w:contextualSpacing/>
        <w:jc w:val="both"/>
        <w:rPr>
          <w:rFonts w:ascii="Palatino Linotype" w:eastAsia="MS Mincho" w:hAnsi="Palatino Linotype" w:cstheme="majorBidi"/>
          <w:i/>
          <w:sz w:val="24"/>
          <w:szCs w:val="24"/>
          <w:lang w:eastAsia="es-ES"/>
        </w:rPr>
      </w:pPr>
      <w:r w:rsidRPr="00CA42C5">
        <w:rPr>
          <w:rFonts w:ascii="Palatino Linotype" w:eastAsia="MS Mincho" w:hAnsi="Palatino Linotype" w:cstheme="majorBidi"/>
          <w:i/>
          <w:sz w:val="24"/>
          <w:szCs w:val="24"/>
          <w:lang w:eastAsia="es-ES"/>
        </w:rPr>
        <w:t>0113/09 Instituto de Seguridad y Servicios Sociales de los Trabajadores del</w:t>
      </w:r>
    </w:p>
    <w:p w:rsidR="00E1570F" w:rsidRPr="00CA42C5" w:rsidRDefault="00E1570F" w:rsidP="00CA42C5">
      <w:pPr>
        <w:spacing w:after="120" w:line="360" w:lineRule="auto"/>
        <w:ind w:right="616"/>
        <w:contextualSpacing/>
        <w:jc w:val="both"/>
        <w:rPr>
          <w:rFonts w:ascii="Palatino Linotype" w:eastAsia="MS Mincho" w:hAnsi="Palatino Linotype" w:cstheme="majorBidi"/>
          <w:i/>
          <w:sz w:val="24"/>
          <w:szCs w:val="24"/>
          <w:lang w:eastAsia="es-ES"/>
        </w:rPr>
      </w:pPr>
      <w:r w:rsidRPr="00CA42C5">
        <w:rPr>
          <w:rFonts w:ascii="Palatino Linotype" w:eastAsia="MS Mincho" w:hAnsi="Palatino Linotype" w:cstheme="majorBidi"/>
          <w:i/>
          <w:sz w:val="24"/>
          <w:szCs w:val="24"/>
          <w:lang w:eastAsia="es-ES"/>
        </w:rPr>
        <w:lastRenderedPageBreak/>
        <w:t>Estado – Alonso Lujambio Irazábal</w:t>
      </w:r>
    </w:p>
    <w:p w:rsidR="00E1570F" w:rsidRPr="00CA42C5" w:rsidRDefault="00E1570F" w:rsidP="00CA42C5">
      <w:pPr>
        <w:spacing w:after="120" w:line="360" w:lineRule="auto"/>
        <w:ind w:right="616"/>
        <w:contextualSpacing/>
        <w:jc w:val="both"/>
        <w:rPr>
          <w:rFonts w:ascii="Palatino Linotype" w:eastAsia="MS Mincho" w:hAnsi="Palatino Linotype" w:cstheme="majorBidi"/>
          <w:i/>
          <w:sz w:val="24"/>
          <w:szCs w:val="24"/>
          <w:lang w:eastAsia="es-ES"/>
        </w:rPr>
      </w:pPr>
      <w:r w:rsidRPr="00CA42C5">
        <w:rPr>
          <w:rFonts w:ascii="Palatino Linotype" w:eastAsia="MS Mincho" w:hAnsi="Palatino Linotype" w:cstheme="majorBidi"/>
          <w:i/>
          <w:sz w:val="24"/>
          <w:szCs w:val="24"/>
          <w:lang w:eastAsia="es-ES"/>
        </w:rPr>
        <w:t xml:space="preserve">1624/09 Instituto Nacional para la Educación de los Adultos - María </w:t>
      </w:r>
      <w:proofErr w:type="spellStart"/>
      <w:r w:rsidRPr="00CA42C5">
        <w:rPr>
          <w:rFonts w:ascii="Palatino Linotype" w:eastAsia="MS Mincho" w:hAnsi="Palatino Linotype" w:cstheme="majorBidi"/>
          <w:i/>
          <w:sz w:val="24"/>
          <w:szCs w:val="24"/>
          <w:lang w:eastAsia="es-ES"/>
        </w:rPr>
        <w:t>Marván</w:t>
      </w:r>
      <w:proofErr w:type="spellEnd"/>
      <w:r w:rsidRPr="00CA42C5">
        <w:rPr>
          <w:rFonts w:ascii="Palatino Linotype" w:eastAsia="MS Mincho" w:hAnsi="Palatino Linotype" w:cstheme="majorBidi"/>
          <w:i/>
          <w:sz w:val="24"/>
          <w:szCs w:val="24"/>
          <w:lang w:eastAsia="es-ES"/>
        </w:rPr>
        <w:t xml:space="preserve"> Laborde</w:t>
      </w:r>
    </w:p>
    <w:p w:rsidR="00E1570F" w:rsidRPr="00CA42C5" w:rsidRDefault="00E1570F" w:rsidP="00CA42C5">
      <w:pPr>
        <w:spacing w:after="120" w:line="360" w:lineRule="auto"/>
        <w:ind w:right="616"/>
        <w:contextualSpacing/>
        <w:jc w:val="both"/>
        <w:rPr>
          <w:rFonts w:ascii="Palatino Linotype" w:eastAsia="MS Mincho" w:hAnsi="Palatino Linotype" w:cstheme="majorBidi"/>
          <w:i/>
          <w:sz w:val="24"/>
          <w:szCs w:val="24"/>
          <w:lang w:eastAsia="es-ES"/>
        </w:rPr>
      </w:pPr>
      <w:r w:rsidRPr="00CA42C5">
        <w:rPr>
          <w:rFonts w:ascii="Palatino Linotype" w:eastAsia="MS Mincho" w:hAnsi="Palatino Linotype" w:cstheme="majorBidi"/>
          <w:i/>
          <w:sz w:val="24"/>
          <w:szCs w:val="24"/>
          <w:lang w:eastAsia="es-ES"/>
        </w:rPr>
        <w:t xml:space="preserve">2395/09 Secretaría de Economía - María </w:t>
      </w:r>
      <w:proofErr w:type="spellStart"/>
      <w:r w:rsidRPr="00CA42C5">
        <w:rPr>
          <w:rFonts w:ascii="Palatino Linotype" w:eastAsia="MS Mincho" w:hAnsi="Palatino Linotype" w:cstheme="majorBidi"/>
          <w:i/>
          <w:sz w:val="24"/>
          <w:szCs w:val="24"/>
          <w:lang w:eastAsia="es-ES"/>
        </w:rPr>
        <w:t>Marván</w:t>
      </w:r>
      <w:proofErr w:type="spellEnd"/>
      <w:r w:rsidRPr="00CA42C5">
        <w:rPr>
          <w:rFonts w:ascii="Palatino Linotype" w:eastAsia="MS Mincho" w:hAnsi="Palatino Linotype" w:cstheme="majorBidi"/>
          <w:i/>
          <w:sz w:val="24"/>
          <w:szCs w:val="24"/>
          <w:lang w:eastAsia="es-ES"/>
        </w:rPr>
        <w:t xml:space="preserve"> Laborde</w:t>
      </w:r>
    </w:p>
    <w:p w:rsidR="00270E5A" w:rsidRDefault="00E1570F" w:rsidP="00CA42C5">
      <w:pPr>
        <w:spacing w:after="120" w:line="360" w:lineRule="auto"/>
        <w:ind w:right="616"/>
        <w:contextualSpacing/>
        <w:jc w:val="both"/>
        <w:rPr>
          <w:rFonts w:ascii="Palatino Linotype" w:eastAsia="MS Mincho" w:hAnsi="Palatino Linotype" w:cstheme="majorBidi"/>
          <w:i/>
          <w:sz w:val="24"/>
          <w:szCs w:val="24"/>
          <w:lang w:eastAsia="es-ES"/>
        </w:rPr>
      </w:pPr>
      <w:r w:rsidRPr="00CA42C5">
        <w:rPr>
          <w:rFonts w:ascii="Palatino Linotype" w:eastAsia="MS Mincho" w:hAnsi="Palatino Linotype" w:cstheme="majorBidi"/>
          <w:i/>
          <w:sz w:val="24"/>
          <w:szCs w:val="24"/>
          <w:lang w:eastAsia="es-ES"/>
        </w:rPr>
        <w:t xml:space="preserve">0837/10 Administración Portuaria Integral de Veracruz, S.A. de C.V. – María </w:t>
      </w:r>
      <w:proofErr w:type="spellStart"/>
      <w:r w:rsidRPr="00CA42C5">
        <w:rPr>
          <w:rFonts w:ascii="Palatino Linotype" w:eastAsia="MS Mincho" w:hAnsi="Palatino Linotype" w:cstheme="majorBidi"/>
          <w:i/>
          <w:sz w:val="24"/>
          <w:szCs w:val="24"/>
          <w:lang w:eastAsia="es-ES"/>
        </w:rPr>
        <w:t>Marván</w:t>
      </w:r>
      <w:proofErr w:type="spellEnd"/>
      <w:r w:rsidRPr="00CA42C5">
        <w:rPr>
          <w:rFonts w:ascii="Palatino Linotype" w:eastAsia="MS Mincho" w:hAnsi="Palatino Linotype" w:cstheme="majorBidi"/>
          <w:i/>
          <w:sz w:val="24"/>
          <w:szCs w:val="24"/>
          <w:lang w:eastAsia="es-ES"/>
        </w:rPr>
        <w:t xml:space="preserve"> Laborde</w:t>
      </w:r>
    </w:p>
    <w:p w:rsidR="00270E5A" w:rsidRPr="00270E5A" w:rsidRDefault="00270E5A" w:rsidP="00CA42C5">
      <w:pPr>
        <w:spacing w:after="120" w:line="360" w:lineRule="auto"/>
        <w:ind w:right="616"/>
        <w:contextualSpacing/>
        <w:jc w:val="both"/>
        <w:rPr>
          <w:rFonts w:ascii="Palatino Linotype" w:eastAsia="MS Mincho" w:hAnsi="Palatino Linotype" w:cstheme="majorBidi"/>
          <w:i/>
          <w:sz w:val="24"/>
          <w:szCs w:val="24"/>
          <w:lang w:eastAsia="es-ES"/>
        </w:rPr>
      </w:pPr>
    </w:p>
    <w:p w:rsidR="00270E5A" w:rsidRDefault="00156792" w:rsidP="00270E5A">
      <w:pPr>
        <w:pStyle w:val="Ttulo2"/>
        <w:numPr>
          <w:ilvl w:val="0"/>
          <w:numId w:val="19"/>
        </w:numPr>
        <w:jc w:val="both"/>
        <w:rPr>
          <w:rFonts w:ascii="Palatino Linotype" w:eastAsia="MS Mincho" w:hAnsi="Palatino Linotype"/>
          <w:b/>
          <w:i/>
          <w:color w:val="auto"/>
          <w:sz w:val="24"/>
          <w:szCs w:val="24"/>
          <w:lang w:val="es-ES_tradnl" w:eastAsia="es-ES"/>
        </w:rPr>
      </w:pPr>
      <w:bookmarkStart w:id="73" w:name="_Toc7113863"/>
      <w:r w:rsidRPr="00CA42C5">
        <w:rPr>
          <w:rFonts w:ascii="Palatino Linotype" w:eastAsia="MS Mincho" w:hAnsi="Palatino Linotype"/>
          <w:b/>
          <w:i/>
          <w:color w:val="auto"/>
          <w:sz w:val="24"/>
          <w:szCs w:val="24"/>
          <w:lang w:val="es-ES_tradnl" w:eastAsia="es-ES"/>
        </w:rPr>
        <w:t>Del contenido del informe justificado</w:t>
      </w:r>
      <w:bookmarkEnd w:id="73"/>
      <w:r w:rsidRPr="00CA42C5">
        <w:rPr>
          <w:rFonts w:ascii="Palatino Linotype" w:eastAsia="MS Mincho" w:hAnsi="Palatino Linotype"/>
          <w:b/>
          <w:i/>
          <w:color w:val="auto"/>
          <w:sz w:val="24"/>
          <w:szCs w:val="24"/>
          <w:lang w:val="es-ES_tradnl" w:eastAsia="es-ES"/>
        </w:rPr>
        <w:t xml:space="preserve"> </w:t>
      </w:r>
    </w:p>
    <w:p w:rsidR="00156792" w:rsidRPr="00CA42C5" w:rsidRDefault="00156792" w:rsidP="00CA42C5">
      <w:pPr>
        <w:contextualSpacing/>
        <w:jc w:val="both"/>
        <w:rPr>
          <w:rFonts w:ascii="Palatino Linotype" w:eastAsia="MS Mincho" w:hAnsi="Palatino Linotype" w:cstheme="majorBidi"/>
          <w:sz w:val="24"/>
          <w:szCs w:val="24"/>
          <w:lang w:val="es-ES_tradnl" w:eastAsia="es-ES"/>
        </w:rPr>
      </w:pPr>
    </w:p>
    <w:p w:rsidR="00270E5A" w:rsidRDefault="00156792" w:rsidP="00270E5A">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CA42C5">
        <w:rPr>
          <w:rFonts w:ascii="Palatino Linotype" w:eastAsia="MS Mincho" w:hAnsi="Palatino Linotype" w:cstheme="majorBidi"/>
          <w:sz w:val="24"/>
          <w:szCs w:val="24"/>
          <w:lang w:val="es-ES_tradnl" w:eastAsia="es-ES"/>
        </w:rPr>
        <w:t xml:space="preserve">El </w:t>
      </w:r>
      <w:r w:rsidRPr="00CA42C5">
        <w:rPr>
          <w:rFonts w:ascii="Palatino Linotype" w:eastAsia="MS Mincho" w:hAnsi="Palatino Linotype" w:cstheme="majorBidi"/>
          <w:b/>
          <w:sz w:val="24"/>
          <w:szCs w:val="24"/>
          <w:lang w:val="es-ES_tradnl" w:eastAsia="es-ES"/>
        </w:rPr>
        <w:t>SUJETO OBLIGADO</w:t>
      </w:r>
      <w:r w:rsidRPr="00CA42C5">
        <w:rPr>
          <w:rFonts w:ascii="Palatino Linotype" w:eastAsia="MS Mincho" w:hAnsi="Palatino Linotype" w:cstheme="majorBidi"/>
          <w:sz w:val="24"/>
          <w:szCs w:val="24"/>
          <w:lang w:val="es-ES_tradnl" w:eastAsia="es-ES"/>
        </w:rPr>
        <w:t xml:space="preserve"> estando en tiempo y forma este presentó su medio de impugnación a través del cual proporciona la siguiente información que se ilustra:</w:t>
      </w:r>
    </w:p>
    <w:p w:rsidR="00270E5A" w:rsidRPr="00270E5A" w:rsidRDefault="00270E5A" w:rsidP="00270E5A">
      <w:pPr>
        <w:spacing w:after="120" w:line="360" w:lineRule="auto"/>
        <w:ind w:right="49"/>
        <w:contextualSpacing/>
        <w:jc w:val="both"/>
        <w:rPr>
          <w:rFonts w:ascii="Palatino Linotype" w:eastAsia="MS Mincho" w:hAnsi="Palatino Linotype" w:cstheme="majorBidi"/>
          <w:sz w:val="24"/>
          <w:szCs w:val="24"/>
          <w:lang w:val="es-ES_tradnl" w:eastAsia="es-ES"/>
        </w:rPr>
      </w:pPr>
    </w:p>
    <w:p w:rsidR="00156792" w:rsidRDefault="00156792" w:rsidP="00CA42C5">
      <w:pPr>
        <w:spacing w:after="120" w:line="360" w:lineRule="auto"/>
        <w:ind w:right="49"/>
        <w:contextualSpacing/>
        <w:jc w:val="both"/>
        <w:rPr>
          <w:rFonts w:ascii="Palatino Linotype" w:eastAsia="MS Mincho" w:hAnsi="Palatino Linotype" w:cstheme="majorBidi"/>
          <w:sz w:val="24"/>
          <w:szCs w:val="24"/>
          <w:lang w:val="es-ES_tradnl" w:eastAsia="es-ES"/>
        </w:rPr>
      </w:pPr>
      <w:r w:rsidRPr="00CA42C5">
        <w:rPr>
          <w:rFonts w:ascii="Palatino Linotype" w:hAnsi="Palatino Linotype"/>
          <w:noProof/>
          <w:sz w:val="24"/>
          <w:szCs w:val="24"/>
          <w:lang w:eastAsia="es-MX"/>
        </w:rPr>
        <w:drawing>
          <wp:inline distT="0" distB="0" distL="0" distR="0" wp14:anchorId="5D872468" wp14:editId="21663B33">
            <wp:extent cx="5615478" cy="1965278"/>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71" t="52317" r="35781" b="22734"/>
                    <a:stretch/>
                  </pic:blipFill>
                  <pic:spPr bwMode="auto">
                    <a:xfrm>
                      <a:off x="0" y="0"/>
                      <a:ext cx="5697537" cy="1993997"/>
                    </a:xfrm>
                    <a:prstGeom prst="rect">
                      <a:avLst/>
                    </a:prstGeom>
                    <a:ln>
                      <a:noFill/>
                    </a:ln>
                    <a:extLst>
                      <a:ext uri="{53640926-AAD7-44D8-BBD7-CCE9431645EC}">
                        <a14:shadowObscured xmlns:a14="http://schemas.microsoft.com/office/drawing/2010/main"/>
                      </a:ext>
                    </a:extLst>
                  </pic:spPr>
                </pic:pic>
              </a:graphicData>
            </a:graphic>
          </wp:inline>
        </w:drawing>
      </w:r>
    </w:p>
    <w:p w:rsidR="00270E5A" w:rsidRPr="00CA42C5" w:rsidRDefault="00270E5A" w:rsidP="00CA42C5">
      <w:pPr>
        <w:spacing w:after="120" w:line="360" w:lineRule="auto"/>
        <w:ind w:right="49"/>
        <w:contextualSpacing/>
        <w:jc w:val="both"/>
        <w:rPr>
          <w:rFonts w:ascii="Palatino Linotype" w:eastAsia="MS Mincho" w:hAnsi="Palatino Linotype" w:cstheme="majorBidi"/>
          <w:sz w:val="24"/>
          <w:szCs w:val="24"/>
          <w:lang w:val="es-ES_tradnl" w:eastAsia="es-ES"/>
        </w:rPr>
      </w:pPr>
    </w:p>
    <w:p w:rsidR="00AE1112" w:rsidRDefault="00AE1112" w:rsidP="00CA42C5">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CA42C5">
        <w:rPr>
          <w:rFonts w:ascii="Palatino Linotype" w:eastAsia="MS Mincho" w:hAnsi="Palatino Linotype" w:cstheme="majorBidi"/>
          <w:sz w:val="24"/>
          <w:szCs w:val="24"/>
          <w:lang w:val="es-ES_tradnl" w:eastAsia="es-ES"/>
        </w:rPr>
        <w:t xml:space="preserve">Información que no da cumplimiento a lo solicitado, toda vez que se puede observar que se generó un documento ad hoc para tratar de responder a la inconformidad del particular; sin embargo, no debe perderse de vista que los </w:t>
      </w:r>
      <w:r w:rsidRPr="00CA42C5">
        <w:rPr>
          <w:rFonts w:ascii="Palatino Linotype" w:eastAsia="MS Mincho" w:hAnsi="Palatino Linotype" w:cstheme="majorBidi"/>
          <w:sz w:val="24"/>
          <w:szCs w:val="24"/>
          <w:lang w:val="es-ES_tradnl" w:eastAsia="es-ES"/>
        </w:rPr>
        <w:lastRenderedPageBreak/>
        <w:t xml:space="preserve">Sujetos Obligados no están constreñidos a generar documento </w:t>
      </w:r>
      <w:r w:rsidRPr="00CA42C5">
        <w:rPr>
          <w:rFonts w:ascii="Palatino Linotype" w:eastAsia="MS Mincho" w:hAnsi="Palatino Linotype" w:cstheme="majorBidi"/>
          <w:i/>
          <w:sz w:val="24"/>
          <w:szCs w:val="24"/>
          <w:lang w:val="es-ES_tradnl" w:eastAsia="es-ES"/>
        </w:rPr>
        <w:t xml:space="preserve">ad hoc </w:t>
      </w:r>
      <w:r w:rsidRPr="00CA42C5">
        <w:rPr>
          <w:rFonts w:ascii="Palatino Linotype" w:eastAsia="MS Mincho" w:hAnsi="Palatino Linotype" w:cstheme="majorBidi"/>
          <w:sz w:val="24"/>
          <w:szCs w:val="24"/>
          <w:lang w:val="es-ES_tradnl" w:eastAsia="es-ES"/>
        </w:rPr>
        <w:t>para dar una respuesta, pero de igual forma la Ley no lo prohíbe, por tanto cuando en dichos documentos se dé cumplimiento a lo solicitado este será considerado como válido, situación en el presente caso no aconteció.</w:t>
      </w:r>
    </w:p>
    <w:p w:rsidR="00270E5A" w:rsidRPr="00270E5A" w:rsidRDefault="00270E5A" w:rsidP="00270E5A">
      <w:pPr>
        <w:spacing w:after="120" w:line="360" w:lineRule="auto"/>
        <w:ind w:right="49"/>
        <w:contextualSpacing/>
        <w:jc w:val="both"/>
        <w:rPr>
          <w:rFonts w:ascii="Palatino Linotype" w:eastAsia="MS Mincho" w:hAnsi="Palatino Linotype" w:cstheme="majorBidi"/>
          <w:sz w:val="24"/>
          <w:szCs w:val="24"/>
          <w:lang w:val="es-ES_tradnl" w:eastAsia="es-ES"/>
        </w:rPr>
      </w:pPr>
    </w:p>
    <w:p w:rsidR="00E1570F" w:rsidRPr="00CA42C5" w:rsidRDefault="00AE1112" w:rsidP="00CA42C5">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CA42C5">
        <w:rPr>
          <w:rFonts w:ascii="Palatino Linotype" w:eastAsia="MS Mincho" w:hAnsi="Palatino Linotype" w:cstheme="majorBidi"/>
          <w:sz w:val="24"/>
          <w:szCs w:val="24"/>
          <w:lang w:val="es-ES_tradnl" w:eastAsia="es-ES"/>
        </w:rPr>
        <w:t>Por lo anterior,</w:t>
      </w:r>
      <w:r w:rsidR="00E1570F" w:rsidRPr="00CA42C5">
        <w:rPr>
          <w:rFonts w:ascii="Palatino Linotype" w:eastAsia="MS Mincho" w:hAnsi="Palatino Linotype" w:cstheme="majorBidi"/>
          <w:sz w:val="24"/>
          <w:szCs w:val="24"/>
          <w:lang w:val="es-ES_tradnl" w:eastAsia="es-ES"/>
        </w:rPr>
        <w:t xml:space="preserve"> se hará el análisis respectivo con la finalidad de </w:t>
      </w:r>
      <w:r w:rsidRPr="00CA42C5">
        <w:rPr>
          <w:rFonts w:ascii="Palatino Linotype" w:eastAsia="MS Mincho" w:hAnsi="Palatino Linotype" w:cstheme="majorBidi"/>
          <w:sz w:val="24"/>
          <w:szCs w:val="24"/>
          <w:lang w:val="es-ES_tradnl" w:eastAsia="es-ES"/>
        </w:rPr>
        <w:t>de</w:t>
      </w:r>
      <w:r w:rsidR="009F2118" w:rsidRPr="00CA42C5">
        <w:rPr>
          <w:rFonts w:ascii="Palatino Linotype" w:eastAsia="MS Mincho" w:hAnsi="Palatino Linotype" w:cstheme="majorBidi"/>
          <w:sz w:val="24"/>
          <w:szCs w:val="24"/>
          <w:lang w:val="es-ES_tradnl" w:eastAsia="es-ES"/>
        </w:rPr>
        <w:t>terminar si</w:t>
      </w:r>
      <w:r w:rsidR="00E1570F" w:rsidRPr="00CA42C5">
        <w:rPr>
          <w:rFonts w:ascii="Palatino Linotype" w:eastAsia="MS Mincho" w:hAnsi="Palatino Linotype" w:cstheme="majorBidi"/>
          <w:sz w:val="24"/>
          <w:szCs w:val="24"/>
          <w:lang w:val="es-ES_tradnl" w:eastAsia="es-ES"/>
        </w:rPr>
        <w:t xml:space="preserve"> posee, genera o administra el </w:t>
      </w:r>
      <w:r w:rsidR="00E1570F" w:rsidRPr="00CA42C5">
        <w:rPr>
          <w:rFonts w:ascii="Palatino Linotype" w:eastAsia="MS Mincho" w:hAnsi="Palatino Linotype" w:cstheme="majorBidi"/>
          <w:b/>
          <w:sz w:val="24"/>
          <w:szCs w:val="24"/>
          <w:lang w:val="es-ES_tradnl" w:eastAsia="es-ES"/>
        </w:rPr>
        <w:t>SUJETO OBLIGADO</w:t>
      </w:r>
      <w:r w:rsidR="009F2118" w:rsidRPr="00CA42C5">
        <w:rPr>
          <w:rFonts w:ascii="Palatino Linotype" w:eastAsia="MS Mincho" w:hAnsi="Palatino Linotype" w:cstheme="majorBidi"/>
          <w:sz w:val="24"/>
          <w:szCs w:val="24"/>
          <w:lang w:val="es-ES_tradnl" w:eastAsia="es-ES"/>
        </w:rPr>
        <w:t xml:space="preserve"> aquella información que resultó faltante.</w:t>
      </w:r>
    </w:p>
    <w:p w:rsidR="00E1570F" w:rsidRPr="00CA42C5" w:rsidRDefault="00E1570F" w:rsidP="00CA42C5">
      <w:pPr>
        <w:spacing w:after="120" w:line="360" w:lineRule="auto"/>
        <w:ind w:right="49"/>
        <w:contextualSpacing/>
        <w:jc w:val="both"/>
        <w:rPr>
          <w:rFonts w:ascii="Palatino Linotype" w:eastAsia="MS Mincho" w:hAnsi="Palatino Linotype" w:cstheme="majorBidi"/>
          <w:sz w:val="24"/>
          <w:szCs w:val="24"/>
          <w:lang w:val="es-ES_tradnl" w:eastAsia="es-ES"/>
        </w:rPr>
      </w:pPr>
    </w:p>
    <w:p w:rsidR="00E1570F" w:rsidRPr="00CA42C5" w:rsidRDefault="00E1570F" w:rsidP="00CA42C5">
      <w:pPr>
        <w:keepNext/>
        <w:keepLines/>
        <w:spacing w:before="40" w:after="0"/>
        <w:jc w:val="both"/>
        <w:outlineLvl w:val="1"/>
        <w:rPr>
          <w:rFonts w:ascii="Palatino Linotype" w:eastAsia="MS Mincho" w:hAnsi="Palatino Linotype" w:cstheme="majorBidi"/>
          <w:b/>
          <w:i/>
          <w:sz w:val="24"/>
          <w:szCs w:val="24"/>
          <w:lang w:val="es-ES_tradnl" w:eastAsia="es-ES"/>
        </w:rPr>
      </w:pPr>
      <w:bookmarkStart w:id="74" w:name="_Toc7113864"/>
      <w:r w:rsidRPr="00CA42C5">
        <w:rPr>
          <w:rFonts w:ascii="Palatino Linotype" w:eastAsia="MS Mincho" w:hAnsi="Palatino Linotype" w:cstheme="majorBidi"/>
          <w:b/>
          <w:i/>
          <w:sz w:val="24"/>
          <w:szCs w:val="24"/>
          <w:lang w:val="es-ES_tradnl" w:eastAsia="es-ES"/>
        </w:rPr>
        <w:t>III. De la información faltante</w:t>
      </w:r>
      <w:bookmarkEnd w:id="74"/>
    </w:p>
    <w:p w:rsidR="00E1570F" w:rsidRPr="00CA42C5" w:rsidRDefault="00E1570F" w:rsidP="00CA42C5">
      <w:pPr>
        <w:spacing w:after="120" w:line="360" w:lineRule="auto"/>
        <w:ind w:right="49"/>
        <w:contextualSpacing/>
        <w:jc w:val="both"/>
        <w:rPr>
          <w:rFonts w:ascii="Palatino Linotype" w:eastAsia="MS Mincho" w:hAnsi="Palatino Linotype" w:cstheme="majorBidi"/>
          <w:sz w:val="24"/>
          <w:szCs w:val="24"/>
          <w:lang w:val="es-ES_tradnl" w:eastAsia="es-ES"/>
        </w:rPr>
      </w:pPr>
    </w:p>
    <w:p w:rsidR="00E1570F" w:rsidRPr="00CA42C5" w:rsidRDefault="00E1570F" w:rsidP="00CA42C5">
      <w:pPr>
        <w:keepNext/>
        <w:keepLines/>
        <w:numPr>
          <w:ilvl w:val="0"/>
          <w:numId w:val="14"/>
        </w:numPr>
        <w:spacing w:before="40" w:after="0"/>
        <w:ind w:left="0" w:firstLine="0"/>
        <w:jc w:val="both"/>
        <w:outlineLvl w:val="1"/>
        <w:rPr>
          <w:rFonts w:ascii="Palatino Linotype" w:eastAsia="MS Mincho" w:hAnsi="Palatino Linotype" w:cstheme="majorBidi"/>
          <w:b/>
          <w:i/>
          <w:sz w:val="24"/>
          <w:szCs w:val="24"/>
          <w:lang w:val="es-ES_tradnl" w:eastAsia="es-ES"/>
        </w:rPr>
      </w:pPr>
      <w:bookmarkStart w:id="75" w:name="_Toc7113865"/>
      <w:r w:rsidRPr="00CA42C5">
        <w:rPr>
          <w:rFonts w:ascii="Palatino Linotype" w:eastAsia="MS Mincho" w:hAnsi="Palatino Linotype" w:cstheme="majorBidi"/>
          <w:b/>
          <w:i/>
          <w:sz w:val="24"/>
          <w:szCs w:val="24"/>
          <w:lang w:val="es-ES_tradnl" w:eastAsia="es-ES"/>
        </w:rPr>
        <w:t>De las compensaciones y otras prestaciones.</w:t>
      </w:r>
      <w:bookmarkEnd w:id="75"/>
    </w:p>
    <w:p w:rsidR="00E1570F" w:rsidRPr="00CA42C5" w:rsidRDefault="00E1570F" w:rsidP="00CA42C5">
      <w:pPr>
        <w:spacing w:after="120" w:line="360" w:lineRule="auto"/>
        <w:ind w:right="49"/>
        <w:contextualSpacing/>
        <w:jc w:val="both"/>
        <w:rPr>
          <w:rFonts w:ascii="Palatino Linotype" w:eastAsia="MS Mincho" w:hAnsi="Palatino Linotype" w:cstheme="majorBidi"/>
          <w:sz w:val="24"/>
          <w:szCs w:val="24"/>
          <w:lang w:val="es-ES_tradnl" w:eastAsia="es-ES"/>
        </w:rPr>
      </w:pPr>
    </w:p>
    <w:p w:rsidR="00E1570F" w:rsidRPr="00CA42C5" w:rsidRDefault="00E1570F" w:rsidP="00CA42C5">
      <w:pPr>
        <w:numPr>
          <w:ilvl w:val="0"/>
          <w:numId w:val="2"/>
        </w:numPr>
        <w:spacing w:before="240" w:after="240" w:line="360" w:lineRule="auto"/>
        <w:ind w:left="0" w:firstLine="0"/>
        <w:contextualSpacing/>
        <w:jc w:val="both"/>
        <w:rPr>
          <w:rFonts w:ascii="Palatino Linotype" w:eastAsia="Times New Roman" w:hAnsi="Palatino Linotype" w:cs="Times New Roman"/>
          <w:i/>
          <w:color w:val="000000" w:themeColor="text1"/>
          <w:sz w:val="24"/>
          <w:szCs w:val="24"/>
        </w:rPr>
      </w:pPr>
      <w:r w:rsidRPr="00CA42C5">
        <w:rPr>
          <w:rFonts w:ascii="Palatino Linotype" w:eastAsia="Times New Roman" w:hAnsi="Palatino Linotype" w:cs="Times New Roman"/>
          <w:color w:val="000000" w:themeColor="text1"/>
          <w:sz w:val="24"/>
          <w:szCs w:val="24"/>
        </w:rPr>
        <w:t xml:space="preserve">La información </w:t>
      </w:r>
      <w:r w:rsidR="009F2118" w:rsidRPr="00CA42C5">
        <w:rPr>
          <w:rFonts w:ascii="Palatino Linotype" w:eastAsia="Times New Roman" w:hAnsi="Palatino Linotype" w:cs="Times New Roman"/>
          <w:color w:val="000000" w:themeColor="text1"/>
          <w:sz w:val="24"/>
          <w:szCs w:val="24"/>
        </w:rPr>
        <w:t xml:space="preserve">correspondiente al salario mensual bruto y neto, así como </w:t>
      </w:r>
      <w:r w:rsidR="009F2118" w:rsidRPr="00CA42C5">
        <w:rPr>
          <w:rFonts w:ascii="Palatino Linotype" w:eastAsia="MS Mincho" w:hAnsi="Palatino Linotype" w:cstheme="majorBidi"/>
          <w:sz w:val="24"/>
          <w:szCs w:val="24"/>
          <w:lang w:val="es-ES_tradnl" w:eastAsia="es-ES"/>
        </w:rPr>
        <w:t>compensaciones, apoyos económicos</w:t>
      </w:r>
      <w:r w:rsidR="009F2118" w:rsidRPr="00CA42C5">
        <w:rPr>
          <w:rFonts w:ascii="Palatino Linotype" w:eastAsia="Times New Roman" w:hAnsi="Palatino Linotype" w:cs="Times New Roman"/>
          <w:color w:val="000000" w:themeColor="text1"/>
          <w:sz w:val="24"/>
          <w:szCs w:val="24"/>
        </w:rPr>
        <w:t xml:space="preserve">, es información que se puede contener de manera enunciativa mas no limitativa, </w:t>
      </w:r>
      <w:r w:rsidRPr="00CA42C5">
        <w:rPr>
          <w:rFonts w:ascii="Palatino Linotype" w:eastAsia="Times New Roman" w:hAnsi="Palatino Linotype" w:cs="Times New Roman"/>
          <w:color w:val="000000" w:themeColor="text1"/>
          <w:sz w:val="24"/>
          <w:szCs w:val="24"/>
        </w:rPr>
        <w:t xml:space="preserve"> </w:t>
      </w:r>
      <w:r w:rsidR="009F2118" w:rsidRPr="00CA42C5">
        <w:rPr>
          <w:rFonts w:ascii="Palatino Linotype" w:eastAsia="Times New Roman" w:hAnsi="Palatino Linotype" w:cs="Times New Roman"/>
          <w:color w:val="000000" w:themeColor="text1"/>
          <w:sz w:val="24"/>
          <w:szCs w:val="24"/>
        </w:rPr>
        <w:t xml:space="preserve">en los </w:t>
      </w:r>
      <w:r w:rsidRPr="00CA42C5">
        <w:rPr>
          <w:rFonts w:ascii="Palatino Linotype" w:eastAsia="Times New Roman" w:hAnsi="Palatino Linotype" w:cs="Times New Roman"/>
          <w:color w:val="000000" w:themeColor="text1"/>
          <w:sz w:val="24"/>
          <w:szCs w:val="24"/>
        </w:rPr>
        <w:t xml:space="preserve">recibos de nómina que se generan de manera quincenal, los cuales </w:t>
      </w:r>
      <w:r w:rsidRPr="00CA42C5">
        <w:rPr>
          <w:rFonts w:ascii="Palatino Linotype" w:eastAsia="Times New Roman" w:hAnsi="Palatino Linotype" w:cs="Times New Roman"/>
          <w:color w:val="000000" w:themeColor="text1"/>
          <w:sz w:val="24"/>
          <w:szCs w:val="24"/>
          <w:lang w:eastAsia="es-MX"/>
        </w:rPr>
        <w:t xml:space="preserve"> consisten en un registro realizado por las instituciones, en el cual se asientan las percepciones brutas, deducciones y el neto a recibir de dichos trabajadores.</w:t>
      </w:r>
    </w:p>
    <w:p w:rsidR="00E1570F" w:rsidRPr="00CA42C5" w:rsidRDefault="00E1570F" w:rsidP="00CA42C5">
      <w:pPr>
        <w:autoSpaceDE w:val="0"/>
        <w:autoSpaceDN w:val="0"/>
        <w:adjustRightInd w:val="0"/>
        <w:spacing w:before="240" w:after="240" w:line="360" w:lineRule="auto"/>
        <w:contextualSpacing/>
        <w:jc w:val="both"/>
        <w:rPr>
          <w:rFonts w:ascii="Palatino Linotype" w:eastAsia="Times New Roman" w:hAnsi="Palatino Linotype" w:cs="Times New Roman"/>
          <w:i/>
          <w:color w:val="000000" w:themeColor="text1"/>
          <w:sz w:val="24"/>
          <w:szCs w:val="24"/>
        </w:rPr>
      </w:pPr>
    </w:p>
    <w:p w:rsidR="00E1570F" w:rsidRPr="00CA42C5" w:rsidRDefault="00E1570F" w:rsidP="00CA42C5">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sidRPr="00CA42C5">
        <w:rPr>
          <w:rFonts w:ascii="Palatino Linotype" w:eastAsia="Times New Roman" w:hAnsi="Palatino Linotype" w:cs="Arial"/>
          <w:color w:val="000000" w:themeColor="text1"/>
          <w:sz w:val="24"/>
          <w:szCs w:val="24"/>
        </w:rPr>
        <w:lastRenderedPageBreak/>
        <w:t>Ahora bien, tratándose de servidores públicos del Ayuntamiento, la Ley del Trabajo de los Servidores Públicos del Estado y Municipios, en su artículo 220-K fracciones II y IV y último párrafo, establecen lo siguiente:</w:t>
      </w:r>
    </w:p>
    <w:p w:rsidR="00E1570F" w:rsidRPr="00CA42C5" w:rsidRDefault="00E1570F" w:rsidP="00CA42C5">
      <w:pPr>
        <w:spacing w:before="240" w:after="240" w:line="360" w:lineRule="auto"/>
        <w:ind w:left="567" w:right="616"/>
        <w:contextualSpacing/>
        <w:jc w:val="both"/>
        <w:rPr>
          <w:rFonts w:ascii="Palatino Linotype" w:eastAsia="Times New Roman" w:hAnsi="Palatino Linotype" w:cs="Arial"/>
          <w:color w:val="000000" w:themeColor="text1"/>
          <w:sz w:val="24"/>
          <w:szCs w:val="24"/>
        </w:rPr>
      </w:pPr>
    </w:p>
    <w:p w:rsidR="00E1570F" w:rsidRPr="00CA42C5" w:rsidRDefault="00E1570F" w:rsidP="00CA42C5">
      <w:pPr>
        <w:tabs>
          <w:tab w:val="left" w:pos="8222"/>
          <w:tab w:val="left" w:pos="8789"/>
        </w:tabs>
        <w:spacing w:before="240" w:after="240" w:line="276" w:lineRule="auto"/>
        <w:ind w:left="567" w:right="616"/>
        <w:jc w:val="both"/>
        <w:rPr>
          <w:rFonts w:ascii="Palatino Linotype" w:eastAsia="Times New Roman" w:hAnsi="Palatino Linotype" w:cs="Times New Roman"/>
          <w:bCs/>
          <w:i/>
          <w:color w:val="000000" w:themeColor="text1"/>
          <w:sz w:val="24"/>
          <w:szCs w:val="24"/>
        </w:rPr>
      </w:pPr>
      <w:r w:rsidRPr="00CA42C5">
        <w:rPr>
          <w:rFonts w:ascii="Palatino Linotype" w:eastAsia="Times New Roman" w:hAnsi="Palatino Linotype" w:cs="Times New Roman"/>
          <w:b/>
          <w:bCs/>
          <w:i/>
          <w:color w:val="000000" w:themeColor="text1"/>
          <w:sz w:val="24"/>
          <w:szCs w:val="24"/>
        </w:rPr>
        <w:t>“ARTÍCULO 220 K</w:t>
      </w:r>
      <w:r w:rsidRPr="00CA42C5">
        <w:rPr>
          <w:rFonts w:ascii="Palatino Linotype" w:eastAsia="Times New Roman" w:hAnsi="Palatino Linotype" w:cs="Times New Roman"/>
          <w:bCs/>
          <w:i/>
          <w:color w:val="000000" w:themeColor="text1"/>
          <w:sz w:val="24"/>
          <w:szCs w:val="24"/>
        </w:rPr>
        <w:t>.- La institución o dependencia pública tiene la obligación de conservar y exhibir en el proceso los documentos que a continuación se precisan:</w:t>
      </w:r>
    </w:p>
    <w:p w:rsidR="00E1570F" w:rsidRPr="00CA42C5" w:rsidRDefault="00E1570F" w:rsidP="00CA42C5">
      <w:pPr>
        <w:tabs>
          <w:tab w:val="left" w:pos="8222"/>
          <w:tab w:val="left" w:pos="8789"/>
        </w:tabs>
        <w:spacing w:before="240" w:after="240" w:line="276" w:lineRule="auto"/>
        <w:ind w:left="567" w:right="616"/>
        <w:jc w:val="both"/>
        <w:rPr>
          <w:rFonts w:ascii="Palatino Linotype" w:eastAsia="Times New Roman" w:hAnsi="Palatino Linotype" w:cs="Times New Roman"/>
          <w:bCs/>
          <w:i/>
          <w:color w:val="000000" w:themeColor="text1"/>
          <w:sz w:val="24"/>
          <w:szCs w:val="24"/>
        </w:rPr>
      </w:pPr>
      <w:r w:rsidRPr="00CA42C5">
        <w:rPr>
          <w:rFonts w:ascii="Palatino Linotype" w:eastAsia="Times New Roman" w:hAnsi="Palatino Linotype" w:cs="Times New Roman"/>
          <w:bCs/>
          <w:i/>
          <w:color w:val="000000" w:themeColor="text1"/>
          <w:sz w:val="24"/>
          <w:szCs w:val="24"/>
        </w:rPr>
        <w:t>…</w:t>
      </w:r>
    </w:p>
    <w:p w:rsidR="00E1570F" w:rsidRPr="00CA42C5" w:rsidRDefault="00E1570F" w:rsidP="00CA42C5">
      <w:pPr>
        <w:tabs>
          <w:tab w:val="left" w:pos="8222"/>
          <w:tab w:val="left" w:pos="8789"/>
        </w:tabs>
        <w:spacing w:before="240" w:after="240" w:line="276" w:lineRule="auto"/>
        <w:ind w:left="567" w:right="616"/>
        <w:jc w:val="both"/>
        <w:rPr>
          <w:rFonts w:ascii="Palatino Linotype" w:eastAsia="Times New Roman" w:hAnsi="Palatino Linotype" w:cs="Times New Roman"/>
          <w:bCs/>
          <w:i/>
          <w:color w:val="000000" w:themeColor="text1"/>
          <w:sz w:val="24"/>
          <w:szCs w:val="24"/>
        </w:rPr>
      </w:pPr>
      <w:r w:rsidRPr="00CA42C5">
        <w:rPr>
          <w:rFonts w:ascii="Palatino Linotype" w:eastAsia="Times New Roman" w:hAnsi="Palatino Linotype" w:cs="Times New Roman"/>
          <w:bCs/>
          <w:i/>
          <w:color w:val="000000" w:themeColor="text1"/>
          <w:sz w:val="24"/>
          <w:szCs w:val="24"/>
        </w:rPr>
        <w:t xml:space="preserve">II. </w:t>
      </w:r>
      <w:r w:rsidRPr="00CA42C5">
        <w:rPr>
          <w:rFonts w:ascii="Palatino Linotype" w:eastAsia="Times New Roman" w:hAnsi="Palatino Linotype" w:cs="Times New Roman"/>
          <w:b/>
          <w:bCs/>
          <w:i/>
          <w:color w:val="000000" w:themeColor="text1"/>
          <w:sz w:val="24"/>
          <w:szCs w:val="24"/>
        </w:rPr>
        <w:t>Recibos de pagos de salarios</w:t>
      </w:r>
      <w:r w:rsidRPr="00CA42C5">
        <w:rPr>
          <w:rFonts w:ascii="Palatino Linotype" w:eastAsia="Times New Roman" w:hAnsi="Palatino Linotype" w:cs="Times New Roman"/>
          <w:bCs/>
          <w:i/>
          <w:color w:val="000000" w:themeColor="text1"/>
          <w:sz w:val="24"/>
          <w:szCs w:val="24"/>
        </w:rPr>
        <w:t xml:space="preserve"> o las constancias documentales del pago de salario cuando sea por depósito o mediante información electrónica;</w:t>
      </w:r>
    </w:p>
    <w:p w:rsidR="00E1570F" w:rsidRPr="00CA42C5" w:rsidRDefault="00E1570F" w:rsidP="00CA42C5">
      <w:pPr>
        <w:tabs>
          <w:tab w:val="left" w:pos="8222"/>
          <w:tab w:val="left" w:pos="8789"/>
        </w:tabs>
        <w:spacing w:before="240" w:after="240" w:line="276" w:lineRule="auto"/>
        <w:ind w:left="567" w:right="616"/>
        <w:jc w:val="both"/>
        <w:rPr>
          <w:rFonts w:ascii="Palatino Linotype" w:eastAsia="Times New Roman" w:hAnsi="Palatino Linotype" w:cs="Times New Roman"/>
          <w:bCs/>
          <w:i/>
          <w:color w:val="000000" w:themeColor="text1"/>
          <w:sz w:val="24"/>
          <w:szCs w:val="24"/>
        </w:rPr>
      </w:pPr>
      <w:r w:rsidRPr="00CA42C5">
        <w:rPr>
          <w:rFonts w:ascii="Palatino Linotype" w:eastAsia="Times New Roman" w:hAnsi="Palatino Linotype" w:cs="Times New Roman"/>
          <w:b/>
          <w:bCs/>
          <w:i/>
          <w:color w:val="000000" w:themeColor="text1"/>
          <w:sz w:val="24"/>
          <w:szCs w:val="24"/>
        </w:rPr>
        <w:t>(…)</w:t>
      </w:r>
    </w:p>
    <w:p w:rsidR="00E1570F" w:rsidRPr="00CA42C5" w:rsidRDefault="00E1570F" w:rsidP="00CA42C5">
      <w:pPr>
        <w:tabs>
          <w:tab w:val="left" w:pos="8222"/>
          <w:tab w:val="left" w:pos="8789"/>
        </w:tabs>
        <w:spacing w:before="240" w:after="240" w:line="276" w:lineRule="auto"/>
        <w:ind w:left="567" w:right="616"/>
        <w:jc w:val="both"/>
        <w:rPr>
          <w:rFonts w:ascii="Palatino Linotype" w:eastAsia="Times New Roman" w:hAnsi="Palatino Linotype" w:cs="Times New Roman"/>
          <w:bCs/>
          <w:i/>
          <w:color w:val="000000" w:themeColor="text1"/>
          <w:sz w:val="24"/>
          <w:szCs w:val="24"/>
        </w:rPr>
      </w:pPr>
      <w:r w:rsidRPr="00CA42C5">
        <w:rPr>
          <w:rFonts w:ascii="Palatino Linotype" w:eastAsia="Times New Roman" w:hAnsi="Palatino Linotype" w:cs="Times New Roman"/>
          <w:bCs/>
          <w:i/>
          <w:color w:val="000000" w:themeColor="text1"/>
          <w:sz w:val="24"/>
          <w:szCs w:val="24"/>
        </w:rPr>
        <w:t xml:space="preserve">IV. </w:t>
      </w:r>
      <w:r w:rsidRPr="00CA42C5">
        <w:rPr>
          <w:rFonts w:ascii="Palatino Linotype" w:eastAsia="Times New Roman" w:hAnsi="Palatino Linotype" w:cs="Times New Roman"/>
          <w:b/>
          <w:bCs/>
          <w:i/>
          <w:color w:val="000000" w:themeColor="text1"/>
          <w:sz w:val="24"/>
          <w:szCs w:val="24"/>
        </w:rPr>
        <w:t>Recibos</w:t>
      </w:r>
      <w:r w:rsidRPr="00CA42C5">
        <w:rPr>
          <w:rFonts w:ascii="Palatino Linotype" w:eastAsia="Times New Roman" w:hAnsi="Palatino Linotype" w:cs="Times New Roman"/>
          <w:bCs/>
          <w:i/>
          <w:color w:val="000000" w:themeColor="text1"/>
          <w:sz w:val="24"/>
          <w:szCs w:val="24"/>
        </w:rPr>
        <w:t xml:space="preserve"> o las constancias de depósito o del medio de información magnética o electrónica que sean utilizadas para el pago de salarios, prima vacacional, aguinaldo y demás prestaciones establecidas en la presente ley; y</w:t>
      </w:r>
    </w:p>
    <w:p w:rsidR="00E1570F" w:rsidRPr="00CA42C5" w:rsidRDefault="00E1570F" w:rsidP="00CA42C5">
      <w:pPr>
        <w:tabs>
          <w:tab w:val="left" w:pos="8222"/>
          <w:tab w:val="left" w:pos="8789"/>
        </w:tabs>
        <w:spacing w:before="240" w:after="240" w:line="276" w:lineRule="auto"/>
        <w:ind w:left="567" w:right="616"/>
        <w:jc w:val="both"/>
        <w:rPr>
          <w:rFonts w:ascii="Palatino Linotype" w:eastAsia="Times New Roman" w:hAnsi="Palatino Linotype" w:cs="Times New Roman"/>
          <w:bCs/>
          <w:i/>
          <w:color w:val="000000" w:themeColor="text1"/>
          <w:sz w:val="24"/>
          <w:szCs w:val="24"/>
        </w:rPr>
      </w:pPr>
      <w:r w:rsidRPr="00CA42C5">
        <w:rPr>
          <w:rFonts w:ascii="Palatino Linotype" w:eastAsia="Times New Roman" w:hAnsi="Palatino Linotype" w:cs="Times New Roman"/>
          <w:bCs/>
          <w:i/>
          <w:color w:val="000000" w:themeColor="text1"/>
          <w:sz w:val="24"/>
          <w:szCs w:val="24"/>
        </w:rPr>
        <w:t>…</w:t>
      </w:r>
    </w:p>
    <w:p w:rsidR="00E1570F" w:rsidRPr="00CA42C5" w:rsidRDefault="00E1570F" w:rsidP="00CA42C5">
      <w:pPr>
        <w:tabs>
          <w:tab w:val="left" w:pos="8222"/>
          <w:tab w:val="left" w:pos="8789"/>
        </w:tabs>
        <w:spacing w:before="240" w:after="240" w:line="276" w:lineRule="auto"/>
        <w:ind w:left="567" w:right="616"/>
        <w:jc w:val="both"/>
        <w:rPr>
          <w:rFonts w:ascii="Palatino Linotype" w:eastAsia="Times New Roman" w:hAnsi="Palatino Linotype" w:cs="Times New Roman"/>
          <w:bCs/>
          <w:i/>
          <w:color w:val="000000" w:themeColor="text1"/>
          <w:sz w:val="24"/>
          <w:szCs w:val="24"/>
        </w:rPr>
      </w:pPr>
      <w:r w:rsidRPr="00CA42C5">
        <w:rPr>
          <w:rFonts w:ascii="Palatino Linotype" w:eastAsia="Times New Roman" w:hAnsi="Palatino Linotype" w:cs="Times New Roman"/>
          <w:bCs/>
          <w:i/>
          <w:color w:val="000000" w:themeColor="text1"/>
          <w:sz w:val="24"/>
          <w:szCs w:val="24"/>
        </w:rPr>
        <w:t xml:space="preserve">Los documentos señalados en la fracción I de este artículo, deberán conservarse mientras dure la relación laboral y hasta un año después; </w:t>
      </w:r>
      <w:r w:rsidRPr="00CA42C5">
        <w:rPr>
          <w:rFonts w:ascii="Palatino Linotype" w:eastAsia="Times New Roman" w:hAnsi="Palatino Linotype" w:cs="Times New Roman"/>
          <w:b/>
          <w:bCs/>
          <w:i/>
          <w:color w:val="000000" w:themeColor="text1"/>
          <w:sz w:val="24"/>
          <w:szCs w:val="24"/>
          <w:u w:val="single"/>
        </w:rPr>
        <w:t>los señalados por las fracciones II, III, IV durante el último año y un año después de que se extinga la relación laboral,</w:t>
      </w:r>
      <w:r w:rsidRPr="00CA42C5">
        <w:rPr>
          <w:rFonts w:ascii="Palatino Linotype" w:eastAsia="Times New Roman" w:hAnsi="Palatino Linotype" w:cs="Times New Roman"/>
          <w:bCs/>
          <w:i/>
          <w:color w:val="000000" w:themeColor="text1"/>
          <w:sz w:val="24"/>
          <w:szCs w:val="24"/>
        </w:rPr>
        <w:t xml:space="preserve"> y los mencionados en la fracción V, conforme lo señalen las leyes que los rijan.</w:t>
      </w:r>
    </w:p>
    <w:p w:rsidR="00E1570F" w:rsidRPr="00CA42C5" w:rsidRDefault="00E1570F" w:rsidP="00CA42C5">
      <w:pPr>
        <w:tabs>
          <w:tab w:val="left" w:pos="8222"/>
          <w:tab w:val="left" w:pos="8789"/>
        </w:tabs>
        <w:spacing w:before="240" w:after="240" w:line="276" w:lineRule="auto"/>
        <w:ind w:left="567" w:right="616"/>
        <w:jc w:val="both"/>
        <w:rPr>
          <w:rFonts w:ascii="Palatino Linotype" w:eastAsia="Times New Roman" w:hAnsi="Palatino Linotype" w:cs="Times New Roman"/>
          <w:bCs/>
          <w:i/>
          <w:color w:val="000000" w:themeColor="text1"/>
          <w:sz w:val="24"/>
          <w:szCs w:val="24"/>
        </w:rPr>
      </w:pPr>
      <w:r w:rsidRPr="00CA42C5">
        <w:rPr>
          <w:rFonts w:ascii="Palatino Linotype" w:eastAsia="Times New Roman" w:hAnsi="Palatino Linotype" w:cs="Times New Roman"/>
          <w:b/>
          <w:bCs/>
          <w:i/>
          <w:color w:val="000000" w:themeColor="text1"/>
          <w:sz w:val="24"/>
          <w:szCs w:val="24"/>
          <w:u w:val="single"/>
        </w:rPr>
        <w:t xml:space="preserve">Los documentos y constancias aquí señalados, la institución o dependencia podrá conservarlos por medio de los sistemas de digitalización o de información magnética o electrónica o cualquier </w:t>
      </w:r>
      <w:r w:rsidRPr="00CA42C5">
        <w:rPr>
          <w:rFonts w:ascii="Palatino Linotype" w:eastAsia="Times New Roman" w:hAnsi="Palatino Linotype" w:cs="Times New Roman"/>
          <w:b/>
          <w:bCs/>
          <w:i/>
          <w:color w:val="000000" w:themeColor="text1"/>
          <w:sz w:val="24"/>
          <w:szCs w:val="24"/>
          <w:u w:val="single"/>
        </w:rPr>
        <w:lastRenderedPageBreak/>
        <w:t>medio descubierto por la ciencia y las constancias expedidas por el encargado del área de personal de éstas, harán prueba plena</w:t>
      </w:r>
      <w:r w:rsidRPr="00CA42C5">
        <w:rPr>
          <w:rFonts w:ascii="Palatino Linotype" w:eastAsia="Times New Roman" w:hAnsi="Palatino Linotype" w:cs="Times New Roman"/>
          <w:bCs/>
          <w:i/>
          <w:color w:val="000000" w:themeColor="text1"/>
          <w:sz w:val="24"/>
          <w:szCs w:val="24"/>
        </w:rPr>
        <w:t>.</w:t>
      </w:r>
    </w:p>
    <w:p w:rsidR="00E1570F" w:rsidRPr="00CA42C5" w:rsidRDefault="00E1570F" w:rsidP="00CA42C5">
      <w:pPr>
        <w:tabs>
          <w:tab w:val="left" w:pos="8222"/>
          <w:tab w:val="left" w:pos="8789"/>
        </w:tabs>
        <w:spacing w:before="240" w:after="240" w:line="276" w:lineRule="auto"/>
        <w:ind w:left="567" w:right="567"/>
        <w:jc w:val="both"/>
        <w:rPr>
          <w:rFonts w:ascii="Palatino Linotype" w:eastAsia="Times New Roman" w:hAnsi="Palatino Linotype" w:cs="Times New Roman"/>
          <w:bCs/>
          <w:i/>
          <w:color w:val="000000" w:themeColor="text1"/>
          <w:sz w:val="24"/>
          <w:szCs w:val="24"/>
          <w:u w:val="single"/>
        </w:rPr>
      </w:pPr>
      <w:r w:rsidRPr="00CA42C5">
        <w:rPr>
          <w:rFonts w:ascii="Palatino Linotype" w:eastAsia="Times New Roman" w:hAnsi="Palatino Linotype" w:cs="Times New Roman"/>
          <w:bCs/>
          <w:i/>
          <w:color w:val="000000" w:themeColor="text1"/>
          <w:sz w:val="24"/>
          <w:szCs w:val="24"/>
          <w:u w:val="single"/>
        </w:rPr>
        <w:t xml:space="preserve">El incumplimiento por lo dispuesto por este artículo, establecerá la presunción de ser ciertos los hechos que el actor exprese en su demanda, en relación con tales documentos, salvo prueba en contrario.” </w:t>
      </w:r>
    </w:p>
    <w:p w:rsidR="00E1570F" w:rsidRPr="00CA42C5" w:rsidRDefault="00E1570F" w:rsidP="00CA42C5">
      <w:pPr>
        <w:tabs>
          <w:tab w:val="left" w:pos="8222"/>
          <w:tab w:val="left" w:pos="8789"/>
        </w:tabs>
        <w:spacing w:before="240" w:after="240" w:line="276" w:lineRule="auto"/>
        <w:ind w:left="567" w:right="567"/>
        <w:jc w:val="both"/>
        <w:rPr>
          <w:rFonts w:ascii="Palatino Linotype" w:eastAsia="Times New Roman" w:hAnsi="Palatino Linotype" w:cs="Times New Roman"/>
          <w:bCs/>
          <w:i/>
          <w:color w:val="000000" w:themeColor="text1"/>
          <w:sz w:val="24"/>
          <w:szCs w:val="24"/>
        </w:rPr>
      </w:pPr>
      <w:r w:rsidRPr="00CA42C5">
        <w:rPr>
          <w:rFonts w:ascii="Palatino Linotype" w:eastAsia="Times New Roman" w:hAnsi="Palatino Linotype" w:cs="Times New Roman"/>
          <w:bCs/>
          <w:i/>
          <w:color w:val="000000" w:themeColor="text1"/>
          <w:sz w:val="24"/>
          <w:szCs w:val="24"/>
        </w:rPr>
        <w:t xml:space="preserve">(Énfasis añadido) </w:t>
      </w:r>
    </w:p>
    <w:p w:rsidR="00E1570F" w:rsidRPr="00CA42C5" w:rsidRDefault="00E1570F" w:rsidP="00CA42C5">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sidRPr="00CA42C5">
        <w:rPr>
          <w:rFonts w:ascii="Palatino Linotype" w:eastAsia="Times New Roman" w:hAnsi="Palatino Linotype" w:cs="Arial"/>
          <w:color w:val="000000" w:themeColor="text1"/>
          <w:sz w:val="24"/>
          <w:szCs w:val="24"/>
        </w:rPr>
        <w:t xml:space="preserve">De lo anterior, se advierte que toda institución pública o dependencia pública del Estado de México debe conservar los </w:t>
      </w:r>
      <w:r w:rsidRPr="00CA42C5">
        <w:rPr>
          <w:rFonts w:ascii="Palatino Linotype" w:eastAsia="Times New Roman" w:hAnsi="Palatino Linotype" w:cs="Arial"/>
          <w:b/>
          <w:color w:val="000000" w:themeColor="text1"/>
          <w:sz w:val="24"/>
          <w:szCs w:val="24"/>
        </w:rPr>
        <w:t>recibos o constancias de pago</w:t>
      </w:r>
      <w:r w:rsidRPr="00CA42C5">
        <w:rPr>
          <w:rFonts w:ascii="Palatino Linotype" w:eastAsia="Times New Roman" w:hAnsi="Palatino Linotype" w:cs="Arial"/>
          <w:color w:val="000000" w:themeColor="text1"/>
          <w:sz w:val="24"/>
          <w:szCs w:val="24"/>
        </w:rPr>
        <w:t xml:space="preserve">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E1570F" w:rsidRPr="00CA42C5" w:rsidRDefault="00E1570F" w:rsidP="00CA42C5">
      <w:pPr>
        <w:spacing w:before="240" w:after="240" w:line="360" w:lineRule="auto"/>
        <w:contextualSpacing/>
        <w:jc w:val="both"/>
        <w:rPr>
          <w:rFonts w:ascii="Palatino Linotype" w:eastAsia="Times New Roman" w:hAnsi="Palatino Linotype" w:cs="Arial"/>
          <w:color w:val="000000" w:themeColor="text1"/>
          <w:sz w:val="24"/>
          <w:szCs w:val="24"/>
        </w:rPr>
      </w:pPr>
    </w:p>
    <w:p w:rsidR="00E1570F" w:rsidRPr="00CA42C5" w:rsidRDefault="00E1570F" w:rsidP="00CA42C5">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sidRPr="00CA42C5">
        <w:rPr>
          <w:rFonts w:ascii="Palatino Linotype" w:eastAsia="Times New Roman" w:hAnsi="Palatino Linotype" w:cs="Arial"/>
          <w:color w:val="000000" w:themeColor="text1"/>
          <w:sz w:val="24"/>
          <w:szCs w:val="24"/>
        </w:rPr>
        <w:t xml:space="preserve">Así, la Ley del Trabajo de los Servidores Públicos del Estado y Municipios hace referencia </w:t>
      </w:r>
      <w:r w:rsidRPr="00CA42C5">
        <w:rPr>
          <w:rFonts w:ascii="Palatino Linotype" w:eastAsia="Times New Roman" w:hAnsi="Palatino Linotype" w:cs="Arial"/>
          <w:color w:val="000000" w:themeColor="text1"/>
          <w:sz w:val="24"/>
          <w:szCs w:val="24"/>
          <w:lang w:eastAsia="es-MX"/>
        </w:rPr>
        <w:t xml:space="preserve">a </w:t>
      </w:r>
      <w:r w:rsidRPr="00CA42C5">
        <w:rPr>
          <w:rFonts w:ascii="Palatino Linotype" w:eastAsia="Times New Roman" w:hAnsi="Palatino Linotype" w:cs="Arial"/>
          <w:color w:val="000000" w:themeColor="text1"/>
          <w:sz w:val="24"/>
          <w:szCs w:val="24"/>
        </w:rPr>
        <w:t>los comprobantes que las instituciones públicas realizan para documentar el pago de salarios, prima vacacional, aguinaldo y demás prestaciones otorgadas a un servidor público, denominándolos “</w:t>
      </w:r>
      <w:r w:rsidRPr="00CA42C5">
        <w:rPr>
          <w:rFonts w:ascii="Palatino Linotype" w:eastAsia="Times New Roman" w:hAnsi="Palatino Linotype" w:cs="Arial"/>
          <w:i/>
          <w:color w:val="000000" w:themeColor="text1"/>
          <w:sz w:val="24"/>
          <w:szCs w:val="24"/>
        </w:rPr>
        <w:t>recibos o comprobantes de pago</w:t>
      </w:r>
      <w:r w:rsidRPr="00CA42C5">
        <w:rPr>
          <w:rFonts w:ascii="Palatino Linotype" w:eastAsia="Times New Roman" w:hAnsi="Palatino Linotype" w:cs="Arial"/>
          <w:color w:val="000000" w:themeColor="text1"/>
          <w:sz w:val="24"/>
          <w:szCs w:val="24"/>
        </w:rPr>
        <w:t>”, los cuales constituyen un instrumento mediante el cual el sujeto obligado acredita las remuneraciones al personal y, que de acuerdo al uso implantado en la colectividad se denominan “</w:t>
      </w:r>
      <w:r w:rsidRPr="00CA42C5">
        <w:rPr>
          <w:rFonts w:ascii="Palatino Linotype" w:eastAsia="Times New Roman" w:hAnsi="Palatino Linotype" w:cs="Arial"/>
          <w:b/>
          <w:i/>
          <w:color w:val="000000" w:themeColor="text1"/>
          <w:sz w:val="24"/>
          <w:szCs w:val="24"/>
        </w:rPr>
        <w:t>recibos de nómina</w:t>
      </w:r>
      <w:r w:rsidRPr="00CA42C5">
        <w:rPr>
          <w:rFonts w:ascii="Palatino Linotype" w:eastAsia="Times New Roman" w:hAnsi="Palatino Linotype" w:cs="Arial"/>
          <w:color w:val="000000" w:themeColor="text1"/>
          <w:sz w:val="24"/>
          <w:szCs w:val="24"/>
        </w:rPr>
        <w:t>”.</w:t>
      </w:r>
    </w:p>
    <w:p w:rsidR="009F2118" w:rsidRPr="00CA42C5" w:rsidRDefault="009F2118" w:rsidP="00CA42C5">
      <w:pPr>
        <w:pStyle w:val="Prrafodelista"/>
        <w:jc w:val="both"/>
        <w:rPr>
          <w:rFonts w:ascii="Palatino Linotype" w:eastAsia="Times New Roman" w:hAnsi="Palatino Linotype" w:cs="Arial"/>
          <w:color w:val="000000" w:themeColor="text1"/>
          <w:sz w:val="24"/>
          <w:szCs w:val="24"/>
        </w:rPr>
      </w:pPr>
    </w:p>
    <w:p w:rsidR="00E1570F" w:rsidRPr="00270E5A" w:rsidRDefault="00E1570F" w:rsidP="00270E5A">
      <w:pPr>
        <w:pStyle w:val="Prrafodelista"/>
        <w:numPr>
          <w:ilvl w:val="0"/>
          <w:numId w:val="2"/>
        </w:numPr>
        <w:tabs>
          <w:tab w:val="left" w:pos="426"/>
        </w:tabs>
        <w:spacing w:after="0" w:line="360" w:lineRule="auto"/>
        <w:ind w:right="49" w:hanging="218"/>
        <w:jc w:val="both"/>
        <w:rPr>
          <w:rFonts w:ascii="Palatino Linotype" w:hAnsi="Palatino Linotype"/>
          <w:color w:val="000000" w:themeColor="text1"/>
          <w:sz w:val="24"/>
          <w:szCs w:val="24"/>
        </w:rPr>
      </w:pPr>
      <w:r w:rsidRPr="00270E5A">
        <w:rPr>
          <w:rFonts w:ascii="Palatino Linotype" w:hAnsi="Palatino Linotype" w:cs="Arial"/>
          <w:noProof/>
          <w:color w:val="000000" w:themeColor="text1"/>
          <w:sz w:val="24"/>
          <w:szCs w:val="24"/>
          <w:lang w:eastAsia="es-MX"/>
        </w:rPr>
        <w:t>Ademas de que forman parte del cúmulo de información pública considerada como obligaciones de transparencia, de conformidad con el artículo 92 fracción II de la Ley de Transparencia y Acceso a la Información Pública del Estado de México y Municipios, mismo que se transcibe a continuación:</w:t>
      </w:r>
    </w:p>
    <w:p w:rsidR="00E1570F" w:rsidRPr="00CA42C5" w:rsidRDefault="00E1570F" w:rsidP="00CA42C5">
      <w:pPr>
        <w:tabs>
          <w:tab w:val="left" w:pos="426"/>
        </w:tabs>
        <w:spacing w:line="360" w:lineRule="auto"/>
        <w:ind w:right="49"/>
        <w:contextualSpacing/>
        <w:jc w:val="both"/>
        <w:rPr>
          <w:rFonts w:ascii="Palatino Linotype" w:hAnsi="Palatino Linotype"/>
          <w:color w:val="000000" w:themeColor="text1"/>
          <w:sz w:val="24"/>
          <w:szCs w:val="24"/>
        </w:rPr>
      </w:pPr>
    </w:p>
    <w:p w:rsidR="00E1570F" w:rsidRPr="00CA42C5" w:rsidRDefault="00E1570F" w:rsidP="00CA42C5">
      <w:pPr>
        <w:tabs>
          <w:tab w:val="left" w:pos="567"/>
        </w:tabs>
        <w:spacing w:before="240" w:after="240" w:line="360" w:lineRule="auto"/>
        <w:ind w:left="567" w:right="616"/>
        <w:contextualSpacing/>
        <w:jc w:val="both"/>
        <w:rPr>
          <w:rFonts w:ascii="Palatino Linotype" w:eastAsia="Times New Roman" w:hAnsi="Palatino Linotype" w:cs="Times New Roman"/>
          <w:i/>
          <w:color w:val="000000" w:themeColor="text1"/>
          <w:sz w:val="24"/>
          <w:szCs w:val="24"/>
        </w:rPr>
      </w:pPr>
      <w:r w:rsidRPr="00CA42C5">
        <w:rPr>
          <w:rFonts w:ascii="Palatino Linotype" w:eastAsia="Calibri" w:hAnsi="Palatino Linotype" w:cs="Arial"/>
          <w:i/>
          <w:color w:val="000000" w:themeColor="text1"/>
          <w:sz w:val="24"/>
          <w:szCs w:val="24"/>
        </w:rPr>
        <w:t>“</w:t>
      </w:r>
      <w:r w:rsidRPr="00CA42C5">
        <w:rPr>
          <w:rFonts w:ascii="Palatino Linotype" w:eastAsia="Times New Roman" w:hAnsi="Palatino Linotype" w:cs="Times New Roman"/>
          <w:b/>
          <w:i/>
          <w:color w:val="000000" w:themeColor="text1"/>
          <w:sz w:val="24"/>
          <w:szCs w:val="24"/>
        </w:rPr>
        <w:t>Artículo 92</w:t>
      </w:r>
      <w:r w:rsidRPr="00CA42C5">
        <w:rPr>
          <w:rFonts w:ascii="Palatino Linotype" w:eastAsia="Times New Roman" w:hAnsi="Palatino Linotype" w:cs="Times New Roman"/>
          <w:i/>
          <w:color w:val="000000" w:themeColor="text1"/>
          <w:sz w:val="24"/>
          <w:szCs w:val="24"/>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1570F" w:rsidRPr="00CA42C5" w:rsidRDefault="00E1570F" w:rsidP="00CA42C5">
      <w:pPr>
        <w:spacing w:before="240" w:after="360" w:line="360" w:lineRule="auto"/>
        <w:ind w:left="567" w:right="616"/>
        <w:jc w:val="both"/>
        <w:rPr>
          <w:rFonts w:ascii="Palatino Linotype" w:eastAsia="Times New Roman" w:hAnsi="Palatino Linotype" w:cs="Times New Roman"/>
          <w:i/>
          <w:color w:val="000000" w:themeColor="text1"/>
          <w:sz w:val="24"/>
          <w:szCs w:val="24"/>
        </w:rPr>
      </w:pPr>
      <w:r w:rsidRPr="00CA42C5">
        <w:rPr>
          <w:rFonts w:ascii="Palatino Linotype" w:eastAsia="Times New Roman" w:hAnsi="Palatino Linotype" w:cs="Times New Roman"/>
          <w:i/>
          <w:color w:val="000000" w:themeColor="text1"/>
          <w:sz w:val="24"/>
          <w:szCs w:val="24"/>
        </w:rPr>
        <w:t>(…)</w:t>
      </w:r>
    </w:p>
    <w:p w:rsidR="00E1570F" w:rsidRPr="00CA42C5" w:rsidRDefault="00E1570F" w:rsidP="00CA42C5">
      <w:pPr>
        <w:spacing w:before="240" w:after="360" w:line="360" w:lineRule="auto"/>
        <w:ind w:left="567" w:right="616"/>
        <w:jc w:val="both"/>
        <w:rPr>
          <w:rFonts w:ascii="Palatino Linotype" w:eastAsia="Times New Roman" w:hAnsi="Palatino Linotype" w:cs="Times New Roman"/>
          <w:i/>
          <w:color w:val="000000" w:themeColor="text1"/>
          <w:sz w:val="24"/>
          <w:szCs w:val="24"/>
        </w:rPr>
      </w:pPr>
      <w:r w:rsidRPr="00CA42C5">
        <w:rPr>
          <w:rFonts w:ascii="Palatino Linotype" w:eastAsia="Times New Roman" w:hAnsi="Palatino Linotype" w:cs="Times New Roman"/>
          <w:b/>
          <w:i/>
          <w:color w:val="000000" w:themeColor="text1"/>
          <w:sz w:val="24"/>
          <w:szCs w:val="24"/>
        </w:rPr>
        <w:t>VIII. La remuneración bruta y neta de todos los servidores públicos de base o de confianza,</w:t>
      </w:r>
      <w:r w:rsidRPr="00CA42C5">
        <w:rPr>
          <w:rFonts w:ascii="Palatino Linotype" w:eastAsia="Times New Roman" w:hAnsi="Palatino Linotype" w:cs="Times New Roman"/>
          <w:i/>
          <w:color w:val="000000" w:themeColor="text1"/>
          <w:sz w:val="24"/>
          <w:szCs w:val="24"/>
        </w:rPr>
        <w:t xml:space="preserve"> de todas las percepciones, incluyendo sueldos, prestaciones, gratificaciones, primas, comisiones, dietas, bonos, estímulos, ingresos y sistemas de compensación, señalando la periodicidad de dicha remuneración…”</w:t>
      </w:r>
    </w:p>
    <w:p w:rsidR="00E1570F" w:rsidRPr="00CA42C5" w:rsidRDefault="00E1570F" w:rsidP="00CA42C5">
      <w:pPr>
        <w:spacing w:before="240" w:after="360" w:line="360" w:lineRule="auto"/>
        <w:ind w:left="567" w:right="616"/>
        <w:jc w:val="both"/>
        <w:rPr>
          <w:rFonts w:ascii="Palatino Linotype" w:eastAsia="Times New Roman" w:hAnsi="Palatino Linotype" w:cs="Times New Roman"/>
          <w:i/>
          <w:color w:val="000000" w:themeColor="text1"/>
          <w:sz w:val="24"/>
          <w:szCs w:val="24"/>
        </w:rPr>
      </w:pPr>
      <w:r w:rsidRPr="00CA42C5">
        <w:rPr>
          <w:rFonts w:ascii="Palatino Linotype" w:eastAsia="Times New Roman" w:hAnsi="Palatino Linotype" w:cs="Times New Roman"/>
          <w:i/>
          <w:color w:val="000000" w:themeColor="text1"/>
          <w:sz w:val="24"/>
          <w:szCs w:val="24"/>
        </w:rPr>
        <w:t>(Énfasis añadido</w:t>
      </w:r>
    </w:p>
    <w:p w:rsidR="00E1570F" w:rsidRPr="00CA42C5" w:rsidRDefault="00E1570F" w:rsidP="00CA42C5">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CA42C5">
        <w:rPr>
          <w:rFonts w:ascii="Palatino Linotype" w:eastAsia="MS Mincho" w:hAnsi="Palatino Linotype" w:cstheme="majorBidi"/>
          <w:sz w:val="24"/>
          <w:szCs w:val="24"/>
          <w:lang w:val="es-ES_tradnl" w:eastAsia="es-ES"/>
        </w:rPr>
        <w:lastRenderedPageBreak/>
        <w:t>Dicho lo anterior, resulta viable ordenar la entregada de</w:t>
      </w:r>
      <w:r w:rsidR="0057057A" w:rsidRPr="00CA42C5">
        <w:rPr>
          <w:rFonts w:ascii="Palatino Linotype" w:eastAsia="MS Mincho" w:hAnsi="Palatino Linotype" w:cstheme="majorBidi"/>
          <w:sz w:val="24"/>
          <w:szCs w:val="24"/>
          <w:lang w:val="es-ES_tradnl" w:eastAsia="es-ES"/>
        </w:rPr>
        <w:t xml:space="preserve"> </w:t>
      </w:r>
      <w:r w:rsidRPr="00CA42C5">
        <w:rPr>
          <w:rFonts w:ascii="Palatino Linotype" w:eastAsia="MS Mincho" w:hAnsi="Palatino Linotype" w:cstheme="majorBidi"/>
          <w:sz w:val="24"/>
          <w:szCs w:val="24"/>
          <w:lang w:val="es-ES_tradnl" w:eastAsia="es-ES"/>
        </w:rPr>
        <w:t>l</w:t>
      </w:r>
      <w:r w:rsidR="0057057A" w:rsidRPr="00CA42C5">
        <w:rPr>
          <w:rFonts w:ascii="Palatino Linotype" w:eastAsia="MS Mincho" w:hAnsi="Palatino Linotype" w:cstheme="majorBidi"/>
          <w:sz w:val="24"/>
          <w:szCs w:val="24"/>
          <w:lang w:val="es-ES_tradnl" w:eastAsia="es-ES"/>
        </w:rPr>
        <w:t>os</w:t>
      </w:r>
      <w:r w:rsidRPr="00CA42C5">
        <w:rPr>
          <w:rFonts w:ascii="Palatino Linotype" w:eastAsia="MS Mincho" w:hAnsi="Palatino Linotype" w:cstheme="majorBidi"/>
          <w:sz w:val="24"/>
          <w:szCs w:val="24"/>
          <w:lang w:val="es-ES_tradnl" w:eastAsia="es-ES"/>
        </w:rPr>
        <w:t xml:space="preserve"> recibo</w:t>
      </w:r>
      <w:r w:rsidR="0057057A" w:rsidRPr="00CA42C5">
        <w:rPr>
          <w:rFonts w:ascii="Palatino Linotype" w:eastAsia="MS Mincho" w:hAnsi="Palatino Linotype" w:cstheme="majorBidi"/>
          <w:sz w:val="24"/>
          <w:szCs w:val="24"/>
          <w:lang w:val="es-ES_tradnl" w:eastAsia="es-ES"/>
        </w:rPr>
        <w:t>s</w:t>
      </w:r>
      <w:r w:rsidRPr="00CA42C5">
        <w:rPr>
          <w:rFonts w:ascii="Palatino Linotype" w:eastAsia="MS Mincho" w:hAnsi="Palatino Linotype" w:cstheme="majorBidi"/>
          <w:sz w:val="24"/>
          <w:szCs w:val="24"/>
          <w:lang w:val="es-ES_tradnl" w:eastAsia="es-ES"/>
        </w:rPr>
        <w:t xml:space="preserve"> de nómina, en versión pública, de la</w:t>
      </w:r>
      <w:r w:rsidR="009F2118" w:rsidRPr="00CA42C5">
        <w:rPr>
          <w:rFonts w:ascii="Palatino Linotype" w:eastAsia="MS Mincho" w:hAnsi="Palatino Linotype" w:cstheme="majorBidi"/>
          <w:sz w:val="24"/>
          <w:szCs w:val="24"/>
          <w:lang w:val="es-ES_tradnl" w:eastAsia="es-ES"/>
        </w:rPr>
        <w:t>s</w:t>
      </w:r>
      <w:r w:rsidRPr="00CA42C5">
        <w:rPr>
          <w:rFonts w:ascii="Palatino Linotype" w:eastAsia="MS Mincho" w:hAnsi="Palatino Linotype" w:cstheme="majorBidi"/>
          <w:sz w:val="24"/>
          <w:szCs w:val="24"/>
          <w:lang w:val="es-ES_tradnl" w:eastAsia="es-ES"/>
        </w:rPr>
        <w:t xml:space="preserve"> persona</w:t>
      </w:r>
      <w:r w:rsidR="009F2118" w:rsidRPr="00CA42C5">
        <w:rPr>
          <w:rFonts w:ascii="Palatino Linotype" w:eastAsia="MS Mincho" w:hAnsi="Palatino Linotype" w:cstheme="majorBidi"/>
          <w:sz w:val="24"/>
          <w:szCs w:val="24"/>
          <w:lang w:val="es-ES_tradnl" w:eastAsia="es-ES"/>
        </w:rPr>
        <w:t>s</w:t>
      </w:r>
      <w:r w:rsidRPr="00CA42C5">
        <w:rPr>
          <w:rFonts w:ascii="Palatino Linotype" w:eastAsia="MS Mincho" w:hAnsi="Palatino Linotype" w:cstheme="majorBidi"/>
          <w:sz w:val="24"/>
          <w:szCs w:val="24"/>
          <w:lang w:val="es-ES_tradnl" w:eastAsia="es-ES"/>
        </w:rPr>
        <w:t xml:space="preserve"> que se menciona en la solicitud, correspondiente a la primera</w:t>
      </w:r>
      <w:r w:rsidR="0057057A" w:rsidRPr="00CA42C5">
        <w:rPr>
          <w:rFonts w:ascii="Palatino Linotype" w:eastAsia="MS Mincho" w:hAnsi="Palatino Linotype" w:cstheme="majorBidi"/>
          <w:sz w:val="24"/>
          <w:szCs w:val="24"/>
          <w:lang w:val="es-ES_tradnl" w:eastAsia="es-ES"/>
        </w:rPr>
        <w:t xml:space="preserve"> y segunda</w:t>
      </w:r>
      <w:r w:rsidRPr="00CA42C5">
        <w:rPr>
          <w:rFonts w:ascii="Palatino Linotype" w:eastAsia="MS Mincho" w:hAnsi="Palatino Linotype" w:cstheme="majorBidi"/>
          <w:sz w:val="24"/>
          <w:szCs w:val="24"/>
          <w:lang w:val="es-ES_tradnl" w:eastAsia="es-ES"/>
        </w:rPr>
        <w:t xml:space="preserve"> quincena del mes de enero de 2019, </w:t>
      </w:r>
      <w:r w:rsidR="007E7B68" w:rsidRPr="00CA42C5">
        <w:rPr>
          <w:rFonts w:ascii="Palatino Linotype" w:eastAsia="MS Mincho" w:hAnsi="Palatino Linotype" w:cstheme="majorBidi"/>
          <w:sz w:val="24"/>
          <w:szCs w:val="24"/>
          <w:lang w:val="es-ES_tradnl" w:eastAsia="es-ES"/>
        </w:rPr>
        <w:t xml:space="preserve">lo anterior, derivado de la fecha de la solicitud, información </w:t>
      </w:r>
      <w:r w:rsidRPr="00CA42C5">
        <w:rPr>
          <w:rFonts w:ascii="Palatino Linotype" w:eastAsia="MS Mincho" w:hAnsi="Palatino Linotype" w:cstheme="majorBidi"/>
          <w:sz w:val="24"/>
          <w:szCs w:val="24"/>
          <w:lang w:val="es-ES_tradnl" w:eastAsia="es-ES"/>
        </w:rPr>
        <w:t>que</w:t>
      </w:r>
      <w:r w:rsidR="007E7B68" w:rsidRPr="00CA42C5">
        <w:rPr>
          <w:rFonts w:ascii="Palatino Linotype" w:eastAsia="MS Mincho" w:hAnsi="Palatino Linotype" w:cstheme="majorBidi"/>
          <w:sz w:val="24"/>
          <w:szCs w:val="24"/>
          <w:lang w:val="es-ES_tradnl" w:eastAsia="es-ES"/>
        </w:rPr>
        <w:t xml:space="preserve"> a la fecha del cumplimiento se presume que ya se debió haber</w:t>
      </w:r>
      <w:r w:rsidRPr="00CA42C5">
        <w:rPr>
          <w:rFonts w:ascii="Palatino Linotype" w:eastAsia="MS Mincho" w:hAnsi="Palatino Linotype" w:cstheme="majorBidi"/>
          <w:sz w:val="24"/>
          <w:szCs w:val="24"/>
          <w:lang w:val="es-ES_tradnl" w:eastAsia="es-ES"/>
        </w:rPr>
        <w:t xml:space="preserve"> generado</w:t>
      </w:r>
      <w:r w:rsidR="007E7B68" w:rsidRPr="00CA42C5">
        <w:rPr>
          <w:rFonts w:ascii="Palatino Linotype" w:eastAsia="MS Mincho" w:hAnsi="Palatino Linotype" w:cstheme="majorBidi"/>
          <w:sz w:val="24"/>
          <w:szCs w:val="24"/>
          <w:lang w:val="es-ES_tradnl" w:eastAsia="es-ES"/>
        </w:rPr>
        <w:t xml:space="preserve"> y con dicha entrega el particular podrá allegarse de los elemento necesarios para determinar las percepciones brutas y netas mensuales.</w:t>
      </w:r>
    </w:p>
    <w:p w:rsidR="00E1570F" w:rsidRPr="00CA42C5" w:rsidRDefault="00E1570F" w:rsidP="00CA42C5">
      <w:pPr>
        <w:spacing w:after="120" w:line="360" w:lineRule="auto"/>
        <w:ind w:right="49"/>
        <w:contextualSpacing/>
        <w:jc w:val="both"/>
        <w:rPr>
          <w:rFonts w:ascii="Palatino Linotype" w:eastAsia="MS Mincho" w:hAnsi="Palatino Linotype" w:cstheme="majorBidi"/>
          <w:sz w:val="24"/>
          <w:szCs w:val="24"/>
          <w:lang w:val="es-ES_tradnl" w:eastAsia="es-ES"/>
        </w:rPr>
      </w:pPr>
    </w:p>
    <w:p w:rsidR="00E1570F" w:rsidRPr="00CA42C5" w:rsidRDefault="00E1570F" w:rsidP="00CA42C5">
      <w:pPr>
        <w:keepNext/>
        <w:keepLines/>
        <w:numPr>
          <w:ilvl w:val="0"/>
          <w:numId w:val="14"/>
        </w:numPr>
        <w:spacing w:before="40" w:after="0"/>
        <w:ind w:left="0" w:firstLine="0"/>
        <w:jc w:val="both"/>
        <w:outlineLvl w:val="1"/>
        <w:rPr>
          <w:rFonts w:ascii="Palatino Linotype" w:eastAsia="MS Mincho" w:hAnsi="Palatino Linotype" w:cstheme="majorBidi"/>
          <w:b/>
          <w:i/>
          <w:sz w:val="24"/>
          <w:szCs w:val="24"/>
          <w:lang w:val="es-ES_tradnl" w:eastAsia="es-ES"/>
        </w:rPr>
      </w:pPr>
      <w:bookmarkStart w:id="76" w:name="_Toc7113866"/>
      <w:r w:rsidRPr="00CA42C5">
        <w:rPr>
          <w:rFonts w:ascii="Palatino Linotype" w:eastAsia="MS Mincho" w:hAnsi="Palatino Linotype" w:cstheme="majorBidi"/>
          <w:b/>
          <w:i/>
          <w:sz w:val="24"/>
          <w:szCs w:val="24"/>
          <w:lang w:val="es-ES_tradnl" w:eastAsia="es-ES"/>
        </w:rPr>
        <w:t>De</w:t>
      </w:r>
      <w:r w:rsidR="007E7B68" w:rsidRPr="00CA42C5">
        <w:rPr>
          <w:rFonts w:ascii="Palatino Linotype" w:eastAsia="MS Mincho" w:hAnsi="Palatino Linotype" w:cstheme="majorBidi"/>
          <w:b/>
          <w:i/>
          <w:sz w:val="24"/>
          <w:szCs w:val="24"/>
          <w:lang w:val="es-ES_tradnl" w:eastAsia="es-ES"/>
        </w:rPr>
        <w:t>l inventario de bienes muebles e inmuebles</w:t>
      </w:r>
      <w:bookmarkEnd w:id="76"/>
    </w:p>
    <w:p w:rsidR="00E1570F" w:rsidRPr="00CA42C5" w:rsidRDefault="00E1570F" w:rsidP="00CA42C5">
      <w:pPr>
        <w:spacing w:after="120" w:line="360" w:lineRule="auto"/>
        <w:ind w:right="49"/>
        <w:contextualSpacing/>
        <w:jc w:val="both"/>
        <w:rPr>
          <w:rFonts w:ascii="Palatino Linotype" w:eastAsia="MS Mincho" w:hAnsi="Palatino Linotype" w:cstheme="majorBidi"/>
          <w:sz w:val="24"/>
          <w:szCs w:val="24"/>
          <w:lang w:val="es-ES_tradnl" w:eastAsia="es-ES"/>
        </w:rPr>
      </w:pPr>
    </w:p>
    <w:p w:rsidR="007E7B68" w:rsidRPr="00CA42C5" w:rsidRDefault="007E7B68" w:rsidP="00CA42C5">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eastAsia="es-ES"/>
        </w:rPr>
      </w:pPr>
      <w:r w:rsidRPr="00CA42C5">
        <w:rPr>
          <w:rFonts w:ascii="Palatino Linotype" w:eastAsia="MS Mincho" w:hAnsi="Palatino Linotype" w:cstheme="majorBidi"/>
          <w:sz w:val="24"/>
          <w:szCs w:val="24"/>
          <w:lang w:eastAsia="es-ES"/>
        </w:rPr>
        <w:t xml:space="preserve">Previo al análisis del planteamiento correspondiente a </w:t>
      </w:r>
      <w:r w:rsidRPr="00CA42C5">
        <w:rPr>
          <w:rFonts w:ascii="Palatino Linotype" w:eastAsia="MS Mincho" w:hAnsi="Palatino Linotype" w:cstheme="majorBidi"/>
          <w:i/>
          <w:sz w:val="24"/>
          <w:szCs w:val="24"/>
          <w:lang w:eastAsia="es-ES"/>
        </w:rPr>
        <w:t>materiales con que cuenta da dirección, secretaría o coordinación…</w:t>
      </w:r>
      <w:r w:rsidR="00666382" w:rsidRPr="00CA42C5">
        <w:rPr>
          <w:rFonts w:ascii="Palatino Linotype" w:eastAsia="MS Mincho" w:hAnsi="Palatino Linotype" w:cstheme="majorBidi"/>
          <w:sz w:val="24"/>
          <w:szCs w:val="24"/>
          <w:lang w:eastAsia="es-ES"/>
        </w:rPr>
        <w:t>es de precisar que lo que el</w:t>
      </w:r>
      <w:r w:rsidRPr="00CA42C5">
        <w:rPr>
          <w:rFonts w:ascii="Palatino Linotype" w:eastAsia="MS Mincho" w:hAnsi="Palatino Linotype" w:cstheme="majorBidi"/>
          <w:sz w:val="24"/>
          <w:szCs w:val="24"/>
          <w:lang w:eastAsia="es-ES"/>
        </w:rPr>
        <w:t xml:space="preserve"> particular </w:t>
      </w:r>
      <w:r w:rsidR="00666382" w:rsidRPr="00CA42C5">
        <w:rPr>
          <w:rFonts w:ascii="Palatino Linotype" w:eastAsia="MS Mincho" w:hAnsi="Palatino Linotype" w:cstheme="majorBidi"/>
          <w:sz w:val="24"/>
          <w:szCs w:val="24"/>
          <w:lang w:eastAsia="es-ES"/>
        </w:rPr>
        <w:t>requiere es lo correspondiente a los bienes muebles e inmuebles con que cuenta cada área mencionadas en la solicitud.</w:t>
      </w:r>
    </w:p>
    <w:p w:rsidR="00666382" w:rsidRPr="00CA42C5" w:rsidRDefault="00666382" w:rsidP="00CA42C5">
      <w:pPr>
        <w:pStyle w:val="Prrafodelista"/>
        <w:numPr>
          <w:ilvl w:val="0"/>
          <w:numId w:val="2"/>
        </w:numPr>
        <w:tabs>
          <w:tab w:val="left" w:pos="851"/>
        </w:tabs>
        <w:spacing w:before="240" w:after="240" w:line="360" w:lineRule="auto"/>
        <w:ind w:left="0" w:right="49" w:firstLine="0"/>
        <w:jc w:val="both"/>
        <w:rPr>
          <w:rFonts w:ascii="Palatino Linotype" w:hAnsi="Palatino Linotype"/>
          <w:sz w:val="24"/>
          <w:szCs w:val="24"/>
          <w:lang w:val="es-ES_tradnl"/>
        </w:rPr>
      </w:pPr>
      <w:r w:rsidRPr="00CA42C5">
        <w:rPr>
          <w:rFonts w:ascii="Palatino Linotype" w:hAnsi="Palatino Linotype"/>
          <w:sz w:val="24"/>
          <w:szCs w:val="24"/>
          <w:lang w:val="es-ES"/>
        </w:rPr>
        <w:t xml:space="preserve">Ahora bien, del requerimiento planteado por el particular el Sujeto Obligado fue omiso en hacer pronunciamiento, respecto al inventario de bienes muebles e inmuebles de las áreas de </w:t>
      </w:r>
      <w:r w:rsidRPr="00CA42C5">
        <w:rPr>
          <w:rFonts w:ascii="Palatino Linotype" w:hAnsi="Palatino Linotype"/>
          <w:b/>
          <w:sz w:val="24"/>
          <w:szCs w:val="24"/>
        </w:rPr>
        <w:t>D</w:t>
      </w:r>
      <w:r w:rsidR="00111716" w:rsidRPr="00CA42C5">
        <w:rPr>
          <w:rFonts w:ascii="Palatino Linotype" w:hAnsi="Palatino Linotype"/>
          <w:b/>
          <w:sz w:val="24"/>
          <w:szCs w:val="24"/>
        </w:rPr>
        <w:t>irección</w:t>
      </w:r>
      <w:r w:rsidRPr="00CA42C5">
        <w:rPr>
          <w:rFonts w:ascii="Palatino Linotype" w:hAnsi="Palatino Linotype"/>
          <w:sz w:val="24"/>
          <w:szCs w:val="24"/>
        </w:rPr>
        <w:t xml:space="preserve"> </w:t>
      </w:r>
      <w:r w:rsidR="00111716" w:rsidRPr="00CA42C5">
        <w:rPr>
          <w:rFonts w:ascii="Palatino Linotype" w:hAnsi="Palatino Linotype"/>
          <w:b/>
          <w:sz w:val="24"/>
          <w:szCs w:val="24"/>
        </w:rPr>
        <w:t>del Instituto de C</w:t>
      </w:r>
      <w:r w:rsidRPr="00CA42C5">
        <w:rPr>
          <w:rFonts w:ascii="Palatino Linotype" w:hAnsi="Palatino Linotype"/>
          <w:b/>
          <w:sz w:val="24"/>
          <w:szCs w:val="24"/>
        </w:rPr>
        <w:t xml:space="preserve">ultura </w:t>
      </w:r>
      <w:r w:rsidR="00111716" w:rsidRPr="00CA42C5">
        <w:rPr>
          <w:rFonts w:ascii="Palatino Linotype" w:hAnsi="Palatino Linotype"/>
          <w:b/>
          <w:sz w:val="24"/>
          <w:szCs w:val="24"/>
        </w:rPr>
        <w:t>Física y D</w:t>
      </w:r>
      <w:r w:rsidRPr="00CA42C5">
        <w:rPr>
          <w:rFonts w:ascii="Palatino Linotype" w:hAnsi="Palatino Linotype"/>
          <w:b/>
          <w:sz w:val="24"/>
          <w:szCs w:val="24"/>
        </w:rPr>
        <w:t>eporte;</w:t>
      </w:r>
      <w:r w:rsidR="00111716" w:rsidRPr="00CA42C5">
        <w:rPr>
          <w:rFonts w:ascii="Palatino Linotype" w:hAnsi="Palatino Linotype"/>
          <w:sz w:val="24"/>
          <w:szCs w:val="24"/>
          <w:lang w:val="es-ES_tradnl"/>
        </w:rPr>
        <w:t xml:space="preserve"> </w:t>
      </w:r>
      <w:r w:rsidR="00111716" w:rsidRPr="00CA42C5">
        <w:rPr>
          <w:rFonts w:ascii="Palatino Linotype" w:hAnsi="Palatino Linotype"/>
          <w:b/>
          <w:sz w:val="24"/>
          <w:szCs w:val="24"/>
        </w:rPr>
        <w:t>Coordinación</w:t>
      </w:r>
      <w:r w:rsidRPr="00CA42C5">
        <w:rPr>
          <w:rFonts w:ascii="Palatino Linotype" w:hAnsi="Palatino Linotype"/>
          <w:b/>
          <w:sz w:val="24"/>
          <w:szCs w:val="24"/>
        </w:rPr>
        <w:t xml:space="preserve"> </w:t>
      </w:r>
      <w:r w:rsidR="00111716" w:rsidRPr="00CA42C5">
        <w:rPr>
          <w:rFonts w:ascii="Palatino Linotype" w:hAnsi="Palatino Linotype"/>
          <w:b/>
          <w:sz w:val="24"/>
          <w:szCs w:val="24"/>
        </w:rPr>
        <w:t>del Instituto de la J</w:t>
      </w:r>
      <w:r w:rsidRPr="00CA42C5">
        <w:rPr>
          <w:rFonts w:ascii="Palatino Linotype" w:hAnsi="Palatino Linotype"/>
          <w:b/>
          <w:sz w:val="24"/>
          <w:szCs w:val="24"/>
        </w:rPr>
        <w:t>uventud;</w:t>
      </w:r>
      <w:r w:rsidR="00111716" w:rsidRPr="00CA42C5">
        <w:rPr>
          <w:rFonts w:ascii="Palatino Linotype" w:hAnsi="Palatino Linotype"/>
          <w:sz w:val="24"/>
          <w:szCs w:val="24"/>
          <w:lang w:val="es-ES_tradnl"/>
        </w:rPr>
        <w:t xml:space="preserve"> </w:t>
      </w:r>
      <w:r w:rsidR="00111716" w:rsidRPr="00CA42C5">
        <w:rPr>
          <w:rFonts w:ascii="Palatino Linotype" w:hAnsi="Palatino Linotype"/>
          <w:b/>
          <w:sz w:val="24"/>
          <w:szCs w:val="24"/>
        </w:rPr>
        <w:t>Dirección de Desarrollo Económico</w:t>
      </w:r>
      <w:r w:rsidRPr="00CA42C5">
        <w:rPr>
          <w:rFonts w:ascii="Palatino Linotype" w:hAnsi="Palatino Linotype"/>
          <w:b/>
          <w:sz w:val="24"/>
          <w:szCs w:val="24"/>
        </w:rPr>
        <w:t>;</w:t>
      </w:r>
      <w:r w:rsidR="00111716" w:rsidRPr="00CA42C5">
        <w:rPr>
          <w:rFonts w:ascii="Palatino Linotype" w:hAnsi="Palatino Linotype"/>
          <w:sz w:val="24"/>
          <w:szCs w:val="24"/>
          <w:lang w:val="es-ES_tradnl"/>
        </w:rPr>
        <w:t xml:space="preserve"> </w:t>
      </w:r>
      <w:r w:rsidR="00111716" w:rsidRPr="00CA42C5">
        <w:rPr>
          <w:rFonts w:ascii="Palatino Linotype" w:hAnsi="Palatino Linotype"/>
          <w:b/>
          <w:sz w:val="24"/>
          <w:szCs w:val="24"/>
        </w:rPr>
        <w:t>Dirección de Desarrollo Social y Secretaría</w:t>
      </w:r>
      <w:r w:rsidRPr="00CA42C5">
        <w:rPr>
          <w:rFonts w:ascii="Palatino Linotype" w:hAnsi="Palatino Linotype"/>
          <w:b/>
          <w:sz w:val="24"/>
          <w:szCs w:val="24"/>
        </w:rPr>
        <w:t xml:space="preserve"> de</w:t>
      </w:r>
      <w:r w:rsidR="00111716" w:rsidRPr="00CA42C5">
        <w:rPr>
          <w:rFonts w:ascii="Palatino Linotype" w:hAnsi="Palatino Linotype"/>
          <w:b/>
          <w:sz w:val="24"/>
          <w:szCs w:val="24"/>
        </w:rPr>
        <w:t>l</w:t>
      </w:r>
      <w:r w:rsidRPr="00CA42C5">
        <w:rPr>
          <w:rFonts w:ascii="Palatino Linotype" w:hAnsi="Palatino Linotype"/>
          <w:b/>
          <w:sz w:val="24"/>
          <w:szCs w:val="24"/>
        </w:rPr>
        <w:t xml:space="preserve"> ayuntamiento</w:t>
      </w:r>
      <w:r w:rsidR="00111716" w:rsidRPr="00CA42C5">
        <w:rPr>
          <w:rFonts w:ascii="Palatino Linotype" w:hAnsi="Palatino Linotype"/>
          <w:b/>
          <w:sz w:val="24"/>
          <w:szCs w:val="24"/>
        </w:rPr>
        <w:t>.</w:t>
      </w:r>
    </w:p>
    <w:p w:rsidR="00666382" w:rsidRPr="00CA42C5" w:rsidRDefault="00666382" w:rsidP="00CA42C5">
      <w:pPr>
        <w:pStyle w:val="Prrafodelista"/>
        <w:tabs>
          <w:tab w:val="left" w:pos="851"/>
        </w:tabs>
        <w:spacing w:before="240" w:after="240" w:line="360" w:lineRule="auto"/>
        <w:ind w:left="0" w:right="49"/>
        <w:jc w:val="both"/>
        <w:rPr>
          <w:rFonts w:ascii="Palatino Linotype" w:hAnsi="Palatino Linotype"/>
          <w:sz w:val="24"/>
          <w:szCs w:val="24"/>
          <w:lang w:val="es-ES"/>
        </w:rPr>
      </w:pPr>
    </w:p>
    <w:p w:rsidR="00666382" w:rsidRPr="00CA42C5" w:rsidRDefault="00666382" w:rsidP="00CA42C5">
      <w:pPr>
        <w:pStyle w:val="Prrafodelista"/>
        <w:numPr>
          <w:ilvl w:val="0"/>
          <w:numId w:val="2"/>
        </w:numPr>
        <w:tabs>
          <w:tab w:val="left" w:pos="851"/>
        </w:tabs>
        <w:spacing w:before="240" w:after="240" w:line="360" w:lineRule="auto"/>
        <w:ind w:left="0" w:right="49" w:firstLine="0"/>
        <w:jc w:val="both"/>
        <w:rPr>
          <w:rFonts w:ascii="Palatino Linotype" w:hAnsi="Palatino Linotype"/>
          <w:sz w:val="24"/>
          <w:szCs w:val="24"/>
          <w:lang w:val="es-ES"/>
        </w:rPr>
      </w:pPr>
      <w:r w:rsidRPr="00CA42C5">
        <w:rPr>
          <w:rFonts w:ascii="Palatino Linotype" w:hAnsi="Palatino Linotype"/>
          <w:sz w:val="24"/>
          <w:szCs w:val="24"/>
        </w:rPr>
        <w:lastRenderedPageBreak/>
        <w:t xml:space="preserve">Respecto de la información solicitada, es necesario partir de lo que establece el Código Civil del Estado de México, el cual determina los bienes considerados muebles, tal y como se aprecia en el numeral 5.6, que a la letra reza: </w:t>
      </w:r>
    </w:p>
    <w:p w:rsidR="00666382" w:rsidRPr="00CA42C5" w:rsidRDefault="00666382" w:rsidP="00CA42C5">
      <w:pPr>
        <w:tabs>
          <w:tab w:val="left" w:pos="851"/>
        </w:tabs>
        <w:spacing w:before="240" w:line="360" w:lineRule="auto"/>
        <w:ind w:left="567" w:right="616"/>
        <w:jc w:val="both"/>
        <w:rPr>
          <w:rFonts w:ascii="Palatino Linotype" w:hAnsi="Palatino Linotype"/>
          <w:i/>
          <w:sz w:val="24"/>
          <w:szCs w:val="24"/>
        </w:rPr>
      </w:pPr>
      <w:r w:rsidRPr="00CA42C5">
        <w:rPr>
          <w:rFonts w:ascii="Palatino Linotype" w:hAnsi="Palatino Linotype"/>
          <w:i/>
          <w:sz w:val="24"/>
          <w:szCs w:val="24"/>
        </w:rPr>
        <w:t xml:space="preserve">Artículo 5.6.- </w:t>
      </w:r>
      <w:r w:rsidRPr="00CA42C5">
        <w:rPr>
          <w:rFonts w:ascii="Palatino Linotype" w:hAnsi="Palatino Linotype"/>
          <w:b/>
          <w:i/>
          <w:sz w:val="24"/>
          <w:szCs w:val="24"/>
        </w:rPr>
        <w:t>Son bienes muebles</w:t>
      </w:r>
      <w:r w:rsidRPr="00CA42C5">
        <w:rPr>
          <w:rFonts w:ascii="Palatino Linotype" w:hAnsi="Palatino Linotype"/>
          <w:i/>
          <w:sz w:val="24"/>
          <w:szCs w:val="24"/>
        </w:rPr>
        <w:t xml:space="preserve"> por su naturaleza, los que pueden trasladarse de un lugar a otro, ya sea por sí mismos, o por efecto de una fuerza exterior.</w:t>
      </w:r>
    </w:p>
    <w:p w:rsidR="00666382" w:rsidRPr="00CA42C5" w:rsidRDefault="00666382" w:rsidP="00CA42C5">
      <w:pPr>
        <w:pStyle w:val="Prrafodelista"/>
        <w:numPr>
          <w:ilvl w:val="0"/>
          <w:numId w:val="2"/>
        </w:numPr>
        <w:tabs>
          <w:tab w:val="left" w:pos="709"/>
        </w:tabs>
        <w:spacing w:before="240" w:after="0" w:line="360" w:lineRule="auto"/>
        <w:ind w:left="0" w:right="51" w:firstLine="0"/>
        <w:jc w:val="both"/>
        <w:rPr>
          <w:rFonts w:ascii="Palatino Linotype" w:hAnsi="Palatino Linotype"/>
          <w:sz w:val="24"/>
          <w:szCs w:val="24"/>
        </w:rPr>
      </w:pPr>
      <w:r w:rsidRPr="00CA42C5">
        <w:rPr>
          <w:rFonts w:ascii="Palatino Linotype" w:hAnsi="Palatino Linotype"/>
          <w:sz w:val="24"/>
          <w:szCs w:val="24"/>
        </w:rPr>
        <w:t>Por cuerda separada, los Lineamientos para el Registro y Control del Inventario y la Conciliación y Desincorporación de Bienes Muebles e Inmuebles para las Entidades Fiscalizables del Estado de México, que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refieren que se entiende por bienes muebles:</w:t>
      </w:r>
    </w:p>
    <w:p w:rsidR="00666382" w:rsidRPr="00CA42C5" w:rsidRDefault="00666382" w:rsidP="00CA42C5">
      <w:pPr>
        <w:tabs>
          <w:tab w:val="left" w:pos="851"/>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t>NOVENO:</w:t>
      </w:r>
      <w:r w:rsidRPr="00CA42C5">
        <w:rPr>
          <w:rFonts w:ascii="Palatino Linotype" w:hAnsi="Palatino Linotype"/>
          <w:i/>
          <w:sz w:val="24"/>
          <w:szCs w:val="24"/>
        </w:rPr>
        <w:t xml:space="preserve"> Para efectos de los presentes Lineamientos, se entenderá por:</w:t>
      </w:r>
    </w:p>
    <w:p w:rsidR="00666382" w:rsidRPr="00CA42C5" w:rsidRDefault="00666382" w:rsidP="00CA42C5">
      <w:pPr>
        <w:tabs>
          <w:tab w:val="left" w:pos="851"/>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t>VII. BIEN MUEBLE:</w:t>
      </w:r>
      <w:r w:rsidRPr="00CA42C5">
        <w:rPr>
          <w:rFonts w:ascii="Palatino Linotype" w:hAnsi="Palatino Linotype"/>
          <w:i/>
          <w:sz w:val="24"/>
          <w:szCs w:val="24"/>
        </w:rPr>
        <w:t xml:space="preserve"> Objeto que por su naturaleza de uso o consumo, puede ser trasladado de un lugar a otro ya sea por sí mismo, o por efecto de una fuerza exterior, es todo aquello que se conoce como: mobiliario, mesas, sillas, libreros, anaqueles, equipo de oficina en general, equipo de transporte, semovientes, entre otros;</w:t>
      </w:r>
    </w:p>
    <w:p w:rsidR="00666382" w:rsidRPr="00CA42C5" w:rsidRDefault="00666382" w:rsidP="00CA42C5">
      <w:pPr>
        <w:tabs>
          <w:tab w:val="left" w:pos="851"/>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lastRenderedPageBreak/>
        <w:t>…………</w:t>
      </w:r>
    </w:p>
    <w:p w:rsidR="00666382" w:rsidRPr="00CA42C5" w:rsidRDefault="00666382" w:rsidP="00CA42C5">
      <w:pPr>
        <w:tabs>
          <w:tab w:val="left" w:pos="851"/>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t>XXX. INVENTARIO:</w:t>
      </w:r>
      <w:r w:rsidRPr="00CA42C5">
        <w:rPr>
          <w:rFonts w:ascii="Palatino Linotype" w:hAnsi="Palatino Linotype"/>
          <w:i/>
          <w:sz w:val="24"/>
          <w:szCs w:val="24"/>
        </w:rPr>
        <w:t xml:space="preserve"> Lista en la que se registran y describe la existencia de los bienes muebles e inmuebles propiedad de las entidades fiscalizables; </w:t>
      </w:r>
    </w:p>
    <w:p w:rsidR="00666382" w:rsidRPr="00CA42C5" w:rsidRDefault="00666382" w:rsidP="00CA42C5">
      <w:pPr>
        <w:tabs>
          <w:tab w:val="left" w:pos="851"/>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w:t>
      </w:r>
    </w:p>
    <w:p w:rsidR="00666382" w:rsidRPr="00CA42C5" w:rsidRDefault="00666382" w:rsidP="00CA42C5">
      <w:pPr>
        <w:tabs>
          <w:tab w:val="left" w:pos="851"/>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t>XXXII. INVENTARIO DE BIENES MUEBLES:</w:t>
      </w:r>
      <w:r w:rsidRPr="00CA42C5">
        <w:rPr>
          <w:rFonts w:ascii="Palatino Linotype" w:hAnsi="Palatino Linotype"/>
          <w:i/>
          <w:sz w:val="24"/>
          <w:szCs w:val="24"/>
        </w:rPr>
        <w:t xml:space="preserve"> Registro de los bienes muebles con un costo igual o mayor a 35 salarios mínimos del área geográfica "C" para los ejercicios anteriores y a partir del 01 de enero de 2013 los bienes muebles cuyo costo unitario de adquisición sea igual o superior a 35 días de salario mínimo general del Distrito Federal; </w:t>
      </w:r>
    </w:p>
    <w:p w:rsidR="00666382" w:rsidRPr="00CA42C5" w:rsidRDefault="00666382" w:rsidP="00CA42C5">
      <w:pPr>
        <w:tabs>
          <w:tab w:val="left" w:pos="851"/>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t>XXXIII. INVENTARIO GENERAL DE BIENES MUEBLES:</w:t>
      </w:r>
      <w:r w:rsidRPr="00CA42C5">
        <w:rPr>
          <w:rFonts w:ascii="Palatino Linotype" w:hAnsi="Palatino Linotype"/>
          <w:i/>
          <w:sz w:val="24"/>
          <w:szCs w:val="24"/>
        </w:rPr>
        <w:t xml:space="preserve"> A las listas en las que se registran y describen todos los bienes muebles en posesión de las entidades fiscalizables, es decir los bienes muebles contenidos en el Inventario de Bienes Muebles, Bienes Muebles de Bajo Costo, Bienes con Control Administrativo Interno y los recibidos en comodato; cuya finalidad es llevar a cabo un control de existencias, cantidad, características, condiciones de uso y valor;</w:t>
      </w:r>
    </w:p>
    <w:p w:rsidR="00666382" w:rsidRPr="00CA42C5" w:rsidRDefault="00666382" w:rsidP="00CA42C5">
      <w:pPr>
        <w:pStyle w:val="Prrafodelista"/>
        <w:numPr>
          <w:ilvl w:val="0"/>
          <w:numId w:val="2"/>
        </w:numPr>
        <w:tabs>
          <w:tab w:val="left" w:pos="709"/>
        </w:tabs>
        <w:spacing w:before="240" w:after="0" w:line="360" w:lineRule="auto"/>
        <w:ind w:left="0" w:right="51" w:firstLine="0"/>
        <w:jc w:val="both"/>
        <w:rPr>
          <w:rFonts w:ascii="Palatino Linotype" w:hAnsi="Palatino Linotype"/>
          <w:sz w:val="24"/>
          <w:szCs w:val="24"/>
        </w:rPr>
      </w:pPr>
      <w:r w:rsidRPr="00CA42C5">
        <w:rPr>
          <w:rFonts w:ascii="Palatino Linotype" w:hAnsi="Palatino Linotype"/>
          <w:sz w:val="24"/>
          <w:szCs w:val="24"/>
        </w:rPr>
        <w:t>Bajo ese orden de ideas, el capítulo XI de</w:t>
      </w:r>
      <w:r w:rsidR="00111716" w:rsidRPr="00CA42C5">
        <w:rPr>
          <w:rFonts w:ascii="Palatino Linotype" w:hAnsi="Palatino Linotype"/>
          <w:sz w:val="24"/>
          <w:szCs w:val="24"/>
        </w:rPr>
        <w:t xml:space="preserve"> los citados Lineamientos especi</w:t>
      </w:r>
      <w:r w:rsidRPr="00CA42C5">
        <w:rPr>
          <w:rFonts w:ascii="Palatino Linotype" w:hAnsi="Palatino Linotype"/>
          <w:sz w:val="24"/>
          <w:szCs w:val="24"/>
        </w:rPr>
        <w:t>fica lo que comprende el Inventario General de Bienes Muebles, conforme a lo siguiente:</w:t>
      </w:r>
    </w:p>
    <w:p w:rsidR="00666382" w:rsidRPr="00CA42C5" w:rsidRDefault="00666382" w:rsidP="00CA42C5">
      <w:pPr>
        <w:tabs>
          <w:tab w:val="left" w:pos="993"/>
        </w:tabs>
        <w:spacing w:before="240" w:line="360" w:lineRule="auto"/>
        <w:ind w:left="567" w:right="567"/>
        <w:jc w:val="both"/>
        <w:rPr>
          <w:rFonts w:ascii="Palatino Linotype" w:hAnsi="Palatino Linotype"/>
          <w:b/>
          <w:i/>
          <w:sz w:val="24"/>
          <w:szCs w:val="24"/>
        </w:rPr>
      </w:pPr>
      <w:r w:rsidRPr="00CA42C5">
        <w:rPr>
          <w:rFonts w:ascii="Palatino Linotype" w:hAnsi="Palatino Linotype"/>
          <w:b/>
          <w:i/>
          <w:sz w:val="24"/>
          <w:szCs w:val="24"/>
        </w:rPr>
        <w:lastRenderedPageBreak/>
        <w:t>CAPÍTULO XI</w:t>
      </w:r>
    </w:p>
    <w:p w:rsidR="00666382" w:rsidRPr="00CA42C5" w:rsidRDefault="00666382" w:rsidP="00CA42C5">
      <w:pPr>
        <w:tabs>
          <w:tab w:val="left" w:pos="993"/>
        </w:tabs>
        <w:spacing w:before="240" w:line="360" w:lineRule="auto"/>
        <w:ind w:left="567" w:right="567"/>
        <w:jc w:val="both"/>
        <w:rPr>
          <w:rFonts w:ascii="Palatino Linotype" w:hAnsi="Palatino Linotype"/>
          <w:b/>
          <w:i/>
          <w:sz w:val="24"/>
          <w:szCs w:val="24"/>
        </w:rPr>
      </w:pPr>
      <w:r w:rsidRPr="00CA42C5">
        <w:rPr>
          <w:rFonts w:ascii="Palatino Linotype" w:hAnsi="Palatino Linotype"/>
          <w:b/>
          <w:i/>
          <w:sz w:val="24"/>
          <w:szCs w:val="24"/>
        </w:rPr>
        <w:t>DEL INVENTARIO GENERAL DE BIENES MUEBLES</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t>VIGÉSIMO:</w:t>
      </w:r>
      <w:r w:rsidRPr="00CA42C5">
        <w:rPr>
          <w:rFonts w:ascii="Palatino Linotype" w:hAnsi="Palatino Linotype"/>
          <w:i/>
          <w:sz w:val="24"/>
          <w:szCs w:val="24"/>
        </w:rPr>
        <w:t xml:space="preserve"> El inventario general de bienes muebles, es el documento en el que están registrados los bienes muebles con los que cuentan las entidades fiscalizables, conteniendo sus características de identificación, tales como: nombre, número de inventario, marca, modelo, serie, uso, número de factura, costo, fecha de adquisición, estado de conservación.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 xml:space="preserve">Tratándose de adquisiciones de bienes muebles, con un costo igual o mayor a 35 veces el salario mínimo general del Distrito Federal, deberán registrarse contablemente como un aumento en el activo, e incluirse en la cédula de Inventario de Bienes Muebles (Anexo 1).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 xml:space="preserve">Aquellos con un costo inferior a 35 y mayor a 17 veces el salario mínimo general del Distrito Federal, se registran como un gasto y se incluyen en la cédula de Inventario de Bienes Muebles de Bajo Costo (Anexo 2).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 xml:space="preserve">Los bienes con un costo menor a este último, se consideran bienes no </w:t>
      </w:r>
      <w:proofErr w:type="spellStart"/>
      <w:r w:rsidRPr="00CA42C5">
        <w:rPr>
          <w:rFonts w:ascii="Palatino Linotype" w:hAnsi="Palatino Linotype"/>
          <w:i/>
          <w:sz w:val="24"/>
          <w:szCs w:val="24"/>
        </w:rPr>
        <w:t>inventariables</w:t>
      </w:r>
      <w:proofErr w:type="spellEnd"/>
      <w:r w:rsidRPr="00CA42C5">
        <w:rPr>
          <w:rFonts w:ascii="Palatino Linotype" w:hAnsi="Palatino Linotype"/>
          <w:i/>
          <w:sz w:val="24"/>
          <w:szCs w:val="24"/>
        </w:rPr>
        <w:t xml:space="preserve"> y podrán llevar un control interno.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t xml:space="preserve">VIGÉSIMO PRIMERO: </w:t>
      </w:r>
      <w:r w:rsidRPr="00CA42C5">
        <w:rPr>
          <w:rFonts w:ascii="Palatino Linotype" w:hAnsi="Palatino Linotype"/>
          <w:i/>
          <w:sz w:val="24"/>
          <w:szCs w:val="24"/>
        </w:rPr>
        <w:t xml:space="preserve">El responsable de elaborar el inventario general de bienes en el municipio, es el secretario con la intervención del síndico y la participación del titular del órgano de control interno, quienes previamente </w:t>
      </w:r>
      <w:r w:rsidRPr="00CA42C5">
        <w:rPr>
          <w:rFonts w:ascii="Palatino Linotype" w:hAnsi="Palatino Linotype"/>
          <w:i/>
          <w:sz w:val="24"/>
          <w:szCs w:val="24"/>
        </w:rPr>
        <w:lastRenderedPageBreak/>
        <w:t xml:space="preserve">realizarán una revisión física de todos los bienes, al concluirlo deberán asentar sus firmas junto con la del presidente y tesorero, la elaboración de este inventario se realizará dos veces al año, el primero a más tardar el último día hábil del mes de junio, el segundo el último día hábil del mes de diciembre.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 xml:space="preserve">En los organismos públicos descentralizados y fideicomisos públicos de carácter municipal, el responsable de elaborar el inventario general de bienes muebles corresponde al director general o su equivalente, conjuntamente con el comisario y el órgano de control interno, debiendo firmarlo simultáneamente el tesorero.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t>VIGÉSIMO SEGUNDO:</w:t>
      </w:r>
      <w:r w:rsidRPr="00CA42C5">
        <w:rPr>
          <w:rFonts w:ascii="Palatino Linotype" w:hAnsi="Palatino Linotype"/>
          <w:i/>
          <w:sz w:val="24"/>
          <w:szCs w:val="24"/>
        </w:rPr>
        <w:t xml:space="preserve"> Las entidades fiscalizables, registrarán los movimientos de alta o baja de sus activos efectuados en el mes y los reflejarán en el informe mensual que es presentado al Órgano Superior, a través del formato "Inventario de Bienes Muebles". En los meses de junio y diciembre presentarán el resultado del levantamiento físico de inventario, así como la integración de sus saldos. Dicha información deberá integrarse en el disco número 2 del citado informe mensual.</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 xml:space="preserve">Tratándose específicamente del registro y control de vehículos automotores y maquinaria éstos deberán especificar en el inventario el número de chasis y motor; en caso de que un vehículo requiera cambio de motor, el titular de la unidad administrativa correspondiente, tendrá que justificar, a través de un dictamen técnico o legal según corresponda, mediante acta administrativa en la </w:t>
      </w:r>
      <w:r w:rsidRPr="00CA42C5">
        <w:rPr>
          <w:rFonts w:ascii="Palatino Linotype" w:hAnsi="Palatino Linotype"/>
          <w:i/>
          <w:sz w:val="24"/>
          <w:szCs w:val="24"/>
        </w:rPr>
        <w:lastRenderedPageBreak/>
        <w:t xml:space="preserve">que intervendrán el usuario, el titular del órgano de control interno y el secretario; soportándolo con la factura.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 xml:space="preserve">Lo propio harán en el ámbito de su respectiva competencia los organismos descentralizados y fideicomisos públicos de carácter municipal.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 xml:space="preserve">En caso de robo de motores a vehículos o maquinaria, el usuario de la unidad, tendrá que reportarlo al titular de la unidad administrativa a efecto de levantar el acta correspondiente ante el órgano de control interno, en este documento participarán: el usuario de la unidad, el jefe superior inmediato, el titular del órgano de contralor interno, secretario o director general según sea el caso y representante legal de la entidad fiscalizable, éste último tiene la obligación de dar vista al ministerio público para llevar a cabo las investigaciones pertinentes y deslindar responsabilidades.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 xml:space="preserve">Los vehículos de uso operativo deberán exhibir en sus portezuelas delanteras o en lugar visible una calcomanía o rotulado permanente de la identificación oficial del municipio, u organismo descentralizado municipal, según corresponda. Aquellos que por la naturaleza de las funciones de las unidades administrativas, no deban contar con esta identificación, tienen que obtener la autorización del órgano máximo de gobierno.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t>VIGÉSIMO TERCERO:</w:t>
      </w:r>
      <w:r w:rsidRPr="00CA42C5">
        <w:rPr>
          <w:rFonts w:ascii="Palatino Linotype" w:hAnsi="Palatino Linotype"/>
          <w:i/>
          <w:sz w:val="24"/>
          <w:szCs w:val="24"/>
        </w:rPr>
        <w:t xml:space="preserve"> Los vehículos, maquinaria pesada y equipo electrónico se asegurarán conforme al diagnóstico o estudio de viabilidad que justifique la </w:t>
      </w:r>
      <w:r w:rsidRPr="00CA42C5">
        <w:rPr>
          <w:rFonts w:ascii="Palatino Linotype" w:hAnsi="Palatino Linotype"/>
          <w:i/>
          <w:sz w:val="24"/>
          <w:szCs w:val="24"/>
        </w:rPr>
        <w:lastRenderedPageBreak/>
        <w:t xml:space="preserve">protección y salvaguarda del patrimonio, lo anterior se realizará considerando la suficiencia presupuestaria la cual estará debidamente especificada y aprobada en la partida del gasto del presupuesto de egresos y dentro del programa correspondiente.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 xml:space="preserve">Tratándose de bienes muebles adquiridos en paquete, se deberá desglosar, en la factura, el valor de cada bien, con sus características de identificación.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t>VIGÉSIMO CUARTO:</w:t>
      </w:r>
      <w:r w:rsidRPr="00CA42C5">
        <w:rPr>
          <w:rFonts w:ascii="Palatino Linotype" w:hAnsi="Palatino Linotype"/>
          <w:i/>
          <w:sz w:val="24"/>
          <w:szCs w:val="24"/>
        </w:rPr>
        <w:t xml:space="preserve"> Los bienes intangibles, no serán considerados dentro del activo, tales como: licencias de software, redes de cómputo, entre otros, sin embargo se establecerán los controles internos necesarios como la elaboración de un inventario de todo el software y programas informáticos, asignando, a los responsables para su custodia y acceso a este tipo de bienes; en caso de reparaciones cuando sea necesario desarmar el equipo, se levantará un acta administrativa o se implementara una bitácora en la que intervendrán: el </w:t>
      </w:r>
      <w:proofErr w:type="spellStart"/>
      <w:r w:rsidRPr="00CA42C5">
        <w:rPr>
          <w:rFonts w:ascii="Palatino Linotype" w:hAnsi="Palatino Linotype"/>
          <w:i/>
          <w:sz w:val="24"/>
          <w:szCs w:val="24"/>
        </w:rPr>
        <w:t>titula</w:t>
      </w:r>
      <w:proofErr w:type="spellEnd"/>
      <w:r w:rsidRPr="00CA42C5">
        <w:rPr>
          <w:rFonts w:ascii="Palatino Linotype" w:hAnsi="Palatino Linotype"/>
          <w:i/>
          <w:sz w:val="24"/>
          <w:szCs w:val="24"/>
        </w:rPr>
        <w:t xml:space="preserve"> de la unidad de informática o su equivalente; el usuario y el titular del órgano de control interno; en dicho documento se describirán las condiciones en que se encuentra el equipo, así como, la capacidad de memoria y tipo de reparaciones requeridas.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Al momento en que regrese el equipo, el área de informática o sus equivalentes verificarán, la reparación, la memoria y se le colocarán los sellos de seguridad correspondientes.</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lastRenderedPageBreak/>
        <w:t>VIGÉSIMO QUINTO:</w:t>
      </w:r>
      <w:r w:rsidRPr="00CA42C5">
        <w:rPr>
          <w:rFonts w:ascii="Palatino Linotype" w:hAnsi="Palatino Linotype"/>
          <w:i/>
          <w:sz w:val="24"/>
          <w:szCs w:val="24"/>
        </w:rPr>
        <w:t xml:space="preserve"> En las adquisiciones o compras pagadas en moneda extranjera, se tendrá que realizar la conversión a pesos mexicanos y establecerse en las facturas, conforme al tipo de cambio que publique el Banco de México, en el Diario Oficial de la Federación de acuerdo al día de su pago; cantidad que deberá reflejarse en la cédula de bienes muebles patrimoniales. </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b/>
          <w:i/>
          <w:sz w:val="24"/>
          <w:szCs w:val="24"/>
        </w:rPr>
        <w:t>VIGÉSIMO SEXTO:</w:t>
      </w:r>
      <w:r w:rsidRPr="00CA42C5">
        <w:rPr>
          <w:rFonts w:ascii="Palatino Linotype" w:hAnsi="Palatino Linotype"/>
          <w:i/>
          <w:sz w:val="24"/>
          <w:szCs w:val="24"/>
        </w:rPr>
        <w:t xml:space="preserve"> La cuenta de "Equipo de Defensa y Seguridad", se ajustará a lo establecido en la Ley Federal de Armas de Fuego y Explosivos y demás disposiciones legales aplicables con el objeto de llevar a cabo un control de inventarios en cuanto a adquisiciones, extravíos, robos, destrucción, aseguramiento, decomiso, permuta o donación, los servidores públicos, a fin de justificarlos con las actas correspondientes ante el Órgano Superior. Independientemente, para el registro de altas y bajas del equipo en mención se deberá cumplir con la normatividad establecida en estos lineamientos.</w:t>
      </w:r>
    </w:p>
    <w:p w:rsidR="00666382" w:rsidRPr="00CA42C5" w:rsidRDefault="00666382" w:rsidP="00CA42C5">
      <w:pPr>
        <w:pStyle w:val="Prrafodelista"/>
        <w:numPr>
          <w:ilvl w:val="0"/>
          <w:numId w:val="2"/>
        </w:numPr>
        <w:tabs>
          <w:tab w:val="left" w:pos="709"/>
        </w:tabs>
        <w:spacing w:before="240" w:after="0" w:line="360" w:lineRule="auto"/>
        <w:ind w:left="0" w:right="51" w:firstLine="0"/>
        <w:jc w:val="both"/>
        <w:rPr>
          <w:rFonts w:ascii="Palatino Linotype" w:hAnsi="Palatino Linotype"/>
          <w:sz w:val="24"/>
          <w:szCs w:val="24"/>
        </w:rPr>
      </w:pPr>
      <w:r w:rsidRPr="00CA42C5">
        <w:rPr>
          <w:rFonts w:ascii="Palatino Linotype" w:hAnsi="Palatino Linotype"/>
          <w:sz w:val="24"/>
          <w:szCs w:val="24"/>
        </w:rPr>
        <w:t>De lo anterior, se desprende que el inventario es la lista en la que se registran y describen todos los bienes muebles propiedad de los entes fiscalizables, en este caso, los del sujeto obligado, cuya finalidad en primer momento es realizar un inventario general de los bienes muebles, en dicho documento se encuentran registrados los bienes muebles con los que cuentan las entidades fiscalizables, conteniendo así sus características de identificación, tales como: nombre, numero de inventario, marca, modelo, serie, uso, numero de factura, costo, fecha de adquisición, estado de conservación, entre otros.</w:t>
      </w:r>
    </w:p>
    <w:p w:rsidR="00666382" w:rsidRPr="00CA42C5" w:rsidRDefault="00666382" w:rsidP="00CA42C5">
      <w:pPr>
        <w:pStyle w:val="Prrafodelista"/>
        <w:tabs>
          <w:tab w:val="left" w:pos="709"/>
        </w:tabs>
        <w:spacing w:before="240" w:line="360" w:lineRule="auto"/>
        <w:ind w:left="0" w:right="51"/>
        <w:jc w:val="both"/>
        <w:rPr>
          <w:rFonts w:ascii="Palatino Linotype" w:hAnsi="Palatino Linotype"/>
          <w:sz w:val="24"/>
          <w:szCs w:val="24"/>
        </w:rPr>
      </w:pPr>
    </w:p>
    <w:p w:rsidR="00666382" w:rsidRPr="00CA42C5" w:rsidRDefault="00666382" w:rsidP="00CA42C5">
      <w:pPr>
        <w:pStyle w:val="Prrafodelista"/>
        <w:numPr>
          <w:ilvl w:val="0"/>
          <w:numId w:val="2"/>
        </w:numPr>
        <w:tabs>
          <w:tab w:val="left" w:pos="709"/>
        </w:tabs>
        <w:spacing w:before="240" w:after="0" w:line="360" w:lineRule="auto"/>
        <w:ind w:left="0" w:right="51" w:firstLine="0"/>
        <w:jc w:val="both"/>
        <w:rPr>
          <w:rFonts w:ascii="Palatino Linotype" w:hAnsi="Palatino Linotype"/>
          <w:sz w:val="24"/>
          <w:szCs w:val="24"/>
        </w:rPr>
      </w:pPr>
      <w:r w:rsidRPr="00CA42C5">
        <w:rPr>
          <w:rFonts w:ascii="Palatino Linotype" w:hAnsi="Palatino Linotype"/>
          <w:sz w:val="24"/>
          <w:szCs w:val="24"/>
        </w:rPr>
        <w:t>Asimismo, la Ley de Bienes del Estado de México y sus Municipios en su arábigo 68 reza.</w:t>
      </w:r>
    </w:p>
    <w:p w:rsidR="00666382" w:rsidRPr="00CA42C5" w:rsidRDefault="00666382" w:rsidP="00CA42C5">
      <w:pPr>
        <w:tabs>
          <w:tab w:val="left" w:pos="851"/>
        </w:tabs>
        <w:spacing w:before="240" w:line="360" w:lineRule="auto"/>
        <w:ind w:left="567" w:right="616"/>
        <w:jc w:val="both"/>
        <w:rPr>
          <w:rFonts w:ascii="Palatino Linotype" w:hAnsi="Palatino Linotype"/>
          <w:b/>
          <w:i/>
          <w:sz w:val="24"/>
          <w:szCs w:val="24"/>
        </w:rPr>
      </w:pPr>
      <w:r w:rsidRPr="00CA42C5">
        <w:rPr>
          <w:rFonts w:ascii="Palatino Linotype" w:hAnsi="Palatino Linotype"/>
          <w:b/>
          <w:i/>
          <w:sz w:val="24"/>
          <w:szCs w:val="24"/>
        </w:rPr>
        <w:t xml:space="preserve">Artículo 68.- </w:t>
      </w:r>
      <w:r w:rsidRPr="00CA42C5">
        <w:rPr>
          <w:rFonts w:ascii="Palatino Linotype" w:hAnsi="Palatino Linotype"/>
          <w:i/>
          <w:sz w:val="24"/>
          <w:szCs w:val="24"/>
        </w:rPr>
        <w:t xml:space="preserve">Los poderes Legislativo y Judicial, así como las dependencias, organismos auxiliares o </w:t>
      </w:r>
      <w:r w:rsidRPr="00CA42C5">
        <w:rPr>
          <w:rFonts w:ascii="Palatino Linotype" w:hAnsi="Palatino Linotype"/>
          <w:b/>
          <w:i/>
          <w:sz w:val="24"/>
          <w:szCs w:val="24"/>
        </w:rPr>
        <w:t>entidades de la administración pública</w:t>
      </w:r>
      <w:r w:rsidRPr="00CA42C5">
        <w:rPr>
          <w:rFonts w:ascii="Palatino Linotype" w:hAnsi="Palatino Linotype"/>
          <w:i/>
          <w:sz w:val="24"/>
          <w:szCs w:val="24"/>
        </w:rPr>
        <w:t xml:space="preserve"> estatal o </w:t>
      </w:r>
      <w:r w:rsidRPr="00CA42C5">
        <w:rPr>
          <w:rFonts w:ascii="Palatino Linotype" w:hAnsi="Palatino Linotype"/>
          <w:b/>
          <w:i/>
          <w:sz w:val="24"/>
          <w:szCs w:val="24"/>
        </w:rPr>
        <w:t>municipa</w:t>
      </w:r>
      <w:r w:rsidRPr="00CA42C5">
        <w:rPr>
          <w:rFonts w:ascii="Palatino Linotype" w:hAnsi="Palatino Linotype"/>
          <w:i/>
          <w:sz w:val="24"/>
          <w:szCs w:val="24"/>
        </w:rPr>
        <w:t xml:space="preserve">l que </w:t>
      </w:r>
      <w:r w:rsidRPr="00CA42C5">
        <w:rPr>
          <w:rFonts w:ascii="Palatino Linotype" w:hAnsi="Palatino Linotype"/>
          <w:b/>
          <w:i/>
          <w:sz w:val="24"/>
          <w:szCs w:val="24"/>
        </w:rPr>
        <w:t>utilicen, administren o tengan a su cuidado los bienes a que se refiere esta ley</w:t>
      </w:r>
      <w:r w:rsidRPr="00CA42C5">
        <w:rPr>
          <w:rFonts w:ascii="Palatino Linotype" w:hAnsi="Palatino Linotype"/>
          <w:i/>
          <w:sz w:val="24"/>
          <w:szCs w:val="24"/>
        </w:rPr>
        <w:t xml:space="preserve">, </w:t>
      </w:r>
      <w:r w:rsidRPr="00CA42C5">
        <w:rPr>
          <w:rFonts w:ascii="Palatino Linotype" w:hAnsi="Palatino Linotype"/>
          <w:b/>
          <w:i/>
          <w:sz w:val="24"/>
          <w:szCs w:val="24"/>
        </w:rPr>
        <w:t>formularán los inventarios respectivos y los mantendrán actualizados, remitiendo la información al registro que corresponda.</w:t>
      </w:r>
    </w:p>
    <w:p w:rsidR="00666382" w:rsidRPr="00CA42C5" w:rsidRDefault="00666382" w:rsidP="00CA42C5">
      <w:pPr>
        <w:pStyle w:val="Prrafodelista"/>
        <w:numPr>
          <w:ilvl w:val="0"/>
          <w:numId w:val="2"/>
        </w:numPr>
        <w:tabs>
          <w:tab w:val="left" w:pos="709"/>
        </w:tabs>
        <w:spacing w:before="240" w:after="0" w:line="360" w:lineRule="auto"/>
        <w:ind w:left="0" w:right="51" w:firstLine="0"/>
        <w:jc w:val="both"/>
        <w:rPr>
          <w:rFonts w:ascii="Palatino Linotype" w:hAnsi="Palatino Linotype"/>
          <w:sz w:val="24"/>
          <w:szCs w:val="24"/>
        </w:rPr>
      </w:pPr>
      <w:r w:rsidRPr="00CA42C5">
        <w:rPr>
          <w:rFonts w:ascii="Palatino Linotype" w:hAnsi="Palatino Linotype"/>
          <w:sz w:val="24"/>
          <w:szCs w:val="24"/>
        </w:rPr>
        <w:t>Ahora bien, el sujeto obligado esta constreñido a presentar al Órgano Superior de Fiscalización del Estado de México, el informe mensual, el cual se encuentra contemplado en el Disco 2, de conformidad con los Lineamientos para la Elaboración y Presentación del Informe Mensual Municipal y consta de formatos que constituyen un soporte documental de la información solicitada por el hoy recurrente y que obran en los archivos del sujeto obligado como a continuación se muestra:</w:t>
      </w:r>
    </w:p>
    <w:p w:rsidR="007E7B68" w:rsidRPr="00CA42C5" w:rsidRDefault="007E7B68" w:rsidP="00CA42C5">
      <w:pPr>
        <w:spacing w:after="120" w:line="360" w:lineRule="auto"/>
        <w:ind w:right="49"/>
        <w:contextualSpacing/>
        <w:jc w:val="both"/>
        <w:rPr>
          <w:rFonts w:ascii="Palatino Linotype" w:eastAsia="MS Mincho" w:hAnsi="Palatino Linotype" w:cstheme="majorBidi"/>
          <w:sz w:val="24"/>
          <w:szCs w:val="24"/>
          <w:lang w:eastAsia="es-ES"/>
        </w:rPr>
      </w:pPr>
    </w:p>
    <w:p w:rsidR="007E7B68" w:rsidRPr="00CA42C5" w:rsidRDefault="006D72E1" w:rsidP="00270E5A">
      <w:pPr>
        <w:spacing w:after="120" w:line="360" w:lineRule="auto"/>
        <w:ind w:right="49"/>
        <w:contextualSpacing/>
        <w:jc w:val="center"/>
        <w:rPr>
          <w:rFonts w:ascii="Palatino Linotype" w:eastAsia="MS Mincho" w:hAnsi="Palatino Linotype" w:cstheme="majorBidi"/>
          <w:sz w:val="24"/>
          <w:szCs w:val="24"/>
          <w:lang w:eastAsia="es-ES"/>
        </w:rPr>
      </w:pPr>
      <w:r w:rsidRPr="00CA42C5">
        <w:rPr>
          <w:rFonts w:ascii="Palatino Linotype" w:hAnsi="Palatino Linotype"/>
          <w:noProof/>
          <w:sz w:val="24"/>
          <w:szCs w:val="24"/>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2084678</wp:posOffset>
                </wp:positionH>
                <wp:positionV relativeFrom="paragraph">
                  <wp:posOffset>1237394</wp:posOffset>
                </wp:positionV>
                <wp:extent cx="1699146" cy="13647"/>
                <wp:effectExtent l="19050" t="19050" r="34925" b="24765"/>
                <wp:wrapNone/>
                <wp:docPr id="10" name="Conector recto 10"/>
                <wp:cNvGraphicFramePr/>
                <a:graphic xmlns:a="http://schemas.openxmlformats.org/drawingml/2006/main">
                  <a:graphicData uri="http://schemas.microsoft.com/office/word/2010/wordprocessingShape">
                    <wps:wsp>
                      <wps:cNvCnPr/>
                      <wps:spPr>
                        <a:xfrm flipV="1">
                          <a:off x="0" y="0"/>
                          <a:ext cx="1699146" cy="13647"/>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927464" id="Conector recto 10"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64.15pt,97.45pt" to="297.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" strokecolor="#00b050" strokeweight="2.25pt">
                <v:stroke joinstyle="miter"/>
              </v:line>
            </w:pict>
          </mc:Fallback>
        </mc:AlternateContent>
      </w:r>
      <w:r w:rsidR="009955D8" w:rsidRPr="00CA42C5">
        <w:rPr>
          <w:rFonts w:ascii="Palatino Linotype" w:hAnsi="Palatino Linotype"/>
          <w:noProof/>
          <w:sz w:val="24"/>
          <w:szCs w:val="24"/>
          <w:lang w:eastAsia="es-MX"/>
        </w:rPr>
        <w:drawing>
          <wp:inline distT="0" distB="0" distL="0" distR="0" wp14:anchorId="5BD1D0EB" wp14:editId="223062BA">
            <wp:extent cx="4648102" cy="271139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67" t="22483" r="33729" b="44222"/>
                    <a:stretch/>
                  </pic:blipFill>
                  <pic:spPr bwMode="auto">
                    <a:xfrm>
                      <a:off x="0" y="0"/>
                      <a:ext cx="4734291" cy="2761672"/>
                    </a:xfrm>
                    <a:prstGeom prst="rect">
                      <a:avLst/>
                    </a:prstGeom>
                    <a:ln>
                      <a:noFill/>
                    </a:ln>
                    <a:extLst>
                      <a:ext uri="{53640926-AAD7-44D8-BBD7-CCE9431645EC}">
                        <a14:shadowObscured xmlns:a14="http://schemas.microsoft.com/office/drawing/2010/main"/>
                      </a:ext>
                    </a:extLst>
                  </pic:spPr>
                </pic:pic>
              </a:graphicData>
            </a:graphic>
          </wp:inline>
        </w:drawing>
      </w:r>
    </w:p>
    <w:p w:rsidR="007E7B68" w:rsidRPr="00CA42C5" w:rsidRDefault="007E7B68" w:rsidP="00CA42C5">
      <w:pPr>
        <w:spacing w:after="120" w:line="360" w:lineRule="auto"/>
        <w:ind w:right="49"/>
        <w:contextualSpacing/>
        <w:jc w:val="both"/>
        <w:rPr>
          <w:rFonts w:ascii="Palatino Linotype" w:eastAsia="MS Mincho" w:hAnsi="Palatino Linotype" w:cstheme="majorBidi"/>
          <w:sz w:val="24"/>
          <w:szCs w:val="24"/>
          <w:lang w:eastAsia="es-ES"/>
        </w:rPr>
      </w:pPr>
    </w:p>
    <w:p w:rsidR="009955D8" w:rsidRPr="00CA42C5" w:rsidRDefault="00BF075B" w:rsidP="00270E5A">
      <w:pPr>
        <w:spacing w:after="120" w:line="360" w:lineRule="auto"/>
        <w:ind w:right="49"/>
        <w:contextualSpacing/>
        <w:jc w:val="center"/>
        <w:rPr>
          <w:rFonts w:ascii="Palatino Linotype" w:eastAsia="MS Mincho" w:hAnsi="Palatino Linotype" w:cstheme="majorBidi"/>
          <w:sz w:val="24"/>
          <w:szCs w:val="24"/>
          <w:lang w:eastAsia="es-ES"/>
        </w:rPr>
      </w:pPr>
      <w:r w:rsidRPr="00CA42C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231498</wp:posOffset>
                </wp:positionH>
                <wp:positionV relativeFrom="paragraph">
                  <wp:posOffset>2656702</wp:posOffset>
                </wp:positionV>
                <wp:extent cx="2169994" cy="266132"/>
                <wp:effectExtent l="19050" t="19050" r="20955" b="19685"/>
                <wp:wrapNone/>
                <wp:docPr id="9" name="Rectángulo 9"/>
                <wp:cNvGraphicFramePr/>
                <a:graphic xmlns:a="http://schemas.openxmlformats.org/drawingml/2006/main">
                  <a:graphicData uri="http://schemas.microsoft.com/office/word/2010/wordprocessingShape">
                    <wps:wsp>
                      <wps:cNvSpPr/>
                      <wps:spPr>
                        <a:xfrm>
                          <a:off x="0" y="0"/>
                          <a:ext cx="2169994" cy="266132"/>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983AC" id="Rectángulo 9" o:spid="_x0000_s1026" style="position:absolute;margin-left:18.25pt;margin-top:209.2pt;width:170.85pt;height:2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" filled="f" strokecolor="#00b050" strokeweight="3pt"/>
            </w:pict>
          </mc:Fallback>
        </mc:AlternateContent>
      </w:r>
      <w:r w:rsidR="009955D8" w:rsidRPr="00CA42C5">
        <w:rPr>
          <w:rFonts w:ascii="Palatino Linotype" w:hAnsi="Palatino Linotype"/>
          <w:noProof/>
          <w:sz w:val="24"/>
          <w:szCs w:val="24"/>
          <w:lang w:eastAsia="es-MX"/>
        </w:rPr>
        <w:drawing>
          <wp:inline distT="0" distB="0" distL="0" distR="0" wp14:anchorId="3D0F28A2" wp14:editId="45FC7ADB">
            <wp:extent cx="5271614" cy="3538331"/>
            <wp:effectExtent l="0" t="0" r="571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35" t="20321" r="31779" b="21407"/>
                    <a:stretch/>
                  </pic:blipFill>
                  <pic:spPr bwMode="auto">
                    <a:xfrm>
                      <a:off x="0" y="0"/>
                      <a:ext cx="5352311" cy="3592495"/>
                    </a:xfrm>
                    <a:prstGeom prst="rect">
                      <a:avLst/>
                    </a:prstGeom>
                    <a:ln>
                      <a:noFill/>
                    </a:ln>
                    <a:extLst>
                      <a:ext uri="{53640926-AAD7-44D8-BBD7-CCE9431645EC}">
                        <a14:shadowObscured xmlns:a14="http://schemas.microsoft.com/office/drawing/2010/main"/>
                      </a:ext>
                    </a:extLst>
                  </pic:spPr>
                </pic:pic>
              </a:graphicData>
            </a:graphic>
          </wp:inline>
        </w:drawing>
      </w:r>
    </w:p>
    <w:p w:rsidR="009955D8" w:rsidRPr="00CA42C5" w:rsidRDefault="00F54C1E" w:rsidP="00CA42C5">
      <w:pPr>
        <w:spacing w:after="120" w:line="360" w:lineRule="auto"/>
        <w:ind w:right="49"/>
        <w:contextualSpacing/>
        <w:jc w:val="both"/>
        <w:rPr>
          <w:rFonts w:ascii="Palatino Linotype" w:eastAsia="MS Mincho" w:hAnsi="Palatino Linotype" w:cstheme="majorBidi"/>
          <w:sz w:val="24"/>
          <w:szCs w:val="24"/>
          <w:lang w:eastAsia="es-ES"/>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80756</wp:posOffset>
                </wp:positionH>
                <wp:positionV relativeFrom="paragraph">
                  <wp:posOffset>4621255</wp:posOffset>
                </wp:positionV>
                <wp:extent cx="5438334" cy="2949354"/>
                <wp:effectExtent l="19050" t="19050" r="29210" b="22860"/>
                <wp:wrapNone/>
                <wp:docPr id="1" name="Conector recto 1"/>
                <wp:cNvGraphicFramePr/>
                <a:graphic xmlns:a="http://schemas.openxmlformats.org/drawingml/2006/main">
                  <a:graphicData uri="http://schemas.microsoft.com/office/word/2010/wordprocessingShape">
                    <wps:wsp>
                      <wps:cNvCnPr/>
                      <wps:spPr>
                        <a:xfrm>
                          <a:off x="0" y="0"/>
                          <a:ext cx="5438334" cy="294935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271CF" id="Conector recto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363.9pt" to="434.55pt,5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" strokecolor="#5b9bd5 [3204]" strokeweight="3pt">
                <v:stroke joinstyle="miter"/>
              </v:line>
            </w:pict>
          </mc:Fallback>
        </mc:AlternateContent>
      </w:r>
      <w:r w:rsidR="00BF075B" w:rsidRPr="00CA42C5">
        <w:rPr>
          <w:rFonts w:ascii="Palatino Linotype" w:hAnsi="Palatino Linotype"/>
          <w:noProof/>
          <w:sz w:val="24"/>
          <w:szCs w:val="24"/>
          <w:lang w:eastAsia="es-MX"/>
        </w:rPr>
        <w:drawing>
          <wp:inline distT="0" distB="0" distL="0" distR="0" wp14:anchorId="1031B7AD" wp14:editId="1EFE2381">
            <wp:extent cx="5641499" cy="41982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956" t="30049" r="15489" b="11146"/>
                    <a:stretch/>
                  </pic:blipFill>
                  <pic:spPr bwMode="auto">
                    <a:xfrm>
                      <a:off x="0" y="0"/>
                      <a:ext cx="5694000" cy="4237359"/>
                    </a:xfrm>
                    <a:prstGeom prst="rect">
                      <a:avLst/>
                    </a:prstGeom>
                    <a:ln>
                      <a:noFill/>
                    </a:ln>
                    <a:extLst>
                      <a:ext uri="{53640926-AAD7-44D8-BBD7-CCE9431645EC}">
                        <a14:shadowObscured xmlns:a14="http://schemas.microsoft.com/office/drawing/2010/main"/>
                      </a:ext>
                    </a:extLst>
                  </pic:spPr>
                </pic:pic>
              </a:graphicData>
            </a:graphic>
          </wp:inline>
        </w:drawing>
      </w:r>
    </w:p>
    <w:p w:rsidR="009955D8" w:rsidRPr="00CA42C5" w:rsidRDefault="00BF075B" w:rsidP="00F54C1E">
      <w:pPr>
        <w:spacing w:after="120" w:line="360" w:lineRule="auto"/>
        <w:ind w:right="49"/>
        <w:contextualSpacing/>
        <w:jc w:val="center"/>
        <w:rPr>
          <w:rFonts w:ascii="Palatino Linotype" w:eastAsia="MS Mincho" w:hAnsi="Palatino Linotype" w:cstheme="majorBidi"/>
          <w:sz w:val="24"/>
          <w:szCs w:val="24"/>
          <w:lang w:eastAsia="es-ES"/>
        </w:rPr>
      </w:pPr>
      <w:r w:rsidRPr="00CA42C5">
        <w:rPr>
          <w:rFonts w:ascii="Palatino Linotype" w:hAnsi="Palatino Linotype"/>
          <w:noProof/>
          <w:sz w:val="24"/>
          <w:szCs w:val="24"/>
          <w:lang w:eastAsia="es-MX"/>
        </w:rPr>
        <w:lastRenderedPageBreak/>
        <w:drawing>
          <wp:inline distT="0" distB="0" distL="0" distR="0" wp14:anchorId="191EFC86" wp14:editId="3C2F56DB">
            <wp:extent cx="4079019" cy="53345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71" t="12538" r="30565" b="6381"/>
                    <a:stretch/>
                  </pic:blipFill>
                  <pic:spPr bwMode="auto">
                    <a:xfrm>
                      <a:off x="0" y="0"/>
                      <a:ext cx="4115565" cy="5382302"/>
                    </a:xfrm>
                    <a:prstGeom prst="rect">
                      <a:avLst/>
                    </a:prstGeom>
                    <a:ln>
                      <a:noFill/>
                    </a:ln>
                    <a:extLst>
                      <a:ext uri="{53640926-AAD7-44D8-BBD7-CCE9431645EC}">
                        <a14:shadowObscured xmlns:a14="http://schemas.microsoft.com/office/drawing/2010/main"/>
                      </a:ext>
                    </a:extLst>
                  </pic:spPr>
                </pic:pic>
              </a:graphicData>
            </a:graphic>
          </wp:inline>
        </w:drawing>
      </w:r>
    </w:p>
    <w:p w:rsidR="00BF075B" w:rsidRDefault="00BF075B" w:rsidP="00F54C1E">
      <w:pPr>
        <w:tabs>
          <w:tab w:val="left" w:pos="1134"/>
          <w:tab w:val="left" w:pos="7371"/>
        </w:tabs>
        <w:spacing w:after="120" w:line="360" w:lineRule="auto"/>
        <w:ind w:right="49"/>
        <w:contextualSpacing/>
        <w:jc w:val="center"/>
        <w:rPr>
          <w:rFonts w:ascii="Palatino Linotype" w:eastAsia="MS Mincho" w:hAnsi="Palatino Linotype" w:cstheme="majorBidi"/>
          <w:sz w:val="24"/>
          <w:szCs w:val="24"/>
          <w:lang w:eastAsia="es-ES"/>
        </w:rPr>
      </w:pPr>
      <w:r w:rsidRPr="00CA42C5">
        <w:rPr>
          <w:rFonts w:ascii="Palatino Linotype" w:hAnsi="Palatino Linotype"/>
          <w:noProof/>
          <w:sz w:val="24"/>
          <w:szCs w:val="24"/>
          <w:lang w:eastAsia="es-MX"/>
        </w:rPr>
        <w:lastRenderedPageBreak/>
        <w:drawing>
          <wp:inline distT="0" distB="0" distL="0" distR="0" wp14:anchorId="3258A5C3" wp14:editId="1C39CC9A">
            <wp:extent cx="3896360" cy="3101450"/>
            <wp:effectExtent l="0" t="0" r="889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30" t="22050" r="30806" b="26487"/>
                    <a:stretch/>
                  </pic:blipFill>
                  <pic:spPr bwMode="auto">
                    <a:xfrm>
                      <a:off x="0" y="0"/>
                      <a:ext cx="3906711" cy="3109689"/>
                    </a:xfrm>
                    <a:prstGeom prst="rect">
                      <a:avLst/>
                    </a:prstGeom>
                    <a:ln>
                      <a:noFill/>
                    </a:ln>
                    <a:extLst>
                      <a:ext uri="{53640926-AAD7-44D8-BBD7-CCE9431645EC}">
                        <a14:shadowObscured xmlns:a14="http://schemas.microsoft.com/office/drawing/2010/main"/>
                      </a:ext>
                    </a:extLst>
                  </pic:spPr>
                </pic:pic>
              </a:graphicData>
            </a:graphic>
          </wp:inline>
        </w:drawing>
      </w:r>
    </w:p>
    <w:p w:rsidR="00F54C1E" w:rsidRPr="00CA42C5" w:rsidRDefault="00F54C1E" w:rsidP="00F54C1E">
      <w:pPr>
        <w:tabs>
          <w:tab w:val="left" w:pos="1134"/>
          <w:tab w:val="left" w:pos="7371"/>
        </w:tabs>
        <w:spacing w:after="120" w:line="360" w:lineRule="auto"/>
        <w:ind w:right="49"/>
        <w:contextualSpacing/>
        <w:jc w:val="center"/>
        <w:rPr>
          <w:rFonts w:ascii="Palatino Linotype" w:eastAsia="MS Mincho" w:hAnsi="Palatino Linotype" w:cstheme="majorBidi"/>
          <w:sz w:val="24"/>
          <w:szCs w:val="24"/>
          <w:lang w:eastAsia="es-ES"/>
        </w:rPr>
      </w:pPr>
    </w:p>
    <w:p w:rsidR="00666382" w:rsidRPr="00CA42C5" w:rsidRDefault="00666382" w:rsidP="00CA42C5">
      <w:pPr>
        <w:pStyle w:val="Prrafodelista"/>
        <w:numPr>
          <w:ilvl w:val="0"/>
          <w:numId w:val="2"/>
        </w:numPr>
        <w:tabs>
          <w:tab w:val="left" w:pos="709"/>
        </w:tabs>
        <w:spacing w:before="240" w:after="0" w:line="360" w:lineRule="auto"/>
        <w:ind w:left="0" w:right="51" w:firstLine="0"/>
        <w:jc w:val="both"/>
        <w:rPr>
          <w:rFonts w:ascii="Palatino Linotype" w:hAnsi="Palatino Linotype"/>
          <w:sz w:val="24"/>
          <w:szCs w:val="24"/>
        </w:rPr>
      </w:pPr>
      <w:r w:rsidRPr="00CA42C5">
        <w:rPr>
          <w:rFonts w:ascii="Palatino Linotype" w:hAnsi="Palatino Linotype"/>
          <w:sz w:val="24"/>
          <w:szCs w:val="24"/>
        </w:rPr>
        <w:t xml:space="preserve">Atento a lo anterior, el sujeto obligado </w:t>
      </w:r>
      <w:r w:rsidR="006D72E1" w:rsidRPr="00CA42C5">
        <w:rPr>
          <w:rFonts w:ascii="Palatino Linotype" w:hAnsi="Palatino Linotype"/>
          <w:sz w:val="24"/>
          <w:szCs w:val="24"/>
        </w:rPr>
        <w:t xml:space="preserve">para </w:t>
      </w:r>
      <w:r w:rsidRPr="00CA42C5">
        <w:rPr>
          <w:rFonts w:ascii="Palatino Linotype" w:hAnsi="Palatino Linotype"/>
          <w:sz w:val="24"/>
          <w:szCs w:val="24"/>
        </w:rPr>
        <w:t xml:space="preserve">colmar con lo solicitado por el peticionario podrá remitir al momento de dar cumplimiento a la presente resolución, </w:t>
      </w:r>
      <w:r w:rsidR="006D72E1" w:rsidRPr="00CA42C5">
        <w:rPr>
          <w:rFonts w:ascii="Palatino Linotype" w:hAnsi="Palatino Linotype"/>
          <w:sz w:val="24"/>
          <w:szCs w:val="24"/>
        </w:rPr>
        <w:t xml:space="preserve">el inventario de </w:t>
      </w:r>
      <w:r w:rsidRPr="00CA42C5">
        <w:rPr>
          <w:rFonts w:ascii="Palatino Linotype" w:hAnsi="Palatino Linotype"/>
          <w:sz w:val="24"/>
          <w:szCs w:val="24"/>
        </w:rPr>
        <w:t xml:space="preserve">bienes muebles que </w:t>
      </w:r>
      <w:r w:rsidR="006D72E1" w:rsidRPr="00CA42C5">
        <w:rPr>
          <w:rFonts w:ascii="Palatino Linotype" w:hAnsi="Palatino Linotype"/>
          <w:sz w:val="24"/>
          <w:szCs w:val="24"/>
        </w:rPr>
        <w:t>fue generado en el mes de diciembre de 2018 y enviado</w:t>
      </w:r>
      <w:r w:rsidRPr="00CA42C5">
        <w:rPr>
          <w:rFonts w:ascii="Palatino Linotype" w:hAnsi="Palatino Linotype"/>
          <w:sz w:val="24"/>
          <w:szCs w:val="24"/>
        </w:rPr>
        <w:t xml:space="preserve"> al Órgano Superior de Fiscalización del Estado de México</w:t>
      </w:r>
      <w:r w:rsidR="006D72E1" w:rsidRPr="00CA42C5">
        <w:rPr>
          <w:rFonts w:ascii="Palatino Linotype" w:hAnsi="Palatino Linotype"/>
          <w:sz w:val="24"/>
          <w:szCs w:val="24"/>
        </w:rPr>
        <w:t>, lo anterior en términos de la fecha de presentación del informe mensual del mes de diciembre de 2018.</w:t>
      </w:r>
    </w:p>
    <w:p w:rsidR="006D72E1" w:rsidRPr="00CA42C5" w:rsidRDefault="006D72E1" w:rsidP="00CA42C5">
      <w:pPr>
        <w:pStyle w:val="Prrafodelista"/>
        <w:tabs>
          <w:tab w:val="left" w:pos="709"/>
        </w:tabs>
        <w:spacing w:before="240" w:after="0" w:line="360" w:lineRule="auto"/>
        <w:ind w:left="0" w:right="51"/>
        <w:jc w:val="both"/>
        <w:rPr>
          <w:rFonts w:ascii="Palatino Linotype" w:hAnsi="Palatino Linotype"/>
          <w:sz w:val="24"/>
          <w:szCs w:val="24"/>
        </w:rPr>
      </w:pPr>
      <w:r w:rsidRPr="00CA42C5">
        <w:rPr>
          <w:rFonts w:ascii="Palatino Linotype" w:hAnsi="Palatino Linotype"/>
          <w:noProof/>
          <w:sz w:val="24"/>
          <w:szCs w:val="24"/>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148164</wp:posOffset>
                </wp:positionH>
                <wp:positionV relativeFrom="paragraph">
                  <wp:posOffset>4746161</wp:posOffset>
                </wp:positionV>
                <wp:extent cx="4708477" cy="300250"/>
                <wp:effectExtent l="19050" t="19050" r="16510" b="24130"/>
                <wp:wrapNone/>
                <wp:docPr id="12" name="Rectángulo 12"/>
                <wp:cNvGraphicFramePr/>
                <a:graphic xmlns:a="http://schemas.openxmlformats.org/drawingml/2006/main">
                  <a:graphicData uri="http://schemas.microsoft.com/office/word/2010/wordprocessingShape">
                    <wps:wsp>
                      <wps:cNvSpPr/>
                      <wps:spPr>
                        <a:xfrm>
                          <a:off x="0" y="0"/>
                          <a:ext cx="4708477" cy="30025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4C810" id="Rectángulo 12" o:spid="_x0000_s1026" style="position:absolute;margin-left:11.65pt;margin-top:373.7pt;width:370.75pt;height:23.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" filled="f" strokecolor="#00b050" strokeweight="3pt"/>
            </w:pict>
          </mc:Fallback>
        </mc:AlternateContent>
      </w:r>
      <w:r w:rsidRPr="00CA42C5">
        <w:rPr>
          <w:rFonts w:ascii="Palatino Linotype" w:hAnsi="Palatino Linotype"/>
          <w:noProof/>
          <w:sz w:val="24"/>
          <w:szCs w:val="24"/>
          <w:lang w:eastAsia="es-MX"/>
        </w:rPr>
        <w:drawing>
          <wp:inline distT="0" distB="0" distL="0" distR="0" wp14:anchorId="67E202A1" wp14:editId="48BCF4BE">
            <wp:extent cx="5493224" cy="5350077"/>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37" t="8215" r="35429" b="27138"/>
                    <a:stretch/>
                  </pic:blipFill>
                  <pic:spPr bwMode="auto">
                    <a:xfrm>
                      <a:off x="0" y="0"/>
                      <a:ext cx="5507637" cy="5364115"/>
                    </a:xfrm>
                    <a:prstGeom prst="rect">
                      <a:avLst/>
                    </a:prstGeom>
                    <a:ln>
                      <a:noFill/>
                    </a:ln>
                    <a:extLst>
                      <a:ext uri="{53640926-AAD7-44D8-BBD7-CCE9431645EC}">
                        <a14:shadowObscured xmlns:a14="http://schemas.microsoft.com/office/drawing/2010/main"/>
                      </a:ext>
                    </a:extLst>
                  </pic:spPr>
                </pic:pic>
              </a:graphicData>
            </a:graphic>
          </wp:inline>
        </w:drawing>
      </w:r>
    </w:p>
    <w:p w:rsidR="00666382" w:rsidRPr="00CA42C5" w:rsidRDefault="00666382" w:rsidP="00CA42C5">
      <w:pPr>
        <w:pStyle w:val="Prrafodelista"/>
        <w:tabs>
          <w:tab w:val="left" w:pos="709"/>
        </w:tabs>
        <w:spacing w:before="240" w:line="360" w:lineRule="auto"/>
        <w:ind w:left="0" w:right="51"/>
        <w:jc w:val="both"/>
        <w:rPr>
          <w:rFonts w:ascii="Palatino Linotype" w:hAnsi="Palatino Linotype"/>
          <w:sz w:val="24"/>
          <w:szCs w:val="24"/>
        </w:rPr>
      </w:pPr>
    </w:p>
    <w:p w:rsidR="00666382" w:rsidRPr="00CA42C5" w:rsidRDefault="00666382" w:rsidP="00CA42C5">
      <w:pPr>
        <w:pStyle w:val="Prrafodelista"/>
        <w:numPr>
          <w:ilvl w:val="0"/>
          <w:numId w:val="2"/>
        </w:numPr>
        <w:tabs>
          <w:tab w:val="left" w:pos="709"/>
        </w:tabs>
        <w:spacing w:before="240" w:after="0" w:line="360" w:lineRule="auto"/>
        <w:ind w:left="0" w:right="51" w:firstLine="0"/>
        <w:jc w:val="both"/>
        <w:rPr>
          <w:rFonts w:ascii="Palatino Linotype" w:hAnsi="Palatino Linotype"/>
          <w:sz w:val="24"/>
          <w:szCs w:val="24"/>
        </w:rPr>
      </w:pPr>
      <w:r w:rsidRPr="00CA42C5">
        <w:rPr>
          <w:rFonts w:ascii="Palatino Linotype" w:hAnsi="Palatino Linotype"/>
          <w:sz w:val="24"/>
          <w:szCs w:val="24"/>
        </w:rPr>
        <w:t xml:space="preserve">No siendo óbice señalar que lo relacionado al inventario de bienes muebles en posesión y propiedad, se encuentra consagrado en la Ley de Transparencia y Acceso a la Información Pública del Estado de México y Municipios en su fracción </w:t>
      </w:r>
      <w:r w:rsidRPr="00CA42C5">
        <w:rPr>
          <w:rFonts w:ascii="Palatino Linotype" w:hAnsi="Palatino Linotype"/>
          <w:sz w:val="24"/>
          <w:szCs w:val="24"/>
        </w:rPr>
        <w:lastRenderedPageBreak/>
        <w:t>XXXVIII del numeral 92 y que es una obligación de transparencia común, por lo que reviste el carácter de información pública y debería de estar publicada en el portal de Información de Oficio del sujeto obligado.</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XXXVIII. El inventario de bienes muebles e inmuebles en posesión y propiedad;</w:t>
      </w:r>
    </w:p>
    <w:p w:rsidR="00666382" w:rsidRPr="00CA42C5" w:rsidRDefault="00666382" w:rsidP="00CA42C5">
      <w:pPr>
        <w:tabs>
          <w:tab w:val="left" w:pos="993"/>
        </w:tabs>
        <w:spacing w:before="240" w:line="360" w:lineRule="auto"/>
        <w:ind w:left="567" w:right="567"/>
        <w:jc w:val="both"/>
        <w:rPr>
          <w:rFonts w:ascii="Palatino Linotype" w:hAnsi="Palatino Linotype"/>
          <w:i/>
          <w:sz w:val="24"/>
          <w:szCs w:val="24"/>
        </w:rPr>
      </w:pPr>
      <w:r w:rsidRPr="00CA42C5">
        <w:rPr>
          <w:rFonts w:ascii="Palatino Linotype" w:hAnsi="Palatino Linotype"/>
          <w:i/>
          <w:sz w:val="24"/>
          <w:szCs w:val="24"/>
        </w:rPr>
        <w:t>……</w:t>
      </w:r>
    </w:p>
    <w:p w:rsidR="007E7B68" w:rsidRPr="00CA42C5" w:rsidRDefault="00666382" w:rsidP="00CA42C5">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eastAsia="es-ES"/>
        </w:rPr>
      </w:pPr>
      <w:r w:rsidRPr="00CA42C5">
        <w:rPr>
          <w:rFonts w:ascii="Palatino Linotype" w:hAnsi="Palatino Linotype"/>
          <w:sz w:val="24"/>
          <w:szCs w:val="24"/>
        </w:rPr>
        <w:t>Consecuentemente, y atendiendo a que los inventarios referidos deben actualizarse de manera semestral deberá hacer entrega del inventario de bienes muebles de la</w:t>
      </w:r>
      <w:r w:rsidR="003B122A" w:rsidRPr="00CA42C5">
        <w:rPr>
          <w:rFonts w:ascii="Palatino Linotype" w:hAnsi="Palatino Linotype"/>
          <w:sz w:val="24"/>
          <w:szCs w:val="24"/>
        </w:rPr>
        <w:t>s áreas referida por el particular en la solicitud</w:t>
      </w:r>
    </w:p>
    <w:p w:rsidR="007E7B68" w:rsidRPr="00CA42C5" w:rsidRDefault="007E7B68" w:rsidP="00CA42C5">
      <w:pPr>
        <w:spacing w:after="120" w:line="360" w:lineRule="auto"/>
        <w:ind w:right="49"/>
        <w:contextualSpacing/>
        <w:jc w:val="both"/>
        <w:rPr>
          <w:rFonts w:ascii="Palatino Linotype" w:eastAsia="MS Mincho" w:hAnsi="Palatino Linotype" w:cstheme="majorBidi"/>
          <w:sz w:val="24"/>
          <w:szCs w:val="24"/>
          <w:lang w:eastAsia="es-ES"/>
        </w:rPr>
      </w:pPr>
    </w:p>
    <w:p w:rsidR="00E1570F" w:rsidRPr="00CA42C5" w:rsidRDefault="00E1570F" w:rsidP="00CA42C5">
      <w:pPr>
        <w:keepNext/>
        <w:keepLines/>
        <w:spacing w:before="240" w:after="0"/>
        <w:jc w:val="both"/>
        <w:outlineLvl w:val="0"/>
        <w:rPr>
          <w:rFonts w:ascii="Palatino Linotype" w:eastAsia="MS Gothic" w:hAnsi="Palatino Linotype" w:cstheme="majorBidi"/>
          <w:b/>
          <w:sz w:val="24"/>
          <w:szCs w:val="24"/>
          <w:lang w:val="es-ES_tradnl"/>
        </w:rPr>
      </w:pPr>
      <w:bookmarkStart w:id="77" w:name="_Toc536726465"/>
      <w:bookmarkStart w:id="78" w:name="_Toc7113867"/>
      <w:r w:rsidRPr="00CA42C5">
        <w:rPr>
          <w:rFonts w:ascii="Palatino Linotype" w:eastAsia="MS Gothic" w:hAnsi="Palatino Linotype" w:cstheme="majorBidi"/>
          <w:b/>
          <w:sz w:val="24"/>
          <w:szCs w:val="24"/>
          <w:lang w:val="es-ES_tradnl"/>
        </w:rPr>
        <w:t>QUINTO. De la Versión Pública</w:t>
      </w:r>
      <w:bookmarkEnd w:id="77"/>
      <w:bookmarkEnd w:id="78"/>
      <w:r w:rsidRPr="00CA42C5">
        <w:rPr>
          <w:rFonts w:ascii="Palatino Linotype" w:eastAsia="MS Gothic" w:hAnsi="Palatino Linotype" w:cstheme="majorBidi"/>
          <w:b/>
          <w:sz w:val="24"/>
          <w:szCs w:val="24"/>
          <w:lang w:val="es-ES_tradnl"/>
        </w:rPr>
        <w:t xml:space="preserve"> </w:t>
      </w:r>
    </w:p>
    <w:p w:rsidR="00E1570F" w:rsidRPr="00CA42C5" w:rsidRDefault="00E1570F" w:rsidP="00CA42C5">
      <w:pPr>
        <w:spacing w:after="120" w:line="360" w:lineRule="auto"/>
        <w:ind w:right="49"/>
        <w:contextualSpacing/>
        <w:jc w:val="both"/>
        <w:rPr>
          <w:rFonts w:ascii="Palatino Linotype" w:eastAsia="MS Mincho" w:hAnsi="Palatino Linotype" w:cstheme="majorBidi"/>
          <w:sz w:val="24"/>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A42C5">
        <w:rPr>
          <w:rFonts w:ascii="Palatino Linotype" w:eastAsia="Calibri" w:hAnsi="Palatino Linotype" w:cs="Arial"/>
          <w:sz w:val="24"/>
          <w:szCs w:val="24"/>
          <w:lang w:val="es-ES_tradnl" w:eastAsia="es-MX"/>
        </w:rPr>
        <w:t xml:space="preserve">Como ya se ha señalado en el considerando anterior, </w:t>
      </w:r>
      <w:r w:rsidRPr="00CA42C5">
        <w:rPr>
          <w:rFonts w:ascii="Palatino Linotype" w:eastAsia="MS Mincho" w:hAnsi="Palatino Linotype" w:cs="Arial"/>
          <w:color w:val="000000"/>
          <w:sz w:val="24"/>
          <w:szCs w:val="24"/>
          <w:lang w:val="es-ES_tradnl" w:eastAsia="es-ES"/>
        </w:rPr>
        <w:t xml:space="preserve">debe destacarse que debido a la naturaleza de la información ordenada, eventualmente pudiera obrar datos personales susceptibles de protegerse, y toda vez que este Instituto de </w:t>
      </w:r>
      <w:r w:rsidRPr="00CA42C5">
        <w:rPr>
          <w:rFonts w:ascii="Palatino Linotype" w:eastAsia="MS Mincho" w:hAnsi="Palatino Linotype" w:cs="Arial"/>
          <w:color w:val="000000"/>
          <w:sz w:val="24"/>
          <w:szCs w:val="24"/>
          <w:lang w:val="es-ES_tradnl" w:eastAsia="es-ES"/>
        </w:rPr>
        <w:lastRenderedPageBreak/>
        <w:t xml:space="preserve">Transparencia, Acceso a la Información Pública y Protección de Datos Personales del Estado de México tiene el deber de velar por la protección de los datos personales aun tratándose de servidores públicos y en su caso generar la </w:t>
      </w:r>
      <w:r w:rsidRPr="00CA42C5">
        <w:rPr>
          <w:rFonts w:ascii="Palatino Linotype" w:eastAsia="MS Mincho" w:hAnsi="Palatino Linotype" w:cs="Arial"/>
          <w:b/>
          <w:color w:val="000000"/>
          <w:sz w:val="24"/>
          <w:szCs w:val="24"/>
          <w:u w:val="single"/>
          <w:lang w:val="es-ES_tradnl" w:eastAsia="es-ES"/>
        </w:rPr>
        <w:t>versión pública</w:t>
      </w:r>
      <w:r w:rsidRPr="00CA42C5">
        <w:rPr>
          <w:rFonts w:ascii="Palatino Linotype" w:eastAsia="MS Mincho" w:hAnsi="Palatino Linotype" w:cs="Arial"/>
          <w:color w:val="000000"/>
          <w:sz w:val="24"/>
          <w:szCs w:val="24"/>
          <w:lang w:val="es-ES_tradnl" w:eastAsia="es-ES"/>
        </w:rPr>
        <w:t xml:space="preserve"> </w:t>
      </w:r>
      <w:r w:rsidRPr="00CA42C5">
        <w:rPr>
          <w:rFonts w:ascii="Palatino Linotype" w:eastAsia="MS Mincho" w:hAnsi="Palatino Linotype" w:cs="Arial"/>
          <w:sz w:val="24"/>
          <w:szCs w:val="24"/>
          <w:lang w:val="es-ES_tradnl" w:eastAsia="es-ES"/>
        </w:rPr>
        <w:t>del</w:t>
      </w:r>
      <w:r w:rsidRPr="00CA42C5">
        <w:rPr>
          <w:rFonts w:ascii="Palatino Linotype" w:eastAsia="MS Mincho" w:hAnsi="Palatino Linotype" w:cs="Arial"/>
          <w:color w:val="000000"/>
          <w:sz w:val="24"/>
          <w:szCs w:val="24"/>
          <w:lang w:val="es-ES_tradnl" w:eastAsia="es-ES"/>
        </w:rPr>
        <w:t xml:space="preserve"> documento por las consideraciones que se estimen pertinentes.</w:t>
      </w:r>
    </w:p>
    <w:p w:rsidR="00E1570F" w:rsidRPr="00CA42C5" w:rsidRDefault="00E1570F" w:rsidP="00CA42C5">
      <w:pPr>
        <w:spacing w:after="0" w:line="360" w:lineRule="auto"/>
        <w:contextualSpacing/>
        <w:jc w:val="both"/>
        <w:rPr>
          <w:rFonts w:ascii="Palatino Linotype" w:eastAsia="MS Mincho" w:hAnsi="Palatino Linotype" w:cs="Times New Roman"/>
          <w:sz w:val="24"/>
          <w:szCs w:val="24"/>
          <w:lang w:val="es-ES_tradnl" w:eastAsia="es-ES"/>
        </w:rPr>
      </w:pPr>
    </w:p>
    <w:p w:rsidR="00F54C1E" w:rsidRPr="00F54C1E" w:rsidRDefault="00E1570F" w:rsidP="00F54C1E">
      <w:pPr>
        <w:numPr>
          <w:ilvl w:val="0"/>
          <w:numId w:val="6"/>
        </w:numPr>
        <w:ind w:left="0" w:firstLine="0"/>
        <w:contextualSpacing/>
        <w:jc w:val="both"/>
        <w:rPr>
          <w:rFonts w:ascii="Palatino Linotype" w:eastAsia="MS Gothic" w:hAnsi="Palatino Linotype" w:cs="Times New Roman"/>
          <w:b/>
          <w:sz w:val="24"/>
          <w:szCs w:val="24"/>
          <w:lang w:val="es-ES_tradnl"/>
        </w:rPr>
      </w:pPr>
      <w:bookmarkStart w:id="79" w:name="_Toc487025371"/>
      <w:bookmarkStart w:id="80" w:name="_Toc493790439"/>
      <w:bookmarkStart w:id="81" w:name="_Toc495606559"/>
      <w:bookmarkStart w:id="82" w:name="_Toc517362231"/>
      <w:bookmarkStart w:id="83" w:name="_Toc523159043"/>
      <w:bookmarkStart w:id="84" w:name="_Toc536726466"/>
      <w:r w:rsidRPr="00CA42C5">
        <w:rPr>
          <w:rFonts w:ascii="Palatino Linotype" w:eastAsia="MS Gothic" w:hAnsi="Palatino Linotype" w:cs="Times New Roman"/>
          <w:b/>
          <w:sz w:val="24"/>
          <w:szCs w:val="24"/>
          <w:lang w:val="es-ES_tradnl"/>
        </w:rPr>
        <w:t>Requisitos previos.</w:t>
      </w:r>
      <w:bookmarkEnd w:id="79"/>
      <w:bookmarkEnd w:id="80"/>
      <w:bookmarkEnd w:id="81"/>
      <w:bookmarkEnd w:id="82"/>
      <w:bookmarkEnd w:id="83"/>
      <w:bookmarkEnd w:id="84"/>
    </w:p>
    <w:p w:rsidR="00E1570F" w:rsidRPr="00CA42C5" w:rsidRDefault="00E1570F" w:rsidP="00CA42C5">
      <w:pPr>
        <w:spacing w:after="0" w:line="240" w:lineRule="auto"/>
        <w:jc w:val="both"/>
        <w:rPr>
          <w:rFonts w:ascii="Palatino Linotype" w:eastAsia="MS Mincho" w:hAnsi="Palatino Linotype" w:cs="Times New Roman"/>
          <w:noProof/>
          <w:sz w:val="24"/>
          <w:szCs w:val="24"/>
          <w:lang w:val="es-ES_tradnl"/>
        </w:rPr>
      </w:pPr>
    </w:p>
    <w:p w:rsidR="00E1570F" w:rsidRPr="00F54C1E"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54C1E" w:rsidRPr="00CA42C5" w:rsidRDefault="00F54C1E" w:rsidP="00F54C1E">
      <w:pPr>
        <w:spacing w:after="0" w:line="360" w:lineRule="auto"/>
        <w:contextualSpacing/>
        <w:jc w:val="both"/>
        <w:rPr>
          <w:rFonts w:ascii="Palatino Linotype" w:eastAsia="Calibri" w:hAnsi="Palatino Linotype" w:cs="Arial"/>
          <w:sz w:val="24"/>
          <w:szCs w:val="24"/>
          <w:lang w:val="es-ES_tradnl" w:eastAsia="es-MX"/>
        </w:rPr>
      </w:pPr>
    </w:p>
    <w:p w:rsidR="00E1570F"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54C1E" w:rsidRPr="00F54C1E" w:rsidRDefault="00F54C1E" w:rsidP="00F54C1E">
      <w:pPr>
        <w:spacing w:after="0" w:line="360" w:lineRule="auto"/>
        <w:contextualSpacing/>
        <w:jc w:val="both"/>
        <w:rPr>
          <w:rFonts w:ascii="Palatino Linotype" w:eastAsia="Calibri"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MS Mincho" w:hAnsi="Palatino Linotype" w:cs="Arial"/>
          <w:sz w:val="24"/>
          <w:szCs w:val="24"/>
          <w:lang w:val="es-ES_tradnl" w:eastAsia="es-ES"/>
        </w:rPr>
        <w:t xml:space="preserve">El último de estos requisitos previos consiste en que no se pueden emitir acuerdos de carácter general ni particular, según lo dispone el artículo 134 de la Ley en materia respectivamente, esto es, no se puede hacer un acuerdo para clasificar de </w:t>
      </w:r>
      <w:r w:rsidRPr="00CA42C5">
        <w:rPr>
          <w:rFonts w:ascii="Palatino Linotype" w:eastAsia="MS Mincho" w:hAnsi="Palatino Linotype" w:cs="Arial"/>
          <w:sz w:val="24"/>
          <w:szCs w:val="24"/>
          <w:lang w:val="es-ES_tradnl" w:eastAsia="es-ES"/>
        </w:rPr>
        <w:lastRenderedPageBreak/>
        <w:t>manera general todos los documentos de un expediente o área, sin individualizar su análisis y tampoco se puede hacer un acuerdo por cada dato que se vaya a clasificar dentro de un documento con diez datos, por ejemplo, susceptibles de ser clasificados.</w:t>
      </w:r>
    </w:p>
    <w:p w:rsidR="00E1570F" w:rsidRPr="00CA42C5" w:rsidRDefault="00E1570F" w:rsidP="00CA42C5">
      <w:pPr>
        <w:spacing w:after="0" w:line="360" w:lineRule="auto"/>
        <w:contextualSpacing/>
        <w:jc w:val="both"/>
        <w:rPr>
          <w:rFonts w:ascii="Palatino Linotype" w:eastAsia="Calibri" w:hAnsi="Palatino Linotype" w:cs="Arial"/>
          <w:sz w:val="24"/>
          <w:szCs w:val="24"/>
          <w:lang w:val="es-ES_tradnl" w:eastAsia="es-MX"/>
        </w:rPr>
      </w:pPr>
    </w:p>
    <w:p w:rsidR="00E1570F" w:rsidRPr="00CA42C5" w:rsidRDefault="00E1570F" w:rsidP="00CA42C5">
      <w:pPr>
        <w:numPr>
          <w:ilvl w:val="0"/>
          <w:numId w:val="6"/>
        </w:numPr>
        <w:ind w:left="0" w:firstLine="0"/>
        <w:contextualSpacing/>
        <w:jc w:val="both"/>
        <w:rPr>
          <w:rFonts w:ascii="Palatino Linotype" w:eastAsia="MS Gothic" w:hAnsi="Palatino Linotype" w:cs="Times New Roman"/>
          <w:b/>
          <w:sz w:val="24"/>
          <w:szCs w:val="24"/>
          <w:lang w:val="es-ES_tradnl"/>
        </w:rPr>
      </w:pPr>
      <w:bookmarkStart w:id="85" w:name="_Toc487025372"/>
      <w:bookmarkStart w:id="86" w:name="_Toc493790440"/>
      <w:bookmarkStart w:id="87" w:name="_Toc495606560"/>
      <w:bookmarkStart w:id="88" w:name="_Toc517362232"/>
      <w:bookmarkStart w:id="89" w:name="_Toc523159044"/>
      <w:bookmarkStart w:id="90" w:name="_Toc536726467"/>
      <w:r w:rsidRPr="00CA42C5">
        <w:rPr>
          <w:rFonts w:ascii="Palatino Linotype" w:eastAsia="MS Gothic" w:hAnsi="Palatino Linotype" w:cs="Times New Roman"/>
          <w:b/>
          <w:sz w:val="24"/>
          <w:szCs w:val="24"/>
          <w:lang w:val="es-ES_tradnl"/>
        </w:rPr>
        <w:t>Supuesto de clasificación.</w:t>
      </w:r>
      <w:bookmarkEnd w:id="85"/>
      <w:bookmarkEnd w:id="86"/>
      <w:bookmarkEnd w:id="87"/>
      <w:bookmarkEnd w:id="88"/>
      <w:bookmarkEnd w:id="89"/>
      <w:bookmarkEnd w:id="90"/>
    </w:p>
    <w:p w:rsidR="00E1570F" w:rsidRPr="00CA42C5" w:rsidRDefault="00E1570F" w:rsidP="00CA42C5">
      <w:pPr>
        <w:spacing w:after="0" w:line="240" w:lineRule="auto"/>
        <w:jc w:val="both"/>
        <w:rPr>
          <w:rFonts w:ascii="Palatino Linotype" w:eastAsia="MS Mincho" w:hAnsi="Palatino Linotype" w:cs="Times New Roman"/>
          <w:noProof/>
          <w:sz w:val="24"/>
          <w:szCs w:val="24"/>
          <w:lang w:val="es-ES_tradnl"/>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CA42C5">
        <w:rPr>
          <w:rFonts w:ascii="Palatino Linotype" w:eastAsia="MS Mincho" w:hAnsi="Palatino Linotype" w:cs="Arial"/>
          <w:sz w:val="24"/>
          <w:szCs w:val="24"/>
          <w:lang w:val="es-ES_tradnl" w:eastAsia="es-ES"/>
        </w:rPr>
        <w:t>Acceso</w:t>
      </w:r>
      <w:r w:rsidRPr="00CA42C5">
        <w:rPr>
          <w:rFonts w:ascii="Palatino Linotype" w:eastAsia="Calibri" w:hAnsi="Palatino Linotype" w:cs="Arial"/>
          <w:sz w:val="24"/>
          <w:szCs w:val="24"/>
          <w:lang w:val="es-ES_tradnl" w:eastAsia="es-MX"/>
        </w:rPr>
        <w:t xml:space="preserve"> a la Información Pública del Estado de México y Municipios.</w:t>
      </w:r>
    </w:p>
    <w:p w:rsidR="00E1570F" w:rsidRPr="00CA42C5" w:rsidRDefault="00E1570F" w:rsidP="00CA42C5">
      <w:pPr>
        <w:spacing w:after="0" w:line="360" w:lineRule="auto"/>
        <w:contextualSpacing/>
        <w:jc w:val="both"/>
        <w:rPr>
          <w:rFonts w:ascii="Palatino Linotype" w:eastAsia="Calibri" w:hAnsi="Palatino Linotype" w:cs="Arial"/>
          <w:sz w:val="24"/>
          <w:szCs w:val="24"/>
          <w:lang w:val="es-ES_tradnl" w:eastAsia="es-MX"/>
        </w:rPr>
      </w:pPr>
    </w:p>
    <w:p w:rsidR="00E1570F" w:rsidRPr="00CA42C5" w:rsidRDefault="00E1570F" w:rsidP="00CA42C5">
      <w:pPr>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CA42C5">
        <w:rPr>
          <w:rFonts w:ascii="Palatino Linotype" w:eastAsia="MS Mincho" w:hAnsi="Palatino Linotype" w:cs="Arial"/>
          <w:b/>
          <w:bCs/>
          <w:i/>
          <w:sz w:val="24"/>
          <w:szCs w:val="24"/>
          <w:lang w:val="es-ES_tradnl" w:eastAsia="es-ES"/>
        </w:rPr>
        <w:t xml:space="preserve">Artículo 3. </w:t>
      </w:r>
      <w:r w:rsidRPr="00CA42C5">
        <w:rPr>
          <w:rFonts w:ascii="Palatino Linotype" w:eastAsia="MS Mincho" w:hAnsi="Palatino Linotype" w:cs="Arial"/>
          <w:i/>
          <w:sz w:val="24"/>
          <w:szCs w:val="24"/>
          <w:lang w:val="es-ES_tradnl" w:eastAsia="es-ES"/>
        </w:rPr>
        <w:t>Para los efectos de la presente Ley se entenderá por:</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 xml:space="preserve"> (…)</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XX. Información clasificada: Aquella considerada por la presente Ley como reservada o confidencial;</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 xml:space="preserve">XXI. Información confidencial: Se considera como información confidencial los secretos bancario, fiduciario, industrial, comercial, fiscal, bursátil y postal, cuya </w:t>
      </w:r>
      <w:r w:rsidRPr="00CA42C5">
        <w:rPr>
          <w:rFonts w:ascii="Palatino Linotype" w:eastAsia="Calibri" w:hAnsi="Palatino Linotype" w:cs="Arial"/>
          <w:i/>
          <w:sz w:val="24"/>
          <w:szCs w:val="24"/>
          <w:lang w:val="es-ES_tradnl" w:eastAsia="es-MX"/>
        </w:rPr>
        <w:lastRenderedPageBreak/>
        <w:t>titularidad corresponda a particulares, sujetos de derecho internacional o a sujetos obligados cuando no involucren el ejercicio de recursos públicos;</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CA42C5">
        <w:rPr>
          <w:rFonts w:ascii="Palatino Linotype" w:eastAsia="Calibri" w:hAnsi="Palatino Linotype" w:cs="Arial"/>
          <w:i/>
          <w:sz w:val="24"/>
          <w:szCs w:val="24"/>
          <w:lang w:val="es-ES_tradnl" w:eastAsia="es-MX"/>
        </w:rPr>
        <w:t>jurídico</w:t>
      </w:r>
      <w:proofErr w:type="gramEnd"/>
      <w:r w:rsidRPr="00CA42C5">
        <w:rPr>
          <w:rFonts w:ascii="Palatino Linotype" w:eastAsia="Calibri" w:hAnsi="Palatino Linotype" w:cs="Arial"/>
          <w:i/>
          <w:sz w:val="24"/>
          <w:szCs w:val="24"/>
          <w:lang w:val="es-ES_tradnl" w:eastAsia="es-MX"/>
        </w:rPr>
        <w:t xml:space="preserve"> colectiva identificada o identificable;</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Calibri" w:hAnsi="Palatino Linotype" w:cs="Arial"/>
          <w:i/>
          <w:sz w:val="24"/>
          <w:szCs w:val="24"/>
          <w:lang w:val="es-ES_tradnl" w:eastAsia="es-MX"/>
        </w:rPr>
        <w:lastRenderedPageBreak/>
        <w:t>No se considerará confidencial la información que se encuentre en los registros públicos o en fuentes de acceso público, ni tampoco la que sea considerada por la presente ley como información pública.</w:t>
      </w:r>
    </w:p>
    <w:p w:rsidR="00E1570F" w:rsidRPr="00CA42C5" w:rsidRDefault="00E1570F" w:rsidP="00CA42C5">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1570F" w:rsidRPr="00CA42C5" w:rsidRDefault="00E1570F" w:rsidP="00CA42C5">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CA42C5">
        <w:rPr>
          <w:rFonts w:ascii="Palatino Linotype" w:eastAsia="MS Mincho" w:hAnsi="Palatino Linotype" w:cs="Arial"/>
          <w:sz w:val="24"/>
          <w:szCs w:val="24"/>
          <w:vertAlign w:val="superscript"/>
          <w:lang w:val="es-ES_tradnl" w:eastAsia="es-ES"/>
        </w:rPr>
        <w:footnoteReference w:id="1"/>
      </w:r>
      <w:r w:rsidRPr="00CA42C5">
        <w:rPr>
          <w:rFonts w:ascii="Palatino Linotype" w:eastAsia="MS Mincho" w:hAnsi="Palatino Linotype" w:cs="Arial"/>
          <w:sz w:val="24"/>
          <w:szCs w:val="24"/>
          <w:lang w:val="es-ES_tradnl" w:eastAsia="es-ES"/>
        </w:rPr>
        <w:t xml:space="preserve"> para acreditar que el supuesto de hecho corresponde estrictamente con la hipótesis </w:t>
      </w:r>
      <w:r w:rsidRPr="00CA42C5">
        <w:rPr>
          <w:rFonts w:ascii="Palatino Linotype" w:eastAsia="MS Mincho" w:hAnsi="Palatino Linotype" w:cs="Arial"/>
          <w:sz w:val="24"/>
          <w:szCs w:val="24"/>
          <w:lang w:val="es-ES_tradnl" w:eastAsia="es-ES"/>
        </w:rPr>
        <w:lastRenderedPageBreak/>
        <w:t>jurídica. Esto también lo debe de realizar el servidor público habilitado y el titular del área que administra la información.</w:t>
      </w:r>
    </w:p>
    <w:p w:rsidR="00E1570F" w:rsidRPr="00CA42C5" w:rsidRDefault="00E1570F" w:rsidP="00CA42C5">
      <w:pPr>
        <w:spacing w:after="0" w:line="360" w:lineRule="auto"/>
        <w:contextualSpacing/>
        <w:jc w:val="both"/>
        <w:rPr>
          <w:rFonts w:ascii="Palatino Linotype" w:eastAsia="Calibri"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MS Mincho" w:hAnsi="Palatino Linotype" w:cs="Arial"/>
          <w:sz w:val="24"/>
          <w:szCs w:val="24"/>
          <w:lang w:val="es-ES_tradnl" w:eastAsia="es-ES"/>
        </w:rPr>
        <w:t xml:space="preserve">Una vez hecho lo </w:t>
      </w:r>
      <w:r w:rsidRPr="00CA42C5">
        <w:rPr>
          <w:rFonts w:ascii="Palatino Linotype" w:eastAsia="MS Mincho" w:hAnsi="Palatino Linotype" w:cs="Times New Roman"/>
          <w:sz w:val="24"/>
          <w:szCs w:val="24"/>
          <w:lang w:val="es-ES_tradnl" w:eastAsia="es-ES"/>
        </w:rPr>
        <w:t>anterior</w:t>
      </w:r>
      <w:r w:rsidRPr="00CA42C5">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E1570F" w:rsidRPr="00CA42C5" w:rsidRDefault="00E1570F" w:rsidP="00CA42C5">
      <w:pPr>
        <w:jc w:val="both"/>
        <w:rPr>
          <w:rFonts w:ascii="Palatino Linotype" w:eastAsia="Calibri" w:hAnsi="Palatino Linotype" w:cs="Arial"/>
          <w:sz w:val="24"/>
          <w:szCs w:val="24"/>
          <w:lang w:val="es-ES_tradnl" w:eastAsia="es-MX"/>
        </w:rPr>
      </w:pPr>
    </w:p>
    <w:p w:rsidR="00E1570F" w:rsidRPr="00CA42C5" w:rsidRDefault="00E1570F" w:rsidP="00CA42C5">
      <w:pPr>
        <w:numPr>
          <w:ilvl w:val="0"/>
          <w:numId w:val="6"/>
        </w:numPr>
        <w:ind w:left="0" w:firstLine="0"/>
        <w:contextualSpacing/>
        <w:jc w:val="both"/>
        <w:rPr>
          <w:rFonts w:ascii="Palatino Linotype" w:eastAsia="MS Gothic" w:hAnsi="Palatino Linotype" w:cs="Times New Roman"/>
          <w:b/>
          <w:sz w:val="24"/>
          <w:szCs w:val="24"/>
          <w:lang w:val="es-ES_tradnl"/>
        </w:rPr>
      </w:pPr>
      <w:bookmarkStart w:id="91" w:name="_Toc486509923"/>
      <w:bookmarkStart w:id="92" w:name="_Toc487025373"/>
      <w:bookmarkStart w:id="93" w:name="_Toc493790441"/>
      <w:bookmarkStart w:id="94" w:name="_Toc495606561"/>
      <w:bookmarkStart w:id="95" w:name="_Toc517362233"/>
      <w:bookmarkStart w:id="96" w:name="_Toc523159045"/>
      <w:bookmarkStart w:id="97" w:name="_Toc536726468"/>
      <w:r w:rsidRPr="00CA42C5">
        <w:rPr>
          <w:rFonts w:ascii="Palatino Linotype" w:eastAsia="MS Gothic" w:hAnsi="Palatino Linotype" w:cs="Times New Roman"/>
          <w:b/>
          <w:sz w:val="24"/>
          <w:szCs w:val="24"/>
          <w:lang w:val="es-ES_tradnl"/>
        </w:rPr>
        <w:t>La intervención del Comité de Transparencia.</w:t>
      </w:r>
      <w:bookmarkEnd w:id="91"/>
      <w:bookmarkEnd w:id="92"/>
      <w:bookmarkEnd w:id="93"/>
      <w:bookmarkEnd w:id="94"/>
      <w:bookmarkEnd w:id="95"/>
      <w:bookmarkEnd w:id="96"/>
      <w:bookmarkEnd w:id="97"/>
    </w:p>
    <w:p w:rsidR="00E1570F" w:rsidRPr="00CA42C5" w:rsidRDefault="00E1570F" w:rsidP="00CA42C5">
      <w:pPr>
        <w:jc w:val="both"/>
        <w:rPr>
          <w:rFonts w:ascii="Palatino Linotype" w:eastAsia="MS Mincho" w:hAnsi="Palatino Linotype" w:cs="Times New Roman"/>
          <w:noProof/>
          <w:sz w:val="24"/>
          <w:szCs w:val="24"/>
          <w:lang w:val="es-ES_tradnl"/>
        </w:rPr>
      </w:pPr>
    </w:p>
    <w:p w:rsidR="00E1570F" w:rsidRPr="00CA42C5" w:rsidRDefault="00E1570F" w:rsidP="00CA42C5">
      <w:pPr>
        <w:numPr>
          <w:ilvl w:val="0"/>
          <w:numId w:val="7"/>
        </w:numPr>
        <w:ind w:left="0" w:firstLine="0"/>
        <w:contextualSpacing/>
        <w:jc w:val="both"/>
        <w:rPr>
          <w:rFonts w:ascii="Palatino Linotype" w:eastAsia="MS Gothic" w:hAnsi="Palatino Linotype" w:cs="Times New Roman"/>
          <w:b/>
          <w:sz w:val="24"/>
          <w:szCs w:val="24"/>
          <w:lang w:val="es-ES_tradnl" w:eastAsia="es-ES"/>
        </w:rPr>
      </w:pPr>
      <w:bookmarkStart w:id="98" w:name="_Toc487025374"/>
      <w:bookmarkStart w:id="99" w:name="_Toc493790442"/>
      <w:bookmarkStart w:id="100" w:name="_Toc495606562"/>
      <w:bookmarkStart w:id="101" w:name="_Toc517362234"/>
      <w:bookmarkStart w:id="102" w:name="_Toc523159046"/>
      <w:bookmarkStart w:id="103" w:name="_Toc536726469"/>
      <w:r w:rsidRPr="00CA42C5">
        <w:rPr>
          <w:rFonts w:ascii="Palatino Linotype" w:eastAsia="MS Gothic" w:hAnsi="Palatino Linotype" w:cs="Times New Roman"/>
          <w:b/>
          <w:sz w:val="24"/>
          <w:szCs w:val="24"/>
          <w:lang w:val="es-ES_tradnl" w:eastAsia="es-ES"/>
        </w:rPr>
        <w:t>Formalidades para emitir el acuerdo de clasificación.</w:t>
      </w:r>
      <w:bookmarkEnd w:id="98"/>
      <w:bookmarkEnd w:id="99"/>
      <w:bookmarkEnd w:id="100"/>
      <w:bookmarkEnd w:id="101"/>
      <w:bookmarkEnd w:id="102"/>
      <w:bookmarkEnd w:id="103"/>
    </w:p>
    <w:p w:rsidR="00E1570F" w:rsidRPr="00CA42C5" w:rsidRDefault="00E1570F" w:rsidP="00CA42C5">
      <w:pPr>
        <w:spacing w:after="0" w:line="240" w:lineRule="auto"/>
        <w:jc w:val="both"/>
        <w:rPr>
          <w:rFonts w:ascii="Palatino Linotype" w:eastAsia="MS Mincho" w:hAnsi="Palatino Linotype" w:cs="Times New Roman"/>
          <w:noProof/>
          <w:sz w:val="24"/>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CA42C5">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CA42C5">
        <w:rPr>
          <w:rFonts w:ascii="Palatino Linotype" w:eastAsia="MS Mincho" w:hAnsi="Palatino Linotype" w:cs="Times New Roman"/>
          <w:sz w:val="24"/>
          <w:szCs w:val="24"/>
          <w:lang w:val="es-ES_tradnl" w:eastAsia="es-ES"/>
        </w:rPr>
        <w:t>Desclasificación</w:t>
      </w:r>
      <w:r w:rsidRPr="00CA42C5">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E1570F" w:rsidRPr="00CA42C5" w:rsidRDefault="00E1570F" w:rsidP="00CA42C5">
      <w:pPr>
        <w:spacing w:after="0" w:line="360" w:lineRule="auto"/>
        <w:ind w:right="616"/>
        <w:contextualSpacing/>
        <w:jc w:val="both"/>
        <w:rPr>
          <w:rFonts w:ascii="Palatino Linotype" w:eastAsia="Calibri" w:hAnsi="Palatino Linotype" w:cs="Arial"/>
          <w:sz w:val="24"/>
          <w:szCs w:val="24"/>
          <w:lang w:val="es-ES_tradnl" w:eastAsia="es-MX"/>
        </w:rPr>
      </w:pPr>
    </w:p>
    <w:p w:rsidR="00E1570F" w:rsidRPr="00CA42C5" w:rsidRDefault="00E1570F" w:rsidP="00CA42C5">
      <w:pPr>
        <w:autoSpaceDE w:val="0"/>
        <w:autoSpaceDN w:val="0"/>
        <w:adjustRightInd w:val="0"/>
        <w:spacing w:after="0" w:line="360" w:lineRule="auto"/>
        <w:ind w:right="616"/>
        <w:jc w:val="both"/>
        <w:rPr>
          <w:rFonts w:ascii="Palatino Linotype" w:eastAsia="Calibri" w:hAnsi="Palatino Linotype" w:cs="Arial"/>
          <w:i/>
          <w:sz w:val="24"/>
          <w:szCs w:val="24"/>
          <w:lang w:val="es-ES_tradnl" w:eastAsia="es-MX"/>
        </w:rPr>
      </w:pPr>
      <w:r w:rsidRPr="00CA42C5">
        <w:rPr>
          <w:rFonts w:ascii="Palatino Linotype" w:eastAsia="MS Mincho" w:hAnsi="Palatino Linotype" w:cs="Bookman Old Style,Bold"/>
          <w:b/>
          <w:bCs/>
          <w:i/>
          <w:sz w:val="24"/>
          <w:szCs w:val="24"/>
          <w:lang w:val="es-ES_tradnl" w:eastAsia="es-ES"/>
        </w:rPr>
        <w:t xml:space="preserve">Artículo 128. </w:t>
      </w:r>
      <w:r w:rsidRPr="00CA42C5">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CA42C5">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E1570F" w:rsidRPr="00CA42C5" w:rsidRDefault="00E1570F" w:rsidP="00CA42C5">
      <w:pPr>
        <w:shd w:val="clear" w:color="auto" w:fill="FFFFFF"/>
        <w:spacing w:after="0" w:line="360" w:lineRule="auto"/>
        <w:ind w:right="616"/>
        <w:jc w:val="both"/>
        <w:rPr>
          <w:rFonts w:ascii="Palatino Linotype" w:eastAsia="MS Mincho" w:hAnsi="Palatino Linotype" w:cs="Arial"/>
          <w:i/>
          <w:sz w:val="24"/>
          <w:szCs w:val="24"/>
          <w:lang w:val="es-ES_tradnl"/>
        </w:rPr>
      </w:pPr>
      <w:r w:rsidRPr="00CA42C5">
        <w:rPr>
          <w:rFonts w:ascii="Palatino Linotype" w:eastAsia="MS Mincho" w:hAnsi="Palatino Linotype" w:cs="Arial"/>
          <w:b/>
          <w:i/>
          <w:sz w:val="24"/>
          <w:szCs w:val="24"/>
          <w:lang w:val="es-ES_tradnl"/>
        </w:rPr>
        <w:lastRenderedPageBreak/>
        <w:t>Artículo 149</w:t>
      </w:r>
      <w:r w:rsidRPr="00CA42C5">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E1570F" w:rsidRPr="00CA42C5" w:rsidRDefault="00E1570F" w:rsidP="00CA42C5">
      <w:pPr>
        <w:shd w:val="clear" w:color="auto" w:fill="FFFFFF"/>
        <w:spacing w:after="0" w:line="360" w:lineRule="auto"/>
        <w:ind w:right="616"/>
        <w:jc w:val="both"/>
        <w:rPr>
          <w:rFonts w:ascii="Palatino Linotype" w:eastAsia="MS Mincho" w:hAnsi="Palatino Linotype" w:cs="Times New Roman"/>
          <w:i/>
          <w:sz w:val="24"/>
          <w:szCs w:val="24"/>
          <w:lang w:val="es-ES_tradnl" w:eastAsia="es-ES"/>
        </w:rPr>
      </w:pPr>
      <w:r w:rsidRPr="00CA42C5">
        <w:rPr>
          <w:rFonts w:ascii="Palatino Linotype" w:eastAsia="MS Mincho" w:hAnsi="Palatino Linotype" w:cs="Times New Roman"/>
          <w:b/>
          <w:i/>
          <w:sz w:val="24"/>
          <w:szCs w:val="24"/>
          <w:lang w:val="es-ES_tradnl" w:eastAsia="es-ES"/>
        </w:rPr>
        <w:t>Segundo</w:t>
      </w:r>
      <w:r w:rsidRPr="00CA42C5">
        <w:rPr>
          <w:rFonts w:ascii="Palatino Linotype" w:eastAsia="MS Mincho" w:hAnsi="Palatino Linotype" w:cs="Times New Roman"/>
          <w:i/>
          <w:sz w:val="24"/>
          <w:szCs w:val="24"/>
          <w:lang w:val="es-ES_tradnl" w:eastAsia="es-ES"/>
        </w:rPr>
        <w:t>. Para efectos de los presentes Lineamientos Generales, se entenderá por:</w:t>
      </w:r>
    </w:p>
    <w:p w:rsidR="00E1570F" w:rsidRPr="00CA42C5" w:rsidRDefault="00E1570F" w:rsidP="00CA42C5">
      <w:pPr>
        <w:shd w:val="clear" w:color="auto" w:fill="FFFFFF"/>
        <w:spacing w:after="0" w:line="360" w:lineRule="auto"/>
        <w:ind w:right="616"/>
        <w:jc w:val="both"/>
        <w:rPr>
          <w:rFonts w:ascii="Palatino Linotype" w:eastAsia="MS Mincho" w:hAnsi="Palatino Linotype" w:cs="Arial"/>
          <w:i/>
          <w:sz w:val="24"/>
          <w:szCs w:val="24"/>
          <w:lang w:val="es-ES_tradnl"/>
        </w:rPr>
      </w:pPr>
      <w:r w:rsidRPr="00CA42C5">
        <w:rPr>
          <w:rFonts w:ascii="Palatino Linotype" w:eastAsia="MS Mincho" w:hAnsi="Palatino Linotype" w:cs="Times New Roman"/>
          <w:b/>
          <w:i/>
          <w:sz w:val="24"/>
          <w:szCs w:val="24"/>
          <w:lang w:val="es-ES_tradnl" w:eastAsia="es-ES"/>
        </w:rPr>
        <w:t>IV. Comité de Transparencia</w:t>
      </w:r>
      <w:r w:rsidRPr="00CA42C5">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CA42C5">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CA42C5">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E1570F" w:rsidRPr="00CA42C5" w:rsidRDefault="00E1570F" w:rsidP="00CA42C5">
      <w:pPr>
        <w:shd w:val="clear" w:color="auto" w:fill="FFFFFF"/>
        <w:spacing w:after="0" w:line="360" w:lineRule="auto"/>
        <w:ind w:right="616"/>
        <w:jc w:val="both"/>
        <w:rPr>
          <w:rFonts w:ascii="Palatino Linotype" w:eastAsia="MS Mincho" w:hAnsi="Palatino Linotype" w:cs="Arial"/>
          <w:i/>
          <w:sz w:val="24"/>
          <w:szCs w:val="24"/>
          <w:lang w:val="es-ES_tradnl"/>
        </w:rPr>
      </w:pPr>
      <w:r w:rsidRPr="00CA42C5">
        <w:rPr>
          <w:rFonts w:ascii="Palatino Linotype" w:eastAsia="MS Mincho" w:hAnsi="Palatino Linotype" w:cs="Arial"/>
          <w:b/>
          <w:i/>
          <w:sz w:val="24"/>
          <w:szCs w:val="24"/>
          <w:lang w:val="es-ES_tradnl"/>
        </w:rPr>
        <w:t>Quincuagésimo sexto</w:t>
      </w:r>
      <w:r w:rsidRPr="00CA42C5">
        <w:rPr>
          <w:rFonts w:ascii="Palatino Linotype" w:eastAsia="MS Mincho" w:hAnsi="Palatino Linotype" w:cs="Arial"/>
          <w:i/>
          <w:sz w:val="24"/>
          <w:szCs w:val="24"/>
          <w:lang w:val="es-ES_tradnl"/>
        </w:rPr>
        <w:t xml:space="preserve">. La versión pública del documento o expediente que contenga partes o secciones reservadas o </w:t>
      </w:r>
      <w:r w:rsidRPr="00CA42C5">
        <w:rPr>
          <w:rFonts w:ascii="Palatino Linotype" w:eastAsia="MS Mincho" w:hAnsi="Palatino Linotype" w:cs="Arial"/>
          <w:b/>
          <w:i/>
          <w:sz w:val="24"/>
          <w:szCs w:val="24"/>
          <w:lang w:val="es-ES_tradnl"/>
        </w:rPr>
        <w:t>confidenciales</w:t>
      </w:r>
      <w:r w:rsidRPr="00CA42C5">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E1570F" w:rsidRPr="00CA42C5" w:rsidRDefault="00E1570F" w:rsidP="00CA42C5">
      <w:pPr>
        <w:shd w:val="clear" w:color="auto" w:fill="FFFFFF"/>
        <w:spacing w:after="0" w:line="360" w:lineRule="auto"/>
        <w:ind w:right="616"/>
        <w:jc w:val="both"/>
        <w:rPr>
          <w:rFonts w:ascii="Palatino Linotype" w:eastAsia="MS Mincho" w:hAnsi="Palatino Linotype" w:cs="Arial"/>
          <w:i/>
          <w:sz w:val="24"/>
          <w:szCs w:val="24"/>
          <w:lang w:val="es-ES_tradnl"/>
        </w:rPr>
      </w:pPr>
      <w:r w:rsidRPr="00CA42C5">
        <w:rPr>
          <w:rFonts w:ascii="Palatino Linotype" w:eastAsia="MS Mincho" w:hAnsi="Palatino Linotype" w:cs="Arial"/>
          <w:b/>
          <w:i/>
          <w:sz w:val="24"/>
          <w:szCs w:val="24"/>
          <w:lang w:val="es-ES_tradnl"/>
        </w:rPr>
        <w:t>Quincuagésimo séptimo</w:t>
      </w:r>
      <w:r w:rsidRPr="00CA42C5">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E1570F" w:rsidRPr="00CA42C5" w:rsidRDefault="00E1570F" w:rsidP="00CA42C5">
      <w:pPr>
        <w:shd w:val="clear" w:color="auto" w:fill="FFFFFF"/>
        <w:spacing w:after="0" w:line="360" w:lineRule="auto"/>
        <w:ind w:right="616"/>
        <w:jc w:val="both"/>
        <w:rPr>
          <w:rFonts w:ascii="Palatino Linotype" w:eastAsia="MS Mincho" w:hAnsi="Palatino Linotype" w:cs="Arial"/>
          <w:i/>
          <w:sz w:val="24"/>
          <w:szCs w:val="24"/>
          <w:lang w:val="es-ES_tradnl"/>
        </w:rPr>
      </w:pPr>
      <w:r w:rsidRPr="00CA42C5">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E1570F" w:rsidRPr="00CA42C5" w:rsidRDefault="00E1570F" w:rsidP="00CA42C5">
      <w:pPr>
        <w:shd w:val="clear" w:color="auto" w:fill="FFFFFF"/>
        <w:spacing w:after="0" w:line="360" w:lineRule="auto"/>
        <w:ind w:right="616"/>
        <w:jc w:val="both"/>
        <w:rPr>
          <w:rFonts w:ascii="Palatino Linotype" w:eastAsia="MS Mincho" w:hAnsi="Palatino Linotype" w:cs="Arial"/>
          <w:i/>
          <w:sz w:val="24"/>
          <w:szCs w:val="24"/>
          <w:lang w:val="es-ES_tradnl"/>
        </w:rPr>
      </w:pPr>
      <w:r w:rsidRPr="00CA42C5">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E1570F" w:rsidRPr="00CA42C5" w:rsidRDefault="00E1570F" w:rsidP="00CA42C5">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CA42C5">
        <w:rPr>
          <w:rFonts w:ascii="Palatino Linotype" w:eastAsia="MS Mincho" w:hAnsi="Palatino Linotype" w:cs="Arial"/>
          <w:i/>
          <w:sz w:val="24"/>
          <w:szCs w:val="24"/>
          <w:lang w:val="es-ES_tradnl" w:eastAsia="es-ES"/>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rsidR="00E1570F" w:rsidRPr="00CA42C5" w:rsidRDefault="00E1570F" w:rsidP="00CA42C5">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CA42C5">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E1570F" w:rsidRPr="00CA42C5" w:rsidRDefault="00E1570F" w:rsidP="00CA42C5">
      <w:pPr>
        <w:shd w:val="clear" w:color="auto" w:fill="FFFFFF"/>
        <w:spacing w:after="0" w:line="360" w:lineRule="auto"/>
        <w:ind w:right="616"/>
        <w:jc w:val="both"/>
        <w:rPr>
          <w:rFonts w:ascii="Palatino Linotype" w:eastAsia="MS Mincho" w:hAnsi="Palatino Linotype" w:cs="Arial"/>
          <w:i/>
          <w:sz w:val="24"/>
          <w:szCs w:val="24"/>
          <w:lang w:val="es-ES_tradnl" w:eastAsia="es-ES"/>
        </w:rPr>
      </w:pPr>
      <w:r w:rsidRPr="00CA42C5">
        <w:rPr>
          <w:rFonts w:ascii="Palatino Linotype" w:eastAsia="MS Mincho" w:hAnsi="Palatino Linotype" w:cs="Arial"/>
          <w:b/>
          <w:i/>
          <w:sz w:val="24"/>
          <w:szCs w:val="24"/>
          <w:lang w:val="es-ES_tradnl" w:eastAsia="es-ES"/>
        </w:rPr>
        <w:t>Quincuagésimo octavo.</w:t>
      </w:r>
      <w:r w:rsidRPr="00CA42C5">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E1570F" w:rsidRPr="00CA42C5" w:rsidRDefault="00E1570F" w:rsidP="00CA42C5">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CA42C5">
        <w:rPr>
          <w:rFonts w:ascii="Palatino Linotype" w:eastAsia="MS Mincho" w:hAnsi="Palatino Linotype" w:cs="Times New Roman"/>
          <w:sz w:val="24"/>
          <w:szCs w:val="24"/>
          <w:lang w:val="es-ES_tradnl" w:eastAsia="es-ES"/>
        </w:rPr>
        <w:t>integrantes</w:t>
      </w:r>
      <w:r w:rsidRPr="00CA42C5">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E1570F" w:rsidRPr="00CA42C5" w:rsidRDefault="00E1570F" w:rsidP="00CA42C5">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MS Mincho" w:hAnsi="Palatino Linotype" w:cs="Times New Roman"/>
          <w:sz w:val="24"/>
          <w:szCs w:val="24"/>
          <w:lang w:val="es-ES_tradnl" w:eastAsia="es-ES"/>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E1570F" w:rsidRPr="00CA42C5" w:rsidRDefault="00E1570F" w:rsidP="00CA42C5">
      <w:pPr>
        <w:spacing w:after="0" w:line="360" w:lineRule="auto"/>
        <w:contextualSpacing/>
        <w:jc w:val="both"/>
        <w:rPr>
          <w:rFonts w:ascii="Palatino Linotype" w:eastAsia="Calibri" w:hAnsi="Palatino Linotype" w:cs="Arial"/>
          <w:sz w:val="24"/>
          <w:szCs w:val="24"/>
          <w:lang w:val="es-ES_tradnl" w:eastAsia="es-MX"/>
        </w:rPr>
      </w:pPr>
    </w:p>
    <w:p w:rsidR="00E1570F" w:rsidRPr="00CA42C5" w:rsidRDefault="00E1570F" w:rsidP="00CA42C5">
      <w:pPr>
        <w:jc w:val="both"/>
        <w:rPr>
          <w:rFonts w:ascii="Palatino Linotype" w:eastAsia="MS Gothic" w:hAnsi="Palatino Linotype" w:cs="Times New Roman"/>
          <w:b/>
          <w:sz w:val="24"/>
          <w:szCs w:val="24"/>
          <w:lang w:val="es-ES_tradnl" w:eastAsia="es-ES"/>
        </w:rPr>
      </w:pPr>
      <w:bookmarkStart w:id="104" w:name="_Toc486509925"/>
      <w:bookmarkStart w:id="105" w:name="_Toc487025375"/>
      <w:bookmarkStart w:id="106" w:name="_Toc493790443"/>
      <w:bookmarkStart w:id="107" w:name="_Toc495606563"/>
      <w:bookmarkStart w:id="108" w:name="_Toc517362235"/>
      <w:bookmarkStart w:id="109" w:name="_Toc523159047"/>
      <w:bookmarkStart w:id="110" w:name="_Toc536726470"/>
      <w:r w:rsidRPr="00CA42C5">
        <w:rPr>
          <w:rFonts w:ascii="Palatino Linotype" w:eastAsia="MS Gothic" w:hAnsi="Palatino Linotype" w:cs="Times New Roman"/>
          <w:b/>
          <w:sz w:val="24"/>
          <w:szCs w:val="24"/>
          <w:lang w:val="es-ES_tradnl" w:eastAsia="es-ES"/>
        </w:rPr>
        <w:t>II. Requisitos de fondo del acuerdo de clasificación</w:t>
      </w:r>
      <w:bookmarkEnd w:id="104"/>
      <w:bookmarkEnd w:id="105"/>
      <w:bookmarkEnd w:id="106"/>
      <w:bookmarkEnd w:id="107"/>
      <w:bookmarkEnd w:id="108"/>
      <w:bookmarkEnd w:id="109"/>
      <w:bookmarkEnd w:id="110"/>
    </w:p>
    <w:p w:rsidR="00E1570F" w:rsidRPr="00CA42C5" w:rsidRDefault="00E1570F" w:rsidP="00CA42C5">
      <w:pPr>
        <w:spacing w:after="0" w:line="360" w:lineRule="auto"/>
        <w:contextualSpacing/>
        <w:jc w:val="both"/>
        <w:rPr>
          <w:rFonts w:ascii="Palatino Linotype" w:eastAsia="Calibri"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MS Mincho" w:hAnsi="Palatino Linotype" w:cs="Arial"/>
          <w:sz w:val="24"/>
          <w:szCs w:val="24"/>
          <w:lang w:val="es-ES_tradnl" w:eastAsia="es-ES"/>
        </w:rPr>
        <w:t xml:space="preserve">Como se ha señalado antes, al hacer el juicio de subsunción o encaje entre el </w:t>
      </w:r>
      <w:r w:rsidRPr="00CA42C5">
        <w:rPr>
          <w:rFonts w:ascii="Palatino Linotype" w:eastAsia="Times New Roman" w:hAnsi="Palatino Linotype" w:cs="Arial"/>
          <w:sz w:val="24"/>
          <w:szCs w:val="24"/>
          <w:lang w:val="es-ES_tradnl" w:eastAsia="es-MX"/>
        </w:rPr>
        <w:t>supuesto</w:t>
      </w:r>
      <w:r w:rsidRPr="00CA42C5">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E1570F" w:rsidRPr="00CA42C5" w:rsidRDefault="00E1570F" w:rsidP="00CA42C5">
      <w:pPr>
        <w:spacing w:after="0" w:line="360" w:lineRule="auto"/>
        <w:contextualSpacing/>
        <w:jc w:val="both"/>
        <w:rPr>
          <w:rFonts w:ascii="Palatino Linotype" w:eastAsia="Calibri" w:hAnsi="Palatino Linotype" w:cs="Arial"/>
          <w:sz w:val="24"/>
          <w:szCs w:val="24"/>
          <w:lang w:val="es-ES_tradnl" w:eastAsia="es-MX"/>
        </w:rPr>
      </w:pPr>
    </w:p>
    <w:p w:rsidR="00E1570F" w:rsidRPr="00CA42C5" w:rsidRDefault="00E1570F" w:rsidP="00CA42C5">
      <w:pPr>
        <w:tabs>
          <w:tab w:val="left" w:pos="567"/>
        </w:tabs>
        <w:autoSpaceDE w:val="0"/>
        <w:autoSpaceDN w:val="0"/>
        <w:adjustRightInd w:val="0"/>
        <w:spacing w:after="0" w:line="360" w:lineRule="auto"/>
        <w:ind w:right="616"/>
        <w:jc w:val="both"/>
        <w:rPr>
          <w:rFonts w:ascii="Palatino Linotype" w:eastAsia="MS Mincho" w:hAnsi="Palatino Linotype" w:cs="Arial"/>
          <w:i/>
          <w:sz w:val="24"/>
          <w:szCs w:val="24"/>
          <w:lang w:val="es-ES_tradnl" w:eastAsia="es-ES"/>
        </w:rPr>
      </w:pPr>
      <w:r w:rsidRPr="00CA42C5">
        <w:rPr>
          <w:rFonts w:ascii="Palatino Linotype" w:eastAsia="MS Mincho" w:hAnsi="Palatino Linotype" w:cs="Bookman Old Style,Bold"/>
          <w:b/>
          <w:bCs/>
          <w:i/>
          <w:sz w:val="24"/>
          <w:szCs w:val="24"/>
          <w:lang w:val="es-ES_tradnl" w:eastAsia="es-ES"/>
        </w:rPr>
        <w:t xml:space="preserve">Artículo 131. </w:t>
      </w:r>
      <w:r w:rsidRPr="00CA42C5">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CA42C5">
        <w:rPr>
          <w:rFonts w:ascii="Palatino Linotype" w:eastAsia="MS Mincho" w:hAnsi="Palatino Linotype" w:cs="Bookman Old Style"/>
          <w:b/>
          <w:i/>
          <w:sz w:val="24"/>
          <w:szCs w:val="24"/>
          <w:lang w:val="es-ES_tradnl" w:eastAsia="es-ES"/>
        </w:rPr>
        <w:t>en tal caso deberá fundar y motivar debidamente la clasificación de la información,</w:t>
      </w:r>
      <w:r w:rsidRPr="00CA42C5">
        <w:rPr>
          <w:rFonts w:ascii="Palatino Linotype" w:eastAsia="MS Mincho" w:hAnsi="Palatino Linotype" w:cs="Bookman Old Style"/>
          <w:i/>
          <w:sz w:val="24"/>
          <w:szCs w:val="24"/>
          <w:lang w:val="es-ES_tradnl" w:eastAsia="es-ES"/>
        </w:rPr>
        <w:t xml:space="preserve"> de conformidad con lo previsto en la presente Ley.</w:t>
      </w:r>
    </w:p>
    <w:p w:rsidR="00E1570F" w:rsidRPr="00CA42C5" w:rsidRDefault="00E1570F" w:rsidP="00CA42C5">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MS Mincho" w:hAnsi="Palatino Linotype" w:cs="Times New Roman"/>
          <w:sz w:val="24"/>
          <w:szCs w:val="24"/>
          <w:lang w:val="es-ES_tradnl" w:eastAsia="es-ES"/>
        </w:rPr>
        <w:lastRenderedPageBreak/>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CA42C5">
        <w:rPr>
          <w:rFonts w:ascii="Palatino Linotype" w:eastAsia="Times New Roman" w:hAnsi="Palatino Linotype" w:cs="Arial"/>
          <w:sz w:val="24"/>
          <w:szCs w:val="24"/>
          <w:lang w:val="es-ES_tradnl" w:eastAsia="es-MX"/>
        </w:rPr>
        <w:t>la</w:t>
      </w:r>
      <w:r w:rsidRPr="00CA42C5">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E1570F" w:rsidRPr="00CA42C5" w:rsidRDefault="00E1570F" w:rsidP="00CA42C5">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F54C1E" w:rsidRPr="00F54C1E" w:rsidRDefault="00E1570F" w:rsidP="00F54C1E">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CA42C5">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w:t>
      </w:r>
      <w:r w:rsidR="00F54C1E">
        <w:rPr>
          <w:rFonts w:ascii="Palatino Linotype" w:eastAsia="Times New Roman" w:hAnsi="Palatino Linotype" w:cs="Arial"/>
          <w:sz w:val="24"/>
          <w:szCs w:val="24"/>
          <w:lang w:val="es-ES_tradnl" w:eastAsia="es-MX"/>
        </w:rPr>
        <w:t>ión, en los siguientes términos:</w:t>
      </w:r>
    </w:p>
    <w:p w:rsidR="00F54C1E" w:rsidRPr="00F54C1E" w:rsidRDefault="00F54C1E" w:rsidP="00F54C1E">
      <w:pPr>
        <w:spacing w:after="0" w:line="360" w:lineRule="auto"/>
        <w:contextualSpacing/>
        <w:jc w:val="both"/>
        <w:rPr>
          <w:rFonts w:ascii="Palatino Linotype" w:eastAsia="Calibri" w:hAnsi="Palatino Linotype" w:cs="Arial"/>
          <w:sz w:val="24"/>
          <w:szCs w:val="24"/>
          <w:lang w:val="es-ES_tradnl" w:eastAsia="es-MX"/>
        </w:rPr>
      </w:pPr>
    </w:p>
    <w:p w:rsidR="00E1570F" w:rsidRPr="00CA42C5" w:rsidRDefault="00E1570F" w:rsidP="00CA42C5">
      <w:pPr>
        <w:spacing w:after="0" w:line="360" w:lineRule="auto"/>
        <w:ind w:right="616"/>
        <w:contextualSpacing/>
        <w:jc w:val="both"/>
        <w:rPr>
          <w:rFonts w:ascii="Palatino Linotype" w:eastAsia="MS Mincho" w:hAnsi="Palatino Linotype" w:cs="Arial"/>
          <w:i/>
          <w:sz w:val="24"/>
          <w:szCs w:val="24"/>
          <w:lang w:val="es-ES_tradnl" w:eastAsia="es-ES"/>
        </w:rPr>
      </w:pPr>
      <w:r w:rsidRPr="00CA42C5">
        <w:rPr>
          <w:rFonts w:ascii="Palatino Linotype" w:eastAsia="MS Mincho" w:hAnsi="Palatino Linotype" w:cs="Arial"/>
          <w:b/>
          <w:i/>
          <w:sz w:val="24"/>
          <w:szCs w:val="24"/>
          <w:lang w:val="es-ES_tradnl" w:eastAsia="es-ES"/>
        </w:rPr>
        <w:t>FUNDAMENTACIÓN Y MOTIVACIÓN.</w:t>
      </w:r>
      <w:r w:rsidRPr="00CA42C5">
        <w:rPr>
          <w:rFonts w:ascii="Palatino Linotype" w:eastAsia="MS Mincho" w:hAnsi="Palatino Linotype" w:cs="Arial"/>
          <w:i/>
          <w:sz w:val="24"/>
          <w:szCs w:val="24"/>
          <w:lang w:val="es-ES_tradnl" w:eastAsia="es-ES"/>
        </w:rPr>
        <w:t xml:space="preserve"> La </w:t>
      </w:r>
      <w:r w:rsidRPr="00CA42C5">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A42C5">
        <w:rPr>
          <w:rFonts w:ascii="Palatino Linotype" w:eastAsia="MS Mincho" w:hAnsi="Palatino Linotype" w:cs="Arial"/>
          <w:i/>
          <w:sz w:val="24"/>
          <w:szCs w:val="24"/>
          <w:lang w:val="es-ES_tradnl" w:eastAsia="es-ES"/>
        </w:rPr>
        <w:t>.</w:t>
      </w:r>
    </w:p>
    <w:p w:rsidR="00E1570F" w:rsidRPr="00CA42C5" w:rsidRDefault="00E1570F" w:rsidP="00CA42C5">
      <w:pPr>
        <w:spacing w:after="0" w:line="360" w:lineRule="auto"/>
        <w:ind w:right="616"/>
        <w:contextualSpacing/>
        <w:jc w:val="both"/>
        <w:rPr>
          <w:rFonts w:ascii="Palatino Linotype" w:eastAsia="MS Mincho" w:hAnsi="Palatino Linotype" w:cs="Arial"/>
          <w:i/>
          <w:sz w:val="24"/>
          <w:szCs w:val="24"/>
          <w:lang w:val="es-ES_tradnl" w:eastAsia="es-ES"/>
        </w:rPr>
      </w:pPr>
      <w:r w:rsidRPr="00CA42C5">
        <w:rPr>
          <w:rFonts w:ascii="Palatino Linotype" w:eastAsia="MS Mincho" w:hAnsi="Palatino Linotype" w:cs="Arial"/>
          <w:i/>
          <w:sz w:val="24"/>
          <w:szCs w:val="24"/>
          <w:lang w:val="es-ES_tradnl" w:eastAsia="es-ES"/>
        </w:rPr>
        <w:t>SEGUNDO TRIBUNAL COLEGIADO DEL SEXTO CIRCUITO.</w:t>
      </w:r>
    </w:p>
    <w:p w:rsidR="00E1570F" w:rsidRPr="00CA42C5" w:rsidRDefault="00E1570F" w:rsidP="00CA42C5">
      <w:pPr>
        <w:spacing w:after="0" w:line="360" w:lineRule="auto"/>
        <w:ind w:right="616"/>
        <w:contextualSpacing/>
        <w:jc w:val="both"/>
        <w:rPr>
          <w:rFonts w:ascii="Palatino Linotype" w:eastAsia="MS Mincho" w:hAnsi="Palatino Linotype" w:cs="Arial"/>
          <w:i/>
          <w:sz w:val="24"/>
          <w:szCs w:val="24"/>
          <w:lang w:val="es-ES_tradnl" w:eastAsia="es-ES"/>
        </w:rPr>
      </w:pPr>
      <w:r w:rsidRPr="00CA42C5">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E1570F" w:rsidRPr="00CA42C5" w:rsidRDefault="00E1570F" w:rsidP="00CA42C5">
      <w:pPr>
        <w:spacing w:after="0" w:line="360" w:lineRule="auto"/>
        <w:ind w:right="616"/>
        <w:contextualSpacing/>
        <w:jc w:val="both"/>
        <w:rPr>
          <w:rFonts w:ascii="Palatino Linotype" w:eastAsia="MS Mincho" w:hAnsi="Palatino Linotype" w:cs="Arial"/>
          <w:i/>
          <w:sz w:val="24"/>
          <w:szCs w:val="24"/>
          <w:lang w:val="es-ES_tradnl" w:eastAsia="es-ES"/>
        </w:rPr>
      </w:pPr>
      <w:r w:rsidRPr="00CA42C5">
        <w:rPr>
          <w:rFonts w:ascii="Palatino Linotype" w:eastAsia="MS Mincho" w:hAnsi="Palatino Linotype" w:cs="Arial"/>
          <w:i/>
          <w:sz w:val="24"/>
          <w:szCs w:val="24"/>
          <w:lang w:val="es-ES_tradnl" w:eastAsia="es-ES"/>
        </w:rPr>
        <w:lastRenderedPageBreak/>
        <w:t xml:space="preserve">Revisión fiscal 103/88. Instituto Mexicano del Seguro Social. 18 de octubre de 1988. Unanimidad de votos. Ponente: Arnoldo Nájera Virgen. Secretario: Alejandro </w:t>
      </w:r>
      <w:proofErr w:type="spellStart"/>
      <w:r w:rsidRPr="00CA42C5">
        <w:rPr>
          <w:rFonts w:ascii="Palatino Linotype" w:eastAsia="MS Mincho" w:hAnsi="Palatino Linotype" w:cs="Arial"/>
          <w:i/>
          <w:sz w:val="24"/>
          <w:szCs w:val="24"/>
          <w:lang w:val="es-ES_tradnl" w:eastAsia="es-ES"/>
        </w:rPr>
        <w:t>Esponda</w:t>
      </w:r>
      <w:proofErr w:type="spellEnd"/>
      <w:r w:rsidRPr="00CA42C5">
        <w:rPr>
          <w:rFonts w:ascii="Palatino Linotype" w:eastAsia="MS Mincho" w:hAnsi="Palatino Linotype" w:cs="Arial"/>
          <w:i/>
          <w:sz w:val="24"/>
          <w:szCs w:val="24"/>
          <w:lang w:val="es-ES_tradnl" w:eastAsia="es-ES"/>
        </w:rPr>
        <w:t xml:space="preserve"> Rincón.</w:t>
      </w:r>
    </w:p>
    <w:p w:rsidR="00E1570F" w:rsidRPr="00CA42C5" w:rsidRDefault="00E1570F" w:rsidP="00CA42C5">
      <w:pPr>
        <w:spacing w:after="0" w:line="360" w:lineRule="auto"/>
        <w:ind w:right="616"/>
        <w:contextualSpacing/>
        <w:jc w:val="both"/>
        <w:rPr>
          <w:rFonts w:ascii="Palatino Linotype" w:eastAsia="MS Mincho" w:hAnsi="Palatino Linotype" w:cs="Arial"/>
          <w:i/>
          <w:sz w:val="24"/>
          <w:szCs w:val="24"/>
          <w:lang w:val="es-ES_tradnl" w:eastAsia="es-ES"/>
        </w:rPr>
      </w:pPr>
      <w:r w:rsidRPr="00CA42C5">
        <w:rPr>
          <w:rFonts w:ascii="Palatino Linotype" w:eastAsia="MS Mincho" w:hAnsi="Palatino Linotype" w:cs="Arial"/>
          <w:i/>
          <w:sz w:val="24"/>
          <w:szCs w:val="24"/>
          <w:lang w:val="es-ES_tradnl" w:eastAsia="es-ES"/>
        </w:rPr>
        <w:t xml:space="preserve">Amparo en revisión 333/88. </w:t>
      </w:r>
      <w:proofErr w:type="spellStart"/>
      <w:r w:rsidRPr="00CA42C5">
        <w:rPr>
          <w:rFonts w:ascii="Palatino Linotype" w:eastAsia="MS Mincho" w:hAnsi="Palatino Linotype" w:cs="Arial"/>
          <w:i/>
          <w:sz w:val="24"/>
          <w:szCs w:val="24"/>
          <w:lang w:val="es-ES_tradnl" w:eastAsia="es-ES"/>
        </w:rPr>
        <w:t>Adilia</w:t>
      </w:r>
      <w:proofErr w:type="spellEnd"/>
      <w:r w:rsidRPr="00CA42C5">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E1570F" w:rsidRPr="00CA42C5" w:rsidRDefault="00E1570F" w:rsidP="00CA42C5">
      <w:pPr>
        <w:spacing w:after="0" w:line="360" w:lineRule="auto"/>
        <w:ind w:right="616"/>
        <w:contextualSpacing/>
        <w:jc w:val="both"/>
        <w:rPr>
          <w:rFonts w:ascii="Palatino Linotype" w:eastAsia="MS Mincho" w:hAnsi="Palatino Linotype" w:cs="Arial"/>
          <w:i/>
          <w:sz w:val="24"/>
          <w:szCs w:val="24"/>
          <w:lang w:val="es-ES_tradnl" w:eastAsia="es-ES"/>
        </w:rPr>
      </w:pPr>
      <w:r w:rsidRPr="00CA42C5">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CA42C5">
        <w:rPr>
          <w:rFonts w:ascii="Palatino Linotype" w:eastAsia="MS Mincho" w:hAnsi="Palatino Linotype" w:cs="Arial"/>
          <w:i/>
          <w:sz w:val="24"/>
          <w:szCs w:val="24"/>
          <w:lang w:val="es-ES_tradnl" w:eastAsia="es-ES"/>
        </w:rPr>
        <w:t>Goyzueta</w:t>
      </w:r>
      <w:proofErr w:type="spellEnd"/>
      <w:r w:rsidRPr="00CA42C5">
        <w:rPr>
          <w:rFonts w:ascii="Palatino Linotype" w:eastAsia="MS Mincho" w:hAnsi="Palatino Linotype" w:cs="Arial"/>
          <w:i/>
          <w:sz w:val="24"/>
          <w:szCs w:val="24"/>
          <w:lang w:val="es-ES_tradnl" w:eastAsia="es-ES"/>
        </w:rPr>
        <w:t>. Secretario: Gonzalo Carrera Molina.</w:t>
      </w:r>
    </w:p>
    <w:p w:rsidR="00E1570F" w:rsidRPr="00CA42C5" w:rsidRDefault="00E1570F" w:rsidP="00CA42C5">
      <w:pPr>
        <w:spacing w:after="0" w:line="360" w:lineRule="auto"/>
        <w:ind w:right="616"/>
        <w:contextualSpacing/>
        <w:jc w:val="both"/>
        <w:rPr>
          <w:rFonts w:ascii="Palatino Linotype" w:eastAsia="MS Mincho" w:hAnsi="Palatino Linotype" w:cs="Arial"/>
          <w:i/>
          <w:sz w:val="24"/>
          <w:szCs w:val="24"/>
          <w:lang w:val="es-ES_tradnl" w:eastAsia="es-ES"/>
        </w:rPr>
      </w:pPr>
      <w:r w:rsidRPr="00CA42C5">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CA42C5">
        <w:rPr>
          <w:rFonts w:ascii="Palatino Linotype" w:eastAsia="MS Mincho" w:hAnsi="Palatino Linotype" w:cs="Arial"/>
          <w:i/>
          <w:sz w:val="24"/>
          <w:szCs w:val="24"/>
          <w:lang w:val="es-ES_tradnl" w:eastAsia="es-ES"/>
        </w:rPr>
        <w:t>Baigts</w:t>
      </w:r>
      <w:proofErr w:type="spellEnd"/>
      <w:r w:rsidRPr="00CA42C5">
        <w:rPr>
          <w:rFonts w:ascii="Palatino Linotype" w:eastAsia="MS Mincho" w:hAnsi="Palatino Linotype" w:cs="Arial"/>
          <w:i/>
          <w:sz w:val="24"/>
          <w:szCs w:val="24"/>
          <w:lang w:val="es-ES_tradnl" w:eastAsia="es-ES"/>
        </w:rPr>
        <w:t xml:space="preserve"> Muñoz.</w:t>
      </w:r>
    </w:p>
    <w:p w:rsidR="00E1570F" w:rsidRPr="00CA42C5" w:rsidRDefault="00E1570F" w:rsidP="00CA42C5">
      <w:pPr>
        <w:spacing w:after="0" w:line="360" w:lineRule="auto"/>
        <w:ind w:right="618"/>
        <w:contextualSpacing/>
        <w:jc w:val="both"/>
        <w:rPr>
          <w:rFonts w:ascii="Palatino Linotype" w:eastAsia="MS Mincho" w:hAnsi="Palatino Linotype" w:cs="Arial"/>
          <w:i/>
          <w:sz w:val="24"/>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CA42C5">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1570F" w:rsidRPr="00CA42C5" w:rsidRDefault="00E1570F" w:rsidP="00CA42C5">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CA42C5">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CA42C5">
        <w:rPr>
          <w:rFonts w:ascii="Palatino Linotype" w:eastAsia="MS Mincho" w:hAnsi="Palatino Linotype" w:cs="Times New Roman"/>
          <w:color w:val="000000"/>
          <w:sz w:val="24"/>
          <w:szCs w:val="24"/>
          <w:lang w:val="es-ES_tradnl" w:eastAsia="es-ES"/>
        </w:rPr>
        <w:t xml:space="preserve">por ejemplo, si una documental de naturaleza pública como lo es la nómina general, si bien el dato de sus remuneraciones es eminentemente público, </w:t>
      </w:r>
      <w:r w:rsidRPr="00CA42C5">
        <w:rPr>
          <w:rFonts w:ascii="Palatino Linotype" w:eastAsia="MS Mincho" w:hAnsi="Palatino Linotype" w:cs="Times New Roman"/>
          <w:color w:val="000000"/>
          <w:sz w:val="24"/>
          <w:szCs w:val="24"/>
          <w:lang w:val="es-ES_tradnl" w:eastAsia="es-ES"/>
        </w:rPr>
        <w:lastRenderedPageBreak/>
        <w:t>no así todos los datos contenidos en dicho documento que son datos personales</w:t>
      </w:r>
      <w:r w:rsidRPr="00CA42C5">
        <w:rPr>
          <w:rFonts w:ascii="Palatino Linotype" w:eastAsia="MS Mincho" w:hAnsi="Palatino Linotype" w:cs="Times New Roman"/>
          <w:color w:val="000000"/>
          <w:sz w:val="24"/>
          <w:szCs w:val="24"/>
          <w:lang w:val="es-ES_tradnl" w:eastAsia="es-ES"/>
        </w:rPr>
        <w:footnoteReference w:id="2"/>
      </w:r>
      <w:r w:rsidRPr="00CA42C5">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CA42C5">
        <w:rPr>
          <w:rFonts w:ascii="Palatino Linotype" w:eastAsia="Calibri" w:hAnsi="Palatino Linotype" w:cs="Arial"/>
          <w:bCs/>
          <w:sz w:val="24"/>
          <w:szCs w:val="24"/>
          <w:lang w:val="es-ES_tradnl" w:eastAsia="es-ES"/>
        </w:rPr>
        <w:t xml:space="preserve">ofrezcan la información requerida. </w:t>
      </w:r>
    </w:p>
    <w:p w:rsidR="00E1570F" w:rsidRPr="00CA42C5" w:rsidRDefault="00E1570F" w:rsidP="00CA42C5">
      <w:pPr>
        <w:spacing w:after="0" w:line="360" w:lineRule="auto"/>
        <w:contextualSpacing/>
        <w:jc w:val="both"/>
        <w:rPr>
          <w:rFonts w:ascii="Palatino Linotype" w:eastAsia="Calibri" w:hAnsi="Palatino Linotype" w:cs="Arial"/>
          <w:bCs/>
          <w:sz w:val="24"/>
          <w:szCs w:val="24"/>
          <w:lang w:val="es-ES_tradnl" w:eastAsia="es-ES"/>
        </w:rPr>
      </w:pPr>
    </w:p>
    <w:p w:rsidR="00E1570F" w:rsidRPr="00CA42C5" w:rsidRDefault="00E1570F" w:rsidP="00CA42C5">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A42C5">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E1570F" w:rsidRPr="00CA42C5" w:rsidRDefault="00E1570F" w:rsidP="00CA42C5">
      <w:pPr>
        <w:spacing w:after="0" w:line="240" w:lineRule="auto"/>
        <w:contextualSpacing/>
        <w:jc w:val="both"/>
        <w:rPr>
          <w:rFonts w:ascii="Palatino Linotype" w:eastAsia="MS Mincho" w:hAnsi="Palatino Linotype" w:cs="Arial"/>
          <w:sz w:val="24"/>
          <w:szCs w:val="24"/>
          <w:lang w:val="es-ES_tradnl" w:eastAsia="es-MX"/>
        </w:rPr>
      </w:pPr>
    </w:p>
    <w:p w:rsidR="00E1570F" w:rsidRPr="00CA42C5" w:rsidRDefault="00E1570F" w:rsidP="00CA42C5">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A42C5">
        <w:rPr>
          <w:rFonts w:ascii="Palatino Linotype" w:eastAsia="MS Mincho" w:hAnsi="Palatino Linotype" w:cs="Arial"/>
          <w:sz w:val="24"/>
          <w:szCs w:val="24"/>
          <w:lang w:val="es-ES_tradnl" w:eastAsia="es-MX"/>
        </w:rPr>
        <w:lastRenderedPageBreak/>
        <w:t xml:space="preserve">Por cuanto hace al </w:t>
      </w:r>
      <w:r w:rsidRPr="00CA42C5">
        <w:rPr>
          <w:rFonts w:ascii="Palatino Linotype" w:eastAsia="MS Mincho" w:hAnsi="Palatino Linotype" w:cs="Arial"/>
          <w:b/>
          <w:sz w:val="24"/>
          <w:szCs w:val="24"/>
          <w:lang w:val="es-ES_tradnl" w:eastAsia="es-MX"/>
        </w:rPr>
        <w:t>Registro Federal de Contribuyentes</w:t>
      </w:r>
      <w:r w:rsidRPr="00CA42C5">
        <w:rPr>
          <w:rFonts w:ascii="Palatino Linotype" w:eastAsia="MS Mincho" w:hAnsi="Palatino Linotype" w:cs="Arial"/>
          <w:sz w:val="24"/>
          <w:szCs w:val="24"/>
          <w:lang w:val="es-ES_tradnl" w:eastAsia="es-MX"/>
        </w:rPr>
        <w:t xml:space="preserve"> </w:t>
      </w:r>
      <w:r w:rsidRPr="00CA42C5">
        <w:rPr>
          <w:rFonts w:ascii="Palatino Linotype" w:eastAsia="MS Mincho" w:hAnsi="Palatino Linotype" w:cs="Arial"/>
          <w:b/>
          <w:sz w:val="24"/>
          <w:szCs w:val="24"/>
          <w:lang w:val="es-ES_tradnl" w:eastAsia="es-MX"/>
        </w:rPr>
        <w:t>de las personas físicas</w:t>
      </w:r>
      <w:r w:rsidRPr="00CA42C5">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A42C5">
        <w:rPr>
          <w:rFonts w:ascii="Palatino Linotype" w:eastAsia="MS Mincho" w:hAnsi="Palatino Linotype" w:cs="Times New Roman"/>
          <w:sz w:val="24"/>
          <w:szCs w:val="24"/>
          <w:lang w:val="es-ES_tradnl" w:eastAsia="es-ES"/>
        </w:rPr>
        <w:t xml:space="preserve"> y finalmente la </w:t>
      </w:r>
      <w:proofErr w:type="spellStart"/>
      <w:r w:rsidRPr="00CA42C5">
        <w:rPr>
          <w:rFonts w:ascii="Palatino Linotype" w:eastAsia="MS Mincho" w:hAnsi="Palatino Linotype" w:cs="Times New Roman"/>
          <w:sz w:val="24"/>
          <w:szCs w:val="24"/>
          <w:lang w:val="es-ES_tradnl" w:eastAsia="es-ES"/>
        </w:rPr>
        <w:t>homoclave</w:t>
      </w:r>
      <w:proofErr w:type="spellEnd"/>
      <w:r w:rsidRPr="00CA42C5">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E1570F" w:rsidRPr="00CA42C5" w:rsidRDefault="00E1570F" w:rsidP="00CA42C5">
      <w:pPr>
        <w:spacing w:after="0" w:line="240" w:lineRule="auto"/>
        <w:contextualSpacing/>
        <w:jc w:val="both"/>
        <w:rPr>
          <w:rFonts w:ascii="Palatino Linotype" w:eastAsia="MS Mincho" w:hAnsi="Palatino Linotype" w:cs="Arial"/>
          <w:sz w:val="24"/>
          <w:szCs w:val="24"/>
          <w:lang w:val="es-ES_tradnl" w:eastAsia="es-MX"/>
        </w:rPr>
      </w:pPr>
    </w:p>
    <w:p w:rsidR="00E1570F" w:rsidRPr="00CA42C5" w:rsidRDefault="00E1570F" w:rsidP="00CA42C5">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A42C5">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E1570F" w:rsidRPr="00CA42C5" w:rsidRDefault="00E1570F" w:rsidP="00CA42C5">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E1570F" w:rsidRPr="00CA42C5" w:rsidRDefault="00E1570F" w:rsidP="00CA42C5">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Cs/>
          <w:i/>
          <w:sz w:val="24"/>
          <w:szCs w:val="24"/>
          <w:lang w:val="es-ES_tradnl" w:eastAsia="es-ES"/>
        </w:rPr>
        <w:t>“</w:t>
      </w:r>
      <w:r w:rsidRPr="00CA42C5">
        <w:rPr>
          <w:rFonts w:ascii="Palatino Linotype" w:eastAsia="MS Mincho" w:hAnsi="Palatino Linotype" w:cs="Arial"/>
          <w:b/>
          <w:bCs/>
          <w:i/>
          <w:sz w:val="24"/>
          <w:szCs w:val="24"/>
          <w:lang w:val="es-ES_tradnl" w:eastAsia="es-ES"/>
        </w:rPr>
        <w:t>Registro Federal de Contribuyentes (RFC) de personas físicas</w:t>
      </w:r>
      <w:r w:rsidRPr="00CA42C5">
        <w:rPr>
          <w:rFonts w:ascii="Palatino Linotype" w:eastAsia="MS Mincho" w:hAnsi="Palatino Linotype" w:cs="Arial"/>
          <w:bCs/>
          <w:i/>
          <w:sz w:val="24"/>
          <w:szCs w:val="24"/>
          <w:lang w:val="es-ES_tradnl" w:eastAsia="es-ES"/>
        </w:rPr>
        <w:t xml:space="preserve">. El RFC es una clave de carácter fiscal, </w:t>
      </w:r>
      <w:proofErr w:type="gramStart"/>
      <w:r w:rsidRPr="00CA42C5">
        <w:rPr>
          <w:rFonts w:ascii="Palatino Linotype" w:eastAsia="MS Mincho" w:hAnsi="Palatino Linotype" w:cs="Arial"/>
          <w:bCs/>
          <w:i/>
          <w:sz w:val="24"/>
          <w:szCs w:val="24"/>
          <w:lang w:val="es-ES_tradnl" w:eastAsia="es-ES"/>
        </w:rPr>
        <w:t>única</w:t>
      </w:r>
      <w:proofErr w:type="gramEnd"/>
      <w:r w:rsidRPr="00CA42C5">
        <w:rPr>
          <w:rFonts w:ascii="Palatino Linotype" w:eastAsia="MS Mincho"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E1570F" w:rsidRPr="00CA42C5" w:rsidRDefault="00E1570F" w:rsidP="00CA42C5">
      <w:pPr>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Cs/>
          <w:i/>
          <w:sz w:val="24"/>
          <w:szCs w:val="24"/>
          <w:lang w:val="es-ES_tradnl" w:eastAsia="es-ES"/>
        </w:rPr>
        <w:t>Resoluciones:</w:t>
      </w:r>
    </w:p>
    <w:p w:rsidR="00E1570F" w:rsidRPr="00CA42C5" w:rsidRDefault="00E1570F" w:rsidP="00CA42C5">
      <w:pPr>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Cs/>
          <w:i/>
          <w:sz w:val="24"/>
          <w:szCs w:val="24"/>
          <w:lang w:val="es-ES_tradnl" w:eastAsia="es-ES"/>
        </w:rPr>
        <w:t>•</w:t>
      </w:r>
      <w:r w:rsidRPr="00CA42C5">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E1570F" w:rsidRPr="00CA42C5" w:rsidRDefault="00E1570F" w:rsidP="00CA42C5">
      <w:pPr>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Cs/>
          <w:i/>
          <w:sz w:val="24"/>
          <w:szCs w:val="24"/>
          <w:lang w:val="es-ES_tradnl" w:eastAsia="es-ES"/>
        </w:rPr>
        <w:t>•</w:t>
      </w:r>
      <w:r w:rsidRPr="00CA42C5">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CA42C5">
        <w:rPr>
          <w:rFonts w:ascii="Palatino Linotype" w:eastAsia="MS Mincho" w:hAnsi="Palatino Linotype" w:cs="Arial"/>
          <w:bCs/>
          <w:i/>
          <w:sz w:val="24"/>
          <w:szCs w:val="24"/>
          <w:lang w:val="es-ES_tradnl" w:eastAsia="es-ES"/>
        </w:rPr>
        <w:t>Rosendoevgueni</w:t>
      </w:r>
      <w:proofErr w:type="spellEnd"/>
      <w:r w:rsidRPr="00CA42C5">
        <w:rPr>
          <w:rFonts w:ascii="Palatino Linotype" w:eastAsia="MS Mincho" w:hAnsi="Palatino Linotype" w:cs="Arial"/>
          <w:bCs/>
          <w:i/>
          <w:sz w:val="24"/>
          <w:szCs w:val="24"/>
          <w:lang w:val="es-ES_tradnl" w:eastAsia="es-ES"/>
        </w:rPr>
        <w:t xml:space="preserve"> Monterrey </w:t>
      </w:r>
      <w:proofErr w:type="spellStart"/>
      <w:r w:rsidRPr="00CA42C5">
        <w:rPr>
          <w:rFonts w:ascii="Palatino Linotype" w:eastAsia="MS Mincho" w:hAnsi="Palatino Linotype" w:cs="Arial"/>
          <w:bCs/>
          <w:i/>
          <w:sz w:val="24"/>
          <w:szCs w:val="24"/>
          <w:lang w:val="es-ES_tradnl" w:eastAsia="es-ES"/>
        </w:rPr>
        <w:t>Chepov</w:t>
      </w:r>
      <w:proofErr w:type="spellEnd"/>
      <w:r w:rsidRPr="00CA42C5">
        <w:rPr>
          <w:rFonts w:ascii="Palatino Linotype" w:eastAsia="MS Mincho" w:hAnsi="Palatino Linotype" w:cs="Arial"/>
          <w:bCs/>
          <w:i/>
          <w:sz w:val="24"/>
          <w:szCs w:val="24"/>
          <w:lang w:val="es-ES_tradnl" w:eastAsia="es-ES"/>
        </w:rPr>
        <w:t xml:space="preserve">. </w:t>
      </w:r>
    </w:p>
    <w:p w:rsidR="00E1570F" w:rsidRPr="00CA42C5" w:rsidRDefault="00E1570F" w:rsidP="00CA42C5">
      <w:pPr>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Cs/>
          <w:i/>
          <w:sz w:val="24"/>
          <w:szCs w:val="24"/>
          <w:lang w:val="es-ES_tradnl" w:eastAsia="es-ES"/>
        </w:rPr>
        <w:lastRenderedPageBreak/>
        <w:t>•</w:t>
      </w:r>
      <w:r w:rsidRPr="00CA42C5">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E1570F" w:rsidRPr="00CA42C5" w:rsidRDefault="00E1570F" w:rsidP="00CA42C5">
      <w:pPr>
        <w:spacing w:after="0" w:line="360" w:lineRule="auto"/>
        <w:ind w:right="616"/>
        <w:jc w:val="both"/>
        <w:rPr>
          <w:rFonts w:ascii="Palatino Linotype" w:eastAsia="MS Mincho" w:hAnsi="Palatino Linotype" w:cs="Arial"/>
          <w:bCs/>
          <w:sz w:val="24"/>
          <w:szCs w:val="24"/>
          <w:lang w:val="es-ES_tradnl" w:eastAsia="es-ES"/>
        </w:rPr>
      </w:pPr>
      <w:r w:rsidRPr="00CA42C5">
        <w:rPr>
          <w:rFonts w:ascii="Palatino Linotype" w:eastAsia="MS Mincho" w:hAnsi="Palatino Linotype" w:cs="Arial"/>
          <w:bCs/>
          <w:sz w:val="24"/>
          <w:szCs w:val="24"/>
          <w:lang w:val="es-ES_tradnl" w:eastAsia="es-ES"/>
        </w:rPr>
        <w:t>(Énfasis añadido)</w:t>
      </w:r>
    </w:p>
    <w:p w:rsidR="00E1570F" w:rsidRPr="00CA42C5" w:rsidRDefault="00E1570F" w:rsidP="00CA42C5">
      <w:pPr>
        <w:spacing w:after="0" w:line="360" w:lineRule="auto"/>
        <w:jc w:val="both"/>
        <w:rPr>
          <w:rFonts w:ascii="Palatino Linotype" w:eastAsia="MS Mincho"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CA42C5">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CA42C5">
        <w:rPr>
          <w:rFonts w:ascii="Palatino Linotype" w:eastAsia="MS Mincho" w:hAnsi="Palatino Linotype" w:cs="Arial"/>
          <w:sz w:val="24"/>
          <w:szCs w:val="24"/>
          <w:lang w:val="es-ES_tradnl" w:eastAsia="es-MX"/>
        </w:rPr>
        <w:t>homoclave</w:t>
      </w:r>
      <w:proofErr w:type="spellEnd"/>
      <w:r w:rsidRPr="00CA42C5">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CA42C5">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CA42C5">
        <w:rPr>
          <w:rFonts w:ascii="Palatino Linotype" w:eastAsia="MS Mincho" w:hAnsi="Palatino Linotype" w:cs="Arial"/>
          <w:sz w:val="24"/>
          <w:szCs w:val="24"/>
          <w:lang w:val="es-ES_tradnl" w:eastAsia="es-MX"/>
        </w:rPr>
        <w:t>.</w:t>
      </w:r>
    </w:p>
    <w:p w:rsidR="00E1570F" w:rsidRPr="00CA42C5" w:rsidRDefault="00E1570F" w:rsidP="00CA42C5">
      <w:pPr>
        <w:spacing w:after="0" w:line="360" w:lineRule="auto"/>
        <w:contextualSpacing/>
        <w:jc w:val="both"/>
        <w:rPr>
          <w:rFonts w:ascii="Palatino Linotype" w:eastAsia="MS Mincho"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CA42C5">
        <w:rPr>
          <w:rFonts w:ascii="Palatino Linotype" w:eastAsia="MS Mincho" w:hAnsi="Palatino Linotype" w:cs="Arial"/>
          <w:sz w:val="24"/>
          <w:szCs w:val="24"/>
          <w:lang w:val="es-ES_tradnl" w:eastAsia="es-MX"/>
        </w:rPr>
        <w:t xml:space="preserve">Por cuanto hace a la </w:t>
      </w:r>
      <w:r w:rsidRPr="00CA42C5">
        <w:rPr>
          <w:rFonts w:ascii="Palatino Linotype" w:eastAsia="MS Mincho" w:hAnsi="Palatino Linotype" w:cs="Arial"/>
          <w:b/>
          <w:sz w:val="24"/>
          <w:szCs w:val="24"/>
          <w:lang w:val="es-ES_tradnl" w:eastAsia="es-ES"/>
        </w:rPr>
        <w:t xml:space="preserve">Clave Única de Registro de Población, </w:t>
      </w:r>
      <w:r w:rsidRPr="00CA42C5">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1570F" w:rsidRPr="00CA42C5" w:rsidRDefault="00E1570F" w:rsidP="00CA42C5">
      <w:pPr>
        <w:spacing w:after="0" w:line="360" w:lineRule="auto"/>
        <w:jc w:val="both"/>
        <w:rPr>
          <w:rFonts w:ascii="Palatino Linotype" w:eastAsia="MS Mincho"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CA42C5">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E1570F" w:rsidRPr="00CA42C5" w:rsidRDefault="00E1570F" w:rsidP="00CA42C5">
      <w:pPr>
        <w:spacing w:after="0" w:line="360" w:lineRule="auto"/>
        <w:ind w:right="616"/>
        <w:jc w:val="both"/>
        <w:rPr>
          <w:rFonts w:ascii="Palatino Linotype" w:eastAsia="MS Mincho" w:hAnsi="Palatino Linotype" w:cs="Arial"/>
          <w:sz w:val="24"/>
          <w:szCs w:val="24"/>
          <w:lang w:val="es-ES_tradnl" w:eastAsia="es-MX"/>
        </w:rPr>
      </w:pPr>
    </w:p>
    <w:p w:rsidR="00E1570F" w:rsidRPr="00CA42C5" w:rsidRDefault="00E1570F" w:rsidP="00CA42C5">
      <w:pPr>
        <w:spacing w:after="0" w:line="360" w:lineRule="auto"/>
        <w:ind w:right="616"/>
        <w:jc w:val="both"/>
        <w:rPr>
          <w:rFonts w:ascii="Palatino Linotype" w:eastAsia="MS Mincho" w:hAnsi="Palatino Linotype" w:cs="Arial"/>
          <w:i/>
          <w:sz w:val="24"/>
          <w:szCs w:val="24"/>
          <w:lang w:val="es-ES_tradnl" w:eastAsia="es-MX"/>
        </w:rPr>
      </w:pPr>
      <w:r w:rsidRPr="00CA42C5">
        <w:rPr>
          <w:rFonts w:ascii="Palatino Linotype" w:eastAsia="MS Mincho" w:hAnsi="Palatino Linotype" w:cs="Arial,Bold"/>
          <w:b/>
          <w:bCs/>
          <w:i/>
          <w:sz w:val="24"/>
          <w:szCs w:val="24"/>
          <w:lang w:val="es-ES_tradnl" w:eastAsia="es-MX"/>
        </w:rPr>
        <w:lastRenderedPageBreak/>
        <w:t xml:space="preserve">“Artículo 86. </w:t>
      </w:r>
      <w:r w:rsidRPr="00CA42C5">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E1570F" w:rsidRPr="00CA42C5" w:rsidRDefault="00E1570F" w:rsidP="00CA42C5">
      <w:pPr>
        <w:spacing w:after="0" w:line="360" w:lineRule="auto"/>
        <w:ind w:right="616"/>
        <w:jc w:val="both"/>
        <w:rPr>
          <w:rFonts w:ascii="Palatino Linotype" w:eastAsia="MS Mincho" w:hAnsi="Palatino Linotype" w:cs="Arial"/>
          <w:i/>
          <w:sz w:val="24"/>
          <w:szCs w:val="24"/>
          <w:lang w:val="es-ES_tradnl" w:eastAsia="es-MX"/>
        </w:rPr>
      </w:pPr>
    </w:p>
    <w:p w:rsidR="00E1570F" w:rsidRPr="00CA42C5" w:rsidRDefault="00E1570F" w:rsidP="00CA42C5">
      <w:pPr>
        <w:spacing w:after="0" w:line="360" w:lineRule="auto"/>
        <w:ind w:right="616"/>
        <w:jc w:val="both"/>
        <w:rPr>
          <w:rFonts w:ascii="Palatino Linotype" w:eastAsia="MS Mincho" w:hAnsi="Palatino Linotype" w:cs="Arial"/>
          <w:i/>
          <w:sz w:val="24"/>
          <w:szCs w:val="24"/>
          <w:lang w:val="es-ES_tradnl" w:eastAsia="es-MX"/>
        </w:rPr>
      </w:pPr>
      <w:r w:rsidRPr="00CA42C5">
        <w:rPr>
          <w:rFonts w:ascii="Palatino Linotype" w:eastAsia="MS Mincho" w:hAnsi="Palatino Linotype" w:cs="Arial,Bold"/>
          <w:b/>
          <w:bCs/>
          <w:i/>
          <w:sz w:val="24"/>
          <w:szCs w:val="24"/>
          <w:lang w:val="es-ES_tradnl" w:eastAsia="es-MX"/>
        </w:rPr>
        <w:t xml:space="preserve">Artículo 91. </w:t>
      </w:r>
      <w:r w:rsidRPr="00CA42C5">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E1570F" w:rsidRPr="00CA42C5" w:rsidRDefault="00E1570F" w:rsidP="00CA42C5">
      <w:pPr>
        <w:spacing w:after="0" w:line="360" w:lineRule="auto"/>
        <w:jc w:val="both"/>
        <w:rPr>
          <w:rFonts w:ascii="Palatino Linotype" w:eastAsia="MS Mincho" w:hAnsi="Palatino Linotype" w:cs="Arial"/>
          <w:sz w:val="24"/>
          <w:szCs w:val="24"/>
          <w:lang w:val="es-ES_tradnl" w:eastAsia="es-MX"/>
        </w:rPr>
      </w:pPr>
    </w:p>
    <w:p w:rsidR="00E1570F" w:rsidRPr="00CA42C5" w:rsidRDefault="00E1570F" w:rsidP="00CA42C5">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CA42C5">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CA42C5">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CA42C5">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E1570F" w:rsidRPr="00CA42C5" w:rsidRDefault="00E1570F" w:rsidP="00CA42C5">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CA42C5">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E1570F" w:rsidRPr="00CA42C5" w:rsidRDefault="00E1570F" w:rsidP="00CA42C5">
      <w:pPr>
        <w:spacing w:after="0" w:line="360" w:lineRule="auto"/>
        <w:jc w:val="both"/>
        <w:rPr>
          <w:rFonts w:ascii="Palatino Linotype" w:eastAsia="MS Mincho" w:hAnsi="Palatino Linotype" w:cs="Arial"/>
          <w:sz w:val="24"/>
          <w:szCs w:val="24"/>
          <w:lang w:val="es-ES_tradnl" w:eastAsia="es-MX"/>
        </w:rPr>
      </w:pPr>
    </w:p>
    <w:p w:rsidR="00E1570F" w:rsidRDefault="00E1570F" w:rsidP="00CA42C5">
      <w:pPr>
        <w:spacing w:after="0" w:line="360" w:lineRule="auto"/>
        <w:ind w:right="616"/>
        <w:jc w:val="both"/>
        <w:rPr>
          <w:rFonts w:ascii="Palatino Linotype" w:eastAsia="MS Mincho" w:hAnsi="Palatino Linotype" w:cs="Arial"/>
          <w:bCs/>
          <w:i/>
          <w:sz w:val="24"/>
          <w:szCs w:val="24"/>
          <w:lang w:val="es-ES_tradnl" w:eastAsia="es-MX"/>
        </w:rPr>
      </w:pPr>
      <w:r w:rsidRPr="00CA42C5">
        <w:rPr>
          <w:rFonts w:ascii="Palatino Linotype" w:eastAsia="MS Mincho" w:hAnsi="Palatino Linotype" w:cs="Arial"/>
          <w:bCs/>
          <w:i/>
          <w:sz w:val="24"/>
          <w:szCs w:val="24"/>
          <w:lang w:val="es-ES_tradnl" w:eastAsia="es-MX"/>
        </w:rPr>
        <w:t>“</w:t>
      </w:r>
      <w:r w:rsidRPr="00CA42C5">
        <w:rPr>
          <w:rFonts w:ascii="Palatino Linotype" w:eastAsia="MS Mincho" w:hAnsi="Palatino Linotype" w:cs="Arial"/>
          <w:b/>
          <w:bCs/>
          <w:i/>
          <w:sz w:val="24"/>
          <w:szCs w:val="24"/>
          <w:lang w:val="es-ES_tradnl" w:eastAsia="es-MX"/>
        </w:rPr>
        <w:t>Clave Única de Registro de Población (CURP)</w:t>
      </w:r>
      <w:r w:rsidRPr="00CA42C5">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54C1E" w:rsidRPr="00CA42C5" w:rsidRDefault="00F54C1E" w:rsidP="00CA42C5">
      <w:pPr>
        <w:spacing w:after="0" w:line="360" w:lineRule="auto"/>
        <w:ind w:right="616"/>
        <w:jc w:val="both"/>
        <w:rPr>
          <w:rFonts w:ascii="Palatino Linotype" w:eastAsia="MS Mincho" w:hAnsi="Palatino Linotype" w:cs="Arial"/>
          <w:bCs/>
          <w:i/>
          <w:sz w:val="24"/>
          <w:szCs w:val="24"/>
          <w:lang w:val="es-ES_tradnl" w:eastAsia="es-MX"/>
        </w:rPr>
      </w:pPr>
    </w:p>
    <w:p w:rsidR="00E1570F" w:rsidRDefault="00E1570F" w:rsidP="00CA42C5">
      <w:pPr>
        <w:spacing w:after="0" w:line="360" w:lineRule="auto"/>
        <w:ind w:right="616"/>
        <w:jc w:val="both"/>
        <w:rPr>
          <w:rFonts w:ascii="Palatino Linotype" w:eastAsia="MS Mincho" w:hAnsi="Palatino Linotype" w:cs="Arial"/>
          <w:bCs/>
          <w:i/>
          <w:sz w:val="24"/>
          <w:szCs w:val="24"/>
          <w:lang w:val="es-ES_tradnl" w:eastAsia="es-MX"/>
        </w:rPr>
      </w:pPr>
      <w:r w:rsidRPr="00CA42C5">
        <w:rPr>
          <w:rFonts w:ascii="Palatino Linotype" w:eastAsia="MS Mincho" w:hAnsi="Palatino Linotype" w:cs="Arial"/>
          <w:bCs/>
          <w:i/>
          <w:sz w:val="24"/>
          <w:szCs w:val="24"/>
          <w:lang w:val="es-ES_tradnl" w:eastAsia="es-MX"/>
        </w:rPr>
        <w:t>Resoluciones:</w:t>
      </w:r>
    </w:p>
    <w:p w:rsidR="00F54C1E" w:rsidRPr="00CA42C5" w:rsidRDefault="00F54C1E" w:rsidP="00CA42C5">
      <w:pPr>
        <w:spacing w:after="0" w:line="360" w:lineRule="auto"/>
        <w:ind w:right="616"/>
        <w:jc w:val="both"/>
        <w:rPr>
          <w:rFonts w:ascii="Palatino Linotype" w:eastAsia="MS Mincho" w:hAnsi="Palatino Linotype" w:cs="Arial"/>
          <w:bCs/>
          <w:i/>
          <w:sz w:val="24"/>
          <w:szCs w:val="24"/>
          <w:lang w:val="es-ES_tradnl" w:eastAsia="es-MX"/>
        </w:rPr>
      </w:pPr>
    </w:p>
    <w:p w:rsidR="00E1570F" w:rsidRPr="00CA42C5" w:rsidRDefault="00E1570F" w:rsidP="00CA42C5">
      <w:pPr>
        <w:spacing w:after="0" w:line="360" w:lineRule="auto"/>
        <w:ind w:right="616"/>
        <w:jc w:val="both"/>
        <w:rPr>
          <w:rFonts w:ascii="Palatino Linotype" w:eastAsia="MS Mincho" w:hAnsi="Palatino Linotype" w:cs="Arial"/>
          <w:bCs/>
          <w:i/>
          <w:sz w:val="24"/>
          <w:szCs w:val="24"/>
          <w:lang w:val="es-ES_tradnl" w:eastAsia="es-MX"/>
        </w:rPr>
      </w:pPr>
      <w:r w:rsidRPr="00CA42C5">
        <w:rPr>
          <w:rFonts w:ascii="Palatino Linotype" w:eastAsia="MS Mincho" w:hAnsi="Palatino Linotype" w:cs="Arial"/>
          <w:bCs/>
          <w:i/>
          <w:sz w:val="24"/>
          <w:szCs w:val="24"/>
          <w:lang w:val="es-ES_tradnl" w:eastAsia="es-MX"/>
        </w:rPr>
        <w:t>•</w:t>
      </w:r>
      <w:r w:rsidRPr="00CA42C5">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CA42C5">
        <w:rPr>
          <w:rFonts w:ascii="Palatino Linotype" w:eastAsia="MS Mincho" w:hAnsi="Palatino Linotype" w:cs="Arial"/>
          <w:bCs/>
          <w:i/>
          <w:sz w:val="24"/>
          <w:szCs w:val="24"/>
          <w:lang w:val="es-ES_tradnl" w:eastAsia="es-MX"/>
        </w:rPr>
        <w:t>Rosendoevgueni</w:t>
      </w:r>
      <w:proofErr w:type="spellEnd"/>
      <w:r w:rsidRPr="00CA42C5">
        <w:rPr>
          <w:rFonts w:ascii="Palatino Linotype" w:eastAsia="MS Mincho" w:hAnsi="Palatino Linotype" w:cs="Arial"/>
          <w:bCs/>
          <w:i/>
          <w:sz w:val="24"/>
          <w:szCs w:val="24"/>
          <w:lang w:val="es-ES_tradnl" w:eastAsia="es-MX"/>
        </w:rPr>
        <w:t xml:space="preserve"> Monterrey </w:t>
      </w:r>
      <w:proofErr w:type="spellStart"/>
      <w:r w:rsidRPr="00CA42C5">
        <w:rPr>
          <w:rFonts w:ascii="Palatino Linotype" w:eastAsia="MS Mincho" w:hAnsi="Palatino Linotype" w:cs="Arial"/>
          <w:bCs/>
          <w:i/>
          <w:sz w:val="24"/>
          <w:szCs w:val="24"/>
          <w:lang w:val="es-ES_tradnl" w:eastAsia="es-MX"/>
        </w:rPr>
        <w:t>Chepov</w:t>
      </w:r>
      <w:proofErr w:type="spellEnd"/>
      <w:r w:rsidRPr="00CA42C5">
        <w:rPr>
          <w:rFonts w:ascii="Palatino Linotype" w:eastAsia="MS Mincho" w:hAnsi="Palatino Linotype" w:cs="Arial"/>
          <w:bCs/>
          <w:i/>
          <w:sz w:val="24"/>
          <w:szCs w:val="24"/>
          <w:lang w:val="es-ES_tradnl" w:eastAsia="es-MX"/>
        </w:rPr>
        <w:t>.</w:t>
      </w:r>
    </w:p>
    <w:p w:rsidR="00E1570F" w:rsidRPr="00CA42C5" w:rsidRDefault="00E1570F" w:rsidP="00CA42C5">
      <w:pPr>
        <w:spacing w:after="0" w:line="360" w:lineRule="auto"/>
        <w:ind w:right="616"/>
        <w:jc w:val="both"/>
        <w:rPr>
          <w:rFonts w:ascii="Palatino Linotype" w:eastAsia="MS Mincho" w:hAnsi="Palatino Linotype" w:cs="Arial"/>
          <w:bCs/>
          <w:i/>
          <w:sz w:val="24"/>
          <w:szCs w:val="24"/>
          <w:lang w:val="es-ES_tradnl" w:eastAsia="es-MX"/>
        </w:rPr>
      </w:pPr>
      <w:r w:rsidRPr="00CA42C5">
        <w:rPr>
          <w:rFonts w:ascii="Palatino Linotype" w:eastAsia="MS Mincho" w:hAnsi="Palatino Linotype" w:cs="Arial"/>
          <w:bCs/>
          <w:i/>
          <w:sz w:val="24"/>
          <w:szCs w:val="24"/>
          <w:lang w:val="es-ES_tradnl" w:eastAsia="es-MX"/>
        </w:rPr>
        <w:t>•</w:t>
      </w:r>
      <w:r w:rsidRPr="00CA42C5">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E1570F" w:rsidRPr="00CA42C5" w:rsidRDefault="00E1570F" w:rsidP="00CA42C5">
      <w:pPr>
        <w:spacing w:after="0" w:line="360" w:lineRule="auto"/>
        <w:ind w:right="616"/>
        <w:jc w:val="both"/>
        <w:rPr>
          <w:rFonts w:ascii="Palatino Linotype" w:eastAsia="MS Mincho" w:hAnsi="Palatino Linotype" w:cs="Arial"/>
          <w:i/>
          <w:sz w:val="24"/>
          <w:szCs w:val="24"/>
          <w:lang w:val="es-ES_tradnl" w:eastAsia="es-MX"/>
        </w:rPr>
      </w:pPr>
      <w:r w:rsidRPr="00CA42C5">
        <w:rPr>
          <w:rFonts w:ascii="Palatino Linotype" w:eastAsia="MS Mincho" w:hAnsi="Palatino Linotype" w:cs="Arial"/>
          <w:bCs/>
          <w:i/>
          <w:sz w:val="24"/>
          <w:szCs w:val="24"/>
          <w:lang w:val="es-ES_tradnl" w:eastAsia="es-MX"/>
        </w:rPr>
        <w:t>•</w:t>
      </w:r>
      <w:r w:rsidRPr="00CA42C5">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CA42C5">
        <w:rPr>
          <w:rFonts w:ascii="Palatino Linotype" w:eastAsia="MS Mincho" w:hAnsi="Palatino Linotype" w:cs="Arial"/>
          <w:i/>
          <w:sz w:val="24"/>
          <w:szCs w:val="24"/>
          <w:lang w:val="es-ES_tradnl" w:eastAsia="es-MX"/>
        </w:rPr>
        <w:t>” (SIC)</w:t>
      </w:r>
    </w:p>
    <w:p w:rsidR="00E1570F" w:rsidRPr="00CA42C5" w:rsidRDefault="00E1570F" w:rsidP="00CA42C5">
      <w:pPr>
        <w:spacing w:after="0" w:line="360" w:lineRule="auto"/>
        <w:ind w:right="757"/>
        <w:jc w:val="both"/>
        <w:rPr>
          <w:rFonts w:ascii="Palatino Linotype" w:eastAsia="MS Mincho" w:hAnsi="Palatino Linotype" w:cs="Arial"/>
          <w:i/>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CA42C5">
        <w:rPr>
          <w:rFonts w:ascii="Palatino Linotype" w:eastAsia="MS Mincho" w:hAnsi="Palatino Linotype" w:cs="Arial"/>
          <w:sz w:val="24"/>
          <w:szCs w:val="24"/>
          <w:lang w:val="es-ES_tradnl" w:eastAsia="es-MX"/>
        </w:rPr>
        <w:t xml:space="preserve">De lo anterior, se desprende que la </w:t>
      </w:r>
      <w:r w:rsidRPr="00CA42C5">
        <w:rPr>
          <w:rFonts w:ascii="Palatino Linotype" w:eastAsia="MS Mincho" w:hAnsi="Palatino Linotype" w:cs="Times New Roman"/>
          <w:sz w:val="24"/>
          <w:szCs w:val="24"/>
          <w:lang w:val="es-ES_tradnl" w:eastAsia="es-MX"/>
        </w:rPr>
        <w:t xml:space="preserve">Clave Única de Registro de Población, </w:t>
      </w:r>
      <w:r w:rsidRPr="00CA42C5">
        <w:rPr>
          <w:rFonts w:ascii="Palatino Linotype" w:eastAsia="MS Mincho" w:hAnsi="Palatino Linotype" w:cs="Arial"/>
          <w:sz w:val="24"/>
          <w:szCs w:val="24"/>
          <w:lang w:val="es-ES_tradnl" w:eastAsia="es-MX"/>
        </w:rPr>
        <w:t xml:space="preserve">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w:t>
      </w:r>
      <w:r w:rsidRPr="00CA42C5">
        <w:rPr>
          <w:rFonts w:ascii="Palatino Linotype" w:eastAsia="MS Mincho" w:hAnsi="Palatino Linotype" w:cs="Arial"/>
          <w:sz w:val="24"/>
          <w:szCs w:val="24"/>
          <w:lang w:val="es-ES_tradnl" w:eastAsia="es-MX"/>
        </w:rPr>
        <w:lastRenderedPageBreak/>
        <w:t>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E1570F" w:rsidRPr="00CA42C5" w:rsidRDefault="00E1570F" w:rsidP="00CA42C5">
      <w:pPr>
        <w:spacing w:after="0" w:line="360" w:lineRule="auto"/>
        <w:contextualSpacing/>
        <w:jc w:val="both"/>
        <w:rPr>
          <w:rFonts w:ascii="Palatino Linotype" w:eastAsia="MS Mincho"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CA42C5">
        <w:rPr>
          <w:rFonts w:ascii="Palatino Linotype" w:eastAsia="MS Mincho" w:hAnsi="Palatino Linotype" w:cs="Arial"/>
          <w:sz w:val="24"/>
          <w:szCs w:val="24"/>
          <w:lang w:val="es-ES_tradnl" w:eastAsia="es-MX"/>
        </w:rPr>
        <w:t xml:space="preserve">Por cuanto hace a la </w:t>
      </w:r>
      <w:r w:rsidRPr="00CA42C5">
        <w:rPr>
          <w:rFonts w:ascii="Palatino Linotype" w:eastAsia="MS Mincho" w:hAnsi="Palatino Linotype" w:cs="Arial"/>
          <w:b/>
          <w:sz w:val="24"/>
          <w:szCs w:val="24"/>
          <w:lang w:val="es-ES_tradnl" w:eastAsia="es-ES"/>
        </w:rPr>
        <w:t>Clave de cualquier tipo de seguridad social</w:t>
      </w:r>
      <w:r w:rsidRPr="00CA42C5">
        <w:rPr>
          <w:rFonts w:ascii="Palatino Linotype" w:eastAsia="MS Mincho" w:hAnsi="Palatino Linotype" w:cs="Arial"/>
          <w:sz w:val="24"/>
          <w:szCs w:val="24"/>
          <w:lang w:val="es-ES_tradnl" w:eastAsia="es-ES"/>
        </w:rPr>
        <w:t xml:space="preserve"> (ISSEMYM, u otros), está integrado por una </w:t>
      </w:r>
      <w:r w:rsidRPr="00CA42C5">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A42C5">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A42C5">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CA42C5">
        <w:rPr>
          <w:rFonts w:ascii="Palatino Linotype" w:eastAsia="MS Mincho" w:hAnsi="Palatino Linotype" w:cs="Arial"/>
          <w:sz w:val="24"/>
          <w:szCs w:val="24"/>
          <w:lang w:val="es-ES_tradnl" w:eastAsia="es-MX"/>
        </w:rPr>
        <w:t>.</w:t>
      </w:r>
    </w:p>
    <w:p w:rsidR="00E1570F" w:rsidRPr="00CA42C5" w:rsidRDefault="00E1570F" w:rsidP="00CA42C5">
      <w:pPr>
        <w:spacing w:after="0" w:line="240" w:lineRule="auto"/>
        <w:contextualSpacing/>
        <w:jc w:val="both"/>
        <w:rPr>
          <w:rFonts w:ascii="Palatino Linotype" w:eastAsia="MS Mincho" w:hAnsi="Palatino Linotype" w:cs="Arial"/>
          <w:sz w:val="24"/>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CA42C5">
        <w:rPr>
          <w:rFonts w:ascii="Palatino Linotype" w:eastAsia="MS Mincho" w:hAnsi="Palatino Linotype" w:cs="Arial"/>
          <w:sz w:val="24"/>
          <w:szCs w:val="24"/>
          <w:lang w:val="es-ES_tradnl" w:eastAsia="es-ES"/>
        </w:rPr>
        <w:t xml:space="preserve">Respecto de los </w:t>
      </w:r>
      <w:r w:rsidRPr="00CA42C5">
        <w:rPr>
          <w:rFonts w:ascii="Palatino Linotype" w:eastAsia="MS Mincho" w:hAnsi="Palatino Linotype" w:cs="Arial"/>
          <w:b/>
          <w:sz w:val="24"/>
          <w:szCs w:val="24"/>
          <w:lang w:val="es-ES_tradnl" w:eastAsia="es-ES"/>
        </w:rPr>
        <w:t>préstamos o descuentos</w:t>
      </w:r>
      <w:r w:rsidRPr="00CA42C5">
        <w:rPr>
          <w:rFonts w:ascii="Palatino Linotype" w:eastAsia="MS Mincho" w:hAnsi="Palatino Linotype" w:cs="Arial"/>
          <w:sz w:val="24"/>
          <w:szCs w:val="24"/>
          <w:lang w:val="es-ES_tradnl" w:eastAsia="es-ES"/>
        </w:rPr>
        <w:t xml:space="preserve"> </w:t>
      </w:r>
      <w:r w:rsidRPr="00CA42C5">
        <w:rPr>
          <w:rFonts w:ascii="Palatino Linotype" w:eastAsia="MS Mincho" w:hAnsi="Palatino Linotype" w:cs="Arial"/>
          <w:b/>
          <w:sz w:val="24"/>
          <w:szCs w:val="24"/>
          <w:lang w:val="es-ES_tradnl" w:eastAsia="es-ES"/>
        </w:rPr>
        <w:t>de carácter personal</w:t>
      </w:r>
      <w:r w:rsidRPr="00CA42C5">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CA42C5">
        <w:rPr>
          <w:rFonts w:ascii="Palatino Linotype" w:eastAsia="MS Mincho" w:hAnsi="Palatino Linotype" w:cs="Arial"/>
          <w:sz w:val="24"/>
          <w:szCs w:val="24"/>
          <w:lang w:val="es-ES_tradnl" w:eastAsia="es-MX"/>
        </w:rPr>
        <w:t>favorecer  en la transparencia y rendición de cuentas, sino, por el contrario con ello se violentaría la</w:t>
      </w:r>
      <w:r w:rsidRPr="00CA42C5">
        <w:rPr>
          <w:rFonts w:ascii="Palatino Linotype" w:eastAsia="MS Mincho" w:hAnsi="Palatino Linotype" w:cs="Times New Roman"/>
          <w:sz w:val="24"/>
          <w:szCs w:val="24"/>
          <w:lang w:val="es-ES_tradnl" w:eastAsia="es-ES"/>
        </w:rPr>
        <w:t xml:space="preserve"> </w:t>
      </w:r>
      <w:r w:rsidRPr="00CA42C5">
        <w:rPr>
          <w:rFonts w:ascii="Palatino Linotype" w:eastAsia="MS Mincho" w:hAnsi="Palatino Linotype" w:cs="Arial"/>
          <w:sz w:val="24"/>
          <w:szCs w:val="24"/>
          <w:lang w:val="es-ES_tradnl" w:eastAsia="es-MX"/>
        </w:rPr>
        <w:t>protección de información confidencial, porque incide en la intimidad de un individuo</w:t>
      </w:r>
      <w:r w:rsidRPr="00CA42C5">
        <w:rPr>
          <w:rFonts w:ascii="Palatino Linotype" w:eastAsia="MS Mincho" w:hAnsi="Palatino Linotype" w:cs="Times New Roman"/>
          <w:sz w:val="24"/>
          <w:szCs w:val="24"/>
          <w:lang w:val="es-ES_tradnl" w:eastAsia="es-ES"/>
        </w:rPr>
        <w:t xml:space="preserve"> </w:t>
      </w:r>
      <w:r w:rsidRPr="00CA42C5">
        <w:rPr>
          <w:rFonts w:ascii="Palatino Linotype" w:eastAsia="MS Mincho" w:hAnsi="Palatino Linotype" w:cs="Arial"/>
          <w:sz w:val="24"/>
          <w:szCs w:val="24"/>
          <w:lang w:val="es-ES_tradnl" w:eastAsia="es-MX"/>
        </w:rPr>
        <w:t>identificado.</w:t>
      </w:r>
    </w:p>
    <w:p w:rsidR="00E1570F" w:rsidRPr="00CA42C5" w:rsidRDefault="00E1570F" w:rsidP="00CA42C5">
      <w:pPr>
        <w:spacing w:after="0" w:line="240" w:lineRule="auto"/>
        <w:contextualSpacing/>
        <w:jc w:val="both"/>
        <w:rPr>
          <w:rFonts w:ascii="Palatino Linotype" w:eastAsia="MS Mincho"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CA42C5">
        <w:rPr>
          <w:rFonts w:ascii="Palatino Linotype" w:eastAsia="MS Mincho" w:hAnsi="Palatino Linotype" w:cs="Arial"/>
          <w:sz w:val="24"/>
          <w:szCs w:val="24"/>
          <w:lang w:val="es-ES_tradnl" w:eastAsia="es-MX"/>
        </w:rPr>
        <w:t xml:space="preserve">Por su parte, el </w:t>
      </w:r>
      <w:r w:rsidRPr="00CA42C5">
        <w:rPr>
          <w:rFonts w:ascii="Palatino Linotype" w:eastAsia="MS Mincho" w:hAnsi="Palatino Linotype" w:cs="Arial"/>
          <w:sz w:val="24"/>
          <w:szCs w:val="24"/>
          <w:lang w:val="es-ES_tradnl" w:eastAsia="es-ES"/>
        </w:rPr>
        <w:t>artículo 84 de la Ley del Trabajo de los Servidores Públicos del Estado y Municipios, señala:</w:t>
      </w:r>
    </w:p>
    <w:p w:rsidR="00E1570F" w:rsidRPr="00CA42C5" w:rsidRDefault="00E1570F" w:rsidP="00CA42C5">
      <w:pPr>
        <w:spacing w:after="0" w:line="360" w:lineRule="auto"/>
        <w:jc w:val="both"/>
        <w:rPr>
          <w:rFonts w:ascii="Palatino Linotype" w:eastAsia="MS Mincho" w:hAnsi="Palatino Linotype" w:cs="Arial"/>
          <w:sz w:val="24"/>
          <w:szCs w:val="24"/>
          <w:lang w:val="es-ES_tradnl" w:eastAsia="es-ES"/>
        </w:rPr>
      </w:pPr>
    </w:p>
    <w:p w:rsidR="00E1570F" w:rsidRPr="00CA42C5" w:rsidRDefault="00E1570F" w:rsidP="00CA42C5">
      <w:pPr>
        <w:tabs>
          <w:tab w:val="left" w:pos="7938"/>
        </w:tabs>
        <w:spacing w:after="0" w:line="360" w:lineRule="auto"/>
        <w:ind w:right="616"/>
        <w:jc w:val="both"/>
        <w:rPr>
          <w:rFonts w:ascii="Palatino Linotype" w:eastAsia="MS Mincho" w:hAnsi="Palatino Linotype" w:cs="Arial"/>
          <w:b/>
          <w:bCs/>
          <w:i/>
          <w:sz w:val="24"/>
          <w:szCs w:val="24"/>
          <w:lang w:val="es-ES_tradnl" w:eastAsia="es-ES"/>
        </w:rPr>
      </w:pPr>
      <w:r w:rsidRPr="00CA42C5">
        <w:rPr>
          <w:rFonts w:ascii="Palatino Linotype" w:eastAsia="MS Mincho" w:hAnsi="Palatino Linotype" w:cs="Arial"/>
          <w:b/>
          <w:bCs/>
          <w:i/>
          <w:sz w:val="24"/>
          <w:szCs w:val="24"/>
          <w:lang w:val="es-ES_tradnl" w:eastAsia="es-ES"/>
        </w:rPr>
        <w:t>“ARTICULO 84. Sólo podrán hacerse retenciones, descuentos o deducciones al sueldo de los servidores públicos por concepto de:</w:t>
      </w:r>
    </w:p>
    <w:p w:rsidR="00E1570F" w:rsidRPr="00CA42C5" w:rsidRDefault="00E1570F" w:rsidP="00CA42C5">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Cs/>
          <w:i/>
          <w:sz w:val="24"/>
          <w:szCs w:val="24"/>
          <w:lang w:val="es-ES_tradnl" w:eastAsia="es-ES"/>
        </w:rPr>
        <w:t>I. Gravámenes fiscales relacionados con el sueldo;</w:t>
      </w:r>
    </w:p>
    <w:p w:rsidR="00E1570F" w:rsidRPr="00CA42C5" w:rsidRDefault="00E1570F" w:rsidP="00CA42C5">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Cs/>
          <w:i/>
          <w:sz w:val="24"/>
          <w:szCs w:val="24"/>
          <w:lang w:val="es-ES_tradnl" w:eastAsia="es-ES"/>
        </w:rPr>
        <w:t>II. Deudas contraídas con las instituciones públicas o dependencias por concepto de anticipos de sueldo, pagos hechos con exceso, errores o pérdidas debidamente comprobados;</w:t>
      </w:r>
    </w:p>
    <w:p w:rsidR="00E1570F" w:rsidRPr="00CA42C5" w:rsidRDefault="00E1570F" w:rsidP="00CA42C5">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Cs/>
          <w:i/>
          <w:sz w:val="24"/>
          <w:szCs w:val="24"/>
          <w:lang w:val="es-ES_tradnl" w:eastAsia="es-ES"/>
        </w:rPr>
        <w:t>III. Cuotas sindicales;</w:t>
      </w:r>
    </w:p>
    <w:p w:rsidR="00E1570F" w:rsidRPr="00CA42C5" w:rsidRDefault="00E1570F" w:rsidP="00CA42C5">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Cs/>
          <w:i/>
          <w:sz w:val="24"/>
          <w:szCs w:val="24"/>
          <w:lang w:val="es-ES_tradnl" w:eastAsia="es-ES"/>
        </w:rPr>
        <w:t>IV. Cuotas de aportación a fondos para la constitución de cooperativas y de cajas de ahorro, siempre que el servidor público hubiese manifestado previamente, de manera expresa, su conformidad;</w:t>
      </w:r>
    </w:p>
    <w:p w:rsidR="00E1570F" w:rsidRPr="00CA42C5" w:rsidRDefault="00E1570F" w:rsidP="00CA42C5">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Cs/>
          <w:i/>
          <w:sz w:val="24"/>
          <w:szCs w:val="24"/>
          <w:lang w:val="es-ES_tradnl" w:eastAsia="es-ES"/>
        </w:rPr>
        <w:t>V. Descuentos ordenados por el Instituto de Seguridad Social del Estado de México y Municipios, con motivo de cuotas y obligaciones contraídas con éste por los servidores públicos;</w:t>
      </w:r>
    </w:p>
    <w:p w:rsidR="00E1570F" w:rsidRPr="00CA42C5" w:rsidRDefault="00E1570F" w:rsidP="00CA42C5">
      <w:pPr>
        <w:tabs>
          <w:tab w:val="left" w:pos="7938"/>
        </w:tabs>
        <w:spacing w:after="0" w:line="360" w:lineRule="auto"/>
        <w:ind w:right="616"/>
        <w:jc w:val="both"/>
        <w:rPr>
          <w:rFonts w:ascii="Palatino Linotype" w:eastAsia="MS Mincho" w:hAnsi="Palatino Linotype" w:cs="Arial"/>
          <w:b/>
          <w:bCs/>
          <w:i/>
          <w:sz w:val="24"/>
          <w:szCs w:val="24"/>
          <w:lang w:val="es-ES_tradnl" w:eastAsia="es-ES"/>
        </w:rPr>
      </w:pPr>
      <w:r w:rsidRPr="00CA42C5">
        <w:rPr>
          <w:rFonts w:ascii="Palatino Linotype" w:eastAsia="MS Mincho" w:hAnsi="Palatino Linotype" w:cs="Arial"/>
          <w:b/>
          <w:bCs/>
          <w:i/>
          <w:sz w:val="24"/>
          <w:szCs w:val="24"/>
          <w:lang w:val="es-ES_tradnl" w:eastAsia="es-ES"/>
        </w:rPr>
        <w:t>VI. Obligaciones a cargo del servidor público con las que haya consentido, derivadas de la adquisición o del uso de habitaciones consideradas como de interés social;</w:t>
      </w:r>
    </w:p>
    <w:p w:rsidR="00E1570F" w:rsidRPr="00CA42C5" w:rsidRDefault="00E1570F" w:rsidP="00CA42C5">
      <w:pPr>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Cs/>
          <w:i/>
          <w:sz w:val="24"/>
          <w:szCs w:val="24"/>
          <w:lang w:val="es-ES_tradnl" w:eastAsia="es-ES"/>
        </w:rPr>
        <w:t>VII. Faltas de puntualidad o de asistencia injustificadas;</w:t>
      </w:r>
    </w:p>
    <w:p w:rsidR="00E1570F" w:rsidRPr="00CA42C5" w:rsidRDefault="00E1570F" w:rsidP="00CA42C5">
      <w:pPr>
        <w:spacing w:after="0" w:line="360" w:lineRule="auto"/>
        <w:ind w:right="616"/>
        <w:jc w:val="both"/>
        <w:rPr>
          <w:rFonts w:ascii="Palatino Linotype" w:eastAsia="MS Mincho" w:hAnsi="Palatino Linotype" w:cs="Arial"/>
          <w:bCs/>
          <w:i/>
          <w:sz w:val="24"/>
          <w:szCs w:val="24"/>
          <w:lang w:val="es-ES_tradnl" w:eastAsia="es-ES"/>
        </w:rPr>
      </w:pPr>
      <w:r w:rsidRPr="00CA42C5">
        <w:rPr>
          <w:rFonts w:ascii="Palatino Linotype" w:eastAsia="MS Mincho" w:hAnsi="Palatino Linotype" w:cs="Arial"/>
          <w:b/>
          <w:bCs/>
          <w:i/>
          <w:sz w:val="24"/>
          <w:szCs w:val="24"/>
          <w:lang w:val="es-ES_tradnl" w:eastAsia="es-ES"/>
        </w:rPr>
        <w:t>VIII. Pensiones alimenticias ordenadas por la autoridad judicial;</w:t>
      </w:r>
      <w:r w:rsidRPr="00CA42C5">
        <w:rPr>
          <w:rFonts w:ascii="Palatino Linotype" w:eastAsia="MS Mincho" w:hAnsi="Palatino Linotype" w:cs="Arial"/>
          <w:bCs/>
          <w:i/>
          <w:sz w:val="24"/>
          <w:szCs w:val="24"/>
          <w:lang w:val="es-ES_tradnl" w:eastAsia="es-ES"/>
        </w:rPr>
        <w:t xml:space="preserve"> o</w:t>
      </w:r>
    </w:p>
    <w:p w:rsidR="00E1570F" w:rsidRPr="00CA42C5" w:rsidRDefault="00E1570F" w:rsidP="00CA42C5">
      <w:pPr>
        <w:spacing w:after="0" w:line="360" w:lineRule="auto"/>
        <w:ind w:right="616"/>
        <w:jc w:val="both"/>
        <w:rPr>
          <w:rFonts w:ascii="Palatino Linotype" w:eastAsia="MS Mincho" w:hAnsi="Palatino Linotype" w:cs="Arial"/>
          <w:b/>
          <w:bCs/>
          <w:i/>
          <w:sz w:val="24"/>
          <w:szCs w:val="24"/>
          <w:lang w:val="es-ES_tradnl" w:eastAsia="es-ES"/>
        </w:rPr>
      </w:pPr>
      <w:r w:rsidRPr="00CA42C5">
        <w:rPr>
          <w:rFonts w:ascii="Palatino Linotype" w:eastAsia="MS Mincho" w:hAnsi="Palatino Linotype" w:cs="Arial"/>
          <w:b/>
          <w:bCs/>
          <w:i/>
          <w:sz w:val="24"/>
          <w:szCs w:val="24"/>
          <w:lang w:val="es-ES_tradnl" w:eastAsia="es-ES"/>
        </w:rPr>
        <w:lastRenderedPageBreak/>
        <w:t>IX. Cualquier otro convenido con instituciones de servicios y aceptado por el servidor público.</w:t>
      </w:r>
    </w:p>
    <w:p w:rsidR="00E1570F" w:rsidRPr="00CA42C5" w:rsidRDefault="00E1570F" w:rsidP="00CA42C5">
      <w:pPr>
        <w:spacing w:after="0" w:line="360" w:lineRule="auto"/>
        <w:ind w:right="616"/>
        <w:jc w:val="both"/>
        <w:rPr>
          <w:rFonts w:ascii="Palatino Linotype" w:eastAsia="MS Mincho" w:hAnsi="Palatino Linotype" w:cs="Arial"/>
          <w:b/>
          <w:bCs/>
          <w:i/>
          <w:sz w:val="24"/>
          <w:szCs w:val="24"/>
          <w:lang w:val="es-ES_tradnl" w:eastAsia="es-ES"/>
        </w:rPr>
      </w:pPr>
      <w:r w:rsidRPr="00CA42C5">
        <w:rPr>
          <w:rFonts w:ascii="Palatino Linotype" w:eastAsia="MS Mincho" w:hAnsi="Palatino Linotype" w:cs="Arial"/>
          <w:bCs/>
          <w:i/>
          <w:sz w:val="24"/>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E1570F" w:rsidRPr="00CA42C5" w:rsidRDefault="00E1570F" w:rsidP="00CA42C5">
      <w:pPr>
        <w:spacing w:after="0" w:line="360" w:lineRule="auto"/>
        <w:jc w:val="both"/>
        <w:rPr>
          <w:rFonts w:ascii="Palatino Linotype" w:eastAsia="MS Mincho" w:hAnsi="Palatino Linotype" w:cs="Arial"/>
          <w:sz w:val="24"/>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CA42C5">
        <w:rPr>
          <w:rFonts w:ascii="Palatino Linotype" w:eastAsia="MS Mincho" w:hAnsi="Palatino Linotype" w:cs="Arial"/>
          <w:sz w:val="24"/>
          <w:szCs w:val="24"/>
          <w:lang w:val="es-ES_tradnl"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E1570F" w:rsidRPr="00CA42C5" w:rsidRDefault="00E1570F" w:rsidP="00CA42C5">
      <w:pPr>
        <w:spacing w:after="0" w:line="360" w:lineRule="auto"/>
        <w:contextualSpacing/>
        <w:jc w:val="both"/>
        <w:rPr>
          <w:rFonts w:ascii="Palatino Linotype" w:eastAsia="MS Mincho" w:hAnsi="Palatino Linotype" w:cs="Arial"/>
          <w:sz w:val="24"/>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CA42C5">
        <w:rPr>
          <w:rFonts w:ascii="Palatino Linotype" w:eastAsia="MS Mincho" w:hAnsi="Palatino Linotype" w:cs="Arial"/>
          <w:sz w:val="24"/>
          <w:szCs w:val="24"/>
          <w:lang w:val="es-ES_tradnl" w:eastAsia="es-ES"/>
        </w:rPr>
        <w:t xml:space="preserve">Por ende, en el presente caso, </w:t>
      </w:r>
      <w:r w:rsidRPr="00CA42C5">
        <w:rPr>
          <w:rFonts w:ascii="Palatino Linotype" w:eastAsia="MS Mincho" w:hAnsi="Palatino Linotype" w:cs="Arial"/>
          <w:b/>
          <w:sz w:val="24"/>
          <w:szCs w:val="24"/>
          <w:lang w:val="es-ES_tradnl" w:eastAsia="es-ES"/>
        </w:rPr>
        <w:t>EL SUJETO OBLIGADO</w:t>
      </w:r>
      <w:r w:rsidRPr="00CA42C5">
        <w:rPr>
          <w:rFonts w:ascii="Palatino Linotype" w:eastAsia="MS Mincho" w:hAnsi="Palatino Linotype" w:cs="Arial"/>
          <w:sz w:val="24"/>
          <w:szCs w:val="24"/>
          <w:lang w:val="es-ES_tradnl" w:eastAsia="es-ES"/>
        </w:rPr>
        <w:t xml:space="preserve"> debe </w:t>
      </w:r>
      <w:r w:rsidRPr="00CA42C5">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CA42C5">
        <w:rPr>
          <w:rFonts w:ascii="Palatino Linotype" w:eastAsia="MS Mincho" w:hAnsi="Palatino Linotype" w:cs="Arial"/>
          <w:b/>
          <w:sz w:val="24"/>
          <w:szCs w:val="24"/>
          <w:lang w:val="es-ES_tradnl" w:eastAsia="es-MX"/>
        </w:rPr>
        <w:t>EL SUJETO OBLIGADO</w:t>
      </w:r>
      <w:r w:rsidRPr="00CA42C5">
        <w:rPr>
          <w:rFonts w:ascii="Palatino Linotype" w:eastAsia="MS Mincho" w:hAnsi="Palatino Linotype" w:cs="Arial"/>
          <w:sz w:val="24"/>
          <w:szCs w:val="24"/>
          <w:lang w:val="es-ES_tradnl" w:eastAsia="es-MX"/>
        </w:rPr>
        <w:t xml:space="preserve"> </w:t>
      </w:r>
      <w:r w:rsidRPr="00CA42C5">
        <w:rPr>
          <w:rFonts w:ascii="Palatino Linotype" w:eastAsia="MS Mincho" w:hAnsi="Palatino Linotype" w:cs="Arial"/>
          <w:sz w:val="24"/>
          <w:szCs w:val="24"/>
          <w:lang w:val="es-ES_tradnl" w:eastAsia="es-MX"/>
        </w:rPr>
        <w:lastRenderedPageBreak/>
        <w:t xml:space="preserve">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CA42C5">
        <w:rPr>
          <w:rFonts w:ascii="Palatino Linotype" w:eastAsia="MS Mincho" w:hAnsi="Palatino Linotype" w:cs="Arial"/>
          <w:b/>
          <w:sz w:val="24"/>
          <w:szCs w:val="24"/>
          <w:lang w:val="es-ES_tradnl" w:eastAsia="es-MX"/>
        </w:rPr>
        <w:t>SUJETO OBLIGADO</w:t>
      </w:r>
      <w:r w:rsidRPr="00CA42C5">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CA42C5">
        <w:rPr>
          <w:rFonts w:ascii="Palatino Linotype" w:eastAsia="MS Mincho" w:hAnsi="Palatino Linotype" w:cs="Arial"/>
          <w:color w:val="FF0000"/>
          <w:sz w:val="24"/>
          <w:szCs w:val="24"/>
          <w:lang w:val="es-ES_tradnl" w:eastAsia="es-MX"/>
        </w:rPr>
        <w:t>.</w:t>
      </w:r>
    </w:p>
    <w:p w:rsidR="00E1570F" w:rsidRPr="00CA42C5" w:rsidRDefault="00E1570F" w:rsidP="00CA42C5">
      <w:pPr>
        <w:spacing w:after="0" w:line="360" w:lineRule="auto"/>
        <w:jc w:val="both"/>
        <w:rPr>
          <w:rFonts w:ascii="Palatino Linotype" w:eastAsia="Calibri" w:hAnsi="Palatino Linotype" w:cs="Arial"/>
          <w:bCs/>
          <w:sz w:val="24"/>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CA42C5">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1570F" w:rsidRPr="00CA42C5" w:rsidRDefault="00E1570F" w:rsidP="00CA42C5">
      <w:pPr>
        <w:spacing w:after="0" w:line="360" w:lineRule="auto"/>
        <w:contextualSpacing/>
        <w:jc w:val="both"/>
        <w:rPr>
          <w:rFonts w:ascii="Palatino Linotype" w:eastAsia="Calibri" w:hAnsi="Palatino Linotype" w:cs="Arial"/>
          <w:bCs/>
          <w:sz w:val="24"/>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CA42C5">
        <w:rPr>
          <w:rFonts w:ascii="Palatino Linotype" w:eastAsia="Calibri" w:hAnsi="Palatino Linotype" w:cs="Arial"/>
          <w:bCs/>
          <w:sz w:val="24"/>
          <w:szCs w:val="24"/>
          <w:lang w:val="es-ES_tradnl" w:eastAsia="es-ES"/>
        </w:rPr>
        <w:lastRenderedPageBreak/>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E1570F" w:rsidRPr="00F54C1E" w:rsidRDefault="00E1570F" w:rsidP="00CA42C5">
      <w:pPr>
        <w:spacing w:after="0" w:line="360" w:lineRule="auto"/>
        <w:contextualSpacing/>
        <w:jc w:val="both"/>
        <w:rPr>
          <w:rFonts w:ascii="Palatino Linotype" w:eastAsia="Calibri" w:hAnsi="Palatino Linotype" w:cs="Arial"/>
          <w:bCs/>
          <w:sz w:val="12"/>
          <w:szCs w:val="24"/>
          <w:lang w:val="es-ES_tradnl" w:eastAsia="es-ES"/>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CA42C5">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E1570F" w:rsidRPr="00CA42C5" w:rsidRDefault="00E1570F" w:rsidP="00CA42C5">
      <w:pPr>
        <w:contextualSpacing/>
        <w:jc w:val="both"/>
        <w:rPr>
          <w:rFonts w:ascii="Palatino Linotype" w:eastAsia="MS Mincho" w:hAnsi="Palatino Linotype" w:cs="Arial"/>
          <w:sz w:val="24"/>
          <w:szCs w:val="24"/>
          <w:lang w:val="es-ES_tradnl" w:eastAsia="es-MX"/>
        </w:rPr>
      </w:pPr>
    </w:p>
    <w:p w:rsidR="00E1570F" w:rsidRPr="00CA42C5" w:rsidRDefault="00E1570F" w:rsidP="00CA42C5">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111" w:name="_Toc454968928"/>
      <w:bookmarkStart w:id="112" w:name="_Toc455743517"/>
      <w:bookmarkStart w:id="113" w:name="_Toc458016386"/>
      <w:bookmarkStart w:id="114" w:name="_Toc461555893"/>
      <w:bookmarkStart w:id="115" w:name="_Toc462307690"/>
      <w:bookmarkStart w:id="116" w:name="_Toc475005143"/>
      <w:bookmarkStart w:id="117" w:name="_Toc499659080"/>
      <w:bookmarkEnd w:id="60"/>
      <w:bookmarkEnd w:id="61"/>
      <w:bookmarkEnd w:id="62"/>
      <w:bookmarkEnd w:id="63"/>
      <w:bookmarkEnd w:id="64"/>
      <w:bookmarkEnd w:id="65"/>
      <w:bookmarkEnd w:id="66"/>
      <w:bookmarkEnd w:id="67"/>
      <w:r w:rsidRPr="00CA42C5">
        <w:rPr>
          <w:rFonts w:ascii="Palatino Linotype" w:eastAsia="Times New Roman" w:hAnsi="Palatino Linotype"/>
          <w:sz w:val="24"/>
          <w:szCs w:val="24"/>
          <w:lang w:val="es-ES_tradnl" w:eastAsia="es-ES"/>
        </w:rPr>
        <w:t xml:space="preserve">Consecuentemente, en términos del artículo </w:t>
      </w:r>
      <w:r w:rsidRPr="00CA42C5">
        <w:rPr>
          <w:rFonts w:ascii="Palatino Linotype" w:eastAsia="Times New Roman" w:hAnsi="Palatino Linotype"/>
          <w:b/>
          <w:sz w:val="24"/>
          <w:szCs w:val="24"/>
          <w:lang w:val="es-ES_tradnl" w:eastAsia="es-ES"/>
        </w:rPr>
        <w:t>186 fracción III</w:t>
      </w:r>
      <w:r w:rsidRPr="00CA42C5">
        <w:rPr>
          <w:rFonts w:ascii="Palatino Linotype" w:eastAsia="Times New Roman" w:hAnsi="Palatino Linotype"/>
          <w:sz w:val="24"/>
          <w:szCs w:val="24"/>
          <w:lang w:val="es-ES_tradnl" w:eastAsia="es-ES"/>
        </w:rPr>
        <w:t xml:space="preserve"> este Pleno determina </w:t>
      </w:r>
      <w:r w:rsidRPr="00CA42C5">
        <w:rPr>
          <w:rFonts w:ascii="Palatino Linotype" w:eastAsia="Times New Roman" w:hAnsi="Palatino Linotype"/>
          <w:b/>
          <w:sz w:val="24"/>
          <w:szCs w:val="24"/>
          <w:lang w:val="es-ES_tradnl" w:eastAsia="es-ES"/>
        </w:rPr>
        <w:t>MODIFICAR</w:t>
      </w:r>
      <w:r w:rsidRPr="00CA42C5">
        <w:rPr>
          <w:rFonts w:ascii="Palatino Linotype" w:eastAsia="Times New Roman" w:hAnsi="Palatino Linotype"/>
          <w:sz w:val="24"/>
          <w:szCs w:val="24"/>
          <w:lang w:val="es-ES_tradnl" w:eastAsia="es-ES"/>
        </w:rPr>
        <w:t xml:space="preserve"> la respuesta del presente recurso de revisión, </w:t>
      </w:r>
      <w:r w:rsidRPr="00CA42C5">
        <w:rPr>
          <w:rFonts w:ascii="Palatino Linotype" w:eastAsia="MS Mincho" w:hAnsi="Palatino Linotype" w:cs="Times New Roman"/>
          <w:sz w:val="24"/>
          <w:szCs w:val="24"/>
          <w:lang w:val="es-ES_tradnl" w:eastAsia="es-ES"/>
        </w:rPr>
        <w:t xml:space="preserve">toda vez </w:t>
      </w:r>
      <w:r w:rsidRPr="00CA42C5">
        <w:rPr>
          <w:rFonts w:ascii="Palatino Linotype" w:eastAsia="MS Mincho" w:hAnsi="Palatino Linotype"/>
          <w:sz w:val="24"/>
          <w:szCs w:val="24"/>
          <w:lang w:val="es-ES_tradnl" w:eastAsia="es-ES"/>
        </w:rPr>
        <w:t>que hubo afectación al derecho de acceso a la información pública establecido constitucionalmente a favor del particular.</w:t>
      </w:r>
    </w:p>
    <w:p w:rsidR="00E1570F" w:rsidRPr="00F54C1E" w:rsidRDefault="00E1570F" w:rsidP="00CA42C5">
      <w:pPr>
        <w:spacing w:after="0" w:line="360" w:lineRule="auto"/>
        <w:ind w:right="49"/>
        <w:contextualSpacing/>
        <w:jc w:val="both"/>
        <w:rPr>
          <w:rFonts w:ascii="Palatino Linotype" w:eastAsia="Times New Roman" w:hAnsi="Palatino Linotype"/>
          <w:sz w:val="12"/>
          <w:szCs w:val="24"/>
          <w:lang w:val="es-ES_tradnl" w:eastAsia="es-ES"/>
        </w:rPr>
      </w:pPr>
    </w:p>
    <w:p w:rsidR="00E1570F" w:rsidRPr="00F54C1E" w:rsidRDefault="00E1570F" w:rsidP="00CA42C5">
      <w:pPr>
        <w:numPr>
          <w:ilvl w:val="0"/>
          <w:numId w:val="2"/>
        </w:numPr>
        <w:spacing w:after="0" w:line="360" w:lineRule="auto"/>
        <w:ind w:left="0" w:right="49" w:firstLine="0"/>
        <w:contextualSpacing/>
        <w:jc w:val="both"/>
        <w:rPr>
          <w:rFonts w:ascii="Palatino Linotype" w:eastAsia="Times New Roman" w:hAnsi="Palatino Linotype"/>
          <w:sz w:val="24"/>
          <w:szCs w:val="24"/>
          <w:lang w:val="es-ES_tradnl" w:eastAsia="es-ES"/>
        </w:rPr>
      </w:pPr>
      <w:r w:rsidRPr="00CA42C5">
        <w:rPr>
          <w:rFonts w:ascii="Palatino Linotype" w:eastAsia="Times New Roman" w:hAnsi="Palatino Linotype"/>
          <w:sz w:val="24"/>
          <w:szCs w:val="24"/>
          <w:lang w:val="es-ES_tradnl" w:eastAsia="es-ES"/>
        </w:rPr>
        <w:t xml:space="preserve">Por lo anteriormente expuesto y fundado este </w:t>
      </w:r>
      <w:r w:rsidRPr="00CA42C5">
        <w:rPr>
          <w:rFonts w:ascii="Palatino Linotype" w:eastAsia="Times New Roman" w:hAnsi="Palatino Linotype"/>
          <w:b/>
          <w:sz w:val="24"/>
          <w:szCs w:val="24"/>
          <w:lang w:val="es-ES_tradnl" w:eastAsia="es-ES"/>
        </w:rPr>
        <w:t>ÓRGANO GARANTE</w:t>
      </w:r>
      <w:r w:rsidRPr="00CA42C5">
        <w:rPr>
          <w:rFonts w:ascii="Palatino Linotype" w:eastAsia="Times New Roman" w:hAnsi="Palatino Linotype"/>
          <w:sz w:val="24"/>
          <w:szCs w:val="24"/>
          <w:lang w:val="es-ES_tradnl" w:eastAsia="es-ES"/>
        </w:rPr>
        <w:t xml:space="preserve"> emite los siguientes.</w:t>
      </w:r>
    </w:p>
    <w:p w:rsidR="00E1570F" w:rsidRPr="00CA42C5" w:rsidRDefault="00E1570F" w:rsidP="00CA42C5">
      <w:pPr>
        <w:keepNext/>
        <w:keepLines/>
        <w:tabs>
          <w:tab w:val="left" w:pos="3043"/>
          <w:tab w:val="center" w:pos="4490"/>
        </w:tabs>
        <w:spacing w:before="240" w:after="0"/>
        <w:ind w:right="-142"/>
        <w:jc w:val="both"/>
        <w:outlineLvl w:val="0"/>
        <w:rPr>
          <w:rFonts w:ascii="Palatino Linotype" w:eastAsia="Calibri" w:hAnsi="Palatino Linotype" w:cstheme="majorBidi"/>
          <w:b/>
          <w:sz w:val="24"/>
          <w:szCs w:val="24"/>
          <w:lang w:val="es-ES" w:eastAsia="es-ES"/>
        </w:rPr>
      </w:pPr>
      <w:bookmarkStart w:id="118" w:name="_Toc447183492"/>
      <w:bookmarkStart w:id="119" w:name="_Toc450120667"/>
      <w:bookmarkStart w:id="120" w:name="_Toc461555895"/>
      <w:bookmarkEnd w:id="111"/>
      <w:bookmarkEnd w:id="112"/>
      <w:bookmarkEnd w:id="113"/>
      <w:bookmarkEnd w:id="114"/>
      <w:bookmarkEnd w:id="115"/>
      <w:bookmarkEnd w:id="116"/>
      <w:bookmarkEnd w:id="117"/>
      <w:r w:rsidRPr="00CA42C5">
        <w:rPr>
          <w:rFonts w:ascii="Palatino Linotype" w:eastAsia="Calibri" w:hAnsi="Palatino Linotype" w:cstheme="majorBidi"/>
          <w:b/>
          <w:sz w:val="24"/>
          <w:szCs w:val="24"/>
          <w:lang w:val="es-ES" w:eastAsia="es-ES"/>
        </w:rPr>
        <w:lastRenderedPageBreak/>
        <w:tab/>
      </w:r>
      <w:bookmarkStart w:id="121" w:name="_Toc7113868"/>
      <w:r w:rsidRPr="00CA42C5">
        <w:rPr>
          <w:rFonts w:ascii="Palatino Linotype" w:eastAsia="Calibri" w:hAnsi="Palatino Linotype" w:cstheme="majorBidi"/>
          <w:b/>
          <w:sz w:val="24"/>
          <w:szCs w:val="24"/>
          <w:lang w:val="es-ES" w:eastAsia="es-ES"/>
        </w:rPr>
        <w:t>R E S O L U T I V O S</w:t>
      </w:r>
      <w:bookmarkEnd w:id="118"/>
      <w:bookmarkEnd w:id="119"/>
      <w:bookmarkEnd w:id="120"/>
      <w:bookmarkEnd w:id="121"/>
      <w:r w:rsidRPr="00CA42C5">
        <w:rPr>
          <w:rFonts w:ascii="Palatino Linotype" w:eastAsia="Calibri" w:hAnsi="Palatino Linotype" w:cstheme="majorBidi"/>
          <w:b/>
          <w:sz w:val="24"/>
          <w:szCs w:val="24"/>
          <w:lang w:val="es-ES" w:eastAsia="es-ES"/>
        </w:rPr>
        <w:t xml:space="preserve"> </w:t>
      </w:r>
    </w:p>
    <w:p w:rsidR="00E1570F" w:rsidRPr="00F54C1E" w:rsidRDefault="00E1570F" w:rsidP="00CA42C5">
      <w:pPr>
        <w:spacing w:after="0" w:line="240" w:lineRule="auto"/>
        <w:ind w:right="-142"/>
        <w:jc w:val="both"/>
        <w:rPr>
          <w:rFonts w:ascii="Palatino Linotype" w:eastAsiaTheme="minorEastAsia" w:hAnsi="Palatino Linotype"/>
          <w:sz w:val="12"/>
          <w:szCs w:val="24"/>
          <w:lang w:val="es-ES" w:eastAsia="es-ES"/>
        </w:rPr>
      </w:pPr>
    </w:p>
    <w:p w:rsidR="00E1570F" w:rsidRPr="00CA42C5" w:rsidRDefault="00E1570F" w:rsidP="00CA42C5">
      <w:pPr>
        <w:spacing w:before="240" w:after="360" w:line="360" w:lineRule="auto"/>
        <w:ind w:right="-142"/>
        <w:jc w:val="both"/>
        <w:rPr>
          <w:rFonts w:ascii="Palatino Linotype" w:eastAsia="Times New Roman" w:hAnsi="Palatino Linotype" w:cs="Arial"/>
          <w:sz w:val="24"/>
          <w:szCs w:val="24"/>
          <w:lang w:val="es-ES" w:eastAsia="es-ES"/>
        </w:rPr>
      </w:pPr>
      <w:r w:rsidRPr="00CA42C5">
        <w:rPr>
          <w:rFonts w:ascii="Palatino Linotype" w:eastAsia="Times New Roman" w:hAnsi="Palatino Linotype" w:cs="Arial"/>
          <w:b/>
          <w:sz w:val="24"/>
          <w:szCs w:val="24"/>
          <w:lang w:val="es-ES_tradnl" w:eastAsia="es-ES"/>
        </w:rPr>
        <w:t>PRIMERO</w:t>
      </w:r>
      <w:r w:rsidRPr="00CA42C5">
        <w:rPr>
          <w:rFonts w:ascii="Palatino Linotype" w:eastAsia="Times New Roman" w:hAnsi="Palatino Linotype" w:cs="Arial"/>
          <w:sz w:val="24"/>
          <w:szCs w:val="24"/>
          <w:lang w:val="es-ES" w:eastAsia="es-ES"/>
        </w:rPr>
        <w:t xml:space="preserve">. </w:t>
      </w:r>
      <w:r w:rsidRPr="00CA42C5">
        <w:rPr>
          <w:rFonts w:ascii="Palatino Linotype" w:eastAsia="Times New Roman" w:hAnsi="Palatino Linotype" w:cs="Arial"/>
          <w:sz w:val="24"/>
          <w:szCs w:val="24"/>
        </w:rPr>
        <w:t>Resultan fundadas las</w:t>
      </w:r>
      <w:r w:rsidRPr="00CA42C5">
        <w:rPr>
          <w:rFonts w:ascii="Palatino Linotype" w:eastAsia="Times New Roman" w:hAnsi="Palatino Linotype" w:cs="Arial"/>
          <w:b/>
          <w:sz w:val="24"/>
          <w:szCs w:val="24"/>
        </w:rPr>
        <w:t xml:space="preserve"> </w:t>
      </w:r>
      <w:r w:rsidRPr="00CA42C5">
        <w:rPr>
          <w:rFonts w:ascii="Palatino Linotype" w:eastAsia="Times New Roman" w:hAnsi="Palatino Linotype" w:cs="Arial"/>
          <w:sz w:val="24"/>
          <w:szCs w:val="24"/>
          <w:lang w:val="es-ES"/>
        </w:rPr>
        <w:t xml:space="preserve">razones o motivos de inconformidad hechos valer </w:t>
      </w:r>
      <w:r w:rsidRPr="00CA42C5">
        <w:rPr>
          <w:rFonts w:ascii="Palatino Linotype" w:eastAsia="Calibri" w:hAnsi="Palatino Linotype" w:cs="Arial"/>
          <w:sz w:val="24"/>
          <w:szCs w:val="24"/>
          <w:lang w:val="es-ES"/>
        </w:rPr>
        <w:t xml:space="preserve">en el recurso de revisión </w:t>
      </w:r>
      <w:r w:rsidRPr="00CA42C5">
        <w:rPr>
          <w:rFonts w:ascii="Palatino Linotype" w:eastAsia="Calibri" w:hAnsi="Palatino Linotype" w:cs="Arial"/>
          <w:b/>
          <w:sz w:val="24"/>
          <w:szCs w:val="24"/>
          <w:lang w:val="es-ES"/>
        </w:rPr>
        <w:t xml:space="preserve">01083/INFOEM/IP/RR/2019 </w:t>
      </w:r>
      <w:r w:rsidRPr="00CA42C5">
        <w:rPr>
          <w:rFonts w:ascii="Palatino Linotype" w:hAnsi="Palatino Linotype" w:cs="Arial"/>
          <w:bCs/>
          <w:sz w:val="24"/>
          <w:szCs w:val="24"/>
          <w:lang w:eastAsia="es-MX"/>
        </w:rPr>
        <w:t xml:space="preserve">en términos de los </w:t>
      </w:r>
      <w:r w:rsidRPr="00CA42C5">
        <w:rPr>
          <w:rFonts w:ascii="Palatino Linotype" w:hAnsi="Palatino Linotype" w:cs="Arial"/>
          <w:b/>
          <w:bCs/>
          <w:sz w:val="24"/>
          <w:szCs w:val="24"/>
          <w:lang w:eastAsia="es-MX"/>
        </w:rPr>
        <w:t xml:space="preserve">Considerandos CUARTO y QUINTO </w:t>
      </w:r>
      <w:r w:rsidRPr="00CA42C5">
        <w:rPr>
          <w:rFonts w:ascii="Palatino Linotype" w:hAnsi="Palatino Linotype" w:cs="Arial"/>
          <w:bCs/>
          <w:sz w:val="24"/>
          <w:szCs w:val="24"/>
          <w:lang w:eastAsia="es-MX"/>
        </w:rPr>
        <w:t>de la presente resolución.</w:t>
      </w:r>
    </w:p>
    <w:p w:rsidR="00422C32" w:rsidRPr="00CA42C5" w:rsidRDefault="00E1570F" w:rsidP="00CA42C5">
      <w:pPr>
        <w:spacing w:before="240" w:after="360" w:line="360" w:lineRule="auto"/>
        <w:ind w:right="-142"/>
        <w:jc w:val="both"/>
        <w:rPr>
          <w:rFonts w:ascii="Palatino Linotype" w:eastAsia="Calibri" w:hAnsi="Palatino Linotype" w:cs="Arial"/>
          <w:sz w:val="24"/>
          <w:szCs w:val="24"/>
          <w:lang w:val="es-ES" w:eastAsia="es-ES"/>
        </w:rPr>
      </w:pPr>
      <w:r w:rsidRPr="00CA42C5">
        <w:rPr>
          <w:rFonts w:ascii="Palatino Linotype" w:eastAsiaTheme="minorEastAsia" w:hAnsi="Palatino Linotype"/>
          <w:b/>
          <w:sz w:val="24"/>
          <w:szCs w:val="24"/>
          <w:lang w:val="es-ES_tradnl" w:eastAsia="es-ES"/>
        </w:rPr>
        <w:t>SEGUNDO.</w:t>
      </w:r>
      <w:r w:rsidRPr="00CA42C5">
        <w:rPr>
          <w:rFonts w:ascii="Palatino Linotype" w:eastAsiaTheme="majorEastAsia" w:hAnsi="Palatino Linotype" w:cstheme="majorBidi"/>
          <w:b/>
          <w:color w:val="2E74B5" w:themeColor="accent1" w:themeShade="BF"/>
          <w:sz w:val="24"/>
          <w:szCs w:val="24"/>
          <w:lang w:val="es-ES_tradnl" w:eastAsia="es-ES"/>
        </w:rPr>
        <w:t xml:space="preserve"> </w:t>
      </w:r>
      <w:r w:rsidRPr="00CA42C5">
        <w:rPr>
          <w:rFonts w:ascii="Palatino Linotype" w:eastAsia="Calibri" w:hAnsi="Palatino Linotype" w:cs="Arial"/>
          <w:sz w:val="24"/>
          <w:szCs w:val="24"/>
          <w:lang w:val="es-ES" w:eastAsia="es-ES"/>
        </w:rPr>
        <w:t>Se</w:t>
      </w:r>
      <w:r w:rsidRPr="00CA42C5">
        <w:rPr>
          <w:rFonts w:ascii="Palatino Linotype" w:eastAsia="Calibri" w:hAnsi="Palatino Linotype" w:cs="Arial"/>
          <w:b/>
          <w:sz w:val="24"/>
          <w:szCs w:val="24"/>
          <w:lang w:val="es-ES" w:eastAsia="es-ES"/>
        </w:rPr>
        <w:t xml:space="preserve"> MODIFICA </w:t>
      </w:r>
      <w:r w:rsidRPr="00CA42C5">
        <w:rPr>
          <w:rFonts w:ascii="Palatino Linotype" w:eastAsia="Calibri" w:hAnsi="Palatino Linotype" w:cs="Arial"/>
          <w:sz w:val="24"/>
          <w:szCs w:val="24"/>
          <w:lang w:val="es-ES" w:eastAsia="es-ES"/>
        </w:rPr>
        <w:t>la respuesta y se</w:t>
      </w:r>
      <w:r w:rsidRPr="00CA42C5">
        <w:rPr>
          <w:rFonts w:ascii="Palatino Linotype" w:eastAsia="Calibri" w:hAnsi="Palatino Linotype" w:cs="Arial"/>
          <w:b/>
          <w:sz w:val="24"/>
          <w:szCs w:val="24"/>
          <w:lang w:val="es-ES" w:eastAsia="es-ES"/>
        </w:rPr>
        <w:t xml:space="preserve"> ORDENA al </w:t>
      </w:r>
      <w:r w:rsidRPr="00CA42C5">
        <w:rPr>
          <w:rFonts w:ascii="Palatino Linotype" w:eastAsia="Calibri" w:hAnsi="Palatino Linotype" w:cs="Arial"/>
          <w:sz w:val="24"/>
          <w:szCs w:val="24"/>
          <w:lang w:val="es-ES" w:eastAsia="es-ES"/>
        </w:rPr>
        <w:t xml:space="preserve"> </w:t>
      </w:r>
      <w:r w:rsidRPr="00CA42C5">
        <w:rPr>
          <w:rFonts w:ascii="Palatino Linotype" w:hAnsi="Palatino Linotype"/>
          <w:b/>
          <w:sz w:val="24"/>
          <w:szCs w:val="24"/>
        </w:rPr>
        <w:t>Ayuntamiento de Ecatepec de Morelos</w:t>
      </w:r>
      <w:r w:rsidRPr="00CA42C5">
        <w:rPr>
          <w:rFonts w:ascii="Palatino Linotype" w:eastAsiaTheme="minorEastAsia" w:hAnsi="Palatino Linotype"/>
          <w:bCs/>
          <w:sz w:val="24"/>
          <w:szCs w:val="24"/>
          <w:lang w:val="es-ES_tradnl" w:eastAsia="es-ES"/>
        </w:rPr>
        <w:t xml:space="preserve"> </w:t>
      </w:r>
      <w:r w:rsidRPr="00CA42C5">
        <w:rPr>
          <w:rFonts w:ascii="Palatino Linotype" w:eastAsia="Calibri" w:hAnsi="Palatino Linotype" w:cs="Arial"/>
          <w:sz w:val="24"/>
          <w:szCs w:val="24"/>
          <w:lang w:val="es-ES" w:eastAsia="es-ES"/>
        </w:rPr>
        <w:t xml:space="preserve">entregar vía Sistema de Acceso a la Información Mexiquense </w:t>
      </w:r>
      <w:r w:rsidRPr="00CA42C5">
        <w:rPr>
          <w:rFonts w:ascii="Palatino Linotype" w:eastAsia="Calibri" w:hAnsi="Palatino Linotype" w:cs="Arial"/>
          <w:b/>
          <w:sz w:val="24"/>
          <w:szCs w:val="24"/>
          <w:lang w:val="es-ES" w:eastAsia="es-ES"/>
        </w:rPr>
        <w:t xml:space="preserve">(SAIMEX) </w:t>
      </w:r>
      <w:r w:rsidRPr="00CA42C5">
        <w:rPr>
          <w:rFonts w:ascii="Palatino Linotype" w:eastAsia="Calibri" w:hAnsi="Palatino Linotype" w:cs="Arial"/>
          <w:sz w:val="24"/>
          <w:szCs w:val="24"/>
          <w:lang w:val="es-ES" w:eastAsia="es-ES"/>
        </w:rPr>
        <w:t xml:space="preserve">en versión pública, la siguiente información: </w:t>
      </w:r>
    </w:p>
    <w:p w:rsidR="00E1570F" w:rsidRPr="00CA42C5" w:rsidRDefault="00422C32" w:rsidP="00CA42C5">
      <w:pPr>
        <w:numPr>
          <w:ilvl w:val="0"/>
          <w:numId w:val="4"/>
        </w:numPr>
        <w:spacing w:before="240" w:after="360" w:line="360" w:lineRule="auto"/>
        <w:ind w:left="0" w:right="-142" w:firstLine="0"/>
        <w:contextualSpacing/>
        <w:jc w:val="both"/>
        <w:rPr>
          <w:rFonts w:ascii="Palatino Linotype" w:eastAsia="Calibri" w:hAnsi="Palatino Linotype" w:cs="Arial"/>
          <w:b/>
          <w:sz w:val="24"/>
          <w:szCs w:val="24"/>
          <w:lang w:val="es-ES" w:eastAsia="es-ES"/>
        </w:rPr>
      </w:pPr>
      <w:r w:rsidRPr="00CA42C5">
        <w:rPr>
          <w:rFonts w:ascii="Palatino Linotype" w:eastAsia="Calibri" w:hAnsi="Palatino Linotype" w:cs="Arial"/>
          <w:b/>
          <w:sz w:val="24"/>
          <w:szCs w:val="24"/>
          <w:lang w:val="es-ES" w:eastAsia="es-ES"/>
        </w:rPr>
        <w:t xml:space="preserve">Recibos de pago o </w:t>
      </w:r>
      <w:r w:rsidRPr="00CA42C5">
        <w:rPr>
          <w:rFonts w:ascii="Palatino Linotype" w:eastAsia="Calibri" w:hAnsi="Palatino Linotype" w:cs="Arial"/>
          <w:b/>
          <w:sz w:val="24"/>
          <w:szCs w:val="24"/>
          <w:lang w:val="es-ES_tradnl" w:eastAsia="es-ES"/>
        </w:rPr>
        <w:t xml:space="preserve">Comprobantes Fiscales Digitales por Internet (CFDI) por concepto de nómina </w:t>
      </w:r>
      <w:r w:rsidR="00CE62DE" w:rsidRPr="00CA42C5">
        <w:rPr>
          <w:rFonts w:ascii="Palatino Linotype" w:eastAsia="Calibri" w:hAnsi="Palatino Linotype" w:cs="Arial"/>
          <w:b/>
          <w:sz w:val="24"/>
          <w:szCs w:val="24"/>
          <w:lang w:val="es-ES" w:eastAsia="es-ES"/>
        </w:rPr>
        <w:t xml:space="preserve">de la </w:t>
      </w:r>
      <w:r w:rsidR="0057057A" w:rsidRPr="00CA42C5">
        <w:rPr>
          <w:rFonts w:ascii="Palatino Linotype" w:eastAsia="Calibri" w:hAnsi="Palatino Linotype" w:cs="Arial"/>
          <w:b/>
          <w:sz w:val="24"/>
          <w:szCs w:val="24"/>
          <w:lang w:val="es-ES" w:eastAsia="es-ES"/>
        </w:rPr>
        <w:t xml:space="preserve">primera y </w:t>
      </w:r>
      <w:r w:rsidR="00CE62DE" w:rsidRPr="00CA42C5">
        <w:rPr>
          <w:rFonts w:ascii="Palatino Linotype" w:eastAsia="Calibri" w:hAnsi="Palatino Linotype" w:cs="Arial"/>
          <w:b/>
          <w:sz w:val="24"/>
          <w:szCs w:val="24"/>
          <w:lang w:val="es-ES" w:eastAsia="es-ES"/>
        </w:rPr>
        <w:t>segunda</w:t>
      </w:r>
      <w:r w:rsidR="00E1570F" w:rsidRPr="00CA42C5">
        <w:rPr>
          <w:rFonts w:ascii="Palatino Linotype" w:eastAsia="Calibri" w:hAnsi="Palatino Linotype" w:cs="Arial"/>
          <w:b/>
          <w:sz w:val="24"/>
          <w:szCs w:val="24"/>
          <w:lang w:val="es-ES" w:eastAsia="es-ES"/>
        </w:rPr>
        <w:t xml:space="preserve"> quincena de enero de</w:t>
      </w:r>
      <w:r w:rsidR="006A5623" w:rsidRPr="00CA42C5">
        <w:rPr>
          <w:rFonts w:ascii="Palatino Linotype" w:eastAsia="Calibri" w:hAnsi="Palatino Linotype" w:cs="Arial"/>
          <w:b/>
          <w:sz w:val="24"/>
          <w:szCs w:val="24"/>
          <w:lang w:val="es-ES" w:eastAsia="es-ES"/>
        </w:rPr>
        <w:t>l</w:t>
      </w:r>
      <w:r w:rsidR="00E1570F" w:rsidRPr="00CA42C5">
        <w:rPr>
          <w:rFonts w:ascii="Palatino Linotype" w:eastAsia="Calibri" w:hAnsi="Palatino Linotype" w:cs="Arial"/>
          <w:b/>
          <w:sz w:val="24"/>
          <w:szCs w:val="24"/>
          <w:lang w:val="es-ES_tradnl" w:eastAsia="es-ES"/>
        </w:rPr>
        <w:t xml:space="preserve"> </w:t>
      </w:r>
      <w:r w:rsidRPr="00CA42C5">
        <w:rPr>
          <w:rFonts w:ascii="Palatino Linotype" w:eastAsia="Calibri" w:hAnsi="Palatino Linotype" w:cs="Arial"/>
          <w:b/>
          <w:sz w:val="24"/>
          <w:szCs w:val="24"/>
          <w:lang w:val="es-ES_tradnl" w:eastAsia="es-ES"/>
        </w:rPr>
        <w:t xml:space="preserve">2019 </w:t>
      </w:r>
      <w:r w:rsidR="00E1570F" w:rsidRPr="00CA42C5">
        <w:rPr>
          <w:rFonts w:ascii="Palatino Linotype" w:eastAsia="Calibri" w:hAnsi="Palatino Linotype" w:cs="Arial"/>
          <w:b/>
          <w:sz w:val="24"/>
          <w:szCs w:val="24"/>
          <w:lang w:val="es-ES_tradnl" w:eastAsia="es-ES"/>
        </w:rPr>
        <w:t>de la</w:t>
      </w:r>
      <w:r w:rsidR="003B122A" w:rsidRPr="00CA42C5">
        <w:rPr>
          <w:rFonts w:ascii="Palatino Linotype" w:eastAsia="Calibri" w:hAnsi="Palatino Linotype" w:cs="Arial"/>
          <w:b/>
          <w:sz w:val="24"/>
          <w:szCs w:val="24"/>
          <w:lang w:val="es-ES_tradnl" w:eastAsia="es-ES"/>
        </w:rPr>
        <w:t>s</w:t>
      </w:r>
      <w:r w:rsidR="00E1570F" w:rsidRPr="00CA42C5">
        <w:rPr>
          <w:rFonts w:ascii="Palatino Linotype" w:eastAsia="Calibri" w:hAnsi="Palatino Linotype" w:cs="Arial"/>
          <w:b/>
          <w:sz w:val="24"/>
          <w:szCs w:val="24"/>
          <w:lang w:val="es-ES_tradnl" w:eastAsia="es-ES"/>
        </w:rPr>
        <w:t xml:space="preserve"> persona</w:t>
      </w:r>
      <w:r w:rsidR="003B122A" w:rsidRPr="00CA42C5">
        <w:rPr>
          <w:rFonts w:ascii="Palatino Linotype" w:eastAsia="Calibri" w:hAnsi="Palatino Linotype" w:cs="Arial"/>
          <w:b/>
          <w:sz w:val="24"/>
          <w:szCs w:val="24"/>
          <w:lang w:val="es-ES_tradnl" w:eastAsia="es-ES"/>
        </w:rPr>
        <w:t>s</w:t>
      </w:r>
      <w:r w:rsidR="00E1570F" w:rsidRPr="00CA42C5">
        <w:rPr>
          <w:rFonts w:ascii="Palatino Linotype" w:eastAsia="Calibri" w:hAnsi="Palatino Linotype" w:cs="Arial"/>
          <w:b/>
          <w:sz w:val="24"/>
          <w:szCs w:val="24"/>
          <w:lang w:val="es-ES_tradnl" w:eastAsia="es-ES"/>
        </w:rPr>
        <w:t xml:space="preserve"> referida</w:t>
      </w:r>
      <w:r w:rsidR="003B122A" w:rsidRPr="00CA42C5">
        <w:rPr>
          <w:rFonts w:ascii="Palatino Linotype" w:eastAsia="Calibri" w:hAnsi="Palatino Linotype" w:cs="Arial"/>
          <w:b/>
          <w:sz w:val="24"/>
          <w:szCs w:val="24"/>
          <w:lang w:val="es-ES_tradnl" w:eastAsia="es-ES"/>
        </w:rPr>
        <w:t>s</w:t>
      </w:r>
      <w:r w:rsidR="00E1570F" w:rsidRPr="00CA42C5">
        <w:rPr>
          <w:rFonts w:ascii="Palatino Linotype" w:eastAsia="Calibri" w:hAnsi="Palatino Linotype" w:cs="Arial"/>
          <w:b/>
          <w:sz w:val="24"/>
          <w:szCs w:val="24"/>
          <w:lang w:val="es-ES_tradnl" w:eastAsia="es-ES"/>
        </w:rPr>
        <w:t xml:space="preserve"> en la solicitud</w:t>
      </w:r>
      <w:r w:rsidRPr="00CA42C5">
        <w:rPr>
          <w:rFonts w:ascii="Palatino Linotype" w:eastAsia="Calibri" w:hAnsi="Palatino Linotype" w:cs="Arial"/>
          <w:b/>
          <w:sz w:val="24"/>
          <w:szCs w:val="24"/>
          <w:lang w:val="es-ES_tradnl" w:eastAsia="es-ES"/>
        </w:rPr>
        <w:t xml:space="preserve"> </w:t>
      </w:r>
      <w:r w:rsidRPr="00CA42C5">
        <w:rPr>
          <w:rFonts w:ascii="Palatino Linotype" w:eastAsia="Calibri" w:hAnsi="Palatino Linotype" w:cs="Arial"/>
          <w:b/>
          <w:sz w:val="24"/>
          <w:szCs w:val="24"/>
          <w:lang w:val="es-ES" w:eastAsia="es-ES"/>
        </w:rPr>
        <w:t>00067/ECATEPEC/IP/2019; y</w:t>
      </w:r>
    </w:p>
    <w:p w:rsidR="0057057A" w:rsidRPr="00F54C1E" w:rsidRDefault="0057057A" w:rsidP="00CA42C5">
      <w:pPr>
        <w:spacing w:before="240" w:after="360" w:line="360" w:lineRule="auto"/>
        <w:ind w:right="-142"/>
        <w:contextualSpacing/>
        <w:jc w:val="both"/>
        <w:rPr>
          <w:rFonts w:ascii="Palatino Linotype" w:eastAsia="Calibri" w:hAnsi="Palatino Linotype" w:cs="Arial"/>
          <w:b/>
          <w:sz w:val="12"/>
          <w:szCs w:val="24"/>
          <w:lang w:val="es-ES" w:eastAsia="es-ES"/>
        </w:rPr>
      </w:pPr>
    </w:p>
    <w:p w:rsidR="00C26600" w:rsidRPr="00CA42C5" w:rsidRDefault="00C26600" w:rsidP="00CA42C5">
      <w:pPr>
        <w:numPr>
          <w:ilvl w:val="0"/>
          <w:numId w:val="4"/>
        </w:numPr>
        <w:spacing w:before="240" w:after="360" w:line="360" w:lineRule="auto"/>
        <w:ind w:left="0" w:right="-142" w:firstLine="0"/>
        <w:contextualSpacing/>
        <w:jc w:val="both"/>
        <w:rPr>
          <w:rFonts w:ascii="Palatino Linotype" w:eastAsia="Calibri" w:hAnsi="Palatino Linotype" w:cs="Arial"/>
          <w:b/>
          <w:sz w:val="24"/>
          <w:szCs w:val="24"/>
          <w:lang w:val="es-ES" w:eastAsia="es-ES"/>
        </w:rPr>
      </w:pPr>
      <w:r w:rsidRPr="00CA42C5">
        <w:rPr>
          <w:rFonts w:ascii="Palatino Linotype" w:eastAsia="Calibri" w:hAnsi="Palatino Linotype" w:cs="Arial"/>
          <w:b/>
          <w:sz w:val="24"/>
          <w:szCs w:val="24"/>
          <w:lang w:val="es-ES_tradnl" w:eastAsia="es-ES"/>
        </w:rPr>
        <w:t>El inventario</w:t>
      </w:r>
      <w:r w:rsidR="00CE62DE" w:rsidRPr="00CA42C5">
        <w:rPr>
          <w:rFonts w:ascii="Palatino Linotype" w:eastAsia="Calibri" w:hAnsi="Palatino Linotype" w:cs="Arial"/>
          <w:b/>
          <w:sz w:val="24"/>
          <w:szCs w:val="24"/>
          <w:lang w:val="es-ES_tradnl" w:eastAsia="es-ES"/>
        </w:rPr>
        <w:t xml:space="preserve"> general</w:t>
      </w:r>
      <w:r w:rsidRPr="00CA42C5">
        <w:rPr>
          <w:rFonts w:ascii="Palatino Linotype" w:eastAsia="Calibri" w:hAnsi="Palatino Linotype" w:cs="Arial"/>
          <w:b/>
          <w:sz w:val="24"/>
          <w:szCs w:val="24"/>
          <w:lang w:val="es-ES_tradnl" w:eastAsia="es-ES"/>
        </w:rPr>
        <w:t xml:space="preserve"> de bienes muebles elaborado en el mes de diciembre de 2018.</w:t>
      </w:r>
    </w:p>
    <w:p w:rsidR="00E1570F" w:rsidRPr="00F54C1E" w:rsidRDefault="00E1570F" w:rsidP="00CA42C5">
      <w:pPr>
        <w:spacing w:before="240" w:after="360" w:line="360" w:lineRule="auto"/>
        <w:ind w:right="-142"/>
        <w:contextualSpacing/>
        <w:jc w:val="both"/>
        <w:rPr>
          <w:rFonts w:ascii="Palatino Linotype" w:eastAsia="Calibri" w:hAnsi="Palatino Linotype" w:cs="Arial"/>
          <w:b/>
          <w:sz w:val="12"/>
          <w:szCs w:val="24"/>
          <w:lang w:val="es-ES" w:eastAsia="es-ES"/>
        </w:rPr>
      </w:pPr>
    </w:p>
    <w:p w:rsidR="00E1570F" w:rsidRPr="00CA42C5" w:rsidRDefault="00E1570F" w:rsidP="00CA42C5">
      <w:pPr>
        <w:spacing w:before="240" w:after="360" w:line="360" w:lineRule="auto"/>
        <w:ind w:right="-142"/>
        <w:jc w:val="both"/>
        <w:rPr>
          <w:rFonts w:ascii="Palatino Linotype" w:eastAsia="Times New Roman" w:hAnsi="Palatino Linotype" w:cs="Arial"/>
          <w:sz w:val="24"/>
          <w:szCs w:val="24"/>
          <w:lang w:val="es-ES" w:eastAsia="es-ES"/>
        </w:rPr>
      </w:pPr>
      <w:r w:rsidRPr="00CA42C5">
        <w:rPr>
          <w:rFonts w:ascii="Palatino Linotype" w:eastAsia="Calibri" w:hAnsi="Palatino Linotype" w:cs="Arial"/>
          <w:sz w:val="24"/>
          <w:szCs w:val="24"/>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w:t>
      </w:r>
      <w:r w:rsidR="003B122A" w:rsidRPr="00CA42C5">
        <w:rPr>
          <w:rFonts w:ascii="Palatino Linotype" w:eastAsia="Calibri" w:hAnsi="Palatino Linotype" w:cs="Arial"/>
          <w:sz w:val="24"/>
          <w:szCs w:val="24"/>
        </w:rPr>
        <w:t xml:space="preserve">será </w:t>
      </w:r>
      <w:r w:rsidRPr="00CA42C5">
        <w:rPr>
          <w:rFonts w:ascii="Palatino Linotype" w:eastAsia="Calibri" w:hAnsi="Palatino Linotype" w:cs="Arial"/>
          <w:sz w:val="24"/>
          <w:szCs w:val="24"/>
        </w:rPr>
        <w:t xml:space="preserve">suprimidos </w:t>
      </w:r>
      <w:r w:rsidR="003B122A" w:rsidRPr="00CA42C5">
        <w:rPr>
          <w:rFonts w:ascii="Palatino Linotype" w:eastAsia="Calibri" w:hAnsi="Palatino Linotype" w:cs="Arial"/>
          <w:sz w:val="24"/>
          <w:szCs w:val="24"/>
        </w:rPr>
        <w:t>o eliminados</w:t>
      </w:r>
      <w:r w:rsidRPr="00CA42C5">
        <w:rPr>
          <w:rFonts w:ascii="Palatino Linotype" w:eastAsia="Calibri" w:hAnsi="Palatino Linotype" w:cs="Arial"/>
          <w:sz w:val="24"/>
          <w:szCs w:val="24"/>
        </w:rPr>
        <w:t xml:space="preserve"> dentro del soporte documental respectivo objeto de las versiones públicas que se formulen y se ponga a disposición</w:t>
      </w:r>
      <w:r w:rsidR="00422C32" w:rsidRPr="00CA42C5">
        <w:rPr>
          <w:rFonts w:ascii="Palatino Linotype" w:eastAsia="Calibri" w:hAnsi="Palatino Linotype" w:cs="Arial"/>
          <w:sz w:val="24"/>
          <w:szCs w:val="24"/>
        </w:rPr>
        <w:t xml:space="preserve"> del </w:t>
      </w:r>
      <w:r w:rsidR="00422C32" w:rsidRPr="00CA42C5">
        <w:rPr>
          <w:rFonts w:ascii="Palatino Linotype" w:eastAsia="Calibri" w:hAnsi="Palatino Linotype" w:cs="Arial"/>
          <w:b/>
          <w:sz w:val="24"/>
          <w:szCs w:val="24"/>
        </w:rPr>
        <w:t>RECURRENTE.</w:t>
      </w:r>
    </w:p>
    <w:p w:rsidR="00E1570F" w:rsidRPr="00CA42C5" w:rsidRDefault="00E1570F" w:rsidP="00CA42C5">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22" w:name="_Toc503891610"/>
      <w:bookmarkStart w:id="123" w:name="_Toc453696503"/>
      <w:bookmarkStart w:id="124" w:name="_Toc454301156"/>
      <w:bookmarkStart w:id="125" w:name="_Toc462653938"/>
      <w:bookmarkStart w:id="126" w:name="_Toc477891769"/>
      <w:bookmarkStart w:id="127" w:name="_Toc477891859"/>
      <w:bookmarkStart w:id="128" w:name="_Toc481576260"/>
      <w:bookmarkStart w:id="129" w:name="_Toc492590392"/>
      <w:r w:rsidRPr="00CA42C5">
        <w:rPr>
          <w:rFonts w:ascii="Palatino Linotype" w:eastAsia="Palatino Linotype" w:hAnsi="Palatino Linotype" w:cs="Palatino Linotype"/>
          <w:b/>
          <w:sz w:val="24"/>
          <w:szCs w:val="24"/>
          <w:lang w:val="es-ES_tradnl" w:eastAsia="es-ES"/>
        </w:rPr>
        <w:lastRenderedPageBreak/>
        <w:t xml:space="preserve">TERCERO. Notifíquese </w:t>
      </w:r>
      <w:r w:rsidRPr="00CA42C5">
        <w:rPr>
          <w:rFonts w:ascii="Palatino Linotype" w:eastAsia="Palatino Linotype" w:hAnsi="Palatino Linotype" w:cs="Palatino Linotype"/>
          <w:sz w:val="24"/>
          <w:szCs w:val="24"/>
          <w:lang w:val="es-ES_tradnl" w:eastAsia="es-ES"/>
        </w:rPr>
        <w:t xml:space="preserve">al Titular de la Unidad de Transparencia del </w:t>
      </w:r>
      <w:r w:rsidRPr="00CA42C5">
        <w:rPr>
          <w:rFonts w:ascii="Palatino Linotype" w:eastAsia="Palatino Linotype" w:hAnsi="Palatino Linotype" w:cs="Palatino Linotype"/>
          <w:b/>
          <w:sz w:val="24"/>
          <w:szCs w:val="24"/>
          <w:lang w:val="es-ES_tradnl" w:eastAsia="es-ES"/>
        </w:rPr>
        <w:t>SUJETO OBLIGADO</w:t>
      </w:r>
      <w:r w:rsidRPr="00CA42C5">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CA42C5">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E1570F" w:rsidRPr="00F54C1E" w:rsidRDefault="00E1570F" w:rsidP="00CA42C5">
      <w:pPr>
        <w:shd w:val="clear" w:color="auto" w:fill="FFFFFF"/>
        <w:spacing w:after="0" w:line="360" w:lineRule="auto"/>
        <w:jc w:val="both"/>
        <w:rPr>
          <w:rFonts w:ascii="Palatino Linotype" w:eastAsia="Times New Roman" w:hAnsi="Palatino Linotype" w:cs="Arial"/>
          <w:b/>
          <w:sz w:val="12"/>
          <w:szCs w:val="24"/>
          <w:lang w:val="es-ES_tradnl" w:eastAsia="es-ES"/>
        </w:rPr>
      </w:pPr>
    </w:p>
    <w:p w:rsidR="00E1570F" w:rsidRPr="00CA42C5" w:rsidRDefault="00E1570F" w:rsidP="00CA42C5">
      <w:pPr>
        <w:shd w:val="clear" w:color="auto" w:fill="FFFFFF"/>
        <w:spacing w:after="0" w:line="360" w:lineRule="auto"/>
        <w:jc w:val="both"/>
        <w:rPr>
          <w:rFonts w:ascii="Palatino Linotype" w:eastAsiaTheme="minorEastAsia" w:hAnsi="Palatino Linotype"/>
          <w:sz w:val="24"/>
          <w:szCs w:val="24"/>
          <w:lang w:val="es-ES_tradnl" w:eastAsia="es-ES"/>
        </w:rPr>
      </w:pPr>
      <w:r w:rsidRPr="00CA42C5">
        <w:rPr>
          <w:rFonts w:ascii="Palatino Linotype" w:eastAsia="Times New Roman" w:hAnsi="Palatino Linotype" w:cs="Arial"/>
          <w:b/>
          <w:sz w:val="24"/>
          <w:szCs w:val="24"/>
          <w:lang w:val="es-ES_tradnl" w:eastAsia="es-ES"/>
        </w:rPr>
        <w:t xml:space="preserve">CUARTO. </w:t>
      </w:r>
      <w:r w:rsidRPr="00CA42C5">
        <w:rPr>
          <w:rFonts w:ascii="Palatino Linotype" w:eastAsia="Times New Roman" w:hAnsi="Palatino Linotype" w:cs="Times New Roman"/>
          <w:b/>
          <w:bCs/>
          <w:color w:val="222222"/>
          <w:sz w:val="24"/>
          <w:szCs w:val="24"/>
          <w:lang w:val="es-ES" w:eastAsia="es-ES"/>
        </w:rPr>
        <w:t>Notifíquese a</w:t>
      </w:r>
      <w:r w:rsidR="00422C32" w:rsidRPr="00CA42C5">
        <w:rPr>
          <w:rFonts w:ascii="Palatino Linotype" w:eastAsia="Times New Roman" w:hAnsi="Palatino Linotype" w:cs="Times New Roman"/>
          <w:b/>
          <w:bCs/>
          <w:color w:val="222222"/>
          <w:sz w:val="24"/>
          <w:szCs w:val="24"/>
          <w:lang w:val="es-ES" w:eastAsia="es-ES"/>
        </w:rPr>
        <w:t>l</w:t>
      </w:r>
      <w:r w:rsidRPr="00CA42C5">
        <w:rPr>
          <w:rFonts w:ascii="Palatino Linotype" w:eastAsiaTheme="minorEastAsia" w:hAnsi="Palatino Linotype"/>
          <w:b/>
          <w:sz w:val="24"/>
          <w:szCs w:val="24"/>
          <w:lang w:val="es-ES_tradnl" w:eastAsia="es-ES"/>
        </w:rPr>
        <w:t xml:space="preserve"> R</w:t>
      </w:r>
      <w:r w:rsidR="000646A1" w:rsidRPr="00CA42C5">
        <w:rPr>
          <w:rFonts w:ascii="Palatino Linotype" w:eastAsiaTheme="minorEastAsia" w:hAnsi="Palatino Linotype"/>
          <w:b/>
          <w:sz w:val="24"/>
          <w:szCs w:val="24"/>
          <w:lang w:val="es-ES_tradnl" w:eastAsia="es-ES"/>
        </w:rPr>
        <w:t>ECURRENTE</w:t>
      </w:r>
      <w:r w:rsidRPr="00CA42C5">
        <w:rPr>
          <w:rFonts w:ascii="Palatino Linotype" w:eastAsiaTheme="minorEastAsia" w:hAnsi="Palatino Linotype"/>
          <w:b/>
          <w:sz w:val="24"/>
          <w:szCs w:val="24"/>
          <w:lang w:val="es-ES_tradnl" w:eastAsia="es-ES"/>
        </w:rPr>
        <w:t xml:space="preserve"> </w:t>
      </w:r>
      <w:r w:rsidRPr="00CA42C5">
        <w:rPr>
          <w:rFonts w:ascii="Palatino Linotype" w:eastAsiaTheme="minorEastAsia" w:hAnsi="Palatino Linotype"/>
          <w:sz w:val="24"/>
          <w:szCs w:val="24"/>
          <w:lang w:val="es-ES_tradnl" w:eastAsia="es-ES"/>
        </w:rPr>
        <w:t xml:space="preserve">la presente resolución. </w:t>
      </w:r>
    </w:p>
    <w:p w:rsidR="00E1570F" w:rsidRPr="00F54C1E" w:rsidRDefault="00E1570F" w:rsidP="00CA42C5">
      <w:pPr>
        <w:shd w:val="clear" w:color="auto" w:fill="FFFFFF"/>
        <w:spacing w:after="0" w:line="360" w:lineRule="auto"/>
        <w:jc w:val="both"/>
        <w:rPr>
          <w:rFonts w:ascii="Palatino Linotype" w:eastAsiaTheme="minorEastAsia" w:hAnsi="Palatino Linotype"/>
          <w:sz w:val="12"/>
          <w:szCs w:val="24"/>
          <w:lang w:val="es-ES_tradnl" w:eastAsia="es-ES"/>
        </w:rPr>
      </w:pPr>
    </w:p>
    <w:p w:rsidR="00E1570F" w:rsidRPr="00CA42C5" w:rsidRDefault="00E1570F" w:rsidP="00CA42C5">
      <w:pPr>
        <w:shd w:val="clear" w:color="auto" w:fill="FFFFFF"/>
        <w:spacing w:after="0" w:line="360" w:lineRule="auto"/>
        <w:jc w:val="both"/>
        <w:rPr>
          <w:rFonts w:ascii="Palatino Linotype" w:eastAsia="MS Mincho" w:hAnsi="Palatino Linotype" w:cs="Times New Roman"/>
          <w:sz w:val="24"/>
          <w:szCs w:val="24"/>
          <w:lang w:val="es-ES" w:eastAsia="es-ES"/>
        </w:rPr>
      </w:pPr>
      <w:r w:rsidRPr="00CA42C5">
        <w:rPr>
          <w:rFonts w:ascii="Palatino Linotype" w:eastAsia="MS Mincho" w:hAnsi="Palatino Linotype" w:cs="Times New Roman"/>
          <w:b/>
          <w:sz w:val="24"/>
          <w:szCs w:val="24"/>
          <w:lang w:eastAsia="es-ES"/>
        </w:rPr>
        <w:t>QUINTO.</w:t>
      </w:r>
      <w:r w:rsidRPr="00CA42C5">
        <w:rPr>
          <w:rFonts w:ascii="Palatino Linotype" w:eastAsia="MS Mincho" w:hAnsi="Palatino Linotype" w:cs="Times New Roman"/>
          <w:sz w:val="24"/>
          <w:szCs w:val="24"/>
          <w:lang w:eastAsia="es-ES"/>
        </w:rPr>
        <w:t xml:space="preserve"> </w:t>
      </w:r>
      <w:r w:rsidRPr="00CA42C5">
        <w:rPr>
          <w:rFonts w:ascii="Palatino Linotype" w:eastAsia="MS Mincho" w:hAnsi="Palatino Linotype" w:cs="Times New Roman"/>
          <w:sz w:val="24"/>
          <w:szCs w:val="24"/>
          <w:lang w:val="es-ES" w:eastAsia="es-ES"/>
        </w:rPr>
        <w:t>Se hace del conocimiento de</w:t>
      </w:r>
      <w:r w:rsidR="00422C32" w:rsidRPr="00CA42C5">
        <w:rPr>
          <w:rFonts w:ascii="Palatino Linotype" w:eastAsia="MS Mincho" w:hAnsi="Palatino Linotype" w:cs="Times New Roman"/>
          <w:sz w:val="24"/>
          <w:szCs w:val="24"/>
          <w:lang w:val="es-ES" w:eastAsia="es-ES"/>
        </w:rPr>
        <w:t>l</w:t>
      </w:r>
      <w:r w:rsidRPr="00CA42C5">
        <w:rPr>
          <w:rFonts w:ascii="Palatino Linotype" w:eastAsia="MS Mincho" w:hAnsi="Palatino Linotype" w:cs="Times New Roman"/>
          <w:sz w:val="24"/>
          <w:szCs w:val="24"/>
          <w:lang w:val="es-ES" w:eastAsia="es-ES"/>
        </w:rPr>
        <w:t xml:space="preserve"> </w:t>
      </w:r>
      <w:r w:rsidR="000646A1" w:rsidRPr="00CA42C5">
        <w:rPr>
          <w:rFonts w:ascii="Palatino Linotype" w:eastAsiaTheme="minorEastAsia" w:hAnsi="Palatino Linotype"/>
          <w:b/>
          <w:sz w:val="24"/>
          <w:szCs w:val="24"/>
          <w:lang w:val="es-ES_tradnl" w:eastAsia="es-ES"/>
        </w:rPr>
        <w:t>RECURRENTE</w:t>
      </w:r>
      <w:r w:rsidRPr="00CA42C5">
        <w:rPr>
          <w:rFonts w:ascii="Palatino Linotype" w:eastAsiaTheme="minorEastAsia" w:hAnsi="Palatino Linotype"/>
          <w:b/>
          <w:sz w:val="24"/>
          <w:szCs w:val="24"/>
          <w:lang w:val="es-ES_tradnl" w:eastAsia="es-ES"/>
        </w:rPr>
        <w:t xml:space="preserve"> </w:t>
      </w:r>
      <w:r w:rsidRPr="00CA42C5">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CA42C5">
        <w:rPr>
          <w:rFonts w:ascii="Palatino Linotype" w:eastAsia="MS Mincho" w:hAnsi="Palatino Linotype" w:cs="Times New Roman"/>
          <w:bCs/>
          <w:sz w:val="24"/>
          <w:szCs w:val="24"/>
          <w:lang w:val="es-ES" w:eastAsia="es-ES"/>
        </w:rPr>
        <w:t>vía juicio de amparo</w:t>
      </w:r>
      <w:r w:rsidRPr="00CA42C5">
        <w:rPr>
          <w:rFonts w:ascii="Palatino Linotype" w:eastAsia="MS Mincho" w:hAnsi="Palatino Linotype" w:cs="Times New Roman"/>
          <w:sz w:val="24"/>
          <w:szCs w:val="24"/>
          <w:lang w:val="es-ES" w:eastAsia="es-ES"/>
        </w:rPr>
        <w:t> en los términos de las leyes aplicables.</w:t>
      </w:r>
    </w:p>
    <w:p w:rsidR="00E1570F" w:rsidRPr="00F54C1E" w:rsidRDefault="00E1570F" w:rsidP="00CA42C5">
      <w:pPr>
        <w:shd w:val="clear" w:color="auto" w:fill="FFFFFF"/>
        <w:spacing w:after="0" w:line="360" w:lineRule="auto"/>
        <w:jc w:val="both"/>
        <w:rPr>
          <w:rFonts w:ascii="Palatino Linotype" w:eastAsia="MS Mincho" w:hAnsi="Palatino Linotype" w:cs="Times New Roman"/>
          <w:b/>
          <w:sz w:val="2"/>
          <w:szCs w:val="24"/>
          <w:lang w:val="es-ES_tradnl" w:eastAsia="es-ES"/>
        </w:rPr>
      </w:pPr>
    </w:p>
    <w:bookmarkEnd w:id="122"/>
    <w:bookmarkEnd w:id="123"/>
    <w:bookmarkEnd w:id="124"/>
    <w:bookmarkEnd w:id="125"/>
    <w:bookmarkEnd w:id="126"/>
    <w:bookmarkEnd w:id="127"/>
    <w:bookmarkEnd w:id="128"/>
    <w:bookmarkEnd w:id="129"/>
    <w:p w:rsidR="00F54C1E" w:rsidRDefault="00E1570F" w:rsidP="00CA42C5">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r w:rsidRPr="00CA42C5">
        <w:rPr>
          <w:rFonts w:ascii="Palatino Linotype" w:eastAsiaTheme="minorEastAsia" w:hAnsi="Palatino Linotype"/>
          <w:sz w:val="24"/>
          <w:szCs w:val="24"/>
          <w:lang w:val="es-ES_tradnl" w:eastAsia="es-ES"/>
        </w:rPr>
        <w:t xml:space="preserve">ASÍ LO RESUELVE, POR </w:t>
      </w:r>
      <w:r w:rsidRPr="00F54C1E">
        <w:rPr>
          <w:rFonts w:ascii="Palatino Linotype" w:eastAsiaTheme="minorEastAsia" w:hAnsi="Palatino Linotype"/>
          <w:sz w:val="24"/>
          <w:szCs w:val="24"/>
          <w:lang w:val="es-ES_tradnl" w:eastAsia="es-ES"/>
        </w:rPr>
        <w:t>UNANIMIDAD DE VOTOS,</w:t>
      </w:r>
      <w:r w:rsidRPr="00CA42C5">
        <w:rPr>
          <w:rFonts w:ascii="Palatino Linotype" w:eastAsiaTheme="minorEastAsia" w:hAnsi="Palatino Linotype"/>
          <w:sz w:val="24"/>
          <w:szCs w:val="24"/>
          <w:lang w:val="es-ES_tradnl" w:eastAsia="es-ES"/>
        </w:rPr>
        <w:t xml:space="preserve"> EL PLENO DEL INSTITUTO </w:t>
      </w:r>
      <w:r w:rsidRPr="00F54C1E">
        <w:rPr>
          <w:rFonts w:ascii="Palatino Linotype" w:eastAsiaTheme="minorEastAsia" w:hAnsi="Palatino Linotype"/>
          <w:sz w:val="24"/>
          <w:szCs w:val="24"/>
          <w:lang w:val="es-ES_tradnl" w:eastAsia="es-ES"/>
        </w:rPr>
        <w:t xml:space="preserve">DE TRANSPARENCIA, ACCESO A LA INFORMACIÓN PÚBLICA Y PROTECCIÓN DE DATOS PERSONALES DEL ESTADO DE MÉXICO Y MUNICIPIOS, CONFORMADO POR LOS COMISIONADOS ZULEMA </w:t>
      </w:r>
      <w:r w:rsidR="004D6F8F" w:rsidRPr="00F54C1E">
        <w:rPr>
          <w:rFonts w:ascii="Palatino Linotype" w:eastAsiaTheme="minorEastAsia" w:hAnsi="Palatino Linotype"/>
          <w:sz w:val="24"/>
          <w:szCs w:val="24"/>
          <w:lang w:val="es-ES_tradnl" w:eastAsia="es-ES"/>
        </w:rPr>
        <w:t>MARTÍNEZ</w:t>
      </w:r>
      <w:r w:rsidRPr="00F54C1E">
        <w:rPr>
          <w:rFonts w:ascii="Palatino Linotype" w:eastAsiaTheme="minorEastAsia" w:hAnsi="Palatino Linotype"/>
          <w:sz w:val="24"/>
          <w:szCs w:val="24"/>
          <w:lang w:val="es-ES_tradnl" w:eastAsia="es-ES"/>
        </w:rPr>
        <w:t xml:space="preserve"> </w:t>
      </w:r>
      <w:r w:rsidR="004D6F8F" w:rsidRPr="00F54C1E">
        <w:rPr>
          <w:rFonts w:ascii="Palatino Linotype" w:eastAsiaTheme="minorEastAsia" w:hAnsi="Palatino Linotype"/>
          <w:sz w:val="24"/>
          <w:szCs w:val="24"/>
          <w:lang w:val="es-ES_tradnl" w:eastAsia="es-ES"/>
        </w:rPr>
        <w:t>SÁNCHEZ</w:t>
      </w:r>
      <w:r w:rsidRPr="00F54C1E">
        <w:rPr>
          <w:rFonts w:ascii="Palatino Linotype" w:eastAsiaTheme="minorEastAsia" w:hAnsi="Palatino Linotype"/>
          <w:sz w:val="24"/>
          <w:szCs w:val="24"/>
          <w:lang w:val="es-ES_tradnl" w:eastAsia="es-ES"/>
        </w:rPr>
        <w:t xml:space="preserve">; EVA ABAID YAPUR; JOSÉ GUADALUPE LUNA HERNÁNDEZ; JAVIER MARTÍNEZ CRUZ Y LUIS GUSTAVO PARRA NORIEGA; EN LA </w:t>
      </w:r>
      <w:r w:rsidR="00422C32" w:rsidRPr="00F54C1E">
        <w:rPr>
          <w:rFonts w:ascii="Palatino Linotype" w:eastAsiaTheme="minorEastAsia" w:hAnsi="Palatino Linotype"/>
          <w:sz w:val="24"/>
          <w:szCs w:val="24"/>
          <w:lang w:val="es-ES_tradnl" w:eastAsia="es-ES"/>
        </w:rPr>
        <w:t>DÉCIMA SEXTA S</w:t>
      </w:r>
      <w:r w:rsidRPr="00F54C1E">
        <w:rPr>
          <w:rFonts w:ascii="Palatino Linotype" w:eastAsiaTheme="minorEastAsia" w:hAnsi="Palatino Linotype"/>
          <w:sz w:val="24"/>
          <w:szCs w:val="24"/>
          <w:lang w:val="es-ES_tradnl" w:eastAsia="es-ES"/>
        </w:rPr>
        <w:t xml:space="preserve">ESIÓN ORDINARIA CELEBRADA EL </w:t>
      </w:r>
      <w:r w:rsidR="00422C32" w:rsidRPr="00F54C1E">
        <w:rPr>
          <w:rFonts w:ascii="Palatino Linotype" w:eastAsiaTheme="minorEastAsia" w:hAnsi="Palatino Linotype"/>
          <w:sz w:val="24"/>
          <w:szCs w:val="24"/>
          <w:lang w:val="es-ES_tradnl" w:eastAsia="es-ES"/>
        </w:rPr>
        <w:t>DOS (</w:t>
      </w:r>
      <w:r w:rsidR="00F54C1E" w:rsidRPr="00F54C1E">
        <w:rPr>
          <w:rFonts w:ascii="Palatino Linotype" w:eastAsiaTheme="minorEastAsia" w:hAnsi="Palatino Linotype"/>
          <w:sz w:val="24"/>
          <w:szCs w:val="24"/>
          <w:lang w:val="es-ES_tradnl" w:eastAsia="es-ES"/>
        </w:rPr>
        <w:t>0</w:t>
      </w:r>
      <w:r w:rsidR="00422C32" w:rsidRPr="00F54C1E">
        <w:rPr>
          <w:rFonts w:ascii="Palatino Linotype" w:eastAsiaTheme="minorEastAsia" w:hAnsi="Palatino Linotype"/>
          <w:sz w:val="24"/>
          <w:szCs w:val="24"/>
          <w:lang w:val="es-ES_tradnl" w:eastAsia="es-ES"/>
        </w:rPr>
        <w:t xml:space="preserve">2) DE MAYO </w:t>
      </w:r>
      <w:r w:rsidRPr="00F54C1E">
        <w:rPr>
          <w:rFonts w:ascii="Palatino Linotype" w:eastAsiaTheme="minorEastAsia" w:hAnsi="Palatino Linotype"/>
          <w:sz w:val="24"/>
          <w:szCs w:val="24"/>
          <w:lang w:val="es-ES_tradnl" w:eastAsia="es-ES"/>
        </w:rPr>
        <w:t xml:space="preserve">DE DOS MIL </w:t>
      </w:r>
      <w:r w:rsidRPr="00F54C1E">
        <w:rPr>
          <w:rFonts w:ascii="Palatino Linotype" w:eastAsiaTheme="minorEastAsia" w:hAnsi="Palatino Linotype"/>
          <w:sz w:val="24"/>
          <w:szCs w:val="24"/>
          <w:lang w:val="es-ES_tradnl" w:eastAsia="es-ES"/>
        </w:rPr>
        <w:lastRenderedPageBreak/>
        <w:t>DIECINUEVE,</w:t>
      </w:r>
      <w:r w:rsidRPr="00CA42C5">
        <w:rPr>
          <w:rFonts w:ascii="Palatino Linotype" w:eastAsiaTheme="minorEastAsia" w:hAnsi="Palatino Linotype"/>
          <w:sz w:val="24"/>
          <w:szCs w:val="24"/>
          <w:lang w:val="es-ES_tradnl" w:eastAsia="es-ES"/>
        </w:rPr>
        <w:t xml:space="preserve"> ANTE EL SECRETARIO TÉCNICO DEL PLENO ALEXIS TAPIA RAMÍREZ.</w:t>
      </w:r>
      <w:r w:rsidRPr="00CA42C5">
        <w:rPr>
          <w:rFonts w:ascii="Palatino Linotype" w:eastAsiaTheme="minorEastAsia" w:hAnsi="Palatino Linotype" w:cs="Arial"/>
          <w:sz w:val="24"/>
          <w:szCs w:val="24"/>
          <w:lang w:val="es-ES_tradnl" w:eastAsia="es-ES"/>
        </w:rPr>
        <w:t xml:space="preserve">  </w:t>
      </w:r>
    </w:p>
    <w:p w:rsidR="00F54C1E" w:rsidRPr="00CA42C5" w:rsidRDefault="00F54C1E" w:rsidP="00CA42C5">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E1570F" w:rsidRPr="00CA42C5" w:rsidTr="00E1570F">
        <w:trPr>
          <w:trHeight w:val="1168"/>
        </w:trPr>
        <w:tc>
          <w:tcPr>
            <w:tcW w:w="8697" w:type="dxa"/>
            <w:gridSpan w:val="2"/>
            <w:vAlign w:val="center"/>
          </w:tcPr>
          <w:p w:rsidR="00E1570F" w:rsidRPr="00CA42C5" w:rsidRDefault="00E1570F" w:rsidP="00F54C1E">
            <w:pPr>
              <w:spacing w:line="360" w:lineRule="auto"/>
              <w:ind w:right="-142"/>
              <w:jc w:val="center"/>
              <w:rPr>
                <w:rFonts w:ascii="Palatino Linotype" w:eastAsiaTheme="minorEastAsia" w:hAnsi="Palatino Linotype" w:cs="Times New Roman"/>
                <w:b/>
              </w:rPr>
            </w:pPr>
            <w:r w:rsidRPr="00CA42C5">
              <w:rPr>
                <w:rFonts w:ascii="Palatino Linotype" w:eastAsiaTheme="minorEastAsia" w:hAnsi="Palatino Linotype" w:cs="Times New Roman"/>
                <w:b/>
              </w:rPr>
              <w:t>Zulema Martínez Sánchez</w:t>
            </w:r>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Comisionada Presidenta</w:t>
            </w:r>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(Rúbrica)</w:t>
            </w:r>
          </w:p>
        </w:tc>
      </w:tr>
      <w:tr w:rsidR="00E1570F" w:rsidRPr="00CA42C5" w:rsidTr="00E1570F">
        <w:trPr>
          <w:trHeight w:val="1395"/>
        </w:trPr>
        <w:tc>
          <w:tcPr>
            <w:tcW w:w="4348" w:type="dxa"/>
            <w:vAlign w:val="center"/>
          </w:tcPr>
          <w:p w:rsidR="00E1570F" w:rsidRPr="00CA42C5" w:rsidRDefault="00E1570F" w:rsidP="00F54C1E">
            <w:pPr>
              <w:spacing w:line="360" w:lineRule="auto"/>
              <w:ind w:right="-142"/>
              <w:jc w:val="center"/>
              <w:rPr>
                <w:rFonts w:ascii="Palatino Linotype" w:eastAsiaTheme="minorEastAsia" w:hAnsi="Palatino Linotype" w:cs="Times New Roman"/>
                <w:b/>
              </w:rPr>
            </w:pPr>
          </w:p>
          <w:p w:rsidR="00E1570F" w:rsidRPr="00CA42C5" w:rsidRDefault="00E1570F" w:rsidP="00F54C1E">
            <w:pPr>
              <w:spacing w:line="360" w:lineRule="auto"/>
              <w:ind w:right="-142"/>
              <w:jc w:val="center"/>
              <w:rPr>
                <w:rFonts w:ascii="Palatino Linotype" w:eastAsiaTheme="minorEastAsia" w:hAnsi="Palatino Linotype" w:cs="Times New Roman"/>
                <w:b/>
              </w:rPr>
            </w:pPr>
            <w:r w:rsidRPr="00CA42C5">
              <w:rPr>
                <w:rFonts w:ascii="Palatino Linotype" w:eastAsiaTheme="minorEastAsia" w:hAnsi="Palatino Linotype" w:cs="Times New Roman"/>
                <w:b/>
              </w:rPr>
              <w:t xml:space="preserve">Eva </w:t>
            </w:r>
            <w:proofErr w:type="spellStart"/>
            <w:r w:rsidRPr="00CA42C5">
              <w:rPr>
                <w:rFonts w:ascii="Palatino Linotype" w:eastAsiaTheme="minorEastAsia" w:hAnsi="Palatino Linotype" w:cs="Times New Roman"/>
                <w:b/>
              </w:rPr>
              <w:t>Abaid</w:t>
            </w:r>
            <w:proofErr w:type="spellEnd"/>
            <w:r w:rsidRPr="00CA42C5">
              <w:rPr>
                <w:rFonts w:ascii="Palatino Linotype" w:eastAsiaTheme="minorEastAsia" w:hAnsi="Palatino Linotype" w:cs="Times New Roman"/>
                <w:b/>
              </w:rPr>
              <w:t xml:space="preserve"> </w:t>
            </w:r>
            <w:proofErr w:type="spellStart"/>
            <w:r w:rsidRPr="00CA42C5">
              <w:rPr>
                <w:rFonts w:ascii="Palatino Linotype" w:eastAsiaTheme="minorEastAsia" w:hAnsi="Palatino Linotype" w:cs="Times New Roman"/>
                <w:b/>
              </w:rPr>
              <w:t>Yapur</w:t>
            </w:r>
            <w:proofErr w:type="spellEnd"/>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Comisionada</w:t>
            </w:r>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(Rúbrica)</w:t>
            </w:r>
          </w:p>
        </w:tc>
        <w:tc>
          <w:tcPr>
            <w:tcW w:w="4349" w:type="dxa"/>
            <w:vAlign w:val="center"/>
          </w:tcPr>
          <w:p w:rsidR="00E1570F" w:rsidRPr="00CA42C5" w:rsidRDefault="00E1570F" w:rsidP="00F54C1E">
            <w:pPr>
              <w:spacing w:line="360" w:lineRule="auto"/>
              <w:ind w:right="-142"/>
              <w:jc w:val="center"/>
              <w:rPr>
                <w:rFonts w:ascii="Palatino Linotype" w:eastAsiaTheme="minorEastAsia" w:hAnsi="Palatino Linotype" w:cs="Times New Roman"/>
                <w:b/>
              </w:rPr>
            </w:pPr>
          </w:p>
          <w:p w:rsidR="00E1570F" w:rsidRPr="00CA42C5" w:rsidRDefault="00E1570F" w:rsidP="00F54C1E">
            <w:pPr>
              <w:spacing w:line="360" w:lineRule="auto"/>
              <w:ind w:right="-142"/>
              <w:jc w:val="center"/>
              <w:rPr>
                <w:rFonts w:ascii="Palatino Linotype" w:eastAsiaTheme="minorEastAsia" w:hAnsi="Palatino Linotype" w:cs="Times New Roman"/>
                <w:b/>
              </w:rPr>
            </w:pPr>
            <w:r w:rsidRPr="00CA42C5">
              <w:rPr>
                <w:rFonts w:ascii="Palatino Linotype" w:eastAsiaTheme="minorEastAsia" w:hAnsi="Palatino Linotype" w:cs="Times New Roman"/>
                <w:b/>
              </w:rPr>
              <w:t>José Guadalupe Luna Hernández</w:t>
            </w:r>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Comisionado</w:t>
            </w:r>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(Rúbrica)</w:t>
            </w:r>
          </w:p>
        </w:tc>
      </w:tr>
      <w:tr w:rsidR="00E1570F" w:rsidRPr="00CA42C5" w:rsidTr="00E1570F">
        <w:trPr>
          <w:trHeight w:val="1451"/>
        </w:trPr>
        <w:tc>
          <w:tcPr>
            <w:tcW w:w="4348" w:type="dxa"/>
            <w:vAlign w:val="center"/>
          </w:tcPr>
          <w:p w:rsidR="00E1570F" w:rsidRPr="00CA42C5" w:rsidRDefault="00E1570F" w:rsidP="00F54C1E">
            <w:pPr>
              <w:spacing w:line="360" w:lineRule="auto"/>
              <w:ind w:right="-142"/>
              <w:jc w:val="center"/>
              <w:rPr>
                <w:rFonts w:ascii="Palatino Linotype" w:eastAsiaTheme="minorEastAsia" w:hAnsi="Palatino Linotype" w:cs="Times New Roman"/>
                <w:b/>
              </w:rPr>
            </w:pPr>
          </w:p>
          <w:p w:rsidR="00E1570F" w:rsidRPr="00CA42C5" w:rsidRDefault="00E1570F" w:rsidP="00F54C1E">
            <w:pPr>
              <w:spacing w:line="360" w:lineRule="auto"/>
              <w:ind w:right="-142"/>
              <w:jc w:val="center"/>
              <w:rPr>
                <w:rFonts w:ascii="Palatino Linotype" w:eastAsiaTheme="minorEastAsia" w:hAnsi="Palatino Linotype" w:cs="Times New Roman"/>
                <w:b/>
              </w:rPr>
            </w:pPr>
            <w:r w:rsidRPr="00CA42C5">
              <w:rPr>
                <w:rFonts w:ascii="Palatino Linotype" w:eastAsiaTheme="minorEastAsia" w:hAnsi="Palatino Linotype" w:cs="Times New Roman"/>
                <w:b/>
              </w:rPr>
              <w:t>Javier Martínez Cruz</w:t>
            </w:r>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Comisionado</w:t>
            </w:r>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(Rúbrica)</w:t>
            </w:r>
          </w:p>
        </w:tc>
        <w:tc>
          <w:tcPr>
            <w:tcW w:w="4349" w:type="dxa"/>
            <w:vAlign w:val="center"/>
          </w:tcPr>
          <w:p w:rsidR="00E1570F" w:rsidRPr="00CA42C5" w:rsidRDefault="00E1570F" w:rsidP="00F54C1E">
            <w:pPr>
              <w:spacing w:line="360" w:lineRule="auto"/>
              <w:ind w:right="-142"/>
              <w:jc w:val="center"/>
              <w:rPr>
                <w:rFonts w:ascii="Palatino Linotype" w:eastAsiaTheme="minorEastAsia" w:hAnsi="Palatino Linotype" w:cs="Times New Roman"/>
                <w:b/>
              </w:rPr>
            </w:pPr>
          </w:p>
          <w:p w:rsidR="00E1570F" w:rsidRPr="00CA42C5" w:rsidRDefault="00E1570F" w:rsidP="00F54C1E">
            <w:pPr>
              <w:spacing w:line="360" w:lineRule="auto"/>
              <w:ind w:right="-142"/>
              <w:jc w:val="center"/>
              <w:rPr>
                <w:rFonts w:ascii="Palatino Linotype" w:eastAsiaTheme="minorEastAsia" w:hAnsi="Palatino Linotype" w:cs="Times New Roman"/>
                <w:b/>
              </w:rPr>
            </w:pPr>
            <w:r w:rsidRPr="00CA42C5">
              <w:rPr>
                <w:rFonts w:ascii="Palatino Linotype" w:eastAsiaTheme="minorEastAsia" w:hAnsi="Palatino Linotype" w:cs="Times New Roman"/>
                <w:b/>
              </w:rPr>
              <w:t>Luis Gustavo Parra Noriega</w:t>
            </w:r>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Comisionado</w:t>
            </w:r>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(Rúbrica)</w:t>
            </w:r>
          </w:p>
        </w:tc>
      </w:tr>
      <w:tr w:rsidR="00E1570F" w:rsidRPr="00CA42C5" w:rsidTr="00E1570F">
        <w:trPr>
          <w:trHeight w:val="1263"/>
        </w:trPr>
        <w:tc>
          <w:tcPr>
            <w:tcW w:w="8697" w:type="dxa"/>
            <w:gridSpan w:val="2"/>
            <w:vAlign w:val="center"/>
          </w:tcPr>
          <w:p w:rsidR="00E1570F" w:rsidRPr="00CA42C5" w:rsidRDefault="00E1570F" w:rsidP="00F54C1E">
            <w:pPr>
              <w:spacing w:line="360" w:lineRule="auto"/>
              <w:ind w:right="-142"/>
              <w:jc w:val="center"/>
              <w:rPr>
                <w:rFonts w:ascii="Palatino Linotype" w:eastAsiaTheme="minorEastAsia" w:hAnsi="Palatino Linotype" w:cs="Times New Roman"/>
                <w:b/>
              </w:rPr>
            </w:pPr>
          </w:p>
          <w:p w:rsidR="00E1570F" w:rsidRPr="00CA42C5" w:rsidRDefault="00E1570F" w:rsidP="00F54C1E">
            <w:pPr>
              <w:spacing w:line="360" w:lineRule="auto"/>
              <w:ind w:right="-142"/>
              <w:jc w:val="center"/>
              <w:rPr>
                <w:rFonts w:ascii="Palatino Linotype" w:eastAsiaTheme="minorEastAsia" w:hAnsi="Palatino Linotype" w:cs="Times New Roman"/>
                <w:b/>
              </w:rPr>
            </w:pPr>
            <w:r w:rsidRPr="00CA42C5">
              <w:rPr>
                <w:rFonts w:ascii="Palatino Linotype" w:eastAsiaTheme="minorEastAsia" w:hAnsi="Palatino Linotype" w:cs="Times New Roman"/>
                <w:b/>
              </w:rPr>
              <w:t>Alexis Tapia Ramírez</w:t>
            </w:r>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Secretario Técnico del Pleno</w:t>
            </w:r>
          </w:p>
          <w:p w:rsidR="00E1570F" w:rsidRPr="00CA42C5" w:rsidRDefault="00E1570F" w:rsidP="00F54C1E">
            <w:pPr>
              <w:spacing w:line="360" w:lineRule="auto"/>
              <w:ind w:right="-142"/>
              <w:jc w:val="center"/>
              <w:rPr>
                <w:rFonts w:ascii="Palatino Linotype" w:eastAsiaTheme="minorEastAsia" w:hAnsi="Palatino Linotype" w:cs="Times New Roman"/>
              </w:rPr>
            </w:pPr>
            <w:r w:rsidRPr="00CA42C5">
              <w:rPr>
                <w:rFonts w:ascii="Palatino Linotype" w:eastAsiaTheme="minorEastAsia" w:hAnsi="Palatino Linotype" w:cs="Times New Roman"/>
              </w:rPr>
              <w:t>(Rúbrica)</w:t>
            </w:r>
          </w:p>
        </w:tc>
      </w:tr>
    </w:tbl>
    <w:p w:rsidR="00AC48B2" w:rsidRPr="00CA42C5" w:rsidRDefault="00E1570F" w:rsidP="00F54C1E">
      <w:pPr>
        <w:spacing w:before="240" w:after="240" w:line="360" w:lineRule="auto"/>
        <w:ind w:right="-142"/>
        <w:jc w:val="both"/>
        <w:rPr>
          <w:rFonts w:ascii="Palatino Linotype" w:hAnsi="Palatino Linotype"/>
          <w:sz w:val="24"/>
          <w:szCs w:val="24"/>
        </w:rPr>
      </w:pPr>
      <w:r w:rsidRPr="00CA42C5">
        <w:rPr>
          <w:rFonts w:ascii="Palatino Linotype" w:eastAsia="Times New Roman" w:hAnsi="Palatino Linotype" w:cs="Arial"/>
          <w:sz w:val="24"/>
          <w:szCs w:val="24"/>
          <w:lang w:val="es-ES_tradnl" w:eastAsia="es-ES"/>
        </w:rPr>
        <w:t>Esta hoja corresponde</w:t>
      </w:r>
      <w:r w:rsidR="00F54C1E">
        <w:rPr>
          <w:rFonts w:ascii="Palatino Linotype" w:eastAsia="Times New Roman" w:hAnsi="Palatino Linotype" w:cs="Arial"/>
          <w:sz w:val="24"/>
          <w:szCs w:val="24"/>
          <w:lang w:val="es-ES_tradnl" w:eastAsia="es-ES"/>
        </w:rPr>
        <w:t xml:space="preserve"> a la resolución de fecha dos (02) de mayo</w:t>
      </w:r>
      <w:r w:rsidRPr="00CA42C5">
        <w:rPr>
          <w:rFonts w:ascii="Palatino Linotype" w:eastAsia="Times New Roman" w:hAnsi="Palatino Linotype" w:cs="Arial"/>
          <w:sz w:val="24"/>
          <w:szCs w:val="24"/>
          <w:lang w:val="es-ES_tradnl" w:eastAsia="es-ES"/>
        </w:rPr>
        <w:t xml:space="preserve"> de dos mil diecinueve, emitida en el recurso de revisión </w:t>
      </w:r>
      <w:r w:rsidR="00422C32" w:rsidRPr="00CA42C5">
        <w:rPr>
          <w:rFonts w:ascii="Palatino Linotype" w:eastAsia="Times New Roman" w:hAnsi="Palatino Linotype" w:cs="Arial"/>
          <w:b/>
          <w:sz w:val="24"/>
          <w:szCs w:val="24"/>
          <w:lang w:val="es-ES_tradnl" w:eastAsia="es-ES"/>
        </w:rPr>
        <w:t>01083</w:t>
      </w:r>
      <w:r w:rsidRPr="00CA42C5">
        <w:rPr>
          <w:rFonts w:ascii="Palatino Linotype" w:eastAsia="Times New Roman" w:hAnsi="Palatino Linotype" w:cs="Arial"/>
          <w:b/>
          <w:sz w:val="24"/>
          <w:szCs w:val="24"/>
          <w:lang w:val="es-ES_tradnl" w:eastAsia="es-ES"/>
        </w:rPr>
        <w:t>/INFOEM/IP/RR/2019</w:t>
      </w:r>
      <w:r w:rsidRPr="00CA42C5">
        <w:rPr>
          <w:rFonts w:ascii="Palatino Linotype" w:eastAsia="Times New Roman" w:hAnsi="Palatino Linotype" w:cs="Arial"/>
          <w:sz w:val="24"/>
          <w:szCs w:val="24"/>
          <w:lang w:val="es-ES_tradnl" w:eastAsia="es-ES"/>
        </w:rPr>
        <w:t xml:space="preserve">. </w:t>
      </w:r>
      <w:bookmarkStart w:id="130" w:name="_GoBack"/>
      <w:bookmarkEnd w:id="130"/>
    </w:p>
    <w:sectPr w:rsidR="00AC48B2" w:rsidRPr="00CA42C5" w:rsidSect="00CA42C5">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8C7" w:rsidRDefault="008C28C7" w:rsidP="00E1570F">
      <w:pPr>
        <w:spacing w:after="0" w:line="240" w:lineRule="auto"/>
      </w:pPr>
      <w:r>
        <w:separator/>
      </w:r>
    </w:p>
  </w:endnote>
  <w:endnote w:type="continuationSeparator" w:id="0">
    <w:p w:rsidR="008C28C7" w:rsidRDefault="008C28C7" w:rsidP="00E15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39254359"/>
      <w:docPartObj>
        <w:docPartGallery w:val="Page Numbers (Bottom of Page)"/>
        <w:docPartUnique/>
      </w:docPartObj>
    </w:sdtPr>
    <w:sdtEndPr/>
    <w:sdtContent>
      <w:sdt>
        <w:sdtPr>
          <w:rPr>
            <w:rFonts w:ascii="Palatino Linotype" w:hAnsi="Palatino Linotype"/>
            <w:sz w:val="28"/>
          </w:rPr>
          <w:id w:val="2139911600"/>
          <w:docPartObj>
            <w:docPartGallery w:val="Page Numbers (Top of Page)"/>
            <w:docPartUnique/>
          </w:docPartObj>
        </w:sdtPr>
        <w:sdtEndPr/>
        <w:sdtContent>
          <w:p w:rsidR="00E1570F" w:rsidRPr="00883450" w:rsidRDefault="00E1570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65E76">
              <w:rPr>
                <w:rFonts w:ascii="Palatino Linotype" w:hAnsi="Palatino Linotype"/>
                <w:b/>
                <w:bCs/>
                <w:noProof/>
                <w:szCs w:val="20"/>
              </w:rPr>
              <w:t>58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65E76">
              <w:rPr>
                <w:rFonts w:ascii="Palatino Linotype" w:hAnsi="Palatino Linotype"/>
                <w:b/>
                <w:bCs/>
                <w:noProof/>
                <w:szCs w:val="20"/>
              </w:rPr>
              <w:t>58</w:t>
            </w:r>
            <w:r w:rsidRPr="00883450">
              <w:rPr>
                <w:rFonts w:ascii="Palatino Linotype" w:hAnsi="Palatino Linotype"/>
                <w:b/>
                <w:bCs/>
                <w:szCs w:val="20"/>
              </w:rPr>
              <w:fldChar w:fldCharType="end"/>
            </w:r>
          </w:p>
        </w:sdtContent>
      </w:sdt>
    </w:sdtContent>
  </w:sdt>
  <w:p w:rsidR="00E1570F" w:rsidRDefault="00E157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70F" w:rsidRPr="00883450" w:rsidRDefault="00E1570F" w:rsidP="00E1570F">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65E76" w:rsidRPr="00265E76">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65E76" w:rsidRPr="00265E76">
      <w:rPr>
        <w:rFonts w:ascii="Palatino Linotype" w:hAnsi="Palatino Linotype"/>
        <w:noProof/>
        <w:lang w:val="es-ES"/>
      </w:rPr>
      <w:t>58</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8C7" w:rsidRDefault="008C28C7" w:rsidP="00E1570F">
      <w:pPr>
        <w:spacing w:after="0" w:line="240" w:lineRule="auto"/>
      </w:pPr>
      <w:r>
        <w:separator/>
      </w:r>
    </w:p>
  </w:footnote>
  <w:footnote w:type="continuationSeparator" w:id="0">
    <w:p w:rsidR="008C28C7" w:rsidRDefault="008C28C7" w:rsidP="00E1570F">
      <w:pPr>
        <w:spacing w:after="0" w:line="240" w:lineRule="auto"/>
      </w:pPr>
      <w:r>
        <w:continuationSeparator/>
      </w:r>
    </w:p>
  </w:footnote>
  <w:footnote w:id="1">
    <w:p w:rsidR="00E1570F" w:rsidRDefault="00E1570F" w:rsidP="00E1570F">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E1570F" w:rsidRDefault="00E1570F" w:rsidP="00E1570F">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E1570F" w:rsidRPr="001E1F95" w:rsidRDefault="00E1570F" w:rsidP="00E1570F">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rsidR="00E1570F" w:rsidRPr="00034B44" w:rsidRDefault="00E1570F" w:rsidP="00E1570F">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E1570F" w:rsidRPr="00034B44" w:rsidRDefault="00E1570F" w:rsidP="00E1570F">
      <w:pPr>
        <w:pStyle w:val="ADB1"/>
        <w:jc w:val="both"/>
        <w:rPr>
          <w:rFonts w:ascii="Palatino Linotype" w:hAnsi="Palatino Linotype"/>
          <w:sz w:val="18"/>
        </w:rPr>
      </w:pPr>
      <w:r w:rsidRPr="00034B44">
        <w:rPr>
          <w:rFonts w:ascii="Palatino Linotype" w:hAnsi="Palatino Linotype"/>
          <w:sz w:val="18"/>
        </w:rPr>
        <w:t xml:space="preserve"> (…)</w:t>
      </w:r>
    </w:p>
    <w:p w:rsidR="00E1570F" w:rsidRPr="00034B44" w:rsidRDefault="00E1570F" w:rsidP="00E1570F">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70F" w:rsidRDefault="00E1570F">
    <w:pPr>
      <w:pStyle w:val="Encabezado"/>
    </w:pPr>
  </w:p>
  <w:p w:rsidR="00E1570F" w:rsidRDefault="00E1570F">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E1570F" w:rsidRPr="00EF13C1" w:rsidTr="00E1570F">
      <w:trPr>
        <w:trHeight w:val="138"/>
      </w:trPr>
      <w:tc>
        <w:tcPr>
          <w:tcW w:w="2977" w:type="dxa"/>
          <w:vAlign w:val="center"/>
        </w:tcPr>
        <w:p w:rsidR="00E1570F" w:rsidRPr="00EF13C1" w:rsidRDefault="00E1570F" w:rsidP="00E1570F">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E1570F" w:rsidRPr="00EF13C1" w:rsidRDefault="00E1570F" w:rsidP="00E1570F">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01083/INFOEM/IP/RR/2019  </w:t>
          </w:r>
        </w:p>
      </w:tc>
    </w:tr>
    <w:tr w:rsidR="00E1570F" w:rsidRPr="00EF13C1" w:rsidTr="00E1570F">
      <w:trPr>
        <w:gridAfter w:val="1"/>
        <w:wAfter w:w="142" w:type="dxa"/>
        <w:trHeight w:val="321"/>
      </w:trPr>
      <w:tc>
        <w:tcPr>
          <w:tcW w:w="2977" w:type="dxa"/>
          <w:vAlign w:val="center"/>
        </w:tcPr>
        <w:p w:rsidR="00E1570F" w:rsidRPr="00EF13C1" w:rsidRDefault="00E1570F" w:rsidP="00E1570F">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E1570F" w:rsidRPr="00EF13C1" w:rsidRDefault="00E1570F" w:rsidP="00E1570F">
          <w:pPr>
            <w:pStyle w:val="Encabezado"/>
            <w:ind w:right="-108"/>
            <w:jc w:val="right"/>
            <w:rPr>
              <w:rFonts w:ascii="Palatino Linotype" w:hAnsi="Palatino Linotype"/>
              <w:b/>
              <w:sz w:val="22"/>
              <w:szCs w:val="22"/>
            </w:rPr>
          </w:pPr>
          <w:r>
            <w:rPr>
              <w:rFonts w:ascii="Palatino Linotype" w:hAnsi="Palatino Linotype"/>
              <w:b/>
              <w:sz w:val="22"/>
              <w:szCs w:val="22"/>
            </w:rPr>
            <w:t>Ayuntamiento de Ecatepec de Morelos</w:t>
          </w:r>
        </w:p>
      </w:tc>
    </w:tr>
    <w:tr w:rsidR="00E1570F" w:rsidRPr="00EF13C1" w:rsidTr="00E1570F">
      <w:trPr>
        <w:trHeight w:val="321"/>
      </w:trPr>
      <w:tc>
        <w:tcPr>
          <w:tcW w:w="2977" w:type="dxa"/>
          <w:vAlign w:val="center"/>
        </w:tcPr>
        <w:p w:rsidR="00E1570F" w:rsidRPr="00EF13C1" w:rsidRDefault="00E1570F" w:rsidP="00E1570F">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E1570F" w:rsidRPr="00EF13C1" w:rsidRDefault="00E1570F" w:rsidP="00E1570F">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E1570F" w:rsidRDefault="00E1570F" w:rsidP="00E1570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70F" w:rsidRDefault="00E1570F" w:rsidP="00E1570F">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E1570F" w:rsidRPr="00182113" w:rsidTr="00E1570F">
      <w:trPr>
        <w:trHeight w:val="138"/>
      </w:trPr>
      <w:tc>
        <w:tcPr>
          <w:tcW w:w="2532" w:type="dxa"/>
          <w:vAlign w:val="center"/>
        </w:tcPr>
        <w:p w:rsidR="00E1570F" w:rsidRPr="00182113" w:rsidRDefault="00E1570F" w:rsidP="00E1570F">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E1570F" w:rsidRPr="00182113" w:rsidRDefault="00E1570F" w:rsidP="00E1570F">
          <w:pPr>
            <w:pStyle w:val="Encabezado"/>
            <w:jc w:val="center"/>
            <w:rPr>
              <w:rFonts w:ascii="Palatino Linotype" w:hAnsi="Palatino Linotype"/>
              <w:b/>
              <w:sz w:val="22"/>
              <w:szCs w:val="22"/>
            </w:rPr>
          </w:pPr>
        </w:p>
      </w:tc>
      <w:tc>
        <w:tcPr>
          <w:tcW w:w="4536" w:type="dxa"/>
          <w:vAlign w:val="center"/>
        </w:tcPr>
        <w:p w:rsidR="00E1570F" w:rsidRPr="005143E6" w:rsidRDefault="00E1570F" w:rsidP="00E1570F">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01083/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E1570F" w:rsidRPr="00182113" w:rsidTr="00E1570F">
      <w:trPr>
        <w:trHeight w:val="227"/>
      </w:trPr>
      <w:tc>
        <w:tcPr>
          <w:tcW w:w="2532" w:type="dxa"/>
          <w:vAlign w:val="center"/>
        </w:tcPr>
        <w:p w:rsidR="00E1570F" w:rsidRPr="00182113" w:rsidRDefault="00E1570F" w:rsidP="00E1570F">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E1570F" w:rsidRPr="00182113" w:rsidRDefault="00E1570F" w:rsidP="00E1570F">
          <w:pPr>
            <w:pStyle w:val="Encabezado"/>
            <w:jc w:val="center"/>
            <w:rPr>
              <w:rFonts w:ascii="Palatino Linotype" w:hAnsi="Palatino Linotype"/>
              <w:b/>
              <w:sz w:val="22"/>
              <w:szCs w:val="22"/>
            </w:rPr>
          </w:pPr>
        </w:p>
      </w:tc>
      <w:tc>
        <w:tcPr>
          <w:tcW w:w="4536" w:type="dxa"/>
          <w:vAlign w:val="center"/>
        </w:tcPr>
        <w:p w:rsidR="00E1570F" w:rsidRPr="00846952" w:rsidRDefault="00E1570F" w:rsidP="005479F7">
          <w:pPr>
            <w:pStyle w:val="Encabezado"/>
            <w:ind w:right="34"/>
            <w:rPr>
              <w:rFonts w:ascii="Palatino Linotype" w:hAnsi="Palatino Linotype"/>
              <w:b/>
            </w:rPr>
          </w:pPr>
          <w:r>
            <w:rPr>
              <w:rFonts w:ascii="Palatino Linotype" w:hAnsi="Palatino Linotype"/>
              <w:b/>
              <w:sz w:val="22"/>
              <w:szCs w:val="22"/>
            </w:rPr>
            <w:t xml:space="preserve">                        </w:t>
          </w:r>
          <w:r w:rsidR="00832332">
            <w:rPr>
              <w:rFonts w:ascii="Palatino Linotype" w:hAnsi="Palatino Linotype"/>
              <w:b/>
              <w:sz w:val="22"/>
              <w:szCs w:val="22"/>
            </w:rPr>
            <w:t xml:space="preserve"> </w:t>
          </w:r>
          <w:r>
            <w:rPr>
              <w:rFonts w:ascii="Palatino Linotype" w:hAnsi="Palatino Linotype"/>
              <w:b/>
              <w:sz w:val="22"/>
              <w:szCs w:val="22"/>
            </w:rPr>
            <w:t xml:space="preserve">                          </w:t>
          </w:r>
          <w:r w:rsidR="005479F7" w:rsidRPr="005479F7">
            <w:rPr>
              <w:rFonts w:ascii="Palatino Linotype" w:hAnsi="Palatino Linotype"/>
              <w:b/>
              <w:sz w:val="22"/>
              <w:szCs w:val="22"/>
              <w:highlight w:val="black"/>
            </w:rPr>
            <w:t>--------------------</w:t>
          </w:r>
        </w:p>
      </w:tc>
    </w:tr>
    <w:tr w:rsidR="00E1570F" w:rsidRPr="00182113" w:rsidTr="00E1570F">
      <w:trPr>
        <w:trHeight w:val="232"/>
      </w:trPr>
      <w:tc>
        <w:tcPr>
          <w:tcW w:w="2532" w:type="dxa"/>
          <w:vAlign w:val="center"/>
        </w:tcPr>
        <w:p w:rsidR="00E1570F" w:rsidRPr="00182113" w:rsidRDefault="00E1570F" w:rsidP="00E1570F">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E1570F" w:rsidRPr="00182113" w:rsidRDefault="00E1570F" w:rsidP="00E1570F">
          <w:pPr>
            <w:pStyle w:val="Encabezado"/>
            <w:jc w:val="center"/>
            <w:rPr>
              <w:rFonts w:ascii="Palatino Linotype" w:hAnsi="Palatino Linotype"/>
              <w:b/>
              <w:sz w:val="22"/>
              <w:szCs w:val="22"/>
            </w:rPr>
          </w:pPr>
        </w:p>
      </w:tc>
      <w:tc>
        <w:tcPr>
          <w:tcW w:w="4536" w:type="dxa"/>
          <w:vAlign w:val="center"/>
        </w:tcPr>
        <w:p w:rsidR="00E1570F" w:rsidRPr="00182113" w:rsidRDefault="00E1570F" w:rsidP="00E1570F">
          <w:pPr>
            <w:pStyle w:val="Encabezado"/>
            <w:ind w:right="34"/>
            <w:jc w:val="right"/>
            <w:rPr>
              <w:rFonts w:ascii="Palatino Linotype" w:hAnsi="Palatino Linotype"/>
              <w:b/>
              <w:sz w:val="22"/>
              <w:szCs w:val="22"/>
            </w:rPr>
          </w:pPr>
          <w:r>
            <w:rPr>
              <w:rFonts w:ascii="Palatino Linotype" w:hAnsi="Palatino Linotype"/>
              <w:b/>
              <w:sz w:val="22"/>
              <w:szCs w:val="22"/>
            </w:rPr>
            <w:t>Ayuntamiento de Ecatepec de Morelos</w:t>
          </w:r>
        </w:p>
      </w:tc>
    </w:tr>
    <w:tr w:rsidR="00E1570F" w:rsidRPr="00182113" w:rsidTr="00E1570F">
      <w:trPr>
        <w:trHeight w:val="320"/>
      </w:trPr>
      <w:tc>
        <w:tcPr>
          <w:tcW w:w="2532" w:type="dxa"/>
          <w:vAlign w:val="center"/>
        </w:tcPr>
        <w:p w:rsidR="00E1570F" w:rsidRPr="00182113" w:rsidRDefault="00E1570F" w:rsidP="00E1570F">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E1570F" w:rsidRPr="00182113" w:rsidRDefault="00E1570F" w:rsidP="00E1570F">
          <w:pPr>
            <w:pStyle w:val="Encabezado"/>
            <w:jc w:val="center"/>
            <w:rPr>
              <w:rFonts w:ascii="Palatino Linotype" w:hAnsi="Palatino Linotype"/>
              <w:b/>
              <w:sz w:val="22"/>
              <w:szCs w:val="22"/>
            </w:rPr>
          </w:pPr>
        </w:p>
      </w:tc>
      <w:tc>
        <w:tcPr>
          <w:tcW w:w="4536" w:type="dxa"/>
          <w:vAlign w:val="center"/>
        </w:tcPr>
        <w:p w:rsidR="00E1570F" w:rsidRPr="00182113" w:rsidRDefault="00E1570F" w:rsidP="00E1570F">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E1570F" w:rsidRDefault="00E1570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95185"/>
    <w:multiLevelType w:val="hybridMultilevel"/>
    <w:tmpl w:val="56743A4A"/>
    <w:lvl w:ilvl="0" w:tplc="2EC6A6B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3930F0"/>
    <w:multiLevelType w:val="multilevel"/>
    <w:tmpl w:val="5A804F22"/>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BD90598"/>
    <w:multiLevelType w:val="hybridMultilevel"/>
    <w:tmpl w:val="3E302F3A"/>
    <w:lvl w:ilvl="0" w:tplc="84C4BA6C">
      <w:start w:val="1"/>
      <w:numFmt w:val="decimal"/>
      <w:lvlText w:val="%1."/>
      <w:lvlJc w:val="left"/>
      <w:pPr>
        <w:ind w:left="720" w:hanging="360"/>
      </w:pPr>
      <w:rPr>
        <w:rFonts w:eastAsia="Times New Roman" w:cs="Times New Roman"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2F4384"/>
    <w:multiLevelType w:val="hybridMultilevel"/>
    <w:tmpl w:val="5C56BD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711CB0"/>
    <w:multiLevelType w:val="hybridMultilevel"/>
    <w:tmpl w:val="21980E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7202E8A"/>
    <w:multiLevelType w:val="hybridMultilevel"/>
    <w:tmpl w:val="70C260F8"/>
    <w:lvl w:ilvl="0" w:tplc="BC6AB398">
      <w:start w:val="1"/>
      <w:numFmt w:val="decimal"/>
      <w:lvlText w:val="%1."/>
      <w:lvlJc w:val="left"/>
      <w:pPr>
        <w:ind w:left="389" w:hanging="360"/>
      </w:pPr>
      <w:rPr>
        <w:rFonts w:eastAsia="Times New Roman" w:cs="Times New Roman" w:hint="default"/>
        <w:i/>
        <w:color w:val="auto"/>
        <w:sz w:val="22"/>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9">
    <w:nsid w:val="2AC80748"/>
    <w:multiLevelType w:val="hybridMultilevel"/>
    <w:tmpl w:val="B114FA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AA32CFE6"/>
    <w:lvl w:ilvl="0" w:tplc="21AAC458">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BE5719"/>
    <w:multiLevelType w:val="hybridMultilevel"/>
    <w:tmpl w:val="66322652"/>
    <w:lvl w:ilvl="0" w:tplc="8D2A2342">
      <w:start w:val="1"/>
      <w:numFmt w:val="decimal"/>
      <w:lvlText w:val="%1."/>
      <w:lvlJc w:val="left"/>
      <w:pPr>
        <w:ind w:left="389" w:hanging="360"/>
      </w:pPr>
      <w:rPr>
        <w:rFonts w:hint="default"/>
        <w:b w:val="0"/>
        <w:i/>
        <w:color w:val="auto"/>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16">
    <w:nsid w:val="60BE2137"/>
    <w:multiLevelType w:val="hybridMultilevel"/>
    <w:tmpl w:val="93E07846"/>
    <w:lvl w:ilvl="0" w:tplc="A7A29E06">
      <w:start w:val="1"/>
      <w:numFmt w:val="decimal"/>
      <w:lvlText w:val="%1."/>
      <w:lvlJc w:val="left"/>
      <w:pPr>
        <w:ind w:left="720" w:hanging="360"/>
      </w:pPr>
      <w:rPr>
        <w:rFonts w:hint="default"/>
        <w:b w:val="0"/>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0CE79B0"/>
    <w:multiLevelType w:val="hybridMultilevel"/>
    <w:tmpl w:val="9C46D7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4F2AC5"/>
    <w:multiLevelType w:val="hybridMultilevel"/>
    <w:tmpl w:val="5A7812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3F913CD"/>
    <w:multiLevelType w:val="hybridMultilevel"/>
    <w:tmpl w:val="518484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12"/>
  </w:num>
  <w:num w:numId="4">
    <w:abstractNumId w:val="14"/>
  </w:num>
  <w:num w:numId="5">
    <w:abstractNumId w:val="17"/>
  </w:num>
  <w:num w:numId="6">
    <w:abstractNumId w:val="4"/>
  </w:num>
  <w:num w:numId="7">
    <w:abstractNumId w:val="13"/>
  </w:num>
  <w:num w:numId="8">
    <w:abstractNumId w:val="19"/>
  </w:num>
  <w:num w:numId="9">
    <w:abstractNumId w:val="3"/>
  </w:num>
  <w:num w:numId="10">
    <w:abstractNumId w:val="8"/>
  </w:num>
  <w:num w:numId="11">
    <w:abstractNumId w:val="0"/>
  </w:num>
  <w:num w:numId="12">
    <w:abstractNumId w:val="15"/>
  </w:num>
  <w:num w:numId="13">
    <w:abstractNumId w:val="16"/>
  </w:num>
  <w:num w:numId="14">
    <w:abstractNumId w:val="18"/>
  </w:num>
  <w:num w:numId="15">
    <w:abstractNumId w:val="11"/>
  </w:num>
  <w:num w:numId="16">
    <w:abstractNumId w:val="2"/>
  </w:num>
  <w:num w:numId="17">
    <w:abstractNumId w:val="1"/>
  </w:num>
  <w:num w:numId="18">
    <w:abstractNumId w:val="5"/>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70F"/>
    <w:rsid w:val="000546A6"/>
    <w:rsid w:val="000646A1"/>
    <w:rsid w:val="00111716"/>
    <w:rsid w:val="00133665"/>
    <w:rsid w:val="00151D53"/>
    <w:rsid w:val="00156792"/>
    <w:rsid w:val="00265E76"/>
    <w:rsid w:val="00270E5A"/>
    <w:rsid w:val="002B15D2"/>
    <w:rsid w:val="003201F5"/>
    <w:rsid w:val="00397940"/>
    <w:rsid w:val="003A582E"/>
    <w:rsid w:val="003B122A"/>
    <w:rsid w:val="004165A6"/>
    <w:rsid w:val="00422C32"/>
    <w:rsid w:val="004B6D6F"/>
    <w:rsid w:val="004D6F8F"/>
    <w:rsid w:val="005479F7"/>
    <w:rsid w:val="0057057A"/>
    <w:rsid w:val="00666382"/>
    <w:rsid w:val="006A5623"/>
    <w:rsid w:val="006D72E1"/>
    <w:rsid w:val="007D025F"/>
    <w:rsid w:val="007E7B68"/>
    <w:rsid w:val="00832332"/>
    <w:rsid w:val="00857847"/>
    <w:rsid w:val="008C119F"/>
    <w:rsid w:val="008C28C7"/>
    <w:rsid w:val="009955D8"/>
    <w:rsid w:val="009A4DBC"/>
    <w:rsid w:val="009F2118"/>
    <w:rsid w:val="00A5616B"/>
    <w:rsid w:val="00AC48B2"/>
    <w:rsid w:val="00AE1112"/>
    <w:rsid w:val="00BF075B"/>
    <w:rsid w:val="00C26600"/>
    <w:rsid w:val="00CA42C5"/>
    <w:rsid w:val="00CE62DE"/>
    <w:rsid w:val="00E12810"/>
    <w:rsid w:val="00E1570F"/>
    <w:rsid w:val="00EB5480"/>
    <w:rsid w:val="00F54C1E"/>
    <w:rsid w:val="00FE33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7D0769-5076-4BA3-A175-A33D06F1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E157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1570F"/>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E157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570F"/>
  </w:style>
  <w:style w:type="paragraph" w:styleId="Piedepgina">
    <w:name w:val="footer"/>
    <w:basedOn w:val="Normal"/>
    <w:link w:val="PiedepginaCar"/>
    <w:uiPriority w:val="99"/>
    <w:unhideWhenUsed/>
    <w:rsid w:val="00E157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570F"/>
  </w:style>
  <w:style w:type="table" w:styleId="Tablaconcuadrcula">
    <w:name w:val="Table Grid"/>
    <w:basedOn w:val="Tablanormal"/>
    <w:uiPriority w:val="39"/>
    <w:rsid w:val="00E1570F"/>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1570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E1570F"/>
    <w:rPr>
      <w:vertAlign w:val="superscript"/>
    </w:rPr>
  </w:style>
  <w:style w:type="paragraph" w:customStyle="1" w:styleId="ADB1">
    <w:name w:val="ADB1"/>
    <w:basedOn w:val="Normal"/>
    <w:next w:val="Textonotapie"/>
    <w:uiPriority w:val="99"/>
    <w:unhideWhenUsed/>
    <w:qFormat/>
    <w:rsid w:val="00E1570F"/>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E1570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1570F"/>
    <w:rPr>
      <w:sz w:val="20"/>
      <w:szCs w:val="20"/>
    </w:rPr>
  </w:style>
  <w:style w:type="character" w:customStyle="1" w:styleId="TextocomentarioCar">
    <w:name w:val="Texto comentario Car"/>
    <w:basedOn w:val="Fuentedeprrafopredeter"/>
    <w:link w:val="Textocomentario"/>
    <w:uiPriority w:val="99"/>
    <w:semiHidden/>
    <w:rsid w:val="00E1570F"/>
    <w:rPr>
      <w:sz w:val="20"/>
      <w:szCs w:val="20"/>
    </w:rPr>
  </w:style>
  <w:style w:type="paragraph" w:styleId="Textocomentario">
    <w:name w:val="annotation text"/>
    <w:basedOn w:val="Normal"/>
    <w:link w:val="TextocomentarioCar"/>
    <w:uiPriority w:val="99"/>
    <w:semiHidden/>
    <w:unhideWhenUsed/>
    <w:rsid w:val="00E1570F"/>
    <w:pPr>
      <w:spacing w:line="240" w:lineRule="auto"/>
    </w:pPr>
    <w:rPr>
      <w:sz w:val="20"/>
      <w:szCs w:val="20"/>
    </w:rPr>
  </w:style>
  <w:style w:type="character" w:customStyle="1" w:styleId="TextodegloboCar">
    <w:name w:val="Texto de globo Car"/>
    <w:basedOn w:val="Fuentedeprrafopredeter"/>
    <w:link w:val="Textodeglobo"/>
    <w:uiPriority w:val="99"/>
    <w:semiHidden/>
    <w:rsid w:val="00E1570F"/>
    <w:rPr>
      <w:rFonts w:ascii="Segoe UI" w:hAnsi="Segoe UI" w:cs="Segoe UI"/>
      <w:sz w:val="18"/>
      <w:szCs w:val="18"/>
    </w:rPr>
  </w:style>
  <w:style w:type="paragraph" w:styleId="Textodeglobo">
    <w:name w:val="Balloon Text"/>
    <w:basedOn w:val="Normal"/>
    <w:link w:val="TextodegloboCar"/>
    <w:uiPriority w:val="99"/>
    <w:semiHidden/>
    <w:unhideWhenUsed/>
    <w:rsid w:val="00E1570F"/>
    <w:pPr>
      <w:spacing w:after="0" w:line="240" w:lineRule="auto"/>
    </w:pPr>
    <w:rPr>
      <w:rFonts w:ascii="Segoe UI" w:hAnsi="Segoe UI" w:cs="Segoe UI"/>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70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70F"/>
  </w:style>
  <w:style w:type="table" w:styleId="Tabladecuadrcula5oscura-nfasis6">
    <w:name w:val="Grid Table 5 Dark Accent 6"/>
    <w:basedOn w:val="Tablanormal"/>
    <w:uiPriority w:val="50"/>
    <w:rsid w:val="00E1570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Hipervnculo">
    <w:name w:val="Hyperlink"/>
    <w:basedOn w:val="Fuentedeprrafopredeter"/>
    <w:uiPriority w:val="99"/>
    <w:unhideWhenUsed/>
    <w:rsid w:val="00E1570F"/>
    <w:rPr>
      <w:color w:val="0000FF"/>
      <w:u w:val="single"/>
    </w:rPr>
  </w:style>
  <w:style w:type="paragraph" w:styleId="TDC1">
    <w:name w:val="toc 1"/>
    <w:basedOn w:val="Normal"/>
    <w:next w:val="Normal"/>
    <w:autoRedefine/>
    <w:uiPriority w:val="39"/>
    <w:unhideWhenUsed/>
    <w:rsid w:val="00E1570F"/>
    <w:pPr>
      <w:tabs>
        <w:tab w:val="left" w:pos="440"/>
        <w:tab w:val="right" w:leader="dot" w:pos="8828"/>
      </w:tabs>
      <w:spacing w:after="100"/>
      <w:ind w:left="284"/>
    </w:pPr>
  </w:style>
  <w:style w:type="paragraph" w:styleId="TDC2">
    <w:name w:val="toc 2"/>
    <w:basedOn w:val="Normal"/>
    <w:next w:val="Normal"/>
    <w:autoRedefine/>
    <w:uiPriority w:val="39"/>
    <w:unhideWhenUsed/>
    <w:rsid w:val="00E1570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19A33-33DF-4B6E-80C5-C799DC9A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58</Pages>
  <Words>10346</Words>
  <Characters>56909</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cp:lastPrinted>2019-05-07T20:04:00Z</cp:lastPrinted>
  <dcterms:created xsi:type="dcterms:W3CDTF">2019-04-26T01:50:00Z</dcterms:created>
  <dcterms:modified xsi:type="dcterms:W3CDTF">2019-06-05T20:08:00Z</dcterms:modified>
</cp:coreProperties>
</file>