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3EDE" w:rsidRPr="002951D2" w:rsidRDefault="003F3EDE" w:rsidP="002951D2">
      <w:pPr>
        <w:spacing w:before="240" w:after="240" w:line="360" w:lineRule="auto"/>
        <w:ind w:right="49"/>
        <w:jc w:val="center"/>
        <w:rPr>
          <w:rFonts w:ascii="Palatino Linotype" w:eastAsiaTheme="minorEastAsia" w:hAnsi="Palatino Linotype"/>
          <w:b/>
          <w:sz w:val="24"/>
          <w:szCs w:val="24"/>
          <w:lang w:val="es-ES_tradnl" w:eastAsia="es-ES"/>
        </w:rPr>
      </w:pPr>
      <w:bookmarkStart w:id="0" w:name="_GoBack"/>
      <w:bookmarkEnd w:id="0"/>
      <w:r w:rsidRPr="002951D2">
        <w:rPr>
          <w:rFonts w:ascii="Palatino Linotype" w:eastAsiaTheme="minorEastAsia" w:hAnsi="Palatino Linotype"/>
          <w:b/>
          <w:sz w:val="24"/>
          <w:szCs w:val="24"/>
          <w:lang w:val="es-ES_tradnl" w:eastAsia="es-ES"/>
        </w:rPr>
        <w:t>LÍNEAS ARGUMENTATIVAS</w:t>
      </w:r>
    </w:p>
    <w:p w:rsidR="003F3EDE" w:rsidRPr="002951D2" w:rsidRDefault="003F3EDE" w:rsidP="003F3EDE">
      <w:pPr>
        <w:spacing w:after="0" w:line="360" w:lineRule="auto"/>
        <w:jc w:val="both"/>
        <w:rPr>
          <w:rFonts w:ascii="Palatino Linotype" w:eastAsia="Arial Unicode MS" w:hAnsi="Palatino Linotype" w:cs="Arial"/>
          <w:sz w:val="24"/>
          <w:szCs w:val="24"/>
          <w:lang w:val="es-ES_tradnl" w:eastAsia="es-ES"/>
        </w:rPr>
      </w:pPr>
      <w:r w:rsidRPr="002951D2">
        <w:rPr>
          <w:rFonts w:ascii="Palatino Linotype" w:eastAsia="Arial Unicode MS" w:hAnsi="Palatino Linotype" w:cs="Arial"/>
          <w:b/>
          <w:sz w:val="24"/>
          <w:szCs w:val="24"/>
          <w:lang w:val="es-ES_tradnl" w:eastAsia="es-ES"/>
        </w:rPr>
        <w:t>DEBERES DE LAS AUTORIDADES</w:t>
      </w:r>
      <w:r w:rsidRPr="002951D2">
        <w:rPr>
          <w:rFonts w:ascii="Palatino Linotype" w:eastAsia="Arial Unicode MS" w:hAnsi="Palatino Linotype" w:cs="Arial"/>
          <w:sz w:val="24"/>
          <w:szCs w:val="24"/>
          <w:lang w:val="es-ES_tradnl" w:eastAsia="es-ES"/>
        </w:rPr>
        <w:t>. El derecho de acceso a la información pública es un derecho humano constitucionalmente reconocido en consecuencia todas las autoridades en el ámbito de sus competencias tienen la obligación de respetarlo, protegerlo y garantizarlo.</w:t>
      </w:r>
    </w:p>
    <w:p w:rsidR="003F3EDE" w:rsidRPr="002951D2" w:rsidRDefault="003F3EDE" w:rsidP="003F3EDE">
      <w:pPr>
        <w:spacing w:after="0" w:line="360" w:lineRule="auto"/>
        <w:jc w:val="both"/>
        <w:rPr>
          <w:rFonts w:ascii="Palatino Linotype" w:eastAsia="Calibri" w:hAnsi="Palatino Linotype" w:cs="Times New Roman"/>
          <w:sz w:val="12"/>
          <w:szCs w:val="24"/>
          <w:lang w:val="es-ES_tradnl" w:eastAsia="es-ES"/>
        </w:rPr>
      </w:pPr>
    </w:p>
    <w:p w:rsidR="003F3EDE" w:rsidRPr="002951D2" w:rsidRDefault="003F3EDE" w:rsidP="003F3EDE">
      <w:pPr>
        <w:spacing w:after="0" w:line="360" w:lineRule="auto"/>
        <w:jc w:val="both"/>
        <w:rPr>
          <w:rFonts w:ascii="Palatino Linotype" w:eastAsia="Arial Unicode MS" w:hAnsi="Palatino Linotype" w:cs="Arial"/>
          <w:sz w:val="24"/>
          <w:szCs w:val="24"/>
          <w:lang w:eastAsia="es-ES"/>
        </w:rPr>
      </w:pPr>
      <w:r w:rsidRPr="002951D2">
        <w:rPr>
          <w:rFonts w:ascii="Palatino Linotype" w:eastAsia="Arial Unicode MS" w:hAnsi="Palatino Linotype" w:cs="Arial"/>
          <w:b/>
          <w:sz w:val="24"/>
          <w:szCs w:val="24"/>
          <w:lang w:eastAsia="es-ES"/>
        </w:rPr>
        <w:t>DE LA ELABORACIÓN DE LAS VERSIONES PÚBLICAS</w:t>
      </w:r>
      <w:r w:rsidRPr="002951D2">
        <w:rPr>
          <w:rFonts w:ascii="Palatino Linotype" w:eastAsia="Arial Unicode MS" w:hAnsi="Palatino Linotype" w:cs="Arial"/>
          <w:sz w:val="24"/>
          <w:szCs w:val="24"/>
          <w:lang w:eastAsia="es-ES"/>
        </w:rPr>
        <w:t xml:space="preserve">.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rsidR="003F3EDE" w:rsidRPr="002951D2" w:rsidRDefault="003F3EDE" w:rsidP="003F3EDE">
      <w:pPr>
        <w:spacing w:before="240" w:after="240" w:line="360" w:lineRule="auto"/>
        <w:jc w:val="both"/>
        <w:rPr>
          <w:rFonts w:ascii="Palatino Linotype" w:eastAsia="Arial Unicode MS" w:hAnsi="Palatino Linotype" w:cs="Arial"/>
          <w:sz w:val="24"/>
          <w:szCs w:val="24"/>
          <w:lang w:val="es-ES_tradnl" w:eastAsia="es-ES"/>
        </w:rPr>
      </w:pPr>
      <w:r w:rsidRPr="002951D2">
        <w:rPr>
          <w:rFonts w:ascii="Palatino Linotype" w:eastAsia="Arial Unicode MS" w:hAnsi="Palatino Linotype" w:cs="Arial"/>
          <w:b/>
          <w:sz w:val="24"/>
          <w:szCs w:val="24"/>
          <w:lang w:val="es-ES_tradnl" w:eastAsia="es-ES"/>
        </w:rPr>
        <w:t xml:space="preserve">INFORMACIÓN CONFIDENCIAL, CLASIFICACIÓN DE LA. </w:t>
      </w:r>
      <w:r w:rsidRPr="002951D2">
        <w:rPr>
          <w:rFonts w:ascii="Palatino Linotype" w:eastAsia="Arial Unicode MS" w:hAnsi="Palatino Linotype" w:cs="Arial"/>
          <w:sz w:val="24"/>
          <w:szCs w:val="24"/>
          <w:lang w:val="es-ES_tradnl" w:eastAsia="es-ES"/>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3F3EDE" w:rsidRPr="002951D2" w:rsidRDefault="003F3EDE" w:rsidP="003F3EDE">
      <w:pPr>
        <w:spacing w:before="240" w:after="240" w:line="360" w:lineRule="auto"/>
        <w:jc w:val="both"/>
        <w:rPr>
          <w:rFonts w:ascii="Palatino Linotype" w:eastAsia="Arial Unicode MS" w:hAnsi="Palatino Linotype" w:cs="Arial"/>
          <w:b/>
          <w:sz w:val="24"/>
          <w:szCs w:val="24"/>
          <w:lang w:val="es-ES_tradnl" w:eastAsia="es-ES"/>
        </w:rPr>
      </w:pPr>
    </w:p>
    <w:p w:rsidR="003F3EDE" w:rsidRPr="002951D2" w:rsidRDefault="003F3EDE" w:rsidP="003F3EDE">
      <w:pPr>
        <w:tabs>
          <w:tab w:val="left" w:pos="3531"/>
          <w:tab w:val="center" w:pos="4490"/>
        </w:tabs>
        <w:spacing w:before="240" w:after="240" w:line="360" w:lineRule="auto"/>
        <w:ind w:right="-142"/>
        <w:rPr>
          <w:rFonts w:ascii="Palatino Linotype" w:eastAsiaTheme="minorEastAsia" w:hAnsi="Palatino Linotype"/>
          <w:b/>
          <w:color w:val="000000" w:themeColor="text1"/>
          <w:sz w:val="24"/>
          <w:szCs w:val="24"/>
          <w:lang w:val="es-ES_tradnl" w:eastAsia="es-ES"/>
        </w:rPr>
      </w:pPr>
      <w:r w:rsidRPr="002951D2">
        <w:rPr>
          <w:rFonts w:ascii="Palatino Linotype" w:eastAsiaTheme="minorEastAsia" w:hAnsi="Palatino Linotype"/>
          <w:b/>
          <w:color w:val="000000" w:themeColor="text1"/>
          <w:sz w:val="24"/>
          <w:szCs w:val="24"/>
          <w:lang w:val="es-ES_tradnl" w:eastAsia="es-ES"/>
        </w:rPr>
        <w:tab/>
      </w:r>
      <w:r w:rsidRPr="002951D2">
        <w:rPr>
          <w:rFonts w:ascii="Palatino Linotype" w:eastAsiaTheme="minorEastAsia" w:hAnsi="Palatino Linotype"/>
          <w:b/>
          <w:color w:val="000000" w:themeColor="text1"/>
          <w:sz w:val="24"/>
          <w:szCs w:val="24"/>
          <w:lang w:val="es-ES_tradnl" w:eastAsia="es-ES"/>
        </w:rPr>
        <w:tab/>
        <w:t>Índice.</w:t>
      </w:r>
    </w:p>
    <w:sdt>
      <w:sdtPr>
        <w:rPr>
          <w:rFonts w:ascii="Palatino Linotype" w:eastAsiaTheme="minorHAnsi" w:hAnsi="Palatino Linotype" w:cstheme="minorBidi"/>
          <w:b/>
          <w:color w:val="000000" w:themeColor="text1"/>
          <w:sz w:val="24"/>
          <w:szCs w:val="24"/>
          <w:lang w:val="es-ES" w:eastAsia="en-US"/>
        </w:rPr>
        <w:id w:val="1594124669"/>
        <w:docPartObj>
          <w:docPartGallery w:val="Table of Contents"/>
          <w:docPartUnique/>
        </w:docPartObj>
      </w:sdtPr>
      <w:sdtEndPr>
        <w:rPr>
          <w:bCs/>
        </w:rPr>
      </w:sdtEndPr>
      <w:sdtContent>
        <w:p w:rsidR="003F3EDE" w:rsidRPr="002951D2" w:rsidRDefault="003F3EDE" w:rsidP="00DC5CB3">
          <w:pPr>
            <w:pStyle w:val="TtulodeTDC"/>
            <w:rPr>
              <w:rFonts w:ascii="Palatino Linotype" w:hAnsi="Palatino Linotype"/>
              <w:b/>
              <w:color w:val="000000" w:themeColor="text1"/>
              <w:sz w:val="24"/>
              <w:szCs w:val="24"/>
              <w:lang w:val="es-ES"/>
            </w:rPr>
          </w:pPr>
          <w:r w:rsidRPr="002951D2">
            <w:rPr>
              <w:rFonts w:ascii="Palatino Linotype" w:hAnsi="Palatino Linotype"/>
              <w:b/>
              <w:color w:val="000000" w:themeColor="text1"/>
              <w:sz w:val="24"/>
              <w:szCs w:val="24"/>
              <w:lang w:val="es-ES"/>
            </w:rPr>
            <w:t>Contenido</w:t>
          </w:r>
        </w:p>
        <w:p w:rsidR="003F3EDE" w:rsidRPr="002951D2" w:rsidRDefault="003F3EDE" w:rsidP="00116752">
          <w:pPr>
            <w:rPr>
              <w:rFonts w:ascii="Palatino Linotype" w:hAnsi="Palatino Linotype"/>
              <w:b/>
              <w:color w:val="000000" w:themeColor="text1"/>
              <w:sz w:val="24"/>
              <w:szCs w:val="24"/>
              <w:lang w:val="es-ES" w:eastAsia="es-MX"/>
            </w:rPr>
          </w:pPr>
        </w:p>
        <w:p w:rsidR="00116752" w:rsidRPr="002951D2" w:rsidRDefault="003F3EDE" w:rsidP="00116752">
          <w:pPr>
            <w:pStyle w:val="TDC1"/>
            <w:tabs>
              <w:tab w:val="right" w:leader="dot" w:pos="8828"/>
            </w:tabs>
            <w:rPr>
              <w:rFonts w:ascii="Palatino Linotype" w:eastAsiaTheme="minorEastAsia" w:hAnsi="Palatino Linotype"/>
              <w:b/>
              <w:noProof/>
              <w:color w:val="000000" w:themeColor="text1"/>
              <w:sz w:val="24"/>
              <w:szCs w:val="24"/>
              <w:lang w:eastAsia="es-MX"/>
            </w:rPr>
          </w:pPr>
          <w:r w:rsidRPr="002951D2">
            <w:rPr>
              <w:rFonts w:ascii="Palatino Linotype" w:hAnsi="Palatino Linotype"/>
              <w:b/>
              <w:bCs/>
              <w:color w:val="000000" w:themeColor="text1"/>
              <w:sz w:val="24"/>
              <w:szCs w:val="24"/>
              <w:lang w:val="es-ES"/>
            </w:rPr>
            <w:fldChar w:fldCharType="begin"/>
          </w:r>
          <w:r w:rsidRPr="002951D2">
            <w:rPr>
              <w:rFonts w:ascii="Palatino Linotype" w:hAnsi="Palatino Linotype"/>
              <w:b/>
              <w:bCs/>
              <w:color w:val="000000" w:themeColor="text1"/>
              <w:sz w:val="24"/>
              <w:szCs w:val="24"/>
              <w:lang w:val="es-ES"/>
            </w:rPr>
            <w:instrText xml:space="preserve"> TOC \o "1-3" \h \z \u </w:instrText>
          </w:r>
          <w:r w:rsidRPr="002951D2">
            <w:rPr>
              <w:rFonts w:ascii="Palatino Linotype" w:hAnsi="Palatino Linotype"/>
              <w:b/>
              <w:bCs/>
              <w:color w:val="000000" w:themeColor="text1"/>
              <w:sz w:val="24"/>
              <w:szCs w:val="24"/>
              <w:lang w:val="es-ES"/>
            </w:rPr>
            <w:fldChar w:fldCharType="separate"/>
          </w:r>
          <w:hyperlink w:anchor="_Toc23430152" w:history="1">
            <w:r w:rsidR="00116752" w:rsidRPr="002951D2">
              <w:rPr>
                <w:rStyle w:val="Hipervnculo"/>
                <w:rFonts w:ascii="Palatino Linotype" w:eastAsiaTheme="majorEastAsia" w:hAnsi="Palatino Linotype" w:cstheme="majorBidi"/>
                <w:b/>
                <w:noProof/>
                <w:color w:val="000000" w:themeColor="text1"/>
                <w:sz w:val="24"/>
                <w:szCs w:val="24"/>
              </w:rPr>
              <w:t>A N T E C E D E N T E S</w:t>
            </w:r>
            <w:r w:rsidR="00116752" w:rsidRPr="002951D2">
              <w:rPr>
                <w:rFonts w:ascii="Palatino Linotype" w:hAnsi="Palatino Linotype"/>
                <w:b/>
                <w:noProof/>
                <w:webHidden/>
                <w:color w:val="000000" w:themeColor="text1"/>
                <w:sz w:val="24"/>
                <w:szCs w:val="24"/>
              </w:rPr>
              <w:tab/>
            </w:r>
            <w:r w:rsidR="00116752" w:rsidRPr="002951D2">
              <w:rPr>
                <w:rFonts w:ascii="Palatino Linotype" w:hAnsi="Palatino Linotype"/>
                <w:b/>
                <w:noProof/>
                <w:webHidden/>
                <w:color w:val="000000" w:themeColor="text1"/>
                <w:sz w:val="24"/>
                <w:szCs w:val="24"/>
              </w:rPr>
              <w:fldChar w:fldCharType="begin"/>
            </w:r>
            <w:r w:rsidR="00116752" w:rsidRPr="002951D2">
              <w:rPr>
                <w:rFonts w:ascii="Palatino Linotype" w:hAnsi="Palatino Linotype"/>
                <w:b/>
                <w:noProof/>
                <w:webHidden/>
                <w:color w:val="000000" w:themeColor="text1"/>
                <w:sz w:val="24"/>
                <w:szCs w:val="24"/>
              </w:rPr>
              <w:instrText xml:space="preserve"> PAGEREF _Toc23430152 \h </w:instrText>
            </w:r>
            <w:r w:rsidR="00116752" w:rsidRPr="002951D2">
              <w:rPr>
                <w:rFonts w:ascii="Palatino Linotype" w:hAnsi="Palatino Linotype"/>
                <w:b/>
                <w:noProof/>
                <w:webHidden/>
                <w:color w:val="000000" w:themeColor="text1"/>
                <w:sz w:val="24"/>
                <w:szCs w:val="24"/>
              </w:rPr>
            </w:r>
            <w:r w:rsidR="00116752" w:rsidRPr="002951D2">
              <w:rPr>
                <w:rFonts w:ascii="Palatino Linotype" w:hAnsi="Palatino Linotype"/>
                <w:b/>
                <w:noProof/>
                <w:webHidden/>
                <w:color w:val="000000" w:themeColor="text1"/>
                <w:sz w:val="24"/>
                <w:szCs w:val="24"/>
              </w:rPr>
              <w:fldChar w:fldCharType="separate"/>
            </w:r>
            <w:r w:rsidR="00645316">
              <w:rPr>
                <w:rFonts w:ascii="Palatino Linotype" w:hAnsi="Palatino Linotype"/>
                <w:b/>
                <w:noProof/>
                <w:webHidden/>
                <w:color w:val="000000" w:themeColor="text1"/>
                <w:sz w:val="24"/>
                <w:szCs w:val="24"/>
              </w:rPr>
              <w:t>3</w:t>
            </w:r>
            <w:r w:rsidR="00116752" w:rsidRPr="002951D2">
              <w:rPr>
                <w:rFonts w:ascii="Palatino Linotype" w:hAnsi="Palatino Linotype"/>
                <w:b/>
                <w:noProof/>
                <w:webHidden/>
                <w:color w:val="000000" w:themeColor="text1"/>
                <w:sz w:val="24"/>
                <w:szCs w:val="24"/>
              </w:rPr>
              <w:fldChar w:fldCharType="end"/>
            </w:r>
          </w:hyperlink>
        </w:p>
        <w:p w:rsidR="00116752" w:rsidRPr="002951D2" w:rsidRDefault="00CA7383" w:rsidP="00116752">
          <w:pPr>
            <w:pStyle w:val="TDC1"/>
            <w:tabs>
              <w:tab w:val="right" w:leader="dot" w:pos="8828"/>
            </w:tabs>
            <w:rPr>
              <w:rFonts w:ascii="Palatino Linotype" w:eastAsiaTheme="minorEastAsia" w:hAnsi="Palatino Linotype"/>
              <w:b/>
              <w:noProof/>
              <w:color w:val="000000" w:themeColor="text1"/>
              <w:sz w:val="24"/>
              <w:szCs w:val="24"/>
              <w:lang w:eastAsia="es-MX"/>
            </w:rPr>
          </w:pPr>
          <w:hyperlink w:anchor="_Toc23430153" w:history="1">
            <w:r w:rsidR="00116752" w:rsidRPr="002951D2">
              <w:rPr>
                <w:rStyle w:val="Hipervnculo"/>
                <w:rFonts w:ascii="Palatino Linotype" w:eastAsiaTheme="majorEastAsia" w:hAnsi="Palatino Linotype" w:cstheme="majorBidi"/>
                <w:b/>
                <w:noProof/>
                <w:color w:val="000000" w:themeColor="text1"/>
                <w:sz w:val="24"/>
                <w:szCs w:val="24"/>
              </w:rPr>
              <w:t>C O N S I D E R A N D O</w:t>
            </w:r>
            <w:r w:rsidR="00116752" w:rsidRPr="002951D2">
              <w:rPr>
                <w:rFonts w:ascii="Palatino Linotype" w:hAnsi="Palatino Linotype"/>
                <w:b/>
                <w:noProof/>
                <w:webHidden/>
                <w:color w:val="000000" w:themeColor="text1"/>
                <w:sz w:val="24"/>
                <w:szCs w:val="24"/>
              </w:rPr>
              <w:tab/>
            </w:r>
            <w:r w:rsidR="00116752" w:rsidRPr="002951D2">
              <w:rPr>
                <w:rFonts w:ascii="Palatino Linotype" w:hAnsi="Palatino Linotype"/>
                <w:b/>
                <w:noProof/>
                <w:webHidden/>
                <w:color w:val="000000" w:themeColor="text1"/>
                <w:sz w:val="24"/>
                <w:szCs w:val="24"/>
              </w:rPr>
              <w:fldChar w:fldCharType="begin"/>
            </w:r>
            <w:r w:rsidR="00116752" w:rsidRPr="002951D2">
              <w:rPr>
                <w:rFonts w:ascii="Palatino Linotype" w:hAnsi="Palatino Linotype"/>
                <w:b/>
                <w:noProof/>
                <w:webHidden/>
                <w:color w:val="000000" w:themeColor="text1"/>
                <w:sz w:val="24"/>
                <w:szCs w:val="24"/>
              </w:rPr>
              <w:instrText xml:space="preserve"> PAGEREF _Toc23430153 \h </w:instrText>
            </w:r>
            <w:r w:rsidR="00116752" w:rsidRPr="002951D2">
              <w:rPr>
                <w:rFonts w:ascii="Palatino Linotype" w:hAnsi="Palatino Linotype"/>
                <w:b/>
                <w:noProof/>
                <w:webHidden/>
                <w:color w:val="000000" w:themeColor="text1"/>
                <w:sz w:val="24"/>
                <w:szCs w:val="24"/>
              </w:rPr>
            </w:r>
            <w:r w:rsidR="00116752" w:rsidRPr="002951D2">
              <w:rPr>
                <w:rFonts w:ascii="Palatino Linotype" w:hAnsi="Palatino Linotype"/>
                <w:b/>
                <w:noProof/>
                <w:webHidden/>
                <w:color w:val="000000" w:themeColor="text1"/>
                <w:sz w:val="24"/>
                <w:szCs w:val="24"/>
              </w:rPr>
              <w:fldChar w:fldCharType="separate"/>
            </w:r>
            <w:r w:rsidR="00645316">
              <w:rPr>
                <w:rFonts w:ascii="Palatino Linotype" w:hAnsi="Palatino Linotype"/>
                <w:b/>
                <w:noProof/>
                <w:webHidden/>
                <w:color w:val="000000" w:themeColor="text1"/>
                <w:sz w:val="24"/>
                <w:szCs w:val="24"/>
              </w:rPr>
              <w:t>11</w:t>
            </w:r>
            <w:r w:rsidR="00116752" w:rsidRPr="002951D2">
              <w:rPr>
                <w:rFonts w:ascii="Palatino Linotype" w:hAnsi="Palatino Linotype"/>
                <w:b/>
                <w:noProof/>
                <w:webHidden/>
                <w:color w:val="000000" w:themeColor="text1"/>
                <w:sz w:val="24"/>
                <w:szCs w:val="24"/>
              </w:rPr>
              <w:fldChar w:fldCharType="end"/>
            </w:r>
          </w:hyperlink>
        </w:p>
        <w:p w:rsidR="00116752" w:rsidRPr="002951D2" w:rsidRDefault="00CA7383" w:rsidP="00116752">
          <w:pPr>
            <w:pStyle w:val="TDC2"/>
            <w:tabs>
              <w:tab w:val="right" w:leader="dot" w:pos="8828"/>
            </w:tabs>
            <w:ind w:left="0"/>
            <w:rPr>
              <w:rFonts w:ascii="Palatino Linotype" w:eastAsiaTheme="minorEastAsia" w:hAnsi="Palatino Linotype"/>
              <w:b/>
              <w:noProof/>
              <w:color w:val="000000" w:themeColor="text1"/>
              <w:sz w:val="24"/>
              <w:szCs w:val="24"/>
              <w:lang w:eastAsia="es-MX"/>
            </w:rPr>
          </w:pPr>
          <w:hyperlink w:anchor="_Toc23430154" w:history="1">
            <w:r w:rsidR="00116752" w:rsidRPr="002951D2">
              <w:rPr>
                <w:rStyle w:val="Hipervnculo"/>
                <w:rFonts w:ascii="Palatino Linotype" w:eastAsiaTheme="majorEastAsia" w:hAnsi="Palatino Linotype" w:cstheme="majorBidi"/>
                <w:b/>
                <w:noProof/>
                <w:color w:val="000000" w:themeColor="text1"/>
                <w:sz w:val="24"/>
                <w:szCs w:val="24"/>
              </w:rPr>
              <w:t>PRIMERO. De la competencia</w:t>
            </w:r>
            <w:r w:rsidR="00116752" w:rsidRPr="002951D2">
              <w:rPr>
                <w:rFonts w:ascii="Palatino Linotype" w:hAnsi="Palatino Linotype"/>
                <w:b/>
                <w:noProof/>
                <w:webHidden/>
                <w:color w:val="000000" w:themeColor="text1"/>
                <w:sz w:val="24"/>
                <w:szCs w:val="24"/>
              </w:rPr>
              <w:tab/>
            </w:r>
            <w:r w:rsidR="00116752" w:rsidRPr="002951D2">
              <w:rPr>
                <w:rFonts w:ascii="Palatino Linotype" w:hAnsi="Palatino Linotype"/>
                <w:b/>
                <w:noProof/>
                <w:webHidden/>
                <w:color w:val="000000" w:themeColor="text1"/>
                <w:sz w:val="24"/>
                <w:szCs w:val="24"/>
              </w:rPr>
              <w:fldChar w:fldCharType="begin"/>
            </w:r>
            <w:r w:rsidR="00116752" w:rsidRPr="002951D2">
              <w:rPr>
                <w:rFonts w:ascii="Palatino Linotype" w:hAnsi="Palatino Linotype"/>
                <w:b/>
                <w:noProof/>
                <w:webHidden/>
                <w:color w:val="000000" w:themeColor="text1"/>
                <w:sz w:val="24"/>
                <w:szCs w:val="24"/>
              </w:rPr>
              <w:instrText xml:space="preserve"> PAGEREF _Toc23430154 \h </w:instrText>
            </w:r>
            <w:r w:rsidR="00116752" w:rsidRPr="002951D2">
              <w:rPr>
                <w:rFonts w:ascii="Palatino Linotype" w:hAnsi="Palatino Linotype"/>
                <w:b/>
                <w:noProof/>
                <w:webHidden/>
                <w:color w:val="000000" w:themeColor="text1"/>
                <w:sz w:val="24"/>
                <w:szCs w:val="24"/>
              </w:rPr>
            </w:r>
            <w:r w:rsidR="00116752" w:rsidRPr="002951D2">
              <w:rPr>
                <w:rFonts w:ascii="Palatino Linotype" w:hAnsi="Palatino Linotype"/>
                <w:b/>
                <w:noProof/>
                <w:webHidden/>
                <w:color w:val="000000" w:themeColor="text1"/>
                <w:sz w:val="24"/>
                <w:szCs w:val="24"/>
              </w:rPr>
              <w:fldChar w:fldCharType="separate"/>
            </w:r>
            <w:r w:rsidR="00645316">
              <w:rPr>
                <w:rFonts w:ascii="Palatino Linotype" w:hAnsi="Palatino Linotype"/>
                <w:b/>
                <w:noProof/>
                <w:webHidden/>
                <w:color w:val="000000" w:themeColor="text1"/>
                <w:sz w:val="24"/>
                <w:szCs w:val="24"/>
              </w:rPr>
              <w:t>11</w:t>
            </w:r>
            <w:r w:rsidR="00116752" w:rsidRPr="002951D2">
              <w:rPr>
                <w:rFonts w:ascii="Palatino Linotype" w:hAnsi="Palatino Linotype"/>
                <w:b/>
                <w:noProof/>
                <w:webHidden/>
                <w:color w:val="000000" w:themeColor="text1"/>
                <w:sz w:val="24"/>
                <w:szCs w:val="24"/>
              </w:rPr>
              <w:fldChar w:fldCharType="end"/>
            </w:r>
          </w:hyperlink>
        </w:p>
        <w:p w:rsidR="00116752" w:rsidRPr="002951D2" w:rsidRDefault="00CA7383" w:rsidP="00116752">
          <w:pPr>
            <w:pStyle w:val="TDC2"/>
            <w:tabs>
              <w:tab w:val="right" w:leader="dot" w:pos="8828"/>
            </w:tabs>
            <w:ind w:left="0"/>
            <w:rPr>
              <w:rFonts w:ascii="Palatino Linotype" w:eastAsiaTheme="minorEastAsia" w:hAnsi="Palatino Linotype"/>
              <w:b/>
              <w:noProof/>
              <w:color w:val="000000" w:themeColor="text1"/>
              <w:sz w:val="24"/>
              <w:szCs w:val="24"/>
              <w:lang w:eastAsia="es-MX"/>
            </w:rPr>
          </w:pPr>
          <w:hyperlink w:anchor="_Toc23430155" w:history="1">
            <w:r w:rsidR="00116752" w:rsidRPr="002951D2">
              <w:rPr>
                <w:rStyle w:val="Hipervnculo"/>
                <w:rFonts w:ascii="Palatino Linotype" w:eastAsiaTheme="majorEastAsia" w:hAnsi="Palatino Linotype" w:cstheme="majorBidi"/>
                <w:b/>
                <w:noProof/>
                <w:color w:val="000000" w:themeColor="text1"/>
                <w:sz w:val="24"/>
                <w:szCs w:val="24"/>
              </w:rPr>
              <w:t>SEGUNDO. De la oportunidad y procedencia.</w:t>
            </w:r>
            <w:r w:rsidR="00116752" w:rsidRPr="002951D2">
              <w:rPr>
                <w:rFonts w:ascii="Palatino Linotype" w:hAnsi="Palatino Linotype"/>
                <w:b/>
                <w:noProof/>
                <w:webHidden/>
                <w:color w:val="000000" w:themeColor="text1"/>
                <w:sz w:val="24"/>
                <w:szCs w:val="24"/>
              </w:rPr>
              <w:tab/>
            </w:r>
            <w:r w:rsidR="00116752" w:rsidRPr="002951D2">
              <w:rPr>
                <w:rFonts w:ascii="Palatino Linotype" w:hAnsi="Palatino Linotype"/>
                <w:b/>
                <w:noProof/>
                <w:webHidden/>
                <w:color w:val="000000" w:themeColor="text1"/>
                <w:sz w:val="24"/>
                <w:szCs w:val="24"/>
              </w:rPr>
              <w:fldChar w:fldCharType="begin"/>
            </w:r>
            <w:r w:rsidR="00116752" w:rsidRPr="002951D2">
              <w:rPr>
                <w:rFonts w:ascii="Palatino Linotype" w:hAnsi="Palatino Linotype"/>
                <w:b/>
                <w:noProof/>
                <w:webHidden/>
                <w:color w:val="000000" w:themeColor="text1"/>
                <w:sz w:val="24"/>
                <w:szCs w:val="24"/>
              </w:rPr>
              <w:instrText xml:space="preserve"> PAGEREF _Toc23430155 \h </w:instrText>
            </w:r>
            <w:r w:rsidR="00116752" w:rsidRPr="002951D2">
              <w:rPr>
                <w:rFonts w:ascii="Palatino Linotype" w:hAnsi="Palatino Linotype"/>
                <w:b/>
                <w:noProof/>
                <w:webHidden/>
                <w:color w:val="000000" w:themeColor="text1"/>
                <w:sz w:val="24"/>
                <w:szCs w:val="24"/>
              </w:rPr>
            </w:r>
            <w:r w:rsidR="00116752" w:rsidRPr="002951D2">
              <w:rPr>
                <w:rFonts w:ascii="Palatino Linotype" w:hAnsi="Palatino Linotype"/>
                <w:b/>
                <w:noProof/>
                <w:webHidden/>
                <w:color w:val="000000" w:themeColor="text1"/>
                <w:sz w:val="24"/>
                <w:szCs w:val="24"/>
              </w:rPr>
              <w:fldChar w:fldCharType="separate"/>
            </w:r>
            <w:r w:rsidR="00645316">
              <w:rPr>
                <w:rFonts w:ascii="Palatino Linotype" w:hAnsi="Palatino Linotype"/>
                <w:b/>
                <w:noProof/>
                <w:webHidden/>
                <w:color w:val="000000" w:themeColor="text1"/>
                <w:sz w:val="24"/>
                <w:szCs w:val="24"/>
              </w:rPr>
              <w:t>11</w:t>
            </w:r>
            <w:r w:rsidR="00116752" w:rsidRPr="002951D2">
              <w:rPr>
                <w:rFonts w:ascii="Palatino Linotype" w:hAnsi="Palatino Linotype"/>
                <w:b/>
                <w:noProof/>
                <w:webHidden/>
                <w:color w:val="000000" w:themeColor="text1"/>
                <w:sz w:val="24"/>
                <w:szCs w:val="24"/>
              </w:rPr>
              <w:fldChar w:fldCharType="end"/>
            </w:r>
          </w:hyperlink>
        </w:p>
        <w:p w:rsidR="00116752" w:rsidRPr="002951D2" w:rsidRDefault="00CA7383" w:rsidP="00116752">
          <w:pPr>
            <w:pStyle w:val="TDC1"/>
            <w:tabs>
              <w:tab w:val="right" w:leader="dot" w:pos="8828"/>
            </w:tabs>
            <w:rPr>
              <w:rFonts w:ascii="Palatino Linotype" w:eastAsiaTheme="minorEastAsia" w:hAnsi="Palatino Linotype"/>
              <w:b/>
              <w:noProof/>
              <w:color w:val="000000" w:themeColor="text1"/>
              <w:sz w:val="24"/>
              <w:szCs w:val="24"/>
              <w:lang w:eastAsia="es-MX"/>
            </w:rPr>
          </w:pPr>
          <w:hyperlink w:anchor="_Toc23430156" w:history="1">
            <w:r w:rsidR="00116752" w:rsidRPr="002951D2">
              <w:rPr>
                <w:rStyle w:val="Hipervnculo"/>
                <w:rFonts w:ascii="Palatino Linotype" w:eastAsia="MS Mincho" w:hAnsi="Palatino Linotype" w:cstheme="majorBidi"/>
                <w:b/>
                <w:noProof/>
                <w:color w:val="000000" w:themeColor="text1"/>
                <w:sz w:val="24"/>
                <w:szCs w:val="24"/>
                <w:lang w:val="es-ES_tradnl" w:eastAsia="es-ES"/>
              </w:rPr>
              <w:t>TERCERO. Del planteamiento de la Litis.</w:t>
            </w:r>
            <w:r w:rsidR="00116752" w:rsidRPr="002951D2">
              <w:rPr>
                <w:rFonts w:ascii="Palatino Linotype" w:hAnsi="Palatino Linotype"/>
                <w:b/>
                <w:noProof/>
                <w:webHidden/>
                <w:color w:val="000000" w:themeColor="text1"/>
                <w:sz w:val="24"/>
                <w:szCs w:val="24"/>
              </w:rPr>
              <w:tab/>
            </w:r>
            <w:r w:rsidR="00116752" w:rsidRPr="002951D2">
              <w:rPr>
                <w:rFonts w:ascii="Palatino Linotype" w:hAnsi="Palatino Linotype"/>
                <w:b/>
                <w:noProof/>
                <w:webHidden/>
                <w:color w:val="000000" w:themeColor="text1"/>
                <w:sz w:val="24"/>
                <w:szCs w:val="24"/>
              </w:rPr>
              <w:fldChar w:fldCharType="begin"/>
            </w:r>
            <w:r w:rsidR="00116752" w:rsidRPr="002951D2">
              <w:rPr>
                <w:rFonts w:ascii="Palatino Linotype" w:hAnsi="Palatino Linotype"/>
                <w:b/>
                <w:noProof/>
                <w:webHidden/>
                <w:color w:val="000000" w:themeColor="text1"/>
                <w:sz w:val="24"/>
                <w:szCs w:val="24"/>
              </w:rPr>
              <w:instrText xml:space="preserve"> PAGEREF _Toc23430156 \h </w:instrText>
            </w:r>
            <w:r w:rsidR="00116752" w:rsidRPr="002951D2">
              <w:rPr>
                <w:rFonts w:ascii="Palatino Linotype" w:hAnsi="Palatino Linotype"/>
                <w:b/>
                <w:noProof/>
                <w:webHidden/>
                <w:color w:val="000000" w:themeColor="text1"/>
                <w:sz w:val="24"/>
                <w:szCs w:val="24"/>
              </w:rPr>
            </w:r>
            <w:r w:rsidR="00116752" w:rsidRPr="002951D2">
              <w:rPr>
                <w:rFonts w:ascii="Palatino Linotype" w:hAnsi="Palatino Linotype"/>
                <w:b/>
                <w:noProof/>
                <w:webHidden/>
                <w:color w:val="000000" w:themeColor="text1"/>
                <w:sz w:val="24"/>
                <w:szCs w:val="24"/>
              </w:rPr>
              <w:fldChar w:fldCharType="separate"/>
            </w:r>
            <w:r w:rsidR="00645316">
              <w:rPr>
                <w:rFonts w:ascii="Palatino Linotype" w:hAnsi="Palatino Linotype"/>
                <w:b/>
                <w:noProof/>
                <w:webHidden/>
                <w:color w:val="000000" w:themeColor="text1"/>
                <w:sz w:val="24"/>
                <w:szCs w:val="24"/>
              </w:rPr>
              <w:t>13</w:t>
            </w:r>
            <w:r w:rsidR="00116752" w:rsidRPr="002951D2">
              <w:rPr>
                <w:rFonts w:ascii="Palatino Linotype" w:hAnsi="Palatino Linotype"/>
                <w:b/>
                <w:noProof/>
                <w:webHidden/>
                <w:color w:val="000000" w:themeColor="text1"/>
                <w:sz w:val="24"/>
                <w:szCs w:val="24"/>
              </w:rPr>
              <w:fldChar w:fldCharType="end"/>
            </w:r>
          </w:hyperlink>
        </w:p>
        <w:p w:rsidR="00116752" w:rsidRPr="002951D2" w:rsidRDefault="00CA7383" w:rsidP="00116752">
          <w:pPr>
            <w:pStyle w:val="TDC1"/>
            <w:tabs>
              <w:tab w:val="right" w:leader="dot" w:pos="8828"/>
            </w:tabs>
            <w:rPr>
              <w:rFonts w:ascii="Palatino Linotype" w:eastAsiaTheme="minorEastAsia" w:hAnsi="Palatino Linotype"/>
              <w:b/>
              <w:noProof/>
              <w:color w:val="000000" w:themeColor="text1"/>
              <w:sz w:val="24"/>
              <w:szCs w:val="24"/>
              <w:lang w:eastAsia="es-MX"/>
            </w:rPr>
          </w:pPr>
          <w:hyperlink w:anchor="_Toc23430157" w:history="1">
            <w:r w:rsidR="00116752" w:rsidRPr="002951D2">
              <w:rPr>
                <w:rStyle w:val="Hipervnculo"/>
                <w:rFonts w:ascii="Palatino Linotype" w:eastAsia="MS Gothic" w:hAnsi="Palatino Linotype" w:cstheme="majorBidi"/>
                <w:b/>
                <w:noProof/>
                <w:color w:val="000000" w:themeColor="text1"/>
                <w:sz w:val="24"/>
                <w:szCs w:val="24"/>
                <w:lang w:val="es-ES_tradnl" w:eastAsia="es-ES"/>
              </w:rPr>
              <w:t>CUARTO. Del estudio y resolución del recurso de revisión.</w:t>
            </w:r>
            <w:r w:rsidR="00116752" w:rsidRPr="002951D2">
              <w:rPr>
                <w:rFonts w:ascii="Palatino Linotype" w:hAnsi="Palatino Linotype"/>
                <w:b/>
                <w:noProof/>
                <w:webHidden/>
                <w:color w:val="000000" w:themeColor="text1"/>
                <w:sz w:val="24"/>
                <w:szCs w:val="24"/>
              </w:rPr>
              <w:tab/>
            </w:r>
            <w:r w:rsidR="00116752" w:rsidRPr="002951D2">
              <w:rPr>
                <w:rFonts w:ascii="Palatino Linotype" w:hAnsi="Palatino Linotype"/>
                <w:b/>
                <w:noProof/>
                <w:webHidden/>
                <w:color w:val="000000" w:themeColor="text1"/>
                <w:sz w:val="24"/>
                <w:szCs w:val="24"/>
              </w:rPr>
              <w:fldChar w:fldCharType="begin"/>
            </w:r>
            <w:r w:rsidR="00116752" w:rsidRPr="002951D2">
              <w:rPr>
                <w:rFonts w:ascii="Palatino Linotype" w:hAnsi="Palatino Linotype"/>
                <w:b/>
                <w:noProof/>
                <w:webHidden/>
                <w:color w:val="000000" w:themeColor="text1"/>
                <w:sz w:val="24"/>
                <w:szCs w:val="24"/>
              </w:rPr>
              <w:instrText xml:space="preserve"> PAGEREF _Toc23430157 \h </w:instrText>
            </w:r>
            <w:r w:rsidR="00116752" w:rsidRPr="002951D2">
              <w:rPr>
                <w:rFonts w:ascii="Palatino Linotype" w:hAnsi="Palatino Linotype"/>
                <w:b/>
                <w:noProof/>
                <w:webHidden/>
                <w:color w:val="000000" w:themeColor="text1"/>
                <w:sz w:val="24"/>
                <w:szCs w:val="24"/>
              </w:rPr>
            </w:r>
            <w:r w:rsidR="00116752" w:rsidRPr="002951D2">
              <w:rPr>
                <w:rFonts w:ascii="Palatino Linotype" w:hAnsi="Palatino Linotype"/>
                <w:b/>
                <w:noProof/>
                <w:webHidden/>
                <w:color w:val="000000" w:themeColor="text1"/>
                <w:sz w:val="24"/>
                <w:szCs w:val="24"/>
              </w:rPr>
              <w:fldChar w:fldCharType="separate"/>
            </w:r>
            <w:r w:rsidR="00645316">
              <w:rPr>
                <w:rFonts w:ascii="Palatino Linotype" w:hAnsi="Palatino Linotype"/>
                <w:b/>
                <w:noProof/>
                <w:webHidden/>
                <w:color w:val="000000" w:themeColor="text1"/>
                <w:sz w:val="24"/>
                <w:szCs w:val="24"/>
              </w:rPr>
              <w:t>13</w:t>
            </w:r>
            <w:r w:rsidR="00116752" w:rsidRPr="002951D2">
              <w:rPr>
                <w:rFonts w:ascii="Palatino Linotype" w:hAnsi="Palatino Linotype"/>
                <w:b/>
                <w:noProof/>
                <w:webHidden/>
                <w:color w:val="000000" w:themeColor="text1"/>
                <w:sz w:val="24"/>
                <w:szCs w:val="24"/>
              </w:rPr>
              <w:fldChar w:fldCharType="end"/>
            </w:r>
          </w:hyperlink>
        </w:p>
        <w:p w:rsidR="00116752" w:rsidRPr="002951D2" w:rsidRDefault="00CA7383" w:rsidP="00116752">
          <w:pPr>
            <w:pStyle w:val="TDC1"/>
            <w:tabs>
              <w:tab w:val="left" w:pos="440"/>
              <w:tab w:val="right" w:leader="dot" w:pos="8828"/>
            </w:tabs>
            <w:rPr>
              <w:rFonts w:ascii="Palatino Linotype" w:eastAsiaTheme="minorEastAsia" w:hAnsi="Palatino Linotype"/>
              <w:b/>
              <w:noProof/>
              <w:color w:val="000000" w:themeColor="text1"/>
              <w:sz w:val="24"/>
              <w:szCs w:val="24"/>
              <w:lang w:eastAsia="es-MX"/>
            </w:rPr>
          </w:pPr>
          <w:hyperlink w:anchor="_Toc23430158" w:history="1">
            <w:r w:rsidR="00116752" w:rsidRPr="002951D2">
              <w:rPr>
                <w:rStyle w:val="Hipervnculo"/>
                <w:rFonts w:ascii="Palatino Linotype" w:hAnsi="Palatino Linotype"/>
                <w:b/>
                <w:i/>
                <w:noProof/>
                <w:color w:val="000000" w:themeColor="text1"/>
                <w:sz w:val="24"/>
                <w:szCs w:val="24"/>
                <w:lang w:val="es-ES_tradnl" w:eastAsia="es-MX"/>
              </w:rPr>
              <w:t>I.</w:t>
            </w:r>
            <w:r w:rsidR="00116752" w:rsidRPr="002951D2">
              <w:rPr>
                <w:rFonts w:ascii="Palatino Linotype" w:eastAsiaTheme="minorEastAsia" w:hAnsi="Palatino Linotype"/>
                <w:b/>
                <w:noProof/>
                <w:color w:val="000000" w:themeColor="text1"/>
                <w:sz w:val="24"/>
                <w:szCs w:val="24"/>
                <w:lang w:eastAsia="es-MX"/>
              </w:rPr>
              <w:tab/>
            </w:r>
            <w:r w:rsidR="00116752" w:rsidRPr="002951D2">
              <w:rPr>
                <w:rStyle w:val="Hipervnculo"/>
                <w:rFonts w:ascii="Palatino Linotype" w:eastAsia="MS Gothic" w:hAnsi="Palatino Linotype" w:cstheme="majorBidi"/>
                <w:b/>
                <w:i/>
                <w:noProof/>
                <w:color w:val="000000" w:themeColor="text1"/>
                <w:sz w:val="24"/>
                <w:szCs w:val="24"/>
              </w:rPr>
              <w:t>El derecho de acceso a la información publica</w:t>
            </w:r>
            <w:r w:rsidR="00116752" w:rsidRPr="002951D2">
              <w:rPr>
                <w:rStyle w:val="Hipervnculo"/>
                <w:rFonts w:ascii="Palatino Linotype" w:eastAsia="MS Mincho" w:hAnsi="Palatino Linotype" w:cs="Arial"/>
                <w:b/>
                <w:i/>
                <w:noProof/>
                <w:color w:val="000000" w:themeColor="text1"/>
                <w:sz w:val="24"/>
                <w:szCs w:val="24"/>
                <w:lang w:val="es-ES_tradnl" w:eastAsia="es-MX"/>
              </w:rPr>
              <w:t>.</w:t>
            </w:r>
            <w:r w:rsidR="00116752" w:rsidRPr="002951D2">
              <w:rPr>
                <w:rFonts w:ascii="Palatino Linotype" w:hAnsi="Palatino Linotype"/>
                <w:b/>
                <w:noProof/>
                <w:webHidden/>
                <w:color w:val="000000" w:themeColor="text1"/>
                <w:sz w:val="24"/>
                <w:szCs w:val="24"/>
              </w:rPr>
              <w:tab/>
            </w:r>
            <w:r w:rsidR="00116752" w:rsidRPr="002951D2">
              <w:rPr>
                <w:rFonts w:ascii="Palatino Linotype" w:hAnsi="Palatino Linotype"/>
                <w:b/>
                <w:noProof/>
                <w:webHidden/>
                <w:color w:val="000000" w:themeColor="text1"/>
                <w:sz w:val="24"/>
                <w:szCs w:val="24"/>
              </w:rPr>
              <w:fldChar w:fldCharType="begin"/>
            </w:r>
            <w:r w:rsidR="00116752" w:rsidRPr="002951D2">
              <w:rPr>
                <w:rFonts w:ascii="Palatino Linotype" w:hAnsi="Palatino Linotype"/>
                <w:b/>
                <w:noProof/>
                <w:webHidden/>
                <w:color w:val="000000" w:themeColor="text1"/>
                <w:sz w:val="24"/>
                <w:szCs w:val="24"/>
              </w:rPr>
              <w:instrText xml:space="preserve"> PAGEREF _Toc23430158 \h </w:instrText>
            </w:r>
            <w:r w:rsidR="00116752" w:rsidRPr="002951D2">
              <w:rPr>
                <w:rFonts w:ascii="Palatino Linotype" w:hAnsi="Palatino Linotype"/>
                <w:b/>
                <w:noProof/>
                <w:webHidden/>
                <w:color w:val="000000" w:themeColor="text1"/>
                <w:sz w:val="24"/>
                <w:szCs w:val="24"/>
              </w:rPr>
            </w:r>
            <w:r w:rsidR="00116752" w:rsidRPr="002951D2">
              <w:rPr>
                <w:rFonts w:ascii="Palatino Linotype" w:hAnsi="Palatino Linotype"/>
                <w:b/>
                <w:noProof/>
                <w:webHidden/>
                <w:color w:val="000000" w:themeColor="text1"/>
                <w:sz w:val="24"/>
                <w:szCs w:val="24"/>
              </w:rPr>
              <w:fldChar w:fldCharType="separate"/>
            </w:r>
            <w:r w:rsidR="00645316">
              <w:rPr>
                <w:rFonts w:ascii="Palatino Linotype" w:hAnsi="Palatino Linotype"/>
                <w:b/>
                <w:noProof/>
                <w:webHidden/>
                <w:color w:val="000000" w:themeColor="text1"/>
                <w:sz w:val="24"/>
                <w:szCs w:val="24"/>
              </w:rPr>
              <w:t>14</w:t>
            </w:r>
            <w:r w:rsidR="00116752" w:rsidRPr="002951D2">
              <w:rPr>
                <w:rFonts w:ascii="Palatino Linotype" w:hAnsi="Palatino Linotype"/>
                <w:b/>
                <w:noProof/>
                <w:webHidden/>
                <w:color w:val="000000" w:themeColor="text1"/>
                <w:sz w:val="24"/>
                <w:szCs w:val="24"/>
              </w:rPr>
              <w:fldChar w:fldCharType="end"/>
            </w:r>
          </w:hyperlink>
        </w:p>
        <w:p w:rsidR="00116752" w:rsidRPr="002951D2" w:rsidRDefault="00CA7383" w:rsidP="00116752">
          <w:pPr>
            <w:pStyle w:val="TDC2"/>
            <w:tabs>
              <w:tab w:val="right" w:leader="dot" w:pos="8828"/>
            </w:tabs>
            <w:ind w:left="0"/>
            <w:rPr>
              <w:rFonts w:ascii="Palatino Linotype" w:eastAsiaTheme="minorEastAsia" w:hAnsi="Palatino Linotype"/>
              <w:b/>
              <w:noProof/>
              <w:color w:val="000000" w:themeColor="text1"/>
              <w:sz w:val="24"/>
              <w:szCs w:val="24"/>
              <w:lang w:eastAsia="es-MX"/>
            </w:rPr>
          </w:pPr>
          <w:hyperlink w:anchor="_Toc23430159" w:history="1">
            <w:r w:rsidR="00116752" w:rsidRPr="002951D2">
              <w:rPr>
                <w:rStyle w:val="Hipervnculo"/>
                <w:rFonts w:ascii="Palatino Linotype" w:eastAsia="MS Mincho" w:hAnsi="Palatino Linotype" w:cstheme="majorBidi"/>
                <w:b/>
                <w:i/>
                <w:noProof/>
                <w:color w:val="000000" w:themeColor="text1"/>
                <w:sz w:val="24"/>
                <w:szCs w:val="24"/>
                <w:lang w:val="es-ES_tradnl" w:eastAsia="es-ES"/>
              </w:rPr>
              <w:t>II. De la información solicitada y la respuesta</w:t>
            </w:r>
            <w:r w:rsidR="00116752" w:rsidRPr="002951D2">
              <w:rPr>
                <w:rFonts w:ascii="Palatino Linotype" w:hAnsi="Palatino Linotype"/>
                <w:b/>
                <w:noProof/>
                <w:webHidden/>
                <w:color w:val="000000" w:themeColor="text1"/>
                <w:sz w:val="24"/>
                <w:szCs w:val="24"/>
              </w:rPr>
              <w:tab/>
            </w:r>
            <w:r w:rsidR="00116752" w:rsidRPr="002951D2">
              <w:rPr>
                <w:rFonts w:ascii="Palatino Linotype" w:hAnsi="Palatino Linotype"/>
                <w:b/>
                <w:noProof/>
                <w:webHidden/>
                <w:color w:val="000000" w:themeColor="text1"/>
                <w:sz w:val="24"/>
                <w:szCs w:val="24"/>
              </w:rPr>
              <w:fldChar w:fldCharType="begin"/>
            </w:r>
            <w:r w:rsidR="00116752" w:rsidRPr="002951D2">
              <w:rPr>
                <w:rFonts w:ascii="Palatino Linotype" w:hAnsi="Palatino Linotype"/>
                <w:b/>
                <w:noProof/>
                <w:webHidden/>
                <w:color w:val="000000" w:themeColor="text1"/>
                <w:sz w:val="24"/>
                <w:szCs w:val="24"/>
              </w:rPr>
              <w:instrText xml:space="preserve"> PAGEREF _Toc23430159 \h </w:instrText>
            </w:r>
            <w:r w:rsidR="00116752" w:rsidRPr="002951D2">
              <w:rPr>
                <w:rFonts w:ascii="Palatino Linotype" w:hAnsi="Palatino Linotype"/>
                <w:b/>
                <w:noProof/>
                <w:webHidden/>
                <w:color w:val="000000" w:themeColor="text1"/>
                <w:sz w:val="24"/>
                <w:szCs w:val="24"/>
              </w:rPr>
            </w:r>
            <w:r w:rsidR="00116752" w:rsidRPr="002951D2">
              <w:rPr>
                <w:rFonts w:ascii="Palatino Linotype" w:hAnsi="Palatino Linotype"/>
                <w:b/>
                <w:noProof/>
                <w:webHidden/>
                <w:color w:val="000000" w:themeColor="text1"/>
                <w:sz w:val="24"/>
                <w:szCs w:val="24"/>
              </w:rPr>
              <w:fldChar w:fldCharType="separate"/>
            </w:r>
            <w:r w:rsidR="00645316">
              <w:rPr>
                <w:rFonts w:ascii="Palatino Linotype" w:hAnsi="Palatino Linotype"/>
                <w:b/>
                <w:noProof/>
                <w:webHidden/>
                <w:color w:val="000000" w:themeColor="text1"/>
                <w:sz w:val="24"/>
                <w:szCs w:val="24"/>
              </w:rPr>
              <w:t>15</w:t>
            </w:r>
            <w:r w:rsidR="00116752" w:rsidRPr="002951D2">
              <w:rPr>
                <w:rFonts w:ascii="Palatino Linotype" w:hAnsi="Palatino Linotype"/>
                <w:b/>
                <w:noProof/>
                <w:webHidden/>
                <w:color w:val="000000" w:themeColor="text1"/>
                <w:sz w:val="24"/>
                <w:szCs w:val="24"/>
              </w:rPr>
              <w:fldChar w:fldCharType="end"/>
            </w:r>
          </w:hyperlink>
        </w:p>
        <w:p w:rsidR="00116752" w:rsidRPr="002951D2" w:rsidRDefault="00CA7383" w:rsidP="00116752">
          <w:pPr>
            <w:pStyle w:val="TDC1"/>
            <w:tabs>
              <w:tab w:val="right" w:leader="dot" w:pos="8828"/>
            </w:tabs>
            <w:rPr>
              <w:rFonts w:ascii="Palatino Linotype" w:eastAsiaTheme="minorEastAsia" w:hAnsi="Palatino Linotype"/>
              <w:b/>
              <w:noProof/>
              <w:color w:val="000000" w:themeColor="text1"/>
              <w:sz w:val="24"/>
              <w:szCs w:val="24"/>
              <w:lang w:eastAsia="es-MX"/>
            </w:rPr>
          </w:pPr>
          <w:hyperlink w:anchor="_Toc23430160" w:history="1">
            <w:r w:rsidR="00116752" w:rsidRPr="002951D2">
              <w:rPr>
                <w:rStyle w:val="Hipervnculo"/>
                <w:rFonts w:ascii="Palatino Linotype" w:eastAsia="MS Mincho" w:hAnsi="Palatino Linotype"/>
                <w:b/>
                <w:i/>
                <w:noProof/>
                <w:color w:val="000000" w:themeColor="text1"/>
                <w:sz w:val="24"/>
                <w:szCs w:val="24"/>
                <w:lang w:val="es-ES_tradnl" w:eastAsia="es-ES"/>
              </w:rPr>
              <w:t>III El derecho e petición y de acceso a la información pública.</w:t>
            </w:r>
            <w:r w:rsidR="00116752" w:rsidRPr="002951D2">
              <w:rPr>
                <w:rFonts w:ascii="Palatino Linotype" w:hAnsi="Palatino Linotype"/>
                <w:b/>
                <w:noProof/>
                <w:webHidden/>
                <w:color w:val="000000" w:themeColor="text1"/>
                <w:sz w:val="24"/>
                <w:szCs w:val="24"/>
              </w:rPr>
              <w:tab/>
            </w:r>
            <w:r w:rsidR="00116752" w:rsidRPr="002951D2">
              <w:rPr>
                <w:rFonts w:ascii="Palatino Linotype" w:hAnsi="Palatino Linotype"/>
                <w:b/>
                <w:noProof/>
                <w:webHidden/>
                <w:color w:val="000000" w:themeColor="text1"/>
                <w:sz w:val="24"/>
                <w:szCs w:val="24"/>
              </w:rPr>
              <w:fldChar w:fldCharType="begin"/>
            </w:r>
            <w:r w:rsidR="00116752" w:rsidRPr="002951D2">
              <w:rPr>
                <w:rFonts w:ascii="Palatino Linotype" w:hAnsi="Palatino Linotype"/>
                <w:b/>
                <w:noProof/>
                <w:webHidden/>
                <w:color w:val="000000" w:themeColor="text1"/>
                <w:sz w:val="24"/>
                <w:szCs w:val="24"/>
              </w:rPr>
              <w:instrText xml:space="preserve"> PAGEREF _Toc23430160 \h </w:instrText>
            </w:r>
            <w:r w:rsidR="00116752" w:rsidRPr="002951D2">
              <w:rPr>
                <w:rFonts w:ascii="Palatino Linotype" w:hAnsi="Palatino Linotype"/>
                <w:b/>
                <w:noProof/>
                <w:webHidden/>
                <w:color w:val="000000" w:themeColor="text1"/>
                <w:sz w:val="24"/>
                <w:szCs w:val="24"/>
              </w:rPr>
            </w:r>
            <w:r w:rsidR="00116752" w:rsidRPr="002951D2">
              <w:rPr>
                <w:rFonts w:ascii="Palatino Linotype" w:hAnsi="Palatino Linotype"/>
                <w:b/>
                <w:noProof/>
                <w:webHidden/>
                <w:color w:val="000000" w:themeColor="text1"/>
                <w:sz w:val="24"/>
                <w:szCs w:val="24"/>
              </w:rPr>
              <w:fldChar w:fldCharType="separate"/>
            </w:r>
            <w:r w:rsidR="00645316">
              <w:rPr>
                <w:rFonts w:ascii="Palatino Linotype" w:hAnsi="Palatino Linotype"/>
                <w:b/>
                <w:noProof/>
                <w:webHidden/>
                <w:color w:val="000000" w:themeColor="text1"/>
                <w:sz w:val="24"/>
                <w:szCs w:val="24"/>
              </w:rPr>
              <w:t>18</w:t>
            </w:r>
            <w:r w:rsidR="00116752" w:rsidRPr="002951D2">
              <w:rPr>
                <w:rFonts w:ascii="Palatino Linotype" w:hAnsi="Palatino Linotype"/>
                <w:b/>
                <w:noProof/>
                <w:webHidden/>
                <w:color w:val="000000" w:themeColor="text1"/>
                <w:sz w:val="24"/>
                <w:szCs w:val="24"/>
              </w:rPr>
              <w:fldChar w:fldCharType="end"/>
            </w:r>
          </w:hyperlink>
        </w:p>
        <w:p w:rsidR="00116752" w:rsidRPr="002951D2" w:rsidRDefault="00CA7383" w:rsidP="00116752">
          <w:pPr>
            <w:pStyle w:val="TDC1"/>
            <w:tabs>
              <w:tab w:val="right" w:leader="dot" w:pos="8828"/>
            </w:tabs>
            <w:rPr>
              <w:rFonts w:ascii="Palatino Linotype" w:eastAsiaTheme="minorEastAsia" w:hAnsi="Palatino Linotype"/>
              <w:b/>
              <w:noProof/>
              <w:color w:val="000000" w:themeColor="text1"/>
              <w:sz w:val="24"/>
              <w:szCs w:val="24"/>
              <w:lang w:eastAsia="es-MX"/>
            </w:rPr>
          </w:pPr>
          <w:hyperlink w:anchor="_Toc23430161" w:history="1">
            <w:r w:rsidR="00116752" w:rsidRPr="002951D2">
              <w:rPr>
                <w:rStyle w:val="Hipervnculo"/>
                <w:rFonts w:ascii="Palatino Linotype" w:eastAsia="MS Mincho" w:hAnsi="Palatino Linotype"/>
                <w:b/>
                <w:i/>
                <w:noProof/>
                <w:color w:val="000000" w:themeColor="text1"/>
                <w:sz w:val="24"/>
                <w:szCs w:val="24"/>
                <w:lang w:val="es-ES_tradnl" w:eastAsia="es-ES"/>
              </w:rPr>
              <w:t>IV. De la plus petitio</w:t>
            </w:r>
            <w:r w:rsidR="00116752" w:rsidRPr="002951D2">
              <w:rPr>
                <w:rFonts w:ascii="Palatino Linotype" w:hAnsi="Palatino Linotype"/>
                <w:b/>
                <w:noProof/>
                <w:webHidden/>
                <w:color w:val="000000" w:themeColor="text1"/>
                <w:sz w:val="24"/>
                <w:szCs w:val="24"/>
              </w:rPr>
              <w:tab/>
            </w:r>
            <w:r w:rsidR="00116752" w:rsidRPr="002951D2">
              <w:rPr>
                <w:rFonts w:ascii="Palatino Linotype" w:hAnsi="Palatino Linotype"/>
                <w:b/>
                <w:noProof/>
                <w:webHidden/>
                <w:color w:val="000000" w:themeColor="text1"/>
                <w:sz w:val="24"/>
                <w:szCs w:val="24"/>
              </w:rPr>
              <w:fldChar w:fldCharType="begin"/>
            </w:r>
            <w:r w:rsidR="00116752" w:rsidRPr="002951D2">
              <w:rPr>
                <w:rFonts w:ascii="Palatino Linotype" w:hAnsi="Palatino Linotype"/>
                <w:b/>
                <w:noProof/>
                <w:webHidden/>
                <w:color w:val="000000" w:themeColor="text1"/>
                <w:sz w:val="24"/>
                <w:szCs w:val="24"/>
              </w:rPr>
              <w:instrText xml:space="preserve"> PAGEREF _Toc23430161 \h </w:instrText>
            </w:r>
            <w:r w:rsidR="00116752" w:rsidRPr="002951D2">
              <w:rPr>
                <w:rFonts w:ascii="Palatino Linotype" w:hAnsi="Palatino Linotype"/>
                <w:b/>
                <w:noProof/>
                <w:webHidden/>
                <w:color w:val="000000" w:themeColor="text1"/>
                <w:sz w:val="24"/>
                <w:szCs w:val="24"/>
              </w:rPr>
            </w:r>
            <w:r w:rsidR="00116752" w:rsidRPr="002951D2">
              <w:rPr>
                <w:rFonts w:ascii="Palatino Linotype" w:hAnsi="Palatino Linotype"/>
                <w:b/>
                <w:noProof/>
                <w:webHidden/>
                <w:color w:val="000000" w:themeColor="text1"/>
                <w:sz w:val="24"/>
                <w:szCs w:val="24"/>
              </w:rPr>
              <w:fldChar w:fldCharType="separate"/>
            </w:r>
            <w:r w:rsidR="00645316">
              <w:rPr>
                <w:rFonts w:ascii="Palatino Linotype" w:hAnsi="Palatino Linotype"/>
                <w:b/>
                <w:noProof/>
                <w:webHidden/>
                <w:color w:val="000000" w:themeColor="text1"/>
                <w:sz w:val="24"/>
                <w:szCs w:val="24"/>
              </w:rPr>
              <w:t>21</w:t>
            </w:r>
            <w:r w:rsidR="00116752" w:rsidRPr="002951D2">
              <w:rPr>
                <w:rFonts w:ascii="Palatino Linotype" w:hAnsi="Palatino Linotype"/>
                <w:b/>
                <w:noProof/>
                <w:webHidden/>
                <w:color w:val="000000" w:themeColor="text1"/>
                <w:sz w:val="24"/>
                <w:szCs w:val="24"/>
              </w:rPr>
              <w:fldChar w:fldCharType="end"/>
            </w:r>
          </w:hyperlink>
        </w:p>
        <w:p w:rsidR="00116752" w:rsidRPr="002951D2" w:rsidRDefault="00CA7383" w:rsidP="00116752">
          <w:pPr>
            <w:pStyle w:val="TDC1"/>
            <w:tabs>
              <w:tab w:val="left" w:pos="440"/>
              <w:tab w:val="right" w:leader="dot" w:pos="8828"/>
            </w:tabs>
            <w:rPr>
              <w:rFonts w:ascii="Palatino Linotype" w:eastAsiaTheme="minorEastAsia" w:hAnsi="Palatino Linotype"/>
              <w:b/>
              <w:noProof/>
              <w:color w:val="000000" w:themeColor="text1"/>
              <w:sz w:val="24"/>
              <w:szCs w:val="24"/>
              <w:lang w:eastAsia="es-MX"/>
            </w:rPr>
          </w:pPr>
          <w:hyperlink w:anchor="_Toc23430162" w:history="1">
            <w:r w:rsidR="00116752" w:rsidRPr="002951D2">
              <w:rPr>
                <w:rStyle w:val="Hipervnculo"/>
                <w:rFonts w:ascii="Palatino Linotype" w:eastAsia="MS Mincho" w:hAnsi="Palatino Linotype" w:cstheme="majorBidi"/>
                <w:b/>
                <w:i/>
                <w:noProof/>
                <w:color w:val="000000" w:themeColor="text1"/>
                <w:sz w:val="24"/>
                <w:szCs w:val="24"/>
                <w:lang w:val="es-ES_tradnl" w:eastAsia="es-ES"/>
              </w:rPr>
              <w:t>V.</w:t>
            </w:r>
            <w:r w:rsidR="00116752" w:rsidRPr="002951D2">
              <w:rPr>
                <w:rFonts w:ascii="Palatino Linotype" w:eastAsiaTheme="minorEastAsia" w:hAnsi="Palatino Linotype"/>
                <w:b/>
                <w:noProof/>
                <w:color w:val="000000" w:themeColor="text1"/>
                <w:sz w:val="24"/>
                <w:szCs w:val="24"/>
                <w:lang w:eastAsia="es-MX"/>
              </w:rPr>
              <w:tab/>
            </w:r>
            <w:r w:rsidR="00116752" w:rsidRPr="002951D2">
              <w:rPr>
                <w:rStyle w:val="Hipervnculo"/>
                <w:rFonts w:ascii="Palatino Linotype" w:eastAsia="MS Mincho" w:hAnsi="Palatino Linotype" w:cstheme="majorBidi"/>
                <w:b/>
                <w:i/>
                <w:noProof/>
                <w:color w:val="000000" w:themeColor="text1"/>
                <w:sz w:val="24"/>
                <w:szCs w:val="24"/>
                <w:lang w:val="es-ES_tradnl" w:eastAsia="es-ES"/>
              </w:rPr>
              <w:t>De la naturaleza de la información.</w:t>
            </w:r>
            <w:r w:rsidR="00116752" w:rsidRPr="002951D2">
              <w:rPr>
                <w:rFonts w:ascii="Palatino Linotype" w:hAnsi="Palatino Linotype"/>
                <w:b/>
                <w:noProof/>
                <w:webHidden/>
                <w:color w:val="000000" w:themeColor="text1"/>
                <w:sz w:val="24"/>
                <w:szCs w:val="24"/>
              </w:rPr>
              <w:tab/>
            </w:r>
            <w:r w:rsidR="00116752" w:rsidRPr="002951D2">
              <w:rPr>
                <w:rFonts w:ascii="Palatino Linotype" w:hAnsi="Palatino Linotype"/>
                <w:b/>
                <w:noProof/>
                <w:webHidden/>
                <w:color w:val="000000" w:themeColor="text1"/>
                <w:sz w:val="24"/>
                <w:szCs w:val="24"/>
              </w:rPr>
              <w:fldChar w:fldCharType="begin"/>
            </w:r>
            <w:r w:rsidR="00116752" w:rsidRPr="002951D2">
              <w:rPr>
                <w:rFonts w:ascii="Palatino Linotype" w:hAnsi="Palatino Linotype"/>
                <w:b/>
                <w:noProof/>
                <w:webHidden/>
                <w:color w:val="000000" w:themeColor="text1"/>
                <w:sz w:val="24"/>
                <w:szCs w:val="24"/>
              </w:rPr>
              <w:instrText xml:space="preserve"> PAGEREF _Toc23430162 \h </w:instrText>
            </w:r>
            <w:r w:rsidR="00116752" w:rsidRPr="002951D2">
              <w:rPr>
                <w:rFonts w:ascii="Palatino Linotype" w:hAnsi="Palatino Linotype"/>
                <w:b/>
                <w:noProof/>
                <w:webHidden/>
                <w:color w:val="000000" w:themeColor="text1"/>
                <w:sz w:val="24"/>
                <w:szCs w:val="24"/>
              </w:rPr>
            </w:r>
            <w:r w:rsidR="00116752" w:rsidRPr="002951D2">
              <w:rPr>
                <w:rFonts w:ascii="Palatino Linotype" w:hAnsi="Palatino Linotype"/>
                <w:b/>
                <w:noProof/>
                <w:webHidden/>
                <w:color w:val="000000" w:themeColor="text1"/>
                <w:sz w:val="24"/>
                <w:szCs w:val="24"/>
              </w:rPr>
              <w:fldChar w:fldCharType="separate"/>
            </w:r>
            <w:r w:rsidR="00645316">
              <w:rPr>
                <w:rFonts w:ascii="Palatino Linotype" w:hAnsi="Palatino Linotype"/>
                <w:b/>
                <w:noProof/>
                <w:webHidden/>
                <w:color w:val="000000" w:themeColor="text1"/>
                <w:sz w:val="24"/>
                <w:szCs w:val="24"/>
              </w:rPr>
              <w:t>27</w:t>
            </w:r>
            <w:r w:rsidR="00116752" w:rsidRPr="002951D2">
              <w:rPr>
                <w:rFonts w:ascii="Palatino Linotype" w:hAnsi="Palatino Linotype"/>
                <w:b/>
                <w:noProof/>
                <w:webHidden/>
                <w:color w:val="000000" w:themeColor="text1"/>
                <w:sz w:val="24"/>
                <w:szCs w:val="24"/>
              </w:rPr>
              <w:fldChar w:fldCharType="end"/>
            </w:r>
          </w:hyperlink>
        </w:p>
        <w:p w:rsidR="00116752" w:rsidRPr="002951D2" w:rsidRDefault="00CA7383" w:rsidP="00116752">
          <w:pPr>
            <w:pStyle w:val="TDC1"/>
            <w:tabs>
              <w:tab w:val="left" w:pos="660"/>
              <w:tab w:val="right" w:leader="dot" w:pos="8828"/>
            </w:tabs>
            <w:rPr>
              <w:rFonts w:ascii="Palatino Linotype" w:eastAsiaTheme="minorEastAsia" w:hAnsi="Palatino Linotype"/>
              <w:b/>
              <w:noProof/>
              <w:color w:val="000000" w:themeColor="text1"/>
              <w:sz w:val="24"/>
              <w:szCs w:val="24"/>
              <w:lang w:eastAsia="es-MX"/>
            </w:rPr>
          </w:pPr>
          <w:hyperlink w:anchor="_Toc23430163" w:history="1">
            <w:r w:rsidR="00116752" w:rsidRPr="002951D2">
              <w:rPr>
                <w:rStyle w:val="Hipervnculo"/>
                <w:rFonts w:ascii="Palatino Linotype" w:hAnsi="Palatino Linotype"/>
                <w:b/>
                <w:i/>
                <w:noProof/>
                <w:color w:val="000000" w:themeColor="text1"/>
                <w:sz w:val="24"/>
                <w:szCs w:val="24"/>
                <w:lang w:eastAsia="es-MX"/>
              </w:rPr>
              <w:t>VI.</w:t>
            </w:r>
            <w:r w:rsidR="00116752" w:rsidRPr="002951D2">
              <w:rPr>
                <w:rFonts w:ascii="Palatino Linotype" w:eastAsiaTheme="minorEastAsia" w:hAnsi="Palatino Linotype"/>
                <w:b/>
                <w:noProof/>
                <w:color w:val="000000" w:themeColor="text1"/>
                <w:sz w:val="24"/>
                <w:szCs w:val="24"/>
                <w:lang w:eastAsia="es-MX"/>
              </w:rPr>
              <w:tab/>
            </w:r>
            <w:r w:rsidR="00116752" w:rsidRPr="002951D2">
              <w:rPr>
                <w:rStyle w:val="Hipervnculo"/>
                <w:rFonts w:ascii="Palatino Linotype" w:hAnsi="Palatino Linotype"/>
                <w:b/>
                <w:i/>
                <w:noProof/>
                <w:color w:val="000000" w:themeColor="text1"/>
                <w:sz w:val="24"/>
                <w:szCs w:val="24"/>
                <w:lang w:eastAsia="es-MX"/>
              </w:rPr>
              <w:t>De las restricciones a la información pública</w:t>
            </w:r>
            <w:r w:rsidR="00116752" w:rsidRPr="002951D2">
              <w:rPr>
                <w:rFonts w:ascii="Palatino Linotype" w:hAnsi="Palatino Linotype"/>
                <w:b/>
                <w:noProof/>
                <w:webHidden/>
                <w:color w:val="000000" w:themeColor="text1"/>
                <w:sz w:val="24"/>
                <w:szCs w:val="24"/>
              </w:rPr>
              <w:tab/>
            </w:r>
            <w:r w:rsidR="00116752" w:rsidRPr="002951D2">
              <w:rPr>
                <w:rFonts w:ascii="Palatino Linotype" w:hAnsi="Palatino Linotype"/>
                <w:b/>
                <w:noProof/>
                <w:webHidden/>
                <w:color w:val="000000" w:themeColor="text1"/>
                <w:sz w:val="24"/>
                <w:szCs w:val="24"/>
              </w:rPr>
              <w:fldChar w:fldCharType="begin"/>
            </w:r>
            <w:r w:rsidR="00116752" w:rsidRPr="002951D2">
              <w:rPr>
                <w:rFonts w:ascii="Palatino Linotype" w:hAnsi="Palatino Linotype"/>
                <w:b/>
                <w:noProof/>
                <w:webHidden/>
                <w:color w:val="000000" w:themeColor="text1"/>
                <w:sz w:val="24"/>
                <w:szCs w:val="24"/>
              </w:rPr>
              <w:instrText xml:space="preserve"> PAGEREF _Toc23430163 \h </w:instrText>
            </w:r>
            <w:r w:rsidR="00116752" w:rsidRPr="002951D2">
              <w:rPr>
                <w:rFonts w:ascii="Palatino Linotype" w:hAnsi="Palatino Linotype"/>
                <w:b/>
                <w:noProof/>
                <w:webHidden/>
                <w:color w:val="000000" w:themeColor="text1"/>
                <w:sz w:val="24"/>
                <w:szCs w:val="24"/>
              </w:rPr>
            </w:r>
            <w:r w:rsidR="00116752" w:rsidRPr="002951D2">
              <w:rPr>
                <w:rFonts w:ascii="Palatino Linotype" w:hAnsi="Palatino Linotype"/>
                <w:b/>
                <w:noProof/>
                <w:webHidden/>
                <w:color w:val="000000" w:themeColor="text1"/>
                <w:sz w:val="24"/>
                <w:szCs w:val="24"/>
              </w:rPr>
              <w:fldChar w:fldCharType="separate"/>
            </w:r>
            <w:r w:rsidR="00645316">
              <w:rPr>
                <w:rFonts w:ascii="Palatino Linotype" w:hAnsi="Palatino Linotype"/>
                <w:b/>
                <w:noProof/>
                <w:webHidden/>
                <w:color w:val="000000" w:themeColor="text1"/>
                <w:sz w:val="24"/>
                <w:szCs w:val="24"/>
              </w:rPr>
              <w:t>34</w:t>
            </w:r>
            <w:r w:rsidR="00116752" w:rsidRPr="002951D2">
              <w:rPr>
                <w:rFonts w:ascii="Palatino Linotype" w:hAnsi="Palatino Linotype"/>
                <w:b/>
                <w:noProof/>
                <w:webHidden/>
                <w:color w:val="000000" w:themeColor="text1"/>
                <w:sz w:val="24"/>
                <w:szCs w:val="24"/>
              </w:rPr>
              <w:fldChar w:fldCharType="end"/>
            </w:r>
          </w:hyperlink>
        </w:p>
        <w:p w:rsidR="00116752" w:rsidRPr="002951D2" w:rsidRDefault="00CA7383" w:rsidP="00116752">
          <w:pPr>
            <w:pStyle w:val="TDC1"/>
            <w:tabs>
              <w:tab w:val="right" w:leader="dot" w:pos="8828"/>
            </w:tabs>
            <w:rPr>
              <w:rFonts w:ascii="Palatino Linotype" w:eastAsiaTheme="minorEastAsia" w:hAnsi="Palatino Linotype"/>
              <w:b/>
              <w:noProof/>
              <w:color w:val="000000" w:themeColor="text1"/>
              <w:sz w:val="24"/>
              <w:szCs w:val="24"/>
              <w:lang w:eastAsia="es-MX"/>
            </w:rPr>
          </w:pPr>
          <w:hyperlink w:anchor="_Toc23430164" w:history="1">
            <w:r w:rsidR="00116752" w:rsidRPr="002951D2">
              <w:rPr>
                <w:rStyle w:val="Hipervnculo"/>
                <w:rFonts w:ascii="Palatino Linotype" w:eastAsia="MS Gothic" w:hAnsi="Palatino Linotype"/>
                <w:b/>
                <w:noProof/>
                <w:color w:val="000000" w:themeColor="text1"/>
                <w:sz w:val="24"/>
                <w:szCs w:val="24"/>
                <w:lang w:val="es-ES_tradnl"/>
              </w:rPr>
              <w:t>QUINTO. De la Versión Pública</w:t>
            </w:r>
            <w:r w:rsidR="00116752" w:rsidRPr="002951D2">
              <w:rPr>
                <w:rFonts w:ascii="Palatino Linotype" w:hAnsi="Palatino Linotype"/>
                <w:b/>
                <w:noProof/>
                <w:webHidden/>
                <w:color w:val="000000" w:themeColor="text1"/>
                <w:sz w:val="24"/>
                <w:szCs w:val="24"/>
              </w:rPr>
              <w:tab/>
            </w:r>
            <w:r w:rsidR="00116752" w:rsidRPr="002951D2">
              <w:rPr>
                <w:rFonts w:ascii="Palatino Linotype" w:hAnsi="Palatino Linotype"/>
                <w:b/>
                <w:noProof/>
                <w:webHidden/>
                <w:color w:val="000000" w:themeColor="text1"/>
                <w:sz w:val="24"/>
                <w:szCs w:val="24"/>
              </w:rPr>
              <w:fldChar w:fldCharType="begin"/>
            </w:r>
            <w:r w:rsidR="00116752" w:rsidRPr="002951D2">
              <w:rPr>
                <w:rFonts w:ascii="Palatino Linotype" w:hAnsi="Palatino Linotype"/>
                <w:b/>
                <w:noProof/>
                <w:webHidden/>
                <w:color w:val="000000" w:themeColor="text1"/>
                <w:sz w:val="24"/>
                <w:szCs w:val="24"/>
              </w:rPr>
              <w:instrText xml:space="preserve"> PAGEREF _Toc23430164 \h </w:instrText>
            </w:r>
            <w:r w:rsidR="00116752" w:rsidRPr="002951D2">
              <w:rPr>
                <w:rFonts w:ascii="Palatino Linotype" w:hAnsi="Palatino Linotype"/>
                <w:b/>
                <w:noProof/>
                <w:webHidden/>
                <w:color w:val="000000" w:themeColor="text1"/>
                <w:sz w:val="24"/>
                <w:szCs w:val="24"/>
              </w:rPr>
            </w:r>
            <w:r w:rsidR="00116752" w:rsidRPr="002951D2">
              <w:rPr>
                <w:rFonts w:ascii="Palatino Linotype" w:hAnsi="Palatino Linotype"/>
                <w:b/>
                <w:noProof/>
                <w:webHidden/>
                <w:color w:val="000000" w:themeColor="text1"/>
                <w:sz w:val="24"/>
                <w:szCs w:val="24"/>
              </w:rPr>
              <w:fldChar w:fldCharType="separate"/>
            </w:r>
            <w:r w:rsidR="00645316">
              <w:rPr>
                <w:rFonts w:ascii="Palatino Linotype" w:hAnsi="Palatino Linotype"/>
                <w:b/>
                <w:noProof/>
                <w:webHidden/>
                <w:color w:val="000000" w:themeColor="text1"/>
                <w:sz w:val="24"/>
                <w:szCs w:val="24"/>
              </w:rPr>
              <w:t>41</w:t>
            </w:r>
            <w:r w:rsidR="00116752" w:rsidRPr="002951D2">
              <w:rPr>
                <w:rFonts w:ascii="Palatino Linotype" w:hAnsi="Palatino Linotype"/>
                <w:b/>
                <w:noProof/>
                <w:webHidden/>
                <w:color w:val="000000" w:themeColor="text1"/>
                <w:sz w:val="24"/>
                <w:szCs w:val="24"/>
              </w:rPr>
              <w:fldChar w:fldCharType="end"/>
            </w:r>
          </w:hyperlink>
        </w:p>
        <w:p w:rsidR="00116752" w:rsidRPr="002951D2" w:rsidRDefault="00CA7383" w:rsidP="00116752">
          <w:pPr>
            <w:pStyle w:val="TDC2"/>
            <w:tabs>
              <w:tab w:val="right" w:leader="dot" w:pos="8828"/>
            </w:tabs>
            <w:ind w:left="0"/>
            <w:rPr>
              <w:rFonts w:ascii="Palatino Linotype" w:eastAsiaTheme="minorEastAsia" w:hAnsi="Palatino Linotype"/>
              <w:b/>
              <w:noProof/>
              <w:color w:val="000000" w:themeColor="text1"/>
              <w:sz w:val="24"/>
              <w:szCs w:val="24"/>
              <w:lang w:eastAsia="es-MX"/>
            </w:rPr>
          </w:pPr>
          <w:hyperlink w:anchor="_Toc23430165" w:history="1">
            <w:r w:rsidR="00116752" w:rsidRPr="002951D2">
              <w:rPr>
                <w:rStyle w:val="Hipervnculo"/>
                <w:rFonts w:ascii="Palatino Linotype" w:eastAsiaTheme="majorEastAsia" w:hAnsi="Palatino Linotype" w:cstheme="majorBidi"/>
                <w:b/>
                <w:noProof/>
                <w:color w:val="000000" w:themeColor="text1"/>
                <w:sz w:val="24"/>
                <w:szCs w:val="24"/>
              </w:rPr>
              <w:t>I. De la clasificación de la información.</w:t>
            </w:r>
            <w:r w:rsidR="00116752" w:rsidRPr="002951D2">
              <w:rPr>
                <w:rFonts w:ascii="Palatino Linotype" w:hAnsi="Palatino Linotype"/>
                <w:b/>
                <w:noProof/>
                <w:webHidden/>
                <w:color w:val="000000" w:themeColor="text1"/>
                <w:sz w:val="24"/>
                <w:szCs w:val="24"/>
              </w:rPr>
              <w:tab/>
            </w:r>
            <w:r w:rsidR="00116752" w:rsidRPr="002951D2">
              <w:rPr>
                <w:rFonts w:ascii="Palatino Linotype" w:hAnsi="Palatino Linotype"/>
                <w:b/>
                <w:noProof/>
                <w:webHidden/>
                <w:color w:val="000000" w:themeColor="text1"/>
                <w:sz w:val="24"/>
                <w:szCs w:val="24"/>
              </w:rPr>
              <w:fldChar w:fldCharType="begin"/>
            </w:r>
            <w:r w:rsidR="00116752" w:rsidRPr="002951D2">
              <w:rPr>
                <w:rFonts w:ascii="Palatino Linotype" w:hAnsi="Palatino Linotype"/>
                <w:b/>
                <w:noProof/>
                <w:webHidden/>
                <w:color w:val="000000" w:themeColor="text1"/>
                <w:sz w:val="24"/>
                <w:szCs w:val="24"/>
              </w:rPr>
              <w:instrText xml:space="preserve"> PAGEREF _Toc23430165 \h </w:instrText>
            </w:r>
            <w:r w:rsidR="00116752" w:rsidRPr="002951D2">
              <w:rPr>
                <w:rFonts w:ascii="Palatino Linotype" w:hAnsi="Palatino Linotype"/>
                <w:b/>
                <w:noProof/>
                <w:webHidden/>
                <w:color w:val="000000" w:themeColor="text1"/>
                <w:sz w:val="24"/>
                <w:szCs w:val="24"/>
              </w:rPr>
            </w:r>
            <w:r w:rsidR="00116752" w:rsidRPr="002951D2">
              <w:rPr>
                <w:rFonts w:ascii="Palatino Linotype" w:hAnsi="Palatino Linotype"/>
                <w:b/>
                <w:noProof/>
                <w:webHidden/>
                <w:color w:val="000000" w:themeColor="text1"/>
                <w:sz w:val="24"/>
                <w:szCs w:val="24"/>
              </w:rPr>
              <w:fldChar w:fldCharType="separate"/>
            </w:r>
            <w:r w:rsidR="00645316">
              <w:rPr>
                <w:rFonts w:ascii="Palatino Linotype" w:hAnsi="Palatino Linotype"/>
                <w:b/>
                <w:noProof/>
                <w:webHidden/>
                <w:color w:val="000000" w:themeColor="text1"/>
                <w:sz w:val="24"/>
                <w:szCs w:val="24"/>
              </w:rPr>
              <w:t>43</w:t>
            </w:r>
            <w:r w:rsidR="00116752" w:rsidRPr="002951D2">
              <w:rPr>
                <w:rFonts w:ascii="Palatino Linotype" w:hAnsi="Palatino Linotype"/>
                <w:b/>
                <w:noProof/>
                <w:webHidden/>
                <w:color w:val="000000" w:themeColor="text1"/>
                <w:sz w:val="24"/>
                <w:szCs w:val="24"/>
              </w:rPr>
              <w:fldChar w:fldCharType="end"/>
            </w:r>
          </w:hyperlink>
        </w:p>
        <w:p w:rsidR="00116752" w:rsidRPr="002951D2" w:rsidRDefault="00CA7383" w:rsidP="00116752">
          <w:pPr>
            <w:pStyle w:val="TDC1"/>
            <w:tabs>
              <w:tab w:val="right" w:leader="dot" w:pos="8828"/>
            </w:tabs>
            <w:rPr>
              <w:rFonts w:ascii="Palatino Linotype" w:eastAsiaTheme="minorEastAsia" w:hAnsi="Palatino Linotype"/>
              <w:b/>
              <w:noProof/>
              <w:color w:val="000000" w:themeColor="text1"/>
              <w:sz w:val="24"/>
              <w:szCs w:val="24"/>
              <w:lang w:eastAsia="es-MX"/>
            </w:rPr>
          </w:pPr>
          <w:hyperlink w:anchor="_Toc23430166" w:history="1">
            <w:r w:rsidR="00116752" w:rsidRPr="002951D2">
              <w:rPr>
                <w:rStyle w:val="Hipervnculo"/>
                <w:rFonts w:ascii="Palatino Linotype" w:eastAsia="Calibri" w:hAnsi="Palatino Linotype" w:cstheme="majorBidi"/>
                <w:b/>
                <w:noProof/>
                <w:color w:val="000000" w:themeColor="text1"/>
                <w:sz w:val="24"/>
                <w:szCs w:val="24"/>
                <w:lang w:val="es-ES" w:eastAsia="es-ES"/>
              </w:rPr>
              <w:t>R E S O L U T I V O S</w:t>
            </w:r>
            <w:r w:rsidR="00116752" w:rsidRPr="002951D2">
              <w:rPr>
                <w:rFonts w:ascii="Palatino Linotype" w:hAnsi="Palatino Linotype"/>
                <w:b/>
                <w:noProof/>
                <w:webHidden/>
                <w:color w:val="000000" w:themeColor="text1"/>
                <w:sz w:val="24"/>
                <w:szCs w:val="24"/>
              </w:rPr>
              <w:tab/>
            </w:r>
            <w:r w:rsidR="00116752" w:rsidRPr="002951D2">
              <w:rPr>
                <w:rFonts w:ascii="Palatino Linotype" w:hAnsi="Palatino Linotype"/>
                <w:b/>
                <w:noProof/>
                <w:webHidden/>
                <w:color w:val="000000" w:themeColor="text1"/>
                <w:sz w:val="24"/>
                <w:szCs w:val="24"/>
              </w:rPr>
              <w:fldChar w:fldCharType="begin"/>
            </w:r>
            <w:r w:rsidR="00116752" w:rsidRPr="002951D2">
              <w:rPr>
                <w:rFonts w:ascii="Palatino Linotype" w:hAnsi="Palatino Linotype"/>
                <w:b/>
                <w:noProof/>
                <w:webHidden/>
                <w:color w:val="000000" w:themeColor="text1"/>
                <w:sz w:val="24"/>
                <w:szCs w:val="24"/>
              </w:rPr>
              <w:instrText xml:space="preserve"> PAGEREF _Toc23430166 \h </w:instrText>
            </w:r>
            <w:r w:rsidR="00116752" w:rsidRPr="002951D2">
              <w:rPr>
                <w:rFonts w:ascii="Palatino Linotype" w:hAnsi="Palatino Linotype"/>
                <w:b/>
                <w:noProof/>
                <w:webHidden/>
                <w:color w:val="000000" w:themeColor="text1"/>
                <w:sz w:val="24"/>
                <w:szCs w:val="24"/>
              </w:rPr>
            </w:r>
            <w:r w:rsidR="00116752" w:rsidRPr="002951D2">
              <w:rPr>
                <w:rFonts w:ascii="Palatino Linotype" w:hAnsi="Palatino Linotype"/>
                <w:b/>
                <w:noProof/>
                <w:webHidden/>
                <w:color w:val="000000" w:themeColor="text1"/>
                <w:sz w:val="24"/>
                <w:szCs w:val="24"/>
              </w:rPr>
              <w:fldChar w:fldCharType="separate"/>
            </w:r>
            <w:r w:rsidR="00645316">
              <w:rPr>
                <w:rFonts w:ascii="Palatino Linotype" w:hAnsi="Palatino Linotype"/>
                <w:b/>
                <w:noProof/>
                <w:webHidden/>
                <w:color w:val="000000" w:themeColor="text1"/>
                <w:sz w:val="24"/>
                <w:szCs w:val="24"/>
              </w:rPr>
              <w:t>72</w:t>
            </w:r>
            <w:r w:rsidR="00116752" w:rsidRPr="002951D2">
              <w:rPr>
                <w:rFonts w:ascii="Palatino Linotype" w:hAnsi="Palatino Linotype"/>
                <w:b/>
                <w:noProof/>
                <w:webHidden/>
                <w:color w:val="000000" w:themeColor="text1"/>
                <w:sz w:val="24"/>
                <w:szCs w:val="24"/>
              </w:rPr>
              <w:fldChar w:fldCharType="end"/>
            </w:r>
          </w:hyperlink>
        </w:p>
        <w:p w:rsidR="003F3EDE" w:rsidRPr="002951D2" w:rsidRDefault="002951D2" w:rsidP="00116752">
          <w:pPr>
            <w:rPr>
              <w:rFonts w:ascii="Palatino Linotype" w:hAnsi="Palatino Linotype"/>
              <w:b/>
              <w:sz w:val="24"/>
              <w:szCs w:val="24"/>
            </w:rPr>
          </w:pPr>
          <w:r>
            <w:rPr>
              <w:rFonts w:ascii="Palatino Linotype" w:hAnsi="Palatino Linotype"/>
              <w:b/>
              <w:bCs/>
              <w:noProof/>
              <w:color w:val="000000" w:themeColor="text1"/>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3230</wp:posOffset>
                    </wp:positionH>
                    <wp:positionV relativeFrom="paragraph">
                      <wp:posOffset>6295</wp:posOffset>
                    </wp:positionV>
                    <wp:extent cx="5565913" cy="1888435"/>
                    <wp:effectExtent l="19050" t="19050" r="15875" b="36195"/>
                    <wp:wrapNone/>
                    <wp:docPr id="3" name="Conector recto 3"/>
                    <wp:cNvGraphicFramePr/>
                    <a:graphic xmlns:a="http://schemas.openxmlformats.org/drawingml/2006/main">
                      <a:graphicData uri="http://schemas.microsoft.com/office/word/2010/wordprocessingShape">
                        <wps:wsp>
                          <wps:cNvCnPr/>
                          <wps:spPr>
                            <a:xfrm flipH="1" flipV="1">
                              <a:off x="0" y="0"/>
                              <a:ext cx="5565913" cy="188843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ABEF73" id="Conector recto 3" o:spid="_x0000_s1026" style="position:absolute;flip:x y;z-index:251659264;visibility:visible;mso-wrap-style:square;mso-wrap-distance-left:9pt;mso-wrap-distance-top:0;mso-wrap-distance-right:9pt;mso-wrap-distance-bottom:0;mso-position-horizontal:absolute;mso-position-horizontal-relative:text;mso-position-vertical:absolute;mso-position-vertical-relative:text" from=".25pt,.5pt" to="438.5pt,1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" strokecolor="#5b9bd5 [3204]" strokeweight="3pt">
                    <v:stroke joinstyle="miter"/>
                  </v:line>
                </w:pict>
              </mc:Fallback>
            </mc:AlternateContent>
          </w:r>
          <w:r w:rsidR="003F3EDE" w:rsidRPr="002951D2">
            <w:rPr>
              <w:rFonts w:ascii="Palatino Linotype" w:hAnsi="Palatino Linotype"/>
              <w:b/>
              <w:bCs/>
              <w:color w:val="000000" w:themeColor="text1"/>
              <w:sz w:val="24"/>
              <w:szCs w:val="24"/>
              <w:lang w:val="es-ES"/>
            </w:rPr>
            <w:fldChar w:fldCharType="end"/>
          </w:r>
        </w:p>
      </w:sdtContent>
    </w:sdt>
    <w:p w:rsidR="003F3EDE" w:rsidRPr="002951D2" w:rsidRDefault="003F3EDE" w:rsidP="003F3EDE">
      <w:pPr>
        <w:spacing w:after="0" w:line="480" w:lineRule="auto"/>
        <w:ind w:right="-142"/>
        <w:rPr>
          <w:rFonts w:ascii="Palatino Linotype" w:eastAsiaTheme="minorEastAsia" w:hAnsi="Palatino Linotype"/>
          <w:bCs/>
          <w:sz w:val="24"/>
          <w:szCs w:val="24"/>
          <w:lang w:val="es-ES" w:eastAsia="es-ES"/>
        </w:rPr>
      </w:pPr>
    </w:p>
    <w:p w:rsidR="003F3EDE" w:rsidRPr="002951D2" w:rsidRDefault="003F3EDE" w:rsidP="003F3EDE">
      <w:pPr>
        <w:spacing w:before="240" w:after="240" w:line="360" w:lineRule="auto"/>
        <w:jc w:val="both"/>
        <w:rPr>
          <w:rFonts w:ascii="Palatino Linotype" w:eastAsiaTheme="minorEastAsia" w:hAnsi="Palatino Linotype"/>
          <w:sz w:val="24"/>
          <w:szCs w:val="24"/>
          <w:lang w:val="es-ES_tradnl" w:eastAsia="es-ES"/>
        </w:rPr>
      </w:pPr>
      <w:r w:rsidRPr="002951D2">
        <w:rPr>
          <w:rFonts w:ascii="Palatino Linotype" w:eastAsiaTheme="minorEastAsia" w:hAnsi="Palatino Linotype"/>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 fecha seis (06) de noviembre de dos mil diecinueve.</w:t>
      </w:r>
    </w:p>
    <w:p w:rsidR="003F3EDE" w:rsidRPr="002951D2" w:rsidRDefault="003F3EDE" w:rsidP="003F3EDE">
      <w:pPr>
        <w:spacing w:before="240" w:after="360" w:line="360" w:lineRule="auto"/>
        <w:jc w:val="both"/>
        <w:rPr>
          <w:rFonts w:ascii="Palatino Linotype" w:eastAsiaTheme="minorEastAsia" w:hAnsi="Palatino Linotype"/>
          <w:b/>
          <w:sz w:val="24"/>
          <w:szCs w:val="24"/>
          <w:lang w:val="es-ES_tradnl" w:eastAsia="es-ES"/>
        </w:rPr>
      </w:pPr>
      <w:r w:rsidRPr="002951D2">
        <w:rPr>
          <w:rFonts w:ascii="Palatino Linotype" w:eastAsiaTheme="minorEastAsia" w:hAnsi="Palatino Linotype"/>
          <w:b/>
          <w:sz w:val="24"/>
          <w:szCs w:val="24"/>
          <w:lang w:val="es-ES_tradnl" w:eastAsia="es-ES"/>
        </w:rPr>
        <w:t>VISTO</w:t>
      </w:r>
      <w:r w:rsidRPr="002951D2">
        <w:rPr>
          <w:rFonts w:ascii="Palatino Linotype" w:eastAsiaTheme="minorEastAsia" w:hAnsi="Palatino Linotype"/>
          <w:sz w:val="24"/>
          <w:szCs w:val="24"/>
          <w:lang w:val="es-ES_tradnl" w:eastAsia="es-ES"/>
        </w:rPr>
        <w:t xml:space="preserve"> el expediente electrónico formado con motivo del recurso de revisión </w:t>
      </w:r>
      <w:r w:rsidRPr="002951D2">
        <w:rPr>
          <w:rFonts w:ascii="Palatino Linotype" w:eastAsiaTheme="minorEastAsia" w:hAnsi="Palatino Linotype" w:cs="Arial"/>
          <w:b/>
          <w:bCs/>
          <w:sz w:val="24"/>
          <w:szCs w:val="24"/>
          <w:lang w:val="es-ES_tradnl" w:eastAsia="es-ES"/>
        </w:rPr>
        <w:t xml:space="preserve">06958/INFOEM/IP/RR/2019, </w:t>
      </w:r>
      <w:r w:rsidRPr="002951D2">
        <w:rPr>
          <w:rFonts w:ascii="Palatino Linotype" w:eastAsiaTheme="minorEastAsia" w:hAnsi="Palatino Linotype"/>
          <w:sz w:val="24"/>
          <w:szCs w:val="24"/>
          <w:lang w:val="es-ES_tradnl" w:eastAsia="es-ES"/>
        </w:rPr>
        <w:t xml:space="preserve">promovido por </w:t>
      </w:r>
      <w:r w:rsidR="00536D7F" w:rsidRPr="00536D7F">
        <w:rPr>
          <w:rFonts w:ascii="Palatino Linotype" w:eastAsiaTheme="minorEastAsia" w:hAnsi="Palatino Linotype"/>
          <w:b/>
          <w:sz w:val="24"/>
          <w:szCs w:val="24"/>
          <w:highlight w:val="black"/>
          <w:lang w:val="es-ES_tradnl" w:eastAsia="es-ES"/>
        </w:rPr>
        <w:t>----------</w:t>
      </w:r>
      <w:r w:rsidR="00536D7F">
        <w:rPr>
          <w:rFonts w:ascii="Palatino Linotype" w:eastAsiaTheme="minorEastAsia" w:hAnsi="Palatino Linotype"/>
          <w:b/>
          <w:sz w:val="24"/>
          <w:szCs w:val="24"/>
          <w:highlight w:val="black"/>
          <w:lang w:val="es-ES_tradnl" w:eastAsia="es-ES"/>
        </w:rPr>
        <w:t>-</w:t>
      </w:r>
      <w:r w:rsidR="00536D7F" w:rsidRPr="00536D7F">
        <w:rPr>
          <w:rFonts w:ascii="Palatino Linotype" w:eastAsiaTheme="minorEastAsia" w:hAnsi="Palatino Linotype"/>
          <w:b/>
          <w:sz w:val="24"/>
          <w:szCs w:val="24"/>
          <w:highlight w:val="black"/>
          <w:lang w:val="es-ES_tradnl" w:eastAsia="es-ES"/>
        </w:rPr>
        <w:t>------------------</w:t>
      </w:r>
      <w:r w:rsidRPr="002951D2">
        <w:rPr>
          <w:rFonts w:ascii="Palatino Linotype" w:hAnsi="Palatino Linotype" w:cs="Arial"/>
          <w:sz w:val="24"/>
          <w:szCs w:val="24"/>
        </w:rPr>
        <w:t xml:space="preserve">, en su calidad de </w:t>
      </w:r>
      <w:r w:rsidRPr="002951D2">
        <w:rPr>
          <w:rFonts w:ascii="Palatino Linotype" w:hAnsi="Palatino Linotype" w:cs="Arial"/>
          <w:b/>
          <w:sz w:val="24"/>
          <w:szCs w:val="24"/>
        </w:rPr>
        <w:t xml:space="preserve">RECURRENTE, </w:t>
      </w:r>
      <w:r w:rsidRPr="002951D2">
        <w:rPr>
          <w:rFonts w:ascii="Palatino Linotype" w:eastAsiaTheme="minorEastAsia" w:hAnsi="Palatino Linotype" w:cs="Arial"/>
          <w:sz w:val="24"/>
          <w:szCs w:val="24"/>
          <w:lang w:val="es-ES_tradnl" w:eastAsia="es-ES"/>
        </w:rPr>
        <w:t>en con</w:t>
      </w:r>
      <w:r w:rsidR="002951D2">
        <w:rPr>
          <w:rFonts w:ascii="Palatino Linotype" w:eastAsiaTheme="minorEastAsia" w:hAnsi="Palatino Linotype" w:cs="Arial"/>
          <w:sz w:val="24"/>
          <w:szCs w:val="24"/>
          <w:lang w:val="es-ES_tradnl" w:eastAsia="es-ES"/>
        </w:rPr>
        <w:t>tra de la</w:t>
      </w:r>
      <w:r w:rsidRPr="002951D2">
        <w:rPr>
          <w:rFonts w:ascii="Palatino Linotype" w:eastAsiaTheme="minorEastAsia" w:hAnsi="Palatino Linotype" w:cs="Arial"/>
          <w:sz w:val="24"/>
          <w:szCs w:val="24"/>
          <w:lang w:val="es-ES_tradnl" w:eastAsia="es-ES"/>
        </w:rPr>
        <w:t xml:space="preserve"> respuesta de la </w:t>
      </w:r>
      <w:r w:rsidRPr="002951D2">
        <w:rPr>
          <w:rFonts w:ascii="Palatino Linotype" w:eastAsiaTheme="minorEastAsia" w:hAnsi="Palatino Linotype" w:cs="Arial"/>
          <w:b/>
          <w:sz w:val="24"/>
          <w:szCs w:val="24"/>
          <w:lang w:val="es-ES_tradnl" w:eastAsia="es-ES"/>
        </w:rPr>
        <w:t xml:space="preserve">Secretaría de Seguridad, </w:t>
      </w:r>
      <w:r w:rsidRPr="002951D2">
        <w:rPr>
          <w:rFonts w:ascii="Palatino Linotype" w:eastAsiaTheme="minorEastAsia" w:hAnsi="Palatino Linotype"/>
          <w:sz w:val="24"/>
          <w:szCs w:val="24"/>
          <w:lang w:val="es-ES_tradnl" w:eastAsia="es-ES"/>
        </w:rPr>
        <w:t>en lo sucesivo el</w:t>
      </w:r>
      <w:r w:rsidRPr="002951D2">
        <w:rPr>
          <w:rFonts w:ascii="Palatino Linotype" w:eastAsiaTheme="minorEastAsia" w:hAnsi="Palatino Linotype"/>
          <w:b/>
          <w:sz w:val="24"/>
          <w:szCs w:val="24"/>
          <w:lang w:val="es-ES_tradnl" w:eastAsia="es-ES"/>
        </w:rPr>
        <w:t xml:space="preserve"> SUJETO OBLIGADO, </w:t>
      </w:r>
      <w:r w:rsidRPr="002951D2">
        <w:rPr>
          <w:rFonts w:ascii="Palatino Linotype" w:eastAsiaTheme="minorEastAsia" w:hAnsi="Palatino Linotype"/>
          <w:sz w:val="24"/>
          <w:szCs w:val="24"/>
          <w:lang w:val="es-ES_tradnl" w:eastAsia="es-ES"/>
        </w:rPr>
        <w:t xml:space="preserve">se procede a dictar la presente resolución, con base en los siguientes: </w:t>
      </w:r>
    </w:p>
    <w:p w:rsidR="003F3EDE" w:rsidRPr="002951D2" w:rsidRDefault="003F3EDE" w:rsidP="003F3EDE">
      <w:pPr>
        <w:keepNext/>
        <w:keepLines/>
        <w:spacing w:before="240" w:after="0"/>
        <w:ind w:right="-142"/>
        <w:jc w:val="center"/>
        <w:outlineLvl w:val="0"/>
        <w:rPr>
          <w:rFonts w:ascii="Palatino Linotype" w:eastAsiaTheme="majorEastAsia" w:hAnsi="Palatino Linotype" w:cstheme="majorBidi"/>
          <w:b/>
          <w:sz w:val="24"/>
          <w:szCs w:val="24"/>
        </w:rPr>
      </w:pPr>
      <w:bookmarkStart w:id="1" w:name="_Toc23430152"/>
      <w:r w:rsidRPr="002951D2">
        <w:rPr>
          <w:rFonts w:ascii="Palatino Linotype" w:eastAsiaTheme="majorEastAsia" w:hAnsi="Palatino Linotype" w:cstheme="majorBidi"/>
          <w:b/>
          <w:sz w:val="24"/>
          <w:szCs w:val="24"/>
        </w:rPr>
        <w:t>A N T E C E D E N T E S</w:t>
      </w:r>
      <w:bookmarkEnd w:id="1"/>
    </w:p>
    <w:p w:rsidR="003F3EDE" w:rsidRPr="002951D2" w:rsidRDefault="003F3EDE" w:rsidP="003F3EDE">
      <w:pPr>
        <w:keepNext/>
        <w:keepLines/>
        <w:spacing w:before="240" w:after="0"/>
        <w:ind w:right="-142"/>
        <w:jc w:val="center"/>
        <w:outlineLvl w:val="0"/>
        <w:rPr>
          <w:rFonts w:ascii="Palatino Linotype" w:eastAsiaTheme="majorEastAsia" w:hAnsi="Palatino Linotype" w:cstheme="majorBidi"/>
          <w:sz w:val="24"/>
          <w:szCs w:val="24"/>
        </w:rPr>
      </w:pPr>
    </w:p>
    <w:p w:rsidR="003F3EDE" w:rsidRPr="002951D2" w:rsidRDefault="003F3EDE" w:rsidP="003F3EDE">
      <w:pPr>
        <w:numPr>
          <w:ilvl w:val="0"/>
          <w:numId w:val="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2951D2">
        <w:rPr>
          <w:rFonts w:ascii="Palatino Linotype" w:eastAsia="Calibri" w:hAnsi="Palatino Linotype" w:cs="Arial"/>
          <w:sz w:val="24"/>
          <w:szCs w:val="24"/>
          <w:lang w:val="es-ES" w:eastAsia="es-ES"/>
        </w:rPr>
        <w:t xml:space="preserve">El día </w:t>
      </w:r>
      <w:r w:rsidRPr="002951D2">
        <w:rPr>
          <w:rFonts w:ascii="Palatino Linotype" w:eastAsia="Calibri" w:hAnsi="Palatino Linotype" w:cs="Arial"/>
          <w:b/>
          <w:sz w:val="24"/>
          <w:szCs w:val="24"/>
          <w:lang w:val="es-ES" w:eastAsia="es-ES"/>
        </w:rPr>
        <w:t>siete (7) de agosto</w:t>
      </w:r>
      <w:r w:rsidRPr="002951D2">
        <w:rPr>
          <w:rFonts w:ascii="Palatino Linotype" w:eastAsia="Calibri" w:hAnsi="Palatino Linotype" w:cs="Arial"/>
          <w:sz w:val="24"/>
          <w:szCs w:val="24"/>
          <w:lang w:val="es-ES" w:eastAsia="es-ES"/>
        </w:rPr>
        <w:t xml:space="preserve"> de dos mil diecinueve,</w:t>
      </w:r>
      <w:r w:rsidRPr="002951D2">
        <w:rPr>
          <w:rFonts w:ascii="Palatino Linotype" w:eastAsia="Calibri" w:hAnsi="Palatino Linotype" w:cs="Times New Roman"/>
          <w:sz w:val="24"/>
          <w:szCs w:val="24"/>
          <w:lang w:val="es-ES" w:eastAsia="es-ES"/>
        </w:rPr>
        <w:t xml:space="preserve"> se</w:t>
      </w:r>
      <w:r w:rsidRPr="002951D2">
        <w:rPr>
          <w:rFonts w:ascii="Palatino Linotype" w:eastAsiaTheme="minorEastAsia" w:hAnsi="Palatino Linotype"/>
          <w:b/>
          <w:sz w:val="24"/>
          <w:szCs w:val="24"/>
          <w:lang w:val="es-ES_tradnl" w:eastAsia="es-ES"/>
        </w:rPr>
        <w:t xml:space="preserve"> </w:t>
      </w:r>
      <w:r w:rsidRPr="002951D2">
        <w:rPr>
          <w:rFonts w:ascii="Palatino Linotype" w:eastAsiaTheme="minorEastAsia" w:hAnsi="Palatino Linotype"/>
          <w:sz w:val="24"/>
          <w:szCs w:val="24"/>
          <w:lang w:val="es-ES_tradnl" w:eastAsia="es-ES"/>
        </w:rPr>
        <w:t xml:space="preserve">presentó </w:t>
      </w:r>
      <w:r w:rsidRPr="002951D2">
        <w:rPr>
          <w:rFonts w:ascii="Palatino Linotype" w:eastAsia="Calibri" w:hAnsi="Palatino Linotype" w:cs="Arial"/>
          <w:sz w:val="24"/>
          <w:szCs w:val="24"/>
          <w:lang w:val="es-ES" w:eastAsia="es-ES"/>
        </w:rPr>
        <w:t xml:space="preserve">ante el </w:t>
      </w:r>
      <w:r w:rsidRPr="002951D2">
        <w:rPr>
          <w:rFonts w:ascii="Palatino Linotype" w:eastAsia="Calibri" w:hAnsi="Palatino Linotype" w:cs="Arial"/>
          <w:b/>
          <w:sz w:val="24"/>
          <w:szCs w:val="24"/>
          <w:lang w:val="es-ES" w:eastAsia="es-ES"/>
        </w:rPr>
        <w:t>SUJETO OBLIGADO,</w:t>
      </w:r>
      <w:r w:rsidRPr="002951D2">
        <w:rPr>
          <w:rFonts w:ascii="Palatino Linotype" w:eastAsia="Calibri" w:hAnsi="Palatino Linotype" w:cs="Arial"/>
          <w:sz w:val="24"/>
          <w:szCs w:val="24"/>
          <w:lang w:val="es-ES_tradnl" w:eastAsia="es-ES"/>
        </w:rPr>
        <w:t xml:space="preserve"> vía </w:t>
      </w:r>
      <w:r w:rsidRPr="002951D2">
        <w:rPr>
          <w:rFonts w:ascii="Palatino Linotype" w:eastAsia="Calibri" w:hAnsi="Palatino Linotype" w:cs="Arial"/>
          <w:sz w:val="24"/>
          <w:szCs w:val="24"/>
          <w:lang w:val="es-ES" w:eastAsia="es-ES"/>
        </w:rPr>
        <w:t xml:space="preserve">Sistema de Acceso a la Información Mexiquense (SAIMEX), la solicitud de información pública registrada con el número </w:t>
      </w:r>
      <w:r w:rsidRPr="002951D2">
        <w:rPr>
          <w:rFonts w:ascii="Palatino Linotype" w:eastAsia="Times New Roman" w:hAnsi="Palatino Linotype" w:cs="Arial"/>
          <w:b/>
          <w:sz w:val="24"/>
          <w:szCs w:val="24"/>
          <w:lang w:val="es-ES" w:eastAsia="es-ES"/>
        </w:rPr>
        <w:t>00292/SSEM/IP/2019</w:t>
      </w:r>
      <w:r w:rsidRPr="002951D2">
        <w:rPr>
          <w:rFonts w:ascii="Palatino Linotype" w:eastAsia="Calibri" w:hAnsi="Palatino Linotype" w:cs="Arial"/>
          <w:sz w:val="24"/>
          <w:szCs w:val="24"/>
          <w:lang w:val="es-ES" w:eastAsia="es-ES"/>
        </w:rPr>
        <w:t xml:space="preserve"> mediante la cual se requirió lo siguiente:</w:t>
      </w:r>
    </w:p>
    <w:p w:rsidR="003F3EDE" w:rsidRPr="002951D2" w:rsidRDefault="003F3EDE" w:rsidP="003F3EDE">
      <w:pPr>
        <w:spacing w:before="240" w:after="240" w:line="360" w:lineRule="auto"/>
        <w:ind w:right="-142"/>
        <w:contextualSpacing/>
        <w:jc w:val="both"/>
        <w:rPr>
          <w:rFonts w:ascii="Palatino Linotype" w:eastAsia="Calibri" w:hAnsi="Palatino Linotype" w:cs="Arial"/>
          <w:b/>
          <w:sz w:val="24"/>
          <w:szCs w:val="24"/>
          <w:lang w:val="es-ES" w:eastAsia="es-ES"/>
        </w:rPr>
      </w:pPr>
    </w:p>
    <w:p w:rsidR="003F3EDE" w:rsidRPr="002951D2" w:rsidRDefault="003F3EDE" w:rsidP="003F3EDE">
      <w:pPr>
        <w:spacing w:after="0" w:line="360" w:lineRule="auto"/>
        <w:ind w:left="567" w:right="616"/>
        <w:jc w:val="both"/>
        <w:rPr>
          <w:rFonts w:ascii="Palatino Linotype" w:eastAsia="Times New Roman" w:hAnsi="Palatino Linotype" w:cs="Times New Roman"/>
          <w:i/>
          <w:sz w:val="24"/>
          <w:szCs w:val="24"/>
          <w:lang w:eastAsia="es-MX"/>
        </w:rPr>
      </w:pPr>
      <w:r w:rsidRPr="002951D2">
        <w:rPr>
          <w:rFonts w:ascii="Palatino Linotype" w:eastAsia="Times New Roman" w:hAnsi="Palatino Linotype" w:cs="Times New Roman"/>
          <w:i/>
          <w:sz w:val="24"/>
          <w:szCs w:val="24"/>
          <w:lang w:eastAsia="es-MX"/>
        </w:rPr>
        <w:t>“copia de todos los documentos que acredite en que se gastaron los recursos federales recibidos de 2017 a la fecha”</w:t>
      </w:r>
      <w:r w:rsidRPr="002951D2">
        <w:rPr>
          <w:rFonts w:ascii="Palatino Linotype" w:eastAsiaTheme="minorEastAsia" w:hAnsi="Palatino Linotype"/>
          <w:i/>
          <w:sz w:val="24"/>
          <w:szCs w:val="24"/>
          <w:lang w:val="es-ES_tradnl" w:eastAsia="es-ES"/>
        </w:rPr>
        <w:t>(Sic)</w:t>
      </w:r>
    </w:p>
    <w:p w:rsidR="003F3EDE" w:rsidRPr="002951D2" w:rsidRDefault="003F3EDE" w:rsidP="003F3EDE">
      <w:pPr>
        <w:spacing w:after="0" w:line="360" w:lineRule="auto"/>
        <w:ind w:right="616"/>
        <w:jc w:val="both"/>
        <w:rPr>
          <w:rFonts w:ascii="Palatino Linotype" w:eastAsia="Times New Roman" w:hAnsi="Palatino Linotype" w:cs="Times New Roman"/>
          <w:i/>
          <w:sz w:val="24"/>
          <w:szCs w:val="24"/>
          <w:lang w:eastAsia="es-MX"/>
        </w:rPr>
      </w:pPr>
    </w:p>
    <w:p w:rsidR="003F3EDE" w:rsidRPr="002951D2" w:rsidRDefault="003F3EDE" w:rsidP="003F3EDE">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2951D2">
        <w:rPr>
          <w:rFonts w:ascii="Palatino Linotype" w:eastAsia="Times New Roman" w:hAnsi="Palatino Linotype" w:cs="Arial"/>
          <w:sz w:val="24"/>
          <w:szCs w:val="24"/>
          <w:lang w:val="es-ES" w:eastAsia="es-ES"/>
        </w:rPr>
        <w:t>Señaló como modalidad de entrega de la información</w:t>
      </w:r>
      <w:r w:rsidRPr="002951D2">
        <w:rPr>
          <w:rFonts w:ascii="Palatino Linotype" w:eastAsia="Times New Roman" w:hAnsi="Palatino Linotype" w:cs="Arial"/>
          <w:b/>
          <w:sz w:val="24"/>
          <w:szCs w:val="24"/>
          <w:lang w:val="es-ES" w:eastAsia="es-ES"/>
        </w:rPr>
        <w:t>:</w:t>
      </w:r>
      <w:r w:rsidRPr="002951D2">
        <w:rPr>
          <w:rFonts w:ascii="Palatino Linotype" w:eastAsia="Times New Roman" w:hAnsi="Palatino Linotype" w:cs="Arial"/>
          <w:sz w:val="24"/>
          <w:szCs w:val="24"/>
          <w:lang w:val="es-ES" w:eastAsia="es-ES"/>
        </w:rPr>
        <w:t xml:space="preserve"> a través del </w:t>
      </w:r>
      <w:r w:rsidRPr="002951D2">
        <w:rPr>
          <w:rFonts w:ascii="Palatino Linotype" w:eastAsia="Times New Roman" w:hAnsi="Palatino Linotype" w:cs="Arial"/>
          <w:b/>
          <w:sz w:val="24"/>
          <w:szCs w:val="24"/>
          <w:lang w:val="es-ES" w:eastAsia="es-ES"/>
        </w:rPr>
        <w:t>SAIMEX</w:t>
      </w:r>
    </w:p>
    <w:p w:rsidR="003F3EDE" w:rsidRPr="002951D2" w:rsidRDefault="003F3EDE" w:rsidP="003F3EDE">
      <w:pPr>
        <w:spacing w:after="0" w:line="360" w:lineRule="auto"/>
        <w:ind w:right="-142"/>
        <w:contextualSpacing/>
        <w:jc w:val="both"/>
        <w:rPr>
          <w:rFonts w:ascii="Palatino Linotype" w:eastAsiaTheme="minorEastAsia" w:hAnsi="Palatino Linotype" w:cs="Arial"/>
          <w:i/>
          <w:sz w:val="24"/>
          <w:szCs w:val="24"/>
          <w:lang w:val="es-ES_tradnl" w:eastAsia="es-ES"/>
        </w:rPr>
      </w:pPr>
    </w:p>
    <w:p w:rsidR="003F3EDE" w:rsidRPr="002951D2" w:rsidRDefault="003F3EDE" w:rsidP="003F3EDE">
      <w:pPr>
        <w:numPr>
          <w:ilvl w:val="0"/>
          <w:numId w:val="2"/>
        </w:numPr>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2951D2">
        <w:rPr>
          <w:rFonts w:ascii="Palatino Linotype" w:eastAsiaTheme="minorEastAsia" w:hAnsi="Palatino Linotype" w:cs="Arial"/>
          <w:sz w:val="24"/>
          <w:szCs w:val="24"/>
          <w:lang w:val="es-ES_tradnl" w:eastAsia="es-ES"/>
        </w:rPr>
        <w:lastRenderedPageBreak/>
        <w:t xml:space="preserve">El día </w:t>
      </w:r>
      <w:r w:rsidRPr="002951D2">
        <w:rPr>
          <w:rFonts w:ascii="Palatino Linotype" w:eastAsiaTheme="minorEastAsia" w:hAnsi="Palatino Linotype" w:cs="Arial"/>
          <w:b/>
          <w:sz w:val="24"/>
          <w:szCs w:val="24"/>
          <w:lang w:val="es-ES_tradnl" w:eastAsia="es-ES"/>
        </w:rPr>
        <w:t xml:space="preserve">veintiocho (28) de agosto </w:t>
      </w:r>
      <w:r w:rsidRPr="002951D2">
        <w:rPr>
          <w:rFonts w:ascii="Palatino Linotype" w:eastAsiaTheme="minorEastAsia" w:hAnsi="Palatino Linotype" w:cs="Arial"/>
          <w:sz w:val="24"/>
          <w:szCs w:val="24"/>
          <w:lang w:val="es-ES_tradnl" w:eastAsia="es-ES"/>
        </w:rPr>
        <w:t xml:space="preserve">de la presente anualidad el </w:t>
      </w:r>
      <w:r w:rsidRPr="002951D2">
        <w:rPr>
          <w:rFonts w:ascii="Palatino Linotype" w:eastAsiaTheme="minorEastAsia" w:hAnsi="Palatino Linotype" w:cs="Arial"/>
          <w:b/>
          <w:sz w:val="24"/>
          <w:szCs w:val="24"/>
          <w:lang w:val="es-ES_tradnl" w:eastAsia="es-ES"/>
        </w:rPr>
        <w:t xml:space="preserve">SUJETO OBLIGADO </w:t>
      </w:r>
      <w:r w:rsidRPr="002951D2">
        <w:rPr>
          <w:rFonts w:ascii="Palatino Linotype" w:eastAsiaTheme="minorEastAsia" w:hAnsi="Palatino Linotype" w:cs="Arial"/>
          <w:sz w:val="24"/>
          <w:szCs w:val="24"/>
          <w:lang w:val="es-ES_tradnl" w:eastAsia="es-ES"/>
        </w:rPr>
        <w:t xml:space="preserve">emitió su respuesta, para lo cual adjuntó </w:t>
      </w:r>
      <w:r w:rsidR="00950BCF" w:rsidRPr="002951D2">
        <w:rPr>
          <w:rFonts w:ascii="Palatino Linotype" w:eastAsiaTheme="minorEastAsia" w:hAnsi="Palatino Linotype" w:cs="Arial"/>
          <w:sz w:val="24"/>
          <w:szCs w:val="24"/>
          <w:lang w:val="es-ES_tradnl" w:eastAsia="es-ES"/>
        </w:rPr>
        <w:t xml:space="preserve">cinco archivos </w:t>
      </w:r>
      <w:r w:rsidR="00950BCF" w:rsidRPr="002951D2">
        <w:rPr>
          <w:rFonts w:ascii="Palatino Linotype" w:eastAsiaTheme="minorEastAsia" w:hAnsi="Palatino Linotype" w:cs="Arial"/>
          <w:b/>
          <w:sz w:val="24"/>
          <w:szCs w:val="24"/>
          <w:lang w:val="es-ES_tradnl" w:eastAsia="es-ES"/>
        </w:rPr>
        <w:t>2017 1.pdf, 2018.pdf, 2017 2.pdf, 292.pdf y 2019.pdf,</w:t>
      </w:r>
      <w:r w:rsidR="00950BCF" w:rsidRPr="002951D2">
        <w:rPr>
          <w:rFonts w:ascii="Palatino Linotype" w:eastAsiaTheme="minorEastAsia" w:hAnsi="Palatino Linotype" w:cs="Arial"/>
          <w:sz w:val="24"/>
          <w:szCs w:val="24"/>
          <w:lang w:val="es-ES_tradnl" w:eastAsia="es-ES"/>
        </w:rPr>
        <w:t xml:space="preserve"> mismos que corresponden a </w:t>
      </w:r>
      <w:r w:rsidR="00A32BF7" w:rsidRPr="002951D2">
        <w:rPr>
          <w:rFonts w:ascii="Palatino Linotype" w:eastAsiaTheme="minorEastAsia" w:hAnsi="Palatino Linotype" w:cs="Arial"/>
          <w:sz w:val="24"/>
          <w:szCs w:val="24"/>
          <w:lang w:val="es-ES_tradnl" w:eastAsia="es-ES"/>
        </w:rPr>
        <w:t xml:space="preserve">diversas facturas por pagos de servicios, compras por diversos conceptos, facturas de vehículos, </w:t>
      </w:r>
      <w:r w:rsidR="008A7AA4" w:rsidRPr="002951D2">
        <w:rPr>
          <w:rFonts w:ascii="Palatino Linotype" w:eastAsiaTheme="minorEastAsia" w:hAnsi="Palatino Linotype" w:cs="Arial"/>
          <w:sz w:val="24"/>
          <w:szCs w:val="24"/>
          <w:lang w:val="es-ES_tradnl" w:eastAsia="es-ES"/>
        </w:rPr>
        <w:t xml:space="preserve">listado de vehículos </w:t>
      </w:r>
      <w:r w:rsidR="005A148F" w:rsidRPr="002951D2">
        <w:rPr>
          <w:rFonts w:ascii="Palatino Linotype" w:eastAsiaTheme="minorEastAsia" w:hAnsi="Palatino Linotype" w:cs="Arial"/>
          <w:sz w:val="24"/>
          <w:szCs w:val="24"/>
          <w:lang w:val="es-ES_tradnl" w:eastAsia="es-ES"/>
        </w:rPr>
        <w:t>pagados con recurso del fondo FASP 2017; facturas de pagos de servicios y compras realizadas por diversos conceptos, pago realizado con el fondo FASP 2018; oficio 00292/SSEM/IP/2019</w:t>
      </w:r>
      <w:r w:rsidR="00A20FCF" w:rsidRPr="002951D2">
        <w:rPr>
          <w:rFonts w:ascii="Palatino Linotype" w:eastAsiaTheme="minorEastAsia" w:hAnsi="Palatino Linotype" w:cs="Arial"/>
          <w:sz w:val="24"/>
          <w:szCs w:val="24"/>
          <w:lang w:val="es-ES_tradnl" w:eastAsia="es-ES"/>
        </w:rPr>
        <w:t xml:space="preserve"> suscrito por la Titular de la Unidad de Transparencia, en el que informa que se remiten 390 hojas en formato pdf y en versión pública, la cual tiene sustento en el Acuerdo SS/CT/EXT/VII/002/2019; finalmente se remitieron facturas por pago de servicios pagados con recursos del fondo FASP 2019</w:t>
      </w:r>
      <w:r w:rsidR="00CD43EC" w:rsidRPr="002951D2">
        <w:rPr>
          <w:rFonts w:ascii="Palatino Linotype" w:eastAsiaTheme="minorEastAsia" w:hAnsi="Palatino Linotype" w:cs="Arial"/>
          <w:sz w:val="24"/>
          <w:szCs w:val="24"/>
          <w:lang w:val="es-ES_tradnl" w:eastAsia="es-ES"/>
        </w:rPr>
        <w:t xml:space="preserve"> al mes de mayo; información que es del conocimiento de la partes.</w:t>
      </w:r>
    </w:p>
    <w:p w:rsidR="00CD43EC" w:rsidRPr="002951D2" w:rsidRDefault="00CD43EC" w:rsidP="00CD43EC">
      <w:pPr>
        <w:spacing w:before="240" w:after="240" w:line="360" w:lineRule="auto"/>
        <w:contextualSpacing/>
        <w:jc w:val="both"/>
        <w:rPr>
          <w:rFonts w:ascii="Palatino Linotype" w:eastAsiaTheme="minorEastAsia" w:hAnsi="Palatino Linotype" w:cs="Arial"/>
          <w:sz w:val="24"/>
          <w:szCs w:val="24"/>
          <w:lang w:val="es-ES_tradnl" w:eastAsia="es-ES"/>
        </w:rPr>
      </w:pPr>
    </w:p>
    <w:p w:rsidR="00CD43EC" w:rsidRPr="002951D2" w:rsidRDefault="00CD43EC" w:rsidP="00CD43EC">
      <w:pPr>
        <w:spacing w:before="240" w:after="240" w:line="360" w:lineRule="auto"/>
        <w:ind w:left="567" w:right="616"/>
        <w:contextualSpacing/>
        <w:jc w:val="both"/>
        <w:rPr>
          <w:rFonts w:ascii="Palatino Linotype" w:eastAsiaTheme="minorEastAsia" w:hAnsi="Palatino Linotype" w:cs="Arial"/>
          <w:i/>
          <w:sz w:val="24"/>
          <w:szCs w:val="24"/>
          <w:lang w:val="es-ES_tradnl" w:eastAsia="es-ES"/>
        </w:rPr>
      </w:pPr>
      <w:r w:rsidRPr="002951D2">
        <w:rPr>
          <w:rFonts w:ascii="Palatino Linotype" w:eastAsiaTheme="minorEastAsia" w:hAnsi="Palatino Linotype" w:cs="Arial"/>
          <w:i/>
          <w:sz w:val="24"/>
          <w:szCs w:val="24"/>
          <w:lang w:eastAsia="es-ES"/>
        </w:rPr>
        <w:t>“SE ANEXA RESPUESTA EN FORMATO PDF, EN CASO DE PRESENTAR PROBLEMAS CON LA RECEPCIÓN DE LA MISMA, LE PEDIMOS SE COMUNIQUE A LA UNIDAD DE TRANSPARENCIA DE LA SECRETARÍA DE SEGURIDAD DEL ESTADO DE MÉXICO, AL TELÉFONO 722 2 79 62 00 EXT. 4187, DE LUNES A VIERNES, EN UN HORARIO DE 9:00 A 18:00 HRS.” (sic)</w:t>
      </w:r>
    </w:p>
    <w:p w:rsidR="00CD43EC" w:rsidRPr="002951D2" w:rsidRDefault="00CD43EC" w:rsidP="00CD43EC">
      <w:pPr>
        <w:spacing w:before="240" w:after="240" w:line="360" w:lineRule="auto"/>
        <w:contextualSpacing/>
        <w:jc w:val="both"/>
        <w:rPr>
          <w:rFonts w:ascii="Palatino Linotype" w:eastAsiaTheme="minorEastAsia" w:hAnsi="Palatino Linotype" w:cs="Arial"/>
          <w:sz w:val="24"/>
          <w:szCs w:val="24"/>
          <w:lang w:val="es-ES_tradnl" w:eastAsia="es-ES"/>
        </w:rPr>
      </w:pPr>
    </w:p>
    <w:p w:rsidR="003F3EDE" w:rsidRPr="002951D2" w:rsidRDefault="003F3EDE" w:rsidP="003F3EDE">
      <w:pPr>
        <w:numPr>
          <w:ilvl w:val="0"/>
          <w:numId w:val="2"/>
        </w:numPr>
        <w:spacing w:before="240" w:after="240" w:line="360" w:lineRule="auto"/>
        <w:ind w:left="0" w:firstLine="0"/>
        <w:contextualSpacing/>
        <w:jc w:val="both"/>
        <w:rPr>
          <w:rFonts w:ascii="Palatino Linotype" w:eastAsiaTheme="minorEastAsia" w:hAnsi="Palatino Linotype" w:cs="Arial"/>
          <w:i/>
          <w:sz w:val="24"/>
          <w:szCs w:val="24"/>
          <w:lang w:val="es-ES_tradnl" w:eastAsia="es-ES"/>
        </w:rPr>
      </w:pPr>
      <w:r w:rsidRPr="002951D2">
        <w:rPr>
          <w:rFonts w:ascii="Palatino Linotype" w:eastAsiaTheme="minorEastAsia" w:hAnsi="Palatino Linotype" w:cs="Arial"/>
          <w:sz w:val="24"/>
          <w:szCs w:val="24"/>
          <w:lang w:val="es-ES_tradnl" w:eastAsia="es-ES"/>
        </w:rPr>
        <w:t xml:space="preserve"> </w:t>
      </w:r>
      <w:r w:rsidRPr="002951D2">
        <w:rPr>
          <w:rFonts w:ascii="Palatino Linotype" w:eastAsia="Calibri" w:hAnsi="Palatino Linotype" w:cs="Arial"/>
          <w:sz w:val="24"/>
          <w:szCs w:val="24"/>
          <w:lang w:val="es-AR" w:eastAsia="es-ES"/>
        </w:rPr>
        <w:t xml:space="preserve">El </w:t>
      </w:r>
      <w:r w:rsidRPr="002951D2">
        <w:rPr>
          <w:rFonts w:ascii="Palatino Linotype" w:eastAsia="Times New Roman" w:hAnsi="Palatino Linotype" w:cs="Arial"/>
          <w:sz w:val="24"/>
          <w:szCs w:val="24"/>
          <w:lang w:val="es-ES" w:eastAsia="es-ES"/>
        </w:rPr>
        <w:t xml:space="preserve"> día </w:t>
      </w:r>
      <w:r w:rsidR="002329B0" w:rsidRPr="002951D2">
        <w:rPr>
          <w:rFonts w:ascii="Palatino Linotype" w:eastAsia="Times New Roman" w:hAnsi="Palatino Linotype" w:cs="Arial"/>
          <w:b/>
          <w:sz w:val="24"/>
          <w:szCs w:val="24"/>
          <w:lang w:val="es-ES" w:eastAsia="es-ES"/>
        </w:rPr>
        <w:t>veintinueve (29</w:t>
      </w:r>
      <w:r w:rsidRPr="002951D2">
        <w:rPr>
          <w:rFonts w:ascii="Palatino Linotype" w:eastAsia="Times New Roman" w:hAnsi="Palatino Linotype" w:cs="Arial"/>
          <w:b/>
          <w:sz w:val="24"/>
          <w:szCs w:val="24"/>
          <w:lang w:val="es-ES" w:eastAsia="es-ES"/>
        </w:rPr>
        <w:t xml:space="preserve">) de </w:t>
      </w:r>
      <w:r w:rsidR="002329B0" w:rsidRPr="002951D2">
        <w:rPr>
          <w:rFonts w:ascii="Palatino Linotype" w:eastAsia="Times New Roman" w:hAnsi="Palatino Linotype" w:cs="Arial"/>
          <w:b/>
          <w:sz w:val="24"/>
          <w:szCs w:val="24"/>
          <w:lang w:val="es-ES" w:eastAsia="es-ES"/>
        </w:rPr>
        <w:t xml:space="preserve">agosto </w:t>
      </w:r>
      <w:r w:rsidRPr="002951D2">
        <w:rPr>
          <w:rFonts w:ascii="Palatino Linotype" w:eastAsia="Times New Roman" w:hAnsi="Palatino Linotype" w:cs="Arial"/>
          <w:sz w:val="24"/>
          <w:szCs w:val="24"/>
          <w:lang w:val="es-ES" w:eastAsia="es-ES"/>
        </w:rPr>
        <w:t>de dos mil diecinueve, el particular interpuso el recurso de revisión, en contra de la respuesta, señalando lo siguiente:</w:t>
      </w:r>
      <w:bookmarkStart w:id="2" w:name="_Toc462307683"/>
      <w:bookmarkStart w:id="3" w:name="_Toc472427085"/>
      <w:bookmarkStart w:id="4" w:name="_Toc472500652"/>
    </w:p>
    <w:p w:rsidR="003F3EDE" w:rsidRPr="002951D2" w:rsidRDefault="003F3EDE" w:rsidP="003F3EDE">
      <w:pPr>
        <w:spacing w:before="240" w:after="240" w:line="360" w:lineRule="auto"/>
        <w:contextualSpacing/>
        <w:jc w:val="both"/>
        <w:rPr>
          <w:rFonts w:ascii="Palatino Linotype" w:eastAsiaTheme="minorEastAsia" w:hAnsi="Palatino Linotype" w:cs="Arial"/>
          <w:i/>
          <w:sz w:val="24"/>
          <w:szCs w:val="24"/>
          <w:lang w:val="es-ES_tradnl" w:eastAsia="es-ES"/>
        </w:rPr>
      </w:pPr>
    </w:p>
    <w:p w:rsidR="003F3EDE" w:rsidRPr="002951D2" w:rsidRDefault="003F3EDE" w:rsidP="002329B0">
      <w:pPr>
        <w:numPr>
          <w:ilvl w:val="0"/>
          <w:numId w:val="3"/>
        </w:numPr>
        <w:spacing w:after="0" w:line="240" w:lineRule="auto"/>
        <w:ind w:left="567" w:right="616" w:firstLine="0"/>
        <w:contextualSpacing/>
        <w:jc w:val="both"/>
        <w:rPr>
          <w:rFonts w:ascii="Palatino Linotype" w:eastAsiaTheme="majorEastAsia" w:hAnsi="Palatino Linotype" w:cstheme="majorBidi"/>
          <w:b/>
          <w:i/>
          <w:sz w:val="24"/>
          <w:szCs w:val="24"/>
          <w:lang w:val="es-ES" w:eastAsia="es-ES"/>
        </w:rPr>
      </w:pPr>
      <w:bookmarkStart w:id="5" w:name="_Toc475015152"/>
      <w:bookmarkStart w:id="6" w:name="_Toc476078667"/>
      <w:bookmarkStart w:id="7" w:name="_Toc476675983"/>
      <w:bookmarkStart w:id="8" w:name="_Toc477345124"/>
      <w:bookmarkStart w:id="9" w:name="_Toc477345202"/>
      <w:bookmarkStart w:id="10" w:name="_Toc480987168"/>
      <w:bookmarkStart w:id="11" w:name="_Toc480996301"/>
      <w:bookmarkStart w:id="12" w:name="_Toc485145203"/>
      <w:bookmarkStart w:id="13" w:name="_Toc492489253"/>
      <w:bookmarkStart w:id="14" w:name="_Toc492590383"/>
      <w:bookmarkStart w:id="15" w:name="_Toc496806999"/>
      <w:bookmarkStart w:id="16" w:name="_Toc496807889"/>
      <w:bookmarkStart w:id="17" w:name="_Toc498528853"/>
      <w:bookmarkStart w:id="18" w:name="_Toc498528941"/>
      <w:bookmarkStart w:id="19" w:name="_Toc499059264"/>
      <w:bookmarkStart w:id="20" w:name="_Toc499658725"/>
      <w:bookmarkStart w:id="21" w:name="_Toc499659072"/>
      <w:bookmarkStart w:id="22" w:name="_Toc499810483"/>
      <w:bookmarkStart w:id="23" w:name="_Toc500414595"/>
      <w:bookmarkStart w:id="24" w:name="_Toc500414652"/>
      <w:bookmarkStart w:id="25" w:name="_Toc503366327"/>
      <w:bookmarkStart w:id="26" w:name="_Toc503891593"/>
      <w:bookmarkStart w:id="27" w:name="_Toc504069531"/>
      <w:bookmarkStart w:id="28" w:name="_Toc504500686"/>
      <w:r w:rsidRPr="002951D2">
        <w:rPr>
          <w:rFonts w:ascii="Palatino Linotype" w:eastAsiaTheme="majorEastAsia" w:hAnsi="Palatino Linotype" w:cstheme="majorBidi"/>
          <w:b/>
          <w:sz w:val="24"/>
          <w:szCs w:val="24"/>
          <w:lang w:val="es-ES" w:eastAsia="es-ES"/>
        </w:rPr>
        <w:t>Acto impugnado</w:t>
      </w:r>
      <w:r w:rsidRPr="002951D2">
        <w:rPr>
          <w:rFonts w:ascii="Palatino Linotype" w:eastAsiaTheme="majorEastAsia" w:hAnsi="Palatino Linotype" w:cstheme="majorBidi"/>
          <w:b/>
          <w:i/>
          <w:sz w:val="24"/>
          <w:szCs w:val="24"/>
          <w:lang w:val="es-ES" w:eastAsia="es-ES"/>
        </w:rPr>
        <w:t>:</w:t>
      </w:r>
      <w:bookmarkEnd w:id="2"/>
      <w:bookmarkEnd w:id="3"/>
      <w:bookmarkEnd w:id="4"/>
      <w:r w:rsidRPr="002951D2">
        <w:rPr>
          <w:rFonts w:ascii="Palatino Linotype" w:eastAsiaTheme="majorEastAsia" w:hAnsi="Palatino Linotype" w:cstheme="majorBidi"/>
          <w:b/>
          <w:i/>
          <w:sz w:val="24"/>
          <w:szCs w:val="24"/>
          <w:lang w:val="es-ES" w:eastAsia="es-ES"/>
        </w:rPr>
        <w:t xml:space="preserve"> </w:t>
      </w:r>
      <w:bookmarkEnd w:id="5"/>
      <w:bookmarkEnd w:id="6"/>
      <w:bookmarkEnd w:id="7"/>
      <w:bookmarkEnd w:id="8"/>
      <w:bookmarkEnd w:id="9"/>
      <w:bookmarkEnd w:id="10"/>
      <w:bookmarkEnd w:id="11"/>
      <w:bookmarkEnd w:id="12"/>
    </w:p>
    <w:p w:rsidR="003F3EDE" w:rsidRPr="002951D2" w:rsidRDefault="003F3EDE" w:rsidP="003F3EDE">
      <w:pPr>
        <w:spacing w:after="0" w:line="240" w:lineRule="auto"/>
        <w:ind w:right="616"/>
        <w:contextualSpacing/>
        <w:jc w:val="both"/>
        <w:rPr>
          <w:rFonts w:ascii="Palatino Linotype" w:eastAsiaTheme="majorEastAsia" w:hAnsi="Palatino Linotype" w:cstheme="majorBidi"/>
          <w:b/>
          <w:sz w:val="24"/>
          <w:szCs w:val="24"/>
          <w:lang w:val="es-ES" w:eastAsia="es-ES"/>
        </w:rPr>
      </w:pPr>
    </w:p>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rsidR="003F3EDE" w:rsidRPr="002951D2" w:rsidRDefault="003F3EDE" w:rsidP="003F3EDE">
      <w:pPr>
        <w:spacing w:after="0" w:line="240" w:lineRule="auto"/>
        <w:ind w:right="616"/>
        <w:contextualSpacing/>
        <w:jc w:val="both"/>
        <w:rPr>
          <w:rFonts w:ascii="Palatino Linotype" w:eastAsia="Calibri" w:hAnsi="Palatino Linotype" w:cs="Arial"/>
          <w:i/>
          <w:sz w:val="24"/>
          <w:szCs w:val="24"/>
          <w:lang w:val="es-ES" w:eastAsia="es-ES"/>
        </w:rPr>
      </w:pPr>
    </w:p>
    <w:p w:rsidR="003F3EDE" w:rsidRPr="002951D2" w:rsidRDefault="003F3EDE" w:rsidP="003F3EDE">
      <w:pPr>
        <w:spacing w:after="0" w:line="360" w:lineRule="auto"/>
        <w:ind w:left="567" w:right="616"/>
        <w:contextualSpacing/>
        <w:jc w:val="both"/>
        <w:rPr>
          <w:rFonts w:ascii="Palatino Linotype" w:eastAsiaTheme="majorEastAsia" w:hAnsi="Palatino Linotype" w:cstheme="majorBidi"/>
          <w:b/>
          <w:i/>
          <w:sz w:val="24"/>
          <w:szCs w:val="24"/>
          <w:lang w:val="es-ES" w:eastAsia="es-ES"/>
        </w:rPr>
      </w:pPr>
      <w:r w:rsidRPr="002951D2">
        <w:rPr>
          <w:rFonts w:ascii="Palatino Linotype" w:eastAsia="Calibri" w:hAnsi="Palatino Linotype" w:cs="Arial"/>
          <w:i/>
          <w:sz w:val="24"/>
          <w:szCs w:val="24"/>
          <w:lang w:eastAsia="es-ES"/>
        </w:rPr>
        <w:t xml:space="preserve"> “</w:t>
      </w:r>
      <w:r w:rsidR="002329B0" w:rsidRPr="002951D2">
        <w:rPr>
          <w:rFonts w:ascii="Palatino Linotype" w:eastAsia="Calibri" w:hAnsi="Palatino Linotype" w:cs="Arial"/>
          <w:i/>
          <w:sz w:val="24"/>
          <w:szCs w:val="24"/>
          <w:lang w:eastAsia="es-ES"/>
        </w:rPr>
        <w:t xml:space="preserve">de entrada </w:t>
      </w:r>
      <w:r w:rsidR="002329B0" w:rsidRPr="002951D2">
        <w:rPr>
          <w:rFonts w:ascii="Palatino Linotype" w:eastAsia="Calibri" w:hAnsi="Palatino Linotype" w:cs="Arial"/>
          <w:b/>
          <w:i/>
          <w:sz w:val="24"/>
          <w:szCs w:val="24"/>
          <w:lang w:eastAsia="es-ES"/>
        </w:rPr>
        <w:t>no entrega una respuesta del comité de transparencia</w:t>
      </w:r>
      <w:r w:rsidR="002329B0" w:rsidRPr="002951D2">
        <w:rPr>
          <w:rFonts w:ascii="Palatino Linotype" w:eastAsia="Calibri" w:hAnsi="Palatino Linotype" w:cs="Arial"/>
          <w:i/>
          <w:sz w:val="24"/>
          <w:szCs w:val="24"/>
          <w:lang w:eastAsia="es-ES"/>
        </w:rPr>
        <w:t xml:space="preserve"> , no informa y acredita </w:t>
      </w:r>
      <w:r w:rsidR="002329B0" w:rsidRPr="002951D2">
        <w:rPr>
          <w:rFonts w:ascii="Palatino Linotype" w:eastAsia="Calibri" w:hAnsi="Palatino Linotype" w:cs="Arial"/>
          <w:b/>
          <w:i/>
          <w:sz w:val="24"/>
          <w:szCs w:val="24"/>
          <w:lang w:eastAsia="es-ES"/>
        </w:rPr>
        <w:t>cuanto fue el monto que recibió cada año</w:t>
      </w:r>
      <w:r w:rsidR="002329B0" w:rsidRPr="002951D2">
        <w:rPr>
          <w:rFonts w:ascii="Palatino Linotype" w:eastAsia="Calibri" w:hAnsi="Palatino Linotype" w:cs="Arial"/>
          <w:i/>
          <w:sz w:val="24"/>
          <w:szCs w:val="24"/>
          <w:lang w:eastAsia="es-ES"/>
        </w:rPr>
        <w:t xml:space="preserve"> y de estos en que se gasto entrega muchos documentos con unos sellos que parecen de santo domingo porque ni el escudo del gobierno del estado traen , </w:t>
      </w:r>
      <w:r w:rsidR="002329B0" w:rsidRPr="002951D2">
        <w:rPr>
          <w:rFonts w:ascii="Palatino Linotype" w:eastAsia="Calibri" w:hAnsi="Palatino Linotype" w:cs="Arial"/>
          <w:b/>
          <w:i/>
          <w:sz w:val="24"/>
          <w:szCs w:val="24"/>
          <w:lang w:eastAsia="es-ES"/>
        </w:rPr>
        <w:t>estas facturas no tienen el contrato por el cual se pago</w:t>
      </w:r>
      <w:r w:rsidR="002329B0" w:rsidRPr="002951D2">
        <w:rPr>
          <w:rFonts w:ascii="Palatino Linotype" w:eastAsia="Calibri" w:hAnsi="Palatino Linotype" w:cs="Arial"/>
          <w:i/>
          <w:sz w:val="24"/>
          <w:szCs w:val="24"/>
          <w:lang w:eastAsia="es-ES"/>
        </w:rPr>
        <w:t xml:space="preserve"> y el monto que recibió del secretariado no coincide con la suma de las facturas de telefonía que son increíbles los montos o de Cable , </w:t>
      </w:r>
      <w:r w:rsidR="002329B0" w:rsidRPr="002951D2">
        <w:rPr>
          <w:rFonts w:ascii="Palatino Linotype" w:eastAsia="Calibri" w:hAnsi="Palatino Linotype" w:cs="Arial"/>
          <w:b/>
          <w:i/>
          <w:sz w:val="24"/>
          <w:szCs w:val="24"/>
          <w:lang w:eastAsia="es-ES"/>
        </w:rPr>
        <w:t>algunas la rasura o testa</w:t>
      </w:r>
      <w:r w:rsidR="002329B0" w:rsidRPr="002951D2">
        <w:rPr>
          <w:rFonts w:ascii="Palatino Linotype" w:eastAsia="Calibri" w:hAnsi="Palatino Linotype" w:cs="Arial"/>
          <w:i/>
          <w:sz w:val="24"/>
          <w:szCs w:val="24"/>
          <w:lang w:eastAsia="es-ES"/>
        </w:rPr>
        <w:t xml:space="preserve"> </w:t>
      </w:r>
      <w:r w:rsidR="002329B0" w:rsidRPr="002951D2">
        <w:rPr>
          <w:rFonts w:ascii="Palatino Linotype" w:eastAsia="Calibri" w:hAnsi="Palatino Linotype" w:cs="Arial"/>
          <w:b/>
          <w:i/>
          <w:sz w:val="24"/>
          <w:szCs w:val="24"/>
          <w:lang w:eastAsia="es-ES"/>
        </w:rPr>
        <w:t>como son las de la SEDENA cuando puede reservar el nivel balístico de los chalecos</w:t>
      </w:r>
      <w:r w:rsidR="002329B0" w:rsidRPr="002951D2">
        <w:rPr>
          <w:rFonts w:ascii="Palatino Linotype" w:eastAsia="Calibri" w:hAnsi="Palatino Linotype" w:cs="Arial"/>
          <w:i/>
          <w:sz w:val="24"/>
          <w:szCs w:val="24"/>
          <w:lang w:eastAsia="es-ES"/>
        </w:rPr>
        <w:t xml:space="preserve">, pero bien se paga a sedena , entrega una </w:t>
      </w:r>
      <w:r w:rsidR="002329B0" w:rsidRPr="002951D2">
        <w:rPr>
          <w:rFonts w:ascii="Palatino Linotype" w:eastAsia="Calibri" w:hAnsi="Palatino Linotype" w:cs="Arial"/>
          <w:b/>
          <w:i/>
          <w:sz w:val="24"/>
          <w:szCs w:val="24"/>
          <w:lang w:eastAsia="es-ES"/>
        </w:rPr>
        <w:t>facturas de autos</w:t>
      </w:r>
      <w:r w:rsidR="002329B0" w:rsidRPr="002951D2">
        <w:rPr>
          <w:rFonts w:ascii="Palatino Linotype" w:eastAsia="Calibri" w:hAnsi="Palatino Linotype" w:cs="Arial"/>
          <w:i/>
          <w:sz w:val="24"/>
          <w:szCs w:val="24"/>
          <w:lang w:eastAsia="es-ES"/>
        </w:rPr>
        <w:t xml:space="preserve"> pero </w:t>
      </w:r>
      <w:r w:rsidR="002329B0" w:rsidRPr="002951D2">
        <w:rPr>
          <w:rFonts w:ascii="Palatino Linotype" w:eastAsia="Calibri" w:hAnsi="Palatino Linotype" w:cs="Arial"/>
          <w:b/>
          <w:i/>
          <w:sz w:val="24"/>
          <w:szCs w:val="24"/>
          <w:lang w:eastAsia="es-ES"/>
        </w:rPr>
        <w:t>hasta el modelo le testa</w:t>
      </w:r>
      <w:r w:rsidR="002329B0" w:rsidRPr="002951D2">
        <w:rPr>
          <w:rFonts w:ascii="Palatino Linotype" w:eastAsia="Calibri" w:hAnsi="Palatino Linotype" w:cs="Arial"/>
          <w:i/>
          <w:sz w:val="24"/>
          <w:szCs w:val="24"/>
          <w:lang w:eastAsia="es-ES"/>
        </w:rPr>
        <w:t xml:space="preserve"> y eso no es materia de reserva y si tiene equipo policial lo mismo y del </w:t>
      </w:r>
      <w:r w:rsidR="002329B0" w:rsidRPr="002951D2">
        <w:rPr>
          <w:rFonts w:ascii="Palatino Linotype" w:eastAsia="Calibri" w:hAnsi="Palatino Linotype" w:cs="Arial"/>
          <w:b/>
          <w:i/>
          <w:sz w:val="24"/>
          <w:szCs w:val="24"/>
          <w:lang w:eastAsia="es-ES"/>
        </w:rPr>
        <w:t xml:space="preserve">radio no reservo la compra de radios a EADS casisidean </w:t>
      </w:r>
      <w:r w:rsidR="002329B0" w:rsidRPr="002951D2">
        <w:rPr>
          <w:rFonts w:ascii="Palatino Linotype" w:eastAsia="Calibri" w:hAnsi="Palatino Linotype" w:cs="Arial"/>
          <w:i/>
          <w:sz w:val="24"/>
          <w:szCs w:val="24"/>
          <w:lang w:eastAsia="es-ES"/>
        </w:rPr>
        <w:t xml:space="preserve">, por lo tanto su </w:t>
      </w:r>
      <w:r w:rsidR="002329B0" w:rsidRPr="002951D2">
        <w:rPr>
          <w:rFonts w:ascii="Palatino Linotype" w:eastAsia="Calibri" w:hAnsi="Palatino Linotype" w:cs="Arial"/>
          <w:b/>
          <w:i/>
          <w:sz w:val="24"/>
          <w:szCs w:val="24"/>
          <w:u w:val="single"/>
          <w:lang w:eastAsia="es-ES"/>
        </w:rPr>
        <w:t xml:space="preserve">respuesta incompleta </w:t>
      </w:r>
      <w:r w:rsidR="002329B0" w:rsidRPr="002951D2">
        <w:rPr>
          <w:rFonts w:ascii="Palatino Linotype" w:eastAsia="Calibri" w:hAnsi="Palatino Linotype" w:cs="Arial"/>
          <w:i/>
          <w:sz w:val="24"/>
          <w:szCs w:val="24"/>
          <w:lang w:eastAsia="es-ES"/>
        </w:rPr>
        <w:t>y de 2018 no entrega los recursos que se emplearon en equipo policial patrullas que se emplearon en la renta de las patrullas contratadas a integra arrenda y estos tres años recibo en promedio 500 millones de pesos cada año y lo que entrega esta incompleto y sin soportes , aunado a que remite informes al secretariado por lo que su respuesta extraña de sellos y solo parecen facturas al azar sin orden y sin contratos por el monto realmente recibido y de FORTASEG tampoco entrego nada</w:t>
      </w:r>
      <w:r w:rsidRPr="002951D2">
        <w:rPr>
          <w:rFonts w:ascii="Palatino Linotype" w:eastAsia="Calibri" w:hAnsi="Palatino Linotype" w:cs="Arial"/>
          <w:i/>
          <w:sz w:val="24"/>
          <w:szCs w:val="24"/>
          <w:lang w:eastAsia="es-ES"/>
        </w:rPr>
        <w:t xml:space="preserve">”(Sic) </w:t>
      </w:r>
      <w:r w:rsidRPr="002951D2">
        <w:rPr>
          <w:rFonts w:ascii="Palatino Linotype" w:eastAsia="Calibri" w:hAnsi="Palatino Linotype" w:cs="Arial"/>
          <w:i/>
          <w:sz w:val="24"/>
          <w:szCs w:val="24"/>
          <w:lang w:val="es-ES" w:eastAsia="es-ES"/>
        </w:rPr>
        <w:t xml:space="preserve"> </w:t>
      </w:r>
      <w:r w:rsidRPr="002951D2">
        <w:rPr>
          <w:rFonts w:ascii="Palatino Linotype" w:eastAsia="Calibri" w:hAnsi="Palatino Linotype" w:cs="Arial"/>
          <w:b/>
          <w:sz w:val="24"/>
          <w:szCs w:val="24"/>
          <w:lang w:val="es-ES" w:eastAsia="es-ES"/>
        </w:rPr>
        <w:t>y como</w:t>
      </w:r>
      <w:r w:rsidRPr="002951D2">
        <w:rPr>
          <w:rFonts w:ascii="Palatino Linotype" w:eastAsia="Calibri" w:hAnsi="Palatino Linotype" w:cs="Arial"/>
          <w:sz w:val="24"/>
          <w:szCs w:val="24"/>
          <w:lang w:val="es-ES" w:eastAsia="es-ES"/>
        </w:rPr>
        <w:t xml:space="preserve"> </w:t>
      </w:r>
    </w:p>
    <w:p w:rsidR="003F3EDE" w:rsidRPr="002951D2" w:rsidRDefault="003F3EDE" w:rsidP="003F3EDE">
      <w:pPr>
        <w:spacing w:after="0" w:line="360" w:lineRule="auto"/>
        <w:ind w:right="-142"/>
        <w:contextualSpacing/>
        <w:jc w:val="both"/>
        <w:rPr>
          <w:rFonts w:ascii="Palatino Linotype" w:eastAsiaTheme="minorEastAsia" w:hAnsi="Palatino Linotype" w:cs="Arial"/>
          <w:i/>
          <w:sz w:val="24"/>
          <w:szCs w:val="24"/>
          <w:lang w:val="es-ES_tradnl" w:eastAsia="es-ES"/>
        </w:rPr>
      </w:pPr>
    </w:p>
    <w:p w:rsidR="003F3EDE" w:rsidRPr="002951D2" w:rsidRDefault="003F3EDE" w:rsidP="002329B0">
      <w:pPr>
        <w:numPr>
          <w:ilvl w:val="0"/>
          <w:numId w:val="3"/>
        </w:numPr>
        <w:spacing w:after="0" w:line="360" w:lineRule="auto"/>
        <w:ind w:left="567" w:right="616" w:firstLine="0"/>
        <w:contextualSpacing/>
        <w:jc w:val="both"/>
        <w:rPr>
          <w:rFonts w:ascii="Palatino Linotype" w:eastAsiaTheme="majorEastAsia" w:hAnsi="Palatino Linotype" w:cstheme="majorBidi"/>
          <w:b/>
          <w:i/>
          <w:sz w:val="24"/>
          <w:szCs w:val="24"/>
          <w:lang w:val="es-ES" w:eastAsia="es-ES"/>
        </w:rPr>
      </w:pPr>
      <w:bookmarkStart w:id="29" w:name="_Toc462307685"/>
      <w:bookmarkStart w:id="30" w:name="_Toc472427087"/>
      <w:bookmarkStart w:id="31" w:name="_Toc472500654"/>
      <w:bookmarkStart w:id="32" w:name="_Toc475015153"/>
      <w:bookmarkStart w:id="33" w:name="_Toc476078668"/>
      <w:bookmarkStart w:id="34" w:name="_Toc476675984"/>
      <w:bookmarkStart w:id="35" w:name="_Toc477345125"/>
      <w:bookmarkStart w:id="36" w:name="_Toc477345203"/>
      <w:bookmarkStart w:id="37" w:name="_Toc480987169"/>
      <w:bookmarkStart w:id="38" w:name="_Toc480996302"/>
      <w:bookmarkStart w:id="39" w:name="_Toc485145204"/>
      <w:bookmarkStart w:id="40" w:name="_Toc492489254"/>
      <w:bookmarkStart w:id="41" w:name="_Toc492590384"/>
      <w:bookmarkStart w:id="42" w:name="_Toc496807000"/>
      <w:bookmarkStart w:id="43" w:name="_Toc496807890"/>
      <w:bookmarkStart w:id="44" w:name="_Toc498528854"/>
      <w:bookmarkStart w:id="45" w:name="_Toc498528942"/>
      <w:bookmarkStart w:id="46" w:name="_Toc499059265"/>
      <w:bookmarkStart w:id="47" w:name="_Toc499658726"/>
      <w:bookmarkStart w:id="48" w:name="_Toc499659073"/>
      <w:bookmarkStart w:id="49" w:name="_Toc499810484"/>
      <w:bookmarkStart w:id="50" w:name="_Toc500414596"/>
      <w:bookmarkStart w:id="51" w:name="_Toc500414653"/>
      <w:bookmarkStart w:id="52" w:name="_Toc503366328"/>
      <w:bookmarkStart w:id="53" w:name="_Toc503891594"/>
      <w:bookmarkStart w:id="54" w:name="_Toc504069532"/>
      <w:bookmarkStart w:id="55" w:name="_Toc504500687"/>
      <w:r w:rsidRPr="002951D2">
        <w:rPr>
          <w:rFonts w:ascii="Palatino Linotype" w:eastAsiaTheme="majorEastAsia" w:hAnsi="Palatino Linotype" w:cstheme="majorBidi"/>
          <w:b/>
          <w:sz w:val="24"/>
          <w:szCs w:val="24"/>
          <w:lang w:val="es-ES" w:eastAsia="es-ES"/>
        </w:rPr>
        <w:t>Razones o Motivos de inconformidad:</w:t>
      </w:r>
      <w:bookmarkEnd w:id="29"/>
      <w:bookmarkEnd w:id="30"/>
      <w:bookmarkEnd w:id="31"/>
      <w:bookmarkEnd w:id="32"/>
      <w:bookmarkEnd w:id="33"/>
      <w:bookmarkEnd w:id="34"/>
      <w:bookmarkEnd w:id="35"/>
      <w:bookmarkEnd w:id="36"/>
      <w:bookmarkEnd w:id="37"/>
      <w:bookmarkEnd w:id="38"/>
      <w:bookmarkEnd w:id="39"/>
      <w:bookmarkEnd w:id="40"/>
      <w:bookmarkEnd w:id="41"/>
      <w:r w:rsidRPr="002951D2">
        <w:rPr>
          <w:rFonts w:ascii="Palatino Linotype" w:eastAsiaTheme="majorEastAsia" w:hAnsi="Palatino Linotype" w:cstheme="majorBidi"/>
          <w:b/>
          <w:sz w:val="24"/>
          <w:szCs w:val="24"/>
          <w:lang w:val="es-ES" w:eastAsia="es-ES"/>
        </w:rPr>
        <w:t xml:space="preserve"> </w:t>
      </w:r>
      <w:bookmarkEnd w:id="42"/>
      <w:bookmarkEnd w:id="43"/>
      <w:bookmarkEnd w:id="44"/>
      <w:bookmarkEnd w:id="45"/>
      <w:bookmarkEnd w:id="46"/>
      <w:bookmarkEnd w:id="47"/>
      <w:bookmarkEnd w:id="48"/>
      <w:bookmarkEnd w:id="49"/>
      <w:bookmarkEnd w:id="50"/>
      <w:bookmarkEnd w:id="51"/>
      <w:bookmarkEnd w:id="52"/>
      <w:bookmarkEnd w:id="53"/>
      <w:bookmarkEnd w:id="54"/>
      <w:bookmarkEnd w:id="55"/>
    </w:p>
    <w:p w:rsidR="003F3EDE" w:rsidRPr="002951D2" w:rsidRDefault="003F3EDE" w:rsidP="003F3EDE">
      <w:pPr>
        <w:spacing w:after="0" w:line="360" w:lineRule="auto"/>
        <w:ind w:right="616"/>
        <w:contextualSpacing/>
        <w:jc w:val="both"/>
        <w:rPr>
          <w:rFonts w:ascii="Palatino Linotype" w:eastAsiaTheme="majorEastAsia" w:hAnsi="Palatino Linotype" w:cstheme="majorBidi"/>
          <w:b/>
          <w:i/>
          <w:sz w:val="24"/>
          <w:szCs w:val="24"/>
          <w:lang w:val="es-ES" w:eastAsia="es-ES"/>
        </w:rPr>
      </w:pPr>
    </w:p>
    <w:p w:rsidR="003F3EDE" w:rsidRPr="002951D2" w:rsidRDefault="003F3EDE" w:rsidP="002329B0">
      <w:pPr>
        <w:spacing w:after="0" w:line="360" w:lineRule="auto"/>
        <w:ind w:left="709" w:right="616"/>
        <w:contextualSpacing/>
        <w:jc w:val="both"/>
        <w:rPr>
          <w:rFonts w:ascii="Palatino Linotype" w:eastAsiaTheme="majorEastAsia" w:hAnsi="Palatino Linotype" w:cstheme="majorBidi"/>
          <w:i/>
          <w:sz w:val="24"/>
          <w:szCs w:val="24"/>
          <w:lang w:eastAsia="es-ES"/>
        </w:rPr>
      </w:pPr>
      <w:r w:rsidRPr="002951D2">
        <w:rPr>
          <w:rFonts w:ascii="Palatino Linotype" w:eastAsiaTheme="majorEastAsia" w:hAnsi="Palatino Linotype" w:cstheme="majorBidi"/>
          <w:i/>
          <w:sz w:val="24"/>
          <w:szCs w:val="24"/>
          <w:lang w:eastAsia="es-ES"/>
        </w:rPr>
        <w:t xml:space="preserve"> “</w:t>
      </w:r>
      <w:r w:rsidR="002329B0" w:rsidRPr="002951D2">
        <w:rPr>
          <w:rFonts w:ascii="Palatino Linotype" w:eastAsiaTheme="majorEastAsia" w:hAnsi="Palatino Linotype" w:cstheme="majorBidi"/>
          <w:b/>
          <w:i/>
          <w:sz w:val="24"/>
          <w:szCs w:val="24"/>
          <w:lang w:eastAsia="es-ES"/>
        </w:rPr>
        <w:t>incompleta la documentación que entrego</w:t>
      </w:r>
      <w:r w:rsidRPr="002951D2">
        <w:rPr>
          <w:rFonts w:ascii="Palatino Linotype" w:eastAsiaTheme="majorEastAsia" w:hAnsi="Palatino Linotype" w:cstheme="majorBidi"/>
          <w:i/>
          <w:sz w:val="24"/>
          <w:szCs w:val="24"/>
          <w:lang w:eastAsia="es-ES"/>
        </w:rPr>
        <w:t>” (sic)</w:t>
      </w:r>
    </w:p>
    <w:p w:rsidR="003F3EDE" w:rsidRPr="002951D2" w:rsidRDefault="003F3EDE" w:rsidP="003F3EDE">
      <w:pPr>
        <w:spacing w:after="0" w:line="360" w:lineRule="auto"/>
        <w:ind w:right="616"/>
        <w:contextualSpacing/>
        <w:jc w:val="both"/>
        <w:rPr>
          <w:rFonts w:ascii="Palatino Linotype" w:eastAsiaTheme="majorEastAsia" w:hAnsi="Palatino Linotype" w:cstheme="majorBidi"/>
          <w:i/>
          <w:sz w:val="24"/>
          <w:szCs w:val="24"/>
          <w:lang w:eastAsia="es-ES"/>
        </w:rPr>
      </w:pPr>
    </w:p>
    <w:p w:rsidR="003F3EDE" w:rsidRPr="002951D2" w:rsidRDefault="003F3EDE" w:rsidP="003F3EDE">
      <w:pPr>
        <w:pStyle w:val="Prrafodelista"/>
        <w:numPr>
          <w:ilvl w:val="0"/>
          <w:numId w:val="1"/>
        </w:numPr>
        <w:spacing w:after="0" w:line="360" w:lineRule="auto"/>
        <w:ind w:right="616"/>
        <w:jc w:val="both"/>
        <w:rPr>
          <w:rFonts w:ascii="Palatino Linotype" w:eastAsiaTheme="majorEastAsia" w:hAnsi="Palatino Linotype" w:cstheme="majorBidi"/>
          <w:i/>
          <w:sz w:val="24"/>
          <w:szCs w:val="24"/>
          <w:lang w:val="es-ES" w:eastAsia="es-ES"/>
        </w:rPr>
      </w:pPr>
      <w:r w:rsidRPr="002951D2">
        <w:rPr>
          <w:rFonts w:ascii="Palatino Linotype" w:eastAsiaTheme="majorEastAsia" w:hAnsi="Palatino Linotype" w:cstheme="majorBidi"/>
          <w:sz w:val="24"/>
          <w:szCs w:val="24"/>
          <w:lang w:val="es-ES" w:eastAsia="es-ES"/>
        </w:rPr>
        <w:t xml:space="preserve">El particular </w:t>
      </w:r>
      <w:r w:rsidR="00B50458" w:rsidRPr="002951D2">
        <w:rPr>
          <w:rFonts w:ascii="Palatino Linotype" w:eastAsiaTheme="majorEastAsia" w:hAnsi="Palatino Linotype" w:cstheme="majorBidi"/>
          <w:sz w:val="24"/>
          <w:szCs w:val="24"/>
          <w:lang w:val="es-ES" w:eastAsia="es-ES"/>
        </w:rPr>
        <w:t xml:space="preserve">adjuntó al recurso de revisión un </w:t>
      </w:r>
      <w:r w:rsidRPr="002951D2">
        <w:rPr>
          <w:rFonts w:ascii="Palatino Linotype" w:eastAsiaTheme="majorEastAsia" w:hAnsi="Palatino Linotype" w:cstheme="majorBidi"/>
          <w:sz w:val="24"/>
          <w:szCs w:val="24"/>
          <w:lang w:val="es-ES" w:eastAsia="es-ES"/>
        </w:rPr>
        <w:t xml:space="preserve">archivo mismo que consisten en </w:t>
      </w:r>
      <w:r w:rsidR="00B50458" w:rsidRPr="002951D2">
        <w:rPr>
          <w:rFonts w:ascii="Palatino Linotype" w:eastAsiaTheme="majorEastAsia" w:hAnsi="Palatino Linotype" w:cstheme="majorBidi"/>
          <w:sz w:val="24"/>
          <w:szCs w:val="24"/>
          <w:lang w:val="es-ES" w:eastAsia="es-ES"/>
        </w:rPr>
        <w:t>una publicación del Diario Oficial de la Federación, misma que se inserta</w:t>
      </w:r>
      <w:r w:rsidRPr="002951D2">
        <w:rPr>
          <w:rFonts w:ascii="Palatino Linotype" w:eastAsiaTheme="majorEastAsia" w:hAnsi="Palatino Linotype" w:cstheme="majorBidi"/>
          <w:sz w:val="24"/>
          <w:szCs w:val="24"/>
          <w:lang w:val="es-ES" w:eastAsia="es-ES"/>
        </w:rPr>
        <w:t>:</w:t>
      </w:r>
    </w:p>
    <w:p w:rsidR="00B50458" w:rsidRPr="002951D2" w:rsidRDefault="00B50458" w:rsidP="00B50458">
      <w:pPr>
        <w:pStyle w:val="Prrafodelista"/>
        <w:spacing w:after="0" w:line="360" w:lineRule="auto"/>
        <w:ind w:left="360" w:right="616"/>
        <w:jc w:val="both"/>
        <w:rPr>
          <w:rFonts w:ascii="Palatino Linotype" w:eastAsiaTheme="majorEastAsia" w:hAnsi="Palatino Linotype" w:cstheme="majorBidi"/>
          <w:i/>
          <w:sz w:val="24"/>
          <w:szCs w:val="24"/>
          <w:lang w:val="es-ES" w:eastAsia="es-ES"/>
        </w:rPr>
      </w:pPr>
      <w:r w:rsidRPr="002951D2">
        <w:rPr>
          <w:rFonts w:ascii="Palatino Linotype" w:hAnsi="Palatino Linotype"/>
          <w:noProof/>
          <w:sz w:val="24"/>
          <w:szCs w:val="24"/>
          <w:lang w:eastAsia="es-MX"/>
        </w:rPr>
        <w:drawing>
          <wp:inline distT="0" distB="0" distL="0" distR="0" wp14:anchorId="32CC6319" wp14:editId="02EDFB66">
            <wp:extent cx="5469735" cy="4740965"/>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461" t="13097" r="30285" b="3256"/>
                    <a:stretch/>
                  </pic:blipFill>
                  <pic:spPr bwMode="auto">
                    <a:xfrm>
                      <a:off x="0" y="0"/>
                      <a:ext cx="5511061" cy="4776785"/>
                    </a:xfrm>
                    <a:prstGeom prst="rect">
                      <a:avLst/>
                    </a:prstGeom>
                    <a:ln>
                      <a:noFill/>
                    </a:ln>
                    <a:extLst>
                      <a:ext uri="{53640926-AAD7-44D8-BBD7-CCE9431645EC}">
                        <a14:shadowObscured xmlns:a14="http://schemas.microsoft.com/office/drawing/2010/main"/>
                      </a:ext>
                    </a:extLst>
                  </pic:spPr>
                </pic:pic>
              </a:graphicData>
            </a:graphic>
          </wp:inline>
        </w:drawing>
      </w:r>
    </w:p>
    <w:p w:rsidR="003F3EDE" w:rsidRPr="002951D2" w:rsidRDefault="003F3EDE" w:rsidP="003F3EDE">
      <w:pPr>
        <w:numPr>
          <w:ilvl w:val="0"/>
          <w:numId w:val="2"/>
        </w:numPr>
        <w:spacing w:before="240" w:after="240" w:line="360" w:lineRule="auto"/>
        <w:ind w:left="0" w:right="-142" w:firstLine="0"/>
        <w:contextualSpacing/>
        <w:jc w:val="both"/>
        <w:rPr>
          <w:rFonts w:ascii="Palatino Linotype" w:eastAsiaTheme="minorEastAsia" w:hAnsi="Palatino Linotype"/>
          <w:i/>
          <w:sz w:val="24"/>
          <w:szCs w:val="24"/>
          <w:lang w:val="es-ES_tradnl" w:eastAsia="es-ES"/>
        </w:rPr>
      </w:pPr>
      <w:r w:rsidRPr="002951D2">
        <w:rPr>
          <w:rFonts w:ascii="Palatino Linotype" w:eastAsia="Times New Roman" w:hAnsi="Palatino Linotype" w:cs="Arial"/>
          <w:sz w:val="24"/>
          <w:szCs w:val="24"/>
          <w:lang w:val="es-ES" w:eastAsia="es-ES"/>
        </w:rPr>
        <w:t xml:space="preserve">Se registró el recurso de revisión bajo el número de expediente </w:t>
      </w:r>
      <w:r w:rsidRPr="002951D2">
        <w:rPr>
          <w:rFonts w:ascii="Palatino Linotype" w:eastAsiaTheme="minorEastAsia" w:hAnsi="Palatino Linotype" w:cs="Arial"/>
          <w:bCs/>
          <w:sz w:val="24"/>
          <w:szCs w:val="24"/>
          <w:lang w:val="es-ES_tradnl" w:eastAsia="es-ES"/>
        </w:rPr>
        <w:t xml:space="preserve">al rubro indicado, asimismo con fundamento en lo dispuesto por el </w:t>
      </w:r>
      <w:r w:rsidRPr="002951D2">
        <w:rPr>
          <w:rFonts w:ascii="Palatino Linotype" w:eastAsia="Calibri" w:hAnsi="Palatino Linotype" w:cs="Arial"/>
          <w:sz w:val="24"/>
          <w:szCs w:val="24"/>
          <w:lang w:val="es-ES" w:eastAsia="es-ES"/>
        </w:rPr>
        <w:t xml:space="preserve">artículo 185 fracción I de la </w:t>
      </w:r>
      <w:r w:rsidRPr="002951D2">
        <w:rPr>
          <w:rFonts w:ascii="Palatino Linotype" w:eastAsia="Calibri" w:hAnsi="Palatino Linotype" w:cs="Arial"/>
          <w:b/>
          <w:sz w:val="24"/>
          <w:szCs w:val="24"/>
          <w:lang w:val="es-ES" w:eastAsia="es-ES"/>
        </w:rPr>
        <w:t xml:space="preserve">Ley de Transparencia y Acceso a la Información Pública del Estado de México y Municipios </w:t>
      </w:r>
      <w:r w:rsidRPr="002951D2">
        <w:rPr>
          <w:rFonts w:ascii="Palatino Linotype" w:eastAsia="Times New Roman" w:hAnsi="Palatino Linotype" w:cs="Arial"/>
          <w:sz w:val="24"/>
          <w:szCs w:val="24"/>
          <w:lang w:val="es-ES" w:eastAsia="es-ES"/>
        </w:rPr>
        <w:t xml:space="preserve">se turnó al </w:t>
      </w:r>
      <w:r w:rsidRPr="002951D2">
        <w:rPr>
          <w:rFonts w:ascii="Palatino Linotype" w:eastAsia="Times New Roman" w:hAnsi="Palatino Linotype" w:cs="Arial"/>
          <w:b/>
          <w:sz w:val="24"/>
          <w:szCs w:val="24"/>
          <w:lang w:val="es-ES" w:eastAsia="es-ES"/>
        </w:rPr>
        <w:t xml:space="preserve">Comisionado José Guadalupe Luna Hernández, </w:t>
      </w:r>
      <w:r w:rsidRPr="002951D2">
        <w:rPr>
          <w:rFonts w:ascii="Palatino Linotype" w:eastAsia="Times New Roman" w:hAnsi="Palatino Linotype" w:cs="Arial"/>
          <w:sz w:val="24"/>
          <w:szCs w:val="24"/>
          <w:lang w:val="es-ES" w:eastAsia="es-ES"/>
        </w:rPr>
        <w:t xml:space="preserve">con el objeto de </w:t>
      </w:r>
      <w:r w:rsidRPr="002951D2">
        <w:rPr>
          <w:rFonts w:ascii="Palatino Linotype" w:eastAsia="Times New Roman" w:hAnsi="Palatino Linotype" w:cs="Arial"/>
          <w:sz w:val="24"/>
          <w:szCs w:val="24"/>
          <w:lang w:eastAsia="es-ES"/>
        </w:rPr>
        <w:t>su análisis.</w:t>
      </w:r>
    </w:p>
    <w:p w:rsidR="003F3EDE" w:rsidRPr="002951D2" w:rsidRDefault="003F3EDE" w:rsidP="003F3EDE">
      <w:pPr>
        <w:spacing w:after="0" w:line="240" w:lineRule="auto"/>
        <w:ind w:right="-142"/>
        <w:contextualSpacing/>
        <w:rPr>
          <w:rFonts w:ascii="Palatino Linotype" w:eastAsiaTheme="minorEastAsia" w:hAnsi="Palatino Linotype"/>
          <w:i/>
          <w:sz w:val="24"/>
          <w:szCs w:val="24"/>
          <w:lang w:val="es-ES_tradnl" w:eastAsia="es-ES"/>
        </w:rPr>
      </w:pPr>
    </w:p>
    <w:p w:rsidR="003F3EDE" w:rsidRPr="002951D2" w:rsidRDefault="003F3EDE" w:rsidP="003F3EDE">
      <w:pPr>
        <w:numPr>
          <w:ilvl w:val="0"/>
          <w:numId w:val="2"/>
        </w:numPr>
        <w:spacing w:after="0" w:line="360" w:lineRule="auto"/>
        <w:ind w:left="0" w:right="-142" w:firstLine="0"/>
        <w:contextualSpacing/>
        <w:jc w:val="both"/>
        <w:rPr>
          <w:rFonts w:ascii="Palatino Linotype" w:eastAsiaTheme="minorEastAsia" w:hAnsi="Palatino Linotype"/>
          <w:i/>
          <w:sz w:val="24"/>
          <w:szCs w:val="24"/>
          <w:lang w:val="es-ES_tradnl" w:eastAsia="es-ES"/>
        </w:rPr>
      </w:pPr>
      <w:r w:rsidRPr="002951D2">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del acuerdo de admisión de fecha </w:t>
      </w:r>
      <w:r w:rsidR="00B50458" w:rsidRPr="002951D2">
        <w:rPr>
          <w:rFonts w:ascii="Palatino Linotype" w:eastAsia="Calibri" w:hAnsi="Palatino Linotype" w:cs="Arial"/>
          <w:b/>
          <w:sz w:val="24"/>
          <w:szCs w:val="24"/>
          <w:lang w:val="es-ES" w:eastAsia="es-ES"/>
        </w:rPr>
        <w:t>cuatro (4) de septiembre</w:t>
      </w:r>
      <w:r w:rsidRPr="002951D2">
        <w:rPr>
          <w:rFonts w:ascii="Palatino Linotype" w:eastAsia="Calibri" w:hAnsi="Palatino Linotype" w:cs="Arial"/>
          <w:sz w:val="24"/>
          <w:szCs w:val="24"/>
          <w:lang w:val="es-ES" w:eastAsia="es-ES"/>
        </w:rPr>
        <w:t xml:space="preserve"> de dos mil diecinueve, puso a disposición de las partes el expediente electrónico </w:t>
      </w:r>
      <w:r w:rsidRPr="002951D2">
        <w:rPr>
          <w:rFonts w:ascii="Palatino Linotype" w:eastAsia="Calibri" w:hAnsi="Palatino Linotype" w:cs="Arial"/>
          <w:sz w:val="24"/>
          <w:szCs w:val="24"/>
          <w:lang w:val="es-ES_tradnl" w:eastAsia="es-ES"/>
        </w:rPr>
        <w:t xml:space="preserve">vía </w:t>
      </w:r>
      <w:r w:rsidRPr="002951D2">
        <w:rPr>
          <w:rFonts w:ascii="Palatino Linotype" w:eastAsia="Calibri" w:hAnsi="Palatino Linotype" w:cs="Arial"/>
          <w:sz w:val="24"/>
          <w:szCs w:val="24"/>
          <w:lang w:val="es-ES" w:eastAsia="es-ES"/>
        </w:rPr>
        <w:t xml:space="preserve">Sistema de Acceso a la Información Mexiquense </w:t>
      </w:r>
      <w:r w:rsidRPr="002951D2">
        <w:rPr>
          <w:rFonts w:ascii="Palatino Linotype" w:eastAsia="Calibri" w:hAnsi="Palatino Linotype" w:cs="Arial"/>
          <w:b/>
          <w:sz w:val="24"/>
          <w:szCs w:val="24"/>
          <w:lang w:val="es-ES" w:eastAsia="es-ES"/>
        </w:rPr>
        <w:t xml:space="preserve">SAIMEX </w:t>
      </w:r>
      <w:r w:rsidRPr="002951D2">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2951D2">
        <w:rPr>
          <w:rFonts w:ascii="Palatino Linotype" w:eastAsia="Calibri" w:hAnsi="Palatino Linotype" w:cs="Arial"/>
          <w:b/>
          <w:sz w:val="24"/>
          <w:szCs w:val="24"/>
          <w:lang w:val="es-ES" w:eastAsia="es-ES"/>
        </w:rPr>
        <w:t>SUJETO OBLIGADO</w:t>
      </w:r>
      <w:r w:rsidRPr="002951D2">
        <w:rPr>
          <w:rFonts w:ascii="Palatino Linotype" w:eastAsia="Calibri" w:hAnsi="Palatino Linotype" w:cs="Arial"/>
          <w:sz w:val="24"/>
          <w:szCs w:val="24"/>
          <w:lang w:val="es-ES" w:eastAsia="es-ES"/>
        </w:rPr>
        <w:t xml:space="preserve"> presentará el </w:t>
      </w:r>
      <w:r w:rsidR="00B50458" w:rsidRPr="002951D2">
        <w:rPr>
          <w:rFonts w:ascii="Palatino Linotype" w:eastAsia="Calibri" w:hAnsi="Palatino Linotype" w:cs="Arial"/>
          <w:sz w:val="24"/>
          <w:szCs w:val="24"/>
          <w:lang w:val="es-ES" w:eastAsia="es-ES"/>
        </w:rPr>
        <w:t>Informe Justificado procedente</w:t>
      </w:r>
      <w:r w:rsidRPr="002951D2">
        <w:rPr>
          <w:rFonts w:ascii="Palatino Linotype" w:eastAsia="Calibri" w:hAnsi="Palatino Linotype" w:cs="Arial"/>
          <w:sz w:val="24"/>
          <w:szCs w:val="24"/>
          <w:lang w:val="es-ES" w:eastAsia="es-ES"/>
        </w:rPr>
        <w:t>.</w:t>
      </w:r>
    </w:p>
    <w:p w:rsidR="003F3EDE" w:rsidRPr="002951D2" w:rsidRDefault="003F3EDE" w:rsidP="003F3EDE">
      <w:pPr>
        <w:spacing w:after="0"/>
        <w:contextualSpacing/>
        <w:rPr>
          <w:rFonts w:ascii="Palatino Linotype" w:eastAsiaTheme="minorEastAsia" w:hAnsi="Palatino Linotype"/>
          <w:i/>
          <w:sz w:val="24"/>
          <w:szCs w:val="24"/>
          <w:lang w:val="es-ES_tradnl" w:eastAsia="es-ES"/>
        </w:rPr>
      </w:pPr>
    </w:p>
    <w:p w:rsidR="00B50458" w:rsidRPr="002951D2" w:rsidRDefault="00B50458" w:rsidP="003F3EDE">
      <w:pPr>
        <w:numPr>
          <w:ilvl w:val="0"/>
          <w:numId w:val="2"/>
        </w:numPr>
        <w:spacing w:before="240" w:after="240" w:line="360" w:lineRule="auto"/>
        <w:ind w:left="0" w:right="-142" w:firstLine="0"/>
        <w:contextualSpacing/>
        <w:jc w:val="both"/>
        <w:rPr>
          <w:rFonts w:ascii="Palatino Linotype" w:eastAsia="Calibri" w:hAnsi="Palatino Linotype" w:cs="Arial"/>
          <w:sz w:val="24"/>
          <w:szCs w:val="24"/>
          <w:lang w:val="es-ES" w:eastAsia="es-ES"/>
        </w:rPr>
      </w:pPr>
      <w:r w:rsidRPr="002951D2">
        <w:rPr>
          <w:rFonts w:ascii="Palatino Linotype" w:eastAsia="Calibri" w:hAnsi="Palatino Linotype" w:cs="Arial"/>
          <w:sz w:val="24"/>
          <w:szCs w:val="24"/>
          <w:lang w:val="es-ES" w:eastAsia="es-ES"/>
        </w:rPr>
        <w:t xml:space="preserve">En fecha </w:t>
      </w:r>
      <w:r w:rsidRPr="002951D2">
        <w:rPr>
          <w:rFonts w:ascii="Palatino Linotype" w:eastAsia="Calibri" w:hAnsi="Palatino Linotype" w:cs="Arial"/>
          <w:b/>
          <w:sz w:val="24"/>
          <w:szCs w:val="24"/>
          <w:lang w:val="es-ES" w:eastAsia="es-ES"/>
        </w:rPr>
        <w:t>trece (13) de septiembre</w:t>
      </w:r>
      <w:r w:rsidRPr="002951D2">
        <w:rPr>
          <w:rFonts w:ascii="Palatino Linotype" w:eastAsia="Calibri" w:hAnsi="Palatino Linotype" w:cs="Arial"/>
          <w:sz w:val="24"/>
          <w:szCs w:val="24"/>
          <w:lang w:val="es-ES" w:eastAsia="es-ES"/>
        </w:rPr>
        <w:t xml:space="preserve"> de la presente anualidad, el </w:t>
      </w:r>
      <w:r w:rsidRPr="002951D2">
        <w:rPr>
          <w:rFonts w:ascii="Palatino Linotype" w:eastAsia="Calibri" w:hAnsi="Palatino Linotype" w:cs="Arial"/>
          <w:b/>
          <w:sz w:val="24"/>
          <w:szCs w:val="24"/>
          <w:lang w:val="es-ES" w:eastAsia="es-ES"/>
        </w:rPr>
        <w:t>SUJETO OBLIGADO</w:t>
      </w:r>
      <w:r w:rsidRPr="002951D2">
        <w:rPr>
          <w:rFonts w:ascii="Palatino Linotype" w:eastAsia="Calibri" w:hAnsi="Palatino Linotype" w:cs="Arial"/>
          <w:sz w:val="24"/>
          <w:szCs w:val="24"/>
          <w:lang w:val="es-ES" w:eastAsia="es-ES"/>
        </w:rPr>
        <w:t xml:space="preserve"> presentó su respectivo informe justificado, mismo que fue del conocimiento del particular el día dieciocho</w:t>
      </w:r>
      <w:r w:rsidR="004A2F27" w:rsidRPr="002951D2">
        <w:rPr>
          <w:rFonts w:ascii="Palatino Linotype" w:eastAsia="Calibri" w:hAnsi="Palatino Linotype" w:cs="Arial"/>
          <w:sz w:val="24"/>
          <w:szCs w:val="24"/>
          <w:lang w:val="es-ES" w:eastAsia="es-ES"/>
        </w:rPr>
        <w:t xml:space="preserve"> (18)</w:t>
      </w:r>
      <w:r w:rsidRPr="002951D2">
        <w:rPr>
          <w:rFonts w:ascii="Palatino Linotype" w:eastAsia="Calibri" w:hAnsi="Palatino Linotype" w:cs="Arial"/>
          <w:sz w:val="24"/>
          <w:szCs w:val="24"/>
          <w:lang w:val="es-ES" w:eastAsia="es-ES"/>
        </w:rPr>
        <w:t xml:space="preserve"> de septiembre de la presente anualidad</w:t>
      </w:r>
      <w:r w:rsidR="004C693D" w:rsidRPr="002951D2">
        <w:rPr>
          <w:rFonts w:ascii="Palatino Linotype" w:eastAsia="Calibri" w:hAnsi="Palatino Linotype" w:cs="Arial"/>
          <w:sz w:val="24"/>
          <w:szCs w:val="24"/>
          <w:lang w:val="es-ES" w:eastAsia="es-ES"/>
        </w:rPr>
        <w:t>, mediante el cual se informa que</w:t>
      </w:r>
      <w:r w:rsidRPr="002951D2">
        <w:rPr>
          <w:rFonts w:ascii="Palatino Linotype" w:eastAsia="Calibri" w:hAnsi="Palatino Linotype" w:cs="Arial"/>
          <w:sz w:val="24"/>
          <w:szCs w:val="24"/>
          <w:lang w:val="es-ES" w:eastAsia="es-ES"/>
        </w:rPr>
        <w:t xml:space="preserve"> </w:t>
      </w:r>
      <w:r w:rsidR="004A2F27" w:rsidRPr="002951D2">
        <w:rPr>
          <w:rFonts w:ascii="Palatino Linotype" w:eastAsia="Calibri" w:hAnsi="Palatino Linotype" w:cs="Arial"/>
          <w:sz w:val="24"/>
          <w:szCs w:val="24"/>
          <w:lang w:val="es-ES" w:eastAsia="es-ES"/>
        </w:rPr>
        <w:t>confirma su respuesta en razón de que el particular solicitó copias de todo los documentos…información que le fue entregada</w:t>
      </w:r>
      <w:r w:rsidR="006A6FA0" w:rsidRPr="002951D2">
        <w:rPr>
          <w:rFonts w:ascii="Palatino Linotype" w:eastAsia="Calibri" w:hAnsi="Palatino Linotype" w:cs="Arial"/>
          <w:sz w:val="24"/>
          <w:szCs w:val="24"/>
          <w:lang w:val="es-ES" w:eastAsia="es-ES"/>
        </w:rPr>
        <w:t xml:space="preserve"> en formato pdf, 390 hojas en versión pública; en cuanto a las manifestaciones que precisa el particular, se precisa que no son planteamientos que se haya realizado en la solicitud de origen, por lo que resulta inoperantes y otras resulta subjetivas carentes de sustento legal. En cuanto a los recursos del fondo FORTASEG se informó que </w:t>
      </w:r>
      <w:r w:rsidR="00C065A1" w:rsidRPr="002951D2">
        <w:rPr>
          <w:rFonts w:ascii="Palatino Linotype" w:eastAsia="Calibri" w:hAnsi="Palatino Linotype" w:cs="Arial"/>
          <w:sz w:val="24"/>
          <w:szCs w:val="24"/>
          <w:lang w:val="es-ES" w:eastAsia="es-ES"/>
        </w:rPr>
        <w:t>es un subsidio que se entrega de manera directa a los municipios, para lo cual se publican en el Diario Oficial de la Federación los Lineamientos para el otorgamiento del subsidio, sin que el Sujeto Obligado se vea beneficiada con dichos recursos información que puede ser corroborada en la dirección electrónica proporcionada. Por tales circunstancias referidas en el informe justificado el Sujeto Obligado solicitó confirma la respuesta.</w:t>
      </w:r>
    </w:p>
    <w:p w:rsidR="009A7918" w:rsidRPr="002951D2" w:rsidRDefault="009A7918" w:rsidP="009A7918">
      <w:pPr>
        <w:spacing w:before="240" w:after="240" w:line="360" w:lineRule="auto"/>
        <w:ind w:right="-142"/>
        <w:contextualSpacing/>
        <w:jc w:val="both"/>
        <w:rPr>
          <w:rFonts w:ascii="Palatino Linotype" w:eastAsia="Calibri" w:hAnsi="Palatino Linotype" w:cs="Arial"/>
          <w:sz w:val="24"/>
          <w:szCs w:val="24"/>
          <w:lang w:val="es-ES" w:eastAsia="es-ES"/>
        </w:rPr>
      </w:pPr>
    </w:p>
    <w:p w:rsidR="009A7918" w:rsidRPr="002951D2" w:rsidRDefault="002951D2" w:rsidP="003F3EDE">
      <w:pPr>
        <w:numPr>
          <w:ilvl w:val="0"/>
          <w:numId w:val="2"/>
        </w:numPr>
        <w:spacing w:before="240" w:after="240" w:line="360" w:lineRule="auto"/>
        <w:ind w:left="0" w:right="-142" w:firstLine="0"/>
        <w:contextualSpacing/>
        <w:jc w:val="both"/>
        <w:rPr>
          <w:rFonts w:ascii="Palatino Linotype" w:eastAsia="Calibri" w:hAnsi="Palatino Linotype" w:cs="Arial"/>
          <w:sz w:val="24"/>
          <w:szCs w:val="24"/>
          <w:lang w:val="es-ES" w:eastAsia="es-ES"/>
        </w:rPr>
      </w:pPr>
      <w:r>
        <w:rPr>
          <w:rFonts w:ascii="Palatino Linotype" w:eastAsia="Calibri" w:hAnsi="Palatino Linotype" w:cs="Arial"/>
          <w:noProof/>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42986</wp:posOffset>
                </wp:positionH>
                <wp:positionV relativeFrom="paragraph">
                  <wp:posOffset>892009</wp:posOffset>
                </wp:positionV>
                <wp:extent cx="5516217" cy="4234070"/>
                <wp:effectExtent l="19050" t="19050" r="27940" b="33655"/>
                <wp:wrapNone/>
                <wp:docPr id="4" name="Conector recto 4"/>
                <wp:cNvGraphicFramePr/>
                <a:graphic xmlns:a="http://schemas.openxmlformats.org/drawingml/2006/main">
                  <a:graphicData uri="http://schemas.microsoft.com/office/word/2010/wordprocessingShape">
                    <wps:wsp>
                      <wps:cNvCnPr/>
                      <wps:spPr>
                        <a:xfrm>
                          <a:off x="0" y="0"/>
                          <a:ext cx="5516217" cy="423407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3C6B75"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4pt,70.25pt" to="437.75pt,4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" strokecolor="#5b9bd5 [3204]" strokeweight="3pt">
                <v:stroke joinstyle="miter"/>
              </v:line>
            </w:pict>
          </mc:Fallback>
        </mc:AlternateContent>
      </w:r>
      <w:r w:rsidR="009A7918" w:rsidRPr="002951D2">
        <w:rPr>
          <w:rFonts w:ascii="Palatino Linotype" w:eastAsia="Calibri" w:hAnsi="Palatino Linotype" w:cs="Arial"/>
          <w:sz w:val="24"/>
          <w:szCs w:val="24"/>
          <w:lang w:val="es-ES" w:eastAsia="es-ES"/>
        </w:rPr>
        <w:t>En fecha dieciocho (18) de septiembre de la presente anualidad el recurrente presento como manifestaciones el documento emitido por la Auditoria Superior de la Federación:</w:t>
      </w:r>
    </w:p>
    <w:p w:rsidR="009A7918" w:rsidRPr="002951D2" w:rsidRDefault="009A7918" w:rsidP="009A7918">
      <w:pPr>
        <w:pStyle w:val="Prrafodelista"/>
        <w:rPr>
          <w:rFonts w:ascii="Palatino Linotype" w:eastAsia="Calibri" w:hAnsi="Palatino Linotype" w:cs="Arial"/>
          <w:sz w:val="24"/>
          <w:szCs w:val="24"/>
          <w:lang w:val="es-ES" w:eastAsia="es-ES"/>
        </w:rPr>
      </w:pPr>
      <w:r w:rsidRPr="002951D2">
        <w:rPr>
          <w:rFonts w:ascii="Palatino Linotype" w:hAnsi="Palatino Linotype"/>
          <w:noProof/>
          <w:sz w:val="24"/>
          <w:szCs w:val="24"/>
          <w:lang w:eastAsia="es-MX"/>
        </w:rPr>
        <w:drawing>
          <wp:inline distT="0" distB="0" distL="0" distR="0" wp14:anchorId="737526E0" wp14:editId="40009888">
            <wp:extent cx="5098694" cy="6740974"/>
            <wp:effectExtent l="0" t="0" r="698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935" t="14369" r="33256" b="3811"/>
                    <a:stretch/>
                  </pic:blipFill>
                  <pic:spPr bwMode="auto">
                    <a:xfrm>
                      <a:off x="0" y="0"/>
                      <a:ext cx="5107070" cy="6752048"/>
                    </a:xfrm>
                    <a:prstGeom prst="rect">
                      <a:avLst/>
                    </a:prstGeom>
                    <a:ln>
                      <a:noFill/>
                    </a:ln>
                    <a:extLst>
                      <a:ext uri="{53640926-AAD7-44D8-BBD7-CCE9431645EC}">
                        <a14:shadowObscured xmlns:a14="http://schemas.microsoft.com/office/drawing/2010/main"/>
                      </a:ext>
                    </a:extLst>
                  </pic:spPr>
                </pic:pic>
              </a:graphicData>
            </a:graphic>
          </wp:inline>
        </w:drawing>
      </w:r>
    </w:p>
    <w:p w:rsidR="009A7918" w:rsidRPr="002951D2" w:rsidRDefault="009A7918" w:rsidP="009A7918">
      <w:pPr>
        <w:pStyle w:val="Prrafodelista"/>
        <w:rPr>
          <w:rFonts w:ascii="Palatino Linotype" w:eastAsia="Calibri" w:hAnsi="Palatino Linotype" w:cs="Arial"/>
          <w:sz w:val="24"/>
          <w:szCs w:val="24"/>
          <w:lang w:val="es-ES" w:eastAsia="es-ES"/>
        </w:rPr>
      </w:pPr>
    </w:p>
    <w:p w:rsidR="00C065A1" w:rsidRPr="002951D2" w:rsidRDefault="009A7918" w:rsidP="002951D2">
      <w:pPr>
        <w:pStyle w:val="Prrafodelista"/>
        <w:rPr>
          <w:rFonts w:ascii="Palatino Linotype" w:eastAsia="Calibri" w:hAnsi="Palatino Linotype" w:cs="Arial"/>
          <w:sz w:val="24"/>
          <w:szCs w:val="24"/>
          <w:lang w:val="es-ES" w:eastAsia="es-ES"/>
        </w:rPr>
      </w:pPr>
      <w:r w:rsidRPr="002951D2">
        <w:rPr>
          <w:rFonts w:ascii="Palatino Linotype" w:hAnsi="Palatino Linotype"/>
          <w:noProof/>
          <w:sz w:val="24"/>
          <w:szCs w:val="24"/>
          <w:lang w:eastAsia="es-MX"/>
        </w:rPr>
        <w:drawing>
          <wp:inline distT="0" distB="0" distL="0" distR="0" wp14:anchorId="0EBCE2EA" wp14:editId="608CF632">
            <wp:extent cx="5025542" cy="5586012"/>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195" t="6720" r="32735" b="23974"/>
                    <a:stretch/>
                  </pic:blipFill>
                  <pic:spPr bwMode="auto">
                    <a:xfrm>
                      <a:off x="0" y="0"/>
                      <a:ext cx="5035699" cy="5597302"/>
                    </a:xfrm>
                    <a:prstGeom prst="rect">
                      <a:avLst/>
                    </a:prstGeom>
                    <a:ln>
                      <a:noFill/>
                    </a:ln>
                    <a:extLst>
                      <a:ext uri="{53640926-AAD7-44D8-BBD7-CCE9431645EC}">
                        <a14:shadowObscured xmlns:a14="http://schemas.microsoft.com/office/drawing/2010/main"/>
                      </a:ext>
                    </a:extLst>
                  </pic:spPr>
                </pic:pic>
              </a:graphicData>
            </a:graphic>
          </wp:inline>
        </w:drawing>
      </w:r>
    </w:p>
    <w:p w:rsidR="003F3EDE" w:rsidRPr="002951D2" w:rsidRDefault="003F3EDE" w:rsidP="003F3EDE">
      <w:pPr>
        <w:numPr>
          <w:ilvl w:val="0"/>
          <w:numId w:val="2"/>
        </w:numPr>
        <w:spacing w:before="240" w:after="240" w:line="360" w:lineRule="auto"/>
        <w:ind w:left="0" w:right="-142" w:firstLine="0"/>
        <w:contextualSpacing/>
        <w:jc w:val="both"/>
        <w:rPr>
          <w:rFonts w:ascii="Palatino Linotype" w:eastAsia="Calibri" w:hAnsi="Palatino Linotype" w:cs="Arial"/>
          <w:sz w:val="24"/>
          <w:szCs w:val="24"/>
          <w:lang w:val="es-ES" w:eastAsia="es-ES"/>
        </w:rPr>
      </w:pPr>
      <w:r w:rsidRPr="002951D2">
        <w:rPr>
          <w:rFonts w:ascii="Palatino Linotype" w:eastAsiaTheme="minorEastAsia" w:hAnsi="Palatino Linotype"/>
          <w:sz w:val="24"/>
          <w:szCs w:val="24"/>
          <w:lang w:val="es-ES_tradnl" w:eastAsia="es-ES"/>
        </w:rPr>
        <w:t>El Comisionado Ponente decretó el cierre de instrucción</w:t>
      </w:r>
      <w:r w:rsidRPr="002951D2">
        <w:rPr>
          <w:rFonts w:ascii="Palatino Linotype" w:eastAsiaTheme="minorEastAsia" w:hAnsi="Palatino Linotype" w:cs="Arial"/>
          <w:sz w:val="24"/>
          <w:szCs w:val="24"/>
          <w:lang w:val="es-ES_tradnl" w:eastAsia="es-ES"/>
        </w:rPr>
        <w:t xml:space="preserve"> </w:t>
      </w:r>
      <w:r w:rsidRPr="002951D2">
        <w:rPr>
          <w:rFonts w:ascii="Palatino Linotype" w:eastAsiaTheme="minorEastAsia" w:hAnsi="Palatino Linotype"/>
          <w:sz w:val="24"/>
          <w:szCs w:val="24"/>
          <w:lang w:val="es-ES_tradnl" w:eastAsia="es-ES"/>
        </w:rPr>
        <w:t xml:space="preserve">mediante acuerdo de fecha </w:t>
      </w:r>
      <w:r w:rsidR="00C065A1" w:rsidRPr="002951D2">
        <w:rPr>
          <w:rFonts w:ascii="Palatino Linotype" w:eastAsiaTheme="minorEastAsia" w:hAnsi="Palatino Linotype"/>
          <w:b/>
          <w:sz w:val="24"/>
          <w:szCs w:val="24"/>
          <w:lang w:val="es-ES_tradnl" w:eastAsia="es-ES"/>
        </w:rPr>
        <w:t>veintinueve (29) de octubre</w:t>
      </w:r>
      <w:r w:rsidRPr="002951D2">
        <w:rPr>
          <w:rFonts w:ascii="Palatino Linotype" w:eastAsiaTheme="minorEastAsia" w:hAnsi="Palatino Linotype"/>
          <w:sz w:val="24"/>
          <w:szCs w:val="24"/>
          <w:lang w:val="es-ES_tradnl" w:eastAsia="es-ES"/>
        </w:rPr>
        <w:t xml:space="preserve"> de dos mil diecinueve, </w:t>
      </w:r>
      <w:r w:rsidRPr="002951D2">
        <w:rPr>
          <w:rFonts w:ascii="Palatino Linotype" w:eastAsiaTheme="minorEastAsia" w:hAnsi="Palatino Linotype" w:cs="Arial"/>
          <w:sz w:val="24"/>
          <w:szCs w:val="24"/>
          <w:lang w:val="es-ES_tradnl" w:eastAsia="es-ES"/>
        </w:rPr>
        <w:t>por lo que, ordenó turnar el expediente a resolución; sin embargo,</w:t>
      </w:r>
      <w:r w:rsidR="00C065A1" w:rsidRPr="002951D2">
        <w:rPr>
          <w:rFonts w:ascii="Palatino Linotype" w:eastAsiaTheme="minorEastAsia" w:hAnsi="Palatino Linotype" w:cs="Arial"/>
          <w:sz w:val="24"/>
          <w:szCs w:val="24"/>
          <w:lang w:val="es-ES_tradnl" w:eastAsia="es-ES"/>
        </w:rPr>
        <w:t xml:space="preserve"> el día </w:t>
      </w:r>
      <w:r w:rsidR="00C065A1" w:rsidRPr="002951D2">
        <w:rPr>
          <w:rFonts w:ascii="Palatino Linotype" w:eastAsiaTheme="minorEastAsia" w:hAnsi="Palatino Linotype" w:cs="Arial"/>
          <w:b/>
          <w:sz w:val="24"/>
          <w:szCs w:val="24"/>
          <w:lang w:val="es-ES_tradnl" w:eastAsia="es-ES"/>
        </w:rPr>
        <w:t>veintidós (22</w:t>
      </w:r>
      <w:r w:rsidRPr="002951D2">
        <w:rPr>
          <w:rFonts w:ascii="Palatino Linotype" w:eastAsiaTheme="minorEastAsia" w:hAnsi="Palatino Linotype" w:cs="Arial"/>
          <w:b/>
          <w:sz w:val="24"/>
          <w:szCs w:val="24"/>
          <w:lang w:val="es-ES_tradnl" w:eastAsia="es-ES"/>
        </w:rPr>
        <w:t xml:space="preserve">) de octubre </w:t>
      </w:r>
      <w:r w:rsidRPr="002951D2">
        <w:rPr>
          <w:rFonts w:ascii="Palatino Linotype" w:eastAsiaTheme="minorEastAsia" w:hAnsi="Palatino Linotype" w:cs="Arial"/>
          <w:sz w:val="24"/>
          <w:szCs w:val="24"/>
          <w:lang w:val="es-ES_tradnl" w:eastAsia="es-ES"/>
        </w:rPr>
        <w:t xml:space="preserve">de la presente anualidad, se acordó la ampliación del plazo para efecto de emitir un mejor estudio del asunto, lo anterior derivado del cúmulo de la información que conforma los expedientes,  por lo que no habiendo más que hacer constar, y - - - </w:t>
      </w:r>
    </w:p>
    <w:p w:rsidR="003F3EDE" w:rsidRPr="002951D2" w:rsidRDefault="003F3EDE" w:rsidP="003F3EDE">
      <w:pPr>
        <w:spacing w:before="240" w:after="240" w:line="360" w:lineRule="auto"/>
        <w:ind w:right="-142"/>
        <w:contextualSpacing/>
        <w:jc w:val="both"/>
        <w:rPr>
          <w:rFonts w:ascii="Palatino Linotype" w:eastAsia="Calibri" w:hAnsi="Palatino Linotype" w:cs="Arial"/>
          <w:sz w:val="24"/>
          <w:szCs w:val="24"/>
          <w:lang w:val="es-ES" w:eastAsia="es-ES"/>
        </w:rPr>
      </w:pPr>
    </w:p>
    <w:p w:rsidR="003F3EDE" w:rsidRPr="002951D2" w:rsidRDefault="003F3EDE" w:rsidP="003F3EDE">
      <w:pPr>
        <w:keepNext/>
        <w:keepLines/>
        <w:spacing w:before="240" w:after="0"/>
        <w:ind w:right="-142"/>
        <w:jc w:val="center"/>
        <w:outlineLvl w:val="0"/>
        <w:rPr>
          <w:rFonts w:ascii="Palatino Linotype" w:eastAsiaTheme="majorEastAsia" w:hAnsi="Palatino Linotype" w:cstheme="majorBidi"/>
          <w:b/>
          <w:sz w:val="24"/>
          <w:szCs w:val="24"/>
        </w:rPr>
      </w:pPr>
      <w:bookmarkStart w:id="56" w:name="_Toc23430153"/>
      <w:r w:rsidRPr="002951D2">
        <w:rPr>
          <w:rFonts w:ascii="Palatino Linotype" w:eastAsiaTheme="majorEastAsia" w:hAnsi="Palatino Linotype" w:cstheme="majorBidi"/>
          <w:b/>
          <w:sz w:val="24"/>
          <w:szCs w:val="24"/>
        </w:rPr>
        <w:t>C O N S I D E R A N D O</w:t>
      </w:r>
      <w:bookmarkEnd w:id="56"/>
      <w:r w:rsidRPr="002951D2">
        <w:rPr>
          <w:rFonts w:ascii="Palatino Linotype" w:eastAsiaTheme="majorEastAsia" w:hAnsi="Palatino Linotype" w:cstheme="majorBidi"/>
          <w:b/>
          <w:sz w:val="24"/>
          <w:szCs w:val="24"/>
        </w:rPr>
        <w:t xml:space="preserve"> </w:t>
      </w:r>
    </w:p>
    <w:p w:rsidR="003F3EDE" w:rsidRPr="002951D2" w:rsidRDefault="003F3EDE" w:rsidP="003F3EDE">
      <w:pPr>
        <w:spacing w:after="0" w:line="240" w:lineRule="auto"/>
        <w:ind w:right="-142"/>
        <w:rPr>
          <w:rFonts w:ascii="Palatino Linotype" w:eastAsiaTheme="minorEastAsia" w:hAnsi="Palatino Linotype"/>
          <w:sz w:val="24"/>
          <w:szCs w:val="24"/>
        </w:rPr>
      </w:pPr>
    </w:p>
    <w:p w:rsidR="003F3EDE" w:rsidRPr="002951D2" w:rsidRDefault="003F3EDE" w:rsidP="003F3EDE">
      <w:pPr>
        <w:keepNext/>
        <w:keepLines/>
        <w:spacing w:before="40" w:after="0"/>
        <w:ind w:right="-142"/>
        <w:outlineLvl w:val="1"/>
        <w:rPr>
          <w:rFonts w:ascii="Palatino Linotype" w:eastAsiaTheme="majorEastAsia" w:hAnsi="Palatino Linotype" w:cstheme="majorBidi"/>
          <w:b/>
          <w:sz w:val="24"/>
          <w:szCs w:val="24"/>
        </w:rPr>
      </w:pPr>
      <w:bookmarkStart w:id="57" w:name="_Toc23430154"/>
      <w:r w:rsidRPr="002951D2">
        <w:rPr>
          <w:rFonts w:ascii="Palatino Linotype" w:eastAsiaTheme="majorEastAsia" w:hAnsi="Palatino Linotype" w:cstheme="majorBidi"/>
          <w:b/>
          <w:sz w:val="24"/>
          <w:szCs w:val="24"/>
        </w:rPr>
        <w:t>PRIMERO. De la competencia</w:t>
      </w:r>
      <w:bookmarkEnd w:id="57"/>
    </w:p>
    <w:p w:rsidR="003F3EDE" w:rsidRPr="002951D2" w:rsidRDefault="003F3EDE" w:rsidP="003F3EDE">
      <w:pPr>
        <w:spacing w:after="0" w:line="240" w:lineRule="auto"/>
        <w:ind w:right="-142"/>
        <w:rPr>
          <w:rFonts w:ascii="Palatino Linotype" w:eastAsiaTheme="minorEastAsia" w:hAnsi="Palatino Linotype"/>
          <w:sz w:val="24"/>
          <w:szCs w:val="24"/>
        </w:rPr>
      </w:pPr>
    </w:p>
    <w:p w:rsidR="003F3EDE" w:rsidRPr="002951D2" w:rsidRDefault="003F3EDE" w:rsidP="003F3EDE">
      <w:pPr>
        <w:numPr>
          <w:ilvl w:val="0"/>
          <w:numId w:val="2"/>
        </w:numPr>
        <w:spacing w:before="240" w:after="240" w:line="360" w:lineRule="auto"/>
        <w:ind w:left="0" w:right="-142" w:firstLine="0"/>
        <w:contextualSpacing/>
        <w:jc w:val="both"/>
        <w:rPr>
          <w:rFonts w:ascii="Palatino Linotype" w:eastAsiaTheme="minorEastAsia" w:hAnsi="Palatino Linotype"/>
          <w:sz w:val="24"/>
          <w:szCs w:val="24"/>
          <w:lang w:val="es-ES_tradnl" w:eastAsia="es-ES"/>
        </w:rPr>
      </w:pPr>
      <w:r w:rsidRPr="002951D2">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2951D2">
        <w:rPr>
          <w:rFonts w:ascii="Palatino Linotype" w:eastAsia="Calibri" w:hAnsi="Palatino Linotype" w:cs="Times New Roman"/>
          <w:b/>
          <w:sz w:val="24"/>
          <w:szCs w:val="24"/>
          <w:lang w:val="es-ES" w:eastAsia="es-ES"/>
        </w:rPr>
        <w:t>Constitución Política de los Estados Unidos Mexicanos</w:t>
      </w:r>
      <w:r w:rsidRPr="002951D2">
        <w:rPr>
          <w:rFonts w:ascii="Palatino Linotype" w:eastAsia="Calibri" w:hAnsi="Palatino Linotype" w:cs="Times New Roman"/>
          <w:sz w:val="24"/>
          <w:szCs w:val="24"/>
          <w:lang w:val="es-ES" w:eastAsia="es-ES"/>
        </w:rPr>
        <w:t xml:space="preserve">; 5, párrafos </w:t>
      </w:r>
      <w:r w:rsidRPr="002951D2">
        <w:rPr>
          <w:rFonts w:ascii="Palatino Linotype" w:eastAsiaTheme="minorEastAsia" w:hAnsi="Palatino Linotype" w:cs="Arial"/>
          <w:bCs/>
          <w:sz w:val="24"/>
          <w:szCs w:val="24"/>
          <w:lang w:val="es-ES" w:eastAsia="es-ES"/>
        </w:rPr>
        <w:t xml:space="preserve">vigésimo segundo, vigésimo tercero y vigésimo cuarto </w:t>
      </w:r>
      <w:r w:rsidRPr="002951D2">
        <w:rPr>
          <w:rFonts w:ascii="Palatino Linotype" w:eastAsia="Calibri" w:hAnsi="Palatino Linotype" w:cs="Times New Roman"/>
          <w:sz w:val="24"/>
          <w:szCs w:val="24"/>
          <w:lang w:val="es-ES" w:eastAsia="es-ES"/>
        </w:rPr>
        <w:t xml:space="preserve">fracciones IV y V de la </w:t>
      </w:r>
      <w:r w:rsidRPr="002951D2">
        <w:rPr>
          <w:rFonts w:ascii="Palatino Linotype" w:eastAsia="Calibri" w:hAnsi="Palatino Linotype" w:cs="Times New Roman"/>
          <w:b/>
          <w:sz w:val="24"/>
          <w:szCs w:val="24"/>
          <w:lang w:val="es-ES" w:eastAsia="es-ES"/>
        </w:rPr>
        <w:t>Constitución Política del Estado Libre y Soberano de México</w:t>
      </w:r>
      <w:r w:rsidRPr="002951D2">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2951D2">
        <w:rPr>
          <w:rFonts w:ascii="Palatino Linotype" w:eastAsia="Calibri" w:hAnsi="Palatino Linotype" w:cs="Arial"/>
          <w:sz w:val="24"/>
          <w:szCs w:val="24"/>
          <w:lang w:val="es-ES" w:eastAsia="es-ES"/>
        </w:rPr>
        <w:t xml:space="preserve">de la </w:t>
      </w:r>
      <w:r w:rsidRPr="002951D2">
        <w:rPr>
          <w:rFonts w:ascii="Palatino Linotype" w:eastAsia="Calibri" w:hAnsi="Palatino Linotype" w:cs="Arial"/>
          <w:b/>
          <w:sz w:val="24"/>
          <w:szCs w:val="24"/>
          <w:lang w:val="es-ES" w:eastAsia="es-ES"/>
        </w:rPr>
        <w:t>Ley de Transparencia y Acceso a la Información Pública del Estado de México y Municipios</w:t>
      </w:r>
      <w:r w:rsidRPr="002951D2">
        <w:rPr>
          <w:rFonts w:ascii="Palatino Linotype" w:eastAsia="Calibri" w:hAnsi="Palatino Linotype" w:cs="Arial"/>
          <w:sz w:val="24"/>
          <w:szCs w:val="24"/>
          <w:lang w:val="es-ES" w:eastAsia="es-ES"/>
        </w:rPr>
        <w:t xml:space="preserve">; y 7, 9 fracciones I y XXIV, y 11 del </w:t>
      </w:r>
      <w:r w:rsidRPr="002951D2">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2951D2">
        <w:rPr>
          <w:rFonts w:ascii="Palatino Linotype" w:eastAsiaTheme="minorEastAsia" w:hAnsi="Palatino Linotype"/>
          <w:sz w:val="24"/>
          <w:szCs w:val="24"/>
          <w:lang w:val="es-ES_tradnl" w:eastAsia="es-ES"/>
        </w:rPr>
        <w:t>.</w:t>
      </w:r>
    </w:p>
    <w:p w:rsidR="003F3EDE" w:rsidRPr="002951D2" w:rsidRDefault="003F3EDE" w:rsidP="003F3EDE">
      <w:pPr>
        <w:spacing w:before="240" w:after="240" w:line="360" w:lineRule="auto"/>
        <w:ind w:right="-142"/>
        <w:contextualSpacing/>
        <w:jc w:val="both"/>
        <w:rPr>
          <w:rFonts w:ascii="Palatino Linotype" w:eastAsiaTheme="minorEastAsia" w:hAnsi="Palatino Linotype"/>
          <w:sz w:val="24"/>
          <w:szCs w:val="24"/>
          <w:lang w:val="es-ES_tradnl" w:eastAsia="es-ES"/>
        </w:rPr>
      </w:pPr>
    </w:p>
    <w:p w:rsidR="003F3EDE" w:rsidRPr="002951D2" w:rsidRDefault="003F3EDE" w:rsidP="003F3EDE">
      <w:pPr>
        <w:keepNext/>
        <w:keepLines/>
        <w:spacing w:before="40" w:after="0"/>
        <w:ind w:right="-142"/>
        <w:outlineLvl w:val="1"/>
        <w:rPr>
          <w:rFonts w:ascii="Palatino Linotype" w:eastAsiaTheme="majorEastAsia" w:hAnsi="Palatino Linotype" w:cstheme="majorBidi"/>
          <w:b/>
          <w:sz w:val="24"/>
          <w:szCs w:val="24"/>
        </w:rPr>
      </w:pPr>
      <w:bookmarkStart w:id="58" w:name="_Toc23430155"/>
      <w:r w:rsidRPr="002951D2">
        <w:rPr>
          <w:rFonts w:ascii="Palatino Linotype" w:eastAsiaTheme="majorEastAsia" w:hAnsi="Palatino Linotype" w:cstheme="majorBidi"/>
          <w:b/>
          <w:sz w:val="24"/>
          <w:szCs w:val="24"/>
        </w:rPr>
        <w:t>SEGUNDO. De la oportunidad y procedencia.</w:t>
      </w:r>
      <w:bookmarkEnd w:id="58"/>
    </w:p>
    <w:p w:rsidR="003F3EDE" w:rsidRPr="002951D2" w:rsidRDefault="003F3EDE" w:rsidP="003F3EDE">
      <w:pPr>
        <w:keepNext/>
        <w:keepLines/>
        <w:spacing w:before="40" w:after="0"/>
        <w:ind w:right="-142"/>
        <w:outlineLvl w:val="1"/>
        <w:rPr>
          <w:rFonts w:ascii="Palatino Linotype" w:eastAsiaTheme="majorEastAsia" w:hAnsi="Palatino Linotype" w:cstheme="majorBidi"/>
          <w:b/>
          <w:sz w:val="24"/>
          <w:szCs w:val="24"/>
        </w:rPr>
      </w:pPr>
    </w:p>
    <w:p w:rsidR="003F3EDE" w:rsidRPr="002951D2" w:rsidRDefault="003F3EDE" w:rsidP="003F3EDE">
      <w:pPr>
        <w:contextualSpacing/>
        <w:rPr>
          <w:rFonts w:ascii="Palatino Linotype" w:eastAsia="Calibri" w:hAnsi="Palatino Linotype" w:cs="Times New Roman"/>
          <w:sz w:val="24"/>
          <w:szCs w:val="24"/>
          <w:lang w:val="es-ES" w:eastAsia="es-ES"/>
        </w:rPr>
      </w:pPr>
    </w:p>
    <w:p w:rsidR="003F3EDE" w:rsidRPr="002951D2" w:rsidRDefault="003F3EDE" w:rsidP="003F3EDE">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2951D2">
        <w:rPr>
          <w:rFonts w:ascii="Palatino Linotype" w:eastAsia="Calibri" w:hAnsi="Palatino Linotype" w:cs="Arial"/>
          <w:sz w:val="24"/>
          <w:szCs w:val="24"/>
        </w:rPr>
        <w:t xml:space="preserve">El medio de impugnación fue presentado a través del </w:t>
      </w:r>
      <w:r w:rsidRPr="002951D2">
        <w:rPr>
          <w:rFonts w:ascii="Palatino Linotype" w:eastAsia="Calibri" w:hAnsi="Palatino Linotype" w:cs="Arial"/>
          <w:b/>
          <w:sz w:val="24"/>
          <w:szCs w:val="24"/>
        </w:rPr>
        <w:t>SAIMEX,</w:t>
      </w:r>
      <w:r w:rsidRPr="002951D2">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2951D2">
        <w:rPr>
          <w:rFonts w:ascii="Palatino Linotype" w:eastAsia="Calibri" w:hAnsi="Palatino Linotype" w:cs="Arial"/>
          <w:b/>
          <w:sz w:val="24"/>
          <w:szCs w:val="24"/>
        </w:rPr>
        <w:t>SUJETO OBLIGADO</w:t>
      </w:r>
      <w:r w:rsidRPr="002951D2">
        <w:rPr>
          <w:rFonts w:ascii="Palatino Linotype" w:eastAsia="Calibri" w:hAnsi="Palatino Linotype" w:cs="Arial"/>
          <w:sz w:val="24"/>
          <w:szCs w:val="24"/>
        </w:rPr>
        <w:t xml:space="preserve"> entregó su respuesta el día </w:t>
      </w:r>
      <w:r w:rsidR="00C065A1" w:rsidRPr="002951D2">
        <w:rPr>
          <w:rFonts w:ascii="Palatino Linotype" w:eastAsia="Calibri" w:hAnsi="Palatino Linotype" w:cs="Arial"/>
          <w:b/>
          <w:sz w:val="24"/>
          <w:szCs w:val="24"/>
        </w:rPr>
        <w:t>veintiocho (28</w:t>
      </w:r>
      <w:r w:rsidRPr="002951D2">
        <w:rPr>
          <w:rFonts w:ascii="Palatino Linotype" w:eastAsia="Calibri" w:hAnsi="Palatino Linotype" w:cs="Arial"/>
          <w:b/>
          <w:sz w:val="24"/>
          <w:szCs w:val="24"/>
        </w:rPr>
        <w:t xml:space="preserve">) agosto </w:t>
      </w:r>
      <w:r w:rsidRPr="002951D2">
        <w:rPr>
          <w:rFonts w:ascii="Palatino Linotype" w:eastAsia="Calibri" w:hAnsi="Palatino Linotype" w:cs="Arial"/>
          <w:sz w:val="24"/>
          <w:szCs w:val="24"/>
        </w:rPr>
        <w:t xml:space="preserve">dos mil diecinueve, </w:t>
      </w:r>
      <w:r w:rsidRPr="002951D2">
        <w:rPr>
          <w:rFonts w:ascii="Palatino Linotype" w:hAnsi="Palatino Linotype" w:cs="Arial"/>
          <w:sz w:val="24"/>
          <w:szCs w:val="24"/>
        </w:rPr>
        <w:t>de tal forma que el plazo para interponer el recurso transcurrió del día</w:t>
      </w:r>
      <w:r w:rsidR="00E72B7D" w:rsidRPr="002951D2">
        <w:rPr>
          <w:rFonts w:ascii="Palatino Linotype" w:hAnsi="Palatino Linotype" w:cs="Arial"/>
          <w:sz w:val="24"/>
          <w:szCs w:val="24"/>
        </w:rPr>
        <w:t xml:space="preserve"> </w:t>
      </w:r>
      <w:r w:rsidR="00E72B7D" w:rsidRPr="002951D2">
        <w:rPr>
          <w:rFonts w:ascii="Palatino Linotype" w:hAnsi="Palatino Linotype" w:cs="Arial"/>
          <w:b/>
          <w:sz w:val="24"/>
          <w:szCs w:val="24"/>
        </w:rPr>
        <w:t>veintinueve</w:t>
      </w:r>
      <w:r w:rsidRPr="002951D2">
        <w:rPr>
          <w:rFonts w:ascii="Palatino Linotype" w:hAnsi="Palatino Linotype" w:cs="Arial"/>
          <w:sz w:val="24"/>
          <w:szCs w:val="24"/>
        </w:rPr>
        <w:t xml:space="preserve"> </w:t>
      </w:r>
      <w:r w:rsidR="00E72B7D" w:rsidRPr="002951D2">
        <w:rPr>
          <w:rFonts w:ascii="Palatino Linotype" w:hAnsi="Palatino Linotype" w:cs="Arial"/>
          <w:b/>
          <w:sz w:val="24"/>
          <w:szCs w:val="24"/>
        </w:rPr>
        <w:t>(2</w:t>
      </w:r>
      <w:r w:rsidR="00C065A1" w:rsidRPr="002951D2">
        <w:rPr>
          <w:rFonts w:ascii="Palatino Linotype" w:hAnsi="Palatino Linotype" w:cs="Arial"/>
          <w:b/>
          <w:sz w:val="24"/>
          <w:szCs w:val="24"/>
        </w:rPr>
        <w:t>9</w:t>
      </w:r>
      <w:r w:rsidR="00E72B7D" w:rsidRPr="002951D2">
        <w:rPr>
          <w:rFonts w:ascii="Palatino Linotype" w:hAnsi="Palatino Linotype" w:cs="Arial"/>
          <w:b/>
          <w:sz w:val="24"/>
          <w:szCs w:val="24"/>
        </w:rPr>
        <w:t>) de agosto al diecinueve (19</w:t>
      </w:r>
      <w:r w:rsidRPr="002951D2">
        <w:rPr>
          <w:rFonts w:ascii="Palatino Linotype" w:hAnsi="Palatino Linotype" w:cs="Arial"/>
          <w:b/>
          <w:sz w:val="24"/>
          <w:szCs w:val="24"/>
        </w:rPr>
        <w:t>) de septiembre de</w:t>
      </w:r>
      <w:r w:rsidRPr="002951D2">
        <w:rPr>
          <w:rFonts w:ascii="Palatino Linotype" w:eastAsia="Calibri" w:hAnsi="Palatino Linotype" w:cs="Times New Roman"/>
          <w:b/>
          <w:sz w:val="24"/>
          <w:szCs w:val="24"/>
          <w:lang w:val="es-ES" w:eastAsia="es-ES"/>
        </w:rPr>
        <w:t xml:space="preserve"> </w:t>
      </w:r>
      <w:r w:rsidRPr="002951D2">
        <w:rPr>
          <w:rFonts w:ascii="Palatino Linotype" w:eastAsia="Calibri" w:hAnsi="Palatino Linotype" w:cs="Times New Roman"/>
          <w:sz w:val="24"/>
          <w:szCs w:val="24"/>
          <w:lang w:val="es-ES" w:eastAsia="es-ES"/>
        </w:rPr>
        <w:t>dos mil diecinueve</w:t>
      </w:r>
      <w:r w:rsidRPr="002951D2">
        <w:rPr>
          <w:rFonts w:ascii="Palatino Linotype" w:hAnsi="Palatino Linotype" w:cs="Arial"/>
          <w:sz w:val="24"/>
          <w:szCs w:val="24"/>
        </w:rPr>
        <w:t xml:space="preserve">; en consecuencia, presentó  la inconformidad el </w:t>
      </w:r>
      <w:r w:rsidR="00E72B7D" w:rsidRPr="002951D2">
        <w:rPr>
          <w:rFonts w:ascii="Palatino Linotype" w:hAnsi="Palatino Linotype" w:cs="Arial"/>
          <w:b/>
          <w:sz w:val="24"/>
          <w:szCs w:val="24"/>
        </w:rPr>
        <w:t>día veintinueve (29</w:t>
      </w:r>
      <w:r w:rsidRPr="002951D2">
        <w:rPr>
          <w:rFonts w:ascii="Palatino Linotype" w:hAnsi="Palatino Linotype" w:cs="Arial"/>
          <w:b/>
          <w:sz w:val="24"/>
          <w:szCs w:val="24"/>
        </w:rPr>
        <w:t>)</w:t>
      </w:r>
      <w:r w:rsidRPr="002951D2">
        <w:rPr>
          <w:rFonts w:ascii="Palatino Linotype" w:hAnsi="Palatino Linotype" w:cs="Arial"/>
          <w:sz w:val="24"/>
          <w:szCs w:val="24"/>
        </w:rPr>
        <w:t xml:space="preserve"> </w:t>
      </w:r>
      <w:r w:rsidRPr="002951D2">
        <w:rPr>
          <w:rFonts w:ascii="Palatino Linotype" w:hAnsi="Palatino Linotype" w:cs="Arial"/>
          <w:b/>
          <w:sz w:val="24"/>
          <w:szCs w:val="24"/>
        </w:rPr>
        <w:t xml:space="preserve">de agosto </w:t>
      </w:r>
      <w:r w:rsidRPr="002951D2">
        <w:rPr>
          <w:rFonts w:ascii="Palatino Linotype" w:hAnsi="Palatino Linotype" w:cs="Arial"/>
          <w:sz w:val="24"/>
          <w:szCs w:val="24"/>
        </w:rPr>
        <w:t xml:space="preserve">de dos mil diecinueve, éste se encuentran dentro de los márgenes temporales previstos en el artículo 178 de la </w:t>
      </w:r>
      <w:r w:rsidRPr="002951D2">
        <w:rPr>
          <w:rFonts w:ascii="Palatino Linotype" w:hAnsi="Palatino Linotype" w:cs="Arial"/>
          <w:b/>
          <w:sz w:val="24"/>
          <w:szCs w:val="24"/>
        </w:rPr>
        <w:t>Ley de Transparencia y Acceso a la Información Pública del Estado de México y Municipios</w:t>
      </w:r>
      <w:r w:rsidRPr="002951D2">
        <w:rPr>
          <w:rFonts w:ascii="Palatino Linotype" w:hAnsi="Palatino Linotype" w:cs="Arial"/>
          <w:sz w:val="24"/>
          <w:szCs w:val="24"/>
        </w:rPr>
        <w:t>.</w:t>
      </w:r>
    </w:p>
    <w:p w:rsidR="003F3EDE" w:rsidRPr="002951D2" w:rsidRDefault="003F3EDE" w:rsidP="003F3EDE">
      <w:pPr>
        <w:spacing w:after="0" w:line="360" w:lineRule="auto"/>
        <w:contextualSpacing/>
        <w:jc w:val="both"/>
        <w:rPr>
          <w:rFonts w:ascii="Palatino Linotype" w:eastAsia="Calibri" w:hAnsi="Palatino Linotype" w:cs="Times New Roman"/>
          <w:sz w:val="24"/>
          <w:szCs w:val="24"/>
          <w:lang w:val="es-ES" w:eastAsia="es-ES"/>
        </w:rPr>
      </w:pPr>
    </w:p>
    <w:p w:rsidR="003F3EDE" w:rsidRPr="002951D2" w:rsidRDefault="003F3EDE" w:rsidP="003F3EDE">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2951D2">
        <w:rPr>
          <w:rFonts w:ascii="Palatino Linotype" w:hAnsi="Palatino Linotype" w:cs="Arial"/>
          <w:sz w:val="24"/>
          <w:szCs w:val="24"/>
        </w:rPr>
        <w:t xml:space="preserve">Por lo que el Recurso Revisión tiene como finalidad reparar cualquier posible afectación al derecho de acceso a la información pública en términos del Título Octavo de la </w:t>
      </w:r>
      <w:r w:rsidRPr="002951D2">
        <w:rPr>
          <w:rFonts w:ascii="Palatino Linotype" w:hAnsi="Palatino Linotype" w:cs="Arial"/>
          <w:b/>
          <w:sz w:val="24"/>
          <w:szCs w:val="24"/>
        </w:rPr>
        <w:t>Ley de Transparencia y Acceso a la Información Pública del Estado de México y Municipios</w:t>
      </w:r>
      <w:r w:rsidRPr="002951D2">
        <w:rPr>
          <w:rFonts w:ascii="Palatino Linotype" w:hAnsi="Palatino Linotype" w:cs="Arial"/>
          <w:sz w:val="24"/>
          <w:szCs w:val="24"/>
        </w:rPr>
        <w:t>, y determinar la confirmación; revocación o modificación; desechamiento o sobreseimiento; y en su caso ordenar la entrega de la información.</w:t>
      </w:r>
    </w:p>
    <w:p w:rsidR="003F3EDE" w:rsidRPr="002951D2" w:rsidRDefault="003F3EDE" w:rsidP="003F3EDE">
      <w:pPr>
        <w:spacing w:before="240" w:after="240" w:line="360" w:lineRule="auto"/>
        <w:contextualSpacing/>
        <w:jc w:val="both"/>
        <w:rPr>
          <w:rFonts w:ascii="Palatino Linotype" w:eastAsia="Calibri" w:hAnsi="Palatino Linotype" w:cs="Times New Roman"/>
          <w:sz w:val="24"/>
          <w:szCs w:val="24"/>
          <w:lang w:val="es-ES" w:eastAsia="es-ES"/>
        </w:rPr>
      </w:pPr>
    </w:p>
    <w:p w:rsidR="003F3EDE" w:rsidRPr="002951D2" w:rsidRDefault="003F3EDE" w:rsidP="003F3EDE">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2951D2">
        <w:rPr>
          <w:rFonts w:ascii="Palatino Linotype" w:eastAsia="Calibri" w:hAnsi="Palatino Linotype" w:cs="Arial"/>
          <w:sz w:val="24"/>
          <w:szCs w:val="24"/>
          <w:lang w:val="es-ES_tradnl" w:eastAsia="es-ES"/>
        </w:rPr>
        <w:t>En ese orden de ideas, los escritos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bookmarkStart w:id="59" w:name="_Toc2881747"/>
    </w:p>
    <w:p w:rsidR="003F3EDE" w:rsidRPr="002951D2" w:rsidRDefault="003F3EDE" w:rsidP="003F3EDE">
      <w:pPr>
        <w:spacing w:before="240" w:after="240" w:line="360" w:lineRule="auto"/>
        <w:contextualSpacing/>
        <w:jc w:val="both"/>
        <w:rPr>
          <w:rFonts w:ascii="Palatino Linotype" w:eastAsia="Calibri" w:hAnsi="Palatino Linotype" w:cs="Times New Roman"/>
          <w:sz w:val="24"/>
          <w:szCs w:val="24"/>
          <w:lang w:val="es-ES" w:eastAsia="es-ES"/>
        </w:rPr>
      </w:pPr>
    </w:p>
    <w:p w:rsidR="003F3EDE" w:rsidRPr="002951D2" w:rsidRDefault="003F3EDE" w:rsidP="003F3EDE">
      <w:pPr>
        <w:keepNext/>
        <w:keepLines/>
        <w:spacing w:before="240" w:after="0"/>
        <w:outlineLvl w:val="0"/>
        <w:rPr>
          <w:rFonts w:ascii="Palatino Linotype" w:eastAsia="MS Mincho" w:hAnsi="Palatino Linotype" w:cstheme="majorBidi"/>
          <w:b/>
          <w:sz w:val="24"/>
          <w:szCs w:val="24"/>
          <w:lang w:val="es-ES_tradnl" w:eastAsia="es-ES"/>
        </w:rPr>
      </w:pPr>
      <w:bookmarkStart w:id="60" w:name="_Toc23430156"/>
      <w:r w:rsidRPr="002951D2">
        <w:rPr>
          <w:rFonts w:ascii="Palatino Linotype" w:eastAsia="MS Mincho" w:hAnsi="Palatino Linotype" w:cstheme="majorBidi"/>
          <w:b/>
          <w:sz w:val="24"/>
          <w:szCs w:val="24"/>
          <w:lang w:val="es-ES_tradnl" w:eastAsia="es-ES"/>
        </w:rPr>
        <w:t>TERCERO. Del planteamiento de la Litis.</w:t>
      </w:r>
      <w:bookmarkEnd w:id="59"/>
      <w:bookmarkEnd w:id="60"/>
    </w:p>
    <w:p w:rsidR="003F3EDE" w:rsidRPr="002951D2" w:rsidRDefault="003F3EDE" w:rsidP="003F3EDE">
      <w:pPr>
        <w:spacing w:after="0" w:line="360" w:lineRule="auto"/>
        <w:contextualSpacing/>
        <w:jc w:val="both"/>
        <w:rPr>
          <w:rFonts w:ascii="Palatino Linotype" w:eastAsia="Calibri" w:hAnsi="Palatino Linotype" w:cs="Arial"/>
          <w:b/>
          <w:sz w:val="24"/>
          <w:szCs w:val="24"/>
          <w:lang w:val="es-ES_tradnl" w:eastAsia="es-ES"/>
        </w:rPr>
      </w:pPr>
    </w:p>
    <w:p w:rsidR="003F3EDE" w:rsidRPr="002951D2" w:rsidRDefault="003F3EDE" w:rsidP="00E72B7D">
      <w:pPr>
        <w:numPr>
          <w:ilvl w:val="0"/>
          <w:numId w:val="2"/>
        </w:numPr>
        <w:spacing w:after="0" w:line="360" w:lineRule="auto"/>
        <w:ind w:left="0" w:firstLine="0"/>
        <w:contextualSpacing/>
        <w:jc w:val="both"/>
        <w:rPr>
          <w:rFonts w:ascii="Palatino Linotype" w:hAnsi="Palatino Linotype" w:cs="Arial"/>
          <w:sz w:val="24"/>
          <w:szCs w:val="24"/>
          <w:lang w:val="es-ES_tradnl"/>
        </w:rPr>
      </w:pPr>
      <w:bookmarkStart w:id="61" w:name="_Toc504500691"/>
      <w:bookmarkStart w:id="62" w:name="_Toc445745137"/>
      <w:bookmarkStart w:id="63" w:name="_Toc447699318"/>
      <w:bookmarkStart w:id="64" w:name="_Toc452379730"/>
      <w:bookmarkStart w:id="65" w:name="_Toc459195482"/>
      <w:bookmarkStart w:id="66" w:name="_Toc461555892"/>
      <w:bookmarkStart w:id="67" w:name="_Toc462307689"/>
      <w:bookmarkStart w:id="68" w:name="_Toc473628138"/>
      <w:r w:rsidRPr="002951D2">
        <w:rPr>
          <w:rFonts w:ascii="Palatino Linotype" w:eastAsia="MS Mincho" w:hAnsi="Palatino Linotype" w:cs="Arial"/>
          <w:sz w:val="24"/>
          <w:szCs w:val="24"/>
          <w:lang w:val="es-ES_tradnl" w:eastAsia="es-ES"/>
        </w:rPr>
        <w:t xml:space="preserve">De las constancias que obran en el expediente de referencia, es de señalar que el </w:t>
      </w:r>
      <w:r w:rsidRPr="002951D2">
        <w:rPr>
          <w:rFonts w:ascii="Palatino Linotype" w:eastAsia="MS Mincho" w:hAnsi="Palatino Linotype" w:cs="Arial"/>
          <w:b/>
          <w:sz w:val="24"/>
          <w:szCs w:val="24"/>
          <w:lang w:val="es-ES_tradnl" w:eastAsia="es-ES"/>
        </w:rPr>
        <w:t>SUJETO OBLIGADO</w:t>
      </w:r>
      <w:r w:rsidRPr="002951D2">
        <w:rPr>
          <w:rFonts w:ascii="Palatino Linotype" w:eastAsia="MS Mincho" w:hAnsi="Palatino Linotype" w:cs="Arial"/>
          <w:sz w:val="24"/>
          <w:szCs w:val="24"/>
          <w:lang w:val="es-ES_tradnl" w:eastAsia="es-ES"/>
        </w:rPr>
        <w:t xml:space="preserve"> proporcionó como respuesta a la solicitud de información</w:t>
      </w:r>
      <w:r w:rsidR="00E72B7D" w:rsidRPr="002951D2">
        <w:rPr>
          <w:rFonts w:ascii="Palatino Linotype" w:eastAsia="MS Mincho" w:hAnsi="Palatino Linotype" w:cs="Arial"/>
          <w:sz w:val="24"/>
          <w:szCs w:val="24"/>
          <w:lang w:val="es-ES_tradnl" w:eastAsia="es-ES"/>
        </w:rPr>
        <w:t>, la correspondiente a diversas facturas que se pagaron con recursos del fondo FASP, en los ejercicio fiscales 2017, 2019 y 2019, información que se entregó en versión pública</w:t>
      </w:r>
      <w:r w:rsidRPr="002951D2">
        <w:rPr>
          <w:rFonts w:ascii="Palatino Linotype" w:eastAsia="MS Mincho" w:hAnsi="Palatino Linotype" w:cs="Arial"/>
          <w:sz w:val="24"/>
          <w:szCs w:val="24"/>
          <w:lang w:val="es-ES_tradnl" w:eastAsia="es-ES"/>
        </w:rPr>
        <w:t xml:space="preserve">; sin embargo, el recurrente presentó su </w:t>
      </w:r>
      <w:r w:rsidR="00E72B7D" w:rsidRPr="002951D2">
        <w:rPr>
          <w:rFonts w:ascii="Palatino Linotype" w:eastAsia="MS Mincho" w:hAnsi="Palatino Linotype" w:cs="Arial"/>
          <w:sz w:val="24"/>
          <w:szCs w:val="24"/>
          <w:lang w:val="es-ES_tradnl" w:eastAsia="es-ES"/>
        </w:rPr>
        <w:t>recurso de revisión mediante el cual</w:t>
      </w:r>
      <w:r w:rsidRPr="002951D2">
        <w:rPr>
          <w:rFonts w:ascii="Palatino Linotype" w:eastAsia="MS Mincho" w:hAnsi="Palatino Linotype" w:cs="Arial"/>
          <w:sz w:val="24"/>
          <w:szCs w:val="24"/>
          <w:lang w:val="es-ES_tradnl" w:eastAsia="es-ES"/>
        </w:rPr>
        <w:t xml:space="preserve"> señala como motivos de inconformidad, </w:t>
      </w:r>
      <w:r w:rsidR="00E72B7D" w:rsidRPr="002951D2">
        <w:rPr>
          <w:rFonts w:ascii="Palatino Linotype" w:eastAsia="MS Mincho" w:hAnsi="Palatino Linotype" w:cs="Arial"/>
          <w:sz w:val="24"/>
          <w:szCs w:val="24"/>
          <w:lang w:val="es-ES_tradnl" w:eastAsia="es-ES"/>
        </w:rPr>
        <w:t xml:space="preserve">que la </w:t>
      </w:r>
      <w:r w:rsidRPr="002951D2">
        <w:rPr>
          <w:rFonts w:ascii="Palatino Linotype" w:eastAsia="MS Mincho" w:hAnsi="Palatino Linotype" w:cs="Arial"/>
          <w:sz w:val="24"/>
          <w:szCs w:val="24"/>
          <w:lang w:val="es-ES_tradnl" w:eastAsia="es-ES"/>
        </w:rPr>
        <w:t>respuesta a la solicitud de información</w:t>
      </w:r>
      <w:r w:rsidR="00E72B7D" w:rsidRPr="002951D2">
        <w:rPr>
          <w:rFonts w:ascii="Palatino Linotype" w:eastAsia="MS Mincho" w:hAnsi="Palatino Linotype" w:cs="Arial"/>
          <w:sz w:val="24"/>
          <w:szCs w:val="24"/>
          <w:lang w:val="es-ES_tradnl" w:eastAsia="es-ES"/>
        </w:rPr>
        <w:t xml:space="preserve"> es incompleta</w:t>
      </w:r>
      <w:r w:rsidRPr="002951D2">
        <w:rPr>
          <w:rFonts w:ascii="Palatino Linotype" w:eastAsia="MS Mincho" w:hAnsi="Palatino Linotype" w:cs="Arial"/>
          <w:sz w:val="24"/>
          <w:szCs w:val="24"/>
          <w:lang w:val="es-ES_tradnl" w:eastAsia="es-ES"/>
        </w:rPr>
        <w:t>.</w:t>
      </w:r>
    </w:p>
    <w:p w:rsidR="003F3EDE" w:rsidRPr="002951D2" w:rsidRDefault="003F3EDE" w:rsidP="003F3EDE">
      <w:pPr>
        <w:spacing w:after="0" w:line="360" w:lineRule="auto"/>
        <w:contextualSpacing/>
        <w:jc w:val="both"/>
        <w:rPr>
          <w:rFonts w:ascii="Palatino Linotype" w:hAnsi="Palatino Linotype" w:cs="Arial"/>
          <w:sz w:val="24"/>
          <w:szCs w:val="24"/>
          <w:lang w:val="es-ES_tradnl"/>
        </w:rPr>
      </w:pPr>
    </w:p>
    <w:p w:rsidR="003F3EDE" w:rsidRPr="002951D2" w:rsidRDefault="003F3EDE" w:rsidP="003F3EDE">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2951D2">
        <w:rPr>
          <w:rFonts w:ascii="Palatino Linotype" w:hAnsi="Palatino Linotype" w:cs="Arial"/>
          <w:sz w:val="24"/>
          <w:szCs w:val="24"/>
          <w:lang w:val="es-ES_tradnl"/>
        </w:rPr>
        <w:t xml:space="preserve">En consecuencia, la Litis del presente asunto, corresponde en demostrar si  el </w:t>
      </w:r>
      <w:r w:rsidRPr="002951D2">
        <w:rPr>
          <w:rFonts w:ascii="Palatino Linotype" w:hAnsi="Palatino Linotype" w:cs="Arial"/>
          <w:b/>
          <w:sz w:val="24"/>
          <w:szCs w:val="24"/>
          <w:lang w:val="es-ES_tradnl"/>
        </w:rPr>
        <w:t>SUJETO OBLIGADO</w:t>
      </w:r>
      <w:r w:rsidRPr="002951D2">
        <w:rPr>
          <w:rFonts w:ascii="Palatino Linotype" w:hAnsi="Palatino Linotype" w:cs="Arial"/>
          <w:sz w:val="24"/>
          <w:szCs w:val="24"/>
          <w:lang w:val="es-ES_tradnl"/>
        </w:rPr>
        <w:t xml:space="preserve"> </w:t>
      </w:r>
      <w:r w:rsidR="00E72B7D" w:rsidRPr="002951D2">
        <w:rPr>
          <w:rFonts w:ascii="Palatino Linotype" w:hAnsi="Palatino Linotype" w:cs="Arial"/>
          <w:sz w:val="24"/>
          <w:szCs w:val="24"/>
          <w:lang w:val="es-ES_tradnl"/>
        </w:rPr>
        <w:t xml:space="preserve">da cumplimiento a lo establecido por el artículo 11 de la Ley en la materia, con </w:t>
      </w:r>
      <w:r w:rsidRPr="002951D2">
        <w:rPr>
          <w:rFonts w:ascii="Palatino Linotype" w:hAnsi="Palatino Linotype" w:cs="Arial"/>
          <w:sz w:val="24"/>
          <w:szCs w:val="24"/>
          <w:lang w:val="es-ES_tradnl"/>
        </w:rPr>
        <w:t>la información</w:t>
      </w:r>
      <w:r w:rsidR="00E72B7D" w:rsidRPr="002951D2">
        <w:rPr>
          <w:rFonts w:ascii="Palatino Linotype" w:hAnsi="Palatino Linotype" w:cs="Arial"/>
          <w:sz w:val="24"/>
          <w:szCs w:val="24"/>
          <w:lang w:val="es-ES_tradnl"/>
        </w:rPr>
        <w:t xml:space="preserve"> que fue entregada al particular </w:t>
      </w:r>
      <w:r w:rsidRPr="002951D2">
        <w:rPr>
          <w:rFonts w:ascii="Palatino Linotype" w:hAnsi="Palatino Linotype" w:cs="Arial"/>
          <w:sz w:val="24"/>
          <w:szCs w:val="24"/>
          <w:lang w:val="es-ES_tradnl"/>
        </w:rPr>
        <w:t>y en su defecto ordenar la reparación de la afectación.</w:t>
      </w:r>
    </w:p>
    <w:p w:rsidR="003F3EDE" w:rsidRPr="002951D2" w:rsidRDefault="003F3EDE" w:rsidP="003F3EDE">
      <w:pPr>
        <w:contextualSpacing/>
        <w:rPr>
          <w:rFonts w:ascii="Palatino Linotype" w:eastAsia="MS Mincho" w:hAnsi="Palatino Linotype" w:cs="Times New Roman"/>
          <w:sz w:val="24"/>
          <w:szCs w:val="24"/>
          <w:lang w:val="es-ES_tradnl" w:eastAsia="es-ES"/>
        </w:rPr>
      </w:pPr>
    </w:p>
    <w:p w:rsidR="003F3EDE" w:rsidRPr="002951D2" w:rsidRDefault="003F3EDE" w:rsidP="003F3EDE">
      <w:pPr>
        <w:numPr>
          <w:ilvl w:val="0"/>
          <w:numId w:val="2"/>
        </w:numPr>
        <w:spacing w:before="240" w:after="240" w:line="360" w:lineRule="auto"/>
        <w:ind w:left="0" w:right="49" w:firstLine="0"/>
        <w:contextualSpacing/>
        <w:jc w:val="both"/>
        <w:rPr>
          <w:rFonts w:ascii="Palatino Linotype" w:eastAsia="MS Mincho" w:hAnsi="Palatino Linotype" w:cs="Arial"/>
          <w:sz w:val="24"/>
          <w:szCs w:val="24"/>
          <w:lang w:val="es-ES_tradnl" w:eastAsia="es-ES"/>
        </w:rPr>
      </w:pPr>
      <w:r w:rsidRPr="002951D2">
        <w:rPr>
          <w:rFonts w:ascii="Palatino Linotype" w:eastAsia="MS Mincho" w:hAnsi="Palatino Linotype" w:cs="Arial"/>
          <w:sz w:val="24"/>
          <w:szCs w:val="24"/>
          <w:lang w:val="es-ES_tradnl" w:eastAsia="es-ES"/>
        </w:rPr>
        <w:t xml:space="preserve">Del análisis efectuado se advierte que el recurso de revisión del que se trata es procedente, toda vez que se actualiza la hipótesis prevista en la </w:t>
      </w:r>
      <w:r w:rsidRPr="002951D2">
        <w:rPr>
          <w:rFonts w:ascii="Palatino Linotype" w:eastAsia="MS Mincho" w:hAnsi="Palatino Linotype" w:cs="Times New Roman"/>
          <w:b/>
          <w:sz w:val="24"/>
          <w:szCs w:val="24"/>
          <w:lang w:val="es-ES_tradnl" w:eastAsia="es-ES"/>
        </w:rPr>
        <w:t xml:space="preserve">fracción </w:t>
      </w:r>
      <w:r w:rsidR="00E72B7D" w:rsidRPr="002951D2">
        <w:rPr>
          <w:rFonts w:ascii="Palatino Linotype" w:eastAsia="MS Mincho" w:hAnsi="Palatino Linotype" w:cs="Times New Roman"/>
          <w:b/>
          <w:sz w:val="24"/>
          <w:szCs w:val="24"/>
          <w:lang w:val="es-ES_tradnl" w:eastAsia="es-ES"/>
        </w:rPr>
        <w:t>I</w:t>
      </w:r>
      <w:r w:rsidRPr="002951D2">
        <w:rPr>
          <w:rFonts w:ascii="Palatino Linotype" w:eastAsia="MS Mincho" w:hAnsi="Palatino Linotype" w:cs="Times New Roman"/>
          <w:b/>
          <w:sz w:val="24"/>
          <w:szCs w:val="24"/>
          <w:lang w:val="es-ES_tradnl" w:eastAsia="es-ES"/>
        </w:rPr>
        <w:t>I</w:t>
      </w:r>
      <w:r w:rsidR="00CB0F62" w:rsidRPr="002951D2">
        <w:rPr>
          <w:rFonts w:ascii="Palatino Linotype" w:eastAsia="MS Mincho" w:hAnsi="Palatino Linotype" w:cs="Times New Roman"/>
          <w:b/>
          <w:sz w:val="24"/>
          <w:szCs w:val="24"/>
          <w:lang w:val="es-ES_tradnl" w:eastAsia="es-ES"/>
        </w:rPr>
        <w:t xml:space="preserve"> y V</w:t>
      </w:r>
      <w:r w:rsidRPr="002951D2">
        <w:rPr>
          <w:rFonts w:ascii="Palatino Linotype" w:eastAsia="MS Mincho" w:hAnsi="Palatino Linotype" w:cs="Times New Roman"/>
          <w:b/>
          <w:sz w:val="24"/>
          <w:szCs w:val="24"/>
          <w:lang w:val="es-ES_tradnl" w:eastAsia="es-ES"/>
        </w:rPr>
        <w:t xml:space="preserve"> del artículo 179 de la Ley de Transparencia y Acceso a la Información Pública del Estado de México y Municipio</w:t>
      </w:r>
      <w:r w:rsidRPr="002951D2">
        <w:rPr>
          <w:rFonts w:ascii="Palatino Linotype" w:eastAsia="MS Mincho" w:hAnsi="Palatino Linotype" w:cs="Times New Roman"/>
          <w:sz w:val="24"/>
          <w:szCs w:val="24"/>
          <w:lang w:val="es-ES_tradnl" w:eastAsia="es-ES"/>
        </w:rPr>
        <w:t>.</w:t>
      </w:r>
    </w:p>
    <w:p w:rsidR="003F3EDE" w:rsidRPr="002951D2" w:rsidRDefault="003F3EDE" w:rsidP="003F3EDE">
      <w:pPr>
        <w:tabs>
          <w:tab w:val="left" w:pos="4185"/>
        </w:tabs>
        <w:spacing w:after="0" w:line="240" w:lineRule="auto"/>
        <w:ind w:right="-142"/>
        <w:contextualSpacing/>
        <w:rPr>
          <w:rFonts w:ascii="Palatino Linotype" w:eastAsia="Calibri" w:hAnsi="Palatino Linotype" w:cs="Arial"/>
          <w:sz w:val="24"/>
          <w:szCs w:val="24"/>
          <w:lang w:val="es-ES" w:eastAsia="es-ES"/>
        </w:rPr>
      </w:pPr>
    </w:p>
    <w:p w:rsidR="003F3EDE" w:rsidRPr="002951D2" w:rsidRDefault="003F3EDE" w:rsidP="003F3EDE">
      <w:pPr>
        <w:keepNext/>
        <w:keepLines/>
        <w:spacing w:before="240" w:after="0"/>
        <w:outlineLvl w:val="0"/>
        <w:rPr>
          <w:rFonts w:ascii="Palatino Linotype" w:eastAsia="MS Gothic" w:hAnsi="Palatino Linotype" w:cstheme="majorBidi"/>
          <w:b/>
          <w:sz w:val="24"/>
          <w:szCs w:val="24"/>
          <w:lang w:val="es-ES_tradnl" w:eastAsia="es-ES"/>
        </w:rPr>
      </w:pPr>
      <w:bookmarkStart w:id="69" w:name="_Toc2881748"/>
      <w:bookmarkStart w:id="70" w:name="_Toc23430157"/>
      <w:r w:rsidRPr="002951D2">
        <w:rPr>
          <w:rFonts w:ascii="Palatino Linotype" w:eastAsia="MS Gothic" w:hAnsi="Palatino Linotype" w:cstheme="majorBidi"/>
          <w:b/>
          <w:sz w:val="24"/>
          <w:szCs w:val="24"/>
          <w:lang w:val="es-ES_tradnl" w:eastAsia="es-ES"/>
        </w:rPr>
        <w:t>CUARTO. Del estudio y resolución del recurso de revisión.</w:t>
      </w:r>
      <w:bookmarkEnd w:id="69"/>
      <w:bookmarkEnd w:id="70"/>
    </w:p>
    <w:p w:rsidR="003F3EDE" w:rsidRPr="002951D2" w:rsidRDefault="003F3EDE" w:rsidP="003F3EDE">
      <w:pPr>
        <w:rPr>
          <w:rFonts w:ascii="Palatino Linotype" w:hAnsi="Palatino Linotype"/>
          <w:sz w:val="24"/>
          <w:szCs w:val="24"/>
          <w:lang w:val="es-ES_tradnl" w:eastAsia="es-ES"/>
        </w:rPr>
      </w:pPr>
    </w:p>
    <w:p w:rsidR="003F3EDE" w:rsidRPr="002951D2" w:rsidRDefault="003F3EDE" w:rsidP="003F3EDE">
      <w:pPr>
        <w:keepNext/>
        <w:keepLines/>
        <w:numPr>
          <w:ilvl w:val="1"/>
          <w:numId w:val="2"/>
        </w:numPr>
        <w:spacing w:before="240" w:after="0"/>
        <w:ind w:left="0" w:firstLine="0"/>
        <w:outlineLvl w:val="0"/>
        <w:rPr>
          <w:rFonts w:ascii="Palatino Linotype" w:eastAsia="MS Mincho" w:hAnsi="Palatino Linotype" w:cs="Arial"/>
          <w:b/>
          <w:i/>
          <w:sz w:val="24"/>
          <w:szCs w:val="24"/>
          <w:lang w:val="es-ES_tradnl" w:eastAsia="es-MX"/>
        </w:rPr>
      </w:pPr>
      <w:bookmarkStart w:id="71" w:name="_Toc536726461"/>
      <w:bookmarkStart w:id="72" w:name="_Toc23430158"/>
      <w:r w:rsidRPr="002951D2">
        <w:rPr>
          <w:rFonts w:ascii="Palatino Linotype" w:eastAsia="MS Gothic" w:hAnsi="Palatino Linotype" w:cstheme="majorBidi"/>
          <w:b/>
          <w:i/>
          <w:noProof/>
          <w:sz w:val="24"/>
          <w:szCs w:val="24"/>
        </w:rPr>
        <w:t>El derecho de acceso a la información publica</w:t>
      </w:r>
      <w:bookmarkEnd w:id="71"/>
      <w:r w:rsidRPr="002951D2">
        <w:rPr>
          <w:rFonts w:ascii="Palatino Linotype" w:eastAsia="MS Mincho" w:hAnsi="Palatino Linotype" w:cs="Arial"/>
          <w:b/>
          <w:i/>
          <w:sz w:val="24"/>
          <w:szCs w:val="24"/>
          <w:lang w:val="es-ES_tradnl" w:eastAsia="es-MX"/>
        </w:rPr>
        <w:t>.</w:t>
      </w:r>
      <w:bookmarkEnd w:id="72"/>
    </w:p>
    <w:p w:rsidR="003F3EDE" w:rsidRPr="002951D2" w:rsidRDefault="003F3EDE" w:rsidP="003F3EDE">
      <w:pPr>
        <w:spacing w:after="0" w:line="360" w:lineRule="auto"/>
        <w:contextualSpacing/>
        <w:rPr>
          <w:rFonts w:ascii="Palatino Linotype" w:eastAsia="MS Mincho" w:hAnsi="Palatino Linotype" w:cs="Arial"/>
          <w:sz w:val="24"/>
          <w:szCs w:val="24"/>
          <w:lang w:val="es-ES_tradnl" w:eastAsia="es-MX"/>
        </w:rPr>
      </w:pPr>
    </w:p>
    <w:p w:rsidR="003F3EDE" w:rsidRDefault="003F3EDE" w:rsidP="002951D2">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2951D2">
        <w:rPr>
          <w:rFonts w:ascii="Palatino Linotype" w:eastAsia="MS Mincho" w:hAnsi="Palatino Linotype" w:cs="Times New Roman"/>
          <w:sz w:val="24"/>
          <w:szCs w:val="24"/>
          <w:lang w:val="es-ES_tradnl" w:eastAsia="es-ES"/>
        </w:rPr>
        <w:t xml:space="preserve">De </w:t>
      </w:r>
      <w:r w:rsidRPr="002951D2">
        <w:rPr>
          <w:rFonts w:ascii="Palatino Linotype" w:eastAsia="Calibri" w:hAnsi="Palatino Linotype" w:cs="Arial"/>
          <w:sz w:val="24"/>
          <w:szCs w:val="24"/>
          <w:lang w:val="es-ES_tradnl" w:eastAsia="es-ES"/>
        </w:rPr>
        <w:t>acuerdo</w:t>
      </w:r>
      <w:r w:rsidRPr="002951D2">
        <w:rPr>
          <w:rFonts w:ascii="Palatino Linotype" w:eastAsia="MS Mincho" w:hAnsi="Palatino Linotype" w:cs="Times New Roman"/>
          <w:sz w:val="24"/>
          <w:szCs w:val="24"/>
          <w:lang w:val="es-ES_tradnl" w:eastAsia="es-ES"/>
        </w:rPr>
        <w:t xml:space="preserve">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rsidR="002951D2" w:rsidRPr="002951D2" w:rsidRDefault="002951D2" w:rsidP="002951D2">
      <w:pPr>
        <w:spacing w:after="0" w:line="360" w:lineRule="auto"/>
        <w:ind w:right="34"/>
        <w:contextualSpacing/>
        <w:jc w:val="both"/>
        <w:rPr>
          <w:rFonts w:ascii="Palatino Linotype" w:eastAsia="MS Mincho" w:hAnsi="Palatino Linotype" w:cs="Times New Roman"/>
          <w:sz w:val="24"/>
          <w:szCs w:val="24"/>
          <w:lang w:val="es-ES_tradnl" w:eastAsia="es-ES"/>
        </w:rPr>
      </w:pPr>
    </w:p>
    <w:p w:rsidR="003F3EDE" w:rsidRPr="002951D2" w:rsidRDefault="003F3EDE" w:rsidP="003F3EDE">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2951D2">
        <w:rPr>
          <w:rFonts w:ascii="Palatino Linotype" w:eastAsia="MS Mincho" w:hAnsi="Palatino Linotype" w:cs="Times New Roman"/>
          <w:sz w:val="24"/>
          <w:szCs w:val="24"/>
          <w:lang w:val="es-ES_tradnl" w:eastAsia="es-ES"/>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3F3EDE" w:rsidRPr="002951D2" w:rsidRDefault="003F3EDE" w:rsidP="003F3EDE">
      <w:pPr>
        <w:spacing w:after="0" w:line="360" w:lineRule="auto"/>
        <w:ind w:right="49"/>
        <w:contextualSpacing/>
        <w:jc w:val="both"/>
        <w:rPr>
          <w:rFonts w:ascii="Palatino Linotype" w:eastAsia="MS Mincho" w:hAnsi="Palatino Linotype" w:cs="Times New Roman"/>
          <w:sz w:val="24"/>
          <w:szCs w:val="24"/>
          <w:lang w:val="es-ES_tradnl" w:eastAsia="es-ES"/>
        </w:rPr>
      </w:pPr>
    </w:p>
    <w:p w:rsidR="003F3EDE" w:rsidRPr="002951D2" w:rsidRDefault="003F3EDE" w:rsidP="003F3EDE">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2951D2">
        <w:rPr>
          <w:rFonts w:ascii="Palatino Linotype" w:eastAsia="MS Mincho" w:hAnsi="Palatino Linotype" w:cs="Times New Roman"/>
          <w:sz w:val="24"/>
          <w:szCs w:val="24"/>
          <w:lang w:val="es-ES_tradnl" w:eastAsia="es-ES"/>
        </w:rPr>
        <w:t>Así pues, 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rsidR="003F3EDE" w:rsidRPr="002951D2" w:rsidRDefault="003F3EDE" w:rsidP="003F3EDE">
      <w:pPr>
        <w:spacing w:after="0" w:line="360" w:lineRule="auto"/>
        <w:contextualSpacing/>
        <w:rPr>
          <w:rFonts w:ascii="Palatino Linotype" w:eastAsia="MS Mincho" w:hAnsi="Palatino Linotype" w:cs="Times New Roman"/>
          <w:sz w:val="24"/>
          <w:szCs w:val="24"/>
          <w:lang w:val="es-ES_tradnl" w:eastAsia="es-ES"/>
        </w:rPr>
      </w:pPr>
    </w:p>
    <w:p w:rsidR="003F3EDE" w:rsidRPr="002951D2" w:rsidRDefault="003F3EDE" w:rsidP="003F3EDE">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2951D2">
        <w:rPr>
          <w:rFonts w:ascii="Palatino Linotype" w:eastAsia="MS Mincho" w:hAnsi="Palatino Linotype" w:cs="Times New Roman"/>
          <w:sz w:val="24"/>
          <w:szCs w:val="24"/>
          <w:lang w:val="es-ES_tradnl" w:eastAsia="es-ES"/>
        </w:rPr>
        <w:t>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3F3EDE" w:rsidRPr="002951D2" w:rsidRDefault="003F3EDE" w:rsidP="003F3EDE">
      <w:pPr>
        <w:contextualSpacing/>
        <w:rPr>
          <w:rFonts w:ascii="Palatino Linotype" w:eastAsia="MS Mincho" w:hAnsi="Palatino Linotype" w:cs="Times New Roman"/>
          <w:sz w:val="24"/>
          <w:szCs w:val="24"/>
          <w:lang w:val="es-ES_tradnl" w:eastAsia="es-ES"/>
        </w:rPr>
      </w:pPr>
    </w:p>
    <w:p w:rsidR="003F3EDE" w:rsidRPr="002951D2" w:rsidRDefault="003F3EDE" w:rsidP="003F3EDE">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2951D2">
        <w:rPr>
          <w:rFonts w:ascii="Palatino Linotype" w:eastAsia="MS Mincho" w:hAnsi="Palatino Linotype" w:cs="Times New Roman"/>
          <w:sz w:val="24"/>
          <w:szCs w:val="24"/>
          <w:lang w:val="es-ES_tradnl" w:eastAsia="es-ES"/>
        </w:rPr>
        <w:t>Derivado</w:t>
      </w:r>
      <w:r w:rsidRPr="002951D2">
        <w:rPr>
          <w:rFonts w:ascii="Palatino Linotype" w:eastAsia="MS Mincho" w:hAnsi="Palatino Linotype" w:cs="Arial"/>
          <w:sz w:val="24"/>
          <w:szCs w:val="24"/>
          <w:lang w:val="es-ES_tradnl" w:eastAsia="es-ES"/>
        </w:rPr>
        <w:t xml:space="preserve"> de lo anterior, se procede a analizar el objeto y atribuciones del Sujeto Obligado a fin de determinar sí la información requerida es información pública y si la misma es susceptible de ser entregada. </w:t>
      </w:r>
    </w:p>
    <w:p w:rsidR="003F3EDE" w:rsidRPr="002951D2" w:rsidRDefault="003F3EDE" w:rsidP="003F3EDE">
      <w:pPr>
        <w:contextualSpacing/>
        <w:rPr>
          <w:rFonts w:ascii="Palatino Linotype" w:eastAsia="MS Mincho" w:hAnsi="Palatino Linotype" w:cstheme="majorBidi"/>
          <w:b/>
          <w:i/>
          <w:sz w:val="24"/>
          <w:szCs w:val="24"/>
          <w:lang w:val="es-ES_tradnl" w:eastAsia="es-ES"/>
        </w:rPr>
      </w:pPr>
    </w:p>
    <w:p w:rsidR="003F3EDE" w:rsidRPr="002951D2" w:rsidRDefault="003F3EDE" w:rsidP="003F3EDE">
      <w:pPr>
        <w:keepNext/>
        <w:keepLines/>
        <w:spacing w:before="40" w:after="0"/>
        <w:outlineLvl w:val="1"/>
        <w:rPr>
          <w:rFonts w:ascii="Palatino Linotype" w:eastAsia="MS Mincho" w:hAnsi="Palatino Linotype" w:cstheme="majorBidi"/>
          <w:b/>
          <w:i/>
          <w:sz w:val="24"/>
          <w:szCs w:val="24"/>
          <w:lang w:val="es-ES_tradnl" w:eastAsia="es-ES"/>
        </w:rPr>
      </w:pPr>
      <w:bookmarkStart w:id="73" w:name="_Toc23430159"/>
      <w:r w:rsidRPr="002951D2">
        <w:rPr>
          <w:rFonts w:ascii="Palatino Linotype" w:eastAsia="MS Mincho" w:hAnsi="Palatino Linotype" w:cstheme="majorBidi"/>
          <w:b/>
          <w:i/>
          <w:sz w:val="24"/>
          <w:szCs w:val="24"/>
          <w:lang w:val="es-ES_tradnl" w:eastAsia="es-ES"/>
        </w:rPr>
        <w:t xml:space="preserve">II. De la información </w:t>
      </w:r>
      <w:r w:rsidR="00CB0F62" w:rsidRPr="002951D2">
        <w:rPr>
          <w:rFonts w:ascii="Palatino Linotype" w:eastAsia="MS Mincho" w:hAnsi="Palatino Linotype" w:cstheme="majorBidi"/>
          <w:b/>
          <w:i/>
          <w:sz w:val="24"/>
          <w:szCs w:val="24"/>
          <w:lang w:val="es-ES_tradnl" w:eastAsia="es-ES"/>
        </w:rPr>
        <w:t>solicitada y la respuesta</w:t>
      </w:r>
      <w:bookmarkEnd w:id="73"/>
    </w:p>
    <w:p w:rsidR="003F3EDE" w:rsidRPr="002951D2" w:rsidRDefault="003F3EDE" w:rsidP="003F3EDE">
      <w:pPr>
        <w:rPr>
          <w:rFonts w:ascii="Palatino Linotype" w:hAnsi="Palatino Linotype"/>
          <w:sz w:val="24"/>
          <w:szCs w:val="24"/>
          <w:lang w:val="es-ES_tradnl" w:eastAsia="es-ES"/>
        </w:rPr>
      </w:pPr>
    </w:p>
    <w:p w:rsidR="003F3EDE" w:rsidRPr="002951D2" w:rsidRDefault="003F3EDE" w:rsidP="003F3EDE">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2951D2">
        <w:rPr>
          <w:rFonts w:ascii="Palatino Linotype" w:eastAsia="MS Mincho" w:hAnsi="Palatino Linotype" w:cstheme="majorBidi"/>
          <w:sz w:val="24"/>
          <w:szCs w:val="24"/>
          <w:lang w:val="es-ES_tradnl" w:eastAsia="es-ES"/>
        </w:rPr>
        <w:t>Previo al análisis de la fuente obligacional resulta necesario precisar en qué consiste la información requerida por el particular en la solicitud de referencia, misma que corresponde a lo siguiente:</w:t>
      </w:r>
    </w:p>
    <w:p w:rsidR="003F3EDE" w:rsidRPr="002951D2" w:rsidRDefault="003F3EDE" w:rsidP="003F3EDE">
      <w:pPr>
        <w:spacing w:after="0" w:line="360" w:lineRule="auto"/>
        <w:ind w:right="49"/>
        <w:contextualSpacing/>
        <w:jc w:val="both"/>
        <w:rPr>
          <w:rFonts w:ascii="Palatino Linotype" w:eastAsia="MS Mincho" w:hAnsi="Palatino Linotype" w:cstheme="majorBidi"/>
          <w:sz w:val="24"/>
          <w:szCs w:val="24"/>
          <w:lang w:val="es-ES_tradnl" w:eastAsia="es-ES"/>
        </w:rPr>
      </w:pPr>
    </w:p>
    <w:p w:rsidR="00CB0F62" w:rsidRPr="002951D2" w:rsidRDefault="00CB0F62" w:rsidP="00CB0F62">
      <w:pPr>
        <w:numPr>
          <w:ilvl w:val="0"/>
          <w:numId w:val="6"/>
        </w:numPr>
        <w:spacing w:after="0" w:line="360" w:lineRule="auto"/>
        <w:ind w:right="616"/>
        <w:contextualSpacing/>
        <w:jc w:val="both"/>
        <w:rPr>
          <w:rFonts w:ascii="Palatino Linotype" w:eastAsia="MS Mincho" w:hAnsi="Palatino Linotype" w:cstheme="majorBidi"/>
          <w:b/>
          <w:sz w:val="24"/>
          <w:szCs w:val="24"/>
          <w:lang w:eastAsia="es-ES"/>
        </w:rPr>
      </w:pPr>
      <w:r w:rsidRPr="002951D2">
        <w:rPr>
          <w:rFonts w:ascii="Palatino Linotype" w:hAnsi="Palatino Linotype"/>
          <w:b/>
          <w:color w:val="000000"/>
          <w:sz w:val="24"/>
          <w:szCs w:val="24"/>
        </w:rPr>
        <w:t>Copia de todos los d</w:t>
      </w:r>
      <w:r w:rsidRPr="002951D2">
        <w:rPr>
          <w:rFonts w:ascii="Palatino Linotype" w:hAnsi="Palatino Linotype"/>
          <w:b/>
          <w:color w:val="000000"/>
          <w:sz w:val="24"/>
          <w:szCs w:val="24"/>
          <w:u w:val="single"/>
        </w:rPr>
        <w:t xml:space="preserve">ocumentos que acredite en que se gastaron los recursos federales </w:t>
      </w:r>
      <w:r w:rsidRPr="002951D2">
        <w:rPr>
          <w:rFonts w:ascii="Palatino Linotype" w:hAnsi="Palatino Linotype"/>
          <w:b/>
          <w:color w:val="000000"/>
          <w:sz w:val="24"/>
          <w:szCs w:val="24"/>
        </w:rPr>
        <w:t>recibidos de 2017 a la fecha.</w:t>
      </w:r>
      <w:r w:rsidR="003F3EDE" w:rsidRPr="002951D2">
        <w:rPr>
          <w:rFonts w:ascii="Palatino Linotype" w:hAnsi="Palatino Linotype"/>
          <w:b/>
          <w:color w:val="000000"/>
          <w:sz w:val="24"/>
          <w:szCs w:val="24"/>
        </w:rPr>
        <w:t xml:space="preserve"> </w:t>
      </w:r>
    </w:p>
    <w:p w:rsidR="00CB0F62" w:rsidRPr="002951D2" w:rsidRDefault="00CB0F62" w:rsidP="003F3EDE">
      <w:pPr>
        <w:spacing w:after="0" w:line="360" w:lineRule="auto"/>
        <w:ind w:right="49"/>
        <w:contextualSpacing/>
        <w:jc w:val="both"/>
        <w:rPr>
          <w:rFonts w:ascii="Palatino Linotype" w:eastAsia="MS Mincho" w:hAnsi="Palatino Linotype" w:cstheme="majorBidi"/>
          <w:sz w:val="24"/>
          <w:szCs w:val="24"/>
          <w:lang w:val="es-ES_tradnl" w:eastAsia="es-ES"/>
        </w:rPr>
      </w:pPr>
    </w:p>
    <w:p w:rsidR="001F21C3" w:rsidRPr="002951D2" w:rsidRDefault="00CB0F62" w:rsidP="003F3EDE">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2951D2">
        <w:rPr>
          <w:rFonts w:ascii="Palatino Linotype" w:eastAsia="MS Mincho" w:hAnsi="Palatino Linotype" w:cstheme="majorBidi"/>
          <w:sz w:val="24"/>
          <w:szCs w:val="24"/>
          <w:lang w:val="es-ES_tradnl" w:eastAsia="es-ES"/>
        </w:rPr>
        <w:t xml:space="preserve">Es de apreciar en el expediente electrónico que el </w:t>
      </w:r>
      <w:r w:rsidRPr="002951D2">
        <w:rPr>
          <w:rFonts w:ascii="Palatino Linotype" w:eastAsia="MS Mincho" w:hAnsi="Palatino Linotype" w:cstheme="majorBidi"/>
          <w:b/>
          <w:sz w:val="24"/>
          <w:szCs w:val="24"/>
          <w:lang w:val="es-ES_tradnl" w:eastAsia="es-ES"/>
        </w:rPr>
        <w:t>SUJETO OBLIGADO</w:t>
      </w:r>
      <w:r w:rsidR="001F21C3" w:rsidRPr="002951D2">
        <w:rPr>
          <w:rFonts w:ascii="Palatino Linotype" w:eastAsia="MS Mincho" w:hAnsi="Palatino Linotype" w:cstheme="majorBidi"/>
          <w:sz w:val="24"/>
          <w:szCs w:val="24"/>
          <w:lang w:val="es-ES_tradnl" w:eastAsia="es-ES"/>
        </w:rPr>
        <w:t xml:space="preserve"> dio respuesta a la solicitud del particular, misma que consiste en diversa facturas que amparan el pagos de servicios, compras de vehículos y otras que se realizaron como por ejemplo con la Secretaría de la Defensa Nacional, desconociendo el concepto de la compra, información que se entregó en versión pública de la cual no se adjuntó el respectivo Acuerdo emitido por el Comité de </w:t>
      </w:r>
      <w:r w:rsidR="004C1C47" w:rsidRPr="002951D2">
        <w:rPr>
          <w:rFonts w:ascii="Palatino Linotype" w:eastAsia="MS Mincho" w:hAnsi="Palatino Linotype" w:cstheme="majorBidi"/>
          <w:sz w:val="24"/>
          <w:szCs w:val="24"/>
          <w:lang w:val="es-ES_tradnl" w:eastAsia="es-ES"/>
        </w:rPr>
        <w:t>Trasparencia</w:t>
      </w:r>
      <w:r w:rsidR="001F21C3" w:rsidRPr="002951D2">
        <w:rPr>
          <w:rFonts w:ascii="Palatino Linotype" w:eastAsia="MS Mincho" w:hAnsi="Palatino Linotype" w:cstheme="majorBidi"/>
          <w:sz w:val="24"/>
          <w:szCs w:val="24"/>
          <w:lang w:val="es-ES_tradnl" w:eastAsia="es-ES"/>
        </w:rPr>
        <w:t xml:space="preserve"> que avale la misma. </w:t>
      </w:r>
    </w:p>
    <w:p w:rsidR="003F3EDE" w:rsidRPr="002951D2" w:rsidRDefault="003F3EDE" w:rsidP="001F21C3">
      <w:pPr>
        <w:spacing w:after="0" w:line="360" w:lineRule="auto"/>
        <w:ind w:right="49"/>
        <w:contextualSpacing/>
        <w:jc w:val="both"/>
        <w:rPr>
          <w:rFonts w:ascii="Palatino Linotype" w:eastAsia="MS Mincho" w:hAnsi="Palatino Linotype" w:cstheme="majorBidi"/>
          <w:sz w:val="24"/>
          <w:szCs w:val="24"/>
          <w:lang w:val="es-ES_tradnl" w:eastAsia="es-ES"/>
        </w:rPr>
      </w:pPr>
    </w:p>
    <w:p w:rsidR="00CB0F62" w:rsidRPr="002951D2" w:rsidRDefault="004C1C47" w:rsidP="003F3EDE">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2951D2">
        <w:rPr>
          <w:rFonts w:ascii="Palatino Linotype" w:eastAsia="MS Mincho" w:hAnsi="Palatino Linotype" w:cstheme="majorBidi"/>
          <w:sz w:val="24"/>
          <w:szCs w:val="24"/>
          <w:lang w:val="es-ES_tradnl" w:eastAsia="es-ES"/>
        </w:rPr>
        <w:t>No obstante lo anterior, l</w:t>
      </w:r>
      <w:r w:rsidR="001F21C3" w:rsidRPr="002951D2">
        <w:rPr>
          <w:rFonts w:ascii="Palatino Linotype" w:eastAsia="MS Mincho" w:hAnsi="Palatino Linotype" w:cstheme="majorBidi"/>
          <w:sz w:val="24"/>
          <w:szCs w:val="24"/>
          <w:lang w:val="es-ES_tradnl" w:eastAsia="es-ES"/>
        </w:rPr>
        <w:t>a información remitida corresponde a los ejercicio</w:t>
      </w:r>
      <w:r w:rsidRPr="002951D2">
        <w:rPr>
          <w:rFonts w:ascii="Palatino Linotype" w:eastAsia="MS Mincho" w:hAnsi="Palatino Linotype" w:cstheme="majorBidi"/>
          <w:sz w:val="24"/>
          <w:szCs w:val="24"/>
          <w:lang w:val="es-ES_tradnl" w:eastAsia="es-ES"/>
        </w:rPr>
        <w:t>s</w:t>
      </w:r>
      <w:r w:rsidR="001F21C3" w:rsidRPr="002951D2">
        <w:rPr>
          <w:rFonts w:ascii="Palatino Linotype" w:eastAsia="MS Mincho" w:hAnsi="Palatino Linotype" w:cstheme="majorBidi"/>
          <w:sz w:val="24"/>
          <w:szCs w:val="24"/>
          <w:lang w:val="es-ES_tradnl" w:eastAsia="es-ES"/>
        </w:rPr>
        <w:t xml:space="preserve"> fiscales 2017, 2018 y 2019 que de acuerdo a la fecha de emisión de las factura se pudo </w:t>
      </w:r>
      <w:r w:rsidR="00B00BCA" w:rsidRPr="002951D2">
        <w:rPr>
          <w:rFonts w:ascii="Palatino Linotype" w:eastAsia="MS Mincho" w:hAnsi="Palatino Linotype" w:cstheme="majorBidi"/>
          <w:sz w:val="24"/>
          <w:szCs w:val="24"/>
          <w:lang w:val="es-ES_tradnl" w:eastAsia="es-ES"/>
        </w:rPr>
        <w:t>observar</w:t>
      </w:r>
      <w:r w:rsidR="001F21C3" w:rsidRPr="002951D2">
        <w:rPr>
          <w:rFonts w:ascii="Palatino Linotype" w:eastAsia="MS Mincho" w:hAnsi="Palatino Linotype" w:cstheme="majorBidi"/>
          <w:sz w:val="24"/>
          <w:szCs w:val="24"/>
          <w:lang w:val="es-ES_tradnl" w:eastAsia="es-ES"/>
        </w:rPr>
        <w:t xml:space="preserve"> que la </w:t>
      </w:r>
      <w:r w:rsidR="00B00BCA" w:rsidRPr="002951D2">
        <w:rPr>
          <w:rFonts w:ascii="Palatino Linotype" w:eastAsia="MS Mincho" w:hAnsi="Palatino Linotype" w:cstheme="majorBidi"/>
          <w:sz w:val="24"/>
          <w:szCs w:val="24"/>
          <w:lang w:val="es-ES_tradnl" w:eastAsia="es-ES"/>
        </w:rPr>
        <w:t>última</w:t>
      </w:r>
      <w:r w:rsidR="001F21C3" w:rsidRPr="002951D2">
        <w:rPr>
          <w:rFonts w:ascii="Palatino Linotype" w:eastAsia="MS Mincho" w:hAnsi="Palatino Linotype" w:cstheme="majorBidi"/>
          <w:sz w:val="24"/>
          <w:szCs w:val="24"/>
          <w:lang w:val="es-ES_tradnl" w:eastAsia="es-ES"/>
        </w:rPr>
        <w:t xml:space="preserve"> generada corresponde al </w:t>
      </w:r>
      <w:r w:rsidR="00B00BCA" w:rsidRPr="002951D2">
        <w:rPr>
          <w:rFonts w:ascii="Palatino Linotype" w:eastAsia="MS Mincho" w:hAnsi="Palatino Linotype" w:cstheme="majorBidi"/>
          <w:sz w:val="24"/>
          <w:szCs w:val="24"/>
          <w:lang w:val="es-ES_tradnl" w:eastAsia="es-ES"/>
        </w:rPr>
        <w:t>dieciséis de mayo de 2019</w:t>
      </w:r>
      <w:r w:rsidRPr="002951D2">
        <w:rPr>
          <w:rFonts w:ascii="Palatino Linotype" w:eastAsia="MS Mincho" w:hAnsi="Palatino Linotype" w:cstheme="majorBidi"/>
          <w:sz w:val="24"/>
          <w:szCs w:val="24"/>
          <w:lang w:val="es-ES_tradnl" w:eastAsia="es-ES"/>
        </w:rPr>
        <w:t>.</w:t>
      </w:r>
    </w:p>
    <w:p w:rsidR="004C1C47" w:rsidRPr="002951D2" w:rsidRDefault="004C1C47" w:rsidP="004C1C47">
      <w:pPr>
        <w:spacing w:after="0" w:line="360" w:lineRule="auto"/>
        <w:ind w:right="49"/>
        <w:contextualSpacing/>
        <w:jc w:val="both"/>
        <w:rPr>
          <w:rFonts w:ascii="Palatino Linotype" w:eastAsia="MS Mincho" w:hAnsi="Palatino Linotype" w:cstheme="majorBidi"/>
          <w:sz w:val="24"/>
          <w:szCs w:val="24"/>
          <w:lang w:val="es-ES_tradnl" w:eastAsia="es-ES"/>
        </w:rPr>
      </w:pPr>
    </w:p>
    <w:p w:rsidR="00CB0F62" w:rsidRPr="002951D2" w:rsidRDefault="004C1C47" w:rsidP="00F60D60">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2951D2">
        <w:rPr>
          <w:rFonts w:ascii="Palatino Linotype" w:eastAsia="MS Mincho" w:hAnsi="Palatino Linotype" w:cstheme="majorBidi"/>
          <w:sz w:val="24"/>
          <w:szCs w:val="24"/>
          <w:lang w:val="es-ES_tradnl" w:eastAsia="es-ES"/>
        </w:rPr>
        <w:t xml:space="preserve">De lo anterior, el particular se inconformó argumentando que la información proporcionada en respuesta es incompleta, toda vez que </w:t>
      </w:r>
      <w:r w:rsidR="004F5B6D" w:rsidRPr="002951D2">
        <w:rPr>
          <w:rFonts w:ascii="Palatino Linotype" w:eastAsia="MS Mincho" w:hAnsi="Palatino Linotype" w:cstheme="majorBidi"/>
          <w:sz w:val="24"/>
          <w:szCs w:val="24"/>
          <w:lang w:val="es-ES_tradnl" w:eastAsia="es-ES"/>
        </w:rPr>
        <w:t>a su consideración no se entrega la respuesta del Comité de Transparencia, no se informa ni se acredita cuanto fue el monto que recibió cada año; las facturas no tienen el contrato por el cual se pagó, el monto que recibió del secretariado no coincide con la suma de las facturas de telefonía;</w:t>
      </w:r>
      <w:r w:rsidR="004F5B6D" w:rsidRPr="002951D2">
        <w:rPr>
          <w:rFonts w:ascii="Palatino Linotype" w:hAnsi="Palatino Linotype"/>
          <w:color w:val="000000"/>
          <w:sz w:val="24"/>
          <w:szCs w:val="24"/>
        </w:rPr>
        <w:t xml:space="preserve"> </w:t>
      </w:r>
      <w:r w:rsidR="004F5B6D" w:rsidRPr="002951D2">
        <w:rPr>
          <w:rFonts w:ascii="Palatino Linotype" w:eastAsia="MS Mincho" w:hAnsi="Palatino Linotype" w:cstheme="majorBidi"/>
          <w:sz w:val="24"/>
          <w:szCs w:val="24"/>
          <w:lang w:val="es-ES_tradnl" w:eastAsia="es-ES"/>
        </w:rPr>
        <w:t xml:space="preserve">puede reservar el nivel balístico de los chalecos, facturas de autos </w:t>
      </w:r>
      <w:r w:rsidR="00F60D60" w:rsidRPr="002951D2">
        <w:rPr>
          <w:rFonts w:ascii="Palatino Linotype" w:eastAsia="MS Mincho" w:hAnsi="Palatino Linotype" w:cstheme="majorBidi"/>
          <w:sz w:val="24"/>
          <w:szCs w:val="24"/>
          <w:lang w:val="es-ES_tradnl" w:eastAsia="es-ES"/>
        </w:rPr>
        <w:t>en las que se testó el</w:t>
      </w:r>
      <w:r w:rsidR="004F5B6D" w:rsidRPr="002951D2">
        <w:rPr>
          <w:rFonts w:ascii="Palatino Linotype" w:eastAsia="MS Mincho" w:hAnsi="Palatino Linotype" w:cstheme="majorBidi"/>
          <w:sz w:val="24"/>
          <w:szCs w:val="24"/>
          <w:lang w:val="es-ES_tradnl" w:eastAsia="es-ES"/>
        </w:rPr>
        <w:t xml:space="preserve"> modelo y eso no es materia de reserva, si tiene equipo policial, radio</w:t>
      </w:r>
      <w:r w:rsidR="00D27D9F" w:rsidRPr="002951D2">
        <w:rPr>
          <w:rFonts w:ascii="Palatino Linotype" w:eastAsia="MS Mincho" w:hAnsi="Palatino Linotype" w:cstheme="majorBidi"/>
          <w:sz w:val="24"/>
          <w:szCs w:val="24"/>
          <w:lang w:val="es-ES_tradnl" w:eastAsia="es-ES"/>
        </w:rPr>
        <w:t>, no reservó</w:t>
      </w:r>
      <w:r w:rsidR="004F5B6D" w:rsidRPr="002951D2">
        <w:rPr>
          <w:rFonts w:ascii="Palatino Linotype" w:eastAsia="MS Mincho" w:hAnsi="Palatino Linotype" w:cstheme="majorBidi"/>
          <w:sz w:val="24"/>
          <w:szCs w:val="24"/>
          <w:lang w:val="es-ES_tradnl" w:eastAsia="es-ES"/>
        </w:rPr>
        <w:t xml:space="preserve"> la compra de radios a EADS casisidean; de 2018 no entrega los recursos que se emplearon en equipo policial patrullas que se emplearon en la renta de las patrullas contratadas a integra arrenda;</w:t>
      </w:r>
      <w:r w:rsidR="00D27D9F" w:rsidRPr="002951D2">
        <w:rPr>
          <w:rFonts w:ascii="Palatino Linotype" w:eastAsia="MS Mincho" w:hAnsi="Palatino Linotype" w:cstheme="majorBidi"/>
          <w:sz w:val="24"/>
          <w:szCs w:val="24"/>
          <w:lang w:val="es-ES_tradnl" w:eastAsia="es-ES"/>
        </w:rPr>
        <w:t xml:space="preserve"> </w:t>
      </w:r>
      <w:r w:rsidR="004F5B6D" w:rsidRPr="002951D2">
        <w:rPr>
          <w:rFonts w:ascii="Palatino Linotype" w:eastAsia="MS Mincho" w:hAnsi="Palatino Linotype" w:cstheme="majorBidi"/>
          <w:sz w:val="24"/>
          <w:szCs w:val="24"/>
          <w:lang w:val="es-ES_tradnl" w:eastAsia="es-ES"/>
        </w:rPr>
        <w:t xml:space="preserve">lo que entrega </w:t>
      </w:r>
      <w:r w:rsidR="00D27D9F" w:rsidRPr="002951D2">
        <w:rPr>
          <w:rFonts w:ascii="Palatino Linotype" w:eastAsia="MS Mincho" w:hAnsi="Palatino Linotype" w:cstheme="majorBidi"/>
          <w:sz w:val="24"/>
          <w:szCs w:val="24"/>
          <w:lang w:val="es-ES_tradnl" w:eastAsia="es-ES"/>
        </w:rPr>
        <w:t>está</w:t>
      </w:r>
      <w:r w:rsidR="004F5B6D" w:rsidRPr="002951D2">
        <w:rPr>
          <w:rFonts w:ascii="Palatino Linotype" w:eastAsia="MS Mincho" w:hAnsi="Palatino Linotype" w:cstheme="majorBidi"/>
          <w:sz w:val="24"/>
          <w:szCs w:val="24"/>
          <w:lang w:val="es-ES_tradnl" w:eastAsia="es-ES"/>
        </w:rPr>
        <w:t xml:space="preserve"> incompleto y sin soportes</w:t>
      </w:r>
      <w:r w:rsidR="00D27D9F" w:rsidRPr="002951D2">
        <w:rPr>
          <w:rFonts w:ascii="Palatino Linotype" w:eastAsia="MS Mincho" w:hAnsi="Palatino Linotype" w:cstheme="majorBidi"/>
          <w:sz w:val="24"/>
          <w:szCs w:val="24"/>
          <w:lang w:val="es-ES_tradnl" w:eastAsia="es-ES"/>
        </w:rPr>
        <w:t>;</w:t>
      </w:r>
      <w:r w:rsidR="004F5B6D" w:rsidRPr="002951D2">
        <w:rPr>
          <w:rFonts w:ascii="Palatino Linotype" w:eastAsia="MS Mincho" w:hAnsi="Palatino Linotype" w:cstheme="majorBidi"/>
          <w:sz w:val="24"/>
          <w:szCs w:val="24"/>
          <w:lang w:val="es-ES_tradnl" w:eastAsia="es-ES"/>
        </w:rPr>
        <w:t xml:space="preserve"> respuesta extraña de sellos y solo parecen facturas al azar sin orden y sin contratos por el monto realmente recibido y de FORTASEG tampoco entrego nada</w:t>
      </w:r>
      <w:r w:rsidR="00D27D9F" w:rsidRPr="002951D2">
        <w:rPr>
          <w:rFonts w:ascii="Palatino Linotype" w:eastAsia="MS Mincho" w:hAnsi="Palatino Linotype" w:cstheme="majorBidi"/>
          <w:sz w:val="24"/>
          <w:szCs w:val="24"/>
          <w:lang w:val="es-ES_tradnl" w:eastAsia="es-ES"/>
        </w:rPr>
        <w:t>.</w:t>
      </w:r>
    </w:p>
    <w:p w:rsidR="00F60D60" w:rsidRPr="002951D2" w:rsidRDefault="00F60D60" w:rsidP="00F60D60">
      <w:pPr>
        <w:pStyle w:val="Prrafodelista"/>
        <w:rPr>
          <w:rFonts w:ascii="Palatino Linotype" w:eastAsia="MS Mincho" w:hAnsi="Palatino Linotype" w:cstheme="majorBidi"/>
          <w:sz w:val="24"/>
          <w:szCs w:val="24"/>
          <w:lang w:val="es-ES_tradnl" w:eastAsia="es-ES"/>
        </w:rPr>
      </w:pPr>
    </w:p>
    <w:p w:rsidR="003F3EDE" w:rsidRPr="002951D2" w:rsidRDefault="00F60D60" w:rsidP="003F3EDE">
      <w:pPr>
        <w:numPr>
          <w:ilvl w:val="0"/>
          <w:numId w:val="2"/>
        </w:numPr>
        <w:spacing w:after="0" w:line="360" w:lineRule="auto"/>
        <w:ind w:left="0" w:right="49" w:firstLine="0"/>
        <w:contextualSpacing/>
        <w:jc w:val="both"/>
        <w:rPr>
          <w:rFonts w:ascii="Palatino Linotype" w:eastAsia="MS Mincho" w:hAnsi="Palatino Linotype" w:cs="Arial"/>
          <w:sz w:val="24"/>
          <w:szCs w:val="24"/>
          <w:lang w:val="es-ES_tradnl" w:eastAsia="es-ES"/>
        </w:rPr>
      </w:pPr>
      <w:r w:rsidRPr="002951D2">
        <w:rPr>
          <w:rFonts w:ascii="Palatino Linotype" w:eastAsia="MS Mincho" w:hAnsi="Palatino Linotype" w:cstheme="majorBidi"/>
          <w:sz w:val="24"/>
          <w:szCs w:val="24"/>
          <w:lang w:val="es-ES_tradnl" w:eastAsia="es-ES"/>
        </w:rPr>
        <w:t>Luego en</w:t>
      </w:r>
      <w:r w:rsidR="001C2E08" w:rsidRPr="002951D2">
        <w:rPr>
          <w:rFonts w:ascii="Palatino Linotype" w:eastAsia="MS Mincho" w:hAnsi="Palatino Linotype" w:cstheme="majorBidi"/>
          <w:sz w:val="24"/>
          <w:szCs w:val="24"/>
          <w:lang w:val="es-ES_tradnl" w:eastAsia="es-ES"/>
        </w:rPr>
        <w:t xml:space="preserve">tonces, el </w:t>
      </w:r>
      <w:r w:rsidR="001C2E08" w:rsidRPr="002951D2">
        <w:rPr>
          <w:rFonts w:ascii="Palatino Linotype" w:eastAsia="MS Mincho" w:hAnsi="Palatino Linotype" w:cstheme="majorBidi"/>
          <w:b/>
          <w:sz w:val="24"/>
          <w:szCs w:val="24"/>
          <w:lang w:val="es-ES_tradnl" w:eastAsia="es-ES"/>
        </w:rPr>
        <w:t>SUJETO OBLIGADO</w:t>
      </w:r>
      <w:r w:rsidR="001C2E08" w:rsidRPr="002951D2">
        <w:rPr>
          <w:rFonts w:ascii="Palatino Linotype" w:eastAsia="MS Mincho" w:hAnsi="Palatino Linotype" w:cstheme="majorBidi"/>
          <w:sz w:val="24"/>
          <w:szCs w:val="24"/>
          <w:lang w:val="es-ES_tradnl" w:eastAsia="es-ES"/>
        </w:rPr>
        <w:t xml:space="preserve"> estando en tiempo y forma presentó su respectivo informe justificado, mismo que fue descrito en líneas anteriores, mediante el cual confirma su respuesta inicial en razón de que el particular amplio su solicitud de información.</w:t>
      </w:r>
    </w:p>
    <w:p w:rsidR="00CB0F62" w:rsidRPr="002951D2" w:rsidRDefault="00CB0F62" w:rsidP="003F3EDE">
      <w:pPr>
        <w:spacing w:after="0" w:line="360" w:lineRule="auto"/>
        <w:jc w:val="both"/>
        <w:rPr>
          <w:rFonts w:ascii="Palatino Linotype" w:eastAsia="MS Mincho" w:hAnsi="Palatino Linotype" w:cs="Arial"/>
          <w:sz w:val="24"/>
          <w:szCs w:val="24"/>
          <w:lang w:val="es-ES_tradnl" w:eastAsia="es-ES"/>
        </w:rPr>
      </w:pPr>
    </w:p>
    <w:p w:rsidR="00CB0F62" w:rsidRPr="002951D2" w:rsidRDefault="001C2E08" w:rsidP="003F3EDE">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2951D2">
        <w:rPr>
          <w:rFonts w:ascii="Palatino Linotype" w:eastAsia="MS Mincho" w:hAnsi="Palatino Linotype" w:cs="Arial"/>
          <w:sz w:val="24"/>
          <w:szCs w:val="24"/>
          <w:lang w:val="es-ES_tradnl" w:eastAsia="es-ES"/>
        </w:rPr>
        <w:t>Dicho lo anterior, se puede observar claramente que el particular manifestó como acto impugnado diversas inconformidades por la cuales considera que la respuesta resulta incompleta</w:t>
      </w:r>
      <w:r w:rsidR="00D25E57" w:rsidRPr="002951D2">
        <w:rPr>
          <w:rFonts w:ascii="Palatino Linotype" w:eastAsia="MS Mincho" w:hAnsi="Palatino Linotype" w:cs="Arial"/>
          <w:sz w:val="24"/>
          <w:szCs w:val="24"/>
          <w:lang w:val="es-ES_tradnl" w:eastAsia="es-ES"/>
        </w:rPr>
        <w:t>; sin embargo, al analizar cada una de las manifestaciones se puede advertir que efectivamente hay cuestiones novedosas y subjetivas, por lo que sus motivos de inconformidad hechos valer resulta parcialmente fundados.</w:t>
      </w:r>
    </w:p>
    <w:p w:rsidR="00D25E57" w:rsidRPr="002951D2" w:rsidRDefault="00D25E57" w:rsidP="00D25E57">
      <w:pPr>
        <w:pStyle w:val="Prrafodelista"/>
        <w:rPr>
          <w:rFonts w:ascii="Palatino Linotype" w:eastAsia="MS Mincho" w:hAnsi="Palatino Linotype" w:cs="Arial"/>
          <w:sz w:val="24"/>
          <w:szCs w:val="24"/>
          <w:lang w:val="es-ES_tradnl" w:eastAsia="es-ES"/>
        </w:rPr>
      </w:pPr>
    </w:p>
    <w:p w:rsidR="00D25E57" w:rsidRPr="002951D2" w:rsidRDefault="00D25E57" w:rsidP="00D25E57">
      <w:pPr>
        <w:numPr>
          <w:ilvl w:val="0"/>
          <w:numId w:val="2"/>
        </w:numPr>
        <w:spacing w:after="120" w:line="360" w:lineRule="auto"/>
        <w:ind w:left="0" w:right="49" w:firstLine="0"/>
        <w:contextualSpacing/>
        <w:jc w:val="both"/>
        <w:rPr>
          <w:rFonts w:ascii="Palatino Linotype" w:eastAsia="MS Mincho" w:hAnsi="Palatino Linotype" w:cstheme="majorBidi"/>
          <w:sz w:val="24"/>
          <w:szCs w:val="24"/>
          <w:lang w:val="es-ES_tradnl" w:eastAsia="es-ES"/>
        </w:rPr>
      </w:pPr>
      <w:r w:rsidRPr="002951D2">
        <w:rPr>
          <w:rFonts w:ascii="Palatino Linotype" w:eastAsia="MS Mincho" w:hAnsi="Palatino Linotype" w:cstheme="majorBidi"/>
          <w:sz w:val="24"/>
          <w:szCs w:val="24"/>
          <w:lang w:val="es-ES_tradnl" w:eastAsia="es-ES"/>
        </w:rPr>
        <w:t>Dichas manifestaciones no constituyen un derecho de acceso a la información pública y por lo tanto no es atendible mediante una solicitud de Acceso a la Información, porque se tratan de manifestaciones subjetivas vertidas por el particular, interrogantes y declaraciones que no se colman con la entrega de documentos, situación que conlleva a afirmar que se está en presencia del ejercicio del derecho de petición.</w:t>
      </w:r>
    </w:p>
    <w:p w:rsidR="00D25E57" w:rsidRPr="002951D2" w:rsidRDefault="00D25E57" w:rsidP="00D25E57">
      <w:pPr>
        <w:spacing w:after="120" w:line="360" w:lineRule="auto"/>
        <w:ind w:right="49"/>
        <w:contextualSpacing/>
        <w:jc w:val="both"/>
        <w:rPr>
          <w:rFonts w:ascii="Palatino Linotype" w:eastAsia="MS Mincho" w:hAnsi="Palatino Linotype" w:cstheme="majorBidi"/>
          <w:sz w:val="24"/>
          <w:szCs w:val="24"/>
          <w:lang w:val="es-ES_tradnl" w:eastAsia="es-ES"/>
        </w:rPr>
      </w:pPr>
    </w:p>
    <w:p w:rsidR="00D25E57" w:rsidRPr="002951D2" w:rsidRDefault="00D25E57" w:rsidP="00D25E57">
      <w:pPr>
        <w:numPr>
          <w:ilvl w:val="0"/>
          <w:numId w:val="2"/>
        </w:numPr>
        <w:spacing w:after="120" w:line="360" w:lineRule="auto"/>
        <w:ind w:left="0" w:right="49" w:firstLine="0"/>
        <w:contextualSpacing/>
        <w:jc w:val="both"/>
        <w:rPr>
          <w:rFonts w:ascii="Palatino Linotype" w:eastAsia="MS Mincho" w:hAnsi="Palatino Linotype" w:cstheme="majorBidi"/>
          <w:sz w:val="24"/>
          <w:szCs w:val="24"/>
          <w:lang w:val="es-ES_tradnl" w:eastAsia="es-ES"/>
        </w:rPr>
      </w:pPr>
      <w:r w:rsidRPr="002951D2">
        <w:rPr>
          <w:rFonts w:ascii="Palatino Linotype" w:eastAsia="MS Mincho" w:hAnsi="Palatino Linotype" w:cstheme="majorBidi"/>
          <w:sz w:val="24"/>
          <w:szCs w:val="24"/>
          <w:lang w:val="es-ES_tradnl" w:eastAsia="es-ES"/>
        </w:rPr>
        <w:t xml:space="preserve">Por lo que la entrega de una razón o un razonamiento por parte del Sujeto Obligado no es algo que la ley establezca como atribución, derecho, o facultad; pues ello implicaría un juicio de valor referente a un cuestionamiento realizado, los cuales, al constituir interrogantes, inquietudes y manifestaciones se satisfacen vía derecho de petición. </w:t>
      </w:r>
    </w:p>
    <w:p w:rsidR="00D25E57" w:rsidRPr="002951D2" w:rsidRDefault="00D25E57" w:rsidP="00D25E57">
      <w:pPr>
        <w:spacing w:after="120" w:line="360" w:lineRule="auto"/>
        <w:ind w:right="49"/>
        <w:contextualSpacing/>
        <w:jc w:val="both"/>
        <w:rPr>
          <w:rFonts w:ascii="Palatino Linotype" w:eastAsia="MS Mincho" w:hAnsi="Palatino Linotype" w:cstheme="majorBidi"/>
          <w:sz w:val="24"/>
          <w:szCs w:val="24"/>
          <w:lang w:val="es-ES_tradnl" w:eastAsia="es-ES"/>
        </w:rPr>
      </w:pPr>
    </w:p>
    <w:p w:rsidR="00CB0F62" w:rsidRPr="002951D2" w:rsidRDefault="00D25E57" w:rsidP="00D25E57">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2951D2">
        <w:rPr>
          <w:rFonts w:ascii="Palatino Linotype" w:eastAsia="MS Mincho" w:hAnsi="Palatino Linotype" w:cstheme="majorBidi"/>
          <w:sz w:val="24"/>
          <w:szCs w:val="24"/>
          <w:lang w:val="es-ES_tradnl" w:eastAsia="es-ES"/>
        </w:rPr>
        <w:t>Luego entonces, es importante dejar en claro lo que debe entenderse por derecho de petición y por derecho de acceso a la información pública.</w:t>
      </w:r>
    </w:p>
    <w:p w:rsidR="00D25E57" w:rsidRPr="002951D2" w:rsidRDefault="00DC5CB3" w:rsidP="00D25E57">
      <w:pPr>
        <w:pStyle w:val="Ttulo1"/>
        <w:rPr>
          <w:rFonts w:ascii="Palatino Linotype" w:eastAsia="MS Mincho" w:hAnsi="Palatino Linotype"/>
          <w:b/>
          <w:i/>
          <w:sz w:val="24"/>
          <w:szCs w:val="24"/>
          <w:lang w:val="es-ES_tradnl" w:eastAsia="es-ES"/>
        </w:rPr>
      </w:pPr>
      <w:bookmarkStart w:id="74" w:name="_Toc23430160"/>
      <w:r w:rsidRPr="002951D2">
        <w:rPr>
          <w:rFonts w:ascii="Palatino Linotype" w:eastAsia="MS Mincho" w:hAnsi="Palatino Linotype"/>
          <w:b/>
          <w:i/>
          <w:color w:val="auto"/>
          <w:sz w:val="24"/>
          <w:szCs w:val="24"/>
          <w:lang w:val="es-ES_tradnl" w:eastAsia="es-ES"/>
        </w:rPr>
        <w:t xml:space="preserve">III </w:t>
      </w:r>
      <w:r w:rsidR="00D25E57" w:rsidRPr="002951D2">
        <w:rPr>
          <w:rFonts w:ascii="Palatino Linotype" w:eastAsia="MS Mincho" w:hAnsi="Palatino Linotype"/>
          <w:b/>
          <w:i/>
          <w:color w:val="auto"/>
          <w:sz w:val="24"/>
          <w:szCs w:val="24"/>
          <w:lang w:val="es-ES_tradnl" w:eastAsia="es-ES"/>
        </w:rPr>
        <w:t>El derecho e petición y de acceso a la información pública.</w:t>
      </w:r>
      <w:bookmarkEnd w:id="74"/>
    </w:p>
    <w:p w:rsidR="00D25E57" w:rsidRPr="002951D2" w:rsidRDefault="00D25E57" w:rsidP="00D25E57">
      <w:pPr>
        <w:pStyle w:val="Prrafodelista"/>
        <w:rPr>
          <w:rFonts w:ascii="Palatino Linotype" w:eastAsia="MS Mincho" w:hAnsi="Palatino Linotype" w:cs="Arial"/>
          <w:sz w:val="24"/>
          <w:szCs w:val="24"/>
          <w:lang w:val="es-ES_tradnl" w:eastAsia="es-ES"/>
        </w:rPr>
      </w:pPr>
    </w:p>
    <w:p w:rsidR="00D25E57" w:rsidRPr="002951D2" w:rsidRDefault="00D25E57" w:rsidP="00D25E57">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2951D2">
        <w:rPr>
          <w:rFonts w:ascii="Palatino Linotype" w:eastAsia="MS Mincho" w:hAnsi="Palatino Linotype" w:cstheme="majorBidi"/>
          <w:sz w:val="24"/>
          <w:szCs w:val="24"/>
          <w:lang w:val="es-ES_tradnl" w:eastAsia="es-ES"/>
        </w:rPr>
        <w:t>Por lo que respecta a la definición de derecho de petición, el Maestro Ignacio Burgoa Orihuela refiere: “…es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2951D2">
        <w:rPr>
          <w:rFonts w:ascii="Palatino Linotype" w:eastAsia="MS Mincho" w:hAnsi="Palatino Linotype" w:cstheme="majorBidi"/>
          <w:i/>
          <w:sz w:val="24"/>
          <w:szCs w:val="24"/>
          <w:vertAlign w:val="superscript"/>
          <w:lang w:val="es-ES_tradnl" w:eastAsia="es-ES"/>
        </w:rPr>
        <w:t xml:space="preserve"> </w:t>
      </w:r>
      <w:r w:rsidRPr="002951D2">
        <w:rPr>
          <w:rFonts w:ascii="Palatino Linotype" w:eastAsia="MS Mincho" w:hAnsi="Palatino Linotype" w:cstheme="majorBidi"/>
          <w:i/>
          <w:sz w:val="24"/>
          <w:szCs w:val="24"/>
          <w:vertAlign w:val="superscript"/>
          <w:lang w:val="es-ES_tradnl" w:eastAsia="es-ES"/>
        </w:rPr>
        <w:footnoteReference w:id="1"/>
      </w:r>
      <w:r w:rsidRPr="002951D2">
        <w:rPr>
          <w:rFonts w:ascii="Palatino Linotype" w:eastAsia="MS Mincho" w:hAnsi="Palatino Linotype" w:cstheme="majorBidi"/>
          <w:sz w:val="24"/>
          <w:szCs w:val="24"/>
          <w:lang w:val="es-ES_tradnl" w:eastAsia="es-ES"/>
        </w:rPr>
        <w:t xml:space="preserve">   “(Sic)</w:t>
      </w:r>
    </w:p>
    <w:p w:rsidR="00D25E57" w:rsidRPr="002951D2" w:rsidRDefault="00D25E57" w:rsidP="00D25E57">
      <w:pPr>
        <w:pStyle w:val="Prrafodelista"/>
        <w:rPr>
          <w:rFonts w:ascii="Palatino Linotype" w:eastAsia="MS Mincho" w:hAnsi="Palatino Linotype" w:cstheme="majorBidi"/>
          <w:sz w:val="24"/>
          <w:szCs w:val="24"/>
          <w:lang w:val="es-ES_tradnl" w:eastAsia="es-ES"/>
        </w:rPr>
      </w:pPr>
    </w:p>
    <w:p w:rsidR="00D25E57" w:rsidRPr="002951D2" w:rsidRDefault="00D25E57" w:rsidP="00D25E57">
      <w:pPr>
        <w:numPr>
          <w:ilvl w:val="0"/>
          <w:numId w:val="2"/>
        </w:numPr>
        <w:spacing w:after="0" w:line="360" w:lineRule="auto"/>
        <w:ind w:left="0" w:right="49" w:firstLine="0"/>
        <w:contextualSpacing/>
        <w:jc w:val="both"/>
        <w:rPr>
          <w:rFonts w:ascii="Palatino Linotype" w:eastAsia="MS Mincho" w:hAnsi="Palatino Linotype" w:cstheme="majorBidi"/>
          <w:i/>
          <w:sz w:val="24"/>
          <w:szCs w:val="24"/>
          <w:lang w:val="es-ES_tradnl" w:eastAsia="es-ES"/>
        </w:rPr>
      </w:pPr>
      <w:r w:rsidRPr="002951D2">
        <w:rPr>
          <w:rFonts w:ascii="Palatino Linotype" w:eastAsia="MS Mincho" w:hAnsi="Palatino Linotype" w:cstheme="majorBidi"/>
          <w:sz w:val="24"/>
          <w:szCs w:val="24"/>
          <w:lang w:val="es-ES_tradnl" w:eastAsia="es-ES"/>
        </w:rPr>
        <w:t xml:space="preserve">Por su parte, David Cienfuegos Salgado, concibe al derecho de petición como </w:t>
      </w:r>
      <w:r w:rsidRPr="002951D2">
        <w:rPr>
          <w:rFonts w:ascii="Palatino Linotype" w:eastAsia="MS Mincho" w:hAnsi="Palatino Linotype" w:cstheme="majorBidi"/>
          <w:i/>
          <w:sz w:val="24"/>
          <w:szCs w:val="24"/>
          <w:lang w:val="es-ES_tradnl" w:eastAsia="es-ES"/>
        </w:rPr>
        <w:t xml:space="preserve">“el derecho de toda persona a ser escuchado por quienes ejercen el poder público. </w:t>
      </w:r>
      <w:r w:rsidRPr="002951D2">
        <w:rPr>
          <w:rStyle w:val="Refdenotaalpie"/>
          <w:rFonts w:ascii="Palatino Linotype" w:eastAsia="MS Mincho" w:hAnsi="Palatino Linotype"/>
          <w:i/>
          <w:sz w:val="24"/>
          <w:szCs w:val="24"/>
          <w:lang w:val="es-ES_tradnl" w:eastAsia="es-ES"/>
        </w:rPr>
        <w:footnoteReference w:id="2"/>
      </w:r>
      <w:r w:rsidRPr="002951D2">
        <w:rPr>
          <w:rFonts w:ascii="Palatino Linotype" w:eastAsia="MS Mincho" w:hAnsi="Palatino Linotype" w:cstheme="majorBidi"/>
          <w:i/>
          <w:sz w:val="24"/>
          <w:szCs w:val="24"/>
          <w:lang w:val="es-ES_tradnl" w:eastAsia="es-ES"/>
        </w:rPr>
        <w:t xml:space="preserve">” (Sic) </w:t>
      </w:r>
    </w:p>
    <w:p w:rsidR="00D25E57" w:rsidRPr="002951D2" w:rsidRDefault="00D25E57" w:rsidP="00D25E57">
      <w:pPr>
        <w:spacing w:after="120" w:line="360" w:lineRule="auto"/>
        <w:ind w:left="360" w:right="49"/>
        <w:contextualSpacing/>
        <w:jc w:val="both"/>
        <w:rPr>
          <w:rFonts w:ascii="Palatino Linotype" w:eastAsia="MS Mincho" w:hAnsi="Palatino Linotype" w:cstheme="majorBidi"/>
          <w:sz w:val="24"/>
          <w:szCs w:val="24"/>
          <w:lang w:val="es-ES_tradnl" w:eastAsia="es-ES"/>
        </w:rPr>
      </w:pPr>
    </w:p>
    <w:p w:rsidR="00D25E57" w:rsidRPr="002951D2" w:rsidRDefault="00D25E57" w:rsidP="00D25E57">
      <w:pPr>
        <w:numPr>
          <w:ilvl w:val="0"/>
          <w:numId w:val="2"/>
        </w:numPr>
        <w:spacing w:after="120" w:line="360" w:lineRule="auto"/>
        <w:ind w:left="0" w:right="49" w:firstLine="0"/>
        <w:contextualSpacing/>
        <w:jc w:val="both"/>
        <w:rPr>
          <w:rFonts w:ascii="Palatino Linotype" w:eastAsia="MS Mincho" w:hAnsi="Palatino Linotype" w:cstheme="majorBidi"/>
          <w:sz w:val="24"/>
          <w:szCs w:val="24"/>
          <w:lang w:val="es-ES_tradnl" w:eastAsia="es-ES"/>
        </w:rPr>
      </w:pPr>
      <w:r w:rsidRPr="002951D2">
        <w:rPr>
          <w:rFonts w:ascii="Palatino Linotype" w:eastAsia="MS Mincho" w:hAnsi="Palatino Linotype" w:cstheme="majorBidi"/>
          <w:sz w:val="24"/>
          <w:szCs w:val="24"/>
          <w:lang w:val="es-ES_tradnl" w:eastAsia="es-ES"/>
        </w:rPr>
        <w:t>Luego entonces, para diferenciar el derecho de petición al derecho de acceso a la información, resulta conducente señalar que José Guadalupe Robles, conceptualiza el derecho a la información como “</w:t>
      </w:r>
      <w:r w:rsidRPr="002951D2">
        <w:rPr>
          <w:rFonts w:ascii="Palatino Linotype" w:eastAsia="MS Mincho" w:hAnsi="Palatino Linotype" w:cstheme="majorBidi"/>
          <w:i/>
          <w:sz w:val="24"/>
          <w:szCs w:val="24"/>
          <w:lang w:val="es-ES_tradnl" w:eastAsia="es-ES"/>
        </w:rPr>
        <w:t xml:space="preserve">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w:t>
      </w:r>
      <w:r w:rsidRPr="002951D2">
        <w:rPr>
          <w:rFonts w:ascii="Palatino Linotype" w:eastAsia="MS Mincho" w:hAnsi="Palatino Linotype" w:cstheme="majorBidi"/>
          <w:i/>
          <w:sz w:val="24"/>
          <w:szCs w:val="24"/>
          <w:vertAlign w:val="superscript"/>
          <w:lang w:val="es-ES_tradnl" w:eastAsia="es-ES"/>
        </w:rPr>
        <w:footnoteReference w:id="3"/>
      </w:r>
      <w:r w:rsidRPr="002951D2">
        <w:rPr>
          <w:rFonts w:ascii="Palatino Linotype" w:eastAsia="MS Mincho" w:hAnsi="Palatino Linotype" w:cstheme="majorBidi"/>
          <w:i/>
          <w:sz w:val="24"/>
          <w:szCs w:val="24"/>
          <w:lang w:val="es-ES_tradnl" w:eastAsia="es-ES"/>
        </w:rPr>
        <w:t xml:space="preserve"> “(Sic)</w:t>
      </w:r>
    </w:p>
    <w:p w:rsidR="00D25E57" w:rsidRPr="002951D2" w:rsidRDefault="00D25E57" w:rsidP="00D25E57">
      <w:pPr>
        <w:pStyle w:val="Prrafodelista"/>
        <w:rPr>
          <w:rFonts w:ascii="Palatino Linotype" w:eastAsia="MS Mincho" w:hAnsi="Palatino Linotype" w:cstheme="majorBidi"/>
          <w:sz w:val="24"/>
          <w:szCs w:val="24"/>
          <w:lang w:val="es-ES_tradnl" w:eastAsia="es-ES"/>
        </w:rPr>
      </w:pPr>
    </w:p>
    <w:p w:rsidR="00D25E57" w:rsidRPr="002951D2" w:rsidRDefault="00D25E57" w:rsidP="00D25E57">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2951D2">
        <w:rPr>
          <w:rFonts w:ascii="Palatino Linotype" w:eastAsia="MS Mincho" w:hAnsi="Palatino Linotype" w:cstheme="majorBidi"/>
          <w:sz w:val="24"/>
          <w:szCs w:val="24"/>
          <w:lang w:val="es-ES_tradnl" w:eastAsia="es-ES"/>
        </w:rPr>
        <w:t xml:space="preserve">Además, el derecho a la información constituye una prerrogativa a acceder a documentación en poder de los Sujetos Obligados, no así a realizar cuestionamientos, o manifestaciones subjetivas. Sirve de apoyo a lo anterior la definición de derecho a la información de Ernesto Villanueva Villanueva que dice: </w:t>
      </w:r>
      <w:r w:rsidRPr="002951D2">
        <w:rPr>
          <w:rFonts w:ascii="Palatino Linotype" w:eastAsia="MS Mincho" w:hAnsi="Palatino Linotype" w:cstheme="majorBidi"/>
          <w:i/>
          <w:sz w:val="24"/>
          <w:szCs w:val="24"/>
          <w:lang w:val="es-ES_tradnl" w:eastAsia="es-ES"/>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2951D2">
        <w:rPr>
          <w:rFonts w:ascii="Palatino Linotype" w:eastAsia="MS Mincho" w:hAnsi="Palatino Linotype" w:cstheme="majorBidi"/>
          <w:i/>
          <w:sz w:val="24"/>
          <w:szCs w:val="24"/>
          <w:vertAlign w:val="superscript"/>
          <w:lang w:val="es-ES_tradnl" w:eastAsia="es-ES"/>
        </w:rPr>
        <w:t xml:space="preserve"> </w:t>
      </w:r>
      <w:r w:rsidRPr="002951D2">
        <w:rPr>
          <w:rFonts w:ascii="Palatino Linotype" w:eastAsia="MS Mincho" w:hAnsi="Palatino Linotype" w:cstheme="majorBidi"/>
          <w:i/>
          <w:sz w:val="24"/>
          <w:szCs w:val="24"/>
          <w:vertAlign w:val="superscript"/>
          <w:lang w:val="es-ES_tradnl" w:eastAsia="es-ES"/>
        </w:rPr>
        <w:footnoteReference w:id="4"/>
      </w:r>
      <w:r w:rsidRPr="002951D2">
        <w:rPr>
          <w:rFonts w:ascii="Palatino Linotype" w:eastAsia="MS Mincho" w:hAnsi="Palatino Linotype" w:cstheme="majorBidi"/>
          <w:i/>
          <w:sz w:val="24"/>
          <w:szCs w:val="24"/>
          <w:lang w:val="es-ES_tradnl" w:eastAsia="es-ES"/>
        </w:rPr>
        <w:t>” (Sic)</w:t>
      </w:r>
      <w:r w:rsidRPr="002951D2">
        <w:rPr>
          <w:rFonts w:ascii="Palatino Linotype" w:eastAsia="MS Mincho" w:hAnsi="Palatino Linotype" w:cstheme="majorBidi"/>
          <w:sz w:val="24"/>
          <w:szCs w:val="24"/>
          <w:lang w:val="es-ES_tradnl" w:eastAsia="es-ES"/>
        </w:rPr>
        <w:t xml:space="preserve">  </w:t>
      </w:r>
    </w:p>
    <w:p w:rsidR="00D25E57" w:rsidRPr="002951D2" w:rsidRDefault="00D25E57" w:rsidP="00D25E57">
      <w:pPr>
        <w:pStyle w:val="Prrafodelista"/>
        <w:spacing w:after="0"/>
        <w:rPr>
          <w:rFonts w:ascii="Palatino Linotype" w:eastAsia="MS Mincho" w:hAnsi="Palatino Linotype" w:cstheme="majorBidi"/>
          <w:sz w:val="24"/>
          <w:szCs w:val="24"/>
          <w:lang w:val="es-ES_tradnl" w:eastAsia="es-ES"/>
        </w:rPr>
      </w:pPr>
    </w:p>
    <w:p w:rsidR="00D25E57" w:rsidRPr="002951D2" w:rsidRDefault="00D25E57" w:rsidP="00D25E57">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2951D2">
        <w:rPr>
          <w:rFonts w:ascii="Palatino Linotype" w:eastAsia="MS Mincho" w:hAnsi="Palatino Linotype" w:cstheme="majorBidi"/>
          <w:sz w:val="24"/>
          <w:szCs w:val="24"/>
          <w:lang w:val="es-ES_tradnl" w:eastAsia="es-ES"/>
        </w:rPr>
        <w:t>Ahora bien,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D25E57" w:rsidRPr="002951D2" w:rsidRDefault="00D25E57" w:rsidP="00D25E57">
      <w:pPr>
        <w:spacing w:after="120" w:line="360" w:lineRule="auto"/>
        <w:ind w:left="360" w:right="49"/>
        <w:contextualSpacing/>
        <w:jc w:val="both"/>
        <w:rPr>
          <w:rFonts w:ascii="Palatino Linotype" w:eastAsia="MS Mincho" w:hAnsi="Palatino Linotype" w:cstheme="majorBidi"/>
          <w:i/>
          <w:sz w:val="24"/>
          <w:szCs w:val="24"/>
          <w:lang w:val="es-ES_tradnl" w:eastAsia="es-ES"/>
        </w:rPr>
      </w:pPr>
    </w:p>
    <w:p w:rsidR="00D25E57" w:rsidRPr="002951D2" w:rsidRDefault="00D25E57" w:rsidP="00D25E57">
      <w:pPr>
        <w:spacing w:after="120" w:line="360" w:lineRule="auto"/>
        <w:ind w:left="567" w:right="616"/>
        <w:contextualSpacing/>
        <w:jc w:val="center"/>
        <w:rPr>
          <w:rFonts w:ascii="Palatino Linotype" w:eastAsia="MS Mincho" w:hAnsi="Palatino Linotype" w:cstheme="majorBidi"/>
          <w:b/>
          <w:i/>
          <w:sz w:val="24"/>
          <w:szCs w:val="24"/>
          <w:lang w:val="es-ES_tradnl" w:eastAsia="es-ES"/>
        </w:rPr>
      </w:pPr>
      <w:r w:rsidRPr="002951D2">
        <w:rPr>
          <w:rFonts w:ascii="Palatino Linotype" w:eastAsia="MS Mincho" w:hAnsi="Palatino Linotype" w:cstheme="majorBidi"/>
          <w:b/>
          <w:i/>
          <w:sz w:val="24"/>
          <w:szCs w:val="24"/>
          <w:lang w:val="es-ES_tradnl" w:eastAsia="es-ES"/>
        </w:rPr>
        <w:t>“CRITERIO 0002-11</w:t>
      </w:r>
    </w:p>
    <w:p w:rsidR="00D25E57" w:rsidRPr="002951D2" w:rsidRDefault="00D25E57" w:rsidP="00D25E57">
      <w:pPr>
        <w:spacing w:after="0" w:line="276" w:lineRule="auto"/>
        <w:ind w:left="567" w:right="616"/>
        <w:contextualSpacing/>
        <w:jc w:val="both"/>
        <w:rPr>
          <w:rFonts w:ascii="Palatino Linotype" w:eastAsia="MS Mincho" w:hAnsi="Palatino Linotype" w:cstheme="majorBidi"/>
          <w:i/>
          <w:sz w:val="24"/>
          <w:szCs w:val="24"/>
          <w:lang w:val="es-ES_tradnl" w:eastAsia="es-ES"/>
        </w:rPr>
      </w:pPr>
      <w:r w:rsidRPr="002951D2">
        <w:rPr>
          <w:rFonts w:ascii="Palatino Linotype" w:eastAsia="MS Mincho" w:hAnsi="Palatino Linotype" w:cstheme="majorBidi"/>
          <w:b/>
          <w:i/>
          <w:sz w:val="24"/>
          <w:szCs w:val="24"/>
          <w:lang w:val="es-ES_tradnl" w:eastAsia="es-ES"/>
        </w:rPr>
        <w:t>INFORMACIÓN PÚBLICA, CONCEPTO DE, EN MATERIA DE TRANSPARENCIA. INTERPRETACIÓN TEMÁTICA DE LOS ARTÍCULOS 2, FRACCIÓN V, XV, Y XVI, 3, 4, 11 Y 41</w:t>
      </w:r>
      <w:r w:rsidRPr="002951D2">
        <w:rPr>
          <w:rFonts w:ascii="Palatino Linotype" w:eastAsia="MS Mincho" w:hAnsi="Palatino Linotype" w:cstheme="majorBidi"/>
          <w:i/>
          <w:sz w:val="24"/>
          <w:szCs w:val="24"/>
          <w:lang w:val="es-ES_tradnl" w:eastAsia="es-ES"/>
        </w:rPr>
        <w:t>.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D25E57" w:rsidRPr="002951D2" w:rsidRDefault="00D25E57" w:rsidP="00D25E57">
      <w:pPr>
        <w:spacing w:after="0" w:line="276" w:lineRule="auto"/>
        <w:ind w:left="567" w:right="616"/>
        <w:contextualSpacing/>
        <w:jc w:val="both"/>
        <w:rPr>
          <w:rFonts w:ascii="Palatino Linotype" w:eastAsia="MS Mincho" w:hAnsi="Palatino Linotype" w:cstheme="majorBidi"/>
          <w:i/>
          <w:sz w:val="24"/>
          <w:szCs w:val="24"/>
          <w:lang w:val="es-ES_tradnl" w:eastAsia="es-ES"/>
        </w:rPr>
      </w:pPr>
    </w:p>
    <w:p w:rsidR="00D25E57" w:rsidRPr="002951D2" w:rsidRDefault="00D25E57" w:rsidP="00D25E57">
      <w:pPr>
        <w:spacing w:after="0" w:line="276" w:lineRule="auto"/>
        <w:ind w:left="567" w:right="616"/>
        <w:contextualSpacing/>
        <w:jc w:val="both"/>
        <w:rPr>
          <w:rFonts w:ascii="Palatino Linotype" w:eastAsia="MS Mincho" w:hAnsi="Palatino Linotype" w:cstheme="majorBidi"/>
          <w:i/>
          <w:sz w:val="24"/>
          <w:szCs w:val="24"/>
          <w:lang w:val="es-ES_tradnl" w:eastAsia="es-ES"/>
        </w:rPr>
      </w:pPr>
      <w:r w:rsidRPr="002951D2">
        <w:rPr>
          <w:rFonts w:ascii="Palatino Linotype" w:eastAsia="MS Mincho" w:hAnsi="Palatino Linotype" w:cstheme="majorBidi"/>
          <w:i/>
          <w:sz w:val="24"/>
          <w:szCs w:val="24"/>
          <w:lang w:val="es-ES_tradnl" w:eastAsia="es-ES"/>
        </w:rPr>
        <w:t>En consecuencia el acceso a la información se refiere a que se cumplan cualquiera de los siguientes tres supuestos:</w:t>
      </w:r>
    </w:p>
    <w:p w:rsidR="00D25E57" w:rsidRPr="002951D2" w:rsidRDefault="00D25E57" w:rsidP="00D25E57">
      <w:pPr>
        <w:spacing w:after="0" w:line="276" w:lineRule="auto"/>
        <w:ind w:left="567" w:right="616"/>
        <w:contextualSpacing/>
        <w:jc w:val="both"/>
        <w:rPr>
          <w:rFonts w:ascii="Palatino Linotype" w:eastAsia="MS Mincho" w:hAnsi="Palatino Linotype" w:cstheme="majorBidi"/>
          <w:i/>
          <w:sz w:val="24"/>
          <w:szCs w:val="24"/>
          <w:lang w:val="es-ES_tradnl" w:eastAsia="es-ES"/>
        </w:rPr>
      </w:pPr>
    </w:p>
    <w:p w:rsidR="00D25E57" w:rsidRPr="002951D2" w:rsidRDefault="00D25E57" w:rsidP="00D25E57">
      <w:pPr>
        <w:spacing w:after="0" w:line="276" w:lineRule="auto"/>
        <w:ind w:left="567" w:right="616"/>
        <w:contextualSpacing/>
        <w:jc w:val="both"/>
        <w:rPr>
          <w:rFonts w:ascii="Palatino Linotype" w:eastAsia="MS Mincho" w:hAnsi="Palatino Linotype" w:cstheme="majorBidi"/>
          <w:i/>
          <w:sz w:val="24"/>
          <w:szCs w:val="24"/>
          <w:lang w:val="es-ES_tradnl" w:eastAsia="es-ES"/>
        </w:rPr>
      </w:pPr>
      <w:r w:rsidRPr="002951D2">
        <w:rPr>
          <w:rFonts w:ascii="Palatino Linotype" w:eastAsia="MS Mincho" w:hAnsi="Palatino Linotype" w:cstheme="majorBidi"/>
          <w:i/>
          <w:sz w:val="24"/>
          <w:szCs w:val="24"/>
          <w:lang w:val="es-ES_tradnl" w:eastAsia="es-ES"/>
        </w:rPr>
        <w:t>Que se trate de información registrada en cualquier soporte documental, que en ejercicio de las atribuciones conferidas, sea generada por los Sujetos Obligados;</w:t>
      </w:r>
    </w:p>
    <w:p w:rsidR="00D25E57" w:rsidRPr="002951D2" w:rsidRDefault="00D25E57" w:rsidP="00D25E57">
      <w:pPr>
        <w:spacing w:after="0" w:line="276" w:lineRule="auto"/>
        <w:ind w:left="567" w:right="616"/>
        <w:contextualSpacing/>
        <w:jc w:val="both"/>
        <w:rPr>
          <w:rFonts w:ascii="Palatino Linotype" w:eastAsia="MS Mincho" w:hAnsi="Palatino Linotype" w:cstheme="majorBidi"/>
          <w:i/>
          <w:sz w:val="24"/>
          <w:szCs w:val="24"/>
          <w:lang w:val="es-ES_tradnl" w:eastAsia="es-ES"/>
        </w:rPr>
      </w:pPr>
    </w:p>
    <w:p w:rsidR="00D25E57" w:rsidRPr="002951D2" w:rsidRDefault="00D25E57" w:rsidP="00D25E57">
      <w:pPr>
        <w:spacing w:after="0" w:line="276" w:lineRule="auto"/>
        <w:ind w:left="567" w:right="616"/>
        <w:contextualSpacing/>
        <w:jc w:val="both"/>
        <w:rPr>
          <w:rFonts w:ascii="Palatino Linotype" w:eastAsia="MS Mincho" w:hAnsi="Palatino Linotype" w:cstheme="majorBidi"/>
          <w:i/>
          <w:sz w:val="24"/>
          <w:szCs w:val="24"/>
          <w:lang w:val="es-ES_tradnl" w:eastAsia="es-ES"/>
        </w:rPr>
      </w:pPr>
      <w:r w:rsidRPr="002951D2">
        <w:rPr>
          <w:rFonts w:ascii="Palatino Linotype" w:eastAsia="MS Mincho" w:hAnsi="Palatino Linotype" w:cstheme="majorBidi"/>
          <w:i/>
          <w:sz w:val="24"/>
          <w:szCs w:val="24"/>
          <w:lang w:val="es-ES_tradnl" w:eastAsia="es-ES"/>
        </w:rPr>
        <w:t>Que se trate de información registrada en cualquier soporte documental, que en ejercicio de las atribuciones conferidas, sea administrada por los Sujetos Obligados, y</w:t>
      </w:r>
    </w:p>
    <w:p w:rsidR="00D25E57" w:rsidRPr="002951D2" w:rsidRDefault="00D25E57" w:rsidP="00D25E57">
      <w:pPr>
        <w:spacing w:after="0" w:line="276" w:lineRule="auto"/>
        <w:ind w:left="567" w:right="616"/>
        <w:contextualSpacing/>
        <w:jc w:val="both"/>
        <w:rPr>
          <w:rFonts w:ascii="Palatino Linotype" w:eastAsia="MS Mincho" w:hAnsi="Palatino Linotype" w:cstheme="majorBidi"/>
          <w:i/>
          <w:sz w:val="24"/>
          <w:szCs w:val="24"/>
          <w:lang w:val="es-ES_tradnl" w:eastAsia="es-ES"/>
        </w:rPr>
      </w:pPr>
    </w:p>
    <w:p w:rsidR="00D25E57" w:rsidRPr="002951D2" w:rsidRDefault="00D25E57" w:rsidP="00D25E57">
      <w:pPr>
        <w:spacing w:after="0" w:line="276" w:lineRule="auto"/>
        <w:ind w:left="567" w:right="616"/>
        <w:contextualSpacing/>
        <w:jc w:val="both"/>
        <w:rPr>
          <w:rFonts w:ascii="Palatino Linotype" w:eastAsia="MS Mincho" w:hAnsi="Palatino Linotype" w:cstheme="majorBidi"/>
          <w:i/>
          <w:sz w:val="24"/>
          <w:szCs w:val="24"/>
          <w:lang w:val="es-ES_tradnl" w:eastAsia="es-ES"/>
        </w:rPr>
      </w:pPr>
      <w:r w:rsidRPr="002951D2">
        <w:rPr>
          <w:rFonts w:ascii="Palatino Linotype" w:eastAsia="MS Mincho" w:hAnsi="Palatino Linotype" w:cstheme="majorBidi"/>
          <w:i/>
          <w:sz w:val="24"/>
          <w:szCs w:val="24"/>
          <w:lang w:val="es-ES_tradnl" w:eastAsia="es-ES"/>
        </w:rPr>
        <w:t>Que se trate de información registrada en cualquier soporte documental, que en ejercicio de las atribuciones conferidas, se encuentre en posesión de los Sujetos Obligados.”</w:t>
      </w:r>
    </w:p>
    <w:p w:rsidR="00D25E57" w:rsidRPr="002951D2" w:rsidRDefault="00D25E57" w:rsidP="00D25E57">
      <w:pPr>
        <w:spacing w:after="120" w:line="276" w:lineRule="auto"/>
        <w:ind w:left="360" w:right="49"/>
        <w:contextualSpacing/>
        <w:jc w:val="both"/>
        <w:rPr>
          <w:rFonts w:ascii="Palatino Linotype" w:eastAsia="MS Mincho" w:hAnsi="Palatino Linotype" w:cstheme="majorBidi"/>
          <w:i/>
          <w:sz w:val="24"/>
          <w:szCs w:val="24"/>
          <w:lang w:val="es-ES_tradnl" w:eastAsia="es-ES"/>
        </w:rPr>
      </w:pPr>
    </w:p>
    <w:p w:rsidR="00D25E57" w:rsidRPr="002951D2" w:rsidRDefault="00D25E57" w:rsidP="00D25E57">
      <w:pPr>
        <w:numPr>
          <w:ilvl w:val="0"/>
          <w:numId w:val="2"/>
        </w:numPr>
        <w:spacing w:after="120" w:line="360" w:lineRule="auto"/>
        <w:ind w:left="0" w:right="49" w:firstLine="0"/>
        <w:contextualSpacing/>
        <w:jc w:val="both"/>
        <w:rPr>
          <w:rFonts w:ascii="Palatino Linotype" w:eastAsia="MS Mincho" w:hAnsi="Palatino Linotype" w:cstheme="majorBidi"/>
          <w:sz w:val="24"/>
          <w:szCs w:val="24"/>
          <w:lang w:val="es-ES_tradnl" w:eastAsia="es-ES"/>
        </w:rPr>
      </w:pPr>
      <w:r w:rsidRPr="002951D2">
        <w:rPr>
          <w:rFonts w:ascii="Palatino Linotype" w:eastAsia="MS Mincho" w:hAnsi="Palatino Linotype" w:cstheme="majorBidi"/>
          <w:sz w:val="24"/>
          <w:szCs w:val="24"/>
          <w:lang w:val="es-ES_tradnl" w:eastAsia="es-ES"/>
        </w:rPr>
        <w:t>De lo anterior, se puede concluir que la distinción entre el derecho de petición y el derecho de acceso a la información estriba, principalmente, en que en el primero de ellos la pretensión del peticionario consiste generalmente en obligar a la autoridad responsable a que actúe en el sentido de contestar lo solicitado; mientras que en el segundo supuesto, la petición se encamina primordialmente a permitir el acceso a datos, registros y todo tipo de información pública que conste en documentos, sea generada o se encuentre en posesión de la autoridad.</w:t>
      </w:r>
    </w:p>
    <w:p w:rsidR="00D25E57" w:rsidRPr="002951D2" w:rsidRDefault="00DC5CB3" w:rsidP="00D25E57">
      <w:pPr>
        <w:pStyle w:val="Ttulo1"/>
        <w:rPr>
          <w:rFonts w:ascii="Palatino Linotype" w:eastAsia="MS Mincho" w:hAnsi="Palatino Linotype"/>
          <w:b/>
          <w:i/>
          <w:color w:val="auto"/>
          <w:sz w:val="24"/>
          <w:szCs w:val="24"/>
          <w:lang w:val="es-ES_tradnl" w:eastAsia="es-ES"/>
        </w:rPr>
      </w:pPr>
      <w:bookmarkStart w:id="75" w:name="_Toc23430161"/>
      <w:r w:rsidRPr="002951D2">
        <w:rPr>
          <w:rFonts w:ascii="Palatino Linotype" w:eastAsia="MS Mincho" w:hAnsi="Palatino Linotype"/>
          <w:b/>
          <w:i/>
          <w:color w:val="auto"/>
          <w:sz w:val="24"/>
          <w:szCs w:val="24"/>
          <w:lang w:val="es-ES_tradnl" w:eastAsia="es-ES"/>
        </w:rPr>
        <w:t xml:space="preserve">IV. </w:t>
      </w:r>
      <w:r w:rsidR="00D25E57" w:rsidRPr="002951D2">
        <w:rPr>
          <w:rFonts w:ascii="Palatino Linotype" w:eastAsia="MS Mincho" w:hAnsi="Palatino Linotype"/>
          <w:b/>
          <w:i/>
          <w:color w:val="auto"/>
          <w:sz w:val="24"/>
          <w:szCs w:val="24"/>
          <w:lang w:val="es-ES_tradnl" w:eastAsia="es-ES"/>
        </w:rPr>
        <w:t>De la plus petitio</w:t>
      </w:r>
      <w:bookmarkEnd w:id="75"/>
    </w:p>
    <w:p w:rsidR="003F3EDE" w:rsidRPr="002951D2" w:rsidRDefault="003F3EDE" w:rsidP="00D25E57">
      <w:pPr>
        <w:pStyle w:val="Ttulo1"/>
        <w:rPr>
          <w:rFonts w:ascii="Palatino Linotype" w:eastAsia="MS Mincho" w:hAnsi="Palatino Linotype"/>
          <w:b/>
          <w:i/>
          <w:color w:val="auto"/>
          <w:sz w:val="24"/>
          <w:szCs w:val="24"/>
          <w:lang w:val="es-ES_tradnl" w:eastAsia="es-ES"/>
        </w:rPr>
      </w:pPr>
    </w:p>
    <w:p w:rsidR="005649DB" w:rsidRPr="002951D2" w:rsidRDefault="005649DB" w:rsidP="005649DB">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2951D2">
        <w:rPr>
          <w:rFonts w:ascii="Palatino Linotype" w:eastAsia="MS Mincho" w:hAnsi="Palatino Linotype" w:cs="Arial"/>
          <w:sz w:val="24"/>
          <w:szCs w:val="24"/>
          <w:lang w:eastAsia="es-ES"/>
        </w:rPr>
        <w:t>Ahora bien, el sistema de medios de impugnación se centra en el análisis de los agravios o motivos de inconformidad, los que deben tener relación directa con el acto de autoridad que lo motiva. En materia de transparencia, los motivos de la inconformidad deben versar sobre la respuesta de información proporcionada por los sujetos obligados o la negativa de entrega de la misma, derivada de la solicitud de información pública. De este modo, en los motivos de inconformidad los recurrentes no pueden incluir situaciones novedosas o solicitudes de información nuevas de las que el Sujeto Obligado no tuvo la oportunidad de conocer y por consiguiente producir un posicionamiento</w:t>
      </w:r>
    </w:p>
    <w:p w:rsidR="005649DB" w:rsidRPr="002951D2" w:rsidRDefault="005649DB" w:rsidP="005649DB">
      <w:pPr>
        <w:spacing w:after="0" w:line="360" w:lineRule="auto"/>
        <w:ind w:right="34"/>
        <w:contextualSpacing/>
        <w:jc w:val="both"/>
        <w:rPr>
          <w:rFonts w:ascii="Palatino Linotype" w:eastAsia="MS Mincho" w:hAnsi="Palatino Linotype" w:cs="Arial"/>
          <w:sz w:val="24"/>
          <w:szCs w:val="24"/>
          <w:lang w:val="es-ES_tradnl" w:eastAsia="es-ES"/>
        </w:rPr>
      </w:pPr>
    </w:p>
    <w:p w:rsidR="005649DB" w:rsidRPr="002951D2" w:rsidRDefault="005649DB" w:rsidP="005649DB">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2951D2">
        <w:rPr>
          <w:rFonts w:ascii="Palatino Linotype" w:eastAsia="MS Mincho" w:hAnsi="Palatino Linotype" w:cs="Arial"/>
          <w:sz w:val="24"/>
          <w:szCs w:val="24"/>
          <w:lang w:val="es-ES_tradnl" w:eastAsia="es-ES"/>
        </w:rPr>
        <w:t>Es por ello, que la Ley de la materia contempla que en los casos en que a través del recurso de revisión se pretenda ampliar los requerimientos de información, la inconformidad relativa a estas situaciones novedosas no debe ser tomada en cuenta como parte de la Litis y debe ser desechada, tal y como lo establece el artículo 191 fracción VII.</w:t>
      </w:r>
    </w:p>
    <w:p w:rsidR="005649DB" w:rsidRPr="002951D2" w:rsidRDefault="005649DB" w:rsidP="005649DB">
      <w:pPr>
        <w:pStyle w:val="Prrafodelista"/>
        <w:rPr>
          <w:rFonts w:ascii="Palatino Linotype" w:eastAsia="MS Mincho" w:hAnsi="Palatino Linotype" w:cs="Arial"/>
          <w:sz w:val="24"/>
          <w:szCs w:val="24"/>
          <w:lang w:val="es-ES_tradnl" w:eastAsia="es-ES"/>
        </w:rPr>
      </w:pPr>
    </w:p>
    <w:p w:rsidR="005649DB" w:rsidRPr="002951D2" w:rsidRDefault="005649DB" w:rsidP="005649DB">
      <w:pPr>
        <w:spacing w:after="0" w:line="360" w:lineRule="auto"/>
        <w:ind w:left="567" w:right="616"/>
        <w:contextualSpacing/>
        <w:jc w:val="both"/>
        <w:rPr>
          <w:rFonts w:ascii="Palatino Linotype" w:eastAsia="MS Mincho" w:hAnsi="Palatino Linotype" w:cs="Arial"/>
          <w:i/>
          <w:sz w:val="24"/>
          <w:szCs w:val="24"/>
          <w:lang w:val="es-ES_tradnl" w:eastAsia="es-ES"/>
        </w:rPr>
      </w:pPr>
      <w:r w:rsidRPr="002951D2">
        <w:rPr>
          <w:rFonts w:ascii="Palatino Linotype" w:eastAsia="MS Mincho" w:hAnsi="Palatino Linotype" w:cs="Arial"/>
          <w:i/>
          <w:sz w:val="24"/>
          <w:szCs w:val="24"/>
          <w:lang w:val="es-ES_tradnl" w:eastAsia="es-ES"/>
        </w:rPr>
        <w:t>Artículo 191. El recurso será desechado por improcedente cuando:</w:t>
      </w:r>
    </w:p>
    <w:p w:rsidR="005649DB" w:rsidRPr="002951D2" w:rsidRDefault="005649DB" w:rsidP="005649DB">
      <w:pPr>
        <w:spacing w:after="0" w:line="360" w:lineRule="auto"/>
        <w:ind w:left="567" w:right="616"/>
        <w:contextualSpacing/>
        <w:jc w:val="both"/>
        <w:rPr>
          <w:rFonts w:ascii="Palatino Linotype" w:eastAsia="MS Mincho" w:hAnsi="Palatino Linotype" w:cs="Arial"/>
          <w:i/>
          <w:sz w:val="24"/>
          <w:szCs w:val="24"/>
          <w:lang w:val="es-ES_tradnl" w:eastAsia="es-ES"/>
        </w:rPr>
      </w:pPr>
      <w:r w:rsidRPr="002951D2">
        <w:rPr>
          <w:rFonts w:ascii="Palatino Linotype" w:eastAsia="MS Mincho" w:hAnsi="Palatino Linotype" w:cs="Arial"/>
          <w:i/>
          <w:sz w:val="24"/>
          <w:szCs w:val="24"/>
          <w:lang w:val="es-ES_tradnl" w:eastAsia="es-ES"/>
        </w:rPr>
        <w:t>…</w:t>
      </w:r>
    </w:p>
    <w:p w:rsidR="005649DB" w:rsidRDefault="005649DB" w:rsidP="005649DB">
      <w:pPr>
        <w:spacing w:after="0" w:line="360" w:lineRule="auto"/>
        <w:ind w:left="567" w:right="616"/>
        <w:contextualSpacing/>
        <w:jc w:val="both"/>
        <w:rPr>
          <w:rFonts w:ascii="Palatino Linotype" w:eastAsia="MS Mincho" w:hAnsi="Palatino Linotype" w:cs="Arial"/>
          <w:i/>
          <w:sz w:val="24"/>
          <w:szCs w:val="24"/>
          <w:lang w:val="es-ES_tradnl" w:eastAsia="es-ES"/>
        </w:rPr>
      </w:pPr>
      <w:r w:rsidRPr="002951D2">
        <w:rPr>
          <w:rFonts w:ascii="Palatino Linotype" w:eastAsia="MS Mincho" w:hAnsi="Palatino Linotype" w:cs="Arial"/>
          <w:i/>
          <w:sz w:val="24"/>
          <w:szCs w:val="24"/>
          <w:lang w:val="es-ES_tradnl" w:eastAsia="es-ES"/>
        </w:rPr>
        <w:t>VII. El recurrente amplíe su solicitud en el recurso de revisión, únicamente respecto de los nuevos contenidos.</w:t>
      </w:r>
    </w:p>
    <w:p w:rsidR="002951D2" w:rsidRPr="002951D2" w:rsidRDefault="002951D2" w:rsidP="002951D2">
      <w:pPr>
        <w:spacing w:after="0" w:line="360" w:lineRule="auto"/>
        <w:ind w:right="616"/>
        <w:contextualSpacing/>
        <w:jc w:val="both"/>
        <w:rPr>
          <w:rFonts w:ascii="Palatino Linotype" w:eastAsia="MS Mincho" w:hAnsi="Palatino Linotype" w:cs="Arial"/>
          <w:i/>
          <w:sz w:val="24"/>
          <w:szCs w:val="24"/>
          <w:lang w:val="es-ES_tradnl" w:eastAsia="es-ES"/>
        </w:rPr>
      </w:pPr>
    </w:p>
    <w:p w:rsidR="005649DB" w:rsidRPr="002951D2" w:rsidRDefault="005649DB" w:rsidP="005649DB">
      <w:pPr>
        <w:numPr>
          <w:ilvl w:val="0"/>
          <w:numId w:val="2"/>
        </w:numPr>
        <w:spacing w:after="0" w:line="360" w:lineRule="auto"/>
        <w:ind w:left="0" w:right="34" w:firstLine="0"/>
        <w:contextualSpacing/>
        <w:jc w:val="both"/>
        <w:rPr>
          <w:rFonts w:ascii="Palatino Linotype" w:eastAsia="MS Mincho" w:hAnsi="Palatino Linotype" w:cs="Arial"/>
          <w:sz w:val="24"/>
          <w:szCs w:val="24"/>
          <w:lang w:eastAsia="es-ES"/>
        </w:rPr>
      </w:pPr>
      <w:r w:rsidRPr="002951D2">
        <w:rPr>
          <w:rFonts w:ascii="Palatino Linotype" w:eastAsia="MS Mincho" w:hAnsi="Palatino Linotype" w:cs="Arial"/>
          <w:sz w:val="24"/>
          <w:szCs w:val="24"/>
          <w:lang w:eastAsia="es-ES"/>
        </w:rPr>
        <w:t xml:space="preserve">Por lo anterior, resulta improcedente el referido motivo de inconformidad </w:t>
      </w:r>
      <w:r w:rsidRPr="002951D2">
        <w:rPr>
          <w:rFonts w:ascii="Palatino Linotype" w:eastAsia="MS Mincho" w:hAnsi="Palatino Linotype" w:cs="Arial"/>
          <w:i/>
          <w:sz w:val="24"/>
          <w:szCs w:val="24"/>
          <w:lang w:eastAsia="es-ES"/>
        </w:rPr>
        <w:t>“</w:t>
      </w:r>
      <w:r w:rsidR="00E748D3" w:rsidRPr="002951D2">
        <w:rPr>
          <w:rFonts w:ascii="Palatino Linotype" w:eastAsia="MS Mincho" w:hAnsi="Palatino Linotype" w:cs="Arial"/>
          <w:i/>
          <w:sz w:val="24"/>
          <w:szCs w:val="24"/>
          <w:lang w:eastAsia="es-ES"/>
        </w:rPr>
        <w:t>…no informa y acredita cuanto fue el monto que recibió cada año y de estos en que se gasto…</w:t>
      </w:r>
      <w:r w:rsidR="00E748D3" w:rsidRPr="002951D2">
        <w:rPr>
          <w:rFonts w:ascii="Palatino Linotype" w:hAnsi="Palatino Linotype"/>
          <w:color w:val="000000"/>
          <w:sz w:val="24"/>
          <w:szCs w:val="24"/>
        </w:rPr>
        <w:t xml:space="preserve"> </w:t>
      </w:r>
      <w:r w:rsidR="00E748D3" w:rsidRPr="002951D2">
        <w:rPr>
          <w:rFonts w:ascii="Palatino Linotype" w:eastAsia="MS Mincho" w:hAnsi="Palatino Linotype" w:cs="Arial"/>
          <w:i/>
          <w:sz w:val="24"/>
          <w:szCs w:val="24"/>
          <w:lang w:eastAsia="es-ES"/>
        </w:rPr>
        <w:t xml:space="preserve">estas facturas no tienen el contrato por el cual se pago… 2018 no entrega los recursos que se emplearon en equipo policial patrullas que se emplearon en la renta de las patrullas contratadas a integra arrenda… de FORTASEG tampoco entrego nada </w:t>
      </w:r>
      <w:r w:rsidRPr="002951D2">
        <w:rPr>
          <w:rFonts w:ascii="Palatino Linotype" w:eastAsia="MS Mincho" w:hAnsi="Palatino Linotype" w:cs="Arial"/>
          <w:i/>
          <w:sz w:val="24"/>
          <w:szCs w:val="24"/>
          <w:lang w:val="es-ES_tradnl" w:eastAsia="es-ES"/>
        </w:rPr>
        <w:t>” (Sic)</w:t>
      </w:r>
      <w:r w:rsidRPr="002951D2">
        <w:rPr>
          <w:rFonts w:ascii="Palatino Linotype" w:eastAsia="MS Mincho" w:hAnsi="Palatino Linotype" w:cs="Arial"/>
          <w:sz w:val="24"/>
          <w:szCs w:val="24"/>
          <w:lang w:eastAsia="es-ES"/>
        </w:rPr>
        <w:t xml:space="preserve"> se aprecia que él ahora recurrente se excede dentro de su inconformidad respecto a lo requerido originalmente en la solicitud de información, siendo el caso que pretende ampliar lo solicitado de origen, lo que hace que se surta lo que en la teoría jurídica se le denomina como plus petitio.</w:t>
      </w:r>
    </w:p>
    <w:p w:rsidR="005649DB" w:rsidRPr="002951D2" w:rsidRDefault="005649DB" w:rsidP="005649DB">
      <w:pPr>
        <w:spacing w:after="0" w:line="360" w:lineRule="auto"/>
        <w:ind w:right="34"/>
        <w:contextualSpacing/>
        <w:jc w:val="both"/>
        <w:rPr>
          <w:rFonts w:ascii="Palatino Linotype" w:eastAsia="MS Mincho" w:hAnsi="Palatino Linotype" w:cs="Arial"/>
          <w:sz w:val="24"/>
          <w:szCs w:val="24"/>
          <w:lang w:eastAsia="es-ES"/>
        </w:rPr>
      </w:pPr>
    </w:p>
    <w:p w:rsidR="005649DB" w:rsidRPr="002951D2" w:rsidRDefault="005649DB" w:rsidP="005649DB">
      <w:pPr>
        <w:numPr>
          <w:ilvl w:val="0"/>
          <w:numId w:val="2"/>
        </w:numPr>
        <w:spacing w:after="0" w:line="360" w:lineRule="auto"/>
        <w:ind w:left="0" w:right="34" w:firstLine="0"/>
        <w:contextualSpacing/>
        <w:jc w:val="both"/>
        <w:rPr>
          <w:rFonts w:ascii="Palatino Linotype" w:eastAsia="MS Mincho" w:hAnsi="Palatino Linotype" w:cs="Arial"/>
          <w:sz w:val="24"/>
          <w:szCs w:val="24"/>
          <w:lang w:eastAsia="es-ES"/>
        </w:rPr>
      </w:pPr>
      <w:r w:rsidRPr="002951D2">
        <w:rPr>
          <w:rFonts w:ascii="Palatino Linotype" w:eastAsia="MS Mincho" w:hAnsi="Palatino Linotype" w:cs="Arial"/>
          <w:sz w:val="24"/>
          <w:szCs w:val="24"/>
          <w:lang w:eastAsia="es-ES"/>
        </w:rPr>
        <w:t>Sirve de apoyo el criterio 01/17 emitido por el Instituto Nacional de Transparencia, Acceso a la Información y Protección de Datos Personales que establece lo siguiente:</w:t>
      </w:r>
    </w:p>
    <w:p w:rsidR="005649DB" w:rsidRPr="002951D2" w:rsidRDefault="005649DB" w:rsidP="005649DB">
      <w:pPr>
        <w:spacing w:after="0" w:line="360" w:lineRule="auto"/>
        <w:ind w:right="34"/>
        <w:contextualSpacing/>
        <w:jc w:val="both"/>
        <w:rPr>
          <w:rFonts w:ascii="Palatino Linotype" w:eastAsia="MS Mincho" w:hAnsi="Palatino Linotype" w:cs="Arial"/>
          <w:sz w:val="24"/>
          <w:szCs w:val="24"/>
          <w:lang w:eastAsia="es-ES"/>
        </w:rPr>
      </w:pPr>
    </w:p>
    <w:p w:rsidR="005649DB" w:rsidRPr="002951D2" w:rsidRDefault="005649DB" w:rsidP="005649DB">
      <w:pPr>
        <w:spacing w:after="0" w:line="360" w:lineRule="auto"/>
        <w:ind w:left="567" w:right="616"/>
        <w:contextualSpacing/>
        <w:jc w:val="both"/>
        <w:rPr>
          <w:rFonts w:ascii="Palatino Linotype" w:eastAsia="MS Mincho" w:hAnsi="Palatino Linotype" w:cs="Arial"/>
          <w:i/>
          <w:sz w:val="24"/>
          <w:szCs w:val="24"/>
          <w:lang w:eastAsia="es-ES"/>
        </w:rPr>
      </w:pPr>
      <w:r w:rsidRPr="002951D2">
        <w:rPr>
          <w:rFonts w:ascii="Palatino Linotype" w:eastAsia="MS Mincho" w:hAnsi="Palatino Linotype" w:cs="Arial"/>
          <w:b/>
          <w:i/>
          <w:sz w:val="24"/>
          <w:szCs w:val="24"/>
          <w:lang w:eastAsia="es-ES"/>
        </w:rPr>
        <w:t>Es improcedente ampliar las solicitudes de acceso a información, a través de la interposición del recurso de revisión.</w:t>
      </w:r>
      <w:r w:rsidRPr="002951D2">
        <w:rPr>
          <w:rFonts w:ascii="Palatino Linotype" w:eastAsia="MS Mincho" w:hAnsi="Palatino Linotype" w:cs="Arial"/>
          <w:i/>
          <w:sz w:val="24"/>
          <w:szCs w:val="24"/>
          <w:lang w:eastAsia="es-ES"/>
        </w:rPr>
        <w:t xml:space="preserve"> 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rsidR="005649DB" w:rsidRPr="002951D2" w:rsidRDefault="005649DB" w:rsidP="005649DB">
      <w:pPr>
        <w:spacing w:after="0" w:line="360" w:lineRule="auto"/>
        <w:ind w:right="34"/>
        <w:contextualSpacing/>
        <w:jc w:val="both"/>
        <w:rPr>
          <w:rFonts w:ascii="Palatino Linotype" w:eastAsia="MS Mincho" w:hAnsi="Palatino Linotype" w:cs="Arial"/>
          <w:sz w:val="24"/>
          <w:szCs w:val="24"/>
          <w:lang w:eastAsia="es-ES"/>
        </w:rPr>
      </w:pPr>
    </w:p>
    <w:p w:rsidR="005649DB" w:rsidRPr="002951D2" w:rsidRDefault="005649DB" w:rsidP="005649DB">
      <w:pPr>
        <w:spacing w:after="0" w:line="360" w:lineRule="auto"/>
        <w:ind w:left="567" w:right="34"/>
        <w:contextualSpacing/>
        <w:jc w:val="both"/>
        <w:rPr>
          <w:rFonts w:ascii="Palatino Linotype" w:eastAsia="MS Mincho" w:hAnsi="Palatino Linotype" w:cs="Arial"/>
          <w:i/>
          <w:sz w:val="24"/>
          <w:szCs w:val="24"/>
          <w:lang w:eastAsia="es-ES"/>
        </w:rPr>
      </w:pPr>
      <w:r w:rsidRPr="002951D2">
        <w:rPr>
          <w:rFonts w:ascii="Palatino Linotype" w:eastAsia="MS Mincho" w:hAnsi="Palatino Linotype" w:cs="Arial"/>
          <w:i/>
          <w:sz w:val="24"/>
          <w:szCs w:val="24"/>
          <w:lang w:eastAsia="es-ES"/>
        </w:rPr>
        <w:t>Resoluciones:</w:t>
      </w:r>
    </w:p>
    <w:p w:rsidR="005649DB" w:rsidRPr="002951D2" w:rsidRDefault="005649DB" w:rsidP="005649DB">
      <w:pPr>
        <w:spacing w:after="0" w:line="360" w:lineRule="auto"/>
        <w:ind w:left="567" w:right="616"/>
        <w:contextualSpacing/>
        <w:jc w:val="both"/>
        <w:rPr>
          <w:rFonts w:ascii="Palatino Linotype" w:eastAsia="MS Mincho" w:hAnsi="Palatino Linotype" w:cs="Arial"/>
          <w:i/>
          <w:sz w:val="24"/>
          <w:szCs w:val="24"/>
          <w:lang w:eastAsia="es-ES"/>
        </w:rPr>
      </w:pPr>
      <w:r w:rsidRPr="002951D2">
        <w:rPr>
          <w:rFonts w:ascii="Palatino Linotype" w:eastAsia="MS Mincho" w:hAnsi="Palatino Linotype" w:cs="Arial"/>
          <w:i/>
          <w:sz w:val="24"/>
          <w:szCs w:val="24"/>
          <w:lang w:eastAsia="es-ES"/>
        </w:rPr>
        <w:t>RRA 0196/16. Secretaría de Agricultura, Ganadería, Desarrollo Rural, Pesca y Alimentación. 13 de julio de 2016. Por unanimidad. Comisionado Ponente Joel Salas Suárez.</w:t>
      </w:r>
    </w:p>
    <w:p w:rsidR="005649DB" w:rsidRPr="002951D2" w:rsidRDefault="005649DB" w:rsidP="005649DB">
      <w:pPr>
        <w:spacing w:after="0" w:line="360" w:lineRule="auto"/>
        <w:ind w:left="567" w:right="616"/>
        <w:contextualSpacing/>
        <w:jc w:val="both"/>
        <w:rPr>
          <w:rFonts w:ascii="Palatino Linotype" w:eastAsia="MS Mincho" w:hAnsi="Palatino Linotype" w:cs="Arial"/>
          <w:i/>
          <w:sz w:val="24"/>
          <w:szCs w:val="24"/>
          <w:lang w:eastAsia="es-ES"/>
        </w:rPr>
      </w:pPr>
      <w:r w:rsidRPr="002951D2">
        <w:rPr>
          <w:rFonts w:ascii="Palatino Linotype" w:eastAsia="MS Mincho" w:hAnsi="Palatino Linotype" w:cs="Arial"/>
          <w:i/>
          <w:sz w:val="24"/>
          <w:szCs w:val="24"/>
          <w:lang w:eastAsia="es-ES"/>
        </w:rPr>
        <w:t>RRA 0130/16. Comisión Nacional del Agua. 09 de agosto de 2016. Por unanimidad. Comisionado Ponente María Patricia Kurczyn Villalobos.</w:t>
      </w:r>
    </w:p>
    <w:p w:rsidR="005649DB" w:rsidRPr="002951D2" w:rsidRDefault="005649DB" w:rsidP="005649DB">
      <w:pPr>
        <w:spacing w:after="0" w:line="360" w:lineRule="auto"/>
        <w:ind w:left="567" w:right="616"/>
        <w:contextualSpacing/>
        <w:jc w:val="both"/>
        <w:rPr>
          <w:rFonts w:ascii="Palatino Linotype" w:eastAsia="MS Mincho" w:hAnsi="Palatino Linotype" w:cs="Arial"/>
          <w:i/>
          <w:sz w:val="24"/>
          <w:szCs w:val="24"/>
          <w:lang w:eastAsia="es-ES"/>
        </w:rPr>
      </w:pPr>
      <w:r w:rsidRPr="002951D2">
        <w:rPr>
          <w:rFonts w:ascii="Palatino Linotype" w:eastAsia="MS Mincho" w:hAnsi="Palatino Linotype" w:cs="Arial"/>
          <w:i/>
          <w:sz w:val="24"/>
          <w:szCs w:val="24"/>
          <w:lang w:eastAsia="es-ES"/>
        </w:rPr>
        <w:t>RRA 0342/16. Colegio de Bachilleres. 24 de agosto de 2016. Por unanimidad. Comisionada Ponente Ximena Puente de la Mora.</w:t>
      </w:r>
    </w:p>
    <w:p w:rsidR="005649DB" w:rsidRPr="002951D2" w:rsidRDefault="005649DB" w:rsidP="005649DB">
      <w:pPr>
        <w:spacing w:after="0" w:line="360" w:lineRule="auto"/>
        <w:ind w:right="34"/>
        <w:contextualSpacing/>
        <w:jc w:val="both"/>
        <w:rPr>
          <w:rFonts w:ascii="Palatino Linotype" w:eastAsia="MS Mincho" w:hAnsi="Palatino Linotype" w:cs="Arial"/>
          <w:sz w:val="24"/>
          <w:szCs w:val="24"/>
          <w:lang w:eastAsia="es-ES"/>
        </w:rPr>
      </w:pPr>
    </w:p>
    <w:p w:rsidR="005649DB" w:rsidRPr="002951D2" w:rsidRDefault="005649DB" w:rsidP="005649DB">
      <w:pPr>
        <w:numPr>
          <w:ilvl w:val="0"/>
          <w:numId w:val="2"/>
        </w:numPr>
        <w:spacing w:after="0" w:line="360" w:lineRule="auto"/>
        <w:ind w:left="0" w:right="34" w:firstLine="0"/>
        <w:contextualSpacing/>
        <w:jc w:val="both"/>
        <w:rPr>
          <w:rFonts w:ascii="Palatino Linotype" w:eastAsia="MS Mincho" w:hAnsi="Palatino Linotype" w:cs="Arial"/>
          <w:sz w:val="24"/>
          <w:szCs w:val="24"/>
          <w:lang w:eastAsia="es-ES"/>
        </w:rPr>
      </w:pPr>
      <w:r w:rsidRPr="002951D2">
        <w:rPr>
          <w:rFonts w:ascii="Palatino Linotype" w:eastAsia="MS Mincho" w:hAnsi="Palatino Linotype" w:cs="Arial"/>
          <w:sz w:val="24"/>
          <w:szCs w:val="24"/>
          <w:lang w:eastAsia="es-ES"/>
        </w:rPr>
        <w:t>Asimismo sirve de apoyo a lo anterior por analogía, la Jurisprudencia No. 29 visible a foja 19 del Apéndice al Semanario Judicial de la Federación 1917-1995, Torno VI, Materia Común, Primera Parte, Tesis de la Suprema Corte de Justicia, que contiene:</w:t>
      </w:r>
    </w:p>
    <w:p w:rsidR="005649DB" w:rsidRPr="002951D2" w:rsidRDefault="005649DB" w:rsidP="005649DB">
      <w:pPr>
        <w:spacing w:after="0" w:line="360" w:lineRule="auto"/>
        <w:ind w:right="34"/>
        <w:contextualSpacing/>
        <w:jc w:val="both"/>
        <w:rPr>
          <w:rFonts w:ascii="Palatino Linotype" w:eastAsia="MS Mincho" w:hAnsi="Palatino Linotype" w:cs="Arial"/>
          <w:sz w:val="24"/>
          <w:szCs w:val="24"/>
          <w:lang w:eastAsia="es-ES"/>
        </w:rPr>
      </w:pPr>
    </w:p>
    <w:p w:rsidR="005649DB" w:rsidRPr="002951D2" w:rsidRDefault="005649DB" w:rsidP="005649DB">
      <w:pPr>
        <w:spacing w:after="0" w:line="360" w:lineRule="auto"/>
        <w:ind w:left="567" w:right="616"/>
        <w:contextualSpacing/>
        <w:jc w:val="both"/>
        <w:rPr>
          <w:rFonts w:ascii="Palatino Linotype" w:eastAsia="MS Mincho" w:hAnsi="Palatino Linotype" w:cs="Arial"/>
          <w:i/>
          <w:sz w:val="24"/>
          <w:szCs w:val="24"/>
          <w:lang w:eastAsia="es-ES"/>
        </w:rPr>
      </w:pPr>
      <w:r w:rsidRPr="002951D2">
        <w:rPr>
          <w:rFonts w:ascii="Palatino Linotype" w:eastAsia="MS Mincho" w:hAnsi="Palatino Linotype" w:cs="Arial"/>
          <w:b/>
          <w:i/>
          <w:sz w:val="24"/>
          <w:szCs w:val="24"/>
          <w:lang w:eastAsia="es-ES"/>
        </w:rPr>
        <w:t xml:space="preserve">AGRAVIOS EN LA REVISION. DEBEN ESTAR EN RELACION DIRECTA CON LOS FUNDAMENTOS Y CONSIDERACIONES DE LA SENTENCIA.- </w:t>
      </w:r>
      <w:r w:rsidRPr="002951D2">
        <w:rPr>
          <w:rFonts w:ascii="Palatino Linotype" w:eastAsia="MS Mincho" w:hAnsi="Palatino Linotype" w:cs="Arial"/>
          <w:i/>
          <w:sz w:val="24"/>
          <w:szCs w:val="24"/>
          <w:lang w:eastAsia="es-ES"/>
        </w:rPr>
        <w:t>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p>
    <w:p w:rsidR="005649DB" w:rsidRPr="002951D2" w:rsidRDefault="005649DB" w:rsidP="005649DB">
      <w:pPr>
        <w:spacing w:after="0" w:line="360" w:lineRule="auto"/>
        <w:ind w:right="34"/>
        <w:contextualSpacing/>
        <w:jc w:val="both"/>
        <w:rPr>
          <w:rFonts w:ascii="Palatino Linotype" w:eastAsia="MS Mincho" w:hAnsi="Palatino Linotype" w:cs="Arial"/>
          <w:sz w:val="24"/>
          <w:szCs w:val="24"/>
          <w:lang w:val="es-ES_tradnl" w:eastAsia="es-ES"/>
        </w:rPr>
      </w:pPr>
    </w:p>
    <w:p w:rsidR="005649DB" w:rsidRPr="002951D2" w:rsidRDefault="005649DB" w:rsidP="005649DB">
      <w:pPr>
        <w:numPr>
          <w:ilvl w:val="0"/>
          <w:numId w:val="2"/>
        </w:numPr>
        <w:spacing w:after="0" w:line="360" w:lineRule="auto"/>
        <w:ind w:left="0" w:right="34" w:firstLine="0"/>
        <w:contextualSpacing/>
        <w:jc w:val="both"/>
        <w:rPr>
          <w:rFonts w:ascii="Palatino Linotype" w:eastAsia="MS Mincho" w:hAnsi="Palatino Linotype" w:cs="Arial"/>
          <w:sz w:val="24"/>
          <w:szCs w:val="24"/>
          <w:lang w:val="es-ES" w:eastAsia="es-ES"/>
        </w:rPr>
      </w:pPr>
      <w:r w:rsidRPr="002951D2">
        <w:rPr>
          <w:rFonts w:ascii="Palatino Linotype" w:eastAsia="MS Mincho" w:hAnsi="Palatino Linotype" w:cs="Arial"/>
          <w:sz w:val="24"/>
          <w:szCs w:val="24"/>
          <w:lang w:val="es-ES" w:eastAsia="es-ES"/>
        </w:rPr>
        <w:t xml:space="preserve">En consecuencia, atendiendo a las circunstancias del caso particular que nos ocupa, este Organismo Garante determina confirmar las respuestas en el presente medio de impugnación, toda vez que el particular amplió sus solicitudes de información; por lo que en un primer momento el </w:t>
      </w:r>
      <w:r w:rsidRPr="002951D2">
        <w:rPr>
          <w:rFonts w:ascii="Palatino Linotype" w:eastAsia="MS Mincho" w:hAnsi="Palatino Linotype" w:cs="Arial"/>
          <w:b/>
          <w:sz w:val="24"/>
          <w:szCs w:val="24"/>
          <w:lang w:val="es-ES" w:eastAsia="es-ES"/>
        </w:rPr>
        <w:t>SUJETO OBLIGADO</w:t>
      </w:r>
      <w:r w:rsidRPr="002951D2">
        <w:rPr>
          <w:rFonts w:ascii="Palatino Linotype" w:eastAsia="MS Mincho" w:hAnsi="Palatino Linotype" w:cs="Arial"/>
          <w:sz w:val="24"/>
          <w:szCs w:val="24"/>
          <w:lang w:val="es-ES" w:eastAsia="es-ES"/>
        </w:rPr>
        <w:t xml:space="preserve"> respondió los planteamientos del solicitante, por lo tanto se dejan a salvo los derechos del particular para que formule nuevamente sus solicitud de información ante la instancia correspondiente.</w:t>
      </w:r>
    </w:p>
    <w:p w:rsidR="00E748D3" w:rsidRPr="002951D2" w:rsidRDefault="00E748D3" w:rsidP="00E748D3">
      <w:pPr>
        <w:spacing w:after="0" w:line="360" w:lineRule="auto"/>
        <w:ind w:right="34"/>
        <w:contextualSpacing/>
        <w:jc w:val="both"/>
        <w:rPr>
          <w:rFonts w:ascii="Palatino Linotype" w:eastAsia="MS Mincho" w:hAnsi="Palatino Linotype" w:cs="Arial"/>
          <w:sz w:val="24"/>
          <w:szCs w:val="24"/>
          <w:lang w:val="es-ES" w:eastAsia="es-ES"/>
        </w:rPr>
      </w:pPr>
    </w:p>
    <w:p w:rsidR="00E748D3" w:rsidRPr="002951D2" w:rsidRDefault="00E748D3" w:rsidP="00E748D3">
      <w:pPr>
        <w:numPr>
          <w:ilvl w:val="0"/>
          <w:numId w:val="2"/>
        </w:numPr>
        <w:spacing w:after="120" w:line="360" w:lineRule="auto"/>
        <w:ind w:left="0" w:right="49" w:firstLine="0"/>
        <w:contextualSpacing/>
        <w:jc w:val="both"/>
        <w:rPr>
          <w:rFonts w:ascii="Palatino Linotype" w:eastAsia="MS Mincho" w:hAnsi="Palatino Linotype" w:cstheme="majorBidi"/>
          <w:sz w:val="24"/>
          <w:szCs w:val="24"/>
          <w:lang w:val="es-ES_tradnl" w:eastAsia="es-ES"/>
        </w:rPr>
      </w:pPr>
      <w:r w:rsidRPr="002951D2">
        <w:rPr>
          <w:rFonts w:ascii="Palatino Linotype" w:eastAsia="MS Mincho" w:hAnsi="Palatino Linotype" w:cstheme="majorBidi"/>
          <w:sz w:val="24"/>
          <w:szCs w:val="24"/>
          <w:lang w:val="es-ES_tradnl" w:eastAsia="es-ES"/>
        </w:rPr>
        <w:t>De la revisión realizada al contenido de la respuesta se puede observar que efectivamente ésta corresponde a lo solicitado pero resulta e incompleta, por lo tanto resulta evidente que se vulnera el derecho de acceso a la información del particular.</w:t>
      </w:r>
    </w:p>
    <w:p w:rsidR="00E748D3" w:rsidRPr="002951D2" w:rsidRDefault="00E748D3" w:rsidP="00E748D3">
      <w:pPr>
        <w:spacing w:after="120" w:line="360" w:lineRule="auto"/>
        <w:ind w:right="49"/>
        <w:contextualSpacing/>
        <w:jc w:val="both"/>
        <w:rPr>
          <w:rFonts w:ascii="Palatino Linotype" w:eastAsia="MS Mincho" w:hAnsi="Palatino Linotype" w:cstheme="majorBidi"/>
          <w:sz w:val="24"/>
          <w:szCs w:val="24"/>
          <w:lang w:val="es-ES_tradnl" w:eastAsia="es-ES"/>
        </w:rPr>
      </w:pPr>
    </w:p>
    <w:p w:rsidR="00E748D3" w:rsidRPr="002951D2" w:rsidRDefault="00E748D3" w:rsidP="00E748D3">
      <w:pPr>
        <w:numPr>
          <w:ilvl w:val="0"/>
          <w:numId w:val="2"/>
        </w:numPr>
        <w:spacing w:after="120" w:line="360" w:lineRule="auto"/>
        <w:ind w:left="0" w:right="49" w:firstLine="0"/>
        <w:contextualSpacing/>
        <w:jc w:val="both"/>
        <w:rPr>
          <w:rFonts w:ascii="Palatino Linotype" w:eastAsia="MS Mincho" w:hAnsi="Palatino Linotype" w:cstheme="majorBidi"/>
          <w:sz w:val="24"/>
          <w:szCs w:val="24"/>
          <w:lang w:val="es-ES_tradnl" w:eastAsia="es-ES"/>
        </w:rPr>
      </w:pPr>
      <w:r w:rsidRPr="002951D2">
        <w:rPr>
          <w:rFonts w:ascii="Palatino Linotype" w:eastAsia="MS Mincho" w:hAnsi="Palatino Linotype" w:cstheme="majorBidi"/>
          <w:sz w:val="24"/>
          <w:szCs w:val="24"/>
          <w:lang w:val="es-ES_tradnl" w:eastAsia="es-ES"/>
        </w:rPr>
        <w:t xml:space="preserve">En consecuencia es de destacarse que este Órgano Garante en analogía con el criterio número 31/10 del ahora Instituto Nacional de Transparencia, Acceso a la Información Pública y Protección de Datos Personales (antes IFAI) no se encuentra facultado para manifestarse sobre la veracidad de la información proporcionada por parte de los </w:t>
      </w:r>
      <w:r w:rsidRPr="002951D2">
        <w:rPr>
          <w:rFonts w:ascii="Palatino Linotype" w:eastAsia="MS Mincho" w:hAnsi="Palatino Linotype" w:cstheme="majorBidi"/>
          <w:b/>
          <w:sz w:val="24"/>
          <w:szCs w:val="24"/>
          <w:lang w:val="es-ES_tradnl" w:eastAsia="es-ES"/>
        </w:rPr>
        <w:t>SUJETOS OBLIGADOS</w:t>
      </w:r>
      <w:r w:rsidRPr="002951D2">
        <w:rPr>
          <w:rFonts w:ascii="Palatino Linotype" w:eastAsia="MS Mincho" w:hAnsi="Palatino Linotype" w:cstheme="majorBidi"/>
          <w:sz w:val="24"/>
          <w:szCs w:val="24"/>
          <w:lang w:val="es-ES_tradnl" w:eastAsia="es-ES"/>
        </w:rPr>
        <w:t>, en ese sentido se procede a citar el siguiente Criterio:</w:t>
      </w:r>
    </w:p>
    <w:p w:rsidR="00E748D3" w:rsidRPr="002951D2" w:rsidRDefault="00E748D3" w:rsidP="00E748D3">
      <w:pPr>
        <w:spacing w:after="120" w:line="360" w:lineRule="auto"/>
        <w:ind w:right="616"/>
        <w:contextualSpacing/>
        <w:jc w:val="both"/>
        <w:rPr>
          <w:rFonts w:ascii="Palatino Linotype" w:eastAsia="MS Mincho" w:hAnsi="Palatino Linotype" w:cstheme="majorBidi"/>
          <w:b/>
          <w:i/>
          <w:sz w:val="24"/>
          <w:szCs w:val="24"/>
          <w:lang w:eastAsia="es-ES"/>
        </w:rPr>
      </w:pPr>
    </w:p>
    <w:p w:rsidR="00E748D3" w:rsidRPr="002951D2" w:rsidRDefault="00E748D3" w:rsidP="00E748D3">
      <w:pPr>
        <w:spacing w:after="120" w:line="360" w:lineRule="auto"/>
        <w:ind w:left="567" w:right="616"/>
        <w:contextualSpacing/>
        <w:jc w:val="both"/>
        <w:rPr>
          <w:rFonts w:ascii="Palatino Linotype" w:eastAsia="MS Mincho" w:hAnsi="Palatino Linotype" w:cstheme="majorBidi"/>
          <w:i/>
          <w:sz w:val="24"/>
          <w:szCs w:val="24"/>
          <w:lang w:eastAsia="es-ES"/>
        </w:rPr>
      </w:pPr>
      <w:r w:rsidRPr="002951D2">
        <w:rPr>
          <w:rFonts w:ascii="Palatino Linotype" w:eastAsia="MS Mincho" w:hAnsi="Palatino Linotype" w:cstheme="majorBidi"/>
          <w:b/>
          <w:i/>
          <w:sz w:val="24"/>
          <w:szCs w:val="24"/>
          <w:lang w:eastAsia="es-ES"/>
        </w:rPr>
        <w:t>El Instituto Federal de Acceso a la Información y Protección de Datos no cuenta con facultades para pronunciarse respecto de la veracidad de los documentos proporcionados por los sujetos obligados.</w:t>
      </w:r>
      <w:r w:rsidRPr="002951D2">
        <w:rPr>
          <w:rFonts w:ascii="Palatino Linotype" w:eastAsia="MS Mincho" w:hAnsi="Palatino Linotype" w:cstheme="majorBidi"/>
          <w:i/>
          <w:sz w:val="24"/>
          <w:szCs w:val="24"/>
          <w:lang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E748D3" w:rsidRPr="002951D2" w:rsidRDefault="00E748D3" w:rsidP="00E748D3">
      <w:pPr>
        <w:spacing w:after="120" w:line="360" w:lineRule="auto"/>
        <w:ind w:left="567" w:right="616"/>
        <w:contextualSpacing/>
        <w:jc w:val="both"/>
        <w:rPr>
          <w:rFonts w:ascii="Palatino Linotype" w:eastAsia="MS Mincho" w:hAnsi="Palatino Linotype" w:cstheme="majorBidi"/>
          <w:i/>
          <w:sz w:val="24"/>
          <w:szCs w:val="24"/>
          <w:lang w:eastAsia="es-ES"/>
        </w:rPr>
      </w:pPr>
      <w:r w:rsidRPr="002951D2">
        <w:rPr>
          <w:rFonts w:ascii="Palatino Linotype" w:eastAsia="MS Mincho" w:hAnsi="Palatino Linotype" w:cstheme="majorBidi"/>
          <w:i/>
          <w:sz w:val="24"/>
          <w:szCs w:val="24"/>
          <w:lang w:eastAsia="es-ES"/>
        </w:rPr>
        <w:t>Expedientes:</w:t>
      </w:r>
    </w:p>
    <w:p w:rsidR="00E748D3" w:rsidRPr="002951D2" w:rsidRDefault="00E748D3" w:rsidP="00E748D3">
      <w:pPr>
        <w:spacing w:after="120" w:line="360" w:lineRule="auto"/>
        <w:ind w:left="567" w:right="616"/>
        <w:contextualSpacing/>
        <w:jc w:val="both"/>
        <w:rPr>
          <w:rFonts w:ascii="Palatino Linotype" w:eastAsia="MS Mincho" w:hAnsi="Palatino Linotype" w:cstheme="majorBidi"/>
          <w:i/>
          <w:sz w:val="24"/>
          <w:szCs w:val="24"/>
          <w:lang w:eastAsia="es-ES"/>
        </w:rPr>
      </w:pPr>
      <w:r w:rsidRPr="002951D2">
        <w:rPr>
          <w:rFonts w:ascii="Palatino Linotype" w:eastAsia="MS Mincho" w:hAnsi="Palatino Linotype" w:cstheme="majorBidi"/>
          <w:i/>
          <w:sz w:val="24"/>
          <w:szCs w:val="24"/>
          <w:lang w:eastAsia="es-ES"/>
        </w:rPr>
        <w:t>2440/07 Comisión Federal de Electricidad - Alonso Lujambio Irazábal</w:t>
      </w:r>
    </w:p>
    <w:p w:rsidR="00E748D3" w:rsidRPr="002951D2" w:rsidRDefault="00E748D3" w:rsidP="00E748D3">
      <w:pPr>
        <w:spacing w:after="120" w:line="360" w:lineRule="auto"/>
        <w:ind w:left="567" w:right="616"/>
        <w:contextualSpacing/>
        <w:jc w:val="both"/>
        <w:rPr>
          <w:rFonts w:ascii="Palatino Linotype" w:eastAsia="MS Mincho" w:hAnsi="Palatino Linotype" w:cstheme="majorBidi"/>
          <w:i/>
          <w:sz w:val="24"/>
          <w:szCs w:val="24"/>
          <w:lang w:eastAsia="es-ES"/>
        </w:rPr>
      </w:pPr>
      <w:r w:rsidRPr="002951D2">
        <w:rPr>
          <w:rFonts w:ascii="Palatino Linotype" w:eastAsia="MS Mincho" w:hAnsi="Palatino Linotype" w:cstheme="majorBidi"/>
          <w:i/>
          <w:sz w:val="24"/>
          <w:szCs w:val="24"/>
          <w:lang w:eastAsia="es-ES"/>
        </w:rPr>
        <w:t>0113/09 Instituto de Seguridad y Servicios Sociales de los Trabajadores del</w:t>
      </w:r>
    </w:p>
    <w:p w:rsidR="00E748D3" w:rsidRPr="002951D2" w:rsidRDefault="00E748D3" w:rsidP="00E748D3">
      <w:pPr>
        <w:spacing w:after="120" w:line="360" w:lineRule="auto"/>
        <w:ind w:left="567" w:right="616"/>
        <w:contextualSpacing/>
        <w:jc w:val="both"/>
        <w:rPr>
          <w:rFonts w:ascii="Palatino Linotype" w:eastAsia="MS Mincho" w:hAnsi="Palatino Linotype" w:cstheme="majorBidi"/>
          <w:i/>
          <w:sz w:val="24"/>
          <w:szCs w:val="24"/>
          <w:lang w:eastAsia="es-ES"/>
        </w:rPr>
      </w:pPr>
      <w:r w:rsidRPr="002951D2">
        <w:rPr>
          <w:rFonts w:ascii="Palatino Linotype" w:eastAsia="MS Mincho" w:hAnsi="Palatino Linotype" w:cstheme="majorBidi"/>
          <w:i/>
          <w:sz w:val="24"/>
          <w:szCs w:val="24"/>
          <w:lang w:eastAsia="es-ES"/>
        </w:rPr>
        <w:t>Estado – Alonso Lujambio Irazábal</w:t>
      </w:r>
    </w:p>
    <w:p w:rsidR="00E748D3" w:rsidRPr="002951D2" w:rsidRDefault="00E748D3" w:rsidP="00E748D3">
      <w:pPr>
        <w:spacing w:after="120" w:line="360" w:lineRule="auto"/>
        <w:ind w:left="567" w:right="616"/>
        <w:contextualSpacing/>
        <w:jc w:val="both"/>
        <w:rPr>
          <w:rFonts w:ascii="Palatino Linotype" w:eastAsia="MS Mincho" w:hAnsi="Palatino Linotype" w:cstheme="majorBidi"/>
          <w:i/>
          <w:sz w:val="24"/>
          <w:szCs w:val="24"/>
          <w:lang w:eastAsia="es-ES"/>
        </w:rPr>
      </w:pPr>
      <w:r w:rsidRPr="002951D2">
        <w:rPr>
          <w:rFonts w:ascii="Palatino Linotype" w:eastAsia="MS Mincho" w:hAnsi="Palatino Linotype" w:cstheme="majorBidi"/>
          <w:i/>
          <w:sz w:val="24"/>
          <w:szCs w:val="24"/>
          <w:lang w:eastAsia="es-ES"/>
        </w:rPr>
        <w:t>1624/09 Instituto Nacional para la Educación de los Adultos - María Marván Laborde</w:t>
      </w:r>
    </w:p>
    <w:p w:rsidR="00E748D3" w:rsidRPr="002951D2" w:rsidRDefault="00E748D3" w:rsidP="00E748D3">
      <w:pPr>
        <w:spacing w:after="120" w:line="360" w:lineRule="auto"/>
        <w:ind w:left="567" w:right="616"/>
        <w:contextualSpacing/>
        <w:jc w:val="both"/>
        <w:rPr>
          <w:rFonts w:ascii="Palatino Linotype" w:eastAsia="MS Mincho" w:hAnsi="Palatino Linotype" w:cstheme="majorBidi"/>
          <w:i/>
          <w:sz w:val="24"/>
          <w:szCs w:val="24"/>
          <w:lang w:eastAsia="es-ES"/>
        </w:rPr>
      </w:pPr>
      <w:r w:rsidRPr="002951D2">
        <w:rPr>
          <w:rFonts w:ascii="Palatino Linotype" w:eastAsia="MS Mincho" w:hAnsi="Palatino Linotype" w:cstheme="majorBidi"/>
          <w:i/>
          <w:sz w:val="24"/>
          <w:szCs w:val="24"/>
          <w:lang w:eastAsia="es-ES"/>
        </w:rPr>
        <w:t>2395/09 Secretaría de Economía - María Marván Laborde</w:t>
      </w:r>
    </w:p>
    <w:p w:rsidR="00E748D3" w:rsidRPr="002951D2" w:rsidRDefault="00E748D3" w:rsidP="00E748D3">
      <w:pPr>
        <w:spacing w:after="120" w:line="360" w:lineRule="auto"/>
        <w:ind w:left="567" w:right="616"/>
        <w:contextualSpacing/>
        <w:jc w:val="both"/>
        <w:rPr>
          <w:rFonts w:ascii="Palatino Linotype" w:eastAsia="MS Mincho" w:hAnsi="Palatino Linotype" w:cstheme="majorBidi"/>
          <w:i/>
          <w:sz w:val="24"/>
          <w:szCs w:val="24"/>
          <w:lang w:eastAsia="es-ES"/>
        </w:rPr>
      </w:pPr>
      <w:r w:rsidRPr="002951D2">
        <w:rPr>
          <w:rFonts w:ascii="Palatino Linotype" w:eastAsia="MS Mincho" w:hAnsi="Palatino Linotype" w:cstheme="majorBidi"/>
          <w:i/>
          <w:sz w:val="24"/>
          <w:szCs w:val="24"/>
          <w:lang w:eastAsia="es-ES"/>
        </w:rPr>
        <w:t>0837/10 Administración Portuaria Integral de Veracruz, S.A. de C.V. – María Marván Laborde</w:t>
      </w:r>
    </w:p>
    <w:p w:rsidR="00E748D3" w:rsidRPr="002951D2" w:rsidRDefault="00E748D3" w:rsidP="00E748D3">
      <w:pPr>
        <w:spacing w:after="120" w:line="360" w:lineRule="auto"/>
        <w:ind w:left="567" w:right="616"/>
        <w:contextualSpacing/>
        <w:jc w:val="both"/>
        <w:rPr>
          <w:rFonts w:ascii="Palatino Linotype" w:eastAsia="MS Mincho" w:hAnsi="Palatino Linotype" w:cstheme="majorBidi"/>
          <w:sz w:val="24"/>
          <w:szCs w:val="24"/>
          <w:lang w:val="es-ES_tradnl" w:eastAsia="es-ES"/>
        </w:rPr>
      </w:pPr>
    </w:p>
    <w:p w:rsidR="00E748D3" w:rsidRDefault="00E748D3" w:rsidP="002951D2">
      <w:pPr>
        <w:pStyle w:val="Prrafodelista"/>
        <w:numPr>
          <w:ilvl w:val="0"/>
          <w:numId w:val="2"/>
        </w:numPr>
        <w:spacing w:after="120" w:line="360" w:lineRule="auto"/>
        <w:ind w:left="0" w:right="49" w:firstLine="0"/>
        <w:jc w:val="both"/>
        <w:rPr>
          <w:rFonts w:ascii="Palatino Linotype" w:eastAsia="MS Mincho" w:hAnsi="Palatino Linotype" w:cstheme="majorBidi"/>
          <w:sz w:val="24"/>
          <w:szCs w:val="24"/>
          <w:lang w:val="es-ES_tradnl" w:eastAsia="es-ES"/>
        </w:rPr>
      </w:pPr>
      <w:r w:rsidRPr="002951D2">
        <w:rPr>
          <w:rFonts w:ascii="Palatino Linotype" w:eastAsia="MS Mincho" w:hAnsi="Palatino Linotype" w:cstheme="majorBidi"/>
          <w:sz w:val="24"/>
          <w:szCs w:val="24"/>
          <w:lang w:val="es-ES_tradnl" w:eastAsia="es-ES"/>
        </w:rPr>
        <w:t xml:space="preserve">La información remita no da cumplimiento a lo solicitado, toda vez que se puede observar que se testó información que corresponde a erogación de recursos públicos que realizó el </w:t>
      </w:r>
      <w:r w:rsidRPr="002951D2">
        <w:rPr>
          <w:rFonts w:ascii="Palatino Linotype" w:eastAsia="MS Mincho" w:hAnsi="Palatino Linotype" w:cstheme="majorBidi"/>
          <w:b/>
          <w:sz w:val="24"/>
          <w:szCs w:val="24"/>
          <w:lang w:val="es-ES_tradnl" w:eastAsia="es-ES"/>
        </w:rPr>
        <w:t>SUJETO OBLIGADO</w:t>
      </w:r>
      <w:r w:rsidRPr="002951D2">
        <w:rPr>
          <w:rFonts w:ascii="Palatino Linotype" w:eastAsia="MS Mincho" w:hAnsi="Palatino Linotype" w:cstheme="majorBidi"/>
          <w:sz w:val="24"/>
          <w:szCs w:val="24"/>
          <w:lang w:val="es-ES_tradnl" w:eastAsia="es-ES"/>
        </w:rPr>
        <w:t xml:space="preserve"> por pagos  de servicios y compras con diversos proveedores con quienes se adquirió el servicio o la compra. Luego entonces No toda la información que se eliminó en las diversas facturas es susceptible de testarse como sin los código QR, sellos digitales, cadenas digitales, número de serio de vehículos, firmas, RFC, entre otros datos más que se desconocen a que corresponden,  por las siguientes razones de hecho y derecho.</w:t>
      </w:r>
    </w:p>
    <w:p w:rsidR="002951D2" w:rsidRPr="002951D2" w:rsidRDefault="002951D2" w:rsidP="002951D2">
      <w:pPr>
        <w:pStyle w:val="Prrafodelista"/>
        <w:spacing w:after="120" w:line="360" w:lineRule="auto"/>
        <w:ind w:left="0" w:right="49"/>
        <w:jc w:val="both"/>
        <w:rPr>
          <w:rFonts w:ascii="Palatino Linotype" w:eastAsia="MS Mincho" w:hAnsi="Palatino Linotype" w:cstheme="majorBidi"/>
          <w:sz w:val="24"/>
          <w:szCs w:val="24"/>
          <w:lang w:val="es-ES_tradnl" w:eastAsia="es-ES"/>
        </w:rPr>
      </w:pPr>
    </w:p>
    <w:p w:rsidR="003F3EDE" w:rsidRPr="002951D2" w:rsidRDefault="003F3EDE" w:rsidP="00DC5CB3">
      <w:pPr>
        <w:pStyle w:val="Prrafodelista"/>
        <w:keepNext/>
        <w:keepLines/>
        <w:numPr>
          <w:ilvl w:val="0"/>
          <w:numId w:val="20"/>
        </w:numPr>
        <w:spacing w:before="240" w:after="0"/>
        <w:ind w:left="709"/>
        <w:outlineLvl w:val="0"/>
        <w:rPr>
          <w:rFonts w:ascii="Palatino Linotype" w:eastAsia="MS Mincho" w:hAnsi="Palatino Linotype" w:cstheme="majorBidi"/>
          <w:b/>
          <w:i/>
          <w:sz w:val="24"/>
          <w:szCs w:val="24"/>
          <w:lang w:val="es-ES_tradnl" w:eastAsia="es-ES"/>
        </w:rPr>
      </w:pPr>
      <w:bookmarkStart w:id="76" w:name="_Toc19106618"/>
      <w:bookmarkStart w:id="77" w:name="_Toc23430162"/>
      <w:r w:rsidRPr="002951D2">
        <w:rPr>
          <w:rFonts w:ascii="Palatino Linotype" w:eastAsia="MS Mincho" w:hAnsi="Palatino Linotype" w:cstheme="majorBidi"/>
          <w:b/>
          <w:i/>
          <w:sz w:val="24"/>
          <w:szCs w:val="24"/>
          <w:lang w:val="es-ES_tradnl" w:eastAsia="es-ES"/>
        </w:rPr>
        <w:t xml:space="preserve">De la </w:t>
      </w:r>
      <w:r w:rsidR="00E748D3" w:rsidRPr="002951D2">
        <w:rPr>
          <w:rFonts w:ascii="Palatino Linotype" w:eastAsia="MS Mincho" w:hAnsi="Palatino Linotype" w:cstheme="majorBidi"/>
          <w:b/>
          <w:i/>
          <w:sz w:val="24"/>
          <w:szCs w:val="24"/>
          <w:lang w:val="es-ES_tradnl" w:eastAsia="es-ES"/>
        </w:rPr>
        <w:t xml:space="preserve">naturaleza de la </w:t>
      </w:r>
      <w:r w:rsidRPr="002951D2">
        <w:rPr>
          <w:rFonts w:ascii="Palatino Linotype" w:eastAsia="MS Mincho" w:hAnsi="Palatino Linotype" w:cstheme="majorBidi"/>
          <w:b/>
          <w:i/>
          <w:sz w:val="24"/>
          <w:szCs w:val="24"/>
          <w:lang w:val="es-ES_tradnl" w:eastAsia="es-ES"/>
        </w:rPr>
        <w:t>información.</w:t>
      </w:r>
      <w:bookmarkEnd w:id="76"/>
      <w:bookmarkEnd w:id="77"/>
    </w:p>
    <w:p w:rsidR="003F3EDE" w:rsidRPr="002951D2" w:rsidRDefault="003F3EDE" w:rsidP="003F3EDE">
      <w:pPr>
        <w:spacing w:after="0" w:line="360" w:lineRule="auto"/>
        <w:ind w:right="34"/>
        <w:contextualSpacing/>
        <w:jc w:val="both"/>
        <w:rPr>
          <w:rFonts w:ascii="Palatino Linotype" w:eastAsia="MS Mincho" w:hAnsi="Palatino Linotype" w:cs="Arial"/>
          <w:sz w:val="24"/>
          <w:szCs w:val="24"/>
          <w:lang w:val="es-ES_tradnl" w:eastAsia="es-ES"/>
        </w:rPr>
      </w:pPr>
    </w:p>
    <w:p w:rsidR="00C57A89" w:rsidRPr="002951D2" w:rsidRDefault="00C57A89" w:rsidP="00DC5CB3">
      <w:pPr>
        <w:pStyle w:val="Prrafodelista"/>
        <w:numPr>
          <w:ilvl w:val="0"/>
          <w:numId w:val="2"/>
        </w:numPr>
        <w:spacing w:after="0" w:line="360" w:lineRule="auto"/>
        <w:ind w:left="0" w:right="49" w:firstLine="0"/>
        <w:jc w:val="both"/>
        <w:rPr>
          <w:rFonts w:ascii="Palatino Linotype" w:eastAsia="MS Mincho" w:hAnsi="Palatino Linotype" w:cstheme="majorBidi"/>
          <w:sz w:val="24"/>
          <w:szCs w:val="24"/>
          <w:lang w:val="es-ES_tradnl" w:eastAsia="es-ES"/>
        </w:rPr>
      </w:pPr>
      <w:r w:rsidRPr="002951D2">
        <w:rPr>
          <w:rFonts w:ascii="Palatino Linotype" w:eastAsia="Calibri" w:hAnsi="Palatino Linotype" w:cs="Arial"/>
          <w:sz w:val="24"/>
          <w:szCs w:val="24"/>
          <w:lang w:val="es-ES"/>
        </w:rPr>
        <w:t xml:space="preserve">No obstante lo anterior, es advertir que el </w:t>
      </w:r>
      <w:r w:rsidRPr="002951D2">
        <w:rPr>
          <w:rFonts w:ascii="Palatino Linotype" w:eastAsia="Calibri" w:hAnsi="Palatino Linotype" w:cs="Arial"/>
          <w:b/>
          <w:sz w:val="24"/>
          <w:szCs w:val="24"/>
          <w:lang w:val="es-ES"/>
        </w:rPr>
        <w:t>SUJETO OBLIGADO</w:t>
      </w:r>
      <w:r w:rsidRPr="002951D2">
        <w:rPr>
          <w:rFonts w:ascii="Palatino Linotype" w:eastAsia="Calibri" w:hAnsi="Palatino Linotype" w:cs="Arial"/>
          <w:sz w:val="24"/>
          <w:szCs w:val="24"/>
          <w:lang w:val="es-ES"/>
        </w:rPr>
        <w:t xml:space="preserve"> tiene la obligación primordial de llevar un registro y control de su contabilidad para una óptima fiscalización de su presupuesto y patrimonio, ante el Órgano Superior de Fiscalización del Estado de México, quien emite los Lineamientos para la </w:t>
      </w:r>
      <w:r w:rsidR="00663822" w:rsidRPr="002951D2">
        <w:rPr>
          <w:rFonts w:ascii="Palatino Linotype" w:eastAsia="Calibri" w:hAnsi="Palatino Linotype" w:cs="Arial"/>
          <w:sz w:val="24"/>
          <w:szCs w:val="24"/>
          <w:lang w:val="es-ES"/>
        </w:rPr>
        <w:t>Entrega del Informe M</w:t>
      </w:r>
      <w:r w:rsidRPr="002951D2">
        <w:rPr>
          <w:rFonts w:ascii="Palatino Linotype" w:eastAsia="Calibri" w:hAnsi="Palatino Linotype" w:cs="Arial"/>
          <w:sz w:val="24"/>
          <w:szCs w:val="24"/>
          <w:lang w:val="es-ES"/>
        </w:rPr>
        <w:t xml:space="preserve">ensual </w:t>
      </w:r>
      <w:r w:rsidR="00663822" w:rsidRPr="002951D2">
        <w:rPr>
          <w:rFonts w:ascii="Palatino Linotype" w:eastAsia="Calibri" w:hAnsi="Palatino Linotype" w:cs="Arial"/>
          <w:sz w:val="24"/>
          <w:szCs w:val="24"/>
          <w:lang w:val="es-ES"/>
        </w:rPr>
        <w:t xml:space="preserve">de los Poderes Públicos, Organismos Auxiliares y </w:t>
      </w:r>
      <w:r w:rsidR="00E56D52" w:rsidRPr="002951D2">
        <w:rPr>
          <w:rFonts w:ascii="Palatino Linotype" w:eastAsia="Calibri" w:hAnsi="Palatino Linotype" w:cs="Arial"/>
          <w:sz w:val="24"/>
          <w:szCs w:val="24"/>
          <w:lang w:val="es-ES"/>
        </w:rPr>
        <w:t>Organismos</w:t>
      </w:r>
      <w:r w:rsidR="00663822" w:rsidRPr="002951D2">
        <w:rPr>
          <w:rFonts w:ascii="Palatino Linotype" w:eastAsia="Calibri" w:hAnsi="Palatino Linotype" w:cs="Arial"/>
          <w:sz w:val="24"/>
          <w:szCs w:val="24"/>
          <w:lang w:val="es-ES"/>
        </w:rPr>
        <w:t xml:space="preserve"> Autónomos del Estado de México </w:t>
      </w:r>
      <w:r w:rsidR="00E56D52" w:rsidRPr="002951D2">
        <w:rPr>
          <w:rFonts w:ascii="Palatino Linotype" w:eastAsia="Calibri" w:hAnsi="Palatino Linotype" w:cs="Arial"/>
          <w:sz w:val="24"/>
          <w:szCs w:val="24"/>
          <w:lang w:val="es-ES"/>
        </w:rPr>
        <w:t>eje</w:t>
      </w:r>
      <w:r w:rsidRPr="002951D2">
        <w:rPr>
          <w:rFonts w:ascii="Palatino Linotype" w:eastAsia="Calibri" w:hAnsi="Palatino Linotype" w:cs="Arial"/>
          <w:sz w:val="24"/>
          <w:szCs w:val="24"/>
          <w:lang w:val="es-ES"/>
        </w:rPr>
        <w:t>rcicio fiscal correspondiente, mismos que son de observancia general, para todos los servidores públicos de las entidades fiscalizables que desempeñen un empleo, cargo o comisión, de cualquier naturaleza en la a</w:t>
      </w:r>
      <w:r w:rsidR="00E56D52" w:rsidRPr="002951D2">
        <w:rPr>
          <w:rFonts w:ascii="Palatino Linotype" w:eastAsia="Calibri" w:hAnsi="Palatino Linotype" w:cs="Arial"/>
          <w:sz w:val="24"/>
          <w:szCs w:val="24"/>
          <w:lang w:val="es-ES"/>
        </w:rPr>
        <w:t>dministración pública estatal.</w:t>
      </w:r>
    </w:p>
    <w:p w:rsidR="00E56D52" w:rsidRPr="002951D2" w:rsidRDefault="00E56D52" w:rsidP="00E56D52">
      <w:pPr>
        <w:pStyle w:val="Prrafodelista"/>
        <w:spacing w:after="0" w:line="360" w:lineRule="auto"/>
        <w:ind w:left="0" w:right="49"/>
        <w:jc w:val="both"/>
        <w:rPr>
          <w:rFonts w:ascii="Palatino Linotype" w:eastAsia="MS Mincho" w:hAnsi="Palatino Linotype" w:cstheme="majorBidi"/>
          <w:sz w:val="24"/>
          <w:szCs w:val="24"/>
          <w:lang w:val="es-ES_tradnl" w:eastAsia="es-ES"/>
        </w:rPr>
      </w:pPr>
    </w:p>
    <w:p w:rsidR="00A020BC" w:rsidRPr="002951D2" w:rsidRDefault="00E56D52" w:rsidP="002951D2">
      <w:pPr>
        <w:pStyle w:val="Prrafodelista"/>
        <w:numPr>
          <w:ilvl w:val="0"/>
          <w:numId w:val="2"/>
        </w:numPr>
        <w:spacing w:after="0" w:line="360" w:lineRule="auto"/>
        <w:ind w:left="0" w:firstLine="0"/>
        <w:jc w:val="both"/>
        <w:rPr>
          <w:rFonts w:ascii="Palatino Linotype" w:hAnsi="Palatino Linotype"/>
          <w:sz w:val="24"/>
          <w:szCs w:val="24"/>
        </w:rPr>
      </w:pPr>
      <w:r w:rsidRPr="002951D2">
        <w:rPr>
          <w:rFonts w:ascii="Palatino Linotype" w:hAnsi="Palatino Linotype"/>
          <w:sz w:val="24"/>
          <w:szCs w:val="24"/>
        </w:rPr>
        <w:t xml:space="preserve">La materia elemental del recursos de revisión se basa en las facturas </w:t>
      </w:r>
      <w:r w:rsidR="00893B88" w:rsidRPr="002951D2">
        <w:rPr>
          <w:rFonts w:ascii="Palatino Linotype" w:hAnsi="Palatino Linotype"/>
          <w:sz w:val="24"/>
          <w:szCs w:val="24"/>
        </w:rPr>
        <w:t xml:space="preserve">que soportan </w:t>
      </w:r>
      <w:r w:rsidRPr="002951D2">
        <w:rPr>
          <w:rFonts w:ascii="Palatino Linotype" w:hAnsi="Palatino Linotype"/>
          <w:sz w:val="24"/>
          <w:szCs w:val="24"/>
        </w:rPr>
        <w:t>los gastos realizados</w:t>
      </w:r>
      <w:r w:rsidR="00A020BC" w:rsidRPr="002951D2">
        <w:rPr>
          <w:rFonts w:ascii="Palatino Linotype" w:hAnsi="Palatino Linotype"/>
          <w:sz w:val="24"/>
          <w:szCs w:val="24"/>
        </w:rPr>
        <w:t xml:space="preserve"> con el F</w:t>
      </w:r>
      <w:r w:rsidRPr="002951D2">
        <w:rPr>
          <w:rFonts w:ascii="Palatino Linotype" w:hAnsi="Palatino Linotype"/>
          <w:sz w:val="24"/>
          <w:szCs w:val="24"/>
        </w:rPr>
        <w:t xml:space="preserve">ondo </w:t>
      </w:r>
      <w:r w:rsidR="00A020BC" w:rsidRPr="002951D2">
        <w:rPr>
          <w:rFonts w:ascii="Palatino Linotype" w:hAnsi="Palatino Linotype"/>
          <w:sz w:val="24"/>
          <w:szCs w:val="24"/>
        </w:rPr>
        <w:t xml:space="preserve">de Aportaciones para la Seguridad Pública (FASP) </w:t>
      </w:r>
      <w:r w:rsidR="00893B88" w:rsidRPr="002951D2">
        <w:rPr>
          <w:rFonts w:ascii="Palatino Linotype" w:hAnsi="Palatino Linotype"/>
          <w:sz w:val="24"/>
          <w:szCs w:val="24"/>
        </w:rPr>
        <w:t xml:space="preserve">de los ejercicios fiscales 2017 a la fecha de la solicitud, </w:t>
      </w:r>
      <w:r w:rsidR="00A020BC" w:rsidRPr="002951D2">
        <w:rPr>
          <w:rFonts w:ascii="Palatino Linotype" w:hAnsi="Palatino Linotype"/>
          <w:sz w:val="24"/>
          <w:szCs w:val="24"/>
        </w:rPr>
        <w:t>fondo presupuestal previsto en la Ley de Coordinación Fiscal a través del cual se transfiere recursos a las entidades federativas para dar  cumplimiento a estrategias nacionales en materia de seguridad pública.</w:t>
      </w:r>
    </w:p>
    <w:p w:rsidR="00E56D52" w:rsidRPr="002951D2" w:rsidRDefault="00E56D52" w:rsidP="00E56D52">
      <w:pPr>
        <w:pStyle w:val="Prrafodelista"/>
        <w:rPr>
          <w:rFonts w:ascii="Palatino Linotype" w:hAnsi="Palatino Linotype"/>
          <w:sz w:val="24"/>
          <w:szCs w:val="24"/>
        </w:rPr>
      </w:pPr>
    </w:p>
    <w:p w:rsidR="00E56D52" w:rsidRPr="002951D2" w:rsidRDefault="00E56D52" w:rsidP="00DC5CB3">
      <w:pPr>
        <w:pStyle w:val="Prrafodelista"/>
        <w:numPr>
          <w:ilvl w:val="0"/>
          <w:numId w:val="2"/>
        </w:numPr>
        <w:spacing w:after="0" w:line="360" w:lineRule="auto"/>
        <w:ind w:left="0" w:firstLine="0"/>
        <w:jc w:val="both"/>
        <w:rPr>
          <w:rFonts w:ascii="Palatino Linotype" w:hAnsi="Palatino Linotype"/>
          <w:sz w:val="24"/>
          <w:szCs w:val="24"/>
        </w:rPr>
      </w:pPr>
      <w:r w:rsidRPr="002951D2">
        <w:rPr>
          <w:rFonts w:ascii="Palatino Linotype" w:hAnsi="Palatino Linotype"/>
          <w:sz w:val="24"/>
          <w:szCs w:val="24"/>
        </w:rPr>
        <w:t>Debemos</w:t>
      </w:r>
      <w:r w:rsidRPr="002951D2">
        <w:rPr>
          <w:rFonts w:ascii="Palatino Linotype" w:hAnsi="Palatino Linotype" w:cs="Arial"/>
          <w:sz w:val="24"/>
          <w:szCs w:val="24"/>
        </w:rPr>
        <w:t xml:space="preserve"> primeramente conocer a que nos referimos por </w:t>
      </w:r>
      <w:r w:rsidRPr="002951D2">
        <w:rPr>
          <w:rFonts w:ascii="Palatino Linotype" w:hAnsi="Palatino Linotype" w:cs="Arial"/>
          <w:b/>
          <w:sz w:val="24"/>
          <w:szCs w:val="24"/>
        </w:rPr>
        <w:t xml:space="preserve">“factura” y, </w:t>
      </w:r>
      <w:r w:rsidRPr="002951D2">
        <w:rPr>
          <w:rFonts w:ascii="Palatino Linotype" w:hAnsi="Palatino Linotype" w:cs="Arial"/>
          <w:sz w:val="24"/>
          <w:szCs w:val="24"/>
        </w:rPr>
        <w:t>al respecto, nos referiremos a éste concepto aunque sea sucintamente de acuerdo a lo que dispone e</w:t>
      </w:r>
      <w:r w:rsidRPr="002951D2">
        <w:rPr>
          <w:rFonts w:ascii="Palatino Linotype" w:hAnsi="Palatino Linotype"/>
          <w:sz w:val="24"/>
          <w:szCs w:val="24"/>
        </w:rPr>
        <w:t>l Glosario de Términos Hacendarios que emite el Instituto Hacendario del Estado de México, mismo que expresa lo siguiente:</w:t>
      </w:r>
    </w:p>
    <w:p w:rsidR="00E56D52" w:rsidRPr="002951D2" w:rsidRDefault="00E56D52" w:rsidP="00E56D52">
      <w:pPr>
        <w:pStyle w:val="Prrafodelista"/>
        <w:rPr>
          <w:rFonts w:ascii="Palatino Linotype" w:hAnsi="Palatino Linotype"/>
          <w:sz w:val="24"/>
          <w:szCs w:val="24"/>
        </w:rPr>
      </w:pPr>
    </w:p>
    <w:p w:rsidR="00E56D52" w:rsidRPr="002951D2" w:rsidRDefault="00E56D52" w:rsidP="00E56D52">
      <w:pPr>
        <w:autoSpaceDE w:val="0"/>
        <w:autoSpaceDN w:val="0"/>
        <w:adjustRightInd w:val="0"/>
        <w:spacing w:before="120" w:after="120" w:line="360" w:lineRule="auto"/>
        <w:ind w:left="851" w:right="902"/>
        <w:jc w:val="both"/>
        <w:rPr>
          <w:rFonts w:ascii="Palatino Linotype" w:hAnsi="Palatino Linotype" w:cs="Arial"/>
          <w:b/>
          <w:i/>
          <w:sz w:val="24"/>
          <w:szCs w:val="24"/>
        </w:rPr>
      </w:pPr>
      <w:r w:rsidRPr="002951D2">
        <w:rPr>
          <w:rFonts w:ascii="Palatino Linotype" w:hAnsi="Palatino Linotype" w:cs="Arial"/>
          <w:i/>
          <w:sz w:val="24"/>
          <w:szCs w:val="24"/>
        </w:rPr>
        <w:t>“</w:t>
      </w:r>
      <w:r w:rsidRPr="002951D2">
        <w:rPr>
          <w:rFonts w:ascii="Palatino Linotype" w:hAnsi="Palatino Linotype" w:cs="Arial"/>
          <w:b/>
          <w:i/>
          <w:sz w:val="24"/>
          <w:szCs w:val="24"/>
        </w:rPr>
        <w:t>FACTURA</w:t>
      </w:r>
    </w:p>
    <w:p w:rsidR="00E56D52" w:rsidRPr="002951D2" w:rsidRDefault="00E56D52" w:rsidP="00E56D52">
      <w:pPr>
        <w:autoSpaceDE w:val="0"/>
        <w:autoSpaceDN w:val="0"/>
        <w:adjustRightInd w:val="0"/>
        <w:spacing w:before="120" w:after="120" w:line="360" w:lineRule="auto"/>
        <w:ind w:left="851" w:right="902"/>
        <w:jc w:val="both"/>
        <w:rPr>
          <w:rFonts w:ascii="Palatino Linotype" w:hAnsi="Palatino Linotype" w:cs="Arial"/>
          <w:i/>
          <w:sz w:val="24"/>
          <w:szCs w:val="24"/>
        </w:rPr>
      </w:pPr>
      <w:r w:rsidRPr="002951D2">
        <w:rPr>
          <w:rFonts w:ascii="Palatino Linotype" w:hAnsi="Palatino Linotype" w:cs="Arial"/>
          <w:i/>
          <w:sz w:val="24"/>
          <w:szCs w:val="24"/>
        </w:rPr>
        <w:t>Es el documento fiscal que emite la persona física o moral para comprobar la venta o adquisición de un bien y/o servicio.” (Sic)</w:t>
      </w:r>
    </w:p>
    <w:p w:rsidR="00E56D52" w:rsidRPr="002951D2" w:rsidRDefault="00E56D52" w:rsidP="00DC5CB3">
      <w:pPr>
        <w:pStyle w:val="Prrafodelista"/>
        <w:numPr>
          <w:ilvl w:val="0"/>
          <w:numId w:val="2"/>
        </w:numPr>
        <w:spacing w:before="240" w:after="240" w:line="360" w:lineRule="auto"/>
        <w:ind w:left="0" w:firstLine="0"/>
        <w:jc w:val="both"/>
        <w:rPr>
          <w:rFonts w:ascii="Palatino Linotype" w:hAnsi="Palatino Linotype" w:cs="Arial"/>
          <w:sz w:val="24"/>
          <w:szCs w:val="24"/>
        </w:rPr>
      </w:pPr>
      <w:r w:rsidRPr="002951D2">
        <w:rPr>
          <w:rFonts w:ascii="Palatino Linotype" w:hAnsi="Palatino Linotype" w:cs="Arial"/>
          <w:sz w:val="24"/>
          <w:szCs w:val="24"/>
        </w:rPr>
        <w:t>Una vez precisado lo anterior, se procede a analizar si las facturas solicitadas son de acceso público; por lo que, es de señalarse que las facturas o comprobantes que amparan las erogaciones que se realizan con erario público tienen naturaleza análoga pues, constituyen los medios idóneos de evidencia del gasto realizado con recursos públicos.</w:t>
      </w:r>
    </w:p>
    <w:p w:rsidR="00E56D52" w:rsidRPr="002951D2" w:rsidRDefault="00E56D52" w:rsidP="00E56D52">
      <w:pPr>
        <w:pStyle w:val="Prrafodelista"/>
        <w:spacing w:before="240" w:after="240" w:line="360" w:lineRule="auto"/>
        <w:ind w:left="0"/>
        <w:jc w:val="both"/>
        <w:rPr>
          <w:rFonts w:ascii="Palatino Linotype" w:hAnsi="Palatino Linotype" w:cs="Arial"/>
          <w:sz w:val="24"/>
          <w:szCs w:val="24"/>
        </w:rPr>
      </w:pPr>
    </w:p>
    <w:p w:rsidR="00E56D52" w:rsidRPr="002951D2" w:rsidRDefault="00E56D52" w:rsidP="00DC5CB3">
      <w:pPr>
        <w:pStyle w:val="Prrafodelista"/>
        <w:numPr>
          <w:ilvl w:val="0"/>
          <w:numId w:val="2"/>
        </w:numPr>
        <w:spacing w:before="240" w:after="240" w:line="360" w:lineRule="auto"/>
        <w:ind w:left="0" w:firstLine="0"/>
        <w:jc w:val="both"/>
        <w:rPr>
          <w:rFonts w:ascii="Palatino Linotype" w:hAnsi="Palatino Linotype" w:cs="Arial"/>
          <w:sz w:val="24"/>
          <w:szCs w:val="24"/>
        </w:rPr>
      </w:pPr>
      <w:r w:rsidRPr="002951D2">
        <w:rPr>
          <w:rFonts w:ascii="Palatino Linotype" w:hAnsi="Palatino Linotype" w:cs="Arial"/>
          <w:sz w:val="24"/>
          <w:szCs w:val="24"/>
        </w:rPr>
        <w:t>Al respecto, conviene precisar que en el cumplimiento de los principios que rigen la función pública, la Constitución Política del Estado Libre y Soberano de México en su artículo 129 señala que l</w:t>
      </w:r>
      <w:r w:rsidRPr="002951D2">
        <w:rPr>
          <w:rFonts w:ascii="Palatino Linotype" w:hAnsi="Palatino Linotype" w:cs="Arial"/>
          <w:color w:val="000000"/>
          <w:sz w:val="24"/>
          <w:szCs w:val="24"/>
        </w:rPr>
        <w:t xml:space="preserve">os recursos económicos del Estado, de los Municipios, así como de los Organismos Autónomos, se administrarán con eficiencia, eficacia y honradez, para cumplir con los objetivos y programas a los que estén destinados. </w:t>
      </w:r>
    </w:p>
    <w:p w:rsidR="00E56D52" w:rsidRPr="002951D2" w:rsidRDefault="00E56D52" w:rsidP="00E56D52">
      <w:pPr>
        <w:pStyle w:val="Prrafodelista"/>
        <w:rPr>
          <w:rFonts w:ascii="Palatino Linotype" w:hAnsi="Palatino Linotype" w:cs="Arial"/>
          <w:sz w:val="24"/>
          <w:szCs w:val="24"/>
        </w:rPr>
      </w:pPr>
    </w:p>
    <w:p w:rsidR="00E56D52" w:rsidRPr="002951D2" w:rsidRDefault="00E56D52" w:rsidP="00DC5CB3">
      <w:pPr>
        <w:pStyle w:val="Prrafodelista"/>
        <w:numPr>
          <w:ilvl w:val="0"/>
          <w:numId w:val="2"/>
        </w:numPr>
        <w:spacing w:before="240" w:after="240" w:line="360" w:lineRule="auto"/>
        <w:ind w:left="0" w:firstLine="0"/>
        <w:jc w:val="both"/>
        <w:rPr>
          <w:rFonts w:ascii="Palatino Linotype" w:hAnsi="Palatino Linotype" w:cs="Arial"/>
          <w:sz w:val="24"/>
          <w:szCs w:val="24"/>
        </w:rPr>
      </w:pPr>
      <w:r w:rsidRPr="002951D2">
        <w:rPr>
          <w:rFonts w:ascii="Palatino Linotype" w:hAnsi="Palatino Linotype" w:cs="Arial"/>
          <w:color w:val="000000"/>
          <w:sz w:val="24"/>
          <w:szCs w:val="24"/>
        </w:rPr>
        <w:t>Asimismo, señala que todos los pagos se harán mediante orden escrita en la que se expresará la partida del presupuesto a cargo de la cual se realizan.</w:t>
      </w:r>
    </w:p>
    <w:p w:rsidR="00E56D52" w:rsidRPr="002951D2" w:rsidRDefault="00E56D52" w:rsidP="00E56D52">
      <w:pPr>
        <w:pStyle w:val="Prrafodelista"/>
        <w:rPr>
          <w:rFonts w:ascii="Palatino Linotype" w:hAnsi="Palatino Linotype" w:cs="Arial"/>
          <w:sz w:val="24"/>
          <w:szCs w:val="24"/>
        </w:rPr>
      </w:pPr>
    </w:p>
    <w:p w:rsidR="00E56D52" w:rsidRPr="002951D2" w:rsidRDefault="00E56D52" w:rsidP="00DC5CB3">
      <w:pPr>
        <w:pStyle w:val="Prrafodelista"/>
        <w:numPr>
          <w:ilvl w:val="0"/>
          <w:numId w:val="2"/>
        </w:numPr>
        <w:spacing w:before="240" w:after="240" w:line="360" w:lineRule="auto"/>
        <w:ind w:left="0" w:right="49" w:firstLine="0"/>
        <w:jc w:val="both"/>
        <w:rPr>
          <w:rFonts w:ascii="Palatino Linotype" w:hAnsi="Palatino Linotype" w:cs="Arial"/>
          <w:sz w:val="24"/>
          <w:szCs w:val="24"/>
        </w:rPr>
      </w:pPr>
      <w:r w:rsidRPr="002951D2">
        <w:rPr>
          <w:rFonts w:ascii="Palatino Linotype" w:hAnsi="Palatino Linotype" w:cs="Arial"/>
          <w:sz w:val="24"/>
          <w:szCs w:val="24"/>
        </w:rPr>
        <w:t>Como se ha dicho anteriormente</w:t>
      </w:r>
      <w:r w:rsidRPr="002951D2">
        <w:rPr>
          <w:rFonts w:ascii="Palatino Linotype" w:hAnsi="Palatino Linotype" w:cs="Arial"/>
          <w:b/>
          <w:sz w:val="24"/>
          <w:szCs w:val="24"/>
        </w:rPr>
        <w:t xml:space="preserve">, es atribución </w:t>
      </w:r>
      <w:r w:rsidR="00893B88" w:rsidRPr="002951D2">
        <w:rPr>
          <w:rFonts w:ascii="Palatino Linotype" w:hAnsi="Palatino Linotype" w:cs="Arial"/>
          <w:b/>
          <w:sz w:val="24"/>
          <w:szCs w:val="24"/>
        </w:rPr>
        <w:t xml:space="preserve">del Sujeto Obligado a través del área responsable, </w:t>
      </w:r>
      <w:r w:rsidRPr="002951D2">
        <w:rPr>
          <w:rFonts w:ascii="Palatino Linotype" w:hAnsi="Palatino Linotype" w:cs="Arial"/>
          <w:b/>
          <w:sz w:val="24"/>
          <w:szCs w:val="24"/>
        </w:rPr>
        <w:t xml:space="preserve">la de llevar los registros contables, financieros y </w:t>
      </w:r>
      <w:r w:rsidR="00893B88" w:rsidRPr="002951D2">
        <w:rPr>
          <w:rFonts w:ascii="Palatino Linotype" w:hAnsi="Palatino Linotype" w:cs="Arial"/>
          <w:b/>
          <w:sz w:val="24"/>
          <w:szCs w:val="24"/>
        </w:rPr>
        <w:t>administrativos de los ingresos y</w:t>
      </w:r>
      <w:r w:rsidRPr="002951D2">
        <w:rPr>
          <w:rFonts w:ascii="Palatino Linotype" w:hAnsi="Palatino Linotype" w:cs="Arial"/>
          <w:b/>
          <w:sz w:val="24"/>
          <w:szCs w:val="24"/>
        </w:rPr>
        <w:t xml:space="preserve"> egresos</w:t>
      </w:r>
      <w:r w:rsidRPr="002951D2">
        <w:rPr>
          <w:rFonts w:ascii="Palatino Linotype" w:hAnsi="Palatino Linotype" w:cs="Arial"/>
          <w:sz w:val="24"/>
          <w:szCs w:val="24"/>
        </w:rPr>
        <w:t>.</w:t>
      </w:r>
    </w:p>
    <w:p w:rsidR="00E56D52" w:rsidRPr="002951D2" w:rsidRDefault="00E56D52" w:rsidP="00E56D52">
      <w:pPr>
        <w:pStyle w:val="Prrafodelista"/>
        <w:spacing w:before="240" w:after="240" w:line="360" w:lineRule="auto"/>
        <w:ind w:left="0" w:right="49"/>
        <w:jc w:val="both"/>
        <w:rPr>
          <w:rFonts w:ascii="Palatino Linotype" w:hAnsi="Palatino Linotype" w:cs="Arial"/>
          <w:sz w:val="24"/>
          <w:szCs w:val="24"/>
        </w:rPr>
      </w:pPr>
    </w:p>
    <w:p w:rsidR="00E56D52" w:rsidRPr="002951D2" w:rsidRDefault="00E56D52" w:rsidP="00DC5CB3">
      <w:pPr>
        <w:pStyle w:val="Prrafodelista"/>
        <w:numPr>
          <w:ilvl w:val="0"/>
          <w:numId w:val="2"/>
        </w:numPr>
        <w:spacing w:before="240" w:after="240" w:line="360" w:lineRule="auto"/>
        <w:ind w:left="0" w:right="49" w:firstLine="0"/>
        <w:jc w:val="both"/>
        <w:rPr>
          <w:rFonts w:ascii="Palatino Linotype" w:hAnsi="Palatino Linotype" w:cs="Arial"/>
          <w:sz w:val="24"/>
          <w:szCs w:val="24"/>
        </w:rPr>
      </w:pPr>
      <w:r w:rsidRPr="002951D2">
        <w:rPr>
          <w:rFonts w:ascii="Palatino Linotype" w:hAnsi="Palatino Linotype" w:cs="Arial"/>
          <w:sz w:val="24"/>
          <w:szCs w:val="24"/>
        </w:rPr>
        <w:t>Aunado a lo anterior, los artículos 342, 343, 344 y 345 del Código Financiero del Estado de México y Municipios disponen el sistema y las políticas que deben seguirse para llevar el registro contable y presupuestal de las operaciones financieras, en los siguientes términos:</w:t>
      </w:r>
    </w:p>
    <w:p w:rsidR="00E56D52" w:rsidRPr="002951D2" w:rsidRDefault="00E56D52" w:rsidP="00893B88">
      <w:pPr>
        <w:spacing w:before="120" w:after="120" w:line="360" w:lineRule="auto"/>
        <w:ind w:left="567" w:right="616"/>
        <w:jc w:val="both"/>
        <w:rPr>
          <w:rFonts w:ascii="Palatino Linotype" w:hAnsi="Palatino Linotype"/>
          <w:b/>
          <w:i/>
          <w:sz w:val="24"/>
          <w:szCs w:val="24"/>
        </w:rPr>
      </w:pPr>
      <w:r w:rsidRPr="002951D2">
        <w:rPr>
          <w:rFonts w:ascii="Palatino Linotype" w:hAnsi="Palatino Linotype" w:cs="Arial"/>
          <w:bCs/>
          <w:i/>
          <w:color w:val="000000"/>
          <w:sz w:val="24"/>
          <w:szCs w:val="24"/>
        </w:rPr>
        <w:t>“</w:t>
      </w:r>
      <w:r w:rsidRPr="002951D2">
        <w:rPr>
          <w:rFonts w:ascii="Palatino Linotype" w:hAnsi="Palatino Linotype"/>
          <w:b/>
          <w:i/>
          <w:sz w:val="24"/>
          <w:szCs w:val="24"/>
        </w:rPr>
        <w:t>Artículo 342.-</w:t>
      </w:r>
      <w:r w:rsidRPr="002951D2">
        <w:rPr>
          <w:rFonts w:ascii="Palatino Linotype" w:hAnsi="Palatino Linotype"/>
          <w:i/>
          <w:sz w:val="24"/>
          <w:szCs w:val="24"/>
        </w:rPr>
        <w:t xml:space="preserve"> </w:t>
      </w:r>
      <w:r w:rsidRPr="002951D2">
        <w:rPr>
          <w:rFonts w:ascii="Palatino Linotype" w:hAnsi="Palatino Linotype"/>
          <w:b/>
          <w:i/>
          <w:sz w:val="24"/>
          <w:szCs w:val="24"/>
          <w:u w:val="single"/>
        </w:rPr>
        <w:t xml:space="preserve">El registro contable del efecto patrimonial y presupuestal de las operaciones financieras, se realizará conforme al sistema y a las disposiciones que se aprueben en materia </w:t>
      </w:r>
      <w:r w:rsidRPr="002951D2">
        <w:rPr>
          <w:rFonts w:ascii="Palatino Linotype" w:hAnsi="Palatino Linotype"/>
          <w:i/>
          <w:sz w:val="24"/>
          <w:szCs w:val="24"/>
        </w:rPr>
        <w:t xml:space="preserve">de </w:t>
      </w:r>
      <w:r w:rsidRPr="002951D2">
        <w:rPr>
          <w:rFonts w:ascii="Palatino Linotype" w:hAnsi="Palatino Linotype" w:cs="Arial"/>
          <w:i/>
          <w:color w:val="000000"/>
          <w:sz w:val="24"/>
          <w:szCs w:val="24"/>
        </w:rPr>
        <w:t>planeación</w:t>
      </w:r>
      <w:r w:rsidRPr="002951D2">
        <w:rPr>
          <w:rFonts w:ascii="Palatino Linotype" w:hAnsi="Palatino Linotype"/>
          <w:i/>
          <w:sz w:val="24"/>
          <w:szCs w:val="24"/>
        </w:rPr>
        <w:t>,</w:t>
      </w:r>
      <w:r w:rsidRPr="002951D2">
        <w:rPr>
          <w:rFonts w:ascii="Palatino Linotype" w:hAnsi="Palatino Linotype"/>
          <w:b/>
          <w:i/>
          <w:sz w:val="24"/>
          <w:szCs w:val="24"/>
        </w:rPr>
        <w:t xml:space="preserve"> programación, p</w:t>
      </w:r>
      <w:r w:rsidRPr="002951D2">
        <w:rPr>
          <w:rFonts w:ascii="Palatino Linotype" w:hAnsi="Palatino Linotype"/>
          <w:b/>
          <w:i/>
          <w:sz w:val="24"/>
          <w:szCs w:val="24"/>
          <w:u w:val="single"/>
        </w:rPr>
        <w:t>resupuestación</w:t>
      </w:r>
      <w:r w:rsidRPr="002951D2">
        <w:rPr>
          <w:rFonts w:ascii="Palatino Linotype" w:hAnsi="Palatino Linotype"/>
          <w:i/>
          <w:sz w:val="24"/>
          <w:szCs w:val="24"/>
        </w:rPr>
        <w:t xml:space="preserve">, evaluación y </w:t>
      </w:r>
      <w:r w:rsidRPr="002951D2">
        <w:rPr>
          <w:rFonts w:ascii="Palatino Linotype" w:hAnsi="Palatino Linotype" w:cs="Arial"/>
          <w:b/>
          <w:i/>
          <w:color w:val="000000"/>
          <w:sz w:val="24"/>
          <w:szCs w:val="24"/>
        </w:rPr>
        <w:t>contabilidad</w:t>
      </w:r>
      <w:r w:rsidRPr="002951D2">
        <w:rPr>
          <w:rFonts w:ascii="Palatino Linotype" w:hAnsi="Palatino Linotype"/>
          <w:b/>
          <w:i/>
          <w:sz w:val="24"/>
          <w:szCs w:val="24"/>
        </w:rPr>
        <w:t xml:space="preserve"> gubernamental.</w:t>
      </w:r>
      <w:r w:rsidRPr="002951D2">
        <w:rPr>
          <w:rFonts w:ascii="Palatino Linotype" w:hAnsi="Palatino Linotype"/>
          <w:i/>
          <w:sz w:val="24"/>
          <w:szCs w:val="24"/>
        </w:rPr>
        <w:t xml:space="preserve"> </w:t>
      </w:r>
    </w:p>
    <w:p w:rsidR="00E56D52" w:rsidRPr="002951D2" w:rsidRDefault="00E56D52" w:rsidP="00893B88">
      <w:pPr>
        <w:spacing w:before="120" w:after="120" w:line="360" w:lineRule="auto"/>
        <w:ind w:left="567" w:right="616"/>
        <w:jc w:val="both"/>
        <w:rPr>
          <w:rFonts w:ascii="Palatino Linotype" w:hAnsi="Palatino Linotype"/>
          <w:b/>
          <w:i/>
          <w:sz w:val="24"/>
          <w:szCs w:val="24"/>
        </w:rPr>
      </w:pPr>
      <w:r w:rsidRPr="002951D2">
        <w:rPr>
          <w:rFonts w:ascii="Palatino Linotype" w:hAnsi="Palatino Linotype" w:cs="Arial"/>
          <w:b/>
          <w:bCs/>
          <w:i/>
          <w:color w:val="000000"/>
          <w:sz w:val="24"/>
          <w:szCs w:val="24"/>
        </w:rPr>
        <w:t>…</w:t>
      </w:r>
    </w:p>
    <w:p w:rsidR="00E56D52" w:rsidRPr="002951D2" w:rsidRDefault="00E56D52" w:rsidP="00893B88">
      <w:pPr>
        <w:spacing w:before="120" w:after="120" w:line="360" w:lineRule="auto"/>
        <w:ind w:left="567" w:right="616"/>
        <w:jc w:val="both"/>
        <w:rPr>
          <w:rFonts w:ascii="Palatino Linotype" w:hAnsi="Palatino Linotype"/>
          <w:i/>
          <w:sz w:val="24"/>
          <w:szCs w:val="24"/>
        </w:rPr>
      </w:pPr>
      <w:r w:rsidRPr="002951D2">
        <w:rPr>
          <w:rFonts w:ascii="Palatino Linotype" w:hAnsi="Palatino Linotype"/>
          <w:b/>
          <w:i/>
          <w:sz w:val="24"/>
          <w:szCs w:val="24"/>
        </w:rPr>
        <w:t>Artículo 343.-</w:t>
      </w:r>
      <w:r w:rsidRPr="002951D2">
        <w:rPr>
          <w:rFonts w:ascii="Palatino Linotype" w:hAnsi="Palatino Linotype"/>
          <w:i/>
          <w:sz w:val="24"/>
          <w:szCs w:val="24"/>
        </w:rPr>
        <w:t xml:space="preserve"> El </w:t>
      </w:r>
      <w:r w:rsidRPr="002951D2">
        <w:rPr>
          <w:rFonts w:ascii="Palatino Linotype" w:hAnsi="Palatino Linotype"/>
          <w:i/>
          <w:sz w:val="24"/>
          <w:szCs w:val="24"/>
          <w:u w:val="single"/>
        </w:rPr>
        <w:t xml:space="preserve">sistema de contabilidad debe diseñarse sobre base acumulativa total y operarse en forma que facilite la fiscalización de los activos, pasivos, ingresos, egresos y, en general, </w:t>
      </w:r>
      <w:r w:rsidRPr="002951D2">
        <w:rPr>
          <w:rFonts w:ascii="Palatino Linotype" w:hAnsi="Palatino Linotype"/>
          <w:i/>
          <w:sz w:val="24"/>
          <w:szCs w:val="24"/>
        </w:rPr>
        <w:t xml:space="preserve">que posibilite medir la eficacia del gasto público, y contener las medidas de control interno que permitan verificar el registro de la totalidad de las operaciones financieras. </w:t>
      </w:r>
    </w:p>
    <w:p w:rsidR="00E56D52" w:rsidRPr="002951D2" w:rsidRDefault="00E56D52" w:rsidP="00893B88">
      <w:pPr>
        <w:spacing w:before="120" w:after="120" w:line="360" w:lineRule="auto"/>
        <w:ind w:left="567" w:right="616"/>
        <w:jc w:val="both"/>
        <w:rPr>
          <w:rFonts w:ascii="Palatino Linotype" w:hAnsi="Palatino Linotype"/>
          <w:i/>
          <w:sz w:val="24"/>
          <w:szCs w:val="24"/>
        </w:rPr>
      </w:pPr>
      <w:r w:rsidRPr="002951D2">
        <w:rPr>
          <w:rFonts w:ascii="Palatino Linotype" w:hAnsi="Palatino Linotype"/>
          <w:i/>
          <w:sz w:val="24"/>
          <w:szCs w:val="24"/>
        </w:rPr>
        <w:t xml:space="preserve">El sistema de contabilidad sobre base acumulativa total se sustentará en los postulados básicos y el marco conceptual de la contabilidad gubernamental. </w:t>
      </w:r>
    </w:p>
    <w:p w:rsidR="00E56D52" w:rsidRPr="002951D2" w:rsidRDefault="00E56D52" w:rsidP="00893B88">
      <w:pPr>
        <w:spacing w:before="120" w:after="120" w:line="360" w:lineRule="auto"/>
        <w:ind w:left="567" w:right="616"/>
        <w:jc w:val="both"/>
        <w:rPr>
          <w:rFonts w:ascii="Palatino Linotype" w:hAnsi="Palatino Linotype"/>
          <w:i/>
          <w:sz w:val="24"/>
          <w:szCs w:val="24"/>
        </w:rPr>
      </w:pPr>
      <w:r w:rsidRPr="002951D2">
        <w:rPr>
          <w:rFonts w:ascii="Palatino Linotype" w:hAnsi="Palatino Linotype"/>
          <w:b/>
          <w:i/>
          <w:sz w:val="24"/>
          <w:szCs w:val="24"/>
          <w:u w:val="single"/>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2951D2">
        <w:rPr>
          <w:rFonts w:ascii="Palatino Linotype" w:hAnsi="Palatino Linotype"/>
          <w:i/>
          <w:sz w:val="24"/>
          <w:szCs w:val="24"/>
          <w:u w:val="single"/>
        </w:rPr>
        <w:t>en el caso de los Municipios se hará por la Tesorería</w:t>
      </w:r>
      <w:r w:rsidRPr="002951D2">
        <w:rPr>
          <w:rFonts w:ascii="Palatino Linotype" w:hAnsi="Palatino Linotype"/>
          <w:i/>
          <w:sz w:val="24"/>
          <w:szCs w:val="24"/>
        </w:rPr>
        <w:t xml:space="preserve">. </w:t>
      </w:r>
    </w:p>
    <w:p w:rsidR="00E56D52" w:rsidRPr="002951D2" w:rsidRDefault="00E56D52" w:rsidP="00893B88">
      <w:pPr>
        <w:autoSpaceDE w:val="0"/>
        <w:autoSpaceDN w:val="0"/>
        <w:adjustRightInd w:val="0"/>
        <w:spacing w:before="120" w:after="120" w:line="360" w:lineRule="auto"/>
        <w:ind w:left="567" w:right="616"/>
        <w:jc w:val="both"/>
        <w:rPr>
          <w:rFonts w:ascii="Palatino Linotype" w:hAnsi="Palatino Linotype"/>
          <w:i/>
          <w:sz w:val="24"/>
          <w:szCs w:val="24"/>
        </w:rPr>
      </w:pPr>
      <w:r w:rsidRPr="002951D2">
        <w:rPr>
          <w:rFonts w:ascii="Palatino Linotype" w:hAnsi="Palatino Linotype"/>
          <w:i/>
          <w:sz w:val="24"/>
          <w:szCs w:val="24"/>
        </w:rPr>
        <w:t xml:space="preserve">Derogado. </w:t>
      </w:r>
    </w:p>
    <w:p w:rsidR="00E56D52" w:rsidRPr="002951D2" w:rsidRDefault="00E56D52" w:rsidP="00893B88">
      <w:pPr>
        <w:spacing w:before="120" w:after="120" w:line="360" w:lineRule="auto"/>
        <w:ind w:left="567" w:right="616"/>
        <w:jc w:val="both"/>
        <w:rPr>
          <w:rFonts w:ascii="Palatino Linotype" w:hAnsi="Palatino Linotype"/>
          <w:i/>
          <w:sz w:val="24"/>
          <w:szCs w:val="24"/>
        </w:rPr>
      </w:pPr>
      <w:r w:rsidRPr="002951D2">
        <w:rPr>
          <w:rFonts w:ascii="Palatino Linotype" w:hAnsi="Palatino Linotype"/>
          <w:b/>
          <w:i/>
          <w:sz w:val="24"/>
          <w:szCs w:val="24"/>
          <w:u w:val="single"/>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2951D2">
        <w:rPr>
          <w:rFonts w:ascii="Palatino Linotype" w:hAnsi="Palatino Linotype"/>
          <w:i/>
          <w:sz w:val="24"/>
          <w:szCs w:val="24"/>
        </w:rPr>
        <w:t xml:space="preserve"> a partir del ejercicio presupuestal siguiente al que corresponda, en el caso de los municipios se hará por la Tesorería. </w:t>
      </w:r>
    </w:p>
    <w:p w:rsidR="00E56D52" w:rsidRPr="002951D2" w:rsidRDefault="00E56D52" w:rsidP="00893B88">
      <w:pPr>
        <w:autoSpaceDE w:val="0"/>
        <w:autoSpaceDN w:val="0"/>
        <w:adjustRightInd w:val="0"/>
        <w:spacing w:before="120" w:after="120" w:line="360" w:lineRule="auto"/>
        <w:ind w:left="567" w:right="616"/>
        <w:jc w:val="both"/>
        <w:rPr>
          <w:rFonts w:ascii="Palatino Linotype" w:hAnsi="Palatino Linotype"/>
          <w:i/>
          <w:sz w:val="24"/>
          <w:szCs w:val="24"/>
        </w:rPr>
      </w:pPr>
      <w:r w:rsidRPr="002951D2">
        <w:rPr>
          <w:rFonts w:ascii="Palatino Linotype" w:hAnsi="Palatino Linotype"/>
          <w:i/>
          <w:sz w:val="24"/>
          <w:szCs w:val="24"/>
        </w:rPr>
        <w:t>…</w:t>
      </w:r>
    </w:p>
    <w:p w:rsidR="00E56D52" w:rsidRPr="002951D2" w:rsidRDefault="00E56D52" w:rsidP="00893B88">
      <w:pPr>
        <w:spacing w:before="120" w:after="120" w:line="360" w:lineRule="auto"/>
        <w:ind w:left="567" w:right="616"/>
        <w:jc w:val="both"/>
        <w:rPr>
          <w:rFonts w:ascii="Palatino Linotype" w:hAnsi="Palatino Linotype"/>
          <w:i/>
          <w:sz w:val="24"/>
          <w:szCs w:val="24"/>
        </w:rPr>
      </w:pPr>
      <w:r w:rsidRPr="002951D2">
        <w:rPr>
          <w:rFonts w:ascii="Palatino Linotype" w:hAnsi="Palatino Linotype"/>
          <w:b/>
          <w:i/>
          <w:sz w:val="24"/>
          <w:szCs w:val="24"/>
        </w:rPr>
        <w:t>Artículo 345.-</w:t>
      </w:r>
      <w:r w:rsidRPr="002951D2">
        <w:rPr>
          <w:rFonts w:ascii="Palatino Linotype" w:hAnsi="Palatino Linotype"/>
          <w:i/>
          <w:sz w:val="24"/>
          <w:szCs w:val="24"/>
        </w:rPr>
        <w:t xml:space="preserve"> </w:t>
      </w:r>
      <w:r w:rsidRPr="002951D2">
        <w:rPr>
          <w:rFonts w:ascii="Palatino Linotype" w:hAnsi="Palatino Linotype"/>
          <w:b/>
          <w:i/>
          <w:sz w:val="24"/>
          <w:szCs w:val="24"/>
          <w:u w:val="single"/>
        </w:rPr>
        <w:t>Las Dependencias, Entidades Públicas y unidades administrativas deberán conservar la documentación contable del año en curso y la de ejercicios anteriores cuyas cuentas públicas hayan sido revisadas y fiscalizadas por la Legislatura</w:t>
      </w:r>
      <w:r w:rsidRPr="002951D2">
        <w:rPr>
          <w:rFonts w:ascii="Palatino Linotype" w:hAnsi="Palatino Linotype"/>
          <w:i/>
          <w:sz w:val="24"/>
          <w:szCs w:val="24"/>
        </w:rPr>
        <w:t xml:space="preserve">, la remitirán en un plazo que no excederá de seis meses al Archivo Contable Gubernamental. </w:t>
      </w:r>
      <w:r w:rsidRPr="002951D2">
        <w:rPr>
          <w:rFonts w:ascii="Palatino Linotype" w:hAnsi="Palatino Linotype"/>
          <w:b/>
          <w:i/>
          <w:sz w:val="24"/>
          <w:szCs w:val="24"/>
          <w:u w:val="single"/>
        </w:rPr>
        <w:t>Tratándose de los comprobantes fiscales digitales, estos deberán estar agregados en forma electrónica en cada póliza de registro contable</w:t>
      </w:r>
      <w:r w:rsidRPr="002951D2">
        <w:rPr>
          <w:rFonts w:ascii="Palatino Linotype" w:hAnsi="Palatino Linotype"/>
          <w:i/>
          <w:sz w:val="24"/>
          <w:szCs w:val="24"/>
        </w:rPr>
        <w:t xml:space="preserve">. </w:t>
      </w:r>
    </w:p>
    <w:p w:rsidR="00E56D52" w:rsidRPr="002951D2" w:rsidRDefault="00E56D52" w:rsidP="00893B88">
      <w:pPr>
        <w:spacing w:before="120" w:after="120" w:line="360" w:lineRule="auto"/>
        <w:ind w:left="567" w:right="616"/>
        <w:jc w:val="both"/>
        <w:rPr>
          <w:rFonts w:ascii="Palatino Linotype" w:hAnsi="Palatino Linotype" w:cs="Arial"/>
          <w:bCs/>
          <w:i/>
          <w:color w:val="000000"/>
          <w:sz w:val="24"/>
          <w:szCs w:val="24"/>
        </w:rPr>
      </w:pPr>
      <w:r w:rsidRPr="002951D2">
        <w:rPr>
          <w:rFonts w:ascii="Palatino Linotype" w:hAnsi="Palatino Linotype"/>
          <w:i/>
          <w:sz w:val="24"/>
          <w:szCs w:val="24"/>
        </w:rPr>
        <w:t>El plazo señalado en el párrafo anterior, empezará a contar a partir de la publicación en el Periódico Oficial, del decreto correspondiente.</w:t>
      </w:r>
      <w:r w:rsidRPr="002951D2">
        <w:rPr>
          <w:rFonts w:ascii="Palatino Linotype" w:hAnsi="Palatino Linotype" w:cs="Arial"/>
          <w:bCs/>
          <w:i/>
          <w:color w:val="000000"/>
          <w:sz w:val="24"/>
          <w:szCs w:val="24"/>
        </w:rPr>
        <w:t xml:space="preserve"> “</w:t>
      </w:r>
      <w:r w:rsidRPr="002951D2">
        <w:rPr>
          <w:rFonts w:ascii="Palatino Linotype" w:hAnsi="Palatino Linotype" w:cs="Arial"/>
          <w:i/>
          <w:sz w:val="24"/>
          <w:szCs w:val="24"/>
        </w:rPr>
        <w:t>(Sic)</w:t>
      </w:r>
      <w:r w:rsidRPr="002951D2">
        <w:rPr>
          <w:rFonts w:ascii="Palatino Linotype" w:hAnsi="Palatino Linotype" w:cs="Arial"/>
          <w:bCs/>
          <w:i/>
          <w:color w:val="000000"/>
          <w:sz w:val="24"/>
          <w:szCs w:val="24"/>
        </w:rPr>
        <w:t xml:space="preserve"> </w:t>
      </w:r>
    </w:p>
    <w:p w:rsidR="00E56D52" w:rsidRPr="002951D2" w:rsidRDefault="00E56D52" w:rsidP="00893B88">
      <w:pPr>
        <w:spacing w:before="120" w:after="120" w:line="360" w:lineRule="auto"/>
        <w:ind w:left="567" w:right="616"/>
        <w:jc w:val="both"/>
        <w:rPr>
          <w:rFonts w:ascii="Palatino Linotype" w:hAnsi="Palatino Linotype" w:cs="Arial"/>
          <w:bCs/>
          <w:i/>
          <w:color w:val="000000"/>
          <w:sz w:val="24"/>
          <w:szCs w:val="24"/>
        </w:rPr>
      </w:pPr>
      <w:r w:rsidRPr="002951D2">
        <w:rPr>
          <w:rFonts w:ascii="Palatino Linotype" w:hAnsi="Palatino Linotype" w:cs="Arial"/>
          <w:bCs/>
          <w:i/>
          <w:color w:val="000000"/>
          <w:sz w:val="24"/>
          <w:szCs w:val="24"/>
        </w:rPr>
        <w:t>(Énfasis añadido)</w:t>
      </w:r>
    </w:p>
    <w:p w:rsidR="00E56D52" w:rsidRPr="002951D2" w:rsidRDefault="00E56D52" w:rsidP="00DC5CB3">
      <w:pPr>
        <w:pStyle w:val="Prrafodelista"/>
        <w:numPr>
          <w:ilvl w:val="0"/>
          <w:numId w:val="2"/>
        </w:numPr>
        <w:spacing w:before="240" w:after="240" w:line="360" w:lineRule="auto"/>
        <w:ind w:left="0" w:firstLine="0"/>
        <w:jc w:val="both"/>
        <w:rPr>
          <w:rFonts w:ascii="Palatino Linotype" w:hAnsi="Palatino Linotype" w:cs="Arial"/>
          <w:bCs/>
          <w:color w:val="000000"/>
          <w:sz w:val="24"/>
          <w:szCs w:val="24"/>
        </w:rPr>
      </w:pPr>
      <w:r w:rsidRPr="002951D2">
        <w:rPr>
          <w:rFonts w:ascii="Palatino Linotype" w:hAnsi="Palatino Linotype" w:cs="Arial"/>
          <w:sz w:val="24"/>
          <w:szCs w:val="24"/>
        </w:rPr>
        <w:t>De una interpretación sistemática de los artículos transcritos, se desprende primeramente que el</w:t>
      </w:r>
      <w:r w:rsidRPr="002951D2">
        <w:rPr>
          <w:rFonts w:ascii="Palatino Linotype" w:hAnsi="Palatino Linotype" w:cs="Arial"/>
          <w:bCs/>
          <w:color w:val="000000"/>
          <w:sz w:val="24"/>
          <w:szCs w:val="24"/>
        </w:rPr>
        <w:t xml:space="preserve"> registro contable del efecto patrimonial y presupuestal de las operaciones financieras se realizará conforme al sistema y a las disposiciones que se aprueben en materia de planeación, programación, presupuestación, evaluación y contabilidad gubernamental.</w:t>
      </w:r>
    </w:p>
    <w:p w:rsidR="00E56D52" w:rsidRPr="002951D2" w:rsidRDefault="00E56D52" w:rsidP="00E56D52">
      <w:pPr>
        <w:pStyle w:val="Prrafodelista"/>
        <w:spacing w:before="240" w:after="240" w:line="360" w:lineRule="auto"/>
        <w:ind w:left="0"/>
        <w:jc w:val="both"/>
        <w:rPr>
          <w:rFonts w:ascii="Palatino Linotype" w:hAnsi="Palatino Linotype" w:cs="Arial"/>
          <w:bCs/>
          <w:color w:val="000000"/>
          <w:sz w:val="24"/>
          <w:szCs w:val="24"/>
        </w:rPr>
      </w:pPr>
    </w:p>
    <w:p w:rsidR="00E56D52" w:rsidRPr="002951D2" w:rsidRDefault="00E56D52" w:rsidP="00DC5CB3">
      <w:pPr>
        <w:pStyle w:val="Prrafodelista"/>
        <w:numPr>
          <w:ilvl w:val="0"/>
          <w:numId w:val="2"/>
        </w:numPr>
        <w:spacing w:before="240" w:after="240" w:line="360" w:lineRule="auto"/>
        <w:ind w:left="0" w:firstLine="0"/>
        <w:jc w:val="both"/>
        <w:rPr>
          <w:rFonts w:ascii="Palatino Linotype" w:hAnsi="Palatino Linotype" w:cs="Arial"/>
          <w:bCs/>
          <w:color w:val="000000"/>
          <w:sz w:val="24"/>
          <w:szCs w:val="24"/>
        </w:rPr>
      </w:pPr>
      <w:r w:rsidRPr="002951D2">
        <w:rPr>
          <w:rFonts w:ascii="Palatino Linotype" w:hAnsi="Palatino Linotype" w:cs="Arial"/>
          <w:sz w:val="24"/>
          <w:szCs w:val="24"/>
        </w:rPr>
        <w:t>Al respecto, si bien es cierto que el Código Financiero del Estado de México y Municipios establece la obligación para llevar los registros contables y presupuestales; también lo es que, dicho ordenamiento jurídico no establece que debemos entender por registro contable y presupuestal</w:t>
      </w:r>
      <w:r w:rsidRPr="002951D2">
        <w:rPr>
          <w:rFonts w:ascii="Palatino Linotype" w:hAnsi="Palatino Linotype" w:cs="Arial"/>
          <w:sz w:val="24"/>
          <w:szCs w:val="24"/>
          <w:lang w:eastAsia="es-MX"/>
        </w:rPr>
        <w:t xml:space="preserve">;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E56D52" w:rsidRPr="002951D2" w:rsidRDefault="00E56D52" w:rsidP="00E56D52">
      <w:pPr>
        <w:spacing w:before="120" w:after="120"/>
        <w:ind w:firstLine="708"/>
        <w:jc w:val="both"/>
        <w:rPr>
          <w:rFonts w:ascii="Palatino Linotype" w:hAnsi="Palatino Linotype" w:cs="Arial"/>
          <w:b/>
          <w:i/>
          <w:sz w:val="24"/>
          <w:szCs w:val="24"/>
          <w:lang w:eastAsia="es-MX"/>
        </w:rPr>
      </w:pPr>
      <w:r w:rsidRPr="002951D2">
        <w:rPr>
          <w:rFonts w:ascii="Palatino Linotype" w:hAnsi="Palatino Linotype" w:cs="Arial"/>
          <w:b/>
          <w:i/>
          <w:sz w:val="24"/>
          <w:szCs w:val="24"/>
          <w:lang w:eastAsia="es-MX"/>
        </w:rPr>
        <w:t xml:space="preserve">“REGISTRO CONTABLE </w:t>
      </w:r>
    </w:p>
    <w:p w:rsidR="00E56D52" w:rsidRPr="002951D2" w:rsidRDefault="00E56D52" w:rsidP="00E56D52">
      <w:pPr>
        <w:spacing w:before="120" w:after="120"/>
        <w:ind w:left="851" w:right="899"/>
        <w:jc w:val="both"/>
        <w:rPr>
          <w:rFonts w:ascii="Palatino Linotype" w:hAnsi="Palatino Linotype" w:cs="Arial"/>
          <w:i/>
          <w:sz w:val="24"/>
          <w:szCs w:val="24"/>
        </w:rPr>
      </w:pPr>
      <w:r w:rsidRPr="002951D2">
        <w:rPr>
          <w:rFonts w:ascii="Palatino Linotype" w:hAnsi="Palatino Linotype" w:cs="Arial"/>
          <w:i/>
          <w:sz w:val="24"/>
          <w:szCs w:val="24"/>
          <w:lang w:eastAsia="es-MX"/>
        </w:rPr>
        <w:t xml:space="preserve">Asiento que se realiza en los libros de contabilidad de las actividades relacionadas con el ingreso y egresos de un ente económico.” </w:t>
      </w:r>
      <w:r w:rsidRPr="002951D2">
        <w:rPr>
          <w:rFonts w:ascii="Palatino Linotype" w:hAnsi="Palatino Linotype" w:cs="Arial"/>
          <w:i/>
          <w:sz w:val="24"/>
          <w:szCs w:val="24"/>
        </w:rPr>
        <w:t>(Sic)</w:t>
      </w:r>
    </w:p>
    <w:p w:rsidR="00E56D52" w:rsidRPr="002951D2" w:rsidRDefault="00E56D52" w:rsidP="00E56D52">
      <w:pPr>
        <w:spacing w:before="120" w:after="120"/>
        <w:ind w:left="851" w:right="899"/>
        <w:jc w:val="both"/>
        <w:rPr>
          <w:rFonts w:ascii="Palatino Linotype" w:hAnsi="Palatino Linotype" w:cs="Arial"/>
          <w:i/>
          <w:sz w:val="24"/>
          <w:szCs w:val="24"/>
          <w:lang w:eastAsia="es-MX"/>
        </w:rPr>
      </w:pPr>
    </w:p>
    <w:p w:rsidR="00E56D52" w:rsidRPr="002951D2" w:rsidRDefault="00E56D52" w:rsidP="00E56D52">
      <w:pPr>
        <w:spacing w:before="120" w:after="120"/>
        <w:ind w:right="899" w:firstLine="708"/>
        <w:jc w:val="both"/>
        <w:rPr>
          <w:rFonts w:ascii="Palatino Linotype" w:hAnsi="Palatino Linotype" w:cs="Arial"/>
          <w:b/>
          <w:i/>
          <w:sz w:val="24"/>
          <w:szCs w:val="24"/>
          <w:lang w:eastAsia="es-MX"/>
        </w:rPr>
      </w:pPr>
      <w:r w:rsidRPr="002951D2">
        <w:rPr>
          <w:rFonts w:ascii="Palatino Linotype" w:hAnsi="Palatino Linotype" w:cs="Arial"/>
          <w:b/>
          <w:i/>
          <w:sz w:val="24"/>
          <w:szCs w:val="24"/>
          <w:lang w:eastAsia="es-MX"/>
        </w:rPr>
        <w:t>“REGISTRO PRESUPUESTARIO</w:t>
      </w:r>
    </w:p>
    <w:p w:rsidR="00E56D52" w:rsidRPr="002951D2" w:rsidRDefault="00E56D52" w:rsidP="00E56D52">
      <w:pPr>
        <w:spacing w:before="120" w:after="120"/>
        <w:ind w:left="708" w:right="899"/>
        <w:jc w:val="both"/>
        <w:rPr>
          <w:rFonts w:ascii="Palatino Linotype" w:hAnsi="Palatino Linotype" w:cs="Arial"/>
          <w:i/>
          <w:sz w:val="24"/>
          <w:szCs w:val="24"/>
        </w:rPr>
      </w:pPr>
      <w:r w:rsidRPr="002951D2">
        <w:rPr>
          <w:rFonts w:ascii="Palatino Linotype" w:hAnsi="Palatino Linotype" w:cs="Arial"/>
          <w:i/>
          <w:sz w:val="24"/>
          <w:szCs w:val="24"/>
          <w:lang w:eastAsia="es-MX"/>
        </w:rPr>
        <w:t xml:space="preserve">Asiento contable de las erogaciones realizadas por las dependencias y entidades con relación a la asignación, modificación y ejercicio de los recursos presupuestarios que se les hayan autorizado.” </w:t>
      </w:r>
      <w:r w:rsidRPr="002951D2">
        <w:rPr>
          <w:rFonts w:ascii="Palatino Linotype" w:hAnsi="Palatino Linotype" w:cs="Arial"/>
          <w:i/>
          <w:sz w:val="24"/>
          <w:szCs w:val="24"/>
        </w:rPr>
        <w:t>(Sic)</w:t>
      </w:r>
    </w:p>
    <w:p w:rsidR="00A92899" w:rsidRPr="002951D2" w:rsidRDefault="00A92899" w:rsidP="00E56D52">
      <w:pPr>
        <w:spacing w:before="120" w:after="120"/>
        <w:ind w:left="708" w:right="899"/>
        <w:jc w:val="both"/>
        <w:rPr>
          <w:rFonts w:ascii="Palatino Linotype" w:hAnsi="Palatino Linotype" w:cs="Arial"/>
          <w:i/>
          <w:sz w:val="24"/>
          <w:szCs w:val="24"/>
          <w:lang w:eastAsia="es-MX"/>
        </w:rPr>
      </w:pPr>
    </w:p>
    <w:p w:rsidR="00E56D52" w:rsidRPr="002951D2" w:rsidRDefault="00E56D52" w:rsidP="00DC5CB3">
      <w:pPr>
        <w:pStyle w:val="Prrafodelista"/>
        <w:numPr>
          <w:ilvl w:val="0"/>
          <w:numId w:val="2"/>
        </w:numPr>
        <w:spacing w:before="240" w:after="240" w:line="360" w:lineRule="auto"/>
        <w:ind w:left="0" w:firstLine="0"/>
        <w:jc w:val="both"/>
        <w:rPr>
          <w:rFonts w:ascii="Palatino Linotype" w:hAnsi="Palatino Linotype" w:cs="Arial"/>
          <w:bCs/>
          <w:color w:val="000000"/>
          <w:sz w:val="24"/>
          <w:szCs w:val="24"/>
        </w:rPr>
      </w:pPr>
      <w:r w:rsidRPr="002951D2">
        <w:rPr>
          <w:rFonts w:ascii="Palatino Linotype" w:hAnsi="Palatino Linotype" w:cs="Arial"/>
          <w:bCs/>
          <w:color w:val="000000"/>
          <w:sz w:val="24"/>
          <w:szCs w:val="24"/>
        </w:rPr>
        <w:t>Por otra parte, se establece que el sistema de contabilidad sobre base acumulativa total se sustentará en los principios de contabilidad gubernamental.</w:t>
      </w:r>
    </w:p>
    <w:p w:rsidR="00E56D52" w:rsidRPr="002951D2" w:rsidRDefault="00E56D52" w:rsidP="00E56D52">
      <w:pPr>
        <w:pStyle w:val="Prrafodelista"/>
        <w:spacing w:before="240" w:after="240" w:line="360" w:lineRule="auto"/>
        <w:ind w:left="0"/>
        <w:jc w:val="both"/>
        <w:rPr>
          <w:rFonts w:ascii="Palatino Linotype" w:hAnsi="Palatino Linotype" w:cs="Arial"/>
          <w:bCs/>
          <w:color w:val="000000"/>
          <w:sz w:val="24"/>
          <w:szCs w:val="24"/>
        </w:rPr>
      </w:pPr>
    </w:p>
    <w:p w:rsidR="00E56D52" w:rsidRPr="002951D2" w:rsidRDefault="00E56D52" w:rsidP="00DC5CB3">
      <w:pPr>
        <w:pStyle w:val="Prrafodelista"/>
        <w:numPr>
          <w:ilvl w:val="0"/>
          <w:numId w:val="2"/>
        </w:numPr>
        <w:spacing w:before="240" w:after="240" w:line="360" w:lineRule="auto"/>
        <w:ind w:left="0" w:firstLine="0"/>
        <w:jc w:val="both"/>
        <w:rPr>
          <w:rFonts w:ascii="Palatino Linotype" w:hAnsi="Palatino Linotype" w:cs="Arial"/>
          <w:bCs/>
          <w:color w:val="000000"/>
          <w:sz w:val="24"/>
          <w:szCs w:val="24"/>
        </w:rPr>
      </w:pPr>
      <w:r w:rsidRPr="002951D2">
        <w:rPr>
          <w:rFonts w:ascii="Palatino Linotype" w:hAnsi="Palatino Linotype" w:cs="Arial"/>
          <w:bCs/>
          <w:color w:val="000000"/>
          <w:sz w:val="24"/>
          <w:szCs w:val="24"/>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rsidR="00E56D52" w:rsidRPr="002951D2" w:rsidRDefault="00E56D52" w:rsidP="00E56D52">
      <w:pPr>
        <w:pStyle w:val="Prrafodelista"/>
        <w:rPr>
          <w:rFonts w:ascii="Palatino Linotype" w:hAnsi="Palatino Linotype" w:cs="Arial"/>
          <w:bCs/>
          <w:color w:val="000000"/>
          <w:sz w:val="24"/>
          <w:szCs w:val="24"/>
        </w:rPr>
      </w:pPr>
    </w:p>
    <w:p w:rsidR="00E56D52" w:rsidRPr="002951D2" w:rsidRDefault="00E56D52" w:rsidP="00DC5CB3">
      <w:pPr>
        <w:pStyle w:val="Prrafodelista"/>
        <w:numPr>
          <w:ilvl w:val="0"/>
          <w:numId w:val="2"/>
        </w:numPr>
        <w:spacing w:before="240" w:after="240" w:line="360" w:lineRule="auto"/>
        <w:ind w:left="0" w:firstLine="0"/>
        <w:jc w:val="both"/>
        <w:rPr>
          <w:rFonts w:ascii="Palatino Linotype" w:hAnsi="Palatino Linotype" w:cs="Arial"/>
          <w:bCs/>
          <w:color w:val="000000"/>
          <w:sz w:val="24"/>
          <w:szCs w:val="24"/>
        </w:rPr>
      </w:pPr>
      <w:r w:rsidRPr="002951D2">
        <w:rPr>
          <w:rFonts w:ascii="Palatino Linotype" w:hAnsi="Palatino Linotype" w:cs="Arial"/>
          <w:sz w:val="24"/>
          <w:szCs w:val="24"/>
          <w:lang w:eastAsia="es-MX"/>
        </w:rPr>
        <w:t xml:space="preserve">Correlativo a lo anterior, es preciso referir una definición de </w:t>
      </w:r>
      <w:r w:rsidRPr="002951D2">
        <w:rPr>
          <w:rFonts w:ascii="Palatino Linotype" w:hAnsi="Palatino Linotype" w:cs="Arial"/>
          <w:i/>
          <w:sz w:val="24"/>
          <w:szCs w:val="24"/>
          <w:lang w:eastAsia="es-MX"/>
        </w:rPr>
        <w:t>póliza contable</w:t>
      </w:r>
      <w:r w:rsidRPr="002951D2">
        <w:rPr>
          <w:rFonts w:ascii="Palatino Linotype" w:hAnsi="Palatino Linotype" w:cs="Arial"/>
          <w:sz w:val="24"/>
          <w:szCs w:val="24"/>
          <w:lang w:eastAsia="es-MX"/>
        </w:rPr>
        <w:t xml:space="preserve">, la cual, primeramente, no está definida en el Código Financiero del Estado de México y Municipios; no obstante, los ya mencionados Glosarios la definen como: </w:t>
      </w:r>
    </w:p>
    <w:p w:rsidR="00E56D52" w:rsidRPr="002951D2" w:rsidRDefault="00E56D52" w:rsidP="00E56D52">
      <w:pPr>
        <w:spacing w:before="120" w:after="120"/>
        <w:ind w:left="567" w:right="618"/>
        <w:jc w:val="both"/>
        <w:rPr>
          <w:rFonts w:ascii="Palatino Linotype" w:hAnsi="Palatino Linotype" w:cs="Arial"/>
          <w:b/>
          <w:i/>
          <w:sz w:val="24"/>
          <w:szCs w:val="24"/>
          <w:lang w:eastAsia="es-MX"/>
        </w:rPr>
      </w:pPr>
      <w:r w:rsidRPr="002951D2">
        <w:rPr>
          <w:rFonts w:ascii="Palatino Linotype" w:hAnsi="Palatino Linotype" w:cs="Arial"/>
          <w:i/>
          <w:sz w:val="24"/>
          <w:szCs w:val="24"/>
          <w:lang w:eastAsia="es-MX"/>
        </w:rPr>
        <w:t>“</w:t>
      </w:r>
      <w:r w:rsidRPr="002951D2">
        <w:rPr>
          <w:rFonts w:ascii="Palatino Linotype" w:hAnsi="Palatino Linotype" w:cs="Arial"/>
          <w:b/>
          <w:i/>
          <w:sz w:val="24"/>
          <w:szCs w:val="24"/>
          <w:lang w:eastAsia="es-MX"/>
        </w:rPr>
        <w:t>PÓLIZA CONTABLE</w:t>
      </w:r>
    </w:p>
    <w:p w:rsidR="00A92899" w:rsidRDefault="00E56D52" w:rsidP="002951D2">
      <w:pPr>
        <w:spacing w:before="120" w:after="120"/>
        <w:ind w:left="567" w:right="618"/>
        <w:jc w:val="both"/>
        <w:rPr>
          <w:rFonts w:ascii="Palatino Linotype" w:hAnsi="Palatino Linotype" w:cs="Arial"/>
          <w:i/>
          <w:sz w:val="24"/>
          <w:szCs w:val="24"/>
          <w:lang w:eastAsia="es-MX"/>
        </w:rPr>
      </w:pPr>
      <w:r w:rsidRPr="002951D2">
        <w:rPr>
          <w:rFonts w:ascii="Palatino Linotype" w:hAnsi="Palatino Linotype" w:cs="Arial"/>
          <w:i/>
          <w:sz w:val="24"/>
          <w:szCs w:val="24"/>
          <w:lang w:eastAsia="es-MX"/>
        </w:rPr>
        <w:t>Documento en el cual se asientan en forma individual todas y cada una de las operaciones desarrolladas por una institución, así como la información necesaria para la identificación de dichas operaciones.” (sic)</w:t>
      </w:r>
    </w:p>
    <w:p w:rsidR="002951D2" w:rsidRPr="002951D2" w:rsidRDefault="002951D2" w:rsidP="002951D2">
      <w:pPr>
        <w:spacing w:before="120" w:after="120"/>
        <w:ind w:left="567" w:right="618"/>
        <w:jc w:val="both"/>
        <w:rPr>
          <w:rFonts w:ascii="Palatino Linotype" w:hAnsi="Palatino Linotype" w:cs="Arial"/>
          <w:i/>
          <w:sz w:val="24"/>
          <w:szCs w:val="24"/>
          <w:lang w:eastAsia="es-MX"/>
        </w:rPr>
      </w:pPr>
    </w:p>
    <w:p w:rsidR="00E56D52" w:rsidRPr="002951D2" w:rsidRDefault="00E56D52" w:rsidP="00DC5CB3">
      <w:pPr>
        <w:pStyle w:val="Prrafodelista"/>
        <w:numPr>
          <w:ilvl w:val="0"/>
          <w:numId w:val="2"/>
        </w:numPr>
        <w:spacing w:before="240" w:after="240" w:line="360" w:lineRule="auto"/>
        <w:ind w:left="0" w:firstLine="0"/>
        <w:jc w:val="both"/>
        <w:rPr>
          <w:rFonts w:ascii="Palatino Linotype" w:hAnsi="Palatino Linotype" w:cs="Arial"/>
          <w:sz w:val="24"/>
          <w:szCs w:val="24"/>
          <w:lang w:eastAsia="es-MX"/>
        </w:rPr>
      </w:pPr>
      <w:r w:rsidRPr="002951D2">
        <w:rPr>
          <w:rFonts w:ascii="Palatino Linotype" w:hAnsi="Palatino Linotype" w:cs="Arial"/>
          <w:sz w:val="24"/>
          <w:szCs w:val="24"/>
          <w:lang w:eastAsia="es-MX"/>
        </w:rPr>
        <w:t xml:space="preserve">Así, se advierte que la </w:t>
      </w:r>
      <w:r w:rsidRPr="002951D2">
        <w:rPr>
          <w:rFonts w:ascii="Palatino Linotype" w:hAnsi="Palatino Linotype" w:cs="Arial"/>
          <w:i/>
          <w:sz w:val="24"/>
          <w:szCs w:val="24"/>
          <w:lang w:eastAsia="es-MX"/>
        </w:rPr>
        <w:t>póliza contable</w:t>
      </w:r>
      <w:r w:rsidRPr="002951D2">
        <w:rPr>
          <w:rFonts w:ascii="Palatino Linotype" w:hAnsi="Palatino Linotype" w:cs="Arial"/>
          <w:sz w:val="24"/>
          <w:szCs w:val="24"/>
          <w:lang w:eastAsia="es-MX"/>
        </w:rPr>
        <w:t xml:space="preserve"> constituye un registro contable y presupuestal con el que cuentan </w:t>
      </w:r>
      <w:r w:rsidR="00192EE5" w:rsidRPr="002951D2">
        <w:rPr>
          <w:rFonts w:ascii="Palatino Linotype" w:hAnsi="Palatino Linotype" w:cs="Arial"/>
          <w:sz w:val="24"/>
          <w:szCs w:val="24"/>
          <w:lang w:eastAsia="es-MX"/>
        </w:rPr>
        <w:t xml:space="preserve">las autoridades fiscalizables </w:t>
      </w:r>
      <w:r w:rsidRPr="002951D2">
        <w:rPr>
          <w:rFonts w:ascii="Palatino Linotype" w:hAnsi="Palatino Linotype" w:cs="Arial"/>
          <w:sz w:val="24"/>
          <w:szCs w:val="24"/>
          <w:lang w:eastAsia="es-MX"/>
        </w:rPr>
        <w:t>para el registro de sus operaciones relacionadas con sus ingresos y egresos y se anexan los documentos o comprobantes que justifiquen las anotaciones y cantidades en ellas registradas, lo que permite la identificación plena de dichas operaciones.</w:t>
      </w:r>
    </w:p>
    <w:p w:rsidR="00E56D52" w:rsidRPr="002951D2" w:rsidRDefault="00E56D52" w:rsidP="00E56D52">
      <w:pPr>
        <w:pStyle w:val="Prrafodelista"/>
        <w:spacing w:before="240" w:after="240" w:line="360" w:lineRule="auto"/>
        <w:ind w:left="0"/>
        <w:jc w:val="both"/>
        <w:rPr>
          <w:rFonts w:ascii="Palatino Linotype" w:hAnsi="Palatino Linotype" w:cs="Arial"/>
          <w:sz w:val="24"/>
          <w:szCs w:val="24"/>
          <w:lang w:eastAsia="es-MX"/>
        </w:rPr>
      </w:pPr>
    </w:p>
    <w:p w:rsidR="00E56D52" w:rsidRPr="002951D2" w:rsidRDefault="00E56D52" w:rsidP="00DC5CB3">
      <w:pPr>
        <w:pStyle w:val="Prrafodelista"/>
        <w:numPr>
          <w:ilvl w:val="0"/>
          <w:numId w:val="2"/>
        </w:numPr>
        <w:spacing w:before="240" w:after="240" w:line="360" w:lineRule="auto"/>
        <w:ind w:left="0" w:firstLine="0"/>
        <w:jc w:val="both"/>
        <w:rPr>
          <w:rFonts w:ascii="Palatino Linotype" w:hAnsi="Palatino Linotype" w:cs="Arial"/>
          <w:sz w:val="24"/>
          <w:szCs w:val="24"/>
          <w:lang w:eastAsia="es-MX"/>
        </w:rPr>
      </w:pPr>
      <w:r w:rsidRPr="002951D2">
        <w:rPr>
          <w:rFonts w:ascii="Palatino Linotype" w:hAnsi="Palatino Linotype" w:cs="Arial"/>
          <w:sz w:val="24"/>
          <w:szCs w:val="24"/>
          <w:lang w:eastAsia="es-MX"/>
        </w:rPr>
        <w:t xml:space="preserve">En este sentido, existen diversos tipos de pólizas contables de acuerdo a las operaciones realizadas, dentro de las cuales, encontramos las llamadas </w:t>
      </w:r>
      <w:r w:rsidRPr="002951D2">
        <w:rPr>
          <w:rFonts w:ascii="Palatino Linotype" w:hAnsi="Palatino Linotype" w:cs="Arial"/>
          <w:i/>
          <w:sz w:val="24"/>
          <w:szCs w:val="24"/>
          <w:lang w:eastAsia="es-MX"/>
        </w:rPr>
        <w:t>pólizas de egresos</w:t>
      </w:r>
      <w:r w:rsidRPr="002951D2">
        <w:rPr>
          <w:rFonts w:ascii="Palatino Linotype" w:hAnsi="Palatino Linotype" w:cs="Arial"/>
          <w:sz w:val="24"/>
          <w:szCs w:val="24"/>
          <w:lang w:eastAsia="es-MX"/>
        </w:rPr>
        <w:t xml:space="preserve">, en las cuales se anotan diariamente las operaciones que representan egresos, es decir, salidas de dinero para </w:t>
      </w:r>
      <w:r w:rsidRPr="002951D2">
        <w:rPr>
          <w:rFonts w:ascii="Palatino Linotype" w:hAnsi="Palatino Linotype" w:cs="Arial"/>
          <w:b/>
          <w:sz w:val="24"/>
          <w:szCs w:val="24"/>
          <w:lang w:eastAsia="es-MX"/>
        </w:rPr>
        <w:t>EL SUJETO OBLIGADO</w:t>
      </w:r>
      <w:r w:rsidRPr="002951D2">
        <w:rPr>
          <w:rFonts w:ascii="Palatino Linotype" w:hAnsi="Palatino Linotype" w:cs="Arial"/>
          <w:sz w:val="24"/>
          <w:szCs w:val="24"/>
          <w:lang w:eastAsia="es-MX"/>
        </w:rPr>
        <w:t xml:space="preserve">, la cual además, debe encontrarse acompañada de las documentales que sirven de soporte de dicho movimiento. </w:t>
      </w:r>
    </w:p>
    <w:p w:rsidR="00192EE5" w:rsidRPr="002951D2" w:rsidRDefault="00192EE5" w:rsidP="00192EE5">
      <w:pPr>
        <w:pStyle w:val="Prrafodelista"/>
        <w:rPr>
          <w:rFonts w:ascii="Palatino Linotype" w:hAnsi="Palatino Linotype" w:cs="Arial"/>
          <w:sz w:val="24"/>
          <w:szCs w:val="24"/>
          <w:lang w:eastAsia="es-MX"/>
        </w:rPr>
      </w:pPr>
    </w:p>
    <w:p w:rsidR="00192EE5" w:rsidRPr="002951D2" w:rsidRDefault="00192EE5" w:rsidP="00DC5CB3">
      <w:pPr>
        <w:pStyle w:val="Prrafodelista"/>
        <w:numPr>
          <w:ilvl w:val="0"/>
          <w:numId w:val="2"/>
        </w:numPr>
        <w:spacing w:before="240" w:after="240" w:line="360" w:lineRule="auto"/>
        <w:ind w:left="0" w:firstLine="0"/>
        <w:jc w:val="both"/>
        <w:rPr>
          <w:rFonts w:ascii="Palatino Linotype" w:hAnsi="Palatino Linotype" w:cs="Arial"/>
          <w:sz w:val="24"/>
          <w:szCs w:val="24"/>
          <w:lang w:eastAsia="es-MX"/>
        </w:rPr>
      </w:pPr>
      <w:r w:rsidRPr="002951D2">
        <w:rPr>
          <w:rFonts w:ascii="Palatino Linotype" w:hAnsi="Palatino Linotype" w:cs="Arial"/>
          <w:sz w:val="24"/>
          <w:szCs w:val="24"/>
          <w:lang w:eastAsia="es-MX"/>
        </w:rPr>
        <w:t xml:space="preserve"> Dicho lo anterior, se puede advertir que el </w:t>
      </w:r>
      <w:r w:rsidRPr="002951D2">
        <w:rPr>
          <w:rFonts w:ascii="Palatino Linotype" w:hAnsi="Palatino Linotype" w:cs="Arial"/>
          <w:b/>
          <w:sz w:val="24"/>
          <w:szCs w:val="24"/>
          <w:lang w:eastAsia="es-MX"/>
        </w:rPr>
        <w:t>SUJETO OBLIGADO</w:t>
      </w:r>
      <w:r w:rsidRPr="002951D2">
        <w:rPr>
          <w:rFonts w:ascii="Palatino Linotype" w:hAnsi="Palatino Linotype" w:cs="Arial"/>
          <w:sz w:val="24"/>
          <w:szCs w:val="24"/>
          <w:lang w:eastAsia="es-MX"/>
        </w:rPr>
        <w:t xml:space="preserve"> a su consideración </w:t>
      </w:r>
      <w:r w:rsidR="00841F89" w:rsidRPr="002951D2">
        <w:rPr>
          <w:rFonts w:ascii="Palatino Linotype" w:hAnsi="Palatino Linotype" w:cs="Arial"/>
          <w:sz w:val="24"/>
          <w:szCs w:val="24"/>
          <w:lang w:eastAsia="es-MX"/>
        </w:rPr>
        <w:t>remitió el soporte documental con que cuenta en su</w:t>
      </w:r>
      <w:r w:rsidR="00AA0B6F" w:rsidRPr="002951D2">
        <w:rPr>
          <w:rFonts w:ascii="Palatino Linotype" w:hAnsi="Palatino Linotype" w:cs="Arial"/>
          <w:sz w:val="24"/>
          <w:szCs w:val="24"/>
          <w:lang w:eastAsia="es-MX"/>
        </w:rPr>
        <w:t xml:space="preserve"> archivo, con el cual acredita los gasto erogados con recursos públicos del FASP de los ejercicio fiscales 2017 a lo que va del 2019; sin embargo, se pude observar que la información proporcionada se entregó en versión pública, sin adjuntar el respectivo acuerdo que avale dicha clasificación por lo que se desconoce la información que se eliminó, resultando una información fraudulenta y carente de sustento legal que causa incertidumbre al particular.</w:t>
      </w:r>
    </w:p>
    <w:p w:rsidR="00AA0B6F" w:rsidRPr="002951D2" w:rsidRDefault="00AA0B6F" w:rsidP="00AA0B6F">
      <w:pPr>
        <w:pStyle w:val="Prrafodelista"/>
        <w:rPr>
          <w:rFonts w:ascii="Palatino Linotype" w:hAnsi="Palatino Linotype" w:cs="Arial"/>
          <w:sz w:val="24"/>
          <w:szCs w:val="24"/>
          <w:lang w:eastAsia="es-MX"/>
        </w:rPr>
      </w:pPr>
    </w:p>
    <w:p w:rsidR="00AA0B6F" w:rsidRPr="002951D2" w:rsidRDefault="00AA0B6F" w:rsidP="00DC5CB3">
      <w:pPr>
        <w:pStyle w:val="Ttulo1"/>
        <w:numPr>
          <w:ilvl w:val="0"/>
          <w:numId w:val="20"/>
        </w:numPr>
        <w:ind w:left="709"/>
        <w:rPr>
          <w:rFonts w:ascii="Palatino Linotype" w:hAnsi="Palatino Linotype"/>
          <w:b/>
          <w:i/>
          <w:color w:val="auto"/>
          <w:sz w:val="24"/>
          <w:szCs w:val="24"/>
          <w:lang w:eastAsia="es-MX"/>
        </w:rPr>
      </w:pPr>
      <w:bookmarkStart w:id="78" w:name="_Toc23430163"/>
      <w:r w:rsidRPr="002951D2">
        <w:rPr>
          <w:rFonts w:ascii="Palatino Linotype" w:hAnsi="Palatino Linotype"/>
          <w:b/>
          <w:i/>
          <w:color w:val="auto"/>
          <w:sz w:val="24"/>
          <w:szCs w:val="24"/>
          <w:lang w:eastAsia="es-MX"/>
        </w:rPr>
        <w:t>De las restricciones a la información pública</w:t>
      </w:r>
      <w:bookmarkEnd w:id="78"/>
    </w:p>
    <w:p w:rsidR="00E56D52" w:rsidRPr="002951D2" w:rsidRDefault="00E56D52" w:rsidP="00192EE5">
      <w:pPr>
        <w:pStyle w:val="Prrafodelista"/>
        <w:spacing w:after="0" w:line="360" w:lineRule="auto"/>
        <w:ind w:left="0" w:right="49"/>
        <w:jc w:val="both"/>
        <w:rPr>
          <w:rFonts w:ascii="Palatino Linotype" w:eastAsia="MS Mincho" w:hAnsi="Palatino Linotype" w:cstheme="majorBidi"/>
          <w:sz w:val="24"/>
          <w:szCs w:val="24"/>
          <w:lang w:val="es-ES_tradnl" w:eastAsia="es-ES"/>
        </w:rPr>
      </w:pPr>
    </w:p>
    <w:p w:rsidR="00E748D3" w:rsidRPr="002951D2" w:rsidRDefault="00E748D3" w:rsidP="00DC5CB3">
      <w:pPr>
        <w:pStyle w:val="Prrafodelista"/>
        <w:numPr>
          <w:ilvl w:val="0"/>
          <w:numId w:val="2"/>
        </w:numPr>
        <w:spacing w:after="0" w:line="360" w:lineRule="auto"/>
        <w:ind w:left="0" w:right="49" w:firstLine="0"/>
        <w:jc w:val="both"/>
        <w:rPr>
          <w:rFonts w:ascii="Palatino Linotype" w:eastAsia="MS Mincho" w:hAnsi="Palatino Linotype" w:cstheme="majorBidi"/>
          <w:sz w:val="24"/>
          <w:szCs w:val="24"/>
          <w:lang w:val="es-ES_tradnl" w:eastAsia="es-ES"/>
        </w:rPr>
      </w:pPr>
      <w:r w:rsidRPr="002951D2">
        <w:rPr>
          <w:rFonts w:ascii="Palatino Linotype" w:eastAsia="MS Mincho" w:hAnsi="Palatino Linotype" w:cstheme="majorBidi"/>
          <w:sz w:val="24"/>
          <w:szCs w:val="24"/>
          <w:lang w:val="es-ES_tradnl" w:eastAsia="es-ES"/>
        </w:rPr>
        <w:t>La Ley de Trasparecía y Acceso a la Información Pública del Estado de México y Municipios define los diversos aspectos en cuanto a la información pública:</w:t>
      </w:r>
    </w:p>
    <w:p w:rsidR="00E748D3" w:rsidRPr="002951D2" w:rsidRDefault="00E748D3" w:rsidP="00AA0B6F">
      <w:pPr>
        <w:pStyle w:val="Prrafodelista"/>
        <w:spacing w:after="120" w:line="360" w:lineRule="auto"/>
        <w:ind w:left="567" w:right="49"/>
        <w:jc w:val="both"/>
        <w:rPr>
          <w:rFonts w:ascii="Palatino Linotype" w:eastAsia="MS Mincho" w:hAnsi="Palatino Linotype" w:cstheme="majorBidi"/>
          <w:sz w:val="24"/>
          <w:szCs w:val="24"/>
          <w:lang w:val="es-ES_tradnl" w:eastAsia="es-ES"/>
        </w:rPr>
      </w:pPr>
    </w:p>
    <w:p w:rsidR="00E748D3" w:rsidRPr="002951D2" w:rsidRDefault="00E748D3" w:rsidP="00AA0B6F">
      <w:pPr>
        <w:pStyle w:val="Prrafodelista"/>
        <w:spacing w:after="120" w:line="360" w:lineRule="auto"/>
        <w:ind w:left="567" w:right="49"/>
        <w:jc w:val="both"/>
        <w:rPr>
          <w:rFonts w:ascii="Palatino Linotype" w:eastAsia="MS Mincho" w:hAnsi="Palatino Linotype" w:cstheme="majorBidi"/>
          <w:b/>
          <w:i/>
          <w:sz w:val="24"/>
          <w:szCs w:val="24"/>
          <w:lang w:eastAsia="es-ES"/>
        </w:rPr>
      </w:pPr>
      <w:r w:rsidRPr="002951D2">
        <w:rPr>
          <w:rFonts w:ascii="Palatino Linotype" w:eastAsia="MS Mincho" w:hAnsi="Palatino Linotype" w:cstheme="majorBidi"/>
          <w:b/>
          <w:i/>
          <w:sz w:val="24"/>
          <w:szCs w:val="24"/>
          <w:lang w:eastAsia="es-ES"/>
        </w:rPr>
        <w:t>Artículo 3. Para los efectos de la presente Ley se entenderá por:</w:t>
      </w:r>
    </w:p>
    <w:p w:rsidR="00E748D3" w:rsidRPr="002951D2" w:rsidRDefault="00E748D3" w:rsidP="00AA0B6F">
      <w:pPr>
        <w:pStyle w:val="Prrafodelista"/>
        <w:spacing w:after="120" w:line="360" w:lineRule="auto"/>
        <w:ind w:left="567" w:right="49"/>
        <w:jc w:val="both"/>
        <w:rPr>
          <w:rFonts w:ascii="Palatino Linotype" w:eastAsia="MS Mincho" w:hAnsi="Palatino Linotype" w:cstheme="majorBidi"/>
          <w:i/>
          <w:sz w:val="24"/>
          <w:szCs w:val="24"/>
          <w:lang w:eastAsia="es-ES"/>
        </w:rPr>
      </w:pPr>
      <w:r w:rsidRPr="002951D2">
        <w:rPr>
          <w:rFonts w:ascii="Palatino Linotype" w:eastAsia="MS Mincho" w:hAnsi="Palatino Linotype" w:cstheme="majorBidi"/>
          <w:i/>
          <w:sz w:val="24"/>
          <w:szCs w:val="24"/>
          <w:lang w:eastAsia="es-ES"/>
        </w:rPr>
        <w:t>I…</w:t>
      </w:r>
    </w:p>
    <w:p w:rsidR="00E748D3" w:rsidRPr="002951D2" w:rsidRDefault="00E748D3" w:rsidP="00AA0B6F">
      <w:pPr>
        <w:pStyle w:val="Prrafodelista"/>
        <w:spacing w:after="120" w:line="360" w:lineRule="auto"/>
        <w:ind w:left="567" w:right="49"/>
        <w:jc w:val="both"/>
        <w:rPr>
          <w:rFonts w:ascii="Palatino Linotype" w:eastAsia="MS Mincho" w:hAnsi="Palatino Linotype" w:cstheme="majorBidi"/>
          <w:i/>
          <w:sz w:val="24"/>
          <w:szCs w:val="24"/>
          <w:lang w:val="es-ES_tradnl" w:eastAsia="es-ES"/>
        </w:rPr>
      </w:pPr>
      <w:r w:rsidRPr="002951D2">
        <w:rPr>
          <w:rFonts w:ascii="Palatino Linotype" w:eastAsia="MS Mincho" w:hAnsi="Palatino Linotype" w:cstheme="majorBidi"/>
          <w:i/>
          <w:sz w:val="24"/>
          <w:szCs w:val="24"/>
          <w:lang w:eastAsia="es-ES"/>
        </w:rPr>
        <w:t>…</w:t>
      </w:r>
    </w:p>
    <w:p w:rsidR="00E748D3" w:rsidRPr="002951D2" w:rsidRDefault="00E748D3" w:rsidP="00AA0B6F">
      <w:pPr>
        <w:pStyle w:val="Prrafodelista"/>
        <w:spacing w:after="120" w:line="360" w:lineRule="auto"/>
        <w:ind w:left="567" w:right="49"/>
        <w:jc w:val="both"/>
        <w:rPr>
          <w:rFonts w:ascii="Palatino Linotype" w:hAnsi="Palatino Linotype"/>
          <w:b/>
          <w:i/>
          <w:sz w:val="24"/>
          <w:szCs w:val="24"/>
        </w:rPr>
      </w:pPr>
      <w:r w:rsidRPr="002951D2">
        <w:rPr>
          <w:rFonts w:ascii="Palatino Linotype" w:hAnsi="Palatino Linotype"/>
          <w:b/>
          <w:i/>
          <w:sz w:val="24"/>
          <w:szCs w:val="24"/>
        </w:rPr>
        <w:t>XX. Información clasificada</w:t>
      </w:r>
      <w:r w:rsidRPr="002951D2">
        <w:rPr>
          <w:rFonts w:ascii="Palatino Linotype" w:hAnsi="Palatino Linotype"/>
          <w:i/>
          <w:sz w:val="24"/>
          <w:szCs w:val="24"/>
        </w:rPr>
        <w:t xml:space="preserve">: Aquella considerada por la presente Ley como </w:t>
      </w:r>
      <w:r w:rsidRPr="002951D2">
        <w:rPr>
          <w:rFonts w:ascii="Palatino Linotype" w:hAnsi="Palatino Linotype"/>
          <w:b/>
          <w:i/>
          <w:sz w:val="24"/>
          <w:szCs w:val="24"/>
        </w:rPr>
        <w:t xml:space="preserve">reservada o confidencial; </w:t>
      </w:r>
    </w:p>
    <w:p w:rsidR="00E748D3" w:rsidRPr="002951D2" w:rsidRDefault="00E748D3" w:rsidP="00AA0B6F">
      <w:pPr>
        <w:pStyle w:val="Prrafodelista"/>
        <w:spacing w:after="120" w:line="360" w:lineRule="auto"/>
        <w:ind w:left="567" w:right="49"/>
        <w:jc w:val="both"/>
        <w:rPr>
          <w:rFonts w:ascii="Palatino Linotype" w:hAnsi="Palatino Linotype"/>
          <w:b/>
          <w:i/>
          <w:sz w:val="24"/>
          <w:szCs w:val="24"/>
        </w:rPr>
      </w:pPr>
      <w:r w:rsidRPr="002951D2">
        <w:rPr>
          <w:rFonts w:ascii="Palatino Linotype" w:hAnsi="Palatino Linotype"/>
          <w:b/>
          <w:i/>
          <w:sz w:val="24"/>
          <w:szCs w:val="24"/>
        </w:rPr>
        <w:t>XXI. Información confidencial:</w:t>
      </w:r>
      <w:r w:rsidRPr="002951D2">
        <w:rPr>
          <w:rFonts w:ascii="Palatino Linotype" w:hAnsi="Palatino Linotype"/>
          <w:i/>
          <w:sz w:val="24"/>
          <w:szCs w:val="24"/>
        </w:rPr>
        <w:t xml:space="preserve"> Se considera como información </w:t>
      </w:r>
      <w:r w:rsidRPr="002951D2">
        <w:rPr>
          <w:rFonts w:ascii="Palatino Linotype" w:hAnsi="Palatino Linotype"/>
          <w:b/>
          <w:i/>
          <w:sz w:val="24"/>
          <w:szCs w:val="24"/>
        </w:rPr>
        <w:t xml:space="preserve">confidencial los secretos bancario, fiduciario, industrial, comercial, fiscal, bursátil y postal, cuya titularidad corresponda a particulares, sujetos de derecho internacional o a sujetos obligados cuando no involucren el ejercicio de recursos públicos; </w:t>
      </w:r>
    </w:p>
    <w:p w:rsidR="00AA0B6F" w:rsidRPr="002951D2" w:rsidRDefault="00AA0B6F" w:rsidP="00AA0B6F">
      <w:pPr>
        <w:pStyle w:val="Prrafodelista"/>
        <w:spacing w:after="120" w:line="360" w:lineRule="auto"/>
        <w:ind w:left="567" w:right="49"/>
        <w:jc w:val="both"/>
        <w:rPr>
          <w:rFonts w:ascii="Palatino Linotype" w:hAnsi="Palatino Linotype"/>
          <w:b/>
          <w:i/>
          <w:sz w:val="24"/>
          <w:szCs w:val="24"/>
        </w:rPr>
      </w:pPr>
    </w:p>
    <w:p w:rsidR="00E748D3" w:rsidRPr="002951D2" w:rsidRDefault="00E748D3" w:rsidP="00AA0B6F">
      <w:pPr>
        <w:pStyle w:val="Prrafodelista"/>
        <w:spacing w:after="120" w:line="360" w:lineRule="auto"/>
        <w:ind w:left="567" w:right="49"/>
        <w:jc w:val="both"/>
        <w:rPr>
          <w:rFonts w:ascii="Palatino Linotype" w:hAnsi="Palatino Linotype"/>
          <w:i/>
          <w:sz w:val="24"/>
          <w:szCs w:val="24"/>
        </w:rPr>
      </w:pPr>
      <w:r w:rsidRPr="002951D2">
        <w:rPr>
          <w:rFonts w:ascii="Palatino Linotype" w:hAnsi="Palatino Linotype"/>
          <w:b/>
          <w:i/>
          <w:sz w:val="24"/>
          <w:szCs w:val="24"/>
        </w:rPr>
        <w:t>XXII. Información de interés público:</w:t>
      </w:r>
      <w:r w:rsidRPr="002951D2">
        <w:rPr>
          <w:rFonts w:ascii="Palatino Linotype" w:hAnsi="Palatino Linotype"/>
          <w:i/>
          <w:sz w:val="24"/>
          <w:szCs w:val="24"/>
        </w:rPr>
        <w:t xml:space="preserve"> Se refiere a la información </w:t>
      </w:r>
      <w:r w:rsidRPr="002951D2">
        <w:rPr>
          <w:rFonts w:ascii="Palatino Linotype" w:hAnsi="Palatino Linotype"/>
          <w:b/>
          <w:i/>
          <w:sz w:val="24"/>
          <w:szCs w:val="24"/>
        </w:rPr>
        <w:t>que resulta relevante o beneficiosa para la sociedad</w:t>
      </w:r>
      <w:r w:rsidRPr="002951D2">
        <w:rPr>
          <w:rFonts w:ascii="Palatino Linotype" w:hAnsi="Palatino Linotype"/>
          <w:i/>
          <w:sz w:val="24"/>
          <w:szCs w:val="24"/>
        </w:rPr>
        <w:t xml:space="preserve"> y no simplemente de interés individual, cuya d</w:t>
      </w:r>
      <w:r w:rsidRPr="002951D2">
        <w:rPr>
          <w:rFonts w:ascii="Palatino Linotype" w:hAnsi="Palatino Linotype"/>
          <w:b/>
          <w:i/>
          <w:sz w:val="24"/>
          <w:szCs w:val="24"/>
        </w:rPr>
        <w:t>ivulgación resulta útil para que el público comprenda las actividades que llevan a cabo los sujetos obligados</w:t>
      </w:r>
      <w:r w:rsidRPr="002951D2">
        <w:rPr>
          <w:rFonts w:ascii="Palatino Linotype" w:hAnsi="Palatino Linotype"/>
          <w:i/>
          <w:sz w:val="24"/>
          <w:szCs w:val="24"/>
        </w:rPr>
        <w:t xml:space="preserve">; </w:t>
      </w:r>
    </w:p>
    <w:p w:rsidR="00AA0B6F" w:rsidRPr="002951D2" w:rsidRDefault="00AA0B6F" w:rsidP="00AA0B6F">
      <w:pPr>
        <w:pStyle w:val="Prrafodelista"/>
        <w:spacing w:after="120" w:line="360" w:lineRule="auto"/>
        <w:ind w:left="567" w:right="49"/>
        <w:jc w:val="both"/>
        <w:rPr>
          <w:rFonts w:ascii="Palatino Linotype" w:hAnsi="Palatino Linotype"/>
          <w:i/>
          <w:sz w:val="24"/>
          <w:szCs w:val="24"/>
        </w:rPr>
      </w:pPr>
      <w:r w:rsidRPr="002951D2">
        <w:rPr>
          <w:rFonts w:ascii="Palatino Linotype" w:hAnsi="Palatino Linotype"/>
          <w:i/>
          <w:sz w:val="24"/>
          <w:szCs w:val="24"/>
        </w:rPr>
        <w:t>…</w:t>
      </w:r>
    </w:p>
    <w:p w:rsidR="00E748D3" w:rsidRPr="002951D2" w:rsidRDefault="00E748D3" w:rsidP="00AA0B6F">
      <w:pPr>
        <w:pStyle w:val="Prrafodelista"/>
        <w:spacing w:after="120" w:line="360" w:lineRule="auto"/>
        <w:ind w:left="567" w:right="49"/>
        <w:jc w:val="both"/>
        <w:rPr>
          <w:rFonts w:ascii="Palatino Linotype" w:hAnsi="Palatino Linotype"/>
          <w:i/>
          <w:sz w:val="24"/>
          <w:szCs w:val="24"/>
        </w:rPr>
      </w:pPr>
      <w:r w:rsidRPr="002951D2">
        <w:rPr>
          <w:rFonts w:ascii="Palatino Linotype" w:hAnsi="Palatino Linotype"/>
          <w:b/>
          <w:i/>
          <w:sz w:val="24"/>
          <w:szCs w:val="24"/>
        </w:rPr>
        <w:t>XXIV. Información reservada:</w:t>
      </w:r>
      <w:r w:rsidRPr="002951D2">
        <w:rPr>
          <w:rFonts w:ascii="Palatino Linotype" w:hAnsi="Palatino Linotype"/>
          <w:i/>
          <w:sz w:val="24"/>
          <w:szCs w:val="24"/>
        </w:rPr>
        <w:t xml:space="preserve"> La clasificada con este carácter de manera temporal por las disposiciones de esta Ley, cuya divulgación puede causar daño en términos de lo establecido por esta Ley;</w:t>
      </w:r>
    </w:p>
    <w:p w:rsidR="00E748D3" w:rsidRPr="002951D2" w:rsidRDefault="00E748D3" w:rsidP="00AA0B6F">
      <w:pPr>
        <w:pStyle w:val="Prrafodelista"/>
        <w:spacing w:after="120" w:line="360" w:lineRule="auto"/>
        <w:ind w:left="567" w:right="49"/>
        <w:jc w:val="both"/>
        <w:rPr>
          <w:rFonts w:ascii="Palatino Linotype" w:hAnsi="Palatino Linotype"/>
          <w:i/>
          <w:sz w:val="24"/>
          <w:szCs w:val="24"/>
        </w:rPr>
      </w:pPr>
      <w:r w:rsidRPr="002951D2">
        <w:rPr>
          <w:rFonts w:ascii="Palatino Linotype" w:hAnsi="Palatino Linotype"/>
          <w:i/>
          <w:sz w:val="24"/>
          <w:szCs w:val="24"/>
        </w:rPr>
        <w:t>…</w:t>
      </w:r>
    </w:p>
    <w:p w:rsidR="00E748D3" w:rsidRPr="002951D2" w:rsidRDefault="00E748D3" w:rsidP="00AA0B6F">
      <w:pPr>
        <w:pStyle w:val="Prrafodelista"/>
        <w:spacing w:after="120" w:line="360" w:lineRule="auto"/>
        <w:ind w:left="567" w:right="49"/>
        <w:jc w:val="both"/>
        <w:rPr>
          <w:rFonts w:ascii="Palatino Linotype" w:hAnsi="Palatino Linotype"/>
          <w:i/>
          <w:sz w:val="24"/>
          <w:szCs w:val="24"/>
        </w:rPr>
      </w:pPr>
      <w:r w:rsidRPr="002951D2">
        <w:rPr>
          <w:rFonts w:ascii="Palatino Linotype" w:hAnsi="Palatino Linotype"/>
          <w:b/>
          <w:i/>
          <w:sz w:val="24"/>
          <w:szCs w:val="24"/>
        </w:rPr>
        <w:t>XLV. Versión pública:</w:t>
      </w:r>
      <w:r w:rsidRPr="002951D2">
        <w:rPr>
          <w:rFonts w:ascii="Palatino Linotype" w:hAnsi="Palatino Linotype"/>
          <w:i/>
          <w:sz w:val="24"/>
          <w:szCs w:val="24"/>
        </w:rPr>
        <w:t xml:space="preserve"> </w:t>
      </w:r>
      <w:r w:rsidRPr="002951D2">
        <w:rPr>
          <w:rFonts w:ascii="Palatino Linotype" w:hAnsi="Palatino Linotype"/>
          <w:b/>
          <w:i/>
          <w:sz w:val="24"/>
          <w:szCs w:val="24"/>
        </w:rPr>
        <w:t>Documento en el que se elimine, suprime o borra la información clasificada como reservada o confidencial para permitir su acces</w:t>
      </w:r>
      <w:r w:rsidRPr="002951D2">
        <w:rPr>
          <w:rFonts w:ascii="Palatino Linotype" w:hAnsi="Palatino Linotype"/>
          <w:i/>
          <w:sz w:val="24"/>
          <w:szCs w:val="24"/>
        </w:rPr>
        <w:t>o.</w:t>
      </w:r>
    </w:p>
    <w:p w:rsidR="00AA0B6F" w:rsidRPr="002951D2" w:rsidRDefault="00AA0B6F" w:rsidP="00E748D3">
      <w:pPr>
        <w:pStyle w:val="Prrafodelista"/>
        <w:spacing w:after="120" w:line="360" w:lineRule="auto"/>
        <w:ind w:left="0" w:right="49"/>
        <w:jc w:val="both"/>
        <w:rPr>
          <w:rFonts w:ascii="Palatino Linotype" w:hAnsi="Palatino Linotype"/>
          <w:i/>
          <w:sz w:val="24"/>
          <w:szCs w:val="24"/>
        </w:rPr>
      </w:pPr>
    </w:p>
    <w:p w:rsidR="00E748D3" w:rsidRPr="002951D2" w:rsidRDefault="00E748D3" w:rsidP="00DC5CB3">
      <w:pPr>
        <w:pStyle w:val="Prrafodelista"/>
        <w:numPr>
          <w:ilvl w:val="0"/>
          <w:numId w:val="2"/>
        </w:numPr>
        <w:spacing w:after="120" w:line="360" w:lineRule="auto"/>
        <w:ind w:left="0" w:right="49" w:firstLine="0"/>
        <w:jc w:val="both"/>
        <w:rPr>
          <w:rFonts w:ascii="Palatino Linotype" w:eastAsia="MS Mincho" w:hAnsi="Palatino Linotype" w:cstheme="majorBidi"/>
          <w:sz w:val="24"/>
          <w:szCs w:val="24"/>
          <w:lang w:val="es-ES_tradnl" w:eastAsia="es-ES"/>
        </w:rPr>
      </w:pPr>
      <w:r w:rsidRPr="002951D2">
        <w:rPr>
          <w:rFonts w:ascii="Palatino Linotype" w:eastAsia="MS Mincho" w:hAnsi="Palatino Linotype" w:cstheme="majorBidi"/>
          <w:sz w:val="24"/>
          <w:szCs w:val="24"/>
          <w:lang w:val="es-ES_tradnl" w:eastAsia="es-ES"/>
        </w:rPr>
        <w:t>De las definiciones anteriormente expuesta</w:t>
      </w:r>
      <w:r w:rsidR="00AA0B6F" w:rsidRPr="002951D2">
        <w:rPr>
          <w:rFonts w:ascii="Palatino Linotype" w:eastAsia="MS Mincho" w:hAnsi="Palatino Linotype" w:cstheme="majorBidi"/>
          <w:sz w:val="24"/>
          <w:szCs w:val="24"/>
          <w:lang w:val="es-ES_tradnl" w:eastAsia="es-ES"/>
        </w:rPr>
        <w:t>s</w:t>
      </w:r>
      <w:r w:rsidRPr="002951D2">
        <w:rPr>
          <w:rFonts w:ascii="Palatino Linotype" w:eastAsia="MS Mincho" w:hAnsi="Palatino Linotype" w:cstheme="majorBidi"/>
          <w:sz w:val="24"/>
          <w:szCs w:val="24"/>
          <w:lang w:val="es-ES_tradnl" w:eastAsia="es-ES"/>
        </w:rPr>
        <w:t xml:space="preserve"> se puede observar las diferentes supuestos de la información pública; así mismo, la Ley en la materia refiere cuales son </w:t>
      </w:r>
      <w:r w:rsidR="00AA0B6F" w:rsidRPr="002951D2">
        <w:rPr>
          <w:rFonts w:ascii="Palatino Linotype" w:eastAsia="MS Mincho" w:hAnsi="Palatino Linotype" w:cstheme="majorBidi"/>
          <w:sz w:val="24"/>
          <w:szCs w:val="24"/>
          <w:lang w:val="es-ES_tradnl" w:eastAsia="es-ES"/>
        </w:rPr>
        <w:t>los</w:t>
      </w:r>
      <w:r w:rsidRPr="002951D2">
        <w:rPr>
          <w:rFonts w:ascii="Palatino Linotype" w:eastAsia="MS Mincho" w:hAnsi="Palatino Linotype" w:cstheme="majorBidi"/>
          <w:sz w:val="24"/>
          <w:szCs w:val="24"/>
          <w:lang w:val="es-ES_tradnl" w:eastAsia="es-ES"/>
        </w:rPr>
        <w:t xml:space="preserve"> supuestos en que se clasifica la información, para lo cual se transcribe el contenido de los siguientes artículos: </w:t>
      </w:r>
    </w:p>
    <w:p w:rsidR="00E748D3" w:rsidRPr="002951D2" w:rsidRDefault="00E748D3" w:rsidP="00E748D3">
      <w:pPr>
        <w:pStyle w:val="Prrafodelista"/>
        <w:spacing w:after="120" w:line="360" w:lineRule="auto"/>
        <w:ind w:left="0" w:right="49"/>
        <w:jc w:val="both"/>
        <w:rPr>
          <w:rFonts w:ascii="Palatino Linotype" w:eastAsia="MS Mincho" w:hAnsi="Palatino Linotype" w:cstheme="majorBidi"/>
          <w:sz w:val="24"/>
          <w:szCs w:val="24"/>
          <w:lang w:val="es-ES_tradnl" w:eastAsia="es-ES"/>
        </w:rPr>
      </w:pPr>
    </w:p>
    <w:p w:rsidR="00E748D3" w:rsidRPr="002951D2" w:rsidRDefault="00E748D3" w:rsidP="00AA0B6F">
      <w:pPr>
        <w:pStyle w:val="Prrafodelista"/>
        <w:spacing w:after="120" w:line="360" w:lineRule="auto"/>
        <w:ind w:left="567" w:right="616"/>
        <w:jc w:val="both"/>
        <w:rPr>
          <w:rFonts w:ascii="Palatino Linotype" w:eastAsia="MS Mincho" w:hAnsi="Palatino Linotype" w:cstheme="majorBidi"/>
          <w:i/>
          <w:sz w:val="24"/>
          <w:szCs w:val="24"/>
          <w:lang w:eastAsia="es-ES"/>
        </w:rPr>
      </w:pPr>
      <w:r w:rsidRPr="002951D2">
        <w:rPr>
          <w:rFonts w:ascii="Palatino Linotype" w:eastAsia="MS Mincho" w:hAnsi="Palatino Linotype" w:cstheme="majorBidi"/>
          <w:b/>
          <w:i/>
          <w:sz w:val="24"/>
          <w:szCs w:val="24"/>
          <w:lang w:eastAsia="es-ES"/>
        </w:rPr>
        <w:t>Artículo 122.</w:t>
      </w:r>
      <w:r w:rsidRPr="002951D2">
        <w:rPr>
          <w:rFonts w:ascii="Palatino Linotype" w:eastAsia="MS Mincho" w:hAnsi="Palatino Linotype" w:cstheme="majorBidi"/>
          <w:i/>
          <w:sz w:val="24"/>
          <w:szCs w:val="24"/>
          <w:lang w:eastAsia="es-ES"/>
        </w:rPr>
        <w:t xml:space="preserve"> </w:t>
      </w:r>
      <w:r w:rsidRPr="002951D2">
        <w:rPr>
          <w:rFonts w:ascii="Palatino Linotype" w:eastAsia="MS Mincho" w:hAnsi="Palatino Linotype" w:cstheme="majorBidi"/>
          <w:b/>
          <w:i/>
          <w:sz w:val="24"/>
          <w:szCs w:val="24"/>
          <w:lang w:eastAsia="es-ES"/>
        </w:rPr>
        <w:t>La clasificación es el proceso mediante el cual el sujeto obligado determina que la información en su poder actualiza alguno de los supuestos de reserva o confidencialidad,</w:t>
      </w:r>
      <w:r w:rsidRPr="002951D2">
        <w:rPr>
          <w:rFonts w:ascii="Palatino Linotype" w:eastAsia="MS Mincho" w:hAnsi="Palatino Linotype" w:cstheme="majorBidi"/>
          <w:i/>
          <w:sz w:val="24"/>
          <w:szCs w:val="24"/>
          <w:lang w:eastAsia="es-ES"/>
        </w:rPr>
        <w:t xml:space="preserve"> de conformidad con lo dispuesto en el presente título. </w:t>
      </w:r>
    </w:p>
    <w:p w:rsidR="00E748D3" w:rsidRPr="002951D2" w:rsidRDefault="00E748D3" w:rsidP="00AA0B6F">
      <w:pPr>
        <w:pStyle w:val="Prrafodelista"/>
        <w:spacing w:after="120" w:line="360" w:lineRule="auto"/>
        <w:ind w:left="567" w:right="616"/>
        <w:jc w:val="both"/>
        <w:rPr>
          <w:rFonts w:ascii="Palatino Linotype" w:eastAsia="MS Mincho" w:hAnsi="Palatino Linotype" w:cstheme="majorBidi"/>
          <w:i/>
          <w:sz w:val="24"/>
          <w:szCs w:val="24"/>
          <w:lang w:eastAsia="es-ES"/>
        </w:rPr>
      </w:pPr>
      <w:r w:rsidRPr="002951D2">
        <w:rPr>
          <w:rFonts w:ascii="Palatino Linotype" w:eastAsia="MS Mincho" w:hAnsi="Palatino Linotype" w:cstheme="majorBidi"/>
          <w:i/>
          <w:sz w:val="24"/>
          <w:szCs w:val="24"/>
          <w:lang w:eastAsia="es-ES"/>
        </w:rPr>
        <w:t xml:space="preserve">Los supuestos de reserva o confidencialidad previstos en las leyes deberán ser acordes con las bases, principios y disposiciones establecidos en la Ley General y, en ningún caso, podrán contravenirla. </w:t>
      </w:r>
    </w:p>
    <w:p w:rsidR="00E748D3" w:rsidRPr="002951D2" w:rsidRDefault="00E748D3" w:rsidP="00AA0B6F">
      <w:pPr>
        <w:pStyle w:val="Prrafodelista"/>
        <w:spacing w:after="120" w:line="360" w:lineRule="auto"/>
        <w:ind w:left="567" w:right="616"/>
        <w:jc w:val="both"/>
        <w:rPr>
          <w:rFonts w:ascii="Palatino Linotype" w:eastAsia="MS Mincho" w:hAnsi="Palatino Linotype" w:cstheme="majorBidi"/>
          <w:i/>
          <w:sz w:val="24"/>
          <w:szCs w:val="24"/>
          <w:lang w:eastAsia="es-ES"/>
        </w:rPr>
      </w:pPr>
      <w:r w:rsidRPr="002951D2">
        <w:rPr>
          <w:rFonts w:ascii="Palatino Linotype" w:eastAsia="MS Mincho" w:hAnsi="Palatino Linotype" w:cstheme="majorBidi"/>
          <w:i/>
          <w:sz w:val="24"/>
          <w:szCs w:val="24"/>
          <w:lang w:eastAsia="es-ES"/>
        </w:rPr>
        <w:t>Los titulares de las áreas de los sujetos obligados serán los responsables de clasificar la información, de conformidad con lo dispuesto en la presente Ley y demás disposiciones jurídicas aplicables.</w:t>
      </w:r>
    </w:p>
    <w:p w:rsidR="00E748D3" w:rsidRPr="002951D2" w:rsidRDefault="00E748D3" w:rsidP="00AA0B6F">
      <w:pPr>
        <w:pStyle w:val="Prrafodelista"/>
        <w:spacing w:after="120" w:line="360" w:lineRule="auto"/>
        <w:ind w:left="567" w:right="616"/>
        <w:jc w:val="both"/>
        <w:rPr>
          <w:rFonts w:ascii="Palatino Linotype" w:eastAsia="MS Mincho" w:hAnsi="Palatino Linotype" w:cstheme="majorBidi"/>
          <w:i/>
          <w:sz w:val="24"/>
          <w:szCs w:val="24"/>
          <w:lang w:val="es-ES_tradnl" w:eastAsia="es-ES"/>
        </w:rPr>
      </w:pPr>
    </w:p>
    <w:p w:rsidR="00E748D3" w:rsidRPr="002951D2" w:rsidRDefault="00E748D3" w:rsidP="00AA0B6F">
      <w:pPr>
        <w:spacing w:after="120" w:line="360" w:lineRule="auto"/>
        <w:ind w:left="567" w:right="616"/>
        <w:contextualSpacing/>
        <w:jc w:val="both"/>
        <w:rPr>
          <w:rFonts w:ascii="Palatino Linotype" w:eastAsia="MS Mincho" w:hAnsi="Palatino Linotype" w:cstheme="majorBidi"/>
          <w:i/>
          <w:sz w:val="24"/>
          <w:szCs w:val="24"/>
          <w:lang w:eastAsia="es-ES"/>
        </w:rPr>
      </w:pPr>
      <w:r w:rsidRPr="002951D2">
        <w:rPr>
          <w:rFonts w:ascii="Palatino Linotype" w:eastAsia="MS Mincho" w:hAnsi="Palatino Linotype" w:cstheme="majorBidi"/>
          <w:b/>
          <w:i/>
          <w:sz w:val="24"/>
          <w:szCs w:val="24"/>
          <w:lang w:eastAsia="es-ES"/>
        </w:rPr>
        <w:t>Artículo 140.</w:t>
      </w:r>
      <w:r w:rsidRPr="002951D2">
        <w:rPr>
          <w:rFonts w:ascii="Palatino Linotype" w:eastAsia="MS Mincho" w:hAnsi="Palatino Linotype" w:cstheme="majorBidi"/>
          <w:i/>
          <w:sz w:val="24"/>
          <w:szCs w:val="24"/>
          <w:lang w:eastAsia="es-ES"/>
        </w:rPr>
        <w:t xml:space="preserve"> </w:t>
      </w:r>
      <w:r w:rsidRPr="002951D2">
        <w:rPr>
          <w:rFonts w:ascii="Palatino Linotype" w:eastAsia="MS Mincho" w:hAnsi="Palatino Linotype" w:cstheme="majorBidi"/>
          <w:b/>
          <w:i/>
          <w:sz w:val="24"/>
          <w:szCs w:val="24"/>
          <w:lang w:eastAsia="es-ES"/>
        </w:rPr>
        <w:t xml:space="preserve">El acceso a la información pública será restringido excepcionalmente, cuando por razones de interés público, ésta sea </w:t>
      </w:r>
      <w:r w:rsidRPr="002951D2">
        <w:rPr>
          <w:rFonts w:ascii="Palatino Linotype" w:eastAsia="MS Mincho" w:hAnsi="Palatino Linotype" w:cstheme="majorBidi"/>
          <w:b/>
          <w:i/>
          <w:sz w:val="24"/>
          <w:szCs w:val="24"/>
          <w:u w:val="single"/>
          <w:lang w:eastAsia="es-ES"/>
        </w:rPr>
        <w:t>clasificada como reservada</w:t>
      </w:r>
      <w:r w:rsidRPr="002951D2">
        <w:rPr>
          <w:rFonts w:ascii="Palatino Linotype" w:eastAsia="MS Mincho" w:hAnsi="Palatino Linotype" w:cstheme="majorBidi"/>
          <w:i/>
          <w:sz w:val="24"/>
          <w:szCs w:val="24"/>
          <w:lang w:eastAsia="es-ES"/>
        </w:rPr>
        <w:t xml:space="preserve">, conforme a los criterios siguientes: </w:t>
      </w:r>
    </w:p>
    <w:p w:rsidR="00E748D3" w:rsidRPr="002951D2" w:rsidRDefault="00E748D3" w:rsidP="00AA0B6F">
      <w:pPr>
        <w:spacing w:after="120" w:line="360" w:lineRule="auto"/>
        <w:ind w:left="567" w:right="616"/>
        <w:contextualSpacing/>
        <w:jc w:val="both"/>
        <w:rPr>
          <w:rFonts w:ascii="Palatino Linotype" w:eastAsia="MS Mincho" w:hAnsi="Palatino Linotype" w:cstheme="majorBidi"/>
          <w:i/>
          <w:sz w:val="24"/>
          <w:szCs w:val="24"/>
          <w:lang w:eastAsia="es-ES"/>
        </w:rPr>
      </w:pPr>
      <w:r w:rsidRPr="002951D2">
        <w:rPr>
          <w:rFonts w:ascii="Palatino Linotype" w:eastAsia="MS Mincho" w:hAnsi="Palatino Linotype" w:cstheme="majorBidi"/>
          <w:i/>
          <w:sz w:val="24"/>
          <w:szCs w:val="24"/>
          <w:lang w:eastAsia="es-ES"/>
        </w:rPr>
        <w:t xml:space="preserve">I. Comprometa la seguridad pública y cuente con un propósito genuino y un efecto demostrable; </w:t>
      </w:r>
    </w:p>
    <w:p w:rsidR="00E748D3" w:rsidRPr="002951D2" w:rsidRDefault="00E748D3" w:rsidP="00AA0B6F">
      <w:pPr>
        <w:spacing w:after="120" w:line="360" w:lineRule="auto"/>
        <w:ind w:left="567" w:right="616"/>
        <w:contextualSpacing/>
        <w:jc w:val="both"/>
        <w:rPr>
          <w:rFonts w:ascii="Palatino Linotype" w:eastAsia="MS Mincho" w:hAnsi="Palatino Linotype" w:cstheme="majorBidi"/>
          <w:i/>
          <w:sz w:val="24"/>
          <w:szCs w:val="24"/>
          <w:lang w:eastAsia="es-ES"/>
        </w:rPr>
      </w:pPr>
      <w:r w:rsidRPr="002951D2">
        <w:rPr>
          <w:rFonts w:ascii="Palatino Linotype" w:eastAsia="MS Mincho" w:hAnsi="Palatino Linotype" w:cstheme="majorBidi"/>
          <w:i/>
          <w:sz w:val="24"/>
          <w:szCs w:val="24"/>
          <w:lang w:eastAsia="es-ES"/>
        </w:rPr>
        <w:t xml:space="preserve">II. Pueda menoscabar la conducción de las negociaciones y relaciones internacionales; </w:t>
      </w:r>
    </w:p>
    <w:p w:rsidR="00E748D3" w:rsidRPr="002951D2" w:rsidRDefault="00E748D3" w:rsidP="00AA0B6F">
      <w:pPr>
        <w:spacing w:after="120" w:line="360" w:lineRule="auto"/>
        <w:ind w:left="567" w:right="616"/>
        <w:contextualSpacing/>
        <w:jc w:val="both"/>
        <w:rPr>
          <w:rFonts w:ascii="Palatino Linotype" w:eastAsia="MS Mincho" w:hAnsi="Palatino Linotype" w:cstheme="majorBidi"/>
          <w:i/>
          <w:sz w:val="24"/>
          <w:szCs w:val="24"/>
          <w:lang w:eastAsia="es-ES"/>
        </w:rPr>
      </w:pPr>
      <w:r w:rsidRPr="002951D2">
        <w:rPr>
          <w:rFonts w:ascii="Palatino Linotype" w:eastAsia="MS Mincho" w:hAnsi="Palatino Linotype" w:cstheme="majorBidi"/>
          <w:i/>
          <w:sz w:val="24"/>
          <w:szCs w:val="24"/>
          <w:lang w:eastAsia="es-ES"/>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rsidR="00E748D3" w:rsidRPr="002951D2" w:rsidRDefault="00E748D3" w:rsidP="00AA0B6F">
      <w:pPr>
        <w:spacing w:after="120" w:line="360" w:lineRule="auto"/>
        <w:ind w:left="567" w:right="616"/>
        <w:contextualSpacing/>
        <w:jc w:val="both"/>
        <w:rPr>
          <w:rFonts w:ascii="Palatino Linotype" w:eastAsia="MS Mincho" w:hAnsi="Palatino Linotype" w:cstheme="majorBidi"/>
          <w:i/>
          <w:sz w:val="24"/>
          <w:szCs w:val="24"/>
          <w:lang w:eastAsia="es-ES"/>
        </w:rPr>
      </w:pPr>
      <w:r w:rsidRPr="002951D2">
        <w:rPr>
          <w:rFonts w:ascii="Palatino Linotype" w:eastAsia="MS Mincho" w:hAnsi="Palatino Linotype" w:cstheme="majorBidi"/>
          <w:i/>
          <w:sz w:val="24"/>
          <w:szCs w:val="24"/>
          <w:lang w:eastAsia="es-ES"/>
        </w:rPr>
        <w:t xml:space="preserve">IV. Ponga en riesgo la vida, la seguridad o la salud de una persona física; </w:t>
      </w:r>
    </w:p>
    <w:p w:rsidR="00E748D3" w:rsidRPr="002951D2" w:rsidRDefault="00E748D3" w:rsidP="00AA0B6F">
      <w:pPr>
        <w:spacing w:after="120" w:line="360" w:lineRule="auto"/>
        <w:ind w:left="567" w:right="616"/>
        <w:contextualSpacing/>
        <w:jc w:val="both"/>
        <w:rPr>
          <w:rFonts w:ascii="Palatino Linotype" w:eastAsia="MS Mincho" w:hAnsi="Palatino Linotype" w:cstheme="majorBidi"/>
          <w:i/>
          <w:sz w:val="24"/>
          <w:szCs w:val="24"/>
          <w:lang w:eastAsia="es-ES"/>
        </w:rPr>
      </w:pPr>
      <w:r w:rsidRPr="002951D2">
        <w:rPr>
          <w:rFonts w:ascii="Palatino Linotype" w:eastAsia="MS Mincho" w:hAnsi="Palatino Linotype" w:cstheme="majorBidi"/>
          <w:i/>
          <w:sz w:val="24"/>
          <w:szCs w:val="24"/>
          <w:lang w:eastAsia="es-ES"/>
        </w:rPr>
        <w:t xml:space="preserve">V. Aquella cuya divulgación obstruya o pueda causar un serio perjuicio a: </w:t>
      </w:r>
    </w:p>
    <w:p w:rsidR="00E748D3" w:rsidRPr="002951D2" w:rsidRDefault="00E748D3" w:rsidP="00AA0B6F">
      <w:pPr>
        <w:spacing w:after="120" w:line="360" w:lineRule="auto"/>
        <w:ind w:left="567" w:right="616"/>
        <w:contextualSpacing/>
        <w:jc w:val="both"/>
        <w:rPr>
          <w:rFonts w:ascii="Palatino Linotype" w:eastAsia="MS Mincho" w:hAnsi="Palatino Linotype" w:cstheme="majorBidi"/>
          <w:i/>
          <w:sz w:val="24"/>
          <w:szCs w:val="24"/>
          <w:lang w:eastAsia="es-ES"/>
        </w:rPr>
      </w:pPr>
      <w:r w:rsidRPr="002951D2">
        <w:rPr>
          <w:rFonts w:ascii="Palatino Linotype" w:eastAsia="MS Mincho" w:hAnsi="Palatino Linotype" w:cstheme="majorBidi"/>
          <w:i/>
          <w:sz w:val="24"/>
          <w:szCs w:val="24"/>
          <w:lang w:eastAsia="es-ES"/>
        </w:rPr>
        <w:t xml:space="preserve">1. Las actividades de fiscalización, verificación, inspección, comprobación y auditoría sobre el cumplimiento de las Leyes; o </w:t>
      </w:r>
    </w:p>
    <w:p w:rsidR="00E748D3" w:rsidRPr="002951D2" w:rsidRDefault="00E748D3" w:rsidP="00AA0B6F">
      <w:pPr>
        <w:spacing w:after="120" w:line="360" w:lineRule="auto"/>
        <w:ind w:left="567" w:right="616"/>
        <w:contextualSpacing/>
        <w:jc w:val="both"/>
        <w:rPr>
          <w:rFonts w:ascii="Palatino Linotype" w:eastAsia="MS Mincho" w:hAnsi="Palatino Linotype" w:cstheme="majorBidi"/>
          <w:i/>
          <w:sz w:val="24"/>
          <w:szCs w:val="24"/>
          <w:lang w:eastAsia="es-ES"/>
        </w:rPr>
      </w:pPr>
      <w:r w:rsidRPr="002951D2">
        <w:rPr>
          <w:rFonts w:ascii="Palatino Linotype" w:eastAsia="MS Mincho" w:hAnsi="Palatino Linotype" w:cstheme="majorBidi"/>
          <w:i/>
          <w:sz w:val="24"/>
          <w:szCs w:val="24"/>
          <w:lang w:eastAsia="es-ES"/>
        </w:rPr>
        <w:t xml:space="preserve">2. La recaudación de las contribuciones. </w:t>
      </w:r>
    </w:p>
    <w:p w:rsidR="00E748D3" w:rsidRPr="002951D2" w:rsidRDefault="00E748D3" w:rsidP="00AA0B6F">
      <w:pPr>
        <w:spacing w:after="120" w:line="360" w:lineRule="auto"/>
        <w:ind w:left="567" w:right="616"/>
        <w:contextualSpacing/>
        <w:jc w:val="both"/>
        <w:rPr>
          <w:rFonts w:ascii="Palatino Linotype" w:eastAsia="MS Mincho" w:hAnsi="Palatino Linotype" w:cstheme="majorBidi"/>
          <w:i/>
          <w:sz w:val="24"/>
          <w:szCs w:val="24"/>
          <w:lang w:eastAsia="es-ES"/>
        </w:rPr>
      </w:pPr>
      <w:r w:rsidRPr="002951D2">
        <w:rPr>
          <w:rFonts w:ascii="Palatino Linotype" w:eastAsia="MS Mincho" w:hAnsi="Palatino Linotype" w:cstheme="majorBidi"/>
          <w:i/>
          <w:sz w:val="24"/>
          <w:szCs w:val="24"/>
          <w:lang w:eastAsia="es-ES"/>
        </w:rPr>
        <w:t xml:space="preserve">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rsidR="00E748D3" w:rsidRPr="002951D2" w:rsidRDefault="00E748D3" w:rsidP="00AA0B6F">
      <w:pPr>
        <w:spacing w:after="120" w:line="360" w:lineRule="auto"/>
        <w:ind w:left="567" w:right="616"/>
        <w:contextualSpacing/>
        <w:jc w:val="both"/>
        <w:rPr>
          <w:rFonts w:ascii="Palatino Linotype" w:eastAsia="MS Mincho" w:hAnsi="Palatino Linotype" w:cstheme="majorBidi"/>
          <w:i/>
          <w:sz w:val="24"/>
          <w:szCs w:val="24"/>
          <w:lang w:eastAsia="es-ES"/>
        </w:rPr>
      </w:pPr>
      <w:r w:rsidRPr="002951D2">
        <w:rPr>
          <w:rFonts w:ascii="Palatino Linotype" w:eastAsia="MS Mincho" w:hAnsi="Palatino Linotype" w:cstheme="majorBidi"/>
          <w:i/>
          <w:sz w:val="24"/>
          <w:szCs w:val="24"/>
          <w:lang w:eastAsia="es-ES"/>
        </w:rPr>
        <w:t xml:space="preserve">VII. La que contengan las opiniones, recomendaciones o puntos de vista que formen parte del proceso deliberativo de los servidores públicos, hasta en tanto sea adoptada la decisión definitiva, la cual deberá estar documentada; </w:t>
      </w:r>
    </w:p>
    <w:p w:rsidR="00E748D3" w:rsidRPr="002951D2" w:rsidRDefault="00E748D3" w:rsidP="00AA0B6F">
      <w:pPr>
        <w:spacing w:after="120" w:line="360" w:lineRule="auto"/>
        <w:ind w:left="567" w:right="616"/>
        <w:contextualSpacing/>
        <w:jc w:val="both"/>
        <w:rPr>
          <w:rFonts w:ascii="Palatino Linotype" w:eastAsia="MS Mincho" w:hAnsi="Palatino Linotype" w:cstheme="majorBidi"/>
          <w:i/>
          <w:sz w:val="24"/>
          <w:szCs w:val="24"/>
          <w:lang w:eastAsia="es-ES"/>
        </w:rPr>
      </w:pPr>
      <w:r w:rsidRPr="002951D2">
        <w:rPr>
          <w:rFonts w:ascii="Palatino Linotype" w:eastAsia="MS Mincho" w:hAnsi="Palatino Linotype" w:cstheme="majorBidi"/>
          <w:i/>
          <w:sz w:val="24"/>
          <w:szCs w:val="24"/>
          <w:lang w:eastAsia="es-ES"/>
        </w:rPr>
        <w:t xml:space="preserve">VIII. Vulnere la conducción de los expedientes judiciales o de los procedimientos administrativos seguidos en forma de juicio, en tanto no hayan quedado firmes; </w:t>
      </w:r>
    </w:p>
    <w:p w:rsidR="00E748D3" w:rsidRPr="002951D2" w:rsidRDefault="00E748D3" w:rsidP="00AA0B6F">
      <w:pPr>
        <w:spacing w:after="120" w:line="360" w:lineRule="auto"/>
        <w:ind w:left="567" w:right="616"/>
        <w:contextualSpacing/>
        <w:jc w:val="both"/>
        <w:rPr>
          <w:rFonts w:ascii="Palatino Linotype" w:eastAsia="MS Mincho" w:hAnsi="Palatino Linotype" w:cstheme="majorBidi"/>
          <w:i/>
          <w:sz w:val="24"/>
          <w:szCs w:val="24"/>
          <w:lang w:eastAsia="es-ES"/>
        </w:rPr>
      </w:pPr>
      <w:r w:rsidRPr="002951D2">
        <w:rPr>
          <w:rFonts w:ascii="Palatino Linotype" w:eastAsia="MS Mincho" w:hAnsi="Palatino Linotype" w:cstheme="majorBidi"/>
          <w:i/>
          <w:sz w:val="24"/>
          <w:szCs w:val="24"/>
          <w:lang w:eastAsia="es-ES"/>
        </w:rPr>
        <w:t xml:space="preserve">IX. Se encuentre contenida dentro de las investigaciones de hechos que la Ley señale como delitos y se tramiten ante el Ministerio Público; </w:t>
      </w:r>
    </w:p>
    <w:p w:rsidR="00E748D3" w:rsidRPr="002951D2" w:rsidRDefault="00E748D3" w:rsidP="00AA0B6F">
      <w:pPr>
        <w:spacing w:after="120" w:line="360" w:lineRule="auto"/>
        <w:ind w:left="567" w:right="616"/>
        <w:contextualSpacing/>
        <w:jc w:val="both"/>
        <w:rPr>
          <w:rFonts w:ascii="Palatino Linotype" w:eastAsia="MS Mincho" w:hAnsi="Palatino Linotype" w:cstheme="majorBidi"/>
          <w:i/>
          <w:sz w:val="24"/>
          <w:szCs w:val="24"/>
          <w:lang w:eastAsia="es-ES"/>
        </w:rPr>
      </w:pPr>
      <w:r w:rsidRPr="002951D2">
        <w:rPr>
          <w:rFonts w:ascii="Palatino Linotype" w:eastAsia="MS Mincho" w:hAnsi="Palatino Linotype" w:cstheme="majorBidi"/>
          <w:i/>
          <w:sz w:val="24"/>
          <w:szCs w:val="24"/>
          <w:lang w:eastAsia="es-ES"/>
        </w:rPr>
        <w:t xml:space="preserve">X. 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rsidR="00E748D3" w:rsidRPr="002951D2" w:rsidRDefault="00E748D3" w:rsidP="00AA0B6F">
      <w:pPr>
        <w:spacing w:after="120" w:line="360" w:lineRule="auto"/>
        <w:ind w:left="567" w:right="616"/>
        <w:contextualSpacing/>
        <w:jc w:val="both"/>
        <w:rPr>
          <w:rFonts w:ascii="Palatino Linotype" w:eastAsia="MS Mincho" w:hAnsi="Palatino Linotype" w:cstheme="majorBidi"/>
          <w:i/>
          <w:sz w:val="24"/>
          <w:szCs w:val="24"/>
          <w:lang w:eastAsia="es-ES"/>
        </w:rPr>
      </w:pPr>
      <w:r w:rsidRPr="002951D2">
        <w:rPr>
          <w:rFonts w:ascii="Palatino Linotype" w:eastAsia="MS Mincho" w:hAnsi="Palatino Linotype" w:cstheme="majorBidi"/>
          <w:i/>
          <w:sz w:val="24"/>
          <w:szCs w:val="24"/>
          <w:lang w:eastAsia="es-ES"/>
        </w:rPr>
        <w:t>XI. Las que por disposición expresa de una ley tengan tal carácter, siempre que sean acordes con las bases, principios y disposiciones establecidos en esta Ley y no la contravengan; así como las previstas en tratados internacionales.</w:t>
      </w:r>
    </w:p>
    <w:p w:rsidR="00E748D3" w:rsidRPr="002951D2" w:rsidRDefault="00E748D3" w:rsidP="00AA0B6F">
      <w:pPr>
        <w:spacing w:after="120" w:line="360" w:lineRule="auto"/>
        <w:ind w:left="567" w:right="616"/>
        <w:contextualSpacing/>
        <w:jc w:val="both"/>
        <w:rPr>
          <w:rFonts w:ascii="Palatino Linotype" w:eastAsia="MS Mincho" w:hAnsi="Palatino Linotype" w:cstheme="majorBidi"/>
          <w:i/>
          <w:sz w:val="24"/>
          <w:szCs w:val="24"/>
          <w:lang w:eastAsia="es-ES"/>
        </w:rPr>
      </w:pPr>
    </w:p>
    <w:p w:rsidR="00E748D3" w:rsidRPr="002951D2" w:rsidRDefault="00E748D3" w:rsidP="00AA0B6F">
      <w:pPr>
        <w:spacing w:after="120" w:line="360" w:lineRule="auto"/>
        <w:ind w:left="567" w:right="616"/>
        <w:contextualSpacing/>
        <w:jc w:val="both"/>
        <w:rPr>
          <w:rFonts w:ascii="Palatino Linotype" w:eastAsia="MS Mincho" w:hAnsi="Palatino Linotype" w:cstheme="majorBidi"/>
          <w:i/>
          <w:sz w:val="24"/>
          <w:szCs w:val="24"/>
          <w:lang w:eastAsia="es-ES"/>
        </w:rPr>
      </w:pPr>
      <w:r w:rsidRPr="002951D2">
        <w:rPr>
          <w:rFonts w:ascii="Palatino Linotype" w:eastAsia="MS Mincho" w:hAnsi="Palatino Linotype" w:cstheme="majorBidi"/>
          <w:b/>
          <w:i/>
          <w:sz w:val="24"/>
          <w:szCs w:val="24"/>
          <w:lang w:eastAsia="es-ES"/>
        </w:rPr>
        <w:t xml:space="preserve">Artículo 143. </w:t>
      </w:r>
      <w:r w:rsidRPr="002951D2">
        <w:rPr>
          <w:rFonts w:ascii="Palatino Linotype" w:eastAsia="MS Mincho" w:hAnsi="Palatino Linotype" w:cstheme="majorBidi"/>
          <w:i/>
          <w:sz w:val="24"/>
          <w:szCs w:val="24"/>
          <w:lang w:eastAsia="es-ES"/>
        </w:rPr>
        <w:t xml:space="preserve">Para los efectos de esta Ley </w:t>
      </w:r>
      <w:r w:rsidRPr="002951D2">
        <w:rPr>
          <w:rFonts w:ascii="Palatino Linotype" w:eastAsia="MS Mincho" w:hAnsi="Palatino Linotype" w:cstheme="majorBidi"/>
          <w:b/>
          <w:i/>
          <w:sz w:val="24"/>
          <w:szCs w:val="24"/>
          <w:lang w:eastAsia="es-ES"/>
        </w:rPr>
        <w:t xml:space="preserve">se considera </w:t>
      </w:r>
      <w:r w:rsidRPr="002951D2">
        <w:rPr>
          <w:rFonts w:ascii="Palatino Linotype" w:eastAsia="MS Mincho" w:hAnsi="Palatino Linotype" w:cstheme="majorBidi"/>
          <w:b/>
          <w:i/>
          <w:sz w:val="24"/>
          <w:szCs w:val="24"/>
          <w:u w:val="single"/>
          <w:lang w:eastAsia="es-ES"/>
        </w:rPr>
        <w:t>información confidencial</w:t>
      </w:r>
      <w:r w:rsidRPr="002951D2">
        <w:rPr>
          <w:rFonts w:ascii="Palatino Linotype" w:eastAsia="MS Mincho" w:hAnsi="Palatino Linotype" w:cstheme="majorBidi"/>
          <w:b/>
          <w:i/>
          <w:sz w:val="24"/>
          <w:szCs w:val="24"/>
          <w:lang w:eastAsia="es-ES"/>
        </w:rPr>
        <w:t>, la clasificada como tal, de manera permanente, por su naturaleza, cuando</w:t>
      </w:r>
      <w:r w:rsidRPr="002951D2">
        <w:rPr>
          <w:rFonts w:ascii="Palatino Linotype" w:eastAsia="MS Mincho" w:hAnsi="Palatino Linotype" w:cstheme="majorBidi"/>
          <w:i/>
          <w:sz w:val="24"/>
          <w:szCs w:val="24"/>
          <w:lang w:eastAsia="es-ES"/>
        </w:rPr>
        <w:t xml:space="preserve">: </w:t>
      </w:r>
    </w:p>
    <w:p w:rsidR="00E748D3" w:rsidRPr="002951D2" w:rsidRDefault="00E748D3" w:rsidP="00AA0B6F">
      <w:pPr>
        <w:spacing w:after="120" w:line="360" w:lineRule="auto"/>
        <w:ind w:left="567" w:right="616"/>
        <w:contextualSpacing/>
        <w:jc w:val="both"/>
        <w:rPr>
          <w:rFonts w:ascii="Palatino Linotype" w:eastAsia="MS Mincho" w:hAnsi="Palatino Linotype" w:cstheme="majorBidi"/>
          <w:i/>
          <w:sz w:val="24"/>
          <w:szCs w:val="24"/>
          <w:lang w:eastAsia="es-ES"/>
        </w:rPr>
      </w:pPr>
      <w:r w:rsidRPr="002951D2">
        <w:rPr>
          <w:rFonts w:ascii="Palatino Linotype" w:eastAsia="MS Mincho" w:hAnsi="Palatino Linotype" w:cstheme="majorBidi"/>
          <w:i/>
          <w:sz w:val="24"/>
          <w:szCs w:val="24"/>
          <w:lang w:eastAsia="es-ES"/>
        </w:rPr>
        <w:t xml:space="preserve">I. Se refiera a la información privada y los datos personales concernientes a una persona física o jurídico colectiva identificada o identificable; </w:t>
      </w:r>
    </w:p>
    <w:p w:rsidR="00E748D3" w:rsidRPr="002951D2" w:rsidRDefault="00E748D3" w:rsidP="00AA0B6F">
      <w:pPr>
        <w:spacing w:after="120" w:line="360" w:lineRule="auto"/>
        <w:ind w:left="567" w:right="616"/>
        <w:contextualSpacing/>
        <w:jc w:val="both"/>
        <w:rPr>
          <w:rFonts w:ascii="Palatino Linotype" w:eastAsia="MS Mincho" w:hAnsi="Palatino Linotype" w:cstheme="majorBidi"/>
          <w:i/>
          <w:sz w:val="24"/>
          <w:szCs w:val="24"/>
          <w:lang w:eastAsia="es-ES"/>
        </w:rPr>
      </w:pPr>
      <w:r w:rsidRPr="002951D2">
        <w:rPr>
          <w:rFonts w:ascii="Palatino Linotype" w:eastAsia="MS Mincho" w:hAnsi="Palatino Linotype" w:cstheme="majorBidi"/>
          <w:i/>
          <w:sz w:val="24"/>
          <w:szCs w:val="24"/>
          <w:lang w:eastAsia="es-ES"/>
        </w:rPr>
        <w:t xml:space="preserve">II. Los secretos bancario, fiduciario, industrial, comercial, fiscal, bursátil y postal, cuya titularidad corresponda a particulares, sujetos de derecho internacional o a sujetos obligados cuando no involucren el ejercicio de recursos públicos; y </w:t>
      </w:r>
    </w:p>
    <w:p w:rsidR="00E748D3" w:rsidRPr="002951D2" w:rsidRDefault="00E748D3" w:rsidP="00AA0B6F">
      <w:pPr>
        <w:spacing w:after="120" w:line="360" w:lineRule="auto"/>
        <w:ind w:left="567" w:right="616"/>
        <w:contextualSpacing/>
        <w:jc w:val="both"/>
        <w:rPr>
          <w:rFonts w:ascii="Palatino Linotype" w:eastAsia="MS Mincho" w:hAnsi="Palatino Linotype" w:cstheme="majorBidi"/>
          <w:i/>
          <w:sz w:val="24"/>
          <w:szCs w:val="24"/>
          <w:lang w:eastAsia="es-ES"/>
        </w:rPr>
      </w:pPr>
      <w:r w:rsidRPr="002951D2">
        <w:rPr>
          <w:rFonts w:ascii="Palatino Linotype" w:eastAsia="MS Mincho" w:hAnsi="Palatino Linotype" w:cstheme="majorBidi"/>
          <w:i/>
          <w:sz w:val="24"/>
          <w:szCs w:val="24"/>
          <w:lang w:eastAsia="es-ES"/>
        </w:rPr>
        <w:t xml:space="preserve">III. La que presenten los particulares a los sujetos obligados, de conformidad con lo dispuesto por las leyes o los tratados internacionales. </w:t>
      </w:r>
    </w:p>
    <w:p w:rsidR="00E748D3" w:rsidRPr="002951D2" w:rsidRDefault="00E748D3" w:rsidP="00AA0B6F">
      <w:pPr>
        <w:spacing w:after="120" w:line="360" w:lineRule="auto"/>
        <w:ind w:left="567" w:right="616"/>
        <w:contextualSpacing/>
        <w:jc w:val="both"/>
        <w:rPr>
          <w:rFonts w:ascii="Palatino Linotype" w:eastAsia="MS Mincho" w:hAnsi="Palatino Linotype" w:cstheme="majorBidi"/>
          <w:i/>
          <w:sz w:val="24"/>
          <w:szCs w:val="24"/>
          <w:lang w:eastAsia="es-ES"/>
        </w:rPr>
      </w:pPr>
      <w:r w:rsidRPr="002951D2">
        <w:rPr>
          <w:rFonts w:ascii="Palatino Linotype" w:eastAsia="MS Mincho" w:hAnsi="Palatino Linotype" w:cstheme="majorBidi"/>
          <w:i/>
          <w:sz w:val="24"/>
          <w:szCs w:val="24"/>
          <w:lang w:eastAsia="es-ES"/>
        </w:rPr>
        <w:t xml:space="preserve">La información confidencial no estará sujeta a temporalidad alguna y sólo podrán tener acceso a ella los titulares de la misma, sus representantes y los servidores públicos facultados para ello. </w:t>
      </w:r>
    </w:p>
    <w:p w:rsidR="00E748D3" w:rsidRPr="002951D2" w:rsidRDefault="00E748D3" w:rsidP="00AA0B6F">
      <w:pPr>
        <w:spacing w:after="120" w:line="360" w:lineRule="auto"/>
        <w:ind w:left="567" w:right="616"/>
        <w:contextualSpacing/>
        <w:jc w:val="both"/>
        <w:rPr>
          <w:rFonts w:ascii="Palatino Linotype" w:eastAsia="MS Mincho" w:hAnsi="Palatino Linotype" w:cstheme="majorBidi"/>
          <w:i/>
          <w:sz w:val="24"/>
          <w:szCs w:val="24"/>
          <w:lang w:val="es-ES_tradnl" w:eastAsia="es-ES"/>
        </w:rPr>
      </w:pPr>
      <w:r w:rsidRPr="002951D2">
        <w:rPr>
          <w:rFonts w:ascii="Palatino Linotype" w:eastAsia="MS Mincho" w:hAnsi="Palatino Linotype" w:cstheme="majorBidi"/>
          <w:i/>
          <w:sz w:val="24"/>
          <w:szCs w:val="24"/>
          <w:lang w:eastAsia="es-ES"/>
        </w:rPr>
        <w:t>No se considerará confidencial la información que se encuentre en los registros públicos o en fuentes de acceso público, ni tampoco la que sea considerada por la presente ley como información pública.</w:t>
      </w:r>
    </w:p>
    <w:p w:rsidR="00E748D3" w:rsidRPr="002951D2" w:rsidRDefault="00E748D3" w:rsidP="00AA0B6F">
      <w:pPr>
        <w:spacing w:after="120" w:line="360" w:lineRule="auto"/>
        <w:ind w:left="567" w:right="49"/>
        <w:contextualSpacing/>
        <w:jc w:val="both"/>
        <w:rPr>
          <w:rFonts w:ascii="Palatino Linotype" w:eastAsia="MS Mincho" w:hAnsi="Palatino Linotype" w:cstheme="majorBidi"/>
          <w:sz w:val="24"/>
          <w:szCs w:val="24"/>
          <w:lang w:val="es-ES_tradnl" w:eastAsia="es-ES"/>
        </w:rPr>
      </w:pPr>
    </w:p>
    <w:p w:rsidR="00E748D3" w:rsidRPr="002951D2" w:rsidRDefault="00E748D3" w:rsidP="00DC5CB3">
      <w:pPr>
        <w:numPr>
          <w:ilvl w:val="0"/>
          <w:numId w:val="2"/>
        </w:numPr>
        <w:spacing w:after="120" w:line="360" w:lineRule="auto"/>
        <w:ind w:left="0" w:right="49" w:firstLine="0"/>
        <w:contextualSpacing/>
        <w:jc w:val="both"/>
        <w:rPr>
          <w:rFonts w:ascii="Palatino Linotype" w:eastAsia="MS Mincho" w:hAnsi="Palatino Linotype" w:cstheme="majorBidi"/>
          <w:sz w:val="24"/>
          <w:szCs w:val="24"/>
          <w:lang w:val="es-ES_tradnl" w:eastAsia="es-ES"/>
        </w:rPr>
      </w:pPr>
      <w:r w:rsidRPr="002951D2">
        <w:rPr>
          <w:rFonts w:ascii="Palatino Linotype" w:eastAsia="MS Mincho" w:hAnsi="Palatino Linotype" w:cstheme="majorBidi"/>
          <w:sz w:val="24"/>
          <w:szCs w:val="24"/>
          <w:lang w:val="es-ES_tradnl" w:eastAsia="es-ES"/>
        </w:rPr>
        <w:t xml:space="preserve">De los preceptos antes descritos se puede observar los supuestos en la información puede ser restringida, por lo que corresponde al </w:t>
      </w:r>
      <w:r w:rsidRPr="002951D2">
        <w:rPr>
          <w:rFonts w:ascii="Palatino Linotype" w:eastAsia="MS Mincho" w:hAnsi="Palatino Linotype" w:cstheme="majorBidi"/>
          <w:b/>
          <w:sz w:val="24"/>
          <w:szCs w:val="24"/>
          <w:lang w:val="es-ES_tradnl" w:eastAsia="es-ES"/>
        </w:rPr>
        <w:t>SUJETO OBLIGADO</w:t>
      </w:r>
      <w:r w:rsidRPr="002951D2">
        <w:rPr>
          <w:rFonts w:ascii="Palatino Linotype" w:eastAsia="MS Mincho" w:hAnsi="Palatino Linotype" w:cstheme="majorBidi"/>
          <w:sz w:val="24"/>
          <w:szCs w:val="24"/>
          <w:lang w:val="es-ES_tradnl" w:eastAsia="es-ES"/>
        </w:rPr>
        <w:t xml:space="preserve"> justificar de manera fundad</w:t>
      </w:r>
      <w:r w:rsidR="00AA0B6F" w:rsidRPr="002951D2">
        <w:rPr>
          <w:rFonts w:ascii="Palatino Linotype" w:eastAsia="MS Mincho" w:hAnsi="Palatino Linotype" w:cstheme="majorBidi"/>
          <w:sz w:val="24"/>
          <w:szCs w:val="24"/>
          <w:lang w:val="es-ES_tradnl" w:eastAsia="es-ES"/>
        </w:rPr>
        <w:t>a</w:t>
      </w:r>
      <w:r w:rsidRPr="002951D2">
        <w:rPr>
          <w:rFonts w:ascii="Palatino Linotype" w:eastAsia="MS Mincho" w:hAnsi="Palatino Linotype" w:cstheme="majorBidi"/>
          <w:sz w:val="24"/>
          <w:szCs w:val="24"/>
          <w:lang w:val="es-ES_tradnl" w:eastAsia="es-ES"/>
        </w:rPr>
        <w:t xml:space="preserve"> y motiva dicha acción restrictiva mediante el respectivo acuerdo de clasificación emitido por el Comité de Transparencia del mismo, ya que el no realizar la justificación la información que se entrega al particular se considera fraudulenta al carecer de certeza jurídica, artículo 131 de la Ley en la materia.</w:t>
      </w:r>
    </w:p>
    <w:p w:rsidR="00E748D3" w:rsidRPr="002951D2" w:rsidRDefault="00E748D3" w:rsidP="00E748D3">
      <w:pPr>
        <w:spacing w:after="120" w:line="360" w:lineRule="auto"/>
        <w:ind w:right="49"/>
        <w:contextualSpacing/>
        <w:jc w:val="both"/>
        <w:rPr>
          <w:rFonts w:ascii="Palatino Linotype" w:eastAsia="MS Mincho" w:hAnsi="Palatino Linotype" w:cstheme="majorBidi"/>
          <w:sz w:val="24"/>
          <w:szCs w:val="24"/>
          <w:lang w:val="es-ES_tradnl" w:eastAsia="es-ES"/>
        </w:rPr>
      </w:pPr>
    </w:p>
    <w:p w:rsidR="00E748D3" w:rsidRPr="002951D2" w:rsidRDefault="00E748D3" w:rsidP="00E748D3">
      <w:pPr>
        <w:spacing w:after="120" w:line="360" w:lineRule="auto"/>
        <w:ind w:left="567" w:right="616"/>
        <w:contextualSpacing/>
        <w:jc w:val="both"/>
        <w:rPr>
          <w:rFonts w:ascii="Palatino Linotype" w:eastAsia="MS Mincho" w:hAnsi="Palatino Linotype" w:cstheme="majorBidi"/>
          <w:i/>
          <w:sz w:val="24"/>
          <w:szCs w:val="24"/>
          <w:lang w:val="es-ES_tradnl" w:eastAsia="es-ES"/>
        </w:rPr>
      </w:pPr>
      <w:r w:rsidRPr="002951D2">
        <w:rPr>
          <w:rFonts w:ascii="Palatino Linotype" w:hAnsi="Palatino Linotype"/>
          <w:b/>
          <w:i/>
          <w:sz w:val="24"/>
          <w:szCs w:val="24"/>
        </w:rPr>
        <w:t>Artículo 131.</w:t>
      </w:r>
      <w:r w:rsidRPr="002951D2">
        <w:rPr>
          <w:rFonts w:ascii="Palatino Linotype" w:hAnsi="Palatino Linotype"/>
          <w:i/>
          <w:sz w:val="24"/>
          <w:szCs w:val="24"/>
        </w:rPr>
        <w:t xml:space="preserve"> La carga de la prueba para justificar toda negativa de acceso a la información, por actualizarse cualquiera de los supuestos de clasificación previstos en esta Ley corresponderá a los sujetos obligados; en tal caso deberá fundar y motivar debidamente la clasificación de la información, de conformidad con lo previsto en la presente Ley.</w:t>
      </w:r>
    </w:p>
    <w:p w:rsidR="00E748D3" w:rsidRPr="002951D2" w:rsidRDefault="00E748D3" w:rsidP="00E748D3">
      <w:pPr>
        <w:spacing w:after="120" w:line="360" w:lineRule="auto"/>
        <w:ind w:right="49"/>
        <w:contextualSpacing/>
        <w:jc w:val="both"/>
        <w:rPr>
          <w:rFonts w:ascii="Palatino Linotype" w:eastAsia="MS Mincho" w:hAnsi="Palatino Linotype" w:cstheme="majorBidi"/>
          <w:sz w:val="24"/>
          <w:szCs w:val="24"/>
          <w:lang w:val="es-ES_tradnl" w:eastAsia="es-ES"/>
        </w:rPr>
      </w:pPr>
    </w:p>
    <w:p w:rsidR="00521A18" w:rsidRPr="002951D2" w:rsidRDefault="00521A18" w:rsidP="00DC5CB3">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2951D2">
        <w:rPr>
          <w:rFonts w:ascii="Palatino Linotype" w:eastAsia="MS Mincho" w:hAnsi="Palatino Linotype" w:cs="Times New Roman"/>
          <w:sz w:val="24"/>
          <w:szCs w:val="24"/>
          <w:lang w:val="es-ES_tradnl" w:eastAsia="es-ES"/>
        </w:rPr>
        <w:t xml:space="preserve">De lo anterior, se desprende que para una correcta clasificación total o parcial, esto es determinar los datos que se suprimen en las versiones públicas, es necesario fundar y motivar, de manera correcta, la clasificación; considerando que todo acto que </w:t>
      </w:r>
      <w:r w:rsidRPr="002951D2">
        <w:rPr>
          <w:rFonts w:ascii="Palatino Linotype" w:eastAsia="Times New Roman" w:hAnsi="Palatino Linotype" w:cs="Arial"/>
          <w:sz w:val="24"/>
          <w:szCs w:val="24"/>
          <w:lang w:val="es-ES_tradnl" w:eastAsia="es-MX"/>
        </w:rPr>
        <w:t>la</w:t>
      </w:r>
      <w:r w:rsidRPr="002951D2">
        <w:rPr>
          <w:rFonts w:ascii="Palatino Linotype" w:eastAsia="MS Mincho" w:hAnsi="Palatino Linotype" w:cs="Times New Roman"/>
          <w:sz w:val="24"/>
          <w:szCs w:val="24"/>
          <w:lang w:val="es-ES_tradnl" w:eastAsia="es-ES"/>
        </w:rPr>
        <w:t xml:space="preserve"> autoridad pronuncie en el ejercicio de sus atribuciones, debe expresar los fundamentos legales que le dieron origen y las razones por las que se deben aplicar al caso concreto.</w:t>
      </w:r>
    </w:p>
    <w:p w:rsidR="000C37FE" w:rsidRPr="002951D2" w:rsidRDefault="000C37FE" w:rsidP="000C37FE">
      <w:pPr>
        <w:spacing w:after="0" w:line="360" w:lineRule="auto"/>
        <w:contextualSpacing/>
        <w:jc w:val="both"/>
        <w:rPr>
          <w:rFonts w:ascii="Palatino Linotype" w:eastAsia="Calibri" w:hAnsi="Palatino Linotype" w:cs="Arial"/>
          <w:sz w:val="24"/>
          <w:szCs w:val="24"/>
          <w:lang w:val="es-ES_tradnl" w:eastAsia="es-MX"/>
        </w:rPr>
      </w:pPr>
    </w:p>
    <w:p w:rsidR="000C37FE" w:rsidRPr="002951D2" w:rsidRDefault="000C37FE" w:rsidP="00DC5CB3">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2951D2">
        <w:rPr>
          <w:rFonts w:ascii="Palatino Linotype" w:eastAsia="MS Mincho" w:hAnsi="Palatino Linotype" w:cs="Times New Roman"/>
          <w:sz w:val="24"/>
          <w:szCs w:val="24"/>
          <w:lang w:val="es-ES_tradnl" w:eastAsia="es-ES"/>
        </w:rPr>
        <w:t xml:space="preserve">No obstante lo anterior, resulta necesario hacer referencia </w:t>
      </w:r>
      <w:r w:rsidR="00FE7FFE" w:rsidRPr="002951D2">
        <w:rPr>
          <w:rFonts w:ascii="Palatino Linotype" w:eastAsia="MS Mincho" w:hAnsi="Palatino Linotype" w:cs="Times New Roman"/>
          <w:sz w:val="24"/>
          <w:szCs w:val="24"/>
          <w:lang w:val="es-ES_tradnl" w:eastAsia="es-ES"/>
        </w:rPr>
        <w:t>al Programa de Fortalecimiento para la Seguridad (FORTASEG), es un subsidio que se otorga a los municipios y, en su caso, a los estados, cuando éstos ejercen la función de seguridad pública en lugar de los primeros o coordinados con ellos, para el Fortalecimiento de los temas de Seguridad.</w:t>
      </w:r>
    </w:p>
    <w:p w:rsidR="00FE7FFE" w:rsidRPr="002951D2" w:rsidRDefault="00FE7FFE" w:rsidP="00FE7FFE">
      <w:pPr>
        <w:pStyle w:val="Prrafodelista"/>
        <w:rPr>
          <w:rFonts w:ascii="Palatino Linotype" w:eastAsia="MS Mincho" w:hAnsi="Palatino Linotype" w:cs="Times New Roman"/>
          <w:sz w:val="24"/>
          <w:szCs w:val="24"/>
          <w:lang w:val="es-ES_tradnl" w:eastAsia="es-ES"/>
        </w:rPr>
      </w:pPr>
    </w:p>
    <w:p w:rsidR="00FE7FFE" w:rsidRPr="002951D2" w:rsidRDefault="00FE7FFE" w:rsidP="00DC5CB3">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2951D2">
        <w:rPr>
          <w:rFonts w:ascii="Palatino Linotype" w:eastAsia="MS Mincho" w:hAnsi="Palatino Linotype" w:cs="Times New Roman"/>
          <w:sz w:val="24"/>
          <w:szCs w:val="24"/>
          <w:lang w:val="es-ES_tradnl" w:eastAsia="es-ES"/>
        </w:rPr>
        <w:t>Con este subsidio se cubren aspectos de evaluación de control de confianza de los elementos operativos de las instituciones policiales municipales, su capacitación, recursos destinados a la homologación policial y a la mejora de condiciones laborales de los policías, su equipamiento, la construcción de infraestructura, prevención del delito y la conformación de bases de datos de seguridad pública y centros telefónicos de atención de llamadas de emergencia y en general apoyar la profesionalización, certificación y equipamiento de los elementos de las instituciones de seguridad pública.</w:t>
      </w:r>
    </w:p>
    <w:p w:rsidR="00FE7FFE" w:rsidRPr="002951D2" w:rsidRDefault="00FE7FFE" w:rsidP="00FE7FFE">
      <w:pPr>
        <w:pStyle w:val="Prrafodelista"/>
        <w:rPr>
          <w:rFonts w:ascii="Palatino Linotype" w:eastAsia="MS Mincho" w:hAnsi="Palatino Linotype" w:cs="Times New Roman"/>
          <w:sz w:val="24"/>
          <w:szCs w:val="24"/>
          <w:lang w:val="es-ES_tradnl" w:eastAsia="es-ES"/>
        </w:rPr>
      </w:pPr>
    </w:p>
    <w:p w:rsidR="00FE7FFE" w:rsidRPr="002951D2" w:rsidRDefault="00FE7FFE" w:rsidP="00DC5CB3">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2951D2">
        <w:rPr>
          <w:rFonts w:ascii="Palatino Linotype" w:eastAsia="MS Mincho" w:hAnsi="Palatino Linotype" w:cs="Times New Roman"/>
          <w:sz w:val="24"/>
          <w:szCs w:val="24"/>
          <w:lang w:val="es-ES_tradnl" w:eastAsia="es-ES"/>
        </w:rPr>
        <w:t>Luego entonces, que da claro que los recursos económicos de dicho fondo los aplican directamente los municipios, por lo tanto la información la posee otros Sujetos Obligados.</w:t>
      </w:r>
    </w:p>
    <w:p w:rsidR="00FE7FFE" w:rsidRPr="002951D2" w:rsidRDefault="00FE7FFE" w:rsidP="00FE7FFE">
      <w:pPr>
        <w:pStyle w:val="Prrafodelista"/>
        <w:rPr>
          <w:rFonts w:ascii="Palatino Linotype" w:eastAsia="MS Mincho" w:hAnsi="Palatino Linotype" w:cs="Times New Roman"/>
          <w:sz w:val="24"/>
          <w:szCs w:val="24"/>
          <w:lang w:val="es-ES_tradnl" w:eastAsia="es-ES"/>
        </w:rPr>
      </w:pPr>
    </w:p>
    <w:p w:rsidR="00E748D3" w:rsidRPr="002951D2" w:rsidRDefault="00FE7FFE" w:rsidP="003E4329">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2951D2">
        <w:rPr>
          <w:rFonts w:ascii="Palatino Linotype" w:eastAsia="MS Mincho" w:hAnsi="Palatino Linotype" w:cs="Times New Roman"/>
          <w:sz w:val="24"/>
          <w:szCs w:val="24"/>
          <w:lang w:val="es-ES_tradnl" w:eastAsia="es-ES"/>
        </w:rPr>
        <w:t xml:space="preserve">Derivado de lo anterior, resulta necesario ordenar al </w:t>
      </w:r>
      <w:r w:rsidRPr="002951D2">
        <w:rPr>
          <w:rFonts w:ascii="Palatino Linotype" w:eastAsia="MS Mincho" w:hAnsi="Palatino Linotype" w:cs="Times New Roman"/>
          <w:b/>
          <w:sz w:val="24"/>
          <w:szCs w:val="24"/>
          <w:lang w:val="es-ES_tradnl" w:eastAsia="es-ES"/>
        </w:rPr>
        <w:t>SUJETO OBLIGADO</w:t>
      </w:r>
      <w:r w:rsidRPr="002951D2">
        <w:rPr>
          <w:rFonts w:ascii="Palatino Linotype" w:eastAsia="MS Mincho" w:hAnsi="Palatino Linotype" w:cs="Times New Roman"/>
          <w:sz w:val="24"/>
          <w:szCs w:val="24"/>
          <w:lang w:val="es-ES_tradnl" w:eastAsia="es-ES"/>
        </w:rPr>
        <w:t xml:space="preserve"> la entrega del respectivo Acuerdo de clasificación que sustente la versión pública, no sin antes, precisar de nueva cuenta que se testó información de carácter pública, para lo cual se deberá de observar el siguiente considerando</w:t>
      </w:r>
      <w:r w:rsidR="0074394C" w:rsidRPr="002951D2">
        <w:rPr>
          <w:rFonts w:ascii="Palatino Linotype" w:eastAsia="MS Mincho" w:hAnsi="Palatino Linotype" w:cs="Times New Roman"/>
          <w:sz w:val="24"/>
          <w:szCs w:val="24"/>
          <w:lang w:val="es-ES_tradnl" w:eastAsia="es-ES"/>
        </w:rPr>
        <w:t>.</w:t>
      </w:r>
      <w:r w:rsidRPr="002951D2">
        <w:rPr>
          <w:rFonts w:ascii="Palatino Linotype" w:eastAsia="MS Mincho" w:hAnsi="Palatino Linotype" w:cs="Times New Roman"/>
          <w:sz w:val="24"/>
          <w:szCs w:val="24"/>
          <w:lang w:val="es-ES_tradnl" w:eastAsia="es-ES"/>
        </w:rPr>
        <w:t xml:space="preserve"> </w:t>
      </w:r>
    </w:p>
    <w:p w:rsidR="003F3EDE" w:rsidRDefault="003F3EDE" w:rsidP="00116752">
      <w:pPr>
        <w:pStyle w:val="Ttulo1"/>
        <w:rPr>
          <w:rFonts w:ascii="Palatino Linotype" w:eastAsia="MS Gothic" w:hAnsi="Palatino Linotype"/>
          <w:b/>
          <w:color w:val="auto"/>
          <w:sz w:val="24"/>
          <w:szCs w:val="24"/>
          <w:lang w:val="es-ES_tradnl"/>
        </w:rPr>
      </w:pPr>
      <w:bookmarkStart w:id="79" w:name="_Toc536726465"/>
      <w:bookmarkStart w:id="80" w:name="_Toc23430164"/>
      <w:r w:rsidRPr="002951D2">
        <w:rPr>
          <w:rFonts w:ascii="Palatino Linotype" w:eastAsia="MS Gothic" w:hAnsi="Palatino Linotype"/>
          <w:b/>
          <w:color w:val="auto"/>
          <w:sz w:val="24"/>
          <w:szCs w:val="24"/>
          <w:lang w:val="es-ES_tradnl"/>
        </w:rPr>
        <w:t>QUINTO. De la Versión Pública</w:t>
      </w:r>
      <w:bookmarkEnd w:id="79"/>
      <w:bookmarkEnd w:id="80"/>
      <w:r w:rsidRPr="002951D2">
        <w:rPr>
          <w:rFonts w:ascii="Palatino Linotype" w:eastAsia="MS Gothic" w:hAnsi="Palatino Linotype"/>
          <w:b/>
          <w:color w:val="auto"/>
          <w:sz w:val="24"/>
          <w:szCs w:val="24"/>
          <w:lang w:val="es-ES_tradnl"/>
        </w:rPr>
        <w:t xml:space="preserve"> </w:t>
      </w:r>
    </w:p>
    <w:p w:rsidR="002951D2" w:rsidRPr="002951D2" w:rsidRDefault="002951D2" w:rsidP="002951D2">
      <w:pPr>
        <w:rPr>
          <w:lang w:val="es-ES_tradnl"/>
        </w:rPr>
      </w:pPr>
    </w:p>
    <w:p w:rsidR="000C37FE" w:rsidRPr="002951D2" w:rsidRDefault="000C37FE" w:rsidP="002951D2">
      <w:pPr>
        <w:pStyle w:val="Prrafodelista"/>
        <w:numPr>
          <w:ilvl w:val="0"/>
          <w:numId w:val="2"/>
        </w:numPr>
        <w:shd w:val="clear" w:color="auto" w:fill="FFFFFF"/>
        <w:tabs>
          <w:tab w:val="left" w:pos="284"/>
          <w:tab w:val="left" w:pos="426"/>
        </w:tabs>
        <w:spacing w:before="240" w:after="200" w:line="360" w:lineRule="auto"/>
        <w:ind w:left="0" w:firstLine="0"/>
        <w:jc w:val="both"/>
        <w:rPr>
          <w:rFonts w:ascii="Palatino Linotype" w:eastAsia="Times New Roman" w:hAnsi="Palatino Linotype" w:cs="Arial"/>
          <w:color w:val="000000" w:themeColor="text1"/>
          <w:sz w:val="24"/>
          <w:szCs w:val="24"/>
        </w:rPr>
      </w:pPr>
      <w:r w:rsidRPr="002951D2">
        <w:rPr>
          <w:rFonts w:ascii="Palatino Linotype" w:hAnsi="Palatino Linotype" w:cs="Arial"/>
          <w:noProof/>
          <w:color w:val="000000" w:themeColor="text1"/>
          <w:sz w:val="24"/>
          <w:szCs w:val="24"/>
          <w:lang w:eastAsia="es-MX"/>
        </w:rPr>
        <w:t xml:space="preserve">Resulta </w:t>
      </w:r>
      <w:r w:rsidRPr="002951D2">
        <w:rPr>
          <w:rFonts w:ascii="Palatino Linotype" w:hAnsi="Palatino Linotype" w:cs="Arial"/>
          <w:color w:val="000000" w:themeColor="text1"/>
          <w:sz w:val="24"/>
          <w:szCs w:val="24"/>
        </w:rPr>
        <w:t xml:space="preserve">necesario manifestar que debido a la naturaleza de </w:t>
      </w:r>
      <w:r w:rsidRPr="002951D2">
        <w:rPr>
          <w:rFonts w:ascii="Palatino Linotype" w:hAnsi="Palatino Linotype"/>
          <w:color w:val="000000" w:themeColor="text1"/>
          <w:sz w:val="24"/>
          <w:szCs w:val="24"/>
        </w:rPr>
        <w:t>la información que se ordenará entregar</w:t>
      </w:r>
      <w:r w:rsidRPr="002951D2">
        <w:rPr>
          <w:rFonts w:ascii="Palatino Linotype" w:hAnsi="Palatino Linotype" w:cs="Arial"/>
          <w:color w:val="000000" w:themeColor="text1"/>
          <w:sz w:val="24"/>
          <w:szCs w:val="24"/>
        </w:rPr>
        <w:t xml:space="preserve">, contiene </w:t>
      </w:r>
      <w:r w:rsidRPr="002951D2">
        <w:rPr>
          <w:rFonts w:ascii="Palatino Linotype" w:hAnsi="Palatino Linotype" w:cs="Arial"/>
          <w:b/>
          <w:color w:val="000000" w:themeColor="text1"/>
          <w:sz w:val="24"/>
          <w:szCs w:val="24"/>
        </w:rPr>
        <w:t xml:space="preserve">datos susceptibles de ser clasificados </w:t>
      </w:r>
      <w:r w:rsidRPr="002951D2">
        <w:rPr>
          <w:rFonts w:ascii="Palatino Linotype" w:hAnsi="Palatino Linotype" w:cs="Arial"/>
          <w:color w:val="000000" w:themeColor="text1"/>
          <w:sz w:val="24"/>
          <w:szCs w:val="24"/>
        </w:rPr>
        <w:t xml:space="preserve">como reservados o confidenciales, por ello el Instituto de Acceso a la Información Pública y Protección de Datos Personales del Estado de México tiene el deber de velar por la protección de los datos personales, de tal modo que el </w:t>
      </w:r>
      <w:r w:rsidRPr="002951D2">
        <w:rPr>
          <w:rFonts w:ascii="Palatino Linotype" w:hAnsi="Palatino Linotype" w:cs="Arial"/>
          <w:b/>
          <w:color w:val="000000" w:themeColor="text1"/>
          <w:sz w:val="24"/>
          <w:szCs w:val="24"/>
        </w:rPr>
        <w:t>SUJETO OBLIGADO</w:t>
      </w:r>
      <w:r w:rsidRPr="002951D2">
        <w:rPr>
          <w:rFonts w:ascii="Palatino Linotype" w:hAnsi="Palatino Linotype" w:cs="Arial"/>
          <w:color w:val="000000" w:themeColor="text1"/>
          <w:sz w:val="24"/>
          <w:szCs w:val="24"/>
        </w:rPr>
        <w:t xml:space="preserve"> deberá en su caso generar la versión pública de </w:t>
      </w:r>
      <w:r w:rsidR="006B39D8" w:rsidRPr="002951D2">
        <w:rPr>
          <w:rFonts w:ascii="Palatino Linotype" w:hAnsi="Palatino Linotype" w:cs="Arial"/>
          <w:color w:val="000000" w:themeColor="text1"/>
          <w:sz w:val="24"/>
          <w:szCs w:val="24"/>
        </w:rPr>
        <w:t>las facturas entregadas</w:t>
      </w:r>
      <w:r w:rsidRPr="002951D2">
        <w:rPr>
          <w:rFonts w:ascii="Palatino Linotype" w:hAnsi="Palatino Linotype" w:cs="Arial"/>
          <w:color w:val="000000" w:themeColor="text1"/>
          <w:sz w:val="24"/>
          <w:szCs w:val="24"/>
        </w:rPr>
        <w:t xml:space="preserve"> en respuesta. </w:t>
      </w:r>
    </w:p>
    <w:p w:rsidR="000C37FE" w:rsidRPr="002951D2" w:rsidRDefault="000C37FE" w:rsidP="000C37FE">
      <w:pPr>
        <w:shd w:val="clear" w:color="auto" w:fill="FFFFFF"/>
        <w:tabs>
          <w:tab w:val="left" w:pos="284"/>
          <w:tab w:val="left" w:pos="426"/>
        </w:tabs>
        <w:spacing w:before="240" w:after="200" w:line="360" w:lineRule="auto"/>
        <w:contextualSpacing/>
        <w:jc w:val="both"/>
        <w:rPr>
          <w:rFonts w:ascii="Palatino Linotype" w:eastAsia="Times New Roman" w:hAnsi="Palatino Linotype" w:cs="Arial"/>
          <w:color w:val="000000" w:themeColor="text1"/>
          <w:sz w:val="24"/>
          <w:szCs w:val="24"/>
        </w:rPr>
      </w:pPr>
    </w:p>
    <w:p w:rsidR="000C37FE" w:rsidRPr="002951D2" w:rsidRDefault="000C37FE" w:rsidP="002951D2">
      <w:pPr>
        <w:numPr>
          <w:ilvl w:val="0"/>
          <w:numId w:val="2"/>
        </w:numPr>
        <w:shd w:val="clear" w:color="auto" w:fill="FFFFFF"/>
        <w:tabs>
          <w:tab w:val="left" w:pos="284"/>
          <w:tab w:val="left" w:pos="426"/>
        </w:tabs>
        <w:spacing w:before="240" w:after="200" w:line="360" w:lineRule="auto"/>
        <w:ind w:left="0" w:firstLine="0"/>
        <w:contextualSpacing/>
        <w:jc w:val="both"/>
        <w:rPr>
          <w:rFonts w:ascii="Palatino Linotype" w:eastAsia="Times New Roman" w:hAnsi="Palatino Linotype" w:cs="Arial"/>
          <w:color w:val="000000" w:themeColor="text1"/>
          <w:sz w:val="24"/>
          <w:szCs w:val="24"/>
        </w:rPr>
      </w:pPr>
      <w:r w:rsidRPr="002951D2">
        <w:rPr>
          <w:rFonts w:ascii="Palatino Linotype" w:eastAsia="Calibri" w:hAnsi="Palatino Linotype" w:cs="Arial"/>
          <w:color w:val="000000" w:themeColor="text1"/>
          <w:sz w:val="24"/>
          <w:szCs w:val="24"/>
          <w:lang w:val="es-ES" w:eastAsia="es-MX"/>
        </w:rPr>
        <w:t xml:space="preserve">Es de señalar, que por lo que hace a las versiones públicas, el </w:t>
      </w:r>
      <w:r w:rsidRPr="002951D2">
        <w:rPr>
          <w:rFonts w:ascii="Palatino Linotype" w:eastAsia="Calibri" w:hAnsi="Palatino Linotype" w:cs="Arial"/>
          <w:b/>
          <w:color w:val="000000" w:themeColor="text1"/>
          <w:sz w:val="24"/>
          <w:szCs w:val="24"/>
          <w:lang w:val="es-ES" w:eastAsia="es-MX"/>
        </w:rPr>
        <w:t>SUJETO OBLIGADO</w:t>
      </w:r>
      <w:r w:rsidRPr="002951D2">
        <w:rPr>
          <w:rFonts w:ascii="Palatino Linotype" w:eastAsia="Calibri" w:hAnsi="Palatino Linotype" w:cs="Arial"/>
          <w:color w:val="000000" w:themeColor="text1"/>
          <w:sz w:val="24"/>
          <w:szCs w:val="24"/>
          <w:lang w:val="es-ES" w:eastAsia="es-MX"/>
        </w:rPr>
        <w:t xml:space="preserve"> debe cumplir con las formalidades exigidas en la Ley, por lo que </w:t>
      </w:r>
      <w:r w:rsidRPr="002951D2">
        <w:rPr>
          <w:rFonts w:ascii="Palatino Linotype" w:eastAsia="Times New Roman" w:hAnsi="Palatino Linotype" w:cs="Arial"/>
          <w:color w:val="000000" w:themeColor="text1"/>
          <w:sz w:val="24"/>
          <w:szCs w:val="24"/>
          <w:lang w:eastAsia="es-MX"/>
        </w:rPr>
        <w:t xml:space="preserve">para tal efecto emitirá el </w:t>
      </w:r>
      <w:r w:rsidRPr="002951D2">
        <w:rPr>
          <w:rFonts w:ascii="Palatino Linotype" w:eastAsia="Calibri" w:hAnsi="Palatino Linotype" w:cs="Arial"/>
          <w:color w:val="000000" w:themeColor="text1"/>
          <w:sz w:val="24"/>
          <w:szCs w:val="24"/>
          <w:lang w:val="es-ES" w:eastAsia="es-MX"/>
        </w:rPr>
        <w:t>Acuerdo del Comité de Transparencia en términos de los artículos 49 fracción</w:t>
      </w:r>
      <w:r w:rsidRPr="002951D2">
        <w:rPr>
          <w:rFonts w:ascii="Palatino Linotype" w:eastAsia="Calibri" w:hAnsi="Palatino Linotype" w:cs="Arial"/>
          <w:bCs/>
          <w:color w:val="000000" w:themeColor="text1"/>
          <w:sz w:val="24"/>
          <w:szCs w:val="24"/>
        </w:rPr>
        <w:t xml:space="preserve"> VIII,</w:t>
      </w:r>
      <w:r w:rsidRPr="002951D2">
        <w:rPr>
          <w:rFonts w:ascii="Palatino Linotype" w:eastAsia="Calibri" w:hAnsi="Palatino Linotype" w:cs="Arial"/>
          <w:color w:val="000000" w:themeColor="text1"/>
          <w:sz w:val="24"/>
          <w:szCs w:val="24"/>
          <w:lang w:val="es-ES" w:eastAsia="es-MX"/>
        </w:rPr>
        <w:t xml:space="preserve"> 122</w:t>
      </w:r>
      <w:r w:rsidRPr="002951D2">
        <w:rPr>
          <w:rFonts w:ascii="Palatino Linotype" w:hAnsi="Palatino Linotype" w:cs="Times New Roman"/>
          <w:color w:val="000000" w:themeColor="text1"/>
          <w:sz w:val="24"/>
          <w:szCs w:val="24"/>
          <w:vertAlign w:val="superscript"/>
          <w:lang w:val="es-ES" w:eastAsia="es-MX"/>
        </w:rPr>
        <w:footnoteReference w:id="5"/>
      </w:r>
      <w:r w:rsidRPr="002951D2">
        <w:rPr>
          <w:rFonts w:ascii="Palatino Linotype" w:eastAsia="Calibri" w:hAnsi="Palatino Linotype" w:cs="Arial"/>
          <w:color w:val="000000" w:themeColor="text1"/>
          <w:sz w:val="24"/>
          <w:szCs w:val="24"/>
          <w:lang w:val="es-ES" w:eastAsia="es-MX"/>
        </w:rPr>
        <w:t>, 135</w:t>
      </w:r>
      <w:r w:rsidRPr="002951D2">
        <w:rPr>
          <w:rFonts w:ascii="Palatino Linotype" w:hAnsi="Palatino Linotype" w:cs="Times New Roman"/>
          <w:color w:val="000000" w:themeColor="text1"/>
          <w:sz w:val="24"/>
          <w:szCs w:val="24"/>
          <w:vertAlign w:val="superscript"/>
          <w:lang w:val="es-ES" w:eastAsia="es-MX"/>
        </w:rPr>
        <w:footnoteReference w:id="6"/>
      </w:r>
      <w:r w:rsidRPr="002951D2">
        <w:rPr>
          <w:rFonts w:ascii="Palatino Linotype" w:eastAsia="Calibri" w:hAnsi="Palatino Linotype" w:cs="Arial"/>
          <w:color w:val="000000" w:themeColor="text1"/>
          <w:sz w:val="24"/>
          <w:szCs w:val="24"/>
          <w:lang w:val="es-ES" w:eastAsia="es-MX"/>
        </w:rPr>
        <w:t xml:space="preserve"> y 149 de la </w:t>
      </w:r>
      <w:r w:rsidRPr="002951D2">
        <w:rPr>
          <w:rFonts w:ascii="Palatino Linotype" w:eastAsia="Calibri" w:hAnsi="Palatino Linotype" w:cs="Arial"/>
          <w:b/>
          <w:color w:val="000000" w:themeColor="text1"/>
          <w:sz w:val="24"/>
          <w:szCs w:val="24"/>
          <w:lang w:val="es-ES" w:eastAsia="es-MX"/>
        </w:rPr>
        <w:t>Ley de Transparencia y Acceso a la Información Pública del Estado de México y Municipios</w:t>
      </w:r>
      <w:r w:rsidRPr="002951D2">
        <w:rPr>
          <w:rFonts w:ascii="Palatino Linotype" w:eastAsia="Calibri" w:hAnsi="Palatino Linotype" w:cs="Arial"/>
          <w:color w:val="000000" w:themeColor="text1"/>
          <w:sz w:val="24"/>
          <w:szCs w:val="24"/>
          <w:lang w:val="es-ES" w:eastAsia="es-MX"/>
        </w:rPr>
        <w:t>, con el cual sustentara de forma fundada y motivada la clasificación de datos y con ello la "versión pública" de los documentos materia de la solicitud.</w:t>
      </w:r>
    </w:p>
    <w:p w:rsidR="000C37FE" w:rsidRPr="002951D2" w:rsidRDefault="000C37FE" w:rsidP="000C37FE">
      <w:pPr>
        <w:keepNext/>
        <w:keepLines/>
        <w:spacing w:before="40"/>
        <w:outlineLvl w:val="1"/>
        <w:rPr>
          <w:rFonts w:ascii="Palatino Linotype" w:eastAsiaTheme="majorEastAsia" w:hAnsi="Palatino Linotype" w:cstheme="majorBidi"/>
          <w:b/>
          <w:color w:val="000000" w:themeColor="text1"/>
          <w:sz w:val="24"/>
          <w:szCs w:val="24"/>
        </w:rPr>
      </w:pPr>
      <w:bookmarkStart w:id="81" w:name="_Toc500756709"/>
      <w:bookmarkStart w:id="82" w:name="_Toc536691777"/>
      <w:bookmarkStart w:id="83" w:name="_Toc2267540"/>
      <w:bookmarkStart w:id="84" w:name="_Toc2856713"/>
      <w:bookmarkStart w:id="85" w:name="_Toc23430165"/>
      <w:r w:rsidRPr="002951D2">
        <w:rPr>
          <w:rFonts w:ascii="Palatino Linotype" w:eastAsiaTheme="majorEastAsia" w:hAnsi="Palatino Linotype" w:cstheme="majorBidi"/>
          <w:b/>
          <w:color w:val="000000" w:themeColor="text1"/>
          <w:sz w:val="24"/>
          <w:szCs w:val="24"/>
        </w:rPr>
        <w:t>I. De la clasificación de la información.</w:t>
      </w:r>
      <w:bookmarkEnd w:id="81"/>
      <w:bookmarkEnd w:id="82"/>
      <w:bookmarkEnd w:id="83"/>
      <w:bookmarkEnd w:id="84"/>
      <w:bookmarkEnd w:id="85"/>
    </w:p>
    <w:p w:rsidR="000C37FE" w:rsidRPr="002951D2" w:rsidRDefault="000C37FE" w:rsidP="000C37FE">
      <w:pPr>
        <w:rPr>
          <w:rFonts w:ascii="Palatino Linotype" w:hAnsi="Palatino Linotype"/>
          <w:color w:val="000000" w:themeColor="text1"/>
          <w:sz w:val="24"/>
          <w:szCs w:val="24"/>
        </w:rPr>
      </w:pPr>
    </w:p>
    <w:p w:rsidR="000C37FE" w:rsidRDefault="000C37FE" w:rsidP="002951D2">
      <w:pPr>
        <w:pStyle w:val="Prrafodelista"/>
        <w:numPr>
          <w:ilvl w:val="0"/>
          <w:numId w:val="2"/>
        </w:numPr>
        <w:spacing w:line="360" w:lineRule="auto"/>
        <w:ind w:left="0" w:hanging="11"/>
        <w:jc w:val="both"/>
        <w:rPr>
          <w:rFonts w:ascii="Palatino Linotype" w:hAnsi="Palatino Linotype"/>
          <w:color w:val="000000" w:themeColor="text1"/>
          <w:sz w:val="24"/>
          <w:szCs w:val="24"/>
        </w:rPr>
      </w:pPr>
      <w:r w:rsidRPr="002951D2">
        <w:rPr>
          <w:rFonts w:ascii="Palatino Linotype" w:hAnsi="Palatino Linotype"/>
          <w:color w:val="000000" w:themeColor="text1"/>
          <w:sz w:val="24"/>
          <w:szCs w:val="24"/>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2951D2">
        <w:rPr>
          <w:rFonts w:ascii="Palatino Linotype" w:hAnsi="Palatino Linotype"/>
          <w:color w:val="000000" w:themeColor="text1"/>
          <w:sz w:val="24"/>
          <w:szCs w:val="24"/>
          <w:vertAlign w:val="superscript"/>
        </w:rPr>
        <w:footnoteReference w:id="7"/>
      </w:r>
      <w:r w:rsidRPr="002951D2">
        <w:rPr>
          <w:rFonts w:ascii="Palatino Linotype" w:hAnsi="Palatino Linotype"/>
          <w:color w:val="000000" w:themeColor="text1"/>
          <w:sz w:val="24"/>
          <w:szCs w:val="24"/>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2951D2">
        <w:rPr>
          <w:rFonts w:ascii="Palatino Linotype" w:hAnsi="Palatino Linotype"/>
          <w:color w:val="000000" w:themeColor="text1"/>
          <w:sz w:val="24"/>
          <w:szCs w:val="24"/>
          <w:vertAlign w:val="superscript"/>
        </w:rPr>
        <w:footnoteReference w:id="8"/>
      </w:r>
      <w:r w:rsidRPr="002951D2">
        <w:rPr>
          <w:rFonts w:ascii="Palatino Linotype" w:hAnsi="Palatino Linotype"/>
          <w:color w:val="000000" w:themeColor="text1"/>
          <w:sz w:val="24"/>
          <w:szCs w:val="24"/>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2951D2" w:rsidRPr="002951D2" w:rsidRDefault="002951D2" w:rsidP="002951D2">
      <w:pPr>
        <w:pStyle w:val="Prrafodelista"/>
        <w:spacing w:line="360" w:lineRule="auto"/>
        <w:ind w:left="0"/>
        <w:jc w:val="both"/>
        <w:rPr>
          <w:rFonts w:ascii="Palatino Linotype" w:hAnsi="Palatino Linotype"/>
          <w:color w:val="000000" w:themeColor="text1"/>
          <w:sz w:val="24"/>
          <w:szCs w:val="24"/>
        </w:rPr>
      </w:pPr>
    </w:p>
    <w:p w:rsidR="000C37FE" w:rsidRPr="002951D2" w:rsidRDefault="000C37FE" w:rsidP="002951D2">
      <w:pPr>
        <w:numPr>
          <w:ilvl w:val="0"/>
          <w:numId w:val="2"/>
        </w:numPr>
        <w:spacing w:line="360" w:lineRule="auto"/>
        <w:ind w:left="0" w:firstLine="0"/>
        <w:contextualSpacing/>
        <w:jc w:val="both"/>
        <w:rPr>
          <w:rFonts w:ascii="Palatino Linotype" w:hAnsi="Palatino Linotype"/>
          <w:color w:val="000000" w:themeColor="text1"/>
          <w:sz w:val="24"/>
          <w:szCs w:val="24"/>
        </w:rPr>
      </w:pPr>
      <w:r w:rsidRPr="002951D2">
        <w:rPr>
          <w:rFonts w:ascii="Palatino Linotype" w:hAnsi="Palatino Linotype"/>
          <w:color w:val="000000" w:themeColor="text1"/>
          <w:sz w:val="24"/>
          <w:szCs w:val="24"/>
        </w:rPr>
        <w:t>El grave problema que enfrentamos todos los días, al resolver los recursos de revisión que se presentan, consiste en que a pesar de que han pasado más de dos años, desde la entrada en vigor de la Ley General y poco más de un año de la entrada en vigor de Ley Estatal, y de que dichos ordenamientos señalan los pasos, requisitos 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rsidR="000C37FE" w:rsidRPr="002951D2" w:rsidRDefault="000C37FE" w:rsidP="000C37FE">
      <w:pPr>
        <w:spacing w:line="360" w:lineRule="auto"/>
        <w:contextualSpacing/>
        <w:jc w:val="both"/>
        <w:rPr>
          <w:rFonts w:ascii="Palatino Linotype" w:hAnsi="Palatino Linotype"/>
          <w:color w:val="000000" w:themeColor="text1"/>
          <w:sz w:val="24"/>
          <w:szCs w:val="24"/>
        </w:rPr>
      </w:pPr>
    </w:p>
    <w:p w:rsidR="000C37FE" w:rsidRPr="002951D2" w:rsidRDefault="000C37FE" w:rsidP="002951D2">
      <w:pPr>
        <w:numPr>
          <w:ilvl w:val="0"/>
          <w:numId w:val="2"/>
        </w:numPr>
        <w:spacing w:line="360" w:lineRule="auto"/>
        <w:ind w:left="0" w:firstLine="0"/>
        <w:contextualSpacing/>
        <w:jc w:val="both"/>
        <w:rPr>
          <w:rFonts w:ascii="Palatino Linotype" w:hAnsi="Palatino Linotype"/>
          <w:color w:val="000000" w:themeColor="text1"/>
          <w:sz w:val="24"/>
          <w:szCs w:val="24"/>
        </w:rPr>
      </w:pPr>
      <w:r w:rsidRPr="002951D2">
        <w:rPr>
          <w:rFonts w:ascii="Palatino Linotype" w:hAnsi="Palatino Linotype"/>
          <w:color w:val="000000" w:themeColor="text1"/>
          <w:sz w:val="24"/>
          <w:szCs w:val="24"/>
        </w:rPr>
        <w:t>Por esa razón, es que en esta ocasión se presenta un apretado resumen de las formalidades, elementos y procedimientos que debe considerar el sujeto obligado para emitir este tipo de acuerdos y que el Órgano Garante debe verificar que se cumplan.</w:t>
      </w:r>
    </w:p>
    <w:p w:rsidR="000C37FE" w:rsidRPr="002951D2" w:rsidRDefault="000C37FE" w:rsidP="006B39D8">
      <w:pPr>
        <w:pStyle w:val="Prrafodelista"/>
        <w:keepNext/>
        <w:keepLines/>
        <w:numPr>
          <w:ilvl w:val="0"/>
          <w:numId w:val="16"/>
        </w:numPr>
        <w:pBdr>
          <w:top w:val="nil"/>
          <w:left w:val="nil"/>
          <w:bottom w:val="nil"/>
          <w:right w:val="nil"/>
          <w:between w:val="nil"/>
          <w:bar w:val="nil"/>
        </w:pBdr>
        <w:spacing w:before="240" w:after="0" w:line="240" w:lineRule="auto"/>
        <w:ind w:left="0" w:firstLine="0"/>
        <w:rPr>
          <w:rFonts w:ascii="Palatino Linotype" w:eastAsiaTheme="majorEastAsia" w:hAnsi="Palatino Linotype" w:cstheme="majorBidi"/>
          <w:b/>
          <w:color w:val="000000" w:themeColor="text1"/>
          <w:sz w:val="24"/>
          <w:szCs w:val="24"/>
        </w:rPr>
      </w:pPr>
      <w:bookmarkStart w:id="86" w:name="_Toc485631700"/>
      <w:bookmarkStart w:id="87" w:name="_Toc500756710"/>
      <w:bookmarkStart w:id="88" w:name="_Toc536691778"/>
      <w:bookmarkStart w:id="89" w:name="_Toc2267541"/>
      <w:bookmarkStart w:id="90" w:name="_Toc2856714"/>
      <w:r w:rsidRPr="002951D2">
        <w:rPr>
          <w:rFonts w:ascii="Palatino Linotype" w:eastAsiaTheme="majorEastAsia" w:hAnsi="Palatino Linotype" w:cstheme="majorBidi"/>
          <w:b/>
          <w:color w:val="000000" w:themeColor="text1"/>
          <w:sz w:val="24"/>
          <w:szCs w:val="24"/>
        </w:rPr>
        <w:t>Requisitos previos.</w:t>
      </w:r>
      <w:bookmarkEnd w:id="86"/>
      <w:bookmarkEnd w:id="87"/>
      <w:bookmarkEnd w:id="88"/>
      <w:bookmarkEnd w:id="89"/>
      <w:bookmarkEnd w:id="90"/>
    </w:p>
    <w:p w:rsidR="000C37FE" w:rsidRPr="002951D2" w:rsidRDefault="000C37FE" w:rsidP="000C37FE">
      <w:pPr>
        <w:spacing w:line="360" w:lineRule="auto"/>
        <w:contextualSpacing/>
        <w:jc w:val="both"/>
        <w:rPr>
          <w:rFonts w:ascii="Palatino Linotype" w:hAnsi="Palatino Linotype" w:cs="Arial"/>
          <w:color w:val="000000" w:themeColor="text1"/>
          <w:sz w:val="24"/>
          <w:szCs w:val="24"/>
        </w:rPr>
      </w:pPr>
    </w:p>
    <w:p w:rsidR="000C37FE" w:rsidRPr="002951D2" w:rsidRDefault="000C37FE" w:rsidP="002951D2">
      <w:pPr>
        <w:numPr>
          <w:ilvl w:val="0"/>
          <w:numId w:val="2"/>
        </w:numPr>
        <w:spacing w:line="360" w:lineRule="auto"/>
        <w:ind w:left="0" w:firstLine="0"/>
        <w:contextualSpacing/>
        <w:jc w:val="both"/>
        <w:rPr>
          <w:rFonts w:ascii="Palatino Linotype" w:hAnsi="Palatino Linotype" w:cs="Arial"/>
          <w:color w:val="000000" w:themeColor="text1"/>
          <w:sz w:val="24"/>
          <w:szCs w:val="24"/>
        </w:rPr>
      </w:pPr>
      <w:r w:rsidRPr="002951D2">
        <w:rPr>
          <w:rFonts w:ascii="Palatino Linotype" w:hAnsi="Palatino Linotype" w:cs="Arial"/>
          <w:color w:val="000000" w:themeColor="text1"/>
          <w:sz w:val="24"/>
          <w:szCs w:val="24"/>
        </w:rPr>
        <w:t xml:space="preserve">Los </w:t>
      </w:r>
      <w:r w:rsidRPr="002951D2">
        <w:rPr>
          <w:rFonts w:ascii="Palatino Linotype" w:hAnsi="Palatino Linotype"/>
          <w:color w:val="000000" w:themeColor="text1"/>
          <w:sz w:val="24"/>
          <w:szCs w:val="24"/>
        </w:rPr>
        <w:t>artículos</w:t>
      </w:r>
      <w:r w:rsidRPr="002951D2">
        <w:rPr>
          <w:rFonts w:ascii="Palatino Linotype" w:hAnsi="Palatino Linotype" w:cs="Arial"/>
          <w:color w:val="000000" w:themeColor="text1"/>
          <w:sz w:val="24"/>
          <w:szCs w:val="24"/>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entre otros) que forme parte de algún documento o el documento que se pretende reservar (contrato, licencia, póliza, entre otros), señalando el supuesto de clasificación (confidencialidad o reserva).</w:t>
      </w:r>
    </w:p>
    <w:p w:rsidR="000C37FE" w:rsidRPr="002951D2" w:rsidRDefault="000C37FE" w:rsidP="000C37FE">
      <w:pPr>
        <w:spacing w:line="360" w:lineRule="auto"/>
        <w:contextualSpacing/>
        <w:jc w:val="both"/>
        <w:rPr>
          <w:rFonts w:ascii="Palatino Linotype" w:hAnsi="Palatino Linotype" w:cs="Arial"/>
          <w:color w:val="000000" w:themeColor="text1"/>
          <w:sz w:val="24"/>
          <w:szCs w:val="24"/>
        </w:rPr>
      </w:pPr>
    </w:p>
    <w:p w:rsidR="000C37FE" w:rsidRPr="002951D2" w:rsidRDefault="000C37FE" w:rsidP="002951D2">
      <w:pPr>
        <w:numPr>
          <w:ilvl w:val="0"/>
          <w:numId w:val="2"/>
        </w:numPr>
        <w:spacing w:line="360" w:lineRule="auto"/>
        <w:ind w:left="0" w:firstLine="0"/>
        <w:contextualSpacing/>
        <w:jc w:val="both"/>
        <w:rPr>
          <w:rFonts w:ascii="Palatino Linotype" w:hAnsi="Palatino Linotype" w:cs="Arial"/>
          <w:color w:val="000000" w:themeColor="text1"/>
          <w:sz w:val="24"/>
          <w:szCs w:val="24"/>
        </w:rPr>
      </w:pPr>
      <w:r w:rsidRPr="002951D2">
        <w:rPr>
          <w:rFonts w:ascii="Palatino Linotype" w:hAnsi="Palatino Linotype" w:cs="Arial"/>
          <w:color w:val="000000" w:themeColor="text1"/>
          <w:sz w:val="24"/>
          <w:szCs w:val="24"/>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0C37FE" w:rsidRPr="002951D2" w:rsidRDefault="000C37FE" w:rsidP="000C37FE">
      <w:pPr>
        <w:spacing w:line="360" w:lineRule="auto"/>
        <w:contextualSpacing/>
        <w:jc w:val="both"/>
        <w:rPr>
          <w:rFonts w:ascii="Palatino Linotype" w:hAnsi="Palatino Linotype" w:cs="Arial"/>
          <w:color w:val="000000" w:themeColor="text1"/>
          <w:sz w:val="24"/>
          <w:szCs w:val="24"/>
        </w:rPr>
      </w:pPr>
    </w:p>
    <w:p w:rsidR="000C37FE" w:rsidRPr="002951D2" w:rsidRDefault="000C37FE" w:rsidP="002951D2">
      <w:pPr>
        <w:numPr>
          <w:ilvl w:val="0"/>
          <w:numId w:val="2"/>
        </w:numPr>
        <w:spacing w:line="360" w:lineRule="auto"/>
        <w:ind w:left="0" w:firstLine="0"/>
        <w:contextualSpacing/>
        <w:jc w:val="both"/>
        <w:rPr>
          <w:rFonts w:ascii="Palatino Linotype" w:hAnsi="Palatino Linotype" w:cs="Arial"/>
          <w:color w:val="000000" w:themeColor="text1"/>
          <w:sz w:val="24"/>
          <w:szCs w:val="24"/>
        </w:rPr>
      </w:pPr>
      <w:r w:rsidRPr="002951D2">
        <w:rPr>
          <w:rFonts w:ascii="Palatino Linotype" w:hAnsi="Palatino Linotype" w:cs="Arial"/>
          <w:color w:val="000000" w:themeColor="text1"/>
          <w:sz w:val="24"/>
          <w:szCs w:val="24"/>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0C37FE" w:rsidRPr="002951D2" w:rsidRDefault="000C37FE" w:rsidP="000C37FE">
      <w:pPr>
        <w:spacing w:line="360" w:lineRule="auto"/>
        <w:contextualSpacing/>
        <w:jc w:val="both"/>
        <w:rPr>
          <w:rFonts w:ascii="Palatino Linotype" w:hAnsi="Palatino Linotype" w:cs="Arial"/>
          <w:color w:val="000000" w:themeColor="text1"/>
          <w:sz w:val="24"/>
          <w:szCs w:val="24"/>
        </w:rPr>
      </w:pPr>
    </w:p>
    <w:p w:rsidR="000C37FE" w:rsidRPr="002951D2" w:rsidRDefault="000C37FE" w:rsidP="006B39D8">
      <w:pPr>
        <w:pStyle w:val="Prrafodelista"/>
        <w:keepNext/>
        <w:keepLines/>
        <w:numPr>
          <w:ilvl w:val="0"/>
          <w:numId w:val="16"/>
        </w:numPr>
        <w:pBdr>
          <w:top w:val="nil"/>
          <w:left w:val="nil"/>
          <w:bottom w:val="nil"/>
          <w:right w:val="nil"/>
          <w:between w:val="nil"/>
          <w:bar w:val="nil"/>
        </w:pBdr>
        <w:spacing w:before="240" w:after="0" w:line="240" w:lineRule="auto"/>
        <w:ind w:left="0" w:firstLine="0"/>
        <w:rPr>
          <w:rFonts w:ascii="Palatino Linotype" w:eastAsiaTheme="majorEastAsia" w:hAnsi="Palatino Linotype" w:cstheme="majorBidi"/>
          <w:b/>
          <w:color w:val="000000" w:themeColor="text1"/>
          <w:sz w:val="24"/>
          <w:szCs w:val="24"/>
        </w:rPr>
      </w:pPr>
      <w:bookmarkStart w:id="91" w:name="_Toc485631701"/>
      <w:bookmarkStart w:id="92" w:name="_Toc500756711"/>
      <w:bookmarkStart w:id="93" w:name="_Toc536691779"/>
      <w:bookmarkStart w:id="94" w:name="_Toc2267542"/>
      <w:bookmarkStart w:id="95" w:name="_Toc2856715"/>
      <w:r w:rsidRPr="002951D2">
        <w:rPr>
          <w:rFonts w:ascii="Palatino Linotype" w:eastAsiaTheme="majorEastAsia" w:hAnsi="Palatino Linotype" w:cstheme="majorBidi"/>
          <w:b/>
          <w:color w:val="000000" w:themeColor="text1"/>
          <w:sz w:val="24"/>
          <w:szCs w:val="24"/>
        </w:rPr>
        <w:t>Supuestos de clasificación.</w:t>
      </w:r>
      <w:bookmarkEnd w:id="91"/>
      <w:bookmarkEnd w:id="92"/>
      <w:bookmarkEnd w:id="93"/>
      <w:bookmarkEnd w:id="94"/>
      <w:bookmarkEnd w:id="95"/>
    </w:p>
    <w:p w:rsidR="000C37FE" w:rsidRPr="002951D2" w:rsidRDefault="000C37FE" w:rsidP="000C37FE">
      <w:pPr>
        <w:spacing w:line="360" w:lineRule="auto"/>
        <w:jc w:val="both"/>
        <w:rPr>
          <w:rFonts w:ascii="Palatino Linotype" w:hAnsi="Palatino Linotype" w:cs="Arial"/>
          <w:color w:val="000000" w:themeColor="text1"/>
          <w:sz w:val="24"/>
          <w:szCs w:val="24"/>
        </w:rPr>
      </w:pPr>
    </w:p>
    <w:p w:rsidR="000C37FE" w:rsidRPr="002951D2" w:rsidRDefault="000C37FE" w:rsidP="002951D2">
      <w:pPr>
        <w:numPr>
          <w:ilvl w:val="0"/>
          <w:numId w:val="2"/>
        </w:numPr>
        <w:spacing w:line="360" w:lineRule="auto"/>
        <w:ind w:left="0" w:firstLine="0"/>
        <w:contextualSpacing/>
        <w:jc w:val="both"/>
        <w:rPr>
          <w:rFonts w:ascii="Palatino Linotype" w:hAnsi="Palatino Linotype" w:cs="Arial"/>
          <w:color w:val="000000" w:themeColor="text1"/>
          <w:sz w:val="24"/>
          <w:szCs w:val="24"/>
        </w:rPr>
      </w:pPr>
      <w:r w:rsidRPr="002951D2">
        <w:rPr>
          <w:rFonts w:ascii="Palatino Linotype" w:hAnsi="Palatino Linotype" w:cs="Arial"/>
          <w:color w:val="000000" w:themeColor="text1"/>
          <w:sz w:val="24"/>
          <w:szCs w:val="24"/>
        </w:rPr>
        <w:t>Las disposiciones constitucionales y legales en la materia establecen los dos supuestos generales para clasificar la información: por reserva y por confidencialidad.</w:t>
      </w:r>
    </w:p>
    <w:p w:rsidR="000C37FE" w:rsidRPr="002951D2" w:rsidRDefault="000C37FE" w:rsidP="000C37FE">
      <w:pPr>
        <w:spacing w:line="360" w:lineRule="auto"/>
        <w:contextualSpacing/>
        <w:jc w:val="both"/>
        <w:rPr>
          <w:rFonts w:ascii="Palatino Linotype" w:hAnsi="Palatino Linotype" w:cs="Arial"/>
          <w:color w:val="000000" w:themeColor="text1"/>
          <w:sz w:val="24"/>
          <w:szCs w:val="24"/>
        </w:rPr>
      </w:pPr>
    </w:p>
    <w:p w:rsidR="000C37FE" w:rsidRPr="002951D2" w:rsidRDefault="000C37FE" w:rsidP="002951D2">
      <w:pPr>
        <w:numPr>
          <w:ilvl w:val="0"/>
          <w:numId w:val="2"/>
        </w:numPr>
        <w:spacing w:line="360" w:lineRule="auto"/>
        <w:ind w:left="0" w:firstLine="0"/>
        <w:contextualSpacing/>
        <w:jc w:val="both"/>
        <w:rPr>
          <w:rFonts w:ascii="Palatino Linotype" w:hAnsi="Palatino Linotype" w:cs="Arial"/>
          <w:color w:val="000000" w:themeColor="text1"/>
          <w:sz w:val="24"/>
          <w:szCs w:val="24"/>
        </w:rPr>
      </w:pPr>
      <w:r w:rsidRPr="002951D2">
        <w:rPr>
          <w:rFonts w:ascii="Palatino Linotype" w:hAnsi="Palatino Linotype" w:cs="Arial"/>
          <w:color w:val="000000" w:themeColor="text1"/>
          <w:sz w:val="24"/>
          <w:szCs w:val="24"/>
        </w:rPr>
        <w:t>Los artículos 140 y 113 de la Ley Estatal y de la Ley General, respectivamente, señalan los supuestos para que una información pueda considerarse como reservada, que son los siguientes:</w:t>
      </w:r>
    </w:p>
    <w:p w:rsidR="000C37FE" w:rsidRPr="002951D2" w:rsidRDefault="000C37FE" w:rsidP="000C37FE">
      <w:pPr>
        <w:spacing w:line="360" w:lineRule="auto"/>
        <w:contextualSpacing/>
        <w:jc w:val="both"/>
        <w:rPr>
          <w:rFonts w:ascii="Palatino Linotype" w:hAnsi="Palatino Linotype" w:cs="Arial"/>
          <w:color w:val="000000" w:themeColor="text1"/>
          <w:sz w:val="24"/>
          <w:szCs w:val="24"/>
        </w:rPr>
      </w:pPr>
    </w:p>
    <w:tbl>
      <w:tblPr>
        <w:tblStyle w:val="Tablanormal11"/>
        <w:tblW w:w="8647" w:type="dxa"/>
        <w:tblInd w:w="-5" w:type="dxa"/>
        <w:tblLook w:val="04A0" w:firstRow="1" w:lastRow="0" w:firstColumn="1" w:lastColumn="0" w:noHBand="0" w:noVBand="1"/>
      </w:tblPr>
      <w:tblGrid>
        <w:gridCol w:w="4536"/>
        <w:gridCol w:w="4111"/>
      </w:tblGrid>
      <w:tr w:rsidR="000C37FE" w:rsidRPr="002951D2" w:rsidTr="000C37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0C37FE" w:rsidRPr="002951D2" w:rsidRDefault="000C37FE" w:rsidP="000C37FE">
            <w:pPr>
              <w:autoSpaceDE w:val="0"/>
              <w:autoSpaceDN w:val="0"/>
              <w:adjustRightInd w:val="0"/>
              <w:jc w:val="center"/>
              <w:rPr>
                <w:rFonts w:ascii="Palatino Linotype" w:hAnsi="Palatino Linotype"/>
                <w:color w:val="000000" w:themeColor="text1"/>
                <w:sz w:val="24"/>
                <w:szCs w:val="24"/>
              </w:rPr>
            </w:pPr>
            <w:r w:rsidRPr="002951D2">
              <w:rPr>
                <w:rFonts w:ascii="Palatino Linotype" w:hAnsi="Palatino Linotype" w:cs="Gill Sans,Bold"/>
                <w:color w:val="000000" w:themeColor="text1"/>
                <w:sz w:val="24"/>
                <w:szCs w:val="24"/>
              </w:rPr>
              <w:t>LEY ESTATAL</w:t>
            </w:r>
          </w:p>
        </w:tc>
        <w:tc>
          <w:tcPr>
            <w:tcW w:w="4111" w:type="dxa"/>
          </w:tcPr>
          <w:p w:rsidR="000C37FE" w:rsidRPr="002951D2" w:rsidRDefault="000C37FE" w:rsidP="000C37FE">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rPr>
            </w:pPr>
            <w:r w:rsidRPr="002951D2">
              <w:rPr>
                <w:rFonts w:ascii="Palatino Linotype" w:hAnsi="Palatino Linotype"/>
                <w:color w:val="000000" w:themeColor="text1"/>
                <w:sz w:val="24"/>
                <w:szCs w:val="24"/>
              </w:rPr>
              <w:t>LEY GENERAL</w:t>
            </w:r>
          </w:p>
        </w:tc>
      </w:tr>
      <w:tr w:rsidR="000C37FE" w:rsidRPr="002951D2" w:rsidTr="000C37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0C37FE" w:rsidRPr="002951D2" w:rsidRDefault="000C37FE" w:rsidP="000C37FE">
            <w:pPr>
              <w:autoSpaceDE w:val="0"/>
              <w:autoSpaceDN w:val="0"/>
              <w:adjustRightInd w:val="0"/>
              <w:jc w:val="both"/>
              <w:rPr>
                <w:rFonts w:ascii="Palatino Linotype" w:hAnsi="Palatino Linotype" w:cs="Arial"/>
                <w:color w:val="000000" w:themeColor="text1"/>
                <w:sz w:val="24"/>
                <w:szCs w:val="24"/>
              </w:rPr>
            </w:pPr>
            <w:r w:rsidRPr="002951D2">
              <w:rPr>
                <w:rFonts w:ascii="Palatino Linotype" w:hAnsi="Palatino Linotype" w:cs="Arial"/>
                <w:color w:val="000000" w:themeColor="text1"/>
                <w:sz w:val="24"/>
                <w:szCs w:val="24"/>
              </w:rPr>
              <w:t>I. Comprometa la seguridad pública y cuente con un propósito genuino y un efecto demostrable;</w:t>
            </w:r>
          </w:p>
          <w:p w:rsidR="000C37FE" w:rsidRPr="002951D2" w:rsidRDefault="000C37FE" w:rsidP="000C37FE">
            <w:pPr>
              <w:jc w:val="both"/>
              <w:rPr>
                <w:rFonts w:ascii="Palatino Linotype" w:hAnsi="Palatino Linotype"/>
                <w:color w:val="000000" w:themeColor="text1"/>
                <w:sz w:val="24"/>
                <w:szCs w:val="24"/>
              </w:rPr>
            </w:pPr>
          </w:p>
        </w:tc>
        <w:tc>
          <w:tcPr>
            <w:tcW w:w="4111" w:type="dxa"/>
          </w:tcPr>
          <w:p w:rsidR="000C37FE" w:rsidRPr="002951D2" w:rsidRDefault="000C37FE" w:rsidP="000C37FE">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4"/>
                <w:szCs w:val="24"/>
                <w:lang w:val="es-ES"/>
              </w:rPr>
            </w:pPr>
            <w:r w:rsidRPr="002951D2">
              <w:rPr>
                <w:rFonts w:ascii="Palatino Linotype" w:hAnsi="Palatino Linotype"/>
                <w:color w:val="000000" w:themeColor="text1"/>
                <w:sz w:val="24"/>
                <w:szCs w:val="24"/>
                <w:lang w:val="es-ES"/>
              </w:rPr>
              <w:t>I.</w:t>
            </w:r>
            <w:r w:rsidRPr="002951D2">
              <w:rPr>
                <w:rFonts w:ascii="Palatino Linotype" w:hAnsi="Palatino Linotype"/>
                <w:color w:val="000000" w:themeColor="text1"/>
                <w:sz w:val="24"/>
                <w:szCs w:val="24"/>
                <w:lang w:val="es-ES"/>
              </w:rPr>
              <w:tab/>
              <w:t>Comprometa la seguridad nacional, la seguridad pública o la defensa nacional y cuente con un propósito genuino y un efecto demostrable;</w:t>
            </w:r>
          </w:p>
        </w:tc>
      </w:tr>
      <w:tr w:rsidR="000C37FE" w:rsidRPr="002951D2" w:rsidTr="000C37FE">
        <w:tc>
          <w:tcPr>
            <w:cnfStyle w:val="001000000000" w:firstRow="0" w:lastRow="0" w:firstColumn="1" w:lastColumn="0" w:oddVBand="0" w:evenVBand="0" w:oddHBand="0" w:evenHBand="0" w:firstRowFirstColumn="0" w:firstRowLastColumn="0" w:lastRowFirstColumn="0" w:lastRowLastColumn="0"/>
            <w:tcW w:w="4536" w:type="dxa"/>
          </w:tcPr>
          <w:p w:rsidR="000C37FE" w:rsidRPr="002951D2" w:rsidRDefault="000C37FE" w:rsidP="000C37FE">
            <w:pPr>
              <w:autoSpaceDE w:val="0"/>
              <w:autoSpaceDN w:val="0"/>
              <w:adjustRightInd w:val="0"/>
              <w:jc w:val="both"/>
              <w:rPr>
                <w:rFonts w:ascii="Palatino Linotype" w:hAnsi="Palatino Linotype" w:cs="Arial"/>
                <w:color w:val="000000" w:themeColor="text1"/>
                <w:sz w:val="24"/>
                <w:szCs w:val="24"/>
              </w:rPr>
            </w:pPr>
            <w:r w:rsidRPr="002951D2">
              <w:rPr>
                <w:rFonts w:ascii="Palatino Linotype" w:hAnsi="Palatino Linotype" w:cs="Arial"/>
                <w:color w:val="000000" w:themeColor="text1"/>
                <w:sz w:val="24"/>
                <w:szCs w:val="24"/>
              </w:rPr>
              <w:t>II. Pueda menoscabar la conducción de las negociaciones y relaciones internacionales;</w:t>
            </w:r>
          </w:p>
        </w:tc>
        <w:tc>
          <w:tcPr>
            <w:tcW w:w="4111" w:type="dxa"/>
          </w:tcPr>
          <w:p w:rsidR="000C37FE" w:rsidRPr="002951D2" w:rsidRDefault="000C37FE" w:rsidP="000C37FE">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lang w:val="es-ES"/>
              </w:rPr>
            </w:pPr>
            <w:r w:rsidRPr="002951D2">
              <w:rPr>
                <w:rFonts w:ascii="Palatino Linotype" w:hAnsi="Palatino Linotype"/>
                <w:color w:val="000000" w:themeColor="text1"/>
                <w:sz w:val="24"/>
                <w:szCs w:val="24"/>
                <w:lang w:val="es-ES"/>
              </w:rPr>
              <w:t>II.</w:t>
            </w:r>
            <w:r w:rsidRPr="002951D2">
              <w:rPr>
                <w:rFonts w:ascii="Palatino Linotype" w:hAnsi="Palatino Linotype"/>
                <w:color w:val="000000" w:themeColor="text1"/>
                <w:sz w:val="24"/>
                <w:szCs w:val="24"/>
                <w:lang w:val="es-ES"/>
              </w:rPr>
              <w:tab/>
              <w:t>Pueda menoscabar la conducción de las negociaciones y relaciones internacionales;</w:t>
            </w:r>
          </w:p>
        </w:tc>
      </w:tr>
      <w:tr w:rsidR="000C37FE" w:rsidRPr="002951D2" w:rsidTr="000C37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0C37FE" w:rsidRPr="002951D2" w:rsidRDefault="000C37FE" w:rsidP="000C37FE">
            <w:pPr>
              <w:autoSpaceDE w:val="0"/>
              <w:autoSpaceDN w:val="0"/>
              <w:adjustRightInd w:val="0"/>
              <w:jc w:val="both"/>
              <w:rPr>
                <w:rFonts w:ascii="Palatino Linotype" w:hAnsi="Palatino Linotype" w:cs="Arial"/>
                <w:color w:val="000000" w:themeColor="text1"/>
                <w:sz w:val="24"/>
                <w:szCs w:val="24"/>
              </w:rPr>
            </w:pPr>
            <w:r w:rsidRPr="002951D2">
              <w:rPr>
                <w:rFonts w:ascii="Palatino Linotype" w:hAnsi="Palatino Linotype" w:cs="Arial"/>
                <w:color w:val="000000" w:themeColor="text1"/>
                <w:sz w:val="24"/>
                <w:szCs w:val="24"/>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tc>
        <w:tc>
          <w:tcPr>
            <w:tcW w:w="4111" w:type="dxa"/>
          </w:tcPr>
          <w:p w:rsidR="000C37FE" w:rsidRPr="002951D2" w:rsidRDefault="000C37FE" w:rsidP="000C37FE">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4"/>
                <w:szCs w:val="24"/>
                <w:lang w:val="es-ES"/>
              </w:rPr>
            </w:pPr>
            <w:r w:rsidRPr="002951D2">
              <w:rPr>
                <w:rFonts w:ascii="Palatino Linotype" w:hAnsi="Palatino Linotype"/>
                <w:color w:val="000000" w:themeColor="text1"/>
                <w:sz w:val="24"/>
                <w:szCs w:val="24"/>
                <w:lang w:val="es-ES"/>
              </w:rPr>
              <w:t>III.</w:t>
            </w:r>
            <w:r w:rsidRPr="002951D2">
              <w:rPr>
                <w:rFonts w:ascii="Palatino Linotype" w:hAnsi="Palatino Linotype"/>
                <w:color w:val="000000" w:themeColor="text1"/>
                <w:sz w:val="24"/>
                <w:szCs w:val="24"/>
                <w:lang w:val="es-ES"/>
              </w:rPr>
              <w:tab/>
              <w:t>Se entregue al Estado mexicano expresamente con ese carácter o el de confidencial por otro u otros sujetos de derecho internacional, excepto cuando se trate de violaciones graves de derechos humanos o delitos de lesa humanidad de conformidad con el derecho internacional;</w:t>
            </w:r>
          </w:p>
        </w:tc>
      </w:tr>
      <w:tr w:rsidR="000C37FE" w:rsidRPr="002951D2" w:rsidTr="000C37FE">
        <w:tc>
          <w:tcPr>
            <w:cnfStyle w:val="001000000000" w:firstRow="0" w:lastRow="0" w:firstColumn="1" w:lastColumn="0" w:oddVBand="0" w:evenVBand="0" w:oddHBand="0" w:evenHBand="0" w:firstRowFirstColumn="0" w:firstRowLastColumn="0" w:lastRowFirstColumn="0" w:lastRowLastColumn="0"/>
            <w:tcW w:w="4536" w:type="dxa"/>
          </w:tcPr>
          <w:p w:rsidR="000C37FE" w:rsidRPr="002951D2" w:rsidRDefault="000C37FE" w:rsidP="000C37FE">
            <w:pPr>
              <w:autoSpaceDE w:val="0"/>
              <w:autoSpaceDN w:val="0"/>
              <w:adjustRightInd w:val="0"/>
              <w:jc w:val="both"/>
              <w:rPr>
                <w:rFonts w:ascii="Palatino Linotype" w:hAnsi="Palatino Linotype" w:cs="Arial"/>
                <w:color w:val="000000" w:themeColor="text1"/>
                <w:sz w:val="24"/>
                <w:szCs w:val="24"/>
              </w:rPr>
            </w:pPr>
          </w:p>
        </w:tc>
        <w:tc>
          <w:tcPr>
            <w:tcW w:w="4111" w:type="dxa"/>
          </w:tcPr>
          <w:p w:rsidR="000C37FE" w:rsidRPr="002951D2" w:rsidRDefault="000C37FE" w:rsidP="000C37FE">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lang w:val="es-ES"/>
              </w:rPr>
            </w:pPr>
            <w:r w:rsidRPr="002951D2">
              <w:rPr>
                <w:rFonts w:ascii="Palatino Linotype" w:hAnsi="Palatino Linotype"/>
                <w:color w:val="000000" w:themeColor="text1"/>
                <w:sz w:val="24"/>
                <w:szCs w:val="24"/>
                <w:lang w:val="es-ES"/>
              </w:rPr>
              <w:t>IV.</w:t>
            </w:r>
            <w:r w:rsidRPr="002951D2">
              <w:rPr>
                <w:rFonts w:ascii="Palatino Linotype" w:hAnsi="Palatino Linotype"/>
                <w:color w:val="000000" w:themeColor="text1"/>
                <w:sz w:val="24"/>
                <w:szCs w:val="24"/>
                <w:lang w:val="es-ES"/>
              </w:rPr>
              <w:tab/>
              <w:t>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w:t>
            </w:r>
          </w:p>
        </w:tc>
      </w:tr>
      <w:tr w:rsidR="000C37FE" w:rsidRPr="002951D2" w:rsidTr="000C37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0C37FE" w:rsidRPr="002951D2" w:rsidRDefault="000C37FE" w:rsidP="000C37FE">
            <w:pPr>
              <w:autoSpaceDE w:val="0"/>
              <w:autoSpaceDN w:val="0"/>
              <w:adjustRightInd w:val="0"/>
              <w:jc w:val="both"/>
              <w:rPr>
                <w:rFonts w:ascii="Palatino Linotype" w:hAnsi="Palatino Linotype" w:cs="Arial"/>
                <w:color w:val="000000" w:themeColor="text1"/>
                <w:sz w:val="24"/>
                <w:szCs w:val="24"/>
              </w:rPr>
            </w:pPr>
            <w:r w:rsidRPr="002951D2">
              <w:rPr>
                <w:rFonts w:ascii="Palatino Linotype" w:hAnsi="Palatino Linotype" w:cs="Arial"/>
                <w:color w:val="000000" w:themeColor="text1"/>
                <w:sz w:val="24"/>
                <w:szCs w:val="24"/>
              </w:rPr>
              <w:t>IV. Ponga en riesgo la vida, la seguridad o la salud de una persona física;</w:t>
            </w:r>
          </w:p>
        </w:tc>
        <w:tc>
          <w:tcPr>
            <w:tcW w:w="4111" w:type="dxa"/>
          </w:tcPr>
          <w:p w:rsidR="000C37FE" w:rsidRPr="002951D2" w:rsidRDefault="000C37FE" w:rsidP="000C37FE">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4"/>
                <w:szCs w:val="24"/>
                <w:lang w:val="es-ES"/>
              </w:rPr>
            </w:pPr>
            <w:r w:rsidRPr="002951D2">
              <w:rPr>
                <w:rFonts w:ascii="Palatino Linotype" w:hAnsi="Palatino Linotype"/>
                <w:color w:val="000000" w:themeColor="text1"/>
                <w:sz w:val="24"/>
                <w:szCs w:val="24"/>
                <w:lang w:val="es-ES"/>
              </w:rPr>
              <w:t>V.</w:t>
            </w:r>
            <w:r w:rsidRPr="002951D2">
              <w:rPr>
                <w:rFonts w:ascii="Palatino Linotype" w:hAnsi="Palatino Linotype"/>
                <w:color w:val="000000" w:themeColor="text1"/>
                <w:sz w:val="24"/>
                <w:szCs w:val="24"/>
                <w:lang w:val="es-ES"/>
              </w:rPr>
              <w:tab/>
              <w:t>Pueda poner en riesgo la vida, seguridad o salud de una persona física;</w:t>
            </w:r>
          </w:p>
        </w:tc>
      </w:tr>
      <w:tr w:rsidR="000C37FE" w:rsidRPr="002951D2" w:rsidTr="000C37FE">
        <w:tc>
          <w:tcPr>
            <w:cnfStyle w:val="001000000000" w:firstRow="0" w:lastRow="0" w:firstColumn="1" w:lastColumn="0" w:oddVBand="0" w:evenVBand="0" w:oddHBand="0" w:evenHBand="0" w:firstRowFirstColumn="0" w:firstRowLastColumn="0" w:lastRowFirstColumn="0" w:lastRowLastColumn="0"/>
            <w:tcW w:w="4536" w:type="dxa"/>
          </w:tcPr>
          <w:p w:rsidR="000C37FE" w:rsidRPr="002951D2" w:rsidRDefault="000C37FE" w:rsidP="000C37FE">
            <w:pPr>
              <w:autoSpaceDE w:val="0"/>
              <w:autoSpaceDN w:val="0"/>
              <w:adjustRightInd w:val="0"/>
              <w:jc w:val="both"/>
              <w:rPr>
                <w:rFonts w:ascii="Palatino Linotype" w:hAnsi="Palatino Linotype" w:cs="Arial"/>
                <w:color w:val="000000" w:themeColor="text1"/>
                <w:sz w:val="24"/>
                <w:szCs w:val="24"/>
              </w:rPr>
            </w:pPr>
            <w:r w:rsidRPr="002951D2">
              <w:rPr>
                <w:rFonts w:ascii="Palatino Linotype" w:hAnsi="Palatino Linotype" w:cs="Arial"/>
                <w:color w:val="000000" w:themeColor="text1"/>
                <w:sz w:val="24"/>
                <w:szCs w:val="24"/>
              </w:rPr>
              <w:t>V. Aquella cuya divulgación obstruya o pueda causar un serio perjuicio a:</w:t>
            </w:r>
          </w:p>
          <w:p w:rsidR="000C37FE" w:rsidRPr="002951D2" w:rsidRDefault="000C37FE" w:rsidP="000C37FE">
            <w:pPr>
              <w:autoSpaceDE w:val="0"/>
              <w:autoSpaceDN w:val="0"/>
              <w:adjustRightInd w:val="0"/>
              <w:jc w:val="both"/>
              <w:rPr>
                <w:rFonts w:ascii="Palatino Linotype" w:hAnsi="Palatino Linotype" w:cs="Arial"/>
                <w:color w:val="000000" w:themeColor="text1"/>
                <w:sz w:val="24"/>
                <w:szCs w:val="24"/>
              </w:rPr>
            </w:pPr>
          </w:p>
          <w:p w:rsidR="000C37FE" w:rsidRPr="002951D2" w:rsidRDefault="000C37FE" w:rsidP="000C37FE">
            <w:pPr>
              <w:autoSpaceDE w:val="0"/>
              <w:autoSpaceDN w:val="0"/>
              <w:adjustRightInd w:val="0"/>
              <w:jc w:val="both"/>
              <w:rPr>
                <w:rFonts w:ascii="Palatino Linotype" w:hAnsi="Palatino Linotype" w:cs="Arial"/>
                <w:color w:val="000000" w:themeColor="text1"/>
                <w:sz w:val="24"/>
                <w:szCs w:val="24"/>
              </w:rPr>
            </w:pPr>
            <w:r w:rsidRPr="002951D2">
              <w:rPr>
                <w:rFonts w:ascii="Palatino Linotype" w:hAnsi="Palatino Linotype" w:cs="Arial"/>
                <w:color w:val="000000" w:themeColor="text1"/>
                <w:sz w:val="24"/>
                <w:szCs w:val="24"/>
              </w:rPr>
              <w:t>1. Las actividades de fiscalización, verificación, inspección, comprobación y auditoría sobre el cumplimiento de las Leyes; o</w:t>
            </w:r>
          </w:p>
          <w:p w:rsidR="000C37FE" w:rsidRPr="002951D2" w:rsidRDefault="000C37FE" w:rsidP="000C37FE">
            <w:pPr>
              <w:autoSpaceDE w:val="0"/>
              <w:autoSpaceDN w:val="0"/>
              <w:adjustRightInd w:val="0"/>
              <w:jc w:val="both"/>
              <w:rPr>
                <w:rFonts w:ascii="Palatino Linotype" w:hAnsi="Palatino Linotype" w:cs="Arial"/>
                <w:color w:val="000000" w:themeColor="text1"/>
                <w:sz w:val="24"/>
                <w:szCs w:val="24"/>
              </w:rPr>
            </w:pPr>
          </w:p>
          <w:p w:rsidR="000C37FE" w:rsidRPr="002951D2" w:rsidRDefault="000C37FE" w:rsidP="000C37FE">
            <w:pPr>
              <w:autoSpaceDE w:val="0"/>
              <w:autoSpaceDN w:val="0"/>
              <w:adjustRightInd w:val="0"/>
              <w:jc w:val="both"/>
              <w:rPr>
                <w:rFonts w:ascii="Palatino Linotype" w:hAnsi="Palatino Linotype" w:cs="Arial"/>
                <w:color w:val="000000" w:themeColor="text1"/>
                <w:sz w:val="24"/>
                <w:szCs w:val="24"/>
              </w:rPr>
            </w:pPr>
            <w:r w:rsidRPr="002951D2">
              <w:rPr>
                <w:rFonts w:ascii="Palatino Linotype" w:hAnsi="Palatino Linotype" w:cs="Arial"/>
                <w:color w:val="000000" w:themeColor="text1"/>
                <w:sz w:val="24"/>
                <w:szCs w:val="24"/>
              </w:rPr>
              <w:t>2. La recaudación de las contribuciones.</w:t>
            </w:r>
          </w:p>
        </w:tc>
        <w:tc>
          <w:tcPr>
            <w:tcW w:w="4111" w:type="dxa"/>
          </w:tcPr>
          <w:p w:rsidR="000C37FE" w:rsidRPr="002951D2" w:rsidRDefault="000C37FE" w:rsidP="000C37FE">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lang w:val="es-ES"/>
              </w:rPr>
            </w:pPr>
            <w:r w:rsidRPr="002951D2">
              <w:rPr>
                <w:rFonts w:ascii="Palatino Linotype" w:hAnsi="Palatino Linotype"/>
                <w:color w:val="000000" w:themeColor="text1"/>
                <w:sz w:val="24"/>
                <w:szCs w:val="24"/>
                <w:lang w:val="es-ES"/>
              </w:rPr>
              <w:t>VI.</w:t>
            </w:r>
            <w:r w:rsidRPr="002951D2">
              <w:rPr>
                <w:rFonts w:ascii="Palatino Linotype" w:hAnsi="Palatino Linotype"/>
                <w:color w:val="000000" w:themeColor="text1"/>
                <w:sz w:val="24"/>
                <w:szCs w:val="24"/>
                <w:lang w:val="es-ES"/>
              </w:rPr>
              <w:tab/>
              <w:t>Obstruya las actividades de verificación, inspección y auditoría relativas al cumplimiento de las leyes o afecte la recaudación de contribuciones;</w:t>
            </w:r>
          </w:p>
          <w:p w:rsidR="000C37FE" w:rsidRPr="002951D2" w:rsidRDefault="000C37FE" w:rsidP="000C37FE">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lang w:val="es-ES"/>
              </w:rPr>
            </w:pPr>
          </w:p>
          <w:p w:rsidR="000C37FE" w:rsidRPr="002951D2" w:rsidRDefault="000C37FE" w:rsidP="000C37FE">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rPr>
            </w:pPr>
          </w:p>
        </w:tc>
      </w:tr>
      <w:tr w:rsidR="000C37FE" w:rsidRPr="002951D2" w:rsidTr="000C37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0C37FE" w:rsidRPr="002951D2" w:rsidRDefault="000C37FE" w:rsidP="000C37FE">
            <w:pPr>
              <w:autoSpaceDE w:val="0"/>
              <w:autoSpaceDN w:val="0"/>
              <w:adjustRightInd w:val="0"/>
              <w:jc w:val="both"/>
              <w:rPr>
                <w:rFonts w:ascii="Palatino Linotype" w:hAnsi="Palatino Linotype" w:cs="Arial"/>
                <w:color w:val="000000" w:themeColor="text1"/>
                <w:sz w:val="24"/>
                <w:szCs w:val="24"/>
              </w:rPr>
            </w:pPr>
            <w:r w:rsidRPr="002951D2">
              <w:rPr>
                <w:rFonts w:ascii="Palatino Linotype" w:hAnsi="Palatino Linotype" w:cs="Arial"/>
                <w:color w:val="000000" w:themeColor="text1"/>
                <w:sz w:val="24"/>
                <w:szCs w:val="24"/>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tc>
        <w:tc>
          <w:tcPr>
            <w:tcW w:w="4111" w:type="dxa"/>
          </w:tcPr>
          <w:p w:rsidR="000C37FE" w:rsidRPr="002951D2" w:rsidRDefault="000C37FE" w:rsidP="000C37FE">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4"/>
                <w:szCs w:val="24"/>
                <w:lang w:val="es-ES"/>
              </w:rPr>
            </w:pPr>
            <w:r w:rsidRPr="002951D2">
              <w:rPr>
                <w:rFonts w:ascii="Palatino Linotype" w:hAnsi="Palatino Linotype"/>
                <w:color w:val="000000" w:themeColor="text1"/>
                <w:sz w:val="24"/>
                <w:szCs w:val="24"/>
                <w:lang w:val="es-ES"/>
              </w:rPr>
              <w:t>VII.</w:t>
            </w:r>
            <w:r w:rsidRPr="002951D2">
              <w:rPr>
                <w:rFonts w:ascii="Palatino Linotype" w:hAnsi="Palatino Linotype"/>
                <w:color w:val="000000" w:themeColor="text1"/>
                <w:sz w:val="24"/>
                <w:szCs w:val="24"/>
                <w:lang w:val="es-ES"/>
              </w:rPr>
              <w:tab/>
              <w:t>Obstruya la prevención o persecución de los delitos;</w:t>
            </w:r>
          </w:p>
          <w:p w:rsidR="000C37FE" w:rsidRPr="002951D2" w:rsidRDefault="000C37FE" w:rsidP="000C37FE">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4"/>
                <w:szCs w:val="24"/>
                <w:lang w:val="es-ES"/>
              </w:rPr>
            </w:pPr>
          </w:p>
          <w:p w:rsidR="000C37FE" w:rsidRPr="002951D2" w:rsidRDefault="000C37FE" w:rsidP="000C37FE">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4"/>
                <w:szCs w:val="24"/>
              </w:rPr>
            </w:pPr>
          </w:p>
        </w:tc>
      </w:tr>
      <w:tr w:rsidR="000C37FE" w:rsidRPr="002951D2" w:rsidTr="000C37FE">
        <w:tc>
          <w:tcPr>
            <w:cnfStyle w:val="001000000000" w:firstRow="0" w:lastRow="0" w:firstColumn="1" w:lastColumn="0" w:oddVBand="0" w:evenVBand="0" w:oddHBand="0" w:evenHBand="0" w:firstRowFirstColumn="0" w:firstRowLastColumn="0" w:lastRowFirstColumn="0" w:lastRowLastColumn="0"/>
            <w:tcW w:w="4536" w:type="dxa"/>
          </w:tcPr>
          <w:p w:rsidR="000C37FE" w:rsidRPr="002951D2" w:rsidRDefault="000C37FE" w:rsidP="000C37FE">
            <w:pPr>
              <w:autoSpaceDE w:val="0"/>
              <w:autoSpaceDN w:val="0"/>
              <w:adjustRightInd w:val="0"/>
              <w:jc w:val="both"/>
              <w:rPr>
                <w:rFonts w:ascii="Palatino Linotype" w:hAnsi="Palatino Linotype" w:cs="Arial"/>
                <w:color w:val="000000" w:themeColor="text1"/>
                <w:sz w:val="24"/>
                <w:szCs w:val="24"/>
              </w:rPr>
            </w:pPr>
            <w:r w:rsidRPr="002951D2">
              <w:rPr>
                <w:rFonts w:ascii="Palatino Linotype" w:hAnsi="Palatino Linotype" w:cs="Arial"/>
                <w:color w:val="000000" w:themeColor="text1"/>
                <w:sz w:val="24"/>
                <w:szCs w:val="24"/>
              </w:rPr>
              <w:t>VII. La que contengan las opiniones, recomendaciones o puntos de vista que formen parte del proceso deliberativo de los servidores públicos, hasta en tanto sea adoptada la decisión definitiva, la cual deberá estar documentada;</w:t>
            </w:r>
          </w:p>
        </w:tc>
        <w:tc>
          <w:tcPr>
            <w:tcW w:w="4111" w:type="dxa"/>
          </w:tcPr>
          <w:p w:rsidR="000C37FE" w:rsidRPr="002951D2" w:rsidRDefault="000C37FE" w:rsidP="000C37FE">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lang w:val="es-ES"/>
              </w:rPr>
            </w:pPr>
            <w:r w:rsidRPr="002951D2">
              <w:rPr>
                <w:rFonts w:ascii="Palatino Linotype" w:hAnsi="Palatino Linotype"/>
                <w:color w:val="000000" w:themeColor="text1"/>
                <w:sz w:val="24"/>
                <w:szCs w:val="24"/>
                <w:lang w:val="es-ES"/>
              </w:rPr>
              <w:t>VIII.</w:t>
            </w:r>
            <w:r w:rsidRPr="002951D2">
              <w:rPr>
                <w:rFonts w:ascii="Palatino Linotype" w:hAnsi="Palatino Linotype"/>
                <w:color w:val="000000" w:themeColor="text1"/>
                <w:sz w:val="24"/>
                <w:szCs w:val="24"/>
                <w:lang w:val="es-ES"/>
              </w:rPr>
              <w:tab/>
              <w:t>La que contenga las opiniones, recomendaciones o puntos de vista que formen parte del proceso deliberativo de los servidores públicos, hasta en tanto no sea adoptada la decisión definitiva, la cual deberá estar documentada;</w:t>
            </w:r>
          </w:p>
        </w:tc>
      </w:tr>
      <w:tr w:rsidR="000C37FE" w:rsidRPr="002951D2" w:rsidTr="000C37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0C37FE" w:rsidRPr="002951D2" w:rsidRDefault="000C37FE" w:rsidP="000C37FE">
            <w:pPr>
              <w:autoSpaceDE w:val="0"/>
              <w:autoSpaceDN w:val="0"/>
              <w:adjustRightInd w:val="0"/>
              <w:jc w:val="both"/>
              <w:rPr>
                <w:rFonts w:ascii="Palatino Linotype" w:hAnsi="Palatino Linotype" w:cs="Arial"/>
                <w:color w:val="000000" w:themeColor="text1"/>
                <w:sz w:val="24"/>
                <w:szCs w:val="24"/>
              </w:rPr>
            </w:pPr>
          </w:p>
        </w:tc>
        <w:tc>
          <w:tcPr>
            <w:tcW w:w="4111" w:type="dxa"/>
          </w:tcPr>
          <w:p w:rsidR="000C37FE" w:rsidRPr="002951D2" w:rsidRDefault="000C37FE" w:rsidP="000C37FE">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4"/>
                <w:szCs w:val="24"/>
                <w:lang w:val="es-ES"/>
              </w:rPr>
            </w:pPr>
            <w:r w:rsidRPr="002951D2">
              <w:rPr>
                <w:rFonts w:ascii="Palatino Linotype" w:hAnsi="Palatino Linotype"/>
                <w:color w:val="000000" w:themeColor="text1"/>
                <w:sz w:val="24"/>
                <w:szCs w:val="24"/>
                <w:lang w:val="es-ES"/>
              </w:rPr>
              <w:t>IX.</w:t>
            </w:r>
            <w:r w:rsidRPr="002951D2">
              <w:rPr>
                <w:rFonts w:ascii="Palatino Linotype" w:hAnsi="Palatino Linotype"/>
                <w:color w:val="000000" w:themeColor="text1"/>
                <w:sz w:val="24"/>
                <w:szCs w:val="24"/>
                <w:lang w:val="es-ES"/>
              </w:rPr>
              <w:tab/>
              <w:t>Obstruya los procedimientos para fincar responsabilidad a los Servidores Públicos, en tanto no se haya dictado la resolución administrativa;</w:t>
            </w:r>
          </w:p>
        </w:tc>
      </w:tr>
      <w:tr w:rsidR="000C37FE" w:rsidRPr="002951D2" w:rsidTr="000C37FE">
        <w:tc>
          <w:tcPr>
            <w:cnfStyle w:val="001000000000" w:firstRow="0" w:lastRow="0" w:firstColumn="1" w:lastColumn="0" w:oddVBand="0" w:evenVBand="0" w:oddHBand="0" w:evenHBand="0" w:firstRowFirstColumn="0" w:firstRowLastColumn="0" w:lastRowFirstColumn="0" w:lastRowLastColumn="0"/>
            <w:tcW w:w="4536" w:type="dxa"/>
          </w:tcPr>
          <w:p w:rsidR="000C37FE" w:rsidRPr="002951D2" w:rsidRDefault="000C37FE" w:rsidP="000C37FE">
            <w:pPr>
              <w:autoSpaceDE w:val="0"/>
              <w:autoSpaceDN w:val="0"/>
              <w:adjustRightInd w:val="0"/>
              <w:jc w:val="both"/>
              <w:rPr>
                <w:rFonts w:ascii="Palatino Linotype" w:hAnsi="Palatino Linotype" w:cs="Arial"/>
                <w:color w:val="000000" w:themeColor="text1"/>
                <w:sz w:val="24"/>
                <w:szCs w:val="24"/>
              </w:rPr>
            </w:pPr>
          </w:p>
        </w:tc>
        <w:tc>
          <w:tcPr>
            <w:tcW w:w="4111" w:type="dxa"/>
          </w:tcPr>
          <w:p w:rsidR="000C37FE" w:rsidRPr="002951D2" w:rsidRDefault="000C37FE" w:rsidP="000C37FE">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lang w:val="es-ES"/>
              </w:rPr>
            </w:pPr>
            <w:r w:rsidRPr="002951D2">
              <w:rPr>
                <w:rFonts w:ascii="Palatino Linotype" w:hAnsi="Palatino Linotype"/>
                <w:color w:val="000000" w:themeColor="text1"/>
                <w:sz w:val="24"/>
                <w:szCs w:val="24"/>
                <w:lang w:val="es-ES"/>
              </w:rPr>
              <w:t>X.</w:t>
            </w:r>
            <w:r w:rsidRPr="002951D2">
              <w:rPr>
                <w:rFonts w:ascii="Palatino Linotype" w:hAnsi="Palatino Linotype"/>
                <w:color w:val="000000" w:themeColor="text1"/>
                <w:sz w:val="24"/>
                <w:szCs w:val="24"/>
                <w:lang w:val="es-ES"/>
              </w:rPr>
              <w:tab/>
              <w:t>Afecte los derechos del debido proceso;</w:t>
            </w:r>
          </w:p>
        </w:tc>
      </w:tr>
      <w:tr w:rsidR="000C37FE" w:rsidRPr="002951D2" w:rsidTr="000C37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0C37FE" w:rsidRPr="002951D2" w:rsidRDefault="000C37FE" w:rsidP="000C37FE">
            <w:pPr>
              <w:autoSpaceDE w:val="0"/>
              <w:autoSpaceDN w:val="0"/>
              <w:adjustRightInd w:val="0"/>
              <w:jc w:val="both"/>
              <w:rPr>
                <w:rFonts w:ascii="Palatino Linotype" w:hAnsi="Palatino Linotype" w:cs="Arial"/>
                <w:color w:val="000000" w:themeColor="text1"/>
                <w:sz w:val="24"/>
                <w:szCs w:val="24"/>
              </w:rPr>
            </w:pPr>
            <w:r w:rsidRPr="002951D2">
              <w:rPr>
                <w:rFonts w:ascii="Palatino Linotype" w:hAnsi="Palatino Linotype" w:cs="Arial"/>
                <w:color w:val="000000" w:themeColor="text1"/>
                <w:sz w:val="24"/>
                <w:szCs w:val="24"/>
              </w:rPr>
              <w:t>VIII. Vulnere la conducción de los expedientes judiciales o de los procedimientos administrativos seguidos en forma de juicio, en tanto no hayan quedado firmes;</w:t>
            </w:r>
          </w:p>
        </w:tc>
        <w:tc>
          <w:tcPr>
            <w:tcW w:w="4111" w:type="dxa"/>
          </w:tcPr>
          <w:p w:rsidR="000C37FE" w:rsidRPr="002951D2" w:rsidRDefault="000C37FE" w:rsidP="000C37FE">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4"/>
                <w:szCs w:val="24"/>
                <w:lang w:val="es-ES"/>
              </w:rPr>
            </w:pPr>
            <w:r w:rsidRPr="002951D2">
              <w:rPr>
                <w:rFonts w:ascii="Palatino Linotype" w:hAnsi="Palatino Linotype"/>
                <w:color w:val="000000" w:themeColor="text1"/>
                <w:sz w:val="24"/>
                <w:szCs w:val="24"/>
                <w:lang w:val="es-ES"/>
              </w:rPr>
              <w:t>XI.</w:t>
            </w:r>
            <w:r w:rsidRPr="002951D2">
              <w:rPr>
                <w:rFonts w:ascii="Palatino Linotype" w:hAnsi="Palatino Linotype"/>
                <w:color w:val="000000" w:themeColor="text1"/>
                <w:sz w:val="24"/>
                <w:szCs w:val="24"/>
                <w:lang w:val="es-ES"/>
              </w:rPr>
              <w:tab/>
              <w:t>Vulnere la conducción de los Expedientes judiciales o de los procedimientos administrativos seguidos en forma de juicio, en tanto no hayan causado estado;</w:t>
            </w:r>
          </w:p>
        </w:tc>
      </w:tr>
      <w:tr w:rsidR="000C37FE" w:rsidRPr="002951D2" w:rsidTr="000C37FE">
        <w:tc>
          <w:tcPr>
            <w:cnfStyle w:val="001000000000" w:firstRow="0" w:lastRow="0" w:firstColumn="1" w:lastColumn="0" w:oddVBand="0" w:evenVBand="0" w:oddHBand="0" w:evenHBand="0" w:firstRowFirstColumn="0" w:firstRowLastColumn="0" w:lastRowFirstColumn="0" w:lastRowLastColumn="0"/>
            <w:tcW w:w="4536" w:type="dxa"/>
          </w:tcPr>
          <w:p w:rsidR="000C37FE" w:rsidRPr="002951D2" w:rsidRDefault="000C37FE" w:rsidP="000C37FE">
            <w:pPr>
              <w:autoSpaceDE w:val="0"/>
              <w:autoSpaceDN w:val="0"/>
              <w:adjustRightInd w:val="0"/>
              <w:jc w:val="both"/>
              <w:rPr>
                <w:rFonts w:ascii="Palatino Linotype" w:hAnsi="Palatino Linotype" w:cs="Arial"/>
                <w:color w:val="000000" w:themeColor="text1"/>
                <w:sz w:val="24"/>
                <w:szCs w:val="24"/>
              </w:rPr>
            </w:pPr>
            <w:r w:rsidRPr="002951D2">
              <w:rPr>
                <w:rFonts w:ascii="Palatino Linotype" w:hAnsi="Palatino Linotype" w:cs="Arial"/>
                <w:color w:val="000000" w:themeColor="text1"/>
                <w:sz w:val="24"/>
                <w:szCs w:val="24"/>
              </w:rPr>
              <w:t>IX. Se encuentre contenida dentro de las investigaciones de hechos que la Ley señale como delitos y se tramiten ante el Ministerio Público;</w:t>
            </w:r>
          </w:p>
        </w:tc>
        <w:tc>
          <w:tcPr>
            <w:tcW w:w="4111" w:type="dxa"/>
          </w:tcPr>
          <w:p w:rsidR="000C37FE" w:rsidRPr="002951D2" w:rsidRDefault="000C37FE" w:rsidP="000C37FE">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lang w:val="es-ES"/>
              </w:rPr>
            </w:pPr>
            <w:r w:rsidRPr="002951D2">
              <w:rPr>
                <w:rFonts w:ascii="Palatino Linotype" w:hAnsi="Palatino Linotype"/>
                <w:color w:val="000000" w:themeColor="text1"/>
                <w:sz w:val="24"/>
                <w:szCs w:val="24"/>
                <w:lang w:val="es-ES"/>
              </w:rPr>
              <w:t>XII.</w:t>
            </w:r>
            <w:r w:rsidRPr="002951D2">
              <w:rPr>
                <w:rFonts w:ascii="Palatino Linotype" w:hAnsi="Palatino Linotype"/>
                <w:color w:val="000000" w:themeColor="text1"/>
                <w:sz w:val="24"/>
                <w:szCs w:val="24"/>
                <w:lang w:val="es-ES"/>
              </w:rPr>
              <w:tab/>
              <w:t>Se encuentre contenida dentro de las investigaciones de hechos que la ley señale como delitos y se tramiten ante el Ministerio Público, y</w:t>
            </w:r>
          </w:p>
        </w:tc>
      </w:tr>
      <w:tr w:rsidR="000C37FE" w:rsidRPr="002951D2" w:rsidTr="000C37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0C37FE" w:rsidRPr="002951D2" w:rsidRDefault="000C37FE" w:rsidP="000C37FE">
            <w:pPr>
              <w:autoSpaceDE w:val="0"/>
              <w:autoSpaceDN w:val="0"/>
              <w:adjustRightInd w:val="0"/>
              <w:ind w:left="-108"/>
              <w:jc w:val="both"/>
              <w:rPr>
                <w:rFonts w:ascii="Palatino Linotype" w:hAnsi="Palatino Linotype" w:cs="Arial"/>
                <w:color w:val="000000" w:themeColor="text1"/>
                <w:sz w:val="24"/>
                <w:szCs w:val="24"/>
              </w:rPr>
            </w:pPr>
            <w:r w:rsidRPr="002951D2">
              <w:rPr>
                <w:rFonts w:ascii="Palatino Linotype" w:hAnsi="Palatino Linotype" w:cs="Arial"/>
                <w:color w:val="000000" w:themeColor="text1"/>
                <w:sz w:val="24"/>
                <w:szCs w:val="24"/>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0C37FE" w:rsidRPr="002951D2" w:rsidRDefault="000C37FE" w:rsidP="000C37FE">
            <w:pPr>
              <w:autoSpaceDE w:val="0"/>
              <w:autoSpaceDN w:val="0"/>
              <w:adjustRightInd w:val="0"/>
              <w:jc w:val="both"/>
              <w:rPr>
                <w:rFonts w:ascii="Palatino Linotype" w:hAnsi="Palatino Linotype" w:cs="Arial"/>
                <w:color w:val="000000" w:themeColor="text1"/>
                <w:sz w:val="24"/>
                <w:szCs w:val="24"/>
              </w:rPr>
            </w:pPr>
            <w:r w:rsidRPr="002951D2">
              <w:rPr>
                <w:rFonts w:ascii="Palatino Linotype" w:hAnsi="Palatino Linotype" w:cs="Arial"/>
                <w:color w:val="000000" w:themeColor="text1"/>
                <w:sz w:val="24"/>
                <w:szCs w:val="24"/>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tc>
        <w:tc>
          <w:tcPr>
            <w:tcW w:w="4111" w:type="dxa"/>
          </w:tcPr>
          <w:p w:rsidR="000C37FE" w:rsidRPr="002951D2" w:rsidRDefault="000C37FE" w:rsidP="000C37FE">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4"/>
                <w:szCs w:val="24"/>
              </w:rPr>
            </w:pPr>
          </w:p>
        </w:tc>
      </w:tr>
      <w:tr w:rsidR="000C37FE" w:rsidRPr="002951D2" w:rsidTr="000C37FE">
        <w:tc>
          <w:tcPr>
            <w:cnfStyle w:val="001000000000" w:firstRow="0" w:lastRow="0" w:firstColumn="1" w:lastColumn="0" w:oddVBand="0" w:evenVBand="0" w:oddHBand="0" w:evenHBand="0" w:firstRowFirstColumn="0" w:firstRowLastColumn="0" w:lastRowFirstColumn="0" w:lastRowLastColumn="0"/>
            <w:tcW w:w="4536" w:type="dxa"/>
          </w:tcPr>
          <w:p w:rsidR="000C37FE" w:rsidRPr="002951D2" w:rsidRDefault="000C37FE" w:rsidP="000C37FE">
            <w:pPr>
              <w:jc w:val="both"/>
              <w:rPr>
                <w:rFonts w:ascii="Palatino Linotype" w:hAnsi="Palatino Linotype"/>
                <w:color w:val="000000" w:themeColor="text1"/>
                <w:sz w:val="24"/>
                <w:szCs w:val="24"/>
              </w:rPr>
            </w:pPr>
            <w:r w:rsidRPr="002951D2">
              <w:rPr>
                <w:rFonts w:ascii="Palatino Linotype" w:hAnsi="Palatino Linotype" w:cs="Arial"/>
                <w:color w:val="000000" w:themeColor="text1"/>
                <w:sz w:val="24"/>
                <w:szCs w:val="24"/>
              </w:rPr>
              <w:t>XI. Las que por disposición expresa de una ley tengan tal carácter, siempre que sean acordes con las bases, principios y disposiciones establecidos en esta Ley y no la contravengan; así como las previstas en tratados internacionales.</w:t>
            </w:r>
          </w:p>
        </w:tc>
        <w:tc>
          <w:tcPr>
            <w:tcW w:w="4111" w:type="dxa"/>
          </w:tcPr>
          <w:p w:rsidR="000C37FE" w:rsidRPr="002951D2" w:rsidRDefault="000C37FE" w:rsidP="000C37FE">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lang w:val="es-ES"/>
              </w:rPr>
            </w:pPr>
            <w:r w:rsidRPr="002951D2">
              <w:rPr>
                <w:rFonts w:ascii="Palatino Linotype" w:hAnsi="Palatino Linotype"/>
                <w:color w:val="000000" w:themeColor="text1"/>
                <w:sz w:val="24"/>
                <w:szCs w:val="24"/>
                <w:lang w:val="es-ES"/>
              </w:rPr>
              <w:t>XIII.</w:t>
            </w:r>
            <w:r w:rsidRPr="002951D2">
              <w:rPr>
                <w:rFonts w:ascii="Palatino Linotype" w:hAnsi="Palatino Linotype"/>
                <w:color w:val="000000" w:themeColor="text1"/>
                <w:sz w:val="24"/>
                <w:szCs w:val="24"/>
                <w:lang w:val="es-ES"/>
              </w:rPr>
              <w:tab/>
              <w:t>Las que por disposición expresa de una ley tengan tal carácter, siempre que sean acordes con las bases, principios y disposiciones establecidos en esta Ley y no la contravengan; así como las previstas en tratados internacionales.</w:t>
            </w:r>
          </w:p>
        </w:tc>
      </w:tr>
    </w:tbl>
    <w:p w:rsidR="000C37FE" w:rsidRPr="002951D2" w:rsidRDefault="000C37FE" w:rsidP="000C37FE">
      <w:pPr>
        <w:spacing w:line="360" w:lineRule="auto"/>
        <w:jc w:val="both"/>
        <w:rPr>
          <w:rFonts w:ascii="Palatino Linotype" w:hAnsi="Palatino Linotype" w:cs="Arial"/>
          <w:color w:val="000000" w:themeColor="text1"/>
          <w:sz w:val="24"/>
          <w:szCs w:val="24"/>
        </w:rPr>
      </w:pPr>
    </w:p>
    <w:p w:rsidR="000C37FE" w:rsidRPr="002951D2" w:rsidRDefault="000C37FE" w:rsidP="002951D2">
      <w:pPr>
        <w:numPr>
          <w:ilvl w:val="0"/>
          <w:numId w:val="2"/>
        </w:numPr>
        <w:spacing w:after="0" w:line="360" w:lineRule="auto"/>
        <w:ind w:left="0" w:firstLine="0"/>
        <w:contextualSpacing/>
        <w:jc w:val="both"/>
        <w:rPr>
          <w:rFonts w:ascii="Palatino Linotype" w:hAnsi="Palatino Linotype" w:cs="Arial"/>
          <w:color w:val="000000" w:themeColor="text1"/>
          <w:sz w:val="24"/>
          <w:szCs w:val="24"/>
        </w:rPr>
      </w:pPr>
      <w:r w:rsidRPr="002951D2">
        <w:rPr>
          <w:rFonts w:ascii="Palatino Linotype" w:hAnsi="Palatino Linotype" w:cs="Arial"/>
          <w:color w:val="000000" w:themeColor="text1"/>
          <w:sz w:val="24"/>
          <w:szCs w:val="24"/>
        </w:rPr>
        <w:t>Mientras que los artículos 143 y 116 de la Ley Estatal y de la Ley General, respectivamente, señalan los supuestos para que la información pueda ser clasificada como confidencial:</w:t>
      </w:r>
    </w:p>
    <w:p w:rsidR="000C37FE" w:rsidRPr="002951D2" w:rsidRDefault="000C37FE" w:rsidP="000C37FE">
      <w:pPr>
        <w:spacing w:line="360" w:lineRule="auto"/>
        <w:jc w:val="both"/>
        <w:rPr>
          <w:rFonts w:ascii="Palatino Linotype" w:hAnsi="Palatino Linotype" w:cs="Arial"/>
          <w:color w:val="000000" w:themeColor="text1"/>
          <w:sz w:val="24"/>
          <w:szCs w:val="24"/>
        </w:rPr>
      </w:pPr>
    </w:p>
    <w:p w:rsidR="000C37FE" w:rsidRPr="002951D2" w:rsidRDefault="000C37FE" w:rsidP="000C37FE">
      <w:pPr>
        <w:widowControl w:val="0"/>
        <w:autoSpaceDE w:val="0"/>
        <w:autoSpaceDN w:val="0"/>
        <w:adjustRightInd w:val="0"/>
        <w:spacing w:after="240" w:line="360" w:lineRule="auto"/>
        <w:ind w:left="567" w:right="616"/>
        <w:jc w:val="both"/>
        <w:rPr>
          <w:rFonts w:ascii="Palatino Linotype" w:hAnsi="Palatino Linotype" w:cs="Times"/>
          <w:color w:val="000000" w:themeColor="text1"/>
          <w:sz w:val="24"/>
          <w:szCs w:val="24"/>
        </w:rPr>
      </w:pPr>
      <w:r w:rsidRPr="002951D2">
        <w:rPr>
          <w:rFonts w:ascii="Palatino Linotype" w:hAnsi="Palatino Linotype" w:cs="Bookman Old Style"/>
          <w:bCs/>
          <w:color w:val="000000" w:themeColor="text1"/>
          <w:sz w:val="24"/>
          <w:szCs w:val="24"/>
        </w:rPr>
        <w:t xml:space="preserve">I. </w:t>
      </w:r>
      <w:r w:rsidRPr="002951D2">
        <w:rPr>
          <w:rFonts w:ascii="Palatino Linotype" w:hAnsi="Palatino Linotype" w:cs="Bookman Old Style"/>
          <w:color w:val="000000" w:themeColor="text1"/>
          <w:sz w:val="24"/>
          <w:szCs w:val="24"/>
        </w:rPr>
        <w:t xml:space="preserve">Se refiera a la información privada y los datos personales concernientes a una persona física o jurídico colectiva identificada o identificable; </w:t>
      </w:r>
    </w:p>
    <w:p w:rsidR="000C37FE" w:rsidRPr="002951D2" w:rsidRDefault="000C37FE" w:rsidP="000C37FE">
      <w:pPr>
        <w:widowControl w:val="0"/>
        <w:autoSpaceDE w:val="0"/>
        <w:autoSpaceDN w:val="0"/>
        <w:adjustRightInd w:val="0"/>
        <w:spacing w:after="240" w:line="360" w:lineRule="auto"/>
        <w:ind w:left="567" w:right="616"/>
        <w:jc w:val="both"/>
        <w:rPr>
          <w:rFonts w:ascii="Palatino Linotype" w:hAnsi="Palatino Linotype" w:cs="Times"/>
          <w:color w:val="000000" w:themeColor="text1"/>
          <w:sz w:val="24"/>
          <w:szCs w:val="24"/>
        </w:rPr>
      </w:pPr>
      <w:r w:rsidRPr="002951D2">
        <w:rPr>
          <w:rFonts w:ascii="Palatino Linotype" w:hAnsi="Palatino Linotype" w:cs="Bookman Old Style"/>
          <w:bCs/>
          <w:color w:val="000000" w:themeColor="text1"/>
          <w:sz w:val="24"/>
          <w:szCs w:val="24"/>
        </w:rPr>
        <w:t xml:space="preserve">II. </w:t>
      </w:r>
      <w:r w:rsidRPr="002951D2">
        <w:rPr>
          <w:rFonts w:ascii="Palatino Linotype" w:hAnsi="Palatino Linotype" w:cs="Bookman Old Style"/>
          <w:color w:val="000000" w:themeColor="text1"/>
          <w:sz w:val="24"/>
          <w:szCs w:val="24"/>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0C37FE" w:rsidRPr="002951D2" w:rsidRDefault="000C37FE" w:rsidP="000C37FE">
      <w:pPr>
        <w:widowControl w:val="0"/>
        <w:autoSpaceDE w:val="0"/>
        <w:autoSpaceDN w:val="0"/>
        <w:adjustRightInd w:val="0"/>
        <w:spacing w:after="240" w:line="360" w:lineRule="auto"/>
        <w:ind w:left="567" w:right="616"/>
        <w:jc w:val="both"/>
        <w:rPr>
          <w:rFonts w:ascii="Palatino Linotype" w:hAnsi="Palatino Linotype" w:cs="Times"/>
          <w:color w:val="000000" w:themeColor="text1"/>
          <w:sz w:val="24"/>
          <w:szCs w:val="24"/>
        </w:rPr>
      </w:pPr>
      <w:r w:rsidRPr="002951D2">
        <w:rPr>
          <w:rFonts w:ascii="Palatino Linotype" w:hAnsi="Palatino Linotype" w:cs="Bookman Old Style"/>
          <w:bCs/>
          <w:color w:val="000000" w:themeColor="text1"/>
          <w:sz w:val="24"/>
          <w:szCs w:val="24"/>
        </w:rPr>
        <w:t xml:space="preserve">III. </w:t>
      </w:r>
      <w:r w:rsidRPr="002951D2">
        <w:rPr>
          <w:rFonts w:ascii="Palatino Linotype" w:hAnsi="Palatino Linotype" w:cs="Bookman Old Style"/>
          <w:color w:val="000000" w:themeColor="text1"/>
          <w:sz w:val="24"/>
          <w:szCs w:val="24"/>
        </w:rPr>
        <w:t xml:space="preserve">La que presenten los particulares a los sujetos obligados, de conformidad con lo dispuesto por las leyes o los tratados internacionales. </w:t>
      </w:r>
    </w:p>
    <w:p w:rsidR="000C37FE" w:rsidRPr="002951D2" w:rsidRDefault="000C37FE" w:rsidP="000C37FE">
      <w:pPr>
        <w:widowControl w:val="0"/>
        <w:autoSpaceDE w:val="0"/>
        <w:autoSpaceDN w:val="0"/>
        <w:adjustRightInd w:val="0"/>
        <w:spacing w:after="240" w:line="360" w:lineRule="auto"/>
        <w:ind w:left="567" w:right="616"/>
        <w:jc w:val="both"/>
        <w:rPr>
          <w:rFonts w:ascii="Palatino Linotype" w:hAnsi="Palatino Linotype" w:cs="Times"/>
          <w:color w:val="000000" w:themeColor="text1"/>
          <w:sz w:val="24"/>
          <w:szCs w:val="24"/>
        </w:rPr>
      </w:pPr>
      <w:r w:rsidRPr="002951D2">
        <w:rPr>
          <w:rFonts w:ascii="Palatino Linotype" w:hAnsi="Palatino Linotype" w:cs="Bookman Old Style"/>
          <w:color w:val="000000" w:themeColor="text1"/>
          <w:sz w:val="24"/>
          <w:szCs w:val="24"/>
        </w:rPr>
        <w:t xml:space="preserve">La información confidencial no estará sujeta a temporalidad alguna y sólo podrán tener acceso a ella los titulares de la misma, sus representantes y los servidores públicos facultados para ello. </w:t>
      </w:r>
    </w:p>
    <w:p w:rsidR="000C37FE" w:rsidRPr="00645316" w:rsidRDefault="000C37FE" w:rsidP="00645316">
      <w:pPr>
        <w:widowControl w:val="0"/>
        <w:autoSpaceDE w:val="0"/>
        <w:autoSpaceDN w:val="0"/>
        <w:adjustRightInd w:val="0"/>
        <w:spacing w:after="240" w:line="360" w:lineRule="auto"/>
        <w:ind w:left="567" w:right="616"/>
        <w:jc w:val="both"/>
        <w:rPr>
          <w:rFonts w:ascii="Palatino Linotype" w:hAnsi="Palatino Linotype" w:cs="Times"/>
          <w:color w:val="000000" w:themeColor="text1"/>
          <w:sz w:val="24"/>
          <w:szCs w:val="24"/>
        </w:rPr>
      </w:pPr>
      <w:r w:rsidRPr="002951D2">
        <w:rPr>
          <w:rFonts w:ascii="Palatino Linotype" w:hAnsi="Palatino Linotype" w:cs="Bookman Old Style"/>
          <w:color w:val="000000" w:themeColor="text1"/>
          <w:sz w:val="24"/>
          <w:szCs w:val="24"/>
        </w:rPr>
        <w:t xml:space="preserve">No se considerará confidencial la información que se encuentre en los registros públicos o en fuentes de acceso público, ni tampoco la que sea considerada por la presente ley como información pública. </w:t>
      </w:r>
    </w:p>
    <w:p w:rsidR="000C37FE" w:rsidRPr="002951D2" w:rsidRDefault="000C37FE" w:rsidP="002951D2">
      <w:pPr>
        <w:numPr>
          <w:ilvl w:val="0"/>
          <w:numId w:val="2"/>
        </w:numPr>
        <w:spacing w:line="360" w:lineRule="auto"/>
        <w:ind w:left="0" w:firstLine="0"/>
        <w:contextualSpacing/>
        <w:jc w:val="both"/>
        <w:rPr>
          <w:rFonts w:ascii="Palatino Linotype" w:hAnsi="Palatino Linotype" w:cs="Arial"/>
          <w:color w:val="000000" w:themeColor="text1"/>
          <w:sz w:val="24"/>
          <w:szCs w:val="24"/>
        </w:rPr>
      </w:pPr>
      <w:r w:rsidRPr="002951D2">
        <w:rPr>
          <w:rFonts w:ascii="Palatino Linotype" w:hAnsi="Palatino Linotype" w:cs="Arial"/>
          <w:color w:val="000000" w:themeColor="text1"/>
          <w:sz w:val="24"/>
          <w:szCs w:val="24"/>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0C37FE" w:rsidRPr="002951D2" w:rsidRDefault="000C37FE" w:rsidP="000C37FE">
      <w:pPr>
        <w:spacing w:line="360" w:lineRule="auto"/>
        <w:contextualSpacing/>
        <w:jc w:val="both"/>
        <w:rPr>
          <w:rFonts w:ascii="Palatino Linotype" w:hAnsi="Palatino Linotype" w:cs="Arial"/>
          <w:color w:val="000000" w:themeColor="text1"/>
          <w:sz w:val="24"/>
          <w:szCs w:val="24"/>
        </w:rPr>
      </w:pPr>
    </w:p>
    <w:p w:rsidR="000C37FE" w:rsidRPr="002951D2" w:rsidRDefault="000C37FE" w:rsidP="002951D2">
      <w:pPr>
        <w:numPr>
          <w:ilvl w:val="0"/>
          <w:numId w:val="2"/>
        </w:numPr>
        <w:spacing w:line="360" w:lineRule="auto"/>
        <w:ind w:left="0" w:firstLine="0"/>
        <w:contextualSpacing/>
        <w:jc w:val="both"/>
        <w:rPr>
          <w:rFonts w:ascii="Palatino Linotype" w:hAnsi="Palatino Linotype" w:cs="Arial"/>
          <w:color w:val="000000" w:themeColor="text1"/>
          <w:sz w:val="24"/>
          <w:szCs w:val="24"/>
        </w:rPr>
      </w:pPr>
      <w:r w:rsidRPr="002951D2">
        <w:rPr>
          <w:rFonts w:ascii="Palatino Linotype" w:hAnsi="Palatino Linotype" w:cs="Arial"/>
          <w:color w:val="000000" w:themeColor="text1"/>
          <w:sz w:val="24"/>
          <w:szCs w:val="24"/>
        </w:rPr>
        <w:t>Como consecuencia de lo anterior, el sujeto obligado debe identificar claramente el tipo de información y hacer un juicio de subsunción o encaje</w:t>
      </w:r>
      <w:r w:rsidRPr="002951D2">
        <w:rPr>
          <w:rFonts w:ascii="Palatino Linotype" w:hAnsi="Palatino Linotype" w:cs="Arial"/>
          <w:color w:val="000000" w:themeColor="text1"/>
          <w:sz w:val="24"/>
          <w:szCs w:val="24"/>
          <w:vertAlign w:val="superscript"/>
        </w:rPr>
        <w:footnoteReference w:id="9"/>
      </w:r>
      <w:r w:rsidRPr="002951D2">
        <w:rPr>
          <w:rFonts w:ascii="Palatino Linotype" w:hAnsi="Palatino Linotype" w:cs="Arial"/>
          <w:color w:val="000000" w:themeColor="text1"/>
          <w:sz w:val="24"/>
          <w:szCs w:val="24"/>
        </w:rPr>
        <w:t xml:space="preserve"> para acreditar que el supuesto de hecho corresponde estrictamente con la hipótesis jurídica. Esto también lo debe de realizar el servidor público habilitado y el titular del área que administra la información.</w:t>
      </w:r>
    </w:p>
    <w:p w:rsidR="000C37FE" w:rsidRPr="002951D2" w:rsidRDefault="000C37FE" w:rsidP="000C37FE">
      <w:pPr>
        <w:spacing w:line="360" w:lineRule="auto"/>
        <w:contextualSpacing/>
        <w:jc w:val="both"/>
        <w:rPr>
          <w:rFonts w:ascii="Palatino Linotype" w:hAnsi="Palatino Linotype" w:cs="Arial"/>
          <w:color w:val="000000" w:themeColor="text1"/>
          <w:sz w:val="24"/>
          <w:szCs w:val="24"/>
        </w:rPr>
      </w:pPr>
    </w:p>
    <w:p w:rsidR="000C37FE" w:rsidRPr="002951D2" w:rsidRDefault="000C37FE" w:rsidP="002951D2">
      <w:pPr>
        <w:numPr>
          <w:ilvl w:val="0"/>
          <w:numId w:val="2"/>
        </w:numPr>
        <w:spacing w:line="360" w:lineRule="auto"/>
        <w:ind w:left="0" w:firstLine="0"/>
        <w:contextualSpacing/>
        <w:jc w:val="both"/>
        <w:rPr>
          <w:rFonts w:ascii="Palatino Linotype" w:hAnsi="Palatino Linotype" w:cs="Arial"/>
          <w:color w:val="000000" w:themeColor="text1"/>
          <w:sz w:val="24"/>
          <w:szCs w:val="24"/>
        </w:rPr>
      </w:pPr>
      <w:r w:rsidRPr="002951D2">
        <w:rPr>
          <w:rFonts w:ascii="Palatino Linotype" w:hAnsi="Palatino Linotype" w:cs="Arial"/>
          <w:color w:val="000000" w:themeColor="text1"/>
          <w:sz w:val="24"/>
          <w:szCs w:val="24"/>
        </w:rPr>
        <w:t>Una vez hecho lo anterior, se remite la información al Titular de la Unidad de Transparencia, con el acuerdo de clasificación correspondiente, para que sea sometido al conocimiento del Comité de Transparencia.</w:t>
      </w:r>
    </w:p>
    <w:p w:rsidR="000C37FE" w:rsidRPr="002951D2" w:rsidRDefault="000C37FE" w:rsidP="006B39D8">
      <w:pPr>
        <w:pStyle w:val="Prrafodelista"/>
        <w:keepNext/>
        <w:keepLines/>
        <w:numPr>
          <w:ilvl w:val="0"/>
          <w:numId w:val="16"/>
        </w:numPr>
        <w:pBdr>
          <w:top w:val="nil"/>
          <w:left w:val="nil"/>
          <w:bottom w:val="nil"/>
          <w:right w:val="nil"/>
          <w:between w:val="nil"/>
          <w:bar w:val="nil"/>
        </w:pBdr>
        <w:spacing w:before="240" w:after="0" w:line="240" w:lineRule="auto"/>
        <w:ind w:left="0" w:firstLine="0"/>
        <w:jc w:val="both"/>
        <w:rPr>
          <w:rFonts w:ascii="Palatino Linotype" w:eastAsiaTheme="majorEastAsia" w:hAnsi="Palatino Linotype" w:cstheme="majorBidi"/>
          <w:b/>
          <w:color w:val="000000" w:themeColor="text1"/>
          <w:sz w:val="24"/>
          <w:szCs w:val="24"/>
        </w:rPr>
      </w:pPr>
      <w:bookmarkStart w:id="96" w:name="_Toc485631702"/>
      <w:bookmarkStart w:id="97" w:name="_Toc500756712"/>
      <w:bookmarkStart w:id="98" w:name="_Toc536691780"/>
      <w:bookmarkStart w:id="99" w:name="_Toc2267543"/>
      <w:bookmarkStart w:id="100" w:name="_Toc2856716"/>
      <w:r w:rsidRPr="002951D2">
        <w:rPr>
          <w:rFonts w:ascii="Palatino Linotype" w:eastAsiaTheme="majorEastAsia" w:hAnsi="Palatino Linotype" w:cstheme="majorBidi"/>
          <w:b/>
          <w:color w:val="000000" w:themeColor="text1"/>
          <w:sz w:val="24"/>
          <w:szCs w:val="24"/>
        </w:rPr>
        <w:t>Excepciones a los supuestos de clasificación de la información como reservada.</w:t>
      </w:r>
      <w:bookmarkEnd w:id="96"/>
      <w:bookmarkEnd w:id="97"/>
      <w:bookmarkEnd w:id="98"/>
      <w:bookmarkEnd w:id="99"/>
      <w:bookmarkEnd w:id="100"/>
    </w:p>
    <w:p w:rsidR="000C37FE" w:rsidRPr="002951D2" w:rsidRDefault="000C37FE" w:rsidP="000C37FE">
      <w:pPr>
        <w:rPr>
          <w:rFonts w:ascii="Palatino Linotype" w:hAnsi="Palatino Linotype"/>
          <w:color w:val="000000" w:themeColor="text1"/>
          <w:sz w:val="24"/>
          <w:szCs w:val="24"/>
        </w:rPr>
      </w:pPr>
    </w:p>
    <w:p w:rsidR="000C37FE" w:rsidRPr="002951D2" w:rsidRDefault="000C37FE" w:rsidP="002951D2">
      <w:pPr>
        <w:numPr>
          <w:ilvl w:val="0"/>
          <w:numId w:val="2"/>
        </w:numPr>
        <w:spacing w:before="100" w:beforeAutospacing="1" w:after="100" w:afterAutospacing="1" w:line="360" w:lineRule="auto"/>
        <w:ind w:left="0" w:firstLine="0"/>
        <w:jc w:val="both"/>
        <w:rPr>
          <w:rFonts w:ascii="Palatino Linotype" w:eastAsia="Times New Roman" w:hAnsi="Palatino Linotype" w:cs="Times New Roman"/>
          <w:color w:val="000000" w:themeColor="text1"/>
          <w:sz w:val="24"/>
          <w:szCs w:val="24"/>
          <w:lang w:val="es-ES"/>
        </w:rPr>
      </w:pPr>
      <w:r w:rsidRPr="002951D2">
        <w:rPr>
          <w:rFonts w:ascii="Palatino Linotype" w:eastAsia="Times New Roman" w:hAnsi="Palatino Linotype" w:cs="Times New Roman"/>
          <w:color w:val="000000" w:themeColor="text1"/>
          <w:sz w:val="24"/>
          <w:szCs w:val="24"/>
          <w:lang w:val="es-ES"/>
        </w:rPr>
        <w:t>En todos aquellos casos en los que se pretende adoptar una clasificación de la información como reservada, hay que considerar lo señalado por los artículos 5, 140 y 142 de la Ley Estatal y 5, 113 fracción III y 115 de la Ley General, que establecen que no puede clasificarse como información reservada la que corresponda a violaciones graves a derechos humanos, determinada por la instancia correspondiente o en proceso de investigación, los delitos de lesa humanidad y los actos de corrupción, entendiendo en este último aspecto que el Título Sexto del Código Penal del Estado de México establece los Delitos por Hechos de Corrupción, entre los cuales se encuentran los de incumplimiento, ejercicio indebido y abandono de funciones públicas; coalición; abuso de autoridad; uso ilícito de atribuciones y facultades; concusión; intimidación; ejercicio abusivo de funciones; tráfico de influencias; cohecho; peculado; enriquecimiento ilícito; delitos cometidos por servidores públicos de la procuración y administración de justicia. De ser el caso que la información que se pretende reservar corresponde a cualquiera de estos supuestos, no es posible clasificarla como reservada.</w:t>
      </w:r>
    </w:p>
    <w:p w:rsidR="000C37FE" w:rsidRPr="002951D2" w:rsidRDefault="000C37FE" w:rsidP="006B39D8">
      <w:pPr>
        <w:rPr>
          <w:rFonts w:ascii="Palatino Linotype" w:eastAsiaTheme="majorEastAsia" w:hAnsi="Palatino Linotype" w:cstheme="majorBidi"/>
          <w:b/>
          <w:color w:val="000000" w:themeColor="text1"/>
          <w:sz w:val="24"/>
          <w:szCs w:val="24"/>
        </w:rPr>
      </w:pPr>
      <w:bookmarkStart w:id="101" w:name="_Toc485631703"/>
      <w:bookmarkStart w:id="102" w:name="_Toc500756713"/>
      <w:bookmarkStart w:id="103" w:name="_Toc536691781"/>
      <w:bookmarkStart w:id="104" w:name="_Toc2267544"/>
      <w:bookmarkStart w:id="105" w:name="_Toc2856717"/>
      <w:r w:rsidRPr="002951D2">
        <w:rPr>
          <w:rFonts w:ascii="Palatino Linotype" w:eastAsiaTheme="majorEastAsia" w:hAnsi="Palatino Linotype" w:cstheme="majorBidi"/>
          <w:b/>
          <w:color w:val="000000" w:themeColor="text1"/>
          <w:sz w:val="24"/>
          <w:szCs w:val="24"/>
        </w:rPr>
        <w:t>II. La intervención del Comité de Transparencia.</w:t>
      </w:r>
      <w:bookmarkEnd w:id="101"/>
      <w:bookmarkEnd w:id="102"/>
      <w:bookmarkEnd w:id="103"/>
      <w:bookmarkEnd w:id="104"/>
      <w:bookmarkEnd w:id="105"/>
    </w:p>
    <w:p w:rsidR="000C37FE" w:rsidRPr="002951D2" w:rsidRDefault="000C37FE" w:rsidP="006B39D8">
      <w:pPr>
        <w:pStyle w:val="Prrafodelista"/>
        <w:keepNext/>
        <w:keepLines/>
        <w:numPr>
          <w:ilvl w:val="0"/>
          <w:numId w:val="17"/>
        </w:numPr>
        <w:pBdr>
          <w:top w:val="nil"/>
          <w:left w:val="nil"/>
          <w:bottom w:val="nil"/>
          <w:right w:val="nil"/>
          <w:between w:val="nil"/>
          <w:bar w:val="nil"/>
        </w:pBdr>
        <w:spacing w:before="40" w:after="0" w:line="240" w:lineRule="auto"/>
        <w:ind w:left="0" w:firstLine="0"/>
        <w:rPr>
          <w:rFonts w:ascii="Palatino Linotype" w:eastAsiaTheme="majorEastAsia" w:hAnsi="Palatino Linotype" w:cstheme="majorBidi"/>
          <w:b/>
          <w:color w:val="000000" w:themeColor="text1"/>
          <w:sz w:val="24"/>
          <w:szCs w:val="24"/>
        </w:rPr>
      </w:pPr>
      <w:bookmarkStart w:id="106" w:name="_Toc485631704"/>
      <w:bookmarkStart w:id="107" w:name="_Toc500756714"/>
      <w:bookmarkStart w:id="108" w:name="_Toc536691782"/>
      <w:bookmarkStart w:id="109" w:name="_Toc2267545"/>
      <w:bookmarkStart w:id="110" w:name="_Toc2856718"/>
      <w:r w:rsidRPr="002951D2">
        <w:rPr>
          <w:rFonts w:ascii="Palatino Linotype" w:eastAsiaTheme="majorEastAsia" w:hAnsi="Palatino Linotype" w:cstheme="majorBidi"/>
          <w:b/>
          <w:color w:val="000000" w:themeColor="text1"/>
          <w:sz w:val="24"/>
          <w:szCs w:val="24"/>
        </w:rPr>
        <w:t>Formalidades para emitir el acuerdo de clasificación.</w:t>
      </w:r>
      <w:bookmarkEnd w:id="106"/>
      <w:bookmarkEnd w:id="107"/>
      <w:bookmarkEnd w:id="108"/>
      <w:bookmarkEnd w:id="109"/>
      <w:bookmarkEnd w:id="110"/>
    </w:p>
    <w:p w:rsidR="000C37FE" w:rsidRPr="002951D2" w:rsidRDefault="000C37FE" w:rsidP="000C37FE">
      <w:pPr>
        <w:tabs>
          <w:tab w:val="left" w:pos="7770"/>
        </w:tabs>
        <w:spacing w:line="360" w:lineRule="auto"/>
        <w:contextualSpacing/>
        <w:jc w:val="both"/>
        <w:rPr>
          <w:rFonts w:ascii="Palatino Linotype" w:hAnsi="Palatino Linotype" w:cs="Arial"/>
          <w:color w:val="000000" w:themeColor="text1"/>
          <w:sz w:val="24"/>
          <w:szCs w:val="24"/>
        </w:rPr>
      </w:pPr>
      <w:r w:rsidRPr="002951D2">
        <w:rPr>
          <w:rFonts w:ascii="Palatino Linotype" w:hAnsi="Palatino Linotype" w:cs="Arial"/>
          <w:color w:val="000000" w:themeColor="text1"/>
          <w:sz w:val="24"/>
          <w:szCs w:val="24"/>
        </w:rPr>
        <w:tab/>
      </w:r>
    </w:p>
    <w:p w:rsidR="000C37FE" w:rsidRPr="002951D2" w:rsidRDefault="000C37FE" w:rsidP="002951D2">
      <w:pPr>
        <w:numPr>
          <w:ilvl w:val="0"/>
          <w:numId w:val="2"/>
        </w:numPr>
        <w:spacing w:line="360" w:lineRule="auto"/>
        <w:ind w:left="0" w:firstLine="0"/>
        <w:contextualSpacing/>
        <w:jc w:val="both"/>
        <w:rPr>
          <w:rFonts w:ascii="Palatino Linotype" w:eastAsia="Times New Roman" w:hAnsi="Palatino Linotype"/>
          <w:color w:val="000000" w:themeColor="text1"/>
          <w:sz w:val="24"/>
          <w:szCs w:val="24"/>
          <w:lang w:eastAsia="es-ES_tradnl"/>
        </w:rPr>
      </w:pPr>
      <w:r w:rsidRPr="002951D2">
        <w:rPr>
          <w:rFonts w:ascii="Palatino Linotype" w:hAnsi="Palatino Linotype" w:cs="Arial"/>
          <w:color w:val="000000" w:themeColor="text1"/>
          <w:sz w:val="24"/>
          <w:szCs w:val="24"/>
        </w:rPr>
        <w:t xml:space="preserve">El Comité de Transparencia, según lo dispuesto en los artículos 128 y 103 de la Ley Estatal y de la Ley General, respectivamente, y </w:t>
      </w:r>
      <w:r w:rsidRPr="002951D2">
        <w:rPr>
          <w:rFonts w:ascii="Palatino Linotype" w:hAnsi="Palatino Linotype"/>
          <w:color w:val="000000" w:themeColor="text1"/>
          <w:sz w:val="24"/>
          <w:szCs w:val="24"/>
        </w:rPr>
        <w:t xml:space="preserve">la fracción III del numeral Segundo de los </w:t>
      </w:r>
      <w:r w:rsidRPr="002951D2">
        <w:rPr>
          <w:rFonts w:ascii="Palatino Linotype" w:hAnsi="Palatino Linotype" w:cs="Arial"/>
          <w:color w:val="000000" w:themeColor="text1"/>
          <w:sz w:val="24"/>
          <w:szCs w:val="24"/>
        </w:rPr>
        <w:t>Lineamientos generales en materia de clasificación y desclasificación de la información, así como para la elaboración de versiones públicas, en adelante los Lineamientos Generales,</w:t>
      </w:r>
      <w:r w:rsidRPr="002951D2">
        <w:rPr>
          <w:rFonts w:ascii="Palatino Linotype" w:hAnsi="Palatino Linotype"/>
          <w:color w:val="000000" w:themeColor="text1"/>
          <w:sz w:val="24"/>
          <w:szCs w:val="24"/>
        </w:rPr>
        <w:t xml:space="preserve"> </w:t>
      </w:r>
      <w:r w:rsidRPr="002951D2">
        <w:rPr>
          <w:rFonts w:ascii="Palatino Linotype" w:hAnsi="Palatino Linotype" w:cs="Arial"/>
          <w:color w:val="000000" w:themeColor="text1"/>
          <w:sz w:val="24"/>
          <w:szCs w:val="24"/>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0C37FE" w:rsidRPr="002951D2" w:rsidRDefault="000C37FE" w:rsidP="000C37FE">
      <w:pPr>
        <w:spacing w:line="360" w:lineRule="auto"/>
        <w:contextualSpacing/>
        <w:jc w:val="both"/>
        <w:rPr>
          <w:rFonts w:ascii="Palatino Linotype" w:hAnsi="Palatino Linotype" w:cs="Arial"/>
          <w:color w:val="000000" w:themeColor="text1"/>
          <w:sz w:val="24"/>
          <w:szCs w:val="24"/>
        </w:rPr>
      </w:pPr>
    </w:p>
    <w:p w:rsidR="000C37FE" w:rsidRPr="002951D2" w:rsidRDefault="000C37FE" w:rsidP="002951D2">
      <w:pPr>
        <w:numPr>
          <w:ilvl w:val="0"/>
          <w:numId w:val="2"/>
        </w:numPr>
        <w:spacing w:line="360" w:lineRule="auto"/>
        <w:ind w:left="0" w:firstLine="0"/>
        <w:contextualSpacing/>
        <w:jc w:val="both"/>
        <w:rPr>
          <w:rFonts w:ascii="Palatino Linotype" w:hAnsi="Palatino Linotype" w:cs="Arial"/>
          <w:color w:val="000000" w:themeColor="text1"/>
          <w:sz w:val="24"/>
          <w:szCs w:val="24"/>
        </w:rPr>
      </w:pPr>
      <w:r w:rsidRPr="002951D2">
        <w:rPr>
          <w:rFonts w:ascii="Palatino Linotype" w:hAnsi="Palatino Linotype" w:cs="Arial"/>
          <w:color w:val="000000" w:themeColor="text1"/>
          <w:sz w:val="24"/>
          <w:szCs w:val="24"/>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0C37FE" w:rsidRPr="002951D2" w:rsidRDefault="000C37FE" w:rsidP="000C37FE">
      <w:pPr>
        <w:spacing w:line="360" w:lineRule="auto"/>
        <w:jc w:val="both"/>
        <w:rPr>
          <w:rFonts w:ascii="Palatino Linotype" w:hAnsi="Palatino Linotype"/>
          <w:color w:val="000000" w:themeColor="text1"/>
          <w:sz w:val="24"/>
          <w:szCs w:val="24"/>
        </w:rPr>
      </w:pPr>
    </w:p>
    <w:p w:rsidR="000C37FE" w:rsidRPr="002951D2" w:rsidRDefault="000C37FE" w:rsidP="002951D2">
      <w:pPr>
        <w:numPr>
          <w:ilvl w:val="0"/>
          <w:numId w:val="2"/>
        </w:numPr>
        <w:spacing w:line="360" w:lineRule="auto"/>
        <w:ind w:left="0" w:firstLine="0"/>
        <w:contextualSpacing/>
        <w:jc w:val="both"/>
        <w:rPr>
          <w:rFonts w:ascii="Palatino Linotype" w:hAnsi="Palatino Linotype"/>
          <w:color w:val="000000" w:themeColor="text1"/>
          <w:sz w:val="24"/>
          <w:szCs w:val="24"/>
        </w:rPr>
      </w:pPr>
      <w:r w:rsidRPr="002951D2">
        <w:rPr>
          <w:rFonts w:ascii="Palatino Linotype" w:hAnsi="Palatino Linotype"/>
          <w:color w:val="000000" w:themeColor="text1"/>
          <w:sz w:val="24"/>
          <w:szCs w:val="24"/>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0C37FE" w:rsidRPr="002951D2" w:rsidRDefault="000C37FE" w:rsidP="006B39D8">
      <w:pPr>
        <w:pStyle w:val="Prrafodelista"/>
        <w:keepNext/>
        <w:keepLines/>
        <w:numPr>
          <w:ilvl w:val="0"/>
          <w:numId w:val="17"/>
        </w:numPr>
        <w:pBdr>
          <w:top w:val="nil"/>
          <w:left w:val="nil"/>
          <w:bottom w:val="nil"/>
          <w:right w:val="nil"/>
          <w:between w:val="nil"/>
          <w:bar w:val="nil"/>
        </w:pBdr>
        <w:spacing w:before="40" w:after="0" w:line="240" w:lineRule="auto"/>
        <w:ind w:left="0" w:firstLine="0"/>
        <w:rPr>
          <w:rFonts w:ascii="Palatino Linotype" w:eastAsiaTheme="majorEastAsia" w:hAnsi="Palatino Linotype" w:cstheme="majorBidi"/>
          <w:b/>
          <w:color w:val="000000" w:themeColor="text1"/>
          <w:sz w:val="24"/>
          <w:szCs w:val="24"/>
        </w:rPr>
      </w:pPr>
      <w:bookmarkStart w:id="111" w:name="_Toc485631705"/>
      <w:bookmarkStart w:id="112" w:name="_Toc500756715"/>
      <w:bookmarkStart w:id="113" w:name="_Toc536691783"/>
      <w:bookmarkStart w:id="114" w:name="_Toc2267546"/>
      <w:bookmarkStart w:id="115" w:name="_Toc2856719"/>
      <w:r w:rsidRPr="002951D2">
        <w:rPr>
          <w:rFonts w:ascii="Palatino Linotype" w:eastAsiaTheme="majorEastAsia" w:hAnsi="Palatino Linotype" w:cstheme="majorBidi"/>
          <w:b/>
          <w:color w:val="000000" w:themeColor="text1"/>
          <w:sz w:val="24"/>
          <w:szCs w:val="24"/>
        </w:rPr>
        <w:t>Requisitos de fondo del acuerdo de clasificación.</w:t>
      </w:r>
      <w:bookmarkEnd w:id="111"/>
      <w:bookmarkEnd w:id="112"/>
      <w:bookmarkEnd w:id="113"/>
      <w:bookmarkEnd w:id="114"/>
      <w:bookmarkEnd w:id="115"/>
    </w:p>
    <w:p w:rsidR="000C37FE" w:rsidRPr="002951D2" w:rsidRDefault="000C37FE" w:rsidP="000C37FE">
      <w:pPr>
        <w:spacing w:line="360" w:lineRule="auto"/>
        <w:contextualSpacing/>
        <w:jc w:val="both"/>
        <w:rPr>
          <w:rFonts w:ascii="Palatino Linotype" w:hAnsi="Palatino Linotype" w:cs="Arial"/>
          <w:color w:val="000000" w:themeColor="text1"/>
          <w:sz w:val="24"/>
          <w:szCs w:val="24"/>
        </w:rPr>
      </w:pPr>
    </w:p>
    <w:p w:rsidR="000C37FE" w:rsidRPr="002951D2" w:rsidRDefault="000C37FE" w:rsidP="002951D2">
      <w:pPr>
        <w:numPr>
          <w:ilvl w:val="0"/>
          <w:numId w:val="2"/>
        </w:numPr>
        <w:spacing w:line="360" w:lineRule="auto"/>
        <w:ind w:left="0" w:firstLine="0"/>
        <w:contextualSpacing/>
        <w:jc w:val="both"/>
        <w:rPr>
          <w:rFonts w:ascii="Palatino Linotype" w:hAnsi="Palatino Linotype" w:cs="Arial"/>
          <w:color w:val="000000" w:themeColor="text1"/>
          <w:sz w:val="24"/>
          <w:szCs w:val="24"/>
        </w:rPr>
      </w:pPr>
      <w:r w:rsidRPr="002951D2">
        <w:rPr>
          <w:rFonts w:ascii="Palatino Linotype" w:hAnsi="Palatino Linotype" w:cs="Arial"/>
          <w:color w:val="000000" w:themeColor="text1"/>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0C37FE" w:rsidRPr="002951D2" w:rsidRDefault="000C37FE" w:rsidP="000C37FE">
      <w:pPr>
        <w:spacing w:line="360" w:lineRule="auto"/>
        <w:contextualSpacing/>
        <w:jc w:val="both"/>
        <w:rPr>
          <w:rFonts w:ascii="Palatino Linotype" w:hAnsi="Palatino Linotype"/>
          <w:color w:val="000000" w:themeColor="text1"/>
          <w:sz w:val="24"/>
          <w:szCs w:val="24"/>
        </w:rPr>
      </w:pPr>
    </w:p>
    <w:p w:rsidR="000C37FE" w:rsidRPr="002951D2" w:rsidRDefault="000C37FE" w:rsidP="002951D2">
      <w:pPr>
        <w:numPr>
          <w:ilvl w:val="0"/>
          <w:numId w:val="2"/>
        </w:numPr>
        <w:spacing w:line="360" w:lineRule="auto"/>
        <w:ind w:left="0" w:firstLine="0"/>
        <w:contextualSpacing/>
        <w:jc w:val="both"/>
        <w:rPr>
          <w:rFonts w:ascii="Palatino Linotype" w:hAnsi="Palatino Linotype"/>
          <w:color w:val="000000" w:themeColor="text1"/>
          <w:sz w:val="24"/>
          <w:szCs w:val="24"/>
        </w:rPr>
      </w:pPr>
      <w:r w:rsidRPr="002951D2">
        <w:rPr>
          <w:rFonts w:ascii="Palatino Linotype" w:hAnsi="Palatino Linotype"/>
          <w:color w:val="000000" w:themeColor="text1"/>
          <w:sz w:val="24"/>
          <w:szCs w:val="24"/>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0C37FE" w:rsidRPr="002951D2" w:rsidRDefault="000C37FE" w:rsidP="000C37FE">
      <w:pPr>
        <w:shd w:val="clear" w:color="auto" w:fill="FFFFFF"/>
        <w:spacing w:line="360" w:lineRule="auto"/>
        <w:contextualSpacing/>
        <w:jc w:val="both"/>
        <w:rPr>
          <w:rFonts w:ascii="Palatino Linotype" w:eastAsia="Times New Roman" w:hAnsi="Palatino Linotype" w:cs="Arial"/>
          <w:color w:val="000000" w:themeColor="text1"/>
          <w:sz w:val="24"/>
          <w:szCs w:val="24"/>
          <w:lang w:eastAsia="es-MX"/>
        </w:rPr>
      </w:pPr>
    </w:p>
    <w:p w:rsidR="000C37FE" w:rsidRPr="002951D2" w:rsidRDefault="000C37FE" w:rsidP="002951D2">
      <w:pPr>
        <w:numPr>
          <w:ilvl w:val="0"/>
          <w:numId w:val="2"/>
        </w:numPr>
        <w:shd w:val="clear" w:color="auto" w:fill="FFFFFF"/>
        <w:spacing w:after="0" w:line="360" w:lineRule="auto"/>
        <w:ind w:left="0" w:firstLine="0"/>
        <w:contextualSpacing/>
        <w:jc w:val="both"/>
        <w:rPr>
          <w:rFonts w:ascii="Palatino Linotype" w:eastAsia="Times New Roman" w:hAnsi="Palatino Linotype" w:cs="Arial"/>
          <w:color w:val="000000" w:themeColor="text1"/>
          <w:sz w:val="24"/>
          <w:szCs w:val="24"/>
          <w:lang w:eastAsia="es-MX"/>
        </w:rPr>
      </w:pPr>
      <w:r w:rsidRPr="002951D2">
        <w:rPr>
          <w:rFonts w:ascii="Palatino Linotype" w:eastAsia="Times New Roman" w:hAnsi="Palatino Linotype" w:cs="Arial"/>
          <w:color w:val="000000" w:themeColor="text1"/>
          <w:sz w:val="24"/>
          <w:szCs w:val="24"/>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2951D2">
        <w:rPr>
          <w:rFonts w:ascii="Palatino Linotype" w:eastAsia="Times New Roman" w:hAnsi="Palatino Linotype" w:cs="Arial"/>
          <w:color w:val="000000" w:themeColor="text1"/>
          <w:sz w:val="24"/>
          <w:szCs w:val="24"/>
          <w:vertAlign w:val="superscript"/>
          <w:lang w:eastAsia="es-MX"/>
        </w:rPr>
        <w:footnoteReference w:id="10"/>
      </w:r>
    </w:p>
    <w:p w:rsidR="000C37FE" w:rsidRPr="002951D2" w:rsidRDefault="000C37FE" w:rsidP="000C37FE">
      <w:pPr>
        <w:shd w:val="clear" w:color="auto" w:fill="FFFFFF"/>
        <w:spacing w:line="360" w:lineRule="auto"/>
        <w:contextualSpacing/>
        <w:jc w:val="both"/>
        <w:rPr>
          <w:rFonts w:ascii="Palatino Linotype" w:eastAsia="Times New Roman" w:hAnsi="Palatino Linotype" w:cs="Arial"/>
          <w:color w:val="000000" w:themeColor="text1"/>
          <w:sz w:val="24"/>
          <w:szCs w:val="24"/>
          <w:lang w:eastAsia="es-MX"/>
        </w:rPr>
      </w:pPr>
    </w:p>
    <w:p w:rsidR="000C37FE" w:rsidRPr="002951D2" w:rsidRDefault="000C37FE" w:rsidP="002951D2">
      <w:pPr>
        <w:numPr>
          <w:ilvl w:val="0"/>
          <w:numId w:val="2"/>
        </w:numPr>
        <w:shd w:val="clear" w:color="auto" w:fill="FFFFFF"/>
        <w:spacing w:after="0" w:line="360" w:lineRule="auto"/>
        <w:ind w:left="0" w:firstLine="0"/>
        <w:contextualSpacing/>
        <w:jc w:val="both"/>
        <w:rPr>
          <w:rFonts w:ascii="Palatino Linotype" w:eastAsia="Times New Roman" w:hAnsi="Palatino Linotype" w:cs="Arial"/>
          <w:color w:val="000000" w:themeColor="text1"/>
          <w:sz w:val="24"/>
          <w:szCs w:val="24"/>
          <w:lang w:eastAsia="es-MX"/>
        </w:rPr>
      </w:pPr>
      <w:r w:rsidRPr="002951D2">
        <w:rPr>
          <w:rFonts w:ascii="Palatino Linotype" w:eastAsia="Times New Roman" w:hAnsi="Palatino Linotype" w:cs="Arial"/>
          <w:color w:val="000000" w:themeColor="text1"/>
          <w:sz w:val="24"/>
          <w:szCs w:val="24"/>
          <w:lang w:eastAsia="es-MX"/>
        </w:rPr>
        <w:t>Por su parte, el intérprete judicial del país ha establecido una jurisprudencia respecto a qué debe entenderse por fundamentación y motivación, en los siguientes términos:</w:t>
      </w:r>
    </w:p>
    <w:p w:rsidR="000C37FE" w:rsidRPr="002951D2" w:rsidRDefault="000C37FE" w:rsidP="000C37FE">
      <w:pPr>
        <w:spacing w:line="360" w:lineRule="auto"/>
        <w:ind w:right="618"/>
        <w:contextualSpacing/>
        <w:jc w:val="both"/>
        <w:rPr>
          <w:rFonts w:ascii="Palatino Linotype" w:hAnsi="Palatino Linotype" w:cs="Arial"/>
          <w:color w:val="000000" w:themeColor="text1"/>
          <w:sz w:val="24"/>
          <w:szCs w:val="24"/>
        </w:rPr>
      </w:pPr>
    </w:p>
    <w:p w:rsidR="000C37FE" w:rsidRPr="002951D2" w:rsidRDefault="000C37FE" w:rsidP="000C37FE">
      <w:pPr>
        <w:spacing w:line="360" w:lineRule="auto"/>
        <w:ind w:left="567" w:right="618"/>
        <w:contextualSpacing/>
        <w:jc w:val="both"/>
        <w:rPr>
          <w:rFonts w:ascii="Palatino Linotype" w:hAnsi="Palatino Linotype" w:cs="Arial"/>
          <w:i/>
          <w:color w:val="000000" w:themeColor="text1"/>
          <w:sz w:val="24"/>
          <w:szCs w:val="24"/>
        </w:rPr>
      </w:pPr>
      <w:r w:rsidRPr="002951D2">
        <w:rPr>
          <w:rFonts w:ascii="Palatino Linotype" w:hAnsi="Palatino Linotype" w:cs="Arial"/>
          <w:b/>
          <w:i/>
          <w:color w:val="000000" w:themeColor="text1"/>
          <w:sz w:val="24"/>
          <w:szCs w:val="24"/>
        </w:rPr>
        <w:t>FUNDAMENTACIÓN Y MOTIVACIÓN.</w:t>
      </w:r>
      <w:r w:rsidRPr="002951D2">
        <w:rPr>
          <w:rFonts w:ascii="Palatino Linotype" w:hAnsi="Palatino Linotype" w:cs="Arial"/>
          <w:i/>
          <w:color w:val="000000" w:themeColor="text1"/>
          <w:sz w:val="24"/>
          <w:szCs w:val="24"/>
        </w:rPr>
        <w:t xml:space="preserve"> La </w:t>
      </w:r>
      <w:r w:rsidRPr="002951D2">
        <w:rPr>
          <w:rFonts w:ascii="Palatino Linotype" w:hAnsi="Palatino Linotype" w:cs="Arial"/>
          <w:i/>
          <w:color w:val="000000" w:themeColor="text1"/>
          <w:sz w:val="24"/>
          <w:szCs w:val="24"/>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2951D2">
        <w:rPr>
          <w:rFonts w:ascii="Palatino Linotype" w:hAnsi="Palatino Linotype" w:cs="Arial"/>
          <w:i/>
          <w:color w:val="000000" w:themeColor="text1"/>
          <w:sz w:val="24"/>
          <w:szCs w:val="24"/>
        </w:rPr>
        <w:t>.</w:t>
      </w:r>
    </w:p>
    <w:p w:rsidR="000C37FE" w:rsidRPr="002951D2" w:rsidRDefault="000C37FE" w:rsidP="000C37FE">
      <w:pPr>
        <w:spacing w:line="360" w:lineRule="auto"/>
        <w:ind w:left="567" w:right="618"/>
        <w:contextualSpacing/>
        <w:jc w:val="both"/>
        <w:rPr>
          <w:rFonts w:ascii="Palatino Linotype" w:hAnsi="Palatino Linotype" w:cs="Arial"/>
          <w:i/>
          <w:color w:val="000000" w:themeColor="text1"/>
          <w:sz w:val="24"/>
          <w:szCs w:val="24"/>
        </w:rPr>
      </w:pPr>
      <w:r w:rsidRPr="002951D2">
        <w:rPr>
          <w:rFonts w:ascii="Palatino Linotype" w:hAnsi="Palatino Linotype" w:cs="Arial"/>
          <w:i/>
          <w:color w:val="000000" w:themeColor="text1"/>
          <w:sz w:val="24"/>
          <w:szCs w:val="24"/>
        </w:rPr>
        <w:t>SEGUNDO TRIBUNAL COLEGIADO DEL SEXTO CIRCUITO.</w:t>
      </w:r>
    </w:p>
    <w:p w:rsidR="000C37FE" w:rsidRPr="002951D2" w:rsidRDefault="000C37FE" w:rsidP="000C37FE">
      <w:pPr>
        <w:spacing w:line="360" w:lineRule="auto"/>
        <w:ind w:left="567" w:right="618"/>
        <w:contextualSpacing/>
        <w:jc w:val="both"/>
        <w:rPr>
          <w:rFonts w:ascii="Palatino Linotype" w:hAnsi="Palatino Linotype" w:cs="Arial"/>
          <w:i/>
          <w:color w:val="000000" w:themeColor="text1"/>
          <w:sz w:val="24"/>
          <w:szCs w:val="24"/>
        </w:rPr>
      </w:pPr>
      <w:r w:rsidRPr="002951D2">
        <w:rPr>
          <w:rFonts w:ascii="Palatino Linotype" w:hAnsi="Palatino Linotype" w:cs="Arial"/>
          <w:i/>
          <w:color w:val="000000" w:themeColor="text1"/>
          <w:sz w:val="24"/>
          <w:szCs w:val="24"/>
        </w:rPr>
        <w:t>Amparo directo 194/88. Bufete Industrial Construcciones, S.A. de C.V. 28 de junio de 1988. Unanimidad de votos. Ponente: Gustavo Calvillo Rangel. Secretario: Jorge Alberto González Álvarez.</w:t>
      </w:r>
    </w:p>
    <w:p w:rsidR="000C37FE" w:rsidRPr="002951D2" w:rsidRDefault="000C37FE" w:rsidP="000C37FE">
      <w:pPr>
        <w:spacing w:line="360" w:lineRule="auto"/>
        <w:ind w:left="567" w:right="618"/>
        <w:contextualSpacing/>
        <w:jc w:val="both"/>
        <w:rPr>
          <w:rFonts w:ascii="Palatino Linotype" w:hAnsi="Palatino Linotype" w:cs="Arial"/>
          <w:i/>
          <w:color w:val="000000" w:themeColor="text1"/>
          <w:sz w:val="24"/>
          <w:szCs w:val="24"/>
        </w:rPr>
      </w:pPr>
      <w:r w:rsidRPr="002951D2">
        <w:rPr>
          <w:rFonts w:ascii="Palatino Linotype" w:hAnsi="Palatino Linotype" w:cs="Arial"/>
          <w:i/>
          <w:color w:val="000000" w:themeColor="text1"/>
          <w:sz w:val="24"/>
          <w:szCs w:val="24"/>
        </w:rPr>
        <w:t>Revisión fiscal 103/88. Instituto Mexicano del Seguro Social. 18 de octubre de 1988. Unanimidad de votos. Ponente: Arnoldo Nájera Virgen. Secretario: Alejandro Esponda Rincón.</w:t>
      </w:r>
    </w:p>
    <w:p w:rsidR="000C37FE" w:rsidRPr="002951D2" w:rsidRDefault="000C37FE" w:rsidP="000C37FE">
      <w:pPr>
        <w:spacing w:line="360" w:lineRule="auto"/>
        <w:ind w:left="567" w:right="618"/>
        <w:contextualSpacing/>
        <w:jc w:val="both"/>
        <w:rPr>
          <w:rFonts w:ascii="Palatino Linotype" w:hAnsi="Palatino Linotype" w:cs="Arial"/>
          <w:i/>
          <w:color w:val="000000" w:themeColor="text1"/>
          <w:sz w:val="24"/>
          <w:szCs w:val="24"/>
        </w:rPr>
      </w:pPr>
      <w:r w:rsidRPr="002951D2">
        <w:rPr>
          <w:rFonts w:ascii="Palatino Linotype" w:hAnsi="Palatino Linotype" w:cs="Arial"/>
          <w:i/>
          <w:color w:val="000000" w:themeColor="text1"/>
          <w:sz w:val="24"/>
          <w:szCs w:val="24"/>
        </w:rPr>
        <w:t>Amparo en revisión 333/88. Adilia Romero. 26 de octubre de 1988. Unanimidad de votos. Ponente: Arnoldo Nájera Virgen. Secretario: Enrique Crispín Campos Ramírez.</w:t>
      </w:r>
    </w:p>
    <w:p w:rsidR="000C37FE" w:rsidRPr="002951D2" w:rsidRDefault="000C37FE" w:rsidP="000C37FE">
      <w:pPr>
        <w:spacing w:line="360" w:lineRule="auto"/>
        <w:ind w:left="567" w:right="618"/>
        <w:contextualSpacing/>
        <w:jc w:val="both"/>
        <w:rPr>
          <w:rFonts w:ascii="Palatino Linotype" w:hAnsi="Palatino Linotype" w:cs="Arial"/>
          <w:i/>
          <w:color w:val="000000" w:themeColor="text1"/>
          <w:sz w:val="24"/>
          <w:szCs w:val="24"/>
        </w:rPr>
      </w:pPr>
      <w:r w:rsidRPr="002951D2">
        <w:rPr>
          <w:rFonts w:ascii="Palatino Linotype" w:hAnsi="Palatino Linotype" w:cs="Arial"/>
          <w:i/>
          <w:color w:val="000000" w:themeColor="text1"/>
          <w:sz w:val="24"/>
          <w:szCs w:val="24"/>
        </w:rPr>
        <w:t>Amparo en revisión 597/95. Emilio Maurer Bretón. 15 de noviembre de 1995. Unanimidad de votos. Ponente: Clementina Ramírez Moguel Goyzueta. Secretario: Gonzalo Carrera Molina.</w:t>
      </w:r>
    </w:p>
    <w:p w:rsidR="000C37FE" w:rsidRPr="002951D2" w:rsidRDefault="000C37FE" w:rsidP="000C37FE">
      <w:pPr>
        <w:spacing w:line="360" w:lineRule="auto"/>
        <w:ind w:left="567" w:right="618"/>
        <w:contextualSpacing/>
        <w:jc w:val="both"/>
        <w:rPr>
          <w:rFonts w:ascii="Palatino Linotype" w:hAnsi="Palatino Linotype" w:cs="Arial"/>
          <w:i/>
          <w:color w:val="000000" w:themeColor="text1"/>
          <w:sz w:val="24"/>
          <w:szCs w:val="24"/>
        </w:rPr>
      </w:pPr>
      <w:r w:rsidRPr="002951D2">
        <w:rPr>
          <w:rFonts w:ascii="Palatino Linotype" w:hAnsi="Palatino Linotype" w:cs="Arial"/>
          <w:i/>
          <w:color w:val="000000" w:themeColor="text1"/>
          <w:sz w:val="24"/>
          <w:szCs w:val="24"/>
        </w:rPr>
        <w:t>Amparo directo 7/96. Pedro Vicente López Miro. 21 de febrero de 1996. Unanimidad de votos. Ponente: María Eugenia Estela Martínez Cardiel. Secretario: Enrique Baigts Muñoz.</w:t>
      </w:r>
      <w:r w:rsidRPr="002951D2">
        <w:rPr>
          <w:rFonts w:ascii="Palatino Linotype" w:hAnsi="Palatino Linotype" w:cs="Arial"/>
          <w:i/>
          <w:color w:val="000000" w:themeColor="text1"/>
          <w:sz w:val="24"/>
          <w:szCs w:val="24"/>
          <w:vertAlign w:val="superscript"/>
        </w:rPr>
        <w:footnoteReference w:id="11"/>
      </w:r>
    </w:p>
    <w:p w:rsidR="000C37FE" w:rsidRPr="002951D2" w:rsidRDefault="000C37FE" w:rsidP="000C37FE">
      <w:pPr>
        <w:spacing w:line="360" w:lineRule="auto"/>
        <w:ind w:left="567"/>
        <w:contextualSpacing/>
        <w:jc w:val="both"/>
        <w:rPr>
          <w:rFonts w:ascii="Palatino Linotype" w:hAnsi="Palatino Linotype" w:cs="Arial"/>
          <w:color w:val="000000" w:themeColor="text1"/>
          <w:sz w:val="24"/>
          <w:szCs w:val="24"/>
          <w:lang w:val="es-ES"/>
        </w:rPr>
      </w:pPr>
    </w:p>
    <w:p w:rsidR="000C37FE" w:rsidRPr="002951D2" w:rsidRDefault="000C37FE" w:rsidP="002951D2">
      <w:pPr>
        <w:numPr>
          <w:ilvl w:val="0"/>
          <w:numId w:val="2"/>
        </w:numPr>
        <w:shd w:val="clear" w:color="auto" w:fill="FFFFFF"/>
        <w:spacing w:after="0" w:line="360" w:lineRule="auto"/>
        <w:ind w:left="0" w:firstLine="0"/>
        <w:contextualSpacing/>
        <w:jc w:val="both"/>
        <w:rPr>
          <w:rFonts w:ascii="Palatino Linotype" w:eastAsia="Times New Roman" w:hAnsi="Palatino Linotype" w:cs="Arial"/>
          <w:color w:val="000000" w:themeColor="text1"/>
          <w:sz w:val="24"/>
          <w:szCs w:val="24"/>
          <w:lang w:eastAsia="es-MX"/>
        </w:rPr>
      </w:pPr>
      <w:r w:rsidRPr="002951D2">
        <w:rPr>
          <w:rFonts w:ascii="Palatino Linotype" w:eastAsia="Times New Roman" w:hAnsi="Palatino Linotype" w:cs="Arial"/>
          <w:color w:val="000000" w:themeColor="text1"/>
          <w:sz w:val="24"/>
          <w:szCs w:val="24"/>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0C37FE" w:rsidRPr="002951D2" w:rsidRDefault="000C37FE" w:rsidP="000C37FE">
      <w:pPr>
        <w:shd w:val="clear" w:color="auto" w:fill="FFFFFF"/>
        <w:spacing w:line="360" w:lineRule="auto"/>
        <w:contextualSpacing/>
        <w:jc w:val="both"/>
        <w:rPr>
          <w:rFonts w:ascii="Palatino Linotype" w:eastAsia="Times New Roman" w:hAnsi="Palatino Linotype" w:cs="Arial"/>
          <w:color w:val="000000" w:themeColor="text1"/>
          <w:sz w:val="24"/>
          <w:szCs w:val="24"/>
          <w:lang w:eastAsia="es-MX"/>
        </w:rPr>
      </w:pPr>
    </w:p>
    <w:p w:rsidR="000C37FE" w:rsidRPr="002951D2" w:rsidRDefault="000C37FE" w:rsidP="002951D2">
      <w:pPr>
        <w:numPr>
          <w:ilvl w:val="0"/>
          <w:numId w:val="2"/>
        </w:numPr>
        <w:shd w:val="clear" w:color="auto" w:fill="FFFFFF"/>
        <w:spacing w:after="0" w:line="360" w:lineRule="auto"/>
        <w:ind w:left="0" w:firstLine="0"/>
        <w:contextualSpacing/>
        <w:jc w:val="both"/>
        <w:rPr>
          <w:rFonts w:ascii="Palatino Linotype" w:eastAsia="Times New Roman" w:hAnsi="Palatino Linotype" w:cs="Arial"/>
          <w:color w:val="000000" w:themeColor="text1"/>
          <w:sz w:val="24"/>
          <w:szCs w:val="24"/>
          <w:lang w:eastAsia="es-MX"/>
        </w:rPr>
      </w:pPr>
      <w:r w:rsidRPr="002951D2">
        <w:rPr>
          <w:rFonts w:ascii="Palatino Linotype" w:eastAsia="Times New Roman" w:hAnsi="Palatino Linotype" w:cs="Arial"/>
          <w:color w:val="000000" w:themeColor="text1"/>
          <w:sz w:val="24"/>
          <w:szCs w:val="24"/>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0C37FE" w:rsidRPr="002951D2" w:rsidRDefault="000C37FE" w:rsidP="000C37FE">
      <w:pPr>
        <w:shd w:val="clear" w:color="auto" w:fill="FFFFFF"/>
        <w:spacing w:line="360" w:lineRule="auto"/>
        <w:contextualSpacing/>
        <w:jc w:val="both"/>
        <w:rPr>
          <w:rFonts w:ascii="Palatino Linotype" w:eastAsia="Times New Roman" w:hAnsi="Palatino Linotype" w:cs="Arial"/>
          <w:color w:val="000000" w:themeColor="text1"/>
          <w:sz w:val="24"/>
          <w:szCs w:val="24"/>
          <w:lang w:eastAsia="es-MX"/>
        </w:rPr>
      </w:pPr>
    </w:p>
    <w:p w:rsidR="000C37FE" w:rsidRPr="002951D2" w:rsidRDefault="000C37FE" w:rsidP="002951D2">
      <w:pPr>
        <w:numPr>
          <w:ilvl w:val="0"/>
          <w:numId w:val="2"/>
        </w:numPr>
        <w:shd w:val="clear" w:color="auto" w:fill="FFFFFF"/>
        <w:spacing w:after="0" w:line="360" w:lineRule="auto"/>
        <w:ind w:left="0" w:firstLine="0"/>
        <w:contextualSpacing/>
        <w:jc w:val="both"/>
        <w:rPr>
          <w:rFonts w:ascii="Palatino Linotype" w:eastAsia="Times New Roman" w:hAnsi="Palatino Linotype" w:cs="Arial"/>
          <w:color w:val="000000" w:themeColor="text1"/>
          <w:sz w:val="24"/>
          <w:szCs w:val="24"/>
          <w:lang w:eastAsia="es-MX"/>
        </w:rPr>
      </w:pPr>
      <w:r w:rsidRPr="002951D2">
        <w:rPr>
          <w:rFonts w:ascii="Palatino Linotype" w:eastAsia="Times New Roman" w:hAnsi="Palatino Linotype" w:cs="Arial"/>
          <w:color w:val="000000" w:themeColor="text1"/>
          <w:sz w:val="24"/>
          <w:szCs w:val="24"/>
          <w:lang w:eastAsia="es-MX"/>
        </w:rPr>
        <w:t>En ese mismo sentido, el lineamiento trigésimo tercero fracción V de los Lineamientos Generales, precisa que para motivar la clasificación se deben acreditar las circunstancias de tiempo, modo y lugar.</w:t>
      </w:r>
    </w:p>
    <w:p w:rsidR="000C37FE" w:rsidRPr="002951D2" w:rsidRDefault="000C37FE" w:rsidP="000C37FE">
      <w:pPr>
        <w:shd w:val="clear" w:color="auto" w:fill="FFFFFF"/>
        <w:spacing w:after="200" w:line="360" w:lineRule="auto"/>
        <w:contextualSpacing/>
        <w:jc w:val="both"/>
        <w:rPr>
          <w:rFonts w:ascii="Palatino Linotype" w:eastAsia="Times New Roman" w:hAnsi="Palatino Linotype" w:cs="Arial"/>
          <w:color w:val="000000" w:themeColor="text1"/>
          <w:sz w:val="24"/>
          <w:szCs w:val="24"/>
          <w:lang w:eastAsia="es-MX"/>
        </w:rPr>
      </w:pPr>
    </w:p>
    <w:p w:rsidR="000C37FE" w:rsidRPr="002951D2" w:rsidRDefault="000C37FE" w:rsidP="002951D2">
      <w:pPr>
        <w:numPr>
          <w:ilvl w:val="0"/>
          <w:numId w:val="2"/>
        </w:numPr>
        <w:shd w:val="clear" w:color="auto" w:fill="FFFFFF"/>
        <w:spacing w:after="200" w:line="360" w:lineRule="auto"/>
        <w:ind w:left="0" w:firstLine="0"/>
        <w:contextualSpacing/>
        <w:jc w:val="both"/>
        <w:rPr>
          <w:rFonts w:ascii="Palatino Linotype" w:eastAsia="Times New Roman" w:hAnsi="Palatino Linotype" w:cs="Arial"/>
          <w:color w:val="000000" w:themeColor="text1"/>
          <w:sz w:val="24"/>
          <w:szCs w:val="24"/>
          <w:lang w:eastAsia="es-MX"/>
        </w:rPr>
      </w:pPr>
      <w:r w:rsidRPr="002951D2">
        <w:rPr>
          <w:rFonts w:ascii="Palatino Linotype" w:eastAsia="Times New Roman" w:hAnsi="Palatino Linotype" w:cs="Arial"/>
          <w:color w:val="000000" w:themeColor="text1"/>
          <w:sz w:val="24"/>
          <w:szCs w:val="24"/>
          <w:lang w:eastAsia="es-MX"/>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2951D2">
        <w:rPr>
          <w:rFonts w:ascii="Palatino Linotype" w:hAnsi="Palatino Linotype"/>
          <w:color w:val="000000" w:themeColor="text1"/>
          <w:sz w:val="24"/>
          <w:szCs w:val="24"/>
        </w:rPr>
        <w:t xml:space="preserve"> </w:t>
      </w:r>
      <w:r w:rsidRPr="002951D2">
        <w:rPr>
          <w:rFonts w:ascii="Palatino Linotype" w:eastAsia="Times New Roman" w:hAnsi="Palatino Linotype" w:cs="Arial"/>
          <w:color w:val="000000" w:themeColor="text1"/>
          <w:sz w:val="24"/>
          <w:szCs w:val="24"/>
          <w:lang w:eastAsia="es-MX"/>
        </w:rPr>
        <w:t>datos personales</w:t>
      </w:r>
      <w:r w:rsidRPr="002951D2">
        <w:rPr>
          <w:rFonts w:ascii="Palatino Linotype" w:eastAsia="Times New Roman" w:hAnsi="Palatino Linotype" w:cs="Arial"/>
          <w:color w:val="000000" w:themeColor="text1"/>
          <w:sz w:val="24"/>
          <w:szCs w:val="24"/>
          <w:vertAlign w:val="superscript"/>
          <w:lang w:eastAsia="es-MX"/>
        </w:rPr>
        <w:footnoteReference w:id="12"/>
      </w:r>
      <w:r w:rsidRPr="002951D2">
        <w:rPr>
          <w:rFonts w:ascii="Palatino Linotype" w:eastAsia="Times New Roman" w:hAnsi="Palatino Linotype" w:cs="Arial"/>
          <w:color w:val="000000" w:themeColor="text1"/>
          <w:sz w:val="24"/>
          <w:szCs w:val="24"/>
          <w:lang w:eastAsia="es-MX"/>
        </w:rPr>
        <w:t xml:space="preserve"> del servidor público que no tienen ninguna injerencia en el tema de la transparencia y la rendición de cuentas,  </w:t>
      </w:r>
      <w:r w:rsidRPr="002951D2">
        <w:rPr>
          <w:rFonts w:ascii="Palatino Linotype" w:eastAsia="Times New Roman" w:hAnsi="Palatino Linotype" w:cs="Arial"/>
          <w:b/>
          <w:color w:val="000000" w:themeColor="text1"/>
          <w:sz w:val="24"/>
          <w:szCs w:val="24"/>
          <w:lang w:eastAsia="es-MX"/>
        </w:rPr>
        <w:t>por ejemplo</w:t>
      </w:r>
      <w:r w:rsidRPr="002951D2">
        <w:rPr>
          <w:rFonts w:ascii="Palatino Linotype" w:eastAsia="Times New Roman" w:hAnsi="Palatino Linotype" w:cs="Arial"/>
          <w:color w:val="000000" w:themeColor="text1"/>
          <w:sz w:val="24"/>
          <w:szCs w:val="24"/>
          <w:lang w:eastAsia="es-MX"/>
        </w:rPr>
        <w:t xml:space="preserve">, </w:t>
      </w:r>
      <w:r w:rsidRPr="002951D2">
        <w:rPr>
          <w:rFonts w:ascii="Palatino Linotype" w:eastAsia="Calibri" w:hAnsi="Palatino Linotype" w:cs="Arial"/>
          <w:color w:val="000000" w:themeColor="text1"/>
          <w:sz w:val="24"/>
          <w:szCs w:val="24"/>
          <w:lang w:val="es-ES" w:eastAsia="es-MX"/>
        </w:rPr>
        <w:t>Clave Única de Registro de Población (CURP), Registro Fe</w:t>
      </w:r>
      <w:r w:rsidR="006B39D8" w:rsidRPr="002951D2">
        <w:rPr>
          <w:rFonts w:ascii="Palatino Linotype" w:eastAsia="Calibri" w:hAnsi="Palatino Linotype" w:cs="Arial"/>
          <w:color w:val="000000" w:themeColor="text1"/>
          <w:sz w:val="24"/>
          <w:szCs w:val="24"/>
          <w:lang w:val="es-ES" w:eastAsia="es-MX"/>
        </w:rPr>
        <w:t>deral de Contribuyentes (R.F.C. solo tratándose de aquellas personas físicas que no reciben recursos públicos)</w:t>
      </w:r>
      <w:r w:rsidRPr="002951D2">
        <w:rPr>
          <w:rFonts w:ascii="Palatino Linotype" w:eastAsia="Calibri" w:hAnsi="Palatino Linotype" w:cs="Arial"/>
          <w:color w:val="000000" w:themeColor="text1"/>
          <w:sz w:val="24"/>
          <w:szCs w:val="24"/>
          <w:lang w:val="es-ES" w:eastAsia="es-MX"/>
        </w:rPr>
        <w:t>, clave de ISSEMYM, número de cuenta</w:t>
      </w:r>
      <w:r w:rsidR="00F964EF" w:rsidRPr="002951D2">
        <w:rPr>
          <w:rFonts w:ascii="Palatino Linotype" w:eastAsia="Calibri" w:hAnsi="Palatino Linotype" w:cs="Arial"/>
          <w:color w:val="000000" w:themeColor="text1"/>
          <w:sz w:val="24"/>
          <w:szCs w:val="24"/>
          <w:lang w:val="es-ES" w:eastAsia="es-MX"/>
        </w:rPr>
        <w:t xml:space="preserve"> (solo de personas físicas),</w:t>
      </w:r>
      <w:r w:rsidRPr="002951D2">
        <w:rPr>
          <w:rFonts w:ascii="Palatino Linotype" w:eastAsia="Calibri" w:hAnsi="Palatino Linotype" w:cs="Arial"/>
          <w:color w:val="000000" w:themeColor="text1"/>
          <w:sz w:val="24"/>
          <w:szCs w:val="24"/>
          <w:lang w:val="es-ES" w:eastAsia="es-MX"/>
        </w:rPr>
        <w:t xml:space="preserve"> </w:t>
      </w:r>
      <w:r w:rsidR="00F964EF" w:rsidRPr="002951D2">
        <w:rPr>
          <w:rFonts w:ascii="Palatino Linotype" w:eastAsia="Calibri" w:hAnsi="Palatino Linotype" w:cs="Arial"/>
          <w:color w:val="000000" w:themeColor="text1"/>
          <w:sz w:val="24"/>
          <w:szCs w:val="24"/>
          <w:lang w:val="es-ES" w:eastAsia="es-MX"/>
        </w:rPr>
        <w:t xml:space="preserve">estos son datos </w:t>
      </w:r>
      <w:r w:rsidRPr="002951D2">
        <w:rPr>
          <w:rFonts w:ascii="Palatino Linotype" w:eastAsia="Calibri" w:hAnsi="Palatino Linotype" w:cs="Arial"/>
          <w:color w:val="000000" w:themeColor="text1"/>
          <w:sz w:val="24"/>
          <w:szCs w:val="24"/>
          <w:lang w:val="es-ES" w:eastAsia="es-MX"/>
        </w:rPr>
        <w:t xml:space="preserve">susceptibles de clasificarse como confidenciales mediante una versión pública que deje a la vista los datos que ofrezcan la información requerida.  </w:t>
      </w:r>
    </w:p>
    <w:p w:rsidR="000C37FE" w:rsidRPr="002951D2" w:rsidRDefault="000C37FE" w:rsidP="000C37FE">
      <w:pPr>
        <w:shd w:val="clear" w:color="auto" w:fill="FFFFFF"/>
        <w:spacing w:after="200" w:line="360" w:lineRule="auto"/>
        <w:contextualSpacing/>
        <w:jc w:val="both"/>
        <w:rPr>
          <w:rFonts w:ascii="Palatino Linotype" w:eastAsia="Calibri" w:hAnsi="Palatino Linotype" w:cs="Arial"/>
          <w:color w:val="000000" w:themeColor="text1"/>
          <w:sz w:val="24"/>
          <w:szCs w:val="24"/>
          <w:lang w:val="es-ES" w:eastAsia="es-MX"/>
        </w:rPr>
      </w:pPr>
    </w:p>
    <w:p w:rsidR="000C37FE" w:rsidRPr="002951D2" w:rsidRDefault="000C37FE" w:rsidP="002951D2">
      <w:pPr>
        <w:numPr>
          <w:ilvl w:val="0"/>
          <w:numId w:val="2"/>
        </w:numPr>
        <w:shd w:val="clear" w:color="auto" w:fill="FFFFFF"/>
        <w:spacing w:after="200" w:line="360" w:lineRule="auto"/>
        <w:ind w:left="0" w:firstLine="0"/>
        <w:contextualSpacing/>
        <w:jc w:val="both"/>
        <w:rPr>
          <w:rFonts w:ascii="Palatino Linotype" w:eastAsia="Calibri" w:hAnsi="Palatino Linotype" w:cs="Arial"/>
          <w:color w:val="000000" w:themeColor="text1"/>
          <w:sz w:val="24"/>
          <w:szCs w:val="24"/>
          <w:lang w:val="es-ES" w:eastAsia="es-MX"/>
        </w:rPr>
      </w:pPr>
      <w:r w:rsidRPr="002951D2">
        <w:rPr>
          <w:rFonts w:ascii="Palatino Linotype" w:eastAsia="Calibri" w:hAnsi="Palatino Linotype" w:cs="Arial"/>
          <w:color w:val="000000" w:themeColor="text1"/>
          <w:sz w:val="24"/>
          <w:szCs w:val="24"/>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0C37FE" w:rsidRPr="002951D2" w:rsidRDefault="000C37FE" w:rsidP="000C37FE">
      <w:pPr>
        <w:spacing w:line="360" w:lineRule="auto"/>
        <w:contextualSpacing/>
        <w:jc w:val="both"/>
        <w:rPr>
          <w:rFonts w:ascii="Palatino Linotype" w:hAnsi="Palatino Linotype" w:cs="Arial"/>
          <w:color w:val="000000" w:themeColor="text1"/>
          <w:sz w:val="24"/>
          <w:szCs w:val="24"/>
        </w:rPr>
      </w:pPr>
    </w:p>
    <w:p w:rsidR="000C37FE" w:rsidRPr="002951D2" w:rsidRDefault="000C37FE" w:rsidP="00F964EF">
      <w:pPr>
        <w:rPr>
          <w:rFonts w:ascii="Palatino Linotype" w:eastAsiaTheme="majorEastAsia" w:hAnsi="Palatino Linotype" w:cstheme="majorBidi"/>
          <w:b/>
          <w:color w:val="000000" w:themeColor="text1"/>
          <w:sz w:val="24"/>
          <w:szCs w:val="24"/>
        </w:rPr>
      </w:pPr>
      <w:bookmarkStart w:id="116" w:name="_Toc485631706"/>
      <w:bookmarkStart w:id="117" w:name="_Toc500756716"/>
      <w:bookmarkStart w:id="118" w:name="_Toc536691784"/>
      <w:bookmarkStart w:id="119" w:name="_Toc2267547"/>
      <w:bookmarkStart w:id="120" w:name="_Toc2856720"/>
      <w:r w:rsidRPr="002951D2">
        <w:rPr>
          <w:rFonts w:ascii="Palatino Linotype" w:eastAsiaTheme="majorEastAsia" w:hAnsi="Palatino Linotype" w:cstheme="majorBidi"/>
          <w:b/>
          <w:color w:val="000000" w:themeColor="text1"/>
          <w:sz w:val="24"/>
          <w:szCs w:val="24"/>
        </w:rPr>
        <w:t>III. Condiciones especiales de la clasificación de la información como reservada</w:t>
      </w:r>
      <w:bookmarkEnd w:id="116"/>
      <w:bookmarkEnd w:id="117"/>
      <w:bookmarkEnd w:id="118"/>
      <w:bookmarkEnd w:id="119"/>
      <w:bookmarkEnd w:id="120"/>
      <w:r w:rsidRPr="002951D2">
        <w:rPr>
          <w:rFonts w:ascii="Palatino Linotype" w:eastAsiaTheme="majorEastAsia" w:hAnsi="Palatino Linotype" w:cstheme="majorBidi"/>
          <w:b/>
          <w:color w:val="000000" w:themeColor="text1"/>
          <w:sz w:val="24"/>
          <w:szCs w:val="24"/>
        </w:rPr>
        <w:t xml:space="preserve"> </w:t>
      </w:r>
    </w:p>
    <w:p w:rsidR="000C37FE" w:rsidRPr="002951D2" w:rsidRDefault="000C37FE" w:rsidP="000C37FE">
      <w:pPr>
        <w:spacing w:line="360" w:lineRule="auto"/>
        <w:contextualSpacing/>
        <w:jc w:val="both"/>
        <w:rPr>
          <w:rFonts w:ascii="Palatino Linotype" w:hAnsi="Palatino Linotype" w:cs="Arial"/>
          <w:b/>
          <w:color w:val="000000" w:themeColor="text1"/>
          <w:sz w:val="24"/>
          <w:szCs w:val="24"/>
        </w:rPr>
      </w:pPr>
    </w:p>
    <w:p w:rsidR="000C37FE" w:rsidRPr="002951D2" w:rsidRDefault="000C37FE" w:rsidP="00F964EF">
      <w:pPr>
        <w:rPr>
          <w:rFonts w:ascii="Palatino Linotype" w:eastAsiaTheme="majorEastAsia" w:hAnsi="Palatino Linotype" w:cstheme="majorBidi"/>
          <w:b/>
          <w:color w:val="000000" w:themeColor="text1"/>
          <w:sz w:val="24"/>
          <w:szCs w:val="24"/>
        </w:rPr>
      </w:pPr>
      <w:bookmarkStart w:id="121" w:name="_Toc485631707"/>
      <w:bookmarkStart w:id="122" w:name="_Toc500756717"/>
      <w:bookmarkStart w:id="123" w:name="_Toc536691785"/>
      <w:bookmarkStart w:id="124" w:name="_Toc2267548"/>
      <w:bookmarkStart w:id="125" w:name="_Toc2856721"/>
      <w:r w:rsidRPr="002951D2">
        <w:rPr>
          <w:rFonts w:ascii="Palatino Linotype" w:eastAsiaTheme="majorEastAsia" w:hAnsi="Palatino Linotype" w:cstheme="majorBidi"/>
          <w:b/>
          <w:color w:val="000000" w:themeColor="text1"/>
          <w:sz w:val="24"/>
          <w:szCs w:val="24"/>
        </w:rPr>
        <w:t>La fundamentación específica.</w:t>
      </w:r>
      <w:bookmarkEnd w:id="121"/>
      <w:bookmarkEnd w:id="122"/>
      <w:bookmarkEnd w:id="123"/>
      <w:bookmarkEnd w:id="124"/>
      <w:bookmarkEnd w:id="125"/>
    </w:p>
    <w:p w:rsidR="000C37FE" w:rsidRPr="002951D2" w:rsidRDefault="000C37FE" w:rsidP="002951D2">
      <w:pPr>
        <w:numPr>
          <w:ilvl w:val="0"/>
          <w:numId w:val="2"/>
        </w:numPr>
        <w:spacing w:line="360" w:lineRule="auto"/>
        <w:ind w:left="0" w:firstLine="0"/>
        <w:contextualSpacing/>
        <w:jc w:val="both"/>
        <w:rPr>
          <w:rFonts w:ascii="Palatino Linotype" w:hAnsi="Palatino Linotype" w:cs="Arial"/>
          <w:color w:val="000000" w:themeColor="text1"/>
          <w:sz w:val="24"/>
          <w:szCs w:val="24"/>
        </w:rPr>
      </w:pPr>
      <w:r w:rsidRPr="002951D2">
        <w:rPr>
          <w:rFonts w:ascii="Palatino Linotype" w:hAnsi="Palatino Linotype" w:cs="Arial"/>
          <w:color w:val="000000" w:themeColor="text1"/>
          <w:sz w:val="24"/>
          <w:szCs w:val="24"/>
        </w:rPr>
        <w:t>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autoreferencial en el que primero se dice algo, después se dice lo mismo y al final exactamente lo mismo, cambiando sólo el orden de las palabras.</w:t>
      </w:r>
    </w:p>
    <w:p w:rsidR="000C37FE" w:rsidRPr="002951D2" w:rsidRDefault="000C37FE" w:rsidP="000C37FE">
      <w:pPr>
        <w:spacing w:line="360" w:lineRule="auto"/>
        <w:contextualSpacing/>
        <w:jc w:val="both"/>
        <w:rPr>
          <w:rFonts w:ascii="Palatino Linotype" w:hAnsi="Palatino Linotype" w:cs="Arial"/>
          <w:b/>
          <w:color w:val="000000" w:themeColor="text1"/>
          <w:sz w:val="24"/>
          <w:szCs w:val="24"/>
        </w:rPr>
      </w:pPr>
    </w:p>
    <w:p w:rsidR="000C37FE" w:rsidRPr="002951D2" w:rsidRDefault="000C37FE" w:rsidP="00F964EF">
      <w:pPr>
        <w:rPr>
          <w:rFonts w:ascii="Palatino Linotype" w:eastAsiaTheme="majorEastAsia" w:hAnsi="Palatino Linotype" w:cstheme="majorBidi"/>
          <w:b/>
          <w:color w:val="000000" w:themeColor="text1"/>
          <w:sz w:val="24"/>
          <w:szCs w:val="24"/>
        </w:rPr>
      </w:pPr>
      <w:bookmarkStart w:id="126" w:name="_Toc485631708"/>
      <w:bookmarkStart w:id="127" w:name="_Toc500756718"/>
      <w:bookmarkStart w:id="128" w:name="_Toc536691786"/>
      <w:bookmarkStart w:id="129" w:name="_Toc2267549"/>
      <w:bookmarkStart w:id="130" w:name="_Toc2856722"/>
      <w:r w:rsidRPr="002951D2">
        <w:rPr>
          <w:rFonts w:ascii="Palatino Linotype" w:eastAsiaTheme="majorEastAsia" w:hAnsi="Palatino Linotype" w:cstheme="majorBidi"/>
          <w:b/>
          <w:color w:val="000000" w:themeColor="text1"/>
          <w:sz w:val="24"/>
          <w:szCs w:val="24"/>
        </w:rPr>
        <w:t>La prueba de daño.</w:t>
      </w:r>
      <w:bookmarkEnd w:id="126"/>
      <w:bookmarkEnd w:id="127"/>
      <w:bookmarkEnd w:id="128"/>
      <w:bookmarkEnd w:id="129"/>
      <w:bookmarkEnd w:id="130"/>
    </w:p>
    <w:p w:rsidR="000C37FE" w:rsidRPr="002951D2" w:rsidRDefault="000C37FE" w:rsidP="000C37FE">
      <w:pPr>
        <w:spacing w:line="360" w:lineRule="auto"/>
        <w:contextualSpacing/>
        <w:jc w:val="both"/>
        <w:rPr>
          <w:rFonts w:ascii="Palatino Linotype" w:hAnsi="Palatino Linotype"/>
          <w:color w:val="000000" w:themeColor="text1"/>
          <w:sz w:val="24"/>
          <w:szCs w:val="24"/>
        </w:rPr>
      </w:pPr>
    </w:p>
    <w:p w:rsidR="000C37FE" w:rsidRPr="002951D2" w:rsidRDefault="000C37FE" w:rsidP="002951D2">
      <w:pPr>
        <w:numPr>
          <w:ilvl w:val="0"/>
          <w:numId w:val="2"/>
        </w:numPr>
        <w:spacing w:line="360" w:lineRule="auto"/>
        <w:ind w:left="0" w:firstLine="0"/>
        <w:contextualSpacing/>
        <w:jc w:val="both"/>
        <w:rPr>
          <w:rFonts w:ascii="Palatino Linotype" w:hAnsi="Palatino Linotype"/>
          <w:color w:val="000000" w:themeColor="text1"/>
          <w:sz w:val="24"/>
          <w:szCs w:val="24"/>
        </w:rPr>
      </w:pPr>
      <w:r w:rsidRPr="002951D2">
        <w:rPr>
          <w:rFonts w:ascii="Palatino Linotype" w:hAnsi="Palatino Linotype"/>
          <w:color w:val="000000" w:themeColor="text1"/>
          <w:sz w:val="24"/>
          <w:szCs w:val="24"/>
        </w:rPr>
        <w:t>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rsidR="000C37FE" w:rsidRPr="002951D2" w:rsidRDefault="000C37FE" w:rsidP="000C37FE">
      <w:pPr>
        <w:spacing w:line="360" w:lineRule="auto"/>
        <w:contextualSpacing/>
        <w:jc w:val="both"/>
        <w:rPr>
          <w:rFonts w:ascii="Palatino Linotype" w:hAnsi="Palatino Linotype"/>
          <w:color w:val="000000" w:themeColor="text1"/>
          <w:sz w:val="24"/>
          <w:szCs w:val="24"/>
        </w:rPr>
      </w:pPr>
    </w:p>
    <w:p w:rsidR="000C37FE" w:rsidRPr="002951D2" w:rsidRDefault="000C37FE" w:rsidP="002951D2">
      <w:pPr>
        <w:numPr>
          <w:ilvl w:val="0"/>
          <w:numId w:val="2"/>
        </w:numPr>
        <w:spacing w:line="360" w:lineRule="auto"/>
        <w:ind w:left="0" w:firstLine="0"/>
        <w:contextualSpacing/>
        <w:jc w:val="both"/>
        <w:rPr>
          <w:rFonts w:ascii="Palatino Linotype" w:hAnsi="Palatino Linotype"/>
          <w:color w:val="000000" w:themeColor="text1"/>
          <w:sz w:val="24"/>
          <w:szCs w:val="24"/>
        </w:rPr>
      </w:pPr>
      <w:r w:rsidRPr="002951D2">
        <w:rPr>
          <w:rFonts w:ascii="Palatino Linotype" w:hAnsi="Palatino Linotype"/>
          <w:color w:val="000000" w:themeColor="text1"/>
          <w:sz w:val="24"/>
          <w:szCs w:val="24"/>
        </w:rPr>
        <w:t>Para aplicar la prueba de daño, se deberán de precisar la razones objetivas por las que la apertura genera una afectación, acreditando que:</w:t>
      </w:r>
    </w:p>
    <w:p w:rsidR="000C37FE" w:rsidRPr="002951D2" w:rsidRDefault="000C37FE" w:rsidP="000C37FE">
      <w:pPr>
        <w:spacing w:line="360" w:lineRule="auto"/>
        <w:contextualSpacing/>
        <w:jc w:val="both"/>
        <w:rPr>
          <w:rFonts w:ascii="Palatino Linotype" w:hAnsi="Palatino Linotype"/>
          <w:color w:val="000000" w:themeColor="text1"/>
          <w:sz w:val="24"/>
          <w:szCs w:val="24"/>
        </w:rPr>
      </w:pPr>
    </w:p>
    <w:p w:rsidR="000C37FE" w:rsidRPr="002951D2" w:rsidRDefault="000C37FE" w:rsidP="000C37FE">
      <w:pPr>
        <w:widowControl w:val="0"/>
        <w:autoSpaceDE w:val="0"/>
        <w:autoSpaceDN w:val="0"/>
        <w:adjustRightInd w:val="0"/>
        <w:spacing w:after="240" w:line="360" w:lineRule="auto"/>
        <w:ind w:left="567" w:right="616"/>
        <w:jc w:val="both"/>
        <w:rPr>
          <w:rFonts w:ascii="Palatino Linotype" w:hAnsi="Palatino Linotype" w:cs="Times"/>
          <w:i/>
          <w:color w:val="000000" w:themeColor="text1"/>
          <w:sz w:val="24"/>
          <w:szCs w:val="24"/>
        </w:rPr>
      </w:pPr>
      <w:r w:rsidRPr="002951D2">
        <w:rPr>
          <w:rFonts w:ascii="Palatino Linotype" w:hAnsi="Palatino Linotype" w:cs="Bookman Old Style"/>
          <w:bCs/>
          <w:i/>
          <w:color w:val="000000" w:themeColor="text1"/>
          <w:sz w:val="24"/>
          <w:szCs w:val="24"/>
        </w:rPr>
        <w:t xml:space="preserve">I. </w:t>
      </w:r>
      <w:r w:rsidRPr="002951D2">
        <w:rPr>
          <w:rFonts w:ascii="Palatino Linotype" w:hAnsi="Palatino Linotype" w:cs="Bookman Old Style"/>
          <w:i/>
          <w:color w:val="000000" w:themeColor="text1"/>
          <w:sz w:val="24"/>
          <w:szCs w:val="24"/>
        </w:rPr>
        <w:t xml:space="preserve">La divulgación de la información representa un riesgo real, demostrable e identificable del perjuicio significativo al interés público o a la seguridad pública; </w:t>
      </w:r>
    </w:p>
    <w:p w:rsidR="000C37FE" w:rsidRPr="002951D2" w:rsidRDefault="000C37FE" w:rsidP="000C37FE">
      <w:pPr>
        <w:widowControl w:val="0"/>
        <w:autoSpaceDE w:val="0"/>
        <w:autoSpaceDN w:val="0"/>
        <w:adjustRightInd w:val="0"/>
        <w:spacing w:after="240" w:line="360" w:lineRule="auto"/>
        <w:ind w:left="567" w:right="616"/>
        <w:jc w:val="both"/>
        <w:rPr>
          <w:rFonts w:ascii="Palatino Linotype" w:hAnsi="Palatino Linotype" w:cs="Times"/>
          <w:i/>
          <w:color w:val="000000" w:themeColor="text1"/>
          <w:sz w:val="24"/>
          <w:szCs w:val="24"/>
        </w:rPr>
      </w:pPr>
      <w:r w:rsidRPr="002951D2">
        <w:rPr>
          <w:rFonts w:ascii="Palatino Linotype" w:hAnsi="Palatino Linotype" w:cs="Bookman Old Style"/>
          <w:bCs/>
          <w:i/>
          <w:color w:val="000000" w:themeColor="text1"/>
          <w:sz w:val="24"/>
          <w:szCs w:val="24"/>
        </w:rPr>
        <w:t xml:space="preserve">II. </w:t>
      </w:r>
      <w:r w:rsidRPr="002951D2">
        <w:rPr>
          <w:rFonts w:ascii="Palatino Linotype" w:hAnsi="Palatino Linotype" w:cs="Bookman Old Style"/>
          <w:i/>
          <w:color w:val="000000" w:themeColor="text1"/>
          <w:sz w:val="24"/>
          <w:szCs w:val="24"/>
        </w:rPr>
        <w:t xml:space="preserve">El riesgo de perjuicio que supondría la divulgación supera el interés público general de que se difunda; y </w:t>
      </w:r>
    </w:p>
    <w:p w:rsidR="000C37FE" w:rsidRPr="002951D2" w:rsidRDefault="000C37FE" w:rsidP="000C37FE">
      <w:pPr>
        <w:widowControl w:val="0"/>
        <w:autoSpaceDE w:val="0"/>
        <w:autoSpaceDN w:val="0"/>
        <w:adjustRightInd w:val="0"/>
        <w:spacing w:after="240" w:line="360" w:lineRule="auto"/>
        <w:ind w:left="567" w:right="616"/>
        <w:jc w:val="both"/>
        <w:rPr>
          <w:rFonts w:ascii="Palatino Linotype" w:hAnsi="Palatino Linotype" w:cs="Times"/>
          <w:i/>
          <w:color w:val="000000" w:themeColor="text1"/>
          <w:sz w:val="24"/>
          <w:szCs w:val="24"/>
        </w:rPr>
      </w:pPr>
      <w:r w:rsidRPr="002951D2">
        <w:rPr>
          <w:rFonts w:ascii="Palatino Linotype" w:hAnsi="Palatino Linotype" w:cs="Bookman Old Style"/>
          <w:bCs/>
          <w:i/>
          <w:color w:val="000000" w:themeColor="text1"/>
          <w:sz w:val="24"/>
          <w:szCs w:val="24"/>
        </w:rPr>
        <w:t xml:space="preserve">III. </w:t>
      </w:r>
      <w:r w:rsidRPr="002951D2">
        <w:rPr>
          <w:rFonts w:ascii="Palatino Linotype" w:hAnsi="Palatino Linotype" w:cs="Bookman Old Style"/>
          <w:i/>
          <w:color w:val="000000" w:themeColor="text1"/>
          <w:sz w:val="24"/>
          <w:szCs w:val="24"/>
        </w:rPr>
        <w:t xml:space="preserve">La limitación se adecua al principio de proporcionalidad y representa el medio menos restrictivo disponible para evitar el perjuicio. </w:t>
      </w:r>
    </w:p>
    <w:p w:rsidR="00645316" w:rsidRDefault="000C37FE" w:rsidP="00645316">
      <w:pPr>
        <w:numPr>
          <w:ilvl w:val="0"/>
          <w:numId w:val="2"/>
        </w:numPr>
        <w:shd w:val="clear" w:color="auto" w:fill="FFFFFF"/>
        <w:suppressAutoHyphens/>
        <w:spacing w:before="100" w:beforeAutospacing="1" w:after="100" w:afterAutospacing="1" w:line="360" w:lineRule="auto"/>
        <w:ind w:left="0" w:firstLine="0"/>
        <w:jc w:val="both"/>
        <w:textAlignment w:val="baseline"/>
        <w:rPr>
          <w:rFonts w:ascii="Palatino Linotype" w:hAnsi="Palatino Linotype" w:cs="Times New Roman"/>
          <w:color w:val="000000" w:themeColor="text1"/>
          <w:sz w:val="24"/>
          <w:szCs w:val="24"/>
          <w:lang w:eastAsia="es-ES_tradnl"/>
        </w:rPr>
      </w:pPr>
      <w:r w:rsidRPr="002951D2">
        <w:rPr>
          <w:rFonts w:ascii="Palatino Linotype" w:hAnsi="Palatino Linotype" w:cs="Times New Roman"/>
          <w:color w:val="000000" w:themeColor="text1"/>
          <w:sz w:val="24"/>
          <w:szCs w:val="24"/>
          <w:lang w:eastAsia="es-ES_tradnl"/>
        </w:rPr>
        <w:t>Sobre el primer supuesto consideremos que según el diccionario del español jurídico, por riesgo podemos entender “la contingencia o proximidad de un daño”,</w:t>
      </w:r>
      <w:r w:rsidRPr="002951D2">
        <w:rPr>
          <w:rFonts w:ascii="Palatino Linotype" w:hAnsi="Palatino Linotype" w:cs="Times New Roman"/>
          <w:color w:val="000000" w:themeColor="text1"/>
          <w:sz w:val="24"/>
          <w:szCs w:val="24"/>
          <w:vertAlign w:val="superscript"/>
          <w:lang w:eastAsia="es-ES_tradnl"/>
        </w:rPr>
        <w:footnoteReference w:id="13"/>
      </w:r>
      <w:r w:rsidRPr="002951D2">
        <w:rPr>
          <w:rFonts w:ascii="Palatino Linotype" w:hAnsi="Palatino Linotype" w:cs="Times New Roman"/>
          <w:color w:val="000000" w:themeColor="text1"/>
          <w:sz w:val="24"/>
          <w:szCs w:val="24"/>
          <w:lang w:eastAsia="es-ES_tradnl"/>
        </w:rPr>
        <w:t xml:space="preserve"> mientras que el daño es considerado como un “perjuicio o lesión”</w:t>
      </w:r>
      <w:r w:rsidRPr="002951D2">
        <w:rPr>
          <w:rFonts w:ascii="Palatino Linotype" w:hAnsi="Palatino Linotype" w:cs="Times New Roman"/>
          <w:color w:val="000000" w:themeColor="text1"/>
          <w:sz w:val="24"/>
          <w:szCs w:val="24"/>
          <w:vertAlign w:val="superscript"/>
          <w:lang w:eastAsia="es-ES_tradnl"/>
        </w:rPr>
        <w:footnoteReference w:id="14"/>
      </w:r>
      <w:r w:rsidRPr="002951D2">
        <w:rPr>
          <w:rFonts w:ascii="Palatino Linotype" w:hAnsi="Palatino Linotype" w:cs="Times New Roman"/>
          <w:color w:val="000000" w:themeColor="text1"/>
          <w:sz w:val="24"/>
          <w:szCs w:val="24"/>
          <w:lang w:eastAsia="es-ES_tradnl"/>
        </w:rPr>
        <w:t>, mientras que según el Diccionario de la Lengua Española, lo real es</w:t>
      </w:r>
      <w:r w:rsidRPr="002951D2">
        <w:rPr>
          <w:rFonts w:ascii="Palatino Linotype" w:eastAsia="Arial Unicode MS" w:hAnsi="Palatino Linotype" w:cs="Arial Unicode MS"/>
          <w:color w:val="000000" w:themeColor="text1"/>
          <w:spacing w:val="4"/>
          <w:sz w:val="24"/>
          <w:szCs w:val="24"/>
          <w:shd w:val="clear" w:color="auto" w:fill="FFFFFF"/>
          <w:lang w:eastAsia="es-ES_tradnl"/>
        </w:rPr>
        <w:t xml:space="preserve"> lo “</w:t>
      </w:r>
      <w:r w:rsidRPr="002951D2">
        <w:rPr>
          <w:rFonts w:ascii="Palatino Linotype" w:eastAsia="Times New Roman" w:hAnsi="Palatino Linotype" w:cs="Times New Roman"/>
          <w:color w:val="000000" w:themeColor="text1"/>
          <w:sz w:val="24"/>
          <w:szCs w:val="24"/>
          <w:lang w:eastAsia="es-ES_tradnl"/>
        </w:rPr>
        <w:t>(que</w:t>
      </w:r>
      <w:r w:rsidRPr="002951D2">
        <w:rPr>
          <w:rFonts w:ascii="Palatino Linotype" w:eastAsia="Arial Unicode MS" w:hAnsi="Palatino Linotype" w:cs="Arial Unicode MS"/>
          <w:color w:val="000000" w:themeColor="text1"/>
          <w:spacing w:val="4"/>
          <w:sz w:val="24"/>
          <w:szCs w:val="24"/>
          <w:shd w:val="clear" w:color="auto" w:fill="FFFFFF"/>
          <w:lang w:eastAsia="es-ES_tradnl"/>
        </w:rPr>
        <w:t xml:space="preserve"> </w:t>
      </w:r>
      <w:r w:rsidRPr="002951D2">
        <w:rPr>
          <w:rFonts w:ascii="Palatino Linotype" w:eastAsia="Times New Roman" w:hAnsi="Palatino Linotype" w:cs="Times New Roman"/>
          <w:color w:val="000000" w:themeColor="text1"/>
          <w:sz w:val="24"/>
          <w:szCs w:val="24"/>
          <w:lang w:eastAsia="es-ES_tradnl"/>
        </w:rPr>
        <w:t>tiene</w:t>
      </w:r>
      <w:r w:rsidRPr="002951D2">
        <w:rPr>
          <w:rFonts w:ascii="Palatino Linotype" w:eastAsia="Arial Unicode MS" w:hAnsi="Palatino Linotype" w:cs="Arial Unicode MS"/>
          <w:color w:val="000000" w:themeColor="text1"/>
          <w:spacing w:val="4"/>
          <w:sz w:val="24"/>
          <w:szCs w:val="24"/>
          <w:shd w:val="clear" w:color="auto" w:fill="FFFFFF"/>
          <w:lang w:eastAsia="es-ES_tradnl"/>
        </w:rPr>
        <w:t xml:space="preserve"> </w:t>
      </w:r>
      <w:r w:rsidRPr="002951D2">
        <w:rPr>
          <w:rFonts w:ascii="Palatino Linotype" w:eastAsia="Times New Roman" w:hAnsi="Palatino Linotype" w:cs="Times New Roman"/>
          <w:color w:val="000000" w:themeColor="text1"/>
          <w:sz w:val="24"/>
          <w:szCs w:val="24"/>
          <w:lang w:eastAsia="es-ES_tradnl"/>
        </w:rPr>
        <w:t>existencia</w:t>
      </w:r>
      <w:r w:rsidRPr="002951D2">
        <w:rPr>
          <w:rFonts w:ascii="Palatino Linotype" w:eastAsia="Arial Unicode MS" w:hAnsi="Palatino Linotype" w:cs="Arial Unicode MS"/>
          <w:color w:val="000000" w:themeColor="text1"/>
          <w:spacing w:val="4"/>
          <w:sz w:val="24"/>
          <w:szCs w:val="24"/>
          <w:shd w:val="clear" w:color="auto" w:fill="FFFFFF"/>
          <w:lang w:eastAsia="es-ES_tradnl"/>
        </w:rPr>
        <w:t xml:space="preserve"> </w:t>
      </w:r>
      <w:r w:rsidRPr="002951D2">
        <w:rPr>
          <w:rFonts w:ascii="Palatino Linotype" w:eastAsia="Times New Roman" w:hAnsi="Palatino Linotype" w:cs="Times New Roman"/>
          <w:color w:val="000000" w:themeColor="text1"/>
          <w:sz w:val="24"/>
          <w:szCs w:val="24"/>
          <w:lang w:eastAsia="es-ES_tradnl"/>
        </w:rPr>
        <w:t>objetiva”,</w:t>
      </w:r>
      <w:r w:rsidRPr="002951D2">
        <w:rPr>
          <w:rFonts w:ascii="Palatino Linotype" w:eastAsia="Times New Roman" w:hAnsi="Palatino Linotype" w:cs="Times New Roman"/>
          <w:color w:val="000000" w:themeColor="text1"/>
          <w:sz w:val="24"/>
          <w:szCs w:val="24"/>
          <w:vertAlign w:val="superscript"/>
          <w:lang w:eastAsia="es-ES_tradnl"/>
        </w:rPr>
        <w:footnoteReference w:id="15"/>
      </w:r>
      <w:r w:rsidRPr="002951D2">
        <w:rPr>
          <w:rFonts w:ascii="Palatino Linotype" w:eastAsia="Times New Roman" w:hAnsi="Palatino Linotype" w:cs="Times New Roman"/>
          <w:color w:val="000000" w:themeColor="text1"/>
          <w:sz w:val="24"/>
          <w:szCs w:val="24"/>
          <w:lang w:eastAsia="es-ES_tradnl"/>
        </w:rPr>
        <w:t xml:space="preserve"> </w:t>
      </w:r>
      <w:r w:rsidRPr="002951D2">
        <w:rPr>
          <w:rFonts w:ascii="Palatino Linotype" w:eastAsia="Arial Unicode MS" w:hAnsi="Palatino Linotype" w:cs="Arial Unicode MS"/>
          <w:color w:val="000000" w:themeColor="text1"/>
          <w:spacing w:val="4"/>
          <w:sz w:val="24"/>
          <w:szCs w:val="24"/>
          <w:shd w:val="clear" w:color="auto" w:fill="FFFFFF"/>
          <w:lang w:eastAsia="es-ES_tradnl"/>
        </w:rPr>
        <w:t>mientras que lo demostrables es, según la misma fuente, aquello que se puede demostrar,</w:t>
      </w:r>
      <w:r w:rsidRPr="002951D2">
        <w:rPr>
          <w:rFonts w:ascii="Palatino Linotype" w:eastAsia="Arial Unicode MS" w:hAnsi="Palatino Linotype" w:cs="Arial Unicode MS"/>
          <w:color w:val="000000" w:themeColor="text1"/>
          <w:spacing w:val="4"/>
          <w:sz w:val="24"/>
          <w:szCs w:val="24"/>
          <w:shd w:val="clear" w:color="auto" w:fill="FFFFFF"/>
          <w:vertAlign w:val="superscript"/>
          <w:lang w:eastAsia="es-ES_tradnl"/>
        </w:rPr>
        <w:footnoteReference w:id="16"/>
      </w:r>
      <w:r w:rsidRPr="002951D2">
        <w:rPr>
          <w:rFonts w:ascii="Palatino Linotype" w:eastAsia="Arial Unicode MS" w:hAnsi="Palatino Linotype" w:cs="Arial Unicode MS"/>
          <w:color w:val="000000" w:themeColor="text1"/>
          <w:spacing w:val="4"/>
          <w:sz w:val="24"/>
          <w:szCs w:val="24"/>
          <w:shd w:val="clear" w:color="auto" w:fill="FFFFFF"/>
          <w:lang w:eastAsia="es-ES_tradnl"/>
        </w:rPr>
        <w:t xml:space="preserve"> es decir, </w:t>
      </w:r>
      <w:r w:rsidRPr="002951D2">
        <w:rPr>
          <w:rFonts w:ascii="Palatino Linotype" w:hAnsi="Palatino Linotype"/>
          <w:color w:val="000000" w:themeColor="text1"/>
          <w:sz w:val="24"/>
          <w:szCs w:val="24"/>
        </w:rPr>
        <w:t xml:space="preserve">“(manifestar, declarar. Probar, sirviéndose de cualquier género de demostración, </w:t>
      </w:r>
      <w:hyperlink r:id="rId11" w:anchor="6nAyKjE" w:history="1">
        <w:r w:rsidRPr="002951D2">
          <w:rPr>
            <w:rFonts w:ascii="Palatino Linotype" w:hAnsi="Palatino Linotype"/>
            <w:color w:val="000000" w:themeColor="text1"/>
            <w:sz w:val="24"/>
            <w:szCs w:val="24"/>
          </w:rPr>
          <w:t>enseñar</w:t>
        </w:r>
      </w:hyperlink>
      <w:r w:rsidRPr="002951D2">
        <w:rPr>
          <w:rFonts w:ascii="Palatino Linotype" w:hAnsi="Palatino Linotype"/>
          <w:color w:val="000000" w:themeColor="text1"/>
          <w:sz w:val="24"/>
          <w:szCs w:val="24"/>
        </w:rPr>
        <w:t xml:space="preserve"> mostrar o exponer algo)”.</w:t>
      </w:r>
      <w:r w:rsidRPr="002951D2">
        <w:rPr>
          <w:rFonts w:ascii="Palatino Linotype" w:hAnsi="Palatino Linotype"/>
          <w:color w:val="000000" w:themeColor="text1"/>
          <w:sz w:val="24"/>
          <w:szCs w:val="24"/>
          <w:vertAlign w:val="superscript"/>
        </w:rPr>
        <w:footnoteReference w:id="17"/>
      </w:r>
      <w:r w:rsidRPr="002951D2">
        <w:rPr>
          <w:rFonts w:ascii="Palatino Linotype" w:hAnsi="Palatino Linotype"/>
          <w:color w:val="000000" w:themeColor="text1"/>
          <w:sz w:val="24"/>
          <w:szCs w:val="24"/>
        </w:rPr>
        <w:t xml:space="preserve"> Mientras que lo identificable es lo que puede ser identificado,</w:t>
      </w:r>
      <w:r w:rsidRPr="002951D2">
        <w:rPr>
          <w:rFonts w:ascii="Palatino Linotype" w:hAnsi="Palatino Linotype"/>
          <w:color w:val="000000" w:themeColor="text1"/>
          <w:sz w:val="24"/>
          <w:szCs w:val="24"/>
          <w:vertAlign w:val="superscript"/>
        </w:rPr>
        <w:footnoteReference w:id="18"/>
      </w:r>
      <w:r w:rsidRPr="002951D2">
        <w:rPr>
          <w:rFonts w:ascii="Palatino Linotype" w:hAnsi="Palatino Linotype"/>
          <w:color w:val="000000" w:themeColor="text1"/>
          <w:sz w:val="24"/>
          <w:szCs w:val="24"/>
        </w:rPr>
        <w:t xml:space="preserve"> esto es,</w:t>
      </w:r>
      <w:r w:rsidRPr="002951D2">
        <w:rPr>
          <w:rFonts w:ascii="Palatino Linotype" w:hAnsi="Palatino Linotype"/>
          <w:color w:val="000000" w:themeColor="text1"/>
          <w:sz w:val="24"/>
          <w:szCs w:val="24"/>
          <w:lang w:eastAsia="es-ES_tradnl"/>
        </w:rPr>
        <w:t xml:space="preserve"> “(dar los datos necesarios para ser reconocido”.</w:t>
      </w:r>
      <w:r w:rsidRPr="002951D2">
        <w:rPr>
          <w:rFonts w:ascii="Palatino Linotype" w:hAnsi="Palatino Linotype"/>
          <w:color w:val="000000" w:themeColor="text1"/>
          <w:sz w:val="24"/>
          <w:szCs w:val="24"/>
          <w:vertAlign w:val="superscript"/>
          <w:lang w:eastAsia="es-ES_tradnl"/>
        </w:rPr>
        <w:footnoteReference w:id="19"/>
      </w:r>
    </w:p>
    <w:p w:rsidR="00645316" w:rsidRPr="00645316" w:rsidRDefault="00645316" w:rsidP="00645316">
      <w:pPr>
        <w:shd w:val="clear" w:color="auto" w:fill="FFFFFF"/>
        <w:suppressAutoHyphens/>
        <w:spacing w:before="100" w:beforeAutospacing="1" w:after="100" w:afterAutospacing="1" w:line="360" w:lineRule="auto"/>
        <w:jc w:val="both"/>
        <w:textAlignment w:val="baseline"/>
        <w:rPr>
          <w:rFonts w:ascii="Palatino Linotype" w:hAnsi="Palatino Linotype" w:cs="Times New Roman"/>
          <w:color w:val="000000" w:themeColor="text1"/>
          <w:sz w:val="24"/>
          <w:szCs w:val="24"/>
          <w:lang w:eastAsia="es-ES_tradnl"/>
        </w:rPr>
      </w:pPr>
    </w:p>
    <w:p w:rsidR="000C37FE" w:rsidRPr="002951D2" w:rsidRDefault="000C37FE" w:rsidP="002951D2">
      <w:pPr>
        <w:numPr>
          <w:ilvl w:val="0"/>
          <w:numId w:val="2"/>
        </w:numPr>
        <w:spacing w:line="360" w:lineRule="auto"/>
        <w:ind w:left="0" w:firstLine="0"/>
        <w:contextualSpacing/>
        <w:jc w:val="both"/>
        <w:rPr>
          <w:rFonts w:ascii="Palatino Linotype" w:hAnsi="Palatino Linotype"/>
          <w:color w:val="000000" w:themeColor="text1"/>
          <w:sz w:val="24"/>
          <w:szCs w:val="24"/>
        </w:rPr>
      </w:pPr>
      <w:r w:rsidRPr="002951D2">
        <w:rPr>
          <w:rFonts w:ascii="Palatino Linotype" w:hAnsi="Palatino Linotype"/>
          <w:color w:val="000000" w:themeColor="text1"/>
          <w:sz w:val="24"/>
          <w:szCs w:val="24"/>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rsidR="000C37FE" w:rsidRPr="002951D2" w:rsidRDefault="000C37FE" w:rsidP="000C37FE">
      <w:pPr>
        <w:spacing w:line="360" w:lineRule="auto"/>
        <w:contextualSpacing/>
        <w:jc w:val="both"/>
        <w:rPr>
          <w:rFonts w:ascii="Palatino Linotype" w:hAnsi="Palatino Linotype"/>
          <w:color w:val="000000" w:themeColor="text1"/>
          <w:sz w:val="24"/>
          <w:szCs w:val="24"/>
        </w:rPr>
      </w:pPr>
    </w:p>
    <w:p w:rsidR="000C37FE" w:rsidRPr="002951D2" w:rsidRDefault="000C37FE" w:rsidP="002951D2">
      <w:pPr>
        <w:numPr>
          <w:ilvl w:val="0"/>
          <w:numId w:val="2"/>
        </w:numPr>
        <w:spacing w:line="360" w:lineRule="auto"/>
        <w:ind w:left="0" w:firstLine="0"/>
        <w:contextualSpacing/>
        <w:jc w:val="both"/>
        <w:rPr>
          <w:rFonts w:ascii="Palatino Linotype" w:hAnsi="Palatino Linotype"/>
          <w:color w:val="000000" w:themeColor="text1"/>
          <w:sz w:val="24"/>
          <w:szCs w:val="24"/>
        </w:rPr>
      </w:pPr>
      <w:r w:rsidRPr="002951D2">
        <w:rPr>
          <w:rFonts w:ascii="Palatino Linotype" w:hAnsi="Palatino Linotype"/>
          <w:color w:val="000000" w:themeColor="text1"/>
          <w:sz w:val="24"/>
          <w:szCs w:val="24"/>
        </w:rPr>
        <w:t xml:space="preserve">Identificado ese riesgo, se debe demostrar que el mismo supera el interés público general porque se difunda dicha información. </w:t>
      </w:r>
    </w:p>
    <w:p w:rsidR="000C37FE" w:rsidRPr="002951D2" w:rsidRDefault="000C37FE" w:rsidP="000C37FE">
      <w:pPr>
        <w:spacing w:line="360" w:lineRule="auto"/>
        <w:contextualSpacing/>
        <w:jc w:val="both"/>
        <w:rPr>
          <w:rFonts w:ascii="Palatino Linotype" w:hAnsi="Palatino Linotype"/>
          <w:color w:val="000000" w:themeColor="text1"/>
          <w:sz w:val="24"/>
          <w:szCs w:val="24"/>
        </w:rPr>
      </w:pPr>
    </w:p>
    <w:p w:rsidR="000C37FE" w:rsidRPr="002951D2" w:rsidRDefault="000C37FE" w:rsidP="002951D2">
      <w:pPr>
        <w:numPr>
          <w:ilvl w:val="0"/>
          <w:numId w:val="2"/>
        </w:numPr>
        <w:spacing w:line="360" w:lineRule="auto"/>
        <w:ind w:left="0" w:firstLine="0"/>
        <w:contextualSpacing/>
        <w:jc w:val="both"/>
        <w:rPr>
          <w:rFonts w:ascii="Palatino Linotype" w:hAnsi="Palatino Linotype"/>
          <w:color w:val="000000" w:themeColor="text1"/>
          <w:sz w:val="24"/>
          <w:szCs w:val="24"/>
        </w:rPr>
      </w:pPr>
      <w:r w:rsidRPr="002951D2">
        <w:rPr>
          <w:rFonts w:ascii="Palatino Linotype" w:hAnsi="Palatino Linotype"/>
          <w:color w:val="000000" w:themeColor="text1"/>
          <w:sz w:val="24"/>
          <w:szCs w:val="24"/>
        </w:rPr>
        <w:t>Y, por último,  que la limitación es acorde con el principio de proporcionalidad, para ello, se sugiere emplear los tres juicios propuestos por la Corte Constitucional Colombiana</w:t>
      </w:r>
      <w:r w:rsidRPr="002951D2">
        <w:rPr>
          <w:rFonts w:ascii="Palatino Linotype" w:hAnsi="Palatino Linotype"/>
          <w:color w:val="000000" w:themeColor="text1"/>
          <w:sz w:val="24"/>
          <w:szCs w:val="24"/>
          <w:vertAlign w:val="superscript"/>
        </w:rPr>
        <w:footnoteReference w:id="20"/>
      </w:r>
      <w:r w:rsidRPr="002951D2">
        <w:rPr>
          <w:rFonts w:ascii="Palatino Linotype" w:hAnsi="Palatino Linotype"/>
          <w:color w:val="000000" w:themeColor="text1"/>
          <w:sz w:val="24"/>
          <w:szCs w:val="24"/>
        </w:rPr>
        <w:t>, siguiendo el principio de ponderación propuesto por el Tribunal Constitucional Alemán,</w:t>
      </w:r>
      <w:r w:rsidRPr="002951D2">
        <w:rPr>
          <w:rFonts w:ascii="Palatino Linotype" w:hAnsi="Palatino Linotype"/>
          <w:color w:val="000000" w:themeColor="text1"/>
          <w:sz w:val="24"/>
          <w:szCs w:val="24"/>
          <w:vertAlign w:val="superscript"/>
        </w:rPr>
        <w:footnoteReference w:id="21"/>
      </w:r>
      <w:r w:rsidRPr="002951D2">
        <w:rPr>
          <w:rFonts w:ascii="Palatino Linotype" w:hAnsi="Palatino Linotype"/>
          <w:color w:val="000000" w:themeColor="text1"/>
          <w:sz w:val="24"/>
          <w:szCs w:val="24"/>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rsidR="000C37FE" w:rsidRPr="002951D2" w:rsidRDefault="000C37FE" w:rsidP="000C37FE">
      <w:pPr>
        <w:contextualSpacing/>
        <w:rPr>
          <w:rFonts w:ascii="Palatino Linotype" w:hAnsi="Palatino Linotype"/>
          <w:color w:val="000000" w:themeColor="text1"/>
          <w:sz w:val="24"/>
          <w:szCs w:val="24"/>
        </w:rPr>
      </w:pPr>
    </w:p>
    <w:p w:rsidR="000C37FE" w:rsidRPr="002951D2" w:rsidRDefault="000C37FE" w:rsidP="00F964EF">
      <w:pPr>
        <w:pStyle w:val="Prrafodelista"/>
        <w:keepNext/>
        <w:keepLines/>
        <w:numPr>
          <w:ilvl w:val="0"/>
          <w:numId w:val="12"/>
        </w:numPr>
        <w:pBdr>
          <w:top w:val="nil"/>
          <w:left w:val="nil"/>
          <w:bottom w:val="nil"/>
          <w:right w:val="nil"/>
          <w:between w:val="nil"/>
          <w:bar w:val="nil"/>
        </w:pBdr>
        <w:spacing w:before="240" w:after="0" w:line="240" w:lineRule="auto"/>
        <w:ind w:left="0" w:firstLine="0"/>
        <w:rPr>
          <w:rFonts w:ascii="Palatino Linotype" w:eastAsiaTheme="majorEastAsia" w:hAnsi="Palatino Linotype" w:cstheme="majorBidi"/>
          <w:b/>
          <w:color w:val="000000" w:themeColor="text1"/>
          <w:sz w:val="24"/>
          <w:szCs w:val="24"/>
        </w:rPr>
      </w:pPr>
      <w:bookmarkStart w:id="131" w:name="_Toc485631709"/>
      <w:bookmarkStart w:id="132" w:name="_Toc500756719"/>
      <w:bookmarkStart w:id="133" w:name="_Toc536691787"/>
      <w:bookmarkStart w:id="134" w:name="_Toc2267550"/>
      <w:bookmarkStart w:id="135" w:name="_Toc2856723"/>
      <w:r w:rsidRPr="002951D2">
        <w:rPr>
          <w:rFonts w:ascii="Palatino Linotype" w:eastAsiaTheme="majorEastAsia" w:hAnsi="Palatino Linotype" w:cstheme="majorBidi"/>
          <w:b/>
          <w:color w:val="000000" w:themeColor="text1"/>
          <w:sz w:val="24"/>
          <w:szCs w:val="24"/>
        </w:rPr>
        <w:t>La clasificación de la información reservada debe ser de manera temporal.</w:t>
      </w:r>
      <w:bookmarkEnd w:id="131"/>
      <w:bookmarkEnd w:id="132"/>
      <w:bookmarkEnd w:id="133"/>
      <w:bookmarkEnd w:id="134"/>
      <w:bookmarkEnd w:id="135"/>
    </w:p>
    <w:p w:rsidR="000C37FE" w:rsidRPr="002951D2" w:rsidRDefault="000C37FE" w:rsidP="000C37FE">
      <w:pPr>
        <w:spacing w:line="360" w:lineRule="auto"/>
        <w:jc w:val="both"/>
        <w:rPr>
          <w:rFonts w:ascii="Palatino Linotype" w:hAnsi="Palatino Linotype"/>
          <w:b/>
          <w:color w:val="000000" w:themeColor="text1"/>
          <w:sz w:val="24"/>
          <w:szCs w:val="24"/>
        </w:rPr>
      </w:pPr>
    </w:p>
    <w:p w:rsidR="000C37FE" w:rsidRPr="002951D2" w:rsidRDefault="000C37FE" w:rsidP="002951D2">
      <w:pPr>
        <w:numPr>
          <w:ilvl w:val="0"/>
          <w:numId w:val="2"/>
        </w:numPr>
        <w:spacing w:line="360" w:lineRule="auto"/>
        <w:ind w:left="0" w:firstLine="0"/>
        <w:contextualSpacing/>
        <w:jc w:val="both"/>
        <w:rPr>
          <w:rFonts w:ascii="Palatino Linotype" w:hAnsi="Palatino Linotype"/>
          <w:color w:val="000000" w:themeColor="text1"/>
          <w:sz w:val="24"/>
          <w:szCs w:val="24"/>
        </w:rPr>
      </w:pPr>
      <w:r w:rsidRPr="002951D2">
        <w:rPr>
          <w:rFonts w:ascii="Palatino Linotype" w:hAnsi="Palatino Linotype"/>
          <w:color w:val="000000" w:themeColor="text1"/>
          <w:sz w:val="24"/>
          <w:szCs w:val="24"/>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rsidR="000C37FE" w:rsidRPr="002951D2" w:rsidRDefault="000C37FE" w:rsidP="000C37FE">
      <w:pPr>
        <w:spacing w:line="360" w:lineRule="auto"/>
        <w:contextualSpacing/>
        <w:jc w:val="both"/>
        <w:rPr>
          <w:rFonts w:ascii="Palatino Linotype" w:hAnsi="Palatino Linotype"/>
          <w:color w:val="000000" w:themeColor="text1"/>
          <w:sz w:val="24"/>
          <w:szCs w:val="24"/>
        </w:rPr>
      </w:pPr>
    </w:p>
    <w:p w:rsidR="000C37FE" w:rsidRPr="002951D2" w:rsidRDefault="000C37FE" w:rsidP="002951D2">
      <w:pPr>
        <w:numPr>
          <w:ilvl w:val="0"/>
          <w:numId w:val="2"/>
        </w:numPr>
        <w:spacing w:line="360" w:lineRule="auto"/>
        <w:ind w:left="0" w:firstLine="0"/>
        <w:contextualSpacing/>
        <w:jc w:val="both"/>
        <w:rPr>
          <w:rFonts w:ascii="Palatino Linotype" w:hAnsi="Palatino Linotype"/>
          <w:color w:val="000000" w:themeColor="text1"/>
          <w:sz w:val="24"/>
          <w:szCs w:val="24"/>
        </w:rPr>
      </w:pPr>
      <w:r w:rsidRPr="002951D2">
        <w:rPr>
          <w:rFonts w:ascii="Palatino Linotype" w:hAnsi="Palatino Linotype"/>
          <w:color w:val="000000" w:themeColor="text1"/>
          <w:sz w:val="24"/>
          <w:szCs w:val="24"/>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rsidR="000C37FE" w:rsidRPr="002951D2" w:rsidRDefault="000C37FE" w:rsidP="000C37FE">
      <w:pPr>
        <w:contextualSpacing/>
        <w:rPr>
          <w:rFonts w:ascii="Palatino Linotype" w:hAnsi="Palatino Linotype"/>
          <w:color w:val="000000" w:themeColor="text1"/>
          <w:sz w:val="24"/>
          <w:szCs w:val="24"/>
        </w:rPr>
      </w:pPr>
    </w:p>
    <w:p w:rsidR="000C37FE" w:rsidRPr="002951D2" w:rsidRDefault="000C37FE" w:rsidP="002951D2">
      <w:pPr>
        <w:numPr>
          <w:ilvl w:val="0"/>
          <w:numId w:val="2"/>
        </w:numPr>
        <w:spacing w:line="360" w:lineRule="auto"/>
        <w:ind w:left="0" w:firstLine="0"/>
        <w:contextualSpacing/>
        <w:jc w:val="both"/>
        <w:rPr>
          <w:rFonts w:ascii="Palatino Linotype" w:hAnsi="Palatino Linotype"/>
          <w:color w:val="000000" w:themeColor="text1"/>
          <w:sz w:val="24"/>
          <w:szCs w:val="24"/>
        </w:rPr>
      </w:pPr>
      <w:r w:rsidRPr="002951D2">
        <w:rPr>
          <w:rFonts w:ascii="Palatino Linotype" w:hAnsi="Palatino Linotype"/>
          <w:color w:val="000000" w:themeColor="text1"/>
          <w:sz w:val="24"/>
          <w:szCs w:val="24"/>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rsidR="000C37FE" w:rsidRPr="002951D2" w:rsidRDefault="000C37FE" w:rsidP="000C37FE">
      <w:pPr>
        <w:contextualSpacing/>
        <w:rPr>
          <w:rFonts w:ascii="Palatino Linotype" w:hAnsi="Palatino Linotype"/>
          <w:b/>
          <w:color w:val="000000" w:themeColor="text1"/>
          <w:sz w:val="24"/>
          <w:szCs w:val="24"/>
        </w:rPr>
      </w:pPr>
    </w:p>
    <w:p w:rsidR="000C37FE" w:rsidRPr="002951D2" w:rsidRDefault="000C37FE" w:rsidP="002951D2">
      <w:pPr>
        <w:numPr>
          <w:ilvl w:val="0"/>
          <w:numId w:val="2"/>
        </w:numPr>
        <w:spacing w:line="360" w:lineRule="auto"/>
        <w:ind w:left="0" w:firstLine="0"/>
        <w:contextualSpacing/>
        <w:jc w:val="both"/>
        <w:rPr>
          <w:rFonts w:ascii="Palatino Linotype" w:hAnsi="Palatino Linotype"/>
          <w:color w:val="000000" w:themeColor="text1"/>
          <w:sz w:val="24"/>
          <w:szCs w:val="24"/>
        </w:rPr>
      </w:pPr>
      <w:r w:rsidRPr="002951D2">
        <w:rPr>
          <w:rFonts w:ascii="Palatino Linotype" w:hAnsi="Palatino Linotype"/>
          <w:color w:val="000000" w:themeColor="text1"/>
          <w:sz w:val="24"/>
          <w:szCs w:val="24"/>
        </w:rPr>
        <w:t>De</w:t>
      </w:r>
      <w:r w:rsidRPr="002951D2">
        <w:rPr>
          <w:rFonts w:ascii="Palatino Linotype" w:hAnsi="Palatino Linotype"/>
          <w:b/>
          <w:color w:val="000000" w:themeColor="text1"/>
          <w:sz w:val="24"/>
          <w:szCs w:val="24"/>
        </w:rPr>
        <w:t xml:space="preserve"> </w:t>
      </w:r>
      <w:r w:rsidRPr="002951D2">
        <w:rPr>
          <w:rFonts w:ascii="Palatino Linotype" w:hAnsi="Palatino Linotype"/>
          <w:color w:val="000000" w:themeColor="text1"/>
          <w:sz w:val="24"/>
          <w:szCs w:val="24"/>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rsidR="000C37FE" w:rsidRPr="002951D2" w:rsidRDefault="000C37FE" w:rsidP="000C37FE">
      <w:pPr>
        <w:contextualSpacing/>
        <w:rPr>
          <w:rFonts w:ascii="Palatino Linotype" w:hAnsi="Palatino Linotype"/>
          <w:color w:val="000000" w:themeColor="text1"/>
          <w:sz w:val="24"/>
          <w:szCs w:val="24"/>
        </w:rPr>
      </w:pPr>
    </w:p>
    <w:p w:rsidR="000C37FE" w:rsidRDefault="000C37FE" w:rsidP="002951D2">
      <w:pPr>
        <w:numPr>
          <w:ilvl w:val="0"/>
          <w:numId w:val="2"/>
        </w:numPr>
        <w:spacing w:line="360" w:lineRule="auto"/>
        <w:ind w:left="0" w:firstLine="0"/>
        <w:contextualSpacing/>
        <w:jc w:val="both"/>
        <w:rPr>
          <w:rFonts w:ascii="Palatino Linotype" w:hAnsi="Palatino Linotype"/>
          <w:color w:val="000000" w:themeColor="text1"/>
          <w:sz w:val="24"/>
          <w:szCs w:val="24"/>
        </w:rPr>
      </w:pPr>
      <w:r w:rsidRPr="002951D2">
        <w:rPr>
          <w:rFonts w:ascii="Palatino Linotype" w:hAnsi="Palatino Linotype"/>
          <w:color w:val="000000" w:themeColor="text1"/>
          <w:sz w:val="24"/>
          <w:szCs w:val="24"/>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rsidR="00645316" w:rsidRPr="002951D2" w:rsidRDefault="00645316" w:rsidP="00645316">
      <w:pPr>
        <w:spacing w:line="360" w:lineRule="auto"/>
        <w:contextualSpacing/>
        <w:jc w:val="both"/>
        <w:rPr>
          <w:rFonts w:ascii="Palatino Linotype" w:hAnsi="Palatino Linotype"/>
          <w:color w:val="000000" w:themeColor="text1"/>
          <w:sz w:val="24"/>
          <w:szCs w:val="24"/>
        </w:rPr>
      </w:pPr>
    </w:p>
    <w:p w:rsidR="000C37FE" w:rsidRDefault="000C37FE" w:rsidP="00F964EF">
      <w:pPr>
        <w:pStyle w:val="Prrafodelista"/>
        <w:keepNext/>
        <w:keepLines/>
        <w:numPr>
          <w:ilvl w:val="0"/>
          <w:numId w:val="18"/>
        </w:numPr>
        <w:pBdr>
          <w:top w:val="nil"/>
          <w:left w:val="nil"/>
          <w:bottom w:val="nil"/>
          <w:right w:val="nil"/>
          <w:between w:val="nil"/>
          <w:bar w:val="nil"/>
        </w:pBdr>
        <w:spacing w:before="40" w:after="0" w:line="240" w:lineRule="auto"/>
        <w:ind w:left="0" w:firstLine="0"/>
        <w:jc w:val="both"/>
        <w:rPr>
          <w:rFonts w:ascii="Palatino Linotype" w:eastAsiaTheme="majorEastAsia" w:hAnsi="Palatino Linotype" w:cstheme="majorBidi"/>
          <w:b/>
          <w:color w:val="000000" w:themeColor="text1"/>
          <w:sz w:val="24"/>
          <w:szCs w:val="24"/>
        </w:rPr>
      </w:pPr>
      <w:bookmarkStart w:id="136" w:name="_Toc485631710"/>
      <w:bookmarkStart w:id="137" w:name="_Toc500756720"/>
      <w:bookmarkStart w:id="138" w:name="_Toc536691788"/>
      <w:bookmarkStart w:id="139" w:name="_Toc2267551"/>
      <w:bookmarkStart w:id="140" w:name="_Toc2856724"/>
      <w:r w:rsidRPr="002951D2">
        <w:rPr>
          <w:rFonts w:ascii="Palatino Linotype" w:eastAsiaTheme="majorEastAsia" w:hAnsi="Palatino Linotype" w:cstheme="majorBidi"/>
          <w:b/>
          <w:color w:val="000000" w:themeColor="text1"/>
          <w:sz w:val="24"/>
          <w:szCs w:val="24"/>
        </w:rPr>
        <w:t>Condiciones especiales de la clasificación de la información como confidencial.</w:t>
      </w:r>
      <w:bookmarkEnd w:id="136"/>
      <w:bookmarkEnd w:id="137"/>
      <w:bookmarkEnd w:id="138"/>
      <w:bookmarkEnd w:id="139"/>
      <w:bookmarkEnd w:id="140"/>
    </w:p>
    <w:p w:rsidR="00645316" w:rsidRPr="002951D2" w:rsidRDefault="00645316" w:rsidP="00645316">
      <w:pPr>
        <w:pStyle w:val="Prrafodelista"/>
        <w:keepNext/>
        <w:keepLines/>
        <w:pBdr>
          <w:top w:val="nil"/>
          <w:left w:val="nil"/>
          <w:bottom w:val="nil"/>
          <w:right w:val="nil"/>
          <w:between w:val="nil"/>
          <w:bar w:val="nil"/>
        </w:pBdr>
        <w:spacing w:before="40" w:after="0" w:line="240" w:lineRule="auto"/>
        <w:ind w:left="0"/>
        <w:jc w:val="both"/>
        <w:rPr>
          <w:rFonts w:ascii="Palatino Linotype" w:eastAsiaTheme="majorEastAsia" w:hAnsi="Palatino Linotype" w:cstheme="majorBidi"/>
          <w:b/>
          <w:color w:val="000000" w:themeColor="text1"/>
          <w:sz w:val="24"/>
          <w:szCs w:val="24"/>
        </w:rPr>
      </w:pPr>
    </w:p>
    <w:p w:rsidR="000C37FE" w:rsidRPr="002951D2" w:rsidRDefault="000C37FE" w:rsidP="002951D2">
      <w:pPr>
        <w:numPr>
          <w:ilvl w:val="0"/>
          <w:numId w:val="2"/>
        </w:numPr>
        <w:shd w:val="clear" w:color="auto" w:fill="FFFFFF"/>
        <w:spacing w:beforeAutospacing="1" w:after="0" w:afterAutospacing="1" w:line="360" w:lineRule="auto"/>
        <w:ind w:left="0" w:firstLine="0"/>
        <w:jc w:val="both"/>
        <w:textAlignment w:val="baseline"/>
        <w:rPr>
          <w:rFonts w:ascii="Palatino Linotype" w:hAnsi="Palatino Linotype"/>
          <w:color w:val="000000" w:themeColor="text1"/>
          <w:sz w:val="24"/>
          <w:szCs w:val="24"/>
        </w:rPr>
      </w:pPr>
      <w:r w:rsidRPr="002951D2">
        <w:rPr>
          <w:rFonts w:ascii="Palatino Linotype" w:hAnsi="Palatino Linotype"/>
          <w:color w:val="000000" w:themeColor="text1"/>
          <w:sz w:val="24"/>
          <w:szCs w:val="24"/>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rsidR="000C37FE" w:rsidRPr="002951D2" w:rsidRDefault="000C37FE" w:rsidP="000C37FE">
      <w:pPr>
        <w:spacing w:before="100" w:beforeAutospacing="1" w:after="100" w:afterAutospacing="1" w:line="360" w:lineRule="auto"/>
        <w:ind w:left="567" w:right="616"/>
        <w:jc w:val="both"/>
        <w:rPr>
          <w:rFonts w:ascii="Palatino Linotype" w:eastAsia="Times New Roman" w:hAnsi="Palatino Linotype" w:cs="Times New Roman"/>
          <w:bCs/>
          <w:color w:val="000000" w:themeColor="text1"/>
          <w:sz w:val="24"/>
          <w:szCs w:val="24"/>
          <w:lang w:val="es-ES"/>
        </w:rPr>
      </w:pPr>
      <w:r w:rsidRPr="002951D2">
        <w:rPr>
          <w:rFonts w:ascii="Palatino Linotype" w:eastAsia="Times New Roman" w:hAnsi="Palatino Linotype" w:cs="Times New Roman"/>
          <w:bCs/>
          <w:color w:val="000000" w:themeColor="text1"/>
          <w:sz w:val="24"/>
          <w:szCs w:val="24"/>
          <w:lang w:val="es-ES"/>
        </w:rPr>
        <w:t>I.</w:t>
      </w:r>
      <w:r w:rsidRPr="002951D2">
        <w:rPr>
          <w:rFonts w:ascii="Palatino Linotype" w:eastAsia="Times New Roman" w:hAnsi="Palatino Linotype" w:cs="Times New Roman"/>
          <w:color w:val="000000" w:themeColor="text1"/>
          <w:sz w:val="24"/>
          <w:szCs w:val="24"/>
          <w:lang w:val="es-ES"/>
        </w:rPr>
        <w:t xml:space="preserve"> La información se encuentre en registros públicos o fuentes de acceso público;</w:t>
      </w:r>
    </w:p>
    <w:p w:rsidR="000C37FE" w:rsidRPr="002951D2" w:rsidRDefault="000C37FE" w:rsidP="000C37FE">
      <w:pPr>
        <w:spacing w:before="100" w:beforeAutospacing="1" w:after="100" w:afterAutospacing="1" w:line="360" w:lineRule="auto"/>
        <w:ind w:left="567" w:right="616"/>
        <w:jc w:val="both"/>
        <w:rPr>
          <w:rFonts w:ascii="Palatino Linotype" w:eastAsia="Times New Roman" w:hAnsi="Palatino Linotype" w:cs="Times New Roman"/>
          <w:bCs/>
          <w:color w:val="000000" w:themeColor="text1"/>
          <w:sz w:val="24"/>
          <w:szCs w:val="24"/>
          <w:lang w:val="es-ES"/>
        </w:rPr>
      </w:pPr>
      <w:r w:rsidRPr="002951D2">
        <w:rPr>
          <w:rFonts w:ascii="Palatino Linotype" w:eastAsia="Times New Roman" w:hAnsi="Palatino Linotype" w:cs="Times New Roman"/>
          <w:bCs/>
          <w:color w:val="000000" w:themeColor="text1"/>
          <w:sz w:val="24"/>
          <w:szCs w:val="24"/>
          <w:lang w:val="es-ES"/>
        </w:rPr>
        <w:t xml:space="preserve">II. </w:t>
      </w:r>
      <w:r w:rsidRPr="002951D2">
        <w:rPr>
          <w:rFonts w:ascii="Palatino Linotype" w:eastAsia="Times New Roman" w:hAnsi="Palatino Linotype" w:cs="Times New Roman"/>
          <w:color w:val="000000" w:themeColor="text1"/>
          <w:sz w:val="24"/>
          <w:szCs w:val="24"/>
          <w:lang w:val="es-ES"/>
        </w:rPr>
        <w:t>Por Ley tenga el carácter de pública;</w:t>
      </w:r>
    </w:p>
    <w:p w:rsidR="000C37FE" w:rsidRPr="002951D2" w:rsidRDefault="000C37FE" w:rsidP="000C37FE">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rPr>
      </w:pPr>
      <w:r w:rsidRPr="002951D2">
        <w:rPr>
          <w:rFonts w:ascii="Palatino Linotype" w:eastAsia="Times New Roman" w:hAnsi="Palatino Linotype" w:cs="Times New Roman"/>
          <w:bCs/>
          <w:color w:val="000000" w:themeColor="text1"/>
          <w:sz w:val="24"/>
          <w:szCs w:val="24"/>
          <w:lang w:val="es-ES"/>
        </w:rPr>
        <w:t xml:space="preserve">III. </w:t>
      </w:r>
      <w:r w:rsidRPr="002951D2">
        <w:rPr>
          <w:rFonts w:ascii="Palatino Linotype" w:eastAsia="Times New Roman" w:hAnsi="Palatino Linotype" w:cs="Times New Roman"/>
          <w:color w:val="000000" w:themeColor="text1"/>
          <w:sz w:val="24"/>
          <w:szCs w:val="24"/>
          <w:lang w:val="es-ES"/>
        </w:rPr>
        <w:t xml:space="preserve">Exista una orden judicial; </w:t>
      </w:r>
    </w:p>
    <w:p w:rsidR="000C37FE" w:rsidRPr="002951D2" w:rsidRDefault="000C37FE" w:rsidP="000C37FE">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rPr>
      </w:pPr>
      <w:r w:rsidRPr="002951D2">
        <w:rPr>
          <w:rFonts w:ascii="Palatino Linotype" w:eastAsia="Times New Roman" w:hAnsi="Palatino Linotype" w:cs="Times New Roman"/>
          <w:bCs/>
          <w:color w:val="000000" w:themeColor="text1"/>
          <w:sz w:val="24"/>
          <w:szCs w:val="24"/>
          <w:lang w:val="es-ES"/>
        </w:rPr>
        <w:t xml:space="preserve">IV. </w:t>
      </w:r>
      <w:r w:rsidRPr="002951D2">
        <w:rPr>
          <w:rFonts w:ascii="Palatino Linotype" w:eastAsia="Times New Roman" w:hAnsi="Palatino Linotype" w:cs="Times New Roman"/>
          <w:color w:val="000000" w:themeColor="text1"/>
          <w:sz w:val="24"/>
          <w:szCs w:val="24"/>
          <w:lang w:val="es-ES"/>
        </w:rPr>
        <w:t xml:space="preserve">Por razones de seguridad pública, o para proteger los derechos de terceros, se requiera su publicación; o </w:t>
      </w:r>
    </w:p>
    <w:p w:rsidR="000C37FE" w:rsidRPr="002951D2" w:rsidRDefault="000C37FE" w:rsidP="000C37FE">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rPr>
      </w:pPr>
      <w:r w:rsidRPr="002951D2">
        <w:rPr>
          <w:rFonts w:ascii="Palatino Linotype" w:eastAsia="Times New Roman" w:hAnsi="Palatino Linotype" w:cs="Times New Roman"/>
          <w:bCs/>
          <w:color w:val="000000" w:themeColor="text1"/>
          <w:sz w:val="24"/>
          <w:szCs w:val="24"/>
          <w:lang w:val="es-ES"/>
        </w:rPr>
        <w:t xml:space="preserve">V. </w:t>
      </w:r>
      <w:r w:rsidRPr="002951D2">
        <w:rPr>
          <w:rFonts w:ascii="Palatino Linotype" w:eastAsia="Times New Roman" w:hAnsi="Palatino Linotype" w:cs="Times New Roman"/>
          <w:color w:val="000000" w:themeColor="text1"/>
          <w:sz w:val="24"/>
          <w:szCs w:val="24"/>
          <w:lang w:val="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F964EF" w:rsidRDefault="000C37FE" w:rsidP="00F964EF">
      <w:pPr>
        <w:numPr>
          <w:ilvl w:val="0"/>
          <w:numId w:val="2"/>
        </w:numPr>
        <w:shd w:val="clear" w:color="auto" w:fill="FFFFFF"/>
        <w:spacing w:beforeAutospacing="1" w:after="0" w:line="360" w:lineRule="auto"/>
        <w:ind w:left="0" w:firstLine="0"/>
        <w:jc w:val="both"/>
        <w:textAlignment w:val="baseline"/>
        <w:rPr>
          <w:rFonts w:ascii="Palatino Linotype" w:hAnsi="Palatino Linotype" w:cs="Times New Roman"/>
          <w:color w:val="000000" w:themeColor="text1"/>
          <w:sz w:val="24"/>
          <w:szCs w:val="24"/>
          <w:lang w:eastAsia="es-ES_tradnl"/>
        </w:rPr>
      </w:pPr>
      <w:r w:rsidRPr="002951D2">
        <w:rPr>
          <w:rFonts w:ascii="Palatino Linotype" w:hAnsi="Palatino Linotype"/>
          <w:color w:val="000000" w:themeColor="text1"/>
          <w:sz w:val="24"/>
          <w:szCs w:val="24"/>
        </w:rPr>
        <w:t>En</w:t>
      </w:r>
      <w:r w:rsidRPr="002951D2">
        <w:rPr>
          <w:rFonts w:ascii="Palatino Linotype" w:hAnsi="Palatino Linotype" w:cs="Times New Roman"/>
          <w:color w:val="000000" w:themeColor="text1"/>
          <w:sz w:val="24"/>
          <w:szCs w:val="24"/>
          <w:lang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645316" w:rsidRPr="00645316" w:rsidRDefault="00645316" w:rsidP="00645316">
      <w:pPr>
        <w:shd w:val="clear" w:color="auto" w:fill="FFFFFF"/>
        <w:spacing w:beforeAutospacing="1" w:after="0" w:line="360" w:lineRule="auto"/>
        <w:jc w:val="both"/>
        <w:textAlignment w:val="baseline"/>
        <w:rPr>
          <w:rFonts w:ascii="Palatino Linotype" w:hAnsi="Palatino Linotype" w:cs="Times New Roman"/>
          <w:color w:val="000000" w:themeColor="text1"/>
          <w:sz w:val="24"/>
          <w:szCs w:val="24"/>
          <w:lang w:eastAsia="es-ES_tradnl"/>
        </w:rPr>
      </w:pPr>
    </w:p>
    <w:p w:rsidR="000C37FE" w:rsidRPr="002951D2" w:rsidRDefault="000C37FE" w:rsidP="002951D2">
      <w:pPr>
        <w:numPr>
          <w:ilvl w:val="0"/>
          <w:numId w:val="2"/>
        </w:numPr>
        <w:shd w:val="clear" w:color="auto" w:fill="FFFFFF"/>
        <w:spacing w:before="240" w:after="0" w:line="360" w:lineRule="auto"/>
        <w:ind w:left="0" w:firstLine="0"/>
        <w:contextualSpacing/>
        <w:jc w:val="both"/>
        <w:textAlignment w:val="baseline"/>
        <w:rPr>
          <w:rFonts w:ascii="Palatino Linotype" w:hAnsi="Palatino Linotype"/>
          <w:color w:val="000000" w:themeColor="text1"/>
          <w:sz w:val="24"/>
          <w:szCs w:val="24"/>
        </w:rPr>
      </w:pPr>
      <w:r w:rsidRPr="002951D2">
        <w:rPr>
          <w:rFonts w:ascii="Palatino Linotype" w:hAnsi="Palatino Linotype"/>
          <w:color w:val="000000" w:themeColor="text1"/>
          <w:sz w:val="24"/>
          <w:szCs w:val="24"/>
        </w:rPr>
        <w:t>Pero</w:t>
      </w:r>
      <w:r w:rsidRPr="002951D2">
        <w:rPr>
          <w:rFonts w:ascii="Palatino Linotype" w:hAnsi="Palatino Linotype" w:cs="Times New Roman"/>
          <w:color w:val="000000" w:themeColor="text1"/>
          <w:sz w:val="24"/>
          <w:szCs w:val="24"/>
          <w:lang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0C37FE" w:rsidRPr="002951D2" w:rsidRDefault="000C37FE" w:rsidP="000C37FE">
      <w:pPr>
        <w:shd w:val="clear" w:color="auto" w:fill="FFFFFF"/>
        <w:spacing w:before="240" w:afterAutospacing="1" w:line="360" w:lineRule="auto"/>
        <w:contextualSpacing/>
        <w:jc w:val="both"/>
        <w:textAlignment w:val="baseline"/>
        <w:rPr>
          <w:rFonts w:ascii="Palatino Linotype" w:hAnsi="Palatino Linotype"/>
          <w:color w:val="000000" w:themeColor="text1"/>
          <w:sz w:val="24"/>
          <w:szCs w:val="24"/>
        </w:rPr>
      </w:pPr>
    </w:p>
    <w:p w:rsidR="000C37FE" w:rsidRPr="002951D2" w:rsidRDefault="000C37FE" w:rsidP="002951D2">
      <w:pPr>
        <w:numPr>
          <w:ilvl w:val="0"/>
          <w:numId w:val="2"/>
        </w:numPr>
        <w:shd w:val="clear" w:color="auto" w:fill="FFFFFF"/>
        <w:spacing w:before="240" w:afterAutospacing="1" w:line="360" w:lineRule="auto"/>
        <w:ind w:left="0" w:firstLine="0"/>
        <w:contextualSpacing/>
        <w:jc w:val="both"/>
        <w:textAlignment w:val="baseline"/>
        <w:rPr>
          <w:rFonts w:ascii="Palatino Linotype" w:hAnsi="Palatino Linotype"/>
          <w:color w:val="000000" w:themeColor="text1"/>
          <w:sz w:val="24"/>
          <w:szCs w:val="24"/>
        </w:rPr>
      </w:pPr>
      <w:r w:rsidRPr="002951D2">
        <w:rPr>
          <w:rFonts w:ascii="Palatino Linotype" w:hAnsi="Palatino Linotype"/>
          <w:color w:val="000000" w:themeColor="text1"/>
          <w:sz w:val="24"/>
          <w:szCs w:val="24"/>
        </w:rPr>
        <w:t>Los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tratar de ser, aún más gráficos y propiciar el mejor entendimiento de esta materia, se anexa a la presente opinión particular, la siguiente tabla.</w:t>
      </w:r>
    </w:p>
    <w:p w:rsidR="000C37FE" w:rsidRPr="002951D2" w:rsidRDefault="000C37FE" w:rsidP="000C37FE">
      <w:pPr>
        <w:rPr>
          <w:rFonts w:ascii="Palatino Linotype" w:hAnsi="Palatino Linotype"/>
          <w:color w:val="000000" w:themeColor="text1"/>
          <w:sz w:val="24"/>
          <w:szCs w:val="24"/>
        </w:rPr>
      </w:pPr>
    </w:p>
    <w:tbl>
      <w:tblPr>
        <w:tblStyle w:val="Tablaconcuadrcula2"/>
        <w:tblW w:w="8807" w:type="dxa"/>
        <w:tblLook w:val="04A0" w:firstRow="1" w:lastRow="0" w:firstColumn="1" w:lastColumn="0" w:noHBand="0" w:noVBand="1"/>
      </w:tblPr>
      <w:tblGrid>
        <w:gridCol w:w="2051"/>
        <w:gridCol w:w="1844"/>
        <w:gridCol w:w="2766"/>
        <w:gridCol w:w="2146"/>
      </w:tblGrid>
      <w:tr w:rsidR="000C37FE" w:rsidRPr="002951D2" w:rsidTr="000C37FE">
        <w:tc>
          <w:tcPr>
            <w:tcW w:w="2142" w:type="dxa"/>
            <w:vMerge w:val="restart"/>
            <w:shd w:val="clear" w:color="auto" w:fill="D5DCE4" w:themeFill="text2" w:themeFillTint="33"/>
          </w:tcPr>
          <w:p w:rsidR="000C37FE" w:rsidRPr="002951D2" w:rsidRDefault="000C37FE" w:rsidP="000C37FE">
            <w:pPr>
              <w:jc w:val="both"/>
              <w:rPr>
                <w:rFonts w:ascii="Palatino Linotype" w:hAnsi="Palatino Linotype"/>
                <w:color w:val="000000" w:themeColor="text1"/>
              </w:rPr>
            </w:pPr>
            <w:r w:rsidRPr="002951D2">
              <w:rPr>
                <w:rFonts w:ascii="Palatino Linotype" w:hAnsi="Palatino Linotype"/>
                <w:color w:val="000000" w:themeColor="text1"/>
              </w:rPr>
              <w:t>Requisitos previos</w:t>
            </w:r>
          </w:p>
        </w:tc>
        <w:tc>
          <w:tcPr>
            <w:tcW w:w="2106" w:type="dxa"/>
          </w:tcPr>
          <w:p w:rsidR="000C37FE" w:rsidRPr="002951D2" w:rsidRDefault="000C37FE" w:rsidP="000C37FE">
            <w:pPr>
              <w:jc w:val="both"/>
              <w:rPr>
                <w:rFonts w:ascii="Palatino Linotype" w:hAnsi="Palatino Linotype"/>
                <w:color w:val="000000" w:themeColor="text1"/>
              </w:rPr>
            </w:pPr>
            <w:r w:rsidRPr="002951D2">
              <w:rPr>
                <w:rFonts w:ascii="Palatino Linotype" w:hAnsi="Palatino Linotype"/>
                <w:color w:val="000000" w:themeColor="text1"/>
              </w:rPr>
              <w:t>Los sujetos obligados determinan que la información actualiza alguno de los supuestos de clasificación:</w:t>
            </w:r>
          </w:p>
        </w:tc>
        <w:tc>
          <w:tcPr>
            <w:tcW w:w="2305" w:type="dxa"/>
          </w:tcPr>
          <w:p w:rsidR="000C37FE" w:rsidRPr="002951D2" w:rsidRDefault="000C37FE" w:rsidP="000C37FE">
            <w:pPr>
              <w:jc w:val="both"/>
              <w:rPr>
                <w:rFonts w:ascii="Palatino Linotype" w:hAnsi="Palatino Linotype"/>
                <w:color w:val="000000" w:themeColor="text1"/>
              </w:rPr>
            </w:pPr>
          </w:p>
          <w:p w:rsidR="000C37FE" w:rsidRPr="002951D2" w:rsidRDefault="000C37FE" w:rsidP="000C37FE">
            <w:pPr>
              <w:jc w:val="both"/>
              <w:rPr>
                <w:rFonts w:ascii="Palatino Linotype" w:hAnsi="Palatino Linotype"/>
                <w:color w:val="000000" w:themeColor="text1"/>
              </w:rPr>
            </w:pPr>
          </w:p>
          <w:p w:rsidR="000C37FE" w:rsidRPr="002951D2" w:rsidRDefault="000C37FE" w:rsidP="000C37FE">
            <w:pPr>
              <w:jc w:val="both"/>
              <w:rPr>
                <w:rFonts w:ascii="Palatino Linotype" w:hAnsi="Palatino Linotype"/>
                <w:color w:val="000000" w:themeColor="text1"/>
              </w:rPr>
            </w:pPr>
          </w:p>
          <w:p w:rsidR="000C37FE" w:rsidRPr="002951D2" w:rsidRDefault="000C37FE" w:rsidP="000C37FE">
            <w:pPr>
              <w:numPr>
                <w:ilvl w:val="0"/>
                <w:numId w:val="14"/>
              </w:numPr>
              <w:ind w:left="0" w:firstLine="0"/>
              <w:contextualSpacing/>
              <w:jc w:val="both"/>
              <w:rPr>
                <w:rFonts w:ascii="Palatino Linotype" w:hAnsi="Palatino Linotype"/>
                <w:color w:val="000000" w:themeColor="text1"/>
              </w:rPr>
            </w:pPr>
            <w:r w:rsidRPr="002951D2">
              <w:rPr>
                <w:rFonts w:ascii="Palatino Linotype" w:hAnsi="Palatino Linotype"/>
                <w:color w:val="000000" w:themeColor="text1"/>
              </w:rPr>
              <w:t xml:space="preserve">Confidencialidad </w:t>
            </w:r>
          </w:p>
          <w:p w:rsidR="000C37FE" w:rsidRPr="002951D2" w:rsidRDefault="000C37FE" w:rsidP="000C37FE">
            <w:pPr>
              <w:numPr>
                <w:ilvl w:val="0"/>
                <w:numId w:val="14"/>
              </w:numPr>
              <w:ind w:left="0" w:firstLine="0"/>
              <w:contextualSpacing/>
              <w:jc w:val="both"/>
              <w:rPr>
                <w:rFonts w:ascii="Palatino Linotype" w:hAnsi="Palatino Linotype"/>
                <w:color w:val="000000" w:themeColor="text1"/>
              </w:rPr>
            </w:pPr>
            <w:r w:rsidRPr="002951D2">
              <w:rPr>
                <w:rFonts w:ascii="Palatino Linotype" w:hAnsi="Palatino Linotype"/>
                <w:color w:val="000000" w:themeColor="text1"/>
              </w:rPr>
              <w:t>Reserva</w:t>
            </w:r>
          </w:p>
        </w:tc>
        <w:tc>
          <w:tcPr>
            <w:tcW w:w="2254" w:type="dxa"/>
          </w:tcPr>
          <w:p w:rsidR="000C37FE" w:rsidRPr="002951D2" w:rsidRDefault="000C37FE" w:rsidP="000C37FE">
            <w:pPr>
              <w:jc w:val="both"/>
              <w:rPr>
                <w:rFonts w:ascii="Palatino Linotype" w:hAnsi="Palatino Linotype"/>
                <w:color w:val="000000" w:themeColor="text1"/>
              </w:rPr>
            </w:pPr>
          </w:p>
        </w:tc>
      </w:tr>
      <w:tr w:rsidR="000C37FE" w:rsidRPr="002951D2" w:rsidTr="000C37FE">
        <w:tc>
          <w:tcPr>
            <w:tcW w:w="2142" w:type="dxa"/>
            <w:vMerge/>
            <w:shd w:val="clear" w:color="auto" w:fill="D5DCE4" w:themeFill="text2" w:themeFillTint="33"/>
          </w:tcPr>
          <w:p w:rsidR="000C37FE" w:rsidRPr="002951D2" w:rsidRDefault="000C37FE" w:rsidP="000C37FE">
            <w:pPr>
              <w:jc w:val="both"/>
              <w:rPr>
                <w:rFonts w:ascii="Palatino Linotype" w:hAnsi="Palatino Linotype"/>
                <w:color w:val="000000" w:themeColor="text1"/>
              </w:rPr>
            </w:pPr>
          </w:p>
        </w:tc>
        <w:tc>
          <w:tcPr>
            <w:tcW w:w="2106" w:type="dxa"/>
          </w:tcPr>
          <w:p w:rsidR="000C37FE" w:rsidRPr="002951D2" w:rsidRDefault="000C37FE" w:rsidP="000C37FE">
            <w:pPr>
              <w:jc w:val="both"/>
              <w:rPr>
                <w:rFonts w:ascii="Palatino Linotype" w:hAnsi="Palatino Linotype"/>
                <w:color w:val="000000" w:themeColor="text1"/>
              </w:rPr>
            </w:pPr>
            <w:r w:rsidRPr="002951D2">
              <w:rPr>
                <w:rFonts w:ascii="Palatino Linotype" w:hAnsi="Palatino Linotype"/>
                <w:color w:val="000000" w:themeColor="text1"/>
              </w:rPr>
              <w:t xml:space="preserve">Los titulares de las áreas que administran la información son los que aprueban la clasificación </w:t>
            </w:r>
          </w:p>
        </w:tc>
        <w:tc>
          <w:tcPr>
            <w:tcW w:w="2305" w:type="dxa"/>
          </w:tcPr>
          <w:p w:rsidR="000C37FE" w:rsidRPr="002951D2" w:rsidRDefault="000C37FE" w:rsidP="000C37FE">
            <w:pPr>
              <w:jc w:val="both"/>
              <w:rPr>
                <w:rFonts w:ascii="Palatino Linotype" w:hAnsi="Palatino Linotype"/>
                <w:color w:val="000000" w:themeColor="text1"/>
              </w:rPr>
            </w:pPr>
          </w:p>
        </w:tc>
        <w:tc>
          <w:tcPr>
            <w:tcW w:w="2254" w:type="dxa"/>
          </w:tcPr>
          <w:p w:rsidR="000C37FE" w:rsidRPr="002951D2" w:rsidRDefault="000C37FE" w:rsidP="000C37FE">
            <w:pPr>
              <w:jc w:val="both"/>
              <w:rPr>
                <w:rFonts w:ascii="Palatino Linotype" w:hAnsi="Palatino Linotype"/>
                <w:color w:val="000000" w:themeColor="text1"/>
              </w:rPr>
            </w:pPr>
          </w:p>
        </w:tc>
      </w:tr>
      <w:tr w:rsidR="000C37FE" w:rsidRPr="002951D2" w:rsidTr="000C37FE">
        <w:tc>
          <w:tcPr>
            <w:tcW w:w="2142" w:type="dxa"/>
            <w:vMerge/>
            <w:shd w:val="clear" w:color="auto" w:fill="D5DCE4" w:themeFill="text2" w:themeFillTint="33"/>
          </w:tcPr>
          <w:p w:rsidR="000C37FE" w:rsidRPr="002951D2" w:rsidRDefault="000C37FE" w:rsidP="000C37FE">
            <w:pPr>
              <w:jc w:val="both"/>
              <w:rPr>
                <w:rFonts w:ascii="Palatino Linotype" w:hAnsi="Palatino Linotype"/>
                <w:color w:val="000000" w:themeColor="text1"/>
              </w:rPr>
            </w:pPr>
          </w:p>
        </w:tc>
        <w:tc>
          <w:tcPr>
            <w:tcW w:w="2106" w:type="dxa"/>
          </w:tcPr>
          <w:p w:rsidR="000C37FE" w:rsidRPr="002951D2" w:rsidRDefault="000C37FE" w:rsidP="000C37FE">
            <w:pPr>
              <w:jc w:val="both"/>
              <w:rPr>
                <w:rFonts w:ascii="Palatino Linotype" w:hAnsi="Palatino Linotype"/>
                <w:color w:val="000000" w:themeColor="text1"/>
              </w:rPr>
            </w:pPr>
            <w:r w:rsidRPr="002951D2">
              <w:rPr>
                <w:rFonts w:ascii="Palatino Linotype" w:hAnsi="Palatino Linotype"/>
                <w:color w:val="000000" w:themeColor="text1"/>
              </w:rPr>
              <w:t>La clasificación de la información se realiza al momento de:</w:t>
            </w:r>
          </w:p>
        </w:tc>
        <w:tc>
          <w:tcPr>
            <w:tcW w:w="2305" w:type="dxa"/>
          </w:tcPr>
          <w:p w:rsidR="000C37FE" w:rsidRPr="002951D2" w:rsidRDefault="000C37FE" w:rsidP="000C37FE">
            <w:pPr>
              <w:numPr>
                <w:ilvl w:val="0"/>
                <w:numId w:val="13"/>
              </w:numPr>
              <w:ind w:left="0" w:firstLine="0"/>
              <w:contextualSpacing/>
              <w:jc w:val="both"/>
              <w:rPr>
                <w:rFonts w:ascii="Palatino Linotype" w:hAnsi="Palatino Linotype"/>
                <w:color w:val="000000" w:themeColor="text1"/>
              </w:rPr>
            </w:pPr>
            <w:r w:rsidRPr="002951D2">
              <w:rPr>
                <w:rFonts w:ascii="Palatino Linotype" w:hAnsi="Palatino Linotype"/>
                <w:color w:val="000000" w:themeColor="text1"/>
              </w:rPr>
              <w:t>Atender una solicitud</w:t>
            </w:r>
          </w:p>
          <w:p w:rsidR="000C37FE" w:rsidRPr="002951D2" w:rsidRDefault="000C37FE" w:rsidP="000C37FE">
            <w:pPr>
              <w:numPr>
                <w:ilvl w:val="0"/>
                <w:numId w:val="13"/>
              </w:numPr>
              <w:ind w:left="0" w:firstLine="0"/>
              <w:contextualSpacing/>
              <w:jc w:val="both"/>
              <w:rPr>
                <w:rFonts w:ascii="Palatino Linotype" w:hAnsi="Palatino Linotype"/>
                <w:color w:val="000000" w:themeColor="text1"/>
              </w:rPr>
            </w:pPr>
            <w:r w:rsidRPr="002951D2">
              <w:rPr>
                <w:rFonts w:ascii="Palatino Linotype" w:hAnsi="Palatino Linotype"/>
                <w:color w:val="000000" w:themeColor="text1"/>
              </w:rPr>
              <w:t>Por mandato de una autoridad competente</w:t>
            </w:r>
          </w:p>
          <w:p w:rsidR="000C37FE" w:rsidRPr="002951D2" w:rsidRDefault="000C37FE" w:rsidP="000C37FE">
            <w:pPr>
              <w:numPr>
                <w:ilvl w:val="0"/>
                <w:numId w:val="13"/>
              </w:numPr>
              <w:ind w:left="0" w:firstLine="0"/>
              <w:contextualSpacing/>
              <w:jc w:val="both"/>
              <w:rPr>
                <w:rFonts w:ascii="Palatino Linotype" w:hAnsi="Palatino Linotype"/>
                <w:color w:val="000000" w:themeColor="text1"/>
              </w:rPr>
            </w:pPr>
            <w:r w:rsidRPr="002951D2">
              <w:rPr>
                <w:rFonts w:ascii="Palatino Linotype" w:hAnsi="Palatino Linotype"/>
                <w:color w:val="000000" w:themeColor="text1"/>
              </w:rPr>
              <w:t>Para elaborar una versión pública y cumplir una obligación de transparencia</w:t>
            </w:r>
          </w:p>
        </w:tc>
        <w:tc>
          <w:tcPr>
            <w:tcW w:w="2254" w:type="dxa"/>
          </w:tcPr>
          <w:p w:rsidR="000C37FE" w:rsidRPr="002951D2" w:rsidRDefault="000C37FE" w:rsidP="000C37FE">
            <w:pPr>
              <w:jc w:val="both"/>
              <w:rPr>
                <w:rFonts w:ascii="Palatino Linotype" w:hAnsi="Palatino Linotype"/>
                <w:color w:val="000000" w:themeColor="text1"/>
              </w:rPr>
            </w:pPr>
          </w:p>
        </w:tc>
      </w:tr>
      <w:tr w:rsidR="000C37FE" w:rsidRPr="002951D2" w:rsidTr="000C37FE">
        <w:tc>
          <w:tcPr>
            <w:tcW w:w="2142" w:type="dxa"/>
            <w:vMerge/>
            <w:shd w:val="clear" w:color="auto" w:fill="D5DCE4" w:themeFill="text2" w:themeFillTint="33"/>
          </w:tcPr>
          <w:p w:rsidR="000C37FE" w:rsidRPr="002951D2" w:rsidRDefault="000C37FE" w:rsidP="000C37FE">
            <w:pPr>
              <w:jc w:val="both"/>
              <w:rPr>
                <w:rFonts w:ascii="Palatino Linotype" w:hAnsi="Palatino Linotype"/>
                <w:color w:val="000000" w:themeColor="text1"/>
              </w:rPr>
            </w:pPr>
          </w:p>
        </w:tc>
        <w:tc>
          <w:tcPr>
            <w:tcW w:w="2106" w:type="dxa"/>
          </w:tcPr>
          <w:p w:rsidR="000C37FE" w:rsidRPr="002951D2" w:rsidRDefault="000C37FE" w:rsidP="000C37FE">
            <w:pPr>
              <w:jc w:val="both"/>
              <w:rPr>
                <w:rFonts w:ascii="Palatino Linotype" w:hAnsi="Palatino Linotype"/>
                <w:color w:val="000000" w:themeColor="text1"/>
              </w:rPr>
            </w:pPr>
            <w:r w:rsidRPr="002951D2">
              <w:rPr>
                <w:rFonts w:ascii="Palatino Linotype" w:hAnsi="Palatino Linotype"/>
                <w:color w:val="000000" w:themeColor="text1"/>
              </w:rPr>
              <w:t>No se pueden emitir acuerdos de carácter general ni particular</w:t>
            </w:r>
          </w:p>
        </w:tc>
        <w:tc>
          <w:tcPr>
            <w:tcW w:w="2305" w:type="dxa"/>
          </w:tcPr>
          <w:p w:rsidR="000C37FE" w:rsidRPr="002951D2" w:rsidRDefault="000C37FE" w:rsidP="000C37FE">
            <w:pPr>
              <w:jc w:val="both"/>
              <w:rPr>
                <w:rFonts w:ascii="Palatino Linotype" w:hAnsi="Palatino Linotype"/>
                <w:color w:val="000000" w:themeColor="text1"/>
              </w:rPr>
            </w:pPr>
            <w:r w:rsidRPr="002951D2">
              <w:rPr>
                <w:rFonts w:ascii="Palatino Linotype" w:hAnsi="Palatino Linotype"/>
                <w:color w:val="000000" w:themeColor="text1"/>
              </w:rPr>
              <w:t xml:space="preserve">El sujeto obligado debe emitir un acuerdo describiendo y analizando cada documento de un expediente y todos los datos incluidos en un documento </w:t>
            </w:r>
          </w:p>
        </w:tc>
        <w:tc>
          <w:tcPr>
            <w:tcW w:w="2254" w:type="dxa"/>
          </w:tcPr>
          <w:p w:rsidR="000C37FE" w:rsidRPr="002951D2" w:rsidRDefault="000C37FE" w:rsidP="000C37FE">
            <w:pPr>
              <w:jc w:val="both"/>
              <w:rPr>
                <w:rFonts w:ascii="Palatino Linotype" w:hAnsi="Palatino Linotype"/>
                <w:color w:val="000000" w:themeColor="text1"/>
              </w:rPr>
            </w:pPr>
          </w:p>
        </w:tc>
      </w:tr>
      <w:tr w:rsidR="000C37FE" w:rsidRPr="002951D2" w:rsidTr="000C37FE">
        <w:tc>
          <w:tcPr>
            <w:tcW w:w="2142" w:type="dxa"/>
            <w:vMerge w:val="restart"/>
            <w:shd w:val="clear" w:color="auto" w:fill="D5DCE4" w:themeFill="text2" w:themeFillTint="33"/>
          </w:tcPr>
          <w:p w:rsidR="000C37FE" w:rsidRPr="002951D2" w:rsidRDefault="000C37FE" w:rsidP="000C37FE">
            <w:pPr>
              <w:jc w:val="both"/>
              <w:rPr>
                <w:rFonts w:ascii="Palatino Linotype" w:hAnsi="Palatino Linotype"/>
                <w:color w:val="000000" w:themeColor="text1"/>
              </w:rPr>
            </w:pPr>
            <w:r w:rsidRPr="002951D2">
              <w:rPr>
                <w:rFonts w:ascii="Palatino Linotype" w:hAnsi="Palatino Linotype"/>
                <w:color w:val="000000" w:themeColor="text1"/>
              </w:rPr>
              <w:t>Supuestos de clasificación</w:t>
            </w:r>
          </w:p>
        </w:tc>
        <w:tc>
          <w:tcPr>
            <w:tcW w:w="2106" w:type="dxa"/>
          </w:tcPr>
          <w:p w:rsidR="000C37FE" w:rsidRPr="002951D2" w:rsidRDefault="000C37FE" w:rsidP="000C37FE">
            <w:pPr>
              <w:jc w:val="both"/>
              <w:rPr>
                <w:rFonts w:ascii="Palatino Linotype" w:hAnsi="Palatino Linotype"/>
                <w:color w:val="000000" w:themeColor="text1"/>
              </w:rPr>
            </w:pPr>
            <w:r w:rsidRPr="002951D2">
              <w:rPr>
                <w:rFonts w:ascii="Palatino Linotype" w:hAnsi="Palatino Linotype"/>
                <w:color w:val="000000" w:themeColor="text1"/>
              </w:rPr>
              <w:t>Para clasificar la información como reservada hay</w:t>
            </w:r>
          </w:p>
        </w:tc>
        <w:tc>
          <w:tcPr>
            <w:tcW w:w="2305" w:type="dxa"/>
          </w:tcPr>
          <w:p w:rsidR="000C37FE" w:rsidRPr="002951D2" w:rsidRDefault="000C37FE" w:rsidP="000C37FE">
            <w:pPr>
              <w:numPr>
                <w:ilvl w:val="0"/>
                <w:numId w:val="15"/>
              </w:numPr>
              <w:ind w:left="0" w:firstLine="0"/>
              <w:contextualSpacing/>
              <w:jc w:val="both"/>
              <w:rPr>
                <w:rFonts w:ascii="Palatino Linotype" w:hAnsi="Palatino Linotype"/>
                <w:color w:val="000000" w:themeColor="text1"/>
              </w:rPr>
            </w:pPr>
            <w:r w:rsidRPr="002951D2">
              <w:rPr>
                <w:rFonts w:ascii="Palatino Linotype" w:hAnsi="Palatino Linotype"/>
                <w:color w:val="000000" w:themeColor="text1"/>
              </w:rPr>
              <w:t>11 supuestos en la Ley Estatal</w:t>
            </w:r>
          </w:p>
          <w:p w:rsidR="000C37FE" w:rsidRPr="002951D2" w:rsidRDefault="000C37FE" w:rsidP="000C37FE">
            <w:pPr>
              <w:numPr>
                <w:ilvl w:val="0"/>
                <w:numId w:val="15"/>
              </w:numPr>
              <w:ind w:left="0" w:firstLine="0"/>
              <w:contextualSpacing/>
              <w:jc w:val="both"/>
              <w:rPr>
                <w:rFonts w:ascii="Palatino Linotype" w:hAnsi="Palatino Linotype"/>
                <w:color w:val="000000" w:themeColor="text1"/>
              </w:rPr>
            </w:pPr>
            <w:r w:rsidRPr="002951D2">
              <w:rPr>
                <w:rFonts w:ascii="Palatino Linotype" w:hAnsi="Palatino Linotype"/>
                <w:color w:val="000000" w:themeColor="text1"/>
              </w:rPr>
              <w:t>13 supuestos en la Ley General</w:t>
            </w:r>
          </w:p>
        </w:tc>
        <w:tc>
          <w:tcPr>
            <w:tcW w:w="2254" w:type="dxa"/>
          </w:tcPr>
          <w:p w:rsidR="000C37FE" w:rsidRPr="002951D2" w:rsidRDefault="000C37FE" w:rsidP="000C37FE">
            <w:pPr>
              <w:jc w:val="both"/>
              <w:rPr>
                <w:rFonts w:ascii="Palatino Linotype" w:hAnsi="Palatino Linotype"/>
                <w:color w:val="000000" w:themeColor="text1"/>
              </w:rPr>
            </w:pPr>
            <w:r w:rsidRPr="002951D2">
              <w:rPr>
                <w:rFonts w:ascii="Palatino Linotype" w:hAnsi="Palatino Linotype"/>
                <w:color w:val="000000" w:themeColor="text1"/>
              </w:rPr>
              <w:t>El sujeto obligado debe identificar claramente la información que se pretende clasificar y realizar un juicio de subsunción o encaje</w:t>
            </w:r>
          </w:p>
        </w:tc>
      </w:tr>
      <w:tr w:rsidR="000C37FE" w:rsidRPr="002951D2" w:rsidTr="000C37FE">
        <w:tc>
          <w:tcPr>
            <w:tcW w:w="2142" w:type="dxa"/>
            <w:vMerge/>
            <w:shd w:val="clear" w:color="auto" w:fill="D5DCE4" w:themeFill="text2" w:themeFillTint="33"/>
          </w:tcPr>
          <w:p w:rsidR="000C37FE" w:rsidRPr="002951D2" w:rsidRDefault="000C37FE" w:rsidP="000C37FE">
            <w:pPr>
              <w:jc w:val="both"/>
              <w:rPr>
                <w:rFonts w:ascii="Palatino Linotype" w:hAnsi="Palatino Linotype"/>
                <w:color w:val="000000" w:themeColor="text1"/>
              </w:rPr>
            </w:pPr>
          </w:p>
        </w:tc>
        <w:tc>
          <w:tcPr>
            <w:tcW w:w="2106" w:type="dxa"/>
          </w:tcPr>
          <w:p w:rsidR="000C37FE" w:rsidRPr="002951D2" w:rsidRDefault="000C37FE" w:rsidP="000C37FE">
            <w:pPr>
              <w:jc w:val="both"/>
              <w:rPr>
                <w:rFonts w:ascii="Palatino Linotype" w:hAnsi="Palatino Linotype"/>
                <w:color w:val="000000" w:themeColor="text1"/>
              </w:rPr>
            </w:pPr>
            <w:r w:rsidRPr="002951D2">
              <w:rPr>
                <w:rFonts w:ascii="Palatino Linotype" w:hAnsi="Palatino Linotype"/>
                <w:color w:val="000000" w:themeColor="text1"/>
              </w:rPr>
              <w:t>Para clasificar la información como confidencial hay</w:t>
            </w:r>
          </w:p>
        </w:tc>
        <w:tc>
          <w:tcPr>
            <w:tcW w:w="2305" w:type="dxa"/>
          </w:tcPr>
          <w:p w:rsidR="000C37FE" w:rsidRPr="002951D2" w:rsidRDefault="000C37FE" w:rsidP="000C37FE">
            <w:pPr>
              <w:jc w:val="both"/>
              <w:rPr>
                <w:rFonts w:ascii="Palatino Linotype" w:hAnsi="Palatino Linotype"/>
                <w:color w:val="000000" w:themeColor="text1"/>
              </w:rPr>
            </w:pPr>
            <w:r w:rsidRPr="002951D2">
              <w:rPr>
                <w:rFonts w:ascii="Palatino Linotype" w:hAnsi="Palatino Linotype"/>
                <w:color w:val="000000" w:themeColor="text1"/>
              </w:rPr>
              <w:t>que considerar la definición de dato personal</w:t>
            </w:r>
          </w:p>
        </w:tc>
        <w:tc>
          <w:tcPr>
            <w:tcW w:w="2254" w:type="dxa"/>
          </w:tcPr>
          <w:p w:rsidR="000C37FE" w:rsidRPr="002951D2" w:rsidRDefault="000C37FE" w:rsidP="000C37FE">
            <w:pPr>
              <w:jc w:val="both"/>
              <w:rPr>
                <w:rFonts w:ascii="Palatino Linotype" w:hAnsi="Palatino Linotype"/>
                <w:color w:val="000000" w:themeColor="text1"/>
              </w:rPr>
            </w:pPr>
          </w:p>
        </w:tc>
      </w:tr>
      <w:tr w:rsidR="000C37FE" w:rsidRPr="002951D2" w:rsidTr="000C37FE">
        <w:tc>
          <w:tcPr>
            <w:tcW w:w="2142" w:type="dxa"/>
            <w:vMerge/>
            <w:shd w:val="clear" w:color="auto" w:fill="D5DCE4" w:themeFill="text2" w:themeFillTint="33"/>
          </w:tcPr>
          <w:p w:rsidR="000C37FE" w:rsidRPr="002951D2" w:rsidRDefault="000C37FE" w:rsidP="000C37FE">
            <w:pPr>
              <w:jc w:val="both"/>
              <w:rPr>
                <w:rFonts w:ascii="Palatino Linotype" w:hAnsi="Palatino Linotype"/>
                <w:color w:val="000000" w:themeColor="text1"/>
              </w:rPr>
            </w:pPr>
          </w:p>
        </w:tc>
        <w:tc>
          <w:tcPr>
            <w:tcW w:w="2106" w:type="dxa"/>
          </w:tcPr>
          <w:p w:rsidR="000C37FE" w:rsidRPr="002951D2" w:rsidRDefault="000C37FE" w:rsidP="000C37FE">
            <w:pPr>
              <w:jc w:val="both"/>
              <w:rPr>
                <w:rFonts w:ascii="Palatino Linotype" w:hAnsi="Palatino Linotype"/>
                <w:color w:val="000000" w:themeColor="text1"/>
              </w:rPr>
            </w:pPr>
            <w:r w:rsidRPr="002951D2">
              <w:rPr>
                <w:rFonts w:ascii="Palatino Linotype" w:hAnsi="Palatino Linotype"/>
                <w:color w:val="000000" w:themeColor="text1"/>
              </w:rPr>
              <w:t>Estos supuestos se aplican de manera restrictiva y estricta, no pueden ampliarse</w:t>
            </w:r>
          </w:p>
        </w:tc>
        <w:tc>
          <w:tcPr>
            <w:tcW w:w="2305" w:type="dxa"/>
          </w:tcPr>
          <w:p w:rsidR="000C37FE" w:rsidRPr="002951D2" w:rsidRDefault="000C37FE" w:rsidP="000C37FE">
            <w:pPr>
              <w:jc w:val="both"/>
              <w:rPr>
                <w:rFonts w:ascii="Palatino Linotype" w:hAnsi="Palatino Linotype"/>
                <w:color w:val="000000" w:themeColor="text1"/>
              </w:rPr>
            </w:pPr>
          </w:p>
        </w:tc>
        <w:tc>
          <w:tcPr>
            <w:tcW w:w="2254" w:type="dxa"/>
          </w:tcPr>
          <w:p w:rsidR="000C37FE" w:rsidRPr="002951D2" w:rsidRDefault="000C37FE" w:rsidP="000C37FE">
            <w:pPr>
              <w:jc w:val="both"/>
              <w:rPr>
                <w:rFonts w:ascii="Palatino Linotype" w:hAnsi="Palatino Linotype"/>
                <w:color w:val="000000" w:themeColor="text1"/>
              </w:rPr>
            </w:pPr>
          </w:p>
        </w:tc>
      </w:tr>
      <w:tr w:rsidR="000C37FE" w:rsidRPr="002951D2" w:rsidTr="000C37FE">
        <w:tc>
          <w:tcPr>
            <w:tcW w:w="2142" w:type="dxa"/>
            <w:vMerge w:val="restart"/>
            <w:shd w:val="clear" w:color="auto" w:fill="D5DCE4" w:themeFill="text2" w:themeFillTint="33"/>
          </w:tcPr>
          <w:p w:rsidR="000C37FE" w:rsidRPr="002951D2" w:rsidRDefault="000C37FE" w:rsidP="000C37FE">
            <w:pPr>
              <w:jc w:val="both"/>
              <w:rPr>
                <w:rFonts w:ascii="Palatino Linotype" w:hAnsi="Palatino Linotype"/>
                <w:color w:val="000000" w:themeColor="text1"/>
              </w:rPr>
            </w:pPr>
            <w:r w:rsidRPr="002951D2">
              <w:rPr>
                <w:rFonts w:ascii="Palatino Linotype" w:hAnsi="Palatino Linotype"/>
                <w:color w:val="000000" w:themeColor="text1"/>
              </w:rPr>
              <w:t>Excepciones a la clasificación de reserva</w:t>
            </w:r>
          </w:p>
        </w:tc>
        <w:tc>
          <w:tcPr>
            <w:tcW w:w="2106" w:type="dxa"/>
            <w:vMerge w:val="restart"/>
          </w:tcPr>
          <w:p w:rsidR="000C37FE" w:rsidRPr="002951D2" w:rsidRDefault="000C37FE" w:rsidP="000C37FE">
            <w:pPr>
              <w:jc w:val="both"/>
              <w:rPr>
                <w:rFonts w:ascii="Palatino Linotype" w:hAnsi="Palatino Linotype"/>
                <w:color w:val="000000" w:themeColor="text1"/>
              </w:rPr>
            </w:pPr>
            <w:r w:rsidRPr="002951D2">
              <w:rPr>
                <w:rFonts w:ascii="Palatino Linotype" w:hAnsi="Palatino Linotype"/>
                <w:color w:val="000000" w:themeColor="text1"/>
              </w:rPr>
              <w:t>No puede clasificarse como información reservada la concerniente a:</w:t>
            </w:r>
          </w:p>
        </w:tc>
        <w:tc>
          <w:tcPr>
            <w:tcW w:w="2305" w:type="dxa"/>
          </w:tcPr>
          <w:p w:rsidR="000C37FE" w:rsidRPr="002951D2" w:rsidRDefault="000C37FE" w:rsidP="000C37FE">
            <w:pPr>
              <w:jc w:val="both"/>
              <w:rPr>
                <w:rFonts w:ascii="Palatino Linotype" w:hAnsi="Palatino Linotype"/>
                <w:color w:val="000000" w:themeColor="text1"/>
              </w:rPr>
            </w:pPr>
            <w:r w:rsidRPr="002951D2">
              <w:rPr>
                <w:rFonts w:ascii="Palatino Linotype" w:hAnsi="Palatino Linotype"/>
                <w:color w:val="000000" w:themeColor="text1"/>
              </w:rPr>
              <w:t>Actos (probados o en investigación) graves de violaciones a derechos humanos</w:t>
            </w:r>
          </w:p>
        </w:tc>
        <w:tc>
          <w:tcPr>
            <w:tcW w:w="2254" w:type="dxa"/>
          </w:tcPr>
          <w:p w:rsidR="000C37FE" w:rsidRPr="002951D2" w:rsidRDefault="000C37FE" w:rsidP="000C37FE">
            <w:pPr>
              <w:jc w:val="both"/>
              <w:rPr>
                <w:rFonts w:ascii="Palatino Linotype" w:hAnsi="Palatino Linotype"/>
                <w:color w:val="000000" w:themeColor="text1"/>
              </w:rPr>
            </w:pPr>
          </w:p>
        </w:tc>
      </w:tr>
      <w:tr w:rsidR="000C37FE" w:rsidRPr="002951D2" w:rsidTr="000C37FE">
        <w:tc>
          <w:tcPr>
            <w:tcW w:w="2142" w:type="dxa"/>
            <w:vMerge/>
            <w:shd w:val="clear" w:color="auto" w:fill="D5DCE4" w:themeFill="text2" w:themeFillTint="33"/>
          </w:tcPr>
          <w:p w:rsidR="000C37FE" w:rsidRPr="002951D2" w:rsidRDefault="000C37FE" w:rsidP="000C37FE">
            <w:pPr>
              <w:jc w:val="both"/>
              <w:rPr>
                <w:rFonts w:ascii="Palatino Linotype" w:hAnsi="Palatino Linotype"/>
                <w:color w:val="000000" w:themeColor="text1"/>
              </w:rPr>
            </w:pPr>
          </w:p>
        </w:tc>
        <w:tc>
          <w:tcPr>
            <w:tcW w:w="2106" w:type="dxa"/>
            <w:vMerge/>
          </w:tcPr>
          <w:p w:rsidR="000C37FE" w:rsidRPr="002951D2" w:rsidRDefault="000C37FE" w:rsidP="000C37FE">
            <w:pPr>
              <w:jc w:val="both"/>
              <w:rPr>
                <w:rFonts w:ascii="Palatino Linotype" w:hAnsi="Palatino Linotype"/>
                <w:color w:val="000000" w:themeColor="text1"/>
              </w:rPr>
            </w:pPr>
          </w:p>
        </w:tc>
        <w:tc>
          <w:tcPr>
            <w:tcW w:w="2305" w:type="dxa"/>
          </w:tcPr>
          <w:p w:rsidR="000C37FE" w:rsidRPr="002951D2" w:rsidRDefault="000C37FE" w:rsidP="000C37FE">
            <w:pPr>
              <w:jc w:val="both"/>
              <w:rPr>
                <w:rFonts w:ascii="Palatino Linotype" w:hAnsi="Palatino Linotype"/>
                <w:color w:val="000000" w:themeColor="text1"/>
              </w:rPr>
            </w:pPr>
            <w:r w:rsidRPr="002951D2">
              <w:rPr>
                <w:rFonts w:ascii="Palatino Linotype" w:hAnsi="Palatino Linotype"/>
                <w:color w:val="000000" w:themeColor="text1"/>
              </w:rPr>
              <w:t>Delitos de lessa humanidad</w:t>
            </w:r>
          </w:p>
        </w:tc>
        <w:tc>
          <w:tcPr>
            <w:tcW w:w="2254" w:type="dxa"/>
          </w:tcPr>
          <w:p w:rsidR="000C37FE" w:rsidRPr="002951D2" w:rsidRDefault="000C37FE" w:rsidP="000C37FE">
            <w:pPr>
              <w:jc w:val="both"/>
              <w:rPr>
                <w:rFonts w:ascii="Palatino Linotype" w:hAnsi="Palatino Linotype"/>
                <w:color w:val="000000" w:themeColor="text1"/>
              </w:rPr>
            </w:pPr>
          </w:p>
        </w:tc>
      </w:tr>
      <w:tr w:rsidR="000C37FE" w:rsidRPr="002951D2" w:rsidTr="000C37FE">
        <w:tc>
          <w:tcPr>
            <w:tcW w:w="2142" w:type="dxa"/>
            <w:vMerge/>
            <w:shd w:val="clear" w:color="auto" w:fill="D5DCE4" w:themeFill="text2" w:themeFillTint="33"/>
          </w:tcPr>
          <w:p w:rsidR="000C37FE" w:rsidRPr="002951D2" w:rsidRDefault="000C37FE" w:rsidP="000C37FE">
            <w:pPr>
              <w:jc w:val="both"/>
              <w:rPr>
                <w:rFonts w:ascii="Palatino Linotype" w:hAnsi="Palatino Linotype"/>
                <w:color w:val="000000" w:themeColor="text1"/>
              </w:rPr>
            </w:pPr>
          </w:p>
        </w:tc>
        <w:tc>
          <w:tcPr>
            <w:tcW w:w="2106" w:type="dxa"/>
            <w:vMerge/>
          </w:tcPr>
          <w:p w:rsidR="000C37FE" w:rsidRPr="002951D2" w:rsidRDefault="000C37FE" w:rsidP="000C37FE">
            <w:pPr>
              <w:jc w:val="both"/>
              <w:rPr>
                <w:rFonts w:ascii="Palatino Linotype" w:hAnsi="Palatino Linotype"/>
                <w:color w:val="000000" w:themeColor="text1"/>
              </w:rPr>
            </w:pPr>
          </w:p>
        </w:tc>
        <w:tc>
          <w:tcPr>
            <w:tcW w:w="2305" w:type="dxa"/>
          </w:tcPr>
          <w:p w:rsidR="000C37FE" w:rsidRPr="002951D2" w:rsidRDefault="000C37FE" w:rsidP="000C37FE">
            <w:pPr>
              <w:jc w:val="both"/>
              <w:rPr>
                <w:rFonts w:ascii="Palatino Linotype" w:hAnsi="Palatino Linotype"/>
                <w:color w:val="000000" w:themeColor="text1"/>
              </w:rPr>
            </w:pPr>
            <w:r w:rsidRPr="002951D2">
              <w:rPr>
                <w:rFonts w:ascii="Palatino Linotype" w:hAnsi="Palatino Linotype"/>
                <w:color w:val="000000" w:themeColor="text1"/>
              </w:rPr>
              <w:t>Actos de Corrupción</w:t>
            </w:r>
          </w:p>
        </w:tc>
        <w:tc>
          <w:tcPr>
            <w:tcW w:w="2254" w:type="dxa"/>
          </w:tcPr>
          <w:p w:rsidR="000C37FE" w:rsidRPr="002951D2" w:rsidRDefault="000C37FE" w:rsidP="000C37FE">
            <w:pPr>
              <w:jc w:val="both"/>
              <w:rPr>
                <w:rFonts w:ascii="Palatino Linotype" w:hAnsi="Palatino Linotype"/>
                <w:color w:val="000000" w:themeColor="text1"/>
              </w:rPr>
            </w:pPr>
            <w:r w:rsidRPr="002951D2">
              <w:rPr>
                <w:rFonts w:ascii="Palatino Linotype" w:hAnsi="Palatino Linotype"/>
                <w:color w:val="000000" w:themeColor="text1"/>
              </w:rPr>
              <w:t>Los comprendidos en el Título Sexto del Código Penal del Estado</w:t>
            </w:r>
          </w:p>
        </w:tc>
      </w:tr>
      <w:tr w:rsidR="000C37FE" w:rsidRPr="002951D2" w:rsidTr="000C37FE">
        <w:tc>
          <w:tcPr>
            <w:tcW w:w="2142" w:type="dxa"/>
            <w:vMerge w:val="restart"/>
            <w:shd w:val="clear" w:color="auto" w:fill="D5DCE4" w:themeFill="text2" w:themeFillTint="33"/>
          </w:tcPr>
          <w:p w:rsidR="00F964EF" w:rsidRPr="002951D2" w:rsidRDefault="000C37FE" w:rsidP="000C37FE">
            <w:pPr>
              <w:shd w:val="clear" w:color="auto" w:fill="AADAF8"/>
              <w:jc w:val="both"/>
              <w:rPr>
                <w:rFonts w:ascii="Palatino Linotype" w:hAnsi="Palatino Linotype"/>
                <w:color w:val="000000" w:themeColor="text1"/>
              </w:rPr>
            </w:pPr>
            <w:r w:rsidRPr="002951D2">
              <w:rPr>
                <w:rFonts w:ascii="Palatino Linotype" w:hAnsi="Palatino Linotype"/>
                <w:color w:val="000000" w:themeColor="text1"/>
              </w:rPr>
              <w:t>Participación del Comité de Transparencia</w:t>
            </w:r>
          </w:p>
          <w:p w:rsidR="00F964EF" w:rsidRPr="002951D2" w:rsidRDefault="00F964EF" w:rsidP="00F964EF">
            <w:pPr>
              <w:rPr>
                <w:rFonts w:ascii="Palatino Linotype" w:hAnsi="Palatino Linotype"/>
              </w:rPr>
            </w:pPr>
          </w:p>
          <w:p w:rsidR="000C37FE" w:rsidRPr="002951D2" w:rsidRDefault="000C37FE" w:rsidP="00F964EF">
            <w:pPr>
              <w:jc w:val="center"/>
              <w:rPr>
                <w:rFonts w:ascii="Palatino Linotype" w:hAnsi="Palatino Linotype"/>
              </w:rPr>
            </w:pPr>
          </w:p>
        </w:tc>
        <w:tc>
          <w:tcPr>
            <w:tcW w:w="2106" w:type="dxa"/>
            <w:vMerge w:val="restart"/>
          </w:tcPr>
          <w:p w:rsidR="000C37FE" w:rsidRPr="002951D2" w:rsidRDefault="000C37FE" w:rsidP="000C37FE">
            <w:pPr>
              <w:jc w:val="both"/>
              <w:rPr>
                <w:rFonts w:ascii="Palatino Linotype" w:hAnsi="Palatino Linotype"/>
                <w:color w:val="000000" w:themeColor="text1"/>
              </w:rPr>
            </w:pPr>
            <w:r w:rsidRPr="002951D2">
              <w:rPr>
                <w:rFonts w:ascii="Palatino Linotype" w:hAnsi="Palatino Linotype"/>
                <w:color w:val="000000" w:themeColor="text1"/>
              </w:rPr>
              <w:t>Formalidades</w:t>
            </w:r>
          </w:p>
        </w:tc>
        <w:tc>
          <w:tcPr>
            <w:tcW w:w="2305" w:type="dxa"/>
          </w:tcPr>
          <w:p w:rsidR="000C37FE" w:rsidRPr="002951D2" w:rsidRDefault="000C37FE" w:rsidP="000C37FE">
            <w:pPr>
              <w:jc w:val="both"/>
              <w:rPr>
                <w:rFonts w:ascii="Palatino Linotype" w:hAnsi="Palatino Linotype"/>
                <w:color w:val="000000" w:themeColor="text1"/>
              </w:rPr>
            </w:pPr>
            <w:r w:rsidRPr="002951D2">
              <w:rPr>
                <w:rFonts w:ascii="Palatino Linotype" w:hAnsi="Palatino Linotype"/>
                <w:color w:val="000000" w:themeColor="text1"/>
              </w:rPr>
              <w:t>El Comité debe de estar debidamente integrado</w:t>
            </w:r>
          </w:p>
        </w:tc>
        <w:tc>
          <w:tcPr>
            <w:tcW w:w="2254" w:type="dxa"/>
          </w:tcPr>
          <w:p w:rsidR="000C37FE" w:rsidRPr="002951D2" w:rsidRDefault="000C37FE" w:rsidP="000C37FE">
            <w:pPr>
              <w:jc w:val="both"/>
              <w:rPr>
                <w:rFonts w:ascii="Palatino Linotype" w:hAnsi="Palatino Linotype"/>
                <w:color w:val="000000" w:themeColor="text1"/>
              </w:rPr>
            </w:pPr>
          </w:p>
        </w:tc>
      </w:tr>
      <w:tr w:rsidR="000C37FE" w:rsidRPr="002951D2" w:rsidTr="000C37FE">
        <w:tc>
          <w:tcPr>
            <w:tcW w:w="2142" w:type="dxa"/>
            <w:vMerge/>
            <w:shd w:val="clear" w:color="auto" w:fill="D5DCE4" w:themeFill="text2" w:themeFillTint="33"/>
          </w:tcPr>
          <w:p w:rsidR="000C37FE" w:rsidRPr="002951D2" w:rsidRDefault="000C37FE" w:rsidP="000C37FE">
            <w:pPr>
              <w:jc w:val="both"/>
              <w:rPr>
                <w:rFonts w:ascii="Palatino Linotype" w:hAnsi="Palatino Linotype"/>
                <w:color w:val="000000" w:themeColor="text1"/>
              </w:rPr>
            </w:pPr>
          </w:p>
        </w:tc>
        <w:tc>
          <w:tcPr>
            <w:tcW w:w="2106" w:type="dxa"/>
            <w:vMerge/>
          </w:tcPr>
          <w:p w:rsidR="000C37FE" w:rsidRPr="002951D2" w:rsidRDefault="000C37FE" w:rsidP="000C37FE">
            <w:pPr>
              <w:jc w:val="both"/>
              <w:rPr>
                <w:rFonts w:ascii="Palatino Linotype" w:hAnsi="Palatino Linotype"/>
                <w:color w:val="000000" w:themeColor="text1"/>
              </w:rPr>
            </w:pPr>
          </w:p>
        </w:tc>
        <w:tc>
          <w:tcPr>
            <w:tcW w:w="2305" w:type="dxa"/>
          </w:tcPr>
          <w:p w:rsidR="000C37FE" w:rsidRPr="002951D2" w:rsidRDefault="000C37FE" w:rsidP="000C37FE">
            <w:pPr>
              <w:jc w:val="both"/>
              <w:rPr>
                <w:rFonts w:ascii="Palatino Linotype" w:hAnsi="Palatino Linotype"/>
                <w:color w:val="000000" w:themeColor="text1"/>
              </w:rPr>
            </w:pPr>
            <w:r w:rsidRPr="002951D2">
              <w:rPr>
                <w:rFonts w:ascii="Palatino Linotype" w:hAnsi="Palatino Linotype"/>
                <w:color w:val="000000" w:themeColor="text1"/>
              </w:rPr>
              <w:t xml:space="preserve">El Comité no aprueba la clasificación, sólo: confirma, modifica o revoca la decisión de las áreas </w:t>
            </w:r>
          </w:p>
        </w:tc>
        <w:tc>
          <w:tcPr>
            <w:tcW w:w="2254" w:type="dxa"/>
          </w:tcPr>
          <w:p w:rsidR="000C37FE" w:rsidRPr="002951D2" w:rsidRDefault="000C37FE" w:rsidP="000C37FE">
            <w:pPr>
              <w:jc w:val="both"/>
              <w:rPr>
                <w:rFonts w:ascii="Palatino Linotype" w:hAnsi="Palatino Linotype"/>
                <w:color w:val="000000" w:themeColor="text1"/>
              </w:rPr>
            </w:pPr>
          </w:p>
        </w:tc>
      </w:tr>
      <w:tr w:rsidR="000C37FE" w:rsidRPr="002951D2" w:rsidTr="000C37FE">
        <w:tc>
          <w:tcPr>
            <w:tcW w:w="2142" w:type="dxa"/>
            <w:shd w:val="clear" w:color="auto" w:fill="D5DCE4" w:themeFill="text2" w:themeFillTint="33"/>
          </w:tcPr>
          <w:p w:rsidR="000C37FE" w:rsidRPr="002951D2" w:rsidRDefault="000C37FE" w:rsidP="000C37FE">
            <w:pPr>
              <w:jc w:val="both"/>
              <w:rPr>
                <w:rFonts w:ascii="Palatino Linotype" w:hAnsi="Palatino Linotype"/>
                <w:color w:val="000000" w:themeColor="text1"/>
              </w:rPr>
            </w:pPr>
            <w:r w:rsidRPr="002951D2">
              <w:rPr>
                <w:rFonts w:ascii="Palatino Linotype" w:hAnsi="Palatino Linotype"/>
                <w:color w:val="000000" w:themeColor="text1"/>
              </w:rPr>
              <w:t>Fondo del acuerdo de clasificación</w:t>
            </w:r>
          </w:p>
        </w:tc>
        <w:tc>
          <w:tcPr>
            <w:tcW w:w="2106" w:type="dxa"/>
          </w:tcPr>
          <w:p w:rsidR="000C37FE" w:rsidRPr="002951D2" w:rsidRDefault="000C37FE" w:rsidP="000C37FE">
            <w:pPr>
              <w:jc w:val="both"/>
              <w:rPr>
                <w:rFonts w:ascii="Palatino Linotype" w:hAnsi="Palatino Linotype"/>
                <w:color w:val="000000" w:themeColor="text1"/>
              </w:rPr>
            </w:pPr>
            <w:r w:rsidRPr="002951D2">
              <w:rPr>
                <w:rFonts w:ascii="Palatino Linotype" w:hAnsi="Palatino Linotype"/>
                <w:color w:val="000000" w:themeColor="text1"/>
              </w:rPr>
              <w:t>La carga de la prueba para justificar la restricción corresponde al sujeto obligado</w:t>
            </w:r>
          </w:p>
        </w:tc>
        <w:tc>
          <w:tcPr>
            <w:tcW w:w="2305" w:type="dxa"/>
          </w:tcPr>
          <w:p w:rsidR="000C37FE" w:rsidRPr="002951D2" w:rsidRDefault="000C37FE" w:rsidP="000C37FE">
            <w:pPr>
              <w:jc w:val="both"/>
              <w:rPr>
                <w:rFonts w:ascii="Palatino Linotype" w:hAnsi="Palatino Linotype"/>
                <w:color w:val="000000" w:themeColor="text1"/>
              </w:rPr>
            </w:pPr>
            <w:r w:rsidRPr="002951D2">
              <w:rPr>
                <w:rFonts w:ascii="Palatino Linotype" w:hAnsi="Palatino Linotype"/>
                <w:color w:val="000000" w:themeColor="text1"/>
              </w:rPr>
              <w:t>Deber de fundar y motivar</w:t>
            </w:r>
          </w:p>
        </w:tc>
        <w:tc>
          <w:tcPr>
            <w:tcW w:w="2254" w:type="dxa"/>
          </w:tcPr>
          <w:p w:rsidR="000C37FE" w:rsidRPr="002951D2" w:rsidRDefault="000C37FE" w:rsidP="000C37FE">
            <w:pPr>
              <w:jc w:val="both"/>
              <w:rPr>
                <w:rFonts w:ascii="Palatino Linotype" w:hAnsi="Palatino Linotype"/>
                <w:color w:val="000000" w:themeColor="text1"/>
              </w:rPr>
            </w:pPr>
          </w:p>
        </w:tc>
      </w:tr>
      <w:tr w:rsidR="000C37FE" w:rsidRPr="002951D2" w:rsidTr="000C37FE">
        <w:trPr>
          <w:trHeight w:val="486"/>
        </w:trPr>
        <w:tc>
          <w:tcPr>
            <w:tcW w:w="2142" w:type="dxa"/>
            <w:vMerge w:val="restart"/>
            <w:shd w:val="clear" w:color="auto" w:fill="D5DCE4" w:themeFill="text2" w:themeFillTint="33"/>
          </w:tcPr>
          <w:p w:rsidR="000C37FE" w:rsidRPr="002951D2" w:rsidRDefault="000C37FE" w:rsidP="000C37FE">
            <w:pPr>
              <w:jc w:val="both"/>
              <w:rPr>
                <w:rFonts w:ascii="Palatino Linotype" w:hAnsi="Palatino Linotype"/>
                <w:color w:val="000000" w:themeColor="text1"/>
              </w:rPr>
            </w:pPr>
            <w:r w:rsidRPr="002951D2">
              <w:rPr>
                <w:rFonts w:ascii="Palatino Linotype" w:hAnsi="Palatino Linotype"/>
                <w:color w:val="000000" w:themeColor="text1"/>
              </w:rPr>
              <w:t>Condiciones especiales de la reserva</w:t>
            </w:r>
          </w:p>
        </w:tc>
        <w:tc>
          <w:tcPr>
            <w:tcW w:w="2106" w:type="dxa"/>
            <w:vMerge w:val="restart"/>
          </w:tcPr>
          <w:p w:rsidR="000C37FE" w:rsidRPr="002951D2" w:rsidRDefault="000C37FE" w:rsidP="000C37FE">
            <w:pPr>
              <w:jc w:val="both"/>
              <w:rPr>
                <w:rFonts w:ascii="Palatino Linotype" w:hAnsi="Palatino Linotype"/>
                <w:color w:val="000000" w:themeColor="text1"/>
              </w:rPr>
            </w:pPr>
            <w:r w:rsidRPr="002951D2">
              <w:rPr>
                <w:rFonts w:ascii="Palatino Linotype" w:hAnsi="Palatino Linotype"/>
                <w:color w:val="000000" w:themeColor="text1"/>
              </w:rPr>
              <w:t>Motivar implica</w:t>
            </w:r>
          </w:p>
          <w:p w:rsidR="000C37FE" w:rsidRPr="002951D2" w:rsidRDefault="000C37FE" w:rsidP="000C37FE">
            <w:pPr>
              <w:jc w:val="both"/>
              <w:rPr>
                <w:rFonts w:ascii="Palatino Linotype" w:hAnsi="Palatino Linotype"/>
                <w:color w:val="000000" w:themeColor="text1"/>
              </w:rPr>
            </w:pPr>
            <w:r w:rsidRPr="002951D2">
              <w:rPr>
                <w:rFonts w:ascii="Palatino Linotype" w:hAnsi="Palatino Linotype"/>
                <w:color w:val="000000" w:themeColor="text1"/>
              </w:rPr>
              <w:t>Además se debe aplicar, caso por caso, una prueba de daño.</w:t>
            </w:r>
          </w:p>
        </w:tc>
        <w:tc>
          <w:tcPr>
            <w:tcW w:w="2305" w:type="dxa"/>
            <w:vMerge w:val="restart"/>
          </w:tcPr>
          <w:p w:rsidR="000C37FE" w:rsidRPr="002951D2" w:rsidRDefault="000C37FE" w:rsidP="000C37FE">
            <w:pPr>
              <w:jc w:val="both"/>
              <w:rPr>
                <w:rFonts w:ascii="Palatino Linotype" w:hAnsi="Palatino Linotype"/>
                <w:color w:val="000000" w:themeColor="text1"/>
              </w:rPr>
            </w:pPr>
            <w:r w:rsidRPr="002951D2">
              <w:rPr>
                <w:rFonts w:ascii="Palatino Linotype" w:hAnsi="Palatino Linotype"/>
                <w:color w:val="000000" w:themeColor="text1"/>
              </w:rPr>
              <w:t>Señalar las razones, motivos o circunstancias.</w:t>
            </w:r>
          </w:p>
          <w:p w:rsidR="000C37FE" w:rsidRPr="002951D2" w:rsidRDefault="000C37FE" w:rsidP="000C37FE">
            <w:pPr>
              <w:jc w:val="both"/>
              <w:rPr>
                <w:rFonts w:ascii="Palatino Linotype" w:hAnsi="Palatino Linotype"/>
                <w:color w:val="000000" w:themeColor="text1"/>
              </w:rPr>
            </w:pPr>
            <w:r w:rsidRPr="002951D2">
              <w:rPr>
                <w:rFonts w:ascii="Palatino Linotype" w:hAnsi="Palatino Linotype"/>
                <w:color w:val="000000" w:themeColor="text1"/>
              </w:rPr>
              <w:t>Se deben señalar las razones objetivas y acreditar.</w:t>
            </w:r>
          </w:p>
          <w:p w:rsidR="000C37FE" w:rsidRPr="002951D2" w:rsidRDefault="000C37FE" w:rsidP="000C37FE">
            <w:pPr>
              <w:jc w:val="both"/>
              <w:rPr>
                <w:rFonts w:ascii="Palatino Linotype" w:hAnsi="Palatino Linotype"/>
                <w:color w:val="000000" w:themeColor="text1"/>
              </w:rPr>
            </w:pPr>
          </w:p>
          <w:p w:rsidR="000C37FE" w:rsidRPr="002951D2" w:rsidRDefault="000C37FE" w:rsidP="000C37FE">
            <w:pPr>
              <w:jc w:val="both"/>
              <w:rPr>
                <w:rFonts w:ascii="Palatino Linotype" w:hAnsi="Palatino Linotype"/>
                <w:color w:val="000000" w:themeColor="text1"/>
              </w:rPr>
            </w:pPr>
            <w:r w:rsidRPr="002951D2">
              <w:rPr>
                <w:rFonts w:ascii="Palatino Linotype" w:hAnsi="Palatino Linotype"/>
                <w:color w:val="000000" w:themeColor="text1"/>
              </w:rPr>
              <w:t>*Adquiere la condición especial de ser temporal por un periodo de 5 años con la posibilidad de ampliarse por un periodo igual.</w:t>
            </w:r>
          </w:p>
        </w:tc>
        <w:tc>
          <w:tcPr>
            <w:tcW w:w="2254" w:type="dxa"/>
            <w:vMerge w:val="restart"/>
          </w:tcPr>
          <w:p w:rsidR="000C37FE" w:rsidRPr="002951D2" w:rsidRDefault="000C37FE" w:rsidP="000C37FE">
            <w:pPr>
              <w:jc w:val="both"/>
              <w:rPr>
                <w:rFonts w:ascii="Palatino Linotype" w:hAnsi="Palatino Linotype"/>
                <w:color w:val="000000" w:themeColor="text1"/>
              </w:rPr>
            </w:pPr>
            <w:r w:rsidRPr="002951D2">
              <w:rPr>
                <w:rFonts w:ascii="Palatino Linotype" w:hAnsi="Palatino Linotype"/>
                <w:color w:val="000000" w:themeColor="text1"/>
              </w:rPr>
              <w:t>Que entregar la información provoca un riesgo real, demostrable e identificable al interés público o a la seguridad pública</w:t>
            </w:r>
          </w:p>
        </w:tc>
      </w:tr>
      <w:tr w:rsidR="000C37FE" w:rsidRPr="002951D2" w:rsidTr="000C37FE">
        <w:trPr>
          <w:trHeight w:val="486"/>
        </w:trPr>
        <w:tc>
          <w:tcPr>
            <w:tcW w:w="2142" w:type="dxa"/>
            <w:vMerge/>
            <w:shd w:val="clear" w:color="auto" w:fill="D5DCE4" w:themeFill="text2" w:themeFillTint="33"/>
          </w:tcPr>
          <w:p w:rsidR="000C37FE" w:rsidRPr="002951D2" w:rsidRDefault="000C37FE" w:rsidP="000C37FE">
            <w:pPr>
              <w:jc w:val="both"/>
              <w:rPr>
                <w:rFonts w:ascii="Palatino Linotype" w:hAnsi="Palatino Linotype"/>
                <w:color w:val="000000" w:themeColor="text1"/>
              </w:rPr>
            </w:pPr>
          </w:p>
        </w:tc>
        <w:tc>
          <w:tcPr>
            <w:tcW w:w="2106" w:type="dxa"/>
            <w:vMerge/>
          </w:tcPr>
          <w:p w:rsidR="000C37FE" w:rsidRPr="002951D2" w:rsidRDefault="000C37FE" w:rsidP="000C37FE">
            <w:pPr>
              <w:jc w:val="both"/>
              <w:rPr>
                <w:rFonts w:ascii="Palatino Linotype" w:hAnsi="Palatino Linotype"/>
                <w:color w:val="000000" w:themeColor="text1"/>
              </w:rPr>
            </w:pPr>
          </w:p>
        </w:tc>
        <w:tc>
          <w:tcPr>
            <w:tcW w:w="2305" w:type="dxa"/>
            <w:vMerge/>
          </w:tcPr>
          <w:p w:rsidR="000C37FE" w:rsidRPr="002951D2" w:rsidRDefault="000C37FE" w:rsidP="000C37FE">
            <w:pPr>
              <w:jc w:val="both"/>
              <w:rPr>
                <w:rFonts w:ascii="Palatino Linotype" w:hAnsi="Palatino Linotype"/>
                <w:color w:val="000000" w:themeColor="text1"/>
              </w:rPr>
            </w:pPr>
          </w:p>
        </w:tc>
        <w:tc>
          <w:tcPr>
            <w:tcW w:w="2254" w:type="dxa"/>
            <w:vMerge/>
          </w:tcPr>
          <w:p w:rsidR="000C37FE" w:rsidRPr="002951D2" w:rsidRDefault="000C37FE" w:rsidP="000C37FE">
            <w:pPr>
              <w:jc w:val="both"/>
              <w:rPr>
                <w:rFonts w:ascii="Palatino Linotype" w:hAnsi="Palatino Linotype"/>
                <w:color w:val="000000" w:themeColor="text1"/>
              </w:rPr>
            </w:pPr>
          </w:p>
        </w:tc>
      </w:tr>
      <w:tr w:rsidR="000C37FE" w:rsidRPr="002951D2" w:rsidTr="000C37FE">
        <w:tc>
          <w:tcPr>
            <w:tcW w:w="2142" w:type="dxa"/>
            <w:vMerge/>
            <w:shd w:val="clear" w:color="auto" w:fill="D5DCE4" w:themeFill="text2" w:themeFillTint="33"/>
          </w:tcPr>
          <w:p w:rsidR="000C37FE" w:rsidRPr="002951D2" w:rsidRDefault="000C37FE" w:rsidP="000C37FE">
            <w:pPr>
              <w:jc w:val="both"/>
              <w:rPr>
                <w:rFonts w:ascii="Palatino Linotype" w:hAnsi="Palatino Linotype"/>
                <w:color w:val="000000" w:themeColor="text1"/>
              </w:rPr>
            </w:pPr>
          </w:p>
        </w:tc>
        <w:tc>
          <w:tcPr>
            <w:tcW w:w="2106" w:type="dxa"/>
            <w:vMerge/>
          </w:tcPr>
          <w:p w:rsidR="000C37FE" w:rsidRPr="002951D2" w:rsidRDefault="000C37FE" w:rsidP="000C37FE">
            <w:pPr>
              <w:jc w:val="both"/>
              <w:rPr>
                <w:rFonts w:ascii="Palatino Linotype" w:hAnsi="Palatino Linotype"/>
                <w:color w:val="000000" w:themeColor="text1"/>
              </w:rPr>
            </w:pPr>
          </w:p>
        </w:tc>
        <w:tc>
          <w:tcPr>
            <w:tcW w:w="2305" w:type="dxa"/>
            <w:vMerge/>
          </w:tcPr>
          <w:p w:rsidR="000C37FE" w:rsidRPr="002951D2" w:rsidRDefault="000C37FE" w:rsidP="000C37FE">
            <w:pPr>
              <w:jc w:val="both"/>
              <w:rPr>
                <w:rFonts w:ascii="Palatino Linotype" w:hAnsi="Palatino Linotype"/>
                <w:color w:val="000000" w:themeColor="text1"/>
              </w:rPr>
            </w:pPr>
          </w:p>
        </w:tc>
        <w:tc>
          <w:tcPr>
            <w:tcW w:w="2254" w:type="dxa"/>
          </w:tcPr>
          <w:p w:rsidR="000C37FE" w:rsidRPr="002951D2" w:rsidRDefault="000C37FE" w:rsidP="000C37FE">
            <w:pPr>
              <w:jc w:val="both"/>
              <w:rPr>
                <w:rFonts w:ascii="Palatino Linotype" w:hAnsi="Palatino Linotype"/>
                <w:color w:val="000000" w:themeColor="text1"/>
              </w:rPr>
            </w:pPr>
            <w:r w:rsidRPr="002951D2">
              <w:rPr>
                <w:rFonts w:ascii="Palatino Linotype" w:hAnsi="Palatino Linotype"/>
                <w:color w:val="000000" w:themeColor="text1"/>
              </w:rPr>
              <w:t xml:space="preserve">El riesgo por divulgar es mayor que el interés público de que se difunda  </w:t>
            </w:r>
          </w:p>
        </w:tc>
      </w:tr>
      <w:tr w:rsidR="000C37FE" w:rsidRPr="002951D2" w:rsidTr="000C37FE">
        <w:trPr>
          <w:trHeight w:val="1454"/>
        </w:trPr>
        <w:tc>
          <w:tcPr>
            <w:tcW w:w="2142" w:type="dxa"/>
            <w:vMerge/>
            <w:shd w:val="clear" w:color="auto" w:fill="D5DCE4" w:themeFill="text2" w:themeFillTint="33"/>
          </w:tcPr>
          <w:p w:rsidR="000C37FE" w:rsidRPr="002951D2" w:rsidRDefault="000C37FE" w:rsidP="000C37FE">
            <w:pPr>
              <w:jc w:val="both"/>
              <w:rPr>
                <w:rFonts w:ascii="Palatino Linotype" w:hAnsi="Palatino Linotype"/>
                <w:color w:val="000000" w:themeColor="text1"/>
              </w:rPr>
            </w:pPr>
          </w:p>
        </w:tc>
        <w:tc>
          <w:tcPr>
            <w:tcW w:w="2106" w:type="dxa"/>
            <w:vMerge/>
          </w:tcPr>
          <w:p w:rsidR="000C37FE" w:rsidRPr="002951D2" w:rsidRDefault="000C37FE" w:rsidP="000C37FE">
            <w:pPr>
              <w:jc w:val="both"/>
              <w:rPr>
                <w:rFonts w:ascii="Palatino Linotype" w:hAnsi="Palatino Linotype"/>
                <w:color w:val="000000" w:themeColor="text1"/>
              </w:rPr>
            </w:pPr>
          </w:p>
        </w:tc>
        <w:tc>
          <w:tcPr>
            <w:tcW w:w="2305" w:type="dxa"/>
            <w:vMerge/>
          </w:tcPr>
          <w:p w:rsidR="000C37FE" w:rsidRPr="002951D2" w:rsidRDefault="000C37FE" w:rsidP="000C37FE">
            <w:pPr>
              <w:jc w:val="both"/>
              <w:rPr>
                <w:rFonts w:ascii="Palatino Linotype" w:hAnsi="Palatino Linotype"/>
                <w:color w:val="000000" w:themeColor="text1"/>
              </w:rPr>
            </w:pPr>
          </w:p>
        </w:tc>
        <w:tc>
          <w:tcPr>
            <w:tcW w:w="2254" w:type="dxa"/>
          </w:tcPr>
          <w:p w:rsidR="000C37FE" w:rsidRPr="002951D2" w:rsidRDefault="000C37FE" w:rsidP="000C37FE">
            <w:pPr>
              <w:jc w:val="both"/>
              <w:rPr>
                <w:rFonts w:ascii="Palatino Linotype" w:hAnsi="Palatino Linotype"/>
                <w:color w:val="000000" w:themeColor="text1"/>
              </w:rPr>
            </w:pPr>
            <w:r w:rsidRPr="002951D2">
              <w:rPr>
                <w:rFonts w:ascii="Palatino Linotype" w:hAnsi="Palatino Linotype"/>
                <w:color w:val="000000" w:themeColor="text1"/>
              </w:rPr>
              <w:t>El principio de proporcionalidad</w:t>
            </w:r>
          </w:p>
        </w:tc>
      </w:tr>
      <w:tr w:rsidR="000C37FE" w:rsidRPr="002951D2" w:rsidTr="000C37FE">
        <w:tc>
          <w:tcPr>
            <w:tcW w:w="2142" w:type="dxa"/>
            <w:vMerge w:val="restart"/>
            <w:shd w:val="clear" w:color="auto" w:fill="D5DCE4" w:themeFill="text2" w:themeFillTint="33"/>
          </w:tcPr>
          <w:p w:rsidR="000C37FE" w:rsidRPr="002951D2" w:rsidRDefault="000C37FE" w:rsidP="000C37FE">
            <w:pPr>
              <w:jc w:val="both"/>
              <w:rPr>
                <w:rFonts w:ascii="Palatino Linotype" w:hAnsi="Palatino Linotype"/>
                <w:color w:val="000000" w:themeColor="text1"/>
              </w:rPr>
            </w:pPr>
            <w:r w:rsidRPr="002951D2">
              <w:rPr>
                <w:rFonts w:ascii="Palatino Linotype" w:hAnsi="Palatino Linotype"/>
                <w:color w:val="000000" w:themeColor="text1"/>
              </w:rPr>
              <w:t>Condiciones especiales de la confidencialidad</w:t>
            </w:r>
          </w:p>
        </w:tc>
        <w:tc>
          <w:tcPr>
            <w:tcW w:w="2106" w:type="dxa"/>
          </w:tcPr>
          <w:p w:rsidR="000C37FE" w:rsidRPr="002951D2" w:rsidRDefault="000C37FE" w:rsidP="000C37FE">
            <w:pPr>
              <w:jc w:val="both"/>
              <w:rPr>
                <w:rFonts w:ascii="Palatino Linotype" w:hAnsi="Palatino Linotype"/>
                <w:color w:val="000000" w:themeColor="text1"/>
              </w:rPr>
            </w:pPr>
            <w:r w:rsidRPr="002951D2">
              <w:rPr>
                <w:rFonts w:ascii="Palatino Linotype" w:hAnsi="Palatino Linotype"/>
                <w:color w:val="000000" w:themeColor="text1"/>
              </w:rPr>
              <w:t xml:space="preserve">Para clasificar se debe verificar que no se encuentre en los supuestos del artículo 148 de la ley Estatal </w:t>
            </w:r>
          </w:p>
        </w:tc>
        <w:tc>
          <w:tcPr>
            <w:tcW w:w="2305" w:type="dxa"/>
          </w:tcPr>
          <w:p w:rsidR="000C37FE" w:rsidRPr="002951D2" w:rsidRDefault="000C37FE" w:rsidP="000C37FE">
            <w:pPr>
              <w:jc w:val="both"/>
              <w:rPr>
                <w:rFonts w:ascii="Palatino Linotype" w:hAnsi="Palatino Linotype"/>
                <w:color w:val="000000" w:themeColor="text1"/>
              </w:rPr>
            </w:pPr>
            <w:r w:rsidRPr="002951D2">
              <w:rPr>
                <w:rFonts w:ascii="Palatino Linotype" w:hAnsi="Palatino Linotype"/>
                <w:color w:val="000000" w:themeColor="text1"/>
              </w:rPr>
              <w:t xml:space="preserve">Si se encuentra en los supuestos de dicho artículo se entrega aún sin consentimiento del titular del dato personal </w:t>
            </w:r>
          </w:p>
        </w:tc>
        <w:tc>
          <w:tcPr>
            <w:tcW w:w="2254" w:type="dxa"/>
          </w:tcPr>
          <w:p w:rsidR="000C37FE" w:rsidRPr="002951D2" w:rsidRDefault="000C37FE" w:rsidP="000C37FE">
            <w:pPr>
              <w:jc w:val="both"/>
              <w:rPr>
                <w:rFonts w:ascii="Palatino Linotype" w:hAnsi="Palatino Linotype"/>
                <w:color w:val="000000" w:themeColor="text1"/>
              </w:rPr>
            </w:pPr>
          </w:p>
        </w:tc>
      </w:tr>
      <w:tr w:rsidR="000C37FE" w:rsidRPr="002951D2" w:rsidTr="000C37FE">
        <w:trPr>
          <w:trHeight w:val="3404"/>
        </w:trPr>
        <w:tc>
          <w:tcPr>
            <w:tcW w:w="2142" w:type="dxa"/>
            <w:vMerge/>
            <w:shd w:val="clear" w:color="auto" w:fill="D5DCE4" w:themeFill="text2" w:themeFillTint="33"/>
          </w:tcPr>
          <w:p w:rsidR="000C37FE" w:rsidRPr="002951D2" w:rsidRDefault="000C37FE" w:rsidP="000C37FE">
            <w:pPr>
              <w:jc w:val="both"/>
              <w:rPr>
                <w:rFonts w:ascii="Palatino Linotype" w:hAnsi="Palatino Linotype"/>
                <w:color w:val="000000" w:themeColor="text1"/>
              </w:rPr>
            </w:pPr>
          </w:p>
        </w:tc>
        <w:tc>
          <w:tcPr>
            <w:tcW w:w="2106" w:type="dxa"/>
          </w:tcPr>
          <w:p w:rsidR="000C37FE" w:rsidRPr="002951D2" w:rsidRDefault="000C37FE" w:rsidP="000C37FE">
            <w:pPr>
              <w:jc w:val="both"/>
              <w:rPr>
                <w:rFonts w:ascii="Palatino Linotype" w:hAnsi="Palatino Linotype"/>
                <w:color w:val="000000" w:themeColor="text1"/>
              </w:rPr>
            </w:pPr>
            <w:r w:rsidRPr="002951D2">
              <w:rPr>
                <w:rFonts w:ascii="Palatino Linotype" w:hAnsi="Palatino Linotype"/>
                <w:color w:val="000000" w:themeColor="text1"/>
              </w:rPr>
              <w:t>Si es posible, se debe consultar al titular de los datos para requerir su autorización para entregarlo</w:t>
            </w:r>
          </w:p>
        </w:tc>
        <w:tc>
          <w:tcPr>
            <w:tcW w:w="2305" w:type="dxa"/>
          </w:tcPr>
          <w:p w:rsidR="000C37FE" w:rsidRPr="002951D2" w:rsidRDefault="000C37FE" w:rsidP="000C37FE">
            <w:pPr>
              <w:jc w:val="both"/>
              <w:rPr>
                <w:rFonts w:ascii="Palatino Linotype" w:hAnsi="Palatino Linotype"/>
                <w:color w:val="000000" w:themeColor="text1"/>
              </w:rPr>
            </w:pPr>
          </w:p>
        </w:tc>
        <w:tc>
          <w:tcPr>
            <w:tcW w:w="2254" w:type="dxa"/>
          </w:tcPr>
          <w:p w:rsidR="000C37FE" w:rsidRPr="002951D2" w:rsidRDefault="000C37FE" w:rsidP="000C37FE">
            <w:pPr>
              <w:jc w:val="both"/>
              <w:rPr>
                <w:rFonts w:ascii="Palatino Linotype" w:hAnsi="Palatino Linotype"/>
                <w:color w:val="000000" w:themeColor="text1"/>
              </w:rPr>
            </w:pPr>
          </w:p>
        </w:tc>
      </w:tr>
    </w:tbl>
    <w:p w:rsidR="000C37FE" w:rsidRPr="002951D2" w:rsidRDefault="000C37FE" w:rsidP="002951D2">
      <w:pPr>
        <w:numPr>
          <w:ilvl w:val="0"/>
          <w:numId w:val="2"/>
        </w:numPr>
        <w:shd w:val="clear" w:color="auto" w:fill="FFFFFF"/>
        <w:spacing w:beforeAutospacing="1" w:after="240" w:line="360" w:lineRule="auto"/>
        <w:ind w:left="0" w:firstLine="0"/>
        <w:jc w:val="both"/>
        <w:textAlignment w:val="baseline"/>
        <w:rPr>
          <w:rFonts w:ascii="Palatino Linotype" w:hAnsi="Palatino Linotype" w:cs="Times New Roman"/>
          <w:color w:val="000000" w:themeColor="text1"/>
          <w:sz w:val="24"/>
          <w:szCs w:val="24"/>
          <w:lang w:eastAsia="es-ES_tradnl"/>
        </w:rPr>
      </w:pPr>
      <w:r w:rsidRPr="002951D2">
        <w:rPr>
          <w:rFonts w:ascii="Palatino Linotype" w:hAnsi="Palatino Linotype"/>
          <w:color w:val="000000" w:themeColor="text1"/>
          <w:sz w:val="24"/>
          <w:szCs w:val="24"/>
        </w:rPr>
        <w:t>Pero</w:t>
      </w:r>
      <w:r w:rsidRPr="002951D2">
        <w:rPr>
          <w:rFonts w:ascii="Palatino Linotype" w:hAnsi="Palatino Linotype" w:cs="Times New Roman"/>
          <w:color w:val="000000" w:themeColor="text1"/>
          <w:sz w:val="24"/>
          <w:szCs w:val="24"/>
          <w:lang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0C37FE" w:rsidRPr="002951D2" w:rsidRDefault="000C37FE" w:rsidP="002951D2">
      <w:pPr>
        <w:numPr>
          <w:ilvl w:val="0"/>
          <w:numId w:val="2"/>
        </w:numPr>
        <w:shd w:val="clear" w:color="auto" w:fill="FFFFFF"/>
        <w:spacing w:before="240" w:after="0" w:line="360" w:lineRule="auto"/>
        <w:ind w:left="0" w:firstLine="0"/>
        <w:contextualSpacing/>
        <w:jc w:val="both"/>
        <w:rPr>
          <w:rFonts w:ascii="Palatino Linotype" w:eastAsia="Times New Roman" w:hAnsi="Palatino Linotype" w:cs="Arial"/>
          <w:color w:val="000000" w:themeColor="text1"/>
          <w:sz w:val="24"/>
          <w:szCs w:val="24"/>
          <w:lang w:eastAsia="es-MX"/>
        </w:rPr>
      </w:pPr>
      <w:r w:rsidRPr="002951D2">
        <w:rPr>
          <w:rFonts w:ascii="Palatino Linotype" w:hAnsi="Palatino Linotype"/>
          <w:color w:val="000000" w:themeColor="text1"/>
          <w:sz w:val="24"/>
          <w:szCs w:val="24"/>
        </w:rPr>
        <w:t>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3F3EDE" w:rsidRPr="002951D2" w:rsidRDefault="003F3EDE" w:rsidP="003F3EDE">
      <w:pPr>
        <w:spacing w:after="0" w:line="360" w:lineRule="auto"/>
        <w:contextualSpacing/>
        <w:jc w:val="both"/>
        <w:rPr>
          <w:rFonts w:ascii="Palatino Linotype" w:eastAsia="Calibri" w:hAnsi="Palatino Linotype" w:cs="Arial"/>
          <w:bCs/>
          <w:sz w:val="24"/>
          <w:szCs w:val="24"/>
          <w:lang w:val="es-ES_tradnl" w:eastAsia="es-ES"/>
        </w:rPr>
      </w:pPr>
    </w:p>
    <w:p w:rsidR="003F3EDE" w:rsidRPr="002951D2" w:rsidRDefault="003F3EDE" w:rsidP="00DC5CB3">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2951D2">
        <w:rPr>
          <w:rFonts w:ascii="Palatino Linotype" w:eastAsia="Calibri" w:hAnsi="Palatino Linotype" w:cs="Arial"/>
          <w:bCs/>
          <w:sz w:val="24"/>
          <w:szCs w:val="24"/>
          <w:lang w:val="es-ES_tradnl" w:eastAsia="es-ES"/>
        </w:rPr>
        <w:t>Si el servidor público incumple con estas formalidades y entrega</w:t>
      </w:r>
      <w:r w:rsidR="00F964EF" w:rsidRPr="002951D2">
        <w:rPr>
          <w:rFonts w:ascii="Palatino Linotype" w:eastAsia="Calibri" w:hAnsi="Palatino Linotype" w:cs="Arial"/>
          <w:bCs/>
          <w:sz w:val="24"/>
          <w:szCs w:val="24"/>
          <w:lang w:val="es-ES_tradnl" w:eastAsia="es-ES"/>
        </w:rPr>
        <w:t xml:space="preserve"> la información sin proteger</w:t>
      </w:r>
      <w:r w:rsidRPr="002951D2">
        <w:rPr>
          <w:rFonts w:ascii="Palatino Linotype" w:eastAsia="Calibri" w:hAnsi="Palatino Linotype" w:cs="Arial"/>
          <w:bCs/>
          <w:sz w:val="24"/>
          <w:szCs w:val="24"/>
          <w:lang w:val="es-ES_tradnl" w:eastAsia="es-ES"/>
        </w:rPr>
        <w:t xml:space="preserve"> datos personales </w:t>
      </w:r>
      <w:r w:rsidR="00F964EF" w:rsidRPr="002951D2">
        <w:rPr>
          <w:rFonts w:ascii="Palatino Linotype" w:eastAsia="Calibri" w:hAnsi="Palatino Linotype" w:cs="Arial"/>
          <w:bCs/>
          <w:sz w:val="24"/>
          <w:szCs w:val="24"/>
          <w:lang w:val="es-ES_tradnl" w:eastAsia="es-ES"/>
        </w:rPr>
        <w:t xml:space="preserve">o información reversada </w:t>
      </w:r>
      <w:r w:rsidRPr="002951D2">
        <w:rPr>
          <w:rFonts w:ascii="Palatino Linotype" w:eastAsia="Calibri" w:hAnsi="Palatino Linotype" w:cs="Arial"/>
          <w:bCs/>
          <w:sz w:val="24"/>
          <w:szCs w:val="24"/>
          <w:lang w:val="es-ES_tradnl" w:eastAsia="es-ES"/>
        </w:rPr>
        <w:t>incumple con lo que estipula las disposiciones legales establecidas, asimismo que si entrega un documento testado sin el debido acuerdo de clasificación.</w:t>
      </w:r>
    </w:p>
    <w:p w:rsidR="003F3EDE" w:rsidRPr="002951D2" w:rsidRDefault="003F3EDE" w:rsidP="003F3EDE">
      <w:pPr>
        <w:tabs>
          <w:tab w:val="left" w:pos="66"/>
        </w:tabs>
        <w:spacing w:after="0" w:line="360" w:lineRule="auto"/>
        <w:contextualSpacing/>
        <w:jc w:val="both"/>
        <w:rPr>
          <w:rFonts w:ascii="Palatino Linotype" w:eastAsia="MS Mincho" w:hAnsi="Palatino Linotype" w:cs="Times New Roman"/>
          <w:sz w:val="24"/>
          <w:szCs w:val="24"/>
          <w:lang w:val="es-ES_tradnl" w:eastAsia="es-ES"/>
        </w:rPr>
      </w:pPr>
      <w:bookmarkStart w:id="141" w:name="_Toc454968928"/>
      <w:bookmarkStart w:id="142" w:name="_Toc455743517"/>
      <w:bookmarkStart w:id="143" w:name="_Toc458016386"/>
      <w:bookmarkStart w:id="144" w:name="_Toc461555893"/>
      <w:bookmarkStart w:id="145" w:name="_Toc462307690"/>
      <w:bookmarkStart w:id="146" w:name="_Toc475005143"/>
      <w:bookmarkStart w:id="147" w:name="_Toc499659080"/>
      <w:bookmarkEnd w:id="61"/>
      <w:bookmarkEnd w:id="62"/>
      <w:bookmarkEnd w:id="63"/>
      <w:bookmarkEnd w:id="64"/>
      <w:bookmarkEnd w:id="65"/>
      <w:bookmarkEnd w:id="66"/>
      <w:bookmarkEnd w:id="67"/>
      <w:bookmarkEnd w:id="68"/>
    </w:p>
    <w:p w:rsidR="003F3EDE" w:rsidRDefault="003F3EDE" w:rsidP="00DC5CB3">
      <w:pPr>
        <w:numPr>
          <w:ilvl w:val="0"/>
          <w:numId w:val="2"/>
        </w:numPr>
        <w:tabs>
          <w:tab w:val="left" w:pos="0"/>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2951D2">
        <w:rPr>
          <w:rFonts w:ascii="Palatino Linotype" w:eastAsia="Times New Roman" w:hAnsi="Palatino Linotype" w:cs="Arial"/>
          <w:sz w:val="24"/>
          <w:szCs w:val="24"/>
          <w:lang w:val="es-ES_tradnl" w:eastAsia="es-ES"/>
        </w:rPr>
        <w:t>Finalmente</w:t>
      </w:r>
      <w:r w:rsidRPr="002951D2">
        <w:rPr>
          <w:rFonts w:ascii="Palatino Linotype" w:eastAsia="MS Mincho" w:hAnsi="Palatino Linotype" w:cs="Times New Roman"/>
          <w:sz w:val="24"/>
          <w:szCs w:val="24"/>
          <w:lang w:val="es-ES_tradnl" w:eastAsia="es-ES"/>
        </w:rPr>
        <w:t xml:space="preserve">, en términos del artículo 186 fracción III este Pleno determina </w:t>
      </w:r>
      <w:r w:rsidR="00F964EF" w:rsidRPr="002951D2">
        <w:rPr>
          <w:rFonts w:ascii="Palatino Linotype" w:eastAsia="MS Mincho" w:hAnsi="Palatino Linotype" w:cs="Times New Roman"/>
          <w:b/>
          <w:sz w:val="24"/>
          <w:szCs w:val="24"/>
          <w:lang w:val="es-ES_tradnl" w:eastAsia="es-ES"/>
        </w:rPr>
        <w:t>MODIFIC</w:t>
      </w:r>
      <w:r w:rsidRPr="002951D2">
        <w:rPr>
          <w:rFonts w:ascii="Palatino Linotype" w:eastAsia="MS Mincho" w:hAnsi="Palatino Linotype" w:cs="Times New Roman"/>
          <w:b/>
          <w:sz w:val="24"/>
          <w:szCs w:val="24"/>
          <w:lang w:val="es-ES_tradnl" w:eastAsia="es-ES"/>
        </w:rPr>
        <w:t xml:space="preserve">AR </w:t>
      </w:r>
      <w:r w:rsidRPr="002951D2">
        <w:rPr>
          <w:rFonts w:ascii="Palatino Linotype" w:eastAsia="MS Mincho" w:hAnsi="Palatino Linotype" w:cs="Times New Roman"/>
          <w:sz w:val="24"/>
          <w:szCs w:val="24"/>
          <w:lang w:val="es-ES_tradnl" w:eastAsia="es-ES"/>
        </w:rPr>
        <w:t xml:space="preserve">la </w:t>
      </w:r>
      <w:r w:rsidR="00F964EF" w:rsidRPr="002951D2">
        <w:rPr>
          <w:rFonts w:ascii="Palatino Linotype" w:eastAsia="MS Mincho" w:hAnsi="Palatino Linotype" w:cs="Times New Roman"/>
          <w:sz w:val="24"/>
          <w:szCs w:val="24"/>
          <w:lang w:val="es-ES_tradnl" w:eastAsia="es-ES"/>
        </w:rPr>
        <w:t xml:space="preserve">respuesta y ordenar la </w:t>
      </w:r>
      <w:r w:rsidRPr="002951D2">
        <w:rPr>
          <w:rFonts w:ascii="Palatino Linotype" w:eastAsia="MS Mincho" w:hAnsi="Palatino Linotype" w:cs="Times New Roman"/>
          <w:sz w:val="24"/>
          <w:szCs w:val="24"/>
          <w:lang w:val="es-ES_tradnl" w:eastAsia="es-ES"/>
        </w:rPr>
        <w:t>entrega de</w:t>
      </w:r>
      <w:r w:rsidR="00F964EF" w:rsidRPr="002951D2">
        <w:rPr>
          <w:rFonts w:ascii="Palatino Linotype" w:eastAsia="MS Mincho" w:hAnsi="Palatino Linotype" w:cs="Times New Roman"/>
          <w:sz w:val="24"/>
          <w:szCs w:val="24"/>
          <w:lang w:val="es-ES_tradnl" w:eastAsia="es-ES"/>
        </w:rPr>
        <w:t>l acuerdo de avale la clasificación de</w:t>
      </w:r>
      <w:r w:rsidRPr="002951D2">
        <w:rPr>
          <w:rFonts w:ascii="Palatino Linotype" w:eastAsia="MS Mincho" w:hAnsi="Palatino Linotype" w:cs="Times New Roman"/>
          <w:sz w:val="24"/>
          <w:szCs w:val="24"/>
          <w:lang w:val="es-ES_tradnl" w:eastAsia="es-ES"/>
        </w:rPr>
        <w:t xml:space="preserve"> la información que</w:t>
      </w:r>
      <w:r w:rsidR="00F964EF" w:rsidRPr="002951D2">
        <w:rPr>
          <w:rFonts w:ascii="Palatino Linotype" w:eastAsia="MS Mincho" w:hAnsi="Palatino Linotype" w:cs="Times New Roman"/>
          <w:sz w:val="24"/>
          <w:szCs w:val="24"/>
          <w:lang w:val="es-ES_tradnl" w:eastAsia="es-ES"/>
        </w:rPr>
        <w:t xml:space="preserve"> fue entregada</w:t>
      </w:r>
      <w:r w:rsidRPr="002951D2">
        <w:rPr>
          <w:rFonts w:ascii="Palatino Linotype" w:eastAsia="MS Mincho" w:hAnsi="Palatino Linotype" w:cs="Times New Roman"/>
          <w:sz w:val="24"/>
          <w:szCs w:val="24"/>
          <w:lang w:val="es-ES_tradnl" w:eastAsia="es-ES"/>
        </w:rPr>
        <w:t>, toda vez que hubo afectación al derecho de acceso a la información pública establecido constitucionalmente a favor del particular.</w:t>
      </w:r>
    </w:p>
    <w:p w:rsidR="00645316" w:rsidRDefault="00645316" w:rsidP="00645316">
      <w:pPr>
        <w:pStyle w:val="Prrafodelista"/>
        <w:rPr>
          <w:rFonts w:ascii="Palatino Linotype" w:eastAsia="MS Mincho" w:hAnsi="Palatino Linotype" w:cs="Times New Roman"/>
          <w:sz w:val="24"/>
          <w:szCs w:val="24"/>
          <w:lang w:val="es-ES_tradnl" w:eastAsia="es-ES"/>
        </w:rPr>
      </w:pPr>
    </w:p>
    <w:p w:rsidR="00645316" w:rsidRDefault="00645316" w:rsidP="00645316">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645316" w:rsidRPr="002951D2" w:rsidRDefault="00645316" w:rsidP="00645316">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3F3EDE" w:rsidRPr="002951D2" w:rsidRDefault="003F3EDE" w:rsidP="003F3EDE">
      <w:pPr>
        <w:keepNext/>
        <w:keepLines/>
        <w:tabs>
          <w:tab w:val="left" w:pos="3043"/>
          <w:tab w:val="center" w:pos="4490"/>
        </w:tabs>
        <w:spacing w:before="240" w:after="0"/>
        <w:ind w:right="-142"/>
        <w:outlineLvl w:val="0"/>
        <w:rPr>
          <w:rFonts w:ascii="Palatino Linotype" w:eastAsia="Calibri" w:hAnsi="Palatino Linotype" w:cstheme="majorBidi"/>
          <w:b/>
          <w:sz w:val="24"/>
          <w:szCs w:val="24"/>
          <w:lang w:val="es-ES" w:eastAsia="es-ES"/>
        </w:rPr>
      </w:pPr>
      <w:bookmarkStart w:id="148" w:name="_Toc447183492"/>
      <w:bookmarkStart w:id="149" w:name="_Toc450120667"/>
      <w:bookmarkStart w:id="150" w:name="_Toc461555895"/>
      <w:bookmarkEnd w:id="141"/>
      <w:bookmarkEnd w:id="142"/>
      <w:bookmarkEnd w:id="143"/>
      <w:bookmarkEnd w:id="144"/>
      <w:bookmarkEnd w:id="145"/>
      <w:bookmarkEnd w:id="146"/>
      <w:bookmarkEnd w:id="147"/>
      <w:r w:rsidRPr="002951D2">
        <w:rPr>
          <w:rFonts w:ascii="Palatino Linotype" w:eastAsia="Calibri" w:hAnsi="Palatino Linotype" w:cstheme="majorBidi"/>
          <w:b/>
          <w:sz w:val="24"/>
          <w:szCs w:val="24"/>
          <w:lang w:val="es-ES" w:eastAsia="es-ES"/>
        </w:rPr>
        <w:tab/>
      </w:r>
      <w:bookmarkStart w:id="151" w:name="_Toc23430166"/>
      <w:r w:rsidRPr="002951D2">
        <w:rPr>
          <w:rFonts w:ascii="Palatino Linotype" w:eastAsia="Calibri" w:hAnsi="Palatino Linotype" w:cstheme="majorBidi"/>
          <w:b/>
          <w:sz w:val="24"/>
          <w:szCs w:val="24"/>
          <w:lang w:val="es-ES" w:eastAsia="es-ES"/>
        </w:rPr>
        <w:t>R E S O L U T I V O S</w:t>
      </w:r>
      <w:bookmarkEnd w:id="148"/>
      <w:bookmarkEnd w:id="149"/>
      <w:bookmarkEnd w:id="150"/>
      <w:bookmarkEnd w:id="151"/>
      <w:r w:rsidRPr="002951D2">
        <w:rPr>
          <w:rFonts w:ascii="Palatino Linotype" w:eastAsia="Calibri" w:hAnsi="Palatino Linotype" w:cstheme="majorBidi"/>
          <w:b/>
          <w:sz w:val="24"/>
          <w:szCs w:val="24"/>
          <w:lang w:val="es-ES" w:eastAsia="es-ES"/>
        </w:rPr>
        <w:t xml:space="preserve"> </w:t>
      </w:r>
    </w:p>
    <w:p w:rsidR="003F3EDE" w:rsidRPr="002951D2" w:rsidRDefault="003F3EDE" w:rsidP="003F3EDE">
      <w:pPr>
        <w:spacing w:after="0" w:line="240" w:lineRule="auto"/>
        <w:ind w:right="-142"/>
        <w:rPr>
          <w:rFonts w:ascii="Palatino Linotype" w:eastAsiaTheme="minorEastAsia" w:hAnsi="Palatino Linotype"/>
          <w:sz w:val="24"/>
          <w:szCs w:val="24"/>
          <w:lang w:val="es-ES" w:eastAsia="es-ES"/>
        </w:rPr>
      </w:pPr>
    </w:p>
    <w:p w:rsidR="003F3EDE" w:rsidRPr="002951D2" w:rsidRDefault="003F3EDE" w:rsidP="003F3EDE">
      <w:pPr>
        <w:spacing w:before="240" w:after="360" w:line="360" w:lineRule="auto"/>
        <w:ind w:right="49"/>
        <w:jc w:val="both"/>
        <w:rPr>
          <w:rFonts w:ascii="Palatino Linotype" w:eastAsia="Times New Roman" w:hAnsi="Palatino Linotype" w:cs="Arial"/>
          <w:sz w:val="24"/>
          <w:szCs w:val="24"/>
        </w:rPr>
      </w:pPr>
      <w:r w:rsidRPr="002951D2">
        <w:rPr>
          <w:rFonts w:ascii="Palatino Linotype" w:eastAsia="Times New Roman" w:hAnsi="Palatino Linotype" w:cs="Arial"/>
          <w:b/>
          <w:sz w:val="24"/>
          <w:szCs w:val="24"/>
          <w:lang w:val="es-ES_tradnl" w:eastAsia="es-ES"/>
        </w:rPr>
        <w:t>PRIMERO</w:t>
      </w:r>
      <w:r w:rsidRPr="002951D2">
        <w:rPr>
          <w:rFonts w:ascii="Palatino Linotype" w:eastAsia="Times New Roman" w:hAnsi="Palatino Linotype" w:cs="Arial"/>
          <w:sz w:val="24"/>
          <w:szCs w:val="24"/>
          <w:lang w:val="es-ES" w:eastAsia="es-ES"/>
        </w:rPr>
        <w:t xml:space="preserve">. </w:t>
      </w:r>
      <w:r w:rsidRPr="002951D2">
        <w:rPr>
          <w:rFonts w:ascii="Palatino Linotype" w:eastAsia="Times New Roman" w:hAnsi="Palatino Linotype" w:cs="Arial"/>
          <w:sz w:val="24"/>
          <w:szCs w:val="24"/>
        </w:rPr>
        <w:t xml:space="preserve">Resultan </w:t>
      </w:r>
      <w:r w:rsidR="00F964EF" w:rsidRPr="002951D2">
        <w:rPr>
          <w:rFonts w:ascii="Palatino Linotype" w:eastAsia="Times New Roman" w:hAnsi="Palatino Linotype" w:cs="Arial"/>
          <w:sz w:val="24"/>
          <w:szCs w:val="24"/>
        </w:rPr>
        <w:t xml:space="preserve">parcialmente </w:t>
      </w:r>
      <w:r w:rsidRPr="002951D2">
        <w:rPr>
          <w:rFonts w:ascii="Palatino Linotype" w:eastAsia="Times New Roman" w:hAnsi="Palatino Linotype" w:cs="Arial"/>
          <w:sz w:val="24"/>
          <w:szCs w:val="24"/>
        </w:rPr>
        <w:t>fundadas las</w:t>
      </w:r>
      <w:r w:rsidRPr="002951D2">
        <w:rPr>
          <w:rFonts w:ascii="Palatino Linotype" w:eastAsia="Times New Roman" w:hAnsi="Palatino Linotype" w:cs="Arial"/>
          <w:b/>
          <w:sz w:val="24"/>
          <w:szCs w:val="24"/>
        </w:rPr>
        <w:t xml:space="preserve"> </w:t>
      </w:r>
      <w:r w:rsidRPr="002951D2">
        <w:rPr>
          <w:rFonts w:ascii="Palatino Linotype" w:eastAsia="Times New Roman" w:hAnsi="Palatino Linotype" w:cs="Arial"/>
          <w:sz w:val="24"/>
          <w:szCs w:val="24"/>
          <w:lang w:val="es-ES"/>
        </w:rPr>
        <w:t xml:space="preserve">razones o motivos de inconformidad hechos valer </w:t>
      </w:r>
      <w:r w:rsidRPr="002951D2">
        <w:rPr>
          <w:rFonts w:ascii="Palatino Linotype" w:eastAsia="Calibri" w:hAnsi="Palatino Linotype" w:cs="Arial"/>
          <w:sz w:val="24"/>
          <w:szCs w:val="24"/>
          <w:lang w:val="es-ES"/>
        </w:rPr>
        <w:t xml:space="preserve">en el recurso de revisión </w:t>
      </w:r>
      <w:r w:rsidR="00F964EF" w:rsidRPr="002951D2">
        <w:rPr>
          <w:rFonts w:ascii="Palatino Linotype" w:eastAsia="Calibri" w:hAnsi="Palatino Linotype" w:cs="Arial"/>
          <w:b/>
          <w:sz w:val="24"/>
          <w:szCs w:val="24"/>
          <w:lang w:val="es-ES"/>
        </w:rPr>
        <w:t>06958</w:t>
      </w:r>
      <w:r w:rsidRPr="002951D2">
        <w:rPr>
          <w:rFonts w:ascii="Palatino Linotype" w:hAnsi="Palatino Linotype" w:cs="Arial"/>
          <w:b/>
          <w:bCs/>
          <w:sz w:val="24"/>
          <w:szCs w:val="24"/>
        </w:rPr>
        <w:t>/INFOEM/IP/RR/2019</w:t>
      </w:r>
      <w:r w:rsidRPr="002951D2">
        <w:rPr>
          <w:rFonts w:ascii="Palatino Linotype" w:hAnsi="Palatino Linotype" w:cs="Arial"/>
          <w:b/>
          <w:bCs/>
          <w:sz w:val="24"/>
          <w:szCs w:val="24"/>
          <w:lang w:eastAsia="es-MX"/>
        </w:rPr>
        <w:t xml:space="preserve"> </w:t>
      </w:r>
      <w:r w:rsidRPr="002951D2">
        <w:rPr>
          <w:rFonts w:ascii="Palatino Linotype" w:hAnsi="Palatino Linotype" w:cs="Arial"/>
          <w:bCs/>
          <w:sz w:val="24"/>
          <w:szCs w:val="24"/>
          <w:lang w:eastAsia="es-MX"/>
        </w:rPr>
        <w:t xml:space="preserve">en términos de los </w:t>
      </w:r>
      <w:r w:rsidRPr="002951D2">
        <w:rPr>
          <w:rFonts w:ascii="Palatino Linotype" w:hAnsi="Palatino Linotype" w:cs="Arial"/>
          <w:b/>
          <w:bCs/>
          <w:sz w:val="24"/>
          <w:szCs w:val="24"/>
          <w:lang w:eastAsia="es-MX"/>
        </w:rPr>
        <w:t xml:space="preserve">Considerandos CUARTO y QUINTO </w:t>
      </w:r>
      <w:r w:rsidRPr="002951D2">
        <w:rPr>
          <w:rFonts w:ascii="Palatino Linotype" w:hAnsi="Palatino Linotype" w:cs="Arial"/>
          <w:bCs/>
          <w:sz w:val="24"/>
          <w:szCs w:val="24"/>
          <w:lang w:eastAsia="es-MX"/>
        </w:rPr>
        <w:t>de la presente resolución.</w:t>
      </w:r>
    </w:p>
    <w:p w:rsidR="003F3EDE" w:rsidRPr="002951D2" w:rsidRDefault="003F3EDE" w:rsidP="00B1370C">
      <w:pPr>
        <w:spacing w:before="240" w:after="360" w:line="360" w:lineRule="auto"/>
        <w:ind w:right="49"/>
        <w:jc w:val="both"/>
        <w:rPr>
          <w:rFonts w:ascii="Palatino Linotype" w:eastAsia="MS Mincho" w:hAnsi="Palatino Linotype" w:cstheme="majorBidi"/>
          <w:b/>
          <w:sz w:val="24"/>
          <w:szCs w:val="24"/>
          <w:lang w:val="es-ES_tradnl" w:eastAsia="es-ES"/>
        </w:rPr>
      </w:pPr>
      <w:r w:rsidRPr="002951D2">
        <w:rPr>
          <w:rFonts w:ascii="Palatino Linotype" w:eastAsiaTheme="minorEastAsia" w:hAnsi="Palatino Linotype"/>
          <w:b/>
          <w:sz w:val="24"/>
          <w:szCs w:val="24"/>
          <w:lang w:val="es-ES_tradnl" w:eastAsia="es-ES"/>
        </w:rPr>
        <w:t>SEGUNDO.</w:t>
      </w:r>
      <w:r w:rsidRPr="002951D2">
        <w:rPr>
          <w:rFonts w:ascii="Palatino Linotype" w:eastAsiaTheme="majorEastAsia" w:hAnsi="Palatino Linotype" w:cstheme="majorBidi"/>
          <w:b/>
          <w:sz w:val="24"/>
          <w:szCs w:val="24"/>
          <w:lang w:val="es-ES_tradnl" w:eastAsia="es-ES"/>
        </w:rPr>
        <w:t xml:space="preserve"> </w:t>
      </w:r>
      <w:r w:rsidRPr="002951D2">
        <w:rPr>
          <w:rFonts w:ascii="Palatino Linotype" w:eastAsia="Calibri" w:hAnsi="Palatino Linotype" w:cs="Arial"/>
          <w:sz w:val="24"/>
          <w:szCs w:val="24"/>
          <w:lang w:val="es-ES" w:eastAsia="es-ES"/>
        </w:rPr>
        <w:t>Se</w:t>
      </w:r>
      <w:r w:rsidR="00F964EF" w:rsidRPr="002951D2">
        <w:rPr>
          <w:rFonts w:ascii="Palatino Linotype" w:eastAsia="Calibri" w:hAnsi="Palatino Linotype" w:cs="Arial"/>
          <w:b/>
          <w:sz w:val="24"/>
          <w:szCs w:val="24"/>
          <w:lang w:val="es-ES" w:eastAsia="es-ES"/>
        </w:rPr>
        <w:t xml:space="preserve"> MODIFICA</w:t>
      </w:r>
      <w:r w:rsidRPr="002951D2">
        <w:rPr>
          <w:rFonts w:ascii="Palatino Linotype" w:eastAsia="Calibri" w:hAnsi="Palatino Linotype" w:cs="Arial"/>
          <w:b/>
          <w:sz w:val="24"/>
          <w:szCs w:val="24"/>
          <w:lang w:val="es-ES" w:eastAsia="es-ES"/>
        </w:rPr>
        <w:t xml:space="preserve"> </w:t>
      </w:r>
      <w:r w:rsidRPr="002951D2">
        <w:rPr>
          <w:rFonts w:ascii="Palatino Linotype" w:eastAsia="Calibri" w:hAnsi="Palatino Linotype" w:cs="Arial"/>
          <w:sz w:val="24"/>
          <w:szCs w:val="24"/>
          <w:lang w:val="es-ES" w:eastAsia="es-ES"/>
        </w:rPr>
        <w:t>la respuesta</w:t>
      </w:r>
      <w:r w:rsidRPr="002951D2">
        <w:rPr>
          <w:rFonts w:ascii="Palatino Linotype" w:eastAsia="Calibri" w:hAnsi="Palatino Linotype" w:cs="Arial"/>
          <w:b/>
          <w:sz w:val="24"/>
          <w:szCs w:val="24"/>
          <w:lang w:val="es-ES" w:eastAsia="es-ES"/>
        </w:rPr>
        <w:t xml:space="preserve"> y ordenar</w:t>
      </w:r>
      <w:r w:rsidR="00F964EF" w:rsidRPr="002951D2">
        <w:rPr>
          <w:rFonts w:ascii="Palatino Linotype" w:eastAsia="Calibri" w:hAnsi="Palatino Linotype" w:cs="Arial"/>
          <w:b/>
          <w:sz w:val="24"/>
          <w:szCs w:val="24"/>
          <w:lang w:val="es-ES" w:eastAsia="es-ES"/>
        </w:rPr>
        <w:t xml:space="preserve"> a la Secretaría de Seguridad</w:t>
      </w:r>
      <w:r w:rsidRPr="002951D2">
        <w:rPr>
          <w:rFonts w:ascii="Palatino Linotype" w:hAnsi="Palatino Linotype"/>
          <w:b/>
          <w:sz w:val="24"/>
          <w:szCs w:val="24"/>
        </w:rPr>
        <w:t>,</w:t>
      </w:r>
      <w:r w:rsidRPr="002951D2">
        <w:rPr>
          <w:rFonts w:ascii="Palatino Linotype" w:eastAsiaTheme="minorEastAsia" w:hAnsi="Palatino Linotype"/>
          <w:b/>
          <w:bCs/>
          <w:sz w:val="24"/>
          <w:szCs w:val="24"/>
          <w:lang w:val="es-ES_tradnl" w:eastAsia="es-ES"/>
        </w:rPr>
        <w:t xml:space="preserve"> </w:t>
      </w:r>
      <w:r w:rsidRPr="002951D2">
        <w:rPr>
          <w:rFonts w:ascii="Palatino Linotype" w:eastAsia="Calibri" w:hAnsi="Palatino Linotype" w:cs="Arial"/>
          <w:sz w:val="24"/>
          <w:szCs w:val="24"/>
          <w:lang w:val="es-ES" w:eastAsia="es-ES"/>
        </w:rPr>
        <w:t xml:space="preserve">entregar vía Sistema de Acceso a la Información Mexiquense </w:t>
      </w:r>
      <w:r w:rsidRPr="002951D2">
        <w:rPr>
          <w:rFonts w:ascii="Palatino Linotype" w:eastAsia="Calibri" w:hAnsi="Palatino Linotype" w:cs="Arial"/>
          <w:b/>
          <w:sz w:val="24"/>
          <w:szCs w:val="24"/>
          <w:lang w:val="es-ES" w:eastAsia="es-ES"/>
        </w:rPr>
        <w:t xml:space="preserve">(SAIMEX) </w:t>
      </w:r>
      <w:r w:rsidR="008167B2" w:rsidRPr="002951D2">
        <w:rPr>
          <w:rFonts w:ascii="Palatino Linotype" w:eastAsia="Calibri" w:hAnsi="Palatino Linotype" w:cs="Arial"/>
          <w:sz w:val="24"/>
          <w:szCs w:val="24"/>
          <w:lang w:val="es-ES" w:eastAsia="es-ES"/>
        </w:rPr>
        <w:t xml:space="preserve">en versión publica de ser el caso, </w:t>
      </w:r>
      <w:r w:rsidR="00B1370C" w:rsidRPr="002951D2">
        <w:rPr>
          <w:rFonts w:ascii="Palatino Linotype" w:eastAsia="Calibri" w:hAnsi="Palatino Linotype" w:cs="Arial"/>
          <w:b/>
          <w:sz w:val="24"/>
          <w:szCs w:val="24"/>
          <w:lang w:val="es-ES" w:eastAsia="es-ES"/>
        </w:rPr>
        <w:t>l</w:t>
      </w:r>
      <w:r w:rsidR="00B1370C" w:rsidRPr="002951D2">
        <w:rPr>
          <w:rFonts w:ascii="Palatino Linotype" w:eastAsia="Calibri" w:hAnsi="Palatino Linotype" w:cs="Arial"/>
          <w:sz w:val="24"/>
          <w:szCs w:val="24"/>
          <w:lang w:val="es-ES" w:eastAsia="es-ES"/>
        </w:rPr>
        <w:t>o</w:t>
      </w:r>
      <w:r w:rsidR="00B1370C" w:rsidRPr="002951D2">
        <w:rPr>
          <w:rFonts w:ascii="Palatino Linotype" w:eastAsia="Calibri" w:hAnsi="Palatino Linotype" w:cs="Arial"/>
          <w:b/>
          <w:sz w:val="24"/>
          <w:szCs w:val="24"/>
          <w:lang w:val="es-ES" w:eastAsia="es-ES"/>
        </w:rPr>
        <w:t xml:space="preserve"> </w:t>
      </w:r>
      <w:r w:rsidRPr="002951D2">
        <w:rPr>
          <w:rFonts w:ascii="Palatino Linotype" w:eastAsia="Calibri" w:hAnsi="Palatino Linotype" w:cs="Arial"/>
          <w:sz w:val="24"/>
          <w:szCs w:val="24"/>
          <w:lang w:val="es-ES" w:eastAsia="es-ES"/>
        </w:rPr>
        <w:t xml:space="preserve">siguiente: </w:t>
      </w:r>
    </w:p>
    <w:p w:rsidR="008167B2" w:rsidRPr="002951D2" w:rsidRDefault="007E19D0" w:rsidP="003E4329">
      <w:pPr>
        <w:pStyle w:val="Prrafodelista"/>
        <w:numPr>
          <w:ilvl w:val="0"/>
          <w:numId w:val="19"/>
        </w:numPr>
        <w:spacing w:before="240" w:after="360" w:line="360" w:lineRule="auto"/>
        <w:ind w:right="616"/>
        <w:jc w:val="both"/>
        <w:rPr>
          <w:rFonts w:ascii="Palatino Linotype" w:eastAsia="Calibri" w:hAnsi="Palatino Linotype" w:cs="Arial"/>
          <w:b/>
          <w:sz w:val="24"/>
          <w:szCs w:val="24"/>
        </w:rPr>
      </w:pPr>
      <w:r w:rsidRPr="002951D2">
        <w:rPr>
          <w:rFonts w:ascii="Palatino Linotype" w:eastAsia="Calibri" w:hAnsi="Palatino Linotype" w:cs="Arial"/>
          <w:b/>
          <w:sz w:val="24"/>
          <w:szCs w:val="24"/>
        </w:rPr>
        <w:t xml:space="preserve">La documentación que acredite la ejecución de los recursos públicos </w:t>
      </w:r>
      <w:r w:rsidR="008167B2" w:rsidRPr="002951D2">
        <w:rPr>
          <w:rFonts w:ascii="Palatino Linotype" w:eastAsia="Calibri" w:hAnsi="Palatino Linotype" w:cs="Arial"/>
          <w:b/>
          <w:sz w:val="24"/>
          <w:szCs w:val="24"/>
        </w:rPr>
        <w:t xml:space="preserve"> </w:t>
      </w:r>
      <w:r w:rsidRPr="002951D2">
        <w:rPr>
          <w:rFonts w:ascii="Palatino Linotype" w:eastAsia="Calibri" w:hAnsi="Palatino Linotype" w:cs="Arial"/>
          <w:b/>
          <w:sz w:val="24"/>
          <w:szCs w:val="24"/>
        </w:rPr>
        <w:t>de</w:t>
      </w:r>
      <w:r w:rsidR="008167B2" w:rsidRPr="002951D2">
        <w:rPr>
          <w:rFonts w:ascii="Palatino Linotype" w:eastAsia="Calibri" w:hAnsi="Palatino Linotype" w:cs="Arial"/>
          <w:b/>
          <w:sz w:val="24"/>
          <w:szCs w:val="24"/>
        </w:rPr>
        <w:t xml:space="preserve">l FASP </w:t>
      </w:r>
      <w:r w:rsidRPr="002951D2">
        <w:rPr>
          <w:rFonts w:ascii="Palatino Linotype" w:eastAsia="Calibri" w:hAnsi="Palatino Linotype" w:cs="Arial"/>
          <w:b/>
          <w:sz w:val="24"/>
          <w:szCs w:val="24"/>
        </w:rPr>
        <w:t xml:space="preserve">correspondientes  a los </w:t>
      </w:r>
      <w:r w:rsidR="008167B2" w:rsidRPr="002951D2">
        <w:rPr>
          <w:rFonts w:ascii="Palatino Linotype" w:eastAsia="Calibri" w:hAnsi="Palatino Linotype" w:cs="Arial"/>
          <w:b/>
          <w:sz w:val="24"/>
          <w:szCs w:val="24"/>
        </w:rPr>
        <w:t>ejercicios fiscales 2017</w:t>
      </w:r>
      <w:r w:rsidRPr="002951D2">
        <w:rPr>
          <w:rFonts w:ascii="Palatino Linotype" w:eastAsia="Calibri" w:hAnsi="Palatino Linotype" w:cs="Arial"/>
          <w:b/>
          <w:sz w:val="24"/>
          <w:szCs w:val="24"/>
        </w:rPr>
        <w:t xml:space="preserve">, 2018 y del primero (01) de enero al </w:t>
      </w:r>
      <w:r w:rsidR="008167B2" w:rsidRPr="002951D2">
        <w:rPr>
          <w:rFonts w:ascii="Palatino Linotype" w:eastAsia="Calibri" w:hAnsi="Palatino Linotype" w:cs="Arial"/>
          <w:b/>
          <w:sz w:val="24"/>
          <w:szCs w:val="24"/>
        </w:rPr>
        <w:t>siete</w:t>
      </w:r>
      <w:r w:rsidRPr="002951D2">
        <w:rPr>
          <w:rFonts w:ascii="Palatino Linotype" w:eastAsia="Calibri" w:hAnsi="Palatino Linotype" w:cs="Arial"/>
          <w:b/>
          <w:sz w:val="24"/>
          <w:szCs w:val="24"/>
        </w:rPr>
        <w:t xml:space="preserve"> (07)</w:t>
      </w:r>
      <w:r w:rsidR="008167B2" w:rsidRPr="002951D2">
        <w:rPr>
          <w:rFonts w:ascii="Palatino Linotype" w:eastAsia="Calibri" w:hAnsi="Palatino Linotype" w:cs="Arial"/>
          <w:b/>
          <w:sz w:val="24"/>
          <w:szCs w:val="24"/>
        </w:rPr>
        <w:t xml:space="preserve"> de agosto de 2019 </w:t>
      </w:r>
    </w:p>
    <w:p w:rsidR="003F3EDE" w:rsidRPr="002951D2" w:rsidRDefault="003E4329" w:rsidP="003E4329">
      <w:pPr>
        <w:spacing w:before="240" w:after="360" w:line="360" w:lineRule="auto"/>
        <w:ind w:right="49"/>
        <w:jc w:val="both"/>
        <w:rPr>
          <w:rFonts w:ascii="Palatino Linotype" w:eastAsia="Calibri" w:hAnsi="Palatino Linotype" w:cs="Arial"/>
          <w:b/>
          <w:sz w:val="24"/>
          <w:szCs w:val="24"/>
        </w:rPr>
      </w:pPr>
      <w:r w:rsidRPr="002951D2">
        <w:rPr>
          <w:rFonts w:ascii="Palatino Linotype" w:eastAsia="Calibri" w:hAnsi="Palatino Linotype" w:cs="Arial"/>
          <w:sz w:val="24"/>
          <w:szCs w:val="24"/>
        </w:rPr>
        <w:t xml:space="preserve">Pala lo cual deberá de emitir el </w:t>
      </w:r>
      <w:r w:rsidR="003F3EDE" w:rsidRPr="002951D2">
        <w:rPr>
          <w:rFonts w:ascii="Palatino Linotype" w:eastAsia="Calibri" w:hAnsi="Palatino Linotype" w:cs="Arial"/>
          <w:sz w:val="24"/>
          <w:szCs w:val="24"/>
        </w:rPr>
        <w:t>Acuerdo del Comité de Transparencia en términos de los artículos 49 fracción VIII y 132 fracción II de la Ley de Transparencia y Acceso a la Información Pública del Estado de México y Municipios, en el que funde y motive las razones sobre los datos que se supri</w:t>
      </w:r>
      <w:r w:rsidR="008167B2" w:rsidRPr="002951D2">
        <w:rPr>
          <w:rFonts w:ascii="Palatino Linotype" w:eastAsia="Calibri" w:hAnsi="Palatino Linotype" w:cs="Arial"/>
          <w:sz w:val="24"/>
          <w:szCs w:val="24"/>
        </w:rPr>
        <w:t>man</w:t>
      </w:r>
      <w:r w:rsidR="003F3EDE" w:rsidRPr="002951D2">
        <w:rPr>
          <w:rFonts w:ascii="Palatino Linotype" w:eastAsia="Calibri" w:hAnsi="Palatino Linotype" w:cs="Arial"/>
          <w:sz w:val="24"/>
          <w:szCs w:val="24"/>
        </w:rPr>
        <w:t xml:space="preserve"> o eliminen</w:t>
      </w:r>
      <w:r w:rsidR="00B1370C" w:rsidRPr="002951D2">
        <w:rPr>
          <w:rFonts w:ascii="Palatino Linotype" w:eastAsia="Calibri" w:hAnsi="Palatino Linotype" w:cs="Arial"/>
          <w:sz w:val="24"/>
          <w:szCs w:val="24"/>
        </w:rPr>
        <w:t xml:space="preserve"> </w:t>
      </w:r>
      <w:r w:rsidR="003F3EDE" w:rsidRPr="002951D2">
        <w:rPr>
          <w:rFonts w:ascii="Palatino Linotype" w:eastAsia="Calibri" w:hAnsi="Palatino Linotype" w:cs="Arial"/>
          <w:sz w:val="24"/>
          <w:szCs w:val="24"/>
        </w:rPr>
        <w:t>dentro del soporte doc</w:t>
      </w:r>
      <w:r w:rsidR="00B1370C" w:rsidRPr="002951D2">
        <w:rPr>
          <w:rFonts w:ascii="Palatino Linotype" w:eastAsia="Calibri" w:hAnsi="Palatino Linotype" w:cs="Arial"/>
          <w:sz w:val="24"/>
          <w:szCs w:val="24"/>
        </w:rPr>
        <w:t>umental respectivo objeto de la versión pública que se formule</w:t>
      </w:r>
      <w:r w:rsidR="003F3EDE" w:rsidRPr="002951D2">
        <w:rPr>
          <w:rFonts w:ascii="Palatino Linotype" w:eastAsia="Calibri" w:hAnsi="Palatino Linotype" w:cs="Arial"/>
          <w:sz w:val="24"/>
          <w:szCs w:val="24"/>
        </w:rPr>
        <w:t xml:space="preserve"> y se ponga a disposición</w:t>
      </w:r>
      <w:r w:rsidRPr="002951D2">
        <w:rPr>
          <w:rFonts w:ascii="Palatino Linotype" w:eastAsia="Calibri" w:hAnsi="Palatino Linotype" w:cs="Arial"/>
          <w:sz w:val="24"/>
          <w:szCs w:val="24"/>
        </w:rPr>
        <w:t xml:space="preserve"> del</w:t>
      </w:r>
      <w:r w:rsidRPr="002951D2">
        <w:rPr>
          <w:rFonts w:ascii="Palatino Linotype" w:eastAsia="Calibri" w:hAnsi="Palatino Linotype" w:cs="Arial"/>
          <w:b/>
          <w:sz w:val="24"/>
          <w:szCs w:val="24"/>
        </w:rPr>
        <w:t xml:space="preserve"> RECURRENTE.</w:t>
      </w:r>
    </w:p>
    <w:p w:rsidR="003F3EDE" w:rsidRPr="002951D2" w:rsidRDefault="003F3EDE" w:rsidP="003F3EDE">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bookmarkStart w:id="152" w:name="_Toc503891610"/>
      <w:bookmarkStart w:id="153" w:name="_Toc453696503"/>
      <w:bookmarkStart w:id="154" w:name="_Toc454301156"/>
      <w:bookmarkStart w:id="155" w:name="_Toc462653938"/>
      <w:bookmarkStart w:id="156" w:name="_Toc477891769"/>
      <w:bookmarkStart w:id="157" w:name="_Toc477891859"/>
      <w:bookmarkStart w:id="158" w:name="_Toc481576260"/>
      <w:bookmarkStart w:id="159" w:name="_Toc492590392"/>
      <w:r w:rsidRPr="002951D2">
        <w:rPr>
          <w:rFonts w:ascii="Palatino Linotype" w:eastAsia="Palatino Linotype" w:hAnsi="Palatino Linotype" w:cs="Palatino Linotype"/>
          <w:b/>
          <w:sz w:val="24"/>
          <w:szCs w:val="24"/>
          <w:lang w:val="es-ES_tradnl" w:eastAsia="es-ES"/>
        </w:rPr>
        <w:t xml:space="preserve">TERCERO. Notifíquese </w:t>
      </w:r>
      <w:r w:rsidRPr="002951D2">
        <w:rPr>
          <w:rFonts w:ascii="Palatino Linotype" w:eastAsia="Palatino Linotype" w:hAnsi="Palatino Linotype" w:cs="Palatino Linotype"/>
          <w:sz w:val="24"/>
          <w:szCs w:val="24"/>
          <w:lang w:val="es-ES_tradnl" w:eastAsia="es-ES"/>
        </w:rPr>
        <w:t xml:space="preserve">al Titular de la Unidad de Transparencia del </w:t>
      </w:r>
      <w:r w:rsidRPr="002951D2">
        <w:rPr>
          <w:rFonts w:ascii="Palatino Linotype" w:eastAsia="Palatino Linotype" w:hAnsi="Palatino Linotype" w:cs="Palatino Linotype"/>
          <w:b/>
          <w:sz w:val="24"/>
          <w:szCs w:val="24"/>
          <w:lang w:val="es-ES_tradnl" w:eastAsia="es-ES"/>
        </w:rPr>
        <w:t>SUJETO OBLIGADO</w:t>
      </w:r>
      <w:r w:rsidRPr="002951D2">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2951D2">
        <w:rPr>
          <w:rFonts w:ascii="Palatino Linotype" w:eastAsiaTheme="minorEastAsia" w:hAnsi="Palatino Linotype"/>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3F3EDE" w:rsidRPr="002951D2" w:rsidRDefault="003F3EDE" w:rsidP="003F3EDE">
      <w:pPr>
        <w:shd w:val="clear" w:color="auto" w:fill="FFFFFF"/>
        <w:spacing w:after="0" w:line="360" w:lineRule="auto"/>
        <w:jc w:val="both"/>
        <w:rPr>
          <w:rFonts w:ascii="Palatino Linotype" w:eastAsia="Times New Roman" w:hAnsi="Palatino Linotype" w:cs="Arial"/>
          <w:b/>
          <w:sz w:val="24"/>
          <w:szCs w:val="24"/>
          <w:lang w:val="es-ES_tradnl" w:eastAsia="es-ES"/>
        </w:rPr>
      </w:pPr>
    </w:p>
    <w:p w:rsidR="003F3EDE" w:rsidRPr="002951D2" w:rsidRDefault="003F3EDE" w:rsidP="003F3EDE">
      <w:pPr>
        <w:shd w:val="clear" w:color="auto" w:fill="FFFFFF"/>
        <w:spacing w:after="0" w:line="360" w:lineRule="auto"/>
        <w:jc w:val="both"/>
        <w:rPr>
          <w:rFonts w:ascii="Palatino Linotype" w:eastAsiaTheme="minorEastAsia" w:hAnsi="Palatino Linotype"/>
          <w:sz w:val="24"/>
          <w:szCs w:val="24"/>
          <w:lang w:val="es-ES_tradnl" w:eastAsia="es-ES"/>
        </w:rPr>
      </w:pPr>
      <w:r w:rsidRPr="002951D2">
        <w:rPr>
          <w:rFonts w:ascii="Palatino Linotype" w:eastAsia="Times New Roman" w:hAnsi="Palatino Linotype" w:cs="Arial"/>
          <w:b/>
          <w:sz w:val="24"/>
          <w:szCs w:val="24"/>
          <w:lang w:val="es-ES_tradnl" w:eastAsia="es-ES"/>
        </w:rPr>
        <w:t xml:space="preserve">CUARTO. </w:t>
      </w:r>
      <w:r w:rsidRPr="002951D2">
        <w:rPr>
          <w:rFonts w:ascii="Palatino Linotype" w:eastAsia="Times New Roman" w:hAnsi="Palatino Linotype" w:cs="Times New Roman"/>
          <w:b/>
          <w:bCs/>
          <w:sz w:val="24"/>
          <w:szCs w:val="24"/>
          <w:lang w:val="es-ES" w:eastAsia="es-ES"/>
        </w:rPr>
        <w:t>Notifíquese a</w:t>
      </w:r>
      <w:r w:rsidRPr="002951D2">
        <w:rPr>
          <w:rFonts w:ascii="Palatino Linotype" w:eastAsiaTheme="minorEastAsia" w:hAnsi="Palatino Linotype"/>
          <w:b/>
          <w:sz w:val="24"/>
          <w:szCs w:val="24"/>
          <w:lang w:val="es-ES_tradnl" w:eastAsia="es-ES"/>
        </w:rPr>
        <w:t xml:space="preserve"> </w:t>
      </w:r>
      <w:r w:rsidR="00997296" w:rsidRPr="00997296">
        <w:rPr>
          <w:rFonts w:ascii="Palatino Linotype" w:eastAsiaTheme="minorEastAsia" w:hAnsi="Palatino Linotype"/>
          <w:b/>
          <w:sz w:val="24"/>
          <w:szCs w:val="24"/>
          <w:highlight w:val="black"/>
          <w:lang w:val="es-ES_tradnl" w:eastAsia="es-ES"/>
        </w:rPr>
        <w:t>----------------------------</w:t>
      </w:r>
      <w:r w:rsidR="00BF5FDA" w:rsidRPr="002951D2">
        <w:rPr>
          <w:rFonts w:ascii="Palatino Linotype" w:eastAsiaTheme="minorEastAsia" w:hAnsi="Palatino Linotype"/>
          <w:b/>
          <w:sz w:val="24"/>
          <w:szCs w:val="24"/>
          <w:lang w:val="es-ES_tradnl" w:eastAsia="es-ES"/>
        </w:rPr>
        <w:t xml:space="preserve"> </w:t>
      </w:r>
      <w:r w:rsidRPr="002951D2">
        <w:rPr>
          <w:rFonts w:ascii="Palatino Linotype" w:eastAsiaTheme="minorEastAsia" w:hAnsi="Palatino Linotype"/>
          <w:sz w:val="24"/>
          <w:szCs w:val="24"/>
          <w:lang w:val="es-ES_tradnl" w:eastAsia="es-ES"/>
        </w:rPr>
        <w:t xml:space="preserve">la presente resolución. </w:t>
      </w:r>
    </w:p>
    <w:p w:rsidR="003F3EDE" w:rsidRPr="002951D2" w:rsidRDefault="003F3EDE" w:rsidP="003F3EDE">
      <w:pPr>
        <w:shd w:val="clear" w:color="auto" w:fill="FFFFFF"/>
        <w:spacing w:after="0" w:line="360" w:lineRule="auto"/>
        <w:jc w:val="both"/>
        <w:rPr>
          <w:rFonts w:ascii="Palatino Linotype" w:eastAsiaTheme="minorEastAsia" w:hAnsi="Palatino Linotype"/>
          <w:sz w:val="24"/>
          <w:szCs w:val="24"/>
          <w:lang w:val="es-ES_tradnl" w:eastAsia="es-ES"/>
        </w:rPr>
      </w:pPr>
    </w:p>
    <w:p w:rsidR="003F3EDE" w:rsidRPr="002951D2" w:rsidRDefault="003F3EDE" w:rsidP="003F3EDE">
      <w:pPr>
        <w:tabs>
          <w:tab w:val="left" w:pos="8080"/>
        </w:tabs>
        <w:spacing w:after="0" w:line="360" w:lineRule="auto"/>
        <w:ind w:right="49"/>
        <w:contextualSpacing/>
        <w:jc w:val="both"/>
        <w:rPr>
          <w:rFonts w:ascii="Palatino Linotype" w:eastAsia="MS Mincho" w:hAnsi="Palatino Linotype" w:cs="Times New Roman"/>
          <w:sz w:val="24"/>
          <w:szCs w:val="24"/>
          <w:lang w:val="es-ES" w:eastAsia="es-ES"/>
        </w:rPr>
      </w:pPr>
      <w:r w:rsidRPr="002951D2">
        <w:rPr>
          <w:rFonts w:ascii="Palatino Linotype" w:eastAsia="MS Mincho" w:hAnsi="Palatino Linotype" w:cs="Times New Roman"/>
          <w:b/>
          <w:sz w:val="24"/>
          <w:szCs w:val="24"/>
          <w:lang w:eastAsia="es-ES"/>
        </w:rPr>
        <w:t>QUINTO.</w:t>
      </w:r>
      <w:r w:rsidRPr="002951D2">
        <w:rPr>
          <w:rFonts w:ascii="Palatino Linotype" w:eastAsia="MS Mincho" w:hAnsi="Palatino Linotype" w:cs="Times New Roman"/>
          <w:sz w:val="24"/>
          <w:szCs w:val="24"/>
          <w:lang w:eastAsia="es-ES"/>
        </w:rPr>
        <w:t xml:space="preserve"> </w:t>
      </w:r>
      <w:r w:rsidRPr="002951D2">
        <w:rPr>
          <w:rFonts w:ascii="Palatino Linotype" w:eastAsia="MS Mincho" w:hAnsi="Palatino Linotype" w:cs="Times New Roman"/>
          <w:sz w:val="24"/>
          <w:szCs w:val="24"/>
          <w:lang w:val="es-ES" w:eastAsia="es-ES"/>
        </w:rPr>
        <w:t>Se hace del conocimiento de</w:t>
      </w:r>
      <w:r w:rsidRPr="002951D2">
        <w:rPr>
          <w:rFonts w:ascii="Palatino Linotype" w:eastAsiaTheme="minorEastAsia" w:hAnsi="Palatino Linotype"/>
          <w:b/>
          <w:sz w:val="24"/>
          <w:szCs w:val="24"/>
          <w:lang w:val="es-ES_tradnl" w:eastAsia="es-ES"/>
        </w:rPr>
        <w:t xml:space="preserve"> </w:t>
      </w:r>
      <w:r w:rsidR="00997296" w:rsidRPr="00997296">
        <w:rPr>
          <w:rFonts w:ascii="Palatino Linotype" w:eastAsiaTheme="minorEastAsia" w:hAnsi="Palatino Linotype"/>
          <w:b/>
          <w:sz w:val="24"/>
          <w:szCs w:val="24"/>
          <w:highlight w:val="black"/>
          <w:lang w:val="es-ES_tradnl" w:eastAsia="es-ES"/>
        </w:rPr>
        <w:t>-----------------------------</w:t>
      </w:r>
      <w:r w:rsidR="00BF5FDA" w:rsidRPr="002951D2">
        <w:rPr>
          <w:rFonts w:ascii="Palatino Linotype" w:eastAsia="MS Mincho" w:hAnsi="Palatino Linotype" w:cs="Times New Roman"/>
          <w:sz w:val="24"/>
          <w:szCs w:val="24"/>
          <w:lang w:val="es-ES" w:eastAsia="es-ES"/>
        </w:rPr>
        <w:t xml:space="preserve"> </w:t>
      </w:r>
      <w:r w:rsidRPr="002951D2">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2951D2">
        <w:rPr>
          <w:rFonts w:ascii="Palatino Linotype" w:eastAsia="MS Mincho" w:hAnsi="Palatino Linotype" w:cs="Times New Roman"/>
          <w:bCs/>
          <w:sz w:val="24"/>
          <w:szCs w:val="24"/>
          <w:lang w:val="es-ES" w:eastAsia="es-ES"/>
        </w:rPr>
        <w:t>vía juicio de amparo</w:t>
      </w:r>
      <w:r w:rsidRPr="002951D2">
        <w:rPr>
          <w:rFonts w:ascii="Palatino Linotype" w:eastAsia="MS Mincho" w:hAnsi="Palatino Linotype" w:cs="Times New Roman"/>
          <w:sz w:val="24"/>
          <w:szCs w:val="24"/>
          <w:lang w:val="es-ES" w:eastAsia="es-ES"/>
        </w:rPr>
        <w:t> en los términos de las leyes aplicables.</w:t>
      </w:r>
    </w:p>
    <w:p w:rsidR="003F3EDE" w:rsidRPr="00645316" w:rsidRDefault="003F3EDE" w:rsidP="003F3EDE">
      <w:pPr>
        <w:tabs>
          <w:tab w:val="left" w:pos="8080"/>
        </w:tabs>
        <w:spacing w:after="0" w:line="360" w:lineRule="auto"/>
        <w:ind w:right="49"/>
        <w:contextualSpacing/>
        <w:jc w:val="both"/>
        <w:rPr>
          <w:rFonts w:ascii="Palatino Linotype" w:eastAsia="MS Mincho" w:hAnsi="Palatino Linotype" w:cs="Times New Roman"/>
          <w:sz w:val="14"/>
          <w:szCs w:val="24"/>
          <w:lang w:val="es-ES" w:eastAsia="es-ES"/>
        </w:rPr>
      </w:pPr>
    </w:p>
    <w:bookmarkEnd w:id="152"/>
    <w:bookmarkEnd w:id="153"/>
    <w:bookmarkEnd w:id="154"/>
    <w:bookmarkEnd w:id="155"/>
    <w:bookmarkEnd w:id="156"/>
    <w:bookmarkEnd w:id="157"/>
    <w:bookmarkEnd w:id="158"/>
    <w:bookmarkEnd w:id="159"/>
    <w:p w:rsidR="003F3EDE" w:rsidRPr="002951D2" w:rsidRDefault="003F3EDE" w:rsidP="003F3EDE">
      <w:pPr>
        <w:shd w:val="clear" w:color="auto" w:fill="FFFFFF"/>
        <w:spacing w:before="240" w:after="360" w:line="360" w:lineRule="auto"/>
        <w:ind w:right="49"/>
        <w:jc w:val="both"/>
        <w:rPr>
          <w:rFonts w:ascii="Palatino Linotype" w:eastAsiaTheme="minorEastAsia" w:hAnsi="Palatino Linotype" w:cs="Arial"/>
          <w:sz w:val="24"/>
          <w:szCs w:val="24"/>
          <w:lang w:val="es-ES_tradnl" w:eastAsia="es-ES"/>
        </w:rPr>
      </w:pPr>
      <w:r w:rsidRPr="002951D2">
        <w:rPr>
          <w:rFonts w:ascii="Palatino Linotype" w:eastAsiaTheme="minorEastAsia" w:hAnsi="Palatino Linotype"/>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ZULEMA </w:t>
      </w:r>
      <w:r w:rsidR="00645316" w:rsidRPr="002951D2">
        <w:rPr>
          <w:rFonts w:ascii="Palatino Linotype" w:eastAsiaTheme="minorEastAsia" w:hAnsi="Palatino Linotype"/>
          <w:sz w:val="24"/>
          <w:szCs w:val="24"/>
          <w:lang w:val="es-ES_tradnl" w:eastAsia="es-ES"/>
        </w:rPr>
        <w:t>MARTÍNEZ</w:t>
      </w:r>
      <w:r w:rsidRPr="002951D2">
        <w:rPr>
          <w:rFonts w:ascii="Palatino Linotype" w:eastAsiaTheme="minorEastAsia" w:hAnsi="Palatino Linotype"/>
          <w:sz w:val="24"/>
          <w:szCs w:val="24"/>
          <w:lang w:val="es-ES_tradnl" w:eastAsia="es-ES"/>
        </w:rPr>
        <w:t xml:space="preserve"> </w:t>
      </w:r>
      <w:r w:rsidR="00645316" w:rsidRPr="002951D2">
        <w:rPr>
          <w:rFonts w:ascii="Palatino Linotype" w:eastAsiaTheme="minorEastAsia" w:hAnsi="Palatino Linotype"/>
          <w:sz w:val="24"/>
          <w:szCs w:val="24"/>
          <w:lang w:val="es-ES_tradnl" w:eastAsia="es-ES"/>
        </w:rPr>
        <w:t>SÁNCHEZ</w:t>
      </w:r>
      <w:r w:rsidRPr="002951D2">
        <w:rPr>
          <w:rFonts w:ascii="Palatino Linotype" w:eastAsiaTheme="minorEastAsia" w:hAnsi="Palatino Linotype"/>
          <w:sz w:val="24"/>
          <w:szCs w:val="24"/>
          <w:lang w:val="es-ES_tradnl" w:eastAsia="es-ES"/>
        </w:rPr>
        <w:t>; EVA ABAID YAPUR; JOSÉ GUADALUPE LUNA HERNÁNDEZ; JAVIER MARTÍNEZ CRUZ Y LUIS GUSTA</w:t>
      </w:r>
      <w:r w:rsidR="00645316">
        <w:rPr>
          <w:rFonts w:ascii="Palatino Linotype" w:eastAsiaTheme="minorEastAsia" w:hAnsi="Palatino Linotype"/>
          <w:sz w:val="24"/>
          <w:szCs w:val="24"/>
          <w:lang w:val="es-ES_tradnl" w:eastAsia="es-ES"/>
        </w:rPr>
        <w:t xml:space="preserve">VO PARRA NORIEGA; EN LA CUADRAGÉSIMA PRIMERA </w:t>
      </w:r>
      <w:r w:rsidRPr="002951D2">
        <w:rPr>
          <w:rFonts w:ascii="Palatino Linotype" w:eastAsiaTheme="minorEastAsia" w:hAnsi="Palatino Linotype"/>
          <w:sz w:val="24"/>
          <w:szCs w:val="24"/>
          <w:lang w:val="es-ES_tradnl" w:eastAsia="es-ES"/>
        </w:rPr>
        <w:t>SESI</w:t>
      </w:r>
      <w:r w:rsidR="00645316">
        <w:rPr>
          <w:rFonts w:ascii="Palatino Linotype" w:eastAsiaTheme="minorEastAsia" w:hAnsi="Palatino Linotype"/>
          <w:sz w:val="24"/>
          <w:szCs w:val="24"/>
          <w:lang w:val="es-ES_tradnl" w:eastAsia="es-ES"/>
        </w:rPr>
        <w:t>ÓN ORDINARIA CELEBRADA EL SEIS  (06) DE NOVIEMBRE</w:t>
      </w:r>
      <w:r w:rsidRPr="002951D2">
        <w:rPr>
          <w:rFonts w:ascii="Palatino Linotype" w:eastAsiaTheme="minorEastAsia" w:hAnsi="Palatino Linotype"/>
          <w:sz w:val="24"/>
          <w:szCs w:val="24"/>
          <w:lang w:val="es-ES_tradnl" w:eastAsia="es-ES"/>
        </w:rPr>
        <w:t xml:space="preserve"> DE DOS MIL DIECINUEVE, ANTE EL SECRETARIO TÉCNICO DEL PLENO ALEXIS TAPIA RAMÍREZ.</w:t>
      </w:r>
      <w:r w:rsidRPr="002951D2">
        <w:rPr>
          <w:rFonts w:ascii="Palatino Linotype" w:eastAsiaTheme="minorEastAsia" w:hAnsi="Palatino Linotype" w:cs="Arial"/>
          <w:sz w:val="24"/>
          <w:szCs w:val="24"/>
          <w:lang w:val="es-ES_tradnl" w:eastAsia="es-ES"/>
        </w:rPr>
        <w:t xml:space="preserve">  </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3F3EDE" w:rsidRPr="002951D2" w:rsidTr="003F3EDE">
        <w:trPr>
          <w:trHeight w:val="1168"/>
        </w:trPr>
        <w:tc>
          <w:tcPr>
            <w:tcW w:w="8697" w:type="dxa"/>
            <w:gridSpan w:val="2"/>
            <w:vAlign w:val="center"/>
          </w:tcPr>
          <w:p w:rsidR="00645316" w:rsidRDefault="00645316" w:rsidP="003F3EDE">
            <w:pPr>
              <w:spacing w:line="360" w:lineRule="auto"/>
              <w:ind w:right="49"/>
              <w:jc w:val="center"/>
              <w:rPr>
                <w:rFonts w:ascii="Palatino Linotype" w:eastAsiaTheme="minorEastAsia" w:hAnsi="Palatino Linotype" w:cs="Times New Roman"/>
                <w:b/>
              </w:rPr>
            </w:pPr>
          </w:p>
          <w:p w:rsidR="00645316" w:rsidRDefault="00645316" w:rsidP="003F3EDE">
            <w:pPr>
              <w:spacing w:line="360" w:lineRule="auto"/>
              <w:ind w:right="49"/>
              <w:jc w:val="center"/>
              <w:rPr>
                <w:rFonts w:ascii="Palatino Linotype" w:eastAsiaTheme="minorEastAsia" w:hAnsi="Palatino Linotype" w:cs="Times New Roman"/>
                <w:b/>
              </w:rPr>
            </w:pPr>
          </w:p>
          <w:p w:rsidR="003F3EDE" w:rsidRPr="002951D2" w:rsidRDefault="003F3EDE" w:rsidP="003F3EDE">
            <w:pPr>
              <w:spacing w:line="360" w:lineRule="auto"/>
              <w:ind w:right="49"/>
              <w:jc w:val="center"/>
              <w:rPr>
                <w:rFonts w:ascii="Palatino Linotype" w:eastAsiaTheme="minorEastAsia" w:hAnsi="Palatino Linotype" w:cs="Times New Roman"/>
                <w:b/>
              </w:rPr>
            </w:pPr>
            <w:r w:rsidRPr="002951D2">
              <w:rPr>
                <w:rFonts w:ascii="Palatino Linotype" w:eastAsiaTheme="minorEastAsia" w:hAnsi="Palatino Linotype" w:cs="Times New Roman"/>
                <w:b/>
              </w:rPr>
              <w:t>Zulema Martínez Sánchez</w:t>
            </w:r>
          </w:p>
          <w:p w:rsidR="003F3EDE" w:rsidRPr="002951D2" w:rsidRDefault="003F3EDE" w:rsidP="003F3EDE">
            <w:pPr>
              <w:spacing w:line="360" w:lineRule="auto"/>
              <w:ind w:right="49"/>
              <w:jc w:val="center"/>
              <w:rPr>
                <w:rFonts w:ascii="Palatino Linotype" w:eastAsiaTheme="minorEastAsia" w:hAnsi="Palatino Linotype" w:cs="Times New Roman"/>
              </w:rPr>
            </w:pPr>
            <w:r w:rsidRPr="002951D2">
              <w:rPr>
                <w:rFonts w:ascii="Palatino Linotype" w:eastAsiaTheme="minorEastAsia" w:hAnsi="Palatino Linotype" w:cs="Times New Roman"/>
              </w:rPr>
              <w:t>Comisionada Presidenta</w:t>
            </w:r>
          </w:p>
          <w:p w:rsidR="003F3EDE" w:rsidRPr="002951D2" w:rsidRDefault="003F3EDE" w:rsidP="003F3EDE">
            <w:pPr>
              <w:spacing w:line="360" w:lineRule="auto"/>
              <w:ind w:right="49"/>
              <w:jc w:val="center"/>
              <w:rPr>
                <w:rFonts w:ascii="Palatino Linotype" w:eastAsiaTheme="minorEastAsia" w:hAnsi="Palatino Linotype" w:cs="Times New Roman"/>
              </w:rPr>
            </w:pPr>
            <w:r w:rsidRPr="002951D2">
              <w:rPr>
                <w:rFonts w:ascii="Palatino Linotype" w:eastAsiaTheme="minorEastAsia" w:hAnsi="Palatino Linotype" w:cs="Times New Roman"/>
              </w:rPr>
              <w:t>(Rúbrica)</w:t>
            </w:r>
          </w:p>
        </w:tc>
      </w:tr>
      <w:tr w:rsidR="003F3EDE" w:rsidRPr="002951D2" w:rsidTr="003F3EDE">
        <w:trPr>
          <w:trHeight w:val="1395"/>
        </w:trPr>
        <w:tc>
          <w:tcPr>
            <w:tcW w:w="4348" w:type="dxa"/>
            <w:vAlign w:val="center"/>
          </w:tcPr>
          <w:p w:rsidR="003F3EDE" w:rsidRPr="002951D2" w:rsidRDefault="003F3EDE" w:rsidP="003F3EDE">
            <w:pPr>
              <w:spacing w:line="360" w:lineRule="auto"/>
              <w:ind w:right="49"/>
              <w:jc w:val="center"/>
              <w:rPr>
                <w:rFonts w:ascii="Palatino Linotype" w:eastAsiaTheme="minorEastAsia" w:hAnsi="Palatino Linotype" w:cs="Times New Roman"/>
                <w:b/>
              </w:rPr>
            </w:pPr>
          </w:p>
          <w:p w:rsidR="003F3EDE" w:rsidRPr="002951D2" w:rsidRDefault="003F3EDE" w:rsidP="003F3EDE">
            <w:pPr>
              <w:spacing w:line="360" w:lineRule="auto"/>
              <w:ind w:right="49"/>
              <w:jc w:val="center"/>
              <w:rPr>
                <w:rFonts w:ascii="Palatino Linotype" w:eastAsiaTheme="minorEastAsia" w:hAnsi="Palatino Linotype" w:cs="Times New Roman"/>
                <w:b/>
              </w:rPr>
            </w:pPr>
            <w:r w:rsidRPr="002951D2">
              <w:rPr>
                <w:rFonts w:ascii="Palatino Linotype" w:eastAsiaTheme="minorEastAsia" w:hAnsi="Palatino Linotype" w:cs="Times New Roman"/>
                <w:b/>
              </w:rPr>
              <w:t>Eva Abaid Yapur</w:t>
            </w:r>
          </w:p>
          <w:p w:rsidR="003F3EDE" w:rsidRPr="002951D2" w:rsidRDefault="003F3EDE" w:rsidP="003F3EDE">
            <w:pPr>
              <w:spacing w:line="360" w:lineRule="auto"/>
              <w:ind w:right="49"/>
              <w:jc w:val="center"/>
              <w:rPr>
                <w:rFonts w:ascii="Palatino Linotype" w:eastAsiaTheme="minorEastAsia" w:hAnsi="Palatino Linotype" w:cs="Times New Roman"/>
              </w:rPr>
            </w:pPr>
            <w:r w:rsidRPr="002951D2">
              <w:rPr>
                <w:rFonts w:ascii="Palatino Linotype" w:eastAsiaTheme="minorEastAsia" w:hAnsi="Palatino Linotype" w:cs="Times New Roman"/>
              </w:rPr>
              <w:t>Comisionada</w:t>
            </w:r>
          </w:p>
          <w:p w:rsidR="003F3EDE" w:rsidRPr="002951D2" w:rsidRDefault="003F3EDE" w:rsidP="003F3EDE">
            <w:pPr>
              <w:spacing w:line="360" w:lineRule="auto"/>
              <w:ind w:right="49"/>
              <w:jc w:val="center"/>
              <w:rPr>
                <w:rFonts w:ascii="Palatino Linotype" w:eastAsiaTheme="minorEastAsia" w:hAnsi="Palatino Linotype" w:cs="Times New Roman"/>
              </w:rPr>
            </w:pPr>
            <w:r w:rsidRPr="002951D2">
              <w:rPr>
                <w:rFonts w:ascii="Palatino Linotype" w:eastAsiaTheme="minorEastAsia" w:hAnsi="Palatino Linotype" w:cs="Times New Roman"/>
              </w:rPr>
              <w:t>(Rúbrica)</w:t>
            </w:r>
          </w:p>
        </w:tc>
        <w:tc>
          <w:tcPr>
            <w:tcW w:w="4349" w:type="dxa"/>
            <w:vAlign w:val="center"/>
          </w:tcPr>
          <w:p w:rsidR="003F3EDE" w:rsidRPr="002951D2" w:rsidRDefault="003F3EDE" w:rsidP="003F3EDE">
            <w:pPr>
              <w:spacing w:line="360" w:lineRule="auto"/>
              <w:ind w:right="49"/>
              <w:jc w:val="center"/>
              <w:rPr>
                <w:rFonts w:ascii="Palatino Linotype" w:eastAsiaTheme="minorEastAsia" w:hAnsi="Palatino Linotype" w:cs="Times New Roman"/>
                <w:b/>
              </w:rPr>
            </w:pPr>
          </w:p>
          <w:p w:rsidR="003F3EDE" w:rsidRPr="002951D2" w:rsidRDefault="003F3EDE" w:rsidP="003F3EDE">
            <w:pPr>
              <w:spacing w:line="360" w:lineRule="auto"/>
              <w:ind w:right="49"/>
              <w:jc w:val="center"/>
              <w:rPr>
                <w:rFonts w:ascii="Palatino Linotype" w:eastAsiaTheme="minorEastAsia" w:hAnsi="Palatino Linotype" w:cs="Times New Roman"/>
                <w:b/>
              </w:rPr>
            </w:pPr>
            <w:r w:rsidRPr="002951D2">
              <w:rPr>
                <w:rFonts w:ascii="Palatino Linotype" w:eastAsiaTheme="minorEastAsia" w:hAnsi="Palatino Linotype" w:cs="Times New Roman"/>
                <w:b/>
              </w:rPr>
              <w:t>José Guadalupe Luna Hernández</w:t>
            </w:r>
          </w:p>
          <w:p w:rsidR="003F3EDE" w:rsidRPr="002951D2" w:rsidRDefault="003F3EDE" w:rsidP="003F3EDE">
            <w:pPr>
              <w:spacing w:line="360" w:lineRule="auto"/>
              <w:ind w:right="49"/>
              <w:jc w:val="center"/>
              <w:rPr>
                <w:rFonts w:ascii="Palatino Linotype" w:eastAsiaTheme="minorEastAsia" w:hAnsi="Palatino Linotype" w:cs="Times New Roman"/>
              </w:rPr>
            </w:pPr>
            <w:r w:rsidRPr="002951D2">
              <w:rPr>
                <w:rFonts w:ascii="Palatino Linotype" w:eastAsiaTheme="minorEastAsia" w:hAnsi="Palatino Linotype" w:cs="Times New Roman"/>
              </w:rPr>
              <w:t>Comisionado</w:t>
            </w:r>
          </w:p>
          <w:p w:rsidR="003F3EDE" w:rsidRPr="002951D2" w:rsidRDefault="003F3EDE" w:rsidP="003F3EDE">
            <w:pPr>
              <w:spacing w:line="360" w:lineRule="auto"/>
              <w:ind w:right="49"/>
              <w:jc w:val="center"/>
              <w:rPr>
                <w:rFonts w:ascii="Palatino Linotype" w:eastAsiaTheme="minorEastAsia" w:hAnsi="Palatino Linotype" w:cs="Times New Roman"/>
              </w:rPr>
            </w:pPr>
            <w:r w:rsidRPr="002951D2">
              <w:rPr>
                <w:rFonts w:ascii="Palatino Linotype" w:eastAsiaTheme="minorEastAsia" w:hAnsi="Palatino Linotype" w:cs="Times New Roman"/>
              </w:rPr>
              <w:t>(Rúbrica)</w:t>
            </w:r>
          </w:p>
        </w:tc>
      </w:tr>
      <w:tr w:rsidR="003F3EDE" w:rsidRPr="002951D2" w:rsidTr="003F3EDE">
        <w:trPr>
          <w:trHeight w:val="1451"/>
        </w:trPr>
        <w:tc>
          <w:tcPr>
            <w:tcW w:w="4348" w:type="dxa"/>
            <w:vAlign w:val="center"/>
          </w:tcPr>
          <w:p w:rsidR="003F3EDE" w:rsidRDefault="003F3EDE" w:rsidP="003F3EDE">
            <w:pPr>
              <w:spacing w:line="360" w:lineRule="auto"/>
              <w:ind w:right="49"/>
              <w:jc w:val="center"/>
              <w:rPr>
                <w:rFonts w:ascii="Palatino Linotype" w:eastAsiaTheme="minorEastAsia" w:hAnsi="Palatino Linotype" w:cs="Times New Roman"/>
                <w:b/>
              </w:rPr>
            </w:pPr>
          </w:p>
          <w:p w:rsidR="00645316" w:rsidRPr="002951D2" w:rsidRDefault="00645316" w:rsidP="003F3EDE">
            <w:pPr>
              <w:spacing w:line="360" w:lineRule="auto"/>
              <w:ind w:right="49"/>
              <w:jc w:val="center"/>
              <w:rPr>
                <w:rFonts w:ascii="Palatino Linotype" w:eastAsiaTheme="minorEastAsia" w:hAnsi="Palatino Linotype" w:cs="Times New Roman"/>
                <w:b/>
              </w:rPr>
            </w:pPr>
          </w:p>
          <w:p w:rsidR="003F3EDE" w:rsidRPr="002951D2" w:rsidRDefault="003F3EDE" w:rsidP="003F3EDE">
            <w:pPr>
              <w:spacing w:line="360" w:lineRule="auto"/>
              <w:ind w:right="49"/>
              <w:jc w:val="center"/>
              <w:rPr>
                <w:rFonts w:ascii="Palatino Linotype" w:eastAsiaTheme="minorEastAsia" w:hAnsi="Palatino Linotype" w:cs="Times New Roman"/>
                <w:b/>
              </w:rPr>
            </w:pPr>
            <w:r w:rsidRPr="002951D2">
              <w:rPr>
                <w:rFonts w:ascii="Palatino Linotype" w:eastAsiaTheme="minorEastAsia" w:hAnsi="Palatino Linotype" w:cs="Times New Roman"/>
                <w:b/>
              </w:rPr>
              <w:t>Javier Martínez Cruz</w:t>
            </w:r>
          </w:p>
          <w:p w:rsidR="003F3EDE" w:rsidRPr="002951D2" w:rsidRDefault="003F3EDE" w:rsidP="003F3EDE">
            <w:pPr>
              <w:spacing w:line="360" w:lineRule="auto"/>
              <w:ind w:right="49"/>
              <w:jc w:val="center"/>
              <w:rPr>
                <w:rFonts w:ascii="Palatino Linotype" w:eastAsiaTheme="minorEastAsia" w:hAnsi="Palatino Linotype" w:cs="Times New Roman"/>
              </w:rPr>
            </w:pPr>
            <w:r w:rsidRPr="002951D2">
              <w:rPr>
                <w:rFonts w:ascii="Palatino Linotype" w:eastAsiaTheme="minorEastAsia" w:hAnsi="Palatino Linotype" w:cs="Times New Roman"/>
              </w:rPr>
              <w:t>Comisionado</w:t>
            </w:r>
          </w:p>
          <w:p w:rsidR="003F3EDE" w:rsidRPr="002951D2" w:rsidRDefault="003F3EDE" w:rsidP="003F3EDE">
            <w:pPr>
              <w:spacing w:line="360" w:lineRule="auto"/>
              <w:ind w:right="49"/>
              <w:jc w:val="center"/>
              <w:rPr>
                <w:rFonts w:ascii="Palatino Linotype" w:eastAsiaTheme="minorEastAsia" w:hAnsi="Palatino Linotype" w:cs="Times New Roman"/>
              </w:rPr>
            </w:pPr>
            <w:r w:rsidRPr="002951D2">
              <w:rPr>
                <w:rFonts w:ascii="Palatino Linotype" w:eastAsiaTheme="minorEastAsia" w:hAnsi="Palatino Linotype" w:cs="Times New Roman"/>
              </w:rPr>
              <w:t>(Rúbrica)</w:t>
            </w:r>
          </w:p>
        </w:tc>
        <w:tc>
          <w:tcPr>
            <w:tcW w:w="4349" w:type="dxa"/>
            <w:vAlign w:val="center"/>
          </w:tcPr>
          <w:p w:rsidR="003F3EDE" w:rsidRDefault="003F3EDE" w:rsidP="003F3EDE">
            <w:pPr>
              <w:spacing w:line="360" w:lineRule="auto"/>
              <w:ind w:right="49"/>
              <w:jc w:val="center"/>
              <w:rPr>
                <w:rFonts w:ascii="Palatino Linotype" w:eastAsiaTheme="minorEastAsia" w:hAnsi="Palatino Linotype" w:cs="Times New Roman"/>
                <w:b/>
              </w:rPr>
            </w:pPr>
          </w:p>
          <w:p w:rsidR="00645316" w:rsidRPr="002951D2" w:rsidRDefault="00645316" w:rsidP="003F3EDE">
            <w:pPr>
              <w:spacing w:line="360" w:lineRule="auto"/>
              <w:ind w:right="49"/>
              <w:jc w:val="center"/>
              <w:rPr>
                <w:rFonts w:ascii="Palatino Linotype" w:eastAsiaTheme="minorEastAsia" w:hAnsi="Palatino Linotype" w:cs="Times New Roman"/>
                <w:b/>
              </w:rPr>
            </w:pPr>
          </w:p>
          <w:p w:rsidR="003F3EDE" w:rsidRPr="002951D2" w:rsidRDefault="003F3EDE" w:rsidP="003F3EDE">
            <w:pPr>
              <w:spacing w:line="360" w:lineRule="auto"/>
              <w:ind w:right="49"/>
              <w:jc w:val="center"/>
              <w:rPr>
                <w:rFonts w:ascii="Palatino Linotype" w:eastAsiaTheme="minorEastAsia" w:hAnsi="Palatino Linotype" w:cs="Times New Roman"/>
                <w:b/>
              </w:rPr>
            </w:pPr>
            <w:r w:rsidRPr="002951D2">
              <w:rPr>
                <w:rFonts w:ascii="Palatino Linotype" w:eastAsiaTheme="minorEastAsia" w:hAnsi="Palatino Linotype" w:cs="Times New Roman"/>
                <w:b/>
              </w:rPr>
              <w:t>Luis Gustavo Parra Noriega</w:t>
            </w:r>
          </w:p>
          <w:p w:rsidR="003F3EDE" w:rsidRPr="002951D2" w:rsidRDefault="003F3EDE" w:rsidP="003F3EDE">
            <w:pPr>
              <w:spacing w:line="360" w:lineRule="auto"/>
              <w:ind w:right="49"/>
              <w:jc w:val="center"/>
              <w:rPr>
                <w:rFonts w:ascii="Palatino Linotype" w:eastAsiaTheme="minorEastAsia" w:hAnsi="Palatino Linotype" w:cs="Times New Roman"/>
              </w:rPr>
            </w:pPr>
            <w:r w:rsidRPr="002951D2">
              <w:rPr>
                <w:rFonts w:ascii="Palatino Linotype" w:eastAsiaTheme="minorEastAsia" w:hAnsi="Palatino Linotype" w:cs="Times New Roman"/>
              </w:rPr>
              <w:t>Comisionado</w:t>
            </w:r>
          </w:p>
          <w:p w:rsidR="003F3EDE" w:rsidRPr="002951D2" w:rsidRDefault="003F3EDE" w:rsidP="003F3EDE">
            <w:pPr>
              <w:spacing w:line="360" w:lineRule="auto"/>
              <w:ind w:right="49"/>
              <w:jc w:val="center"/>
              <w:rPr>
                <w:rFonts w:ascii="Palatino Linotype" w:eastAsiaTheme="minorEastAsia" w:hAnsi="Palatino Linotype" w:cs="Times New Roman"/>
              </w:rPr>
            </w:pPr>
            <w:r w:rsidRPr="002951D2">
              <w:rPr>
                <w:rFonts w:ascii="Palatino Linotype" w:eastAsiaTheme="minorEastAsia" w:hAnsi="Palatino Linotype" w:cs="Times New Roman"/>
              </w:rPr>
              <w:t>(Rúbrica)</w:t>
            </w:r>
          </w:p>
        </w:tc>
      </w:tr>
      <w:tr w:rsidR="003F3EDE" w:rsidRPr="002951D2" w:rsidTr="003F3EDE">
        <w:trPr>
          <w:trHeight w:val="1263"/>
        </w:trPr>
        <w:tc>
          <w:tcPr>
            <w:tcW w:w="8697" w:type="dxa"/>
            <w:gridSpan w:val="2"/>
            <w:vAlign w:val="center"/>
          </w:tcPr>
          <w:p w:rsidR="003F3EDE" w:rsidRDefault="003F3EDE" w:rsidP="003F3EDE">
            <w:pPr>
              <w:spacing w:line="360" w:lineRule="auto"/>
              <w:ind w:right="49"/>
              <w:jc w:val="center"/>
              <w:rPr>
                <w:rFonts w:ascii="Palatino Linotype" w:eastAsiaTheme="minorEastAsia" w:hAnsi="Palatino Linotype" w:cs="Times New Roman"/>
                <w:b/>
              </w:rPr>
            </w:pPr>
          </w:p>
          <w:p w:rsidR="00645316" w:rsidRPr="002951D2" w:rsidRDefault="00645316" w:rsidP="003F3EDE">
            <w:pPr>
              <w:spacing w:line="360" w:lineRule="auto"/>
              <w:ind w:right="49"/>
              <w:jc w:val="center"/>
              <w:rPr>
                <w:rFonts w:ascii="Palatino Linotype" w:eastAsiaTheme="minorEastAsia" w:hAnsi="Palatino Linotype" w:cs="Times New Roman"/>
                <w:b/>
              </w:rPr>
            </w:pPr>
          </w:p>
          <w:p w:rsidR="003F3EDE" w:rsidRPr="002951D2" w:rsidRDefault="003F3EDE" w:rsidP="003F3EDE">
            <w:pPr>
              <w:spacing w:line="360" w:lineRule="auto"/>
              <w:ind w:right="49"/>
              <w:jc w:val="center"/>
              <w:rPr>
                <w:rFonts w:ascii="Palatino Linotype" w:eastAsiaTheme="minorEastAsia" w:hAnsi="Palatino Linotype" w:cs="Times New Roman"/>
                <w:b/>
              </w:rPr>
            </w:pPr>
            <w:r w:rsidRPr="002951D2">
              <w:rPr>
                <w:rFonts w:ascii="Palatino Linotype" w:eastAsiaTheme="minorEastAsia" w:hAnsi="Palatino Linotype" w:cs="Times New Roman"/>
                <w:b/>
              </w:rPr>
              <w:t>Alexis Tapia Ramírez</w:t>
            </w:r>
          </w:p>
          <w:p w:rsidR="003F3EDE" w:rsidRPr="002951D2" w:rsidRDefault="003F3EDE" w:rsidP="003F3EDE">
            <w:pPr>
              <w:spacing w:line="360" w:lineRule="auto"/>
              <w:ind w:right="49"/>
              <w:jc w:val="center"/>
              <w:rPr>
                <w:rFonts w:ascii="Palatino Linotype" w:eastAsiaTheme="minorEastAsia" w:hAnsi="Palatino Linotype" w:cs="Times New Roman"/>
              </w:rPr>
            </w:pPr>
            <w:r w:rsidRPr="002951D2">
              <w:rPr>
                <w:rFonts w:ascii="Palatino Linotype" w:eastAsiaTheme="minorEastAsia" w:hAnsi="Palatino Linotype" w:cs="Times New Roman"/>
              </w:rPr>
              <w:t>Secretario Técnico del Pleno</w:t>
            </w:r>
          </w:p>
          <w:p w:rsidR="003F3EDE" w:rsidRPr="002951D2" w:rsidRDefault="00645316" w:rsidP="00645316">
            <w:pPr>
              <w:spacing w:line="360" w:lineRule="auto"/>
              <w:ind w:right="49"/>
              <w:jc w:val="center"/>
              <w:rPr>
                <w:rFonts w:ascii="Palatino Linotype" w:eastAsiaTheme="minorEastAsia" w:hAnsi="Palatino Linotype" w:cs="Times New Roman"/>
              </w:rPr>
            </w:pPr>
            <w:r>
              <w:rPr>
                <w:rFonts w:ascii="Palatino Linotype" w:eastAsiaTheme="minorEastAsia" w:hAnsi="Palatino Linotype" w:cs="Times New Roman"/>
              </w:rPr>
              <w:t>(Rúbrica)</w:t>
            </w:r>
          </w:p>
        </w:tc>
      </w:tr>
    </w:tbl>
    <w:p w:rsidR="0044534E" w:rsidRPr="00645316" w:rsidRDefault="003F3EDE" w:rsidP="00645316">
      <w:pPr>
        <w:spacing w:before="240" w:after="240" w:line="360" w:lineRule="auto"/>
        <w:ind w:right="49"/>
        <w:jc w:val="both"/>
        <w:rPr>
          <w:rFonts w:ascii="Palatino Linotype" w:hAnsi="Palatino Linotype"/>
          <w:color w:val="FF0000"/>
          <w:sz w:val="24"/>
          <w:szCs w:val="24"/>
        </w:rPr>
      </w:pPr>
      <w:r w:rsidRPr="002951D2">
        <w:rPr>
          <w:rFonts w:ascii="Palatino Linotype" w:eastAsia="Times New Roman" w:hAnsi="Palatino Linotype" w:cs="Arial"/>
          <w:sz w:val="24"/>
          <w:szCs w:val="24"/>
          <w:lang w:val="es-ES_tradnl" w:eastAsia="es-ES"/>
        </w:rPr>
        <w:t>Esta hoja corresponde a la r</w:t>
      </w:r>
      <w:r w:rsidR="00645316">
        <w:rPr>
          <w:rFonts w:ascii="Palatino Linotype" w:eastAsia="Times New Roman" w:hAnsi="Palatino Linotype" w:cs="Arial"/>
          <w:sz w:val="24"/>
          <w:szCs w:val="24"/>
          <w:lang w:val="es-ES_tradnl" w:eastAsia="es-ES"/>
        </w:rPr>
        <w:t>esolución de fecha seis (06</w:t>
      </w:r>
      <w:r w:rsidRPr="002951D2">
        <w:rPr>
          <w:rFonts w:ascii="Palatino Linotype" w:eastAsia="Times New Roman" w:hAnsi="Palatino Linotype" w:cs="Arial"/>
          <w:sz w:val="24"/>
          <w:szCs w:val="24"/>
          <w:lang w:val="es-ES_tradnl" w:eastAsia="es-ES"/>
        </w:rPr>
        <w:t xml:space="preserve">) de </w:t>
      </w:r>
      <w:r w:rsidR="00BF5FDA" w:rsidRPr="002951D2">
        <w:rPr>
          <w:rFonts w:ascii="Palatino Linotype" w:eastAsia="Times New Roman" w:hAnsi="Palatino Linotype" w:cs="Arial"/>
          <w:sz w:val="24"/>
          <w:szCs w:val="24"/>
          <w:lang w:val="es-ES_tradnl" w:eastAsia="es-ES"/>
        </w:rPr>
        <w:t>noviem</w:t>
      </w:r>
      <w:r w:rsidRPr="002951D2">
        <w:rPr>
          <w:rFonts w:ascii="Palatino Linotype" w:eastAsia="Times New Roman" w:hAnsi="Palatino Linotype" w:cs="Arial"/>
          <w:sz w:val="24"/>
          <w:szCs w:val="24"/>
          <w:lang w:val="es-ES_tradnl" w:eastAsia="es-ES"/>
        </w:rPr>
        <w:t xml:space="preserve">bre de dos mil diecinueve, emitida en el recurso de revisión </w:t>
      </w:r>
      <w:r w:rsidR="00BF5FDA" w:rsidRPr="002951D2">
        <w:rPr>
          <w:rFonts w:ascii="Palatino Linotype" w:eastAsia="Times New Roman" w:hAnsi="Palatino Linotype" w:cs="Arial"/>
          <w:b/>
          <w:sz w:val="24"/>
          <w:szCs w:val="24"/>
          <w:lang w:val="es-ES_tradnl" w:eastAsia="es-ES"/>
        </w:rPr>
        <w:t>06958</w:t>
      </w:r>
      <w:r w:rsidRPr="002951D2">
        <w:rPr>
          <w:rFonts w:ascii="Palatino Linotype" w:eastAsia="Times New Roman" w:hAnsi="Palatino Linotype" w:cs="Arial"/>
          <w:b/>
          <w:sz w:val="24"/>
          <w:szCs w:val="24"/>
          <w:lang w:val="es-ES_tradnl" w:eastAsia="es-ES"/>
        </w:rPr>
        <w:t xml:space="preserve">/INFOEM/IP/RR/2019 </w:t>
      </w:r>
    </w:p>
    <w:sectPr w:rsidR="0044534E" w:rsidRPr="00645316" w:rsidSect="003F3EDE">
      <w:headerReference w:type="default" r:id="rId12"/>
      <w:footerReference w:type="default" r:id="rId13"/>
      <w:headerReference w:type="first" r:id="rId14"/>
      <w:footerReference w:type="first" r:id="rId15"/>
      <w:pgSz w:w="12240" w:h="15840"/>
      <w:pgMar w:top="2552" w:right="1701"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6D7F" w:rsidRDefault="00536D7F" w:rsidP="003F3EDE">
      <w:pPr>
        <w:spacing w:after="0" w:line="240" w:lineRule="auto"/>
      </w:pPr>
      <w:r>
        <w:separator/>
      </w:r>
    </w:p>
  </w:endnote>
  <w:endnote w:type="continuationSeparator" w:id="0">
    <w:p w:rsidR="00536D7F" w:rsidRDefault="00536D7F" w:rsidP="003F3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Gill Sans,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61742193"/>
      <w:docPartObj>
        <w:docPartGallery w:val="Page Numbers (Bottom of Page)"/>
        <w:docPartUnique/>
      </w:docPartObj>
    </w:sdtPr>
    <w:sdtEndPr/>
    <w:sdtContent>
      <w:sdt>
        <w:sdtPr>
          <w:rPr>
            <w:rFonts w:ascii="Palatino Linotype" w:hAnsi="Palatino Linotype"/>
            <w:sz w:val="28"/>
          </w:rPr>
          <w:id w:val="1087954594"/>
          <w:docPartObj>
            <w:docPartGallery w:val="Page Numbers (Top of Page)"/>
            <w:docPartUnique/>
          </w:docPartObj>
        </w:sdtPr>
        <w:sdtEndPr/>
        <w:sdtContent>
          <w:p w:rsidR="00536D7F" w:rsidRPr="00883450" w:rsidRDefault="00536D7F">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CA7383">
              <w:rPr>
                <w:rFonts w:ascii="Palatino Linotype" w:hAnsi="Palatino Linotype"/>
                <w:b/>
                <w:bCs/>
                <w:noProof/>
                <w:szCs w:val="20"/>
              </w:rPr>
              <w:t>73</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CA7383">
              <w:rPr>
                <w:rFonts w:ascii="Palatino Linotype" w:hAnsi="Palatino Linotype"/>
                <w:b/>
                <w:bCs/>
                <w:noProof/>
                <w:szCs w:val="20"/>
              </w:rPr>
              <w:t>74</w:t>
            </w:r>
            <w:r w:rsidRPr="00883450">
              <w:rPr>
                <w:rFonts w:ascii="Palatino Linotype" w:hAnsi="Palatino Linotype"/>
                <w:b/>
                <w:bCs/>
                <w:szCs w:val="20"/>
              </w:rPr>
              <w:fldChar w:fldCharType="end"/>
            </w:r>
          </w:p>
        </w:sdtContent>
      </w:sdt>
    </w:sdtContent>
  </w:sdt>
  <w:p w:rsidR="00536D7F" w:rsidRDefault="00536D7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6D7F" w:rsidRPr="00883450" w:rsidRDefault="00536D7F" w:rsidP="003F3EDE">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CA7383" w:rsidRPr="00CA7383">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CA7383" w:rsidRPr="00CA7383">
      <w:rPr>
        <w:rFonts w:ascii="Palatino Linotype" w:hAnsi="Palatino Linotype"/>
        <w:noProof/>
        <w:lang w:val="es-ES"/>
      </w:rPr>
      <w:t>74</w:t>
    </w:r>
    <w:r w:rsidRPr="00883450">
      <w:rPr>
        <w:rFonts w:ascii="Palatino Linotype" w:hAnsi="Palatino Linotyp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6D7F" w:rsidRDefault="00536D7F" w:rsidP="003F3EDE">
      <w:pPr>
        <w:spacing w:after="0" w:line="240" w:lineRule="auto"/>
      </w:pPr>
      <w:r>
        <w:separator/>
      </w:r>
    </w:p>
  </w:footnote>
  <w:footnote w:type="continuationSeparator" w:id="0">
    <w:p w:rsidR="00536D7F" w:rsidRDefault="00536D7F" w:rsidP="003F3EDE">
      <w:pPr>
        <w:spacing w:after="0" w:line="240" w:lineRule="auto"/>
      </w:pPr>
      <w:r>
        <w:continuationSeparator/>
      </w:r>
    </w:p>
  </w:footnote>
  <w:footnote w:id="1">
    <w:p w:rsidR="00536D7F" w:rsidRDefault="00536D7F" w:rsidP="00D25E57">
      <w:pPr>
        <w:pStyle w:val="Textonotapie"/>
      </w:pPr>
      <w:r>
        <w:rPr>
          <w:rStyle w:val="Refdenotaalpie"/>
        </w:rPr>
        <w:footnoteRef/>
      </w:r>
      <w:r>
        <w:t xml:space="preserve"> </w:t>
      </w:r>
      <w:r w:rsidRPr="006848B2">
        <w:rPr>
          <w:rFonts w:ascii="Palatino Linotype" w:eastAsia="MS Mincho" w:hAnsi="Palatino Linotype" w:cs="Arial"/>
          <w:sz w:val="16"/>
          <w:szCs w:val="16"/>
          <w:lang w:eastAsia="es-MX"/>
        </w:rPr>
        <w:t xml:space="preserve">BURGOA ORIHUELA Ignacio. </w:t>
      </w:r>
      <w:r w:rsidRPr="006848B2">
        <w:rPr>
          <w:rFonts w:ascii="Palatino Linotype" w:eastAsia="MS Mincho" w:hAnsi="Palatino Linotype" w:cs="Arial"/>
          <w:i/>
          <w:sz w:val="16"/>
          <w:szCs w:val="16"/>
          <w:lang w:eastAsia="es-MX"/>
        </w:rPr>
        <w:t>Diccionario De Derecho Constitucional, Garantías y Amparo</w:t>
      </w:r>
      <w:r w:rsidRPr="006848B2">
        <w:rPr>
          <w:rFonts w:ascii="Palatino Linotype" w:eastAsia="MS Mincho" w:hAnsi="Palatino Linotype" w:cs="Arial"/>
          <w:sz w:val="16"/>
          <w:szCs w:val="16"/>
          <w:lang w:eastAsia="es-MX"/>
        </w:rPr>
        <w:t>. Ed. Porrúa, S.A., México. 1992. p. 115.</w:t>
      </w:r>
    </w:p>
  </w:footnote>
  <w:footnote w:id="2">
    <w:p w:rsidR="00536D7F" w:rsidRDefault="00536D7F" w:rsidP="00D25E57">
      <w:pPr>
        <w:pStyle w:val="Textonotapie"/>
      </w:pPr>
      <w:r>
        <w:rPr>
          <w:rStyle w:val="Refdenotaalpie"/>
        </w:rPr>
        <w:footnoteRef/>
      </w:r>
      <w:r>
        <w:t xml:space="preserve"> </w:t>
      </w:r>
      <w:r w:rsidRPr="006848B2">
        <w:rPr>
          <w:rFonts w:ascii="Palatino Linotype" w:eastAsia="MS Mincho" w:hAnsi="Palatino Linotype" w:cs="Arial"/>
          <w:sz w:val="16"/>
          <w:szCs w:val="16"/>
        </w:rPr>
        <w:t xml:space="preserve">CIENFUEGOS SALGADO David. </w:t>
      </w:r>
      <w:r w:rsidRPr="006848B2">
        <w:rPr>
          <w:rFonts w:ascii="Palatino Linotype" w:eastAsia="MS Mincho" w:hAnsi="Palatino Linotype" w:cs="Arial"/>
          <w:i/>
          <w:sz w:val="16"/>
          <w:szCs w:val="16"/>
        </w:rPr>
        <w:t xml:space="preserve">El Derecho de Petición en México. </w:t>
      </w:r>
      <w:r w:rsidRPr="006848B2">
        <w:rPr>
          <w:rFonts w:ascii="Palatino Linotype" w:eastAsia="MS Mincho" w:hAnsi="Palatino Linotype" w:cs="Arial"/>
          <w:sz w:val="16"/>
          <w:szCs w:val="16"/>
        </w:rPr>
        <w:t>Ed. Instituto de Investigaciones Jurídica UNAM. México 2004. p. 31</w:t>
      </w:r>
    </w:p>
  </w:footnote>
  <w:footnote w:id="3">
    <w:p w:rsidR="00536D7F" w:rsidRDefault="00536D7F" w:rsidP="00D25E57">
      <w:pPr>
        <w:pStyle w:val="Textonotapie"/>
      </w:pPr>
      <w:r>
        <w:rPr>
          <w:rStyle w:val="Refdenotaalpie"/>
        </w:rPr>
        <w:footnoteRef/>
      </w:r>
      <w:r>
        <w:t xml:space="preserve"> </w:t>
      </w:r>
      <w:r w:rsidRPr="006848B2">
        <w:rPr>
          <w:rFonts w:ascii="Palatino Linotype" w:eastAsia="MS Mincho" w:hAnsi="Palatino Linotype" w:cs="Arial"/>
          <w:sz w:val="16"/>
          <w:szCs w:val="16"/>
        </w:rPr>
        <w:t xml:space="preserve">ROBLES HERNÁNDEZ José Guadalupe. </w:t>
      </w:r>
      <w:r w:rsidRPr="006848B2">
        <w:rPr>
          <w:rFonts w:ascii="Palatino Linotype" w:eastAsia="MS Mincho" w:hAnsi="Palatino Linotype" w:cs="Arial"/>
          <w:i/>
          <w:sz w:val="16"/>
          <w:szCs w:val="16"/>
        </w:rPr>
        <w:t xml:space="preserve">Derecho de la Información y Comunicación Pública. </w:t>
      </w:r>
      <w:r w:rsidRPr="006848B2">
        <w:rPr>
          <w:rFonts w:ascii="Palatino Linotype" w:eastAsia="MS Mincho" w:hAnsi="Palatino Linotype" w:cs="Arial"/>
          <w:sz w:val="16"/>
          <w:szCs w:val="16"/>
        </w:rPr>
        <w:t>Ed. Universidad de Occidente. México. 2004, p. 72</w:t>
      </w:r>
    </w:p>
  </w:footnote>
  <w:footnote w:id="4">
    <w:p w:rsidR="00536D7F" w:rsidRDefault="00536D7F" w:rsidP="00D25E57">
      <w:pPr>
        <w:pStyle w:val="Textonotapie"/>
      </w:pPr>
      <w:r>
        <w:rPr>
          <w:rStyle w:val="Refdenotaalpie"/>
        </w:rPr>
        <w:footnoteRef/>
      </w:r>
      <w:r>
        <w:t xml:space="preserve"> </w:t>
      </w:r>
      <w:r w:rsidRPr="006848B2">
        <w:rPr>
          <w:rFonts w:ascii="Palatino Linotype" w:eastAsia="MS Mincho" w:hAnsi="Palatino Linotype" w:cs="Arial"/>
          <w:sz w:val="16"/>
          <w:szCs w:val="16"/>
        </w:rPr>
        <w:t xml:space="preserve">VILLANUEVA VILLANUEVA Ernesto. Derecho de la Información, Ed. Porrúa. </w:t>
      </w:r>
      <w:r w:rsidRPr="006848B2">
        <w:rPr>
          <w:rFonts w:ascii="Palatino Linotype" w:eastAsia="MS Mincho" w:hAnsi="Palatino Linotype" w:cs="Arial"/>
          <w:sz w:val="16"/>
          <w:szCs w:val="16"/>
          <w:lang w:eastAsia="es-MX"/>
        </w:rPr>
        <w:t>S.A., México. 2006. p. 270</w:t>
      </w:r>
    </w:p>
  </w:footnote>
  <w:footnote w:id="5">
    <w:p w:rsidR="00536D7F" w:rsidRPr="00985DD4" w:rsidRDefault="00536D7F" w:rsidP="000C37FE">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rsidR="00536D7F" w:rsidRPr="00985DD4" w:rsidRDefault="00536D7F" w:rsidP="000C37FE">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rsidR="00536D7F" w:rsidRPr="00985DD4" w:rsidRDefault="00536D7F" w:rsidP="000C37FE">
      <w:pPr>
        <w:autoSpaceDE w:val="0"/>
        <w:autoSpaceDN w:val="0"/>
        <w:adjustRightInd w:val="0"/>
        <w:spacing w:line="276" w:lineRule="auto"/>
        <w:jc w:val="both"/>
        <w:rPr>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6">
    <w:p w:rsidR="00536D7F" w:rsidRPr="00985DD4" w:rsidRDefault="00536D7F" w:rsidP="000C37FE">
      <w:pPr>
        <w:autoSpaceDE w:val="0"/>
        <w:autoSpaceDN w:val="0"/>
        <w:adjustRightInd w:val="0"/>
        <w:spacing w:line="276" w:lineRule="auto"/>
        <w:jc w:val="both"/>
        <w:rPr>
          <w:rFonts w:cs="Arial"/>
          <w:sz w:val="20"/>
          <w:szCs w:val="20"/>
        </w:rPr>
      </w:pPr>
      <w:r w:rsidRPr="00985DD4">
        <w:rPr>
          <w:rStyle w:val="Refdenotaalpie"/>
          <w:sz w:val="20"/>
          <w:szCs w:val="20"/>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7">
    <w:p w:rsidR="00536D7F" w:rsidRPr="003047EC" w:rsidRDefault="00536D7F" w:rsidP="000C37FE">
      <w:pPr>
        <w:pStyle w:val="Textonotapie"/>
        <w:jc w:val="both"/>
        <w:rPr>
          <w:rFonts w:ascii="Palatino Linotype" w:hAnsi="Palatino Linotype"/>
          <w:sz w:val="16"/>
          <w:szCs w:val="16"/>
        </w:rPr>
      </w:pPr>
      <w:r>
        <w:rPr>
          <w:rStyle w:val="Refdenotaalpie"/>
        </w:rPr>
        <w:footnoteRef/>
      </w:r>
      <w:r w:rsidRPr="00266430">
        <w:rPr>
          <w:lang w:val="es-ES"/>
        </w:rPr>
        <w:t xml:space="preserve"> </w:t>
      </w:r>
      <w:r w:rsidRPr="003047EC">
        <w:rPr>
          <w:rFonts w:ascii="Palatino Linotype" w:hAnsi="Palatino Linotype"/>
          <w:b/>
          <w:sz w:val="16"/>
          <w:szCs w:val="16"/>
        </w:rPr>
        <w:t>RESTRICCIONES A LOS DERECHOS FUNDAMENTALES. ELEMENTOS QUE EL JUEZ CONSTITUCIONAL DEBE TOMAR EN CUENTA PARA CONSIDERARLAS VÁLIDAS.</w:t>
      </w:r>
      <w:r w:rsidRPr="003047EC">
        <w:rPr>
          <w:rFonts w:ascii="Palatino Linotype" w:hAnsi="Palatino Linotype"/>
          <w:sz w:val="16"/>
          <w:szCs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536D7F" w:rsidRPr="003047EC" w:rsidRDefault="00536D7F" w:rsidP="000C37FE">
      <w:pPr>
        <w:pStyle w:val="Textonotapie"/>
        <w:jc w:val="both"/>
        <w:rPr>
          <w:rFonts w:ascii="Palatino Linotype" w:hAnsi="Palatino Linotype"/>
          <w:sz w:val="16"/>
          <w:szCs w:val="16"/>
        </w:rPr>
      </w:pPr>
      <w:r w:rsidRPr="003047EC">
        <w:rPr>
          <w:rFonts w:ascii="Palatino Linotype" w:hAnsi="Palatino Linotype"/>
          <w:sz w:val="16"/>
          <w:szCs w:val="16"/>
        </w:rPr>
        <w:t xml:space="preserve">1a./J. 2/2012 (9a.). Primera Sala. Décima Época. Semanario Judicial de la Federación y su Gaceta. Libro V, Febrero de 2012, Pág. 533.  </w:t>
      </w:r>
    </w:p>
  </w:footnote>
  <w:footnote w:id="8">
    <w:p w:rsidR="00536D7F" w:rsidRPr="00A870EF" w:rsidRDefault="00536D7F" w:rsidP="000C37FE">
      <w:pPr>
        <w:pStyle w:val="Textonotapie"/>
        <w:jc w:val="both"/>
        <w:rPr>
          <w:lang w:val="es-ES"/>
        </w:rPr>
      </w:pPr>
      <w:r w:rsidRPr="003047EC">
        <w:rPr>
          <w:rStyle w:val="Refdenotaalpie"/>
          <w:rFonts w:ascii="Palatino Linotype" w:hAnsi="Palatino Linotype"/>
          <w:sz w:val="16"/>
          <w:szCs w:val="16"/>
        </w:rPr>
        <w:footnoteRef/>
      </w:r>
      <w:r w:rsidRPr="003047EC">
        <w:rPr>
          <w:rFonts w:ascii="Palatino Linotype" w:hAnsi="Palatino Linotype"/>
          <w:sz w:val="16"/>
          <w:szCs w:val="16"/>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3047EC">
        <w:rPr>
          <w:rFonts w:ascii="Palatino Linotype" w:hAnsi="Palatino Linotype"/>
          <w:i/>
          <w:sz w:val="16"/>
          <w:szCs w:val="16"/>
        </w:rPr>
        <w:t>Marco jurídico interamericano sobre el derecho a la libertad de expresión</w:t>
      </w:r>
      <w:r w:rsidRPr="003047EC">
        <w:rPr>
          <w:rFonts w:ascii="Palatino Linotype" w:hAnsi="Palatino Linotype"/>
          <w:sz w:val="16"/>
          <w:szCs w:val="16"/>
        </w:rPr>
        <w:t>. Párr. 67.</w:t>
      </w:r>
      <w:r>
        <w:t xml:space="preserve"> </w:t>
      </w:r>
    </w:p>
  </w:footnote>
  <w:footnote w:id="9">
    <w:p w:rsidR="00536D7F" w:rsidRDefault="00536D7F" w:rsidP="000C37FE">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536D7F" w:rsidRDefault="00536D7F" w:rsidP="000C37FE">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536D7F" w:rsidRPr="001E1F95" w:rsidRDefault="00536D7F" w:rsidP="000C37FE">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0">
    <w:p w:rsidR="00536D7F" w:rsidRPr="007F43A5" w:rsidRDefault="00536D7F" w:rsidP="000C37FE">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2a. ed., México, Oxford University Press, 2002, 474 pp.</w:t>
      </w:r>
    </w:p>
  </w:footnote>
  <w:footnote w:id="11">
    <w:p w:rsidR="00536D7F" w:rsidRPr="0037004E" w:rsidRDefault="00536D7F" w:rsidP="000C37FE">
      <w:pPr>
        <w:pStyle w:val="Textonotapie"/>
        <w:jc w:val="both"/>
        <w:rPr>
          <w:lang w:val="es-ES"/>
        </w:rPr>
      </w:pPr>
      <w:r>
        <w:rPr>
          <w:rStyle w:val="Refdenotaalpie"/>
        </w:rPr>
        <w:footnoteRef/>
      </w:r>
      <w:r>
        <w:t xml:space="preserve"> </w:t>
      </w:r>
      <w:r w:rsidRPr="00C4034A">
        <w:rPr>
          <w:lang w:val="es-ES"/>
        </w:rPr>
        <w:t>Tribunales Colegiados de Circuito. Novena Epoca. Semanario Judicial de la Federación y su Gaceta. Tomo III, marzo de 1996. Pág 769. Consultado en http://sjf.scjn.gob.mx/sjfsist/Documentos/Tesis/203/203143.pdf  el viernes 16 de junio de 2017.</w:t>
      </w:r>
    </w:p>
    <w:p w:rsidR="00536D7F" w:rsidRDefault="00536D7F" w:rsidP="000C37FE">
      <w:pPr>
        <w:pStyle w:val="Textonotapie"/>
      </w:pPr>
    </w:p>
  </w:footnote>
  <w:footnote w:id="12">
    <w:p w:rsidR="00536D7F" w:rsidRDefault="00536D7F" w:rsidP="000C37FE">
      <w:pPr>
        <w:pStyle w:val="Textonotapie"/>
        <w:jc w:val="both"/>
      </w:pPr>
      <w:r>
        <w:rPr>
          <w:rStyle w:val="Refdenotaalpie"/>
        </w:rPr>
        <w:footnoteRef/>
      </w:r>
      <w:r>
        <w:t xml:space="preserve"> Artículo 3. Para los efectos de la presente Ley se entenderá por:</w:t>
      </w:r>
    </w:p>
    <w:p w:rsidR="00536D7F" w:rsidRDefault="00536D7F" w:rsidP="000C37FE">
      <w:pPr>
        <w:pStyle w:val="Textonotapie"/>
        <w:jc w:val="both"/>
      </w:pPr>
      <w:r>
        <w:t xml:space="preserve"> (…)</w:t>
      </w:r>
    </w:p>
    <w:p w:rsidR="00536D7F" w:rsidRDefault="00536D7F" w:rsidP="000C37FE">
      <w:pPr>
        <w:pStyle w:val="Textonotapie"/>
        <w:jc w:val="both"/>
      </w:pPr>
      <w:r>
        <w:t>IX. Datos personales: La información concerniente a una persona, identificada o identificable según lo dispuesto por la Ley de Protección de Datos Personales del Estado de México;</w:t>
      </w:r>
    </w:p>
  </w:footnote>
  <w:footnote w:id="13">
    <w:p w:rsidR="00536D7F" w:rsidRPr="00ED2A04" w:rsidRDefault="00536D7F" w:rsidP="000C37FE">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14">
    <w:p w:rsidR="00536D7F" w:rsidRPr="00ED2A04" w:rsidRDefault="00536D7F" w:rsidP="000C37FE">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15">
    <w:p w:rsidR="00536D7F" w:rsidRPr="000406A4" w:rsidRDefault="00536D7F" w:rsidP="000C37FE">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16">
    <w:p w:rsidR="00536D7F" w:rsidRPr="000406A4" w:rsidRDefault="00536D7F" w:rsidP="000C37FE">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17">
    <w:p w:rsidR="00536D7F" w:rsidRPr="000406A4" w:rsidRDefault="00536D7F" w:rsidP="000C37FE">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18">
    <w:p w:rsidR="00536D7F" w:rsidRPr="000406A4" w:rsidRDefault="00536D7F" w:rsidP="000C37FE">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19">
    <w:p w:rsidR="00536D7F" w:rsidRPr="000406A4" w:rsidRDefault="00536D7F" w:rsidP="000C37FE">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20">
    <w:p w:rsidR="00536D7F" w:rsidRPr="00042E67" w:rsidRDefault="00536D7F" w:rsidP="000C37FE">
      <w:pPr>
        <w:jc w:val="both"/>
        <w:rPr>
          <w:rFonts w:eastAsia="Times New Roman"/>
          <w:color w:val="000000" w:themeColor="text1"/>
          <w:sz w:val="20"/>
          <w:szCs w:val="20"/>
          <w:lang w:eastAsia="es-ES_tradnl"/>
        </w:rPr>
      </w:pPr>
      <w:r>
        <w:rPr>
          <w:rStyle w:val="Refdenotaalpie"/>
        </w:rPr>
        <w:footnoteRef/>
      </w:r>
      <w:r>
        <w:t xml:space="preserve"> </w:t>
      </w:r>
      <w:r>
        <w:rPr>
          <w:lang w:val="es-ES"/>
        </w:rPr>
        <w:t>“</w:t>
      </w:r>
      <w:r w:rsidRPr="00042E67">
        <w:rPr>
          <w:rFonts w:eastAsia="Times New Roman"/>
          <w:color w:val="000000" w:themeColor="text1"/>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w:t>
      </w:r>
      <w:r w:rsidRPr="00716066">
        <w:rPr>
          <w:rFonts w:eastAsia="Times New Roman"/>
          <w:color w:val="000000" w:themeColor="text1"/>
          <w:sz w:val="20"/>
          <w:szCs w:val="20"/>
          <w:lang w:eastAsia="es-ES_tradnl"/>
        </w:rPr>
        <w:t>Caso</w:t>
      </w:r>
      <w:r w:rsidRPr="00042E67">
        <w:rPr>
          <w:rFonts w:eastAsia="Times New Roman"/>
          <w:color w:val="000000" w:themeColor="text1"/>
          <w:sz w:val="20"/>
          <w:szCs w:val="20"/>
          <w:lang w:eastAsia="es-ES_tradnl"/>
        </w:rPr>
        <w:t xml:space="preserve"> Gonzales Lluy y otros contra Ecuador. Excepciones preliminares, fondo, reparaciones y costas. Sentencia del 01 de septiembre de 2015. Párr. 256. </w:t>
      </w:r>
    </w:p>
  </w:footnote>
  <w:footnote w:id="21">
    <w:p w:rsidR="00536D7F" w:rsidRPr="00A4142C" w:rsidRDefault="00536D7F" w:rsidP="000C37FE">
      <w:pPr>
        <w:pStyle w:val="Textonotapie"/>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6D7F" w:rsidRDefault="00536D7F">
    <w:pPr>
      <w:pStyle w:val="Encabezado"/>
    </w:pPr>
  </w:p>
  <w:p w:rsidR="00536D7F" w:rsidRDefault="00536D7F">
    <w:pPr>
      <w:pStyle w:val="Encabezado"/>
    </w:pPr>
  </w:p>
  <w:tbl>
    <w:tblPr>
      <w:tblStyle w:val="Tablaconcuadrcula"/>
      <w:tblW w:w="7088" w:type="dxa"/>
      <w:tblInd w:w="2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969"/>
      <w:gridCol w:w="142"/>
    </w:tblGrid>
    <w:tr w:rsidR="00536D7F" w:rsidRPr="00EF13C1" w:rsidTr="003F3EDE">
      <w:trPr>
        <w:trHeight w:val="138"/>
      </w:trPr>
      <w:tc>
        <w:tcPr>
          <w:tcW w:w="2977" w:type="dxa"/>
          <w:vAlign w:val="center"/>
        </w:tcPr>
        <w:p w:rsidR="00536D7F" w:rsidRPr="00EF13C1" w:rsidRDefault="00536D7F" w:rsidP="003F3EDE">
          <w:pPr>
            <w:rPr>
              <w:rFonts w:ascii="Palatino Linotype" w:hAnsi="Palatino Linotype"/>
              <w:b/>
              <w:sz w:val="22"/>
              <w:szCs w:val="22"/>
            </w:rPr>
          </w:pPr>
          <w:r w:rsidRPr="00EF13C1">
            <w:rPr>
              <w:rFonts w:ascii="Palatino Linotype" w:hAnsi="Palatino Linotype"/>
              <w:b/>
              <w:sz w:val="22"/>
              <w:szCs w:val="22"/>
            </w:rPr>
            <w:t>Recurso de revisión:</w:t>
          </w:r>
        </w:p>
      </w:tc>
      <w:tc>
        <w:tcPr>
          <w:tcW w:w="4111" w:type="dxa"/>
          <w:gridSpan w:val="2"/>
          <w:vAlign w:val="center"/>
        </w:tcPr>
        <w:p w:rsidR="00536D7F" w:rsidRPr="00EF13C1" w:rsidRDefault="00536D7F" w:rsidP="003F3EDE">
          <w:pPr>
            <w:pStyle w:val="Encabezado"/>
            <w:ind w:right="459"/>
            <w:jc w:val="both"/>
            <w:rPr>
              <w:rFonts w:ascii="Palatino Linotype" w:hAnsi="Palatino Linotype"/>
              <w:b/>
              <w:sz w:val="22"/>
              <w:szCs w:val="22"/>
            </w:rPr>
          </w:pPr>
          <w:r>
            <w:rPr>
              <w:rFonts w:ascii="Palatino Linotype" w:hAnsi="Palatino Linotype" w:cs="Arial"/>
              <w:b/>
              <w:bCs/>
              <w:sz w:val="22"/>
              <w:szCs w:val="22"/>
              <w:lang w:eastAsia="es-MX"/>
            </w:rPr>
            <w:t xml:space="preserve">06958/INFOEM/IP/RR/2019 </w:t>
          </w:r>
        </w:p>
      </w:tc>
    </w:tr>
    <w:tr w:rsidR="00536D7F" w:rsidRPr="00EF13C1" w:rsidTr="003F3EDE">
      <w:trPr>
        <w:gridAfter w:val="1"/>
        <w:wAfter w:w="142" w:type="dxa"/>
        <w:trHeight w:val="321"/>
      </w:trPr>
      <w:tc>
        <w:tcPr>
          <w:tcW w:w="2977" w:type="dxa"/>
          <w:vAlign w:val="center"/>
        </w:tcPr>
        <w:p w:rsidR="00536D7F" w:rsidRPr="00EF13C1" w:rsidRDefault="00536D7F" w:rsidP="003F3EDE">
          <w:pPr>
            <w:rPr>
              <w:rFonts w:ascii="Palatino Linotype" w:hAnsi="Palatino Linotype"/>
              <w:b/>
              <w:sz w:val="22"/>
              <w:szCs w:val="22"/>
            </w:rPr>
          </w:pPr>
          <w:r w:rsidRPr="00EF13C1">
            <w:rPr>
              <w:rFonts w:ascii="Palatino Linotype" w:hAnsi="Palatino Linotype"/>
              <w:b/>
              <w:sz w:val="22"/>
              <w:szCs w:val="22"/>
            </w:rPr>
            <w:t>Sujeto obligado:</w:t>
          </w:r>
        </w:p>
      </w:tc>
      <w:tc>
        <w:tcPr>
          <w:tcW w:w="3969" w:type="dxa"/>
          <w:vAlign w:val="center"/>
        </w:tcPr>
        <w:p w:rsidR="00536D7F" w:rsidRPr="00EF13C1" w:rsidRDefault="00536D7F" w:rsidP="003F3EDE">
          <w:pPr>
            <w:pStyle w:val="Encabezado"/>
            <w:ind w:right="-108"/>
            <w:jc w:val="both"/>
            <w:rPr>
              <w:rFonts w:ascii="Palatino Linotype" w:hAnsi="Palatino Linotype"/>
              <w:b/>
              <w:sz w:val="22"/>
              <w:szCs w:val="22"/>
            </w:rPr>
          </w:pPr>
          <w:r>
            <w:rPr>
              <w:rFonts w:ascii="Palatino Linotype" w:hAnsi="Palatino Linotype"/>
              <w:b/>
              <w:sz w:val="22"/>
              <w:szCs w:val="22"/>
            </w:rPr>
            <w:t>Secretaría de Seguridad</w:t>
          </w:r>
        </w:p>
      </w:tc>
    </w:tr>
    <w:tr w:rsidR="00536D7F" w:rsidRPr="00EF13C1" w:rsidTr="003F3EDE">
      <w:trPr>
        <w:trHeight w:val="321"/>
      </w:trPr>
      <w:tc>
        <w:tcPr>
          <w:tcW w:w="2977" w:type="dxa"/>
          <w:vAlign w:val="center"/>
        </w:tcPr>
        <w:p w:rsidR="00536D7F" w:rsidRPr="00EF13C1" w:rsidRDefault="00536D7F" w:rsidP="003F3EDE">
          <w:pPr>
            <w:rPr>
              <w:rFonts w:ascii="Palatino Linotype" w:hAnsi="Palatino Linotype"/>
              <w:b/>
              <w:sz w:val="22"/>
              <w:szCs w:val="22"/>
            </w:rPr>
          </w:pPr>
          <w:r w:rsidRPr="00EF13C1">
            <w:rPr>
              <w:rFonts w:ascii="Palatino Linotype" w:hAnsi="Palatino Linotype"/>
              <w:b/>
              <w:sz w:val="22"/>
              <w:szCs w:val="22"/>
            </w:rPr>
            <w:t>Comisionado ponente:</w:t>
          </w:r>
        </w:p>
      </w:tc>
      <w:tc>
        <w:tcPr>
          <w:tcW w:w="4111" w:type="dxa"/>
          <w:gridSpan w:val="2"/>
          <w:vAlign w:val="center"/>
        </w:tcPr>
        <w:p w:rsidR="00536D7F" w:rsidRPr="00EF13C1" w:rsidRDefault="00536D7F" w:rsidP="003F3EDE">
          <w:pPr>
            <w:pStyle w:val="Encabezado"/>
            <w:jc w:val="both"/>
            <w:rPr>
              <w:rFonts w:ascii="Palatino Linotype" w:hAnsi="Palatino Linotype"/>
              <w:b/>
              <w:sz w:val="22"/>
              <w:szCs w:val="22"/>
            </w:rPr>
          </w:pPr>
          <w:r w:rsidRPr="00EF13C1">
            <w:rPr>
              <w:rFonts w:ascii="Palatino Linotype" w:hAnsi="Palatino Linotype"/>
              <w:b/>
              <w:sz w:val="22"/>
              <w:szCs w:val="22"/>
            </w:rPr>
            <w:t>José Guadalupe Luna Hernández</w:t>
          </w:r>
        </w:p>
      </w:tc>
    </w:tr>
  </w:tbl>
  <w:p w:rsidR="00536D7F" w:rsidRDefault="00536D7F" w:rsidP="003F3ED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6D7F" w:rsidRDefault="00536D7F" w:rsidP="003F3EDE">
    <w:pPr>
      <w:pStyle w:val="Encabezado"/>
      <w:tabs>
        <w:tab w:val="left" w:pos="3103"/>
      </w:tabs>
    </w:pPr>
    <w:r>
      <w:tab/>
    </w:r>
    <w:r>
      <w:tab/>
    </w:r>
  </w:p>
  <w:tbl>
    <w:tblPr>
      <w:tblStyle w:val="Tablaconcuadrcula"/>
      <w:tblW w:w="7351" w:type="dxa"/>
      <w:tblInd w:w="26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1"/>
      <w:gridCol w:w="264"/>
      <w:gridCol w:w="4536"/>
    </w:tblGrid>
    <w:tr w:rsidR="00536D7F" w:rsidRPr="00182113" w:rsidTr="003F3EDE">
      <w:trPr>
        <w:trHeight w:val="138"/>
      </w:trPr>
      <w:tc>
        <w:tcPr>
          <w:tcW w:w="2551" w:type="dxa"/>
          <w:vAlign w:val="center"/>
        </w:tcPr>
        <w:p w:rsidR="00536D7F" w:rsidRPr="00182113" w:rsidRDefault="00536D7F" w:rsidP="003F3EDE">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264" w:type="dxa"/>
          <w:vAlign w:val="center"/>
        </w:tcPr>
        <w:p w:rsidR="00536D7F" w:rsidRPr="00182113" w:rsidRDefault="00536D7F" w:rsidP="003F3EDE">
          <w:pPr>
            <w:pStyle w:val="Encabezado"/>
            <w:jc w:val="center"/>
            <w:rPr>
              <w:rFonts w:ascii="Palatino Linotype" w:hAnsi="Palatino Linotype"/>
              <w:b/>
              <w:sz w:val="22"/>
              <w:szCs w:val="22"/>
            </w:rPr>
          </w:pPr>
        </w:p>
      </w:tc>
      <w:tc>
        <w:tcPr>
          <w:tcW w:w="4536" w:type="dxa"/>
          <w:vAlign w:val="center"/>
        </w:tcPr>
        <w:p w:rsidR="00536D7F" w:rsidRPr="005143E6" w:rsidRDefault="00536D7F" w:rsidP="003F3EDE">
          <w:pPr>
            <w:pStyle w:val="Encabezado"/>
            <w:tabs>
              <w:tab w:val="clear" w:pos="4419"/>
              <w:tab w:val="center" w:pos="4145"/>
            </w:tabs>
            <w:ind w:right="1168"/>
            <w:jc w:val="both"/>
            <w:rPr>
              <w:rFonts w:ascii="Palatino Linotype" w:hAnsi="Palatino Linotype" w:cs="Arial"/>
              <w:b/>
              <w:bCs/>
              <w:lang w:eastAsia="es-MX"/>
            </w:rPr>
          </w:pPr>
          <w:r>
            <w:rPr>
              <w:rFonts w:ascii="Palatino Linotype" w:hAnsi="Palatino Linotype" w:cs="Arial"/>
              <w:b/>
              <w:bCs/>
              <w:lang w:eastAsia="es-MX"/>
            </w:rPr>
            <w:t>06958/</w:t>
          </w:r>
          <w:r w:rsidRPr="00182113">
            <w:rPr>
              <w:rFonts w:ascii="Palatino Linotype" w:hAnsi="Palatino Linotype" w:cs="Arial"/>
              <w:b/>
              <w:bCs/>
              <w:lang w:eastAsia="es-MX"/>
            </w:rPr>
            <w:t>INFOEM/IP/RR/</w:t>
          </w:r>
          <w:r>
            <w:rPr>
              <w:rFonts w:ascii="Palatino Linotype" w:hAnsi="Palatino Linotype" w:cs="Arial"/>
              <w:b/>
              <w:bCs/>
              <w:lang w:eastAsia="es-MX"/>
            </w:rPr>
            <w:t xml:space="preserve">2019 </w:t>
          </w:r>
        </w:p>
      </w:tc>
    </w:tr>
    <w:tr w:rsidR="00536D7F" w:rsidRPr="00182113" w:rsidTr="003F3EDE">
      <w:trPr>
        <w:trHeight w:val="227"/>
      </w:trPr>
      <w:tc>
        <w:tcPr>
          <w:tcW w:w="2551" w:type="dxa"/>
          <w:vAlign w:val="center"/>
        </w:tcPr>
        <w:p w:rsidR="00536D7F" w:rsidRPr="00182113" w:rsidRDefault="00536D7F" w:rsidP="003F3EDE">
          <w:pPr>
            <w:rPr>
              <w:rFonts w:ascii="Palatino Linotype" w:hAnsi="Palatino Linotype"/>
              <w:b/>
              <w:sz w:val="22"/>
              <w:szCs w:val="22"/>
            </w:rPr>
          </w:pPr>
          <w:r w:rsidRPr="00182113">
            <w:rPr>
              <w:rFonts w:ascii="Palatino Linotype" w:hAnsi="Palatino Linotype"/>
              <w:b/>
              <w:sz w:val="22"/>
              <w:szCs w:val="22"/>
            </w:rPr>
            <w:t>Recurrente:</w:t>
          </w:r>
        </w:p>
      </w:tc>
      <w:tc>
        <w:tcPr>
          <w:tcW w:w="264" w:type="dxa"/>
          <w:vAlign w:val="center"/>
        </w:tcPr>
        <w:p w:rsidR="00536D7F" w:rsidRPr="00182113" w:rsidRDefault="00536D7F" w:rsidP="003F3EDE">
          <w:pPr>
            <w:pStyle w:val="Encabezado"/>
            <w:jc w:val="center"/>
            <w:rPr>
              <w:rFonts w:ascii="Palatino Linotype" w:hAnsi="Palatino Linotype"/>
              <w:b/>
              <w:sz w:val="22"/>
              <w:szCs w:val="22"/>
            </w:rPr>
          </w:pPr>
        </w:p>
      </w:tc>
      <w:tc>
        <w:tcPr>
          <w:tcW w:w="4536" w:type="dxa"/>
          <w:vAlign w:val="center"/>
        </w:tcPr>
        <w:p w:rsidR="00536D7F" w:rsidRPr="00182113" w:rsidRDefault="00536D7F" w:rsidP="003F3EDE">
          <w:pPr>
            <w:pStyle w:val="Encabezado"/>
            <w:ind w:right="34"/>
            <w:jc w:val="both"/>
            <w:rPr>
              <w:rFonts w:ascii="Palatino Linotype" w:hAnsi="Palatino Linotype"/>
              <w:b/>
              <w:sz w:val="22"/>
              <w:szCs w:val="22"/>
            </w:rPr>
          </w:pPr>
          <w:r w:rsidRPr="00536D7F">
            <w:rPr>
              <w:rFonts w:ascii="Palatino Linotype" w:hAnsi="Palatino Linotype"/>
              <w:b/>
              <w:sz w:val="22"/>
              <w:szCs w:val="22"/>
              <w:highlight w:val="black"/>
            </w:rPr>
            <w:t>---------------------------------</w:t>
          </w:r>
        </w:p>
      </w:tc>
    </w:tr>
    <w:tr w:rsidR="00536D7F" w:rsidRPr="00182113" w:rsidTr="003F3EDE">
      <w:trPr>
        <w:trHeight w:val="232"/>
      </w:trPr>
      <w:tc>
        <w:tcPr>
          <w:tcW w:w="2551" w:type="dxa"/>
          <w:vAlign w:val="center"/>
        </w:tcPr>
        <w:p w:rsidR="00536D7F" w:rsidRPr="00182113" w:rsidRDefault="00536D7F" w:rsidP="003F3EDE">
          <w:pPr>
            <w:rPr>
              <w:rFonts w:ascii="Palatino Linotype" w:hAnsi="Palatino Linotype"/>
              <w:b/>
              <w:sz w:val="22"/>
              <w:szCs w:val="22"/>
            </w:rPr>
          </w:pPr>
          <w:r w:rsidRPr="00182113">
            <w:rPr>
              <w:rFonts w:ascii="Palatino Linotype" w:hAnsi="Palatino Linotype"/>
              <w:b/>
              <w:sz w:val="22"/>
              <w:szCs w:val="22"/>
            </w:rPr>
            <w:t>Sujeto obligado:</w:t>
          </w:r>
        </w:p>
      </w:tc>
      <w:tc>
        <w:tcPr>
          <w:tcW w:w="264" w:type="dxa"/>
          <w:vAlign w:val="center"/>
        </w:tcPr>
        <w:p w:rsidR="00536D7F" w:rsidRPr="00182113" w:rsidRDefault="00536D7F" w:rsidP="003F3EDE">
          <w:pPr>
            <w:pStyle w:val="Encabezado"/>
            <w:jc w:val="center"/>
            <w:rPr>
              <w:rFonts w:ascii="Palatino Linotype" w:hAnsi="Palatino Linotype"/>
              <w:b/>
              <w:sz w:val="22"/>
              <w:szCs w:val="22"/>
            </w:rPr>
          </w:pPr>
        </w:p>
      </w:tc>
      <w:tc>
        <w:tcPr>
          <w:tcW w:w="4536" w:type="dxa"/>
          <w:vAlign w:val="center"/>
        </w:tcPr>
        <w:p w:rsidR="00536D7F" w:rsidRPr="00182113" w:rsidRDefault="00536D7F" w:rsidP="003F3EDE">
          <w:pPr>
            <w:pStyle w:val="Encabezado"/>
            <w:ind w:right="34"/>
            <w:jc w:val="both"/>
            <w:rPr>
              <w:rFonts w:ascii="Palatino Linotype" w:hAnsi="Palatino Linotype"/>
              <w:b/>
              <w:sz w:val="22"/>
              <w:szCs w:val="22"/>
            </w:rPr>
          </w:pPr>
          <w:r>
            <w:rPr>
              <w:rFonts w:ascii="Palatino Linotype" w:hAnsi="Palatino Linotype"/>
              <w:b/>
              <w:sz w:val="22"/>
              <w:szCs w:val="22"/>
            </w:rPr>
            <w:t>Secretaría de Seguridad</w:t>
          </w:r>
        </w:p>
      </w:tc>
    </w:tr>
    <w:tr w:rsidR="00536D7F" w:rsidRPr="00182113" w:rsidTr="003F3EDE">
      <w:trPr>
        <w:trHeight w:val="320"/>
      </w:trPr>
      <w:tc>
        <w:tcPr>
          <w:tcW w:w="2551" w:type="dxa"/>
          <w:vAlign w:val="center"/>
        </w:tcPr>
        <w:p w:rsidR="00536D7F" w:rsidRPr="00182113" w:rsidRDefault="00536D7F" w:rsidP="003F3EDE">
          <w:pPr>
            <w:rPr>
              <w:rFonts w:ascii="Palatino Linotype" w:hAnsi="Palatino Linotype"/>
              <w:b/>
              <w:sz w:val="22"/>
              <w:szCs w:val="22"/>
            </w:rPr>
          </w:pPr>
          <w:r w:rsidRPr="00182113">
            <w:rPr>
              <w:rFonts w:ascii="Palatino Linotype" w:hAnsi="Palatino Linotype"/>
              <w:b/>
              <w:sz w:val="22"/>
              <w:szCs w:val="22"/>
            </w:rPr>
            <w:t>Comisionado ponente:</w:t>
          </w:r>
        </w:p>
      </w:tc>
      <w:tc>
        <w:tcPr>
          <w:tcW w:w="264" w:type="dxa"/>
          <w:vAlign w:val="center"/>
        </w:tcPr>
        <w:p w:rsidR="00536D7F" w:rsidRPr="00182113" w:rsidRDefault="00536D7F" w:rsidP="003F3EDE">
          <w:pPr>
            <w:pStyle w:val="Encabezado"/>
            <w:jc w:val="center"/>
            <w:rPr>
              <w:rFonts w:ascii="Palatino Linotype" w:hAnsi="Palatino Linotype"/>
              <w:b/>
              <w:sz w:val="22"/>
              <w:szCs w:val="22"/>
            </w:rPr>
          </w:pPr>
        </w:p>
      </w:tc>
      <w:tc>
        <w:tcPr>
          <w:tcW w:w="4536" w:type="dxa"/>
          <w:vAlign w:val="center"/>
        </w:tcPr>
        <w:p w:rsidR="00536D7F" w:rsidRPr="00182113" w:rsidRDefault="00536D7F" w:rsidP="003F3EDE">
          <w:pPr>
            <w:pStyle w:val="Encabezado"/>
            <w:ind w:right="34"/>
            <w:jc w:val="both"/>
            <w:rPr>
              <w:rFonts w:ascii="Palatino Linotype" w:hAnsi="Palatino Linotype"/>
              <w:b/>
              <w:sz w:val="22"/>
              <w:szCs w:val="22"/>
            </w:rPr>
          </w:pPr>
          <w:r>
            <w:rPr>
              <w:rFonts w:ascii="Palatino Linotype" w:hAnsi="Palatino Linotype"/>
              <w:b/>
              <w:sz w:val="22"/>
              <w:szCs w:val="22"/>
            </w:rPr>
            <w:t>José Guadalupe Luna Hernández</w:t>
          </w:r>
        </w:p>
      </w:tc>
    </w:tr>
  </w:tbl>
  <w:p w:rsidR="00536D7F" w:rsidRDefault="00536D7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4820143"/>
    <w:multiLevelType w:val="hybridMultilevel"/>
    <w:tmpl w:val="1E4CA8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6E924D0"/>
    <w:multiLevelType w:val="hybridMultilevel"/>
    <w:tmpl w:val="1C4E3B3C"/>
    <w:lvl w:ilvl="0" w:tplc="2E2CC8AC">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39E19F6"/>
    <w:multiLevelType w:val="hybridMultilevel"/>
    <w:tmpl w:val="8842BE8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4317490"/>
    <w:multiLevelType w:val="hybridMultilevel"/>
    <w:tmpl w:val="D0166538"/>
    <w:lvl w:ilvl="0" w:tplc="92BE0B36">
      <w:start w:val="1"/>
      <w:numFmt w:val="decimal"/>
      <w:lvlText w:val="%1."/>
      <w:lvlJc w:val="left"/>
      <w:pPr>
        <w:ind w:left="6881"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98F683D"/>
    <w:multiLevelType w:val="hybridMultilevel"/>
    <w:tmpl w:val="CDEC7692"/>
    <w:lvl w:ilvl="0" w:tplc="566A8D4A">
      <w:start w:val="5"/>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2">
    <w:nsid w:val="541154CF"/>
    <w:multiLevelType w:val="hybridMultilevel"/>
    <w:tmpl w:val="D0166538"/>
    <w:lvl w:ilvl="0" w:tplc="92BE0B36">
      <w:start w:val="1"/>
      <w:numFmt w:val="decimal"/>
      <w:lvlText w:val="%1."/>
      <w:lvlJc w:val="left"/>
      <w:pPr>
        <w:ind w:left="6881"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5">
    <w:nsid w:val="70FC475E"/>
    <w:multiLevelType w:val="hybridMultilevel"/>
    <w:tmpl w:val="D0166538"/>
    <w:lvl w:ilvl="0" w:tplc="92BE0B36">
      <w:start w:val="1"/>
      <w:numFmt w:val="decimal"/>
      <w:lvlText w:val="%1."/>
      <w:lvlJc w:val="left"/>
      <w:pPr>
        <w:ind w:left="6881"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1255A8B"/>
    <w:multiLevelType w:val="hybridMultilevel"/>
    <w:tmpl w:val="08700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1BC1695"/>
    <w:multiLevelType w:val="hybridMultilevel"/>
    <w:tmpl w:val="B94AFC34"/>
    <w:lvl w:ilvl="0" w:tplc="B40CD742">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nsid w:val="759A793F"/>
    <w:multiLevelType w:val="hybridMultilevel"/>
    <w:tmpl w:val="CD5E2898"/>
    <w:lvl w:ilvl="0" w:tplc="0C847D70">
      <w:start w:val="1"/>
      <w:numFmt w:val="lowerLetter"/>
      <w:lvlText w:val="%1)"/>
      <w:lvlJc w:val="left"/>
      <w:pPr>
        <w:ind w:left="720" w:hanging="360"/>
      </w:pPr>
      <w:rPr>
        <w:rFonts w:eastAsia="MS Mincho" w:cstheme="majorBid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F506989"/>
    <w:multiLevelType w:val="hybridMultilevel"/>
    <w:tmpl w:val="E9E6B106"/>
    <w:lvl w:ilvl="0" w:tplc="4F34F162">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5"/>
  </w:num>
  <w:num w:numId="2">
    <w:abstractNumId w:val="6"/>
  </w:num>
  <w:num w:numId="3">
    <w:abstractNumId w:val="8"/>
  </w:num>
  <w:num w:numId="4">
    <w:abstractNumId w:val="19"/>
  </w:num>
  <w:num w:numId="5">
    <w:abstractNumId w:val="16"/>
  </w:num>
  <w:num w:numId="6">
    <w:abstractNumId w:val="17"/>
  </w:num>
  <w:num w:numId="7">
    <w:abstractNumId w:val="3"/>
  </w:num>
  <w:num w:numId="8">
    <w:abstractNumId w:val="4"/>
  </w:num>
  <w:num w:numId="9">
    <w:abstractNumId w:val="12"/>
  </w:num>
  <w:num w:numId="10">
    <w:abstractNumId w:val="15"/>
  </w:num>
  <w:num w:numId="11">
    <w:abstractNumId w:val="7"/>
  </w:num>
  <w:num w:numId="12">
    <w:abstractNumId w:val="10"/>
  </w:num>
  <w:num w:numId="13">
    <w:abstractNumId w:val="14"/>
  </w:num>
  <w:num w:numId="14">
    <w:abstractNumId w:val="11"/>
  </w:num>
  <w:num w:numId="15">
    <w:abstractNumId w:val="1"/>
  </w:num>
  <w:num w:numId="16">
    <w:abstractNumId w:val="13"/>
  </w:num>
  <w:num w:numId="17">
    <w:abstractNumId w:val="2"/>
  </w:num>
  <w:num w:numId="18">
    <w:abstractNumId w:val="0"/>
  </w:num>
  <w:num w:numId="19">
    <w:abstractNumId w:val="18"/>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EDE"/>
    <w:rsid w:val="00027E29"/>
    <w:rsid w:val="000C37FE"/>
    <w:rsid w:val="00116752"/>
    <w:rsid w:val="00126316"/>
    <w:rsid w:val="00127ED3"/>
    <w:rsid w:val="00192EE5"/>
    <w:rsid w:val="001C2E08"/>
    <w:rsid w:val="001E0481"/>
    <w:rsid w:val="001F21C3"/>
    <w:rsid w:val="002329B0"/>
    <w:rsid w:val="002951D2"/>
    <w:rsid w:val="003E4329"/>
    <w:rsid w:val="003F3EDE"/>
    <w:rsid w:val="0044534E"/>
    <w:rsid w:val="004A2F27"/>
    <w:rsid w:val="004B3863"/>
    <w:rsid w:val="004C1C47"/>
    <w:rsid w:val="004C693D"/>
    <w:rsid w:val="004F5B6D"/>
    <w:rsid w:val="00521A18"/>
    <w:rsid w:val="00536D7F"/>
    <w:rsid w:val="005649DB"/>
    <w:rsid w:val="005A148F"/>
    <w:rsid w:val="00632B01"/>
    <w:rsid w:val="00645316"/>
    <w:rsid w:val="00663822"/>
    <w:rsid w:val="006A6FA0"/>
    <w:rsid w:val="006B39D8"/>
    <w:rsid w:val="0074394C"/>
    <w:rsid w:val="007E19D0"/>
    <w:rsid w:val="008167B2"/>
    <w:rsid w:val="00841F89"/>
    <w:rsid w:val="00893881"/>
    <w:rsid w:val="00893B88"/>
    <w:rsid w:val="008A7AA4"/>
    <w:rsid w:val="00950BCF"/>
    <w:rsid w:val="00997296"/>
    <w:rsid w:val="009A7918"/>
    <w:rsid w:val="00A020BC"/>
    <w:rsid w:val="00A20FCF"/>
    <w:rsid w:val="00A32BF7"/>
    <w:rsid w:val="00A92899"/>
    <w:rsid w:val="00AA0B6F"/>
    <w:rsid w:val="00AE53FB"/>
    <w:rsid w:val="00AF3EAA"/>
    <w:rsid w:val="00B00BCA"/>
    <w:rsid w:val="00B1370C"/>
    <w:rsid w:val="00B50458"/>
    <w:rsid w:val="00B73CAF"/>
    <w:rsid w:val="00BF5FDA"/>
    <w:rsid w:val="00C065A1"/>
    <w:rsid w:val="00C57A89"/>
    <w:rsid w:val="00CA7383"/>
    <w:rsid w:val="00CB0F62"/>
    <w:rsid w:val="00CC5A63"/>
    <w:rsid w:val="00CD43EC"/>
    <w:rsid w:val="00CD629C"/>
    <w:rsid w:val="00D25E57"/>
    <w:rsid w:val="00D27D9F"/>
    <w:rsid w:val="00D72866"/>
    <w:rsid w:val="00DC5CB3"/>
    <w:rsid w:val="00E56D52"/>
    <w:rsid w:val="00E72B7D"/>
    <w:rsid w:val="00E748D3"/>
    <w:rsid w:val="00F60D60"/>
    <w:rsid w:val="00F964EF"/>
    <w:rsid w:val="00FE7FFE"/>
    <w:rsid w:val="00FF58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2B30791C-B4E6-43AB-9EEB-BFCBB3B77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EDE"/>
  </w:style>
  <w:style w:type="paragraph" w:styleId="Ttulo1">
    <w:name w:val="heading 1"/>
    <w:basedOn w:val="Normal"/>
    <w:next w:val="Normal"/>
    <w:link w:val="Ttulo1Car"/>
    <w:uiPriority w:val="9"/>
    <w:qFormat/>
    <w:rsid w:val="003F3ED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FE7FF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F3ED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F3EDE"/>
  </w:style>
  <w:style w:type="paragraph" w:styleId="Piedepgina">
    <w:name w:val="footer"/>
    <w:basedOn w:val="Normal"/>
    <w:link w:val="PiedepginaCar"/>
    <w:uiPriority w:val="99"/>
    <w:unhideWhenUsed/>
    <w:rsid w:val="003F3ED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F3EDE"/>
  </w:style>
  <w:style w:type="table" w:styleId="Tablaconcuadrcula">
    <w:name w:val="Table Grid"/>
    <w:basedOn w:val="Tablanormal"/>
    <w:uiPriority w:val="39"/>
    <w:rsid w:val="003F3EDE"/>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3F3EDE"/>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3F3EDE"/>
    <w:rPr>
      <w:vertAlign w:val="superscript"/>
    </w:rPr>
  </w:style>
  <w:style w:type="paragraph" w:customStyle="1" w:styleId="ADB1">
    <w:name w:val="ADB1"/>
    <w:basedOn w:val="Normal"/>
    <w:next w:val="Textonotapie"/>
    <w:uiPriority w:val="99"/>
    <w:unhideWhenUsed/>
    <w:qFormat/>
    <w:rsid w:val="003F3EDE"/>
    <w:pPr>
      <w:spacing w:after="0" w:line="240" w:lineRule="auto"/>
    </w:pPr>
    <w:rPr>
      <w:rFonts w:eastAsia="Cambria"/>
      <w:sz w:val="20"/>
      <w:szCs w:val="20"/>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F3EDE"/>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F3EDE"/>
  </w:style>
  <w:style w:type="character" w:customStyle="1" w:styleId="Ttulo1Car">
    <w:name w:val="Título 1 Car"/>
    <w:basedOn w:val="Fuentedeprrafopredeter"/>
    <w:link w:val="Ttulo1"/>
    <w:uiPriority w:val="9"/>
    <w:rsid w:val="003F3EDE"/>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3F3EDE"/>
    <w:pPr>
      <w:outlineLvl w:val="9"/>
    </w:pPr>
    <w:rPr>
      <w:lang w:eastAsia="es-MX"/>
    </w:rPr>
  </w:style>
  <w:style w:type="paragraph" w:styleId="TDC1">
    <w:name w:val="toc 1"/>
    <w:basedOn w:val="Normal"/>
    <w:next w:val="Normal"/>
    <w:autoRedefine/>
    <w:uiPriority w:val="39"/>
    <w:unhideWhenUsed/>
    <w:rsid w:val="003F3EDE"/>
    <w:pPr>
      <w:spacing w:after="100"/>
    </w:pPr>
  </w:style>
  <w:style w:type="paragraph" w:styleId="TDC2">
    <w:name w:val="toc 2"/>
    <w:basedOn w:val="Normal"/>
    <w:next w:val="Normal"/>
    <w:autoRedefine/>
    <w:uiPriority w:val="39"/>
    <w:unhideWhenUsed/>
    <w:rsid w:val="003F3EDE"/>
    <w:pPr>
      <w:spacing w:after="100"/>
      <w:ind w:left="220"/>
    </w:pPr>
  </w:style>
  <w:style w:type="character" w:styleId="Hipervnculo">
    <w:name w:val="Hyperlink"/>
    <w:basedOn w:val="Fuentedeprrafopredeter"/>
    <w:uiPriority w:val="99"/>
    <w:unhideWhenUsed/>
    <w:rsid w:val="003F3EDE"/>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F3ED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F3EDE"/>
    <w:rPr>
      <w:sz w:val="20"/>
      <w:szCs w:val="20"/>
    </w:rPr>
  </w:style>
  <w:style w:type="character" w:customStyle="1" w:styleId="apple-converted-space">
    <w:name w:val="apple-converted-space"/>
    <w:basedOn w:val="Fuentedeprrafopredeter"/>
    <w:rsid w:val="000C37FE"/>
  </w:style>
  <w:style w:type="table" w:customStyle="1" w:styleId="Tablaconcuadrcula2">
    <w:name w:val="Tabla con cuadrícula2"/>
    <w:basedOn w:val="Tablanormal"/>
    <w:next w:val="Tablaconcuadrcula"/>
    <w:uiPriority w:val="39"/>
    <w:rsid w:val="000C37FE"/>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 11"/>
    <w:basedOn w:val="Tablanormal"/>
    <w:next w:val="Tablanormal1"/>
    <w:uiPriority w:val="41"/>
    <w:rsid w:val="000C37FE"/>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0C37FE"/>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2Car">
    <w:name w:val="Título 2 Car"/>
    <w:basedOn w:val="Fuentedeprrafopredeter"/>
    <w:link w:val="Ttulo2"/>
    <w:uiPriority w:val="9"/>
    <w:semiHidden/>
    <w:rsid w:val="00FE7FFE"/>
    <w:rPr>
      <w:rFonts w:asciiTheme="majorHAnsi" w:eastAsiaTheme="majorEastAsia" w:hAnsiTheme="majorHAnsi" w:cstheme="majorBidi"/>
      <w:color w:val="2E74B5" w:themeColor="accent1" w:themeShade="BF"/>
      <w:sz w:val="26"/>
      <w:szCs w:val="26"/>
    </w:rPr>
  </w:style>
  <w:style w:type="paragraph" w:styleId="Textonotaalfinal">
    <w:name w:val="endnote text"/>
    <w:basedOn w:val="Normal"/>
    <w:link w:val="TextonotaalfinalCar"/>
    <w:uiPriority w:val="99"/>
    <w:semiHidden/>
    <w:unhideWhenUsed/>
    <w:rsid w:val="006B39D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B39D8"/>
    <w:rPr>
      <w:sz w:val="20"/>
      <w:szCs w:val="20"/>
    </w:rPr>
  </w:style>
  <w:style w:type="character" w:styleId="Refdenotaalfinal">
    <w:name w:val="endnote reference"/>
    <w:basedOn w:val="Fuentedeprrafopredeter"/>
    <w:uiPriority w:val="99"/>
    <w:semiHidden/>
    <w:unhideWhenUsed/>
    <w:rsid w:val="006B39D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9734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le.rae.es/?id=FdI00Or"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072128-255E-45C1-9F96-64767A042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74</Pages>
  <Words>13240</Words>
  <Characters>72823</Characters>
  <Application>Microsoft Office Word</Application>
  <DocSecurity>0</DocSecurity>
  <Lines>606</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10</cp:revision>
  <dcterms:created xsi:type="dcterms:W3CDTF">2019-11-07T19:44:00Z</dcterms:created>
  <dcterms:modified xsi:type="dcterms:W3CDTF">2020-02-10T18:13:00Z</dcterms:modified>
</cp:coreProperties>
</file>