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60A" w:rsidRPr="00BC2F53" w:rsidRDefault="007C760A" w:rsidP="007C760A">
      <w:pPr>
        <w:spacing w:before="100" w:beforeAutospacing="1" w:after="100" w:afterAutospacing="1" w:line="360" w:lineRule="auto"/>
        <w:jc w:val="both"/>
        <w:rPr>
          <w:rFonts w:ascii="Palatino Linotype" w:hAnsi="Palatino Linotype"/>
        </w:rPr>
      </w:pPr>
      <w:r w:rsidRPr="00BC2F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C2F53" w:rsidRPr="00BC2F53">
        <w:rPr>
          <w:rFonts w:ascii="Palatino Linotype" w:hAnsi="Palatino Linotype"/>
        </w:rPr>
        <w:t>nueve de octubre</w:t>
      </w:r>
      <w:r w:rsidRPr="00BC2F53">
        <w:rPr>
          <w:rFonts w:ascii="Palatino Linotype" w:hAnsi="Palatino Linotype"/>
        </w:rPr>
        <w:t xml:space="preserve"> de dos mil diecinueve.</w:t>
      </w:r>
    </w:p>
    <w:p w:rsidR="007C760A" w:rsidRPr="00BC2F53" w:rsidRDefault="007C760A" w:rsidP="007C760A">
      <w:pPr>
        <w:spacing w:before="100" w:beforeAutospacing="1" w:after="100" w:afterAutospacing="1" w:line="360" w:lineRule="auto"/>
        <w:jc w:val="both"/>
        <w:rPr>
          <w:rFonts w:ascii="Palatino Linotype" w:hAnsi="Palatino Linotype"/>
        </w:rPr>
      </w:pPr>
      <w:r w:rsidRPr="00BC2F53">
        <w:rPr>
          <w:rFonts w:ascii="Palatino Linotype" w:hAnsi="Palatino Linotype"/>
          <w:b/>
        </w:rPr>
        <w:t>VISTO</w:t>
      </w:r>
      <w:r w:rsidRPr="00BC2F53">
        <w:rPr>
          <w:rFonts w:ascii="Palatino Linotype" w:hAnsi="Palatino Linotype"/>
        </w:rPr>
        <w:t xml:space="preserve"> el expediente formado con motivo del recurso de revisión </w:t>
      </w:r>
      <w:r w:rsidRPr="00BC2F53">
        <w:rPr>
          <w:rFonts w:ascii="Palatino Linotype" w:hAnsi="Palatino Linotype"/>
          <w:b/>
        </w:rPr>
        <w:t>05602/INFOEM/IP/RR/2019</w:t>
      </w:r>
      <w:r w:rsidRPr="00BC2F53">
        <w:rPr>
          <w:rFonts w:ascii="Palatino Linotype" w:hAnsi="Palatino Linotype"/>
        </w:rPr>
        <w:t xml:space="preserve">, promovido por </w:t>
      </w:r>
      <w:r w:rsidR="00FE53C3">
        <w:rPr>
          <w:rFonts w:ascii="Palatino Linotype" w:hAnsi="Palatino Linotype"/>
        </w:rPr>
        <w:t>XXXXXXXXX XXXXXXXXXXXX</w:t>
      </w:r>
      <w:r w:rsidRPr="00BC2F53">
        <w:rPr>
          <w:rFonts w:ascii="Palatino Linotype" w:hAnsi="Palatino Linotype"/>
        </w:rPr>
        <w:t xml:space="preserve">, en lo sucesivo </w:t>
      </w:r>
      <w:r w:rsidRPr="00BC2F53">
        <w:rPr>
          <w:rFonts w:ascii="Palatino Linotype" w:hAnsi="Palatino Linotype"/>
          <w:b/>
        </w:rPr>
        <w:t>EL RECURRENTE,</w:t>
      </w:r>
      <w:r w:rsidRPr="00BC2F53">
        <w:rPr>
          <w:rFonts w:ascii="Palatino Linotype" w:hAnsi="Palatino Linotype"/>
        </w:rPr>
        <w:t xml:space="preserve"> en contra de la respuesta emitida por la</w:t>
      </w:r>
      <w:r w:rsidR="00537D65" w:rsidRPr="00537D65">
        <w:rPr>
          <w:rFonts w:ascii="Palatino Linotype" w:hAnsi="Palatino Linotype"/>
          <w:b/>
          <w:sz w:val="22"/>
          <w:szCs w:val="22"/>
        </w:rPr>
        <w:t xml:space="preserve"> </w:t>
      </w:r>
      <w:r w:rsidR="00537D65" w:rsidRPr="00537D65">
        <w:rPr>
          <w:rFonts w:ascii="Palatino Linotype" w:hAnsi="Palatino Linotype"/>
          <w:b/>
        </w:rPr>
        <w:t>Instituto Electoral del Estado de México</w:t>
      </w:r>
      <w:r w:rsidRPr="00BC2F53">
        <w:rPr>
          <w:rFonts w:ascii="Palatino Linotype" w:hAnsi="Palatino Linotype"/>
        </w:rPr>
        <w:t xml:space="preserve">, en lo sucesivo </w:t>
      </w:r>
      <w:r w:rsidRPr="00BC2F53">
        <w:rPr>
          <w:rFonts w:ascii="Palatino Linotype" w:hAnsi="Palatino Linotype"/>
          <w:b/>
        </w:rPr>
        <w:t>EL SUJETO OBLIGADO</w:t>
      </w:r>
      <w:r w:rsidRPr="00BC2F53">
        <w:rPr>
          <w:rFonts w:ascii="Palatino Linotype" w:hAnsi="Palatino Linotype"/>
        </w:rPr>
        <w:t xml:space="preserve">, se procede a dictar la presente resolución con base en lo siguiente: </w:t>
      </w:r>
    </w:p>
    <w:p w:rsidR="007C760A" w:rsidRPr="00BC2F53" w:rsidRDefault="007C760A" w:rsidP="007C760A">
      <w:pPr>
        <w:spacing w:before="100" w:beforeAutospacing="1" w:after="100" w:afterAutospacing="1" w:line="360" w:lineRule="auto"/>
        <w:jc w:val="center"/>
        <w:rPr>
          <w:rFonts w:ascii="Palatino Linotype" w:hAnsi="Palatino Linotype"/>
          <w:b/>
          <w:bCs/>
          <w:spacing w:val="60"/>
          <w:sz w:val="28"/>
        </w:rPr>
      </w:pPr>
      <w:r w:rsidRPr="00BC2F53">
        <w:rPr>
          <w:rFonts w:ascii="Palatino Linotype" w:hAnsi="Palatino Linotype"/>
          <w:b/>
          <w:bCs/>
          <w:spacing w:val="60"/>
          <w:sz w:val="28"/>
        </w:rPr>
        <w:t>RESULTANDO</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b/>
          <w:sz w:val="28"/>
          <w:szCs w:val="28"/>
        </w:rPr>
        <w:t>I.</w:t>
      </w:r>
      <w:r w:rsidRPr="00BC2F53">
        <w:rPr>
          <w:rFonts w:ascii="Palatino Linotype" w:hAnsi="Palatino Linotype"/>
        </w:rPr>
        <w:t xml:space="preserve"> En fecha veintisiete de mayo de dos mil diecinueve, </w:t>
      </w:r>
      <w:r w:rsidRPr="00BC2F53">
        <w:rPr>
          <w:rFonts w:ascii="Palatino Linotype" w:hAnsi="Palatino Linotype"/>
          <w:b/>
        </w:rPr>
        <w:t>EL RECURRENTE</w:t>
      </w:r>
      <w:r w:rsidRPr="00BC2F53">
        <w:rPr>
          <w:rFonts w:ascii="Palatino Linotype" w:hAnsi="Palatino Linotype"/>
        </w:rPr>
        <w:t xml:space="preserve"> presentó a través del Sistema de </w:t>
      </w:r>
      <w:r w:rsidRPr="00BC2F53">
        <w:rPr>
          <w:rFonts w:ascii="Palatino Linotype" w:hAnsi="Palatino Linotype" w:cs="Arial"/>
        </w:rPr>
        <w:t>Acceso</w:t>
      </w:r>
      <w:r w:rsidRPr="00BC2F53">
        <w:rPr>
          <w:rFonts w:ascii="Palatino Linotype" w:hAnsi="Palatino Linotype"/>
        </w:rPr>
        <w:t xml:space="preserve"> a la Información Mexiquense, en lo subsecuente </w:t>
      </w:r>
      <w:r w:rsidRPr="00BC2F53">
        <w:rPr>
          <w:rFonts w:ascii="Palatino Linotype" w:hAnsi="Palatino Linotype"/>
          <w:b/>
        </w:rPr>
        <w:t>EL SAIMEX</w:t>
      </w:r>
      <w:r w:rsidRPr="00BC2F53">
        <w:rPr>
          <w:rFonts w:ascii="Palatino Linotype" w:hAnsi="Palatino Linotype"/>
        </w:rPr>
        <w:t xml:space="preserve">, ante </w:t>
      </w:r>
      <w:r w:rsidRPr="00BC2F53">
        <w:rPr>
          <w:rFonts w:ascii="Palatino Linotype" w:hAnsi="Palatino Linotype"/>
          <w:b/>
        </w:rPr>
        <w:t>EL SUJETO OBLIGADO</w:t>
      </w:r>
      <w:r w:rsidRPr="00BC2F53">
        <w:rPr>
          <w:rFonts w:ascii="Palatino Linotype" w:hAnsi="Palatino Linotype"/>
        </w:rPr>
        <w:t xml:space="preserve">, la solicitud de acceso a información pública, a la que se le asignó el número </w:t>
      </w:r>
      <w:r w:rsidRPr="00BC2F53">
        <w:rPr>
          <w:rFonts w:ascii="Palatino Linotype" w:hAnsi="Palatino Linotype"/>
          <w:b/>
          <w:bCs/>
        </w:rPr>
        <w:t>00280/IEEM/IP/2019,</w:t>
      </w:r>
      <w:r w:rsidRPr="00BC2F53">
        <w:rPr>
          <w:rFonts w:ascii="Palatino Linotype" w:hAnsi="Palatino Linotype"/>
        </w:rPr>
        <w:t xml:space="preserve"> mediante la cual solicitó: </w:t>
      </w:r>
    </w:p>
    <w:p w:rsidR="007C760A" w:rsidRPr="00BC2F53" w:rsidRDefault="007C760A" w:rsidP="007C760A">
      <w:pPr>
        <w:pStyle w:val="Prrafodelista"/>
        <w:ind w:left="851" w:right="899"/>
        <w:jc w:val="both"/>
        <w:rPr>
          <w:rFonts w:ascii="Palatino Linotype" w:hAnsi="Palatino Linotype"/>
          <w:i/>
          <w:sz w:val="22"/>
        </w:rPr>
      </w:pPr>
      <w:r w:rsidRPr="00BC2F53">
        <w:rPr>
          <w:rFonts w:ascii="Palatino Linotype" w:hAnsi="Palatino Linotype"/>
          <w:i/>
          <w:sz w:val="22"/>
        </w:rPr>
        <w:t xml:space="preserve">“Solicito el Informe de la Auditoría Contable al </w:t>
      </w:r>
      <w:proofErr w:type="spellStart"/>
      <w:r w:rsidRPr="00BC2F53">
        <w:rPr>
          <w:rFonts w:ascii="Palatino Linotype" w:hAnsi="Palatino Linotype"/>
          <w:i/>
          <w:sz w:val="22"/>
        </w:rPr>
        <w:t>capitulo</w:t>
      </w:r>
      <w:proofErr w:type="spellEnd"/>
      <w:r w:rsidRPr="00BC2F53">
        <w:rPr>
          <w:rFonts w:ascii="Palatino Linotype" w:hAnsi="Palatino Linotype"/>
          <w:i/>
          <w:sz w:val="22"/>
        </w:rPr>
        <w:t xml:space="preserve"> 1000 que realizó la Contraloría General del Instituto Electoral del Estado de México para el ejercicio 2017, ya que el portal de Transparencia no </w:t>
      </w:r>
      <w:proofErr w:type="spellStart"/>
      <w:r w:rsidRPr="00BC2F53">
        <w:rPr>
          <w:rFonts w:ascii="Palatino Linotype" w:hAnsi="Palatino Linotype"/>
          <w:i/>
          <w:sz w:val="22"/>
        </w:rPr>
        <w:t>e</w:t>
      </w:r>
      <w:proofErr w:type="spellEnd"/>
      <w:r w:rsidRPr="00BC2F53">
        <w:rPr>
          <w:rFonts w:ascii="Palatino Linotype" w:hAnsi="Palatino Linotype"/>
          <w:i/>
          <w:sz w:val="22"/>
        </w:rPr>
        <w:t xml:space="preserve"> encuentra publicado. Nota: no se requiere el informe final, de revisión y/o dictamen, únicamente el primer informe que realizó la Contraloría derivado de la auditoría.” (Sic)</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II.</w:t>
      </w:r>
      <w:r w:rsidRPr="00BC2F53">
        <w:rPr>
          <w:rFonts w:ascii="Palatino Linotype" w:hAnsi="Palatino Linotype" w:cs="Arial"/>
        </w:rPr>
        <w:t xml:space="preserve"> De las constancias que obran en el expediente electrónico del </w:t>
      </w:r>
      <w:r w:rsidRPr="00BC2F53">
        <w:rPr>
          <w:rFonts w:ascii="Palatino Linotype" w:hAnsi="Palatino Linotype" w:cs="Arial"/>
          <w:b/>
        </w:rPr>
        <w:t>SAIMEX,</w:t>
      </w:r>
      <w:r w:rsidRPr="00BC2F53">
        <w:rPr>
          <w:rFonts w:ascii="Palatino Linotype" w:hAnsi="Palatino Linotype" w:cs="Arial"/>
        </w:rPr>
        <w:t xml:space="preserve"> en fecha veintinueve de mayo de dos mil diecinueve, la Titular de la Unidad de Transparencia del </w:t>
      </w:r>
      <w:r w:rsidRPr="00BC2F53">
        <w:rPr>
          <w:rFonts w:ascii="Palatino Linotype" w:hAnsi="Palatino Linotype" w:cs="Arial"/>
          <w:b/>
        </w:rPr>
        <w:t>SUJETO OBLIGADO,</w:t>
      </w:r>
      <w:r w:rsidRPr="00BC2F53">
        <w:rPr>
          <w:rFonts w:ascii="Palatino Linotype" w:hAnsi="Palatino Linotype" w:cs="Arial"/>
        </w:rPr>
        <w:t xml:space="preserve"> turnó la solicitud de información al Servidor Público </w:t>
      </w:r>
      <w:r w:rsidRPr="00BC2F53">
        <w:rPr>
          <w:rFonts w:ascii="Palatino Linotype" w:hAnsi="Palatino Linotype" w:cs="Arial"/>
        </w:rPr>
        <w:lastRenderedPageBreak/>
        <w:t>Habilitado que estimó pertinente, a fin de colmar el derecho de acceso a la información del particular; tal y como, se aprecia en la imagen siguiente:</w:t>
      </w:r>
    </w:p>
    <w:p w:rsidR="007C760A" w:rsidRPr="00BC2F53" w:rsidRDefault="007C760A" w:rsidP="007C760A">
      <w:pPr>
        <w:pStyle w:val="Prrafodelista"/>
        <w:spacing w:before="100" w:beforeAutospacing="1" w:after="100" w:afterAutospacing="1" w:line="360" w:lineRule="auto"/>
        <w:ind w:left="0"/>
        <w:jc w:val="center"/>
        <w:rPr>
          <w:rFonts w:ascii="Palatino Linotype" w:hAnsi="Palatino Linotype" w:cs="Arial"/>
          <w:b/>
          <w:sz w:val="28"/>
          <w:szCs w:val="28"/>
        </w:rPr>
      </w:pPr>
      <w:r w:rsidRPr="00BC2F53">
        <w:rPr>
          <w:noProof/>
          <w:lang w:eastAsia="es-MX"/>
        </w:rPr>
        <w:drawing>
          <wp:inline distT="0" distB="0" distL="0" distR="0" wp14:anchorId="12E7BC04" wp14:editId="226007BC">
            <wp:extent cx="5788447" cy="13049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91" t="37170" r="7529" b="44950"/>
                    <a:stretch/>
                  </pic:blipFill>
                  <pic:spPr bwMode="auto">
                    <a:xfrm>
                      <a:off x="0" y="0"/>
                      <a:ext cx="5924951" cy="1335698"/>
                    </a:xfrm>
                    <a:prstGeom prst="rect">
                      <a:avLst/>
                    </a:prstGeom>
                    <a:ln>
                      <a:noFill/>
                    </a:ln>
                    <a:extLst>
                      <a:ext uri="{53640926-AAD7-44D8-BBD7-CCE9431645EC}">
                        <a14:shadowObscured xmlns:a14="http://schemas.microsoft.com/office/drawing/2010/main"/>
                      </a:ext>
                    </a:extLst>
                  </pic:spPr>
                </pic:pic>
              </a:graphicData>
            </a:graphic>
          </wp:inline>
        </w:drawing>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III.</w:t>
      </w:r>
      <w:r w:rsidRPr="00BC2F53">
        <w:rPr>
          <w:rFonts w:ascii="Palatino Linotype" w:hAnsi="Palatino Linotype" w:cs="Arial"/>
        </w:rPr>
        <w:t xml:space="preserve"> En fecha seis de junio de dos mil diecinueve, </w:t>
      </w:r>
      <w:r w:rsidRPr="00BC2F53">
        <w:rPr>
          <w:rFonts w:ascii="Palatino Linotype" w:hAnsi="Palatino Linotype" w:cs="Arial"/>
          <w:b/>
        </w:rPr>
        <w:t>EL SUJETO OBLIGADO</w:t>
      </w:r>
      <w:r w:rsidRPr="00BC2F53">
        <w:rPr>
          <w:rFonts w:ascii="Palatino Linotype" w:hAnsi="Palatino Linotype" w:cs="Arial"/>
        </w:rPr>
        <w:t xml:space="preserve"> dio respuesta a la solicitud de acceso a la información pública requerida por </w:t>
      </w:r>
      <w:r w:rsidRPr="00BC2F53">
        <w:rPr>
          <w:rFonts w:ascii="Palatino Linotype" w:hAnsi="Palatino Linotype" w:cs="Arial"/>
          <w:b/>
        </w:rPr>
        <w:t>EL RECURRENTE</w:t>
      </w:r>
      <w:r w:rsidRPr="00BC2F53">
        <w:rPr>
          <w:rFonts w:ascii="Palatino Linotype" w:hAnsi="Palatino Linotype" w:cs="Arial"/>
        </w:rPr>
        <w:t>, en estos términos:</w:t>
      </w:r>
    </w:p>
    <w:p w:rsidR="007C760A" w:rsidRPr="00BC2F53" w:rsidRDefault="007C760A" w:rsidP="007C760A">
      <w:pPr>
        <w:pStyle w:val="Prrafodelista"/>
        <w:ind w:left="851" w:right="899"/>
        <w:jc w:val="both"/>
        <w:rPr>
          <w:rFonts w:ascii="Palatino Linotype" w:hAnsi="Palatino Linotype"/>
          <w:i/>
          <w:sz w:val="22"/>
        </w:rPr>
      </w:pPr>
      <w:r w:rsidRPr="00BC2F53">
        <w:rPr>
          <w:rFonts w:ascii="Palatino Linotype" w:hAnsi="Palatino Linotype"/>
          <w:i/>
          <w:sz w:val="22"/>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 (Sic)</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rPr>
      </w:pPr>
      <w:r w:rsidRPr="00BC2F53">
        <w:rPr>
          <w:rFonts w:ascii="Palatino Linotype" w:hAnsi="Palatino Linotype" w:cs="Arial"/>
        </w:rPr>
        <w:t xml:space="preserve">Adjuntando los archivos electrónicos denominados </w:t>
      </w:r>
      <w:hyperlink r:id="rId9" w:tgtFrame="_blank" w:history="1">
        <w:r w:rsidRPr="00BC2F53">
          <w:rPr>
            <w:rFonts w:ascii="Palatino Linotype" w:hAnsi="Palatino Linotype"/>
            <w:b/>
          </w:rPr>
          <w:t>SOLICITUD 280.RAR</w:t>
        </w:r>
      </w:hyperlink>
      <w:r w:rsidRPr="00BC2F53">
        <w:rPr>
          <w:rFonts w:ascii="Palatino Linotype" w:hAnsi="Palatino Linotype"/>
          <w:b/>
        </w:rPr>
        <w:t xml:space="preserve"> </w:t>
      </w:r>
      <w:r w:rsidRPr="00BC2F53">
        <w:rPr>
          <w:rFonts w:ascii="Palatino Linotype" w:hAnsi="Palatino Linotype"/>
        </w:rPr>
        <w:t xml:space="preserve">y </w:t>
      </w:r>
      <w:hyperlink r:id="rId10" w:tgtFrame="_blank" w:history="1">
        <w:r w:rsidRPr="00BC2F53">
          <w:rPr>
            <w:rFonts w:ascii="Palatino Linotype" w:hAnsi="Palatino Linotype"/>
            <w:b/>
          </w:rPr>
          <w:t>OFICIO RESPUESTA 280-2019 UT.pdf</w:t>
        </w:r>
      </w:hyperlink>
      <w:r w:rsidRPr="00BC2F53">
        <w:rPr>
          <w:rFonts w:ascii="Palatino Linotype" w:hAnsi="Palatino Linotype"/>
          <w:b/>
        </w:rPr>
        <w:t xml:space="preserve">, </w:t>
      </w:r>
      <w:r w:rsidR="00CB3F09" w:rsidRPr="00BC2F53">
        <w:rPr>
          <w:rFonts w:ascii="Palatino Linotype" w:hAnsi="Palatino Linotype"/>
        </w:rPr>
        <w:t xml:space="preserve">donde el primero de los citados corresponde al oficio de respuesta signado por la Jefa de la Unidad de Transparencia y el segundo contiene el Acuerdo del Comité de Transparencia mediante el cual se clasificó la información solicitada como reservada. </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III.</w:t>
      </w:r>
      <w:r w:rsidRPr="00BC2F53">
        <w:rPr>
          <w:rFonts w:ascii="Palatino Linotype" w:hAnsi="Palatino Linotype" w:cs="Arial"/>
        </w:rPr>
        <w:t xml:space="preserve"> </w:t>
      </w:r>
      <w:r w:rsidRPr="00BC2F53">
        <w:rPr>
          <w:rFonts w:ascii="Palatino Linotype" w:hAnsi="Palatino Linotype"/>
        </w:rPr>
        <w:t xml:space="preserve">Inconforme con la </w:t>
      </w:r>
      <w:r w:rsidRPr="00BC2F53">
        <w:rPr>
          <w:rFonts w:ascii="Palatino Linotype" w:hAnsi="Palatino Linotype" w:cs="Arial"/>
        </w:rPr>
        <w:t xml:space="preserve">respuesta </w:t>
      </w:r>
      <w:r w:rsidRPr="00BC2F53">
        <w:rPr>
          <w:rFonts w:ascii="Palatino Linotype" w:hAnsi="Palatino Linotype"/>
        </w:rPr>
        <w:t xml:space="preserve">del </w:t>
      </w:r>
      <w:r w:rsidRPr="00BC2F53">
        <w:rPr>
          <w:rFonts w:ascii="Palatino Linotype" w:hAnsi="Palatino Linotype"/>
          <w:b/>
        </w:rPr>
        <w:t>SUJETO OBLIGADO</w:t>
      </w:r>
      <w:r w:rsidRPr="00BC2F53">
        <w:rPr>
          <w:rFonts w:ascii="Palatino Linotype" w:hAnsi="Palatino Linotype"/>
        </w:rPr>
        <w:t xml:space="preserve">, el </w:t>
      </w:r>
      <w:r w:rsidR="00CB3F09" w:rsidRPr="00BC2F53">
        <w:rPr>
          <w:rFonts w:ascii="Palatino Linotype" w:hAnsi="Palatino Linotype"/>
        </w:rPr>
        <w:t xml:space="preserve">diecinueve de </w:t>
      </w:r>
      <w:r w:rsidRPr="00BC2F53">
        <w:rPr>
          <w:rFonts w:ascii="Palatino Linotype" w:hAnsi="Palatino Linotype"/>
        </w:rPr>
        <w:t xml:space="preserve">junio de dos mil diecinueve, </w:t>
      </w:r>
      <w:r w:rsidR="00CB3F09" w:rsidRPr="00BC2F53">
        <w:rPr>
          <w:rFonts w:ascii="Palatino Linotype" w:hAnsi="Palatino Linotype"/>
          <w:b/>
        </w:rPr>
        <w:t xml:space="preserve">EL </w:t>
      </w:r>
      <w:r w:rsidRPr="00BC2F53">
        <w:rPr>
          <w:rFonts w:ascii="Palatino Linotype" w:hAnsi="Palatino Linotype"/>
          <w:b/>
        </w:rPr>
        <w:t>RECURRENTE</w:t>
      </w:r>
      <w:r w:rsidRPr="00BC2F53">
        <w:rPr>
          <w:rFonts w:ascii="Palatino Linotype" w:hAnsi="Palatino Linotype"/>
        </w:rPr>
        <w:t xml:space="preserve"> interpuso el recurso de revisión objeto del presente estudio, el cual fue registrado en </w:t>
      </w:r>
      <w:r w:rsidRPr="00BC2F53">
        <w:rPr>
          <w:rFonts w:ascii="Palatino Linotype" w:hAnsi="Palatino Linotype"/>
          <w:b/>
        </w:rPr>
        <w:t>EL SAIMEX</w:t>
      </w:r>
      <w:r w:rsidRPr="00BC2F53">
        <w:rPr>
          <w:rFonts w:ascii="Palatino Linotype" w:hAnsi="Palatino Linotype"/>
        </w:rPr>
        <w:t xml:space="preserve"> y se le asignó el número de expediente </w:t>
      </w:r>
      <w:r w:rsidRPr="00BC2F53">
        <w:rPr>
          <w:rFonts w:ascii="Palatino Linotype" w:hAnsi="Palatino Linotype" w:cs="Arial"/>
          <w:b/>
          <w:bCs/>
        </w:rPr>
        <w:t>0</w:t>
      </w:r>
      <w:r w:rsidR="001E4149" w:rsidRPr="00BC2F53">
        <w:rPr>
          <w:rFonts w:ascii="Palatino Linotype" w:hAnsi="Palatino Linotype" w:cs="Arial"/>
          <w:b/>
          <w:bCs/>
        </w:rPr>
        <w:t>5602</w:t>
      </w:r>
      <w:r w:rsidRPr="00BC2F53">
        <w:rPr>
          <w:rFonts w:ascii="Palatino Linotype" w:hAnsi="Palatino Linotype" w:cs="Arial"/>
          <w:b/>
          <w:bCs/>
        </w:rPr>
        <w:t>/INFOEM/IP/RR/2019</w:t>
      </w:r>
      <w:r w:rsidRPr="00BC2F53">
        <w:rPr>
          <w:rFonts w:ascii="Palatino Linotype" w:hAnsi="Palatino Linotype" w:cs="Arial"/>
        </w:rPr>
        <w:t>, en el que señaló como acto impugnado lo siguiente:</w:t>
      </w:r>
    </w:p>
    <w:p w:rsidR="007C760A" w:rsidRPr="00BC2F53" w:rsidRDefault="007C760A" w:rsidP="001E4149">
      <w:pPr>
        <w:pStyle w:val="Prrafodelista"/>
        <w:ind w:left="851" w:right="899"/>
        <w:jc w:val="both"/>
        <w:rPr>
          <w:rFonts w:ascii="Palatino Linotype" w:hAnsi="Palatino Linotype"/>
          <w:i/>
          <w:color w:val="000000"/>
          <w:sz w:val="22"/>
        </w:rPr>
      </w:pPr>
      <w:r w:rsidRPr="00BC2F53">
        <w:rPr>
          <w:rFonts w:ascii="Palatino Linotype" w:hAnsi="Palatino Linotype"/>
          <w:i/>
          <w:color w:val="000000"/>
          <w:sz w:val="22"/>
        </w:rPr>
        <w:lastRenderedPageBreak/>
        <w:t>“</w:t>
      </w:r>
      <w:r w:rsidR="001E4149" w:rsidRPr="00BC2F53">
        <w:rPr>
          <w:rFonts w:ascii="Palatino Linotype" w:hAnsi="Palatino Linotype"/>
          <w:i/>
          <w:color w:val="000000"/>
          <w:sz w:val="22"/>
        </w:rPr>
        <w:t>En contra de la respuesta otorgada a la solicitud de información pública identificada con el número 00280/IEEM/IP/2019</w:t>
      </w:r>
      <w:r w:rsidRPr="00BC2F53">
        <w:rPr>
          <w:rFonts w:ascii="Palatino Linotype" w:hAnsi="Palatino Linotype"/>
          <w:i/>
          <w:color w:val="000000"/>
          <w:sz w:val="22"/>
        </w:rPr>
        <w:t>.” (Sic)</w:t>
      </w:r>
    </w:p>
    <w:p w:rsidR="007C760A" w:rsidRPr="00BC2F53" w:rsidRDefault="007C760A" w:rsidP="007C760A">
      <w:pPr>
        <w:spacing w:before="100" w:beforeAutospacing="1" w:after="100" w:afterAutospacing="1" w:line="360" w:lineRule="auto"/>
        <w:ind w:right="709"/>
        <w:jc w:val="both"/>
        <w:rPr>
          <w:rFonts w:ascii="Palatino Linotype" w:hAnsi="Palatino Linotype" w:cs="Arial"/>
        </w:rPr>
      </w:pPr>
      <w:r w:rsidRPr="00BC2F53">
        <w:rPr>
          <w:rFonts w:ascii="Palatino Linotype" w:hAnsi="Palatino Linotype" w:cs="Arial"/>
          <w:spacing w:val="-6"/>
          <w:lang w:eastAsia="es-MX"/>
        </w:rPr>
        <w:t xml:space="preserve">Asimismo, manifestó como </w:t>
      </w:r>
      <w:r w:rsidRPr="00BC2F53">
        <w:rPr>
          <w:rFonts w:ascii="Palatino Linotype" w:hAnsi="Palatino Linotype" w:cs="Arial"/>
        </w:rPr>
        <w:t>razones o motivos de inconformidad:</w:t>
      </w:r>
    </w:p>
    <w:p w:rsidR="007C760A" w:rsidRPr="00BC2F53" w:rsidRDefault="007C760A" w:rsidP="001E4149">
      <w:pPr>
        <w:pStyle w:val="Prrafodelista"/>
        <w:ind w:left="851" w:right="899"/>
        <w:jc w:val="both"/>
        <w:rPr>
          <w:rFonts w:ascii="Palatino Linotype" w:hAnsi="Palatino Linotype"/>
          <w:i/>
          <w:color w:val="000000"/>
          <w:sz w:val="22"/>
        </w:rPr>
      </w:pPr>
      <w:r w:rsidRPr="00BC2F53">
        <w:rPr>
          <w:rFonts w:ascii="Palatino Linotype" w:hAnsi="Palatino Linotype"/>
          <w:i/>
          <w:color w:val="000000"/>
          <w:sz w:val="22"/>
        </w:rPr>
        <w:t>“</w:t>
      </w:r>
      <w:r w:rsidR="001E4149" w:rsidRPr="00BC2F53">
        <w:rPr>
          <w:rFonts w:ascii="Palatino Linotype" w:hAnsi="Palatino Linotype"/>
          <w:i/>
          <w:color w:val="000000"/>
          <w:sz w:val="22"/>
        </w:rPr>
        <w:t xml:space="preserve">En términos de lo dispuesto por los artículos 176, 177, 178 y demás relativos y aplicables de la Ley de Transparencia y Acceso a la Información Pública del Estado de México y Municipios, vengo a interponer RECURSO DE REVISIÓN en contra de la respuesta otorgada a la solicitud de información pública identificada con el número 00280/IEEM/IP/2019, del tenor siguiente: “Solicito el informe de la Auditoría Contable al capítulo 1000 que realizó la Contraloría General del Instituto Electoral del Estado de México para el ejercicio 2017, ya que en el portal de Transparencia no se encuentra publicado. Nota, no se requiere el informe final, de revisión y/o dictamen, únicamente el primer informe que realizó la Contraloría derivado de la auditoria”. Así como también en contra de la solicitud de reserva de la información solicitada por el Contralor General y del acuerdo IEEM/CT/348/2018, denominado “DE SOLICITUD DE CLASIFICACIÓN DE INFORMACIÓN COMO RESERVADA, PARA DAR RESPUESTA A LA SOLICITUD DE ACCESO A LA INFORMACIÓN 01104/IP/2018”. Lo anterior, dado que la respuesta que se dio fue en el sentido de que la información solicitada se encuentra reservada, ya que supuestamente se trata de una auditoria que cuenta con tres observaciones que a la fecha no han sido solventadas por la autoridad correspondiente. Al efecto se señalan los siguientes agravios: Primero. Si bien, la auditoria de marras a la fecha no se ha concluido -a decir del sujeto obligado-, lo cierto es que la misma ya concluyó, tan es así que la Contraloría del Instituto Electoral del Estado de México emitió el informe correspondiente en el que hizo las conclusiones finales de las que derivaron las observaciones que consideró pertinentes. En este sentido, la </w:t>
      </w:r>
      <w:proofErr w:type="spellStart"/>
      <w:r w:rsidR="001E4149" w:rsidRPr="00BC2F53">
        <w:rPr>
          <w:rFonts w:ascii="Palatino Linotype" w:hAnsi="Palatino Linotype"/>
          <w:i/>
          <w:color w:val="000000"/>
          <w:sz w:val="22"/>
        </w:rPr>
        <w:t>solventación</w:t>
      </w:r>
      <w:proofErr w:type="spellEnd"/>
      <w:r w:rsidR="001E4149" w:rsidRPr="00BC2F53">
        <w:rPr>
          <w:rFonts w:ascii="Palatino Linotype" w:hAnsi="Palatino Linotype"/>
          <w:i/>
          <w:color w:val="000000"/>
          <w:sz w:val="22"/>
        </w:rPr>
        <w:t xml:space="preserve"> de las observaciones de mérito se separan de la auditoría realizada en sí misma, ya que estas son el resultado de los hallazgos que se obtuvieron de los trabajos de verificación, es decir, el informe de la auditoria es un acto que culminó con unas conclusiones, la subsanación de las observaciones son sólo su consecuencia. No son accesorias al informe que es lo principal. En ese contexto, se advierte que el informe de auditoría fue indebidamente clasificado, ello porque la reserva del informe de ninguna manera contiene información que obstruya o pueda causar un perjuicio a las actividades de verificación, inspección, comprobación y auditoría sobre el cumplimiento de las leyes. Lo anterior, se sostiene ya que el procedimiento de auditoria fue emitido y del mismo emanaron tres observaciones, como el propio sujeto obligado lo refiere: la auditoría contable al capítulo 1000, ejecutada durante el ejercicio 2017 tiene pendientes de solventar tres observaciones. Como se observa el procedimiento auditable realizado por parte del órgano de control </w:t>
      </w:r>
      <w:r w:rsidR="001E4149" w:rsidRPr="00BC2F53">
        <w:rPr>
          <w:rFonts w:ascii="Palatino Linotype" w:hAnsi="Palatino Linotype"/>
          <w:i/>
          <w:color w:val="000000"/>
          <w:sz w:val="22"/>
        </w:rPr>
        <w:lastRenderedPageBreak/>
        <w:t xml:space="preserve">interno ya concluyó, esto significa que lo que se tenía que revisar y/o verificar ya se hizo, por lo tanto, no queda nada pendiente de revisar. Ahora bien, las causas que deriven de la </w:t>
      </w:r>
      <w:proofErr w:type="spellStart"/>
      <w:r w:rsidR="001E4149" w:rsidRPr="00BC2F53">
        <w:rPr>
          <w:rFonts w:ascii="Palatino Linotype" w:hAnsi="Palatino Linotype"/>
          <w:i/>
          <w:color w:val="000000"/>
          <w:sz w:val="22"/>
        </w:rPr>
        <w:t>solventación</w:t>
      </w:r>
      <w:proofErr w:type="spellEnd"/>
      <w:r w:rsidR="001E4149" w:rsidRPr="00BC2F53">
        <w:rPr>
          <w:rFonts w:ascii="Palatino Linotype" w:hAnsi="Palatino Linotype"/>
          <w:i/>
          <w:color w:val="000000"/>
          <w:sz w:val="22"/>
        </w:rPr>
        <w:t xml:space="preserve"> referida, serán valoradas por el órgano de control en un acto aparte, es decir, por cuenta separada del informe, ya que su resultado no hará variar en ningún sentido lo revisado y verificado del citado informe. De modo que, si del análisis de la subsanación de las observaciones deriva alguna consecuencia jurídica, así como un posible procedimiento de responsabilidades, su secrecía se encuentra perfectamente garantizada, pero esto no se solicitó. Segundo. Como ya se dijo, la reserva de la información solicitada es totalmente ilegal y violatoria de mi derecho de acceso a la información pública, máxime que con la indebida reserva se trastoca el principio de celeridad en la actuación de los servidores públicos, pues es el pretexto idóneo para que la subsanación de las observaciones se retrase en el tiempo, dado que a la fecha es más de un año que ha transcurrido, desde la notificación de las observaciones, sin que se hubieran subsanado, y sin que haya fecha cierta para tal efecto, lo que significa que se pueden quedar congeladas sin que haya exigencia a su cumplimiento. En adición a lo anterior, el sujeto obligado falazmente aduce que difundir la información de una auditoria, antes de concluir la verificación de las recomendaciones y observaciones derivadas de la misma, supone un riesgo real de contravenir los principios de certeza, objetividad e imparcialidad. Dicha manifestación es unilateral e irracional, ya que el obligado de manera subjetiva arguye que la difusión del informe antes de que se solventen las observaciones trastoca los principios señalaos, esto es, no vierte ningún argumento que apoye su afirmación, por el contrario, violenta disposiciones expresas de la ley de la materia que lo obligan a proporcionar la información que se le solicito, tales como: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XXVIII. Los informes de resultados de las auditorías al ejercicio presupuestal de cada sujeto obligado que se realicen y, en su caso, las aclaraciones que correspondan; Como se observa, las porciones normativas trasuntas, establecen la obligación expresa, lisa y llana de entregar los informes de los resultados de las auditorias. Esta normativa, no establece ningún requisito o prohibición para su entrega, como incorrectamente lo aduce el sujeto obligado, aunado a que bajo esos argumentos solicitó la reserva del citado informe. Con estas acciones, violenta mi derecho de acceso a la información pública. </w:t>
      </w:r>
      <w:proofErr w:type="gramStart"/>
      <w:r w:rsidR="001E4149" w:rsidRPr="00BC2F53">
        <w:rPr>
          <w:rFonts w:ascii="Palatino Linotype" w:hAnsi="Palatino Linotype"/>
          <w:i/>
          <w:color w:val="000000"/>
          <w:sz w:val="22"/>
        </w:rPr>
        <w:t>por</w:t>
      </w:r>
      <w:proofErr w:type="gramEnd"/>
      <w:r w:rsidR="001E4149" w:rsidRPr="00BC2F53">
        <w:rPr>
          <w:rFonts w:ascii="Palatino Linotype" w:hAnsi="Palatino Linotype"/>
          <w:i/>
          <w:color w:val="000000"/>
          <w:sz w:val="22"/>
        </w:rPr>
        <w:t xml:space="preserve"> lo que, con base en los argumentos vertidos, desde este momento solicito al Instituto de Acceso a la Información Pública de vista a quien corresponda, a efecto de que se investigue si la solicitud de reserva del informe de auditoría que nos ocupa fue o no apegada al marco legal y, en su caso, se inicie, sustancie y resuelva el procedimiento correspondiente en contra de quien resulte responsable. Por lo antes expuesto y </w:t>
      </w:r>
      <w:r w:rsidR="001E4149" w:rsidRPr="00BC2F53">
        <w:rPr>
          <w:rFonts w:ascii="Palatino Linotype" w:hAnsi="Palatino Linotype"/>
          <w:i/>
          <w:color w:val="000000"/>
          <w:sz w:val="22"/>
        </w:rPr>
        <w:lastRenderedPageBreak/>
        <w:t>fundado, pido, se ordene al sujeto obligado la entrega de la información solicitada, así mismo, se inicie el procedimiento disciplinario correspondiente por la violación a mi derecho de acceso a la información pública</w:t>
      </w:r>
      <w:r w:rsidRPr="00BC2F53">
        <w:rPr>
          <w:rFonts w:ascii="Palatino Linotype" w:hAnsi="Palatino Linotype"/>
          <w:i/>
          <w:color w:val="000000"/>
          <w:sz w:val="22"/>
        </w:rPr>
        <w:t>.” (Sic)</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b/>
          <w:sz w:val="28"/>
          <w:szCs w:val="28"/>
        </w:rPr>
        <w:t>IV.</w:t>
      </w:r>
      <w:r w:rsidRPr="00BC2F53">
        <w:rPr>
          <w:rFonts w:ascii="Palatino Linotype" w:hAnsi="Palatino Linotype"/>
        </w:rPr>
        <w:t xml:space="preserve"> </w:t>
      </w:r>
      <w:r w:rsidRPr="00BC2F53">
        <w:rPr>
          <w:rFonts w:ascii="Palatino Linotype" w:hAnsi="Palatino Linotype" w:cs="Arial"/>
        </w:rPr>
        <w:t xml:space="preserve">El recurso de que se trata se envió electrónicamente al Instituto de </w:t>
      </w:r>
      <w:r w:rsidRPr="00BC2F53">
        <w:rPr>
          <w:rFonts w:ascii="Palatino Linotype" w:eastAsia="Arial Unicode MS" w:hAnsi="Palatino Linotype" w:cs="Arial"/>
        </w:rPr>
        <w:t>Transparencia</w:t>
      </w:r>
      <w:r w:rsidRPr="00BC2F53">
        <w:rPr>
          <w:rFonts w:ascii="Palatino Linotype" w:hAnsi="Palatino Linotype" w:cs="Arial"/>
        </w:rPr>
        <w:t xml:space="preserve">, Acceso a la Información Pública y Protección de Datos Personales del Estado de México y Municipios en fecha </w:t>
      </w:r>
      <w:r w:rsidR="001E4149" w:rsidRPr="00BC2F53">
        <w:rPr>
          <w:rFonts w:ascii="Palatino Linotype" w:hAnsi="Palatino Linotype" w:cs="Arial"/>
        </w:rPr>
        <w:t xml:space="preserve">diecinueve de </w:t>
      </w:r>
      <w:r w:rsidRPr="00BC2F53">
        <w:rPr>
          <w:rFonts w:ascii="Palatino Linotype" w:hAnsi="Palatino Linotype" w:cs="Arial"/>
        </w:rPr>
        <w:t xml:space="preserve">junio de dos mil diecinueve y con fundamento en el artículo 185, fracción I de la </w:t>
      </w:r>
      <w:r w:rsidRPr="00BC2F53">
        <w:rPr>
          <w:rFonts w:ascii="Palatino Linotype" w:hAnsi="Palatino Linotype"/>
        </w:rPr>
        <w:t>Ley de Transparencia y Acceso a la Información Pública del Estado de México y Municipios</w:t>
      </w:r>
      <w:r w:rsidRPr="00BC2F53">
        <w:rPr>
          <w:rFonts w:ascii="Palatino Linotype" w:hAnsi="Palatino Linotype" w:cs="Arial"/>
        </w:rPr>
        <w:t>, se turnó, a través del</w:t>
      </w:r>
      <w:r w:rsidRPr="00BC2F53">
        <w:rPr>
          <w:rFonts w:ascii="Palatino Linotype" w:eastAsia="Arial Unicode MS" w:hAnsi="Palatino Linotype" w:cs="Arial"/>
        </w:rPr>
        <w:t xml:space="preserve"> </w:t>
      </w:r>
      <w:r w:rsidRPr="00BC2F53">
        <w:rPr>
          <w:rFonts w:ascii="Palatino Linotype" w:eastAsia="Arial Unicode MS" w:hAnsi="Palatino Linotype" w:cs="Arial"/>
          <w:b/>
        </w:rPr>
        <w:t>SAIMEX</w:t>
      </w:r>
      <w:r w:rsidRPr="00BC2F53">
        <w:rPr>
          <w:rFonts w:ascii="Palatino Linotype" w:hAnsi="Palatino Linotype"/>
        </w:rPr>
        <w:t xml:space="preserve">, a la </w:t>
      </w:r>
      <w:r w:rsidRPr="00BC2F53">
        <w:rPr>
          <w:rFonts w:ascii="Palatino Linotype" w:hAnsi="Palatino Linotype" w:cs="Arial"/>
        </w:rPr>
        <w:t xml:space="preserve">Comisionada </w:t>
      </w:r>
      <w:r w:rsidR="001E4149" w:rsidRPr="00BC2F53">
        <w:rPr>
          <w:rFonts w:ascii="Palatino Linotype" w:hAnsi="Palatino Linotype" w:cs="Arial"/>
          <w:b/>
        </w:rPr>
        <w:t xml:space="preserve">Eva </w:t>
      </w:r>
      <w:proofErr w:type="spellStart"/>
      <w:r w:rsidR="001E4149" w:rsidRPr="00BC2F53">
        <w:rPr>
          <w:rFonts w:ascii="Palatino Linotype" w:hAnsi="Palatino Linotype" w:cs="Arial"/>
          <w:b/>
        </w:rPr>
        <w:t>Abaid</w:t>
      </w:r>
      <w:proofErr w:type="spellEnd"/>
      <w:r w:rsidR="001E4149" w:rsidRPr="00BC2F53">
        <w:rPr>
          <w:rFonts w:ascii="Palatino Linotype" w:hAnsi="Palatino Linotype" w:cs="Arial"/>
          <w:b/>
        </w:rPr>
        <w:t xml:space="preserve"> </w:t>
      </w:r>
      <w:proofErr w:type="spellStart"/>
      <w:r w:rsidR="001E4149" w:rsidRPr="00BC2F53">
        <w:rPr>
          <w:rFonts w:ascii="Palatino Linotype" w:hAnsi="Palatino Linotype" w:cs="Arial"/>
          <w:b/>
        </w:rPr>
        <w:t>Yapur</w:t>
      </w:r>
      <w:proofErr w:type="spellEnd"/>
      <w:r w:rsidRPr="00BC2F53">
        <w:rPr>
          <w:rFonts w:ascii="Palatino Linotype" w:hAnsi="Palatino Linotype" w:cs="Arial"/>
        </w:rPr>
        <w:t xml:space="preserve">, a efecto de que decretara su admisión o </w:t>
      </w:r>
      <w:proofErr w:type="spellStart"/>
      <w:r w:rsidRPr="00BC2F53">
        <w:rPr>
          <w:rFonts w:ascii="Palatino Linotype" w:hAnsi="Palatino Linotype" w:cs="Arial"/>
        </w:rPr>
        <w:t>desechamiento</w:t>
      </w:r>
      <w:proofErr w:type="spellEnd"/>
      <w:r w:rsidRPr="00BC2F53">
        <w:rPr>
          <w:rFonts w:ascii="Palatino Linotype" w:hAnsi="Palatino Linotype" w:cs="Arial"/>
        </w:rPr>
        <w:t>.</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V.</w:t>
      </w:r>
      <w:r w:rsidRPr="00BC2F53">
        <w:rPr>
          <w:rFonts w:ascii="Palatino Linotype" w:hAnsi="Palatino Linotype" w:cs="Arial"/>
        </w:rPr>
        <w:t xml:space="preserve"> En fecha </w:t>
      </w:r>
      <w:r w:rsidR="001E4149" w:rsidRPr="00BC2F53">
        <w:rPr>
          <w:rFonts w:ascii="Palatino Linotype" w:hAnsi="Palatino Linotype" w:cs="Arial"/>
        </w:rPr>
        <w:t xml:space="preserve">veinticinco de junio </w:t>
      </w:r>
      <w:r w:rsidRPr="00BC2F53">
        <w:rPr>
          <w:rFonts w:ascii="Palatino Linotype" w:hAnsi="Palatino Linotype" w:cs="Arial"/>
        </w:rPr>
        <w:t xml:space="preserve">de dos mil diecinueve, atento a lo dispuesto en el artículo 185, fracciones I, II y IV de la </w:t>
      </w:r>
      <w:r w:rsidRPr="00BC2F53">
        <w:rPr>
          <w:rFonts w:ascii="Palatino Linotype" w:hAnsi="Palatino Linotype"/>
        </w:rPr>
        <w:t>Ley de Transparencia y Acceso a la Información Pública del Estado de México y Municipios, se a</w:t>
      </w:r>
      <w:r w:rsidRPr="00BC2F53">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1E4149" w:rsidRPr="00BC2F53">
        <w:rPr>
          <w:rFonts w:ascii="Palatino Linotype" w:hAnsi="Palatino Linotype" w:cs="Arial"/>
          <w:b/>
        </w:rPr>
        <w:t>EL</w:t>
      </w:r>
      <w:r w:rsidRPr="00BC2F53">
        <w:rPr>
          <w:rFonts w:ascii="Palatino Linotype" w:hAnsi="Palatino Linotype" w:cs="Arial"/>
          <w:b/>
        </w:rPr>
        <w:t xml:space="preserve"> RECURRENTE</w:t>
      </w:r>
      <w:r w:rsidRPr="00BC2F53">
        <w:rPr>
          <w:rFonts w:ascii="Palatino Linotype" w:hAnsi="Palatino Linotype" w:cs="Arial"/>
        </w:rPr>
        <w:t xml:space="preserve"> realizara manifestaciones y alegatos, así como ofreciera las pruebas que a su derecho conviniera y, en el caso del</w:t>
      </w:r>
      <w:r w:rsidRPr="00BC2F53">
        <w:rPr>
          <w:rFonts w:ascii="Palatino Linotype" w:hAnsi="Palatino Linotype" w:cs="Arial"/>
          <w:b/>
        </w:rPr>
        <w:t xml:space="preserve"> SUJETO OBLIGADO</w:t>
      </w:r>
      <w:r w:rsidRPr="00BC2F53">
        <w:rPr>
          <w:rFonts w:ascii="Palatino Linotype" w:hAnsi="Palatino Linotype" w:cs="Arial"/>
        </w:rPr>
        <w:t xml:space="preserve"> exhibiera el Informe Justificado. </w:t>
      </w:r>
    </w:p>
    <w:p w:rsidR="001E4149" w:rsidRPr="00BC2F53" w:rsidRDefault="0000401B"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noProof/>
          <w:sz w:val="28"/>
          <w:szCs w:val="28"/>
          <w:lang w:eastAsia="es-MX"/>
        </w:rPr>
        <mc:AlternateContent>
          <mc:Choice Requires="wps">
            <w:drawing>
              <wp:anchor distT="0" distB="0" distL="114300" distR="114300" simplePos="0" relativeHeight="251663360" behindDoc="0" locked="0" layoutInCell="1" allowOverlap="1">
                <wp:simplePos x="0" y="0"/>
                <wp:positionH relativeFrom="column">
                  <wp:posOffset>91440</wp:posOffset>
                </wp:positionH>
                <wp:positionV relativeFrom="paragraph">
                  <wp:posOffset>1639570</wp:posOffset>
                </wp:positionV>
                <wp:extent cx="5715000" cy="14097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715000" cy="1409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BC9BB"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2pt,129.1pt" to="457.2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" strokecolor="#5b9bd5 [3204]" strokeweight="1.5pt">
                <v:stroke joinstyle="miter"/>
              </v:line>
            </w:pict>
          </mc:Fallback>
        </mc:AlternateContent>
      </w:r>
      <w:r w:rsidR="007C760A" w:rsidRPr="00BC2F53">
        <w:rPr>
          <w:rFonts w:ascii="Palatino Linotype" w:hAnsi="Palatino Linotype" w:cs="Arial"/>
          <w:b/>
          <w:sz w:val="28"/>
          <w:szCs w:val="28"/>
        </w:rPr>
        <w:t>VI.</w:t>
      </w:r>
      <w:r w:rsidR="007C760A" w:rsidRPr="00BC2F53">
        <w:rPr>
          <w:rFonts w:ascii="Palatino Linotype" w:hAnsi="Palatino Linotype" w:cs="Arial"/>
        </w:rPr>
        <w:t xml:space="preserve"> De las constancias que obran en el </w:t>
      </w:r>
      <w:r w:rsidR="007C760A" w:rsidRPr="00BC2F53">
        <w:rPr>
          <w:rFonts w:ascii="Palatino Linotype" w:hAnsi="Palatino Linotype" w:cs="Arial"/>
          <w:b/>
        </w:rPr>
        <w:t>SAIMEX,</w:t>
      </w:r>
      <w:r w:rsidR="007C760A" w:rsidRPr="00BC2F53">
        <w:rPr>
          <w:rFonts w:ascii="Palatino Linotype" w:hAnsi="Palatino Linotype" w:cs="Arial"/>
        </w:rPr>
        <w:t xml:space="preserve"> se advierte que </w:t>
      </w:r>
      <w:r w:rsidR="007C760A" w:rsidRPr="00BC2F53">
        <w:rPr>
          <w:rFonts w:ascii="Palatino Linotype" w:hAnsi="Palatino Linotype" w:cs="Arial"/>
          <w:b/>
        </w:rPr>
        <w:t>EL SUJETO OBLIGADO</w:t>
      </w:r>
      <w:r w:rsidR="007C760A" w:rsidRPr="00BC2F53">
        <w:rPr>
          <w:rFonts w:ascii="Palatino Linotype" w:hAnsi="Palatino Linotype" w:cs="Arial"/>
        </w:rPr>
        <w:t xml:space="preserve"> rindió el Informe Justificado correspondiente en fecha </w:t>
      </w:r>
      <w:r w:rsidR="001E4149" w:rsidRPr="00BC2F53">
        <w:rPr>
          <w:rFonts w:ascii="Palatino Linotype" w:hAnsi="Palatino Linotype" w:cs="Arial"/>
        </w:rPr>
        <w:t xml:space="preserve">tres de </w:t>
      </w:r>
      <w:r w:rsidR="007C760A" w:rsidRPr="00BC2F53">
        <w:rPr>
          <w:rFonts w:ascii="Palatino Linotype" w:hAnsi="Palatino Linotype" w:cs="Arial"/>
        </w:rPr>
        <w:t xml:space="preserve">julio de dos mil diecinueve; mismo que al </w:t>
      </w:r>
      <w:r w:rsidR="001E4149" w:rsidRPr="00BC2F53">
        <w:rPr>
          <w:rFonts w:ascii="Palatino Linotype" w:hAnsi="Palatino Linotype" w:cs="Arial"/>
        </w:rPr>
        <w:t xml:space="preserve">no </w:t>
      </w:r>
      <w:r w:rsidR="007C760A" w:rsidRPr="00BC2F53">
        <w:rPr>
          <w:rFonts w:ascii="Palatino Linotype" w:hAnsi="Palatino Linotype" w:cs="Arial"/>
        </w:rPr>
        <w:t xml:space="preserve">actualizar el supuesto previsto en la fracción III del artículo 185 de la Ley de la materia </w:t>
      </w:r>
      <w:r w:rsidR="001E4149" w:rsidRPr="00BC2F53">
        <w:rPr>
          <w:rFonts w:ascii="Palatino Linotype" w:hAnsi="Palatino Linotype" w:cs="Arial"/>
        </w:rPr>
        <w:t>no fue puesto a disposición del particular; tal y como se aprecia a continuación:</w:t>
      </w:r>
    </w:p>
    <w:p w:rsidR="001E4149" w:rsidRPr="00BC2F53" w:rsidRDefault="001E4149" w:rsidP="001E4149">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lastRenderedPageBreak/>
        <w:drawing>
          <wp:inline distT="0" distB="0" distL="0" distR="0" wp14:anchorId="1E2A87A3" wp14:editId="346E1122">
            <wp:extent cx="5447665" cy="22288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84" t="28996" r="16811" b="25983"/>
                    <a:stretch/>
                  </pic:blipFill>
                  <pic:spPr bwMode="auto">
                    <a:xfrm>
                      <a:off x="0" y="0"/>
                      <a:ext cx="5484726" cy="2244013"/>
                    </a:xfrm>
                    <a:prstGeom prst="rect">
                      <a:avLst/>
                    </a:prstGeom>
                    <a:ln>
                      <a:noFill/>
                    </a:ln>
                    <a:extLst>
                      <a:ext uri="{53640926-AAD7-44D8-BBD7-CCE9431645EC}">
                        <a14:shadowObscured xmlns:a14="http://schemas.microsoft.com/office/drawing/2010/main"/>
                      </a:ext>
                    </a:extLst>
                  </pic:spPr>
                </pic:pic>
              </a:graphicData>
            </a:graphic>
          </wp:inline>
        </w:drawing>
      </w:r>
    </w:p>
    <w:p w:rsidR="001E4149" w:rsidRPr="00BC2F53" w:rsidRDefault="0000401B"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rPr>
        <w:t xml:space="preserve">Informe Justificado que, fue hecho del conocimiento del </w:t>
      </w:r>
      <w:r w:rsidRPr="00BC2F53">
        <w:rPr>
          <w:rFonts w:ascii="Palatino Linotype" w:hAnsi="Palatino Linotype" w:cs="Arial"/>
          <w:b/>
        </w:rPr>
        <w:t xml:space="preserve">RECURRENTE </w:t>
      </w:r>
      <w:r w:rsidRPr="00BC2F53">
        <w:rPr>
          <w:rFonts w:ascii="Palatino Linotype" w:hAnsi="Palatino Linotype" w:cs="Arial"/>
        </w:rPr>
        <w:t xml:space="preserve">mediante correo electrónico personal y del cual </w:t>
      </w:r>
      <w:r w:rsidR="001E4149" w:rsidRPr="00BC2F53">
        <w:rPr>
          <w:rFonts w:ascii="Palatino Linotype" w:hAnsi="Palatino Linotype" w:cs="Arial"/>
        </w:rPr>
        <w:t xml:space="preserve">dada su extensión </w:t>
      </w:r>
      <w:r w:rsidR="002C6F5B" w:rsidRPr="00BC2F53">
        <w:rPr>
          <w:rFonts w:ascii="Palatino Linotype" w:hAnsi="Palatino Linotype" w:cs="Arial"/>
        </w:rPr>
        <w:t>se inserta a continuación la parte medular del mismo por así convenir al estudio de la presente resolución:</w:t>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drawing>
          <wp:inline distT="0" distB="0" distL="0" distR="0" wp14:anchorId="11AE4657" wp14:editId="19633E7C">
            <wp:extent cx="5531853" cy="396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13" t="22942" r="25729" b="23127"/>
                    <a:stretch/>
                  </pic:blipFill>
                  <pic:spPr bwMode="auto">
                    <a:xfrm>
                      <a:off x="0" y="0"/>
                      <a:ext cx="5586188" cy="4001319"/>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lastRenderedPageBreak/>
        <w:drawing>
          <wp:inline distT="0" distB="0" distL="0" distR="0" wp14:anchorId="3C0C3AC3" wp14:editId="2AC666C6">
            <wp:extent cx="5410835" cy="433449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91" t="18773" r="22906" b="6694"/>
                    <a:stretch/>
                  </pic:blipFill>
                  <pic:spPr bwMode="auto">
                    <a:xfrm>
                      <a:off x="0" y="0"/>
                      <a:ext cx="5442767" cy="4360073"/>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drawing>
          <wp:inline distT="0" distB="0" distL="0" distR="0" wp14:anchorId="24FA789B" wp14:editId="730A975F">
            <wp:extent cx="5516245" cy="2398815"/>
            <wp:effectExtent l="0" t="0" r="825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9" t="26791" r="24239" b="41137"/>
                    <a:stretch/>
                  </pic:blipFill>
                  <pic:spPr bwMode="auto">
                    <a:xfrm>
                      <a:off x="0" y="0"/>
                      <a:ext cx="5563799" cy="2419495"/>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lastRenderedPageBreak/>
        <w:drawing>
          <wp:inline distT="0" distB="0" distL="0" distR="0" wp14:anchorId="46012487" wp14:editId="4B3917A7">
            <wp:extent cx="4876998" cy="5100452"/>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02" t="19503" r="29469" b="9610"/>
                    <a:stretch/>
                  </pic:blipFill>
                  <pic:spPr bwMode="auto">
                    <a:xfrm>
                      <a:off x="0" y="0"/>
                      <a:ext cx="4896843" cy="5121206"/>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drawing>
          <wp:inline distT="0" distB="0" distL="0" distR="0" wp14:anchorId="0A5FFFB5" wp14:editId="19DFCC2D">
            <wp:extent cx="4296392" cy="238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38" t="20598" r="26290" b="32025"/>
                    <a:stretch/>
                  </pic:blipFill>
                  <pic:spPr bwMode="auto">
                    <a:xfrm>
                      <a:off x="0" y="0"/>
                      <a:ext cx="4319887" cy="2399994"/>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lastRenderedPageBreak/>
        <w:drawing>
          <wp:inline distT="0" distB="0" distL="0" distR="0" wp14:anchorId="4643A4F6" wp14:editId="599D8BED">
            <wp:extent cx="5040077" cy="3859480"/>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31" t="7290" r="19011" b="6331"/>
                    <a:stretch/>
                  </pic:blipFill>
                  <pic:spPr bwMode="auto">
                    <a:xfrm>
                      <a:off x="0" y="0"/>
                      <a:ext cx="5050727" cy="3867635"/>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drawing>
          <wp:inline distT="0" distB="0" distL="0" distR="0" wp14:anchorId="1F1779B1" wp14:editId="5C217214">
            <wp:extent cx="4903470" cy="3562329"/>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34" t="11301" r="29673" b="16900"/>
                    <a:stretch/>
                  </pic:blipFill>
                  <pic:spPr bwMode="auto">
                    <a:xfrm>
                      <a:off x="0" y="0"/>
                      <a:ext cx="4948888" cy="3595325"/>
                    </a:xfrm>
                    <a:prstGeom prst="rect">
                      <a:avLst/>
                    </a:prstGeom>
                    <a:ln>
                      <a:noFill/>
                    </a:ln>
                    <a:extLst>
                      <a:ext uri="{53640926-AAD7-44D8-BBD7-CCE9431645EC}">
                        <a14:shadowObscured xmlns:a14="http://schemas.microsoft.com/office/drawing/2010/main"/>
                      </a:ext>
                    </a:extLst>
                  </pic:spPr>
                </pic:pic>
              </a:graphicData>
            </a:graphic>
          </wp:inline>
        </w:drawing>
      </w:r>
    </w:p>
    <w:p w:rsidR="002C6F5B" w:rsidRPr="00BC2F53" w:rsidRDefault="002C6F5B" w:rsidP="002C6F5B">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lastRenderedPageBreak/>
        <w:drawing>
          <wp:inline distT="0" distB="0" distL="0" distR="0" wp14:anchorId="69A0232A" wp14:editId="57871E49">
            <wp:extent cx="5305442" cy="298132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31" t="18046" r="21984" b="28380"/>
                    <a:stretch/>
                  </pic:blipFill>
                  <pic:spPr bwMode="auto">
                    <a:xfrm>
                      <a:off x="0" y="0"/>
                      <a:ext cx="5333643" cy="2997172"/>
                    </a:xfrm>
                    <a:prstGeom prst="rect">
                      <a:avLst/>
                    </a:prstGeom>
                    <a:ln>
                      <a:noFill/>
                    </a:ln>
                    <a:extLst>
                      <a:ext uri="{53640926-AAD7-44D8-BBD7-CCE9431645EC}">
                        <a14:shadowObscured xmlns:a14="http://schemas.microsoft.com/office/drawing/2010/main"/>
                      </a:ext>
                    </a:extLst>
                  </pic:spPr>
                </pic:pic>
              </a:graphicData>
            </a:graphic>
          </wp:inline>
        </w:drawing>
      </w:r>
    </w:p>
    <w:p w:rsidR="0002728D" w:rsidRPr="00BC2F53" w:rsidRDefault="007C760A" w:rsidP="007C760A">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rPr>
        <w:t xml:space="preserve">Por su parte, </w:t>
      </w:r>
      <w:r w:rsidR="001E4149" w:rsidRPr="00BC2F53">
        <w:rPr>
          <w:rFonts w:ascii="Palatino Linotype" w:hAnsi="Palatino Linotype" w:cs="Arial"/>
          <w:b/>
        </w:rPr>
        <w:t>EL</w:t>
      </w:r>
      <w:r w:rsidRPr="00BC2F53">
        <w:rPr>
          <w:rFonts w:ascii="Palatino Linotype" w:hAnsi="Palatino Linotype" w:cs="Arial"/>
          <w:b/>
        </w:rPr>
        <w:t xml:space="preserve"> RECURRENTE</w:t>
      </w:r>
      <w:r w:rsidRPr="00BC2F53">
        <w:rPr>
          <w:rFonts w:ascii="Palatino Linotype" w:hAnsi="Palatino Linotype" w:cs="Arial"/>
        </w:rPr>
        <w:t xml:space="preserve"> </w:t>
      </w:r>
      <w:r w:rsidR="0002728D" w:rsidRPr="00BC2F53">
        <w:rPr>
          <w:rFonts w:ascii="Palatino Linotype" w:hAnsi="Palatino Linotype" w:cs="Arial"/>
        </w:rPr>
        <w:t>en fecha veintisiete de septiembre de dos mil diecinueve, mediante correo electrónico institucional hizo llegar a esta Ponencia Resolutora las manifestaciones correspondientes a la vista del Informe Justificado, señalando lo siguiente:</w:t>
      </w:r>
    </w:p>
    <w:p w:rsidR="0002728D" w:rsidRPr="00BC2F53" w:rsidRDefault="00FE53C3" w:rsidP="0002728D">
      <w:pPr>
        <w:pStyle w:val="Prrafodelista"/>
        <w:spacing w:before="100" w:beforeAutospacing="1" w:after="100" w:afterAutospacing="1" w:line="360" w:lineRule="auto"/>
        <w:ind w:left="0"/>
        <w:jc w:val="center"/>
        <w:rPr>
          <w:rFonts w:ascii="Palatino Linotype" w:hAnsi="Palatino Linotype" w:cs="Arial"/>
        </w:rPr>
      </w:pPr>
      <w:r w:rsidRPr="00FE53C3">
        <w:rPr>
          <w:noProof/>
          <w:lang w:eastAsia="es-MX"/>
        </w:rPr>
        <w:t xml:space="preserve"> </w:t>
      </w:r>
      <w:r>
        <w:rPr>
          <w:noProof/>
          <w:lang w:eastAsia="es-MX"/>
        </w:rPr>
        <w:drawing>
          <wp:inline distT="0" distB="0" distL="0" distR="0" wp14:anchorId="19492976" wp14:editId="02E12ABC">
            <wp:extent cx="5308419" cy="2875339"/>
            <wp:effectExtent l="0" t="0" r="698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20" t="25311" r="15677" b="11426"/>
                    <a:stretch/>
                  </pic:blipFill>
                  <pic:spPr bwMode="auto">
                    <a:xfrm>
                      <a:off x="0" y="0"/>
                      <a:ext cx="5319044" cy="2881094"/>
                    </a:xfrm>
                    <a:prstGeom prst="rect">
                      <a:avLst/>
                    </a:prstGeom>
                    <a:ln>
                      <a:noFill/>
                    </a:ln>
                    <a:extLst>
                      <a:ext uri="{53640926-AAD7-44D8-BBD7-CCE9431645EC}">
                        <a14:shadowObscured xmlns:a14="http://schemas.microsoft.com/office/drawing/2010/main"/>
                      </a:ext>
                    </a:extLst>
                  </pic:spPr>
                </pic:pic>
              </a:graphicData>
            </a:graphic>
          </wp:inline>
        </w:drawing>
      </w:r>
    </w:p>
    <w:p w:rsidR="00972C16" w:rsidRPr="00BC2F53" w:rsidRDefault="00972C16" w:rsidP="00972C16">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rPr>
        <w:lastRenderedPageBreak/>
        <w:t xml:space="preserve">Derivado de lo anterior, se determinó poner a la vista del </w:t>
      </w:r>
      <w:r w:rsidRPr="00BC2F53">
        <w:rPr>
          <w:rFonts w:ascii="Palatino Linotype" w:hAnsi="Palatino Linotype" w:cs="Arial"/>
          <w:b/>
        </w:rPr>
        <w:t xml:space="preserve">SUJETO OBLIGADO </w:t>
      </w:r>
      <w:r w:rsidRPr="00BC2F53">
        <w:rPr>
          <w:rFonts w:ascii="Palatino Linotype" w:hAnsi="Palatino Linotype" w:cs="Arial"/>
        </w:rPr>
        <w:t>las manifestaci</w:t>
      </w:r>
      <w:bookmarkStart w:id="0" w:name="_GoBack"/>
      <w:bookmarkEnd w:id="0"/>
      <w:r w:rsidRPr="00BC2F53">
        <w:rPr>
          <w:rFonts w:ascii="Palatino Linotype" w:hAnsi="Palatino Linotype" w:cs="Arial"/>
        </w:rPr>
        <w:t>ones realizadas por el particular; a efecto de que se pronunciara al respecto; por lo que, en fecha uno de octubre de dos mil diecinueve, remitió a esta Ponencia Resolutora lo siguiente:</w:t>
      </w:r>
    </w:p>
    <w:p w:rsidR="00972C16" w:rsidRPr="00BC2F53" w:rsidRDefault="00972C16" w:rsidP="00972C16">
      <w:pPr>
        <w:pStyle w:val="Prrafodelista"/>
        <w:spacing w:before="100" w:beforeAutospacing="1" w:after="100" w:afterAutospacing="1" w:line="360" w:lineRule="auto"/>
        <w:ind w:left="0"/>
        <w:jc w:val="center"/>
        <w:rPr>
          <w:rFonts w:ascii="Palatino Linotype" w:hAnsi="Palatino Linotype" w:cs="Arial"/>
        </w:rPr>
      </w:pPr>
      <w:r w:rsidRPr="00BC2F53">
        <w:rPr>
          <w:noProof/>
          <w:lang w:eastAsia="es-MX"/>
        </w:rPr>
        <w:drawing>
          <wp:inline distT="0" distB="0" distL="0" distR="0" wp14:anchorId="0E93400B" wp14:editId="1E9F2B3C">
            <wp:extent cx="5708015" cy="3438525"/>
            <wp:effectExtent l="0" t="0" r="698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08" t="23246" r="5758" b="9091"/>
                    <a:stretch/>
                  </pic:blipFill>
                  <pic:spPr bwMode="auto">
                    <a:xfrm>
                      <a:off x="0" y="0"/>
                      <a:ext cx="5731309" cy="3452557"/>
                    </a:xfrm>
                    <a:prstGeom prst="rect">
                      <a:avLst/>
                    </a:prstGeom>
                    <a:ln>
                      <a:noFill/>
                    </a:ln>
                    <a:extLst>
                      <a:ext uri="{53640926-AAD7-44D8-BBD7-CCE9431645EC}">
                        <a14:shadowObscured xmlns:a14="http://schemas.microsoft.com/office/drawing/2010/main"/>
                      </a:ext>
                    </a:extLst>
                  </pic:spPr>
                </pic:pic>
              </a:graphicData>
            </a:graphic>
          </wp:inline>
        </w:drawing>
      </w:r>
    </w:p>
    <w:p w:rsidR="00972C16" w:rsidRPr="00BC2F53" w:rsidRDefault="00972C16" w:rsidP="00972C16">
      <w:pPr>
        <w:pStyle w:val="Prrafodelista"/>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rPr>
        <w:t xml:space="preserve">Adjuntando al correo electrónico de referencia los archivos electrónicos </w:t>
      </w:r>
      <w:r w:rsidR="00446A43" w:rsidRPr="00BC2F53">
        <w:rPr>
          <w:rFonts w:ascii="Palatino Linotype" w:hAnsi="Palatino Linotype" w:cs="Arial"/>
        </w:rPr>
        <w:t>denominados INF_AUD_05_2017 completa de la 15-46 (1).pdf e índice de auditoria, número 5 (1).</w:t>
      </w:r>
      <w:proofErr w:type="spellStart"/>
      <w:r w:rsidR="00446A43" w:rsidRPr="00BC2F53">
        <w:rPr>
          <w:rFonts w:ascii="Palatino Linotype" w:hAnsi="Palatino Linotype" w:cs="Arial"/>
        </w:rPr>
        <w:t>pdf</w:t>
      </w:r>
      <w:proofErr w:type="spellEnd"/>
      <w:r w:rsidR="00446A43" w:rsidRPr="00BC2F53">
        <w:rPr>
          <w:rFonts w:ascii="Palatino Linotype" w:hAnsi="Palatino Linotype" w:cs="Arial"/>
        </w:rPr>
        <w:t xml:space="preserve">, cuyo contenido fue puesto de nueva cuenta a disposición del </w:t>
      </w:r>
      <w:r w:rsidR="00446A43" w:rsidRPr="00BC2F53">
        <w:rPr>
          <w:rFonts w:ascii="Palatino Linotype" w:hAnsi="Palatino Linotype" w:cs="Arial"/>
          <w:b/>
        </w:rPr>
        <w:t xml:space="preserve">RECURRENTE </w:t>
      </w:r>
      <w:r w:rsidR="00446A43" w:rsidRPr="00BC2F53">
        <w:rPr>
          <w:rFonts w:ascii="Palatino Linotype" w:hAnsi="Palatino Linotype" w:cs="Arial"/>
        </w:rPr>
        <w:t>para que manifestara lo que a su derecho conviniera por un término de tres días hábiles; sin que este hubiera realizado manifestación alguna al respecto.</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rPr>
      </w:pPr>
      <w:r w:rsidRPr="00BC2F53">
        <w:rPr>
          <w:rFonts w:ascii="Palatino Linotype" w:hAnsi="Palatino Linotype" w:cs="Arial"/>
          <w:b/>
          <w:sz w:val="28"/>
          <w:szCs w:val="28"/>
        </w:rPr>
        <w:t>VII.</w:t>
      </w:r>
      <w:r w:rsidRPr="00BC2F53">
        <w:rPr>
          <w:rFonts w:ascii="Palatino Linotype" w:hAnsi="Palatino Linotype" w:cs="Arial"/>
        </w:rPr>
        <w:t xml:space="preserve"> Transcurrido el plazo señalado en el párrafo anterior y, una vez analizado el estado procesal que guardaba el expediente, en fecha </w:t>
      </w:r>
      <w:r w:rsidR="00073C12" w:rsidRPr="00BC2F53">
        <w:rPr>
          <w:rFonts w:ascii="Palatino Linotype" w:hAnsi="Palatino Linotype" w:cs="Arial"/>
        </w:rPr>
        <w:t xml:space="preserve">ocho de julio de </w:t>
      </w:r>
      <w:r w:rsidRPr="00BC2F53">
        <w:rPr>
          <w:rFonts w:ascii="Palatino Linotype" w:hAnsi="Palatino Linotype" w:cs="Arial"/>
        </w:rPr>
        <w:t xml:space="preserve">dos mil diecinueve, la Comisionada Ponente acordó el cierre de instrucción, así como la </w:t>
      </w:r>
      <w:r w:rsidRPr="00BC2F53">
        <w:rPr>
          <w:rFonts w:ascii="Palatino Linotype" w:hAnsi="Palatino Linotype" w:cs="Arial"/>
        </w:rPr>
        <w:lastRenderedPageBreak/>
        <w:t>remisión del mismo a efecto de ser resuelto, de conformidad con lo establecido en el artículo 185</w:t>
      </w:r>
      <w:r w:rsidR="00073C12" w:rsidRPr="00BC2F53">
        <w:rPr>
          <w:rFonts w:ascii="Palatino Linotype" w:hAnsi="Palatino Linotype" w:cs="Arial"/>
        </w:rPr>
        <w:t>,</w:t>
      </w:r>
      <w:r w:rsidRPr="00BC2F53">
        <w:rPr>
          <w:rFonts w:ascii="Palatino Linotype" w:hAnsi="Palatino Linotype" w:cs="Arial"/>
        </w:rPr>
        <w:t xml:space="preserve"> fracciones VI y VIII de la Ley de Transparencia y Acceso a la Información Pública del Estado de México y Municipios; y</w:t>
      </w:r>
    </w:p>
    <w:p w:rsidR="007C760A" w:rsidRPr="00BC2F53" w:rsidRDefault="007C760A" w:rsidP="007C760A">
      <w:pPr>
        <w:pStyle w:val="Prrafodelista"/>
        <w:spacing w:before="100" w:beforeAutospacing="1" w:after="100" w:afterAutospacing="1" w:line="360" w:lineRule="auto"/>
        <w:ind w:left="0"/>
        <w:jc w:val="both"/>
        <w:rPr>
          <w:rFonts w:ascii="Palatino Linotype" w:hAnsi="Palatino Linotype"/>
        </w:rPr>
      </w:pPr>
      <w:r w:rsidRPr="00BC2F53">
        <w:rPr>
          <w:rFonts w:ascii="Palatino Linotype" w:hAnsi="Palatino Linotype" w:cs="Arial"/>
          <w:b/>
          <w:sz w:val="28"/>
          <w:szCs w:val="28"/>
        </w:rPr>
        <w:t>VIII.</w:t>
      </w:r>
      <w:r w:rsidRPr="00BC2F53">
        <w:rPr>
          <w:rFonts w:ascii="Palatino Linotype" w:hAnsi="Palatino Linotype" w:cs="Arial"/>
        </w:rPr>
        <w:t xml:space="preserve"> </w:t>
      </w:r>
      <w:r w:rsidRPr="00BC2F53">
        <w:rPr>
          <w:rFonts w:ascii="Palatino Linotype" w:hAnsi="Palatino Linotype"/>
        </w:rPr>
        <w:t>En fecha veint</w:t>
      </w:r>
      <w:r w:rsidR="00073C12" w:rsidRPr="00BC2F53">
        <w:rPr>
          <w:rFonts w:ascii="Palatino Linotype" w:hAnsi="Palatino Linotype"/>
        </w:rPr>
        <w:t xml:space="preserve">e de </w:t>
      </w:r>
      <w:r w:rsidRPr="00BC2F53">
        <w:rPr>
          <w:rFonts w:ascii="Palatino Linotype" w:hAnsi="Palatino Linotype"/>
        </w:rPr>
        <w:t xml:space="preserve">agosto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7C760A" w:rsidRPr="00BC2F53" w:rsidRDefault="007C760A" w:rsidP="007C760A">
      <w:pPr>
        <w:spacing w:before="100" w:beforeAutospacing="1" w:after="100" w:afterAutospacing="1" w:line="360" w:lineRule="auto"/>
        <w:jc w:val="center"/>
        <w:rPr>
          <w:rFonts w:ascii="Palatino Linotype" w:hAnsi="Palatino Linotype"/>
          <w:b/>
          <w:bCs/>
          <w:spacing w:val="60"/>
          <w:sz w:val="28"/>
        </w:rPr>
      </w:pPr>
      <w:r w:rsidRPr="00BC2F53">
        <w:rPr>
          <w:rFonts w:ascii="Palatino Linotype" w:hAnsi="Palatino Linotype"/>
          <w:b/>
          <w:bCs/>
          <w:spacing w:val="60"/>
          <w:sz w:val="28"/>
        </w:rPr>
        <w:t>CONSIDERANDO</w:t>
      </w:r>
    </w:p>
    <w:p w:rsidR="007C760A" w:rsidRPr="00BC2F53" w:rsidRDefault="007C760A" w:rsidP="007C760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PRIMERO</w:t>
      </w:r>
      <w:r w:rsidRPr="00BC2F53">
        <w:rPr>
          <w:rFonts w:ascii="Palatino Linotype" w:hAnsi="Palatino Linotype" w:cs="Arial"/>
          <w:b/>
        </w:rPr>
        <w:t>. Competencia.</w:t>
      </w:r>
      <w:r w:rsidRPr="00BC2F53">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7C760A" w:rsidRPr="00BC2F53" w:rsidRDefault="007C760A" w:rsidP="007C760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C2F53">
        <w:rPr>
          <w:rFonts w:ascii="Palatino Linotype" w:hAnsi="Palatino Linotype" w:cs="Arial"/>
          <w:b/>
          <w:sz w:val="28"/>
          <w:szCs w:val="28"/>
        </w:rPr>
        <w:t>SEGUNDO</w:t>
      </w:r>
      <w:r w:rsidRPr="00BC2F53">
        <w:rPr>
          <w:rFonts w:ascii="Palatino Linotype" w:hAnsi="Palatino Linotype" w:cs="Arial"/>
          <w:b/>
        </w:rPr>
        <w:t>. Interés.</w:t>
      </w:r>
      <w:r w:rsidRPr="00BC2F53">
        <w:rPr>
          <w:rFonts w:ascii="Palatino Linotype" w:hAnsi="Palatino Linotype" w:cs="Arial"/>
        </w:rPr>
        <w:t xml:space="preserve"> El recurso de revisión fue interpuesto por parte legítima en atención a que fue presentado por </w:t>
      </w:r>
      <w:r w:rsidR="00073C12" w:rsidRPr="00BC2F53">
        <w:rPr>
          <w:rFonts w:ascii="Palatino Linotype" w:hAnsi="Palatino Linotype" w:cs="Arial"/>
          <w:b/>
        </w:rPr>
        <w:t>EL</w:t>
      </w:r>
      <w:r w:rsidRPr="00BC2F53">
        <w:rPr>
          <w:rFonts w:ascii="Palatino Linotype" w:hAnsi="Palatino Linotype" w:cs="Arial"/>
          <w:b/>
        </w:rPr>
        <w:t xml:space="preserve"> RECURRENTE</w:t>
      </w:r>
      <w:r w:rsidRPr="00BC2F53">
        <w:rPr>
          <w:rFonts w:ascii="Palatino Linotype" w:hAnsi="Palatino Linotype" w:cs="Arial"/>
          <w:snapToGrid w:val="0"/>
        </w:rPr>
        <w:t xml:space="preserve">, quien es la misma persona que </w:t>
      </w:r>
      <w:r w:rsidRPr="00BC2F53">
        <w:rPr>
          <w:rFonts w:ascii="Palatino Linotype" w:hAnsi="Palatino Linotype" w:cs="Arial"/>
          <w:snapToGrid w:val="0"/>
        </w:rPr>
        <w:lastRenderedPageBreak/>
        <w:t xml:space="preserve">formuló la </w:t>
      </w:r>
      <w:r w:rsidRPr="00BC2F53">
        <w:rPr>
          <w:rFonts w:ascii="Palatino Linotype" w:hAnsi="Palatino Linotype" w:cs="Arial"/>
        </w:rPr>
        <w:t>solicitud</w:t>
      </w:r>
      <w:r w:rsidRPr="00BC2F53">
        <w:rPr>
          <w:rFonts w:ascii="Palatino Linotype" w:hAnsi="Palatino Linotype" w:cs="Arial"/>
          <w:snapToGrid w:val="0"/>
        </w:rPr>
        <w:t xml:space="preserve"> de información pública número </w:t>
      </w:r>
      <w:r w:rsidR="00073C12" w:rsidRPr="00BC2F53">
        <w:rPr>
          <w:rFonts w:ascii="Palatino Linotype" w:hAnsi="Palatino Linotype" w:cs="Arial"/>
          <w:b/>
          <w:bCs/>
          <w:snapToGrid w:val="0"/>
        </w:rPr>
        <w:t>00280</w:t>
      </w:r>
      <w:r w:rsidRPr="00BC2F53">
        <w:rPr>
          <w:rFonts w:ascii="Palatino Linotype" w:hAnsi="Palatino Linotype" w:cs="Arial"/>
          <w:b/>
          <w:bCs/>
          <w:snapToGrid w:val="0"/>
        </w:rPr>
        <w:t>/</w:t>
      </w:r>
      <w:r w:rsidR="00073C12" w:rsidRPr="00BC2F53">
        <w:rPr>
          <w:rFonts w:ascii="Palatino Linotype" w:hAnsi="Palatino Linotype" w:cs="Arial"/>
          <w:b/>
          <w:bCs/>
          <w:snapToGrid w:val="0"/>
        </w:rPr>
        <w:t>IEEM/</w:t>
      </w:r>
      <w:r w:rsidRPr="00BC2F53">
        <w:rPr>
          <w:rFonts w:ascii="Palatino Linotype" w:hAnsi="Palatino Linotype" w:cs="Arial"/>
          <w:b/>
          <w:bCs/>
          <w:snapToGrid w:val="0"/>
        </w:rPr>
        <w:t xml:space="preserve">IP/2019 </w:t>
      </w:r>
      <w:r w:rsidRPr="00BC2F53">
        <w:rPr>
          <w:rFonts w:ascii="Palatino Linotype" w:hAnsi="Palatino Linotype" w:cs="Arial"/>
          <w:snapToGrid w:val="0"/>
        </w:rPr>
        <w:t>al</w:t>
      </w:r>
      <w:r w:rsidRPr="00BC2F53">
        <w:rPr>
          <w:rFonts w:ascii="Palatino Linotype" w:hAnsi="Palatino Linotype" w:cs="Arial"/>
          <w:b/>
          <w:snapToGrid w:val="0"/>
        </w:rPr>
        <w:t xml:space="preserve"> SUJETO OBLIGADO</w:t>
      </w:r>
      <w:r w:rsidRPr="00BC2F53">
        <w:rPr>
          <w:rFonts w:ascii="Palatino Linotype" w:hAnsi="Palatino Linotype" w:cs="Arial"/>
        </w:rPr>
        <w:t>.</w:t>
      </w:r>
    </w:p>
    <w:p w:rsidR="007C760A" w:rsidRPr="00BC2F53" w:rsidRDefault="007C760A" w:rsidP="007C760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C2F53">
        <w:rPr>
          <w:rFonts w:ascii="Palatino Linotype" w:hAnsi="Palatino Linotype" w:cs="Arial"/>
          <w:b/>
          <w:sz w:val="28"/>
          <w:szCs w:val="28"/>
        </w:rPr>
        <w:t>TERCERO</w:t>
      </w:r>
      <w:r w:rsidRPr="00BC2F53">
        <w:rPr>
          <w:rFonts w:ascii="Palatino Linotype" w:hAnsi="Palatino Linotype" w:cs="Arial"/>
          <w:b/>
        </w:rPr>
        <w:t xml:space="preserve">. Oportunidad. </w:t>
      </w:r>
      <w:r w:rsidRPr="00BC2F53">
        <w:rPr>
          <w:rFonts w:ascii="Palatino Linotype" w:hAnsi="Palatino Linotype" w:cs="Arial"/>
        </w:rPr>
        <w:t xml:space="preserve">El recurso de revisión fue interpuesto dentro del plazo de quince días hábiles contados a partir del día siguiente a aquel en que </w:t>
      </w:r>
      <w:r w:rsidRPr="00BC2F53">
        <w:rPr>
          <w:rFonts w:ascii="Palatino Linotype" w:hAnsi="Palatino Linotype" w:cs="Arial"/>
          <w:b/>
        </w:rPr>
        <w:t xml:space="preserve">EL RECURRENTE </w:t>
      </w:r>
      <w:r w:rsidRPr="00BC2F5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7C760A" w:rsidRPr="00BC2F53" w:rsidRDefault="007C760A" w:rsidP="007C760A">
      <w:pPr>
        <w:ind w:left="709" w:right="760"/>
        <w:jc w:val="both"/>
        <w:rPr>
          <w:rFonts w:ascii="Palatino Linotype" w:hAnsi="Palatino Linotype" w:cs="Arial"/>
          <w:i/>
          <w:sz w:val="22"/>
        </w:rPr>
      </w:pPr>
      <w:r w:rsidRPr="00BC2F53">
        <w:rPr>
          <w:rFonts w:ascii="Palatino Linotype" w:hAnsi="Palatino Linotype" w:cs="Arial"/>
          <w:i/>
          <w:sz w:val="22"/>
        </w:rPr>
        <w:t>“</w:t>
      </w:r>
      <w:r w:rsidRPr="00BC2F53">
        <w:rPr>
          <w:rFonts w:ascii="Palatino Linotype" w:hAnsi="Palatino Linotype" w:cs="Arial"/>
          <w:b/>
          <w:i/>
          <w:sz w:val="22"/>
        </w:rPr>
        <w:t>Artículo 178.</w:t>
      </w:r>
      <w:r w:rsidRPr="00BC2F5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C760A" w:rsidRPr="00BC2F53" w:rsidRDefault="007C760A" w:rsidP="007C760A">
      <w:pPr>
        <w:ind w:left="709" w:right="760"/>
        <w:jc w:val="both"/>
        <w:rPr>
          <w:rFonts w:ascii="Palatino Linotype" w:hAnsi="Palatino Linotype" w:cs="Arial"/>
          <w:i/>
          <w:sz w:val="22"/>
        </w:rPr>
      </w:pPr>
    </w:p>
    <w:p w:rsidR="007C760A" w:rsidRPr="00BC2F53" w:rsidRDefault="007C760A" w:rsidP="007C760A">
      <w:pPr>
        <w:ind w:left="709" w:right="760"/>
        <w:jc w:val="both"/>
        <w:rPr>
          <w:rFonts w:ascii="Palatino Linotype" w:hAnsi="Palatino Linotype" w:cs="Arial"/>
          <w:i/>
          <w:sz w:val="22"/>
        </w:rPr>
      </w:pPr>
      <w:r w:rsidRPr="00BC2F5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C760A" w:rsidRPr="00BC2F53" w:rsidRDefault="007C760A" w:rsidP="007C760A">
      <w:pPr>
        <w:ind w:left="709" w:right="760"/>
        <w:jc w:val="both"/>
        <w:rPr>
          <w:rFonts w:ascii="Palatino Linotype" w:hAnsi="Palatino Linotype" w:cs="Arial"/>
          <w:i/>
          <w:sz w:val="22"/>
        </w:rPr>
      </w:pPr>
    </w:p>
    <w:p w:rsidR="007C760A" w:rsidRPr="00BC2F53" w:rsidRDefault="007C760A" w:rsidP="007C760A">
      <w:pPr>
        <w:ind w:left="709" w:right="760"/>
        <w:jc w:val="both"/>
        <w:rPr>
          <w:rFonts w:ascii="Palatino Linotype" w:hAnsi="Palatino Linotype" w:cs="Arial"/>
          <w:i/>
          <w:sz w:val="22"/>
        </w:rPr>
      </w:pPr>
      <w:r w:rsidRPr="00BC2F53">
        <w:rPr>
          <w:rFonts w:ascii="Palatino Linotype" w:hAnsi="Palatino Linotype" w:cs="Arial"/>
          <w:i/>
          <w:sz w:val="22"/>
        </w:rPr>
        <w:t xml:space="preserve">En el caso de que se interponga ante la Unidad de Transparencia, ésta deberá remitir el recurso de revisión al Instituto a más tardar al día </w:t>
      </w:r>
      <w:r w:rsidRPr="00BC2F53">
        <w:rPr>
          <w:rFonts w:ascii="Palatino Linotype" w:hAnsi="Palatino Linotype" w:cs="Arial"/>
          <w:i/>
          <w:sz w:val="22"/>
          <w:lang w:eastAsia="es-MX"/>
        </w:rPr>
        <w:t>siguiente</w:t>
      </w:r>
      <w:r w:rsidRPr="00BC2F53">
        <w:rPr>
          <w:rFonts w:ascii="Palatino Linotype" w:hAnsi="Palatino Linotype" w:cs="Arial"/>
          <w:i/>
          <w:sz w:val="22"/>
        </w:rPr>
        <w:t xml:space="preserve"> de haberlo recibido.”</w:t>
      </w:r>
    </w:p>
    <w:p w:rsidR="007C760A" w:rsidRPr="00BC2F53" w:rsidRDefault="007C760A" w:rsidP="007C760A">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BC2F53">
        <w:rPr>
          <w:rFonts w:ascii="Palatino Linotype" w:hAnsi="Palatino Linotype" w:cs="Arial"/>
        </w:rPr>
        <w:t xml:space="preserve">En esa tesitura, atendiendo a que </w:t>
      </w:r>
      <w:r w:rsidRPr="00BC2F53">
        <w:rPr>
          <w:rFonts w:ascii="Palatino Linotype" w:hAnsi="Palatino Linotype" w:cs="Arial"/>
          <w:b/>
        </w:rPr>
        <w:t>EL SUJETO OBLIGADO</w:t>
      </w:r>
      <w:r w:rsidRPr="00BC2F53">
        <w:rPr>
          <w:rFonts w:ascii="Palatino Linotype" w:hAnsi="Palatino Linotype" w:cs="Arial"/>
        </w:rPr>
        <w:t xml:space="preserve"> notificó la respuesta a la solicitud de información pública el día</w:t>
      </w:r>
      <w:r w:rsidRPr="00BC2F53">
        <w:rPr>
          <w:rFonts w:ascii="Palatino Linotype" w:hAnsi="Palatino Linotype" w:cs="Arial"/>
          <w:b/>
        </w:rPr>
        <w:t xml:space="preserve"> </w:t>
      </w:r>
      <w:r w:rsidR="00073C12" w:rsidRPr="00BC2F53">
        <w:rPr>
          <w:rFonts w:ascii="Palatino Linotype" w:hAnsi="Palatino Linotype" w:cs="Arial"/>
          <w:b/>
        </w:rPr>
        <w:t xml:space="preserve">seis de junio de </w:t>
      </w:r>
      <w:r w:rsidRPr="00BC2F53">
        <w:rPr>
          <w:rFonts w:ascii="Palatino Linotype" w:hAnsi="Palatino Linotype" w:cs="Arial"/>
          <w:b/>
        </w:rPr>
        <w:t>dos mil diecinueve</w:t>
      </w:r>
      <w:r w:rsidRPr="00BC2F53">
        <w:rPr>
          <w:rFonts w:ascii="Palatino Linotype" w:hAnsi="Palatino Linotype" w:cs="Arial"/>
        </w:rPr>
        <w:t>; sí, el plazo de quince días hábiles que el artículo 178 de la Ley de la materia otorga al</w:t>
      </w:r>
      <w:r w:rsidRPr="00BC2F53">
        <w:rPr>
          <w:rFonts w:ascii="Palatino Linotype" w:hAnsi="Palatino Linotype" w:cs="Arial"/>
          <w:b/>
        </w:rPr>
        <w:t xml:space="preserve"> RECURRENTE</w:t>
      </w:r>
      <w:r w:rsidRPr="00BC2F53">
        <w:rPr>
          <w:rFonts w:ascii="Palatino Linotype" w:hAnsi="Palatino Linotype" w:cs="Arial"/>
        </w:rPr>
        <w:t xml:space="preserve"> para presentar el recurso de revisión, transcurrió del </w:t>
      </w:r>
      <w:r w:rsidR="00073C12" w:rsidRPr="00BC2F53">
        <w:rPr>
          <w:rFonts w:ascii="Palatino Linotype" w:hAnsi="Palatino Linotype" w:cs="Arial"/>
          <w:b/>
        </w:rPr>
        <w:t>siete al veintisiete de</w:t>
      </w:r>
      <w:r w:rsidRPr="00BC2F53">
        <w:rPr>
          <w:rFonts w:ascii="Palatino Linotype" w:hAnsi="Palatino Linotype" w:cs="Arial"/>
          <w:b/>
        </w:rPr>
        <w:t xml:space="preserve"> junio de dos mil diecinueve</w:t>
      </w:r>
      <w:r w:rsidRPr="00BC2F53">
        <w:rPr>
          <w:rFonts w:ascii="Palatino Linotype" w:hAnsi="Palatino Linotype" w:cs="Arial"/>
        </w:rPr>
        <w:t xml:space="preserve">, sin contemplar en el cómputo los días </w:t>
      </w:r>
      <w:r w:rsidR="00073C12" w:rsidRPr="00BC2F53">
        <w:rPr>
          <w:rFonts w:ascii="Palatino Linotype" w:hAnsi="Palatino Linotype" w:cs="Arial"/>
        </w:rPr>
        <w:t xml:space="preserve">ocho, nueve, quince, dieciséis, veintidós y veintitrés de junio </w:t>
      </w:r>
      <w:r w:rsidRPr="00BC2F53">
        <w:rPr>
          <w:rFonts w:ascii="Palatino Linotype" w:hAnsi="Palatino Linotype" w:cs="Arial"/>
        </w:rPr>
        <w:t xml:space="preserve">de dos mil diecinueve; por corresponder a sábados y domingos, considerados como días inhábiles, en términos del artículo 3, fracción X de la </w:t>
      </w:r>
      <w:r w:rsidRPr="00BC2F53">
        <w:rPr>
          <w:rFonts w:ascii="Palatino Linotype" w:hAnsi="Palatino Linotype"/>
        </w:rPr>
        <w:t xml:space="preserve">Ley de Transparencia y Acceso a la Información Pública del Estado de México y Municipios; </w:t>
      </w:r>
      <w:r w:rsidRPr="00BC2F53">
        <w:rPr>
          <w:rFonts w:ascii="Palatino Linotype" w:hAnsi="Palatino Linotype" w:cs="Arial"/>
        </w:rPr>
        <w:t xml:space="preserve">así como de conformidad con el Calendario </w:t>
      </w:r>
      <w:r w:rsidRPr="00BC2F53">
        <w:rPr>
          <w:rFonts w:ascii="Palatino Linotype" w:hAnsi="Palatino Linotype" w:cs="Arial"/>
        </w:rPr>
        <w:lastRenderedPageBreak/>
        <w:t>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7C760A" w:rsidRPr="00BC2F53" w:rsidRDefault="007C760A" w:rsidP="007C760A">
      <w:pPr>
        <w:spacing w:before="100" w:beforeAutospacing="1" w:after="100" w:afterAutospacing="1" w:line="360" w:lineRule="auto"/>
        <w:jc w:val="both"/>
        <w:rPr>
          <w:rFonts w:ascii="Palatino Linotype" w:hAnsi="Palatino Linotype" w:cs="Arial"/>
          <w:b/>
        </w:rPr>
      </w:pPr>
      <w:r w:rsidRPr="00BC2F53">
        <w:rPr>
          <w:rFonts w:ascii="Palatino Linotype" w:hAnsi="Palatino Linotype" w:cs="Arial"/>
        </w:rPr>
        <w:t>En ese tenor, si el recurso de revisión que nos ocupa, se interpuso el</w:t>
      </w:r>
      <w:r w:rsidRPr="00BC2F53">
        <w:rPr>
          <w:rFonts w:ascii="Palatino Linotype" w:hAnsi="Palatino Linotype" w:cs="Arial"/>
          <w:b/>
        </w:rPr>
        <w:t xml:space="preserve"> </w:t>
      </w:r>
      <w:r w:rsidR="00073C12" w:rsidRPr="00BC2F53">
        <w:rPr>
          <w:rFonts w:ascii="Palatino Linotype" w:hAnsi="Palatino Linotype" w:cs="Arial"/>
          <w:b/>
        </w:rPr>
        <w:t>diecinueve</w:t>
      </w:r>
      <w:r w:rsidRPr="00BC2F53">
        <w:rPr>
          <w:rFonts w:ascii="Palatino Linotype" w:hAnsi="Palatino Linotype" w:cs="Arial"/>
          <w:b/>
        </w:rPr>
        <w:t xml:space="preserve"> de junio de dos mil diecinueve</w:t>
      </w:r>
      <w:r w:rsidRPr="00BC2F53">
        <w:rPr>
          <w:rFonts w:ascii="Palatino Linotype" w:hAnsi="Palatino Linotype" w:cs="Arial"/>
        </w:rPr>
        <w:t>, éste se encuentra dentro de los márgenes temporales previstos en el precepto legal citado en el párrafo anterior y, por tanto, su interposición se considera oportuna.</w:t>
      </w:r>
    </w:p>
    <w:p w:rsidR="00073C12" w:rsidRPr="00BC2F53" w:rsidRDefault="007C760A" w:rsidP="00073C12">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BC2F53">
        <w:rPr>
          <w:rFonts w:ascii="Palatino Linotype" w:hAnsi="Palatino Linotype" w:cs="Arial"/>
          <w:b/>
          <w:sz w:val="28"/>
          <w:szCs w:val="28"/>
        </w:rPr>
        <w:t>CUARTO</w:t>
      </w:r>
      <w:r w:rsidRPr="00BC2F53">
        <w:rPr>
          <w:rFonts w:ascii="Palatino Linotype" w:hAnsi="Palatino Linotype" w:cs="Arial"/>
          <w:b/>
        </w:rPr>
        <w:t>. Procedibilidad.</w:t>
      </w:r>
      <w:r w:rsidRPr="00BC2F53">
        <w:rPr>
          <w:rFonts w:ascii="Palatino Linotype" w:hAnsi="Palatino Linotype" w:cs="Arial"/>
        </w:rPr>
        <w:t xml:space="preserve"> </w:t>
      </w:r>
      <w:r w:rsidR="00073C12" w:rsidRPr="00BC2F53">
        <w:rPr>
          <w:rFonts w:ascii="Palatino Linotype" w:hAnsi="Palatino Linotype" w:cs="Arial"/>
        </w:rPr>
        <w:t xml:space="preserve">Esta Ponencia considera importante abordar el análisis de los requisitos de procedibilidad del recurso de revisión, así que, el artículo 180 de la </w:t>
      </w:r>
      <w:r w:rsidR="00073C12" w:rsidRPr="00BC2F53">
        <w:rPr>
          <w:rFonts w:ascii="Palatino Linotype" w:hAnsi="Palatino Linotype" w:cs="Arial"/>
          <w:lang w:eastAsia="es-MX"/>
        </w:rPr>
        <w:t xml:space="preserve">Ley de Transparencia y Acceso a la </w:t>
      </w:r>
      <w:r w:rsidR="00073C12" w:rsidRPr="00BC2F53">
        <w:rPr>
          <w:rFonts w:ascii="Palatino Linotype" w:hAnsi="Palatino Linotype" w:cs="Arial"/>
        </w:rPr>
        <w:t>Información</w:t>
      </w:r>
      <w:r w:rsidR="00073C12" w:rsidRPr="00BC2F53">
        <w:rPr>
          <w:rFonts w:ascii="Palatino Linotype" w:hAnsi="Palatino Linotype" w:cs="Arial"/>
          <w:lang w:eastAsia="es-MX"/>
        </w:rPr>
        <w:t xml:space="preserve"> Pública del Estado de México y Municipios, </w:t>
      </w:r>
      <w:r w:rsidR="00073C12" w:rsidRPr="00BC2F53">
        <w:rPr>
          <w:rFonts w:ascii="Palatino Linotype" w:hAnsi="Palatino Linotype" w:cs="Arial"/>
        </w:rPr>
        <w:t>establece lo siguiente:</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Artículo 180. </w:t>
      </w:r>
      <w:r w:rsidRPr="00BC2F53">
        <w:rPr>
          <w:rFonts w:ascii="Palatino Linotype" w:hAnsi="Palatino Linotype"/>
          <w:i/>
          <w:sz w:val="22"/>
          <w:szCs w:val="22"/>
        </w:rPr>
        <w:t xml:space="preserve">El </w:t>
      </w:r>
      <w:r w:rsidRPr="00BC2F53">
        <w:rPr>
          <w:rFonts w:ascii="Palatino Linotype" w:hAnsi="Palatino Linotype" w:cs="Arial"/>
          <w:i/>
          <w:sz w:val="22"/>
          <w:szCs w:val="22"/>
        </w:rPr>
        <w:t>recurso</w:t>
      </w:r>
      <w:r w:rsidRPr="00BC2F53">
        <w:rPr>
          <w:rFonts w:ascii="Palatino Linotype" w:hAnsi="Palatino Linotype"/>
          <w:i/>
          <w:sz w:val="22"/>
          <w:szCs w:val="22"/>
        </w:rPr>
        <w:t xml:space="preserve"> </w:t>
      </w:r>
      <w:r w:rsidRPr="00BC2F53">
        <w:rPr>
          <w:rFonts w:ascii="Palatino Linotype" w:hAnsi="Palatino Linotype" w:cs="Arial"/>
          <w:i/>
          <w:color w:val="222222"/>
          <w:sz w:val="22"/>
          <w:szCs w:val="22"/>
          <w:lang w:eastAsia="es-MX"/>
        </w:rPr>
        <w:t>de</w:t>
      </w:r>
      <w:r w:rsidRPr="00BC2F53">
        <w:rPr>
          <w:rFonts w:ascii="Palatino Linotype" w:hAnsi="Palatino Linotype"/>
          <w:i/>
          <w:sz w:val="22"/>
          <w:szCs w:val="22"/>
        </w:rPr>
        <w:t xml:space="preserve"> revisión contendrá:</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I. </w:t>
      </w:r>
      <w:r w:rsidRPr="00BC2F53">
        <w:rPr>
          <w:rFonts w:ascii="Palatino Linotype" w:hAnsi="Palatino Linotype"/>
          <w:i/>
          <w:sz w:val="22"/>
          <w:szCs w:val="22"/>
        </w:rPr>
        <w:t xml:space="preserve">El sujeto obligado ante </w:t>
      </w:r>
      <w:r w:rsidRPr="00BC2F53">
        <w:rPr>
          <w:rFonts w:ascii="Palatino Linotype" w:hAnsi="Palatino Linotype" w:cs="Arial"/>
          <w:i/>
          <w:sz w:val="22"/>
          <w:szCs w:val="22"/>
        </w:rPr>
        <w:t>la</w:t>
      </w:r>
      <w:r w:rsidRPr="00BC2F53">
        <w:rPr>
          <w:rFonts w:ascii="Palatino Linotype" w:hAnsi="Palatino Linotype"/>
          <w:i/>
          <w:sz w:val="22"/>
          <w:szCs w:val="22"/>
        </w:rPr>
        <w:t xml:space="preserve"> cual </w:t>
      </w:r>
      <w:r w:rsidRPr="00BC2F53">
        <w:rPr>
          <w:rFonts w:ascii="Palatino Linotype" w:hAnsi="Palatino Linotype" w:cs="Arial"/>
          <w:i/>
          <w:color w:val="222222"/>
          <w:sz w:val="22"/>
          <w:szCs w:val="22"/>
          <w:lang w:eastAsia="es-MX"/>
        </w:rPr>
        <w:t>se</w:t>
      </w:r>
      <w:r w:rsidRPr="00BC2F53">
        <w:rPr>
          <w:rFonts w:ascii="Palatino Linotype" w:hAnsi="Palatino Linotype"/>
          <w:i/>
          <w:sz w:val="22"/>
          <w:szCs w:val="22"/>
        </w:rPr>
        <w:t xml:space="preserve"> presentó la solicitud;</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II. El nombre del solicitante </w:t>
      </w:r>
      <w:r w:rsidRPr="00BC2F53">
        <w:rPr>
          <w:rFonts w:ascii="Palatino Linotype" w:hAnsi="Palatino Linotype" w:cs="Arial"/>
          <w:b/>
          <w:i/>
          <w:color w:val="222222"/>
          <w:sz w:val="22"/>
          <w:szCs w:val="22"/>
          <w:lang w:eastAsia="es-MX"/>
        </w:rPr>
        <w:t>que</w:t>
      </w:r>
      <w:r w:rsidRPr="00BC2F53">
        <w:rPr>
          <w:rFonts w:ascii="Palatino Linotype" w:hAnsi="Palatino Linotype"/>
          <w:b/>
          <w:i/>
          <w:sz w:val="22"/>
          <w:szCs w:val="22"/>
        </w:rPr>
        <w:t xml:space="preserve"> recurre </w:t>
      </w:r>
      <w:r w:rsidRPr="00BC2F53">
        <w:rPr>
          <w:rFonts w:ascii="Palatino Linotype" w:hAnsi="Palatino Linotype"/>
          <w:i/>
          <w:sz w:val="22"/>
          <w:szCs w:val="22"/>
        </w:rPr>
        <w:t>o de su representante y, en su caso, del tercero interesado, así como la dirección o medio que señale para recibir notificaciones;</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III. </w:t>
      </w:r>
      <w:r w:rsidRPr="00BC2F53">
        <w:rPr>
          <w:rFonts w:ascii="Palatino Linotype" w:hAnsi="Palatino Linotype"/>
          <w:i/>
          <w:sz w:val="22"/>
          <w:szCs w:val="22"/>
        </w:rPr>
        <w:t xml:space="preserve">El número de folio de </w:t>
      </w:r>
      <w:r w:rsidRPr="00BC2F53">
        <w:rPr>
          <w:rFonts w:ascii="Palatino Linotype" w:hAnsi="Palatino Linotype" w:cs="Arial"/>
          <w:i/>
          <w:color w:val="222222"/>
          <w:sz w:val="22"/>
          <w:szCs w:val="22"/>
          <w:lang w:eastAsia="es-MX"/>
        </w:rPr>
        <w:t>respuesta</w:t>
      </w:r>
      <w:r w:rsidRPr="00BC2F53">
        <w:rPr>
          <w:rFonts w:ascii="Palatino Linotype" w:hAnsi="Palatino Linotype"/>
          <w:i/>
          <w:sz w:val="22"/>
          <w:szCs w:val="22"/>
        </w:rPr>
        <w:t xml:space="preserve"> de la solicitud de acceso;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IV. </w:t>
      </w:r>
      <w:r w:rsidRPr="00BC2F53">
        <w:rPr>
          <w:rFonts w:ascii="Palatino Linotype" w:hAnsi="Palatino Linotype"/>
          <w:i/>
          <w:sz w:val="22"/>
          <w:szCs w:val="22"/>
        </w:rPr>
        <w:t xml:space="preserve">La fecha en que fue </w:t>
      </w:r>
      <w:r w:rsidRPr="00BC2F53">
        <w:rPr>
          <w:rFonts w:ascii="Palatino Linotype" w:hAnsi="Palatino Linotype" w:cs="Arial"/>
          <w:i/>
          <w:color w:val="222222"/>
          <w:sz w:val="22"/>
          <w:szCs w:val="22"/>
          <w:lang w:eastAsia="es-MX"/>
        </w:rPr>
        <w:t>notificada</w:t>
      </w:r>
      <w:r w:rsidRPr="00BC2F53">
        <w:rPr>
          <w:rFonts w:ascii="Palatino Linotype" w:hAnsi="Palatino Linotype"/>
          <w:i/>
          <w:sz w:val="22"/>
          <w:szCs w:val="22"/>
        </w:rPr>
        <w:t xml:space="preserve"> la respuesta al solicitante o tuvo conocimiento del acto reclamado, o de presentación de la solicitud, en caso de falta de respuesta;</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V. </w:t>
      </w:r>
      <w:r w:rsidRPr="00BC2F53">
        <w:rPr>
          <w:rFonts w:ascii="Palatino Linotype" w:hAnsi="Palatino Linotype"/>
          <w:i/>
          <w:sz w:val="22"/>
          <w:szCs w:val="22"/>
        </w:rPr>
        <w:t xml:space="preserve">El acto que se </w:t>
      </w:r>
      <w:r w:rsidRPr="00BC2F53">
        <w:rPr>
          <w:rFonts w:ascii="Palatino Linotype" w:hAnsi="Palatino Linotype" w:cs="Arial"/>
          <w:i/>
          <w:color w:val="222222"/>
          <w:sz w:val="22"/>
          <w:szCs w:val="22"/>
          <w:lang w:eastAsia="es-MX"/>
        </w:rPr>
        <w:t>recurre</w:t>
      </w:r>
      <w:r w:rsidRPr="00BC2F53">
        <w:rPr>
          <w:rFonts w:ascii="Palatino Linotype" w:hAnsi="Palatino Linotype"/>
          <w:i/>
          <w:sz w:val="22"/>
          <w:szCs w:val="22"/>
        </w:rPr>
        <w:t>;</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VI. </w:t>
      </w:r>
      <w:r w:rsidRPr="00BC2F53">
        <w:rPr>
          <w:rFonts w:ascii="Palatino Linotype" w:hAnsi="Palatino Linotype"/>
          <w:i/>
          <w:sz w:val="22"/>
          <w:szCs w:val="22"/>
        </w:rPr>
        <w:t xml:space="preserve">Las razones o </w:t>
      </w:r>
      <w:r w:rsidRPr="00BC2F53">
        <w:rPr>
          <w:rFonts w:ascii="Palatino Linotype" w:hAnsi="Palatino Linotype" w:cs="Arial"/>
          <w:i/>
          <w:color w:val="222222"/>
          <w:sz w:val="22"/>
          <w:szCs w:val="22"/>
          <w:lang w:eastAsia="es-MX"/>
        </w:rPr>
        <w:t>motivos</w:t>
      </w:r>
      <w:r w:rsidRPr="00BC2F53">
        <w:rPr>
          <w:rFonts w:ascii="Palatino Linotype" w:hAnsi="Palatino Linotype"/>
          <w:i/>
          <w:sz w:val="22"/>
          <w:szCs w:val="22"/>
        </w:rPr>
        <w:t xml:space="preserve"> de inconformidad;</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b/>
          <w:i/>
          <w:sz w:val="22"/>
          <w:szCs w:val="22"/>
        </w:rPr>
      </w:pPr>
      <w:r w:rsidRPr="00BC2F53">
        <w:rPr>
          <w:rFonts w:ascii="Palatino Linotype" w:hAnsi="Palatino Linotype"/>
          <w:b/>
          <w:i/>
          <w:sz w:val="22"/>
          <w:szCs w:val="22"/>
        </w:rPr>
        <w:t xml:space="preserve">VII. </w:t>
      </w:r>
      <w:r w:rsidRPr="00BC2F53">
        <w:rPr>
          <w:rFonts w:ascii="Palatino Linotype" w:hAnsi="Palatino Linotype"/>
          <w:i/>
          <w:sz w:val="22"/>
          <w:szCs w:val="22"/>
        </w:rPr>
        <w:t>La copia de la respuesta que se impugna y, en su caso, de la notificación correspondiente, en el caso de respuesta de la solicitud; y</w:t>
      </w:r>
      <w:r w:rsidRPr="00BC2F53">
        <w:rPr>
          <w:rFonts w:ascii="Palatino Linotype" w:hAnsi="Palatino Linotype"/>
          <w:b/>
          <w:i/>
          <w:sz w:val="22"/>
          <w:szCs w:val="22"/>
        </w:rPr>
        <w:t xml:space="preserve"> </w:t>
      </w:r>
    </w:p>
    <w:p w:rsidR="00073C12" w:rsidRPr="00BC2F53" w:rsidRDefault="00073C12" w:rsidP="00073C12">
      <w:pPr>
        <w:ind w:left="851" w:right="902"/>
        <w:jc w:val="both"/>
        <w:rPr>
          <w:rFonts w:ascii="Palatino Linotype" w:hAnsi="Palatino Linotype"/>
          <w:i/>
          <w:sz w:val="22"/>
          <w:szCs w:val="22"/>
        </w:rPr>
      </w:pPr>
      <w:r w:rsidRPr="00BC2F53">
        <w:rPr>
          <w:rFonts w:ascii="Palatino Linotype" w:hAnsi="Palatino Linotype"/>
          <w:b/>
          <w:i/>
          <w:sz w:val="22"/>
          <w:szCs w:val="22"/>
        </w:rPr>
        <w:t xml:space="preserve">VIII. </w:t>
      </w:r>
      <w:r w:rsidRPr="00BC2F53">
        <w:rPr>
          <w:rFonts w:ascii="Palatino Linotype" w:hAnsi="Palatino Linotype"/>
          <w:i/>
          <w:sz w:val="22"/>
          <w:szCs w:val="22"/>
        </w:rPr>
        <w:t xml:space="preserve">Firma del recurrente, en su caso, cuando se presente por escrito, requisito sin el cual se dará trámite al recurso. </w:t>
      </w:r>
    </w:p>
    <w:p w:rsidR="00073C12" w:rsidRPr="00BC2F53" w:rsidRDefault="00073C12" w:rsidP="00073C12">
      <w:pPr>
        <w:ind w:left="851" w:right="902"/>
        <w:jc w:val="both"/>
        <w:rPr>
          <w:rFonts w:ascii="Palatino Linotype" w:hAnsi="Palatino Linotype"/>
          <w:i/>
          <w:sz w:val="22"/>
          <w:szCs w:val="22"/>
        </w:rPr>
      </w:pPr>
      <w:r w:rsidRPr="00BC2F53">
        <w:rPr>
          <w:rFonts w:ascii="Palatino Linotype" w:hAnsi="Palatino Linotype"/>
          <w:i/>
          <w:sz w:val="22"/>
          <w:szCs w:val="22"/>
        </w:rPr>
        <w:t xml:space="preserve">Adicionalmente, se podrán anexar las pruebas y demás elementos que considere procedentes someter a juicio del Instituto. </w:t>
      </w:r>
    </w:p>
    <w:p w:rsidR="00073C12" w:rsidRPr="00BC2F53" w:rsidRDefault="00073C12" w:rsidP="00073C12">
      <w:pPr>
        <w:ind w:left="851" w:right="902"/>
        <w:jc w:val="both"/>
        <w:rPr>
          <w:rFonts w:ascii="Palatino Linotype" w:hAnsi="Palatino Linotype"/>
          <w:i/>
          <w:sz w:val="22"/>
          <w:szCs w:val="22"/>
        </w:rPr>
      </w:pPr>
      <w:r w:rsidRPr="00BC2F53">
        <w:rPr>
          <w:rFonts w:ascii="Palatino Linotype" w:hAnsi="Palatino Linotype"/>
          <w:i/>
          <w:sz w:val="22"/>
          <w:szCs w:val="22"/>
        </w:rPr>
        <w:lastRenderedPageBreak/>
        <w:t xml:space="preserve">En ningún caso será necesario que el particular ratifique el recurso de revisión interpuesto. </w:t>
      </w:r>
    </w:p>
    <w:p w:rsidR="00073C12" w:rsidRPr="00BC2F53" w:rsidRDefault="00073C12" w:rsidP="00073C12">
      <w:pPr>
        <w:ind w:left="851" w:right="902"/>
        <w:jc w:val="both"/>
        <w:rPr>
          <w:rFonts w:ascii="Palatino Linotype" w:hAnsi="Palatino Linotype"/>
          <w:i/>
          <w:sz w:val="22"/>
          <w:szCs w:val="22"/>
        </w:rPr>
      </w:pPr>
      <w:r w:rsidRPr="00BC2F53">
        <w:rPr>
          <w:rFonts w:ascii="Palatino Linotype" w:hAnsi="Palatino Linotype"/>
          <w:b/>
          <w:i/>
          <w:sz w:val="22"/>
          <w:szCs w:val="22"/>
        </w:rPr>
        <w:t xml:space="preserve">En caso de </w:t>
      </w:r>
      <w:r w:rsidRPr="00BC2F53">
        <w:rPr>
          <w:rFonts w:ascii="Palatino Linotype" w:hAnsi="Palatino Linotype" w:cs="Arial"/>
          <w:b/>
          <w:i/>
          <w:color w:val="222222"/>
          <w:sz w:val="22"/>
          <w:szCs w:val="22"/>
          <w:lang w:eastAsia="es-MX"/>
        </w:rPr>
        <w:t>que</w:t>
      </w:r>
      <w:r w:rsidRPr="00BC2F53">
        <w:rPr>
          <w:rFonts w:ascii="Palatino Linotype" w:hAnsi="Palatino Linotype"/>
          <w:b/>
          <w:i/>
          <w:sz w:val="22"/>
          <w:szCs w:val="22"/>
        </w:rPr>
        <w:t xml:space="preserve"> el recurso se interponga de manera electrónica no será indispensable que contengan los requisitos establecidos en las fracciones II</w:t>
      </w:r>
      <w:r w:rsidRPr="00BC2F53">
        <w:rPr>
          <w:rFonts w:ascii="Palatino Linotype" w:hAnsi="Palatino Linotype"/>
          <w:i/>
          <w:sz w:val="22"/>
          <w:szCs w:val="22"/>
        </w:rPr>
        <w:t xml:space="preserve">, IV, VII y VIII. </w:t>
      </w:r>
    </w:p>
    <w:p w:rsidR="00073C12" w:rsidRPr="00BC2F53" w:rsidRDefault="00073C12" w:rsidP="00073C12">
      <w:pPr>
        <w:ind w:left="851" w:right="902"/>
        <w:jc w:val="both"/>
        <w:rPr>
          <w:rFonts w:ascii="Palatino Linotype" w:hAnsi="Palatino Linotype"/>
          <w:sz w:val="22"/>
          <w:szCs w:val="22"/>
        </w:rPr>
      </w:pPr>
      <w:r w:rsidRPr="00BC2F53">
        <w:rPr>
          <w:rFonts w:ascii="Palatino Linotype" w:hAnsi="Palatino Linotype"/>
          <w:sz w:val="22"/>
          <w:szCs w:val="22"/>
        </w:rPr>
        <w:t>(Énfasis añadido)</w:t>
      </w:r>
    </w:p>
    <w:p w:rsidR="00073C12" w:rsidRPr="00BC2F53" w:rsidRDefault="00073C12" w:rsidP="00073C12">
      <w:pPr>
        <w:spacing w:before="100" w:beforeAutospacing="1" w:after="100" w:afterAutospacing="1" w:line="360" w:lineRule="auto"/>
        <w:jc w:val="both"/>
        <w:rPr>
          <w:rFonts w:ascii="Palatino Linotype" w:hAnsi="Palatino Linotype"/>
        </w:rPr>
      </w:pPr>
      <w:r w:rsidRPr="00BC2F53">
        <w:rPr>
          <w:rFonts w:ascii="Palatino Linotype" w:hAnsi="Palatino Linotype"/>
        </w:rPr>
        <w:t xml:space="preserve">En principio, de una interpretación del artículo transcrito se observa que los requisitos que </w:t>
      </w:r>
      <w:r w:rsidRPr="00BC2F53">
        <w:rPr>
          <w:rFonts w:ascii="Palatino Linotype" w:hAnsi="Palatino Linotype" w:cs="Arial"/>
        </w:rPr>
        <w:t>deberán</w:t>
      </w:r>
      <w:r w:rsidRPr="00BC2F53">
        <w:rPr>
          <w:rFonts w:ascii="Palatino Linotype" w:hAnsi="Palatino Linotype"/>
        </w:rPr>
        <w:t xml:space="preserve"> </w:t>
      </w:r>
      <w:r w:rsidRPr="00BC2F53">
        <w:rPr>
          <w:rFonts w:ascii="Palatino Linotype" w:hAnsi="Palatino Linotype" w:cs="Arial"/>
        </w:rPr>
        <w:t>contener</w:t>
      </w:r>
      <w:r w:rsidRPr="00BC2F53">
        <w:rPr>
          <w:rFonts w:ascii="Palatino Linotype" w:hAnsi="Palatino Linotype"/>
        </w:rPr>
        <w:t xml:space="preserve"> los recursos de revisión; sobre el particular, de la revisión del expediente electrónico del </w:t>
      </w:r>
      <w:r w:rsidRPr="00BC2F53">
        <w:rPr>
          <w:rFonts w:ascii="Palatino Linotype" w:hAnsi="Palatino Linotype"/>
          <w:b/>
        </w:rPr>
        <w:t>SAIMEX</w:t>
      </w:r>
      <w:r w:rsidRPr="00BC2F53">
        <w:rPr>
          <w:rFonts w:ascii="Palatino Linotype" w:hAnsi="Palatino Linotype"/>
        </w:rPr>
        <w:t xml:space="preserve"> se desprende que la parte solicitante y ahora </w:t>
      </w:r>
      <w:r w:rsidRPr="00BC2F53">
        <w:rPr>
          <w:rFonts w:ascii="Palatino Linotype" w:hAnsi="Palatino Linotype"/>
          <w:b/>
        </w:rPr>
        <w:t>RECURRENTE</w:t>
      </w:r>
      <w:r w:rsidRPr="00BC2F53">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BC2F53">
        <w:rPr>
          <w:rFonts w:ascii="Palatino Linotype" w:hAnsi="Palatino Linotype" w:cs="Arial"/>
        </w:rPr>
        <w:t>no</w:t>
      </w:r>
      <w:r w:rsidRPr="00BC2F53">
        <w:rPr>
          <w:rFonts w:ascii="Palatino Linotype" w:hAnsi="Palatino Linotype"/>
        </w:rPr>
        <w:t xml:space="preserve"> se colmen los requisitos establecidos en el citado artículo 180 de la Ley de Transparencia.</w:t>
      </w:r>
    </w:p>
    <w:p w:rsidR="00073C12" w:rsidRPr="00BC2F53" w:rsidRDefault="00073C12" w:rsidP="00073C12">
      <w:pPr>
        <w:spacing w:before="200" w:after="200" w:line="360" w:lineRule="auto"/>
        <w:jc w:val="both"/>
        <w:rPr>
          <w:rFonts w:ascii="Palatino Linotype" w:hAnsi="Palatino Linotype" w:cs="Arial"/>
          <w:color w:val="000000"/>
        </w:rPr>
      </w:pPr>
      <w:r w:rsidRPr="00BC2F53">
        <w:rPr>
          <w:rFonts w:ascii="Palatino Linotype" w:hAnsi="Palatino Linotype"/>
        </w:rPr>
        <w:t xml:space="preserve">Empero lo anterior, debe destacarse que el artículo 15 de </w:t>
      </w:r>
      <w:r w:rsidRPr="00BC2F53">
        <w:rPr>
          <w:rFonts w:ascii="Palatino Linotype" w:hAnsi="Palatino Linotype" w:cs="Arial"/>
          <w:lang w:eastAsia="es-MX"/>
        </w:rPr>
        <w:t xml:space="preserve">Ley de Transparencia y Acceso a la </w:t>
      </w:r>
      <w:r w:rsidRPr="00BC2F53">
        <w:rPr>
          <w:rFonts w:ascii="Palatino Linotype" w:hAnsi="Palatino Linotype" w:cs="Arial"/>
        </w:rPr>
        <w:t>Información</w:t>
      </w:r>
      <w:r w:rsidRPr="00BC2F53">
        <w:rPr>
          <w:rFonts w:ascii="Palatino Linotype" w:hAnsi="Palatino Linotype" w:cs="Arial"/>
          <w:lang w:eastAsia="es-MX"/>
        </w:rPr>
        <w:t xml:space="preserve"> Pública del Estado de México y Municipios </w:t>
      </w:r>
      <w:r w:rsidRPr="00BC2F53">
        <w:rPr>
          <w:rFonts w:ascii="Palatino Linotype" w:hAnsi="Palatino Linotype" w:cs="Arial"/>
          <w:iCs/>
        </w:rPr>
        <w:t xml:space="preserve">prevé que, </w:t>
      </w:r>
      <w:r w:rsidRPr="00BC2F53">
        <w:rPr>
          <w:rFonts w:ascii="Palatino Linotype" w:hAnsi="Palatino Linotype"/>
        </w:rPr>
        <w:t xml:space="preserve">toda persona tendrá acceso a la información </w:t>
      </w:r>
      <w:r w:rsidRPr="00BC2F53">
        <w:rPr>
          <w:rFonts w:ascii="Palatino Linotype" w:hAnsi="Palatino Linotype" w:cs="Arial"/>
          <w:color w:val="000000"/>
        </w:rPr>
        <w:t xml:space="preserve">sin necesidad de acreditar interés alguno o justificar su utilización, de lo que se infiere que para el </w:t>
      </w:r>
      <w:r w:rsidRPr="00BC2F53">
        <w:rPr>
          <w:rFonts w:ascii="Palatino Linotype" w:hAnsi="Palatino Linotype"/>
        </w:rPr>
        <w:t>ejercicio</w:t>
      </w:r>
      <w:r w:rsidRPr="00BC2F53">
        <w:rPr>
          <w:rFonts w:ascii="Palatino Linotype" w:hAnsi="Palatino Linotype" w:cs="Arial"/>
          <w:color w:val="000000"/>
        </w:rPr>
        <w:t xml:space="preserve"> del derecho de acceso a la información pública, </w:t>
      </w:r>
      <w:r w:rsidRPr="00BC2F53">
        <w:rPr>
          <w:rFonts w:ascii="Palatino Linotype" w:hAnsi="Palatino Linotype" w:cs="Arial"/>
          <w:b/>
          <w:color w:val="000000"/>
        </w:rPr>
        <w:t xml:space="preserve">el nombre no es un requisito </w:t>
      </w:r>
      <w:r w:rsidRPr="00BC2F53">
        <w:rPr>
          <w:rFonts w:ascii="Palatino Linotype" w:hAnsi="Palatino Linotype" w:cs="Arial"/>
          <w:b/>
          <w:i/>
          <w:color w:val="000000"/>
        </w:rPr>
        <w:t>sine qua non</w:t>
      </w:r>
      <w:r w:rsidRPr="00BC2F53">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t xml:space="preserve">Correlativo a ello, cabe mencionar que los artículos 6, Apartado A, fracciones I, III, V y VI de la </w:t>
      </w:r>
      <w:r w:rsidRPr="00BC2F53">
        <w:rPr>
          <w:rFonts w:ascii="Palatino Linotype" w:hAnsi="Palatino Linotype" w:cs="Arial"/>
        </w:rPr>
        <w:t>Constitución</w:t>
      </w:r>
      <w:r w:rsidRPr="00BC2F53">
        <w:rPr>
          <w:rFonts w:ascii="Palatino Linotype" w:hAnsi="Palatino Linotype"/>
        </w:rPr>
        <w:t xml:space="preserve"> Política de los Estados Unidos Mexicanos y 5 párrafos vigésimo</w:t>
      </w:r>
      <w:r w:rsidR="00537D65">
        <w:rPr>
          <w:rFonts w:ascii="Palatino Linotype" w:hAnsi="Palatino Linotype"/>
        </w:rPr>
        <w:t xml:space="preserve"> segundo</w:t>
      </w:r>
      <w:r w:rsidRPr="00BC2F53">
        <w:rPr>
          <w:rFonts w:ascii="Palatino Linotype" w:hAnsi="Palatino Linotype"/>
        </w:rPr>
        <w:t xml:space="preserve">, vigésimo </w:t>
      </w:r>
      <w:r w:rsidR="00537D65">
        <w:rPr>
          <w:rFonts w:ascii="Palatino Linotype" w:hAnsi="Palatino Linotype"/>
        </w:rPr>
        <w:t xml:space="preserve">tercero </w:t>
      </w:r>
      <w:r w:rsidRPr="00BC2F53">
        <w:rPr>
          <w:rFonts w:ascii="Palatino Linotype" w:hAnsi="Palatino Linotype"/>
        </w:rPr>
        <w:t>y vigésimo</w:t>
      </w:r>
      <w:r w:rsidR="00537D65">
        <w:rPr>
          <w:rFonts w:ascii="Palatino Linotype" w:hAnsi="Palatino Linotype"/>
        </w:rPr>
        <w:t xml:space="preserve"> cuarto,</w:t>
      </w:r>
      <w:r w:rsidRPr="00BC2F53">
        <w:rPr>
          <w:rFonts w:ascii="Palatino Linotype" w:hAnsi="Palatino Linotype"/>
        </w:rPr>
        <w:t xml:space="preserve"> fracciones I y III de la Constitución </w:t>
      </w:r>
      <w:r w:rsidRPr="00BC2F53">
        <w:rPr>
          <w:rFonts w:ascii="Palatino Linotype" w:hAnsi="Palatino Linotype"/>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73C12" w:rsidRPr="00BC2F53" w:rsidRDefault="00073C12" w:rsidP="00073C12">
      <w:pPr>
        <w:spacing w:before="120" w:after="120"/>
        <w:ind w:left="851" w:right="899"/>
        <w:jc w:val="center"/>
        <w:rPr>
          <w:rFonts w:ascii="Palatino Linotype" w:hAnsi="Palatino Linotype" w:cs="Arial"/>
          <w:b/>
          <w:i/>
          <w:sz w:val="22"/>
          <w:szCs w:val="22"/>
        </w:rPr>
      </w:pPr>
      <w:r w:rsidRPr="00BC2F53">
        <w:rPr>
          <w:rFonts w:ascii="Palatino Linotype" w:hAnsi="Palatino Linotype" w:cs="Arial"/>
          <w:b/>
          <w:i/>
          <w:sz w:val="22"/>
          <w:szCs w:val="22"/>
        </w:rPr>
        <w:t>Constitución Política de los Estados Unidos Mexicanos</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r w:rsidRPr="00BC2F53">
        <w:rPr>
          <w:rFonts w:ascii="Palatino Linotype" w:hAnsi="Palatino Linotype" w:cs="Arial"/>
          <w:b/>
          <w:i/>
          <w:sz w:val="22"/>
          <w:szCs w:val="22"/>
        </w:rPr>
        <w:t>Artículo 6o.</w:t>
      </w:r>
      <w:r w:rsidRPr="00BC2F5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C2F53">
        <w:rPr>
          <w:rFonts w:ascii="Palatino Linotype" w:hAnsi="Palatino Linotype" w:cs="Arial"/>
          <w:b/>
          <w:i/>
          <w:sz w:val="22"/>
          <w:szCs w:val="22"/>
        </w:rPr>
        <w:t>El derecho a la información será garantizado por el Estado.</w:t>
      </w:r>
      <w:r w:rsidRPr="00BC2F53">
        <w:rPr>
          <w:rFonts w:ascii="Palatino Linotype" w:hAnsi="Palatino Linotype" w:cs="Arial"/>
          <w:i/>
          <w:sz w:val="22"/>
          <w:szCs w:val="22"/>
        </w:rPr>
        <w:t xml:space="preserve"> </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b/>
          <w:i/>
          <w:sz w:val="22"/>
          <w:szCs w:val="22"/>
        </w:rPr>
        <w:t xml:space="preserve">Toda persona tiene </w:t>
      </w:r>
      <w:r w:rsidRPr="00BC2F53">
        <w:rPr>
          <w:rFonts w:ascii="Palatino Linotype" w:hAnsi="Palatino Linotype"/>
          <w:b/>
          <w:i/>
          <w:sz w:val="22"/>
          <w:szCs w:val="22"/>
        </w:rPr>
        <w:t>derecho</w:t>
      </w:r>
      <w:r w:rsidRPr="00BC2F53">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C2F53">
        <w:rPr>
          <w:rFonts w:ascii="Palatino Linotype" w:hAnsi="Palatino Linotype" w:cs="Arial"/>
          <w:i/>
          <w:sz w:val="22"/>
          <w:szCs w:val="22"/>
        </w:rPr>
        <w:t>.</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 xml:space="preserve">Para efectos de lo </w:t>
      </w:r>
      <w:r w:rsidRPr="00BC2F53">
        <w:rPr>
          <w:rFonts w:ascii="Palatino Linotype" w:hAnsi="Palatino Linotype"/>
          <w:i/>
          <w:sz w:val="22"/>
          <w:szCs w:val="22"/>
        </w:rPr>
        <w:t>dispuesto</w:t>
      </w:r>
      <w:r w:rsidRPr="00BC2F53">
        <w:rPr>
          <w:rFonts w:ascii="Palatino Linotype" w:hAnsi="Palatino Linotype" w:cs="Arial"/>
          <w:i/>
          <w:sz w:val="22"/>
          <w:szCs w:val="22"/>
        </w:rPr>
        <w:t xml:space="preserve"> en el presente artículo se observará lo siguiente:</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b/>
          <w:i/>
          <w:sz w:val="22"/>
          <w:szCs w:val="22"/>
        </w:rPr>
        <w:t>A.</w:t>
      </w:r>
      <w:r w:rsidRPr="00BC2F5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C2F53">
        <w:rPr>
          <w:rFonts w:ascii="Palatino Linotype" w:hAnsi="Palatino Linotype" w:cs="Arial"/>
          <w:i/>
          <w:sz w:val="22"/>
          <w:szCs w:val="22"/>
        </w:rPr>
        <w:t>.”</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t>La ley establecerá aquella información que se considere reservada o confidencial.</w:t>
      </w:r>
    </w:p>
    <w:p w:rsidR="00073C12" w:rsidRPr="00BC2F53" w:rsidRDefault="00073C12" w:rsidP="00073C12">
      <w:pPr>
        <w:spacing w:before="120" w:after="120"/>
        <w:ind w:left="851" w:right="899"/>
        <w:jc w:val="center"/>
        <w:rPr>
          <w:rFonts w:ascii="Palatino Linotype" w:hAnsi="Palatino Linotype" w:cs="Arial"/>
          <w:b/>
          <w:i/>
          <w:sz w:val="22"/>
          <w:szCs w:val="22"/>
        </w:rPr>
      </w:pPr>
    </w:p>
    <w:p w:rsidR="00073C12" w:rsidRPr="00BC2F53" w:rsidRDefault="00073C12" w:rsidP="00073C12">
      <w:pPr>
        <w:spacing w:before="120" w:after="120"/>
        <w:ind w:left="851" w:right="899"/>
        <w:jc w:val="center"/>
        <w:rPr>
          <w:rFonts w:ascii="Palatino Linotype" w:hAnsi="Palatino Linotype" w:cs="Arial"/>
          <w:b/>
          <w:i/>
          <w:sz w:val="22"/>
          <w:szCs w:val="22"/>
        </w:rPr>
      </w:pPr>
      <w:r w:rsidRPr="00BC2F53">
        <w:rPr>
          <w:rFonts w:ascii="Palatino Linotype" w:hAnsi="Palatino Linotype" w:cs="Arial"/>
          <w:b/>
          <w:i/>
          <w:sz w:val="22"/>
          <w:szCs w:val="22"/>
        </w:rPr>
        <w:t>Constitución Política del Estado Libre y Soberano de México</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r w:rsidRPr="00BC2F53">
        <w:rPr>
          <w:rFonts w:ascii="Palatino Linotype" w:hAnsi="Palatino Linotype" w:cs="Arial"/>
          <w:b/>
          <w:i/>
          <w:sz w:val="22"/>
          <w:szCs w:val="22"/>
        </w:rPr>
        <w:t xml:space="preserve">Artículo 5. </w:t>
      </w:r>
      <w:r w:rsidRPr="00BC2F53">
        <w:rPr>
          <w:rFonts w:ascii="Palatino Linotype" w:hAnsi="Palatino Linotype" w:cs="Arial"/>
          <w:i/>
          <w:sz w:val="22"/>
          <w:szCs w:val="22"/>
        </w:rPr>
        <w:t xml:space="preserve">… </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i/>
          <w:sz w:val="22"/>
          <w:szCs w:val="22"/>
        </w:rPr>
        <w:t>…</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b/>
          <w:i/>
          <w:sz w:val="22"/>
          <w:szCs w:val="22"/>
        </w:rPr>
        <w:t>El derecho a la información será garantizado por el Estado</w:t>
      </w:r>
      <w:r w:rsidRPr="00BC2F53">
        <w:rPr>
          <w:rFonts w:ascii="Palatino Linotype" w:hAnsi="Palatino Linotype"/>
          <w:i/>
          <w:sz w:val="22"/>
          <w:szCs w:val="22"/>
        </w:rPr>
        <w:t>. La ley establecerá las previsiones que permitan asegurar la protección, el respeto y la difusión de este derecho.</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i/>
          <w:sz w:val="22"/>
          <w:szCs w:val="22"/>
        </w:rPr>
        <w:t>Este derecho se regirá por los principios y bases siguientes:</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C2F5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C2F53">
        <w:rPr>
          <w:rFonts w:ascii="Palatino Linotype" w:hAnsi="Palatino Linotype" w:cs="Arial"/>
          <w:i/>
          <w:sz w:val="22"/>
          <w:szCs w:val="22"/>
        </w:rPr>
        <w:t>determinará</w:t>
      </w:r>
      <w:r w:rsidRPr="00BC2F53">
        <w:rPr>
          <w:rFonts w:ascii="Palatino Linotype" w:hAnsi="Palatino Linotype"/>
          <w:i/>
          <w:sz w:val="22"/>
          <w:szCs w:val="22"/>
        </w:rPr>
        <w:t xml:space="preserve"> los supuestos específicos bajo los cuales procederá la declaración de inexistencia de la información.</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i/>
          <w:sz w:val="22"/>
          <w:szCs w:val="22"/>
        </w:rPr>
        <w:lastRenderedPageBreak/>
        <w:t>…</w:t>
      </w:r>
    </w:p>
    <w:p w:rsidR="00073C12" w:rsidRPr="00BC2F53" w:rsidRDefault="00073C12" w:rsidP="00073C12">
      <w:pPr>
        <w:spacing w:before="120" w:after="120"/>
        <w:ind w:left="851" w:right="899"/>
        <w:jc w:val="both"/>
        <w:rPr>
          <w:rFonts w:ascii="Palatino Linotype" w:hAnsi="Palatino Linotype"/>
          <w:i/>
          <w:sz w:val="22"/>
          <w:szCs w:val="22"/>
        </w:rPr>
      </w:pPr>
      <w:r w:rsidRPr="00BC2F5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C2F53">
        <w:rPr>
          <w:rFonts w:ascii="Palatino Linotype" w:hAnsi="Palatino Linotype"/>
          <w:i/>
          <w:sz w:val="22"/>
          <w:szCs w:val="22"/>
        </w:rPr>
        <w:t>”</w:t>
      </w:r>
    </w:p>
    <w:p w:rsidR="00073C12" w:rsidRPr="00BC2F53" w:rsidRDefault="00073C12" w:rsidP="00073C12">
      <w:pPr>
        <w:spacing w:before="120" w:after="120"/>
        <w:ind w:left="851" w:right="899"/>
        <w:jc w:val="both"/>
        <w:rPr>
          <w:rFonts w:ascii="Palatino Linotype" w:hAnsi="Palatino Linotype"/>
          <w:sz w:val="22"/>
          <w:szCs w:val="22"/>
        </w:rPr>
      </w:pPr>
      <w:r w:rsidRPr="00BC2F53">
        <w:rPr>
          <w:rFonts w:ascii="Palatino Linotype" w:hAnsi="Palatino Linotype"/>
          <w:sz w:val="22"/>
          <w:szCs w:val="22"/>
        </w:rPr>
        <w:t>(Énfasis añadido)</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t xml:space="preserve">Por otra parte, del </w:t>
      </w:r>
      <w:r w:rsidRPr="00BC2F53">
        <w:rPr>
          <w:rFonts w:ascii="Palatino Linotype" w:hAnsi="Palatino Linotype" w:cs="Arial"/>
        </w:rPr>
        <w:t>contenido</w:t>
      </w:r>
      <w:r w:rsidRPr="00BC2F53">
        <w:rPr>
          <w:rFonts w:ascii="Palatino Linotype" w:hAnsi="Palatino Linotype"/>
        </w:rPr>
        <w:t xml:space="preserve"> del artículo 1 de la Constitución Política de los Estados Unidos Mexicanos, se destaca lo siguiente:</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w:t>
      </w:r>
      <w:r w:rsidRPr="00BC2F53">
        <w:rPr>
          <w:rFonts w:ascii="Palatino Linotype" w:hAnsi="Palatino Linotype" w:cs="Arial"/>
          <w:b/>
          <w:i/>
          <w:sz w:val="22"/>
          <w:szCs w:val="22"/>
        </w:rPr>
        <w:t>Artículo 1o</w:t>
      </w:r>
      <w:r w:rsidRPr="00BC2F5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73C12" w:rsidRPr="00BC2F53" w:rsidRDefault="00073C12" w:rsidP="00073C12">
      <w:pPr>
        <w:spacing w:before="120" w:after="120"/>
        <w:ind w:left="851" w:right="899"/>
        <w:jc w:val="both"/>
        <w:rPr>
          <w:rFonts w:ascii="Palatino Linotype" w:hAnsi="Palatino Linotype" w:cs="Arial"/>
          <w:b/>
          <w:i/>
          <w:sz w:val="22"/>
          <w:szCs w:val="22"/>
        </w:rPr>
      </w:pPr>
      <w:r w:rsidRPr="00BC2F53">
        <w:rPr>
          <w:rFonts w:ascii="Palatino Linotype" w:hAnsi="Palatino Linotype" w:cs="Arial"/>
          <w:b/>
          <w:i/>
          <w:sz w:val="22"/>
          <w:szCs w:val="22"/>
        </w:rPr>
        <w:t>Las normas relativas a los derechos humanos se interpretarán</w:t>
      </w:r>
      <w:r w:rsidRPr="00BC2F53">
        <w:rPr>
          <w:rFonts w:ascii="Palatino Linotype" w:hAnsi="Palatino Linotype" w:cs="Arial"/>
          <w:i/>
          <w:sz w:val="22"/>
          <w:szCs w:val="22"/>
        </w:rPr>
        <w:t xml:space="preserve"> de conformidad con esta Constitución y con los tratados internacionales de la </w:t>
      </w:r>
      <w:r w:rsidRPr="00BC2F53">
        <w:rPr>
          <w:rFonts w:ascii="Palatino Linotype" w:hAnsi="Palatino Linotype" w:cs="Arial"/>
          <w:b/>
          <w:i/>
          <w:sz w:val="22"/>
          <w:szCs w:val="22"/>
        </w:rPr>
        <w:t>materia favoreciendo en todo tiempo a las personas la protección más amplia.</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C2F53">
        <w:rPr>
          <w:rFonts w:ascii="Palatino Linotype" w:hAnsi="Palatino Linotype" w:cs="Arial"/>
          <w:i/>
          <w:sz w:val="22"/>
          <w:szCs w:val="22"/>
        </w:rPr>
        <w:t>. En consecuencia, el Estado deberá prevenir, investigar, sancionar y reparar las violaciones a los derechos humanos, en los términos que establezca la ley.”</w:t>
      </w:r>
    </w:p>
    <w:p w:rsidR="00073C12" w:rsidRPr="00BC2F53" w:rsidRDefault="00073C12" w:rsidP="00073C12">
      <w:pPr>
        <w:spacing w:before="120" w:after="120"/>
        <w:ind w:left="851" w:right="899"/>
        <w:jc w:val="both"/>
        <w:rPr>
          <w:rFonts w:ascii="Palatino Linotype" w:hAnsi="Palatino Linotype"/>
          <w:sz w:val="22"/>
          <w:szCs w:val="22"/>
        </w:rPr>
      </w:pPr>
      <w:r w:rsidRPr="00BC2F53">
        <w:rPr>
          <w:rFonts w:ascii="Palatino Linotype" w:hAnsi="Palatino Linotype"/>
          <w:sz w:val="22"/>
          <w:szCs w:val="22"/>
        </w:rPr>
        <w:t>(Énfasis añadido)</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C2F53">
        <w:rPr>
          <w:rFonts w:ascii="Palatino Linotype" w:hAnsi="Palatino Linotype" w:cs="Arial"/>
        </w:rPr>
        <w:t>alguno</w:t>
      </w:r>
      <w:r w:rsidRPr="00BC2F53">
        <w:rPr>
          <w:rFonts w:ascii="Palatino Linotype" w:hAnsi="Palatino Linotype"/>
        </w:rPr>
        <w:t xml:space="preserve"> o justificar su utilización, deberá tener acceso a la información pública, es decir, dicho </w:t>
      </w:r>
      <w:r w:rsidRPr="00BC2F53">
        <w:rPr>
          <w:rFonts w:ascii="Palatino Linotype" w:hAnsi="Palatino Linotype" w:cs="Arial"/>
        </w:rPr>
        <w:t>derecho</w:t>
      </w:r>
      <w:r w:rsidRPr="00BC2F5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lastRenderedPageBreak/>
        <w:t xml:space="preserve">Robustece lo anterior, el Criterio 6/2014 del entonces </w:t>
      </w:r>
      <w:r w:rsidRPr="00BC2F53">
        <w:rPr>
          <w:rFonts w:ascii="Palatino Linotype" w:hAnsi="Palatino Linotype"/>
          <w:szCs w:val="20"/>
        </w:rPr>
        <w:t xml:space="preserve">Instituto Federal de Acceso a la Información y </w:t>
      </w:r>
      <w:r w:rsidRPr="00BC2F53">
        <w:rPr>
          <w:rFonts w:ascii="Palatino Linotype" w:hAnsi="Palatino Linotype" w:cs="Arial"/>
        </w:rPr>
        <w:t>Protección</w:t>
      </w:r>
      <w:r w:rsidRPr="00BC2F53">
        <w:rPr>
          <w:rFonts w:ascii="Palatino Linotype" w:hAnsi="Palatino Linotype"/>
          <w:szCs w:val="20"/>
        </w:rPr>
        <w:t xml:space="preserve"> de Datos (IFAI) hoy Instituto Nacional de Transparencia, Acceso a la Información y Protección de Datos Personales (INAI)</w:t>
      </w:r>
      <w:r w:rsidRPr="00BC2F53">
        <w:rPr>
          <w:rFonts w:ascii="Palatino Linotype" w:hAnsi="Palatino Linotype"/>
        </w:rPr>
        <w:t>, el cual se reproduce para una mayor referencia:</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sz w:val="22"/>
          <w:szCs w:val="22"/>
        </w:rPr>
        <w:t>“</w:t>
      </w:r>
      <w:r w:rsidRPr="00BC2F5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C2F5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Resoluciones</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b/>
          <w:i/>
          <w:sz w:val="22"/>
          <w:szCs w:val="22"/>
        </w:rPr>
        <w:t>• RDA 5275/13</w:t>
      </w:r>
      <w:r w:rsidRPr="00BC2F53">
        <w:rPr>
          <w:rFonts w:ascii="Palatino Linotype" w:hAnsi="Palatino Linotype" w:cs="Arial"/>
          <w:i/>
          <w:sz w:val="22"/>
          <w:szCs w:val="22"/>
        </w:rPr>
        <w:t>. Interpuesto en contra de la Secretaría de la Defensa Nacional. Comisionado Ponente Ángel Trinidad Zaldívar.</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 xml:space="preserve">• </w:t>
      </w:r>
      <w:r w:rsidRPr="00BC2F53">
        <w:rPr>
          <w:rFonts w:ascii="Palatino Linotype" w:hAnsi="Palatino Linotype" w:cs="Arial"/>
          <w:b/>
          <w:i/>
          <w:sz w:val="22"/>
          <w:szCs w:val="22"/>
        </w:rPr>
        <w:t>RDA 2937/13</w:t>
      </w:r>
      <w:r w:rsidRPr="00BC2F53">
        <w:rPr>
          <w:rFonts w:ascii="Palatino Linotype" w:hAnsi="Palatino Linotype" w:cs="Arial"/>
          <w:i/>
          <w:sz w:val="22"/>
          <w:szCs w:val="22"/>
        </w:rPr>
        <w:t xml:space="preserve">. Interpuesto en contra de LICONSA, S.A. de C.V. Comisionado. Ponente Gerardo </w:t>
      </w:r>
      <w:proofErr w:type="spellStart"/>
      <w:r w:rsidRPr="00BC2F53">
        <w:rPr>
          <w:rFonts w:ascii="Palatino Linotype" w:hAnsi="Palatino Linotype" w:cs="Arial"/>
          <w:i/>
          <w:sz w:val="22"/>
          <w:szCs w:val="22"/>
        </w:rPr>
        <w:t>Laveaga</w:t>
      </w:r>
      <w:proofErr w:type="spellEnd"/>
      <w:r w:rsidRPr="00BC2F53">
        <w:rPr>
          <w:rFonts w:ascii="Palatino Linotype" w:hAnsi="Palatino Linotype" w:cs="Arial"/>
          <w:i/>
          <w:sz w:val="22"/>
          <w:szCs w:val="22"/>
        </w:rPr>
        <w:t xml:space="preserve"> Rendón.</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 xml:space="preserve">• </w:t>
      </w:r>
      <w:r w:rsidRPr="00BC2F53">
        <w:rPr>
          <w:rFonts w:ascii="Palatino Linotype" w:hAnsi="Palatino Linotype" w:cs="Arial"/>
          <w:b/>
          <w:i/>
          <w:sz w:val="22"/>
          <w:szCs w:val="22"/>
        </w:rPr>
        <w:t>RDA 3609/12</w:t>
      </w:r>
      <w:r w:rsidRPr="00BC2F53">
        <w:rPr>
          <w:rFonts w:ascii="Palatino Linotype" w:hAnsi="Palatino Linotype" w:cs="Arial"/>
          <w:i/>
          <w:sz w:val="22"/>
          <w:szCs w:val="22"/>
        </w:rPr>
        <w:t xml:space="preserve">. Interpuesto en contra de la Secretaría de Educación Pública. Comisionada Ponente Sigrid </w:t>
      </w:r>
      <w:proofErr w:type="spellStart"/>
      <w:r w:rsidRPr="00BC2F53">
        <w:rPr>
          <w:rFonts w:ascii="Palatino Linotype" w:hAnsi="Palatino Linotype" w:cs="Arial"/>
          <w:i/>
          <w:sz w:val="22"/>
          <w:szCs w:val="22"/>
        </w:rPr>
        <w:t>Arzt</w:t>
      </w:r>
      <w:proofErr w:type="spellEnd"/>
      <w:r w:rsidRPr="00BC2F53">
        <w:rPr>
          <w:rFonts w:ascii="Palatino Linotype" w:hAnsi="Palatino Linotype" w:cs="Arial"/>
          <w:i/>
          <w:sz w:val="22"/>
          <w:szCs w:val="22"/>
        </w:rPr>
        <w:t xml:space="preserve"> Colunga.</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 xml:space="preserve">• </w:t>
      </w:r>
      <w:r w:rsidRPr="00BC2F53">
        <w:rPr>
          <w:rFonts w:ascii="Palatino Linotype" w:hAnsi="Palatino Linotype" w:cs="Arial"/>
          <w:b/>
          <w:i/>
          <w:sz w:val="22"/>
          <w:szCs w:val="22"/>
        </w:rPr>
        <w:t>RDA 3361/12</w:t>
      </w:r>
      <w:r w:rsidRPr="00BC2F53">
        <w:rPr>
          <w:rFonts w:ascii="Palatino Linotype" w:hAnsi="Palatino Linotype" w:cs="Arial"/>
          <w:i/>
          <w:sz w:val="22"/>
          <w:szCs w:val="22"/>
        </w:rPr>
        <w:t>. Interpuesto en contra del Servicio de Administración Tributaria. Comisionada Ponente María Elena Pérez-Jaén Zermeño.</w:t>
      </w:r>
    </w:p>
    <w:p w:rsidR="00073C12" w:rsidRPr="00BC2F53" w:rsidRDefault="00073C12" w:rsidP="00073C12">
      <w:pPr>
        <w:spacing w:before="120" w:after="120"/>
        <w:ind w:left="851" w:right="899"/>
        <w:jc w:val="both"/>
        <w:rPr>
          <w:rFonts w:ascii="Palatino Linotype" w:hAnsi="Palatino Linotype" w:cs="Arial"/>
          <w:i/>
          <w:sz w:val="22"/>
          <w:szCs w:val="22"/>
        </w:rPr>
      </w:pPr>
      <w:r w:rsidRPr="00BC2F53">
        <w:rPr>
          <w:rFonts w:ascii="Palatino Linotype" w:hAnsi="Palatino Linotype" w:cs="Arial"/>
          <w:i/>
          <w:sz w:val="22"/>
          <w:szCs w:val="22"/>
        </w:rPr>
        <w:t xml:space="preserve">• </w:t>
      </w:r>
      <w:r w:rsidRPr="00BC2F53">
        <w:rPr>
          <w:rFonts w:ascii="Palatino Linotype" w:hAnsi="Palatino Linotype" w:cs="Arial"/>
          <w:b/>
          <w:i/>
          <w:sz w:val="22"/>
          <w:szCs w:val="22"/>
        </w:rPr>
        <w:t>RDA 0563/12</w:t>
      </w:r>
      <w:r w:rsidRPr="00BC2F53">
        <w:rPr>
          <w:rFonts w:ascii="Palatino Linotype" w:hAnsi="Palatino Linotype" w:cs="Arial"/>
          <w:i/>
          <w:sz w:val="22"/>
          <w:szCs w:val="22"/>
        </w:rPr>
        <w:t xml:space="preserve">. Interpuesto en contra de la Secretaría de la Función Pública. Comisionada Ponente Jacqueline </w:t>
      </w:r>
      <w:proofErr w:type="spellStart"/>
      <w:r w:rsidRPr="00BC2F53">
        <w:rPr>
          <w:rFonts w:ascii="Palatino Linotype" w:hAnsi="Palatino Linotype" w:cs="Arial"/>
          <w:i/>
          <w:sz w:val="22"/>
          <w:szCs w:val="22"/>
        </w:rPr>
        <w:t>Peschard</w:t>
      </w:r>
      <w:proofErr w:type="spellEnd"/>
      <w:r w:rsidRPr="00BC2F53">
        <w:rPr>
          <w:rFonts w:ascii="Palatino Linotype" w:hAnsi="Palatino Linotype" w:cs="Arial"/>
          <w:i/>
          <w:sz w:val="22"/>
          <w:szCs w:val="22"/>
        </w:rPr>
        <w:t xml:space="preserve"> Mariscal.” (SIC)</w:t>
      </w:r>
    </w:p>
    <w:p w:rsidR="00073C12" w:rsidRPr="00BC2F53" w:rsidRDefault="00073C12" w:rsidP="00073C12">
      <w:pPr>
        <w:spacing w:before="100" w:beforeAutospacing="1" w:after="100" w:afterAutospacing="1" w:line="360" w:lineRule="auto"/>
        <w:jc w:val="both"/>
        <w:rPr>
          <w:rFonts w:ascii="Palatino Linotype" w:hAnsi="Palatino Linotype"/>
        </w:rPr>
      </w:pPr>
      <w:r w:rsidRPr="00BC2F53">
        <w:rPr>
          <w:rFonts w:ascii="Palatino Linotype" w:hAnsi="Palatino Linotype"/>
        </w:rPr>
        <w:t xml:space="preserve">En ese orden de ideas, se estima que el requerimiento relativo al nombre como presupuesto de procedibilidad, </w:t>
      </w:r>
      <w:r w:rsidRPr="00BC2F53">
        <w:rPr>
          <w:rFonts w:ascii="Palatino Linotype" w:hAnsi="Palatino Linotype" w:cs="Arial"/>
        </w:rPr>
        <w:t>podría</w:t>
      </w:r>
      <w:r w:rsidRPr="00BC2F53">
        <w:rPr>
          <w:rFonts w:ascii="Palatino Linotype" w:hAnsi="Palatino Linotype"/>
        </w:rPr>
        <w:t xml:space="preserve"> limitar el ejercicio del derecho de acceso a la información pública, debido a que, el hecho de solicitar la identificación del hoy </w:t>
      </w:r>
      <w:r w:rsidRPr="00BC2F53">
        <w:rPr>
          <w:rFonts w:ascii="Palatino Linotype" w:hAnsi="Palatino Linotype" w:cs="Arial"/>
          <w:b/>
        </w:rPr>
        <w:t>RECURRENTE</w:t>
      </w:r>
      <w:r w:rsidRPr="00BC2F53">
        <w:rPr>
          <w:rFonts w:ascii="Palatino Linotype" w:hAnsi="Palatino Linotype"/>
        </w:rPr>
        <w:t xml:space="preserve"> a través de dicho dato personal, en ciertos extremos se equipara a una </w:t>
      </w:r>
      <w:r w:rsidRPr="00BC2F53">
        <w:rPr>
          <w:rFonts w:ascii="Palatino Linotype" w:hAnsi="Palatino Linotype"/>
        </w:rPr>
        <w:lastRenderedPageBreak/>
        <w:t xml:space="preserve">exigencia acerca de su interés o justificación de su utilización, lo que materialmente haría nugatorio un </w:t>
      </w:r>
      <w:r w:rsidRPr="00BC2F53">
        <w:rPr>
          <w:rFonts w:ascii="Palatino Linotype" w:hAnsi="Palatino Linotype"/>
          <w:szCs w:val="20"/>
        </w:rPr>
        <w:t>derecho</w:t>
      </w:r>
      <w:r w:rsidRPr="00BC2F53">
        <w:rPr>
          <w:rFonts w:ascii="Palatino Linotype" w:hAnsi="Palatino Linotype"/>
        </w:rPr>
        <w:t xml:space="preserve"> fundamental.</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C2F53">
        <w:rPr>
          <w:rFonts w:ascii="Palatino Linotype" w:hAnsi="Palatino Linotype" w:cs="Arial"/>
        </w:rPr>
        <w:t>Constitución</w:t>
      </w:r>
      <w:r w:rsidRPr="00BC2F53">
        <w:rPr>
          <w:rFonts w:ascii="Palatino Linotype" w:hAnsi="Palatino Linotype"/>
        </w:rPr>
        <w:t xml:space="preserve"> Federal, como la Constitución Política del Estado </w:t>
      </w:r>
      <w:r w:rsidRPr="00BC2F53">
        <w:rPr>
          <w:rFonts w:ascii="Palatino Linotype" w:hAnsi="Palatino Linotype"/>
          <w:szCs w:val="20"/>
        </w:rPr>
        <w:t>Libre</w:t>
      </w:r>
      <w:r w:rsidRPr="00BC2F53">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73C12" w:rsidRPr="00BC2F53" w:rsidRDefault="00073C12" w:rsidP="00073C12">
      <w:pPr>
        <w:spacing w:before="200" w:after="200" w:line="360" w:lineRule="auto"/>
        <w:jc w:val="both"/>
        <w:rPr>
          <w:rFonts w:ascii="Palatino Linotype" w:hAnsi="Palatino Linotype"/>
        </w:rPr>
      </w:pPr>
      <w:r w:rsidRPr="00BC2F53">
        <w:rPr>
          <w:rFonts w:ascii="Palatino Linotype" w:hAnsi="Palatino Linotype"/>
        </w:rPr>
        <w:t>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w:t>
      </w:r>
      <w:r w:rsidR="00537D65">
        <w:rPr>
          <w:rFonts w:ascii="Palatino Linotype" w:hAnsi="Palatino Linotype"/>
        </w:rPr>
        <w:t xml:space="preserve"> cuarto</w:t>
      </w:r>
      <w:r w:rsidRPr="00BC2F53">
        <w:rPr>
          <w:rFonts w:ascii="Palatino Linotype" w:hAnsi="Palatino Linotype"/>
        </w:rPr>
        <w:t xml:space="preserve"> de la Constitución Política del Estado Libre y Soberano de México, </w:t>
      </w:r>
      <w:r w:rsidRPr="00BC2F53">
        <w:rPr>
          <w:rFonts w:ascii="Palatino Linotype" w:hAnsi="Palatino Linotype"/>
          <w:szCs w:val="20"/>
        </w:rPr>
        <w:t>debido</w:t>
      </w:r>
      <w:r w:rsidRPr="00BC2F53">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C2F53">
        <w:rPr>
          <w:rFonts w:ascii="Palatino Linotype" w:hAnsi="Palatino Linotype" w:cs="Arial"/>
          <w:b/>
        </w:rPr>
        <w:t>EL RECURRENTE</w:t>
      </w:r>
      <w:r w:rsidRPr="00BC2F53">
        <w:rPr>
          <w:rFonts w:ascii="Palatino Linotype" w:hAnsi="Palatino Linotype"/>
        </w:rPr>
        <w:t>, es la misma persona que realizó la solicitud de acceso a la información pública que ahora se impugna.</w:t>
      </w:r>
    </w:p>
    <w:p w:rsidR="00073C12" w:rsidRPr="00BC2F53" w:rsidRDefault="00073C12" w:rsidP="00073C1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BC2F53">
        <w:rPr>
          <w:rFonts w:ascii="Palatino Linotype" w:hAnsi="Palatino Linotype"/>
        </w:rPr>
        <w:t xml:space="preserve">En adición a lo anterior, el propio artículo 180 en su último párrafo establece que cuando el recurso se interponga de </w:t>
      </w:r>
      <w:r w:rsidRPr="00BC2F53">
        <w:rPr>
          <w:rFonts w:ascii="Palatino Linotype" w:hAnsi="Palatino Linotype"/>
          <w:szCs w:val="20"/>
        </w:rPr>
        <w:t>manera</w:t>
      </w:r>
      <w:r w:rsidRPr="00BC2F53">
        <w:rPr>
          <w:rFonts w:ascii="Palatino Linotype" w:hAnsi="Palatino Linotype"/>
        </w:rPr>
        <w:t xml:space="preserve"> electrónica no será indispensable que contenga determinados requisitos, entre ellos, el nombre del hoy</w:t>
      </w:r>
      <w:r w:rsidRPr="00BC2F53">
        <w:rPr>
          <w:rFonts w:ascii="Palatino Linotype" w:hAnsi="Palatino Linotype" w:cs="Arial"/>
          <w:b/>
        </w:rPr>
        <w:t xml:space="preserve"> RECURRENTE</w:t>
      </w:r>
      <w:r w:rsidRPr="00BC2F53">
        <w:rPr>
          <w:rFonts w:ascii="Palatino Linotype" w:hAnsi="Palatino Linotype"/>
        </w:rPr>
        <w:t xml:space="preserve">, por </w:t>
      </w:r>
      <w:r w:rsidRPr="00BC2F53">
        <w:rPr>
          <w:rFonts w:ascii="Palatino Linotype" w:hAnsi="Palatino Linotype"/>
        </w:rPr>
        <w:lastRenderedPageBreak/>
        <w:t xml:space="preserve">lo que en el presente caso, al haber sido presentado el recurso de revisión vía </w:t>
      </w:r>
      <w:r w:rsidRPr="00BC2F53">
        <w:rPr>
          <w:rFonts w:ascii="Palatino Linotype" w:hAnsi="Palatino Linotype"/>
          <w:b/>
        </w:rPr>
        <w:t>SAIMEX</w:t>
      </w:r>
      <w:r w:rsidRPr="00BC2F53">
        <w:rPr>
          <w:rFonts w:ascii="Palatino Linotype" w:hAnsi="Palatino Linotype"/>
        </w:rPr>
        <w:t>, dicho requisito resulta innecesario.</w:t>
      </w:r>
    </w:p>
    <w:p w:rsidR="002E14E3" w:rsidRPr="00BC2F53" w:rsidRDefault="002E14E3" w:rsidP="002E14E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BC2F53">
        <w:rPr>
          <w:rFonts w:ascii="Palatino Linotype" w:hAnsi="Palatino Linotype" w:cs="Arial"/>
          <w:b/>
          <w:sz w:val="28"/>
          <w:szCs w:val="28"/>
        </w:rPr>
        <w:t>QUINTO</w:t>
      </w:r>
      <w:r w:rsidRPr="00BC2F53">
        <w:rPr>
          <w:rFonts w:ascii="Palatino Linotype" w:hAnsi="Palatino Linotype" w:cs="Arial"/>
        </w:rPr>
        <w:t xml:space="preserve">. </w:t>
      </w:r>
      <w:r w:rsidRPr="00BC2F53">
        <w:rPr>
          <w:rFonts w:ascii="Palatino Linotype" w:hAnsi="Palatino Linotype" w:cs="Arial"/>
          <w:b/>
        </w:rPr>
        <w:t>Análisis de las causales de sobreseimiento</w:t>
      </w:r>
      <w:r w:rsidRPr="00BC2F53">
        <w:rPr>
          <w:rFonts w:ascii="Palatino Linotype" w:hAnsi="Palatino Linotype" w:cs="Arial"/>
        </w:rPr>
        <w:t>. E</w:t>
      </w:r>
      <w:r w:rsidRPr="00BC2F53">
        <w:rPr>
          <w:rFonts w:ascii="Palatino Linotype" w:hAnsi="Palatino Linotype"/>
        </w:rPr>
        <w:t xml:space="preserve">ste Órgano Colegiado advierte que en el presente asunto se actualiza la causal de sobreseimiento prevista en la fracción III del artículo 192 de la </w:t>
      </w:r>
      <w:r w:rsidRPr="00BC2F53">
        <w:rPr>
          <w:rFonts w:ascii="Palatino Linotype" w:hAnsi="Palatino Linotype" w:cs="Arial"/>
        </w:rPr>
        <w:t>de la Ley de Transparencia y Acceso a la Información Pública del Estado de México y Municipios</w:t>
      </w:r>
      <w:r w:rsidRPr="00BC2F53">
        <w:rPr>
          <w:rFonts w:ascii="Palatino Linotype" w:hAnsi="Palatino Linotype"/>
        </w:rPr>
        <w:t xml:space="preserve"> que dispone lo siguiente:</w:t>
      </w:r>
    </w:p>
    <w:p w:rsidR="002E14E3" w:rsidRPr="00BC2F53" w:rsidRDefault="002E14E3" w:rsidP="002E14E3">
      <w:pPr>
        <w:ind w:left="851" w:right="899"/>
        <w:jc w:val="both"/>
        <w:rPr>
          <w:rFonts w:ascii="Palatino Linotype" w:hAnsi="Palatino Linotype" w:cs="Arial"/>
          <w:i/>
          <w:sz w:val="22"/>
          <w:szCs w:val="22"/>
        </w:rPr>
      </w:pPr>
      <w:r w:rsidRPr="00BC2F53">
        <w:rPr>
          <w:rFonts w:ascii="Palatino Linotype" w:hAnsi="Palatino Linotype" w:cs="Arial"/>
          <w:b/>
          <w:i/>
          <w:sz w:val="22"/>
          <w:szCs w:val="22"/>
        </w:rPr>
        <w:t>“Artículo 192.</w:t>
      </w:r>
      <w:r w:rsidRPr="00BC2F53">
        <w:rPr>
          <w:rFonts w:ascii="Palatino Linotype" w:hAnsi="Palatino Linotype" w:cs="Arial"/>
          <w:i/>
          <w:sz w:val="22"/>
          <w:szCs w:val="22"/>
        </w:rPr>
        <w:t xml:space="preserve"> El recurso será sobreseído, en todo o en parte, cuando una vez admitido, se actualicen alguno de los siguientes supuestos:</w:t>
      </w:r>
    </w:p>
    <w:p w:rsidR="002E14E3" w:rsidRPr="00BC2F53" w:rsidRDefault="002E14E3" w:rsidP="002E14E3">
      <w:pPr>
        <w:ind w:left="851" w:right="899"/>
        <w:jc w:val="both"/>
        <w:rPr>
          <w:rFonts w:ascii="Palatino Linotype" w:hAnsi="Palatino Linotype" w:cs="Arial"/>
          <w:i/>
          <w:sz w:val="22"/>
          <w:szCs w:val="22"/>
        </w:rPr>
      </w:pPr>
      <w:r w:rsidRPr="00BC2F53">
        <w:rPr>
          <w:rFonts w:ascii="Palatino Linotype" w:hAnsi="Palatino Linotype" w:cs="Arial"/>
          <w:i/>
          <w:sz w:val="22"/>
          <w:szCs w:val="22"/>
        </w:rPr>
        <w:t>…</w:t>
      </w:r>
    </w:p>
    <w:p w:rsidR="002E14E3" w:rsidRPr="00BC2F53" w:rsidRDefault="002E14E3" w:rsidP="002E14E3">
      <w:pPr>
        <w:ind w:left="851" w:right="899"/>
        <w:jc w:val="both"/>
        <w:rPr>
          <w:rFonts w:ascii="Palatino Linotype" w:hAnsi="Palatino Linotype" w:cs="Arial"/>
          <w:i/>
          <w:sz w:val="22"/>
          <w:szCs w:val="22"/>
        </w:rPr>
      </w:pPr>
      <w:r w:rsidRPr="00BC2F53">
        <w:rPr>
          <w:rFonts w:ascii="Palatino Linotype" w:hAnsi="Palatino Linotype" w:cs="Arial"/>
          <w:b/>
          <w:i/>
          <w:sz w:val="22"/>
          <w:szCs w:val="22"/>
        </w:rPr>
        <w:t>III. El sujeto obligado responsable del acto lo modifique o revoque de tal manera que el recurso de revisión quede sin materia</w:t>
      </w:r>
      <w:r w:rsidRPr="00BC2F53">
        <w:rPr>
          <w:rFonts w:ascii="Palatino Linotype" w:hAnsi="Palatino Linotype" w:cs="Arial"/>
          <w:i/>
          <w:sz w:val="22"/>
          <w:szCs w:val="22"/>
        </w:rPr>
        <w:t>;…”</w:t>
      </w:r>
    </w:p>
    <w:p w:rsidR="002E14E3" w:rsidRPr="00BC2F53" w:rsidRDefault="002E14E3" w:rsidP="002E14E3">
      <w:pPr>
        <w:ind w:left="851" w:right="899"/>
        <w:jc w:val="both"/>
        <w:rPr>
          <w:rFonts w:ascii="Palatino Linotype" w:hAnsi="Palatino Linotype" w:cs="Arial"/>
          <w:i/>
          <w:sz w:val="22"/>
          <w:szCs w:val="22"/>
        </w:rPr>
      </w:pPr>
      <w:r w:rsidRPr="00BC2F53">
        <w:rPr>
          <w:rFonts w:ascii="Palatino Linotype" w:hAnsi="Palatino Linotype" w:cs="Arial"/>
          <w:i/>
          <w:sz w:val="22"/>
          <w:szCs w:val="22"/>
        </w:rPr>
        <w:t>(Énfasis añadido)</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Luego, conforme a la transcripción que antecede conviene desglosar los elementos de la disposición enunciada:</w:t>
      </w:r>
    </w:p>
    <w:p w:rsidR="002E14E3" w:rsidRPr="00BC2F53" w:rsidRDefault="002E14E3" w:rsidP="002E14E3">
      <w:pPr>
        <w:spacing w:line="360" w:lineRule="auto"/>
        <w:ind w:left="993"/>
        <w:jc w:val="both"/>
        <w:rPr>
          <w:rFonts w:ascii="Palatino Linotype" w:hAnsi="Palatino Linotype" w:cs="Arial"/>
        </w:rPr>
      </w:pPr>
      <w:r w:rsidRPr="00BC2F53">
        <w:rPr>
          <w:rFonts w:ascii="Palatino Linotype" w:hAnsi="Palatino Linotype" w:cs="Arial"/>
        </w:rPr>
        <w:t xml:space="preserve">1.- El sujeto obligado responsable; </w:t>
      </w:r>
    </w:p>
    <w:p w:rsidR="002E14E3" w:rsidRPr="00BC2F53" w:rsidRDefault="002E14E3" w:rsidP="002E14E3">
      <w:pPr>
        <w:spacing w:line="360" w:lineRule="auto"/>
        <w:ind w:left="993"/>
        <w:jc w:val="both"/>
        <w:rPr>
          <w:rFonts w:ascii="Palatino Linotype" w:hAnsi="Palatino Linotype" w:cs="Arial"/>
        </w:rPr>
      </w:pPr>
      <w:r w:rsidRPr="00BC2F53">
        <w:rPr>
          <w:rFonts w:ascii="Palatino Linotype" w:hAnsi="Palatino Linotype" w:cs="Arial"/>
        </w:rPr>
        <w:t>2.- Acto;</w:t>
      </w:r>
    </w:p>
    <w:p w:rsidR="002E14E3" w:rsidRPr="00BC2F53" w:rsidRDefault="002E14E3" w:rsidP="002E14E3">
      <w:pPr>
        <w:spacing w:line="360" w:lineRule="auto"/>
        <w:ind w:left="993"/>
        <w:jc w:val="both"/>
        <w:rPr>
          <w:rFonts w:ascii="Palatino Linotype" w:hAnsi="Palatino Linotype" w:cs="Arial"/>
        </w:rPr>
      </w:pPr>
      <w:r w:rsidRPr="00BC2F53">
        <w:rPr>
          <w:rFonts w:ascii="Palatino Linotype" w:hAnsi="Palatino Linotype" w:cs="Arial"/>
        </w:rPr>
        <w:t>3.- Que se modifique o revoque; y</w:t>
      </w:r>
    </w:p>
    <w:p w:rsidR="002E14E3" w:rsidRPr="00BC2F53" w:rsidRDefault="002E14E3" w:rsidP="002E14E3">
      <w:pPr>
        <w:spacing w:line="360" w:lineRule="auto"/>
        <w:ind w:left="993"/>
        <w:jc w:val="both"/>
        <w:rPr>
          <w:rFonts w:ascii="Palatino Linotype" w:hAnsi="Palatino Linotype" w:cs="Arial"/>
        </w:rPr>
      </w:pPr>
      <w:r w:rsidRPr="00BC2F53">
        <w:rPr>
          <w:rFonts w:ascii="Palatino Linotype" w:hAnsi="Palatino Linotype" w:cs="Arial"/>
        </w:rPr>
        <w:t>4.- De tal manera que el medio de impugnación quede sin efecto o materia.</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El primer elemento normativo se actualiza ya que, </w:t>
      </w:r>
      <w:r w:rsidRPr="00BC2F53">
        <w:rPr>
          <w:rFonts w:ascii="Palatino Linotype" w:hAnsi="Palatino Linotype" w:cs="Arial"/>
          <w:b/>
        </w:rPr>
        <w:t xml:space="preserve">EL SUJETO OBLIGADO </w:t>
      </w:r>
      <w:r w:rsidRPr="00BC2F53">
        <w:rPr>
          <w:rFonts w:ascii="Palatino Linotype" w:hAnsi="Palatino Linotype" w:cs="Arial"/>
        </w:rPr>
        <w:t xml:space="preserve">responsable es el </w:t>
      </w:r>
      <w:r w:rsidRPr="00BC2F53">
        <w:rPr>
          <w:rFonts w:ascii="Palatino Linotype" w:hAnsi="Palatino Linotype" w:cs="Arial"/>
          <w:b/>
        </w:rPr>
        <w:t>Instituto Electoral del Estado de México.</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El segundo elemento normativo es la existencia de un acto, en el caso en concreto que nos ocupa, se acredita con la existencia de la respuesta del </w:t>
      </w:r>
      <w:r w:rsidRPr="00BC2F53">
        <w:rPr>
          <w:rFonts w:ascii="Palatino Linotype" w:hAnsi="Palatino Linotype" w:cs="Arial"/>
          <w:b/>
        </w:rPr>
        <w:t>SUJETO OBLIGADO</w:t>
      </w:r>
      <w:r w:rsidRPr="00BC2F53">
        <w:rPr>
          <w:rFonts w:ascii="Palatino Linotype" w:hAnsi="Palatino Linotype" w:cs="Arial"/>
        </w:rPr>
        <w:t>, la cual precisamente es la que se impugna; porque es la que, a decir del hoy</w:t>
      </w:r>
      <w:r w:rsidRPr="00BC2F53">
        <w:rPr>
          <w:rFonts w:ascii="Palatino Linotype" w:hAnsi="Palatino Linotype" w:cs="Arial"/>
          <w:b/>
        </w:rPr>
        <w:t xml:space="preserve"> RECURRENTE</w:t>
      </w:r>
      <w:r w:rsidRPr="00BC2F53">
        <w:rPr>
          <w:rFonts w:ascii="Palatino Linotype" w:hAnsi="Palatino Linotype" w:cs="Arial"/>
        </w:rPr>
        <w:t xml:space="preserve"> se le negó la información solicitada al clasificarla como reservada.</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lastRenderedPageBreak/>
        <w:t>Cabe destacar que la respuesta del</w:t>
      </w:r>
      <w:r w:rsidRPr="00BC2F53">
        <w:rPr>
          <w:rFonts w:ascii="Palatino Linotype" w:hAnsi="Palatino Linotype" w:cs="Arial"/>
          <w:b/>
        </w:rPr>
        <w:t xml:space="preserve"> SUJETO OBLIGADO</w:t>
      </w:r>
      <w:r w:rsidRPr="00BC2F53">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BC2F53">
        <w:rPr>
          <w:rFonts w:ascii="Palatino Linotype" w:hAnsi="Palatino Linotype" w:cs="Arial"/>
          <w:b/>
        </w:rPr>
        <w:t>SUJETO OBLIGADO</w:t>
      </w:r>
      <w:r w:rsidRPr="00BC2F53">
        <w:rPr>
          <w:rFonts w:ascii="Palatino Linotype" w:hAnsi="Palatino Linotype" w:cs="Arial"/>
        </w:rPr>
        <w:t xml:space="preserve"> se observa a través de sus actos que necesariamente ejecuta y con las que ejerce sus atribuciones legalmente conferidas. </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b/>
          <w:i/>
          <w:sz w:val="22"/>
          <w:szCs w:val="22"/>
        </w:rPr>
        <w:t>“Artículo 53</w:t>
      </w:r>
      <w:r w:rsidRPr="00BC2F53">
        <w:rPr>
          <w:rFonts w:ascii="Palatino Linotype" w:hAnsi="Palatino Linotype" w:cs="Arial"/>
          <w:i/>
          <w:sz w:val="22"/>
          <w:szCs w:val="22"/>
        </w:rPr>
        <w:t xml:space="preserve">. Las Unidades de Transparencia tendrán las siguientes funciones: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b/>
          <w:i/>
          <w:sz w:val="22"/>
          <w:szCs w:val="22"/>
        </w:rPr>
        <w:t>II. Recibir, tramitar y dar respuesta a las solicitudes de acceso a la información</w:t>
      </w:r>
      <w:r w:rsidRPr="00BC2F53">
        <w:rPr>
          <w:rFonts w:ascii="Palatino Linotype" w:hAnsi="Palatino Linotype" w:cs="Arial"/>
          <w:i/>
          <w:sz w:val="22"/>
          <w:szCs w:val="22"/>
        </w:rPr>
        <w:t xml:space="preserve">;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IV. Realizar, con efectividad, los trámites internos necesarios para la atención de las solicitudes de acceso a la información;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V. Entregar, en su caso, a los particulares la información solicitada;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VI. Efectuar las notificaciones a los solicitantes;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X. Presentar ante el Comité, el proyecto de clasificación de información;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XI. Promover e implementar políticas de transparencia proactiva procurando su accesibilidad;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XII. Fomentar la transparencia y accesibilidad al interior del sujeto obligado; </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2E14E3" w:rsidRPr="00BC2F53" w:rsidRDefault="002E14E3" w:rsidP="002E14E3">
      <w:pPr>
        <w:ind w:left="851" w:right="902"/>
        <w:jc w:val="both"/>
        <w:rPr>
          <w:rFonts w:ascii="Palatino Linotype" w:hAnsi="Palatino Linotype" w:cs="Arial"/>
          <w:b/>
          <w:i/>
          <w:sz w:val="22"/>
          <w:szCs w:val="22"/>
        </w:rPr>
      </w:pPr>
      <w:r w:rsidRPr="00BC2F53">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BC2F53">
        <w:rPr>
          <w:rFonts w:ascii="Palatino Linotype" w:hAnsi="Palatino Linotype" w:cs="Arial"/>
          <w:b/>
          <w:i/>
          <w:sz w:val="22"/>
          <w:szCs w:val="22"/>
        </w:rPr>
        <w:t>”</w:t>
      </w:r>
    </w:p>
    <w:p w:rsidR="002E14E3" w:rsidRPr="00BC2F53" w:rsidRDefault="002E14E3" w:rsidP="002E14E3">
      <w:pPr>
        <w:ind w:left="851" w:right="902"/>
        <w:jc w:val="both"/>
        <w:rPr>
          <w:rFonts w:ascii="Palatino Linotype" w:hAnsi="Palatino Linotype" w:cs="Arial"/>
          <w:i/>
          <w:sz w:val="22"/>
          <w:szCs w:val="22"/>
        </w:rPr>
      </w:pPr>
      <w:r w:rsidRPr="00BC2F53">
        <w:rPr>
          <w:rFonts w:ascii="Palatino Linotype" w:hAnsi="Palatino Linotype" w:cs="Arial"/>
          <w:i/>
          <w:sz w:val="22"/>
          <w:szCs w:val="22"/>
        </w:rPr>
        <w:t>(Énfasis añadido)</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Es decir, la impugnación del</w:t>
      </w:r>
      <w:r w:rsidRPr="00BC2F53">
        <w:rPr>
          <w:rFonts w:ascii="Palatino Linotype" w:hAnsi="Palatino Linotype" w:cs="Arial"/>
          <w:b/>
        </w:rPr>
        <w:t xml:space="preserve"> RECURRENTE</w:t>
      </w:r>
      <w:r w:rsidRPr="00BC2F53">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BC2F53">
        <w:rPr>
          <w:rFonts w:ascii="Palatino Linotype" w:hAnsi="Palatino Linotype" w:cs="Arial"/>
          <w:b/>
        </w:rPr>
        <w:t>EL SUJETO OBLIGADO</w:t>
      </w:r>
      <w:r w:rsidRPr="00BC2F53">
        <w:rPr>
          <w:rFonts w:ascii="Palatino Linotype" w:hAnsi="Palatino Linotype" w:cs="Arial"/>
        </w:rPr>
        <w:t>.</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C2F53">
        <w:rPr>
          <w:rFonts w:ascii="Palatino Linotype" w:hAnsi="Palatino Linotype" w:cs="Arial"/>
          <w:b/>
        </w:rPr>
        <w:t>la modifique o revoque</w:t>
      </w:r>
      <w:r w:rsidRPr="00BC2F53">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Por cuanto hace a la revocación, a diferencia de la modificación, ocurre cuando la dependencia o entidad responsable (</w:t>
      </w:r>
      <w:r w:rsidRPr="00BC2F53">
        <w:rPr>
          <w:rFonts w:ascii="Palatino Linotype" w:hAnsi="Palatino Linotype" w:cs="Arial"/>
          <w:b/>
        </w:rPr>
        <w:t>SUJETO OBLIGADO</w:t>
      </w:r>
      <w:r w:rsidRPr="00BC2F53">
        <w:rPr>
          <w:rFonts w:ascii="Palatino Linotype" w:hAnsi="Palatino Linotype" w:cs="Arial"/>
        </w:rPr>
        <w:t>) del acto o resolución impugnada, suprime, elimina o cancela la totalidad de su respuesta y emite otra en su lugar dejando sin efecto lo que en un principio respondió.</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lastRenderedPageBreak/>
        <w:t>En ese tenor, un acto impugnado queda sin efectos, aun cuando existiendo jurídicamente (esto es, que no se ha modificado, ni revocado) no genera ninguna consecuencia legal.</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En tanto que, un acto impugnado queda sin materia, cuando ha sido satisfecha la pretensión de lo pedido o exigido por </w:t>
      </w:r>
      <w:r w:rsidRPr="00BC2F53">
        <w:rPr>
          <w:rFonts w:ascii="Palatino Linotype" w:hAnsi="Palatino Linotype" w:cs="Arial"/>
          <w:b/>
        </w:rPr>
        <w:t xml:space="preserve">EL RECURRENTE </w:t>
      </w:r>
      <w:r w:rsidRPr="00BC2F53">
        <w:rPr>
          <w:rFonts w:ascii="Palatino Linotype" w:hAnsi="Palatino Linotype" w:cs="Arial"/>
        </w:rPr>
        <w:t xml:space="preserve">de manera que </w:t>
      </w:r>
      <w:r w:rsidRPr="00BC2F53">
        <w:rPr>
          <w:rFonts w:ascii="Palatino Linotype" w:hAnsi="Palatino Linotype" w:cs="Arial"/>
          <w:b/>
        </w:rPr>
        <w:t xml:space="preserve">EL SUJETO OBLIGADO </w:t>
      </w:r>
      <w:r w:rsidRPr="00BC2F53">
        <w:rPr>
          <w:rFonts w:ascii="Palatino Linotype" w:hAnsi="Palatino Linotype" w:cs="Arial"/>
        </w:rPr>
        <w:t xml:space="preserve">entrega una respuesta que, aunque sea posterior a los términos previstos en la Ley, y mediante ésta concede la información solicitada. </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BC2F53">
        <w:rPr>
          <w:rFonts w:ascii="Palatino Linotype" w:hAnsi="Palatino Linotype" w:cs="Arial"/>
          <w:b/>
        </w:rPr>
        <w:t>EL SUJETO OBLIGADO</w:t>
      </w:r>
      <w:r w:rsidRPr="00BC2F53">
        <w:rPr>
          <w:rFonts w:ascii="Palatino Linotype" w:hAnsi="Palatino Linotype" w:cs="Arial"/>
        </w:rPr>
        <w:t xml:space="preserve"> mediante un acto posterior a su respuesta, como lo fue el Informe Justificado, remitió la información que colma el derecho de acceso de la particular, con la cual dejó sin materia el presente recurso.</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A fin de corroborar lo anterior, es preciso recordar que </w:t>
      </w:r>
      <w:r w:rsidRPr="00BC2F53">
        <w:rPr>
          <w:rFonts w:ascii="Palatino Linotype" w:hAnsi="Palatino Linotype" w:cs="Arial"/>
          <w:b/>
        </w:rPr>
        <w:t xml:space="preserve">EL RECURRENTE </w:t>
      </w:r>
      <w:r w:rsidRPr="00BC2F53">
        <w:rPr>
          <w:rFonts w:ascii="Palatino Linotype" w:hAnsi="Palatino Linotype" w:cs="Arial"/>
        </w:rPr>
        <w:t xml:space="preserve">requirió del </w:t>
      </w:r>
      <w:r w:rsidRPr="00BC2F53">
        <w:rPr>
          <w:rFonts w:ascii="Palatino Linotype" w:hAnsi="Palatino Linotype" w:cs="Arial"/>
          <w:b/>
        </w:rPr>
        <w:t xml:space="preserve">SUJETO OBLIGADO </w:t>
      </w:r>
      <w:r w:rsidRPr="00BC2F53">
        <w:rPr>
          <w:rFonts w:ascii="Palatino Linotype" w:hAnsi="Palatino Linotype" w:cs="Arial"/>
        </w:rPr>
        <w:t xml:space="preserve">le proporcionará el primer informe de la auditoria al capítulo 1000 que realizó la Contraloría General del Instituto Electoral del Estado de México para el ejercicio de 2017 </w:t>
      </w:r>
    </w:p>
    <w:p w:rsidR="002E14E3" w:rsidRPr="00BC2F53" w:rsidRDefault="002E14E3" w:rsidP="002E14E3">
      <w:pPr>
        <w:spacing w:before="100" w:beforeAutospacing="1" w:after="100" w:afterAutospacing="1" w:line="360" w:lineRule="auto"/>
        <w:jc w:val="both"/>
        <w:rPr>
          <w:rFonts w:ascii="Palatino Linotype" w:hAnsi="Palatino Linotype" w:cs="Arial"/>
        </w:rPr>
      </w:pPr>
      <w:r w:rsidRPr="00BC2F53">
        <w:rPr>
          <w:rFonts w:ascii="Palatino Linotype" w:hAnsi="Palatino Linotype" w:cs="Arial"/>
        </w:rPr>
        <w:t xml:space="preserve">Bajo ese tenor, </w:t>
      </w:r>
      <w:r w:rsidRPr="00BC2F53">
        <w:rPr>
          <w:rFonts w:ascii="Palatino Linotype" w:hAnsi="Palatino Linotype" w:cs="Arial"/>
          <w:b/>
        </w:rPr>
        <w:t xml:space="preserve">EL SUJETO OBLIGADO </w:t>
      </w:r>
      <w:r w:rsidRPr="00BC2F53">
        <w:rPr>
          <w:rFonts w:ascii="Palatino Linotype" w:hAnsi="Palatino Linotype" w:cs="Arial"/>
        </w:rPr>
        <w:t xml:space="preserve">mediante la respuesta le señaló al particular que la información solicitada había sido clasificada como reservada por el Comité de Transparencia mediante Acuerdo número IEEM/CT/348/2018 motivo por el cual, no podía ser entregada al </w:t>
      </w:r>
      <w:r w:rsidRPr="00BC2F53">
        <w:rPr>
          <w:rFonts w:ascii="Palatino Linotype" w:hAnsi="Palatino Linotype" w:cs="Arial"/>
          <w:b/>
        </w:rPr>
        <w:t>RECURRENTE</w:t>
      </w:r>
      <w:r w:rsidRPr="00BC2F53">
        <w:rPr>
          <w:rFonts w:ascii="Palatino Linotype" w:hAnsi="Palatino Linotype" w:cs="Arial"/>
        </w:rPr>
        <w:t xml:space="preserve"> adjuntando el citado Acuerdo.</w:t>
      </w:r>
    </w:p>
    <w:p w:rsidR="002E14E3" w:rsidRPr="00BC2F53" w:rsidRDefault="002E14E3" w:rsidP="002E14E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C2F53">
        <w:rPr>
          <w:rFonts w:ascii="Palatino Linotype" w:hAnsi="Palatino Linotype" w:cs="Arial"/>
        </w:rPr>
        <w:t xml:space="preserve">Inconforme con la respuesta otorgada, </w:t>
      </w:r>
      <w:r w:rsidRPr="00BC2F53">
        <w:rPr>
          <w:rFonts w:ascii="Palatino Linotype" w:hAnsi="Palatino Linotype" w:cs="Arial"/>
          <w:b/>
        </w:rPr>
        <w:t>EL RECURRENTE</w:t>
      </w:r>
      <w:r w:rsidRPr="00BC2F53">
        <w:rPr>
          <w:rFonts w:ascii="Palatino Linotype" w:hAnsi="Palatino Linotype" w:cs="Arial"/>
        </w:rPr>
        <w:t xml:space="preserve"> interpuso el recurso de revisión que nos ocupa, en el que medularmente refirió que se le había negado la </w:t>
      </w:r>
      <w:r w:rsidRPr="00BC2F53">
        <w:rPr>
          <w:rFonts w:ascii="Palatino Linotype" w:hAnsi="Palatino Linotype" w:cs="Arial"/>
        </w:rPr>
        <w:lastRenderedPageBreak/>
        <w:t>información al clasificarla como reservada.</w:t>
      </w:r>
    </w:p>
    <w:p w:rsidR="002E14E3" w:rsidRPr="00BC2F53" w:rsidRDefault="002E14E3" w:rsidP="002E14E3">
      <w:pPr>
        <w:spacing w:before="100" w:beforeAutospacing="1" w:after="100" w:afterAutospacing="1" w:line="360" w:lineRule="auto"/>
        <w:jc w:val="both"/>
        <w:rPr>
          <w:rFonts w:ascii="Palatino Linotype" w:hAnsi="Palatino Linotype" w:cs="Arial"/>
          <w:lang w:eastAsia="es-MX"/>
        </w:rPr>
      </w:pPr>
      <w:r w:rsidRPr="00BC2F53">
        <w:rPr>
          <w:rFonts w:ascii="Palatino Linotype" w:hAnsi="Palatino Linotype" w:cs="Arial"/>
          <w:lang w:eastAsia="es-MX"/>
        </w:rPr>
        <w:t xml:space="preserve">En ese contexto, </w:t>
      </w:r>
      <w:r w:rsidRPr="00BC2F53">
        <w:rPr>
          <w:rFonts w:ascii="Palatino Linotype" w:hAnsi="Palatino Linotype" w:cs="Arial"/>
          <w:b/>
          <w:lang w:eastAsia="es-MX"/>
        </w:rPr>
        <w:t xml:space="preserve">EL RECURRENTE </w:t>
      </w:r>
      <w:r w:rsidRPr="00BC2F53">
        <w:rPr>
          <w:rFonts w:ascii="Palatino Linotype" w:hAnsi="Palatino Linotype" w:cs="Arial"/>
          <w:lang w:eastAsia="es-MX"/>
        </w:rPr>
        <w:t xml:space="preserve">fue omiso en realizar manifestaciones en torno al recurso de revisión objeto del presente estudio; mientras que por su parte </w:t>
      </w:r>
      <w:r w:rsidRPr="00BC2F53">
        <w:rPr>
          <w:rFonts w:ascii="Palatino Linotype" w:hAnsi="Palatino Linotype" w:cs="Arial"/>
          <w:b/>
          <w:lang w:eastAsia="es-MX"/>
        </w:rPr>
        <w:t xml:space="preserve">EL SUJETO OBLIGADO </w:t>
      </w:r>
      <w:r w:rsidRPr="00BC2F53">
        <w:rPr>
          <w:rFonts w:ascii="Palatino Linotype" w:hAnsi="Palatino Linotype" w:cs="Arial"/>
          <w:lang w:eastAsia="es-MX"/>
        </w:rPr>
        <w:t xml:space="preserve">rindió el Informe Justificado correspondiente, mediante el cual modificó su respuesta señalando lo siguiente </w:t>
      </w:r>
    </w:p>
    <w:p w:rsidR="002E14E3" w:rsidRPr="00BC2F53" w:rsidRDefault="002E14E3" w:rsidP="002E14E3">
      <w:pPr>
        <w:spacing w:before="100" w:beforeAutospacing="1" w:after="100" w:afterAutospacing="1" w:line="360" w:lineRule="auto"/>
        <w:jc w:val="center"/>
        <w:rPr>
          <w:rFonts w:ascii="Palatino Linotype" w:hAnsi="Palatino Linotype" w:cs="Arial"/>
          <w:lang w:eastAsia="es-MX"/>
        </w:rPr>
      </w:pPr>
      <w:r w:rsidRPr="00BC2F53">
        <w:rPr>
          <w:noProof/>
          <w:lang w:eastAsia="es-MX"/>
        </w:rPr>
        <mc:AlternateContent>
          <mc:Choice Requires="wps">
            <w:drawing>
              <wp:anchor distT="0" distB="0" distL="114300" distR="114300" simplePos="0" relativeHeight="251659264" behindDoc="0" locked="0" layoutInCell="1" allowOverlap="1" wp14:anchorId="20F3AFB1" wp14:editId="3FA7E966">
                <wp:simplePos x="0" y="0"/>
                <wp:positionH relativeFrom="margin">
                  <wp:posOffset>262890</wp:posOffset>
                </wp:positionH>
                <wp:positionV relativeFrom="paragraph">
                  <wp:posOffset>556260</wp:posOffset>
                </wp:positionV>
                <wp:extent cx="5276850" cy="424815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276850" cy="42481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2073E" id="Rectángulo 27" o:spid="_x0000_s1026" style="position:absolute;margin-left:20.7pt;margin-top:43.8pt;width:415.5pt;height:33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" filled="f" strokecolor="#1f4d78 [1604]" strokeweight="2.25pt">
                <w10:wrap anchorx="margin"/>
              </v:rect>
            </w:pict>
          </mc:Fallback>
        </mc:AlternateContent>
      </w:r>
      <w:r w:rsidRPr="00BC2F53">
        <w:rPr>
          <w:noProof/>
          <w:lang w:eastAsia="es-MX"/>
        </w:rPr>
        <w:drawing>
          <wp:inline distT="0" distB="0" distL="0" distR="0" wp14:anchorId="27B1CE90" wp14:editId="6B4E425A">
            <wp:extent cx="5488305" cy="4953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02" t="19503" r="30479" b="29051"/>
                    <a:stretch/>
                  </pic:blipFill>
                  <pic:spPr bwMode="auto">
                    <a:xfrm>
                      <a:off x="0" y="0"/>
                      <a:ext cx="5521572" cy="4983022"/>
                    </a:xfrm>
                    <a:prstGeom prst="rect">
                      <a:avLst/>
                    </a:prstGeom>
                    <a:ln>
                      <a:noFill/>
                    </a:ln>
                    <a:extLst>
                      <a:ext uri="{53640926-AAD7-44D8-BBD7-CCE9431645EC}">
                        <a14:shadowObscured xmlns:a14="http://schemas.microsoft.com/office/drawing/2010/main"/>
                      </a:ext>
                    </a:extLst>
                  </pic:spPr>
                </pic:pic>
              </a:graphicData>
            </a:graphic>
          </wp:inline>
        </w:drawing>
      </w:r>
    </w:p>
    <w:p w:rsidR="002E14E3" w:rsidRPr="00BC2F53" w:rsidRDefault="002E14E3" w:rsidP="002E14E3">
      <w:pPr>
        <w:spacing w:before="100" w:beforeAutospacing="1" w:after="100" w:afterAutospacing="1" w:line="360" w:lineRule="auto"/>
        <w:jc w:val="both"/>
        <w:rPr>
          <w:rFonts w:ascii="Palatino Linotype" w:hAnsi="Palatino Linotype" w:cs="Arial"/>
          <w:lang w:eastAsia="es-MX"/>
        </w:rPr>
      </w:pPr>
      <w:r w:rsidRPr="00BC2F53">
        <w:rPr>
          <w:rFonts w:ascii="Palatino Linotype" w:hAnsi="Palatino Linotype" w:cs="Arial"/>
          <w:lang w:eastAsia="es-MX"/>
        </w:rPr>
        <w:t>De lo anterior, personal de esta Ponencia Resolutora inspeccionó la liga electrónica referida en la que encontró lo siguiente:</w:t>
      </w:r>
    </w:p>
    <w:p w:rsidR="002E14E3" w:rsidRPr="00BC2F53" w:rsidRDefault="002E14E3" w:rsidP="002E14E3">
      <w:pPr>
        <w:spacing w:before="100" w:beforeAutospacing="1" w:after="100" w:afterAutospacing="1" w:line="360" w:lineRule="auto"/>
        <w:jc w:val="center"/>
        <w:rPr>
          <w:rFonts w:ascii="Palatino Linotype" w:hAnsi="Palatino Linotype" w:cs="Arial"/>
          <w:lang w:eastAsia="es-MX"/>
        </w:rPr>
      </w:pPr>
      <w:r w:rsidRPr="00BC2F53">
        <w:rPr>
          <w:noProof/>
          <w:lang w:eastAsia="es-MX"/>
        </w:rPr>
        <w:lastRenderedPageBreak/>
        <w:drawing>
          <wp:inline distT="0" distB="0" distL="0" distR="0" wp14:anchorId="345460F2" wp14:editId="2417ED45">
            <wp:extent cx="5474457" cy="34674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89" t="17853" r="29398" b="29778"/>
                    <a:stretch/>
                  </pic:blipFill>
                  <pic:spPr bwMode="auto">
                    <a:xfrm>
                      <a:off x="0" y="0"/>
                      <a:ext cx="5487943" cy="3475946"/>
                    </a:xfrm>
                    <a:prstGeom prst="rect">
                      <a:avLst/>
                    </a:prstGeom>
                    <a:ln>
                      <a:noFill/>
                    </a:ln>
                    <a:extLst>
                      <a:ext uri="{53640926-AAD7-44D8-BBD7-CCE9431645EC}">
                        <a14:shadowObscured xmlns:a14="http://schemas.microsoft.com/office/drawing/2010/main"/>
                      </a:ext>
                    </a:extLst>
                  </pic:spPr>
                </pic:pic>
              </a:graphicData>
            </a:graphic>
          </wp:inline>
        </w:drawing>
      </w:r>
    </w:p>
    <w:p w:rsidR="002E14E3" w:rsidRPr="00BC2F53" w:rsidRDefault="008E75E8" w:rsidP="002E14E3">
      <w:pPr>
        <w:spacing w:before="100" w:beforeAutospacing="1" w:after="100" w:afterAutospacing="1" w:line="360" w:lineRule="auto"/>
        <w:jc w:val="center"/>
        <w:rPr>
          <w:rFonts w:ascii="Palatino Linotype" w:hAnsi="Palatino Linotype" w:cs="Arial"/>
          <w:lang w:eastAsia="es-MX"/>
        </w:rPr>
      </w:pPr>
      <w:r w:rsidRPr="00BC2F53">
        <w:rPr>
          <w:noProof/>
          <w:lang w:eastAsia="es-MX"/>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3197860</wp:posOffset>
                </wp:positionV>
                <wp:extent cx="4688205" cy="692591"/>
                <wp:effectExtent l="0" t="0" r="17145" b="12700"/>
                <wp:wrapNone/>
                <wp:docPr id="26" name="Rectángulo 26"/>
                <wp:cNvGraphicFramePr/>
                <a:graphic xmlns:a="http://schemas.openxmlformats.org/drawingml/2006/main">
                  <a:graphicData uri="http://schemas.microsoft.com/office/word/2010/wordprocessingShape">
                    <wps:wsp>
                      <wps:cNvSpPr/>
                      <wps:spPr>
                        <a:xfrm>
                          <a:off x="0" y="0"/>
                          <a:ext cx="4688205" cy="69259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E6CEC" id="Rectángulo 26" o:spid="_x0000_s1026" style="position:absolute;margin-left:17.7pt;margin-top:251.8pt;width:369.15pt;height:54.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" filled="f" strokecolor="#1f4d78 [1604]" strokeweight="1.5pt"/>
            </w:pict>
          </mc:Fallback>
        </mc:AlternateContent>
      </w:r>
      <w:r w:rsidR="002E14E3" w:rsidRPr="00BC2F53">
        <w:rPr>
          <w:noProof/>
          <w:lang w:eastAsia="es-MX"/>
        </w:rPr>
        <w:drawing>
          <wp:inline distT="0" distB="0" distL="0" distR="0" wp14:anchorId="44F6433D" wp14:editId="367E4677">
            <wp:extent cx="5396191" cy="393509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221" t="14989" r="28640" b="19001"/>
                    <a:stretch/>
                  </pic:blipFill>
                  <pic:spPr bwMode="auto">
                    <a:xfrm>
                      <a:off x="0" y="0"/>
                      <a:ext cx="5412414" cy="3946925"/>
                    </a:xfrm>
                    <a:prstGeom prst="rect">
                      <a:avLst/>
                    </a:prstGeom>
                    <a:ln>
                      <a:noFill/>
                    </a:ln>
                    <a:extLst>
                      <a:ext uri="{53640926-AAD7-44D8-BBD7-CCE9431645EC}">
                        <a14:shadowObscured xmlns:a14="http://schemas.microsoft.com/office/drawing/2010/main"/>
                      </a:ext>
                    </a:extLst>
                  </pic:spPr>
                </pic:pic>
              </a:graphicData>
            </a:graphic>
          </wp:inline>
        </w:drawing>
      </w:r>
    </w:p>
    <w:p w:rsidR="002E14E3" w:rsidRPr="00BC2F53" w:rsidRDefault="002E14E3" w:rsidP="002E14E3">
      <w:pPr>
        <w:spacing w:before="100" w:beforeAutospacing="1" w:after="100" w:afterAutospacing="1" w:line="360" w:lineRule="auto"/>
        <w:jc w:val="center"/>
        <w:rPr>
          <w:rFonts w:ascii="Palatino Linotype" w:hAnsi="Palatino Linotype" w:cs="Arial"/>
          <w:lang w:eastAsia="es-MX"/>
        </w:rPr>
      </w:pPr>
      <w:r w:rsidRPr="00BC2F53">
        <w:rPr>
          <w:noProof/>
          <w:lang w:eastAsia="es-MX"/>
        </w:rPr>
        <w:lastRenderedPageBreak/>
        <w:drawing>
          <wp:inline distT="0" distB="0" distL="0" distR="0" wp14:anchorId="25620BC3" wp14:editId="3D6A0B16">
            <wp:extent cx="5477035" cy="23622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715" t="33177" r="28513" b="28600"/>
                    <a:stretch/>
                  </pic:blipFill>
                  <pic:spPr bwMode="auto">
                    <a:xfrm>
                      <a:off x="0" y="0"/>
                      <a:ext cx="5491482" cy="2368431"/>
                    </a:xfrm>
                    <a:prstGeom prst="rect">
                      <a:avLst/>
                    </a:prstGeom>
                    <a:ln>
                      <a:noFill/>
                    </a:ln>
                    <a:extLst>
                      <a:ext uri="{53640926-AAD7-44D8-BBD7-CCE9431645EC}">
                        <a14:shadowObscured xmlns:a14="http://schemas.microsoft.com/office/drawing/2010/main"/>
                      </a:ext>
                    </a:extLst>
                  </pic:spPr>
                </pic:pic>
              </a:graphicData>
            </a:graphic>
          </wp:inline>
        </w:drawing>
      </w:r>
    </w:p>
    <w:p w:rsidR="008E75E8" w:rsidRPr="00BC2F53" w:rsidRDefault="008E75E8" w:rsidP="002E14E3">
      <w:pPr>
        <w:spacing w:before="100" w:beforeAutospacing="1" w:after="100" w:afterAutospacing="1" w:line="360" w:lineRule="auto"/>
        <w:jc w:val="both"/>
        <w:rPr>
          <w:rFonts w:ascii="Palatino Linotype" w:hAnsi="Palatino Linotype" w:cs="Arial"/>
          <w:lang w:eastAsia="es-MX"/>
        </w:rPr>
      </w:pPr>
      <w:r w:rsidRPr="00BC2F53">
        <w:rPr>
          <w:rFonts w:ascii="Palatino Linotype" w:hAnsi="Palatino Linotype" w:cs="Arial"/>
          <w:lang w:eastAsia="es-MX"/>
        </w:rPr>
        <w:t xml:space="preserve">Así, de la inspección a los hipervínculos publicados en dicho portal se puede advertir que en el resaltado en las imágenes insertas se encontró el primer informe rendido por la Contraloría General del </w:t>
      </w:r>
      <w:r w:rsidRPr="00BC2F53">
        <w:rPr>
          <w:rFonts w:ascii="Palatino Linotype" w:hAnsi="Palatino Linotype" w:cs="Arial"/>
          <w:b/>
          <w:lang w:eastAsia="es-MX"/>
        </w:rPr>
        <w:t xml:space="preserve">SUJETO OBLIGADO </w:t>
      </w:r>
      <w:r w:rsidR="007A76FC" w:rsidRPr="00BC2F53">
        <w:rPr>
          <w:rFonts w:ascii="Palatino Linotype" w:hAnsi="Palatino Linotype" w:cs="Arial"/>
          <w:lang w:eastAsia="es-MX"/>
        </w:rPr>
        <w:t>de la auditoria al capítulo 1000 del ejercicio de 2017; tal y como se aprecia en su parte medular lo siguiente:</w:t>
      </w:r>
    </w:p>
    <w:p w:rsidR="007A76FC" w:rsidRPr="00BC2F53" w:rsidRDefault="007F0FD4" w:rsidP="007A76FC">
      <w:pPr>
        <w:spacing w:before="100" w:beforeAutospacing="1" w:after="100" w:afterAutospacing="1" w:line="360" w:lineRule="auto"/>
        <w:jc w:val="center"/>
        <w:rPr>
          <w:rFonts w:ascii="Palatino Linotype" w:hAnsi="Palatino Linotype" w:cs="Arial"/>
          <w:lang w:eastAsia="es-MX"/>
        </w:rPr>
      </w:pPr>
      <w:r w:rsidRPr="00BC2F53">
        <w:rPr>
          <w:noProof/>
          <w:lang w:eastAsia="es-MX"/>
        </w:rPr>
        <mc:AlternateContent>
          <mc:Choice Requires="wps">
            <w:drawing>
              <wp:anchor distT="0" distB="0" distL="114300" distR="114300" simplePos="0" relativeHeight="251662336" behindDoc="0" locked="0" layoutInCell="1" allowOverlap="1">
                <wp:simplePos x="0" y="0"/>
                <wp:positionH relativeFrom="column">
                  <wp:posOffset>1626851</wp:posOffset>
                </wp:positionH>
                <wp:positionV relativeFrom="paragraph">
                  <wp:posOffset>3181620</wp:posOffset>
                </wp:positionV>
                <wp:extent cx="2779414" cy="552262"/>
                <wp:effectExtent l="19050" t="19050" r="20955" b="19685"/>
                <wp:wrapNone/>
                <wp:docPr id="34" name="Rectángulo 34"/>
                <wp:cNvGraphicFramePr/>
                <a:graphic xmlns:a="http://schemas.openxmlformats.org/drawingml/2006/main">
                  <a:graphicData uri="http://schemas.microsoft.com/office/word/2010/wordprocessingShape">
                    <wps:wsp>
                      <wps:cNvSpPr/>
                      <wps:spPr>
                        <a:xfrm>
                          <a:off x="0" y="0"/>
                          <a:ext cx="2779414" cy="55226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0E598" id="Rectángulo 34" o:spid="_x0000_s1026" style="position:absolute;margin-left:128.1pt;margin-top:250.5pt;width:218.85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" filled="f" strokecolor="#1f4d78 [1604]" strokeweight="2.25pt"/>
            </w:pict>
          </mc:Fallback>
        </mc:AlternateContent>
      </w:r>
      <w:r w:rsidRPr="00BC2F53">
        <w:rPr>
          <w:noProof/>
          <w:lang w:eastAsia="es-MX"/>
        </w:rPr>
        <mc:AlternateContent>
          <mc:Choice Requires="wps">
            <w:drawing>
              <wp:anchor distT="0" distB="0" distL="114300" distR="114300" simplePos="0" relativeHeight="251661312" behindDoc="0" locked="0" layoutInCell="1" allowOverlap="1">
                <wp:simplePos x="0" y="0"/>
                <wp:positionH relativeFrom="column">
                  <wp:posOffset>286938</wp:posOffset>
                </wp:positionH>
                <wp:positionV relativeFrom="paragraph">
                  <wp:posOffset>21962</wp:posOffset>
                </wp:positionV>
                <wp:extent cx="5305300" cy="1729092"/>
                <wp:effectExtent l="19050" t="19050" r="10160" b="24130"/>
                <wp:wrapNone/>
                <wp:docPr id="33" name="Rectángulo 33"/>
                <wp:cNvGraphicFramePr/>
                <a:graphic xmlns:a="http://schemas.openxmlformats.org/drawingml/2006/main">
                  <a:graphicData uri="http://schemas.microsoft.com/office/word/2010/wordprocessingShape">
                    <wps:wsp>
                      <wps:cNvSpPr/>
                      <wps:spPr>
                        <a:xfrm>
                          <a:off x="0" y="0"/>
                          <a:ext cx="5305300" cy="172909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F080" id="Rectángulo 33" o:spid="_x0000_s1026" style="position:absolute;margin-left:22.6pt;margin-top:1.75pt;width:417.75pt;height:13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" filled="f" strokecolor="#1f4d78 [1604]" strokeweight="3pt"/>
            </w:pict>
          </mc:Fallback>
        </mc:AlternateContent>
      </w:r>
      <w:r w:rsidR="007A76FC" w:rsidRPr="00BC2F53">
        <w:rPr>
          <w:noProof/>
          <w:lang w:eastAsia="es-MX"/>
        </w:rPr>
        <w:drawing>
          <wp:inline distT="0" distB="0" distL="0" distR="0" wp14:anchorId="2DC17DE7" wp14:editId="656102E5">
            <wp:extent cx="5487647" cy="368476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13" t="32513" r="25047" b="2746"/>
                    <a:stretch/>
                  </pic:blipFill>
                  <pic:spPr bwMode="auto">
                    <a:xfrm>
                      <a:off x="0" y="0"/>
                      <a:ext cx="5517736" cy="3704965"/>
                    </a:xfrm>
                    <a:prstGeom prst="rect">
                      <a:avLst/>
                    </a:prstGeom>
                    <a:ln>
                      <a:noFill/>
                    </a:ln>
                    <a:extLst>
                      <a:ext uri="{53640926-AAD7-44D8-BBD7-CCE9431645EC}">
                        <a14:shadowObscured xmlns:a14="http://schemas.microsoft.com/office/drawing/2010/main"/>
                      </a:ext>
                    </a:extLst>
                  </pic:spPr>
                </pic:pic>
              </a:graphicData>
            </a:graphic>
          </wp:inline>
        </w:drawing>
      </w:r>
    </w:p>
    <w:p w:rsidR="00446A43" w:rsidRPr="00BC2F53" w:rsidRDefault="00446A43" w:rsidP="007F0FD4">
      <w:pPr>
        <w:spacing w:before="100" w:beforeAutospacing="1" w:after="100" w:afterAutospacing="1" w:line="360" w:lineRule="auto"/>
        <w:jc w:val="both"/>
        <w:rPr>
          <w:rFonts w:ascii="Palatino Linotype" w:eastAsia="Calibri" w:hAnsi="Palatino Linotype" w:cs="Bookman Old Style,Bold"/>
          <w:bCs/>
          <w:lang w:eastAsia="en-US"/>
        </w:rPr>
      </w:pPr>
      <w:r w:rsidRPr="00BC2F53">
        <w:rPr>
          <w:rFonts w:ascii="Palatino Linotype" w:eastAsia="Calibri" w:hAnsi="Palatino Linotype" w:cs="Bookman Old Style,Bold"/>
          <w:bCs/>
          <w:lang w:eastAsia="en-US"/>
        </w:rPr>
        <w:lastRenderedPageBreak/>
        <w:t xml:space="preserve">Aunado a lo anterior, es de señalar que de la vista que se hiciera de dicho Informe Justificado al </w:t>
      </w:r>
      <w:r w:rsidRPr="00BC2F53">
        <w:rPr>
          <w:rFonts w:ascii="Palatino Linotype" w:eastAsia="Calibri" w:hAnsi="Palatino Linotype" w:cs="Bookman Old Style,Bold"/>
          <w:b/>
          <w:bCs/>
          <w:lang w:eastAsia="en-US"/>
        </w:rPr>
        <w:t xml:space="preserve">RECURRENTE </w:t>
      </w:r>
      <w:r w:rsidR="00C13930" w:rsidRPr="00BC2F53">
        <w:rPr>
          <w:rFonts w:ascii="Palatino Linotype" w:eastAsia="Calibri" w:hAnsi="Palatino Linotype" w:cs="Bookman Old Style,Bold"/>
          <w:bCs/>
          <w:lang w:eastAsia="en-US"/>
        </w:rPr>
        <w:t xml:space="preserve">refirió esencialmente que </w:t>
      </w:r>
      <w:r w:rsidR="00894EDA" w:rsidRPr="00BC2F53">
        <w:rPr>
          <w:rFonts w:ascii="Palatino Linotype" w:eastAsia="Calibri" w:hAnsi="Palatino Linotype" w:cs="Bookman Old Style,Bold"/>
          <w:bCs/>
          <w:lang w:eastAsia="en-US"/>
        </w:rPr>
        <w:t>del análisis a simple vista del documento contenido en IPOMEX, se podía advertir que había sido foliado a mano y la numeración continua se encontraba saltada del número 24 hasta el 45; señalando que en consecuencia la información se encontraba incompleta.</w:t>
      </w:r>
    </w:p>
    <w:p w:rsidR="00746CF4" w:rsidRDefault="00537D65" w:rsidP="006A4A0A">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noProof/>
          <w:lang w:eastAsia="es-MX"/>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5458460</wp:posOffset>
                </wp:positionV>
                <wp:extent cx="5791200" cy="67627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791200"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3C3E4"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5pt,429.8pt" to="454.95pt,4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" strokecolor="#5b9bd5 [3204]" strokeweight=".5pt">
                <v:stroke joinstyle="miter"/>
              </v:line>
            </w:pict>
          </mc:Fallback>
        </mc:AlternateContent>
      </w:r>
      <w:r w:rsidR="00894EDA" w:rsidRPr="00BC2F53">
        <w:rPr>
          <w:rFonts w:ascii="Palatino Linotype" w:eastAsia="Calibri" w:hAnsi="Palatino Linotype" w:cs="Bookman Old Style,Bold"/>
          <w:bCs/>
          <w:lang w:eastAsia="en-US"/>
        </w:rPr>
        <w:t>D</w:t>
      </w:r>
      <w:r w:rsidR="00746CF4" w:rsidRPr="00BC2F53">
        <w:rPr>
          <w:rFonts w:ascii="Palatino Linotype" w:eastAsia="Calibri" w:hAnsi="Palatino Linotype" w:cs="Bookman Old Style,Bold"/>
          <w:bCs/>
          <w:lang w:eastAsia="en-US"/>
        </w:rPr>
        <w:t>e</w:t>
      </w:r>
      <w:r w:rsidR="00894EDA" w:rsidRPr="00BC2F53">
        <w:rPr>
          <w:rFonts w:ascii="Palatino Linotype" w:eastAsia="Calibri" w:hAnsi="Palatino Linotype" w:cs="Bookman Old Style,Bold"/>
          <w:bCs/>
          <w:lang w:eastAsia="en-US"/>
        </w:rPr>
        <w:t xml:space="preserve"> ahí que, se determinara hacer del conocimiento del </w:t>
      </w:r>
      <w:r w:rsidR="00894EDA" w:rsidRPr="00BC2F53">
        <w:rPr>
          <w:rFonts w:ascii="Palatino Linotype" w:eastAsia="Calibri" w:hAnsi="Palatino Linotype" w:cs="Bookman Old Style,Bold"/>
          <w:b/>
          <w:bCs/>
          <w:lang w:eastAsia="en-US"/>
        </w:rPr>
        <w:t xml:space="preserve">SUJETO OBLIGADO </w:t>
      </w:r>
      <w:r w:rsidR="00894EDA" w:rsidRPr="00BC2F53">
        <w:rPr>
          <w:rFonts w:ascii="Palatino Linotype" w:eastAsia="Calibri" w:hAnsi="Palatino Linotype" w:cs="Bookman Old Style,Bold"/>
          <w:bCs/>
          <w:lang w:eastAsia="en-US"/>
        </w:rPr>
        <w:t xml:space="preserve">dichas manifestaciones </w:t>
      </w:r>
      <w:r w:rsidR="00746CF4" w:rsidRPr="00BC2F53">
        <w:rPr>
          <w:rFonts w:ascii="Palatino Linotype" w:eastAsia="Calibri" w:hAnsi="Palatino Linotype" w:cs="Bookman Old Style,Bold"/>
          <w:bCs/>
          <w:lang w:eastAsia="en-US"/>
        </w:rPr>
        <w:t xml:space="preserve">para refutarlas en lo que a su derecho procediera señalando la Servidora Pública Habilitada de la Contraloría General que </w:t>
      </w:r>
      <w:r w:rsidR="006A4A0A" w:rsidRPr="00BC2F53">
        <w:rPr>
          <w:rFonts w:ascii="Palatino Linotype" w:eastAsia="Calibri" w:hAnsi="Palatino Linotype" w:cs="Bookman Old Style,Bold"/>
          <w:bCs/>
          <w:lang w:eastAsia="en-US"/>
        </w:rPr>
        <w:t>si bien se advi</w:t>
      </w:r>
      <w:r w:rsidR="00746CF4" w:rsidRPr="00BC2F53">
        <w:rPr>
          <w:rFonts w:ascii="Palatino Linotype" w:eastAsia="Calibri" w:hAnsi="Palatino Linotype" w:cs="Bookman Old Style,Bold"/>
          <w:bCs/>
          <w:lang w:eastAsia="en-US"/>
        </w:rPr>
        <w:t>rt</w:t>
      </w:r>
      <w:r w:rsidR="006A4A0A" w:rsidRPr="00BC2F53">
        <w:rPr>
          <w:rFonts w:ascii="Palatino Linotype" w:eastAsia="Calibri" w:hAnsi="Palatino Linotype" w:cs="Bookman Old Style,Bold"/>
          <w:bCs/>
          <w:lang w:eastAsia="en-US"/>
        </w:rPr>
        <w:t>ió</w:t>
      </w:r>
      <w:r w:rsidR="00746CF4" w:rsidRPr="00BC2F53">
        <w:rPr>
          <w:rFonts w:ascii="Palatino Linotype" w:eastAsia="Calibri" w:hAnsi="Palatino Linotype" w:cs="Bookman Old Style,Bold"/>
          <w:bCs/>
          <w:lang w:eastAsia="en-US"/>
        </w:rPr>
        <w:t xml:space="preserve"> un salto en el número escrito en los documentos, esto se deb</w:t>
      </w:r>
      <w:r w:rsidR="006A4A0A" w:rsidRPr="00BC2F53">
        <w:rPr>
          <w:rFonts w:ascii="Palatino Linotype" w:eastAsia="Calibri" w:hAnsi="Palatino Linotype" w:cs="Bookman Old Style,Bold"/>
          <w:bCs/>
          <w:lang w:eastAsia="en-US"/>
        </w:rPr>
        <w:t xml:space="preserve">ió </w:t>
      </w:r>
      <w:r w:rsidR="00746CF4" w:rsidRPr="00BC2F53">
        <w:rPr>
          <w:rFonts w:ascii="Palatino Linotype" w:eastAsia="Calibri" w:hAnsi="Palatino Linotype" w:cs="Bookman Old Style,Bold"/>
          <w:bCs/>
          <w:lang w:eastAsia="en-US"/>
        </w:rPr>
        <w:t>a la integración que la Unidad poseedora de la información realizó al formar el expediente de la Auditoría, conforme al índice del expediente, por lo que, esos documentos no forman parte de la información requerida por el solicitante, esto es del Informe de Auditoría contable al ejercicio del Capítulo 1000, servicios personales, Numero 5, ni de la información que se publica en el Portal IPOMEX de conformidad con el artículo 92 fracción XXVIII de la Ley de Transparencia y Acceso a la Información Pública del Estado de México y Municipios y a los criterios correspondientes a la fracción XXIV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ya que del folio 25 al 44 que son los folios que no están publicados, son documentos de trabajo y oficios por los que se solicitó y</w:t>
      </w:r>
      <w:r w:rsidR="006A4A0A" w:rsidRPr="00BC2F53">
        <w:rPr>
          <w:rFonts w:ascii="Palatino Linotype" w:eastAsia="Calibri" w:hAnsi="Palatino Linotype" w:cs="Bookman Old Style,Bold"/>
          <w:bCs/>
          <w:lang w:eastAsia="en-US"/>
        </w:rPr>
        <w:t xml:space="preserve"> se remitió diversa información.</w:t>
      </w:r>
    </w:p>
    <w:p w:rsidR="00537D65" w:rsidRPr="00BC2F53" w:rsidRDefault="00537D65" w:rsidP="006A4A0A">
      <w:pPr>
        <w:spacing w:before="100" w:beforeAutospacing="1" w:after="100" w:afterAutospacing="1" w:line="360" w:lineRule="auto"/>
        <w:jc w:val="both"/>
        <w:rPr>
          <w:rFonts w:ascii="Palatino Linotype" w:eastAsia="Calibri" w:hAnsi="Palatino Linotype" w:cs="Bookman Old Style,Bold"/>
          <w:bCs/>
          <w:lang w:eastAsia="en-US"/>
        </w:rPr>
      </w:pPr>
    </w:p>
    <w:p w:rsidR="007F0FD4" w:rsidRPr="00BC2F53" w:rsidRDefault="006A4A0A" w:rsidP="007F0FD4">
      <w:pPr>
        <w:spacing w:before="100" w:beforeAutospacing="1" w:after="100" w:afterAutospacing="1" w:line="360" w:lineRule="auto"/>
        <w:jc w:val="both"/>
        <w:rPr>
          <w:rFonts w:ascii="Palatino Linotype" w:eastAsia="Calibri" w:hAnsi="Palatino Linotype" w:cs="Bookman Old Style,Bold"/>
          <w:bCs/>
          <w:lang w:eastAsia="en-US"/>
        </w:rPr>
      </w:pPr>
      <w:r w:rsidRPr="00BC2F53">
        <w:rPr>
          <w:rFonts w:ascii="Palatino Linotype" w:eastAsia="Calibri" w:hAnsi="Palatino Linotype" w:cs="Bookman Old Style,Bold"/>
          <w:bCs/>
          <w:lang w:eastAsia="en-US"/>
        </w:rPr>
        <w:lastRenderedPageBreak/>
        <w:t>Adjuntando dos archivos electrónicos</w:t>
      </w:r>
      <w:r w:rsidR="00903C69" w:rsidRPr="00BC2F53">
        <w:rPr>
          <w:rFonts w:ascii="Palatino Linotype" w:eastAsia="Calibri" w:hAnsi="Palatino Linotype" w:cs="Bookman Old Style,Bold"/>
          <w:bCs/>
          <w:lang w:eastAsia="en-US"/>
        </w:rPr>
        <w:t xml:space="preserve">, mismos que </w:t>
      </w:r>
      <w:r w:rsidRPr="00BC2F53">
        <w:rPr>
          <w:rFonts w:ascii="Palatino Linotype" w:eastAsia="Calibri" w:hAnsi="Palatino Linotype" w:cs="Bookman Old Style,Bold"/>
          <w:bCs/>
          <w:lang w:eastAsia="en-US"/>
        </w:rPr>
        <w:t xml:space="preserve">contienen </w:t>
      </w:r>
      <w:r w:rsidR="00ED705C" w:rsidRPr="00BC2F53">
        <w:rPr>
          <w:rFonts w:ascii="Palatino Linotype" w:eastAsia="Calibri" w:hAnsi="Palatino Linotype" w:cs="Bookman Old Style,Bold"/>
          <w:bCs/>
          <w:lang w:eastAsia="en-US"/>
        </w:rPr>
        <w:t>la información consi</w:t>
      </w:r>
      <w:r w:rsidR="00903C69" w:rsidRPr="00BC2F53">
        <w:rPr>
          <w:rFonts w:ascii="Palatino Linotype" w:eastAsia="Calibri" w:hAnsi="Palatino Linotype" w:cs="Bookman Old Style,Bold"/>
          <w:bCs/>
          <w:lang w:eastAsia="en-US"/>
        </w:rPr>
        <w:t>derada faltante y que fue</w:t>
      </w:r>
      <w:r w:rsidR="00ED705C" w:rsidRPr="00BC2F53">
        <w:rPr>
          <w:rFonts w:ascii="Palatino Linotype" w:eastAsia="Calibri" w:hAnsi="Palatino Linotype" w:cs="Bookman Old Style,Bold"/>
          <w:bCs/>
          <w:lang w:eastAsia="en-US"/>
        </w:rPr>
        <w:t xml:space="preserve">ron puestos a disposición del </w:t>
      </w:r>
      <w:r w:rsidR="00ED705C" w:rsidRPr="00BC2F53">
        <w:rPr>
          <w:rFonts w:ascii="Palatino Linotype" w:eastAsia="Calibri" w:hAnsi="Palatino Linotype" w:cs="Bookman Old Style,Bold"/>
          <w:b/>
          <w:bCs/>
          <w:lang w:eastAsia="en-US"/>
        </w:rPr>
        <w:t xml:space="preserve">RECURRENTE </w:t>
      </w:r>
      <w:r w:rsidR="00ED705C" w:rsidRPr="00BC2F53">
        <w:rPr>
          <w:rFonts w:ascii="Palatino Linotype" w:eastAsia="Calibri" w:hAnsi="Palatino Linotype" w:cs="Bookman Old Style,Bold"/>
          <w:bCs/>
          <w:lang w:eastAsia="en-US"/>
        </w:rPr>
        <w:t>en fecha uno de octubre de dos mil dieci</w:t>
      </w:r>
      <w:r w:rsidR="00903C69" w:rsidRPr="00BC2F53">
        <w:rPr>
          <w:rFonts w:ascii="Palatino Linotype" w:eastAsia="Calibri" w:hAnsi="Palatino Linotype" w:cs="Bookman Old Style,Bold"/>
          <w:bCs/>
          <w:lang w:eastAsia="en-US"/>
        </w:rPr>
        <w:t xml:space="preserve">nueve; y, </w:t>
      </w:r>
      <w:r w:rsidR="00ED705C" w:rsidRPr="00BC2F53">
        <w:rPr>
          <w:rFonts w:ascii="Palatino Linotype" w:eastAsia="Calibri" w:hAnsi="Palatino Linotype" w:cs="Bookman Old Style,Bold"/>
          <w:bCs/>
          <w:lang w:eastAsia="en-US"/>
        </w:rPr>
        <w:t>respecto de los cuales no realizó manifestación alguna</w:t>
      </w:r>
      <w:r w:rsidR="00903C69" w:rsidRPr="00BC2F53">
        <w:rPr>
          <w:rFonts w:ascii="Palatino Linotype" w:eastAsia="Calibri" w:hAnsi="Palatino Linotype" w:cs="Bookman Old Style,Bold"/>
          <w:bCs/>
          <w:lang w:eastAsia="en-US"/>
        </w:rPr>
        <w:t xml:space="preserve">; así, </w:t>
      </w:r>
      <w:r w:rsidR="007F0FD4" w:rsidRPr="00BC2F53">
        <w:rPr>
          <w:rFonts w:ascii="Palatino Linotype" w:eastAsia="Calibri" w:hAnsi="Palatino Linotype" w:cs="Bookman Old Style,Bold"/>
          <w:bCs/>
          <w:lang w:eastAsia="en-US"/>
        </w:rPr>
        <w:t xml:space="preserve">tanto de las manifestaciones esgrimidas por </w:t>
      </w:r>
      <w:r w:rsidR="007F0FD4" w:rsidRPr="00BC2F53">
        <w:rPr>
          <w:rFonts w:ascii="Palatino Linotype" w:eastAsia="Calibri" w:hAnsi="Palatino Linotype" w:cs="Bookman Old Style,Bold"/>
          <w:b/>
          <w:bCs/>
          <w:lang w:eastAsia="en-US"/>
        </w:rPr>
        <w:t xml:space="preserve">EL SUJETO OBLIGADO </w:t>
      </w:r>
      <w:r w:rsidR="007F0FD4" w:rsidRPr="00BC2F53">
        <w:rPr>
          <w:rFonts w:ascii="Palatino Linotype" w:eastAsia="Calibri" w:hAnsi="Palatino Linotype" w:cs="Bookman Old Style,Bold"/>
          <w:bCs/>
          <w:lang w:eastAsia="en-US"/>
        </w:rPr>
        <w:t xml:space="preserve">como de la inspección realizada a la liga electrónica proporcionada en Informe Justificado, se puede advertir que modificó su respuesta otorgada en origen; razón por la cual, </w:t>
      </w:r>
      <w:r w:rsidR="007F0FD4" w:rsidRPr="00BC2F53">
        <w:rPr>
          <w:rFonts w:ascii="Palatino Linotype" w:hAnsi="Palatino Linotype" w:cs="Arial"/>
        </w:rPr>
        <w:t xml:space="preserve">es necesario precisar que, al haber realizado </w:t>
      </w:r>
      <w:r w:rsidR="007F0FD4" w:rsidRPr="00BC2F53">
        <w:rPr>
          <w:rFonts w:ascii="Palatino Linotype" w:hAnsi="Palatino Linotype" w:cs="Arial"/>
          <w:b/>
        </w:rPr>
        <w:t xml:space="preserve">EL SUJETO OBLIGADO </w:t>
      </w:r>
      <w:r w:rsidR="007F0FD4" w:rsidRPr="00BC2F53">
        <w:rPr>
          <w:rFonts w:ascii="Palatino Linotype" w:hAnsi="Palatino Linotype" w:cs="Arial"/>
        </w:rPr>
        <w:t xml:space="preserve">un pronunciamiento, </w:t>
      </w:r>
      <w:r w:rsidR="007F0FD4" w:rsidRPr="00BC2F53">
        <w:rPr>
          <w:rFonts w:ascii="Palatino Linotype" w:hAnsi="Palatino Linotype"/>
          <w:color w:val="222222"/>
        </w:rPr>
        <w:t>este Instituto no está facultado para manifestarse sobre la veracidad del mismo, pues no existe precepto legal alguno en la L</w:t>
      </w:r>
      <w:r w:rsidR="00537D65">
        <w:rPr>
          <w:rFonts w:ascii="Palatino Linotype" w:hAnsi="Palatino Linotype"/>
          <w:color w:val="222222"/>
        </w:rPr>
        <w:t xml:space="preserve">ey de la materia que lo faculte </w:t>
      </w:r>
      <w:r w:rsidR="007F0FD4" w:rsidRPr="00BC2F53">
        <w:rPr>
          <w:rFonts w:ascii="Palatino Linotype" w:hAnsi="Palatino Linotype"/>
          <w:color w:val="222222"/>
        </w:rPr>
        <w:t xml:space="preserve">para, vía recurso de revisión, pronunciarse al respecto. </w:t>
      </w:r>
    </w:p>
    <w:p w:rsidR="007F0FD4" w:rsidRPr="00BC2F53" w:rsidRDefault="007F0FD4" w:rsidP="007F0FD4">
      <w:pPr>
        <w:shd w:val="clear" w:color="auto" w:fill="FFFFFF"/>
        <w:spacing w:before="240" w:after="240" w:line="360" w:lineRule="auto"/>
        <w:jc w:val="both"/>
        <w:rPr>
          <w:rFonts w:ascii="Palatino Linotype" w:hAnsi="Palatino Linotype"/>
          <w:color w:val="222222"/>
        </w:rPr>
      </w:pPr>
      <w:r w:rsidRPr="00BC2F53">
        <w:rPr>
          <w:rFonts w:ascii="Palatino Linotype" w:hAnsi="Palatino Linotype"/>
          <w:color w:val="222222"/>
        </w:rPr>
        <w:t>Sirve de apoyo a lo anterior, por analogía, el criterio 31-10 emitido por el entonces Instituto Federal de Acceso a la Información que a la letra dice:</w:t>
      </w:r>
    </w:p>
    <w:p w:rsidR="007F0FD4" w:rsidRDefault="007F0FD4" w:rsidP="007F0FD4">
      <w:pPr>
        <w:shd w:val="clear" w:color="auto" w:fill="FFFFFF"/>
        <w:ind w:left="851" w:right="1276"/>
        <w:jc w:val="both"/>
        <w:rPr>
          <w:rFonts w:ascii="Palatino Linotype" w:hAnsi="Palatino Linotype"/>
          <w:i/>
          <w:iCs/>
          <w:color w:val="222222"/>
          <w:sz w:val="22"/>
          <w:szCs w:val="22"/>
        </w:rPr>
      </w:pPr>
      <w:r w:rsidRPr="00BC2F53">
        <w:rPr>
          <w:rFonts w:ascii="Palatino Linotype" w:hAnsi="Palatino Linotype"/>
          <w:b/>
          <w:i/>
          <w:iCs/>
          <w:color w:val="222222"/>
          <w:sz w:val="22"/>
          <w:szCs w:val="22"/>
        </w:rPr>
        <w:t>“</w:t>
      </w:r>
      <w:r w:rsidRPr="00BC2F53">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537D65" w:rsidRPr="00BC2F53" w:rsidRDefault="00537D65" w:rsidP="00537D65">
      <w:pPr>
        <w:shd w:val="clear" w:color="auto" w:fill="FFFFFF"/>
        <w:ind w:right="1276"/>
        <w:jc w:val="both"/>
        <w:rPr>
          <w:rFonts w:ascii="Palatino Linotype" w:hAnsi="Palatino Linotype"/>
          <w:i/>
          <w:iCs/>
          <w:color w:val="222222"/>
          <w:sz w:val="22"/>
          <w:szCs w:val="22"/>
        </w:rPr>
      </w:pPr>
      <w:r>
        <w:rPr>
          <w:rFonts w:ascii="Palatino Linotype" w:hAnsi="Palatino Linotype"/>
          <w:i/>
          <w:iCs/>
          <w:noProof/>
          <w:color w:val="222222"/>
          <w:sz w:val="22"/>
          <w:szCs w:val="22"/>
          <w:lang w:eastAsia="es-MX"/>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107950</wp:posOffset>
                </wp:positionV>
                <wp:extent cx="5753100" cy="1057275"/>
                <wp:effectExtent l="0" t="0" r="19050" b="28575"/>
                <wp:wrapNone/>
                <wp:docPr id="15" name="Conector recto 15"/>
                <wp:cNvGraphicFramePr/>
                <a:graphic xmlns:a="http://schemas.openxmlformats.org/drawingml/2006/main">
                  <a:graphicData uri="http://schemas.microsoft.com/office/word/2010/wordprocessingShape">
                    <wps:wsp>
                      <wps:cNvCnPr/>
                      <wps:spPr>
                        <a:xfrm>
                          <a:off x="0" y="0"/>
                          <a:ext cx="5753100"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B76AE" id="Conector recto 15"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453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" strokecolor="#5b9bd5 [3204]" strokeweight=".5pt">
                <v:stroke joinstyle="miter"/>
                <w10:wrap anchorx="margin"/>
              </v:line>
            </w:pict>
          </mc:Fallback>
        </mc:AlternateContent>
      </w:r>
    </w:p>
    <w:p w:rsidR="007F0FD4" w:rsidRPr="00BC2F53" w:rsidRDefault="007F0FD4" w:rsidP="007F0FD4">
      <w:pPr>
        <w:spacing w:before="100" w:beforeAutospacing="1" w:after="100" w:afterAutospacing="1" w:line="360" w:lineRule="auto"/>
        <w:jc w:val="both"/>
        <w:rPr>
          <w:rFonts w:ascii="Palatino Linotype" w:hAnsi="Palatino Linotype" w:cs="Arial"/>
          <w:i/>
          <w:sz w:val="22"/>
          <w:szCs w:val="22"/>
        </w:rPr>
      </w:pPr>
      <w:r w:rsidRPr="00BC2F53">
        <w:rPr>
          <w:rFonts w:ascii="Palatino Linotype" w:hAnsi="Palatino Linotype"/>
        </w:rPr>
        <w:lastRenderedPageBreak/>
        <w:t xml:space="preserve">Entonces, es importante señalar </w:t>
      </w:r>
      <w:r w:rsidRPr="00BC2F53">
        <w:rPr>
          <w:rFonts w:ascii="Palatino Linotype" w:hAnsi="Palatino Linotype" w:cs="Arial"/>
        </w:rPr>
        <w:t>que, el artículo 4, párrafo segundo de la Ley de Transparencia y Acceso a la Información Pública del Estado de México y Municipios</w:t>
      </w:r>
      <w:r w:rsidRPr="00BC2F53">
        <w:rPr>
          <w:rStyle w:val="Refdenotaalpie"/>
          <w:rFonts w:ascii="Palatino Linotype" w:hAnsi="Palatino Linotype" w:cs="Arial"/>
        </w:rPr>
        <w:footnoteReference w:id="1"/>
      </w:r>
      <w:r w:rsidRPr="00BC2F53">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BC2F53">
        <w:rPr>
          <w:rFonts w:ascii="Palatino Linotype" w:hAnsi="Palatino Linotype" w:cs="Arial"/>
          <w:i/>
          <w:sz w:val="22"/>
          <w:szCs w:val="22"/>
        </w:rPr>
        <w:t xml:space="preserve"> </w:t>
      </w:r>
    </w:p>
    <w:p w:rsidR="007F0FD4" w:rsidRPr="00BC2F53" w:rsidRDefault="007F0FD4" w:rsidP="007F0FD4">
      <w:pPr>
        <w:spacing w:before="100" w:beforeAutospacing="1" w:after="100" w:afterAutospacing="1" w:line="360" w:lineRule="auto"/>
        <w:jc w:val="both"/>
        <w:rPr>
          <w:rFonts w:ascii="Palatino Linotype" w:hAnsi="Palatino Linotype" w:cs="Arial"/>
          <w:i/>
          <w:sz w:val="22"/>
          <w:szCs w:val="22"/>
        </w:rPr>
      </w:pPr>
      <w:r w:rsidRPr="00BC2F53">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BC2F53">
        <w:rPr>
          <w:rFonts w:ascii="Palatino Linotype" w:hAnsi="Palatino Linotype" w:cs="Arial"/>
          <w:b/>
          <w:color w:val="000000"/>
        </w:rPr>
        <w:t xml:space="preserve"> </w:t>
      </w:r>
      <w:r w:rsidRPr="00BC2F53">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BC2F53">
        <w:rPr>
          <w:rFonts w:ascii="Palatino Linotype" w:hAnsi="Palatino Linotype" w:cs="Arial"/>
          <w:i/>
          <w:color w:val="000000"/>
        </w:rPr>
        <w:t>ad hoc</w:t>
      </w:r>
      <w:r w:rsidRPr="00BC2F53">
        <w:rPr>
          <w:rFonts w:ascii="Palatino Linotype" w:hAnsi="Palatino Linotype" w:cs="Arial"/>
          <w:color w:val="000000"/>
        </w:rPr>
        <w:t>, para satisfacer el derecho de acceso a la información pública.</w:t>
      </w:r>
    </w:p>
    <w:p w:rsidR="007F0FD4" w:rsidRPr="00BC2F53" w:rsidRDefault="007F0FD4" w:rsidP="007F0FD4">
      <w:pPr>
        <w:spacing w:before="240" w:after="240" w:line="360" w:lineRule="auto"/>
        <w:jc w:val="both"/>
        <w:rPr>
          <w:rFonts w:ascii="Palatino Linotype" w:hAnsi="Palatino Linotype"/>
          <w:b/>
          <w:bCs/>
          <w:color w:val="000000"/>
        </w:rPr>
      </w:pPr>
      <w:r w:rsidRPr="00BC2F53">
        <w:rPr>
          <w:rFonts w:ascii="Palatino Linotype" w:hAnsi="Palatino Linotype" w:cs="Arial"/>
          <w:color w:val="000000"/>
        </w:rPr>
        <w:t xml:space="preserve">Como apoyo a lo anterior, es aplicable el Criterio 03-17, emitido por </w:t>
      </w:r>
      <w:r w:rsidRPr="00BC2F53">
        <w:rPr>
          <w:rFonts w:ascii="Palatino Linotype" w:eastAsia="Arial Unicode MS" w:hAnsi="Palatino Linotype" w:cs="Arial"/>
          <w:color w:val="000000"/>
        </w:rPr>
        <w:t>el Instituto Nacional de Transparencia, Acceso a la Información y Protección de Datos Personales,</w:t>
      </w:r>
      <w:r w:rsidRPr="00BC2F53">
        <w:rPr>
          <w:rFonts w:ascii="Palatino Linotype" w:hAnsi="Palatino Linotype"/>
          <w:bCs/>
          <w:color w:val="000000"/>
        </w:rPr>
        <w:t xml:space="preserve"> que dice:</w:t>
      </w:r>
      <w:r w:rsidRPr="00BC2F53">
        <w:rPr>
          <w:rFonts w:ascii="Palatino Linotype" w:hAnsi="Palatino Linotype"/>
          <w:b/>
          <w:bCs/>
          <w:color w:val="000000"/>
        </w:rPr>
        <w:t xml:space="preserve"> </w:t>
      </w:r>
    </w:p>
    <w:p w:rsidR="007F0FD4" w:rsidRPr="00BC2F53" w:rsidRDefault="007F0FD4" w:rsidP="007F0FD4">
      <w:pPr>
        <w:ind w:left="851" w:right="902"/>
        <w:jc w:val="both"/>
        <w:rPr>
          <w:rFonts w:ascii="Palatino Linotype" w:hAnsi="Palatino Linotype" w:cs="Arial"/>
          <w:i/>
          <w:color w:val="000000"/>
          <w:sz w:val="22"/>
          <w:szCs w:val="22"/>
        </w:rPr>
      </w:pPr>
      <w:r w:rsidRPr="00BC2F53">
        <w:rPr>
          <w:rFonts w:ascii="Palatino Linotype" w:hAnsi="Palatino Linotype" w:cs="Arial"/>
          <w:b/>
          <w:i/>
          <w:color w:val="000000"/>
          <w:sz w:val="22"/>
          <w:szCs w:val="22"/>
        </w:rPr>
        <w:t>“No existe obligación de elaborar documentos ad hoc para atender las solicitudes de acceso a la información.</w:t>
      </w:r>
      <w:r w:rsidRPr="00BC2F5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BC2F53">
        <w:rPr>
          <w:rFonts w:ascii="Palatino Linotype" w:hAnsi="Palatino Linotype" w:cs="Arial"/>
          <w:i/>
          <w:color w:val="000000"/>
          <w:sz w:val="22"/>
          <w:szCs w:val="22"/>
        </w:rPr>
        <w:lastRenderedPageBreak/>
        <w:t>cuentan en el formato en que la misma obre en sus archivos; sin necesidad de elaborar documentos ad hoc para atender las solicitudes de información.</w:t>
      </w:r>
    </w:p>
    <w:p w:rsidR="007F0FD4" w:rsidRPr="00BC2F53" w:rsidRDefault="007F0FD4" w:rsidP="007F0FD4">
      <w:pPr>
        <w:ind w:left="851" w:right="902"/>
        <w:jc w:val="both"/>
        <w:rPr>
          <w:rFonts w:ascii="Palatino Linotype" w:hAnsi="Palatino Linotype" w:cs="Arial"/>
          <w:i/>
          <w:color w:val="000000"/>
          <w:sz w:val="22"/>
          <w:szCs w:val="22"/>
        </w:rPr>
      </w:pPr>
      <w:r w:rsidRPr="00BC2F53">
        <w:rPr>
          <w:rFonts w:ascii="Palatino Linotype" w:hAnsi="Palatino Linotype" w:cs="Arial"/>
          <w:i/>
          <w:color w:val="000000"/>
          <w:sz w:val="22"/>
          <w:szCs w:val="22"/>
        </w:rPr>
        <w:t xml:space="preserve">Resoluciones: </w:t>
      </w:r>
    </w:p>
    <w:p w:rsidR="007F0FD4" w:rsidRPr="00BC2F53" w:rsidRDefault="007F0FD4" w:rsidP="007F0FD4">
      <w:pPr>
        <w:ind w:left="851" w:right="902"/>
        <w:jc w:val="both"/>
        <w:rPr>
          <w:rFonts w:ascii="Palatino Linotype" w:hAnsi="Palatino Linotype" w:cs="Arial"/>
          <w:i/>
          <w:color w:val="000000"/>
          <w:sz w:val="22"/>
          <w:szCs w:val="22"/>
        </w:rPr>
      </w:pPr>
      <w:r w:rsidRPr="00BC2F53">
        <w:rPr>
          <w:rFonts w:ascii="Palatino Linotype" w:hAnsi="Palatino Linotype" w:cs="Arial"/>
          <w:i/>
          <w:color w:val="000000"/>
          <w:sz w:val="22"/>
          <w:szCs w:val="22"/>
        </w:rPr>
        <w:sym w:font="Symbol" w:char="F0B7"/>
      </w:r>
      <w:r w:rsidRPr="00BC2F53">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F0FD4" w:rsidRPr="00BC2F53" w:rsidRDefault="007F0FD4" w:rsidP="007F0FD4">
      <w:pPr>
        <w:ind w:left="851" w:right="902"/>
        <w:jc w:val="both"/>
        <w:rPr>
          <w:rFonts w:ascii="Palatino Linotype" w:hAnsi="Palatino Linotype" w:cs="Arial"/>
          <w:i/>
          <w:color w:val="000000"/>
          <w:sz w:val="22"/>
          <w:szCs w:val="22"/>
        </w:rPr>
      </w:pPr>
      <w:r w:rsidRPr="00BC2F53">
        <w:rPr>
          <w:rFonts w:ascii="Palatino Linotype" w:hAnsi="Palatino Linotype" w:cs="Arial"/>
          <w:i/>
          <w:color w:val="000000"/>
          <w:sz w:val="22"/>
          <w:szCs w:val="22"/>
        </w:rPr>
        <w:sym w:font="Symbol" w:char="F0B7"/>
      </w:r>
      <w:r w:rsidRPr="00BC2F53">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F0FD4" w:rsidRPr="00BC2F53" w:rsidRDefault="007F0FD4" w:rsidP="007F0FD4">
      <w:pPr>
        <w:ind w:left="851" w:right="902"/>
        <w:jc w:val="both"/>
        <w:rPr>
          <w:rFonts w:ascii="Palatino Linotype" w:hAnsi="Palatino Linotype" w:cs="Arial"/>
          <w:i/>
          <w:color w:val="000000"/>
          <w:sz w:val="22"/>
          <w:szCs w:val="22"/>
        </w:rPr>
      </w:pPr>
      <w:r w:rsidRPr="00BC2F53">
        <w:rPr>
          <w:rFonts w:ascii="Palatino Linotype" w:hAnsi="Palatino Linotype" w:cs="Arial"/>
          <w:i/>
          <w:color w:val="000000"/>
          <w:sz w:val="22"/>
          <w:szCs w:val="22"/>
        </w:rPr>
        <w:sym w:font="Symbol" w:char="F0B7"/>
      </w:r>
      <w:r w:rsidRPr="00BC2F53">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7F0FD4" w:rsidRPr="00BC2F53" w:rsidRDefault="007F0FD4" w:rsidP="007F0FD4">
      <w:pPr>
        <w:spacing w:before="240" w:after="240" w:line="360" w:lineRule="auto"/>
        <w:jc w:val="both"/>
        <w:rPr>
          <w:rFonts w:ascii="Palatino Linotype" w:hAnsi="Palatino Linotype" w:cs="Arial"/>
          <w:color w:val="000000" w:themeColor="text1"/>
        </w:rPr>
      </w:pPr>
      <w:r w:rsidRPr="00BC2F53">
        <w:rPr>
          <w:rFonts w:ascii="Palatino Linotype" w:hAnsi="Palatino Linotype" w:cs="Arial"/>
          <w:color w:val="000000" w:themeColor="text1"/>
        </w:rPr>
        <w:t xml:space="preserve">Asimismo, el artículo 24 de la Ley de la materia, dispone que los Sujetos Obligados </w:t>
      </w:r>
      <w:r w:rsidRPr="00BC2F53">
        <w:rPr>
          <w:rFonts w:ascii="Palatino Linotype" w:hAnsi="Palatino Linotype" w:cs="Arial"/>
          <w:b/>
          <w:color w:val="000000" w:themeColor="text1"/>
        </w:rPr>
        <w:t xml:space="preserve">sólo proporcionarán la información pública que </w:t>
      </w:r>
      <w:r w:rsidRPr="00BC2F53">
        <w:rPr>
          <w:rFonts w:ascii="Palatino Linotype" w:hAnsi="Palatino Linotype" w:cs="Arial"/>
          <w:b/>
        </w:rPr>
        <w:t>generen</w:t>
      </w:r>
      <w:r w:rsidRPr="00BC2F53">
        <w:rPr>
          <w:rFonts w:ascii="Palatino Linotype" w:hAnsi="Palatino Linotype" w:cs="Arial"/>
          <w:b/>
          <w:color w:val="000000" w:themeColor="text1"/>
        </w:rPr>
        <w:t>, administren o posean en el ejercicio de sus atribuciones</w:t>
      </w:r>
      <w:r w:rsidRPr="00BC2F53">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7F0FD4" w:rsidRPr="00BC2F53" w:rsidRDefault="007F0FD4" w:rsidP="007F0FD4">
      <w:pPr>
        <w:spacing w:before="100" w:beforeAutospacing="1" w:after="100" w:afterAutospacing="1" w:line="360" w:lineRule="auto"/>
        <w:ind w:right="51"/>
        <w:jc w:val="both"/>
        <w:rPr>
          <w:rFonts w:ascii="Palatino Linotype" w:hAnsi="Palatino Linotype" w:cs="Arial"/>
        </w:rPr>
      </w:pPr>
      <w:r w:rsidRPr="00BC2F53">
        <w:rPr>
          <w:rFonts w:ascii="Palatino Linotype" w:hAnsi="Palatino Linotype"/>
        </w:rPr>
        <w:t xml:space="preserve">En mérito de lo anteriormente expuesto, resulta evidente que </w:t>
      </w:r>
      <w:r w:rsidRPr="00BC2F53">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w:t>
      </w:r>
      <w:r w:rsidR="0000401B" w:rsidRPr="00BC2F53">
        <w:rPr>
          <w:rFonts w:ascii="Palatino Linotype" w:hAnsi="Palatino Linotype" w:cs="Arial"/>
        </w:rPr>
        <w:t xml:space="preserve">razones anteriormente expuestas; pues se insiste, </w:t>
      </w:r>
      <w:r w:rsidR="0000401B" w:rsidRPr="00BC2F53">
        <w:rPr>
          <w:rFonts w:ascii="Palatino Linotype" w:hAnsi="Palatino Linotype" w:cs="Arial"/>
          <w:b/>
        </w:rPr>
        <w:t xml:space="preserve">EL SUJETO OBLIGADO </w:t>
      </w:r>
      <w:r w:rsidR="0000401B" w:rsidRPr="00BC2F53">
        <w:rPr>
          <w:rFonts w:ascii="Palatino Linotype" w:hAnsi="Palatino Linotype" w:cs="Arial"/>
        </w:rPr>
        <w:t xml:space="preserve">remitió la liga electrónica en donde se encuentra publicada la información requerida </w:t>
      </w:r>
      <w:r w:rsidR="00903C69" w:rsidRPr="00BC2F53">
        <w:rPr>
          <w:rFonts w:ascii="Palatino Linotype" w:hAnsi="Palatino Linotype" w:cs="Arial"/>
        </w:rPr>
        <w:t xml:space="preserve">y derivado de las manifestaciones del </w:t>
      </w:r>
      <w:r w:rsidR="00903C69" w:rsidRPr="00BC2F53">
        <w:rPr>
          <w:rFonts w:ascii="Palatino Linotype" w:hAnsi="Palatino Linotype" w:cs="Arial"/>
          <w:b/>
        </w:rPr>
        <w:t xml:space="preserve">RECURRENTE </w:t>
      </w:r>
      <w:r w:rsidR="00903C69" w:rsidRPr="00BC2F53">
        <w:rPr>
          <w:rFonts w:ascii="Palatino Linotype" w:hAnsi="Palatino Linotype" w:cs="Arial"/>
        </w:rPr>
        <w:t xml:space="preserve">hizo entrega de los documentos considerados faltantes en dicho informe; </w:t>
      </w:r>
      <w:r w:rsidR="0000401B" w:rsidRPr="00BC2F53">
        <w:rPr>
          <w:rFonts w:ascii="Palatino Linotype" w:hAnsi="Palatino Linotype" w:cs="Arial"/>
        </w:rPr>
        <w:t>aunado a que dejaron de subsistir las causas que dieron origen a la clasificación de conformidad con lo establecido en el artículo 124, fracción I de la Ley de la materia</w:t>
      </w:r>
      <w:r w:rsidR="0000401B" w:rsidRPr="00BC2F53">
        <w:rPr>
          <w:rStyle w:val="Refdenotaalpie"/>
          <w:rFonts w:ascii="Palatino Linotype" w:hAnsi="Palatino Linotype" w:cs="Arial"/>
        </w:rPr>
        <w:footnoteReference w:id="2"/>
      </w:r>
      <w:r w:rsidR="0000401B" w:rsidRPr="00BC2F53">
        <w:rPr>
          <w:rFonts w:ascii="Palatino Linotype" w:hAnsi="Palatino Linotype" w:cs="Arial"/>
        </w:rPr>
        <w:t>; dejando sin materia el presente medio de impugnación.</w:t>
      </w:r>
    </w:p>
    <w:p w:rsidR="007F0FD4" w:rsidRPr="00BC2F53" w:rsidRDefault="007F0FD4" w:rsidP="007F0FD4">
      <w:pPr>
        <w:spacing w:before="100" w:beforeAutospacing="1" w:after="100" w:afterAutospacing="1" w:line="360" w:lineRule="auto"/>
        <w:jc w:val="both"/>
        <w:rPr>
          <w:rFonts w:ascii="Palatino Linotype" w:eastAsia="Calibri" w:hAnsi="Palatino Linotype" w:cs="Arial"/>
        </w:rPr>
      </w:pPr>
      <w:r w:rsidRPr="00BC2F53">
        <w:rPr>
          <w:rFonts w:ascii="Palatino Linotype" w:eastAsia="Calibri" w:hAnsi="Palatino Linotype" w:cs="Arial"/>
        </w:rPr>
        <w:lastRenderedPageBreak/>
        <w:t xml:space="preserve">Así, con fundamento en lo prescrito en los artículos 5 párrafos </w:t>
      </w:r>
      <w:r w:rsidRPr="00BC2F53">
        <w:rPr>
          <w:rFonts w:ascii="Palatino Linotype" w:hAnsi="Palatino Linotype"/>
        </w:rPr>
        <w:t xml:space="preserve">vigésimo segundo, vigésimo tercero y vigésimo cuarto, fracciones IV y V </w:t>
      </w:r>
      <w:r w:rsidRPr="00BC2F53">
        <w:rPr>
          <w:rFonts w:ascii="Palatino Linotype" w:eastAsia="Calibri" w:hAnsi="Palatino Linotype" w:cs="Arial"/>
        </w:rPr>
        <w:t xml:space="preserve">de la Constitución Política del Estado Libre y Soberano de México; </w:t>
      </w:r>
      <w:r w:rsidRPr="00BC2F53">
        <w:rPr>
          <w:rFonts w:ascii="Palatino Linotype" w:hAnsi="Palatino Linotype" w:cs="Arial"/>
        </w:rPr>
        <w:t>2 fracción II, 29, 36 fracciones I y II, 176, 178, 179, 181, 185 fracción I, 186 y 188</w:t>
      </w:r>
      <w:r w:rsidRPr="00BC2F53">
        <w:rPr>
          <w:rFonts w:ascii="Palatino Linotype" w:eastAsia="Calibri" w:hAnsi="Palatino Linotype" w:cs="Arial"/>
        </w:rPr>
        <w:t xml:space="preserve"> de la Ley de Transparencia y Acceso a la Información Pública del Estado de México y Municipios, este Pleno: </w:t>
      </w:r>
    </w:p>
    <w:p w:rsidR="002E14E3" w:rsidRPr="00BC2F53" w:rsidRDefault="002E14E3" w:rsidP="002E14E3">
      <w:pPr>
        <w:spacing w:before="240" w:after="120" w:line="360" w:lineRule="auto"/>
        <w:jc w:val="center"/>
        <w:rPr>
          <w:rFonts w:ascii="Palatino Linotype" w:hAnsi="Palatino Linotype" w:cs="Arial"/>
          <w:b/>
          <w:bCs/>
          <w:spacing w:val="40"/>
          <w:sz w:val="28"/>
          <w:szCs w:val="28"/>
          <w:lang w:val="es-ES_tradnl"/>
        </w:rPr>
      </w:pPr>
      <w:r w:rsidRPr="00BC2F53">
        <w:rPr>
          <w:rFonts w:ascii="Palatino Linotype" w:hAnsi="Palatino Linotype" w:cs="Arial"/>
          <w:b/>
          <w:bCs/>
          <w:spacing w:val="40"/>
          <w:sz w:val="28"/>
          <w:szCs w:val="28"/>
          <w:lang w:val="es-ES_tradnl"/>
        </w:rPr>
        <w:t>RESUELVE</w:t>
      </w:r>
    </w:p>
    <w:p w:rsidR="002E14E3" w:rsidRPr="00BC2F53" w:rsidRDefault="002E14E3" w:rsidP="002E14E3">
      <w:pPr>
        <w:pStyle w:val="Prrafodelista"/>
        <w:spacing w:before="100" w:beforeAutospacing="1" w:after="100" w:afterAutospacing="1" w:line="360" w:lineRule="auto"/>
        <w:ind w:left="0"/>
        <w:jc w:val="both"/>
        <w:rPr>
          <w:rFonts w:ascii="Palatino Linotype" w:hAnsi="Palatino Linotype" w:cs="Arial"/>
          <w:szCs w:val="28"/>
        </w:rPr>
      </w:pPr>
      <w:r w:rsidRPr="00BC2F53">
        <w:rPr>
          <w:rFonts w:ascii="Palatino Linotype" w:hAnsi="Palatino Linotype" w:cs="Arial"/>
          <w:b/>
          <w:sz w:val="28"/>
          <w:szCs w:val="28"/>
        </w:rPr>
        <w:t>PRIMERO.</w:t>
      </w:r>
      <w:r w:rsidRPr="00BC2F53">
        <w:rPr>
          <w:rFonts w:ascii="Palatino Linotype" w:hAnsi="Palatino Linotype" w:cs="Arial"/>
          <w:b/>
          <w:szCs w:val="28"/>
        </w:rPr>
        <w:t xml:space="preserve"> </w:t>
      </w:r>
      <w:r w:rsidRPr="00BC2F53">
        <w:rPr>
          <w:rFonts w:ascii="Palatino Linotype" w:hAnsi="Palatino Linotype" w:cs="Arial"/>
          <w:szCs w:val="28"/>
        </w:rPr>
        <w:t xml:space="preserve">Se </w:t>
      </w:r>
      <w:r w:rsidRPr="00BC2F53">
        <w:rPr>
          <w:rFonts w:ascii="Palatino Linotype" w:hAnsi="Palatino Linotype" w:cs="Arial"/>
          <w:b/>
          <w:szCs w:val="28"/>
        </w:rPr>
        <w:t>SOBRESEE</w:t>
      </w:r>
      <w:r w:rsidRPr="00BC2F53">
        <w:rPr>
          <w:rFonts w:ascii="Palatino Linotype" w:hAnsi="Palatino Linotype" w:cs="Arial"/>
          <w:szCs w:val="28"/>
        </w:rPr>
        <w:t xml:space="preserve"> el </w:t>
      </w:r>
      <w:r w:rsidR="007F0FD4" w:rsidRPr="00BC2F53">
        <w:rPr>
          <w:rFonts w:ascii="Palatino Linotype" w:hAnsi="Palatino Linotype" w:cs="Arial"/>
          <w:szCs w:val="28"/>
        </w:rPr>
        <w:t>recurso de revisión número 05602</w:t>
      </w:r>
      <w:r w:rsidRPr="00BC2F53">
        <w:rPr>
          <w:rFonts w:ascii="Palatino Linotype" w:hAnsi="Palatino Linotype" w:cs="Arial"/>
          <w:szCs w:val="28"/>
        </w:rPr>
        <w:t>/INFOEM/IP/RR/2019</w:t>
      </w:r>
      <w:r w:rsidRPr="00BC2F53">
        <w:rPr>
          <w:rFonts w:ascii="Palatino Linotype" w:hAnsi="Palatino Linotype" w:cs="Arial"/>
          <w:b/>
          <w:szCs w:val="28"/>
        </w:rPr>
        <w:t>,</w:t>
      </w:r>
      <w:r w:rsidRPr="00BC2F53">
        <w:rPr>
          <w:rFonts w:ascii="Palatino Linotype" w:hAnsi="Palatino Linotype" w:cs="Arial"/>
          <w:szCs w:val="28"/>
        </w:rPr>
        <w:t xml:space="preserve"> </w:t>
      </w:r>
      <w:r w:rsidRPr="00BC2F53">
        <w:rPr>
          <w:rFonts w:ascii="Palatino Linotype" w:hAnsi="Palatino Linotype" w:cs="Arial"/>
          <w:szCs w:val="28"/>
          <w:lang w:val="es-ES"/>
        </w:rPr>
        <w:t xml:space="preserve">porque al </w:t>
      </w:r>
      <w:r w:rsidRPr="00BC2F53">
        <w:rPr>
          <w:rFonts w:ascii="Palatino Linotype" w:hAnsi="Palatino Linotype" w:cs="Arial"/>
          <w:b/>
          <w:szCs w:val="28"/>
          <w:lang w:val="es-ES"/>
        </w:rPr>
        <w:t>modificar la respuesta el recurso de revisión quedó sin materia</w:t>
      </w:r>
      <w:r w:rsidRPr="00BC2F53">
        <w:rPr>
          <w:rFonts w:ascii="Palatino Linotype" w:hAnsi="Palatino Linotype" w:cs="Arial"/>
          <w:szCs w:val="28"/>
          <w:lang w:val="es-ES"/>
        </w:rPr>
        <w:t xml:space="preserve">, en términos del Considerando </w:t>
      </w:r>
      <w:r w:rsidRPr="00BC2F53">
        <w:rPr>
          <w:rFonts w:ascii="Palatino Linotype" w:hAnsi="Palatino Linotype" w:cs="Arial"/>
          <w:b/>
          <w:szCs w:val="28"/>
          <w:lang w:val="es-ES"/>
        </w:rPr>
        <w:t>QUINTO</w:t>
      </w:r>
      <w:r w:rsidRPr="00BC2F53">
        <w:rPr>
          <w:rFonts w:ascii="Palatino Linotype" w:hAnsi="Palatino Linotype" w:cs="Arial"/>
          <w:szCs w:val="28"/>
          <w:lang w:val="es-ES"/>
        </w:rPr>
        <w:t xml:space="preserve"> de la presente resolución.</w:t>
      </w:r>
    </w:p>
    <w:p w:rsidR="002E14E3" w:rsidRPr="00BC2F53" w:rsidRDefault="002E14E3" w:rsidP="002E14E3">
      <w:pPr>
        <w:pStyle w:val="Prrafodelista"/>
        <w:spacing w:before="100" w:beforeAutospacing="1" w:after="100" w:afterAutospacing="1" w:line="360" w:lineRule="auto"/>
        <w:ind w:left="0"/>
        <w:jc w:val="both"/>
        <w:rPr>
          <w:rFonts w:ascii="Palatino Linotype" w:hAnsi="Palatino Linotype" w:cs="Arial"/>
          <w:szCs w:val="28"/>
        </w:rPr>
      </w:pPr>
      <w:r w:rsidRPr="00BC2F53">
        <w:rPr>
          <w:rFonts w:ascii="Palatino Linotype" w:hAnsi="Palatino Linotype"/>
          <w:b/>
          <w:sz w:val="28"/>
          <w:szCs w:val="28"/>
        </w:rPr>
        <w:t>SEGUNDO</w:t>
      </w:r>
      <w:r w:rsidRPr="00BC2F53">
        <w:rPr>
          <w:rFonts w:ascii="Palatino Linotype" w:hAnsi="Palatino Linotype"/>
          <w:b/>
        </w:rPr>
        <w:t>. Notifíquese</w:t>
      </w:r>
      <w:r w:rsidRPr="00BC2F53">
        <w:rPr>
          <w:rFonts w:ascii="Palatino Linotype" w:hAnsi="Palatino Linotype"/>
        </w:rPr>
        <w:t xml:space="preserve"> la presente resolución al Titular de la Unidad de Transparencia del </w:t>
      </w:r>
      <w:r w:rsidRPr="00BC2F53">
        <w:rPr>
          <w:rFonts w:ascii="Palatino Linotype" w:hAnsi="Palatino Linotype"/>
          <w:b/>
        </w:rPr>
        <w:t>SUJETO OBLIGADO</w:t>
      </w:r>
      <w:r w:rsidRPr="00BC2F53">
        <w:rPr>
          <w:rFonts w:ascii="Palatino Linotype" w:hAnsi="Palatino Linotype"/>
        </w:rPr>
        <w:t xml:space="preserve"> para su conocimiento.</w:t>
      </w:r>
    </w:p>
    <w:p w:rsidR="000065B3" w:rsidRPr="00BC2F53" w:rsidRDefault="002E14E3" w:rsidP="002E14E3">
      <w:pPr>
        <w:pStyle w:val="Prrafodelista"/>
        <w:spacing w:before="100" w:beforeAutospacing="1" w:after="100" w:afterAutospacing="1" w:line="360" w:lineRule="auto"/>
        <w:ind w:left="0"/>
        <w:jc w:val="both"/>
        <w:rPr>
          <w:rFonts w:ascii="Palatino Linotype" w:hAnsi="Palatino Linotype"/>
          <w:lang w:eastAsia="es-ES_tradnl"/>
        </w:rPr>
      </w:pPr>
      <w:r w:rsidRPr="00BC2F53">
        <w:rPr>
          <w:rFonts w:ascii="Palatino Linotype" w:hAnsi="Palatino Linotype"/>
          <w:b/>
          <w:sz w:val="28"/>
          <w:szCs w:val="28"/>
          <w:lang w:eastAsia="es-ES_tradnl"/>
        </w:rPr>
        <w:t>TERCERO</w:t>
      </w:r>
      <w:r w:rsidRPr="00BC2F53">
        <w:rPr>
          <w:rFonts w:ascii="Palatino Linotype" w:hAnsi="Palatino Linotype"/>
          <w:b/>
          <w:lang w:eastAsia="es-ES_tradnl"/>
        </w:rPr>
        <w:t>. Notifíquese</w:t>
      </w:r>
      <w:r w:rsidRPr="00BC2F53">
        <w:rPr>
          <w:rFonts w:ascii="Palatino Linotype" w:hAnsi="Palatino Linotype"/>
          <w:lang w:eastAsia="es-ES_tradnl"/>
        </w:rPr>
        <w:t xml:space="preserve"> a</w:t>
      </w:r>
      <w:r w:rsidR="007F0FD4" w:rsidRPr="00BC2F53">
        <w:rPr>
          <w:rFonts w:ascii="Palatino Linotype" w:hAnsi="Palatino Linotype"/>
          <w:lang w:eastAsia="es-ES_tradnl"/>
        </w:rPr>
        <w:t xml:space="preserve">l </w:t>
      </w:r>
      <w:r w:rsidRPr="00BC2F53">
        <w:rPr>
          <w:rFonts w:ascii="Palatino Linotype" w:hAnsi="Palatino Linotype"/>
          <w:b/>
          <w:lang w:eastAsia="es-ES_tradnl"/>
        </w:rPr>
        <w:t>RECURRENTE</w:t>
      </w:r>
      <w:r w:rsidRPr="00BC2F53">
        <w:rPr>
          <w:rFonts w:ascii="Palatino Linotype" w:hAnsi="Palatino Linotype"/>
          <w:lang w:eastAsia="es-ES_tradnl"/>
        </w:rPr>
        <w:t xml:space="preserve"> la </w:t>
      </w:r>
      <w:r w:rsidRPr="00BC2F53">
        <w:rPr>
          <w:rFonts w:ascii="Palatino Linotype" w:hAnsi="Palatino Linotype"/>
        </w:rPr>
        <w:t>presente</w:t>
      </w:r>
      <w:r w:rsidR="007F0FD4" w:rsidRPr="00BC2F53">
        <w:rPr>
          <w:rFonts w:ascii="Palatino Linotype" w:hAnsi="Palatino Linotype"/>
          <w:lang w:eastAsia="es-ES_tradnl"/>
        </w:rPr>
        <w:t xml:space="preserve"> resolución</w:t>
      </w:r>
      <w:r w:rsidR="000065B3" w:rsidRPr="00BC2F53">
        <w:rPr>
          <w:rFonts w:ascii="Palatino Linotype" w:hAnsi="Palatino Linotype"/>
          <w:lang w:eastAsia="es-ES_tradnl"/>
        </w:rPr>
        <w:t>.</w:t>
      </w:r>
    </w:p>
    <w:p w:rsidR="002E14E3" w:rsidRDefault="002E14E3" w:rsidP="002E14E3">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BC2F53">
        <w:rPr>
          <w:rFonts w:ascii="Palatino Linotype" w:hAnsi="Palatino Linotype"/>
          <w:b/>
          <w:sz w:val="28"/>
          <w:szCs w:val="28"/>
          <w:lang w:eastAsia="es-ES_tradnl"/>
        </w:rPr>
        <w:t>CUARTO</w:t>
      </w:r>
      <w:r w:rsidRPr="00BC2F53">
        <w:rPr>
          <w:rFonts w:ascii="Palatino Linotype" w:hAnsi="Palatino Linotype"/>
          <w:b/>
          <w:lang w:eastAsia="es-ES_tradnl"/>
        </w:rPr>
        <w:t>. Hágase</w:t>
      </w:r>
      <w:r w:rsidRPr="00BC2F53">
        <w:rPr>
          <w:rFonts w:ascii="Palatino Linotype" w:hAnsi="Palatino Linotype"/>
          <w:lang w:eastAsia="es-ES_tradnl"/>
        </w:rPr>
        <w:t xml:space="preserve"> </w:t>
      </w:r>
      <w:r w:rsidRPr="00BC2F53">
        <w:rPr>
          <w:rFonts w:ascii="Palatino Linotype" w:hAnsi="Palatino Linotype"/>
          <w:b/>
          <w:lang w:eastAsia="es-ES_tradnl"/>
        </w:rPr>
        <w:t xml:space="preserve">del </w:t>
      </w:r>
      <w:r w:rsidRPr="00BC2F53">
        <w:rPr>
          <w:rFonts w:ascii="Palatino Linotype" w:hAnsi="Palatino Linotype"/>
          <w:b/>
        </w:rPr>
        <w:t>conocimiento</w:t>
      </w:r>
      <w:r w:rsidRPr="00BC2F53">
        <w:rPr>
          <w:rFonts w:ascii="Palatino Linotype" w:hAnsi="Palatino Linotype"/>
          <w:b/>
          <w:lang w:eastAsia="es-ES_tradnl"/>
        </w:rPr>
        <w:t xml:space="preserve"> </w:t>
      </w:r>
      <w:r w:rsidRPr="00BC2F53">
        <w:rPr>
          <w:rFonts w:ascii="Palatino Linotype" w:hAnsi="Palatino Linotype"/>
          <w:lang w:eastAsia="es-ES_tradnl"/>
        </w:rPr>
        <w:t>de</w:t>
      </w:r>
      <w:r w:rsidR="007F0FD4" w:rsidRPr="00BC2F53">
        <w:rPr>
          <w:rFonts w:ascii="Palatino Linotype" w:hAnsi="Palatino Linotype"/>
          <w:lang w:eastAsia="es-ES_tradnl"/>
        </w:rPr>
        <w:t xml:space="preserve">l </w:t>
      </w:r>
      <w:r w:rsidRPr="00BC2F53">
        <w:rPr>
          <w:rFonts w:ascii="Palatino Linotype" w:hAnsi="Palatino Linotype"/>
          <w:b/>
          <w:lang w:eastAsia="es-ES_tradnl"/>
        </w:rPr>
        <w:t>RECURRENTE</w:t>
      </w:r>
      <w:r w:rsidRPr="00BC2F53">
        <w:rPr>
          <w:rFonts w:ascii="Palatino Linotype" w:hAnsi="Palatino Linotype"/>
          <w:lang w:eastAsia="es-ES_tradnl"/>
        </w:rPr>
        <w:t xml:space="preserve">, </w:t>
      </w:r>
      <w:r w:rsidRPr="00BC2F53">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7C760A" w:rsidRDefault="00537D65" w:rsidP="00537D65">
      <w:pPr>
        <w:spacing w:before="200" w:line="360" w:lineRule="auto"/>
        <w:jc w:val="both"/>
        <w:rPr>
          <w:rFonts w:ascii="Palatino Linotype" w:hAnsi="Palatino Linotype" w:cs="Arial"/>
        </w:rPr>
      </w:pPr>
      <w:r w:rsidRPr="00537D65">
        <w:rPr>
          <w:rFonts w:ascii="Palatino Linotype" w:hAnsi="Palatino Linotype" w:cs="Arial"/>
        </w:rPr>
        <w:t>ASÍ LO RESUELVE, POR UNANIMIDAD DE VOTOS EL PLENO DEL</w:t>
      </w:r>
      <w:r w:rsidRPr="00537D65">
        <w:rPr>
          <w:rFonts w:ascii="Palatino Linotype" w:eastAsia="Arial Unicode MS" w:hAnsi="Palatino Linotype" w:cs="Arial"/>
        </w:rPr>
        <w:t xml:space="preserve"> INSTITUTO DE </w:t>
      </w:r>
      <w:r w:rsidRPr="00537D65">
        <w:rPr>
          <w:rFonts w:ascii="Palatino Linotype" w:hAnsi="Palatino Linotype"/>
          <w:lang w:eastAsia="en-US"/>
        </w:rPr>
        <w:t>TRANSPARENCIA</w:t>
      </w:r>
      <w:r w:rsidRPr="00537D65">
        <w:rPr>
          <w:rFonts w:ascii="Palatino Linotype" w:eastAsia="Arial Unicode MS" w:hAnsi="Palatino Linotype" w:cs="Arial"/>
        </w:rPr>
        <w:t>, ACCESO A LA INFORMACIÓN PÚBLICA Y PROTECCIÓN DE DATOS PERSONALES DEL ESTADO DE MÉXICO Y MUNICIPIOS</w:t>
      </w:r>
      <w:r w:rsidRPr="00537D65">
        <w:rPr>
          <w:rFonts w:ascii="Palatino Linotype" w:hAnsi="Palatino Linotype" w:cs="Arial"/>
        </w:rPr>
        <w:t xml:space="preserve">, </w:t>
      </w:r>
      <w:r w:rsidRPr="00537D65">
        <w:rPr>
          <w:rFonts w:ascii="Palatino Linotype" w:hAnsi="Palatino Linotype" w:cs="Arial"/>
        </w:rPr>
        <w:lastRenderedPageBreak/>
        <w:t>CONFORMADO POR LOS COMISIONADOS ZULEMA MARTÍNEZ SÁNCHEZ; EVA ABAID YAPUR; JOSÉ GUADALUPE LUNA HERNÁNDEZ; JAVIER MARTÍNEZ CRUZ Y LUIS GUSTAVO PARRA NORIEGA; EN</w:t>
      </w:r>
      <w:r w:rsidRPr="00537D65">
        <w:rPr>
          <w:rFonts w:ascii="Palatino Linotype" w:hAnsi="Palatino Linotype" w:cs="Arial"/>
          <w:shd w:val="clear" w:color="auto" w:fill="FFFFFF" w:themeFill="background1"/>
        </w:rPr>
        <w:t xml:space="preserve"> LA </w:t>
      </w:r>
      <w:r w:rsidRPr="00537D65">
        <w:rPr>
          <w:rFonts w:ascii="Palatino Linotype" w:hAnsi="Palatino Linotype" w:cs="Arial"/>
        </w:rPr>
        <w:t>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C760A" w:rsidRPr="005E7982" w:rsidTr="00A52BC2">
        <w:trPr>
          <w:jc w:val="center"/>
        </w:trPr>
        <w:tc>
          <w:tcPr>
            <w:tcW w:w="10365" w:type="dxa"/>
            <w:gridSpan w:val="2"/>
          </w:tcPr>
          <w:p w:rsidR="007C760A" w:rsidRDefault="007C760A"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Zulema Martínez Sánchez</w:t>
            </w:r>
          </w:p>
          <w:p w:rsidR="007C760A" w:rsidRPr="005E7982" w:rsidRDefault="007C760A" w:rsidP="00A52BC2">
            <w:pPr>
              <w:jc w:val="center"/>
              <w:rPr>
                <w:rFonts w:ascii="Palatino Linotype" w:hAnsi="Palatino Linotype" w:cs="Arial"/>
                <w:b/>
              </w:rPr>
            </w:pPr>
            <w:r w:rsidRPr="005E7982">
              <w:rPr>
                <w:rFonts w:ascii="Palatino Linotype" w:hAnsi="Palatino Linotype" w:cs="Arial"/>
              </w:rPr>
              <w:t>Comisionada Presidenta</w:t>
            </w: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 xml:space="preserve">(RÚBRICA) </w:t>
            </w:r>
          </w:p>
        </w:tc>
      </w:tr>
      <w:tr w:rsidR="007C760A" w:rsidRPr="005E7982" w:rsidTr="00A52BC2">
        <w:trPr>
          <w:jc w:val="center"/>
        </w:trPr>
        <w:tc>
          <w:tcPr>
            <w:tcW w:w="5182" w:type="dxa"/>
          </w:tcPr>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7C760A" w:rsidRPr="005E7982" w:rsidRDefault="007C760A" w:rsidP="00A52BC2">
            <w:pPr>
              <w:jc w:val="center"/>
              <w:rPr>
                <w:rFonts w:ascii="Palatino Linotype" w:hAnsi="Palatino Linotype" w:cs="Arial"/>
              </w:rPr>
            </w:pPr>
            <w:r w:rsidRPr="005E7982">
              <w:rPr>
                <w:rFonts w:ascii="Palatino Linotype" w:hAnsi="Palatino Linotype" w:cs="Arial"/>
              </w:rPr>
              <w:t>Comisionada</w:t>
            </w: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(RÚBRICA)</w:t>
            </w:r>
          </w:p>
        </w:tc>
        <w:tc>
          <w:tcPr>
            <w:tcW w:w="5183" w:type="dxa"/>
          </w:tcPr>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José Guadalupe Luna Hernández</w:t>
            </w:r>
          </w:p>
          <w:p w:rsidR="007C760A" w:rsidRPr="005E7982" w:rsidRDefault="007C760A" w:rsidP="00A52BC2">
            <w:pPr>
              <w:jc w:val="center"/>
              <w:rPr>
                <w:rFonts w:ascii="Palatino Linotype" w:hAnsi="Palatino Linotype" w:cs="Arial"/>
              </w:rPr>
            </w:pPr>
            <w:r w:rsidRPr="005E7982">
              <w:rPr>
                <w:rFonts w:ascii="Palatino Linotype" w:hAnsi="Palatino Linotype" w:cs="Arial"/>
              </w:rPr>
              <w:t>Comisionado</w:t>
            </w: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(RÚBRICA)</w:t>
            </w:r>
          </w:p>
        </w:tc>
      </w:tr>
      <w:tr w:rsidR="007C760A" w:rsidRPr="005E7982" w:rsidTr="00A52BC2">
        <w:trPr>
          <w:jc w:val="center"/>
        </w:trPr>
        <w:tc>
          <w:tcPr>
            <w:tcW w:w="5182" w:type="dxa"/>
          </w:tcPr>
          <w:p w:rsidR="007C760A" w:rsidRDefault="007C760A"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537D65">
            <w:pP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Javier Martínez Cruz</w:t>
            </w:r>
          </w:p>
          <w:p w:rsidR="007C760A" w:rsidRPr="005E7982" w:rsidRDefault="007C760A" w:rsidP="00A52BC2">
            <w:pPr>
              <w:jc w:val="center"/>
              <w:rPr>
                <w:rFonts w:ascii="Palatino Linotype" w:hAnsi="Palatino Linotype" w:cs="Arial"/>
              </w:rPr>
            </w:pPr>
            <w:r w:rsidRPr="005E7982">
              <w:rPr>
                <w:rFonts w:ascii="Palatino Linotype" w:hAnsi="Palatino Linotype" w:cs="Arial"/>
              </w:rPr>
              <w:t>Comisionado</w:t>
            </w:r>
          </w:p>
          <w:p w:rsidR="007C760A" w:rsidRPr="005E7982" w:rsidRDefault="007C760A" w:rsidP="00A52BC2">
            <w:pPr>
              <w:jc w:val="center"/>
              <w:rPr>
                <w:rFonts w:ascii="Palatino Linotype" w:hAnsi="Palatino Linotype" w:cs="Arial"/>
              </w:rPr>
            </w:pPr>
            <w:r w:rsidRPr="005E7982">
              <w:rPr>
                <w:rFonts w:ascii="Palatino Linotype" w:hAnsi="Palatino Linotype" w:cs="Arial"/>
                <w:b/>
              </w:rPr>
              <w:t>(RÚBRICA)</w:t>
            </w:r>
          </w:p>
        </w:tc>
        <w:tc>
          <w:tcPr>
            <w:tcW w:w="5183" w:type="dxa"/>
          </w:tcPr>
          <w:p w:rsidR="007C760A" w:rsidRDefault="007C760A"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537D65">
            <w:pP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Luis Gustavo Parra Noriega</w:t>
            </w:r>
          </w:p>
          <w:p w:rsidR="007C760A" w:rsidRPr="005E7982" w:rsidRDefault="007C760A" w:rsidP="00A52BC2">
            <w:pPr>
              <w:jc w:val="center"/>
              <w:rPr>
                <w:rFonts w:ascii="Palatino Linotype" w:hAnsi="Palatino Linotype" w:cs="Arial"/>
              </w:rPr>
            </w:pPr>
            <w:r w:rsidRPr="005E7982">
              <w:rPr>
                <w:rFonts w:ascii="Palatino Linotype" w:hAnsi="Palatino Linotype" w:cs="Arial"/>
              </w:rPr>
              <w:t>Comisionado</w:t>
            </w: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(RÚBRICA)</w:t>
            </w:r>
          </w:p>
        </w:tc>
      </w:tr>
      <w:tr w:rsidR="007C760A" w:rsidRPr="005E7982" w:rsidTr="00A52BC2">
        <w:trPr>
          <w:jc w:val="center"/>
        </w:trPr>
        <w:tc>
          <w:tcPr>
            <w:tcW w:w="10365" w:type="dxa"/>
            <w:gridSpan w:val="2"/>
          </w:tcPr>
          <w:p w:rsidR="007F0FD4" w:rsidRDefault="007F0FD4" w:rsidP="00A52BC2">
            <w:pPr>
              <w:jc w:val="center"/>
              <w:rPr>
                <w:rFonts w:ascii="Palatino Linotype" w:hAnsi="Palatino Linotype" w:cs="Arial"/>
                <w:b/>
              </w:rPr>
            </w:pPr>
          </w:p>
          <w:p w:rsidR="007F0FD4" w:rsidRDefault="007F0FD4" w:rsidP="00A52BC2">
            <w:pPr>
              <w:jc w:val="center"/>
              <w:rPr>
                <w:rFonts w:ascii="Palatino Linotype" w:hAnsi="Palatino Linotype" w:cs="Arial"/>
                <w:b/>
              </w:rPr>
            </w:pPr>
          </w:p>
          <w:p w:rsidR="007C760A" w:rsidRPr="005E7982" w:rsidRDefault="007C760A" w:rsidP="00A52BC2">
            <w:pPr>
              <w:jc w:val="center"/>
              <w:rPr>
                <w:rFonts w:ascii="Palatino Linotype" w:hAnsi="Palatino Linotype" w:cs="Arial"/>
                <w:b/>
              </w:rPr>
            </w:pPr>
          </w:p>
          <w:p w:rsidR="007C760A" w:rsidRPr="005E7982" w:rsidRDefault="007C760A" w:rsidP="00A52BC2">
            <w:pPr>
              <w:jc w:val="center"/>
              <w:rPr>
                <w:rFonts w:ascii="Palatino Linotype" w:hAnsi="Palatino Linotype" w:cs="Arial"/>
                <w:b/>
              </w:rPr>
            </w:pPr>
            <w:r w:rsidRPr="005E7982">
              <w:rPr>
                <w:rFonts w:ascii="Palatino Linotype" w:hAnsi="Palatino Linotype" w:cs="Arial"/>
                <w:b/>
              </w:rPr>
              <w:t>Alexis Tapia Ramírez</w:t>
            </w:r>
          </w:p>
          <w:p w:rsidR="007C760A" w:rsidRPr="005E7982" w:rsidRDefault="007C760A" w:rsidP="00A52BC2">
            <w:pPr>
              <w:jc w:val="center"/>
              <w:rPr>
                <w:rFonts w:ascii="Palatino Linotype" w:hAnsi="Palatino Linotype" w:cs="Arial"/>
              </w:rPr>
            </w:pPr>
            <w:r w:rsidRPr="005E7982">
              <w:rPr>
                <w:rFonts w:ascii="Palatino Linotype" w:hAnsi="Palatino Linotype" w:cs="Arial"/>
              </w:rPr>
              <w:t>Secretario Técnico del Pleno</w:t>
            </w:r>
          </w:p>
          <w:p w:rsidR="007C760A" w:rsidRPr="005E7982" w:rsidRDefault="007C760A" w:rsidP="00A52BC2">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C760A" w:rsidRDefault="007C760A" w:rsidP="007C760A">
      <w:pPr>
        <w:jc w:val="both"/>
        <w:rPr>
          <w:rFonts w:ascii="Palatino Linotype" w:hAnsi="Palatino Linotype" w:cs="Arial"/>
          <w:sz w:val="22"/>
        </w:rPr>
      </w:pPr>
    </w:p>
    <w:p w:rsidR="007F0FD4" w:rsidRDefault="007F0FD4" w:rsidP="007C760A">
      <w:pPr>
        <w:jc w:val="both"/>
        <w:rPr>
          <w:rFonts w:ascii="Palatino Linotype" w:hAnsi="Palatino Linotype" w:cs="Arial"/>
          <w:sz w:val="22"/>
        </w:rPr>
      </w:pPr>
    </w:p>
    <w:p w:rsidR="007C760A" w:rsidRPr="00655D8A" w:rsidRDefault="007C760A" w:rsidP="007C760A">
      <w:pPr>
        <w:jc w:val="both"/>
        <w:rPr>
          <w:rFonts w:ascii="Palatino Linotype" w:hAnsi="Palatino Linotype" w:cs="Arial"/>
          <w:sz w:val="22"/>
          <w:szCs w:val="22"/>
        </w:rPr>
      </w:pPr>
      <w:r w:rsidRPr="00655D8A">
        <w:rPr>
          <w:rFonts w:ascii="Palatino Linotype" w:hAnsi="Palatino Linotype" w:cs="Arial"/>
          <w:sz w:val="22"/>
          <w:szCs w:val="22"/>
        </w:rPr>
        <w:t xml:space="preserve">Esta hoja corresponde a la resolución de fecha </w:t>
      </w:r>
      <w:r w:rsidR="00903C69" w:rsidRPr="00655D8A">
        <w:rPr>
          <w:rFonts w:ascii="Palatino Linotype" w:hAnsi="Palatino Linotype" w:cs="Arial"/>
          <w:sz w:val="22"/>
          <w:szCs w:val="22"/>
        </w:rPr>
        <w:t xml:space="preserve">nueve </w:t>
      </w:r>
      <w:r w:rsidR="007F0FD4" w:rsidRPr="00655D8A">
        <w:rPr>
          <w:rFonts w:ascii="Palatino Linotype" w:hAnsi="Palatino Linotype" w:cs="Arial"/>
          <w:sz w:val="22"/>
          <w:szCs w:val="22"/>
        </w:rPr>
        <w:t xml:space="preserve">de octubre </w:t>
      </w:r>
      <w:r w:rsidRPr="00655D8A">
        <w:rPr>
          <w:rFonts w:ascii="Palatino Linotype" w:hAnsi="Palatino Linotype" w:cs="Arial"/>
          <w:sz w:val="22"/>
          <w:szCs w:val="22"/>
        </w:rPr>
        <w:t>de dos mil diecinueve, emitida en el recurso de revisión número 0</w:t>
      </w:r>
      <w:r w:rsidR="007F0FD4" w:rsidRPr="00655D8A">
        <w:rPr>
          <w:rFonts w:ascii="Palatino Linotype" w:hAnsi="Palatino Linotype" w:cs="Arial"/>
          <w:sz w:val="22"/>
          <w:szCs w:val="22"/>
        </w:rPr>
        <w:t>5602</w:t>
      </w:r>
      <w:r w:rsidRPr="00655D8A">
        <w:rPr>
          <w:rFonts w:ascii="Palatino Linotype" w:hAnsi="Palatino Linotype" w:cs="Arial"/>
          <w:sz w:val="22"/>
          <w:szCs w:val="22"/>
        </w:rPr>
        <w:t xml:space="preserve">/INFOEM/IP/RR/2019. </w:t>
      </w:r>
    </w:p>
    <w:p w:rsidR="00C23B43" w:rsidRPr="00655D8A" w:rsidRDefault="007C760A" w:rsidP="007F0FD4">
      <w:pPr>
        <w:jc w:val="both"/>
        <w:rPr>
          <w:sz w:val="22"/>
          <w:szCs w:val="22"/>
        </w:rPr>
      </w:pPr>
      <w:r w:rsidRPr="00655D8A">
        <w:rPr>
          <w:rFonts w:ascii="Palatino Linotype" w:hAnsi="Palatino Linotype" w:cs="Arial"/>
          <w:sz w:val="22"/>
          <w:szCs w:val="22"/>
        </w:rPr>
        <w:t>YSM/AMV</w:t>
      </w:r>
    </w:p>
    <w:sectPr w:rsidR="00C23B43" w:rsidRPr="00655D8A" w:rsidSect="00C4501B">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C2" w:rsidRDefault="004041C2" w:rsidP="007C760A">
      <w:r>
        <w:separator/>
      </w:r>
    </w:p>
  </w:endnote>
  <w:endnote w:type="continuationSeparator" w:id="0">
    <w:p w:rsidR="004041C2" w:rsidRDefault="004041C2" w:rsidP="007C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CE6FF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E53C3">
      <w:rPr>
        <w:rFonts w:ascii="Arial" w:hAnsi="Arial" w:cs="Arial"/>
        <w:b/>
        <w:bCs/>
        <w:noProof/>
        <w:sz w:val="20"/>
        <w:szCs w:val="20"/>
      </w:rPr>
      <w:t>33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E53C3">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CE6FF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E53C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E53C3">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C2" w:rsidRDefault="004041C2" w:rsidP="007C760A">
      <w:r>
        <w:separator/>
      </w:r>
    </w:p>
  </w:footnote>
  <w:footnote w:type="continuationSeparator" w:id="0">
    <w:p w:rsidR="004041C2" w:rsidRDefault="004041C2" w:rsidP="007C760A">
      <w:r>
        <w:continuationSeparator/>
      </w:r>
    </w:p>
  </w:footnote>
  <w:footnote w:id="1">
    <w:p w:rsidR="007F0FD4" w:rsidRPr="001B7ACD" w:rsidRDefault="007F0FD4" w:rsidP="007F0FD4">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7F0FD4" w:rsidRDefault="007F0FD4" w:rsidP="007F0FD4">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7F0FD4" w:rsidRPr="001B7ACD" w:rsidRDefault="007F0FD4" w:rsidP="007F0FD4">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2">
    <w:p w:rsidR="0000401B" w:rsidRDefault="0000401B" w:rsidP="0000401B">
      <w:pPr>
        <w:pStyle w:val="Textonotapie"/>
        <w:jc w:val="both"/>
        <w:rPr>
          <w:rFonts w:ascii="Palatino Linotype" w:hAnsi="Palatino Linotype"/>
          <w:sz w:val="16"/>
          <w:szCs w:val="16"/>
        </w:rPr>
      </w:pPr>
      <w:r>
        <w:rPr>
          <w:rStyle w:val="Refdenotaalpie"/>
        </w:rPr>
        <w:footnoteRef/>
      </w:r>
      <w:r>
        <w:t xml:space="preserve"> </w:t>
      </w:r>
      <w:r w:rsidRPr="0000401B">
        <w:rPr>
          <w:rFonts w:ascii="Palatino Linotype" w:hAnsi="Palatino Linotype"/>
          <w:b/>
          <w:sz w:val="16"/>
          <w:szCs w:val="16"/>
        </w:rPr>
        <w:t>Artículo 124</w:t>
      </w:r>
      <w:r w:rsidRPr="0000401B">
        <w:rPr>
          <w:rFonts w:ascii="Palatino Linotype" w:hAnsi="Palatino Linotype"/>
          <w:sz w:val="16"/>
          <w:szCs w:val="16"/>
        </w:rPr>
        <w:t xml:space="preserve">. Los documentos podrán </w:t>
      </w:r>
      <w:r w:rsidRPr="0000401B">
        <w:rPr>
          <w:rFonts w:ascii="Palatino Linotype" w:hAnsi="Palatino Linotype"/>
          <w:b/>
          <w:sz w:val="16"/>
          <w:szCs w:val="16"/>
        </w:rPr>
        <w:t>desclasificarse,</w:t>
      </w:r>
      <w:r w:rsidRPr="0000401B">
        <w:rPr>
          <w:rFonts w:ascii="Palatino Linotype" w:hAnsi="Palatino Linotype"/>
          <w:sz w:val="16"/>
          <w:szCs w:val="16"/>
        </w:rPr>
        <w:t xml:space="preserve"> por: </w:t>
      </w:r>
    </w:p>
    <w:p w:rsidR="0000401B" w:rsidRPr="000065B3" w:rsidRDefault="0000401B" w:rsidP="0000401B">
      <w:pPr>
        <w:pStyle w:val="Textonotapie"/>
        <w:jc w:val="both"/>
        <w:rPr>
          <w:rFonts w:ascii="Palatino Linotype" w:hAnsi="Palatino Linotype"/>
          <w:b/>
          <w:sz w:val="16"/>
          <w:szCs w:val="16"/>
        </w:rPr>
      </w:pPr>
      <w:r w:rsidRPr="0000401B">
        <w:rPr>
          <w:rFonts w:ascii="Palatino Linotype" w:hAnsi="Palatino Linotype"/>
          <w:b/>
          <w:sz w:val="16"/>
          <w:szCs w:val="16"/>
        </w:rPr>
        <w:t>I. El titular del área</w:t>
      </w:r>
      <w:r w:rsidRPr="0000401B">
        <w:rPr>
          <w:rFonts w:ascii="Palatino Linotype" w:hAnsi="Palatino Linotype"/>
          <w:sz w:val="16"/>
          <w:szCs w:val="16"/>
        </w:rPr>
        <w:t xml:space="preserve">, cuando haya transcurrido el periodo de reserva, o bien, cuando no habiendo transcurrido éste, </w:t>
      </w:r>
      <w:r w:rsidRPr="000065B3">
        <w:rPr>
          <w:rFonts w:ascii="Palatino Linotype" w:hAnsi="Palatino Linotype"/>
          <w:b/>
          <w:sz w:val="16"/>
          <w:szCs w:val="16"/>
        </w:rPr>
        <w:t>dejen de subsistir las causas que dieron origen a la clasificación;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6"/>
      <w:gridCol w:w="2972"/>
    </w:tblGrid>
    <w:tr w:rsidR="000045FA" w:rsidRPr="008F2CCC" w:rsidTr="009773E9">
      <w:tc>
        <w:tcPr>
          <w:tcW w:w="3828" w:type="dxa"/>
        </w:tcPr>
        <w:p w:rsidR="000045FA" w:rsidRPr="008F2CCC" w:rsidRDefault="00FE53C3" w:rsidP="009C1BFA">
          <w:pPr>
            <w:rPr>
              <w:rFonts w:ascii="Palatino Linotype" w:hAnsi="Palatino Linotype"/>
              <w:b/>
              <w:sz w:val="22"/>
              <w:szCs w:val="22"/>
              <w:lang w:val="es-ES_tradnl"/>
            </w:rPr>
          </w:pPr>
        </w:p>
      </w:tc>
      <w:tc>
        <w:tcPr>
          <w:tcW w:w="2556" w:type="dxa"/>
          <w:shd w:val="clear" w:color="auto" w:fill="auto"/>
        </w:tcPr>
        <w:p w:rsidR="000045FA" w:rsidRPr="00664658" w:rsidRDefault="00CE6FF5"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0045FA" w:rsidRPr="00664658" w:rsidRDefault="00CE6FF5" w:rsidP="006D277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sidR="007C760A">
            <w:rPr>
              <w:rFonts w:ascii="Palatino Linotype" w:hAnsi="Palatino Linotype"/>
              <w:b/>
              <w:sz w:val="22"/>
              <w:szCs w:val="22"/>
              <w:lang w:val="es-ES_tradnl"/>
            </w:rPr>
            <w:t>5602</w:t>
          </w:r>
          <w:r>
            <w:rPr>
              <w:rFonts w:ascii="Palatino Linotype" w:hAnsi="Palatino Linotype"/>
              <w:b/>
              <w:sz w:val="22"/>
              <w:szCs w:val="22"/>
              <w:lang w:val="es-ES_tradnl"/>
            </w:rPr>
            <w:t>/INFOEM/IP/RR/2019</w:t>
          </w:r>
        </w:p>
      </w:tc>
    </w:tr>
    <w:tr w:rsidR="000045FA" w:rsidRPr="008F2CCC" w:rsidTr="009773E9">
      <w:tc>
        <w:tcPr>
          <w:tcW w:w="3828" w:type="dxa"/>
        </w:tcPr>
        <w:p w:rsidR="000045FA" w:rsidRPr="008F2CCC" w:rsidRDefault="00FE53C3" w:rsidP="00070856">
          <w:pPr>
            <w:rPr>
              <w:rFonts w:ascii="Palatino Linotype" w:hAnsi="Palatino Linotype"/>
              <w:b/>
              <w:sz w:val="22"/>
              <w:szCs w:val="22"/>
              <w:lang w:val="es-ES_tradnl"/>
            </w:rPr>
          </w:pPr>
        </w:p>
      </w:tc>
      <w:tc>
        <w:tcPr>
          <w:tcW w:w="2556" w:type="dxa"/>
          <w:shd w:val="clear" w:color="auto" w:fill="auto"/>
        </w:tcPr>
        <w:p w:rsidR="000045FA" w:rsidRPr="00664658" w:rsidRDefault="00CE6FF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0045FA" w:rsidRPr="00664658" w:rsidRDefault="007C760A" w:rsidP="007C760A">
          <w:pPr>
            <w:jc w:val="both"/>
            <w:rPr>
              <w:rFonts w:ascii="Palatino Linotype" w:hAnsi="Palatino Linotype"/>
              <w:b/>
              <w:sz w:val="22"/>
              <w:szCs w:val="22"/>
              <w:lang w:val="es-ES_tradnl"/>
            </w:rPr>
          </w:pPr>
          <w:r>
            <w:rPr>
              <w:rFonts w:ascii="Palatino Linotype" w:hAnsi="Palatino Linotype"/>
              <w:b/>
              <w:sz w:val="22"/>
              <w:szCs w:val="22"/>
            </w:rPr>
            <w:t>Instituto Electoral del Estado de México</w:t>
          </w:r>
        </w:p>
      </w:tc>
    </w:tr>
    <w:tr w:rsidR="000045FA" w:rsidRPr="008F2CCC" w:rsidTr="009773E9">
      <w:trPr>
        <w:trHeight w:val="228"/>
      </w:trPr>
      <w:tc>
        <w:tcPr>
          <w:tcW w:w="3828" w:type="dxa"/>
        </w:tcPr>
        <w:p w:rsidR="000045FA" w:rsidRPr="008F2CCC" w:rsidRDefault="00FE53C3" w:rsidP="00070856">
          <w:pPr>
            <w:rPr>
              <w:rFonts w:ascii="Palatino Linotype" w:hAnsi="Palatino Linotype"/>
              <w:b/>
              <w:sz w:val="22"/>
              <w:szCs w:val="22"/>
              <w:lang w:val="es-ES_tradnl"/>
            </w:rPr>
          </w:pPr>
        </w:p>
      </w:tc>
      <w:tc>
        <w:tcPr>
          <w:tcW w:w="2556" w:type="dxa"/>
          <w:shd w:val="clear" w:color="auto" w:fill="auto"/>
        </w:tcPr>
        <w:p w:rsidR="000045FA" w:rsidRPr="00664658" w:rsidRDefault="00CE6FF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0045FA" w:rsidRPr="00664658" w:rsidRDefault="00CE6FF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045FA" w:rsidRPr="001779E0" w:rsidRDefault="00FE53C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727"/>
      <w:gridCol w:w="3226"/>
    </w:tblGrid>
    <w:tr w:rsidR="000045FA" w:rsidRPr="008F2CCC" w:rsidTr="009773E9">
      <w:tc>
        <w:tcPr>
          <w:tcW w:w="3403" w:type="dxa"/>
          <w:vMerge w:val="restart"/>
        </w:tcPr>
        <w:p w:rsidR="000045FA" w:rsidRPr="008F2CCC" w:rsidRDefault="00FE53C3" w:rsidP="00A2780F">
          <w:pPr>
            <w:rPr>
              <w:rFonts w:ascii="Palatino Linotype" w:hAnsi="Palatino Linotype"/>
              <w:b/>
              <w:sz w:val="22"/>
              <w:szCs w:val="22"/>
              <w:lang w:val="es-ES_tradnl"/>
            </w:rPr>
          </w:pPr>
        </w:p>
      </w:tc>
      <w:tc>
        <w:tcPr>
          <w:tcW w:w="2727" w:type="dxa"/>
          <w:shd w:val="clear" w:color="auto" w:fill="auto"/>
        </w:tcPr>
        <w:p w:rsidR="000045FA" w:rsidRPr="008F2CCC" w:rsidRDefault="00CE6FF5"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26" w:type="dxa"/>
          <w:shd w:val="clear" w:color="auto" w:fill="auto"/>
          <w:vAlign w:val="center"/>
        </w:tcPr>
        <w:p w:rsidR="000045FA" w:rsidRPr="008F2CCC" w:rsidRDefault="007C760A" w:rsidP="009773E9">
          <w:pPr>
            <w:jc w:val="both"/>
            <w:rPr>
              <w:rFonts w:ascii="Palatino Linotype" w:hAnsi="Palatino Linotype"/>
              <w:b/>
              <w:sz w:val="22"/>
              <w:szCs w:val="22"/>
              <w:lang w:val="es-ES_tradnl"/>
            </w:rPr>
          </w:pPr>
          <w:r>
            <w:rPr>
              <w:rFonts w:ascii="Palatino Linotype" w:hAnsi="Palatino Linotype"/>
              <w:b/>
              <w:sz w:val="22"/>
              <w:szCs w:val="22"/>
              <w:lang w:val="es-ES_tradnl"/>
            </w:rPr>
            <w:t>05602</w:t>
          </w:r>
          <w:r w:rsidR="00CE6FF5">
            <w:rPr>
              <w:rFonts w:ascii="Palatino Linotype" w:hAnsi="Palatino Linotype"/>
              <w:b/>
              <w:sz w:val="22"/>
              <w:szCs w:val="22"/>
              <w:lang w:val="es-ES_tradnl"/>
            </w:rPr>
            <w:t>/INFOEM/IP/RR/2019</w:t>
          </w:r>
        </w:p>
      </w:tc>
    </w:tr>
    <w:tr w:rsidR="000045FA" w:rsidRPr="008F2CCC" w:rsidTr="009773E9">
      <w:tc>
        <w:tcPr>
          <w:tcW w:w="3403" w:type="dxa"/>
          <w:vMerge/>
        </w:tcPr>
        <w:p w:rsidR="000045FA" w:rsidRPr="008F2CCC" w:rsidRDefault="00FE53C3" w:rsidP="00A2780F">
          <w:pPr>
            <w:rPr>
              <w:rFonts w:ascii="Palatino Linotype" w:hAnsi="Palatino Linotype"/>
              <w:b/>
              <w:sz w:val="22"/>
              <w:szCs w:val="22"/>
              <w:lang w:val="es-ES_tradnl"/>
            </w:rPr>
          </w:pPr>
        </w:p>
      </w:tc>
      <w:tc>
        <w:tcPr>
          <w:tcW w:w="2727" w:type="dxa"/>
          <w:shd w:val="clear" w:color="auto" w:fill="auto"/>
          <w:vAlign w:val="center"/>
        </w:tcPr>
        <w:p w:rsidR="000045FA" w:rsidRPr="008F2CCC" w:rsidRDefault="00CE6FF5"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26" w:type="dxa"/>
          <w:shd w:val="clear" w:color="auto" w:fill="auto"/>
          <w:vAlign w:val="center"/>
        </w:tcPr>
        <w:p w:rsidR="000045FA" w:rsidRPr="008F2CCC" w:rsidRDefault="00FE53C3" w:rsidP="00FE53C3">
          <w:pPr>
            <w:jc w:val="both"/>
            <w:rPr>
              <w:rFonts w:ascii="Palatino Linotype" w:hAnsi="Palatino Linotype"/>
              <w:b/>
              <w:sz w:val="22"/>
              <w:szCs w:val="22"/>
              <w:lang w:val="es-ES_tradnl"/>
            </w:rPr>
          </w:pPr>
          <w:r>
            <w:rPr>
              <w:rFonts w:ascii="Palatino Linotype" w:hAnsi="Palatino Linotype"/>
              <w:b/>
              <w:sz w:val="22"/>
              <w:szCs w:val="22"/>
              <w:lang w:val="es-ES_tradnl"/>
            </w:rPr>
            <w:t>XXXXXXXXXX XXXXXXXXXXXX</w:t>
          </w:r>
        </w:p>
      </w:tc>
    </w:tr>
    <w:tr w:rsidR="000045FA" w:rsidRPr="008F2CCC" w:rsidTr="009773E9">
      <w:trPr>
        <w:trHeight w:val="228"/>
      </w:trPr>
      <w:tc>
        <w:tcPr>
          <w:tcW w:w="3403" w:type="dxa"/>
          <w:vMerge/>
        </w:tcPr>
        <w:p w:rsidR="000045FA" w:rsidRPr="008F2CCC" w:rsidRDefault="00FE53C3" w:rsidP="00E37C88">
          <w:pPr>
            <w:rPr>
              <w:rFonts w:ascii="Palatino Linotype" w:hAnsi="Palatino Linotype"/>
              <w:b/>
              <w:sz w:val="22"/>
              <w:szCs w:val="22"/>
              <w:lang w:val="es-ES_tradnl"/>
            </w:rPr>
          </w:pPr>
        </w:p>
      </w:tc>
      <w:tc>
        <w:tcPr>
          <w:tcW w:w="2727" w:type="dxa"/>
          <w:shd w:val="clear" w:color="auto" w:fill="auto"/>
        </w:tcPr>
        <w:p w:rsidR="000045FA" w:rsidRPr="008F2CCC" w:rsidRDefault="00CE6FF5"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226" w:type="dxa"/>
          <w:shd w:val="clear" w:color="auto" w:fill="auto"/>
          <w:vAlign w:val="center"/>
        </w:tcPr>
        <w:p w:rsidR="000045FA" w:rsidRPr="00462829" w:rsidRDefault="007C760A" w:rsidP="00547844">
          <w:pPr>
            <w:jc w:val="both"/>
            <w:rPr>
              <w:rFonts w:ascii="Palatino Linotype" w:hAnsi="Palatino Linotype"/>
              <w:b/>
              <w:sz w:val="22"/>
              <w:szCs w:val="22"/>
            </w:rPr>
          </w:pPr>
          <w:r>
            <w:rPr>
              <w:rFonts w:ascii="Palatino Linotype" w:hAnsi="Palatino Linotype"/>
              <w:b/>
              <w:sz w:val="22"/>
              <w:szCs w:val="22"/>
            </w:rPr>
            <w:t>Instituto Electoral del Estado de México</w:t>
          </w:r>
        </w:p>
      </w:tc>
    </w:tr>
    <w:tr w:rsidR="000045FA" w:rsidRPr="008F2CCC" w:rsidTr="009773E9">
      <w:tc>
        <w:tcPr>
          <w:tcW w:w="3403" w:type="dxa"/>
          <w:vMerge/>
        </w:tcPr>
        <w:p w:rsidR="000045FA" w:rsidRPr="008F2CCC" w:rsidRDefault="00FE53C3" w:rsidP="00A2780F">
          <w:pPr>
            <w:rPr>
              <w:rFonts w:ascii="Palatino Linotype" w:hAnsi="Palatino Linotype"/>
              <w:b/>
              <w:sz w:val="22"/>
              <w:szCs w:val="22"/>
              <w:lang w:val="es-ES_tradnl"/>
            </w:rPr>
          </w:pPr>
        </w:p>
      </w:tc>
      <w:tc>
        <w:tcPr>
          <w:tcW w:w="2727" w:type="dxa"/>
          <w:shd w:val="clear" w:color="auto" w:fill="auto"/>
        </w:tcPr>
        <w:p w:rsidR="000045FA" w:rsidRPr="008F2CCC" w:rsidRDefault="00CE6FF5"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26" w:type="dxa"/>
          <w:shd w:val="clear" w:color="auto" w:fill="auto"/>
        </w:tcPr>
        <w:p w:rsidR="000045FA" w:rsidRPr="008F2CCC" w:rsidRDefault="00CE6FF5" w:rsidP="0054784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045FA" w:rsidRPr="000045FA" w:rsidRDefault="00FE53C3">
    <w:pPr>
      <w:pStyle w:val="Encabezad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40D29"/>
    <w:multiLevelType w:val="hybridMultilevel"/>
    <w:tmpl w:val="D242AD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60A"/>
    <w:rsid w:val="0000401B"/>
    <w:rsid w:val="000065B3"/>
    <w:rsid w:val="0002728D"/>
    <w:rsid w:val="00033D4B"/>
    <w:rsid w:val="00073C12"/>
    <w:rsid w:val="001E4149"/>
    <w:rsid w:val="002C6F5B"/>
    <w:rsid w:val="002E14E3"/>
    <w:rsid w:val="002E44FB"/>
    <w:rsid w:val="004041C2"/>
    <w:rsid w:val="00446A43"/>
    <w:rsid w:val="00537D65"/>
    <w:rsid w:val="00655D8A"/>
    <w:rsid w:val="006A4A0A"/>
    <w:rsid w:val="007327F6"/>
    <w:rsid w:val="00746CF4"/>
    <w:rsid w:val="007A76FC"/>
    <w:rsid w:val="007C760A"/>
    <w:rsid w:val="007F0FD4"/>
    <w:rsid w:val="00894EDA"/>
    <w:rsid w:val="008E75E8"/>
    <w:rsid w:val="00903C69"/>
    <w:rsid w:val="00967654"/>
    <w:rsid w:val="00972C16"/>
    <w:rsid w:val="00BC2F53"/>
    <w:rsid w:val="00C13930"/>
    <w:rsid w:val="00C23B43"/>
    <w:rsid w:val="00C9714C"/>
    <w:rsid w:val="00CB3F09"/>
    <w:rsid w:val="00CD0E7C"/>
    <w:rsid w:val="00CE6FF5"/>
    <w:rsid w:val="00DF394D"/>
    <w:rsid w:val="00E87C1F"/>
    <w:rsid w:val="00ED705C"/>
    <w:rsid w:val="00FE53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68C1A1-1CF5-4B64-805E-00843ACC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60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60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C760A"/>
    <w:rPr>
      <w:rFonts w:eastAsiaTheme="minorEastAsia"/>
      <w:sz w:val="24"/>
      <w:szCs w:val="24"/>
      <w:lang w:val="es-ES_tradnl" w:eastAsia="es-ES"/>
    </w:rPr>
  </w:style>
  <w:style w:type="paragraph" w:styleId="Piedepgina">
    <w:name w:val="footer"/>
    <w:basedOn w:val="Normal"/>
    <w:link w:val="PiedepginaCar"/>
    <w:uiPriority w:val="99"/>
    <w:unhideWhenUsed/>
    <w:rsid w:val="007C760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C760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C760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C760A"/>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7C760A"/>
    <w:rPr>
      <w:vertAlign w:val="superscript"/>
    </w:rPr>
  </w:style>
  <w:style w:type="character" w:styleId="Hipervnculo">
    <w:name w:val="Hyperlink"/>
    <w:basedOn w:val="Fuentedeprrafopredeter"/>
    <w:uiPriority w:val="99"/>
    <w:semiHidden/>
    <w:unhideWhenUsed/>
    <w:rsid w:val="007C760A"/>
    <w:rPr>
      <w:color w:val="0000FF"/>
      <w:u w:val="single"/>
    </w:rPr>
  </w:style>
  <w:style w:type="paragraph" w:styleId="Textodeglobo">
    <w:name w:val="Balloon Text"/>
    <w:basedOn w:val="Normal"/>
    <w:link w:val="TextodegloboCar"/>
    <w:uiPriority w:val="99"/>
    <w:semiHidden/>
    <w:unhideWhenUsed/>
    <w:rsid w:val="00DF394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394D"/>
    <w:rPr>
      <w:rFonts w:ascii="Segoe UI" w:eastAsia="Times New Roman" w:hAnsi="Segoe UI" w:cs="Segoe UI"/>
      <w:sz w:val="18"/>
      <w:szCs w:val="18"/>
      <w:lang w:eastAsia="es-ES"/>
    </w:rPr>
  </w:style>
  <w:style w:type="paragraph" w:styleId="Textonotapie">
    <w:name w:val="footnote text"/>
    <w:basedOn w:val="Normal"/>
    <w:link w:val="TextonotapieCar"/>
    <w:uiPriority w:val="99"/>
    <w:semiHidden/>
    <w:unhideWhenUsed/>
    <w:rsid w:val="0000401B"/>
    <w:rPr>
      <w:sz w:val="20"/>
      <w:szCs w:val="20"/>
    </w:rPr>
  </w:style>
  <w:style w:type="character" w:customStyle="1" w:styleId="TextonotapieCar">
    <w:name w:val="Texto nota pie Car"/>
    <w:basedOn w:val="Fuentedeprrafopredeter"/>
    <w:link w:val="Textonotapie"/>
    <w:uiPriority w:val="99"/>
    <w:semiHidden/>
    <w:rsid w:val="0000401B"/>
    <w:rPr>
      <w:rFonts w:ascii="Times New Roman" w:eastAsia="Times New Roman" w:hAnsi="Times New Roman" w:cs="Times New Roman"/>
      <w:sz w:val="20"/>
      <w:szCs w:val="20"/>
      <w:lang w:eastAsia="es-ES"/>
    </w:rPr>
  </w:style>
  <w:style w:type="paragraph" w:styleId="NormalWeb">
    <w:name w:val="Normal (Web)"/>
    <w:basedOn w:val="Normal"/>
    <w:uiPriority w:val="99"/>
    <w:semiHidden/>
    <w:unhideWhenUsed/>
    <w:rsid w:val="00746CF4"/>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442208">
      <w:bodyDiv w:val="1"/>
      <w:marLeft w:val="0"/>
      <w:marRight w:val="0"/>
      <w:marTop w:val="0"/>
      <w:marBottom w:val="0"/>
      <w:divBdr>
        <w:top w:val="none" w:sz="0" w:space="0" w:color="auto"/>
        <w:left w:val="none" w:sz="0" w:space="0" w:color="auto"/>
        <w:bottom w:val="none" w:sz="0" w:space="0" w:color="auto"/>
        <w:right w:val="none" w:sz="0" w:space="0" w:color="auto"/>
      </w:divBdr>
      <w:divsChild>
        <w:div w:id="487476537">
          <w:marLeft w:val="0"/>
          <w:marRight w:val="0"/>
          <w:marTop w:val="0"/>
          <w:marBottom w:val="0"/>
          <w:divBdr>
            <w:top w:val="none" w:sz="0" w:space="0" w:color="auto"/>
            <w:left w:val="none" w:sz="0" w:space="0" w:color="auto"/>
            <w:bottom w:val="none" w:sz="0" w:space="0" w:color="auto"/>
            <w:right w:val="none" w:sz="0" w:space="0" w:color="auto"/>
          </w:divBdr>
        </w:div>
        <w:div w:id="721565743">
          <w:marLeft w:val="0"/>
          <w:marRight w:val="0"/>
          <w:marTop w:val="0"/>
          <w:marBottom w:val="0"/>
          <w:divBdr>
            <w:top w:val="none" w:sz="0" w:space="0" w:color="auto"/>
            <w:left w:val="none" w:sz="0" w:space="0" w:color="auto"/>
            <w:bottom w:val="none" w:sz="0" w:space="0" w:color="auto"/>
            <w:right w:val="none" w:sz="0" w:space="0" w:color="auto"/>
          </w:divBdr>
        </w:div>
        <w:div w:id="1902788880">
          <w:marLeft w:val="0"/>
          <w:marRight w:val="0"/>
          <w:marTop w:val="0"/>
          <w:marBottom w:val="0"/>
          <w:divBdr>
            <w:top w:val="none" w:sz="0" w:space="0" w:color="auto"/>
            <w:left w:val="none" w:sz="0" w:space="0" w:color="auto"/>
            <w:bottom w:val="none" w:sz="0" w:space="0" w:color="auto"/>
            <w:right w:val="none" w:sz="0" w:space="0" w:color="auto"/>
          </w:divBdr>
        </w:div>
        <w:div w:id="693727140">
          <w:marLeft w:val="0"/>
          <w:marRight w:val="0"/>
          <w:marTop w:val="0"/>
          <w:marBottom w:val="0"/>
          <w:divBdr>
            <w:top w:val="none" w:sz="0" w:space="0" w:color="auto"/>
            <w:left w:val="none" w:sz="0" w:space="0" w:color="auto"/>
            <w:bottom w:val="none" w:sz="0" w:space="0" w:color="auto"/>
            <w:right w:val="none" w:sz="0" w:space="0" w:color="auto"/>
          </w:divBdr>
        </w:div>
      </w:divsChild>
    </w:div>
    <w:div w:id="1034958728">
      <w:bodyDiv w:val="1"/>
      <w:marLeft w:val="0"/>
      <w:marRight w:val="0"/>
      <w:marTop w:val="0"/>
      <w:marBottom w:val="0"/>
      <w:divBdr>
        <w:top w:val="none" w:sz="0" w:space="0" w:color="auto"/>
        <w:left w:val="none" w:sz="0" w:space="0" w:color="auto"/>
        <w:bottom w:val="none" w:sz="0" w:space="0" w:color="auto"/>
        <w:right w:val="none" w:sz="0" w:space="0" w:color="auto"/>
      </w:divBdr>
      <w:divsChild>
        <w:div w:id="984818940">
          <w:marLeft w:val="0"/>
          <w:marRight w:val="0"/>
          <w:marTop w:val="0"/>
          <w:marBottom w:val="0"/>
          <w:divBdr>
            <w:top w:val="none" w:sz="0" w:space="0" w:color="auto"/>
            <w:left w:val="none" w:sz="0" w:space="0" w:color="auto"/>
            <w:bottom w:val="none" w:sz="0" w:space="0" w:color="auto"/>
            <w:right w:val="none" w:sz="0" w:space="0" w:color="auto"/>
          </w:divBdr>
        </w:div>
        <w:div w:id="1842810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www.saimex.org.mx/saimex/solicitud/downloadAttach/716587.page"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715903.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2F0D4-30BE-44E1-BA78-3C2823A9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7428</Words>
  <Characters>40858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2019-10-10T18:07:00Z</cp:lastPrinted>
  <dcterms:created xsi:type="dcterms:W3CDTF">2019-10-03T19:55:00Z</dcterms:created>
  <dcterms:modified xsi:type="dcterms:W3CDTF">2019-10-25T18:18:00Z</dcterms:modified>
</cp:coreProperties>
</file>