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CD" w:rsidRPr="00AD2A55" w:rsidRDefault="00FF3DCD" w:rsidP="00FF3DC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veintisiete de noviembre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FF3DCD" w:rsidRPr="00AD2A55" w:rsidRDefault="00FF3DCD" w:rsidP="00FF3DCD">
      <w:pPr>
        <w:shd w:val="clear" w:color="auto" w:fill="FFFFFF"/>
        <w:spacing w:after="0" w:line="360" w:lineRule="auto"/>
        <w:jc w:val="both"/>
        <w:rPr>
          <w:rFonts w:ascii="Palatino Linotype" w:eastAsia="Times New Roman" w:hAnsi="Palatino Linotype" w:cs="Arial"/>
          <w:color w:val="000000"/>
          <w:sz w:val="24"/>
          <w:szCs w:val="24"/>
          <w:lang w:eastAsia="es-MX"/>
        </w:rPr>
      </w:pPr>
    </w:p>
    <w:p w:rsidR="00FF3DCD" w:rsidRPr="00AD2A55" w:rsidRDefault="00FF3DCD" w:rsidP="00FF3DC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7540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Pr="00F757CD">
        <w:rPr>
          <w:rFonts w:ascii="Palatino Linotype" w:hAnsi="Palatino Linotype" w:cs="Arial"/>
          <w:sz w:val="24"/>
          <w:szCs w:val="24"/>
        </w:rPr>
        <w:t>un</w:t>
      </w:r>
      <w:r>
        <w:rPr>
          <w:rFonts w:ascii="Palatino Linotype" w:hAnsi="Palatino Linotype" w:cs="Arial"/>
          <w:sz w:val="24"/>
          <w:szCs w:val="24"/>
        </w:rPr>
        <w:t xml:space="preserve"> </w:t>
      </w:r>
      <w:r>
        <w:rPr>
          <w:rFonts w:ascii="Palatino Linotype" w:hAnsi="Palatino Linotype" w:cs="Arial"/>
          <w:sz w:val="24"/>
          <w:szCs w:val="24"/>
        </w:rPr>
        <w:t>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Tlalnepantla de Baz</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F3DCD" w:rsidRPr="00AD2A55" w:rsidRDefault="00FF3DCD" w:rsidP="00FF3DCD">
      <w:pPr>
        <w:tabs>
          <w:tab w:val="left" w:pos="6960"/>
        </w:tabs>
        <w:spacing w:after="0" w:line="360" w:lineRule="auto"/>
        <w:jc w:val="both"/>
        <w:rPr>
          <w:rFonts w:ascii="Palatino Linotype" w:hAnsi="Palatino Linotype" w:cs="Arial"/>
          <w:sz w:val="24"/>
          <w:szCs w:val="24"/>
        </w:rPr>
      </w:pPr>
    </w:p>
    <w:p w:rsidR="00FF3DCD" w:rsidRPr="007763F3" w:rsidRDefault="00FF3DCD" w:rsidP="00FF3DC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F3DCD" w:rsidRPr="00D23436" w:rsidRDefault="00FF3DCD" w:rsidP="00FF3DCD">
      <w:pPr>
        <w:spacing w:after="0" w:line="360" w:lineRule="auto"/>
        <w:rPr>
          <w:rFonts w:ascii="Palatino Linotype" w:hAnsi="Palatino Linotype" w:cs="Arial"/>
          <w:b/>
          <w:sz w:val="24"/>
          <w:szCs w:val="24"/>
        </w:rPr>
      </w:pPr>
    </w:p>
    <w:p w:rsidR="00FF3DCD" w:rsidRPr="004C083E" w:rsidRDefault="00FF3DCD" w:rsidP="00FF3D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F3DCD" w:rsidRDefault="00FF3DCD" w:rsidP="00FF3D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agosto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747AE">
        <w:rPr>
          <w:rFonts w:ascii="Palatino Linotype" w:hAnsi="Palatino Linotype" w:cs="Arial"/>
          <w:b/>
          <w:sz w:val="24"/>
          <w:szCs w:val="24"/>
        </w:rPr>
        <w:t>00859/TLALNEPA/IP/2019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F3DCD" w:rsidRDefault="00FF3DCD" w:rsidP="00FF3DCD">
      <w:pPr>
        <w:spacing w:after="0" w:line="360" w:lineRule="auto"/>
        <w:jc w:val="both"/>
        <w:rPr>
          <w:rFonts w:ascii="Palatino Linotype" w:hAnsi="Palatino Linotype" w:cs="Arial"/>
          <w:sz w:val="24"/>
          <w:szCs w:val="24"/>
        </w:rPr>
      </w:pPr>
    </w:p>
    <w:p w:rsidR="00FF3DCD" w:rsidRPr="00DB054A" w:rsidRDefault="00FF3DCD" w:rsidP="00FF3DC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0747AE">
        <w:rPr>
          <w:rFonts w:ascii="Palatino Linotype" w:eastAsia="Times New Roman" w:hAnsi="Palatino Linotype" w:cs="Times New Roman"/>
          <w:i/>
          <w:szCs w:val="24"/>
          <w:lang w:val="es-ES_tradnl" w:eastAsia="es-ES"/>
        </w:rPr>
        <w:t>SOLICITO COPIAS CERTIFICADAS, DEL CONVENIO DE COORDINACIÓN CELEBRADO ENTRE EL MUNICIPIO DE TLALNEPANTLA FIRMADO POR LA LIC. AURORA DENISSE UGALDE ALEGRÍA, Y LA PROPAEM, EL 12 DE SEPTIEMBRE DEL 2017</w:t>
      </w:r>
      <w:r>
        <w:rPr>
          <w:rFonts w:ascii="Palatino Linotype" w:eastAsia="Times New Roman" w:hAnsi="Palatino Linotype" w:cs="Times New Roman"/>
          <w:i/>
          <w:szCs w:val="24"/>
          <w:lang w:val="es-ES_tradnl" w:eastAsia="es-ES"/>
        </w:rPr>
        <w:t>”</w:t>
      </w:r>
    </w:p>
    <w:p w:rsidR="00FF3DCD" w:rsidRDefault="00FF3DCD" w:rsidP="00FF3DC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F3DCD" w:rsidRPr="00C05BFE" w:rsidRDefault="00FF3DCD" w:rsidP="00FF3DCD">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Copias Certificadas (con costo)</w:t>
      </w:r>
    </w:p>
    <w:p w:rsidR="00FF3DCD" w:rsidRPr="004C083E" w:rsidRDefault="00FF3DCD" w:rsidP="00FF3D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FF3DCD" w:rsidRDefault="00FF3DCD" w:rsidP="00FF3D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uno de septiembre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0747AE">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F3DCD" w:rsidRPr="000747AE" w:rsidRDefault="00FF3DCD" w:rsidP="00FF3DCD">
      <w:pPr>
        <w:spacing w:after="0" w:line="276" w:lineRule="auto"/>
        <w:ind w:left="567" w:right="567"/>
        <w:jc w:val="both"/>
        <w:rPr>
          <w:rFonts w:ascii="Palatino Linotype" w:hAnsi="Palatino Linotype" w:cs="Arial"/>
          <w:i/>
          <w:szCs w:val="24"/>
        </w:rPr>
      </w:pPr>
    </w:p>
    <w:p w:rsidR="00FF3DCD" w:rsidRPr="00DB054A" w:rsidRDefault="00FF3DCD" w:rsidP="00FF3DCD">
      <w:pPr>
        <w:spacing w:after="0" w:line="276" w:lineRule="auto"/>
        <w:ind w:left="567" w:right="567"/>
        <w:jc w:val="both"/>
        <w:rPr>
          <w:rFonts w:ascii="Palatino Linotype" w:hAnsi="Palatino Linotype" w:cs="Arial"/>
          <w:i/>
          <w:szCs w:val="24"/>
        </w:rPr>
      </w:pPr>
      <w:r w:rsidRPr="000747AE">
        <w:rPr>
          <w:rFonts w:ascii="Palatino Linotype" w:hAnsi="Palatino Linotype" w:cs="Arial"/>
          <w:i/>
          <w:szCs w:val="24"/>
        </w:rPr>
        <w:t>Con fundamento en los artículos 12 segundo párrafo, 53 fracción II y V 163 de la Ley de Transparencia y Acceso a la Información Pública del Estado de México y Municipios. SE ENVÍAN OFICIOS A LA SOLICITUD DE INFORMACIÓN PÚBLICA CON NÚMERO DE FOLIO 00859/TLALNEPA/IP/2019.</w:t>
      </w:r>
      <w:r>
        <w:rPr>
          <w:rFonts w:ascii="Palatino Linotype" w:hAnsi="Palatino Linotype" w:cs="Arial"/>
          <w:i/>
          <w:szCs w:val="24"/>
        </w:rPr>
        <w:t>” (</w:t>
      </w:r>
      <w:proofErr w:type="gramStart"/>
      <w:r>
        <w:rPr>
          <w:rFonts w:ascii="Palatino Linotype" w:hAnsi="Palatino Linotype" w:cs="Arial"/>
          <w:i/>
          <w:szCs w:val="24"/>
        </w:rPr>
        <w:t>sic</w:t>
      </w:r>
      <w:proofErr w:type="gramEnd"/>
      <w:r>
        <w:rPr>
          <w:rFonts w:ascii="Palatino Linotype" w:hAnsi="Palatino Linotype" w:cs="Arial"/>
          <w:i/>
          <w:szCs w:val="24"/>
        </w:rPr>
        <w:t>)</w:t>
      </w:r>
    </w:p>
    <w:p w:rsidR="00FF3DCD" w:rsidRDefault="00FF3DCD" w:rsidP="00FF3DCD">
      <w:pPr>
        <w:spacing w:after="0" w:line="360" w:lineRule="auto"/>
        <w:jc w:val="both"/>
        <w:rPr>
          <w:rFonts w:ascii="Palatino Linotype" w:hAnsi="Palatino Linotype" w:cs="Arial"/>
          <w:sz w:val="24"/>
          <w:szCs w:val="24"/>
        </w:rPr>
      </w:pPr>
    </w:p>
    <w:p w:rsidR="00FF3DCD" w:rsidRPr="00775155" w:rsidRDefault="00FF3DCD" w:rsidP="00FF3DC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0747AE">
        <w:rPr>
          <w:rFonts w:ascii="Palatino Linotype" w:hAnsi="Palatino Linotype" w:cs="Arial"/>
          <w:sz w:val="24"/>
          <w:szCs w:val="24"/>
        </w:rPr>
        <w:t>SAIMEX 00859.zip</w:t>
      </w:r>
      <w:r>
        <w:rPr>
          <w:rFonts w:ascii="Palatino Linotype" w:hAnsi="Palatino Linotype" w:cs="Arial"/>
          <w:sz w:val="24"/>
          <w:szCs w:val="24"/>
        </w:rPr>
        <w:t>”, que al ser del conocimiento de las partes se omite su inserción en este apartado, en obvio de repeticiones innecesarias, máxime que será objeto de estudio el párrafos posteriores.</w:t>
      </w:r>
    </w:p>
    <w:p w:rsidR="00FF3DCD" w:rsidRDefault="00FF3DCD" w:rsidP="00FF3DCD">
      <w:pPr>
        <w:spacing w:after="0" w:line="360" w:lineRule="auto"/>
        <w:jc w:val="both"/>
        <w:rPr>
          <w:rFonts w:ascii="Palatino Linotype" w:hAnsi="Palatino Linotype" w:cs="Arial"/>
          <w:sz w:val="24"/>
          <w:szCs w:val="24"/>
        </w:rPr>
      </w:pPr>
    </w:p>
    <w:p w:rsidR="00FF3DCD" w:rsidRPr="004C083E" w:rsidRDefault="00FF3DCD" w:rsidP="00FF3D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FF3DCD" w:rsidRDefault="00FF3DCD" w:rsidP="00FF3D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veintitrés de septiembre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7540/INFOEM/IP/RR/2019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F3DCD" w:rsidRDefault="00FF3DCD" w:rsidP="00FF3DCD">
      <w:pPr>
        <w:spacing w:after="0" w:line="360" w:lineRule="auto"/>
        <w:jc w:val="both"/>
        <w:rPr>
          <w:rFonts w:ascii="Palatino Linotype" w:hAnsi="Palatino Linotype" w:cs="Arial"/>
          <w:b/>
          <w:sz w:val="24"/>
          <w:szCs w:val="24"/>
        </w:rPr>
      </w:pPr>
    </w:p>
    <w:p w:rsidR="00FF3DCD" w:rsidRDefault="00FF3DCD" w:rsidP="00FF3DC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F3DCD" w:rsidRPr="00775155" w:rsidRDefault="00FF3DCD" w:rsidP="00FF3DCD">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A71B53">
        <w:rPr>
          <w:rFonts w:ascii="Palatino Linotype" w:hAnsi="Palatino Linotype" w:cs="Arial"/>
          <w:i/>
          <w:sz w:val="22"/>
        </w:rPr>
        <w:t>NEGATIVA DE INFORMACIÓN</w:t>
      </w:r>
      <w:r>
        <w:rPr>
          <w:rFonts w:ascii="Palatino Linotype" w:hAnsi="Palatino Linotype" w:cs="Arial"/>
          <w:i/>
          <w:sz w:val="22"/>
        </w:rPr>
        <w:t>”</w:t>
      </w:r>
    </w:p>
    <w:p w:rsidR="00FF3DCD" w:rsidRPr="00775155" w:rsidRDefault="00FF3DCD" w:rsidP="00FF3DCD">
      <w:pPr>
        <w:pStyle w:val="Prrafodelista"/>
        <w:spacing w:line="360" w:lineRule="auto"/>
        <w:ind w:left="0"/>
        <w:jc w:val="both"/>
        <w:rPr>
          <w:rFonts w:ascii="Palatino Linotype" w:hAnsi="Palatino Linotype" w:cs="Arial"/>
        </w:rPr>
      </w:pPr>
    </w:p>
    <w:p w:rsidR="00FF3DCD" w:rsidRDefault="00FF3DCD" w:rsidP="00FF3DCD">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FF3DCD" w:rsidRDefault="00FF3DCD" w:rsidP="00FF3DCD">
      <w:pPr>
        <w:pStyle w:val="Prrafodelista"/>
        <w:spacing w:line="360" w:lineRule="auto"/>
        <w:ind w:left="0"/>
        <w:jc w:val="both"/>
        <w:rPr>
          <w:rFonts w:ascii="Palatino Linotype" w:hAnsi="Palatino Linotype" w:cs="Arial"/>
          <w:b/>
        </w:rPr>
      </w:pPr>
    </w:p>
    <w:p w:rsidR="00FF3DCD" w:rsidRDefault="00FF3DCD" w:rsidP="00FF3DCD">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A71B53">
        <w:rPr>
          <w:rFonts w:ascii="Palatino Linotype" w:hAnsi="Palatino Linotype"/>
          <w:i/>
          <w:color w:val="000000"/>
        </w:rPr>
        <w:t>EL SUJETO OBLIGADO NO ME PROPORCIONA LA INFORMACIÓN SOLICITADA SIENDO QUE SE ENCUENTRA DENTRO DE SUS ARCHIVOS, POR LO QUE ENTREGO COPIA SIMPLE PARA UNA MEJOR BÚSQUEDA Y ME HAGAN ENTREGA DE LO QUE SOLICITE</w:t>
      </w:r>
      <w:r w:rsidRPr="002C0A1C">
        <w:rPr>
          <w:rFonts w:ascii="Palatino Linotype" w:hAnsi="Palatino Linotype"/>
          <w:i/>
          <w:color w:val="000000"/>
        </w:rPr>
        <w:t>” (sic)</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FF3DCD" w:rsidRDefault="00FF3DCD" w:rsidP="00FF3DC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veintitrés de septiembre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 xml:space="preserve">a efecto de que decretara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rsidR="00FF3DCD" w:rsidRDefault="00FF3DCD" w:rsidP="00FF3DCD">
      <w:pPr>
        <w:spacing w:after="0" w:line="360" w:lineRule="auto"/>
        <w:ind w:right="49"/>
        <w:jc w:val="both"/>
        <w:rPr>
          <w:rFonts w:ascii="Palatino Linotype" w:eastAsia="Times New Roman" w:hAnsi="Palatino Linotype" w:cs="Arial"/>
          <w:sz w:val="24"/>
          <w:szCs w:val="24"/>
          <w:lang w:val="es-ES_tradnl" w:eastAsia="es-ES"/>
        </w:rPr>
      </w:pPr>
    </w:p>
    <w:p w:rsidR="00FF3DCD" w:rsidRPr="004C083E" w:rsidRDefault="00FF3DCD" w:rsidP="00FF3DC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FF3DCD" w:rsidRPr="00F97922" w:rsidRDefault="00FF3DCD" w:rsidP="00FF3DCD">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veintisiete de septiembre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F3DCD" w:rsidRPr="004C083E" w:rsidRDefault="00FF3DCD" w:rsidP="00FF3DCD">
      <w:pPr>
        <w:spacing w:after="0" w:line="360" w:lineRule="auto"/>
        <w:jc w:val="both"/>
        <w:rPr>
          <w:rFonts w:ascii="Palatino Linotype" w:hAnsi="Palatino Linotype" w:cs="Arial"/>
          <w:b/>
          <w:sz w:val="28"/>
          <w:szCs w:val="28"/>
        </w:rPr>
      </w:pPr>
      <w:bookmarkStart w:id="0" w:name="_GoBack"/>
      <w:r w:rsidRPr="004C083E">
        <w:rPr>
          <w:rFonts w:ascii="Palatino Linotype" w:hAnsi="Palatino Linotype" w:cs="Arial"/>
          <w:b/>
          <w:sz w:val="28"/>
          <w:szCs w:val="28"/>
        </w:rPr>
        <w:lastRenderedPageBreak/>
        <w:t>SEXTO. De la etapa de instrucción.</w:t>
      </w:r>
    </w:p>
    <w:p w:rsidR="00FF3DCD" w:rsidRDefault="00FF3DCD" w:rsidP="00FF3DC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 xml:space="preserve">sujeto </w:t>
      </w:r>
      <w:bookmarkEnd w:id="0"/>
      <w:r w:rsidRPr="00304678">
        <w:rPr>
          <w:rFonts w:ascii="Palatino Linotype" w:hAnsi="Palatino Linotype" w:cs="Arial"/>
          <w:b/>
          <w:sz w:val="24"/>
          <w:szCs w:val="24"/>
        </w:rPr>
        <w:t>obligado</w:t>
      </w:r>
      <w:r>
        <w:rPr>
          <w:rFonts w:ascii="Palatino Linotype" w:hAnsi="Palatino Linotype" w:cs="Arial"/>
          <w:sz w:val="24"/>
          <w:szCs w:val="24"/>
        </w:rPr>
        <w:t xml:space="preserve"> dentro del término de ley que le fue otorgado rindió su informe justificado el día cuatro de octubre de dos mil diecinueve, a través del archivo electrónico “</w:t>
      </w:r>
      <w:r w:rsidRPr="00983C3F">
        <w:rPr>
          <w:rFonts w:ascii="Palatino Linotype" w:hAnsi="Palatino Linotype" w:cs="Arial"/>
          <w:sz w:val="24"/>
          <w:szCs w:val="24"/>
        </w:rPr>
        <w:t>MANIFESTACIONES 07540 INFOEM IP RR 2019.zip</w:t>
      </w:r>
      <w:r>
        <w:rPr>
          <w:rFonts w:ascii="Palatino Linotype" w:hAnsi="Palatino Linotype" w:cs="Arial"/>
          <w:sz w:val="24"/>
          <w:szCs w:val="24"/>
        </w:rPr>
        <w:t xml:space="preserve">” el cual fue 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 circunstancia que no fue desahogada por el </w:t>
      </w:r>
      <w:r>
        <w:rPr>
          <w:rFonts w:ascii="Palatino Linotype" w:hAnsi="Palatino Linotype" w:cs="Arial"/>
          <w:b/>
          <w:sz w:val="24"/>
          <w:szCs w:val="24"/>
        </w:rPr>
        <w:t>recurrente.</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F3DCD" w:rsidRDefault="00FF3DCD" w:rsidP="00FF3DCD">
      <w:pPr>
        <w:spacing w:after="0" w:line="360" w:lineRule="auto"/>
        <w:jc w:val="both"/>
        <w:rPr>
          <w:rFonts w:ascii="Palatino Linotype" w:hAnsi="Palatino Linotype" w:cs="Arial"/>
          <w:sz w:val="24"/>
          <w:szCs w:val="24"/>
        </w:rPr>
      </w:pPr>
    </w:p>
    <w:p w:rsidR="00FF3DCD" w:rsidRPr="004C083E" w:rsidRDefault="00FF3DCD" w:rsidP="00FF3D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F3DCD" w:rsidRDefault="00FF3DCD" w:rsidP="00FF3DC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quince de octubre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F3DCD" w:rsidRPr="00997669"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8"/>
        </w:rPr>
      </w:pPr>
      <w:r w:rsidRPr="00997669">
        <w:rPr>
          <w:rFonts w:ascii="Palatino Linotype" w:hAnsi="Palatino Linotype" w:cs="Arial"/>
          <w:b/>
          <w:sz w:val="28"/>
          <w:szCs w:val="28"/>
        </w:rPr>
        <w:t xml:space="preserve">OCTAVO. </w:t>
      </w:r>
      <w:r w:rsidRPr="009572D8">
        <w:rPr>
          <w:rFonts w:ascii="Palatino Linotype" w:hAnsi="Palatino Linotype" w:cs="Arial"/>
          <w:b/>
          <w:sz w:val="28"/>
          <w:szCs w:val="28"/>
        </w:rPr>
        <w:t>Del alcance al informe justificado</w:t>
      </w:r>
      <w:r>
        <w:rPr>
          <w:rFonts w:ascii="Palatino Linotype" w:hAnsi="Palatino Linotype" w:cs="Arial"/>
          <w:b/>
          <w:sz w:val="28"/>
          <w:szCs w:val="28"/>
        </w:rPr>
        <w:t>.</w:t>
      </w:r>
    </w:p>
    <w:p w:rsidR="00FF3DCD" w:rsidRPr="009572D8" w:rsidRDefault="00FF3DCD" w:rsidP="00FF3DCD">
      <w:pPr>
        <w:spacing w:after="0" w:line="360" w:lineRule="auto"/>
        <w:jc w:val="both"/>
        <w:rPr>
          <w:rFonts w:ascii="Palatino Linotype" w:hAnsi="Palatino Linotype" w:cs="Arial"/>
          <w:sz w:val="24"/>
          <w:szCs w:val="28"/>
        </w:rPr>
      </w:pPr>
      <w:r>
        <w:rPr>
          <w:rFonts w:ascii="Palatino Linotype" w:hAnsi="Palatino Linotype" w:cs="Arial"/>
          <w:sz w:val="24"/>
          <w:szCs w:val="28"/>
        </w:rPr>
        <w:lastRenderedPageBreak/>
        <w:t>En fecha veintidós de octubre de dos mil diecinueve</w:t>
      </w:r>
      <w:r>
        <w:rPr>
          <w:rFonts w:ascii="Palatino Linotype" w:hAnsi="Palatino Linotype" w:cs="Arial"/>
          <w:b/>
          <w:sz w:val="24"/>
          <w:szCs w:val="28"/>
        </w:rPr>
        <w:t xml:space="preserve"> el sujeto obligado</w:t>
      </w:r>
      <w:r>
        <w:rPr>
          <w:rFonts w:ascii="Palatino Linotype" w:hAnsi="Palatino Linotype" w:cs="Arial"/>
          <w:sz w:val="24"/>
          <w:szCs w:val="28"/>
        </w:rPr>
        <w:t xml:space="preserve">, mediante correo electrónico institucional, remitió a este Órgano Garante el Acta Circunstanciada de fecha dieciséis de octubre de dos mil diecinueve, en la cual se hace constar que el </w:t>
      </w:r>
      <w:r>
        <w:rPr>
          <w:rFonts w:ascii="Palatino Linotype" w:hAnsi="Palatino Linotype" w:cs="Arial"/>
          <w:b/>
          <w:sz w:val="24"/>
          <w:szCs w:val="28"/>
        </w:rPr>
        <w:t>recurrente</w:t>
      </w:r>
      <w:r>
        <w:rPr>
          <w:rFonts w:ascii="Palatino Linotype" w:hAnsi="Palatino Linotype" w:cs="Arial"/>
          <w:sz w:val="24"/>
          <w:szCs w:val="28"/>
        </w:rPr>
        <w:t xml:space="preserve"> recibió la información peticionada consistente en copias certificadas del Convenio de Coordinación de fecha 12 (doce) de septiembre de 2019 (dos mil diecinueve)</w:t>
      </w:r>
    </w:p>
    <w:p w:rsidR="00FF3DCD" w:rsidRDefault="00FF3DCD" w:rsidP="00FF3DCD">
      <w:pPr>
        <w:spacing w:after="0" w:line="360" w:lineRule="auto"/>
        <w:jc w:val="both"/>
        <w:rPr>
          <w:rFonts w:ascii="Palatino Linotype" w:hAnsi="Palatino Linotype" w:cs="Arial"/>
          <w:sz w:val="24"/>
          <w:szCs w:val="28"/>
        </w:rPr>
      </w:pPr>
    </w:p>
    <w:p w:rsidR="00FF3DCD" w:rsidRPr="00997669" w:rsidRDefault="00FF3DCD" w:rsidP="00FF3DCD">
      <w:pPr>
        <w:spacing w:after="0"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997669">
        <w:rPr>
          <w:rFonts w:ascii="Palatino Linotype" w:hAnsi="Palatino Linotype" w:cs="Arial"/>
          <w:b/>
          <w:sz w:val="28"/>
          <w:szCs w:val="28"/>
        </w:rPr>
        <w:t>De la prórroga para emitir resolución.</w:t>
      </w:r>
    </w:p>
    <w:p w:rsidR="00FF3DCD" w:rsidRPr="00997669" w:rsidRDefault="00FF3DCD" w:rsidP="00FF3DCD">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once de noviembre</w:t>
      </w:r>
      <w:r w:rsidRPr="00997669">
        <w:rPr>
          <w:rFonts w:ascii="Palatino Linotype" w:eastAsiaTheme="minorEastAsia" w:hAnsi="Palatino Linotype"/>
          <w:sz w:val="24"/>
          <w:szCs w:val="24"/>
          <w:lang w:val="es-ES_tradnl" w:eastAsia="es-ES"/>
        </w:rPr>
        <w:t xml:space="preserve"> 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FF3DCD" w:rsidRPr="00997669" w:rsidRDefault="00FF3DCD" w:rsidP="00FF3DCD">
      <w:pPr>
        <w:spacing w:after="0" w:line="360" w:lineRule="auto"/>
        <w:jc w:val="both"/>
        <w:rPr>
          <w:rFonts w:ascii="Palatino Linotype" w:hAnsi="Palatino Linotype" w:cs="Arial"/>
          <w:sz w:val="24"/>
          <w:szCs w:val="24"/>
        </w:rPr>
      </w:pPr>
    </w:p>
    <w:p w:rsidR="00FF3DCD" w:rsidRPr="008B6600" w:rsidRDefault="00FF3DCD" w:rsidP="00FF3DC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FF3DCD" w:rsidRPr="00AD2A55" w:rsidRDefault="00FF3DCD" w:rsidP="00FF3DCD">
      <w:pPr>
        <w:spacing w:after="0" w:line="360" w:lineRule="auto"/>
        <w:jc w:val="center"/>
        <w:rPr>
          <w:rFonts w:ascii="Palatino Linotype" w:hAnsi="Palatino Linotype" w:cs="Arial"/>
          <w:b/>
          <w:sz w:val="24"/>
          <w:szCs w:val="24"/>
        </w:rPr>
      </w:pPr>
    </w:p>
    <w:p w:rsidR="00FF3DCD" w:rsidRPr="00600F1D" w:rsidRDefault="00FF3DCD" w:rsidP="00FF3DC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FF3DCD" w:rsidRPr="001D77CB" w:rsidRDefault="00FF3DCD" w:rsidP="00FF3DC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w:t>
      </w:r>
      <w:r w:rsidRPr="001D77CB">
        <w:rPr>
          <w:rFonts w:ascii="Palatino Linotype" w:hAnsi="Palatino Linotype" w:cs="Arial"/>
          <w:sz w:val="24"/>
          <w:szCs w:val="24"/>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F3DCD" w:rsidRDefault="00FF3DCD" w:rsidP="00FF3DCD">
      <w:pPr>
        <w:spacing w:after="0" w:line="360" w:lineRule="auto"/>
        <w:jc w:val="both"/>
        <w:rPr>
          <w:rFonts w:ascii="Palatino Linotype" w:hAnsi="Palatino Linotype" w:cs="Arial"/>
          <w:sz w:val="24"/>
          <w:szCs w:val="24"/>
        </w:rPr>
      </w:pPr>
    </w:p>
    <w:p w:rsidR="00FF3DCD" w:rsidRPr="00600F1D" w:rsidRDefault="00FF3DCD" w:rsidP="00FF3DC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FF3DCD" w:rsidRDefault="00FF3DCD" w:rsidP="00FF3DCD">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F3DCD" w:rsidRDefault="00FF3DCD" w:rsidP="00FF3DCD">
      <w:pPr>
        <w:pStyle w:val="Prrafodelista"/>
        <w:autoSpaceDE w:val="0"/>
        <w:autoSpaceDN w:val="0"/>
        <w:adjustRightInd w:val="0"/>
        <w:spacing w:line="360" w:lineRule="auto"/>
        <w:ind w:left="0"/>
        <w:jc w:val="both"/>
        <w:rPr>
          <w:rFonts w:ascii="Palatino Linotype" w:hAnsi="Palatino Linotype" w:cs="Arial"/>
        </w:rPr>
      </w:pPr>
    </w:p>
    <w:p w:rsidR="00FF3DCD" w:rsidRPr="00227456" w:rsidRDefault="00FF3DCD" w:rsidP="00FF3DCD">
      <w:pPr>
        <w:spacing w:after="0" w:line="360" w:lineRule="auto"/>
        <w:jc w:val="both"/>
        <w:rPr>
          <w:rFonts w:ascii="Palatino Linotype" w:eastAsiaTheme="minorEastAsia" w:hAnsi="Palatino Linotype" w:cs="Arial"/>
          <w:b/>
          <w:sz w:val="28"/>
          <w:szCs w:val="28"/>
          <w:lang w:val="es-ES_tradnl" w:eastAsia="es-ES"/>
        </w:rPr>
      </w:pPr>
      <w:r w:rsidRPr="00227456">
        <w:rPr>
          <w:rFonts w:ascii="Palatino Linotype" w:eastAsiaTheme="minorEastAsia" w:hAnsi="Palatino Linotype" w:cs="Arial"/>
          <w:b/>
          <w:sz w:val="28"/>
          <w:szCs w:val="28"/>
          <w:lang w:val="es-ES_tradnl" w:eastAsia="es-ES"/>
        </w:rPr>
        <w:t>TERCERO. Del estudio de las causas de improcedencia y sobreseimiento.</w:t>
      </w:r>
    </w:p>
    <w:p w:rsidR="00FF3DCD" w:rsidRPr="00227456"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DCD" w:rsidRPr="00227456"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3DCD" w:rsidRPr="00227456"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lastRenderedPageBreak/>
        <w:t xml:space="preserve">Siendo una facultad legal entrar al estudio de las causas de improcedencia que hagan valer las partes o que se adviertan de oficio por este </w:t>
      </w:r>
      <w:proofErr w:type="spellStart"/>
      <w:r w:rsidRPr="00227456">
        <w:rPr>
          <w:rFonts w:ascii="Palatino Linotype" w:eastAsiaTheme="minorEastAsia" w:hAnsi="Palatino Linotype" w:cs="Arial"/>
          <w:sz w:val="24"/>
          <w:szCs w:val="24"/>
          <w:lang w:val="es-ES_tradnl" w:eastAsia="es-ES"/>
        </w:rPr>
        <w:t>Resolutor</w:t>
      </w:r>
      <w:proofErr w:type="spellEnd"/>
      <w:r w:rsidRPr="00227456">
        <w:rPr>
          <w:rFonts w:ascii="Palatino Linotype" w:eastAsiaTheme="minorEastAsia" w:hAnsi="Palatino Linotype" w:cs="Arial"/>
          <w:sz w:val="24"/>
          <w:szCs w:val="24"/>
          <w:lang w:val="es-ES_tradnl" w:eastAsia="es-ES"/>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FF3DCD" w:rsidRPr="00227456"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3DCD"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227456">
        <w:rPr>
          <w:rFonts w:ascii="Palatino Linotype" w:eastAsiaTheme="minorEastAsia" w:hAnsi="Palatino Linotype" w:cs="Arial"/>
          <w:sz w:val="24"/>
          <w:szCs w:val="24"/>
          <w:vertAlign w:val="superscript"/>
          <w:lang w:val="es-ES_tradnl" w:eastAsia="es-ES"/>
        </w:rPr>
        <w:footnoteReference w:id="1"/>
      </w:r>
      <w:r w:rsidRPr="00227456">
        <w:rPr>
          <w:rFonts w:ascii="Palatino Linotype" w:eastAsiaTheme="minorEastAsia" w:hAnsi="Palatino Linotype" w:cs="Arial"/>
          <w:sz w:val="24"/>
          <w:szCs w:val="24"/>
          <w:lang w:val="es-ES_tradnl" w:eastAsia="es-ES"/>
        </w:rPr>
        <w:t>.</w:t>
      </w:r>
    </w:p>
    <w:p w:rsidR="00FF3DCD" w:rsidRPr="00227456" w:rsidRDefault="00FF3DCD" w:rsidP="00FF3DC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F3DCD" w:rsidRPr="00227456" w:rsidRDefault="00FF3DCD" w:rsidP="00FF3DC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w:t>
      </w:r>
      <w:r w:rsidRPr="00227456">
        <w:rPr>
          <w:rFonts w:ascii="Palatino Linotype" w:eastAsiaTheme="minorEastAsia" w:hAnsi="Palatino Linotype" w:cs="Arial"/>
          <w:sz w:val="24"/>
          <w:szCs w:val="24"/>
          <w:lang w:val="es-ES_tradnl" w:eastAsia="es-ES"/>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FF3DCD" w:rsidRPr="00227456" w:rsidRDefault="00FF3DCD" w:rsidP="00FF3DC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F3DCD" w:rsidRDefault="00FF3DCD" w:rsidP="00FF3DC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FF3DCD" w:rsidRPr="00227456" w:rsidRDefault="00FF3DCD" w:rsidP="00FF3DCD">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F3DCD" w:rsidRDefault="00FF3DCD" w:rsidP="00FF3DCD">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copias certificadas del:</w:t>
      </w:r>
    </w:p>
    <w:p w:rsidR="00FF3DCD" w:rsidRDefault="00FF3DCD" w:rsidP="00FF3DCD">
      <w:pPr>
        <w:tabs>
          <w:tab w:val="left" w:pos="709"/>
        </w:tabs>
        <w:spacing w:after="0" w:line="360" w:lineRule="auto"/>
        <w:jc w:val="both"/>
        <w:rPr>
          <w:rFonts w:ascii="Palatino Linotype" w:hAnsi="Palatino Linotype"/>
          <w:sz w:val="24"/>
          <w:szCs w:val="24"/>
        </w:rPr>
      </w:pPr>
    </w:p>
    <w:p w:rsidR="00FF3DCD" w:rsidRPr="009435A3" w:rsidRDefault="00FF3DCD" w:rsidP="00FF3DCD">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Convenio de coordinación celebrado entre el Municipio de Tlalnepantla de Baz y la </w:t>
      </w:r>
      <w:r w:rsidRPr="009572D8">
        <w:rPr>
          <w:rFonts w:ascii="Palatino Linotype" w:hAnsi="Palatino Linotype"/>
        </w:rPr>
        <w:t>Procuraduría de Protección al Ambiente del Estado de México</w:t>
      </w:r>
      <w:r>
        <w:rPr>
          <w:rFonts w:ascii="Palatino Linotype" w:hAnsi="Palatino Linotype"/>
        </w:rPr>
        <w:t>, celebrado el 12 (doce) de septiembre de 2017 (dos mil diecisiete).</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a través del archivo electrónico </w:t>
      </w:r>
      <w:r w:rsidRPr="00997669">
        <w:rPr>
          <w:rFonts w:ascii="Palatino Linotype" w:hAnsi="Palatino Linotype" w:cs="Arial"/>
          <w:sz w:val="24"/>
          <w:szCs w:val="24"/>
        </w:rPr>
        <w:t>“</w:t>
      </w:r>
      <w:r w:rsidRPr="000747AE">
        <w:rPr>
          <w:rFonts w:ascii="Palatino Linotype" w:hAnsi="Palatino Linotype" w:cs="Arial"/>
          <w:sz w:val="24"/>
          <w:szCs w:val="24"/>
        </w:rPr>
        <w:t>SAIMEX 00859.zip</w:t>
      </w:r>
      <w:r>
        <w:rPr>
          <w:rStyle w:val="Refdenotaalpie"/>
          <w:rFonts w:ascii="Palatino Linotype" w:hAnsi="Palatino Linotype" w:cs="Arial"/>
          <w:sz w:val="24"/>
          <w:szCs w:val="24"/>
        </w:rPr>
        <w:footnoteReference w:id="2"/>
      </w:r>
      <w:r w:rsidRPr="00997669">
        <w:rPr>
          <w:rFonts w:ascii="Palatino Linotype" w:hAnsi="Palatino Linotype" w:cs="Arial"/>
          <w:sz w:val="24"/>
          <w:szCs w:val="24"/>
        </w:rPr>
        <w:t>”</w:t>
      </w:r>
      <w:r>
        <w:rPr>
          <w:rFonts w:ascii="Palatino Linotype" w:hAnsi="Palatino Linotype" w:cs="Arial"/>
          <w:sz w:val="24"/>
          <w:szCs w:val="24"/>
        </w:rPr>
        <w:t>, del que se desprende el contenido siguiente:</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59A5352" wp14:editId="5C7B2370">
            <wp:extent cx="5760720" cy="28174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817495"/>
                    </a:xfrm>
                    <a:prstGeom prst="rect">
                      <a:avLst/>
                    </a:prstGeom>
                  </pic:spPr>
                </pic:pic>
              </a:graphicData>
            </a:graphic>
          </wp:inline>
        </w:drawing>
      </w:r>
    </w:p>
    <w:p w:rsidR="00FF3DCD" w:rsidRDefault="00FF3DCD" w:rsidP="00FF3DCD">
      <w:pPr>
        <w:spacing w:after="0" w:line="360" w:lineRule="auto"/>
        <w:jc w:val="both"/>
        <w:rPr>
          <w:rFonts w:ascii="Palatino Linotype" w:hAnsi="Palatino Linotype" w:cs="Arial"/>
          <w:sz w:val="24"/>
          <w:szCs w:val="24"/>
        </w:rPr>
      </w:pPr>
    </w:p>
    <w:p w:rsidR="00FF3DCD" w:rsidRPr="00FB4F4F" w:rsidRDefault="00FF3DCD" w:rsidP="00FF3DCD">
      <w:pPr>
        <w:pStyle w:val="Prrafodelista"/>
        <w:numPr>
          <w:ilvl w:val="0"/>
          <w:numId w:val="2"/>
        </w:numPr>
        <w:spacing w:line="360" w:lineRule="auto"/>
        <w:jc w:val="both"/>
        <w:rPr>
          <w:rFonts w:ascii="Palatino Linotype" w:hAnsi="Palatino Linotype" w:cs="Arial"/>
          <w:b/>
        </w:rPr>
      </w:pPr>
      <w:r w:rsidRPr="00470398">
        <w:rPr>
          <w:rFonts w:ascii="Palatino Linotype" w:hAnsi="Palatino Linotype" w:cs="Arial"/>
          <w:b/>
        </w:rPr>
        <w:t>OFICIO DE AUATENTABILIDAD AMBIENTAL.PDF</w:t>
      </w:r>
      <w:r>
        <w:rPr>
          <w:rFonts w:ascii="Palatino Linotype" w:hAnsi="Palatino Linotype" w:cs="Arial"/>
          <w:b/>
        </w:rPr>
        <w:t>:</w:t>
      </w:r>
      <w:r>
        <w:rPr>
          <w:rFonts w:ascii="Palatino Linotype" w:hAnsi="Palatino Linotype" w:cs="Arial"/>
        </w:rPr>
        <w:t xml:space="preserve"> consistente en el oficio DSAM/DJNA/0439/2019 de fecha diez de seis de septiembre de</w:t>
      </w:r>
      <w:r w:rsidRPr="007E1B35">
        <w:rPr>
          <w:rFonts w:ascii="Palatino Linotype" w:hAnsi="Palatino Linotype" w:cs="Arial"/>
        </w:rPr>
        <w:t xml:space="preserve"> dos mil diecinueve, </w:t>
      </w:r>
      <w:r>
        <w:rPr>
          <w:rFonts w:ascii="Palatino Linotype" w:hAnsi="Palatino Linotype" w:cs="Arial"/>
        </w:rPr>
        <w:t xml:space="preserve">remitido por la Directora de Sustentabilidad Ambiental y Movilidad a la Titular de la Unidad de Transparencia, ambos del sujeto obligado, mediante el cual informa que </w:t>
      </w:r>
      <w:r>
        <w:rPr>
          <w:rFonts w:ascii="Palatino Linotype" w:hAnsi="Palatino Linotype" w:cs="Arial"/>
          <w:b/>
          <w:i/>
        </w:rPr>
        <w:t>“…no se encontró el convenio de coordinación celebrado entre el Municipio de Tlalnepantla y la PROPAEM”</w:t>
      </w:r>
      <w:r>
        <w:rPr>
          <w:rFonts w:ascii="Palatino Linotype" w:hAnsi="Palatino Linotype" w:cs="Arial"/>
        </w:rPr>
        <w:t>.</w:t>
      </w:r>
    </w:p>
    <w:p w:rsidR="00FF3DCD" w:rsidRDefault="00FF3DCD" w:rsidP="00FF3DCD">
      <w:pPr>
        <w:pStyle w:val="Prrafodelista"/>
        <w:spacing w:line="360" w:lineRule="auto"/>
        <w:ind w:left="720"/>
        <w:jc w:val="both"/>
        <w:rPr>
          <w:rFonts w:ascii="Palatino Linotype" w:hAnsi="Palatino Linotype" w:cs="Arial"/>
        </w:rPr>
      </w:pPr>
    </w:p>
    <w:p w:rsidR="00FF3DCD" w:rsidRDefault="00FF3DCD" w:rsidP="00FF3DCD">
      <w:pPr>
        <w:pStyle w:val="Prrafodelista"/>
        <w:numPr>
          <w:ilvl w:val="0"/>
          <w:numId w:val="2"/>
        </w:numPr>
        <w:spacing w:line="360" w:lineRule="auto"/>
        <w:jc w:val="both"/>
        <w:rPr>
          <w:rFonts w:ascii="Palatino Linotype" w:hAnsi="Palatino Linotype" w:cs="Arial"/>
        </w:rPr>
      </w:pPr>
      <w:r w:rsidRPr="00470398">
        <w:rPr>
          <w:rFonts w:ascii="Palatino Linotype" w:hAnsi="Palatino Linotype" w:cs="Arial"/>
          <w:b/>
        </w:rPr>
        <w:t>OFICIO DE CONSEJERIA JURIDICA.PDF:</w:t>
      </w:r>
      <w:r>
        <w:rPr>
          <w:rFonts w:ascii="Palatino Linotype" w:hAnsi="Palatino Linotype" w:cs="Arial"/>
        </w:rPr>
        <w:t xml:space="preserve"> consistente en el oficio CJ/</w:t>
      </w:r>
      <w:proofErr w:type="spellStart"/>
      <w:r>
        <w:rPr>
          <w:rFonts w:ascii="Palatino Linotype" w:hAnsi="Palatino Linotype" w:cs="Arial"/>
        </w:rPr>
        <w:t>SCyAJ</w:t>
      </w:r>
      <w:proofErr w:type="spellEnd"/>
      <w:r>
        <w:rPr>
          <w:rFonts w:ascii="Palatino Linotype" w:hAnsi="Palatino Linotype" w:cs="Arial"/>
        </w:rPr>
        <w:t>/705/2019 de fecha diez de seis de septiembre de</w:t>
      </w:r>
      <w:r w:rsidRPr="007E1B35">
        <w:rPr>
          <w:rFonts w:ascii="Palatino Linotype" w:hAnsi="Palatino Linotype" w:cs="Arial"/>
        </w:rPr>
        <w:t xml:space="preserve"> dos mil diecinueve, </w:t>
      </w:r>
      <w:r>
        <w:rPr>
          <w:rFonts w:ascii="Palatino Linotype" w:hAnsi="Palatino Linotype" w:cs="Arial"/>
        </w:rPr>
        <w:t xml:space="preserve">remitido por la Subdirectora de Consultiva y de Apoyo Jurídico a la Titular de </w:t>
      </w:r>
      <w:r>
        <w:rPr>
          <w:rFonts w:ascii="Palatino Linotype" w:hAnsi="Palatino Linotype" w:cs="Arial"/>
        </w:rPr>
        <w:lastRenderedPageBreak/>
        <w:t xml:space="preserve">la Unidad de Transparencia, ambos del sujeto obligado, mediante el cual informa que </w:t>
      </w:r>
      <w:r>
        <w:rPr>
          <w:rFonts w:ascii="Palatino Linotype" w:hAnsi="Palatino Linotype" w:cs="Arial"/>
          <w:b/>
          <w:i/>
        </w:rPr>
        <w:t>“…no se localizó ningún convenio de coordinación, suscrito entre la PROPAEM y este Municipio, con fecha 12 de septiembre de 2017.”</w:t>
      </w:r>
      <w:r>
        <w:rPr>
          <w:rFonts w:ascii="Palatino Linotype" w:hAnsi="Palatino Linotype" w:cs="Arial"/>
        </w:rPr>
        <w:t>.</w:t>
      </w:r>
    </w:p>
    <w:p w:rsidR="00FF3DCD" w:rsidRPr="00470398" w:rsidRDefault="00FF3DCD" w:rsidP="00FF3DCD">
      <w:pPr>
        <w:pStyle w:val="Prrafodelista"/>
        <w:spacing w:line="360" w:lineRule="auto"/>
        <w:ind w:left="720"/>
        <w:jc w:val="both"/>
        <w:rPr>
          <w:rFonts w:ascii="Palatino Linotype" w:hAnsi="Palatino Linotype" w:cs="Arial"/>
        </w:rPr>
      </w:pPr>
    </w:p>
    <w:p w:rsidR="00FF3DCD" w:rsidRDefault="00FF3DCD" w:rsidP="00FF3DCD">
      <w:pPr>
        <w:spacing w:after="0" w:line="360" w:lineRule="auto"/>
        <w:jc w:val="both"/>
        <w:rPr>
          <w:rFonts w:ascii="Palatino Linotype" w:hAnsi="Palatino Linotype" w:cs="Arial"/>
          <w:sz w:val="24"/>
          <w:szCs w:val="24"/>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manifiesta que derivado de una búsqueda en sus áreas, no se encontró la información peticionada por el </w:t>
      </w:r>
      <w:r>
        <w:rPr>
          <w:rFonts w:ascii="Palatino Linotype" w:eastAsia="Times New Roman" w:hAnsi="Palatino Linotype" w:cs="Arial"/>
          <w:b/>
          <w:color w:val="000000" w:themeColor="text1"/>
          <w:sz w:val="24"/>
          <w:szCs w:val="24"/>
          <w:lang w:val="es-ES" w:eastAsia="es-ES"/>
        </w:rPr>
        <w:t xml:space="preserve">recurrente, </w:t>
      </w:r>
      <w:r>
        <w:rPr>
          <w:rFonts w:ascii="Palatino Linotype" w:eastAsia="Times New Roman" w:hAnsi="Palatino Linotype" w:cs="Arial"/>
          <w:color w:val="000000" w:themeColor="text1"/>
          <w:sz w:val="24"/>
          <w:szCs w:val="24"/>
          <w:lang w:val="es-ES" w:eastAsia="es-ES"/>
        </w:rPr>
        <w:t>por lo que i</w:t>
      </w:r>
      <w:r>
        <w:rPr>
          <w:rFonts w:ascii="Palatino Linotype" w:hAnsi="Palatino Linotype" w:cs="Arial"/>
          <w:sz w:val="24"/>
          <w:szCs w:val="24"/>
        </w:rPr>
        <w:t xml:space="preserve">inconforme ante la respuesta, 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de manera objetiva, lo siguiente:</w:t>
      </w:r>
    </w:p>
    <w:p w:rsidR="00FF3DCD" w:rsidRDefault="00FF3DCD" w:rsidP="00FF3DCD">
      <w:pPr>
        <w:spacing w:after="0" w:line="360" w:lineRule="auto"/>
        <w:jc w:val="both"/>
        <w:rPr>
          <w:rFonts w:ascii="Palatino Linotype" w:hAnsi="Palatino Linotype" w:cs="Arial"/>
          <w:sz w:val="24"/>
          <w:szCs w:val="24"/>
        </w:rPr>
      </w:pPr>
    </w:p>
    <w:p w:rsidR="00FF3DCD" w:rsidRPr="002E4699" w:rsidRDefault="00FF3DCD" w:rsidP="00FF3DCD">
      <w:pPr>
        <w:pStyle w:val="Prrafodelista"/>
        <w:numPr>
          <w:ilvl w:val="0"/>
          <w:numId w:val="3"/>
        </w:numPr>
        <w:spacing w:line="360" w:lineRule="auto"/>
        <w:ind w:right="567"/>
        <w:jc w:val="both"/>
        <w:rPr>
          <w:rFonts w:ascii="Palatino Linotype" w:hAnsi="Palatino Linotype" w:cs="Arial"/>
        </w:rPr>
      </w:pPr>
      <w:r>
        <w:rPr>
          <w:rFonts w:ascii="Palatino Linotype" w:hAnsi="Palatino Linotype" w:cs="Arial"/>
          <w:i/>
        </w:rPr>
        <w:t>La negativa y falta de entrega de la información</w:t>
      </w:r>
    </w:p>
    <w:p w:rsidR="00FF3DCD" w:rsidRPr="002E4699" w:rsidRDefault="00FF3DCD" w:rsidP="00FF3DCD">
      <w:pPr>
        <w:pStyle w:val="Prrafodelista"/>
        <w:numPr>
          <w:ilvl w:val="0"/>
          <w:numId w:val="3"/>
        </w:numPr>
        <w:rPr>
          <w:rFonts w:ascii="Palatino Linotype" w:hAnsi="Palatino Linotype" w:cs="Arial"/>
          <w:i/>
        </w:rPr>
      </w:pPr>
      <w:r w:rsidRPr="002E4699">
        <w:rPr>
          <w:rFonts w:ascii="Palatino Linotype" w:hAnsi="Palatino Linotype" w:cs="Arial"/>
          <w:i/>
        </w:rPr>
        <w:t>El sujeto obligado no me entrega la información, siendo que se encuentra dentro de sus archivos</w:t>
      </w:r>
      <w:r>
        <w:rPr>
          <w:rFonts w:ascii="Palatino Linotype" w:hAnsi="Palatino Linotype" w:cs="Arial"/>
          <w:i/>
        </w:rPr>
        <w:t>, por lo que entrego copia simple para una mejor búsqueda.</w:t>
      </w:r>
    </w:p>
    <w:p w:rsidR="00FF3DCD" w:rsidRDefault="00FF3DCD" w:rsidP="00FF3DCD">
      <w:pPr>
        <w:spacing w:after="0" w:line="360" w:lineRule="auto"/>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I artículo 179 de la Ley de Transparencia Local que establece:</w:t>
      </w:r>
    </w:p>
    <w:p w:rsidR="00FF3DCD" w:rsidRDefault="00FF3DCD" w:rsidP="00FF3DCD">
      <w:pPr>
        <w:spacing w:after="0" w:line="360" w:lineRule="auto"/>
        <w:jc w:val="both"/>
        <w:rPr>
          <w:rFonts w:ascii="Palatino Linotype" w:hAnsi="Palatino Linotype" w:cs="Arial"/>
          <w:sz w:val="24"/>
          <w:szCs w:val="24"/>
        </w:rPr>
      </w:pPr>
    </w:p>
    <w:p w:rsidR="00FF3DCD" w:rsidRPr="002C0855" w:rsidRDefault="00FF3DCD" w:rsidP="00FF3DC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2C0855">
        <w:rPr>
          <w:rFonts w:ascii="Palatino Linotype" w:hAnsi="Palatino Linotype" w:cs="Arial"/>
          <w:b/>
          <w:i/>
          <w:szCs w:val="24"/>
        </w:rPr>
        <w:t>I</w:t>
      </w:r>
      <w:r w:rsidRPr="002C0855">
        <w:rPr>
          <w:rFonts w:ascii="Palatino Linotype" w:hAnsi="Palatino Linotype" w:cs="Arial"/>
          <w:i/>
          <w:szCs w:val="24"/>
        </w:rPr>
        <w:t>. La negativa a la información solicitada;</w:t>
      </w:r>
    </w:p>
    <w:p w:rsidR="00FF3DCD" w:rsidRPr="00983C3F" w:rsidRDefault="00FF3DCD" w:rsidP="00FF3DC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Pr="00983C3F" w:rsidRDefault="00FF3DCD" w:rsidP="00FF3D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en la etapa de manifestaciones, rindió su informe justificado a través del archivo electrónico “</w:t>
      </w:r>
      <w:r w:rsidRPr="00983C3F">
        <w:rPr>
          <w:rFonts w:ascii="Palatino Linotype" w:eastAsia="Times New Roman" w:hAnsi="Palatino Linotype" w:cs="Times New Roman"/>
          <w:sz w:val="24"/>
          <w:szCs w:val="24"/>
          <w:lang w:eastAsia="es-ES"/>
        </w:rPr>
        <w:t xml:space="preserve">MANIFESTACIONES 07540 INFOEM IP </w:t>
      </w:r>
      <w:r w:rsidRPr="00983C3F">
        <w:rPr>
          <w:rFonts w:ascii="Palatino Linotype" w:eastAsia="Times New Roman" w:hAnsi="Palatino Linotype" w:cs="Times New Roman"/>
          <w:sz w:val="24"/>
          <w:szCs w:val="24"/>
          <w:lang w:eastAsia="es-ES"/>
        </w:rPr>
        <w:lastRenderedPageBreak/>
        <w:t>RR 2019.zip</w:t>
      </w:r>
      <w:r>
        <w:rPr>
          <w:rFonts w:ascii="Palatino Linotype" w:eastAsia="Times New Roman" w:hAnsi="Palatino Linotype" w:cs="Times New Roman"/>
          <w:sz w:val="24"/>
          <w:szCs w:val="24"/>
          <w:lang w:eastAsia="es-ES"/>
        </w:rPr>
        <w:t>”, del que se procede al estudio y análisis de su contenido, advirtiéndose lo siguiente:</w:t>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Default="00FF3DCD" w:rsidP="00FF3D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14:anchorId="7B0B77CB" wp14:editId="01FFAD79">
            <wp:extent cx="5760720" cy="28441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844165"/>
                    </a:xfrm>
                    <a:prstGeom prst="rect">
                      <a:avLst/>
                    </a:prstGeom>
                  </pic:spPr>
                </pic:pic>
              </a:graphicData>
            </a:graphic>
          </wp:inline>
        </w:drawing>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Default="00FF3DCD" w:rsidP="00FF3DCD">
      <w:pPr>
        <w:pStyle w:val="Prrafodelista"/>
        <w:numPr>
          <w:ilvl w:val="0"/>
          <w:numId w:val="4"/>
        </w:numPr>
        <w:spacing w:line="360" w:lineRule="auto"/>
        <w:jc w:val="both"/>
        <w:rPr>
          <w:rFonts w:ascii="Palatino Linotype" w:hAnsi="Palatino Linotype"/>
        </w:rPr>
      </w:pPr>
      <w:r w:rsidRPr="002E4699">
        <w:rPr>
          <w:rFonts w:ascii="Palatino Linotype" w:hAnsi="Palatino Linotype"/>
          <w:b/>
        </w:rPr>
        <w:t>Oficio transparencia.PDF:</w:t>
      </w:r>
      <w:r>
        <w:rPr>
          <w:rFonts w:ascii="Palatino Linotype" w:hAnsi="Palatino Linotype"/>
        </w:rPr>
        <w:t xml:space="preserve"> Contiene el informe justificado de fecha dos de octubre de dos mil diecinueve, del que sustancialmente se advierte lo siguiente:</w:t>
      </w:r>
    </w:p>
    <w:p w:rsidR="00FF3DCD" w:rsidRPr="002E4699" w:rsidRDefault="00FF3DCD" w:rsidP="00FF3DCD">
      <w:pPr>
        <w:pStyle w:val="Prrafodelista"/>
        <w:spacing w:line="360" w:lineRule="auto"/>
        <w:ind w:left="720"/>
        <w:jc w:val="both"/>
        <w:rPr>
          <w:rFonts w:ascii="Palatino Linotype" w:hAnsi="Palatino Linotype"/>
        </w:rPr>
      </w:pPr>
    </w:p>
    <w:p w:rsidR="00FF3DCD" w:rsidRPr="002E4699" w:rsidRDefault="00FF3DCD" w:rsidP="00FF3DCD">
      <w:pPr>
        <w:pStyle w:val="Prrafodelista"/>
        <w:ind w:left="720"/>
        <w:jc w:val="both"/>
        <w:rPr>
          <w:rFonts w:ascii="Palatino Linotype" w:hAnsi="Palatino Linotype"/>
          <w:i/>
          <w:sz w:val="22"/>
        </w:rPr>
      </w:pPr>
      <w:r w:rsidRPr="002E4699">
        <w:rPr>
          <w:rFonts w:ascii="Palatino Linotype" w:hAnsi="Palatino Linotype"/>
          <w:i/>
          <w:sz w:val="22"/>
        </w:rPr>
        <w:t>“El ahora recurrente se inconforma por la respuesta proporcionada por este Sujeto Obligado, manifestando la</w:t>
      </w:r>
      <w:r>
        <w:rPr>
          <w:rFonts w:ascii="Palatino Linotype" w:hAnsi="Palatino Linotype"/>
          <w:i/>
          <w:sz w:val="22"/>
        </w:rPr>
        <w:t xml:space="preserve"> </w:t>
      </w:r>
      <w:r w:rsidRPr="002E4699">
        <w:rPr>
          <w:rFonts w:ascii="Palatino Linotype" w:hAnsi="Palatino Linotype"/>
          <w:i/>
          <w:sz w:val="22"/>
        </w:rPr>
        <w:t>negativa a la información solicitada. Al respecto, ciudadano requirió el Convenio celebrado entre el Municipio y</w:t>
      </w:r>
      <w:r>
        <w:rPr>
          <w:rFonts w:ascii="Palatino Linotype" w:hAnsi="Palatino Linotype"/>
          <w:i/>
          <w:sz w:val="22"/>
        </w:rPr>
        <w:t xml:space="preserve"> </w:t>
      </w:r>
      <w:r w:rsidRPr="002E4699">
        <w:rPr>
          <w:rFonts w:ascii="Palatino Linotype" w:hAnsi="Palatino Linotype"/>
          <w:i/>
          <w:sz w:val="22"/>
        </w:rPr>
        <w:t>la PROPAEM, siendo que en el recurso de revisión, presente copia simple del documento solicitado el cual en el</w:t>
      </w:r>
      <w:r>
        <w:rPr>
          <w:rFonts w:ascii="Palatino Linotype" w:hAnsi="Palatino Linotype"/>
          <w:i/>
          <w:sz w:val="22"/>
        </w:rPr>
        <w:t xml:space="preserve"> </w:t>
      </w:r>
      <w:r w:rsidRPr="002E4699">
        <w:rPr>
          <w:rFonts w:ascii="Palatino Linotype" w:hAnsi="Palatino Linotype"/>
          <w:i/>
          <w:sz w:val="22"/>
        </w:rPr>
        <w:t>rubro a la letra dice:</w:t>
      </w:r>
    </w:p>
    <w:p w:rsidR="00FF3DCD" w:rsidRPr="002E4699" w:rsidRDefault="00FF3DCD" w:rsidP="00FF3DCD">
      <w:pPr>
        <w:pStyle w:val="Prrafodelista"/>
        <w:ind w:left="720"/>
        <w:jc w:val="both"/>
        <w:rPr>
          <w:rFonts w:ascii="Palatino Linotype" w:hAnsi="Palatino Linotype"/>
          <w:i/>
          <w:sz w:val="22"/>
        </w:rPr>
      </w:pPr>
    </w:p>
    <w:p w:rsidR="00FF3DCD" w:rsidRDefault="00FF3DCD" w:rsidP="00FF3DCD">
      <w:pPr>
        <w:pStyle w:val="Prrafodelista"/>
        <w:ind w:left="993" w:right="283"/>
        <w:jc w:val="both"/>
        <w:rPr>
          <w:rFonts w:ascii="Palatino Linotype" w:hAnsi="Palatino Linotype"/>
          <w:i/>
          <w:sz w:val="22"/>
        </w:rPr>
      </w:pPr>
      <w:r w:rsidRPr="002E4699">
        <w:rPr>
          <w:rFonts w:ascii="Palatino Linotype" w:hAnsi="Palatino Linotype"/>
          <w:i/>
          <w:sz w:val="22"/>
        </w:rPr>
        <w:t>“</w:t>
      </w:r>
      <w:r w:rsidRPr="002E4699">
        <w:rPr>
          <w:rFonts w:ascii="Palatino Linotype" w:hAnsi="Palatino Linotype"/>
          <w:b/>
          <w:i/>
          <w:sz w:val="22"/>
        </w:rPr>
        <w:t>Convenio de Coordinación que celebran por una parte, la Secretaría del Medio Ambiente del Gobierno del Estado de México</w:t>
      </w:r>
      <w:r w:rsidRPr="002E4699">
        <w:rPr>
          <w:rFonts w:ascii="Palatino Linotype" w:hAnsi="Palatino Linotype"/>
          <w:i/>
          <w:sz w:val="22"/>
        </w:rPr>
        <w:t>, representada por el Lic. Raúl Vargas Herrera, asistido por</w:t>
      </w:r>
      <w:r>
        <w:rPr>
          <w:rFonts w:ascii="Palatino Linotype" w:hAnsi="Palatino Linotype"/>
          <w:i/>
          <w:sz w:val="22"/>
        </w:rPr>
        <w:t xml:space="preserve"> </w:t>
      </w:r>
      <w:r w:rsidRPr="002E4699">
        <w:rPr>
          <w:rFonts w:ascii="Palatino Linotype" w:hAnsi="Palatino Linotype"/>
          <w:i/>
          <w:sz w:val="22"/>
        </w:rPr>
        <w:t>el Lic. Alejandro Franco Vera, Procurador de Protección al Ambiente del estado de México, a quien</w:t>
      </w:r>
      <w:r>
        <w:rPr>
          <w:rFonts w:ascii="Palatino Linotype" w:hAnsi="Palatino Linotype"/>
          <w:i/>
          <w:sz w:val="22"/>
        </w:rPr>
        <w:t xml:space="preserve"> </w:t>
      </w:r>
      <w:r w:rsidRPr="002E4699">
        <w:rPr>
          <w:rFonts w:ascii="Palatino Linotype" w:hAnsi="Palatino Linotype"/>
          <w:i/>
          <w:sz w:val="22"/>
        </w:rPr>
        <w:t>en lo sucesivo se les denominará “La Secretaria”; y por otra parte, el Municipio de Tlalnepantla de</w:t>
      </w:r>
      <w:r>
        <w:rPr>
          <w:rFonts w:ascii="Palatino Linotype" w:hAnsi="Palatino Linotype"/>
          <w:i/>
          <w:sz w:val="22"/>
        </w:rPr>
        <w:t xml:space="preserve"> </w:t>
      </w:r>
      <w:r w:rsidRPr="002E4699">
        <w:rPr>
          <w:rFonts w:ascii="Palatino Linotype" w:hAnsi="Palatino Linotype"/>
          <w:i/>
          <w:sz w:val="22"/>
        </w:rPr>
        <w:t>Baz, Estado de México, representado por la Lic. Aurora Denisse Ugalde Alegría, en su carácter de</w:t>
      </w:r>
      <w:r>
        <w:rPr>
          <w:rFonts w:ascii="Palatino Linotype" w:hAnsi="Palatino Linotype"/>
          <w:i/>
          <w:sz w:val="22"/>
        </w:rPr>
        <w:t xml:space="preserve"> </w:t>
      </w:r>
      <w:r w:rsidRPr="002E4699">
        <w:rPr>
          <w:rFonts w:ascii="Palatino Linotype" w:hAnsi="Palatino Linotype"/>
          <w:i/>
          <w:sz w:val="22"/>
        </w:rPr>
        <w:t>Secretario de ayuntamiento. ..*(</w:t>
      </w:r>
      <w:proofErr w:type="gramStart"/>
      <w:r w:rsidRPr="002E4699">
        <w:rPr>
          <w:rFonts w:ascii="Palatino Linotype" w:hAnsi="Palatino Linotype"/>
          <w:i/>
          <w:sz w:val="22"/>
        </w:rPr>
        <w:t>sic</w:t>
      </w:r>
      <w:proofErr w:type="gramEnd"/>
      <w:r w:rsidRPr="002E4699">
        <w:rPr>
          <w:rFonts w:ascii="Palatino Linotype" w:hAnsi="Palatino Linotype"/>
          <w:i/>
          <w:sz w:val="22"/>
        </w:rPr>
        <w:t>)</w:t>
      </w:r>
    </w:p>
    <w:p w:rsidR="00FF3DCD" w:rsidRPr="002E4699" w:rsidRDefault="00FF3DCD" w:rsidP="00FF3DCD">
      <w:pPr>
        <w:pStyle w:val="Prrafodelista"/>
        <w:ind w:left="720"/>
        <w:jc w:val="both"/>
        <w:rPr>
          <w:rFonts w:ascii="Palatino Linotype" w:hAnsi="Palatino Linotype"/>
          <w:i/>
          <w:sz w:val="22"/>
        </w:rPr>
      </w:pPr>
    </w:p>
    <w:p w:rsidR="00FF3DCD" w:rsidRPr="002E4699" w:rsidRDefault="00FF3DCD" w:rsidP="00FF3DCD">
      <w:pPr>
        <w:pStyle w:val="Prrafodelista"/>
        <w:ind w:left="720"/>
        <w:jc w:val="both"/>
        <w:rPr>
          <w:rFonts w:ascii="Palatino Linotype" w:hAnsi="Palatino Linotype"/>
          <w:i/>
          <w:sz w:val="22"/>
          <w:u w:val="single"/>
        </w:rPr>
      </w:pPr>
      <w:r w:rsidRPr="002E4699">
        <w:rPr>
          <w:rFonts w:ascii="Palatino Linotype" w:hAnsi="Palatino Linotype"/>
          <w:i/>
          <w:sz w:val="22"/>
          <w:u w:val="single"/>
        </w:rPr>
        <w:lastRenderedPageBreak/>
        <w:t>De lo anterior, se advierte que el contrato presentado, se celebró con la Secretaría del Medio Ambiente del Gobierno del Estado de México, y no así con la Procuraduría de Protección al Ambiente del estado de México, como lo solicitó el ciudadano.</w:t>
      </w:r>
    </w:p>
    <w:p w:rsidR="00FF3DCD" w:rsidRPr="002E4699" w:rsidRDefault="00FF3DCD" w:rsidP="00FF3DCD">
      <w:pPr>
        <w:pStyle w:val="Prrafodelista"/>
        <w:ind w:left="720"/>
        <w:jc w:val="both"/>
        <w:rPr>
          <w:rFonts w:ascii="Palatino Linotype" w:hAnsi="Palatino Linotype"/>
          <w:i/>
          <w:sz w:val="22"/>
        </w:rPr>
      </w:pPr>
    </w:p>
    <w:p w:rsidR="00FF3DCD" w:rsidRDefault="00FF3DCD" w:rsidP="00FF3DCD">
      <w:pPr>
        <w:pStyle w:val="Prrafodelista"/>
        <w:ind w:left="720"/>
        <w:jc w:val="both"/>
        <w:rPr>
          <w:rFonts w:ascii="Palatino Linotype" w:hAnsi="Palatino Linotype"/>
          <w:i/>
          <w:sz w:val="22"/>
        </w:rPr>
      </w:pPr>
      <w:r w:rsidRPr="002E4699">
        <w:rPr>
          <w:rFonts w:ascii="Palatino Linotype" w:hAnsi="Palatino Linotype"/>
          <w:i/>
          <w:sz w:val="22"/>
        </w:rPr>
        <w:t>Empero, con los elementos proporcionados por el ciudadano en el Recurso de Revisión, se realizó una búsqueda</w:t>
      </w:r>
      <w:r>
        <w:rPr>
          <w:rFonts w:ascii="Palatino Linotype" w:hAnsi="Palatino Linotype"/>
          <w:i/>
          <w:sz w:val="22"/>
        </w:rPr>
        <w:t xml:space="preserve"> </w:t>
      </w:r>
      <w:r w:rsidRPr="002E4699">
        <w:rPr>
          <w:rFonts w:ascii="Palatino Linotype" w:hAnsi="Palatino Linotype"/>
          <w:i/>
          <w:sz w:val="22"/>
        </w:rPr>
        <w:t xml:space="preserve">del Convenio, por lo que, en términos de los dispuesto en el artículo 192 fracción </w:t>
      </w:r>
      <w:r>
        <w:rPr>
          <w:rFonts w:ascii="Palatino Linotype" w:hAnsi="Palatino Linotype"/>
          <w:i/>
          <w:sz w:val="22"/>
        </w:rPr>
        <w:t>III</w:t>
      </w:r>
      <w:r w:rsidRPr="002E4699">
        <w:rPr>
          <w:rFonts w:ascii="Palatino Linotype" w:hAnsi="Palatino Linotype"/>
          <w:i/>
          <w:sz w:val="22"/>
        </w:rPr>
        <w:t xml:space="preserve"> de la Ley de Transparencia</w:t>
      </w:r>
      <w:r>
        <w:rPr>
          <w:rFonts w:ascii="Palatino Linotype" w:hAnsi="Palatino Linotype"/>
          <w:i/>
          <w:sz w:val="22"/>
        </w:rPr>
        <w:t xml:space="preserve"> </w:t>
      </w:r>
      <w:r w:rsidRPr="002E4699">
        <w:rPr>
          <w:rFonts w:ascii="Palatino Linotype" w:hAnsi="Palatino Linotype"/>
          <w:i/>
          <w:sz w:val="22"/>
        </w:rPr>
        <w:t xml:space="preserve">y Acceso a la Información Pública del Estado de México y Municipios, </w:t>
      </w:r>
      <w:r w:rsidRPr="002E4699">
        <w:rPr>
          <w:rFonts w:ascii="Palatino Linotype" w:hAnsi="Palatino Linotype"/>
          <w:i/>
          <w:sz w:val="22"/>
          <w:u w:val="single"/>
        </w:rPr>
        <w:t xml:space="preserve">se modifica la respuesta de este Sujeto Obligado, poniendo a disposición del solicitante el Convenio solicitado, bajo la modalidad requerida (Copias Certificadas); en las oficinas de la Unidad de Transparencia y Acceso a la Información Pública Municipal, ubicadas en Plaza Dr. Gustavo Baz s/n col. Centro, Tlalnepantla de Baz. Estado de México. C.P. 54000, en un horario en días hábiles de lunes a viernes de 9:00 a 16:00 </w:t>
      </w:r>
      <w:proofErr w:type="spellStart"/>
      <w:r w:rsidRPr="002E4699">
        <w:rPr>
          <w:rFonts w:ascii="Palatino Linotype" w:hAnsi="Palatino Linotype"/>
          <w:i/>
          <w:sz w:val="22"/>
          <w:u w:val="single"/>
        </w:rPr>
        <w:t>hrs</w:t>
      </w:r>
      <w:proofErr w:type="spellEnd"/>
      <w:r w:rsidRPr="002E4699">
        <w:rPr>
          <w:rFonts w:ascii="Palatino Linotype" w:hAnsi="Palatino Linotype"/>
          <w:i/>
          <w:sz w:val="22"/>
          <w:u w:val="single"/>
        </w:rPr>
        <w:t>. tel. 53663800 ext. 3956.</w:t>
      </w:r>
    </w:p>
    <w:p w:rsidR="00FF3DCD" w:rsidRDefault="00FF3DCD" w:rsidP="00FF3DCD">
      <w:pPr>
        <w:pStyle w:val="Prrafodelista"/>
        <w:ind w:left="720"/>
        <w:jc w:val="both"/>
        <w:rPr>
          <w:rFonts w:ascii="Palatino Linotype" w:hAnsi="Palatino Linotype"/>
          <w:i/>
          <w:sz w:val="22"/>
        </w:rPr>
      </w:pPr>
    </w:p>
    <w:p w:rsidR="00FF3DCD" w:rsidRPr="002E4699" w:rsidRDefault="00FF3DCD" w:rsidP="00FF3DCD">
      <w:pPr>
        <w:pStyle w:val="Prrafodelista"/>
        <w:ind w:left="720"/>
        <w:jc w:val="right"/>
        <w:rPr>
          <w:rFonts w:ascii="Palatino Linotype" w:hAnsi="Palatino Linotype"/>
          <w:sz w:val="22"/>
        </w:rPr>
      </w:pPr>
      <w:r>
        <w:rPr>
          <w:rFonts w:ascii="Palatino Linotype" w:hAnsi="Palatino Linotype"/>
          <w:sz w:val="22"/>
        </w:rPr>
        <w:t>(Énfasis añadido)</w:t>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Default="00FF3DCD" w:rsidP="00FF3DCD">
      <w:pPr>
        <w:pStyle w:val="Prrafodelista"/>
        <w:numPr>
          <w:ilvl w:val="0"/>
          <w:numId w:val="4"/>
        </w:numPr>
        <w:spacing w:line="360" w:lineRule="auto"/>
        <w:jc w:val="both"/>
        <w:rPr>
          <w:rFonts w:ascii="Palatino Linotype" w:hAnsi="Palatino Linotype"/>
        </w:rPr>
      </w:pPr>
      <w:r w:rsidRPr="00CC60E7">
        <w:rPr>
          <w:rFonts w:ascii="Palatino Linotype" w:hAnsi="Palatino Linotype"/>
          <w:b/>
        </w:rPr>
        <w:t>Oficio.PDF:</w:t>
      </w:r>
      <w:r>
        <w:rPr>
          <w:rFonts w:ascii="Palatino Linotype" w:hAnsi="Palatino Linotype"/>
        </w:rPr>
        <w:t xml:space="preserve"> consistente en el oficio CJ/</w:t>
      </w:r>
      <w:proofErr w:type="spellStart"/>
      <w:r>
        <w:rPr>
          <w:rFonts w:ascii="Palatino Linotype" w:hAnsi="Palatino Linotype"/>
        </w:rPr>
        <w:t>SCyAJ</w:t>
      </w:r>
      <w:proofErr w:type="spellEnd"/>
      <w:r>
        <w:rPr>
          <w:rFonts w:ascii="Palatino Linotype" w:hAnsi="Palatino Linotype"/>
        </w:rPr>
        <w:t xml:space="preserve">/738/2019 de fecha veintisiete de septiembre de dos mil diecinueve, por el cual la Subdirectora Consultiva y de Apoyo Jurídico, informa a la Titular de la Unidad de Transparencia, ambos del sujeto obligado, que derivado de los nuevos elementos proporcionados por el </w:t>
      </w:r>
      <w:r>
        <w:rPr>
          <w:rFonts w:ascii="Palatino Linotype" w:hAnsi="Palatino Linotype"/>
          <w:b/>
        </w:rPr>
        <w:t>recurrente</w:t>
      </w:r>
      <w:r>
        <w:rPr>
          <w:rFonts w:ascii="Palatino Linotype" w:hAnsi="Palatino Linotype"/>
        </w:rPr>
        <w:t>, relativos a que el convenio fue celebrado entre la Secretaría del Medio Ambiente y no así con la Procuraduría de Protección al Ambiente del Estado de México, se realizó una nueva búsqueda en los archivos, localizando el convenio, por lo que se remite en copia debidamente certificada.</w:t>
      </w:r>
    </w:p>
    <w:p w:rsidR="00FF3DCD" w:rsidRDefault="00FF3DCD" w:rsidP="00FF3DCD">
      <w:pPr>
        <w:pStyle w:val="Prrafodelista"/>
        <w:spacing w:line="360" w:lineRule="auto"/>
        <w:ind w:left="720"/>
        <w:jc w:val="both"/>
        <w:rPr>
          <w:rFonts w:ascii="Palatino Linotype" w:hAnsi="Palatino Linotype"/>
          <w:b/>
        </w:rPr>
      </w:pPr>
    </w:p>
    <w:p w:rsidR="00FF3DCD" w:rsidRPr="0040529D" w:rsidRDefault="00FF3DCD" w:rsidP="00FF3DCD">
      <w:pPr>
        <w:pStyle w:val="Prrafodelista"/>
        <w:spacing w:line="360" w:lineRule="auto"/>
        <w:ind w:left="720"/>
        <w:jc w:val="both"/>
        <w:rPr>
          <w:rFonts w:ascii="Palatino Linotype" w:hAnsi="Palatino Linotype"/>
        </w:rPr>
      </w:pPr>
      <w:r>
        <w:rPr>
          <w:rFonts w:ascii="Palatino Linotype" w:hAnsi="Palatino Linotype"/>
        </w:rPr>
        <w:t xml:space="preserve">Se hace constar que anexo al oficio de referencia, el </w:t>
      </w:r>
      <w:r>
        <w:rPr>
          <w:rFonts w:ascii="Palatino Linotype" w:hAnsi="Palatino Linotype"/>
          <w:b/>
        </w:rPr>
        <w:t>sujeto obligado</w:t>
      </w:r>
      <w:r>
        <w:rPr>
          <w:rFonts w:ascii="Palatino Linotype" w:hAnsi="Palatino Linotype"/>
        </w:rPr>
        <w:t xml:space="preserve"> adjunto digitalizado, copias certificadas del convenio de coordinación celebrado entre la Secretaría del Medio Ambiente del Gobierno del Estado de México y el Municipio de Tlalnepantla de Baz, de fecha doce de septiembre de dos mil diecisiete.</w:t>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Pr="004F466F" w:rsidRDefault="00FF3DCD" w:rsidP="00FF3D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Como se desprende del contenido de los archivos referidos,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modifica su respuesta primigenia, precisando que derivado de los nuevos aportados por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encontró la información solicitada, por lo que informa al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que se ponen a su disposición las copias certificadas en las oficinas de la Unidad de Transparencia, señalando domicilio y horario hábil en que puede pasar a recoger la información.</w:t>
      </w:r>
    </w:p>
    <w:p w:rsidR="00FF3DCD" w:rsidRPr="004F466F"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Pr="004F466F" w:rsidRDefault="00FF3DCD" w:rsidP="00FF3D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como quedó precisado en el apartado de antecedentes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mediante correo electrónico, remitió el </w:t>
      </w:r>
      <w:r>
        <w:rPr>
          <w:rFonts w:ascii="Palatino Linotype" w:hAnsi="Palatino Linotype" w:cs="Arial"/>
          <w:sz w:val="24"/>
          <w:szCs w:val="28"/>
        </w:rPr>
        <w:t xml:space="preserve">Acta Circunstanciada de fecha dieciséis de octubre de dos mil diecinueve, en la cual se hace constar que el </w:t>
      </w:r>
      <w:r>
        <w:rPr>
          <w:rFonts w:ascii="Palatino Linotype" w:hAnsi="Palatino Linotype" w:cs="Arial"/>
          <w:b/>
          <w:sz w:val="24"/>
          <w:szCs w:val="28"/>
        </w:rPr>
        <w:t>recurrente</w:t>
      </w:r>
      <w:r>
        <w:rPr>
          <w:rFonts w:ascii="Palatino Linotype" w:hAnsi="Palatino Linotype" w:cs="Arial"/>
          <w:sz w:val="24"/>
          <w:szCs w:val="28"/>
        </w:rPr>
        <w:t xml:space="preserve"> recibió la información peticionada consistente en copias certificadas del Convenio de Coordinación de fecha 12 (doce) de septiembre de 2017 (dos mil diecisiete), celebrado entre </w:t>
      </w:r>
      <w:r w:rsidRPr="004F466F">
        <w:rPr>
          <w:rFonts w:ascii="Palatino Linotype" w:hAnsi="Palatino Linotype" w:cs="Arial"/>
          <w:sz w:val="24"/>
          <w:szCs w:val="28"/>
        </w:rPr>
        <w:t>la Secretaría del Medio Ambiente del Gobierno del Estado de México y el Municipio de Tlalnepantla de Baz</w:t>
      </w:r>
      <w:r>
        <w:rPr>
          <w:rFonts w:ascii="Palatino Linotype" w:hAnsi="Palatino Linotype" w:cs="Arial"/>
          <w:sz w:val="24"/>
          <w:szCs w:val="28"/>
        </w:rPr>
        <w:t>.</w:t>
      </w:r>
    </w:p>
    <w:p w:rsidR="00FF3DCD" w:rsidRDefault="00FF3DCD" w:rsidP="00FF3DCD">
      <w:pPr>
        <w:spacing w:after="0" w:line="360" w:lineRule="auto"/>
        <w:jc w:val="both"/>
        <w:rPr>
          <w:rFonts w:ascii="Palatino Linotype" w:eastAsia="Times New Roman" w:hAnsi="Palatino Linotype" w:cs="Times New Roman"/>
          <w:sz w:val="24"/>
          <w:szCs w:val="24"/>
          <w:lang w:eastAsia="es-ES"/>
        </w:rPr>
      </w:pPr>
    </w:p>
    <w:p w:rsidR="00FF3DCD" w:rsidRDefault="00FF3DCD" w:rsidP="00FF3DCD">
      <w:pPr>
        <w:spacing w:after="0" w:line="360" w:lineRule="auto"/>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sz w:val="24"/>
          <w:szCs w:val="24"/>
          <w:lang w:val="es-ES_tradnl" w:eastAsia="es-ES"/>
        </w:rPr>
        <w:t>Con base en las consideraciones de hecho y de derecho precisadas en párrafos anteriores,</w:t>
      </w:r>
      <w:r>
        <w:rPr>
          <w:rFonts w:ascii="Palatino Linotype" w:eastAsiaTheme="minorEastAsia" w:hAnsi="Palatino Linotype" w:cs="Arial"/>
          <w:sz w:val="24"/>
          <w:szCs w:val="24"/>
          <w:lang w:val="es-ES_tradnl" w:eastAsia="es-ES"/>
        </w:rPr>
        <w:t xml:space="preserve"> resulta de observancia </w:t>
      </w:r>
      <w:r w:rsidRPr="00E505A7">
        <w:rPr>
          <w:rFonts w:ascii="Palatino Linotype" w:eastAsiaTheme="minorEastAsia" w:hAnsi="Palatino Linotype" w:cs="Arial"/>
          <w:sz w:val="24"/>
          <w:szCs w:val="24"/>
          <w:lang w:val="es-ES_tradnl" w:eastAsia="es-ES"/>
        </w:rPr>
        <w:t xml:space="preserve">lo consagrado en la fracción </w:t>
      </w:r>
      <w:r>
        <w:rPr>
          <w:rFonts w:ascii="Palatino Linotype" w:eastAsiaTheme="minorEastAsia" w:hAnsi="Palatino Linotype" w:cs="Arial"/>
          <w:sz w:val="24"/>
          <w:szCs w:val="24"/>
          <w:lang w:val="es-ES_tradnl" w:eastAsia="es-ES"/>
        </w:rPr>
        <w:t>III</w:t>
      </w:r>
      <w:r w:rsidRPr="00E505A7">
        <w:rPr>
          <w:rFonts w:ascii="Palatino Linotype" w:eastAsiaTheme="minorEastAsia" w:hAnsi="Palatino Linotype" w:cs="Arial"/>
          <w:sz w:val="24"/>
          <w:szCs w:val="24"/>
          <w:lang w:val="es-ES_tradnl" w:eastAsia="es-ES"/>
        </w:rPr>
        <w:t xml:space="preserve"> del artículo 192, de la </w:t>
      </w:r>
      <w:r w:rsidRPr="00E505A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505A7">
        <w:rPr>
          <w:rFonts w:ascii="Palatino Linotype" w:eastAsiaTheme="minorEastAsia" w:hAnsi="Palatino Linotype" w:cs="Arial"/>
          <w:sz w:val="24"/>
          <w:szCs w:val="24"/>
          <w:lang w:val="es-ES_tradnl" w:eastAsia="es-ES"/>
        </w:rPr>
        <w:t>vigente, que a la letra señala:</w:t>
      </w:r>
    </w:p>
    <w:p w:rsidR="00FF3DCD" w:rsidRPr="00E505A7" w:rsidRDefault="00FF3DCD" w:rsidP="00FF3DCD">
      <w:pPr>
        <w:spacing w:after="0" w:line="360" w:lineRule="auto"/>
        <w:jc w:val="both"/>
        <w:rPr>
          <w:rFonts w:ascii="Palatino Linotype" w:eastAsia="Calibri" w:hAnsi="Palatino Linotype" w:cs="Times New Roman"/>
          <w:sz w:val="24"/>
          <w:szCs w:val="24"/>
          <w:lang w:val="es-ES_tradnl" w:eastAsia="es-ES"/>
        </w:rPr>
      </w:pP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E505A7">
        <w:rPr>
          <w:rFonts w:ascii="Palatino Linotype" w:eastAsiaTheme="minorEastAsia" w:hAnsi="Palatino Linotype" w:cs="Arial"/>
          <w:b/>
          <w:bCs/>
          <w:i/>
          <w:lang w:val="es-ES_tradnl" w:eastAsia="es-ES"/>
        </w:rPr>
        <w:t xml:space="preserve">“Artículo 192. </w:t>
      </w:r>
      <w:r w:rsidRPr="00E505A7">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FF3DCD" w:rsidRPr="00E505A7" w:rsidRDefault="00FF3DCD" w:rsidP="00FF3DCD">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bCs/>
          <w:i/>
          <w:lang w:eastAsia="es-ES"/>
        </w:rPr>
        <w:t>(…)</w:t>
      </w:r>
    </w:p>
    <w:p w:rsidR="00FF3DCD" w:rsidRPr="009C18DD" w:rsidRDefault="00FF3DCD" w:rsidP="00FF3DCD">
      <w:pPr>
        <w:autoSpaceDE w:val="0"/>
        <w:autoSpaceDN w:val="0"/>
        <w:adjustRightInd w:val="0"/>
        <w:spacing w:after="0" w:line="240" w:lineRule="auto"/>
        <w:ind w:left="567" w:right="567"/>
        <w:jc w:val="both"/>
        <w:rPr>
          <w:rFonts w:ascii="Palatino Linotype" w:eastAsiaTheme="minorEastAsia" w:hAnsi="Palatino Linotype" w:cs="Arial"/>
          <w:i/>
          <w:lang w:eastAsia="es-ES"/>
        </w:rPr>
      </w:pPr>
      <w:r w:rsidRPr="009C18DD">
        <w:rPr>
          <w:rFonts w:ascii="Palatino Linotype" w:eastAsiaTheme="minorEastAsia" w:hAnsi="Palatino Linotype" w:cs="Arial"/>
          <w:b/>
          <w:i/>
          <w:lang w:eastAsia="es-ES"/>
        </w:rPr>
        <w:t xml:space="preserve">III. </w:t>
      </w:r>
      <w:r w:rsidRPr="009C18DD">
        <w:rPr>
          <w:rFonts w:ascii="Palatino Linotype" w:eastAsiaTheme="minorEastAsia" w:hAnsi="Palatino Linotype" w:cs="Arial"/>
          <w:i/>
          <w:lang w:eastAsia="es-ES"/>
        </w:rPr>
        <w:t xml:space="preserve">El sujeto obligado responsable del acto lo </w:t>
      </w:r>
      <w:r w:rsidRPr="009C18DD">
        <w:rPr>
          <w:rFonts w:ascii="Palatino Linotype" w:eastAsiaTheme="minorEastAsia" w:hAnsi="Palatino Linotype" w:cs="Arial"/>
          <w:b/>
          <w:i/>
          <w:lang w:eastAsia="es-ES"/>
        </w:rPr>
        <w:t>modifique</w:t>
      </w:r>
      <w:r w:rsidRPr="009C18DD">
        <w:rPr>
          <w:rFonts w:ascii="Palatino Linotype" w:eastAsiaTheme="minorEastAsia" w:hAnsi="Palatino Linotype" w:cs="Arial"/>
          <w:i/>
          <w:lang w:eastAsia="es-ES"/>
        </w:rPr>
        <w:t xml:space="preserve"> o revoque de tal manera que el recurso de</w:t>
      </w:r>
      <w:r>
        <w:rPr>
          <w:rFonts w:ascii="Palatino Linotype" w:eastAsiaTheme="minorEastAsia" w:hAnsi="Palatino Linotype" w:cs="Arial"/>
          <w:i/>
          <w:lang w:eastAsia="es-ES"/>
        </w:rPr>
        <w:t xml:space="preserve"> </w:t>
      </w:r>
      <w:r w:rsidRPr="009C18DD">
        <w:rPr>
          <w:rFonts w:ascii="Palatino Linotype" w:eastAsiaTheme="minorEastAsia" w:hAnsi="Palatino Linotype" w:cs="Arial"/>
          <w:i/>
          <w:lang w:eastAsia="es-ES"/>
        </w:rPr>
        <w:t>revisión quede sin materia;</w:t>
      </w:r>
    </w:p>
    <w:p w:rsidR="00FF3DCD" w:rsidRPr="00E505A7" w:rsidRDefault="00FF3DCD" w:rsidP="00FF3DCD">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i/>
          <w:lang w:eastAsia="es-ES"/>
        </w:rPr>
        <w:t>(…)</w:t>
      </w: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FF3DCD" w:rsidRPr="00E505A7" w:rsidRDefault="00FF3DCD" w:rsidP="00FF3DCD">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E505A7">
        <w:rPr>
          <w:rFonts w:ascii="Palatino Linotype" w:eastAsiaTheme="minorEastAsia" w:hAnsi="Palatino Linotype" w:cs="Arial"/>
          <w:lang w:eastAsia="es-ES"/>
        </w:rPr>
        <w:t>(Énfasis añadido)</w:t>
      </w:r>
    </w:p>
    <w:p w:rsidR="00FF3DCD" w:rsidRDefault="00FF3DCD" w:rsidP="00FF3DCD">
      <w:pPr>
        <w:spacing w:after="0" w:line="360" w:lineRule="auto"/>
        <w:jc w:val="both"/>
        <w:rPr>
          <w:rFonts w:ascii="Palatino Linotype" w:eastAsia="Batang" w:hAnsi="Palatino Linotype" w:cs="Arial"/>
          <w:sz w:val="24"/>
          <w:szCs w:val="24"/>
          <w:lang w:val="es-ES_tradnl" w:eastAsia="es-ES"/>
        </w:rPr>
      </w:pPr>
      <w:r w:rsidRPr="00E505A7">
        <w:rPr>
          <w:rFonts w:ascii="Palatino Linotype" w:eastAsiaTheme="minorEastAsia" w:hAnsi="Palatino Linotype"/>
          <w:sz w:val="24"/>
          <w:szCs w:val="24"/>
        </w:rPr>
        <w:lastRenderedPageBreak/>
        <w:t xml:space="preserve">Artículo </w:t>
      </w:r>
      <w:r w:rsidRPr="00E505A7">
        <w:rPr>
          <w:rFonts w:ascii="Palatino Linotype" w:eastAsia="Batang" w:hAnsi="Palatino Linotype" w:cs="Arial"/>
          <w:sz w:val="24"/>
          <w:szCs w:val="24"/>
          <w:lang w:val="es-ES_tradnl" w:eastAsia="es-ES"/>
        </w:rPr>
        <w:t xml:space="preserve">de la Ley de Transparencia y Acceso a la Información Pública del Estado de México y Municipios, </w:t>
      </w:r>
      <w:r>
        <w:rPr>
          <w:rFonts w:ascii="Palatino Linotype" w:eastAsia="Batang" w:hAnsi="Palatino Linotype" w:cs="Arial"/>
          <w:sz w:val="24"/>
          <w:szCs w:val="24"/>
          <w:lang w:val="es-ES_tradnl" w:eastAsia="es-ES"/>
        </w:rPr>
        <w:t xml:space="preserve">que consagra </w:t>
      </w:r>
      <w:r w:rsidRPr="00E505A7">
        <w:rPr>
          <w:rFonts w:ascii="Palatino Linotype" w:eastAsia="Batang" w:hAnsi="Palatino Linotype" w:cs="Arial"/>
          <w:sz w:val="24"/>
          <w:szCs w:val="24"/>
          <w:lang w:val="es-ES_tradnl" w:eastAsia="es-ES"/>
        </w:rPr>
        <w:t>la procedencia para sobreseer el recurso de revisión cuando</w:t>
      </w:r>
      <w:r>
        <w:rPr>
          <w:rFonts w:ascii="Palatino Linotype" w:eastAsia="Batang" w:hAnsi="Palatino Linotype" w:cs="Arial"/>
          <w:sz w:val="24"/>
          <w:szCs w:val="24"/>
          <w:lang w:val="es-ES_tradnl" w:eastAsia="es-ES"/>
        </w:rPr>
        <w:t xml:space="preserve"> una vez admitido, el </w:t>
      </w:r>
      <w:r>
        <w:rPr>
          <w:rFonts w:ascii="Palatino Linotype" w:eastAsia="Batang" w:hAnsi="Palatino Linotype" w:cs="Arial"/>
          <w:b/>
          <w:sz w:val="24"/>
          <w:szCs w:val="24"/>
          <w:lang w:val="es-ES_tradnl" w:eastAsia="es-ES"/>
        </w:rPr>
        <w:t>sujeto obligado</w:t>
      </w:r>
      <w:r>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FF3DCD" w:rsidRDefault="00FF3DCD" w:rsidP="00FF3DCD">
      <w:pPr>
        <w:spacing w:after="0" w:line="360" w:lineRule="auto"/>
        <w:jc w:val="both"/>
        <w:rPr>
          <w:rFonts w:ascii="Palatino Linotype" w:eastAsia="Batang" w:hAnsi="Palatino Linotype" w:cs="Arial"/>
          <w:sz w:val="24"/>
          <w:szCs w:val="24"/>
          <w:lang w:val="es-ES_tradnl" w:eastAsia="es-ES"/>
        </w:rPr>
      </w:pPr>
    </w:p>
    <w:p w:rsidR="00FF3DCD" w:rsidRDefault="00FF3DCD" w:rsidP="00FF3DCD">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_tradnl" w:eastAsia="es-ES"/>
        </w:rPr>
        <w:t xml:space="preserve">Como se observa en el apartado de antecedente de la presente resolución, el </w:t>
      </w:r>
      <w:r>
        <w:rPr>
          <w:rFonts w:ascii="Palatino Linotype" w:eastAsia="Batang" w:hAnsi="Palatino Linotype" w:cs="Arial"/>
          <w:b/>
          <w:sz w:val="24"/>
          <w:szCs w:val="24"/>
          <w:lang w:val="es-ES_tradnl" w:eastAsia="es-ES"/>
        </w:rPr>
        <w:t>sujeto obligado</w:t>
      </w:r>
      <w:r>
        <w:rPr>
          <w:rFonts w:ascii="Palatino Linotype" w:eastAsia="Batang" w:hAnsi="Palatino Linotype" w:cs="Arial"/>
          <w:sz w:val="24"/>
          <w:szCs w:val="24"/>
          <w:lang w:val="es-ES_tradnl" w:eastAsia="es-ES"/>
        </w:rPr>
        <w:t xml:space="preserve"> respondió a su solicitud de información en el sentido de no tener en sus archivos la información peticionada, siendo este el </w:t>
      </w:r>
      <w:r>
        <w:rPr>
          <w:rFonts w:ascii="Palatino Linotype" w:eastAsia="Batang" w:hAnsi="Palatino Linotype" w:cs="Arial"/>
          <w:b/>
          <w:sz w:val="24"/>
          <w:szCs w:val="24"/>
          <w:lang w:val="es-ES_tradnl" w:eastAsia="es-ES"/>
        </w:rPr>
        <w:t>acto</w:t>
      </w:r>
      <w:r>
        <w:rPr>
          <w:rFonts w:ascii="Palatino Linotype" w:eastAsia="Batang" w:hAnsi="Palatino Linotype" w:cs="Arial"/>
          <w:sz w:val="24"/>
          <w:szCs w:val="24"/>
          <w:lang w:val="es-ES_tradnl" w:eastAsia="es-ES"/>
        </w:rPr>
        <w:t xml:space="preserve"> combatido por el </w:t>
      </w:r>
      <w:r>
        <w:rPr>
          <w:rFonts w:ascii="Palatino Linotype" w:eastAsia="Batang" w:hAnsi="Palatino Linotype" w:cs="Arial"/>
          <w:b/>
          <w:sz w:val="24"/>
          <w:szCs w:val="24"/>
          <w:lang w:val="es-ES_tradnl" w:eastAsia="es-ES"/>
        </w:rPr>
        <w:t xml:space="preserve">recurrente, </w:t>
      </w:r>
      <w:r>
        <w:rPr>
          <w:rFonts w:ascii="Palatino Linotype" w:eastAsia="Batang" w:hAnsi="Palatino Linotype" w:cs="Arial"/>
          <w:sz w:val="24"/>
          <w:szCs w:val="24"/>
          <w:lang w:val="es-ES_tradnl" w:eastAsia="es-ES"/>
        </w:rPr>
        <w:t>al interponer el recurso de revisión.</w:t>
      </w:r>
    </w:p>
    <w:p w:rsidR="00FF3DCD" w:rsidRDefault="00FF3DCD" w:rsidP="00FF3DCD">
      <w:pPr>
        <w:spacing w:after="0" w:line="360" w:lineRule="auto"/>
        <w:jc w:val="both"/>
        <w:rPr>
          <w:rFonts w:ascii="Palatino Linotype" w:eastAsia="Batang" w:hAnsi="Palatino Linotype" w:cs="Arial"/>
          <w:sz w:val="24"/>
          <w:szCs w:val="24"/>
          <w:lang w:val="es-ES_tradnl" w:eastAsia="es-ES"/>
        </w:rPr>
      </w:pPr>
    </w:p>
    <w:p w:rsidR="00FF3DCD" w:rsidRPr="00706762" w:rsidRDefault="00FF3DCD" w:rsidP="00FF3DCD">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_tradnl" w:eastAsia="es-ES"/>
        </w:rPr>
        <w:t xml:space="preserve">Posteriormente, el </w:t>
      </w:r>
      <w:r>
        <w:rPr>
          <w:rFonts w:ascii="Palatino Linotype" w:eastAsia="Batang" w:hAnsi="Palatino Linotype" w:cs="Arial"/>
          <w:b/>
          <w:sz w:val="24"/>
          <w:szCs w:val="24"/>
          <w:lang w:val="es-ES_tradnl" w:eastAsia="es-ES"/>
        </w:rPr>
        <w:t>sujeto obligado</w:t>
      </w:r>
      <w:r>
        <w:rPr>
          <w:rFonts w:ascii="Palatino Linotype" w:eastAsia="Batang" w:hAnsi="Palatino Linotype" w:cs="Arial"/>
          <w:sz w:val="24"/>
          <w:szCs w:val="24"/>
          <w:lang w:val="es-ES_tradnl" w:eastAsia="es-ES"/>
        </w:rPr>
        <w:t xml:space="preserve"> informa que se ponían a disposición del </w:t>
      </w:r>
      <w:r>
        <w:rPr>
          <w:rFonts w:ascii="Palatino Linotype" w:eastAsia="Batang" w:hAnsi="Palatino Linotype" w:cs="Arial"/>
          <w:b/>
          <w:sz w:val="24"/>
          <w:szCs w:val="24"/>
          <w:lang w:val="es-ES_tradnl" w:eastAsia="es-ES"/>
        </w:rPr>
        <w:t>recurrente</w:t>
      </w:r>
      <w:r>
        <w:rPr>
          <w:rFonts w:ascii="Palatino Linotype" w:eastAsia="Batang" w:hAnsi="Palatino Linotype" w:cs="Arial"/>
          <w:sz w:val="24"/>
          <w:szCs w:val="24"/>
          <w:lang w:val="es-ES_tradnl" w:eastAsia="es-ES"/>
        </w:rPr>
        <w:t xml:space="preserve"> las copias certificadas, acudiendo el </w:t>
      </w:r>
      <w:r>
        <w:rPr>
          <w:rFonts w:ascii="Palatino Linotype" w:eastAsia="Batang" w:hAnsi="Palatino Linotype" w:cs="Arial"/>
          <w:b/>
          <w:sz w:val="24"/>
          <w:szCs w:val="24"/>
          <w:lang w:val="es-ES_tradnl" w:eastAsia="es-ES"/>
        </w:rPr>
        <w:t>recurrente</w:t>
      </w:r>
      <w:r>
        <w:rPr>
          <w:rFonts w:ascii="Palatino Linotype" w:eastAsia="Batang" w:hAnsi="Palatino Linotype" w:cs="Arial"/>
          <w:sz w:val="24"/>
          <w:szCs w:val="24"/>
          <w:lang w:val="es-ES_tradnl" w:eastAsia="es-ES"/>
        </w:rPr>
        <w:t xml:space="preserve"> a las oficinas de la Unidad de Transparencia para recoger la información; es decir, el sujeto obligado </w:t>
      </w:r>
      <w:r>
        <w:rPr>
          <w:rFonts w:ascii="Palatino Linotype" w:eastAsia="Batang" w:hAnsi="Palatino Linotype" w:cs="Arial"/>
          <w:b/>
          <w:sz w:val="24"/>
          <w:szCs w:val="24"/>
          <w:lang w:val="es-ES_tradnl" w:eastAsia="es-ES"/>
        </w:rPr>
        <w:t xml:space="preserve">modificó </w:t>
      </w:r>
      <w:r>
        <w:rPr>
          <w:rFonts w:ascii="Palatino Linotype" w:eastAsia="Batang" w:hAnsi="Palatino Linotype" w:cs="Arial"/>
          <w:sz w:val="24"/>
          <w:szCs w:val="24"/>
          <w:lang w:val="es-ES_tradnl" w:eastAsia="es-ES"/>
        </w:rPr>
        <w:t>su respuesta primigenia al hacer entrega de la información, consecuentemente, el presente recurso quedó sin materia.</w:t>
      </w:r>
    </w:p>
    <w:p w:rsidR="00FF3DCD" w:rsidRDefault="00FF3DCD" w:rsidP="00FF3DCD">
      <w:pPr>
        <w:spacing w:after="0" w:line="360" w:lineRule="auto"/>
        <w:jc w:val="both"/>
        <w:rPr>
          <w:rFonts w:ascii="Palatino Linotype" w:eastAsia="Batang" w:hAnsi="Palatino Linotype" w:cs="Arial"/>
          <w:sz w:val="24"/>
          <w:szCs w:val="24"/>
          <w:lang w:val="es-ES_tradnl" w:eastAsia="es-ES"/>
        </w:rPr>
      </w:pPr>
    </w:p>
    <w:p w:rsidR="00FF3DCD" w:rsidRPr="00E505A7" w:rsidRDefault="00FF3DCD" w:rsidP="00FF3DCD">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 w:eastAsia="es-ES"/>
        </w:rPr>
        <w:t xml:space="preserve">Consecuentemente, resulta procedente </w:t>
      </w:r>
      <w:r w:rsidRPr="00E505A7">
        <w:rPr>
          <w:rFonts w:ascii="Palatino Linotype" w:eastAsia="Batang" w:hAnsi="Palatino Linotype" w:cs="Arial"/>
          <w:sz w:val="24"/>
          <w:szCs w:val="24"/>
          <w:lang w:val="es-ES" w:eastAsia="es-ES"/>
        </w:rPr>
        <w:t xml:space="preserve">el sobreseimiento </w:t>
      </w:r>
      <w:r>
        <w:rPr>
          <w:rFonts w:ascii="Palatino Linotype" w:eastAsia="Batang" w:hAnsi="Palatino Linotype" w:cs="Arial"/>
          <w:sz w:val="24"/>
          <w:szCs w:val="24"/>
          <w:lang w:val="es-ES" w:eastAsia="es-ES"/>
        </w:rPr>
        <w:t xml:space="preserve">el cual </w:t>
      </w:r>
      <w:r w:rsidRPr="00E505A7">
        <w:rPr>
          <w:rFonts w:ascii="Palatino Linotype" w:eastAsia="Batang" w:hAnsi="Palatino Linotype" w:cs="Arial"/>
          <w:sz w:val="24"/>
          <w:szCs w:val="24"/>
          <w:lang w:val="es-ES" w:eastAsia="es-ES"/>
        </w:rPr>
        <w:t>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FF3DCD" w:rsidRPr="00E505A7" w:rsidRDefault="00FF3DCD" w:rsidP="00FF3DCD">
      <w:pPr>
        <w:spacing w:after="0" w:line="360" w:lineRule="auto"/>
        <w:ind w:left="720"/>
        <w:contextualSpacing/>
        <w:rPr>
          <w:rFonts w:ascii="Palatino Linotype" w:eastAsia="Batang" w:hAnsi="Palatino Linotype" w:cs="Arial"/>
          <w:sz w:val="24"/>
          <w:szCs w:val="24"/>
          <w:lang w:val="es-ES_tradnl" w:eastAsia="es-ES"/>
        </w:rPr>
      </w:pP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E505A7">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E505A7">
        <w:rPr>
          <w:rFonts w:ascii="Palatino Linotype" w:eastAsia="Batang" w:hAnsi="Palatino Linotype" w:cs="Arial"/>
          <w:b/>
          <w:i/>
          <w:szCs w:val="24"/>
          <w:lang w:val="es-AR" w:eastAsia="es-ES"/>
        </w:rPr>
        <w:lastRenderedPageBreak/>
        <w:t>El sobreseimiento</w:t>
      </w:r>
      <w:r w:rsidRPr="00E505A7">
        <w:rPr>
          <w:rFonts w:ascii="Palatino Linotype" w:eastAsia="Batang" w:hAnsi="Palatino Linotype" w:cs="Arial"/>
          <w:i/>
          <w:szCs w:val="24"/>
          <w:lang w:val="es-AR" w:eastAsia="es-ES"/>
        </w:rPr>
        <w:t xml:space="preserve"> en el juicio de amparo directo </w:t>
      </w:r>
      <w:r w:rsidRPr="00E505A7">
        <w:rPr>
          <w:rFonts w:ascii="Palatino Linotype" w:eastAsia="Batang" w:hAnsi="Palatino Linotype" w:cs="Arial"/>
          <w:b/>
          <w:i/>
          <w:szCs w:val="24"/>
          <w:lang w:val="es-AR" w:eastAsia="es-ES"/>
        </w:rPr>
        <w:t>provoca la terminación de la controversia planteada</w:t>
      </w:r>
      <w:r w:rsidRPr="00E505A7">
        <w:rPr>
          <w:rFonts w:ascii="Palatino Linotype" w:eastAsia="Batang" w:hAnsi="Palatino Linotype" w:cs="Arial"/>
          <w:i/>
          <w:szCs w:val="24"/>
          <w:lang w:val="es-AR" w:eastAsia="es-ES"/>
        </w:rPr>
        <w:t xml:space="preserve"> por el quejoso en la demanda de amparo</w:t>
      </w:r>
      <w:r w:rsidRPr="00E505A7">
        <w:rPr>
          <w:rFonts w:ascii="Palatino Linotype" w:eastAsia="Batang" w:hAnsi="Palatino Linotype" w:cs="Arial"/>
          <w:b/>
          <w:i/>
          <w:szCs w:val="24"/>
          <w:lang w:val="es-AR" w:eastAsia="es-ES"/>
        </w:rPr>
        <w:t>, sin hacer un pronunciamiento de fondo sobre la legalidad o ilegalidad de la sentencia reclamada</w:t>
      </w:r>
      <w:r w:rsidRPr="00E505A7">
        <w:rPr>
          <w:rFonts w:ascii="Palatino Linotype" w:eastAsia="Batang" w:hAnsi="Palatino Linotype" w:cs="Arial"/>
          <w:i/>
          <w:szCs w:val="24"/>
          <w:lang w:val="es-AR" w:eastAsia="es-ES"/>
        </w:rPr>
        <w:t xml:space="preserve">. </w:t>
      </w:r>
      <w:r w:rsidRPr="00E505A7">
        <w:rPr>
          <w:rFonts w:ascii="Palatino Linotype" w:eastAsia="Batang" w:hAnsi="Palatino Linotype" w:cs="Arial"/>
          <w:b/>
          <w:i/>
          <w:szCs w:val="24"/>
          <w:lang w:val="es-AR" w:eastAsia="es-ES"/>
        </w:rPr>
        <w:t xml:space="preserve">Por consiguiente, si al sobreseerse en el juicio de amparo </w:t>
      </w:r>
      <w:r w:rsidRPr="00E505A7">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05A7">
        <w:rPr>
          <w:rFonts w:ascii="Palatino Linotype" w:eastAsia="Batang" w:hAnsi="Palatino Linotype" w:cs="Arial"/>
          <w:i/>
          <w:szCs w:val="24"/>
          <w:lang w:val="es-AR" w:eastAsia="es-ES"/>
        </w:rPr>
        <w:t>.</w:t>
      </w: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SÉPTIMO TRIBUNAL COLEGIADO EN MATERIA CIVIL DEL PRIMER CIRCUITO.</w:t>
      </w: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 xml:space="preserve">Amparo directo 699/2008. Mariana Leticia González </w:t>
      </w:r>
      <w:proofErr w:type="spellStart"/>
      <w:r w:rsidRPr="00E505A7">
        <w:rPr>
          <w:rFonts w:ascii="Palatino Linotype" w:eastAsia="Batang" w:hAnsi="Palatino Linotype" w:cs="Arial"/>
          <w:i/>
          <w:sz w:val="20"/>
          <w:szCs w:val="24"/>
          <w:lang w:val="es-AR" w:eastAsia="es-ES"/>
        </w:rPr>
        <w:t>Steele</w:t>
      </w:r>
      <w:proofErr w:type="spellEnd"/>
      <w:r w:rsidRPr="00E505A7">
        <w:rPr>
          <w:rFonts w:ascii="Palatino Linotype" w:eastAsia="Batang" w:hAnsi="Palatino Linotype" w:cs="Arial"/>
          <w:i/>
          <w:sz w:val="20"/>
          <w:szCs w:val="24"/>
          <w:lang w:val="es-AR" w:eastAsia="es-ES"/>
        </w:rPr>
        <w:t>. 13 de noviembre de 2008. Unanimidad de votos. Ponente: Sara Judith Montalvo Trejo. Secretario: Arnulfo Mateos García.</w:t>
      </w:r>
    </w:p>
    <w:p w:rsidR="00FF3DCD" w:rsidRPr="00E505A7" w:rsidRDefault="00FF3DCD" w:rsidP="00FF3DCD">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rsidR="00FF3DCD" w:rsidRPr="00E505A7" w:rsidRDefault="00FF3DCD" w:rsidP="00FF3DCD">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sidRPr="00E505A7">
        <w:rPr>
          <w:rFonts w:ascii="Palatino Linotype" w:eastAsia="Batang" w:hAnsi="Palatino Linotype" w:cs="Arial"/>
          <w:sz w:val="20"/>
          <w:szCs w:val="24"/>
          <w:lang w:val="es-AR" w:eastAsia="es-ES"/>
        </w:rPr>
        <w:t>(Énfasis añadido)</w:t>
      </w:r>
    </w:p>
    <w:p w:rsidR="00FF3DCD" w:rsidRPr="00E505A7" w:rsidRDefault="00FF3DCD" w:rsidP="00FF3DCD">
      <w:pPr>
        <w:spacing w:after="0" w:line="360" w:lineRule="auto"/>
        <w:jc w:val="both"/>
        <w:rPr>
          <w:rFonts w:ascii="Palatino Linotype" w:eastAsia="Batang" w:hAnsi="Palatino Linotype" w:cs="Arial"/>
          <w:sz w:val="24"/>
          <w:szCs w:val="24"/>
          <w:lang w:val="es-ES" w:eastAsia="es-ES"/>
        </w:rPr>
      </w:pPr>
    </w:p>
    <w:p w:rsidR="00FF3DCD" w:rsidRPr="00E505A7" w:rsidRDefault="00FF3DCD" w:rsidP="00FF3DCD">
      <w:pPr>
        <w:spacing w:after="0" w:line="360" w:lineRule="auto"/>
        <w:jc w:val="both"/>
        <w:rPr>
          <w:rFonts w:ascii="Palatino Linotype" w:eastAsia="Batang" w:hAnsi="Palatino Linotype" w:cs="Arial"/>
          <w:sz w:val="24"/>
          <w:szCs w:val="24"/>
          <w:lang w:val="es-ES" w:eastAsia="es-ES"/>
        </w:rPr>
      </w:pPr>
      <w:r w:rsidRPr="00E505A7">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sz w:val="24"/>
          <w:szCs w:val="24"/>
          <w:lang w:val="es-ES" w:eastAsia="es-ES"/>
        </w:rPr>
        <w:t xml:space="preserve">192 </w:t>
      </w:r>
      <w:r w:rsidRPr="00E505A7">
        <w:rPr>
          <w:rFonts w:ascii="Palatino Linotype" w:eastAsia="Batang" w:hAnsi="Palatino Linotype" w:cs="Arial"/>
          <w:sz w:val="24"/>
          <w:szCs w:val="24"/>
          <w:lang w:val="es-ES" w:eastAsia="es-ES"/>
        </w:rPr>
        <w:t xml:space="preserve">de la </w:t>
      </w:r>
      <w:r w:rsidRPr="00E505A7">
        <w:rPr>
          <w:rFonts w:ascii="Palatino Linotype" w:eastAsia="Batang" w:hAnsi="Palatino Linotype" w:cs="Arial"/>
          <w:b/>
          <w:sz w:val="24"/>
          <w:szCs w:val="24"/>
          <w:lang w:val="es-ES" w:eastAsia="es-ES"/>
        </w:rPr>
        <w:t>Ley de Transparencia y Acceso a la Información Pública del Estado de México y Municipios</w:t>
      </w:r>
      <w:r w:rsidRPr="00E505A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FF3DCD" w:rsidRPr="00E505A7" w:rsidRDefault="00FF3DCD" w:rsidP="00FF3DCD">
      <w:pPr>
        <w:spacing w:after="0" w:line="360" w:lineRule="auto"/>
        <w:jc w:val="both"/>
        <w:rPr>
          <w:rFonts w:ascii="Palatino Linotype" w:eastAsia="Batang" w:hAnsi="Palatino Linotype" w:cs="Arial"/>
          <w:sz w:val="24"/>
          <w:szCs w:val="24"/>
          <w:lang w:val="es-ES" w:eastAsia="es-ES"/>
        </w:rPr>
      </w:pPr>
    </w:p>
    <w:p w:rsidR="00FF3DCD" w:rsidRPr="00E505A7" w:rsidRDefault="00FF3DCD" w:rsidP="00FF3DCD">
      <w:pPr>
        <w:tabs>
          <w:tab w:val="left" w:pos="709"/>
        </w:tabs>
        <w:spacing w:after="0" w:line="360" w:lineRule="auto"/>
        <w:ind w:right="51"/>
        <w:jc w:val="both"/>
        <w:rPr>
          <w:rFonts w:ascii="Palatino Linotype" w:eastAsiaTheme="minorEastAsia" w:hAnsi="Palatino Linotype"/>
          <w:sz w:val="24"/>
          <w:szCs w:val="24"/>
          <w:lang w:val="es-ES_tradnl" w:eastAsia="es-ES"/>
        </w:rPr>
      </w:pPr>
      <w:r w:rsidRPr="00E505A7">
        <w:rPr>
          <w:rFonts w:ascii="Palatino Linotype" w:eastAsiaTheme="minorEastAsia" w:hAnsi="Palatino Linotype"/>
          <w:sz w:val="24"/>
          <w:szCs w:val="24"/>
          <w:lang w:val="es-ES_tradnl" w:eastAsia="es-ES"/>
        </w:rPr>
        <w:t>Por lo tanto, en mérito de lo expuesto en líneas anteriores, resultan</w:t>
      </w:r>
      <w:r>
        <w:rPr>
          <w:rFonts w:ascii="Palatino Linotype" w:eastAsiaTheme="minorEastAsia" w:hAnsi="Palatino Linotype"/>
          <w:sz w:val="24"/>
          <w:szCs w:val="24"/>
          <w:lang w:val="es-ES_tradnl" w:eastAsia="es-ES"/>
        </w:rPr>
        <w:t xml:space="preserve"> infundados e</w:t>
      </w:r>
      <w:r w:rsidRPr="00E505A7">
        <w:rPr>
          <w:rFonts w:ascii="Palatino Linotype" w:eastAsiaTheme="minorEastAsia" w:hAnsi="Palatino Linotype"/>
          <w:sz w:val="24"/>
          <w:szCs w:val="24"/>
          <w:lang w:val="es-ES_tradnl" w:eastAsia="es-ES"/>
        </w:rPr>
        <w:t xml:space="preserve"> improcedentes los motivos de inconformidad que arguye </w:t>
      </w:r>
      <w:r w:rsidRPr="00E505A7">
        <w:rPr>
          <w:rFonts w:ascii="Palatino Linotype" w:eastAsiaTheme="minorEastAsia" w:hAnsi="Palatino Linotype"/>
          <w:b/>
          <w:sz w:val="24"/>
          <w:szCs w:val="24"/>
          <w:lang w:val="es-ES_tradnl" w:eastAsia="es-ES"/>
        </w:rPr>
        <w:t>el recurrente</w:t>
      </w:r>
      <w:r w:rsidRPr="00E505A7">
        <w:rPr>
          <w:rFonts w:ascii="Palatino Linotype" w:eastAsiaTheme="minorEastAsia" w:hAnsi="Palatino Linotype"/>
          <w:sz w:val="24"/>
          <w:szCs w:val="24"/>
          <w:lang w:val="es-ES_tradnl" w:eastAsia="es-ES"/>
        </w:rPr>
        <w:t xml:space="preserve"> en su medio de impugnación que fue materia de estudio, por ello </w:t>
      </w:r>
      <w:r w:rsidRPr="00E505A7">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E505A7">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E505A7">
        <w:rPr>
          <w:rFonts w:ascii="Palatino Linotype" w:eastAsiaTheme="minorEastAsia" w:hAnsi="Palatino Linotype" w:cs="Arial"/>
          <w:b/>
          <w:sz w:val="24"/>
          <w:szCs w:val="24"/>
          <w:lang w:val="es-ES_tradnl" w:eastAsia="es-ES"/>
        </w:rPr>
        <w:t xml:space="preserve">sobresee </w:t>
      </w:r>
      <w:r>
        <w:rPr>
          <w:rFonts w:ascii="Palatino Linotype" w:eastAsiaTheme="minorEastAsia" w:hAnsi="Palatino Linotype" w:cs="Arial"/>
          <w:sz w:val="24"/>
          <w:szCs w:val="24"/>
          <w:lang w:val="es-ES_tradnl" w:eastAsia="es-ES"/>
        </w:rPr>
        <w:t>e</w:t>
      </w:r>
      <w:r w:rsidRPr="00E505A7">
        <w:rPr>
          <w:rFonts w:ascii="Palatino Linotype" w:eastAsiaTheme="minorEastAsia" w:hAnsi="Palatino Linotype" w:cs="Arial"/>
          <w:sz w:val="24"/>
          <w:szCs w:val="24"/>
          <w:lang w:val="es-ES_tradnl" w:eastAsia="es-ES"/>
        </w:rPr>
        <w:t xml:space="preserve">l recurso de revisión </w:t>
      </w:r>
      <w:r w:rsidRPr="00E505A7">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7540</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w:t>
      </w:r>
      <w:r w:rsidRPr="00E505A7">
        <w:rPr>
          <w:rFonts w:ascii="Palatino Linotype" w:eastAsiaTheme="minorEastAsia" w:hAnsi="Palatino Linotype"/>
          <w:sz w:val="24"/>
          <w:szCs w:val="24"/>
          <w:lang w:val="es-ES_tradnl" w:eastAsia="es-ES"/>
        </w:rPr>
        <w:t xml:space="preserve"> que ha sido materia del presente fallo.</w:t>
      </w:r>
    </w:p>
    <w:p w:rsidR="00FF3DCD" w:rsidRDefault="00FF3DCD" w:rsidP="00FF3DCD">
      <w:pPr>
        <w:spacing w:after="0" w:line="360" w:lineRule="auto"/>
        <w:jc w:val="both"/>
        <w:rPr>
          <w:rFonts w:ascii="Palatino Linotype" w:eastAsiaTheme="minorEastAsia" w:hAnsi="Palatino Linotype" w:cs="Arial"/>
          <w:sz w:val="24"/>
          <w:szCs w:val="24"/>
          <w:lang w:val="es-CO" w:eastAsia="es-ES"/>
        </w:rPr>
      </w:pPr>
    </w:p>
    <w:p w:rsidR="00FF3DCD" w:rsidRPr="00E505A7" w:rsidRDefault="00FF3DCD" w:rsidP="00FF3DCD">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E505A7">
        <w:rPr>
          <w:rFonts w:ascii="Palatino Linotype" w:eastAsia="Calibri" w:hAnsi="Palatino Linotype" w:cstheme="majorBidi"/>
          <w:b/>
          <w:sz w:val="28"/>
          <w:szCs w:val="24"/>
          <w:lang w:val="es-ES" w:eastAsia="es-ES"/>
        </w:rPr>
        <w:t>R E S O L U T I V O S</w:t>
      </w:r>
      <w:bookmarkEnd w:id="1"/>
      <w:bookmarkEnd w:id="2"/>
      <w:r w:rsidRPr="00E505A7">
        <w:rPr>
          <w:rFonts w:ascii="Palatino Linotype" w:eastAsia="Calibri" w:hAnsi="Palatino Linotype" w:cstheme="majorBidi"/>
          <w:b/>
          <w:sz w:val="28"/>
          <w:szCs w:val="24"/>
          <w:lang w:val="es-ES" w:eastAsia="es-ES"/>
        </w:rPr>
        <w:t xml:space="preserve"> </w:t>
      </w:r>
    </w:p>
    <w:p w:rsidR="00FF3DCD" w:rsidRPr="00E505A7" w:rsidRDefault="00FF3DCD" w:rsidP="00FF3DCD">
      <w:pPr>
        <w:spacing w:after="0" w:line="360" w:lineRule="auto"/>
        <w:rPr>
          <w:rFonts w:eastAsiaTheme="minorEastAsia"/>
          <w:sz w:val="24"/>
          <w:szCs w:val="24"/>
          <w:lang w:val="es-ES" w:eastAsia="es-ES"/>
        </w:rPr>
      </w:pPr>
    </w:p>
    <w:p w:rsidR="00FF3DCD" w:rsidRPr="00364225" w:rsidRDefault="00FF3DCD" w:rsidP="00FF3DC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lastRenderedPageBreak/>
        <w:t>PRIMERO.</w:t>
      </w:r>
      <w:r w:rsidRPr="00E505A7">
        <w:rPr>
          <w:rFonts w:ascii="Palatino Linotype" w:eastAsiaTheme="minorEastAsia" w:hAnsi="Palatino Linotype" w:cs="Arial"/>
          <w:sz w:val="24"/>
          <w:szCs w:val="24"/>
          <w:lang w:val="es-ES_tradnl" w:eastAsia="es-ES"/>
        </w:rPr>
        <w:t xml:space="preserve"> Se </w:t>
      </w:r>
      <w:r w:rsidRPr="00E505A7">
        <w:rPr>
          <w:rFonts w:ascii="Palatino Linotype" w:eastAsiaTheme="minorEastAsia" w:hAnsi="Palatino Linotype" w:cs="Arial"/>
          <w:b/>
          <w:sz w:val="24"/>
          <w:szCs w:val="24"/>
          <w:lang w:val="es-ES_tradnl" w:eastAsia="es-ES"/>
        </w:rPr>
        <w:t>SOBRESEE</w:t>
      </w:r>
      <w:r w:rsidRPr="00E505A7">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el recurso</w:t>
      </w:r>
      <w:r w:rsidRPr="00E505A7">
        <w:rPr>
          <w:rFonts w:ascii="Palatino Linotype" w:eastAsiaTheme="minorEastAsia" w:hAnsi="Palatino Linotype" w:cs="Arial"/>
          <w:sz w:val="24"/>
          <w:szCs w:val="24"/>
          <w:lang w:val="es-ES_tradnl" w:eastAsia="es-ES"/>
        </w:rPr>
        <w:t xml:space="preserve"> de revisión </w:t>
      </w:r>
      <w:r w:rsidRPr="00E505A7">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7540</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 xml:space="preserve">, </w:t>
      </w:r>
      <w:r w:rsidRPr="00364225">
        <w:rPr>
          <w:rFonts w:ascii="Palatino Linotype" w:eastAsiaTheme="minorEastAsia" w:hAnsi="Palatino Linotype" w:cs="Arial"/>
          <w:sz w:val="24"/>
          <w:szCs w:val="24"/>
          <w:lang w:val="es-ES_tradnl" w:eastAsia="es-ES"/>
        </w:rPr>
        <w:t xml:space="preserve">porque el </w:t>
      </w:r>
      <w:r w:rsidRPr="00364225">
        <w:rPr>
          <w:rFonts w:ascii="Palatino Linotype" w:eastAsiaTheme="minorEastAsia" w:hAnsi="Palatino Linotype" w:cs="Arial"/>
          <w:b/>
          <w:sz w:val="24"/>
          <w:szCs w:val="24"/>
          <w:lang w:val="es-ES_tradnl" w:eastAsia="es-ES"/>
        </w:rPr>
        <w:t>sujeto obligado</w:t>
      </w:r>
      <w:r w:rsidRPr="00364225">
        <w:rPr>
          <w:rFonts w:ascii="Palatino Linotype" w:eastAsiaTheme="minorEastAsia" w:hAnsi="Palatino Linotype" w:cs="Arial"/>
          <w:sz w:val="24"/>
          <w:szCs w:val="24"/>
          <w:lang w:val="es-ES_tradnl" w:eastAsia="es-ES"/>
        </w:rPr>
        <w:t xml:space="preserve"> al </w:t>
      </w:r>
      <w:r w:rsidRPr="00364225">
        <w:rPr>
          <w:rFonts w:ascii="Palatino Linotype" w:eastAsiaTheme="minorEastAsia" w:hAnsi="Palatino Linotype" w:cs="Arial"/>
          <w:b/>
          <w:sz w:val="24"/>
          <w:szCs w:val="24"/>
          <w:lang w:val="es-ES_tradnl" w:eastAsia="es-ES"/>
        </w:rPr>
        <w:t>modificar</w:t>
      </w:r>
      <w:r w:rsidRPr="00364225">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364225">
        <w:rPr>
          <w:rFonts w:ascii="Palatino Linotype" w:eastAsiaTheme="minorEastAsia" w:hAnsi="Palatino Linotype" w:cs="Arial"/>
          <w:b/>
          <w:sz w:val="24"/>
          <w:szCs w:val="24"/>
          <w:lang w:val="es-ES_tradnl" w:eastAsia="es-ES"/>
        </w:rPr>
        <w:t>Tercero</w:t>
      </w:r>
      <w:r w:rsidRPr="00364225">
        <w:rPr>
          <w:rFonts w:ascii="Palatino Linotype" w:eastAsiaTheme="minorEastAsia" w:hAnsi="Palatino Linotype" w:cs="Arial"/>
          <w:sz w:val="24"/>
          <w:szCs w:val="24"/>
          <w:lang w:val="es-ES_tradnl" w:eastAsia="es-ES"/>
        </w:rPr>
        <w:t xml:space="preserve"> de la presente resolución.</w:t>
      </w:r>
    </w:p>
    <w:p w:rsidR="00FF3DCD" w:rsidRPr="00E505A7" w:rsidRDefault="00FF3DCD" w:rsidP="00FF3DC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FF3DCD" w:rsidRPr="00E505A7" w:rsidRDefault="00FF3DCD" w:rsidP="00FF3DC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t>SEGUNDO</w:t>
      </w:r>
      <w:r w:rsidRPr="00E505A7">
        <w:rPr>
          <w:rFonts w:ascii="Palatino Linotype" w:eastAsiaTheme="minorEastAsia" w:hAnsi="Palatino Linotype" w:cs="Arial"/>
          <w:b/>
          <w:sz w:val="24"/>
          <w:szCs w:val="24"/>
          <w:lang w:val="es-ES_tradnl" w:eastAsia="es-ES"/>
        </w:rPr>
        <w:t>.</w:t>
      </w:r>
      <w:r w:rsidRPr="00E505A7">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E505A7">
        <w:rPr>
          <w:rFonts w:ascii="Palatino Linotype" w:eastAsiaTheme="minorEastAsia" w:hAnsi="Palatino Linotype" w:cs="Arial"/>
          <w:b/>
          <w:sz w:val="24"/>
          <w:szCs w:val="24"/>
          <w:lang w:val="es-ES_tradnl" w:eastAsia="es-ES"/>
        </w:rPr>
        <w:t>sujeto obligado</w:t>
      </w:r>
      <w:r w:rsidRPr="00E505A7">
        <w:rPr>
          <w:rFonts w:ascii="Palatino Linotype" w:eastAsiaTheme="minorEastAsia" w:hAnsi="Palatino Linotype" w:cs="Arial"/>
          <w:sz w:val="24"/>
          <w:szCs w:val="24"/>
          <w:lang w:val="es-ES_tradnl" w:eastAsia="es-ES"/>
        </w:rPr>
        <w:t>.</w:t>
      </w:r>
    </w:p>
    <w:p w:rsidR="00FF3DCD" w:rsidRPr="00E505A7" w:rsidRDefault="00FF3DCD" w:rsidP="00FF3DCD">
      <w:pPr>
        <w:spacing w:after="0" w:line="360" w:lineRule="auto"/>
        <w:jc w:val="both"/>
        <w:rPr>
          <w:rFonts w:ascii="Palatino Linotype" w:eastAsia="Batang" w:hAnsi="Palatino Linotype" w:cs="Arial"/>
          <w:sz w:val="24"/>
          <w:szCs w:val="24"/>
          <w:lang w:val="es-ES" w:eastAsia="es-ES"/>
        </w:rPr>
      </w:pPr>
    </w:p>
    <w:p w:rsidR="00FF3DCD" w:rsidRPr="00E505A7" w:rsidRDefault="00FF3DCD" w:rsidP="00FF3DCD">
      <w:pPr>
        <w:spacing w:after="0" w:line="360" w:lineRule="auto"/>
        <w:jc w:val="both"/>
        <w:rPr>
          <w:rFonts w:ascii="Palatino Linotype" w:eastAsia="Times New Roman" w:hAnsi="Palatino Linotype" w:cs="Arial"/>
          <w:sz w:val="24"/>
          <w:szCs w:val="24"/>
          <w:lang w:val="es-ES" w:eastAsia="es-ES"/>
        </w:rPr>
      </w:pPr>
      <w:r w:rsidRPr="00E505A7">
        <w:rPr>
          <w:rFonts w:ascii="Palatino Linotype" w:eastAsia="Times New Roman" w:hAnsi="Palatino Linotype" w:cs="Arial"/>
          <w:b/>
          <w:sz w:val="28"/>
          <w:szCs w:val="24"/>
          <w:lang w:val="es-ES" w:eastAsia="es-ES"/>
        </w:rPr>
        <w:t>TERCERO</w:t>
      </w:r>
      <w:r w:rsidRPr="00E505A7">
        <w:rPr>
          <w:rFonts w:ascii="Palatino Linotype" w:eastAsia="Times New Roman" w:hAnsi="Palatino Linotype" w:cs="Arial"/>
          <w:b/>
          <w:sz w:val="24"/>
          <w:szCs w:val="24"/>
          <w:lang w:val="es-ES" w:eastAsia="es-ES"/>
        </w:rPr>
        <w:t>.</w:t>
      </w:r>
      <w:r w:rsidRPr="00E505A7">
        <w:rPr>
          <w:rFonts w:ascii="Palatino Linotype" w:eastAsia="Times New Roman" w:hAnsi="Palatino Linotype" w:cs="Arial"/>
          <w:sz w:val="24"/>
          <w:szCs w:val="24"/>
          <w:lang w:val="es-ES" w:eastAsia="es-ES"/>
        </w:rPr>
        <w:t xml:space="preserve"> </w:t>
      </w:r>
      <w:r w:rsidRPr="00E505A7">
        <w:rPr>
          <w:rFonts w:ascii="Palatino Linotype" w:eastAsia="Times New Roman" w:hAnsi="Palatino Linotype" w:cs="Arial"/>
          <w:b/>
          <w:sz w:val="24"/>
          <w:szCs w:val="24"/>
          <w:lang w:val="es-ES" w:eastAsia="es-ES"/>
        </w:rPr>
        <w:t>NOTIFÍQUESE</w:t>
      </w:r>
      <w:r w:rsidRPr="00E505A7">
        <w:rPr>
          <w:rFonts w:ascii="Palatino Linotype" w:eastAsia="Times New Roman" w:hAnsi="Palatino Linotype" w:cs="Arial"/>
          <w:sz w:val="24"/>
          <w:szCs w:val="24"/>
          <w:lang w:val="es-ES" w:eastAsia="es-ES"/>
        </w:rPr>
        <w:t xml:space="preserve"> al </w:t>
      </w:r>
      <w:r w:rsidRPr="00E505A7">
        <w:rPr>
          <w:rFonts w:ascii="Palatino Linotype" w:eastAsia="Times New Roman" w:hAnsi="Palatino Linotype" w:cs="Arial"/>
          <w:b/>
          <w:sz w:val="24"/>
          <w:szCs w:val="24"/>
          <w:lang w:val="es-ES" w:eastAsia="es-ES"/>
        </w:rPr>
        <w:t xml:space="preserve">recurrente </w:t>
      </w:r>
      <w:r w:rsidRPr="00E505A7">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F3DCD" w:rsidRDefault="00FF3DCD" w:rsidP="00FF3DCD">
      <w:pPr>
        <w:autoSpaceDE w:val="0"/>
        <w:autoSpaceDN w:val="0"/>
        <w:adjustRightInd w:val="0"/>
        <w:spacing w:after="0" w:line="360" w:lineRule="auto"/>
        <w:ind w:right="49"/>
        <w:jc w:val="both"/>
        <w:rPr>
          <w:rFonts w:ascii="Palatino Linotype" w:hAnsi="Palatino Linotype" w:cs="Arial"/>
          <w:sz w:val="24"/>
          <w:szCs w:val="24"/>
        </w:rPr>
      </w:pPr>
    </w:p>
    <w:p w:rsidR="00FF3DCD" w:rsidRDefault="00FF3DCD" w:rsidP="00FF3D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(AUSENCIA JUSTIFICADA), EN LA CUADRAGÉSIMO CUARTA SESIÓN ORDINARIA CELEBRADA EL VEINTISIETE DE NOVIEMBRE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p>
    <w:p w:rsidR="00FF3DCD" w:rsidRDefault="00FF3DCD" w:rsidP="00FF3DCD">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F3DCD" w:rsidTr="001A3483">
        <w:trPr>
          <w:jc w:val="center"/>
        </w:trPr>
        <w:tc>
          <w:tcPr>
            <w:tcW w:w="9062" w:type="dxa"/>
            <w:gridSpan w:val="2"/>
          </w:tcPr>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r>
              <w:rPr>
                <w:rFonts w:ascii="Palatino Linotype" w:hAnsi="Palatino Linotype"/>
                <w:b/>
              </w:rPr>
              <w:t>Zulema Martínez Sánchez</w:t>
            </w:r>
          </w:p>
          <w:p w:rsidR="00FF3DCD" w:rsidRDefault="00FF3DCD" w:rsidP="001A3483">
            <w:pPr>
              <w:pStyle w:val="Sinespaciado"/>
              <w:jc w:val="center"/>
              <w:rPr>
                <w:rFonts w:ascii="Palatino Linotype" w:hAnsi="Palatino Linotype"/>
              </w:rPr>
            </w:pPr>
            <w:r>
              <w:rPr>
                <w:rFonts w:ascii="Palatino Linotype" w:hAnsi="Palatino Linotype"/>
              </w:rPr>
              <w:t>Comisionada Presidenta</w:t>
            </w:r>
          </w:p>
          <w:p w:rsidR="00FF3DCD" w:rsidRDefault="00FF3DCD" w:rsidP="001A3483">
            <w:pPr>
              <w:pStyle w:val="Sinespaciado"/>
              <w:jc w:val="center"/>
              <w:rPr>
                <w:rFonts w:ascii="Palatino Linotype" w:hAnsi="Palatino Linotype"/>
              </w:rPr>
            </w:pPr>
            <w:r>
              <w:rPr>
                <w:rFonts w:ascii="Palatino Linotype" w:hAnsi="Palatino Linotype"/>
              </w:rPr>
              <w:t>(Rúbrica)</w:t>
            </w:r>
          </w:p>
        </w:tc>
      </w:tr>
      <w:tr w:rsidR="00FF3DCD" w:rsidTr="001A3483">
        <w:trPr>
          <w:jc w:val="center"/>
        </w:trPr>
        <w:tc>
          <w:tcPr>
            <w:tcW w:w="4531" w:type="dxa"/>
          </w:tcPr>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FF3DCD" w:rsidRDefault="00FF3DCD" w:rsidP="001A3483">
            <w:pPr>
              <w:pStyle w:val="Sinespaciado"/>
              <w:jc w:val="center"/>
              <w:rPr>
                <w:rFonts w:ascii="Palatino Linotype" w:hAnsi="Palatino Linotype"/>
              </w:rPr>
            </w:pPr>
            <w:r>
              <w:rPr>
                <w:rFonts w:ascii="Palatino Linotype" w:hAnsi="Palatino Linotype"/>
              </w:rPr>
              <w:t>Comisionada</w:t>
            </w:r>
          </w:p>
          <w:p w:rsidR="00FF3DCD" w:rsidRDefault="00FF3DCD" w:rsidP="001A3483">
            <w:pPr>
              <w:pStyle w:val="Sinespaciado"/>
              <w:jc w:val="center"/>
              <w:rPr>
                <w:rFonts w:ascii="Palatino Linotype" w:hAnsi="Palatino Linotype"/>
              </w:rPr>
            </w:pPr>
            <w:r>
              <w:rPr>
                <w:rFonts w:ascii="Palatino Linotype" w:hAnsi="Palatino Linotype"/>
              </w:rPr>
              <w:t>(Rúbrica)</w:t>
            </w: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b/>
              </w:rPr>
            </w:pPr>
            <w:r>
              <w:rPr>
                <w:rFonts w:ascii="Palatino Linotype" w:hAnsi="Palatino Linotype"/>
                <w:b/>
              </w:rPr>
              <w:t>Javier Martínez Cruz</w:t>
            </w:r>
          </w:p>
          <w:p w:rsidR="00FF3DCD" w:rsidRDefault="00FF3DCD" w:rsidP="001A3483">
            <w:pPr>
              <w:pStyle w:val="Sinespaciado"/>
              <w:spacing w:line="276" w:lineRule="auto"/>
              <w:jc w:val="center"/>
              <w:rPr>
                <w:rFonts w:ascii="Palatino Linotype" w:hAnsi="Palatino Linotype"/>
              </w:rPr>
            </w:pPr>
            <w:r>
              <w:rPr>
                <w:rFonts w:ascii="Palatino Linotype" w:hAnsi="Palatino Linotype"/>
              </w:rPr>
              <w:t>Comisionado</w:t>
            </w:r>
          </w:p>
          <w:p w:rsidR="00FF3DCD" w:rsidRDefault="00FF3DCD" w:rsidP="001A3483">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r>
              <w:rPr>
                <w:rFonts w:ascii="Palatino Linotype" w:hAnsi="Palatino Linotype"/>
                <w:b/>
              </w:rPr>
              <w:t>José Guadalupe Luna Hernández</w:t>
            </w:r>
          </w:p>
          <w:p w:rsidR="00FF3DCD" w:rsidRDefault="00FF3DCD" w:rsidP="001A3483">
            <w:pPr>
              <w:pStyle w:val="Sinespaciado"/>
              <w:jc w:val="center"/>
              <w:rPr>
                <w:rFonts w:ascii="Palatino Linotype" w:hAnsi="Palatino Linotype"/>
              </w:rPr>
            </w:pPr>
            <w:r>
              <w:rPr>
                <w:rFonts w:ascii="Palatino Linotype" w:hAnsi="Palatino Linotype"/>
              </w:rPr>
              <w:t>Comisionado</w:t>
            </w:r>
          </w:p>
          <w:p w:rsidR="00FF3DCD" w:rsidRDefault="00FF3DCD" w:rsidP="001A3483">
            <w:pPr>
              <w:pStyle w:val="Sinespaciado"/>
              <w:jc w:val="center"/>
              <w:rPr>
                <w:rFonts w:ascii="Palatino Linotype" w:hAnsi="Palatino Linotype"/>
              </w:rPr>
            </w:pPr>
            <w:r>
              <w:rPr>
                <w:rFonts w:ascii="Palatino Linotype" w:hAnsi="Palatino Linotype"/>
              </w:rPr>
              <w:t>(Rúbrica)</w:t>
            </w: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jc w:val="center"/>
              <w:rPr>
                <w:rFonts w:ascii="Palatino Linotype" w:hAnsi="Palatino Linotype"/>
              </w:rPr>
            </w:pPr>
          </w:p>
          <w:p w:rsidR="00FF3DCD" w:rsidRDefault="00FF3DCD" w:rsidP="001A3483">
            <w:pPr>
              <w:pStyle w:val="Sinespaciado"/>
              <w:spacing w:line="276" w:lineRule="auto"/>
              <w:jc w:val="center"/>
              <w:rPr>
                <w:rFonts w:ascii="Palatino Linotype" w:hAnsi="Palatino Linotype"/>
                <w:b/>
              </w:rPr>
            </w:pPr>
            <w:r>
              <w:rPr>
                <w:rFonts w:ascii="Palatino Linotype" w:hAnsi="Palatino Linotype"/>
                <w:b/>
              </w:rPr>
              <w:t>Luis Gustavo Parra Noriega</w:t>
            </w:r>
          </w:p>
          <w:p w:rsidR="00FF3DCD" w:rsidRDefault="00FF3DCD" w:rsidP="001A3483">
            <w:pPr>
              <w:pStyle w:val="Sinespaciado"/>
              <w:spacing w:line="276" w:lineRule="auto"/>
              <w:jc w:val="center"/>
              <w:rPr>
                <w:rFonts w:ascii="Palatino Linotype" w:hAnsi="Palatino Linotype"/>
              </w:rPr>
            </w:pPr>
            <w:r>
              <w:rPr>
                <w:rFonts w:ascii="Palatino Linotype" w:hAnsi="Palatino Linotype"/>
              </w:rPr>
              <w:t xml:space="preserve">Comisionado </w:t>
            </w:r>
          </w:p>
          <w:p w:rsidR="00FF3DCD" w:rsidRDefault="00FF3DCD" w:rsidP="001A3483">
            <w:pPr>
              <w:pStyle w:val="Sinespaciado"/>
              <w:spacing w:line="276" w:lineRule="auto"/>
              <w:jc w:val="center"/>
              <w:rPr>
                <w:rFonts w:ascii="Palatino Linotype" w:hAnsi="Palatino Linotype"/>
              </w:rPr>
            </w:pPr>
            <w:r>
              <w:rPr>
                <w:rFonts w:ascii="Palatino Linotype" w:hAnsi="Palatino Linotype"/>
              </w:rPr>
              <w:t>(Ausencia justificada)</w:t>
            </w:r>
          </w:p>
        </w:tc>
      </w:tr>
      <w:tr w:rsidR="00FF3DCD" w:rsidTr="001A3483">
        <w:trPr>
          <w:jc w:val="center"/>
        </w:trPr>
        <w:tc>
          <w:tcPr>
            <w:tcW w:w="9062" w:type="dxa"/>
            <w:gridSpan w:val="2"/>
          </w:tcPr>
          <w:p w:rsidR="00FF3DCD" w:rsidRDefault="00FF3DCD" w:rsidP="001A3483">
            <w:pPr>
              <w:pStyle w:val="Sinespaciado"/>
              <w:rPr>
                <w:rFonts w:ascii="Palatino Linotype" w:hAnsi="Palatino Linotype"/>
              </w:rPr>
            </w:pPr>
          </w:p>
        </w:tc>
      </w:tr>
      <w:tr w:rsidR="00FF3DCD" w:rsidTr="001A3483">
        <w:trPr>
          <w:jc w:val="center"/>
        </w:trPr>
        <w:tc>
          <w:tcPr>
            <w:tcW w:w="9062" w:type="dxa"/>
            <w:gridSpan w:val="2"/>
          </w:tcPr>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p>
          <w:p w:rsidR="00FF3DCD" w:rsidRDefault="00FF3DCD" w:rsidP="001A3483">
            <w:pPr>
              <w:pStyle w:val="Sinespaciado"/>
              <w:jc w:val="center"/>
              <w:rPr>
                <w:rFonts w:ascii="Palatino Linotype" w:hAnsi="Palatino Linotype"/>
                <w:b/>
              </w:rPr>
            </w:pPr>
            <w:r>
              <w:rPr>
                <w:rFonts w:ascii="Palatino Linotype" w:hAnsi="Palatino Linotype"/>
                <w:b/>
              </w:rPr>
              <w:t>Alexis Tapia Ramírez</w:t>
            </w:r>
          </w:p>
          <w:p w:rsidR="00FF3DCD" w:rsidRDefault="00FF3DCD" w:rsidP="001A3483">
            <w:pPr>
              <w:pStyle w:val="Sinespaciado"/>
              <w:jc w:val="center"/>
              <w:rPr>
                <w:rFonts w:ascii="Palatino Linotype" w:hAnsi="Palatino Linotype"/>
              </w:rPr>
            </w:pPr>
            <w:r>
              <w:rPr>
                <w:rFonts w:ascii="Palatino Linotype" w:hAnsi="Palatino Linotype"/>
              </w:rPr>
              <w:t>Secretario Técnico del Pleno</w:t>
            </w:r>
          </w:p>
          <w:p w:rsidR="00FF3DCD" w:rsidRPr="00B52ED2" w:rsidRDefault="00FF3DCD" w:rsidP="001A3483">
            <w:pPr>
              <w:pStyle w:val="Sinespaciado"/>
              <w:jc w:val="center"/>
              <w:rPr>
                <w:rFonts w:ascii="Palatino Linotype" w:hAnsi="Palatino Linotype"/>
              </w:rPr>
            </w:pPr>
            <w:r>
              <w:rPr>
                <w:rFonts w:ascii="Palatino Linotype" w:hAnsi="Palatino Linotype"/>
              </w:rPr>
              <w:t>(Rúbrica)</w:t>
            </w:r>
          </w:p>
        </w:tc>
      </w:tr>
    </w:tbl>
    <w:p w:rsidR="00FF3DCD" w:rsidRPr="006A5AC2" w:rsidRDefault="00FF3DCD" w:rsidP="00FF3DCD">
      <w:pPr>
        <w:spacing w:after="0" w:line="360" w:lineRule="auto"/>
        <w:jc w:val="both"/>
        <w:rPr>
          <w:rFonts w:ascii="Palatino Linotype" w:hAnsi="Palatino Linotype" w:cs="Arial"/>
          <w:sz w:val="4"/>
          <w:szCs w:val="24"/>
        </w:rPr>
      </w:pPr>
    </w:p>
    <w:p w:rsidR="00FF3DCD" w:rsidRPr="00B36966" w:rsidRDefault="00FF3DCD" w:rsidP="00FF3DCD">
      <w:pPr>
        <w:spacing w:after="0" w:line="240" w:lineRule="auto"/>
        <w:jc w:val="both"/>
        <w:rPr>
          <w:rFonts w:ascii="Palatino Linotype" w:hAnsi="Palatino Linotype" w:cs="Arial"/>
          <w:sz w:val="2"/>
          <w:szCs w:val="20"/>
        </w:rPr>
      </w:pPr>
    </w:p>
    <w:p w:rsidR="00FF3DCD" w:rsidRPr="006A5AC2" w:rsidRDefault="00FF3DCD" w:rsidP="00FF3DCD">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veintisiete de noviembre 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7540/INFOEM/IP/RR/2019</w:t>
      </w:r>
    </w:p>
    <w:p w:rsidR="00FF3DCD" w:rsidRDefault="00FF3DCD" w:rsidP="00FF3DCD">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FF3DCD" w:rsidSect="009C18D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502" w:rsidRDefault="00845502" w:rsidP="00FF3DCD">
      <w:pPr>
        <w:spacing w:after="0" w:line="240" w:lineRule="auto"/>
      </w:pPr>
      <w:r>
        <w:separator/>
      </w:r>
    </w:p>
  </w:endnote>
  <w:endnote w:type="continuationSeparator" w:id="0">
    <w:p w:rsidR="00845502" w:rsidRDefault="00845502" w:rsidP="00F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845502"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DCD">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DCD">
              <w:rPr>
                <w:rFonts w:ascii="Palatino Linotype" w:hAnsi="Palatino Linotype"/>
                <w:bCs/>
                <w:noProof/>
                <w:sz w:val="20"/>
              </w:rPr>
              <w:t>17</w:t>
            </w:r>
            <w:r>
              <w:rPr>
                <w:rFonts w:ascii="Palatino Linotype" w:hAnsi="Palatino Linotype"/>
                <w:bCs/>
                <w:noProof/>
                <w:sz w:val="20"/>
              </w:rPr>
              <w:fldChar w:fldCharType="end"/>
            </w:r>
          </w:p>
        </w:sdtContent>
      </w:sdt>
    </w:sdtContent>
  </w:sdt>
  <w:p w:rsidR="009C18DD" w:rsidRDefault="008455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845502"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D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DCD">
      <w:rPr>
        <w:rFonts w:ascii="Palatino Linotype" w:hAnsi="Palatino Linotype"/>
        <w:bCs/>
        <w:noProof/>
        <w:sz w:val="20"/>
      </w:rPr>
      <w:t>17</w:t>
    </w:r>
    <w:r>
      <w:rPr>
        <w:rFonts w:ascii="Palatino Linotype" w:hAnsi="Palatino Linotype"/>
        <w:bCs/>
        <w:noProof/>
        <w:sz w:val="20"/>
      </w:rPr>
      <w:fldChar w:fldCharType="end"/>
    </w:r>
  </w:p>
  <w:p w:rsidR="009C18DD" w:rsidRDefault="008455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502" w:rsidRDefault="00845502" w:rsidP="00FF3DCD">
      <w:pPr>
        <w:spacing w:after="0" w:line="240" w:lineRule="auto"/>
      </w:pPr>
      <w:r>
        <w:separator/>
      </w:r>
    </w:p>
  </w:footnote>
  <w:footnote w:type="continuationSeparator" w:id="0">
    <w:p w:rsidR="00845502" w:rsidRDefault="00845502" w:rsidP="00FF3DCD">
      <w:pPr>
        <w:spacing w:after="0" w:line="240" w:lineRule="auto"/>
      </w:pPr>
      <w:r>
        <w:continuationSeparator/>
      </w:r>
    </w:p>
  </w:footnote>
  <w:footnote w:id="1">
    <w:p w:rsidR="00FF3DCD" w:rsidRPr="00911081" w:rsidRDefault="00FF3DCD" w:rsidP="00FF3DC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F3DCD" w:rsidRPr="00911081" w:rsidRDefault="00FF3DCD" w:rsidP="00FF3DC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F3DCD" w:rsidRPr="00470398" w:rsidRDefault="00FF3DCD" w:rsidP="00FF3DCD">
      <w:pPr>
        <w:pStyle w:val="Textonotapie"/>
        <w:jc w:val="both"/>
      </w:pPr>
      <w:r>
        <w:rPr>
          <w:rStyle w:val="Refdenotaalpie"/>
        </w:rPr>
        <w:footnoteRef/>
      </w:r>
      <w:r>
        <w:t xml:space="preserve"> Extensión </w:t>
      </w:r>
      <w:r>
        <w:rPr>
          <w:b/>
        </w:rPr>
        <w:t>ZIP,</w:t>
      </w:r>
      <w:r>
        <w:t xml:space="preserve"> consistente en un programa compresor y descompresor de datos, para su mejor manipulación, </w:t>
      </w:r>
      <w:r w:rsidRPr="00470398">
        <w:t>desarrollado por WinZip Computing (antes co</w:t>
      </w:r>
      <w:r>
        <w:t xml:space="preserve">nocido como Nico </w:t>
      </w:r>
      <w:proofErr w:type="spellStart"/>
      <w:r>
        <w:t>Mak</w:t>
      </w:r>
      <w:proofErr w:type="spellEnd"/>
      <w:r>
        <w:t xml:space="preserve"> Computing),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845502"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845502" w:rsidP="000747AE">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7540/INFOEM/IP/RR/2019</w:t>
          </w:r>
        </w:p>
      </w:tc>
    </w:tr>
    <w:tr w:rsidR="009C18DD" w:rsidTr="009C18DD">
      <w:trPr>
        <w:trHeight w:val="242"/>
      </w:trPr>
      <w:tc>
        <w:tcPr>
          <w:tcW w:w="5246" w:type="dxa"/>
          <w:hideMark/>
        </w:tcPr>
        <w:p w:rsidR="009C18DD" w:rsidRDefault="00845502"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845502" w:rsidP="000747AE">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Tlalnepantla</w:t>
          </w:r>
          <w:r>
            <w:rPr>
              <w:rFonts w:ascii="Palatino Linotype" w:hAnsi="Palatino Linotype" w:cs="Arial"/>
              <w:szCs w:val="20"/>
            </w:rPr>
            <w:t xml:space="preserve"> de Baz</w:t>
          </w:r>
        </w:p>
      </w:tc>
    </w:tr>
    <w:tr w:rsidR="009C18DD" w:rsidTr="009C18DD">
      <w:trPr>
        <w:trHeight w:val="342"/>
      </w:trPr>
      <w:tc>
        <w:tcPr>
          <w:tcW w:w="5246" w:type="dxa"/>
          <w:hideMark/>
        </w:tcPr>
        <w:p w:rsidR="009C18DD" w:rsidRDefault="00845502"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845502"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845502"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845502"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845502" w:rsidP="00BB4508">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7540/INFOEM/IP/RR/2019</w:t>
          </w:r>
        </w:p>
      </w:tc>
    </w:tr>
    <w:tr w:rsidR="009C18DD" w:rsidTr="009C18DD">
      <w:trPr>
        <w:trHeight w:val="242"/>
      </w:trPr>
      <w:tc>
        <w:tcPr>
          <w:tcW w:w="5104" w:type="dxa"/>
          <w:hideMark/>
        </w:tcPr>
        <w:p w:rsidR="009C18DD" w:rsidRDefault="00845502"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845502" w:rsidP="00BB4508">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Tlalnepantla</w:t>
          </w:r>
          <w:r>
            <w:rPr>
              <w:rFonts w:ascii="Palatino Linotype" w:hAnsi="Palatino Linotype" w:cs="Arial"/>
              <w:szCs w:val="20"/>
            </w:rPr>
            <w:t xml:space="preserve"> de Baz</w:t>
          </w:r>
        </w:p>
      </w:tc>
    </w:tr>
    <w:tr w:rsidR="009C18DD" w:rsidTr="009C18DD">
      <w:trPr>
        <w:trHeight w:val="342"/>
      </w:trPr>
      <w:tc>
        <w:tcPr>
          <w:tcW w:w="5104" w:type="dxa"/>
        </w:tcPr>
        <w:p w:rsidR="009C18DD" w:rsidRDefault="00845502"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FF3DCD"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9C18DD" w:rsidTr="009C18DD">
      <w:trPr>
        <w:trHeight w:val="342"/>
      </w:trPr>
      <w:tc>
        <w:tcPr>
          <w:tcW w:w="5104" w:type="dxa"/>
        </w:tcPr>
        <w:p w:rsidR="009C18DD" w:rsidRDefault="00845502"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845502"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Zulema </w:t>
          </w:r>
          <w:r>
            <w:rPr>
              <w:rFonts w:ascii="Palatino Linotype" w:hAnsi="Palatino Linotype" w:cs="Arial"/>
              <w:szCs w:val="20"/>
            </w:rPr>
            <w:t>Martínez Sánchez</w:t>
          </w:r>
        </w:p>
      </w:tc>
    </w:tr>
  </w:tbl>
  <w:p w:rsidR="009C18DD" w:rsidRPr="00C222C0" w:rsidRDefault="0084550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58034B"/>
    <w:multiLevelType w:val="hybridMultilevel"/>
    <w:tmpl w:val="7892F8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E223E0"/>
    <w:multiLevelType w:val="hybridMultilevel"/>
    <w:tmpl w:val="C680CF3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CD"/>
    <w:rsid w:val="00036F8B"/>
    <w:rsid w:val="00123996"/>
    <w:rsid w:val="00845502"/>
    <w:rsid w:val="00FF3D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861EC-81DF-408F-A022-D068388B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3D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3D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F3D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3D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F3D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F3D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F3DCD"/>
  </w:style>
  <w:style w:type="character" w:styleId="Hipervnculo">
    <w:name w:val="Hyperlink"/>
    <w:basedOn w:val="Fuentedeprrafopredeter"/>
    <w:uiPriority w:val="99"/>
    <w:unhideWhenUsed/>
    <w:rsid w:val="00FF3DCD"/>
    <w:rPr>
      <w:color w:val="0563C1" w:themeColor="hyperlink"/>
      <w:u w:val="single"/>
    </w:rPr>
  </w:style>
  <w:style w:type="character" w:customStyle="1" w:styleId="SinespaciadoCar">
    <w:name w:val="Sin espaciado Car"/>
    <w:aliases w:val="Francesa Car"/>
    <w:link w:val="Sinespaciado"/>
    <w:uiPriority w:val="1"/>
    <w:locked/>
    <w:rsid w:val="00FF3DC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F3DC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D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F3DCD"/>
    <w:rPr>
      <w:vertAlign w:val="superscript"/>
    </w:rPr>
  </w:style>
  <w:style w:type="paragraph" w:styleId="Textonotapie">
    <w:name w:val="footnote text"/>
    <w:basedOn w:val="Normal"/>
    <w:link w:val="TextonotapieCar"/>
    <w:uiPriority w:val="99"/>
    <w:semiHidden/>
    <w:unhideWhenUsed/>
    <w:rsid w:val="00FF3D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D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3582</Words>
  <Characters>19705</Characters>
  <Application>Microsoft Office Word</Application>
  <DocSecurity>0</DocSecurity>
  <Lines>164</Lines>
  <Paragraphs>46</Paragraphs>
  <ScaleCrop>false</ScaleCrop>
  <Company/>
  <LinksUpToDate>false</LinksUpToDate>
  <CharactersWithSpaces>23241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2020-04-13T16:07:00Z</dcterms:created>
  <dcterms:modified xsi:type="dcterms:W3CDTF">2020-04-13T16:18:00Z</dcterms:modified>
</cp:coreProperties>
</file>