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1F3C5" w14:textId="3B402B91" w:rsidR="00154D81" w:rsidRPr="00E42755" w:rsidRDefault="00154D81" w:rsidP="008D0EB3">
      <w:pPr>
        <w:widowControl w:val="0"/>
        <w:spacing w:before="100" w:beforeAutospacing="1" w:after="100" w:afterAutospacing="1" w:line="360" w:lineRule="auto"/>
        <w:ind w:right="49"/>
        <w:jc w:val="both"/>
        <w:rPr>
          <w:rFonts w:ascii="Palatino Linotype" w:eastAsia="Calibri" w:hAnsi="Palatino Linotype" w:cs="Arial"/>
          <w:b/>
          <w:color w:val="000000"/>
        </w:rPr>
      </w:pPr>
      <w:r w:rsidRPr="00786706">
        <w:rPr>
          <w:rFonts w:ascii="Palatino Linotype" w:hAnsi="Palatino Linotype" w:cs="Arial"/>
          <w:b/>
        </w:rPr>
        <w:t>VOTO PARTICULAR QUE FORMULA LA COMISIONADA EVA ABAID YAPUR,</w:t>
      </w:r>
      <w:r w:rsidRPr="0007653D">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w:t>
      </w:r>
      <w:r w:rsidR="001B5788">
        <w:rPr>
          <w:rFonts w:ascii="Palatino Linotype" w:hAnsi="Palatino Linotype" w:cs="Arial"/>
          <w:b/>
        </w:rPr>
        <w:t xml:space="preserve">LA </w:t>
      </w:r>
      <w:r w:rsidR="00CE23F7">
        <w:rPr>
          <w:rFonts w:ascii="Palatino Linotype" w:hAnsi="Palatino Linotype" w:cs="Arial"/>
          <w:b/>
        </w:rPr>
        <w:t xml:space="preserve">PRIMERA </w:t>
      </w:r>
      <w:r w:rsidRPr="0007653D">
        <w:rPr>
          <w:rFonts w:ascii="Palatino Linotype" w:hAnsi="Palatino Linotype" w:cs="Arial"/>
          <w:b/>
        </w:rPr>
        <w:t>SESIÓN ORDINARIA DE</w:t>
      </w:r>
      <w:r w:rsidR="003A218F">
        <w:rPr>
          <w:rFonts w:ascii="Palatino Linotype" w:hAnsi="Palatino Linotype" w:cs="Arial"/>
          <w:b/>
        </w:rPr>
        <w:t xml:space="preserve"> </w:t>
      </w:r>
      <w:r w:rsidR="00CE23F7">
        <w:rPr>
          <w:rFonts w:ascii="Palatino Linotype" w:hAnsi="Palatino Linotype" w:cs="Arial"/>
          <w:b/>
        </w:rPr>
        <w:t xml:space="preserve">QUINCE </w:t>
      </w:r>
      <w:r w:rsidR="003A218F">
        <w:rPr>
          <w:rFonts w:ascii="Palatino Linotype" w:hAnsi="Palatino Linotype" w:cs="Arial"/>
          <w:b/>
        </w:rPr>
        <w:t xml:space="preserve">DE </w:t>
      </w:r>
      <w:r w:rsidR="00CE23F7">
        <w:rPr>
          <w:rFonts w:ascii="Palatino Linotype" w:hAnsi="Palatino Linotype" w:cs="Arial"/>
          <w:b/>
        </w:rPr>
        <w:t xml:space="preserve">ENERO </w:t>
      </w:r>
      <w:r>
        <w:rPr>
          <w:rFonts w:ascii="Palatino Linotype" w:hAnsi="Palatino Linotype" w:cs="Arial"/>
          <w:b/>
        </w:rPr>
        <w:t xml:space="preserve">DE DOS MIL </w:t>
      </w:r>
      <w:r w:rsidR="00CE23F7">
        <w:rPr>
          <w:rFonts w:ascii="Palatino Linotype" w:hAnsi="Palatino Linotype" w:cs="Arial"/>
          <w:b/>
        </w:rPr>
        <w:t>VEINTE</w:t>
      </w:r>
      <w:r w:rsidRPr="0007653D">
        <w:rPr>
          <w:rFonts w:ascii="Palatino Linotype" w:hAnsi="Palatino Linotype" w:cs="Arial"/>
          <w:b/>
        </w:rPr>
        <w:t>, EN L</w:t>
      </w:r>
      <w:r w:rsidR="00B46721">
        <w:rPr>
          <w:rFonts w:ascii="Palatino Linotype" w:hAnsi="Palatino Linotype" w:cs="Arial"/>
          <w:b/>
        </w:rPr>
        <w:t>OS</w:t>
      </w:r>
      <w:r w:rsidRPr="0007653D">
        <w:rPr>
          <w:rFonts w:ascii="Palatino Linotype" w:hAnsi="Palatino Linotype" w:cs="Arial"/>
          <w:b/>
        </w:rPr>
        <w:t xml:space="preserve"> RECURSO</w:t>
      </w:r>
      <w:r w:rsidR="00B46721">
        <w:rPr>
          <w:rFonts w:ascii="Palatino Linotype" w:hAnsi="Palatino Linotype" w:cs="Arial"/>
          <w:b/>
        </w:rPr>
        <w:t>S</w:t>
      </w:r>
      <w:r w:rsidRPr="0007653D">
        <w:rPr>
          <w:rFonts w:ascii="Palatino Linotype" w:hAnsi="Palatino Linotype" w:cs="Arial"/>
          <w:b/>
        </w:rPr>
        <w:t xml:space="preserve"> DE REVISIÓN </w:t>
      </w:r>
      <w:r w:rsidR="00CE23F7">
        <w:rPr>
          <w:rFonts w:ascii="Palatino Linotype" w:hAnsi="Palatino Linotype" w:cs="Arial"/>
          <w:b/>
        </w:rPr>
        <w:t>07364</w:t>
      </w:r>
      <w:r w:rsidR="00FB109D" w:rsidRPr="00FB109D">
        <w:rPr>
          <w:rFonts w:ascii="Palatino Linotype" w:hAnsi="Palatino Linotype" w:cs="Arial"/>
          <w:b/>
        </w:rPr>
        <w:t xml:space="preserve">/INFOEM/IP/RR/2019 </w:t>
      </w:r>
      <w:r w:rsidR="00CE23F7" w:rsidRPr="00FB109D">
        <w:rPr>
          <w:rFonts w:ascii="Palatino Linotype" w:hAnsi="Palatino Linotype" w:cs="Arial"/>
          <w:b/>
        </w:rPr>
        <w:t>Y</w:t>
      </w:r>
      <w:r w:rsidR="00FB109D" w:rsidRPr="00FB109D">
        <w:rPr>
          <w:rFonts w:ascii="Palatino Linotype" w:hAnsi="Palatino Linotype" w:cs="Arial"/>
          <w:b/>
        </w:rPr>
        <w:t xml:space="preserve"> 0</w:t>
      </w:r>
      <w:r w:rsidR="00CE23F7">
        <w:rPr>
          <w:rFonts w:ascii="Palatino Linotype" w:hAnsi="Palatino Linotype" w:cs="Arial"/>
          <w:b/>
        </w:rPr>
        <w:t>7471</w:t>
      </w:r>
      <w:r w:rsidR="00FB109D" w:rsidRPr="00FB109D">
        <w:rPr>
          <w:rFonts w:ascii="Palatino Linotype" w:hAnsi="Palatino Linotype" w:cs="Arial"/>
          <w:b/>
        </w:rPr>
        <w:t>/INFOEM/IP/RR/2019</w:t>
      </w:r>
      <w:r w:rsidR="00FA12BC">
        <w:rPr>
          <w:rFonts w:ascii="Palatino Linotype" w:hAnsi="Palatino Linotype" w:cs="Arial"/>
          <w:b/>
        </w:rPr>
        <w:t xml:space="preserve"> </w:t>
      </w:r>
      <w:r w:rsidR="00B46721">
        <w:rPr>
          <w:rFonts w:ascii="Palatino Linotype" w:hAnsi="Palatino Linotype" w:cs="Arial"/>
          <w:b/>
        </w:rPr>
        <w:t>ACUMULADOS</w:t>
      </w:r>
      <w:r w:rsidRPr="00E42755">
        <w:rPr>
          <w:rFonts w:ascii="Palatino Linotype" w:eastAsia="Calibri" w:hAnsi="Palatino Linotype" w:cs="Arial"/>
          <w:b/>
          <w:color w:val="000000"/>
        </w:rPr>
        <w:t>.</w:t>
      </w:r>
    </w:p>
    <w:p w14:paraId="236519A9" w14:textId="4819ADE3" w:rsidR="00154D81" w:rsidRPr="00E42755" w:rsidRDefault="00154D81" w:rsidP="008D0EB3">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 xml:space="preserve">del Reglamento Interior del Instituto de Transparencia, Acceso a la Información Pública y Protección de Datos Personales del Estado de México y Municipios, </w:t>
      </w:r>
      <w:r w:rsidRPr="00786706">
        <w:rPr>
          <w:rFonts w:ascii="Palatino Linotype" w:hAnsi="Palatino Linotype" w:cs="Arial"/>
        </w:rPr>
        <w:t xml:space="preserve">la que suscribe Comisionada </w:t>
      </w:r>
      <w:r w:rsidRPr="00786706">
        <w:rPr>
          <w:rFonts w:ascii="Palatino Linotype" w:hAnsi="Palatino Linotype" w:cs="Arial"/>
          <w:b/>
        </w:rPr>
        <w:t>EVA ABAID YAPUR</w:t>
      </w:r>
      <w:r w:rsidRPr="00786706">
        <w:rPr>
          <w:rFonts w:ascii="Palatino Linotype" w:hAnsi="Palatino Linotype" w:cs="Arial"/>
        </w:rPr>
        <w:t xml:space="preserve"> emite </w:t>
      </w:r>
      <w:r w:rsidRPr="00302453">
        <w:rPr>
          <w:rFonts w:ascii="Palatino Linotype" w:hAnsi="Palatino Linotype" w:cs="Arial"/>
          <w:b/>
        </w:rPr>
        <w:t xml:space="preserve">VOTO PARTICULAR </w:t>
      </w:r>
      <w:r w:rsidRPr="00E42755">
        <w:rPr>
          <w:rFonts w:ascii="Palatino Linotype" w:hAnsi="Palatino Linotype" w:cs="Arial"/>
        </w:rPr>
        <w:t>respecto de la resolución dictada en l</w:t>
      </w:r>
      <w:r w:rsidR="00B46721">
        <w:rPr>
          <w:rFonts w:ascii="Palatino Linotype" w:hAnsi="Palatino Linotype" w:cs="Arial"/>
        </w:rPr>
        <w:t>os</w:t>
      </w:r>
      <w:r w:rsidRPr="00E42755">
        <w:rPr>
          <w:rFonts w:ascii="Palatino Linotype" w:hAnsi="Palatino Linotype" w:cs="Arial"/>
        </w:rPr>
        <w:t xml:space="preserve"> recurso</w:t>
      </w:r>
      <w:r w:rsidR="00B46721">
        <w:rPr>
          <w:rFonts w:ascii="Palatino Linotype" w:hAnsi="Palatino Linotype" w:cs="Arial"/>
        </w:rPr>
        <w:t>s</w:t>
      </w:r>
      <w:r w:rsidRPr="00E42755">
        <w:rPr>
          <w:rFonts w:ascii="Palatino Linotype" w:hAnsi="Palatino Linotype" w:cs="Arial"/>
        </w:rPr>
        <w:t xml:space="preserve"> de revisión </w:t>
      </w:r>
      <w:r w:rsidR="00FB109D">
        <w:rPr>
          <w:rFonts w:ascii="Palatino Linotype" w:hAnsi="Palatino Linotype" w:cs="Arial"/>
          <w:b/>
        </w:rPr>
        <w:t>0</w:t>
      </w:r>
      <w:r w:rsidR="00CE23F7">
        <w:rPr>
          <w:rFonts w:ascii="Palatino Linotype" w:hAnsi="Palatino Linotype" w:cs="Arial"/>
          <w:b/>
        </w:rPr>
        <w:t>7364</w:t>
      </w:r>
      <w:r w:rsidR="00FA12BC">
        <w:rPr>
          <w:rFonts w:ascii="Palatino Linotype" w:hAnsi="Palatino Linotype" w:cs="Arial"/>
          <w:b/>
        </w:rPr>
        <w:t xml:space="preserve">/INFOEM/IP/RR/2019 </w:t>
      </w:r>
      <w:r w:rsidR="00FA12BC" w:rsidRPr="00550D29">
        <w:rPr>
          <w:rFonts w:ascii="Palatino Linotype" w:hAnsi="Palatino Linotype" w:cs="Arial"/>
          <w:b/>
        </w:rPr>
        <w:t>y a</w:t>
      </w:r>
      <w:r w:rsidR="00B46721" w:rsidRPr="00550D29">
        <w:rPr>
          <w:rFonts w:ascii="Palatino Linotype" w:eastAsia="Calibri" w:hAnsi="Palatino Linotype" w:cs="Arial"/>
          <w:b/>
          <w:color w:val="000000"/>
        </w:rPr>
        <w:t>cumulado</w:t>
      </w:r>
      <w:r w:rsidRPr="00E42755">
        <w:rPr>
          <w:rFonts w:ascii="Palatino Linotype" w:hAnsi="Palatino Linotype" w:cs="Arial"/>
        </w:rPr>
        <w:t xml:space="preserve">, pronunciada por el Pleno de este Instituto ante el proyecto </w:t>
      </w:r>
      <w:r w:rsidR="00806C7D">
        <w:rPr>
          <w:rFonts w:ascii="Palatino Linotype" w:hAnsi="Palatino Linotype" w:cs="Arial"/>
        </w:rPr>
        <w:t>que presenta</w:t>
      </w:r>
      <w:r w:rsidRPr="00E42755">
        <w:rPr>
          <w:rFonts w:ascii="Palatino Linotype" w:hAnsi="Palatino Linotype" w:cs="Arial"/>
        </w:rPr>
        <w:t xml:space="preserve"> </w:t>
      </w:r>
      <w:r w:rsidR="00FA12BC">
        <w:rPr>
          <w:rFonts w:ascii="Palatino Linotype" w:hAnsi="Palatino Linotype" w:cs="Arial"/>
        </w:rPr>
        <w:t xml:space="preserve">el </w:t>
      </w:r>
      <w:r w:rsidRPr="00E42755">
        <w:rPr>
          <w:rFonts w:ascii="Palatino Linotype" w:hAnsi="Palatino Linotype" w:cs="Arial"/>
        </w:rPr>
        <w:t>Comisionad</w:t>
      </w:r>
      <w:r w:rsidR="00FA12BC">
        <w:rPr>
          <w:rFonts w:ascii="Palatino Linotype" w:hAnsi="Palatino Linotype" w:cs="Arial"/>
        </w:rPr>
        <w:t xml:space="preserve">o </w:t>
      </w:r>
      <w:r w:rsidR="00FB109D">
        <w:rPr>
          <w:rFonts w:ascii="Palatino Linotype" w:hAnsi="Palatino Linotype" w:cs="Arial"/>
          <w:b/>
        </w:rPr>
        <w:t>JAVIER MARTÍNEZ CRUZ</w:t>
      </w:r>
      <w:r w:rsidRPr="0007653D">
        <w:rPr>
          <w:rFonts w:ascii="Palatino Linotype" w:hAnsi="Palatino Linotype" w:cs="Arial"/>
        </w:rPr>
        <w:t xml:space="preserve">, </w:t>
      </w:r>
      <w:r w:rsidRPr="00E42755">
        <w:rPr>
          <w:rFonts w:ascii="Palatino Linotype" w:hAnsi="Palatino Linotype" w:cs="Arial"/>
        </w:rPr>
        <w:t>que es del tenor siguiente:</w:t>
      </w:r>
    </w:p>
    <w:p w14:paraId="33F9D1B1" w14:textId="22AF3EE1" w:rsidR="00154D81" w:rsidRDefault="00154D81" w:rsidP="008D0EB3">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estudio realizado en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Pr="00D93A88">
        <w:rPr>
          <w:rFonts w:ascii="Palatino Linotype" w:hAnsi="Palatino Linotype"/>
        </w:rPr>
        <w:t xml:space="preserve"> necesario precisar algunas consideraciones de hecho y de derecho</w:t>
      </w:r>
      <w:r w:rsidR="002749AF">
        <w:rPr>
          <w:rFonts w:ascii="Palatino Linotype" w:hAnsi="Palatino Linotype"/>
        </w:rPr>
        <w:t xml:space="preserve">, tocante a parte de la información de la que se ordena la entrega. </w:t>
      </w:r>
    </w:p>
    <w:p w14:paraId="632D0704" w14:textId="59B6CDEF" w:rsidR="00CE23F7" w:rsidRPr="00CE23F7" w:rsidRDefault="00154D81" w:rsidP="00CE23F7">
      <w:pPr>
        <w:spacing w:before="100" w:beforeAutospacing="1" w:after="100" w:afterAutospacing="1" w:line="360" w:lineRule="auto"/>
        <w:jc w:val="both"/>
        <w:rPr>
          <w:rFonts w:ascii="Palatino Linotype" w:eastAsia="Calibri" w:hAnsi="Palatino Linotype" w:cs="Tahoma"/>
          <w:bCs/>
          <w:szCs w:val="22"/>
          <w:lang w:eastAsia="en-US"/>
        </w:rPr>
      </w:pPr>
      <w:r>
        <w:rPr>
          <w:rFonts w:ascii="Palatino Linotype" w:hAnsi="Palatino Linotype"/>
        </w:rPr>
        <w:t>Al respecto, t</w:t>
      </w:r>
      <w:r w:rsidRPr="00D93A88">
        <w:rPr>
          <w:rFonts w:ascii="Palatino Linotype" w:hAnsi="Palatino Linotype"/>
        </w:rPr>
        <w:t xml:space="preserve">al y como quedó debidamente asentado en la resolución materia del </w:t>
      </w:r>
      <w:proofErr w:type="gramStart"/>
      <w:r w:rsidRPr="00D93A88">
        <w:rPr>
          <w:rFonts w:ascii="Palatino Linotype" w:hAnsi="Palatino Linotype"/>
        </w:rPr>
        <w:t>presente</w:t>
      </w:r>
      <w:proofErr w:type="gramEnd"/>
      <w:r w:rsidRPr="00D93A88">
        <w:rPr>
          <w:rFonts w:ascii="Palatino Linotype" w:hAnsi="Palatino Linotype"/>
        </w:rPr>
        <w:t xml:space="preserve"> voto, </w:t>
      </w:r>
      <w:r w:rsidR="00CE23F7">
        <w:rPr>
          <w:rFonts w:ascii="Palatino Linotype" w:hAnsi="Palatino Linotype"/>
        </w:rPr>
        <w:t>la</w:t>
      </w:r>
      <w:r w:rsidRPr="00D93A88">
        <w:rPr>
          <w:rFonts w:ascii="Palatino Linotype" w:hAnsi="Palatino Linotype"/>
        </w:rPr>
        <w:t xml:space="preserve"> particular </w:t>
      </w:r>
      <w:r>
        <w:rPr>
          <w:rFonts w:ascii="Palatino Linotype" w:hAnsi="Palatino Linotype"/>
        </w:rPr>
        <w:t>requirió de</w:t>
      </w:r>
      <w:r w:rsidR="00CE23F7">
        <w:rPr>
          <w:rFonts w:ascii="Palatino Linotype" w:hAnsi="Palatino Linotype"/>
        </w:rPr>
        <w:t xml:space="preserve"> </w:t>
      </w:r>
      <w:r>
        <w:rPr>
          <w:rFonts w:ascii="Palatino Linotype" w:hAnsi="Palatino Linotype"/>
        </w:rPr>
        <w:t>l</w:t>
      </w:r>
      <w:r w:rsidR="00CE23F7">
        <w:rPr>
          <w:rFonts w:ascii="Palatino Linotype" w:hAnsi="Palatino Linotype"/>
        </w:rPr>
        <w:t>a</w:t>
      </w:r>
      <w:r>
        <w:rPr>
          <w:rFonts w:ascii="Palatino Linotype" w:hAnsi="Palatino Linotype"/>
        </w:rPr>
        <w:t xml:space="preserve"> </w:t>
      </w:r>
      <w:r w:rsidR="00CE23F7">
        <w:rPr>
          <w:rFonts w:ascii="Palatino Linotype" w:hAnsi="Palatino Linotype"/>
          <w:b/>
        </w:rPr>
        <w:t>Secretaría de Educación</w:t>
      </w:r>
      <w:r w:rsidR="002749AF">
        <w:rPr>
          <w:rFonts w:ascii="Palatino Linotype" w:hAnsi="Palatino Linotype"/>
        </w:rPr>
        <w:t xml:space="preserve">, en lo sucesivo </w:t>
      </w:r>
      <w:r w:rsidR="002749AF">
        <w:rPr>
          <w:rFonts w:ascii="Palatino Linotype" w:hAnsi="Palatino Linotype"/>
          <w:b/>
        </w:rPr>
        <w:t xml:space="preserve">EL </w:t>
      </w:r>
      <w:r w:rsidRPr="008C0700">
        <w:rPr>
          <w:rFonts w:ascii="Palatino Linotype" w:hAnsi="Palatino Linotype"/>
          <w:b/>
        </w:rPr>
        <w:t>SUJETO OBLIGADO</w:t>
      </w:r>
      <w:r>
        <w:rPr>
          <w:rFonts w:ascii="Palatino Linotype" w:hAnsi="Palatino Linotype"/>
        </w:rPr>
        <w:t>,</w:t>
      </w:r>
      <w:r w:rsidRPr="000D66DE">
        <w:rPr>
          <w:rFonts w:ascii="Palatino Linotype" w:hAnsi="Palatino Linotype" w:cs="Arial"/>
        </w:rPr>
        <w:t xml:space="preserve"> </w:t>
      </w:r>
      <w:r w:rsidR="00CE23F7" w:rsidRPr="00CE23F7">
        <w:rPr>
          <w:rFonts w:ascii="Palatino Linotype" w:eastAsia="Calibri" w:hAnsi="Palatino Linotype" w:cs="Tahoma"/>
          <w:i/>
          <w:iCs/>
          <w:szCs w:val="22"/>
          <w:lang w:eastAsia="es-ES_tradnl"/>
        </w:rPr>
        <w:t xml:space="preserve">“ … se le indique la Gaceta, o fecha precisa, en la que fuera remitido </w:t>
      </w:r>
      <w:r w:rsidR="00CE23F7" w:rsidRPr="00CE23F7">
        <w:rPr>
          <w:rFonts w:ascii="Palatino Linotype" w:eastAsia="Calibri" w:hAnsi="Palatino Linotype" w:cs="Tahoma"/>
          <w:i/>
          <w:iCs/>
          <w:szCs w:val="22"/>
          <w:lang w:eastAsia="es-ES_tradnl"/>
        </w:rPr>
        <w:lastRenderedPageBreak/>
        <w:t>al Tribunal el Reglamento de Condiciones Generales de Trabajo de los Servidores Públicos Docentes del Subsistema Educativo Estatal, ello acorde a sus transitorios, los cuales no precisan su vigencia únicamente refieren que los mismos, entrarán en vigor a partir de su depósito ante dicha autoridad. Así como, el soporte documental con el que se acredite su dicho. También requiero se me informe cual es el horario de atención que brindan los Centros de Maestros, precisando horarios de comida, días festivos y vacaciones. Por último, requiero me sea informado las capacitaciones que han sido otorgadas al personal que labora en el Centro de Maestros de Atlacomulco, desde el año 2015 a la fecha, precisando cargo, nombre del servidor público capacitado, tipo de capacitación, tiempo de duración, sede de su impartición y costo de las mismas.”</w:t>
      </w:r>
    </w:p>
    <w:p w14:paraId="59AC34A9" w14:textId="1DA786D8" w:rsidR="00CE23F7" w:rsidRDefault="00154D81" w:rsidP="008D0EB3">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su</w:t>
      </w:r>
      <w:r w:rsidR="008636EF">
        <w:rPr>
          <w:rFonts w:ascii="Palatino Linotype" w:hAnsi="Palatino Linotype" w:cs="Arial"/>
        </w:rPr>
        <w:t>s</w:t>
      </w:r>
      <w:r>
        <w:rPr>
          <w:rFonts w:ascii="Palatino Linotype" w:hAnsi="Palatino Linotype" w:cs="Arial"/>
        </w:rPr>
        <w:t xml:space="preserve"> respuesta</w:t>
      </w:r>
      <w:r w:rsidR="008636EF">
        <w:rPr>
          <w:rFonts w:ascii="Palatino Linotype" w:hAnsi="Palatino Linotype" w:cs="Arial"/>
        </w:rPr>
        <w:t>s</w:t>
      </w:r>
      <w:r>
        <w:rPr>
          <w:rFonts w:ascii="Palatino Linotype" w:hAnsi="Palatino Linotype" w:cs="Arial"/>
        </w:rPr>
        <w:t xml:space="preserve">, </w:t>
      </w:r>
      <w:r w:rsidRPr="00B57FE6">
        <w:rPr>
          <w:rFonts w:ascii="Palatino Linotype" w:hAnsi="Palatino Linotype" w:cs="Arial"/>
          <w:b/>
        </w:rPr>
        <w:t>EL SUJETO OBLIGADO</w:t>
      </w:r>
      <w:r w:rsidR="004B1041">
        <w:rPr>
          <w:rFonts w:ascii="Palatino Linotype" w:hAnsi="Palatino Linotype" w:cs="Arial"/>
        </w:rPr>
        <w:t xml:space="preserve">, </w:t>
      </w:r>
      <w:r w:rsidR="00034735">
        <w:rPr>
          <w:rFonts w:ascii="Palatino Linotype" w:hAnsi="Palatino Linotype" w:cs="Arial"/>
        </w:rPr>
        <w:t>señaló</w:t>
      </w:r>
      <w:r w:rsidR="00CE23F7">
        <w:rPr>
          <w:rFonts w:ascii="Palatino Linotype" w:hAnsi="Palatino Linotype" w:cs="Arial"/>
        </w:rPr>
        <w:t xml:space="preserve">: </w:t>
      </w:r>
    </w:p>
    <w:p w14:paraId="0484FB22" w14:textId="239659D5" w:rsidR="00CE23F7" w:rsidRPr="00C557CC" w:rsidRDefault="00CE23F7" w:rsidP="00C557CC">
      <w:pPr>
        <w:spacing w:line="360" w:lineRule="auto"/>
        <w:ind w:left="709" w:right="49"/>
        <w:jc w:val="both"/>
        <w:rPr>
          <w:rFonts w:ascii="Palatino Linotype" w:hAnsi="Palatino Linotype" w:cs="Arial"/>
        </w:rPr>
      </w:pPr>
      <w:r w:rsidRPr="00C557CC">
        <w:rPr>
          <w:rFonts w:ascii="Palatino Linotype" w:hAnsi="Palatino Linotype" w:cs="Arial"/>
        </w:rPr>
        <w:t>- Que en lo referente a la Gaceta o fecha precisa en la que fuera remitida al tribunal el Reglamento de Condiciones Generales de Trabajo de los Servidores Públicos Docentes del Subsistema Educativo Estatal</w:t>
      </w:r>
      <w:r w:rsidR="00C557CC" w:rsidRPr="00C557CC">
        <w:rPr>
          <w:rFonts w:ascii="Palatino Linotype" w:hAnsi="Palatino Linotype" w:cs="Arial"/>
        </w:rPr>
        <w:t>,</w:t>
      </w:r>
      <w:r w:rsidRPr="00C557CC">
        <w:rPr>
          <w:rFonts w:ascii="Palatino Linotype" w:hAnsi="Palatino Linotype" w:cs="Arial"/>
        </w:rPr>
        <w:t xml:space="preserve"> dicha información no corresponde a las facultades y funciones de esa Subdirección, no obstante, el documento “Disposiciones Reglamentarias en materia laboral para los Servidores Públicos Docentes del Subsistema Educativo Estatal”, señala la fecha 11 de agosto de 1999. </w:t>
      </w:r>
    </w:p>
    <w:p w14:paraId="04217BD3" w14:textId="77777777" w:rsidR="00C557CC" w:rsidRPr="00C557CC" w:rsidRDefault="00C557CC" w:rsidP="00C557CC">
      <w:pPr>
        <w:spacing w:line="360" w:lineRule="auto"/>
        <w:ind w:left="709" w:right="49"/>
        <w:jc w:val="both"/>
        <w:rPr>
          <w:rFonts w:ascii="Palatino Linotype" w:hAnsi="Palatino Linotype" w:cs="Arial"/>
        </w:rPr>
      </w:pPr>
    </w:p>
    <w:p w14:paraId="7CA3029E" w14:textId="1F71EBB6" w:rsidR="00CE23F7" w:rsidRPr="00C557CC" w:rsidRDefault="00C557CC" w:rsidP="00C557CC">
      <w:pPr>
        <w:spacing w:line="360" w:lineRule="auto"/>
        <w:ind w:left="709" w:right="49"/>
        <w:jc w:val="both"/>
        <w:rPr>
          <w:rFonts w:ascii="Palatino Linotype" w:hAnsi="Palatino Linotype" w:cs="Arial"/>
        </w:rPr>
      </w:pPr>
      <w:r w:rsidRPr="00C557CC">
        <w:rPr>
          <w:rFonts w:ascii="Palatino Linotype" w:hAnsi="Palatino Linotype" w:cs="Arial"/>
        </w:rPr>
        <w:t>- Entreg</w:t>
      </w:r>
      <w:r w:rsidR="00034735">
        <w:rPr>
          <w:rFonts w:ascii="Palatino Linotype" w:hAnsi="Palatino Linotype" w:cs="Arial"/>
        </w:rPr>
        <w:t>ó</w:t>
      </w:r>
      <w:r w:rsidRPr="00C557CC">
        <w:rPr>
          <w:rFonts w:ascii="Palatino Linotype" w:hAnsi="Palatino Linotype" w:cs="Arial"/>
        </w:rPr>
        <w:t xml:space="preserve"> </w:t>
      </w:r>
      <w:r w:rsidR="00CE23F7" w:rsidRPr="00C557CC">
        <w:rPr>
          <w:rFonts w:ascii="Palatino Linotype" w:hAnsi="Palatino Linotype" w:cs="Arial"/>
        </w:rPr>
        <w:t xml:space="preserve">el documento </w:t>
      </w:r>
      <w:r w:rsidRPr="00C557CC">
        <w:rPr>
          <w:rFonts w:ascii="Palatino Linotype" w:hAnsi="Palatino Linotype" w:cs="Arial"/>
        </w:rPr>
        <w:t>l</w:t>
      </w:r>
      <w:r w:rsidR="00CE23F7" w:rsidRPr="00C557CC">
        <w:rPr>
          <w:rFonts w:ascii="Palatino Linotype" w:hAnsi="Palatino Linotype" w:cs="Arial"/>
        </w:rPr>
        <w:t xml:space="preserve">os “Horarios de atención de los Centros de Maestros del Subsistema Educativo Estatal” y el documento denominado “Formación </w:t>
      </w:r>
      <w:r w:rsidR="00CE23F7" w:rsidRPr="00C557CC">
        <w:rPr>
          <w:rFonts w:ascii="Palatino Linotype" w:hAnsi="Palatino Linotype" w:cs="Arial"/>
        </w:rPr>
        <w:lastRenderedPageBreak/>
        <w:t xml:space="preserve">continua (Capacitación y Autoformación) del personal docente, adscrito al Centro de Maestros de Atlacomulco de los años </w:t>
      </w:r>
      <w:r w:rsidRPr="00C557CC">
        <w:rPr>
          <w:rFonts w:ascii="Palatino Linotype" w:hAnsi="Palatino Linotype" w:cs="Arial"/>
        </w:rPr>
        <w:t>2015, 2016, 2017, 2018 y 2019”.</w:t>
      </w:r>
    </w:p>
    <w:p w14:paraId="1398131D" w14:textId="77777777" w:rsidR="00C557CC" w:rsidRPr="00C557CC" w:rsidRDefault="00C557CC" w:rsidP="00C557CC">
      <w:pPr>
        <w:spacing w:line="360" w:lineRule="auto"/>
        <w:ind w:left="709" w:right="49"/>
        <w:jc w:val="both"/>
        <w:rPr>
          <w:rFonts w:ascii="Palatino Linotype" w:hAnsi="Palatino Linotype" w:cs="Arial"/>
        </w:rPr>
      </w:pPr>
    </w:p>
    <w:p w14:paraId="19C1061C" w14:textId="0BA8C1B1" w:rsidR="00CE23F7" w:rsidRPr="00C557CC" w:rsidRDefault="00CE23F7" w:rsidP="00C557CC">
      <w:pPr>
        <w:spacing w:line="360" w:lineRule="auto"/>
        <w:ind w:left="709" w:right="49"/>
        <w:jc w:val="both"/>
        <w:rPr>
          <w:rFonts w:ascii="Palatino Linotype" w:hAnsi="Palatino Linotype" w:cs="Arial"/>
        </w:rPr>
      </w:pPr>
      <w:r w:rsidRPr="00C557CC">
        <w:rPr>
          <w:rFonts w:ascii="Palatino Linotype" w:hAnsi="Palatino Linotype" w:cs="Arial"/>
        </w:rPr>
        <w:t xml:space="preserve">- </w:t>
      </w:r>
      <w:r w:rsidR="00C557CC" w:rsidRPr="00C557CC">
        <w:rPr>
          <w:rFonts w:ascii="Palatino Linotype" w:hAnsi="Palatino Linotype" w:cs="Arial"/>
        </w:rPr>
        <w:t>Señal</w:t>
      </w:r>
      <w:r w:rsidR="00034735">
        <w:rPr>
          <w:rFonts w:ascii="Palatino Linotype" w:hAnsi="Palatino Linotype" w:cs="Arial"/>
        </w:rPr>
        <w:t>ó</w:t>
      </w:r>
      <w:r w:rsidR="00C557CC" w:rsidRPr="00C557CC">
        <w:rPr>
          <w:rFonts w:ascii="Palatino Linotype" w:hAnsi="Palatino Linotype" w:cs="Arial"/>
        </w:rPr>
        <w:t xml:space="preserve"> </w:t>
      </w:r>
      <w:r w:rsidRPr="00C557CC">
        <w:rPr>
          <w:rFonts w:ascii="Palatino Linotype" w:hAnsi="Palatino Linotype" w:cs="Arial"/>
        </w:rPr>
        <w:t>que no cuenta con la información solicitada respecto al Reglamento de Condiciones Generales de Trabajo de los Servidores Públicos Docentes del Subsistema Educativo Estatal y sugirió recondu</w:t>
      </w:r>
      <w:r w:rsidR="00C557CC" w:rsidRPr="00C557CC">
        <w:rPr>
          <w:rFonts w:ascii="Palatino Linotype" w:hAnsi="Palatino Linotype" w:cs="Arial"/>
        </w:rPr>
        <w:t xml:space="preserve">cir </w:t>
      </w:r>
      <w:r w:rsidRPr="00C557CC">
        <w:rPr>
          <w:rFonts w:ascii="Palatino Linotype" w:hAnsi="Palatino Linotype" w:cs="Arial"/>
        </w:rPr>
        <w:t xml:space="preserve">la solicitud de información al Tribunal Estatal de Conciliación y Arbitraje para que este organismo informe la fecha en que se realizó el depósito de reglamento señalado, asimismo, se </w:t>
      </w:r>
      <w:proofErr w:type="spellStart"/>
      <w:r w:rsidRPr="00C557CC">
        <w:rPr>
          <w:rFonts w:ascii="Palatino Linotype" w:hAnsi="Palatino Linotype" w:cs="Arial"/>
        </w:rPr>
        <w:t>redireccione</w:t>
      </w:r>
      <w:proofErr w:type="spellEnd"/>
      <w:r w:rsidRPr="00C557CC">
        <w:rPr>
          <w:rFonts w:ascii="Palatino Linotype" w:hAnsi="Palatino Linotype" w:cs="Arial"/>
        </w:rPr>
        <w:t xml:space="preserve"> la solicitud de información a la Dirección de Legalización de la “Gaceta del Gobierno del Estado de México” para que informe lo relacionado a la publicación en ese medio de difusión oficial. </w:t>
      </w:r>
    </w:p>
    <w:p w14:paraId="4C22019F" w14:textId="77777777" w:rsidR="00C557CC" w:rsidRPr="00C557CC" w:rsidRDefault="00C557CC" w:rsidP="00C557CC">
      <w:pPr>
        <w:spacing w:line="360" w:lineRule="auto"/>
        <w:ind w:left="709" w:right="49"/>
        <w:jc w:val="both"/>
        <w:rPr>
          <w:rFonts w:ascii="Palatino Linotype" w:hAnsi="Palatino Linotype" w:cs="Arial"/>
        </w:rPr>
      </w:pPr>
    </w:p>
    <w:p w14:paraId="78A2A352" w14:textId="3FB4D9C4" w:rsidR="00CE23F7" w:rsidRPr="00C557CC" w:rsidRDefault="00C557CC" w:rsidP="00C557CC">
      <w:pPr>
        <w:spacing w:line="360" w:lineRule="auto"/>
        <w:ind w:left="709" w:right="49"/>
        <w:jc w:val="both"/>
        <w:rPr>
          <w:rFonts w:ascii="Palatino Linotype" w:hAnsi="Palatino Linotype" w:cs="Arial"/>
          <w:i/>
          <w:sz w:val="22"/>
        </w:rPr>
      </w:pPr>
      <w:r w:rsidRPr="00C557CC">
        <w:rPr>
          <w:rFonts w:ascii="Palatino Linotype" w:hAnsi="Palatino Linotype" w:cs="Arial"/>
        </w:rPr>
        <w:t xml:space="preserve">- </w:t>
      </w:r>
      <w:r w:rsidR="00CE23F7" w:rsidRPr="00C557CC">
        <w:rPr>
          <w:rFonts w:ascii="Palatino Linotype" w:hAnsi="Palatino Linotype" w:cs="Arial"/>
        </w:rPr>
        <w:t xml:space="preserve">Respecto a los Centros de Maestros, específicamente del Centro de Maestros de Atlacomulco, también sugirió </w:t>
      </w:r>
      <w:proofErr w:type="spellStart"/>
      <w:r w:rsidR="00CE23F7" w:rsidRPr="00C557CC">
        <w:rPr>
          <w:rFonts w:ascii="Palatino Linotype" w:hAnsi="Palatino Linotype" w:cs="Arial"/>
        </w:rPr>
        <w:t>redireccionar</w:t>
      </w:r>
      <w:proofErr w:type="spellEnd"/>
      <w:r w:rsidR="00CE23F7" w:rsidRPr="00C557CC">
        <w:rPr>
          <w:rFonts w:ascii="Palatino Linotype" w:hAnsi="Palatino Linotype" w:cs="Arial"/>
        </w:rPr>
        <w:t xml:space="preserve"> la solicitud a la Subsecretaría de Educación Básica y Normal, actualmente “Subsecretaría de Educación Básica”, por ser la unidad administrativa competente</w:t>
      </w:r>
      <w:r w:rsidR="00CE23F7" w:rsidRPr="00C557CC">
        <w:rPr>
          <w:rFonts w:ascii="Palatino Linotype" w:hAnsi="Palatino Linotype" w:cs="Arial"/>
          <w:i/>
          <w:sz w:val="22"/>
        </w:rPr>
        <w:t>.</w:t>
      </w:r>
    </w:p>
    <w:p w14:paraId="55A20E5E" w14:textId="4566040C" w:rsidR="00FA12BC" w:rsidRDefault="00FA12BC" w:rsidP="008D0EB3">
      <w:pPr>
        <w:spacing w:before="100" w:beforeAutospacing="1" w:after="100" w:afterAutospacing="1" w:line="360" w:lineRule="auto"/>
        <w:mirrorIndents/>
        <w:jc w:val="both"/>
        <w:rPr>
          <w:rFonts w:ascii="Palatino Linotype" w:hAnsi="Palatino Linotype"/>
        </w:rPr>
      </w:pPr>
      <w:r w:rsidRPr="003E78C6">
        <w:rPr>
          <w:rFonts w:ascii="Palatino Linotype" w:hAnsi="Palatino Linotype"/>
        </w:rPr>
        <w:t>Inconforme con la</w:t>
      </w:r>
      <w:r>
        <w:rPr>
          <w:rFonts w:ascii="Palatino Linotype" w:hAnsi="Palatino Linotype"/>
        </w:rPr>
        <w:t>s</w:t>
      </w:r>
      <w:r w:rsidRPr="003E78C6">
        <w:rPr>
          <w:rFonts w:ascii="Palatino Linotype" w:hAnsi="Palatino Linotype"/>
        </w:rPr>
        <w:t xml:space="preserve"> respuesta</w:t>
      </w:r>
      <w:r>
        <w:rPr>
          <w:rFonts w:ascii="Palatino Linotype" w:hAnsi="Palatino Linotype"/>
        </w:rPr>
        <w:t>s</w:t>
      </w:r>
      <w:r w:rsidRPr="003E78C6">
        <w:rPr>
          <w:rFonts w:ascii="Palatino Linotype" w:hAnsi="Palatino Linotype"/>
        </w:rPr>
        <w:t xml:space="preserve">, </w:t>
      </w:r>
      <w:r w:rsidRPr="003E78C6">
        <w:rPr>
          <w:rFonts w:ascii="Palatino Linotype" w:hAnsi="Palatino Linotype"/>
          <w:b/>
        </w:rPr>
        <w:t>L</w:t>
      </w:r>
      <w:r w:rsidR="00C557CC">
        <w:rPr>
          <w:rFonts w:ascii="Palatino Linotype" w:hAnsi="Palatino Linotype"/>
          <w:b/>
        </w:rPr>
        <w:t>A</w:t>
      </w:r>
      <w:r w:rsidRPr="003E78C6">
        <w:rPr>
          <w:rFonts w:ascii="Palatino Linotype" w:hAnsi="Palatino Linotype"/>
          <w:b/>
        </w:rPr>
        <w:t xml:space="preserve"> RECURRENTE</w:t>
      </w:r>
      <w:r w:rsidRPr="003E78C6">
        <w:rPr>
          <w:rFonts w:ascii="Palatino Linotype" w:hAnsi="Palatino Linotype"/>
        </w:rPr>
        <w:t xml:space="preserve"> interpuso </w:t>
      </w:r>
      <w:r>
        <w:rPr>
          <w:rFonts w:ascii="Palatino Linotype" w:hAnsi="Palatino Linotype"/>
        </w:rPr>
        <w:t xml:space="preserve">los </w:t>
      </w:r>
      <w:r w:rsidRPr="003E78C6">
        <w:rPr>
          <w:rFonts w:ascii="Palatino Linotype" w:hAnsi="Palatino Linotype"/>
        </w:rPr>
        <w:t>recurso</w:t>
      </w:r>
      <w:r>
        <w:rPr>
          <w:rFonts w:ascii="Palatino Linotype" w:hAnsi="Palatino Linotype"/>
        </w:rPr>
        <w:t>s</w:t>
      </w:r>
      <w:r w:rsidRPr="003E78C6">
        <w:rPr>
          <w:rFonts w:ascii="Palatino Linotype" w:hAnsi="Palatino Linotype"/>
        </w:rPr>
        <w:t xml:space="preserve"> de revisión, </w:t>
      </w:r>
      <w:r>
        <w:rPr>
          <w:rFonts w:ascii="Palatino Linotype" w:hAnsi="Palatino Linotype"/>
        </w:rPr>
        <w:t>de mérito.</w:t>
      </w:r>
    </w:p>
    <w:p w14:paraId="2633384D" w14:textId="77777777" w:rsidR="00C557CC" w:rsidRDefault="00181E2F" w:rsidP="00C557CC">
      <w:pPr>
        <w:spacing w:before="100" w:beforeAutospacing="1" w:after="100" w:afterAutospacing="1" w:line="360" w:lineRule="auto"/>
        <w:ind w:right="49"/>
        <w:jc w:val="both"/>
        <w:rPr>
          <w:rFonts w:ascii="Palatino Linotype" w:hAnsi="Palatino Linotype"/>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 del SAIMEX</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C557CC">
        <w:rPr>
          <w:rFonts w:ascii="Palatino Linotype" w:hAnsi="Palatino Linotype" w:cs="Arial"/>
          <w:b/>
        </w:rPr>
        <w:t>MODIFICAR</w:t>
      </w:r>
      <w:r w:rsidR="00C82695">
        <w:rPr>
          <w:rFonts w:ascii="Palatino Linotype" w:hAnsi="Palatino Linotype" w:cs="Arial"/>
          <w:b/>
        </w:rPr>
        <w:t xml:space="preserve"> </w:t>
      </w:r>
      <w:r>
        <w:rPr>
          <w:rFonts w:ascii="Palatino Linotype" w:hAnsi="Palatino Linotype" w:cs="Arial"/>
        </w:rPr>
        <w:t>la</w:t>
      </w:r>
      <w:r w:rsidR="00B24233">
        <w:rPr>
          <w:rFonts w:ascii="Palatino Linotype" w:hAnsi="Palatino Linotype" w:cs="Arial"/>
        </w:rPr>
        <w:t>s</w:t>
      </w:r>
      <w:r>
        <w:rPr>
          <w:rFonts w:ascii="Palatino Linotype" w:hAnsi="Palatino Linotype" w:cs="Arial"/>
        </w:rPr>
        <w:t xml:space="preserve"> respuesta</w:t>
      </w:r>
      <w:r w:rsidR="00B24233">
        <w:rPr>
          <w:rFonts w:ascii="Palatino Linotype" w:hAnsi="Palatino Linotype" w:cs="Arial"/>
        </w:rPr>
        <w:t>s</w:t>
      </w:r>
      <w:r>
        <w:rPr>
          <w:rFonts w:ascii="Palatino Linotype" w:hAnsi="Palatino Linotype" w:cs="Arial"/>
        </w:rPr>
        <w:t xml:space="preserve"> del </w:t>
      </w:r>
      <w:r w:rsidRPr="006879A6">
        <w:rPr>
          <w:rFonts w:ascii="Palatino Linotype" w:hAnsi="Palatino Linotype" w:cs="Arial"/>
          <w:b/>
        </w:rPr>
        <w:t xml:space="preserve">SUJETO OBLIGADO </w:t>
      </w:r>
      <w:r w:rsidR="00C82695">
        <w:rPr>
          <w:rFonts w:ascii="Palatino Linotype" w:hAnsi="Palatino Linotype" w:cs="Arial"/>
        </w:rPr>
        <w:t>y ordenar</w:t>
      </w:r>
      <w:r>
        <w:rPr>
          <w:rFonts w:ascii="Palatino Linotype" w:hAnsi="Palatino Linotype" w:cs="Arial"/>
        </w:rPr>
        <w:t xml:space="preserve"> </w:t>
      </w:r>
      <w:r w:rsidR="00C82695">
        <w:rPr>
          <w:rFonts w:ascii="Palatino Linotype" w:hAnsi="Palatino Linotype" w:cs="Arial"/>
        </w:rPr>
        <w:t xml:space="preserve">la </w:t>
      </w:r>
      <w:r w:rsidRPr="0022354C">
        <w:rPr>
          <w:rFonts w:ascii="Palatino Linotype" w:hAnsi="Palatino Linotype" w:cs="Arial"/>
        </w:rPr>
        <w:t xml:space="preserve">entrega, </w:t>
      </w:r>
      <w:r w:rsidR="00B06C4B">
        <w:rPr>
          <w:rFonts w:ascii="Palatino Linotype" w:hAnsi="Palatino Linotype"/>
        </w:rPr>
        <w:t>vía SAIME</w:t>
      </w:r>
      <w:r w:rsidR="004B1041">
        <w:rPr>
          <w:rFonts w:ascii="Palatino Linotype" w:hAnsi="Palatino Linotype"/>
        </w:rPr>
        <w:t>X</w:t>
      </w:r>
      <w:r w:rsidR="00B06C4B">
        <w:rPr>
          <w:rFonts w:ascii="Palatino Linotype" w:hAnsi="Palatino Linotype"/>
        </w:rPr>
        <w:t>,</w:t>
      </w:r>
      <w:r w:rsidR="00C82695">
        <w:rPr>
          <w:rFonts w:ascii="Palatino Linotype" w:hAnsi="Palatino Linotype"/>
        </w:rPr>
        <w:t xml:space="preserve"> </w:t>
      </w:r>
      <w:r w:rsidR="00C557CC">
        <w:rPr>
          <w:rFonts w:ascii="Palatino Linotype" w:hAnsi="Palatino Linotype"/>
        </w:rPr>
        <w:t xml:space="preserve">previa búsqueda exhaustiva y razonable, la información siguiente: </w:t>
      </w:r>
    </w:p>
    <w:p w14:paraId="06B3D1CC" w14:textId="77777777" w:rsidR="00C557CC" w:rsidRPr="00C557CC" w:rsidRDefault="00C557CC" w:rsidP="00C557CC">
      <w:pPr>
        <w:ind w:left="851" w:right="902"/>
        <w:jc w:val="both"/>
        <w:rPr>
          <w:rFonts w:ascii="Palatino Linotype" w:eastAsia="Calibri" w:hAnsi="Palatino Linotype" w:cs="Tahoma"/>
          <w:i/>
          <w:iCs/>
          <w:sz w:val="22"/>
          <w:szCs w:val="22"/>
          <w:lang w:eastAsia="es-ES_tradnl"/>
        </w:rPr>
      </w:pPr>
      <w:r w:rsidRPr="00C557CC">
        <w:rPr>
          <w:rFonts w:ascii="Palatino Linotype" w:eastAsia="Calibri" w:hAnsi="Palatino Linotype" w:cs="Tahoma"/>
          <w:i/>
          <w:iCs/>
          <w:sz w:val="22"/>
          <w:szCs w:val="22"/>
          <w:lang w:eastAsia="es-ES_tradnl"/>
        </w:rPr>
        <w:lastRenderedPageBreak/>
        <w:t xml:space="preserve">Respecto al recurso de revisión </w:t>
      </w:r>
      <w:r w:rsidRPr="00C557CC">
        <w:rPr>
          <w:rFonts w:ascii="Palatino Linotype" w:eastAsia="Calibri" w:hAnsi="Palatino Linotype" w:cs="Tahoma"/>
          <w:b/>
          <w:i/>
          <w:iCs/>
          <w:sz w:val="22"/>
          <w:szCs w:val="22"/>
          <w:lang w:eastAsia="es-ES_tradnl"/>
        </w:rPr>
        <w:t>07364/INFOEM/IP/RR/2019</w:t>
      </w:r>
      <w:r w:rsidRPr="00C557CC">
        <w:rPr>
          <w:rFonts w:ascii="Palatino Linotype" w:eastAsia="Calibri" w:hAnsi="Palatino Linotype" w:cs="Tahoma"/>
          <w:i/>
          <w:iCs/>
          <w:sz w:val="22"/>
          <w:szCs w:val="22"/>
          <w:lang w:eastAsia="es-ES_tradnl"/>
        </w:rPr>
        <w:t>:</w:t>
      </w:r>
    </w:p>
    <w:p w14:paraId="3B8436B5" w14:textId="5496F095" w:rsidR="00C557CC" w:rsidRPr="00741B21" w:rsidRDefault="00C557CC" w:rsidP="00741B21">
      <w:pPr>
        <w:pStyle w:val="Prrafodelista"/>
        <w:numPr>
          <w:ilvl w:val="0"/>
          <w:numId w:val="22"/>
        </w:numPr>
        <w:ind w:right="902"/>
        <w:jc w:val="both"/>
        <w:rPr>
          <w:rFonts w:ascii="Palatino Linotype" w:eastAsia="Calibri" w:hAnsi="Palatino Linotype" w:cs="Tahoma"/>
          <w:b/>
          <w:i/>
          <w:iCs/>
          <w:sz w:val="22"/>
          <w:szCs w:val="22"/>
          <w:lang w:eastAsia="es-ES_tradnl"/>
        </w:rPr>
      </w:pPr>
      <w:r w:rsidRPr="00741B21">
        <w:rPr>
          <w:rFonts w:ascii="Palatino Linotype" w:eastAsia="Calibri" w:hAnsi="Palatino Linotype" w:cs="Tahoma"/>
          <w:b/>
          <w:i/>
          <w:iCs/>
          <w:sz w:val="22"/>
          <w:szCs w:val="22"/>
          <w:lang w:eastAsia="es-ES_tradnl"/>
        </w:rPr>
        <w:t xml:space="preserve">Los Costos de las capacitaciones referidas en el anexo 3 de la respuesta. </w:t>
      </w:r>
    </w:p>
    <w:p w14:paraId="67CD9340" w14:textId="77777777" w:rsidR="00741B21" w:rsidRPr="00741B21" w:rsidRDefault="00741B21" w:rsidP="00741B21">
      <w:pPr>
        <w:pStyle w:val="Prrafodelista"/>
        <w:ind w:left="1211" w:right="902"/>
        <w:jc w:val="both"/>
        <w:rPr>
          <w:rFonts w:ascii="Palatino Linotype" w:eastAsia="Calibri" w:hAnsi="Palatino Linotype" w:cs="Tahoma"/>
          <w:b/>
          <w:i/>
          <w:iCs/>
          <w:sz w:val="22"/>
          <w:szCs w:val="22"/>
          <w:lang w:eastAsia="es-ES_tradnl"/>
        </w:rPr>
      </w:pPr>
    </w:p>
    <w:p w14:paraId="5A338F0D" w14:textId="3BB31E5D" w:rsidR="00C557CC" w:rsidRDefault="00C557CC" w:rsidP="00C557CC">
      <w:pPr>
        <w:ind w:left="851" w:right="902"/>
        <w:jc w:val="both"/>
        <w:rPr>
          <w:rFonts w:ascii="Palatino Linotype" w:eastAsia="Calibri" w:hAnsi="Palatino Linotype" w:cs="Tahoma"/>
          <w:i/>
          <w:iCs/>
          <w:sz w:val="22"/>
          <w:szCs w:val="22"/>
          <w:lang w:eastAsia="es-ES_tradnl"/>
        </w:rPr>
      </w:pPr>
      <w:r w:rsidRPr="00C557CC">
        <w:rPr>
          <w:rFonts w:ascii="Palatino Linotype" w:eastAsia="Calibri" w:hAnsi="Palatino Linotype" w:cs="Tahoma"/>
          <w:i/>
          <w:iCs/>
          <w:sz w:val="22"/>
          <w:szCs w:val="22"/>
          <w:lang w:eastAsia="es-ES_tradnl"/>
        </w:rPr>
        <w:t xml:space="preserve">Para el caso que de la búsqueda de la información ordenada en éste inciso no sea localizada por no haberse generado los gastos referidos, bastará que el Sujeto Obligado así </w:t>
      </w:r>
      <w:r w:rsidR="00741B21">
        <w:rPr>
          <w:rFonts w:ascii="Palatino Linotype" w:eastAsia="Calibri" w:hAnsi="Palatino Linotype" w:cs="Tahoma"/>
          <w:i/>
          <w:iCs/>
          <w:sz w:val="22"/>
          <w:szCs w:val="22"/>
          <w:lang w:eastAsia="es-ES_tradnl"/>
        </w:rPr>
        <w:t xml:space="preserve">lo haga saber a la Recurrente. </w:t>
      </w:r>
    </w:p>
    <w:p w14:paraId="3382CB04" w14:textId="77777777" w:rsidR="00741B21" w:rsidRPr="00C557CC" w:rsidRDefault="00741B21" w:rsidP="00C557CC">
      <w:pPr>
        <w:ind w:left="851" w:right="902"/>
        <w:jc w:val="both"/>
        <w:rPr>
          <w:rFonts w:ascii="Palatino Linotype" w:eastAsia="Calibri" w:hAnsi="Palatino Linotype" w:cs="Tahoma"/>
          <w:i/>
          <w:iCs/>
          <w:sz w:val="22"/>
          <w:szCs w:val="22"/>
          <w:lang w:eastAsia="es-ES_tradnl"/>
        </w:rPr>
      </w:pPr>
    </w:p>
    <w:p w14:paraId="0703C2A3" w14:textId="77777777" w:rsidR="00C557CC" w:rsidRDefault="00C557CC" w:rsidP="00C557CC">
      <w:pPr>
        <w:ind w:left="851" w:right="902"/>
        <w:jc w:val="both"/>
        <w:rPr>
          <w:rFonts w:ascii="Palatino Linotype" w:eastAsia="Calibri" w:hAnsi="Palatino Linotype" w:cs="Tahoma"/>
          <w:i/>
          <w:iCs/>
          <w:sz w:val="22"/>
          <w:szCs w:val="22"/>
          <w:lang w:eastAsia="es-ES_tradnl"/>
        </w:rPr>
      </w:pPr>
      <w:r w:rsidRPr="00C557CC">
        <w:rPr>
          <w:rFonts w:ascii="Palatino Linotype" w:eastAsia="Calibri" w:hAnsi="Palatino Linotype" w:cs="Tahoma"/>
          <w:i/>
          <w:iCs/>
          <w:sz w:val="22"/>
          <w:szCs w:val="22"/>
          <w:lang w:eastAsia="es-ES_tradnl"/>
        </w:rPr>
        <w:t xml:space="preserve">Por lo que hace al recurso de revisión </w:t>
      </w:r>
      <w:r w:rsidRPr="00741B21">
        <w:rPr>
          <w:rFonts w:ascii="Palatino Linotype" w:eastAsia="Calibri" w:hAnsi="Palatino Linotype" w:cs="Tahoma"/>
          <w:b/>
          <w:i/>
          <w:iCs/>
          <w:sz w:val="22"/>
          <w:szCs w:val="22"/>
          <w:lang w:eastAsia="es-ES_tradnl"/>
        </w:rPr>
        <w:t>07471/INFOEM/IP/RR/2019</w:t>
      </w:r>
      <w:r w:rsidRPr="00C557CC">
        <w:rPr>
          <w:rFonts w:ascii="Palatino Linotype" w:eastAsia="Calibri" w:hAnsi="Palatino Linotype" w:cs="Tahoma"/>
          <w:i/>
          <w:iCs/>
          <w:sz w:val="22"/>
          <w:szCs w:val="22"/>
          <w:lang w:eastAsia="es-ES_tradnl"/>
        </w:rPr>
        <w:t xml:space="preserve">: </w:t>
      </w:r>
    </w:p>
    <w:p w14:paraId="61A09B51" w14:textId="77777777" w:rsidR="00741B21" w:rsidRPr="00C557CC" w:rsidRDefault="00741B21" w:rsidP="00C557CC">
      <w:pPr>
        <w:ind w:left="851" w:right="902"/>
        <w:jc w:val="both"/>
        <w:rPr>
          <w:rFonts w:ascii="Palatino Linotype" w:eastAsia="Calibri" w:hAnsi="Palatino Linotype" w:cs="Tahoma"/>
          <w:i/>
          <w:iCs/>
          <w:sz w:val="22"/>
          <w:szCs w:val="22"/>
          <w:lang w:eastAsia="es-ES_tradnl"/>
        </w:rPr>
      </w:pPr>
    </w:p>
    <w:p w14:paraId="364EA3AF" w14:textId="0A7D7922" w:rsidR="00C557CC" w:rsidRPr="00741B21" w:rsidRDefault="00C557CC" w:rsidP="00741B21">
      <w:pPr>
        <w:pStyle w:val="Prrafodelista"/>
        <w:numPr>
          <w:ilvl w:val="0"/>
          <w:numId w:val="22"/>
        </w:numPr>
        <w:ind w:right="902"/>
        <w:jc w:val="both"/>
        <w:rPr>
          <w:rFonts w:ascii="Palatino Linotype" w:eastAsia="Calibri" w:hAnsi="Palatino Linotype" w:cs="Tahoma"/>
          <w:b/>
          <w:i/>
          <w:iCs/>
          <w:sz w:val="22"/>
          <w:szCs w:val="22"/>
          <w:lang w:eastAsia="es-ES_tradnl"/>
        </w:rPr>
      </w:pPr>
      <w:r w:rsidRPr="00741B21">
        <w:rPr>
          <w:rFonts w:ascii="Palatino Linotype" w:eastAsia="Calibri" w:hAnsi="Palatino Linotype" w:cs="Tahoma"/>
          <w:b/>
          <w:i/>
          <w:iCs/>
          <w:sz w:val="22"/>
          <w:szCs w:val="22"/>
          <w:lang w:eastAsia="es-ES_tradnl"/>
        </w:rPr>
        <w:t>El documento en donde conste la Gaceta y fecha exacta de la publicación del Reglamento de Condiciones Generales de Trabajo de los Servidores Públicos Docentes del Subsistema Educativo Estatal.</w:t>
      </w:r>
    </w:p>
    <w:p w14:paraId="697361D8" w14:textId="77777777" w:rsidR="00741B21" w:rsidRPr="00741B21" w:rsidRDefault="00741B21" w:rsidP="00741B21">
      <w:pPr>
        <w:pStyle w:val="Prrafodelista"/>
        <w:ind w:left="1211" w:right="902"/>
        <w:jc w:val="both"/>
        <w:rPr>
          <w:rFonts w:ascii="Palatino Linotype" w:eastAsia="Calibri" w:hAnsi="Palatino Linotype" w:cs="Tahoma"/>
          <w:b/>
          <w:i/>
          <w:iCs/>
          <w:sz w:val="22"/>
          <w:szCs w:val="22"/>
          <w:lang w:eastAsia="es-ES_tradnl"/>
        </w:rPr>
      </w:pPr>
    </w:p>
    <w:p w14:paraId="01EA3A75" w14:textId="77777777" w:rsidR="00C557CC" w:rsidRPr="00C557CC" w:rsidRDefault="00C557CC" w:rsidP="00C557CC">
      <w:pPr>
        <w:ind w:left="851" w:right="902"/>
        <w:jc w:val="both"/>
        <w:rPr>
          <w:rFonts w:ascii="Palatino Linotype" w:eastAsia="Calibri" w:hAnsi="Palatino Linotype" w:cs="Tahoma"/>
          <w:i/>
          <w:iCs/>
          <w:sz w:val="22"/>
          <w:szCs w:val="22"/>
          <w:lang w:eastAsia="es-ES_tradnl"/>
        </w:rPr>
      </w:pPr>
      <w:r w:rsidRPr="00C557CC">
        <w:rPr>
          <w:rFonts w:ascii="Palatino Linotype" w:eastAsia="Calibri" w:hAnsi="Palatino Linotype" w:cs="Tahoma"/>
          <w:i/>
          <w:iCs/>
          <w:sz w:val="22"/>
          <w:szCs w:val="22"/>
          <w:lang w:eastAsia="es-ES_tradnl"/>
        </w:rPr>
        <w:t xml:space="preserve">Para el caso que de la búsqueda exhaustiva y razonable no fuese localizada la información que se ordena entregar en el presente inciso, el Comité de Transparencia del Sujeto Obligado deberá emitir el Acuerdo fundado y motivado que sustente la declaratoria de inexistencia de la información referida y hacerlo del conocimiento de la Recurrente.   </w:t>
      </w:r>
    </w:p>
    <w:p w14:paraId="11D151BB" w14:textId="77777777" w:rsidR="00C557CC" w:rsidRPr="00C557CC" w:rsidRDefault="00C557CC" w:rsidP="00C557CC">
      <w:pPr>
        <w:ind w:left="851" w:right="902"/>
        <w:jc w:val="both"/>
        <w:rPr>
          <w:rFonts w:ascii="Palatino Linotype" w:eastAsia="Calibri" w:hAnsi="Palatino Linotype" w:cs="Tahoma"/>
          <w:i/>
          <w:iCs/>
          <w:sz w:val="22"/>
          <w:szCs w:val="22"/>
          <w:lang w:eastAsia="es-ES_tradnl"/>
        </w:rPr>
      </w:pPr>
    </w:p>
    <w:p w14:paraId="35773C38" w14:textId="584DF03D" w:rsidR="00B06C4B" w:rsidRPr="0020313D" w:rsidRDefault="00C557CC" w:rsidP="00741B21">
      <w:pPr>
        <w:pStyle w:val="Prrafodelista"/>
        <w:numPr>
          <w:ilvl w:val="0"/>
          <w:numId w:val="22"/>
        </w:numPr>
        <w:ind w:right="902"/>
        <w:jc w:val="both"/>
        <w:rPr>
          <w:rFonts w:ascii="Palatino Linotype" w:hAnsi="Palatino Linotype" w:cs="Arial"/>
          <w:b/>
          <w:lang w:val="es-MX"/>
        </w:rPr>
      </w:pPr>
      <w:r w:rsidRPr="00741B21">
        <w:rPr>
          <w:rFonts w:ascii="Palatino Linotype" w:eastAsia="Calibri" w:hAnsi="Palatino Linotype" w:cs="Tahoma"/>
          <w:b/>
          <w:i/>
          <w:iCs/>
          <w:sz w:val="22"/>
          <w:szCs w:val="22"/>
          <w:lang w:eastAsia="es-ES_tradnl"/>
        </w:rPr>
        <w:t xml:space="preserve">El Acuerdo de incompetencia debidamente fundado y motivado, en el que exprese las razones, motivos y circunstancias de hecho y derecho por virtud de las cuales justifique su incompetencia relacionada con </w:t>
      </w:r>
      <w:r w:rsidRPr="0020313D">
        <w:rPr>
          <w:rFonts w:ascii="Palatino Linotype" w:eastAsia="Calibri" w:hAnsi="Palatino Linotype" w:cs="Tahoma"/>
          <w:b/>
          <w:i/>
          <w:iCs/>
          <w:sz w:val="22"/>
          <w:szCs w:val="22"/>
          <w:lang w:eastAsia="es-ES_tradnl"/>
        </w:rPr>
        <w:t>el Depósito del Reglamento de Condiciones Generales de Trabajo de los Servidores Públicos Docentes del Subsistema Educativo Estatal, ante el Tribunal Estatal de Conciliación y Arbitraje</w:t>
      </w:r>
      <w:r w:rsidR="00C82695" w:rsidRPr="0020313D">
        <w:rPr>
          <w:rFonts w:ascii="Palatino Linotype" w:eastAsia="Calibri" w:hAnsi="Palatino Linotype" w:cs="Tahoma"/>
          <w:b/>
          <w:i/>
          <w:iCs/>
          <w:sz w:val="22"/>
          <w:szCs w:val="22"/>
          <w:lang w:eastAsia="es-ES_tradnl"/>
        </w:rPr>
        <w:t>.</w:t>
      </w:r>
    </w:p>
    <w:p w14:paraId="7A24B60F" w14:textId="641B4E62" w:rsidR="004B1041" w:rsidRDefault="004B1041" w:rsidP="008D0EB3">
      <w:pPr>
        <w:spacing w:before="100" w:beforeAutospacing="1" w:after="100" w:afterAutospacing="1" w:line="360" w:lineRule="auto"/>
        <w:ind w:right="49"/>
        <w:jc w:val="both"/>
        <w:rPr>
          <w:rFonts w:ascii="Palatino Linotype" w:hAnsi="Palatino Linotype" w:cs="Arial"/>
        </w:rPr>
      </w:pPr>
      <w:r w:rsidRPr="009F71D8">
        <w:rPr>
          <w:rFonts w:ascii="Palatino Linotype" w:hAnsi="Palatino Linotype" w:cs="Arial"/>
        </w:rPr>
        <w:t xml:space="preserve">En ese sentido, la que suscribe reitera, que si bien coincide en términos generales con el </w:t>
      </w:r>
      <w:r>
        <w:rPr>
          <w:rFonts w:ascii="Palatino Linotype" w:hAnsi="Palatino Linotype" w:cs="Arial"/>
        </w:rPr>
        <w:t>sentido de la resolución en comento,</w:t>
      </w:r>
      <w:r w:rsidRPr="0061285F">
        <w:rPr>
          <w:rFonts w:ascii="Palatino Linotype" w:hAnsi="Palatino Linotype" w:cs="Arial"/>
        </w:rPr>
        <w:t xml:space="preserve"> estimo que la Ponencia </w:t>
      </w:r>
      <w:proofErr w:type="spellStart"/>
      <w:r w:rsidRPr="0061285F">
        <w:rPr>
          <w:rFonts w:ascii="Palatino Linotype" w:hAnsi="Palatino Linotype" w:cs="Arial"/>
        </w:rPr>
        <w:t>Resolutora</w:t>
      </w:r>
      <w:proofErr w:type="spellEnd"/>
      <w:r w:rsidRPr="0061285F">
        <w:rPr>
          <w:rFonts w:ascii="Palatino Linotype" w:hAnsi="Palatino Linotype" w:cs="Arial"/>
        </w:rPr>
        <w:t xml:space="preserve"> debió considerar que respecto de</w:t>
      </w:r>
      <w:r w:rsidR="00741B21">
        <w:rPr>
          <w:rFonts w:ascii="Palatino Linotype" w:hAnsi="Palatino Linotype" w:cs="Arial"/>
        </w:rPr>
        <w:t>l</w:t>
      </w:r>
      <w:r w:rsidR="00741B21" w:rsidRPr="00741B21">
        <w:rPr>
          <w:rFonts w:ascii="Palatino Linotype" w:hAnsi="Palatino Linotype" w:cs="Arial"/>
        </w:rPr>
        <w:t xml:space="preserve"> Depósito del Reglamento de Condiciones Generales de Trabajo de los Servidores Públicos Docentes del Subsistema Educativo Estatal, ante el Tribunal Esta</w:t>
      </w:r>
      <w:r w:rsidR="00741B21">
        <w:rPr>
          <w:rFonts w:ascii="Palatino Linotype" w:hAnsi="Palatino Linotype" w:cs="Arial"/>
        </w:rPr>
        <w:t>tal de Conciliación y Arbitraje</w:t>
      </w:r>
      <w:r w:rsidRPr="0061285F">
        <w:rPr>
          <w:rFonts w:ascii="Palatino Linotype" w:hAnsi="Palatino Linotype" w:cs="Arial"/>
        </w:rPr>
        <w:t xml:space="preserve">, resultaba aplicable </w:t>
      </w:r>
      <w:r w:rsidR="003F1EA3">
        <w:rPr>
          <w:rFonts w:ascii="Palatino Linotype" w:hAnsi="Palatino Linotype"/>
        </w:rPr>
        <w:t xml:space="preserve">ordenar al </w:t>
      </w:r>
      <w:r w:rsidR="003F1EA3" w:rsidRPr="00BF349D">
        <w:rPr>
          <w:rFonts w:ascii="Palatino Linotype" w:hAnsi="Palatino Linotype"/>
          <w:b/>
        </w:rPr>
        <w:t>SUJETO OBLIGADO</w:t>
      </w:r>
      <w:r w:rsidR="003F1EA3">
        <w:rPr>
          <w:rFonts w:ascii="Palatino Linotype" w:hAnsi="Palatino Linotype"/>
        </w:rPr>
        <w:t xml:space="preserve"> realizara </w:t>
      </w:r>
      <w:r w:rsidR="003F1EA3" w:rsidRPr="00BF349D">
        <w:rPr>
          <w:rFonts w:ascii="Palatino Linotype" w:hAnsi="Palatino Linotype"/>
        </w:rPr>
        <w:t>una búsqueda exhaustiva</w:t>
      </w:r>
      <w:r w:rsidR="003F1EA3">
        <w:rPr>
          <w:rFonts w:ascii="Palatino Linotype" w:hAnsi="Palatino Linotype"/>
        </w:rPr>
        <w:t xml:space="preserve"> y razonable de la información y </w:t>
      </w:r>
      <w:r w:rsidR="003F1EA3" w:rsidRPr="00BF349D">
        <w:rPr>
          <w:rFonts w:ascii="Palatino Linotype" w:hAnsi="Palatino Linotype"/>
        </w:rPr>
        <w:t xml:space="preserve">en caso de no encontrarla, </w:t>
      </w:r>
      <w:r w:rsidR="00034735">
        <w:rPr>
          <w:rFonts w:ascii="Palatino Linotype" w:hAnsi="Palatino Linotype"/>
        </w:rPr>
        <w:t xml:space="preserve">resultaba procedente </w:t>
      </w:r>
      <w:r w:rsidR="003F1EA3" w:rsidRPr="00BF349D">
        <w:rPr>
          <w:rFonts w:ascii="Palatino Linotype" w:hAnsi="Palatino Linotype"/>
        </w:rPr>
        <w:t xml:space="preserve">notificar el Acuerdo de Inexistencia </w:t>
      </w:r>
      <w:r w:rsidR="003F1EA3" w:rsidRPr="00BF349D">
        <w:rPr>
          <w:rFonts w:ascii="Palatino Linotype" w:hAnsi="Palatino Linotype"/>
        </w:rPr>
        <w:lastRenderedPageBreak/>
        <w:t>corre</w:t>
      </w:r>
      <w:r w:rsidR="003F1EA3">
        <w:rPr>
          <w:rFonts w:ascii="Palatino Linotype" w:hAnsi="Palatino Linotype"/>
        </w:rPr>
        <w:t>spondiente, en el que fundara</w:t>
      </w:r>
      <w:r w:rsidR="003F1EA3" w:rsidRPr="00BF349D">
        <w:rPr>
          <w:rFonts w:ascii="Palatino Linotype" w:hAnsi="Palatino Linotype"/>
        </w:rPr>
        <w:t xml:space="preserve"> y motiv</w:t>
      </w:r>
      <w:r w:rsidR="003F1EA3">
        <w:rPr>
          <w:rFonts w:ascii="Palatino Linotype" w:hAnsi="Palatino Linotype"/>
        </w:rPr>
        <w:t>ara</w:t>
      </w:r>
      <w:r w:rsidR="003F1EA3" w:rsidRPr="00BF349D">
        <w:rPr>
          <w:rFonts w:ascii="Palatino Linotype" w:hAnsi="Palatino Linotype"/>
        </w:rPr>
        <w:t>, las circunstancias de la pre existencia de la documentación y la falta posterior de la misma, de conformidad la Ley de Transparencia y Acceso a la Información Pública del</w:t>
      </w:r>
      <w:r w:rsidR="003F1EA3">
        <w:rPr>
          <w:rFonts w:ascii="Palatino Linotype" w:hAnsi="Palatino Linotype"/>
        </w:rPr>
        <w:t xml:space="preserve"> Estado de México y Municipios. </w:t>
      </w:r>
    </w:p>
    <w:p w14:paraId="05CE7910" w14:textId="3CC8993C" w:rsidR="002F4277" w:rsidRDefault="004B1041" w:rsidP="008D0EB3">
      <w:pPr>
        <w:spacing w:before="100" w:beforeAutospacing="1" w:after="100" w:afterAutospacing="1" w:line="360" w:lineRule="auto"/>
        <w:ind w:right="49"/>
        <w:jc w:val="both"/>
        <w:rPr>
          <w:rFonts w:ascii="Palatino Linotype" w:hAnsi="Palatino Linotype" w:cs="Arial"/>
        </w:rPr>
      </w:pPr>
      <w:r w:rsidRPr="0061285F">
        <w:rPr>
          <w:rFonts w:ascii="Palatino Linotype" w:hAnsi="Palatino Linotype" w:cs="Arial"/>
        </w:rPr>
        <w:t xml:space="preserve">Lo anterior obedece a que, </w:t>
      </w:r>
      <w:r w:rsidR="0094032A" w:rsidRPr="0094032A">
        <w:rPr>
          <w:rFonts w:ascii="Palatino Linotype" w:hAnsi="Palatino Linotype" w:cs="Arial"/>
          <w:b/>
        </w:rPr>
        <w:t>EL SUJETO OBLIGADO</w:t>
      </w:r>
      <w:r w:rsidR="0094032A" w:rsidRPr="008D0EB3">
        <w:rPr>
          <w:rFonts w:ascii="Palatino Linotype" w:hAnsi="Palatino Linotype" w:cs="Arial"/>
        </w:rPr>
        <w:t xml:space="preserve"> </w:t>
      </w:r>
      <w:r w:rsidR="002F4277">
        <w:rPr>
          <w:rFonts w:ascii="Palatino Linotype" w:hAnsi="Palatino Linotype" w:cs="Arial"/>
        </w:rPr>
        <w:t xml:space="preserve">se limitó a referir que no contaba con el Reglamento de Condiciones Generales de Trabajo de los Servidores Públicos Docentes del Subsistema Educativo Estatal; sin embargo, se advierte que dentro del </w:t>
      </w:r>
      <w:r w:rsidR="00AB5936">
        <w:rPr>
          <w:rFonts w:ascii="Palatino Linotype" w:hAnsi="Palatino Linotype" w:cs="Arial"/>
        </w:rPr>
        <w:t>artículo</w:t>
      </w:r>
      <w:r w:rsidR="002F4277">
        <w:rPr>
          <w:rFonts w:ascii="Palatino Linotype" w:hAnsi="Palatino Linotype" w:cs="Arial"/>
        </w:rPr>
        <w:t xml:space="preserve"> 38 de la </w:t>
      </w:r>
      <w:r w:rsidR="002F4277" w:rsidRPr="002F4277">
        <w:rPr>
          <w:rFonts w:ascii="Palatino Linotype" w:hAnsi="Palatino Linotype" w:cs="Arial"/>
        </w:rPr>
        <w:t>Ley del Trabajo de los Servidores Públicos del Estado de México y Municipios</w:t>
      </w:r>
      <w:r w:rsidR="002F4277">
        <w:rPr>
          <w:rFonts w:ascii="Palatino Linotype" w:hAnsi="Palatino Linotype" w:cs="Arial"/>
        </w:rPr>
        <w:t xml:space="preserve">, se encuentra obligatoriedad para que éste la genere, </w:t>
      </w:r>
      <w:r w:rsidR="00AB5936">
        <w:rPr>
          <w:rFonts w:ascii="Palatino Linotype" w:hAnsi="Palatino Linotype" w:cs="Arial"/>
        </w:rPr>
        <w:t xml:space="preserve">el cual menciona lo siguiente: </w:t>
      </w:r>
    </w:p>
    <w:p w14:paraId="37A6139D" w14:textId="422EBF56" w:rsidR="002F4277" w:rsidRPr="00AB5936" w:rsidRDefault="00AB5936" w:rsidP="00AB5936">
      <w:pPr>
        <w:spacing w:before="100" w:beforeAutospacing="1" w:after="100" w:afterAutospacing="1"/>
        <w:ind w:left="851" w:right="899"/>
        <w:jc w:val="both"/>
        <w:rPr>
          <w:rFonts w:ascii="Palatino Linotype" w:hAnsi="Palatino Linotype" w:cs="Arial"/>
          <w:i/>
        </w:rPr>
      </w:pPr>
      <w:r w:rsidRPr="00AB5936">
        <w:rPr>
          <w:rFonts w:ascii="Palatino Linotype" w:hAnsi="Palatino Linotype" w:cs="Arial"/>
          <w:i/>
          <w:sz w:val="22"/>
        </w:rPr>
        <w:t>“</w:t>
      </w:r>
      <w:r w:rsidR="002F4277" w:rsidRPr="00AB5936">
        <w:rPr>
          <w:rFonts w:ascii="Palatino Linotype" w:hAnsi="Palatino Linotype" w:cs="Arial"/>
          <w:b/>
          <w:i/>
          <w:sz w:val="22"/>
        </w:rPr>
        <w:t>ARTÍCULO 38.</w:t>
      </w:r>
      <w:r w:rsidR="002F4277" w:rsidRPr="00AB5936">
        <w:rPr>
          <w:rFonts w:ascii="Palatino Linotype" w:hAnsi="Palatino Linotype" w:cs="Arial"/>
          <w:i/>
          <w:sz w:val="22"/>
        </w:rPr>
        <w:t xml:space="preserve"> </w:t>
      </w:r>
      <w:r w:rsidR="002F4277" w:rsidRPr="00AB5936">
        <w:rPr>
          <w:rFonts w:ascii="Palatino Linotype" w:hAnsi="Palatino Linotype" w:cs="Arial"/>
          <w:b/>
          <w:i/>
          <w:sz w:val="22"/>
          <w:u w:val="single"/>
        </w:rPr>
        <w:t>Los trabajadores gozarán, de los beneficios establecidos en el "Acuerdo Nacional para la Modernización de la Educación Básica" en el “Reglamento de las Condiciones Generales de Trabajo del Personal de la Secretaría de Educación Pública”</w:t>
      </w:r>
      <w:r w:rsidR="002F4277" w:rsidRPr="00AB5936">
        <w:rPr>
          <w:rFonts w:ascii="Palatino Linotype" w:hAnsi="Palatino Linotype" w:cs="Arial"/>
          <w:i/>
          <w:sz w:val="22"/>
          <w:u w:val="single"/>
        </w:rPr>
        <w:t>,</w:t>
      </w:r>
      <w:r w:rsidR="002F4277" w:rsidRPr="00AB5936">
        <w:rPr>
          <w:rFonts w:ascii="Palatino Linotype" w:hAnsi="Palatino Linotype" w:cs="Arial"/>
          <w:i/>
          <w:sz w:val="22"/>
        </w:rPr>
        <w:t xml:space="preserve"> en el reglamento nacional de escalafón vigente, en los Convenios de fecha 18 de mayo de 1992, signados entre el Ejecutivo del Gobierno Estatal y el Sindicato Nacional de Trabajadores de la Educación, y entre las Secretarías de Hacienda y Crédito Público, Desarrollo Urbano y Ecología, Educación Pública, Gobierno del Estado de México e Instituto de Seguridad y Servicios Sociales de los Trabajadores del Estado, así como de todos aquellos que se derivan de acuerdos, disposiciones o convenios que les sean propios.</w:t>
      </w:r>
      <w:r>
        <w:rPr>
          <w:rFonts w:ascii="Palatino Linotype" w:hAnsi="Palatino Linotype" w:cs="Arial"/>
          <w:i/>
          <w:sz w:val="22"/>
        </w:rPr>
        <w:t>”</w:t>
      </w:r>
    </w:p>
    <w:p w14:paraId="4B760735" w14:textId="0107465F" w:rsidR="00460FFB" w:rsidRPr="00460FFB" w:rsidRDefault="00AB5936" w:rsidP="008D0EB3">
      <w:pPr>
        <w:spacing w:before="100" w:beforeAutospacing="1" w:after="100" w:afterAutospacing="1" w:line="360" w:lineRule="auto"/>
        <w:ind w:right="49"/>
        <w:jc w:val="both"/>
        <w:rPr>
          <w:rFonts w:ascii="Palatino Linotype" w:hAnsi="Palatino Linotype" w:cs="Arial"/>
          <w:i/>
        </w:rPr>
      </w:pPr>
      <w:r>
        <w:rPr>
          <w:rFonts w:ascii="Palatino Linotype" w:hAnsi="Palatino Linotype" w:cs="Arial"/>
        </w:rPr>
        <w:t>En esa virtud, la legislación establece obligatoriedad de que la Secretar</w:t>
      </w:r>
      <w:r w:rsidR="00034735">
        <w:rPr>
          <w:rFonts w:ascii="Palatino Linotype" w:hAnsi="Palatino Linotype" w:cs="Arial"/>
        </w:rPr>
        <w:t>í</w:t>
      </w:r>
      <w:r>
        <w:rPr>
          <w:rFonts w:ascii="Palatino Linotype" w:hAnsi="Palatino Linotype" w:cs="Arial"/>
        </w:rPr>
        <w:t xml:space="preserve">a de Educación cuente con el Reglamento de Condiciones Generales de Trabajo de los Servidores Públicos Docentes del Subsistema Educativo Estatal; por lo tanto, se estima que, ante la fuente obligacional de referencia, lo procedente era ordenar al </w:t>
      </w:r>
      <w:r w:rsidRPr="00034735">
        <w:rPr>
          <w:rFonts w:ascii="Palatino Linotype" w:hAnsi="Palatino Linotype" w:cs="Arial"/>
          <w:b/>
        </w:rPr>
        <w:t>SUJETO OBLIGADO</w:t>
      </w:r>
      <w:r>
        <w:rPr>
          <w:rFonts w:ascii="Palatino Linotype" w:hAnsi="Palatino Linotype" w:cs="Arial"/>
        </w:rPr>
        <w:t xml:space="preserve"> la declaratoria de Inexistencia correspondiente</w:t>
      </w:r>
      <w:r w:rsidR="005B49CD">
        <w:rPr>
          <w:rFonts w:ascii="Palatino Linotype" w:hAnsi="Palatino Linotype" w:cs="Arial"/>
        </w:rPr>
        <w:t xml:space="preserve">; ello, en razón </w:t>
      </w:r>
      <w:r w:rsidR="004B1041" w:rsidRPr="00577A8A">
        <w:rPr>
          <w:rFonts w:ascii="Palatino Linotype" w:hAnsi="Palatino Linotype" w:cs="Arial"/>
        </w:rPr>
        <w:t xml:space="preserve">de generar </w:t>
      </w:r>
      <w:r w:rsidR="004B1041" w:rsidRPr="00577A8A">
        <w:rPr>
          <w:rFonts w:ascii="Palatino Linotype" w:hAnsi="Palatino Linotype" w:cs="Arial"/>
        </w:rPr>
        <w:lastRenderedPageBreak/>
        <w:t>certeza de conformidad con lo señalado en el artículo 9</w:t>
      </w:r>
      <w:r w:rsidR="0094032A">
        <w:rPr>
          <w:rFonts w:ascii="Palatino Linotype" w:hAnsi="Palatino Linotype" w:cs="Arial"/>
        </w:rPr>
        <w:t>,</w:t>
      </w:r>
      <w:r w:rsidR="004B1041" w:rsidRPr="00577A8A">
        <w:rPr>
          <w:rFonts w:ascii="Palatino Linotype" w:hAnsi="Palatino Linotype" w:cs="Arial"/>
        </w:rPr>
        <w:t xml:space="preserve"> fracción I de la Ley de Transparencia y Acceso a la Info</w:t>
      </w:r>
      <w:r w:rsidR="004B1041">
        <w:rPr>
          <w:rFonts w:ascii="Palatino Linotype" w:hAnsi="Palatino Linotype" w:cs="Arial"/>
        </w:rPr>
        <w:t>rmación Pública del Estado de Mé</w:t>
      </w:r>
      <w:r w:rsidR="004B1041" w:rsidRPr="00577A8A">
        <w:rPr>
          <w:rFonts w:ascii="Palatino Linotype" w:hAnsi="Palatino Linotype" w:cs="Arial"/>
        </w:rPr>
        <w:t>xic</w:t>
      </w:r>
      <w:r w:rsidR="004B1041">
        <w:rPr>
          <w:rFonts w:ascii="Palatino Linotype" w:hAnsi="Palatino Linotype" w:cs="Arial"/>
        </w:rPr>
        <w:t>o</w:t>
      </w:r>
      <w:r w:rsidR="008D0EB3">
        <w:rPr>
          <w:rFonts w:ascii="Palatino Linotype" w:hAnsi="Palatino Linotype" w:cs="Arial"/>
        </w:rPr>
        <w:t xml:space="preserve"> y Municipios.</w:t>
      </w:r>
    </w:p>
    <w:p w14:paraId="052FCB2C" w14:textId="0A84D391" w:rsidR="00433C19" w:rsidRDefault="004B1041" w:rsidP="00433C19">
      <w:pPr>
        <w:spacing w:before="100" w:beforeAutospacing="1" w:after="100" w:afterAutospacing="1" w:line="360" w:lineRule="auto"/>
        <w:ind w:right="49"/>
        <w:jc w:val="both"/>
        <w:rPr>
          <w:rFonts w:ascii="Palatino Linotype" w:hAnsi="Palatino Linotype" w:cs="Arial"/>
        </w:rPr>
      </w:pPr>
      <w:r w:rsidRPr="00577A8A">
        <w:rPr>
          <w:rFonts w:ascii="Palatino Linotype" w:hAnsi="Palatino Linotype" w:cs="Arial"/>
        </w:rPr>
        <w:t xml:space="preserve">Atento a lo anterior, la que suscribe </w:t>
      </w:r>
      <w:r w:rsidR="008D0EB3">
        <w:rPr>
          <w:rFonts w:ascii="Palatino Linotype" w:hAnsi="Palatino Linotype" w:cs="Arial"/>
        </w:rPr>
        <w:t xml:space="preserve">reitera que </w:t>
      </w:r>
      <w:r w:rsidRPr="00577A8A">
        <w:rPr>
          <w:rFonts w:ascii="Palatino Linotype" w:hAnsi="Palatino Linotype" w:cs="Arial"/>
          <w:b/>
        </w:rPr>
        <w:t>EL SUJETO OBLIGADO</w:t>
      </w:r>
      <w:r w:rsidRPr="00577A8A">
        <w:rPr>
          <w:rFonts w:ascii="Palatino Linotype" w:hAnsi="Palatino Linotype" w:cs="Arial"/>
        </w:rPr>
        <w:t xml:space="preserve"> </w:t>
      </w:r>
      <w:r w:rsidR="00034735">
        <w:rPr>
          <w:rFonts w:ascii="Palatino Linotype" w:hAnsi="Palatino Linotype" w:cs="Arial"/>
        </w:rPr>
        <w:t xml:space="preserve">se encuentra facultado para poseer la </w:t>
      </w:r>
      <w:r w:rsidR="00AB5936">
        <w:rPr>
          <w:rFonts w:ascii="Palatino Linotype" w:hAnsi="Palatino Linotype" w:cs="Arial"/>
        </w:rPr>
        <w:t>información</w:t>
      </w:r>
      <w:r w:rsidR="008D0EB3">
        <w:rPr>
          <w:rFonts w:ascii="Palatino Linotype" w:hAnsi="Palatino Linotype" w:cs="Arial"/>
        </w:rPr>
        <w:t xml:space="preserve">; por lo que se debió precisar tanto </w:t>
      </w:r>
      <w:r w:rsidR="00ED762B">
        <w:rPr>
          <w:rFonts w:ascii="Palatino Linotype" w:hAnsi="Palatino Linotype" w:cs="Arial"/>
        </w:rPr>
        <w:t xml:space="preserve">en estudio como en Resolutivos que para el caso de que el </w:t>
      </w:r>
      <w:r w:rsidR="00ED762B">
        <w:rPr>
          <w:rFonts w:ascii="Palatino Linotype" w:hAnsi="Palatino Linotype" w:cs="Arial"/>
          <w:b/>
        </w:rPr>
        <w:t xml:space="preserve">SUJETO OBLIGADO </w:t>
      </w:r>
      <w:r w:rsidR="008D0EB3">
        <w:rPr>
          <w:rFonts w:ascii="Palatino Linotype" w:hAnsi="Palatino Linotype" w:cs="Arial"/>
        </w:rPr>
        <w:t>no</w:t>
      </w:r>
      <w:r w:rsidR="00ED762B">
        <w:rPr>
          <w:rFonts w:ascii="Palatino Linotype" w:hAnsi="Palatino Linotype" w:cs="Arial"/>
        </w:rPr>
        <w:t xml:space="preserve"> localizara la información solicitada, </w:t>
      </w:r>
      <w:r w:rsidR="00034735">
        <w:rPr>
          <w:rFonts w:ascii="Palatino Linotype" w:hAnsi="Palatino Linotype" w:cs="Arial"/>
        </w:rPr>
        <w:t xml:space="preserve">referente al Depósito del Reglamento </w:t>
      </w:r>
      <w:r w:rsidR="00ED762B">
        <w:rPr>
          <w:rFonts w:ascii="Palatino Linotype" w:hAnsi="Palatino Linotype" w:cs="Arial"/>
        </w:rPr>
        <w:t>debería emitir el Acuerdo de Inexistencia de la Información de conformidad con los artículos</w:t>
      </w:r>
      <w:r w:rsidR="00ED762B" w:rsidRPr="007B6526">
        <w:rPr>
          <w:rFonts w:ascii="Palatino Linotype" w:hAnsi="Palatino Linotype"/>
          <w:color w:val="222222"/>
        </w:rPr>
        <w:t xml:space="preserve"> </w:t>
      </w:r>
      <w:r w:rsidR="006E6F52">
        <w:rPr>
          <w:rFonts w:ascii="Palatino Linotype" w:hAnsi="Palatino Linotype"/>
          <w:color w:val="222222"/>
        </w:rPr>
        <w:t xml:space="preserve">18, </w:t>
      </w:r>
      <w:r w:rsidR="00ED762B" w:rsidRPr="007B6526">
        <w:rPr>
          <w:rFonts w:ascii="Palatino Linotype" w:hAnsi="Palatino Linotype"/>
          <w:color w:val="222222"/>
        </w:rPr>
        <w:t>19, 169 y 170 de la Ley de Transparencia y Acceso a la Información Pública del Estado de México y Municipios</w:t>
      </w:r>
      <w:r w:rsidR="00433C19">
        <w:rPr>
          <w:rFonts w:ascii="Palatino Linotype" w:hAnsi="Palatino Linotype"/>
          <w:color w:val="222222"/>
        </w:rPr>
        <w:t xml:space="preserve">, </w:t>
      </w:r>
      <w:r w:rsidR="00433C19">
        <w:rPr>
          <w:rFonts w:ascii="Palatino Linotype" w:hAnsi="Palatino Linotype" w:cs="Arial"/>
        </w:rPr>
        <w:t xml:space="preserve">esto en razón de que existe fuente obligacional que lo constriñe a contar con dichos documentos, mismos que </w:t>
      </w:r>
      <w:r w:rsidR="00433C19" w:rsidRPr="006E6F52">
        <w:rPr>
          <w:rFonts w:ascii="Palatino Linotype" w:hAnsi="Palatino Linotype" w:cs="Arial"/>
        </w:rPr>
        <w:t>establece</w:t>
      </w:r>
      <w:r w:rsidR="00433C19">
        <w:rPr>
          <w:rFonts w:ascii="Palatino Linotype" w:hAnsi="Palatino Linotype" w:cs="Arial"/>
        </w:rPr>
        <w:t>n</w:t>
      </w:r>
      <w:r w:rsidR="00433C19" w:rsidRPr="006E6F52">
        <w:rPr>
          <w:rFonts w:ascii="Palatino Linotype" w:hAnsi="Palatino Linotype" w:cs="Arial"/>
        </w:rPr>
        <w:t xml:space="preserve"> lo siguiente:</w:t>
      </w:r>
    </w:p>
    <w:p w14:paraId="69457B11" w14:textId="77777777" w:rsidR="0094032A" w:rsidRDefault="0094032A" w:rsidP="0094032A">
      <w:pPr>
        <w:ind w:left="851" w:right="899"/>
        <w:jc w:val="both"/>
        <w:rPr>
          <w:rFonts w:ascii="Palatino Linotype" w:hAnsi="Palatino Linotype" w:cs="Arial"/>
          <w:i/>
          <w:sz w:val="22"/>
        </w:rPr>
      </w:pPr>
      <w:r w:rsidRPr="00760E81">
        <w:rPr>
          <w:rFonts w:ascii="Palatino Linotype" w:hAnsi="Palatino Linotype" w:cs="Arial"/>
          <w:i/>
          <w:sz w:val="22"/>
        </w:rPr>
        <w:t>“</w:t>
      </w:r>
      <w:r w:rsidRPr="00760E81">
        <w:rPr>
          <w:rFonts w:ascii="Palatino Linotype" w:hAnsi="Palatino Linotype" w:cs="Arial"/>
          <w:b/>
          <w:i/>
          <w:sz w:val="22"/>
        </w:rPr>
        <w:t>Artículo 18</w:t>
      </w:r>
      <w:r w:rsidRPr="00760E81">
        <w:rPr>
          <w:rFonts w:ascii="Palatino Linotype" w:hAnsi="Palatino Linotype" w:cs="Arial"/>
          <w:i/>
          <w:sz w:val="22"/>
        </w:rPr>
        <w:t>. Los sujetos obligados deberán documentar todo acto que derive del ejercicio de sus facultades, competencias o funciones, considerando desde su origen la eventual publicidad y reutilización de la información que generen.</w:t>
      </w:r>
    </w:p>
    <w:p w14:paraId="298F2C78" w14:textId="77777777" w:rsidR="0094032A" w:rsidRPr="00760E81" w:rsidRDefault="0094032A" w:rsidP="0094032A">
      <w:pPr>
        <w:ind w:left="851" w:right="899"/>
        <w:jc w:val="both"/>
        <w:rPr>
          <w:rFonts w:ascii="Palatino Linotype" w:hAnsi="Palatino Linotype" w:cs="Arial"/>
          <w:i/>
          <w:sz w:val="22"/>
        </w:rPr>
      </w:pPr>
    </w:p>
    <w:p w14:paraId="74A9C3A5" w14:textId="77777777" w:rsidR="0094032A" w:rsidRPr="00760E81" w:rsidRDefault="0094032A" w:rsidP="0094032A">
      <w:pPr>
        <w:ind w:left="851" w:right="899"/>
        <w:jc w:val="both"/>
        <w:rPr>
          <w:rFonts w:ascii="Palatino Linotype" w:hAnsi="Palatino Linotype" w:cs="Arial"/>
          <w:i/>
          <w:sz w:val="22"/>
        </w:rPr>
      </w:pPr>
      <w:r w:rsidRPr="00760E81">
        <w:rPr>
          <w:rFonts w:ascii="Palatino Linotype" w:hAnsi="Palatino Linotype" w:cs="Arial"/>
          <w:b/>
          <w:i/>
          <w:sz w:val="22"/>
        </w:rPr>
        <w:t>Artículo 19</w:t>
      </w:r>
      <w:r w:rsidRPr="00760E81">
        <w:rPr>
          <w:rFonts w:ascii="Palatino Linotype" w:hAnsi="Palatino Linotype" w:cs="Arial"/>
          <w:i/>
          <w:sz w:val="22"/>
        </w:rPr>
        <w:t>. Se presume que la información debe existir si se refiere a las facultades, competencias y funciones que los ordenamientos jurídicos aplicables otorgan a los sujetos obligados.</w:t>
      </w:r>
    </w:p>
    <w:p w14:paraId="2FC378CB" w14:textId="77777777" w:rsidR="0094032A" w:rsidRPr="00760E81" w:rsidRDefault="0094032A" w:rsidP="0094032A">
      <w:pPr>
        <w:ind w:left="851" w:right="899"/>
        <w:jc w:val="both"/>
        <w:rPr>
          <w:rFonts w:ascii="Palatino Linotype" w:hAnsi="Palatino Linotype" w:cs="Arial"/>
          <w:i/>
          <w:sz w:val="22"/>
        </w:rPr>
      </w:pPr>
      <w:r w:rsidRPr="00760E81">
        <w:rPr>
          <w:rFonts w:ascii="Palatino Linotype" w:hAnsi="Palatino Linotype" w:cs="Arial"/>
          <w:i/>
          <w:sz w:val="22"/>
        </w:rPr>
        <w:t>En los casos en que ciertas facultades, competencias o funciones no se hayan ejercido, se debe motivar la respuesta en función de las causas que motiven tal circunstancia.</w:t>
      </w:r>
    </w:p>
    <w:p w14:paraId="78FDD44A" w14:textId="77777777" w:rsidR="0094032A" w:rsidRDefault="0094032A" w:rsidP="0094032A">
      <w:pPr>
        <w:ind w:left="851" w:right="899"/>
        <w:jc w:val="both"/>
        <w:rPr>
          <w:rFonts w:ascii="Palatino Linotype" w:hAnsi="Palatino Linotype" w:cs="Arial"/>
          <w:i/>
          <w:sz w:val="22"/>
        </w:rPr>
      </w:pPr>
      <w:r w:rsidRPr="00760E81">
        <w:rPr>
          <w:rFonts w:ascii="Palatino Linotype" w:hAnsi="Palatino Linotype" w:cs="Arial"/>
          <w:i/>
          <w:sz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CC62533" w14:textId="77777777" w:rsidR="0094032A" w:rsidRPr="00760E81" w:rsidRDefault="0094032A" w:rsidP="0094032A">
      <w:pPr>
        <w:ind w:left="851" w:right="899"/>
        <w:jc w:val="both"/>
        <w:rPr>
          <w:rFonts w:ascii="Palatino Linotype" w:hAnsi="Palatino Linotype" w:cs="Arial"/>
          <w:i/>
          <w:sz w:val="22"/>
        </w:rPr>
      </w:pPr>
    </w:p>
    <w:p w14:paraId="188DFB5C" w14:textId="77777777" w:rsidR="0094032A" w:rsidRPr="00760E81" w:rsidRDefault="0094032A" w:rsidP="0094032A">
      <w:pPr>
        <w:ind w:left="851" w:right="899"/>
        <w:jc w:val="both"/>
        <w:rPr>
          <w:rFonts w:ascii="Palatino Linotype" w:hAnsi="Palatino Linotype" w:cs="Arial"/>
          <w:i/>
          <w:sz w:val="22"/>
        </w:rPr>
      </w:pPr>
      <w:r w:rsidRPr="00760E81">
        <w:rPr>
          <w:rFonts w:ascii="Palatino Linotype" w:hAnsi="Palatino Linotype" w:cs="Arial"/>
          <w:b/>
          <w:i/>
          <w:sz w:val="22"/>
        </w:rPr>
        <w:t>Artículo 169</w:t>
      </w:r>
      <w:r w:rsidRPr="00760E81">
        <w:rPr>
          <w:rFonts w:ascii="Palatino Linotype" w:hAnsi="Palatino Linotype" w:cs="Arial"/>
          <w:i/>
          <w:sz w:val="22"/>
        </w:rPr>
        <w:t>. Cuando la información no se encuentre en los archivos del sujeto obligado, el Comité de Transparencia:</w:t>
      </w:r>
    </w:p>
    <w:p w14:paraId="19F0A621" w14:textId="77777777" w:rsidR="0094032A" w:rsidRPr="00760E81" w:rsidRDefault="0094032A" w:rsidP="0094032A">
      <w:pPr>
        <w:ind w:left="851" w:right="899"/>
        <w:jc w:val="both"/>
        <w:rPr>
          <w:rFonts w:ascii="Palatino Linotype" w:hAnsi="Palatino Linotype" w:cs="Arial"/>
          <w:i/>
          <w:sz w:val="22"/>
        </w:rPr>
      </w:pPr>
      <w:r w:rsidRPr="00760E81">
        <w:rPr>
          <w:rFonts w:ascii="Palatino Linotype" w:hAnsi="Palatino Linotype" w:cs="Arial"/>
          <w:i/>
          <w:sz w:val="22"/>
        </w:rPr>
        <w:t>I. Analizará el caso y tomará las medidas necesarias para localizar la información;</w:t>
      </w:r>
    </w:p>
    <w:p w14:paraId="4022122F" w14:textId="77777777" w:rsidR="0094032A" w:rsidRPr="00760E81" w:rsidRDefault="0094032A" w:rsidP="0094032A">
      <w:pPr>
        <w:ind w:left="851" w:right="899"/>
        <w:jc w:val="both"/>
        <w:rPr>
          <w:rFonts w:ascii="Palatino Linotype" w:hAnsi="Palatino Linotype" w:cs="Arial"/>
          <w:i/>
          <w:sz w:val="22"/>
        </w:rPr>
      </w:pPr>
      <w:r w:rsidRPr="00760E81">
        <w:rPr>
          <w:rFonts w:ascii="Palatino Linotype" w:hAnsi="Palatino Linotype" w:cs="Arial"/>
          <w:i/>
          <w:sz w:val="22"/>
        </w:rPr>
        <w:t>II. Expedirá una resolución que confirme la inexistencia del documento;</w:t>
      </w:r>
    </w:p>
    <w:p w14:paraId="762078E0" w14:textId="77777777" w:rsidR="0094032A" w:rsidRPr="00760E81" w:rsidRDefault="0094032A" w:rsidP="0094032A">
      <w:pPr>
        <w:ind w:left="851" w:right="899"/>
        <w:jc w:val="both"/>
        <w:rPr>
          <w:rFonts w:ascii="Palatino Linotype" w:hAnsi="Palatino Linotype" w:cs="Arial"/>
          <w:i/>
          <w:sz w:val="22"/>
        </w:rPr>
      </w:pPr>
      <w:r w:rsidRPr="00760E81">
        <w:rPr>
          <w:rFonts w:ascii="Palatino Linotype" w:hAnsi="Palatino Linotype" w:cs="Arial"/>
          <w:i/>
          <w:sz w:val="22"/>
        </w:rPr>
        <w:lastRenderedPageBreak/>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6CA277A" w14:textId="77777777" w:rsidR="0094032A" w:rsidRPr="00760E81" w:rsidRDefault="0094032A" w:rsidP="0094032A">
      <w:pPr>
        <w:ind w:left="851" w:right="899"/>
        <w:jc w:val="both"/>
        <w:rPr>
          <w:rFonts w:ascii="Palatino Linotype" w:hAnsi="Palatino Linotype" w:cs="Arial"/>
          <w:i/>
          <w:sz w:val="22"/>
        </w:rPr>
      </w:pPr>
      <w:r w:rsidRPr="00760E81">
        <w:rPr>
          <w:rFonts w:ascii="Palatino Linotype" w:hAnsi="Palatino Linotype" w:cs="Arial"/>
          <w:i/>
          <w:sz w:val="22"/>
        </w:rPr>
        <w:t>IV. Notificará al órgano interno de control o equivalente del sujeto obligado quien, en su caso, deberá iniciar el procedimiento de responsabilidad administrativa que corresponda.</w:t>
      </w:r>
    </w:p>
    <w:p w14:paraId="24596823" w14:textId="77777777" w:rsidR="0094032A" w:rsidRPr="00760E81" w:rsidRDefault="0094032A" w:rsidP="0094032A">
      <w:pPr>
        <w:ind w:left="851" w:right="899"/>
        <w:jc w:val="both"/>
        <w:rPr>
          <w:rFonts w:ascii="Palatino Linotype" w:hAnsi="Palatino Linotype" w:cs="Arial"/>
          <w:i/>
          <w:sz w:val="22"/>
        </w:rPr>
      </w:pPr>
      <w:r w:rsidRPr="00760E81">
        <w:rPr>
          <w:rFonts w:ascii="Palatino Linotype" w:hAnsi="Palatino Linotype" w:cs="Arial"/>
          <w:i/>
          <w:sz w:val="22"/>
        </w:rPr>
        <w:t>La Unidad de Transparencia deberá notificarlo al solicitante por escrito, en un plazo que no exceda de quince días hábiles contados a partir del día siguiente a la presentación de la solicitud.</w:t>
      </w:r>
    </w:p>
    <w:p w14:paraId="14FCC103" w14:textId="77777777" w:rsidR="0094032A" w:rsidRDefault="0094032A" w:rsidP="0094032A">
      <w:pPr>
        <w:ind w:left="851" w:right="899"/>
        <w:jc w:val="both"/>
        <w:rPr>
          <w:rFonts w:ascii="Palatino Linotype" w:hAnsi="Palatino Linotype" w:cs="Arial"/>
          <w:i/>
          <w:sz w:val="22"/>
        </w:rPr>
      </w:pPr>
      <w:r w:rsidRPr="00760E81">
        <w:rPr>
          <w:rFonts w:ascii="Palatino Linotype" w:hAnsi="Palatino Linotype" w:cs="Arial"/>
          <w:i/>
          <w:sz w:val="22"/>
        </w:rPr>
        <w:t>Este plazo podrá ampliarse hasta por otros siete días hábiles, siempre que existan razones para ello, debiendo notificarse por escrito al solicitante.</w:t>
      </w:r>
    </w:p>
    <w:p w14:paraId="52FB9BD9" w14:textId="77777777" w:rsidR="00433C19" w:rsidRPr="00760E81" w:rsidRDefault="00433C19" w:rsidP="0094032A">
      <w:pPr>
        <w:ind w:left="851" w:right="899"/>
        <w:jc w:val="both"/>
        <w:rPr>
          <w:rFonts w:ascii="Palatino Linotype" w:hAnsi="Palatino Linotype" w:cs="Arial"/>
          <w:i/>
          <w:sz w:val="22"/>
        </w:rPr>
      </w:pPr>
    </w:p>
    <w:p w14:paraId="2F3F495E" w14:textId="3F854FB4" w:rsidR="0094032A" w:rsidRDefault="0094032A" w:rsidP="00433C19">
      <w:pPr>
        <w:ind w:left="851" w:right="902"/>
        <w:jc w:val="both"/>
        <w:rPr>
          <w:rFonts w:ascii="Palatino Linotype" w:hAnsi="Palatino Linotype"/>
          <w:color w:val="222222"/>
        </w:rPr>
      </w:pPr>
      <w:r w:rsidRPr="00433C19">
        <w:rPr>
          <w:rFonts w:ascii="Palatino Linotype" w:hAnsi="Palatino Linotype" w:cs="Arial"/>
          <w:b/>
          <w:i/>
          <w:sz w:val="22"/>
        </w:rPr>
        <w:t>Artículo 170</w:t>
      </w:r>
      <w:r w:rsidRPr="00760E81">
        <w:rPr>
          <w:rFonts w:ascii="Palatino Linotype" w:hAnsi="Palatino Linotype" w:cs="Arial"/>
          <w:i/>
          <w:sz w:val="22"/>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6E6F52">
        <w:rPr>
          <w:rFonts w:ascii="Palatino Linotype" w:hAnsi="Palatino Linotype" w:cs="Arial"/>
          <w:i/>
        </w:rPr>
        <w:t>”</w:t>
      </w:r>
    </w:p>
    <w:p w14:paraId="1FDD498D" w14:textId="77777777" w:rsidR="006E6F52" w:rsidRPr="006E6F52" w:rsidRDefault="006E6F52" w:rsidP="008D0EB3">
      <w:pPr>
        <w:spacing w:before="100" w:beforeAutospacing="1" w:after="100" w:afterAutospacing="1" w:line="360" w:lineRule="auto"/>
        <w:jc w:val="both"/>
        <w:rPr>
          <w:rFonts w:ascii="Palatino Linotype" w:hAnsi="Palatino Linotype" w:cs="Arial"/>
        </w:rPr>
      </w:pPr>
      <w:r w:rsidRPr="006E6F52">
        <w:rPr>
          <w:rFonts w:ascii="Palatino Linotype" w:hAnsi="Palatino Linotype" w:cs="Arial"/>
        </w:rPr>
        <w:t>En tal caso, la declaratoria deberá realizarse conforme a lo dispuesto en el artículo 49 fracciones II y XIII de la Ley de Transparencia y Acceso a la Información Pública del Estado de México y Municipios, que establecen la forma en que los Sujetos Obligados deben dar curso a las Declaratorias de Inexistencia; preceptos que se transcriben a continuación:</w:t>
      </w:r>
    </w:p>
    <w:p w14:paraId="075B59A1" w14:textId="77777777" w:rsidR="006E6F52" w:rsidRPr="00760E81" w:rsidRDefault="006E6F52" w:rsidP="008D0EB3">
      <w:pPr>
        <w:ind w:left="851" w:right="902"/>
        <w:jc w:val="both"/>
        <w:rPr>
          <w:rFonts w:ascii="Palatino Linotype" w:hAnsi="Palatino Linotype" w:cs="Arial"/>
          <w:i/>
          <w:sz w:val="22"/>
        </w:rPr>
      </w:pPr>
      <w:r w:rsidRPr="00760E81">
        <w:rPr>
          <w:rFonts w:ascii="Palatino Linotype" w:hAnsi="Palatino Linotype" w:cs="Arial"/>
          <w:i/>
          <w:sz w:val="22"/>
        </w:rPr>
        <w:t>“</w:t>
      </w:r>
      <w:r w:rsidRPr="00AE50AA">
        <w:rPr>
          <w:rFonts w:ascii="Palatino Linotype" w:hAnsi="Palatino Linotype" w:cs="Arial"/>
          <w:b/>
          <w:i/>
          <w:sz w:val="22"/>
        </w:rPr>
        <w:t>Artículo 49</w:t>
      </w:r>
      <w:r w:rsidRPr="00760E81">
        <w:rPr>
          <w:rFonts w:ascii="Palatino Linotype" w:hAnsi="Palatino Linotype" w:cs="Arial"/>
          <w:i/>
          <w:sz w:val="22"/>
        </w:rPr>
        <w:t>. Los Comités de Transparencia tendrán las siguientes atribuciones:</w:t>
      </w:r>
    </w:p>
    <w:p w14:paraId="568A19D4" w14:textId="77777777" w:rsidR="006E6F52" w:rsidRPr="00760E81" w:rsidRDefault="006E6F52" w:rsidP="008D0EB3">
      <w:pPr>
        <w:ind w:left="851" w:right="902"/>
        <w:jc w:val="both"/>
        <w:rPr>
          <w:rFonts w:ascii="Palatino Linotype" w:hAnsi="Palatino Linotype" w:cs="Arial"/>
          <w:i/>
          <w:sz w:val="22"/>
        </w:rPr>
      </w:pPr>
      <w:r w:rsidRPr="00760E81">
        <w:rPr>
          <w:rFonts w:ascii="Palatino Linotype" w:hAnsi="Palatino Linotype" w:cs="Arial"/>
          <w:i/>
          <w:sz w:val="22"/>
        </w:rPr>
        <w:t>…</w:t>
      </w:r>
    </w:p>
    <w:p w14:paraId="0B0DB788" w14:textId="77777777" w:rsidR="006E6F52" w:rsidRPr="00760E81" w:rsidRDefault="006E6F52" w:rsidP="008D0EB3">
      <w:pPr>
        <w:ind w:left="851" w:right="902"/>
        <w:jc w:val="both"/>
        <w:rPr>
          <w:rFonts w:ascii="Palatino Linotype" w:hAnsi="Palatino Linotype" w:cs="Arial"/>
          <w:i/>
          <w:sz w:val="22"/>
        </w:rPr>
      </w:pPr>
      <w:r w:rsidRPr="00760E81">
        <w:rPr>
          <w:rFonts w:ascii="Palatino Linotype" w:hAnsi="Palatino Linotype" w:cs="Arial"/>
          <w:i/>
          <w:sz w:val="22"/>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284683E5" w14:textId="77777777" w:rsidR="006E6F52" w:rsidRPr="00760E81" w:rsidRDefault="006E6F52" w:rsidP="008D0EB3">
      <w:pPr>
        <w:ind w:left="851" w:right="902"/>
        <w:jc w:val="both"/>
        <w:rPr>
          <w:rFonts w:ascii="Palatino Linotype" w:hAnsi="Palatino Linotype" w:cs="Arial"/>
          <w:i/>
          <w:sz w:val="22"/>
        </w:rPr>
      </w:pPr>
      <w:r w:rsidRPr="00760E81">
        <w:rPr>
          <w:rFonts w:ascii="Palatino Linotype" w:hAnsi="Palatino Linotype" w:cs="Arial"/>
          <w:i/>
          <w:sz w:val="22"/>
        </w:rPr>
        <w:t>…</w:t>
      </w:r>
    </w:p>
    <w:p w14:paraId="343EB777" w14:textId="77777777" w:rsidR="006E6F52" w:rsidRPr="006E6F52" w:rsidRDefault="006E6F52" w:rsidP="008D0EB3">
      <w:pPr>
        <w:ind w:left="851" w:right="902"/>
        <w:jc w:val="both"/>
        <w:rPr>
          <w:rFonts w:ascii="Palatino Linotype" w:hAnsi="Palatino Linotype" w:cs="Arial"/>
          <w:i/>
        </w:rPr>
      </w:pPr>
      <w:r w:rsidRPr="00760E81">
        <w:rPr>
          <w:rFonts w:ascii="Palatino Linotype" w:hAnsi="Palatino Linotype" w:cs="Arial"/>
          <w:i/>
          <w:sz w:val="22"/>
        </w:rPr>
        <w:lastRenderedPageBreak/>
        <w:t>XIII. Dictaminar las declaratorias de inexistencia de la información que les remitan las unidades administrativas y resolver en consecuencia;</w:t>
      </w:r>
    </w:p>
    <w:p w14:paraId="69080439" w14:textId="229DF968" w:rsidR="006E6F52" w:rsidRDefault="006E6F52" w:rsidP="008D0EB3">
      <w:pPr>
        <w:ind w:left="851" w:right="902"/>
        <w:jc w:val="both"/>
        <w:rPr>
          <w:rFonts w:ascii="Palatino Linotype" w:hAnsi="Palatino Linotype" w:cs="Arial"/>
        </w:rPr>
      </w:pPr>
      <w:r w:rsidRPr="006E6F52">
        <w:rPr>
          <w:rFonts w:ascii="Palatino Linotype" w:hAnsi="Palatino Linotype" w:cs="Arial"/>
          <w:i/>
        </w:rPr>
        <w:t>…”</w:t>
      </w:r>
    </w:p>
    <w:p w14:paraId="6EF9E419" w14:textId="11D39E76" w:rsidR="00ED762B" w:rsidRDefault="003E3276" w:rsidP="008D0EB3">
      <w:pPr>
        <w:spacing w:before="100" w:beforeAutospacing="1" w:after="100" w:afterAutospacing="1" w:line="360" w:lineRule="auto"/>
        <w:jc w:val="both"/>
        <w:rPr>
          <w:rFonts w:ascii="Palatino Linotype" w:hAnsi="Palatino Linotype" w:cs="Arial"/>
        </w:rPr>
      </w:pPr>
      <w:r>
        <w:rPr>
          <w:rFonts w:ascii="Palatino Linotype" w:hAnsi="Palatino Linotype" w:cs="Arial"/>
        </w:rPr>
        <w:t>En conclusión,</w:t>
      </w:r>
      <w:r w:rsidR="00ED762B" w:rsidRPr="00E14680">
        <w:rPr>
          <w:rFonts w:ascii="Palatino Linotype" w:hAnsi="Palatino Linotype" w:cs="Arial"/>
        </w:rPr>
        <w:t xml:space="preserve"> la que suscribe emite </w:t>
      </w:r>
      <w:r w:rsidR="00ED762B" w:rsidRPr="00E14680">
        <w:rPr>
          <w:rFonts w:ascii="Palatino Linotype" w:hAnsi="Palatino Linotype" w:cs="Arial"/>
          <w:b/>
        </w:rPr>
        <w:t>VOTO PARTICULAR</w:t>
      </w:r>
      <w:r w:rsidR="00550D29">
        <w:rPr>
          <w:rFonts w:ascii="Palatino Linotype" w:hAnsi="Palatino Linotype" w:cs="Arial"/>
        </w:rPr>
        <w:t>, pues se insiste que</w:t>
      </w:r>
      <w:r w:rsidR="00ED762B" w:rsidRPr="00E14680">
        <w:rPr>
          <w:rFonts w:ascii="Palatino Linotype" w:hAnsi="Palatino Linotype" w:cs="Arial"/>
        </w:rPr>
        <w:t xml:space="preserve"> </w:t>
      </w:r>
      <w:r w:rsidR="00AB5936">
        <w:rPr>
          <w:rFonts w:ascii="Palatino Linotype" w:hAnsi="Palatino Linotype" w:cs="Arial"/>
        </w:rPr>
        <w:t xml:space="preserve">existe fuente obligacional para que </w:t>
      </w:r>
      <w:r w:rsidR="00AB5936" w:rsidRPr="00AB5936">
        <w:rPr>
          <w:rFonts w:ascii="Palatino Linotype" w:hAnsi="Palatino Linotype" w:cs="Arial"/>
          <w:b/>
        </w:rPr>
        <w:t>EL SUJETO OBLIGADO</w:t>
      </w:r>
      <w:r w:rsidR="00AB5936">
        <w:rPr>
          <w:rFonts w:ascii="Palatino Linotype" w:hAnsi="Palatino Linotype" w:cs="Arial"/>
        </w:rPr>
        <w:t xml:space="preserve"> cuente con la información consistente al </w:t>
      </w:r>
      <w:r w:rsidR="00034735">
        <w:rPr>
          <w:rFonts w:ascii="Palatino Linotype" w:hAnsi="Palatino Linotype" w:cs="Arial"/>
        </w:rPr>
        <w:t xml:space="preserve">Depósito del </w:t>
      </w:r>
      <w:r w:rsidR="00AB5936">
        <w:rPr>
          <w:rFonts w:ascii="Palatino Linotype" w:hAnsi="Palatino Linotype" w:cs="Arial"/>
        </w:rPr>
        <w:t>Reglamento de Condiciones Generales de Trabajo de los Servidores Públicos Docentes del Subsistema Educativo Estatal</w:t>
      </w:r>
      <w:r w:rsidR="0020313D">
        <w:rPr>
          <w:rFonts w:ascii="Palatino Linotype" w:hAnsi="Palatino Linotype" w:cs="Arial"/>
        </w:rPr>
        <w:t xml:space="preserve">; por lo que, </w:t>
      </w:r>
      <w:r w:rsidR="00ED762B">
        <w:rPr>
          <w:rFonts w:ascii="Palatino Linotype" w:hAnsi="Palatino Linotype" w:cs="Arial"/>
        </w:rPr>
        <w:t>lo procedente era</w:t>
      </w:r>
      <w:r w:rsidR="00ED762B" w:rsidRPr="00E14680">
        <w:rPr>
          <w:rFonts w:ascii="Palatino Linotype" w:hAnsi="Palatino Linotype" w:cs="Arial"/>
        </w:rPr>
        <w:t xml:space="preserve"> </w:t>
      </w:r>
      <w:r w:rsidR="00550D29">
        <w:rPr>
          <w:rFonts w:ascii="Palatino Linotype" w:hAnsi="Palatino Linotype" w:cs="Arial"/>
        </w:rPr>
        <w:t xml:space="preserve">ordenar la entrega </w:t>
      </w:r>
      <w:r w:rsidR="00433C19">
        <w:rPr>
          <w:rFonts w:ascii="Palatino Linotype" w:hAnsi="Palatino Linotype" w:cs="Arial"/>
        </w:rPr>
        <w:t>de la informac</w:t>
      </w:r>
      <w:r w:rsidR="0020313D">
        <w:rPr>
          <w:rFonts w:ascii="Palatino Linotype" w:hAnsi="Palatino Linotype" w:cs="Arial"/>
        </w:rPr>
        <w:t>ión y para el caso de que esta</w:t>
      </w:r>
      <w:r w:rsidR="00433C19">
        <w:rPr>
          <w:rFonts w:ascii="Palatino Linotype" w:hAnsi="Palatino Linotype" w:cs="Arial"/>
        </w:rPr>
        <w:t xml:space="preserve"> no obrara en los archivos del </w:t>
      </w:r>
      <w:r w:rsidR="00433C19" w:rsidRPr="00433C19">
        <w:rPr>
          <w:rFonts w:ascii="Palatino Linotype" w:hAnsi="Palatino Linotype" w:cs="Arial"/>
          <w:b/>
        </w:rPr>
        <w:t>SUJETO OBLIGADO</w:t>
      </w:r>
      <w:r w:rsidR="00433C19">
        <w:rPr>
          <w:rFonts w:ascii="Palatino Linotype" w:hAnsi="Palatino Linotype" w:cs="Arial"/>
        </w:rPr>
        <w:t xml:space="preserve"> era emitir </w:t>
      </w:r>
      <w:r w:rsidR="00ED762B" w:rsidRPr="00E14680">
        <w:rPr>
          <w:rFonts w:ascii="Palatino Linotype" w:hAnsi="Palatino Linotype" w:cs="Arial"/>
        </w:rPr>
        <w:t>el Acuerdo de Inexistencia</w:t>
      </w:r>
      <w:r w:rsidR="00ED762B">
        <w:rPr>
          <w:rFonts w:ascii="Palatino Linotype" w:hAnsi="Palatino Linotype" w:cs="Arial"/>
        </w:rPr>
        <w:t>.</w:t>
      </w:r>
    </w:p>
    <w:p w14:paraId="1996B94A" w14:textId="77777777" w:rsidR="00433C19" w:rsidRDefault="00433C19" w:rsidP="008D0EB3">
      <w:pPr>
        <w:spacing w:before="100" w:beforeAutospacing="1" w:after="100" w:afterAutospacing="1" w:line="360" w:lineRule="auto"/>
        <w:jc w:val="both"/>
        <w:rPr>
          <w:rFonts w:ascii="Palatino Linotype" w:hAnsi="Palatino Linotype" w:cs="Arial"/>
        </w:rPr>
      </w:pPr>
    </w:p>
    <w:tbl>
      <w:tblPr>
        <w:tblW w:w="4342" w:type="dxa"/>
        <w:jc w:val="center"/>
        <w:tblLayout w:type="fixed"/>
        <w:tblLook w:val="04A0" w:firstRow="1" w:lastRow="0" w:firstColumn="1" w:lastColumn="0" w:noHBand="0" w:noVBand="1"/>
      </w:tblPr>
      <w:tblGrid>
        <w:gridCol w:w="4342"/>
      </w:tblGrid>
      <w:tr w:rsidR="00715E28" w:rsidRPr="00BE15AA" w14:paraId="47BF8B25" w14:textId="77777777" w:rsidTr="00AD3261">
        <w:trPr>
          <w:trHeight w:val="1086"/>
          <w:jc w:val="center"/>
        </w:trPr>
        <w:tc>
          <w:tcPr>
            <w:tcW w:w="4342" w:type="dxa"/>
          </w:tcPr>
          <w:p w14:paraId="701B549E" w14:textId="77777777" w:rsidR="00760E81" w:rsidRDefault="00760E81" w:rsidP="008D0EB3">
            <w:pPr>
              <w:spacing w:before="100" w:beforeAutospacing="1" w:after="100" w:afterAutospacing="1" w:line="360" w:lineRule="auto"/>
              <w:ind w:right="49"/>
              <w:jc w:val="center"/>
              <w:rPr>
                <w:rFonts w:ascii="Palatino Linotype" w:hAnsi="Palatino Linotype"/>
                <w:b/>
              </w:rPr>
            </w:pPr>
          </w:p>
          <w:p w14:paraId="110977A8" w14:textId="77777777" w:rsidR="0020313D" w:rsidRDefault="0020313D" w:rsidP="008D0EB3">
            <w:pPr>
              <w:spacing w:before="100" w:beforeAutospacing="1" w:after="100" w:afterAutospacing="1" w:line="360" w:lineRule="auto"/>
              <w:ind w:right="49"/>
              <w:jc w:val="center"/>
              <w:rPr>
                <w:rFonts w:ascii="Palatino Linotype" w:hAnsi="Palatino Linotype"/>
                <w:b/>
              </w:rPr>
            </w:pPr>
          </w:p>
          <w:p w14:paraId="0533A529" w14:textId="77777777" w:rsidR="00433C19" w:rsidRDefault="00433C19" w:rsidP="008D0EB3">
            <w:pPr>
              <w:spacing w:before="100" w:beforeAutospacing="1" w:after="100" w:afterAutospacing="1" w:line="360" w:lineRule="auto"/>
              <w:ind w:right="49"/>
              <w:jc w:val="center"/>
              <w:rPr>
                <w:rFonts w:ascii="Palatino Linotype" w:hAnsi="Palatino Linotype"/>
                <w:b/>
              </w:rPr>
            </w:pPr>
          </w:p>
          <w:p w14:paraId="596882A5" w14:textId="77777777" w:rsidR="00715E28" w:rsidRPr="00BE15AA" w:rsidRDefault="00715E28" w:rsidP="008D0EB3">
            <w:pPr>
              <w:ind w:right="51"/>
              <w:jc w:val="center"/>
              <w:rPr>
                <w:rFonts w:ascii="Palatino Linotype" w:hAnsi="Palatino Linotype"/>
                <w:b/>
              </w:rPr>
            </w:pPr>
            <w:r w:rsidRPr="00BE15AA">
              <w:rPr>
                <w:rFonts w:ascii="Palatino Linotype" w:hAnsi="Palatino Linotype"/>
                <w:b/>
              </w:rPr>
              <w:t xml:space="preserve">EVA ABAID YAPUR </w:t>
            </w:r>
          </w:p>
          <w:p w14:paraId="2B0E1B79" w14:textId="77777777" w:rsidR="00C70664" w:rsidRDefault="00715E28" w:rsidP="003C4000">
            <w:pPr>
              <w:ind w:right="51"/>
              <w:jc w:val="center"/>
              <w:rPr>
                <w:rFonts w:ascii="Palatino Linotype" w:hAnsi="Palatino Linotype"/>
                <w:b/>
              </w:rPr>
            </w:pPr>
            <w:r w:rsidRPr="00BE15AA">
              <w:rPr>
                <w:rFonts w:ascii="Palatino Linotype" w:hAnsi="Palatino Linotype"/>
                <w:b/>
              </w:rPr>
              <w:t>COMISIONADA</w:t>
            </w:r>
            <w:bookmarkStart w:id="0" w:name="_GoBack"/>
            <w:bookmarkEnd w:id="0"/>
          </w:p>
          <w:p w14:paraId="5DCACA4B" w14:textId="67BCF34D" w:rsidR="00D676AE" w:rsidRPr="00BE15AA" w:rsidRDefault="00D676AE" w:rsidP="003C4000">
            <w:pPr>
              <w:ind w:right="51"/>
              <w:jc w:val="center"/>
              <w:rPr>
                <w:rFonts w:ascii="Palatino Linotype" w:hAnsi="Palatino Linotype"/>
                <w:b/>
              </w:rPr>
            </w:pPr>
            <w:r>
              <w:rPr>
                <w:rFonts w:ascii="Palatino Linotype" w:hAnsi="Palatino Linotype"/>
                <w:b/>
              </w:rPr>
              <w:t>(RÚBRICA)</w:t>
            </w:r>
          </w:p>
        </w:tc>
      </w:tr>
    </w:tbl>
    <w:p w14:paraId="6AEC4593" w14:textId="77777777" w:rsidR="00AE50AA" w:rsidRDefault="00AE50AA" w:rsidP="008D0EB3">
      <w:pPr>
        <w:spacing w:before="100" w:beforeAutospacing="1" w:after="100" w:afterAutospacing="1" w:line="360" w:lineRule="auto"/>
        <w:ind w:right="49"/>
        <w:jc w:val="both"/>
        <w:rPr>
          <w:rFonts w:ascii="Palatino Linotype" w:eastAsia="Calibri" w:hAnsi="Palatino Linotype" w:cs="Arial"/>
          <w:color w:val="000000" w:themeColor="text1"/>
          <w:sz w:val="20"/>
        </w:rPr>
      </w:pPr>
    </w:p>
    <w:p w14:paraId="34CF670B" w14:textId="77777777" w:rsidR="00433C19" w:rsidRDefault="00433C19" w:rsidP="008D0EB3">
      <w:pPr>
        <w:spacing w:before="100" w:beforeAutospacing="1" w:after="100" w:afterAutospacing="1" w:line="360" w:lineRule="auto"/>
        <w:ind w:right="49"/>
        <w:jc w:val="both"/>
        <w:rPr>
          <w:rFonts w:ascii="Palatino Linotype" w:eastAsia="Calibri" w:hAnsi="Palatino Linotype" w:cs="Arial"/>
          <w:color w:val="000000" w:themeColor="text1"/>
          <w:sz w:val="20"/>
        </w:rPr>
      </w:pPr>
    </w:p>
    <w:p w14:paraId="1A49D380" w14:textId="477A25CB" w:rsidR="00715E28" w:rsidRDefault="00715E28" w:rsidP="008D0EB3">
      <w:pPr>
        <w:ind w:right="51"/>
        <w:jc w:val="both"/>
        <w:rPr>
          <w:rFonts w:ascii="Palatino Linotype" w:eastAsia="Calibri" w:hAnsi="Palatino Linotype" w:cs="Arial"/>
          <w:color w:val="000000" w:themeColor="text1"/>
          <w:sz w:val="20"/>
        </w:rPr>
      </w:pPr>
      <w:r w:rsidRPr="00164BF0">
        <w:rPr>
          <w:rFonts w:ascii="Palatino Linotype" w:eastAsia="Calibri" w:hAnsi="Palatino Linotype" w:cs="Arial"/>
          <w:color w:val="000000" w:themeColor="text1"/>
          <w:sz w:val="20"/>
        </w:rPr>
        <w:t xml:space="preserve">Esta hoja corresponde al </w:t>
      </w:r>
      <w:r w:rsidR="00F73859" w:rsidRPr="00164BF0">
        <w:rPr>
          <w:rFonts w:ascii="Palatino Linotype" w:eastAsia="Calibri" w:hAnsi="Palatino Linotype" w:cs="Arial"/>
          <w:color w:val="000000" w:themeColor="text1"/>
          <w:sz w:val="20"/>
        </w:rPr>
        <w:t xml:space="preserve">voto particular </w:t>
      </w:r>
      <w:r w:rsidRPr="00164BF0">
        <w:rPr>
          <w:rFonts w:ascii="Palatino Linotype" w:eastAsia="Calibri" w:hAnsi="Palatino Linotype" w:cs="Arial"/>
          <w:color w:val="000000" w:themeColor="text1"/>
          <w:sz w:val="20"/>
        </w:rPr>
        <w:t>emitido en la resolución de</w:t>
      </w:r>
      <w:r w:rsidR="0097426F">
        <w:rPr>
          <w:rFonts w:ascii="Palatino Linotype" w:eastAsia="Calibri" w:hAnsi="Palatino Linotype" w:cs="Arial"/>
          <w:color w:val="000000" w:themeColor="text1"/>
          <w:sz w:val="20"/>
        </w:rPr>
        <w:t xml:space="preserve"> </w:t>
      </w:r>
      <w:r w:rsidRPr="00164BF0">
        <w:rPr>
          <w:rFonts w:ascii="Palatino Linotype" w:eastAsia="Calibri" w:hAnsi="Palatino Linotype" w:cs="Arial"/>
          <w:color w:val="000000" w:themeColor="text1"/>
          <w:sz w:val="20"/>
        </w:rPr>
        <w:t>l</w:t>
      </w:r>
      <w:r w:rsidR="0097426F">
        <w:rPr>
          <w:rFonts w:ascii="Palatino Linotype" w:eastAsia="Calibri" w:hAnsi="Palatino Linotype" w:cs="Arial"/>
          <w:color w:val="000000" w:themeColor="text1"/>
          <w:sz w:val="20"/>
        </w:rPr>
        <w:t>os</w:t>
      </w:r>
      <w:r w:rsidRPr="00164BF0">
        <w:rPr>
          <w:rFonts w:ascii="Palatino Linotype" w:eastAsia="Calibri" w:hAnsi="Palatino Linotype" w:cs="Arial"/>
          <w:color w:val="000000" w:themeColor="text1"/>
          <w:sz w:val="20"/>
        </w:rPr>
        <w:t xml:space="preserve"> </w:t>
      </w:r>
      <w:r w:rsidR="0097426F">
        <w:rPr>
          <w:rFonts w:ascii="Palatino Linotype" w:eastAsia="Calibri" w:hAnsi="Palatino Linotype" w:cs="Arial"/>
          <w:color w:val="000000" w:themeColor="text1"/>
          <w:sz w:val="20"/>
        </w:rPr>
        <w:t>r</w:t>
      </w:r>
      <w:r w:rsidR="00C70664" w:rsidRPr="00164BF0">
        <w:rPr>
          <w:rFonts w:ascii="Palatino Linotype" w:eastAsia="Calibri" w:hAnsi="Palatino Linotype" w:cs="Arial"/>
          <w:color w:val="000000" w:themeColor="text1"/>
          <w:sz w:val="20"/>
        </w:rPr>
        <w:t>ecurso</w:t>
      </w:r>
      <w:r w:rsidR="0097426F">
        <w:rPr>
          <w:rFonts w:ascii="Palatino Linotype" w:eastAsia="Calibri" w:hAnsi="Palatino Linotype" w:cs="Arial"/>
          <w:color w:val="000000" w:themeColor="text1"/>
          <w:sz w:val="20"/>
        </w:rPr>
        <w:t>s</w:t>
      </w:r>
      <w:r w:rsidR="00C70664" w:rsidRPr="00164BF0">
        <w:rPr>
          <w:rFonts w:ascii="Palatino Linotype" w:eastAsia="Calibri" w:hAnsi="Palatino Linotype" w:cs="Arial"/>
          <w:color w:val="000000" w:themeColor="text1"/>
          <w:sz w:val="20"/>
        </w:rPr>
        <w:t xml:space="preserve"> </w:t>
      </w:r>
      <w:r w:rsidRPr="00164BF0">
        <w:rPr>
          <w:rFonts w:ascii="Palatino Linotype" w:eastAsia="Calibri" w:hAnsi="Palatino Linotype" w:cs="Arial"/>
          <w:color w:val="000000" w:themeColor="text1"/>
          <w:sz w:val="20"/>
        </w:rPr>
        <w:t xml:space="preserve">de </w:t>
      </w:r>
      <w:r w:rsidR="0097426F">
        <w:rPr>
          <w:rFonts w:ascii="Palatino Linotype" w:eastAsia="Calibri" w:hAnsi="Palatino Linotype" w:cs="Arial"/>
          <w:color w:val="000000" w:themeColor="text1"/>
          <w:sz w:val="20"/>
        </w:rPr>
        <w:t>r</w:t>
      </w:r>
      <w:r w:rsidR="00C70664" w:rsidRPr="00164BF0">
        <w:rPr>
          <w:rFonts w:ascii="Palatino Linotype" w:eastAsia="Calibri" w:hAnsi="Palatino Linotype" w:cs="Arial"/>
          <w:color w:val="000000" w:themeColor="text1"/>
          <w:sz w:val="20"/>
        </w:rPr>
        <w:t xml:space="preserve">evisión </w:t>
      </w:r>
      <w:r w:rsidRPr="00164BF0">
        <w:rPr>
          <w:rFonts w:ascii="Palatino Linotype" w:eastAsia="Calibri" w:hAnsi="Palatino Linotype" w:cs="Arial"/>
          <w:color w:val="000000" w:themeColor="text1"/>
          <w:sz w:val="20"/>
        </w:rPr>
        <w:t>0</w:t>
      </w:r>
      <w:r w:rsidR="0020313D">
        <w:rPr>
          <w:rFonts w:ascii="Palatino Linotype" w:eastAsia="Calibri" w:hAnsi="Palatino Linotype" w:cs="Arial"/>
          <w:color w:val="000000" w:themeColor="text1"/>
          <w:sz w:val="20"/>
        </w:rPr>
        <w:t>7364</w:t>
      </w:r>
      <w:r w:rsidRPr="00164BF0">
        <w:rPr>
          <w:rFonts w:ascii="Palatino Linotype" w:eastAsia="Calibri" w:hAnsi="Palatino Linotype" w:cs="Arial"/>
          <w:color w:val="000000" w:themeColor="text1"/>
          <w:sz w:val="20"/>
        </w:rPr>
        <w:t>/INFOEM/IP/RR/2019</w:t>
      </w:r>
      <w:r w:rsidR="0020313D">
        <w:rPr>
          <w:rFonts w:ascii="Palatino Linotype" w:eastAsia="Calibri" w:hAnsi="Palatino Linotype" w:cs="Arial"/>
          <w:color w:val="000000" w:themeColor="text1"/>
          <w:sz w:val="20"/>
        </w:rPr>
        <w:t xml:space="preserve"> y acumulado</w:t>
      </w:r>
      <w:r w:rsidRPr="00164BF0">
        <w:rPr>
          <w:rFonts w:ascii="Palatino Linotype" w:eastAsia="Calibri" w:hAnsi="Palatino Linotype" w:cs="Arial"/>
          <w:color w:val="000000" w:themeColor="text1"/>
          <w:sz w:val="20"/>
        </w:rPr>
        <w:t xml:space="preserve">, aprobada el </w:t>
      </w:r>
      <w:r w:rsidR="0020313D">
        <w:rPr>
          <w:rFonts w:ascii="Palatino Linotype" w:eastAsia="Calibri" w:hAnsi="Palatino Linotype" w:cs="Arial"/>
          <w:color w:val="000000" w:themeColor="text1"/>
          <w:sz w:val="20"/>
        </w:rPr>
        <w:t xml:space="preserve">quince </w:t>
      </w:r>
      <w:r w:rsidR="00C70664">
        <w:rPr>
          <w:rFonts w:ascii="Palatino Linotype" w:eastAsia="Calibri" w:hAnsi="Palatino Linotype" w:cs="Arial"/>
          <w:color w:val="000000" w:themeColor="text1"/>
          <w:sz w:val="20"/>
        </w:rPr>
        <w:t xml:space="preserve">de </w:t>
      </w:r>
      <w:r w:rsidR="0020313D">
        <w:rPr>
          <w:rFonts w:ascii="Palatino Linotype" w:eastAsia="Calibri" w:hAnsi="Palatino Linotype" w:cs="Arial"/>
          <w:color w:val="000000" w:themeColor="text1"/>
          <w:sz w:val="20"/>
        </w:rPr>
        <w:t xml:space="preserve">enero </w:t>
      </w:r>
      <w:r w:rsidRPr="00164BF0">
        <w:rPr>
          <w:rFonts w:ascii="Palatino Linotype" w:eastAsia="Calibri" w:hAnsi="Palatino Linotype" w:cs="Arial"/>
          <w:color w:val="000000" w:themeColor="text1"/>
          <w:sz w:val="20"/>
        </w:rPr>
        <w:t xml:space="preserve">de dos mil </w:t>
      </w:r>
      <w:r w:rsidR="0020313D">
        <w:rPr>
          <w:rFonts w:ascii="Palatino Linotype" w:eastAsia="Calibri" w:hAnsi="Palatino Linotype" w:cs="Arial"/>
          <w:color w:val="000000" w:themeColor="text1"/>
          <w:sz w:val="20"/>
        </w:rPr>
        <w:t>veinte</w:t>
      </w:r>
      <w:r w:rsidRPr="00164BF0">
        <w:rPr>
          <w:rFonts w:ascii="Palatino Linotype" w:eastAsia="Calibri" w:hAnsi="Palatino Linotype" w:cs="Arial"/>
          <w:color w:val="000000" w:themeColor="text1"/>
          <w:sz w:val="20"/>
        </w:rPr>
        <w:t xml:space="preserve">. </w:t>
      </w:r>
    </w:p>
    <w:p w14:paraId="2E093729" w14:textId="77777777" w:rsidR="00164BF0" w:rsidRPr="00164BF0" w:rsidRDefault="00164BF0" w:rsidP="008D0EB3">
      <w:pPr>
        <w:ind w:right="51"/>
        <w:jc w:val="both"/>
        <w:rPr>
          <w:rFonts w:ascii="Palatino Linotype" w:eastAsia="Calibri" w:hAnsi="Palatino Linotype" w:cs="Arial"/>
          <w:color w:val="000000" w:themeColor="text1"/>
          <w:sz w:val="8"/>
          <w:szCs w:val="8"/>
        </w:rPr>
      </w:pPr>
    </w:p>
    <w:p w14:paraId="71833671" w14:textId="1AFF8D11" w:rsidR="00164BF0" w:rsidRPr="00164BF0" w:rsidRDefault="00C70664" w:rsidP="008D0EB3">
      <w:pPr>
        <w:ind w:right="51"/>
        <w:jc w:val="both"/>
        <w:rPr>
          <w:rFonts w:ascii="Palatino Linotype" w:hAnsi="Palatino Linotype"/>
          <w:sz w:val="20"/>
        </w:rPr>
      </w:pPr>
      <w:r>
        <w:rPr>
          <w:rFonts w:ascii="Palatino Linotype" w:eastAsia="Calibri" w:hAnsi="Palatino Linotype" w:cs="Arial"/>
          <w:color w:val="000000" w:themeColor="text1"/>
          <w:sz w:val="20"/>
        </w:rPr>
        <w:t>YSM/IAHA</w:t>
      </w:r>
    </w:p>
    <w:sectPr w:rsidR="00164BF0" w:rsidRPr="00164BF0" w:rsidSect="00806C7D">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CF68E" w14:textId="77777777" w:rsidR="00F321CC" w:rsidRDefault="00F321CC" w:rsidP="00C80F8C">
      <w:r>
        <w:separator/>
      </w:r>
    </w:p>
  </w:endnote>
  <w:endnote w:type="continuationSeparator" w:id="0">
    <w:p w14:paraId="742F9E3D" w14:textId="77777777" w:rsidR="00F321CC" w:rsidRDefault="00F321C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676AE">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676AE">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23900" w14:textId="77777777" w:rsidR="00F321CC" w:rsidRDefault="00F321CC" w:rsidP="00C80F8C">
      <w:r>
        <w:separator/>
      </w:r>
    </w:p>
  </w:footnote>
  <w:footnote w:type="continuationSeparator" w:id="0">
    <w:p w14:paraId="672365C8" w14:textId="77777777" w:rsidR="00F321CC" w:rsidRDefault="00F321C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D676AE">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400451D5" w:rsidR="0034309A" w:rsidRDefault="0034309A" w:rsidP="00806C7D">
    <w:pPr>
      <w:pStyle w:val="Encabezado"/>
      <w:tabs>
        <w:tab w:val="clear" w:pos="4252"/>
        <w:tab w:val="clear" w:pos="8504"/>
        <w:tab w:val="left" w:pos="2326"/>
      </w:tabs>
      <w:ind w:right="190"/>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7B61D73" w14:textId="70CB262E" w:rsidR="0034309A" w:rsidRDefault="0034309A" w:rsidP="0034309A">
    <w:pPr>
      <w:pStyle w:val="Encabezado"/>
      <w:tabs>
        <w:tab w:val="clear" w:pos="4252"/>
        <w:tab w:val="clear" w:pos="8504"/>
        <w:tab w:val="left" w:pos="2326"/>
      </w:tabs>
      <w:jc w:val="right"/>
      <w:rPr>
        <w:rFonts w:ascii="Palatino Linotype" w:hAnsi="Palatino Linotype"/>
      </w:rPr>
    </w:pPr>
  </w:p>
  <w:p w14:paraId="71104997" w14:textId="3211301F" w:rsidR="00634485" w:rsidRDefault="00B46721" w:rsidP="00806C7D">
    <w:pPr>
      <w:pStyle w:val="Encabezado"/>
      <w:tabs>
        <w:tab w:val="clear" w:pos="4252"/>
        <w:tab w:val="clear" w:pos="8504"/>
        <w:tab w:val="left" w:pos="2326"/>
      </w:tabs>
      <w:ind w:right="49"/>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14:paraId="5605195D" w14:textId="65D42CD9" w:rsidR="00EB7480" w:rsidRDefault="00B46721" w:rsidP="002749AF">
    <w:pPr>
      <w:pStyle w:val="Encabezado"/>
      <w:tabs>
        <w:tab w:val="clear" w:pos="4252"/>
        <w:tab w:val="clear" w:pos="8504"/>
        <w:tab w:val="left" w:pos="2326"/>
      </w:tabs>
      <w:ind w:right="49"/>
      <w:jc w:val="right"/>
      <w:rPr>
        <w:rFonts w:ascii="Palatino Linotype" w:hAnsi="Palatino Linotype" w:cs="Arial"/>
        <w:sz w:val="20"/>
        <w:szCs w:val="20"/>
      </w:rPr>
    </w:pPr>
    <w:r w:rsidRPr="00706042">
      <w:rPr>
        <w:rFonts w:ascii="Palatino Linotype" w:hAnsi="Palatino Linotype" w:cs="Arial"/>
        <w:sz w:val="20"/>
        <w:szCs w:val="20"/>
      </w:rPr>
      <w:t>RECURSO</w:t>
    </w:r>
    <w:r w:rsidR="00FA12BC">
      <w:rPr>
        <w:rFonts w:ascii="Palatino Linotype" w:hAnsi="Palatino Linotype" w:cs="Arial"/>
        <w:sz w:val="20"/>
        <w:szCs w:val="20"/>
      </w:rPr>
      <w:t>S</w:t>
    </w:r>
    <w:r w:rsidRPr="00706042">
      <w:rPr>
        <w:rFonts w:ascii="Palatino Linotype" w:hAnsi="Palatino Linotype" w:cs="Arial"/>
        <w:sz w:val="20"/>
        <w:szCs w:val="20"/>
      </w:rPr>
      <w:t xml:space="preserve"> DE REVISIÓN </w:t>
    </w:r>
    <w:r>
      <w:rPr>
        <w:rFonts w:ascii="Palatino Linotype" w:hAnsi="Palatino Linotype" w:cs="Arial"/>
        <w:sz w:val="20"/>
        <w:szCs w:val="20"/>
      </w:rPr>
      <w:t>0</w:t>
    </w:r>
    <w:r w:rsidR="00CE23F7">
      <w:rPr>
        <w:rFonts w:ascii="Palatino Linotype" w:hAnsi="Palatino Linotype" w:cs="Arial"/>
        <w:sz w:val="20"/>
        <w:szCs w:val="20"/>
      </w:rPr>
      <w:t>7364</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9 Y</w:t>
    </w:r>
  </w:p>
  <w:p w14:paraId="333995A2" w14:textId="11ACACFE" w:rsidR="0030072F" w:rsidRDefault="00D676AE" w:rsidP="002749AF">
    <w:pPr>
      <w:pStyle w:val="Encabezado"/>
      <w:tabs>
        <w:tab w:val="clear" w:pos="4252"/>
        <w:tab w:val="clear" w:pos="8504"/>
        <w:tab w:val="left" w:pos="2326"/>
      </w:tabs>
      <w:spacing w:after="240"/>
      <w:ind w:right="49"/>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69.65pt;height:93.5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r w:rsidR="00FA12BC">
      <w:rPr>
        <w:rFonts w:ascii="Palatino Linotype" w:hAnsi="Palatino Linotype" w:cs="Arial"/>
        <w:sz w:val="20"/>
        <w:szCs w:val="20"/>
      </w:rPr>
      <w:t xml:space="preserve"> </w:t>
    </w:r>
    <w:r w:rsidR="00806C7D">
      <w:rPr>
        <w:rFonts w:ascii="Palatino Linotype" w:hAnsi="Palatino Linotype" w:cs="Arial"/>
        <w:sz w:val="20"/>
        <w:szCs w:val="20"/>
      </w:rPr>
      <w:t>ACUMULADO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D676AE">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EE6D2A"/>
    <w:multiLevelType w:val="hybridMultilevel"/>
    <w:tmpl w:val="28DE2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A0260F"/>
    <w:multiLevelType w:val="hybridMultilevel"/>
    <w:tmpl w:val="B798BF92"/>
    <w:lvl w:ilvl="0" w:tplc="D9ECBF96">
      <w:start w:val="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896E44"/>
    <w:multiLevelType w:val="hybridMultilevel"/>
    <w:tmpl w:val="D4AE8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5151A8"/>
    <w:multiLevelType w:val="hybridMultilevel"/>
    <w:tmpl w:val="CC6A7C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1681C8D"/>
    <w:multiLevelType w:val="hybridMultilevel"/>
    <w:tmpl w:val="863C4AE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331F6D2F"/>
    <w:multiLevelType w:val="hybridMultilevel"/>
    <w:tmpl w:val="098E0118"/>
    <w:lvl w:ilvl="0" w:tplc="2FBA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0" w15:restartNumberingAfterBreak="0">
    <w:nsid w:val="3D97181D"/>
    <w:multiLevelType w:val="hybridMultilevel"/>
    <w:tmpl w:val="15F6BF64"/>
    <w:lvl w:ilvl="0" w:tplc="B2D40618">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42C07FBC"/>
    <w:multiLevelType w:val="hybridMultilevel"/>
    <w:tmpl w:val="CB0E80BE"/>
    <w:lvl w:ilvl="0" w:tplc="66C8927A">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442170DF"/>
    <w:multiLevelType w:val="hybridMultilevel"/>
    <w:tmpl w:val="B944ED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A00210"/>
    <w:multiLevelType w:val="hybridMultilevel"/>
    <w:tmpl w:val="BE647E2E"/>
    <w:lvl w:ilvl="0" w:tplc="92F89BB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461B39FE"/>
    <w:multiLevelType w:val="hybridMultilevel"/>
    <w:tmpl w:val="BC129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5A9E1F68"/>
    <w:multiLevelType w:val="hybridMultilevel"/>
    <w:tmpl w:val="51C089DA"/>
    <w:lvl w:ilvl="0" w:tplc="6CB61D2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9FE7647"/>
    <w:multiLevelType w:val="hybridMultilevel"/>
    <w:tmpl w:val="1EAAB2CE"/>
    <w:lvl w:ilvl="0" w:tplc="5A003678">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9" w15:restartNumberingAfterBreak="0">
    <w:nsid w:val="7631184D"/>
    <w:multiLevelType w:val="hybridMultilevel"/>
    <w:tmpl w:val="B6CA08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1" w15:restartNumberingAfterBreak="0">
    <w:nsid w:val="7F9428F3"/>
    <w:multiLevelType w:val="hybridMultilevel"/>
    <w:tmpl w:val="EC120EAC"/>
    <w:lvl w:ilvl="0" w:tplc="E4F8878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3"/>
  </w:num>
  <w:num w:numId="2">
    <w:abstractNumId w:val="2"/>
  </w:num>
  <w:num w:numId="3">
    <w:abstractNumId w:val="9"/>
  </w:num>
  <w:num w:numId="4">
    <w:abstractNumId w:val="0"/>
  </w:num>
  <w:num w:numId="5">
    <w:abstractNumId w:val="17"/>
  </w:num>
  <w:num w:numId="6">
    <w:abstractNumId w:val="15"/>
  </w:num>
  <w:num w:numId="7">
    <w:abstractNumId w:val="20"/>
  </w:num>
  <w:num w:numId="8">
    <w:abstractNumId w:val="21"/>
  </w:num>
  <w:num w:numId="9">
    <w:abstractNumId w:val="18"/>
  </w:num>
  <w:num w:numId="10">
    <w:abstractNumId w:val="1"/>
  </w:num>
  <w:num w:numId="11">
    <w:abstractNumId w:val="12"/>
  </w:num>
  <w:num w:numId="12">
    <w:abstractNumId w:val="5"/>
  </w:num>
  <w:num w:numId="13">
    <w:abstractNumId w:val="13"/>
  </w:num>
  <w:num w:numId="14">
    <w:abstractNumId w:val="19"/>
  </w:num>
  <w:num w:numId="15">
    <w:abstractNumId w:val="6"/>
  </w:num>
  <w:num w:numId="16">
    <w:abstractNumId w:val="16"/>
  </w:num>
  <w:num w:numId="17">
    <w:abstractNumId w:val="14"/>
  </w:num>
  <w:num w:numId="18">
    <w:abstractNumId w:val="4"/>
  </w:num>
  <w:num w:numId="19">
    <w:abstractNumId w:val="8"/>
  </w:num>
  <w:num w:numId="20">
    <w:abstractNumId w:val="7"/>
  </w:num>
  <w:num w:numId="21">
    <w:abstractNumId w:val="1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751C"/>
    <w:rsid w:val="00017D16"/>
    <w:rsid w:val="00027B69"/>
    <w:rsid w:val="00034735"/>
    <w:rsid w:val="000412FB"/>
    <w:rsid w:val="00055107"/>
    <w:rsid w:val="0006079D"/>
    <w:rsid w:val="000620AD"/>
    <w:rsid w:val="0007653D"/>
    <w:rsid w:val="00080A1C"/>
    <w:rsid w:val="00082101"/>
    <w:rsid w:val="0008542A"/>
    <w:rsid w:val="0008745A"/>
    <w:rsid w:val="00092678"/>
    <w:rsid w:val="00095B30"/>
    <w:rsid w:val="000A1752"/>
    <w:rsid w:val="000A32F3"/>
    <w:rsid w:val="000B3FFD"/>
    <w:rsid w:val="000C1A85"/>
    <w:rsid w:val="000C2CF9"/>
    <w:rsid w:val="000C4453"/>
    <w:rsid w:val="000D136C"/>
    <w:rsid w:val="000D66DE"/>
    <w:rsid w:val="000E2B1A"/>
    <w:rsid w:val="000E4C17"/>
    <w:rsid w:val="001001C1"/>
    <w:rsid w:val="00102EEC"/>
    <w:rsid w:val="0010583C"/>
    <w:rsid w:val="001059D0"/>
    <w:rsid w:val="00117749"/>
    <w:rsid w:val="00123644"/>
    <w:rsid w:val="0013735C"/>
    <w:rsid w:val="00140058"/>
    <w:rsid w:val="00154D81"/>
    <w:rsid w:val="00164BF0"/>
    <w:rsid w:val="00175DEE"/>
    <w:rsid w:val="00181E2F"/>
    <w:rsid w:val="00187FFD"/>
    <w:rsid w:val="001950C9"/>
    <w:rsid w:val="001A1D01"/>
    <w:rsid w:val="001A5699"/>
    <w:rsid w:val="001B5788"/>
    <w:rsid w:val="001C1FFC"/>
    <w:rsid w:val="001D3F57"/>
    <w:rsid w:val="001E757E"/>
    <w:rsid w:val="001E763C"/>
    <w:rsid w:val="00202265"/>
    <w:rsid w:val="0020313D"/>
    <w:rsid w:val="0022354C"/>
    <w:rsid w:val="00230146"/>
    <w:rsid w:val="002314AA"/>
    <w:rsid w:val="0023504D"/>
    <w:rsid w:val="00237A37"/>
    <w:rsid w:val="0024119C"/>
    <w:rsid w:val="0025202C"/>
    <w:rsid w:val="002562CC"/>
    <w:rsid w:val="00265F75"/>
    <w:rsid w:val="002749AF"/>
    <w:rsid w:val="0028501D"/>
    <w:rsid w:val="002940F8"/>
    <w:rsid w:val="002A04B1"/>
    <w:rsid w:val="002B176C"/>
    <w:rsid w:val="002B7856"/>
    <w:rsid w:val="002D3BBD"/>
    <w:rsid w:val="002D4526"/>
    <w:rsid w:val="002D69E1"/>
    <w:rsid w:val="002E5711"/>
    <w:rsid w:val="002F4277"/>
    <w:rsid w:val="002F5CF7"/>
    <w:rsid w:val="0030072F"/>
    <w:rsid w:val="003031E1"/>
    <w:rsid w:val="00303E1F"/>
    <w:rsid w:val="003056D9"/>
    <w:rsid w:val="003102FA"/>
    <w:rsid w:val="003169C7"/>
    <w:rsid w:val="003307D4"/>
    <w:rsid w:val="003316CD"/>
    <w:rsid w:val="0034309A"/>
    <w:rsid w:val="003473CD"/>
    <w:rsid w:val="00351129"/>
    <w:rsid w:val="0036264C"/>
    <w:rsid w:val="0037321B"/>
    <w:rsid w:val="00384E10"/>
    <w:rsid w:val="003A218F"/>
    <w:rsid w:val="003A3EC6"/>
    <w:rsid w:val="003A6F70"/>
    <w:rsid w:val="003B4066"/>
    <w:rsid w:val="003C23BE"/>
    <w:rsid w:val="003C28FC"/>
    <w:rsid w:val="003C2D10"/>
    <w:rsid w:val="003C4000"/>
    <w:rsid w:val="003C7226"/>
    <w:rsid w:val="003D1C14"/>
    <w:rsid w:val="003E3276"/>
    <w:rsid w:val="003E7C23"/>
    <w:rsid w:val="003F0C49"/>
    <w:rsid w:val="003F1EA3"/>
    <w:rsid w:val="003F1ED0"/>
    <w:rsid w:val="003F4C9C"/>
    <w:rsid w:val="0040475C"/>
    <w:rsid w:val="00410D1F"/>
    <w:rsid w:val="0041327F"/>
    <w:rsid w:val="00414E48"/>
    <w:rsid w:val="00414E7B"/>
    <w:rsid w:val="004179B7"/>
    <w:rsid w:val="00420DD2"/>
    <w:rsid w:val="00422CE9"/>
    <w:rsid w:val="004315BB"/>
    <w:rsid w:val="00433C19"/>
    <w:rsid w:val="0044271B"/>
    <w:rsid w:val="00443646"/>
    <w:rsid w:val="0044475B"/>
    <w:rsid w:val="00451A36"/>
    <w:rsid w:val="004525F5"/>
    <w:rsid w:val="00455CB3"/>
    <w:rsid w:val="00460FFB"/>
    <w:rsid w:val="00462B67"/>
    <w:rsid w:val="004661D2"/>
    <w:rsid w:val="004776FF"/>
    <w:rsid w:val="004830EE"/>
    <w:rsid w:val="00493149"/>
    <w:rsid w:val="004B1041"/>
    <w:rsid w:val="004B7325"/>
    <w:rsid w:val="004C40EA"/>
    <w:rsid w:val="004C64D9"/>
    <w:rsid w:val="004C73BD"/>
    <w:rsid w:val="004D0A26"/>
    <w:rsid w:val="00500FFD"/>
    <w:rsid w:val="00516914"/>
    <w:rsid w:val="005236B6"/>
    <w:rsid w:val="00524A5B"/>
    <w:rsid w:val="005318AB"/>
    <w:rsid w:val="005321E3"/>
    <w:rsid w:val="00550D29"/>
    <w:rsid w:val="00552317"/>
    <w:rsid w:val="00552EFD"/>
    <w:rsid w:val="00562649"/>
    <w:rsid w:val="00575235"/>
    <w:rsid w:val="0058067E"/>
    <w:rsid w:val="0058639E"/>
    <w:rsid w:val="005870DF"/>
    <w:rsid w:val="0058776D"/>
    <w:rsid w:val="00592A18"/>
    <w:rsid w:val="005B49CD"/>
    <w:rsid w:val="005B773B"/>
    <w:rsid w:val="005C66D4"/>
    <w:rsid w:val="005D14C4"/>
    <w:rsid w:val="005D1946"/>
    <w:rsid w:val="005F1613"/>
    <w:rsid w:val="00612544"/>
    <w:rsid w:val="0061616C"/>
    <w:rsid w:val="006301B2"/>
    <w:rsid w:val="00630BE8"/>
    <w:rsid w:val="00634485"/>
    <w:rsid w:val="0063673D"/>
    <w:rsid w:val="00646A97"/>
    <w:rsid w:val="006520A5"/>
    <w:rsid w:val="00663A16"/>
    <w:rsid w:val="006678E9"/>
    <w:rsid w:val="00672211"/>
    <w:rsid w:val="00677F95"/>
    <w:rsid w:val="006824EF"/>
    <w:rsid w:val="00682D89"/>
    <w:rsid w:val="00684492"/>
    <w:rsid w:val="00694EB3"/>
    <w:rsid w:val="006967D4"/>
    <w:rsid w:val="00696991"/>
    <w:rsid w:val="006A0D56"/>
    <w:rsid w:val="006A496D"/>
    <w:rsid w:val="006B6050"/>
    <w:rsid w:val="006C0991"/>
    <w:rsid w:val="006C19F9"/>
    <w:rsid w:val="006C2DE2"/>
    <w:rsid w:val="006D6457"/>
    <w:rsid w:val="006E4874"/>
    <w:rsid w:val="006E6389"/>
    <w:rsid w:val="006E69EC"/>
    <w:rsid w:val="006E6F52"/>
    <w:rsid w:val="006F30F8"/>
    <w:rsid w:val="00702DEC"/>
    <w:rsid w:val="00704924"/>
    <w:rsid w:val="00712BC2"/>
    <w:rsid w:val="0071346B"/>
    <w:rsid w:val="00715E28"/>
    <w:rsid w:val="00721966"/>
    <w:rsid w:val="00724599"/>
    <w:rsid w:val="00736C06"/>
    <w:rsid w:val="007416E3"/>
    <w:rsid w:val="00741B21"/>
    <w:rsid w:val="00742010"/>
    <w:rsid w:val="00760E81"/>
    <w:rsid w:val="00770B41"/>
    <w:rsid w:val="00772360"/>
    <w:rsid w:val="0078087A"/>
    <w:rsid w:val="00782352"/>
    <w:rsid w:val="00792870"/>
    <w:rsid w:val="007A4AB6"/>
    <w:rsid w:val="007B6E55"/>
    <w:rsid w:val="007C0FDA"/>
    <w:rsid w:val="007C3C0E"/>
    <w:rsid w:val="007C55DD"/>
    <w:rsid w:val="007D05D8"/>
    <w:rsid w:val="007D0FEE"/>
    <w:rsid w:val="007E5B96"/>
    <w:rsid w:val="007E654D"/>
    <w:rsid w:val="00806C7D"/>
    <w:rsid w:val="00813335"/>
    <w:rsid w:val="0081567C"/>
    <w:rsid w:val="00816AB8"/>
    <w:rsid w:val="008217CD"/>
    <w:rsid w:val="00827787"/>
    <w:rsid w:val="00846A21"/>
    <w:rsid w:val="00847E60"/>
    <w:rsid w:val="008556C3"/>
    <w:rsid w:val="008562AB"/>
    <w:rsid w:val="008636EF"/>
    <w:rsid w:val="00876477"/>
    <w:rsid w:val="00892AFC"/>
    <w:rsid w:val="008B2A15"/>
    <w:rsid w:val="008C0700"/>
    <w:rsid w:val="008C0C70"/>
    <w:rsid w:val="008C17F2"/>
    <w:rsid w:val="008D0EB3"/>
    <w:rsid w:val="008D1526"/>
    <w:rsid w:val="008D584A"/>
    <w:rsid w:val="008F5190"/>
    <w:rsid w:val="008F78B7"/>
    <w:rsid w:val="009141A6"/>
    <w:rsid w:val="00926A92"/>
    <w:rsid w:val="0093343E"/>
    <w:rsid w:val="0094032A"/>
    <w:rsid w:val="00953EC8"/>
    <w:rsid w:val="00961978"/>
    <w:rsid w:val="00963424"/>
    <w:rsid w:val="00966E59"/>
    <w:rsid w:val="0097426F"/>
    <w:rsid w:val="00975942"/>
    <w:rsid w:val="00975AA3"/>
    <w:rsid w:val="00975EB9"/>
    <w:rsid w:val="00976BAB"/>
    <w:rsid w:val="009773AF"/>
    <w:rsid w:val="00986740"/>
    <w:rsid w:val="009870F0"/>
    <w:rsid w:val="00987F42"/>
    <w:rsid w:val="00994FFE"/>
    <w:rsid w:val="009A271C"/>
    <w:rsid w:val="009A67F5"/>
    <w:rsid w:val="009B65F4"/>
    <w:rsid w:val="009C299B"/>
    <w:rsid w:val="009C2F32"/>
    <w:rsid w:val="009C46BF"/>
    <w:rsid w:val="009C73B7"/>
    <w:rsid w:val="009D3297"/>
    <w:rsid w:val="009D63A9"/>
    <w:rsid w:val="009E5EDA"/>
    <w:rsid w:val="009F4628"/>
    <w:rsid w:val="00A032F1"/>
    <w:rsid w:val="00A04C79"/>
    <w:rsid w:val="00A14B1D"/>
    <w:rsid w:val="00A3624F"/>
    <w:rsid w:val="00A40057"/>
    <w:rsid w:val="00A4593D"/>
    <w:rsid w:val="00A53958"/>
    <w:rsid w:val="00A53E9B"/>
    <w:rsid w:val="00A60D1E"/>
    <w:rsid w:val="00A67BDA"/>
    <w:rsid w:val="00A73612"/>
    <w:rsid w:val="00A77F5C"/>
    <w:rsid w:val="00A805F0"/>
    <w:rsid w:val="00A81140"/>
    <w:rsid w:val="00A81532"/>
    <w:rsid w:val="00A824CA"/>
    <w:rsid w:val="00A913AB"/>
    <w:rsid w:val="00A97B6B"/>
    <w:rsid w:val="00AA5409"/>
    <w:rsid w:val="00AB21DA"/>
    <w:rsid w:val="00AB3DFA"/>
    <w:rsid w:val="00AB5936"/>
    <w:rsid w:val="00AC248E"/>
    <w:rsid w:val="00AC30E5"/>
    <w:rsid w:val="00AC3F99"/>
    <w:rsid w:val="00AD0AF6"/>
    <w:rsid w:val="00AD13E4"/>
    <w:rsid w:val="00AD59F3"/>
    <w:rsid w:val="00AD6AAD"/>
    <w:rsid w:val="00AE1831"/>
    <w:rsid w:val="00AE2B18"/>
    <w:rsid w:val="00AE50AA"/>
    <w:rsid w:val="00AF0B38"/>
    <w:rsid w:val="00AF3F82"/>
    <w:rsid w:val="00B06C4B"/>
    <w:rsid w:val="00B106EA"/>
    <w:rsid w:val="00B151A8"/>
    <w:rsid w:val="00B24233"/>
    <w:rsid w:val="00B27BE5"/>
    <w:rsid w:val="00B337A5"/>
    <w:rsid w:val="00B35A45"/>
    <w:rsid w:val="00B36D1D"/>
    <w:rsid w:val="00B4641E"/>
    <w:rsid w:val="00B46721"/>
    <w:rsid w:val="00B46E78"/>
    <w:rsid w:val="00B47F5A"/>
    <w:rsid w:val="00B5072E"/>
    <w:rsid w:val="00B53290"/>
    <w:rsid w:val="00B54145"/>
    <w:rsid w:val="00B57FE6"/>
    <w:rsid w:val="00B639C2"/>
    <w:rsid w:val="00B64C77"/>
    <w:rsid w:val="00B650A8"/>
    <w:rsid w:val="00B672EA"/>
    <w:rsid w:val="00B80485"/>
    <w:rsid w:val="00B95BF7"/>
    <w:rsid w:val="00BA1CAC"/>
    <w:rsid w:val="00BA737F"/>
    <w:rsid w:val="00BB733E"/>
    <w:rsid w:val="00BC5D71"/>
    <w:rsid w:val="00BD7483"/>
    <w:rsid w:val="00C1644D"/>
    <w:rsid w:val="00C21E0F"/>
    <w:rsid w:val="00C30621"/>
    <w:rsid w:val="00C307F0"/>
    <w:rsid w:val="00C4493E"/>
    <w:rsid w:val="00C45D58"/>
    <w:rsid w:val="00C50976"/>
    <w:rsid w:val="00C557CC"/>
    <w:rsid w:val="00C70664"/>
    <w:rsid w:val="00C766EF"/>
    <w:rsid w:val="00C80F8C"/>
    <w:rsid w:val="00C82695"/>
    <w:rsid w:val="00C92D88"/>
    <w:rsid w:val="00CA047D"/>
    <w:rsid w:val="00CC2E05"/>
    <w:rsid w:val="00CC5EAB"/>
    <w:rsid w:val="00CD13BC"/>
    <w:rsid w:val="00CE23F7"/>
    <w:rsid w:val="00CF30E8"/>
    <w:rsid w:val="00D018B8"/>
    <w:rsid w:val="00D01B99"/>
    <w:rsid w:val="00D13F39"/>
    <w:rsid w:val="00D2267B"/>
    <w:rsid w:val="00D22D87"/>
    <w:rsid w:val="00D34604"/>
    <w:rsid w:val="00D46C00"/>
    <w:rsid w:val="00D519F3"/>
    <w:rsid w:val="00D557C2"/>
    <w:rsid w:val="00D64F32"/>
    <w:rsid w:val="00D676AE"/>
    <w:rsid w:val="00D93CE4"/>
    <w:rsid w:val="00DA5209"/>
    <w:rsid w:val="00DB2D90"/>
    <w:rsid w:val="00DC4499"/>
    <w:rsid w:val="00DD6A6C"/>
    <w:rsid w:val="00DE2876"/>
    <w:rsid w:val="00DF733A"/>
    <w:rsid w:val="00E00EB0"/>
    <w:rsid w:val="00E10A96"/>
    <w:rsid w:val="00E110E2"/>
    <w:rsid w:val="00E146AA"/>
    <w:rsid w:val="00E27F2A"/>
    <w:rsid w:val="00E313C4"/>
    <w:rsid w:val="00E42755"/>
    <w:rsid w:val="00E434A8"/>
    <w:rsid w:val="00E43B8E"/>
    <w:rsid w:val="00E45B76"/>
    <w:rsid w:val="00E46383"/>
    <w:rsid w:val="00E50E30"/>
    <w:rsid w:val="00E76ECF"/>
    <w:rsid w:val="00E80760"/>
    <w:rsid w:val="00E8209A"/>
    <w:rsid w:val="00E91A10"/>
    <w:rsid w:val="00E96710"/>
    <w:rsid w:val="00EA27CB"/>
    <w:rsid w:val="00EA5EEB"/>
    <w:rsid w:val="00EA7874"/>
    <w:rsid w:val="00EB7480"/>
    <w:rsid w:val="00EB7DE6"/>
    <w:rsid w:val="00EB7F1A"/>
    <w:rsid w:val="00EC0002"/>
    <w:rsid w:val="00ED5EE9"/>
    <w:rsid w:val="00ED762B"/>
    <w:rsid w:val="00F06505"/>
    <w:rsid w:val="00F321CC"/>
    <w:rsid w:val="00F36CDE"/>
    <w:rsid w:val="00F40C05"/>
    <w:rsid w:val="00F44E84"/>
    <w:rsid w:val="00F548A9"/>
    <w:rsid w:val="00F54D8B"/>
    <w:rsid w:val="00F57D55"/>
    <w:rsid w:val="00F73859"/>
    <w:rsid w:val="00F92F15"/>
    <w:rsid w:val="00F9624E"/>
    <w:rsid w:val="00FA05FB"/>
    <w:rsid w:val="00FA12BC"/>
    <w:rsid w:val="00FA5B44"/>
    <w:rsid w:val="00FA6221"/>
    <w:rsid w:val="00FB109D"/>
    <w:rsid w:val="00FB48D6"/>
    <w:rsid w:val="00FE7408"/>
    <w:rsid w:val="00FF4757"/>
    <w:rsid w:val="00FF7C7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9C8181C2-48E6-4FA4-8C70-88783E651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3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character" w:customStyle="1" w:styleId="il">
    <w:name w:val="il"/>
    <w:basedOn w:val="Fuentedeprrafopredeter"/>
    <w:rsid w:val="006E6F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596779">
      <w:bodyDiv w:val="1"/>
      <w:marLeft w:val="0"/>
      <w:marRight w:val="0"/>
      <w:marTop w:val="0"/>
      <w:marBottom w:val="0"/>
      <w:divBdr>
        <w:top w:val="none" w:sz="0" w:space="0" w:color="auto"/>
        <w:left w:val="none" w:sz="0" w:space="0" w:color="auto"/>
        <w:bottom w:val="none" w:sz="0" w:space="0" w:color="auto"/>
        <w:right w:val="none" w:sz="0" w:space="0" w:color="auto"/>
      </w:divBdr>
      <w:divsChild>
        <w:div w:id="1306620816">
          <w:marLeft w:val="0"/>
          <w:marRight w:val="0"/>
          <w:marTop w:val="0"/>
          <w:marBottom w:val="0"/>
          <w:divBdr>
            <w:top w:val="none" w:sz="0" w:space="0" w:color="auto"/>
            <w:left w:val="none" w:sz="0" w:space="0" w:color="auto"/>
            <w:bottom w:val="none" w:sz="0" w:space="0" w:color="auto"/>
            <w:right w:val="none" w:sz="0" w:space="0" w:color="auto"/>
          </w:divBdr>
          <w:divsChild>
            <w:div w:id="932401863">
              <w:marLeft w:val="0"/>
              <w:marRight w:val="0"/>
              <w:marTop w:val="0"/>
              <w:marBottom w:val="0"/>
              <w:divBdr>
                <w:top w:val="none" w:sz="0" w:space="0" w:color="auto"/>
                <w:left w:val="none" w:sz="0" w:space="0" w:color="auto"/>
                <w:bottom w:val="none" w:sz="0" w:space="0" w:color="auto"/>
                <w:right w:val="none" w:sz="0" w:space="0" w:color="auto"/>
              </w:divBdr>
              <w:divsChild>
                <w:div w:id="107505669">
                  <w:marLeft w:val="0"/>
                  <w:marRight w:val="0"/>
                  <w:marTop w:val="0"/>
                  <w:marBottom w:val="0"/>
                  <w:divBdr>
                    <w:top w:val="none" w:sz="0" w:space="0" w:color="auto"/>
                    <w:left w:val="none" w:sz="0" w:space="0" w:color="auto"/>
                    <w:bottom w:val="none" w:sz="0" w:space="0" w:color="auto"/>
                    <w:right w:val="none" w:sz="0" w:space="0" w:color="auto"/>
                  </w:divBdr>
                  <w:divsChild>
                    <w:div w:id="972641529">
                      <w:marLeft w:val="0"/>
                      <w:marRight w:val="0"/>
                      <w:marTop w:val="120"/>
                      <w:marBottom w:val="0"/>
                      <w:divBdr>
                        <w:top w:val="none" w:sz="0" w:space="0" w:color="auto"/>
                        <w:left w:val="none" w:sz="0" w:space="0" w:color="auto"/>
                        <w:bottom w:val="none" w:sz="0" w:space="0" w:color="auto"/>
                        <w:right w:val="none" w:sz="0" w:space="0" w:color="auto"/>
                      </w:divBdr>
                      <w:divsChild>
                        <w:div w:id="1608805235">
                          <w:marLeft w:val="0"/>
                          <w:marRight w:val="0"/>
                          <w:marTop w:val="0"/>
                          <w:marBottom w:val="0"/>
                          <w:divBdr>
                            <w:top w:val="none" w:sz="0" w:space="0" w:color="auto"/>
                            <w:left w:val="none" w:sz="0" w:space="0" w:color="auto"/>
                            <w:bottom w:val="none" w:sz="0" w:space="0" w:color="auto"/>
                            <w:right w:val="none" w:sz="0" w:space="0" w:color="auto"/>
                          </w:divBdr>
                          <w:divsChild>
                            <w:div w:id="4608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CC053-01F9-42B3-8471-83274AFCC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8</Pages>
  <Words>2011</Words>
  <Characters>11062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Itze Hdz.</cp:lastModifiedBy>
  <cp:revision>6</cp:revision>
  <cp:lastPrinted>2019-09-20T19:26:00Z</cp:lastPrinted>
  <dcterms:created xsi:type="dcterms:W3CDTF">2020-01-17T18:09:00Z</dcterms:created>
  <dcterms:modified xsi:type="dcterms:W3CDTF">2020-02-06T01:19:00Z</dcterms:modified>
</cp:coreProperties>
</file>