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12976074" w:rsidR="00994396" w:rsidRPr="00AD50F9" w:rsidRDefault="00994396" w:rsidP="00967813">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03306F">
        <w:rPr>
          <w:rFonts w:ascii="Palatino Linotype" w:hAnsi="Palatino Linotype" w:cs="Tahoma"/>
          <w:bCs/>
          <w:sz w:val="22"/>
          <w:szCs w:val="22"/>
        </w:rPr>
        <w:t>diecinueve</w:t>
      </w:r>
      <w:r w:rsidR="00D20613">
        <w:rPr>
          <w:rFonts w:ascii="Palatino Linotype" w:hAnsi="Palatino Linotype" w:cs="Tahoma"/>
          <w:bCs/>
          <w:sz w:val="22"/>
          <w:szCs w:val="22"/>
        </w:rPr>
        <w:t xml:space="preserve"> </w:t>
      </w:r>
      <w:r w:rsidR="00F86997" w:rsidRPr="00D20613">
        <w:rPr>
          <w:rFonts w:ascii="Palatino Linotype" w:hAnsi="Palatino Linotype" w:cs="Tahoma"/>
          <w:bCs/>
          <w:sz w:val="22"/>
          <w:szCs w:val="22"/>
        </w:rPr>
        <w:t xml:space="preserve">de </w:t>
      </w:r>
      <w:r w:rsidR="00D20613">
        <w:rPr>
          <w:rFonts w:ascii="Palatino Linotype" w:hAnsi="Palatino Linotype" w:cs="Tahoma"/>
          <w:bCs/>
          <w:sz w:val="22"/>
          <w:szCs w:val="22"/>
        </w:rPr>
        <w:t>septiembre</w:t>
      </w:r>
      <w:r w:rsidR="00F86997" w:rsidRPr="00D20613">
        <w:rPr>
          <w:rFonts w:ascii="Palatino Linotype" w:hAnsi="Palatino Linotype" w:cs="Tahoma"/>
          <w:bCs/>
          <w:sz w:val="22"/>
          <w:szCs w:val="22"/>
        </w:rPr>
        <w:t xml:space="preserve"> </w:t>
      </w:r>
      <w:r w:rsidRPr="00D20613">
        <w:rPr>
          <w:rFonts w:ascii="Palatino Linotype" w:hAnsi="Palatino Linotype" w:cs="Tahoma"/>
          <w:bCs/>
          <w:sz w:val="22"/>
          <w:szCs w:val="22"/>
        </w:rPr>
        <w:t>de dos</w:t>
      </w:r>
      <w:r w:rsidRPr="00AD50F9">
        <w:rPr>
          <w:rFonts w:ascii="Palatino Linotype" w:hAnsi="Palatino Linotype" w:cs="Tahoma"/>
          <w:bCs/>
          <w:sz w:val="22"/>
          <w:szCs w:val="22"/>
        </w:rPr>
        <w:t xml:space="preserve">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67813">
      <w:pPr>
        <w:spacing w:line="360" w:lineRule="auto"/>
        <w:rPr>
          <w:rFonts w:ascii="Palatino Linotype" w:hAnsi="Palatino Linotype" w:cs="Tahoma"/>
          <w:bCs/>
          <w:sz w:val="22"/>
          <w:szCs w:val="22"/>
        </w:rPr>
      </w:pPr>
    </w:p>
    <w:p w14:paraId="2A5AAAE1" w14:textId="0D7B5A26" w:rsidR="00735915" w:rsidRDefault="00994396" w:rsidP="00967813">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6F0A11" w:rsidRPr="00AD50F9">
        <w:rPr>
          <w:rFonts w:ascii="Palatino Linotype" w:hAnsi="Palatino Linotype" w:cs="Tahoma"/>
          <w:bCs/>
          <w:color w:val="0D0D0D" w:themeColor="text1" w:themeTint="F2"/>
          <w:sz w:val="22"/>
          <w:szCs w:val="22"/>
        </w:rPr>
        <w:t xml:space="preserve">Revisión </w:t>
      </w:r>
      <w:r w:rsidR="00A60F2A" w:rsidRPr="00A60F2A">
        <w:rPr>
          <w:rFonts w:ascii="Palatino Linotype" w:hAnsi="Palatino Linotype" w:cs="Tahoma"/>
          <w:b/>
          <w:bCs/>
          <w:color w:val="0D0D0D" w:themeColor="text1" w:themeTint="F2"/>
          <w:sz w:val="22"/>
          <w:szCs w:val="22"/>
        </w:rPr>
        <w:t>05701/INFOEM/IP/RR/2019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C45AE6" w:rsidRPr="00C45AE6">
        <w:rPr>
          <w:rFonts w:ascii="Palatino Linotype" w:hAnsi="Palatino Linotype" w:cs="Tahoma"/>
          <w:bCs/>
          <w:color w:val="0D0D0D" w:themeColor="text1" w:themeTint="F2"/>
          <w:sz w:val="22"/>
          <w:szCs w:val="22"/>
          <w:highlight w:val="black"/>
        </w:rPr>
        <w:t>XXXXXXXXXXXXX</w:t>
      </w:r>
      <w:r w:rsidR="00C45AE6">
        <w:rPr>
          <w:rFonts w:ascii="Palatino Linotype" w:hAnsi="Palatino Linotype" w:cs="Tahoma"/>
          <w:bCs/>
          <w:color w:val="0D0D0D" w:themeColor="text1" w:themeTint="F2"/>
          <w:sz w:val="22"/>
          <w:szCs w:val="22"/>
          <w:highlight w:val="black"/>
        </w:rPr>
        <w:t>X</w:t>
      </w:r>
      <w:bookmarkStart w:id="0" w:name="_GoBack"/>
      <w:bookmarkEnd w:id="0"/>
      <w:r w:rsidR="00C45AE6" w:rsidRPr="00C45AE6">
        <w:rPr>
          <w:rFonts w:ascii="Palatino Linotype" w:hAnsi="Palatino Linotype" w:cs="Tahoma"/>
          <w:bCs/>
          <w:color w:val="0D0D0D" w:themeColor="text1" w:themeTint="F2"/>
          <w:sz w:val="22"/>
          <w:szCs w:val="22"/>
          <w:highlight w:val="black"/>
        </w:rPr>
        <w:t>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A60F2A" w:rsidRPr="00A60F2A">
        <w:rPr>
          <w:rFonts w:ascii="Palatino Linotype" w:hAnsi="Palatino Linotype" w:cs="Tahoma"/>
          <w:b/>
          <w:bCs/>
          <w:color w:val="0D0D0D" w:themeColor="text1" w:themeTint="F2"/>
          <w:sz w:val="22"/>
          <w:szCs w:val="22"/>
        </w:rPr>
        <w:t>Tribunal Estatal de Conciliación y Arbitraje</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967813">
      <w:pPr>
        <w:spacing w:line="360" w:lineRule="auto"/>
        <w:jc w:val="both"/>
        <w:rPr>
          <w:rFonts w:ascii="Palatino Linotype" w:hAnsi="Palatino Linotype" w:cs="Tahoma"/>
          <w:sz w:val="22"/>
          <w:szCs w:val="22"/>
        </w:rPr>
      </w:pPr>
    </w:p>
    <w:p w14:paraId="6A0BD488" w14:textId="77777777" w:rsidR="00B31222" w:rsidRPr="00AD50F9" w:rsidRDefault="00F86997" w:rsidP="00967813">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67813">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67813">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67813">
      <w:pPr>
        <w:pStyle w:val="Prrafodelista"/>
        <w:tabs>
          <w:tab w:val="left" w:pos="567"/>
        </w:tabs>
        <w:spacing w:line="360" w:lineRule="auto"/>
        <w:ind w:left="0"/>
        <w:contextualSpacing w:val="0"/>
        <w:jc w:val="both"/>
        <w:rPr>
          <w:rFonts w:ascii="Palatino Linotype" w:hAnsi="Palatino Linotype" w:cs="Tahoma"/>
          <w:szCs w:val="22"/>
        </w:rPr>
      </w:pPr>
    </w:p>
    <w:p w14:paraId="0FB5D86D" w14:textId="57719572" w:rsidR="00B31222" w:rsidRPr="00AD50F9" w:rsidRDefault="00A3242B" w:rsidP="00967813">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El</w:t>
      </w:r>
      <w:r w:rsidR="00796C9B">
        <w:rPr>
          <w:rFonts w:ascii="Palatino Linotype" w:hAnsi="Palatino Linotype" w:cs="Tahoma"/>
          <w:szCs w:val="22"/>
        </w:rPr>
        <w:t xml:space="preserve"> </w:t>
      </w:r>
      <w:r w:rsidR="00B12157">
        <w:rPr>
          <w:rFonts w:ascii="Palatino Linotype" w:hAnsi="Palatino Linotype" w:cs="Tahoma"/>
          <w:szCs w:val="22"/>
        </w:rPr>
        <w:t>dieciséis</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B12157">
        <w:rPr>
          <w:rFonts w:ascii="Palatino Linotype" w:hAnsi="Palatino Linotype" w:cs="Tahoma"/>
          <w:szCs w:val="22"/>
        </w:rPr>
        <w:t>may</w:t>
      </w:r>
      <w:r w:rsidR="00A60F2A">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w:t>
      </w:r>
      <w:r>
        <w:rPr>
          <w:rFonts w:ascii="Palatino Linotype" w:hAnsi="Palatino Linotype" w:cs="Tahoma"/>
          <w:szCs w:val="22"/>
        </w:rPr>
        <w:t xml:space="preserve">una </w:t>
      </w:r>
      <w:r w:rsidR="001171BD" w:rsidRPr="00AD50F9">
        <w:rPr>
          <w:rFonts w:ascii="Palatino Linotype" w:hAnsi="Palatino Linotype" w:cs="Tahoma"/>
          <w:szCs w:val="22"/>
        </w:rPr>
        <w:t xml:space="preserve">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A60F2A" w:rsidRPr="00A60F2A">
        <w:rPr>
          <w:rFonts w:ascii="Palatino Linotype" w:hAnsi="Palatino Linotype" w:cs="Tahoma"/>
          <w:b/>
          <w:szCs w:val="22"/>
        </w:rPr>
        <w:t>Tribunal Estatal de Conciliación y Arbitraje</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A60F2A" w:rsidRPr="00A60F2A">
        <w:rPr>
          <w:rFonts w:ascii="Palatino Linotype" w:hAnsi="Palatino Linotype" w:cs="Tahoma"/>
          <w:b/>
          <w:bCs/>
          <w:szCs w:val="22"/>
        </w:rPr>
        <w:t>00042/TRIECA/IP/2019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67813">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67813">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695A99B8" w:rsidR="00D01F75" w:rsidRDefault="00A60F2A" w:rsidP="00967813">
      <w:pPr>
        <w:tabs>
          <w:tab w:val="left" w:pos="4667"/>
        </w:tabs>
        <w:spacing w:line="360" w:lineRule="auto"/>
        <w:ind w:left="567" w:right="567"/>
        <w:jc w:val="both"/>
        <w:rPr>
          <w:rFonts w:ascii="Palatino Linotype" w:hAnsi="Palatino Linotype" w:cs="Tahoma"/>
          <w:bCs/>
          <w:i/>
        </w:rPr>
      </w:pPr>
      <w:r w:rsidRPr="00A60F2A">
        <w:rPr>
          <w:rFonts w:ascii="Palatino Linotype" w:hAnsi="Palatino Linotype" w:cs="Tahoma"/>
          <w:bCs/>
          <w:i/>
        </w:rPr>
        <w:t xml:space="preserve">Dirigido a los C.C. Integrantes del Tribunal Estatal de Conciliación y Arbitraje Solicito los números de expedientes y nombre de las partes intervinientes, es decir el nombre de los actores y/o suscribientes, de todos los Convenios Sin Juicio (C.S.J.) celebrados por el Ayuntamiento y Municipio de Tezoyuca, acompañados de las versiones públicas de los convenios antes referidos, a partir del 1 de diciembre de 2018 hasta el 20 de diciembre de 2018, asi mismo acompañados de las publicaciones por el boletín laboral. </w:t>
      </w:r>
      <w:r w:rsidR="00D01F75" w:rsidRPr="00D43E69">
        <w:rPr>
          <w:rFonts w:ascii="Palatino Linotype" w:hAnsi="Palatino Linotype" w:cs="Tahoma"/>
          <w:bCs/>
          <w:i/>
        </w:rPr>
        <w:t>(Sic.)</w:t>
      </w:r>
    </w:p>
    <w:p w14:paraId="63AEA10B" w14:textId="77777777" w:rsidR="009D5C33" w:rsidRPr="00D43E69" w:rsidRDefault="009D5C33" w:rsidP="00967813">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67813">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lastRenderedPageBreak/>
        <w:t>MODALIDAD DE ENTREGA</w:t>
      </w:r>
    </w:p>
    <w:p w14:paraId="753ED354" w14:textId="44BC043A" w:rsidR="000527B4" w:rsidRDefault="006E477D" w:rsidP="00967813">
      <w:pPr>
        <w:spacing w:line="360" w:lineRule="auto"/>
        <w:jc w:val="both"/>
        <w:rPr>
          <w:rFonts w:ascii="Palatino Linotype" w:hAnsi="Palatino Linotype" w:cs="Tahoma"/>
          <w:bCs/>
          <w:i/>
          <w:szCs w:val="22"/>
        </w:rPr>
      </w:pPr>
      <w:r>
        <w:rPr>
          <w:rFonts w:ascii="Palatino Linotype" w:hAnsi="Palatino Linotype" w:cs="Tahoma"/>
          <w:bCs/>
          <w:i/>
          <w:szCs w:val="22"/>
        </w:rPr>
        <w:t xml:space="preserve">           </w:t>
      </w:r>
      <w:r w:rsidRPr="006E477D">
        <w:rPr>
          <w:rFonts w:ascii="Palatino Linotype" w:hAnsi="Palatino Linotype" w:cs="Tahoma"/>
          <w:bCs/>
          <w:i/>
          <w:szCs w:val="22"/>
        </w:rPr>
        <w:t>A través del SAIMEX</w:t>
      </w:r>
    </w:p>
    <w:p w14:paraId="687F4504" w14:textId="0BEEC352" w:rsidR="00413D17" w:rsidRPr="000A60ED" w:rsidRDefault="00413D17" w:rsidP="00967813">
      <w:pPr>
        <w:spacing w:line="360" w:lineRule="auto"/>
        <w:jc w:val="both"/>
        <w:rPr>
          <w:rFonts w:ascii="Palatino Linotype" w:eastAsia="Calibri" w:hAnsi="Palatino Linotype" w:cs="Tahoma"/>
          <w:b/>
          <w:bCs/>
          <w:iCs/>
          <w:sz w:val="24"/>
          <w:szCs w:val="24"/>
          <w:lang w:eastAsia="en-US"/>
        </w:rPr>
      </w:pPr>
    </w:p>
    <w:p w14:paraId="063E4058" w14:textId="0A2ABE1A" w:rsidR="000527B4" w:rsidRPr="003E4E33" w:rsidRDefault="000527B4" w:rsidP="00967813">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A3242B">
        <w:rPr>
          <w:rFonts w:ascii="Palatino Linotype" w:eastAsia="Calibri" w:hAnsi="Palatino Linotype" w:cs="Tahoma"/>
          <w:b/>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3610BF17" w14:textId="2989ED81" w:rsidR="00EF4D52" w:rsidRDefault="00A3242B" w:rsidP="00967813">
      <w:pPr>
        <w:autoSpaceDE w:val="0"/>
        <w:autoSpaceDN w:val="0"/>
        <w:adjustRightInd w:val="0"/>
        <w:spacing w:line="360" w:lineRule="auto"/>
        <w:ind w:right="567"/>
        <w:jc w:val="both"/>
        <w:rPr>
          <w:rFonts w:ascii="Palatino Linotype" w:hAnsi="Palatino Linotype" w:cs="Tahoma"/>
          <w:bCs/>
          <w:sz w:val="22"/>
          <w:szCs w:val="22"/>
        </w:rPr>
      </w:pPr>
      <w:r>
        <w:rPr>
          <w:rFonts w:ascii="Palatino Linotype" w:hAnsi="Palatino Linotype" w:cs="Tahoma"/>
          <w:bCs/>
          <w:sz w:val="22"/>
          <w:szCs w:val="22"/>
        </w:rPr>
        <w:t>El</w:t>
      </w:r>
      <w:r w:rsidR="00EF4D52" w:rsidRPr="00EF4D52">
        <w:rPr>
          <w:rFonts w:ascii="Palatino Linotype" w:hAnsi="Palatino Linotype" w:cs="Tahoma"/>
          <w:bCs/>
          <w:sz w:val="22"/>
          <w:szCs w:val="22"/>
        </w:rPr>
        <w:t xml:space="preserve"> </w:t>
      </w:r>
      <w:r w:rsidR="00B12157">
        <w:rPr>
          <w:rFonts w:ascii="Palatino Linotype" w:hAnsi="Palatino Linotype" w:cs="Tahoma"/>
          <w:bCs/>
          <w:sz w:val="22"/>
          <w:szCs w:val="22"/>
        </w:rPr>
        <w:t>cuatro</w:t>
      </w:r>
      <w:r w:rsidR="000A5A1D">
        <w:rPr>
          <w:rFonts w:ascii="Palatino Linotype" w:hAnsi="Palatino Linotype" w:cs="Tahoma"/>
          <w:bCs/>
          <w:sz w:val="22"/>
          <w:szCs w:val="22"/>
        </w:rPr>
        <w:t xml:space="preserve"> </w:t>
      </w:r>
      <w:r w:rsidR="000A5A1D" w:rsidRPr="00EF4D52">
        <w:rPr>
          <w:rFonts w:ascii="Palatino Linotype" w:hAnsi="Palatino Linotype" w:cs="Tahoma"/>
          <w:bCs/>
          <w:sz w:val="22"/>
          <w:szCs w:val="22"/>
        </w:rPr>
        <w:t>de</w:t>
      </w:r>
      <w:r w:rsidR="00EF4D52" w:rsidRPr="00EF4D52">
        <w:rPr>
          <w:rFonts w:ascii="Palatino Linotype" w:hAnsi="Palatino Linotype" w:cs="Tahoma"/>
          <w:bCs/>
          <w:sz w:val="22"/>
          <w:szCs w:val="22"/>
        </w:rPr>
        <w:t xml:space="preserve"> </w:t>
      </w:r>
      <w:r w:rsidR="00B12157">
        <w:rPr>
          <w:rFonts w:ascii="Palatino Linotype" w:hAnsi="Palatino Linotype" w:cs="Tahoma"/>
          <w:bCs/>
          <w:sz w:val="22"/>
          <w:szCs w:val="22"/>
        </w:rPr>
        <w:t>juni</w:t>
      </w:r>
      <w:r w:rsidR="00413D17">
        <w:rPr>
          <w:rFonts w:ascii="Palatino Linotype" w:hAnsi="Palatino Linotype" w:cs="Tahoma"/>
          <w:bCs/>
          <w:sz w:val="22"/>
          <w:szCs w:val="22"/>
        </w:rPr>
        <w:t>o</w:t>
      </w:r>
      <w:r w:rsidR="00EF4D52" w:rsidRPr="00EF4D52">
        <w:rPr>
          <w:rFonts w:ascii="Palatino Linotype" w:hAnsi="Palatino Linotype" w:cs="Tahoma"/>
          <w:bCs/>
          <w:sz w:val="22"/>
          <w:szCs w:val="22"/>
        </w:rPr>
        <w:t xml:space="preserve"> de dos mil diecinueve, </w:t>
      </w:r>
      <w:r w:rsidR="00413D17">
        <w:rPr>
          <w:rFonts w:ascii="Palatino Linotype" w:hAnsi="Palatino Linotype" w:cs="Tahoma"/>
          <w:bCs/>
          <w:sz w:val="22"/>
          <w:szCs w:val="22"/>
        </w:rPr>
        <w:t xml:space="preserve">a través del Sistema de Acceso a la Información Mexiquense (SAIMEX), el Sujeto Obligado, notificó al Particular la respuesta a la solicitud de acceso a la información con número de folio </w:t>
      </w:r>
      <w:r w:rsidR="00B12157" w:rsidRPr="00B12157">
        <w:rPr>
          <w:rFonts w:ascii="Palatino Linotype" w:hAnsi="Palatino Linotype" w:cs="Tahoma"/>
          <w:bCs/>
          <w:sz w:val="22"/>
          <w:szCs w:val="22"/>
        </w:rPr>
        <w:t>00042/TRIECA/IP/2019</w:t>
      </w:r>
      <w:r w:rsidR="00EF4D52" w:rsidRPr="00EF4D52">
        <w:rPr>
          <w:rFonts w:ascii="Palatino Linotype" w:hAnsi="Palatino Linotype" w:cs="Tahoma"/>
          <w:bCs/>
          <w:sz w:val="22"/>
          <w:szCs w:val="22"/>
        </w:rPr>
        <w:t>, en los términos siguientes:</w:t>
      </w:r>
    </w:p>
    <w:p w14:paraId="642543FC" w14:textId="77777777" w:rsidR="000143FA" w:rsidRPr="00EF4D52" w:rsidRDefault="000143FA" w:rsidP="00967813">
      <w:pPr>
        <w:autoSpaceDE w:val="0"/>
        <w:autoSpaceDN w:val="0"/>
        <w:adjustRightInd w:val="0"/>
        <w:spacing w:line="360" w:lineRule="auto"/>
        <w:ind w:right="567"/>
        <w:jc w:val="both"/>
        <w:rPr>
          <w:rFonts w:ascii="Palatino Linotype" w:hAnsi="Palatino Linotype" w:cs="Tahoma"/>
          <w:bCs/>
          <w:sz w:val="22"/>
          <w:szCs w:val="22"/>
        </w:rPr>
      </w:pPr>
    </w:p>
    <w:p w14:paraId="67A0CB2D" w14:textId="7F8E547E" w:rsidR="000143FA" w:rsidRPr="00B12157" w:rsidRDefault="00B12157" w:rsidP="00967813">
      <w:pPr>
        <w:autoSpaceDE w:val="0"/>
        <w:autoSpaceDN w:val="0"/>
        <w:adjustRightInd w:val="0"/>
        <w:spacing w:line="360" w:lineRule="auto"/>
        <w:ind w:left="567" w:right="567"/>
        <w:jc w:val="both"/>
        <w:rPr>
          <w:rFonts w:ascii="Palatino Linotype" w:hAnsi="Palatino Linotype" w:cs="Tahoma"/>
          <w:bCs/>
          <w:i/>
          <w:iCs/>
        </w:rPr>
      </w:pPr>
      <w:r w:rsidRPr="00B12157">
        <w:rPr>
          <w:rFonts w:ascii="Palatino Linotype" w:hAnsi="Palatino Linotype" w:cs="Tahoma"/>
          <w:bCs/>
          <w:i/>
          <w:iCs/>
        </w:rPr>
        <w:t>“Solicitante: Adjunto encontrará información solicitada. Reciba un cordial Saludo”</w:t>
      </w:r>
      <w:r w:rsidR="0009340C">
        <w:rPr>
          <w:rFonts w:ascii="Palatino Linotype" w:hAnsi="Palatino Linotype" w:cs="Tahoma"/>
          <w:bCs/>
          <w:i/>
          <w:iCs/>
        </w:rPr>
        <w:t xml:space="preserve"> </w:t>
      </w:r>
      <w:r w:rsidRPr="00B12157">
        <w:rPr>
          <w:rFonts w:ascii="Palatino Linotype" w:hAnsi="Palatino Linotype" w:cs="Tahoma"/>
          <w:bCs/>
          <w:i/>
          <w:iCs/>
        </w:rPr>
        <w:t>(Sic.)</w:t>
      </w:r>
    </w:p>
    <w:p w14:paraId="3F32E286" w14:textId="77777777" w:rsidR="00A15A51" w:rsidRPr="00413D17" w:rsidRDefault="00A15A51" w:rsidP="00967813">
      <w:pPr>
        <w:autoSpaceDE w:val="0"/>
        <w:autoSpaceDN w:val="0"/>
        <w:adjustRightInd w:val="0"/>
        <w:spacing w:line="360" w:lineRule="auto"/>
        <w:ind w:left="567" w:right="567"/>
        <w:jc w:val="both"/>
        <w:rPr>
          <w:rFonts w:ascii="Palatino Linotype" w:hAnsi="Palatino Linotype" w:cs="Tahoma"/>
          <w:bCs/>
          <w:i/>
          <w:iCs/>
        </w:rPr>
      </w:pPr>
    </w:p>
    <w:p w14:paraId="6DB33179" w14:textId="21E773A5" w:rsidR="00B330C9" w:rsidRDefault="00EF4D52" w:rsidP="00967813">
      <w:pPr>
        <w:autoSpaceDE w:val="0"/>
        <w:autoSpaceDN w:val="0"/>
        <w:adjustRightInd w:val="0"/>
        <w:spacing w:line="360" w:lineRule="auto"/>
        <w:ind w:right="567"/>
        <w:jc w:val="both"/>
        <w:rPr>
          <w:rFonts w:ascii="Palatino Linotype" w:hAnsi="Palatino Linotype" w:cs="Tahoma"/>
          <w:bCs/>
          <w:sz w:val="22"/>
          <w:szCs w:val="22"/>
        </w:rPr>
      </w:pPr>
      <w:r w:rsidRPr="00EF4D52">
        <w:rPr>
          <w:rFonts w:ascii="Palatino Linotype" w:hAnsi="Palatino Linotype" w:cs="Tahoma"/>
          <w:bCs/>
          <w:sz w:val="22"/>
          <w:szCs w:val="22"/>
        </w:rPr>
        <w:t xml:space="preserve">Así mismo, adjuntó a su respuesta </w:t>
      </w:r>
      <w:r w:rsidR="00B12157">
        <w:rPr>
          <w:rFonts w:ascii="Palatino Linotype" w:hAnsi="Palatino Linotype" w:cs="Tahoma"/>
          <w:bCs/>
          <w:sz w:val="22"/>
          <w:szCs w:val="22"/>
        </w:rPr>
        <w:t>un</w:t>
      </w:r>
      <w:r w:rsidR="000143FA">
        <w:rPr>
          <w:rFonts w:ascii="Palatino Linotype" w:hAnsi="Palatino Linotype" w:cs="Tahoma"/>
          <w:bCs/>
          <w:sz w:val="22"/>
          <w:szCs w:val="22"/>
        </w:rPr>
        <w:t xml:space="preserve"> archivo electrónico que a continuación se describe: </w:t>
      </w:r>
    </w:p>
    <w:p w14:paraId="12A65E72" w14:textId="77777777" w:rsidR="00A3242B" w:rsidRDefault="00A3242B" w:rsidP="00967813">
      <w:pPr>
        <w:autoSpaceDE w:val="0"/>
        <w:autoSpaceDN w:val="0"/>
        <w:adjustRightInd w:val="0"/>
        <w:spacing w:line="360" w:lineRule="auto"/>
        <w:ind w:right="567"/>
        <w:jc w:val="both"/>
        <w:rPr>
          <w:rFonts w:ascii="Palatino Linotype" w:hAnsi="Palatino Linotype" w:cs="Tahoma"/>
          <w:bCs/>
          <w:sz w:val="22"/>
          <w:szCs w:val="22"/>
        </w:rPr>
      </w:pPr>
    </w:p>
    <w:p w14:paraId="44CDE81B" w14:textId="77777777" w:rsidR="00A3242B" w:rsidRPr="00A3242B" w:rsidRDefault="00B12157" w:rsidP="00967813">
      <w:pPr>
        <w:pStyle w:val="Prrafodelista"/>
        <w:numPr>
          <w:ilvl w:val="0"/>
          <w:numId w:val="25"/>
        </w:numPr>
        <w:autoSpaceDE w:val="0"/>
        <w:autoSpaceDN w:val="0"/>
        <w:adjustRightInd w:val="0"/>
        <w:spacing w:line="360" w:lineRule="auto"/>
        <w:ind w:right="567"/>
        <w:jc w:val="both"/>
        <w:rPr>
          <w:rFonts w:ascii="Palatino Linotype" w:hAnsi="Palatino Linotype" w:cs="Tahoma"/>
          <w:b/>
          <w:szCs w:val="22"/>
        </w:rPr>
      </w:pPr>
      <w:r w:rsidRPr="00B12157">
        <w:rPr>
          <w:rFonts w:ascii="Palatino Linotype" w:hAnsi="Palatino Linotype" w:cs="Tahoma"/>
          <w:b/>
          <w:szCs w:val="22"/>
        </w:rPr>
        <w:t>ENTREGA DE CONVENIOS.pdf</w:t>
      </w:r>
      <w:r w:rsidR="000143FA">
        <w:rPr>
          <w:rFonts w:ascii="Palatino Linotype" w:hAnsi="Palatino Linotype" w:cs="Tahoma"/>
          <w:b/>
          <w:szCs w:val="22"/>
        </w:rPr>
        <w:t xml:space="preserve">: </w:t>
      </w:r>
      <w:r w:rsidR="000143FA" w:rsidRPr="007A75DF">
        <w:rPr>
          <w:rFonts w:ascii="Palatino Linotype" w:hAnsi="Palatino Linotype" w:cs="Tahoma"/>
          <w:bCs/>
          <w:szCs w:val="22"/>
        </w:rPr>
        <w:t xml:space="preserve">El cual </w:t>
      </w:r>
      <w:r w:rsidR="00E37186">
        <w:rPr>
          <w:rFonts w:ascii="Palatino Linotype" w:hAnsi="Palatino Linotype" w:cs="Tahoma"/>
          <w:bCs/>
          <w:szCs w:val="22"/>
        </w:rPr>
        <w:t xml:space="preserve">contiene ciento cincuenta y siete fojas </w:t>
      </w:r>
      <w:r w:rsidR="000143FA" w:rsidRPr="007A75DF">
        <w:rPr>
          <w:rFonts w:ascii="Palatino Linotype" w:hAnsi="Palatino Linotype" w:cs="Tahoma"/>
          <w:bCs/>
          <w:szCs w:val="22"/>
        </w:rPr>
        <w:t>c</w:t>
      </w:r>
      <w:r w:rsidR="000A5A1D">
        <w:rPr>
          <w:rFonts w:ascii="Palatino Linotype" w:hAnsi="Palatino Linotype" w:cs="Tahoma"/>
          <w:bCs/>
          <w:szCs w:val="22"/>
        </w:rPr>
        <w:t>onsiste</w:t>
      </w:r>
      <w:r w:rsidR="000143FA" w:rsidRPr="007A75DF">
        <w:rPr>
          <w:rFonts w:ascii="Palatino Linotype" w:hAnsi="Palatino Linotype" w:cs="Tahoma"/>
          <w:bCs/>
          <w:szCs w:val="22"/>
        </w:rPr>
        <w:t xml:space="preserve"> </w:t>
      </w:r>
      <w:r w:rsidR="007A75DF" w:rsidRPr="007A75DF">
        <w:rPr>
          <w:rFonts w:ascii="Palatino Linotype" w:hAnsi="Palatino Linotype" w:cs="Tahoma"/>
          <w:bCs/>
          <w:szCs w:val="22"/>
        </w:rPr>
        <w:t xml:space="preserve">en </w:t>
      </w:r>
      <w:r w:rsidR="00E37186">
        <w:rPr>
          <w:rFonts w:ascii="Palatino Linotype" w:hAnsi="Palatino Linotype" w:cs="Tahoma"/>
          <w:bCs/>
          <w:szCs w:val="22"/>
        </w:rPr>
        <w:t>los</w:t>
      </w:r>
      <w:r w:rsidR="000143FA" w:rsidRPr="007A75DF">
        <w:rPr>
          <w:rFonts w:ascii="Palatino Linotype" w:hAnsi="Palatino Linotype" w:cs="Tahoma"/>
          <w:bCs/>
          <w:szCs w:val="22"/>
        </w:rPr>
        <w:t xml:space="preserve"> </w:t>
      </w:r>
      <w:r w:rsidR="00E37186">
        <w:rPr>
          <w:rFonts w:ascii="Palatino Linotype" w:hAnsi="Palatino Linotype" w:cs="Tahoma"/>
          <w:bCs/>
          <w:szCs w:val="22"/>
        </w:rPr>
        <w:t>expedientes</w:t>
      </w:r>
      <w:r w:rsidR="00F93BB2">
        <w:rPr>
          <w:rFonts w:ascii="Palatino Linotype" w:hAnsi="Palatino Linotype" w:cs="Tahoma"/>
          <w:bCs/>
          <w:szCs w:val="22"/>
        </w:rPr>
        <w:t xml:space="preserve"> </w:t>
      </w:r>
      <w:r w:rsidR="00A3242B">
        <w:rPr>
          <w:rFonts w:ascii="Palatino Linotype" w:hAnsi="Palatino Linotype" w:cs="Tahoma"/>
          <w:bCs/>
          <w:szCs w:val="22"/>
        </w:rPr>
        <w:t xml:space="preserve">identificados con las claves siguientes: </w:t>
      </w:r>
    </w:p>
    <w:p w14:paraId="1591BA57" w14:textId="77777777" w:rsidR="00A3242B" w:rsidRDefault="00A3242B" w:rsidP="00967813">
      <w:pPr>
        <w:pStyle w:val="Prrafodelista"/>
        <w:autoSpaceDE w:val="0"/>
        <w:autoSpaceDN w:val="0"/>
        <w:adjustRightInd w:val="0"/>
        <w:spacing w:line="360" w:lineRule="auto"/>
        <w:ind w:left="786" w:right="567"/>
        <w:jc w:val="both"/>
        <w:rPr>
          <w:rFonts w:ascii="Palatino Linotype" w:hAnsi="Palatino Linotype" w:cs="Tahoma"/>
          <w:bCs/>
          <w:szCs w:val="22"/>
        </w:rPr>
      </w:pPr>
    </w:p>
    <w:p w14:paraId="7E4C03CB" w14:textId="150901AB" w:rsidR="001D45E8" w:rsidRPr="001D45E8" w:rsidRDefault="00E37186" w:rsidP="00967813">
      <w:pPr>
        <w:pStyle w:val="Prrafodelista"/>
        <w:autoSpaceDE w:val="0"/>
        <w:autoSpaceDN w:val="0"/>
        <w:adjustRightInd w:val="0"/>
        <w:spacing w:line="360" w:lineRule="auto"/>
        <w:ind w:left="786" w:right="567"/>
        <w:jc w:val="both"/>
        <w:rPr>
          <w:rFonts w:ascii="Palatino Linotype" w:hAnsi="Palatino Linotype" w:cs="Tahoma"/>
          <w:b/>
          <w:szCs w:val="22"/>
        </w:rPr>
      </w:pPr>
      <w:r>
        <w:rPr>
          <w:rFonts w:ascii="Palatino Linotype" w:hAnsi="Palatino Linotype" w:cs="Tahoma"/>
          <w:bCs/>
          <w:szCs w:val="22"/>
        </w:rPr>
        <w:t>CSJ SAE 990/2018</w:t>
      </w:r>
      <w:bookmarkStart w:id="1" w:name="_Hlk13219331"/>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1</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2</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3</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4</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5</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6</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7</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8</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CSJ SAE 99</w:t>
      </w:r>
      <w:r w:rsidR="001D45E8">
        <w:rPr>
          <w:rFonts w:ascii="Palatino Linotype" w:hAnsi="Palatino Linotype" w:cs="Tahoma"/>
          <w:bCs/>
          <w:szCs w:val="22"/>
        </w:rPr>
        <w:t>9</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w:t>
      </w:r>
      <w:r w:rsidR="001D45E8" w:rsidRPr="001D45E8">
        <w:rPr>
          <w:rFonts w:ascii="Palatino Linotype" w:hAnsi="Palatino Linotype" w:cs="Tahoma"/>
          <w:bCs/>
          <w:szCs w:val="22"/>
        </w:rPr>
        <w:t>0/2018,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1001</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1002</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1003</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1004</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1005/</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1006</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1007</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1008</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1009</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bookmarkStart w:id="2" w:name="_Hlk17371896"/>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w:t>
      </w:r>
      <w:r w:rsidR="001D45E8" w:rsidRPr="001D45E8">
        <w:rPr>
          <w:rFonts w:ascii="Palatino Linotype" w:hAnsi="Palatino Linotype" w:cs="Tahoma"/>
          <w:bCs/>
          <w:szCs w:val="22"/>
        </w:rPr>
        <w:t>0/2018,</w:t>
      </w:r>
      <w:bookmarkEnd w:id="2"/>
      <w:r w:rsidR="001D45E8">
        <w:rPr>
          <w:rFonts w:ascii="Palatino Linotype" w:hAnsi="Palatino Linotype" w:cs="Tahoma"/>
          <w:bCs/>
          <w:szCs w:val="22"/>
        </w:rPr>
        <w:t xml:space="preserve"> </w:t>
      </w:r>
      <w:r w:rsidR="001D45E8" w:rsidRPr="001D45E8">
        <w:rPr>
          <w:rFonts w:ascii="Palatino Linotype" w:hAnsi="Palatino Linotype" w:cs="Tahoma"/>
          <w:bCs/>
          <w:szCs w:val="22"/>
        </w:rPr>
        <w:t>CSJ SAE 101</w:t>
      </w:r>
      <w:r w:rsidR="001D45E8">
        <w:rPr>
          <w:rFonts w:ascii="Palatino Linotype" w:hAnsi="Palatino Linotype" w:cs="Tahoma"/>
          <w:bCs/>
          <w:szCs w:val="22"/>
        </w:rPr>
        <w:t>1</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1012</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1013</w:t>
      </w:r>
      <w:r w:rsidR="001D45E8" w:rsidRPr="001D45E8">
        <w:rPr>
          <w:rFonts w:ascii="Palatino Linotype" w:hAnsi="Palatino Linotype" w:cs="Tahoma"/>
          <w:bCs/>
          <w:szCs w:val="22"/>
        </w:rPr>
        <w:t xml:space="preserve">/2018, CSJ SAE </w:t>
      </w:r>
      <w:r w:rsidR="001D45E8">
        <w:rPr>
          <w:rFonts w:ascii="Palatino Linotype" w:hAnsi="Palatino Linotype" w:cs="Tahoma"/>
          <w:bCs/>
          <w:szCs w:val="22"/>
        </w:rPr>
        <w:t>1015</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1016</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1017</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1018</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1019</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w:t>
      </w:r>
      <w:r w:rsidR="001D45E8" w:rsidRPr="001D45E8">
        <w:rPr>
          <w:rFonts w:ascii="Palatino Linotype" w:hAnsi="Palatino Linotype" w:cs="Tahoma"/>
          <w:bCs/>
          <w:szCs w:val="22"/>
        </w:rPr>
        <w:t>0/2018,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1021</w:t>
      </w:r>
      <w:r w:rsidR="001D45E8" w:rsidRPr="001D45E8">
        <w:rPr>
          <w:rFonts w:ascii="Palatino Linotype" w:hAnsi="Palatino Linotype" w:cs="Tahoma"/>
          <w:bCs/>
          <w:szCs w:val="22"/>
        </w:rPr>
        <w:t xml:space="preserve">/2018, CSJ SAE </w:t>
      </w:r>
      <w:r w:rsidR="001D45E8">
        <w:rPr>
          <w:rFonts w:ascii="Palatino Linotype" w:hAnsi="Palatino Linotype" w:cs="Tahoma"/>
          <w:bCs/>
          <w:szCs w:val="22"/>
        </w:rPr>
        <w:t>1022</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1023</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1024</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1025</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1026</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1027</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1028</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1029</w:t>
      </w:r>
      <w:r w:rsidR="001D45E8" w:rsidRPr="001D45E8">
        <w:rPr>
          <w:rFonts w:ascii="Palatino Linotype" w:hAnsi="Palatino Linotype" w:cs="Tahoma"/>
          <w:bCs/>
          <w:szCs w:val="22"/>
        </w:rPr>
        <w:t>/2018,</w:t>
      </w:r>
      <w:r w:rsidR="001D45E8">
        <w:rPr>
          <w:rFonts w:ascii="Palatino Linotype" w:hAnsi="Palatino Linotype" w:cs="Tahoma"/>
          <w:bCs/>
          <w:szCs w:val="22"/>
        </w:rPr>
        <w:t xml:space="preserve"> </w:t>
      </w:r>
      <w:r w:rsidR="001D45E8" w:rsidRPr="001D45E8">
        <w:rPr>
          <w:rFonts w:ascii="Palatino Linotype" w:hAnsi="Palatino Linotype" w:cs="Tahoma"/>
          <w:bCs/>
          <w:szCs w:val="22"/>
        </w:rPr>
        <w:t xml:space="preserve">CSJ SAE </w:t>
      </w:r>
      <w:r w:rsidR="001D45E8">
        <w:rPr>
          <w:rFonts w:ascii="Palatino Linotype" w:hAnsi="Palatino Linotype" w:cs="Tahoma"/>
          <w:bCs/>
          <w:szCs w:val="22"/>
        </w:rPr>
        <w:t>10</w:t>
      </w:r>
      <w:r w:rsidR="002E3D7F">
        <w:rPr>
          <w:rFonts w:ascii="Palatino Linotype" w:hAnsi="Palatino Linotype" w:cs="Tahoma"/>
          <w:bCs/>
          <w:szCs w:val="22"/>
        </w:rPr>
        <w:t>3</w:t>
      </w:r>
      <w:r w:rsidR="001D45E8" w:rsidRPr="001D45E8">
        <w:rPr>
          <w:rFonts w:ascii="Palatino Linotype" w:hAnsi="Palatino Linotype" w:cs="Tahoma"/>
          <w:bCs/>
          <w:szCs w:val="22"/>
        </w:rPr>
        <w:t>0/2018,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lastRenderedPageBreak/>
        <w:t>1031</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1032</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1033</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1034</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1035</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1036</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1037</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1038</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1039</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w:t>
      </w:r>
      <w:r w:rsidR="002E3D7F" w:rsidRPr="001D45E8">
        <w:rPr>
          <w:rFonts w:ascii="Palatino Linotype" w:hAnsi="Palatino Linotype" w:cs="Tahoma"/>
          <w:bCs/>
          <w:szCs w:val="22"/>
        </w:rPr>
        <w:t>0/2018,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1041</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1042</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1043</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1044</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1045</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1046</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1047</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1048</w:t>
      </w:r>
      <w:r w:rsidR="002E3D7F" w:rsidRPr="001D45E8">
        <w:rPr>
          <w:rFonts w:ascii="Palatino Linotype" w:hAnsi="Palatino Linotype" w:cs="Tahoma"/>
          <w:bCs/>
          <w:szCs w:val="22"/>
        </w:rPr>
        <w:t>/2018</w:t>
      </w:r>
      <w:r w:rsidR="002E3D7F">
        <w:rPr>
          <w:rFonts w:ascii="Palatino Linotype" w:hAnsi="Palatino Linotype" w:cs="Tahoma"/>
          <w:bCs/>
          <w:szCs w:val="22"/>
        </w:rPr>
        <w:t xml:space="preserve"> y </w:t>
      </w:r>
      <w:r w:rsidR="002E3D7F" w:rsidRPr="001D45E8">
        <w:rPr>
          <w:rFonts w:ascii="Palatino Linotype" w:hAnsi="Palatino Linotype" w:cs="Tahoma"/>
          <w:bCs/>
          <w:szCs w:val="22"/>
        </w:rPr>
        <w:t xml:space="preserve">CSJ SAE </w:t>
      </w:r>
      <w:r w:rsidR="002E3D7F">
        <w:rPr>
          <w:rFonts w:ascii="Palatino Linotype" w:hAnsi="Palatino Linotype" w:cs="Tahoma"/>
          <w:bCs/>
          <w:szCs w:val="22"/>
        </w:rPr>
        <w:t>1049</w:t>
      </w:r>
      <w:r w:rsidR="002E3D7F" w:rsidRPr="001D45E8">
        <w:rPr>
          <w:rFonts w:ascii="Palatino Linotype" w:hAnsi="Palatino Linotype" w:cs="Tahoma"/>
          <w:bCs/>
          <w:szCs w:val="22"/>
        </w:rPr>
        <w:t>/2018</w:t>
      </w:r>
      <w:r w:rsidR="002E3D7F">
        <w:rPr>
          <w:rFonts w:ascii="Palatino Linotype" w:hAnsi="Palatino Linotype" w:cs="Tahoma"/>
          <w:bCs/>
          <w:szCs w:val="22"/>
        </w:rPr>
        <w:t xml:space="preserve">. </w:t>
      </w:r>
    </w:p>
    <w:p w14:paraId="34FFA14A" w14:textId="23B8A984" w:rsidR="001D45E8" w:rsidRPr="001D45E8" w:rsidRDefault="001D45E8" w:rsidP="00967813">
      <w:pPr>
        <w:autoSpaceDE w:val="0"/>
        <w:autoSpaceDN w:val="0"/>
        <w:adjustRightInd w:val="0"/>
        <w:spacing w:line="360" w:lineRule="auto"/>
        <w:ind w:left="426" w:right="567"/>
        <w:jc w:val="both"/>
        <w:rPr>
          <w:rFonts w:ascii="Palatino Linotype" w:hAnsi="Palatino Linotype" w:cs="Tahoma"/>
          <w:b/>
          <w:szCs w:val="22"/>
        </w:rPr>
      </w:pPr>
    </w:p>
    <w:p w14:paraId="469C11C4" w14:textId="7AD8F0F2" w:rsidR="00587F23" w:rsidRPr="00AD50F9" w:rsidRDefault="001D45E8" w:rsidP="00967813">
      <w:pPr>
        <w:autoSpaceDE w:val="0"/>
        <w:autoSpaceDN w:val="0"/>
        <w:adjustRightInd w:val="0"/>
        <w:spacing w:line="360" w:lineRule="auto"/>
        <w:ind w:right="567"/>
        <w:jc w:val="both"/>
        <w:rPr>
          <w:rFonts w:ascii="Palatino Linotype" w:hAnsi="Palatino Linotype" w:cs="Tahoma"/>
          <w:b/>
          <w:sz w:val="22"/>
          <w:szCs w:val="22"/>
        </w:rPr>
      </w:pPr>
      <w:r w:rsidRPr="001D45E8">
        <w:rPr>
          <w:rFonts w:ascii="Palatino Linotype" w:hAnsi="Palatino Linotype" w:cs="Tahoma"/>
          <w:bCs/>
          <w:szCs w:val="22"/>
        </w:rPr>
        <w:t xml:space="preserve"> </w:t>
      </w:r>
      <w:bookmarkEnd w:id="1"/>
      <w:r w:rsidR="001D00D6">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6C627600" w14:textId="52930B36" w:rsidR="00BE4843" w:rsidRPr="00AD50F9" w:rsidRDefault="00A3242B" w:rsidP="0096781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w:t>
      </w:r>
      <w:r w:rsidR="004E401B" w:rsidRPr="00AD50F9">
        <w:rPr>
          <w:rFonts w:ascii="Palatino Linotype" w:hAnsi="Palatino Linotype" w:cs="Tahoma"/>
          <w:sz w:val="22"/>
          <w:szCs w:val="22"/>
        </w:rPr>
        <w:t xml:space="preserve"> </w:t>
      </w:r>
      <w:r w:rsidR="00A33113">
        <w:rPr>
          <w:rFonts w:ascii="Palatino Linotype" w:hAnsi="Palatino Linotype" w:cs="Tahoma"/>
          <w:sz w:val="22"/>
          <w:szCs w:val="22"/>
        </w:rPr>
        <w:t>veinti</w:t>
      </w:r>
      <w:r w:rsidR="00B12157">
        <w:rPr>
          <w:rFonts w:ascii="Palatino Linotype" w:hAnsi="Palatino Linotype" w:cs="Tahoma"/>
          <w:sz w:val="22"/>
          <w:szCs w:val="22"/>
        </w:rPr>
        <w:t>uno</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de</w:t>
      </w:r>
      <w:r w:rsidR="007A75DF">
        <w:rPr>
          <w:rFonts w:ascii="Palatino Linotype" w:hAnsi="Palatino Linotype" w:cs="Tahoma"/>
          <w:sz w:val="22"/>
          <w:szCs w:val="22"/>
        </w:rPr>
        <w:t xml:space="preserve"> </w:t>
      </w:r>
      <w:r w:rsidR="00B12157">
        <w:rPr>
          <w:rFonts w:ascii="Palatino Linotype" w:hAnsi="Palatino Linotype" w:cs="Tahoma"/>
          <w:sz w:val="22"/>
          <w:szCs w:val="22"/>
        </w:rPr>
        <w:t>juni</w:t>
      </w:r>
      <w:r w:rsidR="007A75DF">
        <w:rPr>
          <w:rFonts w:ascii="Palatino Linotype" w:hAnsi="Palatino Linotype" w:cs="Tahoma"/>
          <w:sz w:val="22"/>
          <w:szCs w:val="22"/>
        </w:rPr>
        <w:t>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967813">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67813">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7143CB08" w:rsidR="00CD3A5D" w:rsidRPr="001D00D6" w:rsidRDefault="00B12157" w:rsidP="00967813">
      <w:pPr>
        <w:autoSpaceDE w:val="0"/>
        <w:autoSpaceDN w:val="0"/>
        <w:adjustRightInd w:val="0"/>
        <w:spacing w:line="360" w:lineRule="auto"/>
        <w:ind w:left="567" w:right="567"/>
        <w:jc w:val="both"/>
        <w:rPr>
          <w:rFonts w:ascii="Palatino Linotype" w:hAnsi="Palatino Linotype" w:cs="Tahoma"/>
          <w:i/>
        </w:rPr>
      </w:pPr>
      <w:r w:rsidRPr="00B12157">
        <w:rPr>
          <w:rFonts w:ascii="Palatino Linotype" w:hAnsi="Palatino Linotype" w:cs="Tahoma"/>
          <w:i/>
        </w:rPr>
        <w:t>La respuesta del sujeto obligado</w:t>
      </w:r>
      <w:r w:rsidR="00A33113" w:rsidRPr="00A33113">
        <w:rPr>
          <w:rFonts w:ascii="Palatino Linotype" w:hAnsi="Palatino Linotype" w:cs="Tahoma"/>
          <w:i/>
        </w:rPr>
        <w:t xml:space="preserve"> </w:t>
      </w:r>
      <w:r w:rsidR="00B5491F" w:rsidRPr="00B5491F">
        <w:rPr>
          <w:rFonts w:ascii="Palatino Linotype" w:hAnsi="Palatino Linotype" w:cs="Tahoma"/>
          <w:i/>
        </w:rPr>
        <w:t>(Sic.)</w:t>
      </w:r>
      <w:r w:rsidR="00D407D3" w:rsidRPr="00D407D3">
        <w:rPr>
          <w:rFonts w:ascii="Palatino Linotype" w:hAnsi="Palatino Linotype" w:cs="Tahoma"/>
          <w:i/>
        </w:rPr>
        <w:t xml:space="preserve"> </w:t>
      </w:r>
    </w:p>
    <w:p w14:paraId="74B1A62A" w14:textId="77777777" w:rsidR="000313A7" w:rsidRPr="001D00D6" w:rsidRDefault="000313A7" w:rsidP="00967813">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67813">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4287387E" w14:textId="3ED243BF" w:rsidR="007A75DF" w:rsidRPr="007A75DF" w:rsidRDefault="00B12157" w:rsidP="00967813">
      <w:pPr>
        <w:autoSpaceDE w:val="0"/>
        <w:autoSpaceDN w:val="0"/>
        <w:adjustRightInd w:val="0"/>
        <w:spacing w:line="360" w:lineRule="auto"/>
        <w:ind w:left="567" w:right="567"/>
        <w:jc w:val="both"/>
        <w:rPr>
          <w:rFonts w:ascii="Palatino Linotype" w:hAnsi="Palatino Linotype" w:cs="Tahoma"/>
          <w:i/>
        </w:rPr>
      </w:pPr>
      <w:r w:rsidRPr="00B12157">
        <w:rPr>
          <w:rFonts w:ascii="Palatino Linotype" w:hAnsi="Palatino Linotype" w:cs="Tahoma"/>
          <w:i/>
        </w:rPr>
        <w:t xml:space="preserve">La solicitud fue clara y precisa, sin embargo aun cuando los propios convenios lo refieren, el sujeto obligado omitió hacer entrega de la versión pública de los anexos de los convenios, consistentes en la "transferencia bancaria", por lo que la respuesta del sujeto obligado se encuentra incompleta. No debe pasar por alto que las transferencias antes mencionadas lo son respecto a recursos públicos, por lo que su erogación debe ajustar a derecho y por ende debe ser transparente. </w:t>
      </w:r>
      <w:r w:rsidR="00B5491F" w:rsidRPr="00B5491F">
        <w:rPr>
          <w:rFonts w:ascii="Palatino Linotype" w:hAnsi="Palatino Linotype" w:cs="Tahoma"/>
          <w:i/>
        </w:rPr>
        <w:t>(Sic.)</w:t>
      </w:r>
      <w:r w:rsidR="007A75DF" w:rsidRPr="007A75DF">
        <w:rPr>
          <w:rFonts w:ascii="Palatino Linotype" w:hAnsi="Palatino Linotype" w:cs="Tahoma"/>
          <w:i/>
        </w:rPr>
        <w:t xml:space="preserve"> </w:t>
      </w:r>
    </w:p>
    <w:p w14:paraId="3E065E3C" w14:textId="77777777" w:rsidR="009D5C33" w:rsidRPr="00AD50F9" w:rsidRDefault="009D5C33" w:rsidP="00967813">
      <w:pPr>
        <w:spacing w:line="360" w:lineRule="auto"/>
        <w:jc w:val="both"/>
        <w:rPr>
          <w:rFonts w:ascii="Palatino Linotype" w:hAnsi="Palatino Linotype" w:cs="Tahoma"/>
          <w:b/>
          <w:sz w:val="22"/>
          <w:szCs w:val="22"/>
        </w:rPr>
      </w:pPr>
    </w:p>
    <w:p w14:paraId="155A0967" w14:textId="77777777" w:rsidR="00B31222" w:rsidRPr="00AD50F9" w:rsidRDefault="00BE4843" w:rsidP="00967813">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67813">
      <w:pPr>
        <w:spacing w:line="360" w:lineRule="auto"/>
        <w:jc w:val="both"/>
        <w:rPr>
          <w:rFonts w:ascii="Palatino Linotype" w:eastAsia="Batang" w:hAnsi="Palatino Linotype" w:cs="Tahoma"/>
          <w:b/>
          <w:bCs/>
          <w:sz w:val="22"/>
          <w:szCs w:val="22"/>
        </w:rPr>
      </w:pPr>
    </w:p>
    <w:p w14:paraId="1689F9B1" w14:textId="18C27122" w:rsidR="00BE4843" w:rsidRPr="00AD50F9" w:rsidRDefault="00A90F9B" w:rsidP="00967813">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A33113">
        <w:rPr>
          <w:rFonts w:ascii="Palatino Linotype" w:eastAsia="Batang" w:hAnsi="Palatino Linotype" w:cs="Tahoma"/>
          <w:bCs/>
          <w:sz w:val="22"/>
          <w:szCs w:val="22"/>
        </w:rPr>
        <w:t>veinti</w:t>
      </w:r>
      <w:r w:rsidR="002E3D7F">
        <w:rPr>
          <w:rFonts w:ascii="Palatino Linotype" w:eastAsia="Batang" w:hAnsi="Palatino Linotype" w:cs="Tahoma"/>
          <w:bCs/>
          <w:sz w:val="22"/>
          <w:szCs w:val="22"/>
        </w:rPr>
        <w:t>uno</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w:t>
      </w:r>
      <w:r w:rsidR="002E3D7F">
        <w:rPr>
          <w:rFonts w:ascii="Palatino Linotype" w:eastAsia="Batang" w:hAnsi="Palatino Linotype" w:cs="Tahoma"/>
          <w:bCs/>
          <w:sz w:val="22"/>
          <w:szCs w:val="22"/>
        </w:rPr>
        <w:t>juni</w:t>
      </w:r>
      <w:r w:rsidR="00341DA8">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A33113" w:rsidRPr="00A33113">
        <w:rPr>
          <w:rFonts w:ascii="Palatino Linotype" w:eastAsia="Batang" w:hAnsi="Palatino Linotype" w:cs="Tahoma"/>
          <w:b/>
          <w:bCs/>
          <w:sz w:val="22"/>
          <w:szCs w:val="22"/>
        </w:rPr>
        <w:t>0</w:t>
      </w:r>
      <w:r w:rsidR="002E3D7F">
        <w:rPr>
          <w:rFonts w:ascii="Palatino Linotype" w:eastAsia="Batang" w:hAnsi="Palatino Linotype" w:cs="Tahoma"/>
          <w:b/>
          <w:bCs/>
          <w:sz w:val="22"/>
          <w:szCs w:val="22"/>
        </w:rPr>
        <w:t>5701</w:t>
      </w:r>
      <w:r w:rsidR="00A33113" w:rsidRPr="00A33113">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 xml:space="preserve">al medio de impugnación que nos ocupa, con base en el sistema </w:t>
      </w:r>
      <w:r w:rsidR="00BE4843" w:rsidRPr="00AD50F9">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67813">
      <w:pPr>
        <w:spacing w:line="360" w:lineRule="auto"/>
        <w:ind w:left="708"/>
        <w:jc w:val="both"/>
        <w:rPr>
          <w:rFonts w:ascii="Palatino Linotype" w:eastAsia="Batang" w:hAnsi="Palatino Linotype" w:cs="Tahoma"/>
          <w:bCs/>
          <w:sz w:val="22"/>
          <w:szCs w:val="22"/>
        </w:rPr>
      </w:pPr>
    </w:p>
    <w:p w14:paraId="225D0AB5" w14:textId="34317767" w:rsidR="00B31222" w:rsidRPr="00AD50F9" w:rsidRDefault="00625DFB" w:rsidP="00967813">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A33113">
        <w:rPr>
          <w:rFonts w:ascii="Palatino Linotype" w:eastAsia="Batang" w:hAnsi="Palatino Linotype" w:cs="Tahoma"/>
          <w:bCs/>
          <w:sz w:val="22"/>
          <w:szCs w:val="22"/>
          <w:lang w:val="es-ES_tradnl"/>
        </w:rPr>
        <w:t>veinti</w:t>
      </w:r>
      <w:r w:rsidR="002E3D7F">
        <w:rPr>
          <w:rFonts w:ascii="Palatino Linotype" w:eastAsia="Batang" w:hAnsi="Palatino Linotype" w:cs="Tahoma"/>
          <w:bCs/>
          <w:sz w:val="22"/>
          <w:szCs w:val="22"/>
          <w:lang w:val="es-ES_tradnl"/>
        </w:rPr>
        <w:t>siete</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2E3D7F">
        <w:rPr>
          <w:rFonts w:ascii="Palatino Linotype" w:eastAsia="Batang" w:hAnsi="Palatino Linotype" w:cs="Tahoma"/>
          <w:bCs/>
          <w:sz w:val="22"/>
          <w:szCs w:val="22"/>
          <w:lang w:val="es-ES_tradnl"/>
        </w:rPr>
        <w:t>juni</w:t>
      </w:r>
      <w:r w:rsidR="00341DA8">
        <w:rPr>
          <w:rFonts w:ascii="Palatino Linotype" w:eastAsia="Batang" w:hAnsi="Palatino Linotype" w:cs="Tahoma"/>
          <w:bCs/>
          <w:sz w:val="22"/>
          <w:szCs w:val="22"/>
          <w:lang w:val="es-ES_tradnl"/>
        </w:rPr>
        <w:t>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67813">
      <w:pPr>
        <w:spacing w:line="360" w:lineRule="auto"/>
        <w:jc w:val="both"/>
        <w:rPr>
          <w:rFonts w:ascii="Palatino Linotype" w:hAnsi="Palatino Linotype" w:cs="Tahoma"/>
          <w:bCs/>
          <w:sz w:val="22"/>
          <w:szCs w:val="22"/>
        </w:rPr>
      </w:pPr>
    </w:p>
    <w:p w14:paraId="204A5E51" w14:textId="7F40CEA5" w:rsidR="0042519C" w:rsidRDefault="004406CF" w:rsidP="00967813">
      <w:pPr>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Informe justificado del Sujeto Obligado.</w:t>
      </w:r>
      <w:r w:rsidR="00341DA8" w:rsidRPr="00341DA8">
        <w:rPr>
          <w:rFonts w:ascii="Palatino Linotype" w:hAnsi="Palatino Linotype" w:cs="Tahoma"/>
          <w:b/>
          <w:sz w:val="22"/>
          <w:szCs w:val="22"/>
        </w:rPr>
        <w:t xml:space="preserve"> </w:t>
      </w:r>
      <w:r w:rsidR="00A3242B">
        <w:rPr>
          <w:rFonts w:ascii="Palatino Linotype" w:hAnsi="Palatino Linotype" w:cs="Tahoma"/>
          <w:bCs/>
          <w:sz w:val="22"/>
          <w:szCs w:val="22"/>
        </w:rPr>
        <w:t>El</w:t>
      </w:r>
      <w:r w:rsidR="00B5491F" w:rsidRPr="00B5491F">
        <w:rPr>
          <w:rFonts w:ascii="Palatino Linotype" w:hAnsi="Palatino Linotype" w:cs="Tahoma"/>
          <w:bCs/>
          <w:sz w:val="22"/>
          <w:szCs w:val="22"/>
        </w:rPr>
        <w:t xml:space="preserve"> </w:t>
      </w:r>
      <w:r w:rsidR="002E3D7F">
        <w:rPr>
          <w:rFonts w:ascii="Palatino Linotype" w:hAnsi="Palatino Linotype" w:cs="Tahoma"/>
          <w:bCs/>
          <w:sz w:val="22"/>
          <w:szCs w:val="22"/>
        </w:rPr>
        <w:t>veintiocho</w:t>
      </w:r>
      <w:r w:rsidR="00B5491F" w:rsidRPr="00B5491F">
        <w:rPr>
          <w:rFonts w:ascii="Palatino Linotype" w:hAnsi="Palatino Linotype" w:cs="Tahoma"/>
          <w:bCs/>
          <w:sz w:val="22"/>
          <w:szCs w:val="22"/>
        </w:rPr>
        <w:t xml:space="preserve"> de </w:t>
      </w:r>
      <w:r w:rsidR="00A33113">
        <w:rPr>
          <w:rFonts w:ascii="Palatino Linotype" w:hAnsi="Palatino Linotype" w:cs="Tahoma"/>
          <w:bCs/>
          <w:sz w:val="22"/>
          <w:szCs w:val="22"/>
        </w:rPr>
        <w:t>juni</w:t>
      </w:r>
      <w:r w:rsidR="00B5491F">
        <w:rPr>
          <w:rFonts w:ascii="Palatino Linotype" w:hAnsi="Palatino Linotype" w:cs="Tahoma"/>
          <w:bCs/>
          <w:sz w:val="22"/>
          <w:szCs w:val="22"/>
        </w:rPr>
        <w:t>o</w:t>
      </w:r>
      <w:r w:rsidR="00B5491F" w:rsidRPr="00B5491F">
        <w:rPr>
          <w:rFonts w:ascii="Palatino Linotype" w:hAnsi="Palatino Linotype" w:cs="Tahoma"/>
          <w:bCs/>
          <w:sz w:val="22"/>
          <w:szCs w:val="22"/>
        </w:rPr>
        <w:t xml:space="preserve"> de dos mil diecinueve, a través del Sistema de Acceso a la Información Mexiquense (SAIMEX), se recibió en este instituto </w:t>
      </w:r>
      <w:r w:rsidR="002E3D7F">
        <w:rPr>
          <w:rFonts w:ascii="Palatino Linotype" w:hAnsi="Palatino Linotype" w:cs="Tahoma"/>
          <w:bCs/>
          <w:sz w:val="22"/>
          <w:szCs w:val="22"/>
        </w:rPr>
        <w:t>dos</w:t>
      </w:r>
      <w:r w:rsidR="00B5491F" w:rsidRPr="00B5491F">
        <w:rPr>
          <w:rFonts w:ascii="Palatino Linotype" w:hAnsi="Palatino Linotype" w:cs="Tahoma"/>
          <w:bCs/>
          <w:sz w:val="22"/>
          <w:szCs w:val="22"/>
        </w:rPr>
        <w:t xml:space="preserve"> archivo</w:t>
      </w:r>
      <w:r w:rsidR="00561750">
        <w:rPr>
          <w:rFonts w:ascii="Palatino Linotype" w:hAnsi="Palatino Linotype" w:cs="Tahoma"/>
          <w:bCs/>
          <w:sz w:val="22"/>
          <w:szCs w:val="22"/>
        </w:rPr>
        <w:t>s</w:t>
      </w:r>
      <w:r w:rsidR="00B5491F" w:rsidRPr="00B5491F">
        <w:rPr>
          <w:rFonts w:ascii="Palatino Linotype" w:hAnsi="Palatino Linotype" w:cs="Tahoma"/>
          <w:bCs/>
          <w:sz w:val="22"/>
          <w:szCs w:val="22"/>
        </w:rPr>
        <w:t xml:space="preserve"> electrónico</w:t>
      </w:r>
      <w:r w:rsidR="00561750">
        <w:rPr>
          <w:rFonts w:ascii="Palatino Linotype" w:hAnsi="Palatino Linotype" w:cs="Tahoma"/>
          <w:bCs/>
          <w:sz w:val="22"/>
          <w:szCs w:val="22"/>
        </w:rPr>
        <w:t>s</w:t>
      </w:r>
      <w:r w:rsidR="00B5491F" w:rsidRPr="00B5491F">
        <w:rPr>
          <w:rFonts w:ascii="Palatino Linotype" w:hAnsi="Palatino Linotype" w:cs="Tahoma"/>
          <w:bCs/>
          <w:sz w:val="22"/>
          <w:szCs w:val="22"/>
        </w:rPr>
        <w:t xml:space="preserve"> remitido</w:t>
      </w:r>
      <w:r w:rsidR="00561750">
        <w:rPr>
          <w:rFonts w:ascii="Palatino Linotype" w:hAnsi="Palatino Linotype" w:cs="Tahoma"/>
          <w:bCs/>
          <w:sz w:val="22"/>
          <w:szCs w:val="22"/>
        </w:rPr>
        <w:t>s</w:t>
      </w:r>
      <w:r w:rsidR="00B5491F" w:rsidRPr="00B5491F">
        <w:rPr>
          <w:rFonts w:ascii="Palatino Linotype" w:hAnsi="Palatino Linotype" w:cs="Tahoma"/>
          <w:bCs/>
          <w:sz w:val="22"/>
          <w:szCs w:val="22"/>
        </w:rPr>
        <w:t xml:space="preserve"> por el </w:t>
      </w:r>
      <w:r w:rsidR="00B5491F">
        <w:rPr>
          <w:rFonts w:ascii="Palatino Linotype" w:hAnsi="Palatino Linotype" w:cs="Tahoma"/>
          <w:bCs/>
          <w:sz w:val="22"/>
          <w:szCs w:val="22"/>
        </w:rPr>
        <w:t>Sujeto Obligado</w:t>
      </w:r>
      <w:r w:rsidR="00B5491F" w:rsidRPr="00B5491F">
        <w:rPr>
          <w:rFonts w:ascii="Palatino Linotype" w:hAnsi="Palatino Linotype" w:cs="Tahoma"/>
          <w:bCs/>
          <w:sz w:val="22"/>
          <w:szCs w:val="22"/>
        </w:rPr>
        <w:t xml:space="preserve"> consistente</w:t>
      </w:r>
      <w:r w:rsidR="00561750">
        <w:rPr>
          <w:rFonts w:ascii="Palatino Linotype" w:hAnsi="Palatino Linotype" w:cs="Tahoma"/>
          <w:bCs/>
          <w:sz w:val="22"/>
          <w:szCs w:val="22"/>
        </w:rPr>
        <w:t>s</w:t>
      </w:r>
      <w:r w:rsidR="00B5491F" w:rsidRPr="00B5491F">
        <w:rPr>
          <w:rFonts w:ascii="Palatino Linotype" w:hAnsi="Palatino Linotype" w:cs="Tahoma"/>
          <w:bCs/>
          <w:sz w:val="22"/>
          <w:szCs w:val="22"/>
        </w:rPr>
        <w:t xml:space="preserve"> en lo siguiente:</w:t>
      </w:r>
    </w:p>
    <w:p w14:paraId="181F574F" w14:textId="77777777" w:rsidR="00A3242B" w:rsidRDefault="00A3242B" w:rsidP="00967813">
      <w:pPr>
        <w:spacing w:line="360" w:lineRule="auto"/>
        <w:jc w:val="both"/>
        <w:rPr>
          <w:rFonts w:ascii="Palatino Linotype" w:hAnsi="Palatino Linotype" w:cs="Tahoma"/>
          <w:bCs/>
          <w:sz w:val="22"/>
          <w:szCs w:val="22"/>
        </w:rPr>
      </w:pPr>
    </w:p>
    <w:p w14:paraId="744491DD" w14:textId="4E7A93E4" w:rsidR="00A3242B" w:rsidRPr="00A3242B" w:rsidRDefault="00561750" w:rsidP="00967813">
      <w:pPr>
        <w:pStyle w:val="Prrafodelista"/>
        <w:numPr>
          <w:ilvl w:val="0"/>
          <w:numId w:val="25"/>
        </w:numPr>
        <w:spacing w:line="360" w:lineRule="auto"/>
        <w:jc w:val="both"/>
        <w:rPr>
          <w:rFonts w:ascii="Palatino Linotype" w:hAnsi="Palatino Linotype" w:cs="Tahoma"/>
          <w:szCs w:val="22"/>
        </w:rPr>
      </w:pPr>
      <w:r w:rsidRPr="00561750">
        <w:rPr>
          <w:rFonts w:ascii="Palatino Linotype" w:hAnsi="Palatino Linotype" w:cs="Tahoma"/>
          <w:b/>
          <w:bCs/>
          <w:szCs w:val="22"/>
        </w:rPr>
        <w:t>42.pdf</w:t>
      </w:r>
      <w:r w:rsidR="00B5491F">
        <w:rPr>
          <w:rFonts w:ascii="Palatino Linotype" w:hAnsi="Palatino Linotype" w:cs="Tahoma"/>
          <w:b/>
          <w:bCs/>
          <w:szCs w:val="22"/>
        </w:rPr>
        <w:t>:</w:t>
      </w:r>
      <w:r w:rsidR="00790463">
        <w:rPr>
          <w:rFonts w:ascii="Palatino Linotype" w:hAnsi="Palatino Linotype" w:cs="Tahoma"/>
          <w:b/>
          <w:bCs/>
          <w:szCs w:val="22"/>
        </w:rPr>
        <w:t xml:space="preserve"> </w:t>
      </w:r>
      <w:r w:rsidR="00A3242B" w:rsidRPr="00D20613">
        <w:rPr>
          <w:rFonts w:ascii="Palatino Linotype" w:hAnsi="Palatino Linotype" w:cs="Tahoma"/>
          <w:szCs w:val="22"/>
        </w:rPr>
        <w:t xml:space="preserve">El cual </w:t>
      </w:r>
      <w:r w:rsidR="00A3242B">
        <w:rPr>
          <w:rFonts w:ascii="Palatino Linotype" w:hAnsi="Palatino Linotype" w:cs="Tahoma"/>
          <w:szCs w:val="22"/>
        </w:rPr>
        <w:t>versa sobre</w:t>
      </w:r>
      <w:r w:rsidR="00A3242B" w:rsidRPr="00D20613">
        <w:rPr>
          <w:rFonts w:ascii="Palatino Linotype" w:hAnsi="Palatino Linotype" w:cs="Tahoma"/>
          <w:szCs w:val="22"/>
        </w:rPr>
        <w:t xml:space="preserve"> lo siguiente:</w:t>
      </w:r>
    </w:p>
    <w:p w14:paraId="6B094E39" w14:textId="77777777" w:rsidR="00A3242B" w:rsidRDefault="00A3242B" w:rsidP="00967813">
      <w:pPr>
        <w:pStyle w:val="Prrafodelista"/>
        <w:spacing w:line="360" w:lineRule="auto"/>
        <w:ind w:left="786"/>
        <w:jc w:val="both"/>
        <w:rPr>
          <w:rFonts w:ascii="Palatino Linotype" w:hAnsi="Palatino Linotype" w:cs="Tahoma"/>
          <w:b/>
          <w:bCs/>
          <w:szCs w:val="22"/>
        </w:rPr>
      </w:pPr>
    </w:p>
    <w:p w14:paraId="24DB9CE9" w14:textId="77777777" w:rsidR="00A3242B" w:rsidRPr="00D20613" w:rsidRDefault="00A3242B" w:rsidP="00967813">
      <w:pPr>
        <w:pStyle w:val="Prrafodelista"/>
        <w:spacing w:line="360" w:lineRule="auto"/>
        <w:ind w:left="567" w:right="567"/>
        <w:jc w:val="both"/>
        <w:rPr>
          <w:rFonts w:ascii="Palatino Linotype" w:hAnsi="Palatino Linotype" w:cs="Tahoma"/>
          <w:i/>
          <w:iCs/>
          <w:sz w:val="20"/>
          <w:szCs w:val="20"/>
        </w:rPr>
      </w:pPr>
      <w:r w:rsidRPr="00D20613">
        <w:rPr>
          <w:rFonts w:ascii="Palatino Linotype" w:hAnsi="Palatino Linotype" w:cs="Tahoma"/>
          <w:i/>
          <w:iCs/>
          <w:sz w:val="20"/>
          <w:szCs w:val="20"/>
        </w:rPr>
        <w:t xml:space="preserve">“Por este medio le comento a usted que el Tribunal Estatal de Conciliación y Arbitraje únicamente registra mediante acuerdo cada uno de los convenios en donde se da fe y legalidad en presencia de las partes de las sentencias que se determinan, en esta ocasión si se cuenta con copias del anexo que usted refiere sin embargo fueron testados los números de cuentas y el modo en el cual se le entrego el monto establecido si usted requiere más claridad en los documentos puede solicitarlos al municipio que hace referencia y solicitar la autorización de los actores involucrados para que su clave interbancaria sea compartida, adjunto encontrará los anexos solicitados.” </w:t>
      </w:r>
    </w:p>
    <w:p w14:paraId="7BE89651" w14:textId="77777777" w:rsidR="00A3242B" w:rsidRDefault="00A3242B" w:rsidP="00967813">
      <w:pPr>
        <w:pStyle w:val="Prrafodelista"/>
        <w:spacing w:line="360" w:lineRule="auto"/>
        <w:ind w:left="786"/>
        <w:jc w:val="both"/>
        <w:rPr>
          <w:rFonts w:ascii="Palatino Linotype" w:hAnsi="Palatino Linotype" w:cs="Tahoma"/>
          <w:b/>
          <w:bCs/>
          <w:szCs w:val="22"/>
        </w:rPr>
      </w:pPr>
    </w:p>
    <w:p w14:paraId="15C0CEAC" w14:textId="307AE83B" w:rsidR="00A3242B" w:rsidRDefault="00561750" w:rsidP="00967813">
      <w:pPr>
        <w:pStyle w:val="Prrafodelista"/>
        <w:numPr>
          <w:ilvl w:val="0"/>
          <w:numId w:val="25"/>
        </w:numPr>
        <w:spacing w:line="360" w:lineRule="auto"/>
        <w:jc w:val="both"/>
        <w:rPr>
          <w:rFonts w:ascii="Palatino Linotype" w:hAnsi="Palatino Linotype" w:cs="Tahoma"/>
          <w:szCs w:val="22"/>
        </w:rPr>
      </w:pPr>
      <w:r w:rsidRPr="00561750">
        <w:rPr>
          <w:rFonts w:ascii="Palatino Linotype" w:hAnsi="Palatino Linotype" w:cs="Tahoma"/>
          <w:b/>
          <w:bCs/>
          <w:szCs w:val="22"/>
        </w:rPr>
        <w:lastRenderedPageBreak/>
        <w:t>Escaneo0007.pd</w:t>
      </w:r>
      <w:r>
        <w:rPr>
          <w:rFonts w:ascii="Palatino Linotype" w:hAnsi="Palatino Linotype" w:cs="Tahoma"/>
          <w:b/>
          <w:bCs/>
          <w:szCs w:val="22"/>
        </w:rPr>
        <w:t>f:</w:t>
      </w:r>
      <w:r w:rsidR="00A3242B">
        <w:rPr>
          <w:rFonts w:ascii="Palatino Linotype" w:hAnsi="Palatino Linotype" w:cs="Tahoma"/>
          <w:szCs w:val="22"/>
        </w:rPr>
        <w:t xml:space="preserve"> </w:t>
      </w:r>
      <w:r w:rsidR="00A3242B" w:rsidRPr="00095E4F">
        <w:rPr>
          <w:rFonts w:ascii="Palatino Linotype" w:hAnsi="Palatino Linotype" w:cs="Tahoma"/>
          <w:szCs w:val="22"/>
        </w:rPr>
        <w:t xml:space="preserve">El cual contiene </w:t>
      </w:r>
      <w:r w:rsidR="00A3242B">
        <w:rPr>
          <w:rFonts w:ascii="Palatino Linotype" w:hAnsi="Palatino Linotype" w:cs="Tahoma"/>
          <w:szCs w:val="22"/>
        </w:rPr>
        <w:t>cincuenta y ocho fojas consistentes en los Reportes de Pagos de Empleados en los cuales se observan datos personales susceptibles de clasificación.</w:t>
      </w:r>
    </w:p>
    <w:p w14:paraId="5DFA5C20" w14:textId="77777777" w:rsidR="00B5491F" w:rsidRDefault="00B5491F" w:rsidP="00967813">
      <w:pPr>
        <w:spacing w:line="360" w:lineRule="auto"/>
        <w:jc w:val="both"/>
        <w:rPr>
          <w:rFonts w:ascii="Palatino Linotype" w:hAnsi="Palatino Linotype" w:cs="Tahoma"/>
          <w:szCs w:val="22"/>
        </w:rPr>
      </w:pPr>
    </w:p>
    <w:p w14:paraId="16AE4F57" w14:textId="3736D2BB" w:rsidR="003A6D26" w:rsidRDefault="003A6D26" w:rsidP="00967813">
      <w:pPr>
        <w:spacing w:line="360" w:lineRule="auto"/>
        <w:jc w:val="both"/>
        <w:rPr>
          <w:rFonts w:ascii="Palatino Linotype" w:hAnsi="Palatino Linotype" w:cs="Tahoma"/>
          <w:sz w:val="22"/>
          <w:szCs w:val="22"/>
        </w:rPr>
      </w:pPr>
      <w:r w:rsidRPr="003A6D26">
        <w:rPr>
          <w:rFonts w:ascii="Palatino Linotype" w:hAnsi="Palatino Linotype" w:cs="Tahoma"/>
          <w:sz w:val="22"/>
          <w:szCs w:val="22"/>
        </w:rPr>
        <w:t xml:space="preserve">Cabe precisar que el Informe Justificado no fue puesto a la vista del Recurrente, en atención a que </w:t>
      </w:r>
      <w:r>
        <w:rPr>
          <w:rFonts w:ascii="Palatino Linotype" w:hAnsi="Palatino Linotype" w:cs="Tahoma"/>
          <w:sz w:val="22"/>
          <w:szCs w:val="22"/>
        </w:rPr>
        <w:t>uno de los archivos contiene datos</w:t>
      </w:r>
      <w:r w:rsidR="00A97044">
        <w:rPr>
          <w:rFonts w:ascii="Palatino Linotype" w:hAnsi="Palatino Linotype" w:cs="Tahoma"/>
          <w:sz w:val="22"/>
          <w:szCs w:val="22"/>
        </w:rPr>
        <w:t xml:space="preserve"> confidenciales</w:t>
      </w:r>
      <w:r>
        <w:rPr>
          <w:rFonts w:ascii="Palatino Linotype" w:hAnsi="Palatino Linotype" w:cs="Tahoma"/>
          <w:sz w:val="22"/>
          <w:szCs w:val="22"/>
        </w:rPr>
        <w:t xml:space="preserve">, tales como </w:t>
      </w:r>
      <w:r w:rsidR="00A97044">
        <w:rPr>
          <w:rFonts w:ascii="Palatino Linotype" w:hAnsi="Palatino Linotype" w:cs="Tahoma"/>
          <w:sz w:val="22"/>
          <w:szCs w:val="22"/>
        </w:rPr>
        <w:t>la</w:t>
      </w:r>
      <w:r>
        <w:rPr>
          <w:rFonts w:ascii="Palatino Linotype" w:hAnsi="Palatino Linotype" w:cs="Tahoma"/>
          <w:sz w:val="22"/>
          <w:szCs w:val="22"/>
        </w:rPr>
        <w:t xml:space="preserve"> huella dactilar</w:t>
      </w:r>
      <w:r w:rsidR="00A97044">
        <w:rPr>
          <w:rFonts w:ascii="Palatino Linotype" w:hAnsi="Palatino Linotype" w:cs="Tahoma"/>
          <w:sz w:val="22"/>
          <w:szCs w:val="22"/>
        </w:rPr>
        <w:t xml:space="preserve"> delos ex servidores públicos. </w:t>
      </w:r>
      <w:r>
        <w:rPr>
          <w:rFonts w:ascii="Palatino Linotype" w:hAnsi="Palatino Linotype" w:cs="Tahoma"/>
          <w:sz w:val="22"/>
          <w:szCs w:val="22"/>
        </w:rPr>
        <w:t xml:space="preserve"> </w:t>
      </w:r>
    </w:p>
    <w:p w14:paraId="59703CAC" w14:textId="77777777" w:rsidR="003A6D26" w:rsidRPr="003A6D26" w:rsidRDefault="003A6D26" w:rsidP="00967813">
      <w:pPr>
        <w:spacing w:line="360" w:lineRule="auto"/>
        <w:jc w:val="both"/>
        <w:rPr>
          <w:rFonts w:ascii="Palatino Linotype" w:hAnsi="Palatino Linotype" w:cs="Tahoma"/>
          <w:sz w:val="22"/>
          <w:szCs w:val="22"/>
        </w:rPr>
      </w:pPr>
    </w:p>
    <w:p w14:paraId="46B93FF0" w14:textId="11C875C3" w:rsidR="00A33113" w:rsidRDefault="00377383" w:rsidP="00967813">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w:t>
      </w:r>
      <w:r w:rsidR="0042519C">
        <w:rPr>
          <w:rFonts w:ascii="Palatino Linotype" w:hAnsi="Palatino Linotype" w:cs="Tahoma"/>
          <w:b/>
          <w:sz w:val="22"/>
          <w:szCs w:val="22"/>
        </w:rPr>
        <w:t>.</w:t>
      </w:r>
      <w:r w:rsidR="0042519C" w:rsidRPr="0042519C">
        <w:t xml:space="preserve"> </w:t>
      </w:r>
      <w:r w:rsidR="00BA5BC4" w:rsidRPr="00BA5BC4">
        <w:rPr>
          <w:rFonts w:ascii="Palatino Linotype" w:hAnsi="Palatino Linotype" w:cs="Tahoma"/>
          <w:bCs/>
          <w:sz w:val="22"/>
          <w:szCs w:val="22"/>
        </w:rPr>
        <w:t>Cabe señalar, que de las constancias que obran en el Sistema de Acceso a la Información</w:t>
      </w:r>
      <w:r w:rsidR="00BA5BC4">
        <w:rPr>
          <w:rFonts w:ascii="Palatino Linotype" w:hAnsi="Palatino Linotype" w:cs="Tahoma"/>
          <w:bCs/>
          <w:sz w:val="22"/>
          <w:szCs w:val="22"/>
        </w:rPr>
        <w:t xml:space="preserve"> </w:t>
      </w:r>
      <w:r w:rsidR="00BA5BC4" w:rsidRPr="00BA5BC4">
        <w:rPr>
          <w:rFonts w:ascii="Palatino Linotype" w:hAnsi="Palatino Linotype" w:cs="Tahoma"/>
          <w:bCs/>
          <w:sz w:val="22"/>
          <w:szCs w:val="22"/>
        </w:rPr>
        <w:t xml:space="preserve">Mexiquense (SAIMEX), se advierte que el </w:t>
      </w:r>
      <w:r w:rsidR="00BA5BC4">
        <w:rPr>
          <w:rFonts w:ascii="Palatino Linotype" w:hAnsi="Palatino Linotype" w:cs="Tahoma"/>
          <w:bCs/>
          <w:sz w:val="22"/>
          <w:szCs w:val="22"/>
        </w:rPr>
        <w:t xml:space="preserve">Recurrente </w:t>
      </w:r>
      <w:r w:rsidR="00BA5BC4" w:rsidRPr="00BA5BC4">
        <w:rPr>
          <w:rFonts w:ascii="Palatino Linotype" w:hAnsi="Palatino Linotype" w:cs="Tahoma"/>
          <w:bCs/>
          <w:sz w:val="22"/>
          <w:szCs w:val="22"/>
        </w:rPr>
        <w:t xml:space="preserve">fue omiso en presentar </w:t>
      </w:r>
      <w:r w:rsidR="00BA5BC4">
        <w:rPr>
          <w:rFonts w:ascii="Palatino Linotype" w:hAnsi="Palatino Linotype" w:cs="Tahoma"/>
          <w:bCs/>
          <w:sz w:val="22"/>
          <w:szCs w:val="22"/>
        </w:rPr>
        <w:t>Manifestaciones</w:t>
      </w:r>
      <w:r w:rsidR="00BA5BC4" w:rsidRPr="00BA5BC4">
        <w:rPr>
          <w:rFonts w:ascii="Palatino Linotype" w:hAnsi="Palatino Linotype" w:cs="Tahoma"/>
          <w:bCs/>
          <w:sz w:val="22"/>
          <w:szCs w:val="22"/>
        </w:rPr>
        <w:t xml:space="preserve"> respecto al</w:t>
      </w:r>
      <w:r w:rsidR="00BA5BC4">
        <w:rPr>
          <w:rFonts w:ascii="Palatino Linotype" w:hAnsi="Palatino Linotype" w:cs="Tahoma"/>
          <w:bCs/>
          <w:sz w:val="22"/>
          <w:szCs w:val="22"/>
        </w:rPr>
        <w:t xml:space="preserve"> presente</w:t>
      </w:r>
      <w:r w:rsidR="00BA5BC4" w:rsidRPr="00BA5BC4">
        <w:rPr>
          <w:rFonts w:ascii="Palatino Linotype" w:hAnsi="Palatino Linotype" w:cs="Tahoma"/>
          <w:bCs/>
          <w:sz w:val="22"/>
          <w:szCs w:val="22"/>
        </w:rPr>
        <w:t xml:space="preserve"> Recurso</w:t>
      </w:r>
      <w:r w:rsidR="00BA5BC4">
        <w:rPr>
          <w:rFonts w:ascii="Palatino Linotype" w:hAnsi="Palatino Linotype" w:cs="Tahoma"/>
          <w:bCs/>
          <w:sz w:val="22"/>
          <w:szCs w:val="22"/>
        </w:rPr>
        <w:t xml:space="preserve"> de </w:t>
      </w:r>
      <w:r w:rsidR="004B68DA">
        <w:rPr>
          <w:rFonts w:ascii="Palatino Linotype" w:hAnsi="Palatino Linotype" w:cs="Tahoma"/>
          <w:bCs/>
          <w:sz w:val="22"/>
          <w:szCs w:val="22"/>
        </w:rPr>
        <w:t xml:space="preserve">Revisión. </w:t>
      </w:r>
    </w:p>
    <w:p w14:paraId="36F71771" w14:textId="77777777" w:rsidR="00BA5BC4" w:rsidRDefault="00BA5BC4" w:rsidP="00967813">
      <w:pPr>
        <w:widowControl w:val="0"/>
        <w:spacing w:line="360" w:lineRule="auto"/>
        <w:jc w:val="both"/>
        <w:rPr>
          <w:rFonts w:ascii="Palatino Linotype" w:hAnsi="Palatino Linotype" w:cs="Tahoma"/>
          <w:bCs/>
          <w:sz w:val="22"/>
          <w:szCs w:val="22"/>
        </w:rPr>
      </w:pPr>
    </w:p>
    <w:p w14:paraId="6FA8D3AE" w14:textId="2345A844" w:rsidR="00B31222" w:rsidRPr="00AD50F9" w:rsidRDefault="003A6D26" w:rsidP="00967813">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3A6D26">
        <w:rPr>
          <w:rFonts w:ascii="Palatino Linotype" w:hAnsi="Palatino Linotype" w:cs="Tahoma"/>
          <w:b/>
          <w:sz w:val="22"/>
          <w:szCs w:val="22"/>
        </w:rPr>
        <w:t xml:space="preserve">) </w:t>
      </w:r>
      <w:r w:rsidR="00B31222" w:rsidRPr="003A6D26">
        <w:rPr>
          <w:rFonts w:ascii="Palatino Linotype" w:hAnsi="Palatino Linotype" w:cs="Tahoma"/>
          <w:b/>
          <w:sz w:val="22"/>
          <w:szCs w:val="22"/>
        </w:rPr>
        <w:t>Cierre de instrucción</w:t>
      </w:r>
      <w:r w:rsidR="008E5077" w:rsidRPr="003A6D26">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tres 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67813">
      <w:pPr>
        <w:spacing w:line="360" w:lineRule="auto"/>
        <w:jc w:val="both"/>
        <w:rPr>
          <w:rFonts w:ascii="Palatino Linotype" w:hAnsi="Palatino Linotype" w:cs="Tahoma"/>
          <w:b/>
          <w:sz w:val="22"/>
          <w:szCs w:val="22"/>
        </w:rPr>
      </w:pPr>
    </w:p>
    <w:p w14:paraId="01640709" w14:textId="77777777" w:rsidR="004F2D88" w:rsidRPr="00AD50F9" w:rsidRDefault="004F2D88" w:rsidP="00967813">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67813">
      <w:pPr>
        <w:spacing w:line="360" w:lineRule="auto"/>
        <w:jc w:val="center"/>
        <w:rPr>
          <w:rFonts w:ascii="Palatino Linotype" w:hAnsi="Palatino Linotype" w:cs="Tahoma"/>
          <w:b/>
          <w:sz w:val="22"/>
          <w:szCs w:val="22"/>
        </w:rPr>
      </w:pPr>
    </w:p>
    <w:p w14:paraId="2DAF3859" w14:textId="77777777" w:rsidR="004F2D88" w:rsidRPr="00AD50F9" w:rsidRDefault="009A620E" w:rsidP="00967813">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Default="004F2D88" w:rsidP="00967813">
      <w:pPr>
        <w:spacing w:line="360" w:lineRule="auto"/>
        <w:rPr>
          <w:rFonts w:ascii="Palatino Linotype" w:hAnsi="Palatino Linotype" w:cs="Tahoma"/>
          <w:b/>
          <w:sz w:val="22"/>
          <w:szCs w:val="22"/>
          <w:lang w:val="es-ES"/>
        </w:rPr>
      </w:pPr>
    </w:p>
    <w:p w14:paraId="56BC3305" w14:textId="77777777" w:rsidR="00B64641" w:rsidRPr="00AD50F9" w:rsidRDefault="00B64641" w:rsidP="00967813">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10427026" w14:textId="1077111E" w:rsidR="00CD1770" w:rsidRDefault="00CD1770" w:rsidP="00967813">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lastRenderedPageBreak/>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segundo,</w:t>
      </w:r>
      <w:r w:rsidR="00A83026">
        <w:rPr>
          <w:rFonts w:ascii="Palatino Linotype" w:hAnsi="Palatino Linotype" w:cs="Tahoma"/>
          <w:sz w:val="22"/>
          <w:szCs w:val="22"/>
          <w:shd w:val="clear" w:color="auto" w:fill="FFFFFF"/>
        </w:rPr>
        <w:t xml:space="preserve"> vigésimo tercero y vigésimo 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67813">
      <w:pPr>
        <w:spacing w:line="360" w:lineRule="auto"/>
        <w:jc w:val="both"/>
        <w:rPr>
          <w:rFonts w:ascii="Palatino Linotype" w:hAnsi="Palatino Linotype" w:cs="Tahoma"/>
          <w:sz w:val="22"/>
          <w:szCs w:val="22"/>
          <w:shd w:val="clear" w:color="auto" w:fill="FFFFFF"/>
        </w:rPr>
      </w:pPr>
    </w:p>
    <w:p w14:paraId="3895BE37"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646BBA">
        <w:rPr>
          <w:rFonts w:ascii="Palatino Linotype" w:eastAsia="Calibri" w:hAnsi="Palatino Linotype" w:cs="Tahoma"/>
          <w:b/>
          <w:color w:val="000000"/>
          <w:sz w:val="22"/>
          <w:szCs w:val="22"/>
          <w:lang w:eastAsia="es-MX"/>
        </w:rPr>
        <w:t>SEGUNDO</w:t>
      </w:r>
      <w:r w:rsidRPr="00646BBA">
        <w:rPr>
          <w:rFonts w:ascii="Palatino Linotype" w:eastAsia="Calibri" w:hAnsi="Palatino Linotype" w:cs="Tahoma"/>
          <w:color w:val="000000"/>
          <w:sz w:val="22"/>
          <w:szCs w:val="22"/>
          <w:lang w:eastAsia="es-MX"/>
        </w:rPr>
        <w:t xml:space="preserve">. </w:t>
      </w:r>
      <w:r w:rsidRPr="00646BBA">
        <w:rPr>
          <w:rFonts w:ascii="Palatino Linotype" w:eastAsia="Calibri" w:hAnsi="Palatino Linotype" w:cs="Tahoma"/>
          <w:b/>
          <w:color w:val="000000"/>
          <w:sz w:val="22"/>
          <w:szCs w:val="22"/>
          <w:lang w:eastAsia="es-MX"/>
        </w:rPr>
        <w:t>Metodología de estudio.</w:t>
      </w:r>
    </w:p>
    <w:p w14:paraId="63AF27EF"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19BE180" w14:textId="77777777" w:rsidR="00CA532B" w:rsidRPr="00646BBA" w:rsidRDefault="00CA532B" w:rsidP="00967813">
      <w:pPr>
        <w:autoSpaceDE w:val="0"/>
        <w:autoSpaceDN w:val="0"/>
        <w:adjustRightInd w:val="0"/>
        <w:spacing w:line="360" w:lineRule="auto"/>
        <w:jc w:val="both"/>
        <w:rPr>
          <w:rFonts w:ascii="Palatino Linotype" w:hAnsi="Palatino Linotype" w:cs="Tahoma"/>
          <w:sz w:val="22"/>
          <w:szCs w:val="24"/>
        </w:rPr>
      </w:pPr>
      <w:r w:rsidRPr="00646BBA">
        <w:rPr>
          <w:rFonts w:ascii="Palatino Linotype" w:hAnsi="Palatino Linotype" w:cs="Tahoma"/>
          <w:sz w:val="22"/>
          <w:szCs w:val="24"/>
        </w:rPr>
        <w:t xml:space="preserve">De las constancias que forman parte del Recurso de Revisión que se analiza, se advierte que previo al estudio del fondo de la </w:t>
      </w:r>
      <w:r w:rsidRPr="00646BBA">
        <w:rPr>
          <w:rFonts w:ascii="Palatino Linotype" w:hAnsi="Palatino Linotype" w:cs="Tahoma"/>
          <w:i/>
          <w:sz w:val="22"/>
          <w:szCs w:val="24"/>
        </w:rPr>
        <w:t>litis</w:t>
      </w:r>
      <w:r w:rsidRPr="00646BBA">
        <w:rPr>
          <w:rFonts w:ascii="Palatino Linotype" w:hAnsi="Palatino Linotype" w:cs="Tahoma"/>
          <w:sz w:val="22"/>
          <w:szCs w:val="24"/>
        </w:rPr>
        <w:t>, es necesario estudiar las causales de improcedencia y sobreseimiento, para determinar lo que en Derecho proceda.</w:t>
      </w:r>
    </w:p>
    <w:p w14:paraId="4D8313A7" w14:textId="77777777" w:rsidR="00CA532B" w:rsidRDefault="00CA532B" w:rsidP="00967813">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B7AE6D3"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b/>
          <w:color w:val="000000"/>
          <w:sz w:val="22"/>
          <w:szCs w:val="22"/>
          <w:lang w:eastAsia="es-MX"/>
        </w:rPr>
        <w:t>Causales de improcedencia.</w:t>
      </w:r>
      <w:r w:rsidRPr="00646BBA">
        <w:rPr>
          <w:rFonts w:ascii="Palatino Linotype" w:eastAsia="Calibri" w:hAnsi="Palatino Linotype" w:cs="Tahoma"/>
          <w:color w:val="000000"/>
          <w:sz w:val="22"/>
          <w:szCs w:val="22"/>
          <w:lang w:eastAsia="es-MX"/>
        </w:rPr>
        <w:t xml:space="preserve"> </w:t>
      </w:r>
    </w:p>
    <w:p w14:paraId="34F61554"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9D07E9"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646BBA">
        <w:rPr>
          <w:rFonts w:ascii="Palatino Linotype" w:eastAsia="Calibri" w:hAnsi="Palatino Linotype" w:cs="Tahoma"/>
          <w:color w:val="000000"/>
          <w:sz w:val="22"/>
          <w:szCs w:val="22"/>
          <w:lang w:eastAsia="es-MX"/>
        </w:rPr>
        <w:lastRenderedPageBreak/>
        <w:t>suerte, será desechado cualquier Recurso de Revisión que actualice alguno de los supuestos establecidos en el artículo 191 de la Ley de Transparencia y Acceso a la Información Pública del Estado de México y Municipios, por ser improcedente.</w:t>
      </w:r>
    </w:p>
    <w:p w14:paraId="26457207"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1343E19"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t xml:space="preserve">En el presente caso, </w:t>
      </w:r>
      <w:r w:rsidRPr="00646BBA">
        <w:rPr>
          <w:rFonts w:ascii="Palatino Linotype" w:eastAsia="Calibri" w:hAnsi="Palatino Linotype" w:cs="Tahoma"/>
          <w:b/>
          <w:color w:val="000000"/>
          <w:sz w:val="22"/>
          <w:szCs w:val="22"/>
          <w:lang w:eastAsia="es-MX"/>
        </w:rPr>
        <w:t>no se actualiza ninguna de las causales de improcedencia</w:t>
      </w:r>
      <w:r w:rsidRPr="00646BBA">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C3F30D4" w14:textId="77777777"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F41167E" w14:textId="0554E448" w:rsidR="00CA532B" w:rsidRPr="00646BBA" w:rsidRDefault="00CA532B"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t>Asimismo, se actualiza la causal de procedencia señalad</w:t>
      </w:r>
      <w:r>
        <w:rPr>
          <w:rFonts w:ascii="Palatino Linotype" w:eastAsia="Calibri" w:hAnsi="Palatino Linotype" w:cs="Tahoma"/>
          <w:color w:val="000000"/>
          <w:sz w:val="22"/>
          <w:szCs w:val="22"/>
          <w:lang w:eastAsia="es-MX"/>
        </w:rPr>
        <w:t>a en el artículo 179, fracción V</w:t>
      </w:r>
      <w:r w:rsidRPr="00646BBA">
        <w:rPr>
          <w:rFonts w:ascii="Palatino Linotype" w:eastAsia="Calibri" w:hAnsi="Palatino Linotype" w:cs="Tahoma"/>
          <w:color w:val="000000"/>
          <w:sz w:val="22"/>
          <w:szCs w:val="22"/>
          <w:lang w:eastAsia="es-MX"/>
        </w:rPr>
        <w:t xml:space="preserve">, de la Ley de la materia, toda vez que el solicitante se inconformó por </w:t>
      </w:r>
      <w:r>
        <w:rPr>
          <w:rFonts w:ascii="Palatino Linotype" w:eastAsia="Calibri" w:hAnsi="Palatino Linotype" w:cs="Tahoma"/>
          <w:color w:val="000000"/>
          <w:sz w:val="22"/>
          <w:szCs w:val="22"/>
          <w:lang w:eastAsia="es-MX"/>
        </w:rPr>
        <w:t xml:space="preserve">la entrega de la información requerida de manera incompleta. </w:t>
      </w:r>
    </w:p>
    <w:p w14:paraId="7F08EC09" w14:textId="77777777" w:rsidR="00CA532B" w:rsidRPr="00646BBA" w:rsidRDefault="00CA532B" w:rsidP="00967813">
      <w:pPr>
        <w:spacing w:line="360" w:lineRule="auto"/>
        <w:jc w:val="both"/>
        <w:rPr>
          <w:rFonts w:ascii="Palatino Linotype" w:hAnsi="Palatino Linotype" w:cs="Tahoma"/>
          <w:sz w:val="22"/>
          <w:szCs w:val="22"/>
        </w:rPr>
      </w:pPr>
    </w:p>
    <w:p w14:paraId="145416AC" w14:textId="77777777" w:rsidR="00CA532B" w:rsidRPr="00646BBA" w:rsidRDefault="00CA532B" w:rsidP="00967813">
      <w:pPr>
        <w:spacing w:line="360" w:lineRule="auto"/>
        <w:jc w:val="both"/>
        <w:rPr>
          <w:rFonts w:ascii="Palatino Linotype" w:hAnsi="Palatino Linotype" w:cs="Tahoma"/>
          <w:sz w:val="22"/>
          <w:szCs w:val="22"/>
        </w:rPr>
      </w:pPr>
      <w:r w:rsidRPr="00646BBA">
        <w:rPr>
          <w:rFonts w:ascii="Palatino Linotype" w:hAnsi="Palatino Linotype" w:cs="Tahoma"/>
          <w:b/>
          <w:bCs/>
          <w:sz w:val="22"/>
          <w:szCs w:val="22"/>
        </w:rPr>
        <w:t>Causales de sobreseimiento.</w:t>
      </w:r>
    </w:p>
    <w:p w14:paraId="78F692A2" w14:textId="77777777" w:rsidR="00CA532B" w:rsidRPr="00646BBA" w:rsidRDefault="00CA532B" w:rsidP="00967813">
      <w:pPr>
        <w:spacing w:line="360" w:lineRule="auto"/>
        <w:jc w:val="both"/>
        <w:rPr>
          <w:rFonts w:ascii="Palatino Linotype" w:hAnsi="Palatino Linotype" w:cs="Tahoma"/>
          <w:sz w:val="22"/>
          <w:szCs w:val="22"/>
        </w:rPr>
      </w:pPr>
      <w:r w:rsidRPr="00646BBA">
        <w:rPr>
          <w:rFonts w:ascii="Palatino Linotype" w:hAnsi="Palatino Linotype" w:cs="Tahoma"/>
          <w:sz w:val="22"/>
          <w:szCs w:val="22"/>
        </w:rPr>
        <w:t> </w:t>
      </w:r>
    </w:p>
    <w:p w14:paraId="26643C00" w14:textId="77777777" w:rsidR="00CA532B" w:rsidRDefault="00CA532B" w:rsidP="00967813">
      <w:pPr>
        <w:spacing w:line="360" w:lineRule="auto"/>
        <w:jc w:val="both"/>
        <w:rPr>
          <w:rFonts w:ascii="Palatino Linotype" w:hAnsi="Palatino Linotype" w:cs="Tahoma"/>
          <w:sz w:val="22"/>
          <w:szCs w:val="24"/>
        </w:rPr>
      </w:pPr>
      <w:r w:rsidRPr="00646BBA">
        <w:rPr>
          <w:rFonts w:ascii="Palatino Linotype" w:hAnsi="Palatino Linotype" w:cs="Tahoma"/>
          <w:sz w:val="22"/>
          <w:szCs w:val="24"/>
        </w:rPr>
        <w:t>Por ser de previo y especial pronunciamiento, este Instituto analiza si se actualiza alguna causal de sobreseimiento.</w:t>
      </w:r>
    </w:p>
    <w:p w14:paraId="6E5E9C3F" w14:textId="77777777" w:rsidR="00CA532B" w:rsidRPr="00646BBA" w:rsidRDefault="00CA532B" w:rsidP="00967813">
      <w:pPr>
        <w:spacing w:line="360" w:lineRule="auto"/>
        <w:jc w:val="both"/>
        <w:rPr>
          <w:rFonts w:ascii="Palatino Linotype" w:hAnsi="Palatino Linotype" w:cs="Tahoma"/>
          <w:sz w:val="22"/>
          <w:szCs w:val="24"/>
        </w:rPr>
      </w:pPr>
    </w:p>
    <w:p w14:paraId="3E9D0B55" w14:textId="77777777" w:rsidR="00CA532B" w:rsidRPr="00646BBA" w:rsidRDefault="00CA532B" w:rsidP="00967813">
      <w:pPr>
        <w:spacing w:line="360" w:lineRule="auto"/>
        <w:jc w:val="both"/>
        <w:rPr>
          <w:rFonts w:ascii="Palatino Linotype" w:hAnsi="Palatino Linotype" w:cs="Tahoma"/>
          <w:sz w:val="22"/>
          <w:szCs w:val="24"/>
        </w:rPr>
      </w:pPr>
      <w:r w:rsidRPr="00646BBA">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646BBA">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29C88BD4" w14:textId="77777777" w:rsidR="00CA532B" w:rsidRPr="00646BBA" w:rsidRDefault="00CA532B" w:rsidP="00967813">
      <w:pPr>
        <w:spacing w:line="360" w:lineRule="auto"/>
        <w:jc w:val="both"/>
        <w:rPr>
          <w:rFonts w:ascii="Palatino Linotype" w:hAnsi="Palatino Linotype" w:cs="Tahoma"/>
          <w:sz w:val="22"/>
          <w:szCs w:val="24"/>
          <w:lang w:val="es-ES"/>
        </w:rPr>
      </w:pPr>
    </w:p>
    <w:p w14:paraId="0DA91697" w14:textId="77777777" w:rsidR="00CA532B" w:rsidRPr="00646BBA" w:rsidRDefault="00CA532B" w:rsidP="00967813">
      <w:pPr>
        <w:spacing w:line="360" w:lineRule="auto"/>
        <w:jc w:val="both"/>
        <w:rPr>
          <w:rFonts w:ascii="Palatino Linotype" w:hAnsi="Palatino Linotype" w:cs="Tahoma"/>
          <w:sz w:val="22"/>
          <w:szCs w:val="24"/>
          <w:lang w:val="es-ES"/>
        </w:rPr>
      </w:pPr>
      <w:r w:rsidRPr="00646BBA">
        <w:rPr>
          <w:rFonts w:ascii="Palatino Linotype" w:hAnsi="Palatino Linotype" w:cs="Tahoma"/>
          <w:bCs/>
          <w:sz w:val="22"/>
          <w:szCs w:val="24"/>
          <w:lang w:val="es-ES"/>
        </w:rPr>
        <w:t xml:space="preserve">Por tales motivos, </w:t>
      </w:r>
      <w:r w:rsidRPr="00646BBA">
        <w:rPr>
          <w:rFonts w:ascii="Palatino Linotype" w:hAnsi="Palatino Linotype" w:cs="Tahoma"/>
          <w:sz w:val="22"/>
          <w:szCs w:val="24"/>
          <w:lang w:val="es-ES"/>
        </w:rPr>
        <w:t xml:space="preserve">se considera procedente entrar al fondo del presente asunto. </w:t>
      </w:r>
    </w:p>
    <w:p w14:paraId="2AD458C7" w14:textId="77777777" w:rsidR="00CA532B" w:rsidRDefault="00CA532B" w:rsidP="00967813">
      <w:pPr>
        <w:autoSpaceDE w:val="0"/>
        <w:autoSpaceDN w:val="0"/>
        <w:adjustRightInd w:val="0"/>
        <w:spacing w:line="360" w:lineRule="auto"/>
        <w:jc w:val="both"/>
        <w:rPr>
          <w:rFonts w:ascii="Palatino Linotype" w:eastAsia="Calibri" w:hAnsi="Palatino Linotype" w:cs="Tahoma"/>
          <w:b/>
          <w:color w:val="000000"/>
          <w:sz w:val="22"/>
          <w:szCs w:val="24"/>
          <w:highlight w:val="yellow"/>
          <w:lang w:val="es-ES" w:eastAsia="es-MX"/>
        </w:rPr>
      </w:pPr>
    </w:p>
    <w:p w14:paraId="2F5E8D6E" w14:textId="77777777" w:rsidR="00CA532B" w:rsidRPr="00646BBA" w:rsidRDefault="00CA532B" w:rsidP="00967813">
      <w:pPr>
        <w:tabs>
          <w:tab w:val="left" w:pos="4962"/>
        </w:tabs>
        <w:spacing w:line="360" w:lineRule="auto"/>
        <w:jc w:val="both"/>
        <w:rPr>
          <w:rFonts w:ascii="Palatino Linotype" w:eastAsia="Calibri" w:hAnsi="Palatino Linotype" w:cs="Tahoma"/>
          <w:b/>
          <w:iCs/>
          <w:sz w:val="22"/>
          <w:szCs w:val="22"/>
          <w:lang w:val="es-ES" w:eastAsia="es-ES_tradnl"/>
        </w:rPr>
      </w:pPr>
      <w:r w:rsidRPr="00646BBA">
        <w:rPr>
          <w:rFonts w:ascii="Palatino Linotype" w:eastAsia="Calibri" w:hAnsi="Palatino Linotype" w:cs="Tahoma"/>
          <w:b/>
          <w:iCs/>
          <w:sz w:val="22"/>
          <w:szCs w:val="22"/>
          <w:lang w:val="es-ES" w:eastAsia="es-ES_tradnl"/>
        </w:rPr>
        <w:t xml:space="preserve">TERCERO. Determinación de la Controversia. </w:t>
      </w:r>
    </w:p>
    <w:p w14:paraId="0547C025" w14:textId="77777777" w:rsidR="009012D0" w:rsidRDefault="009012D0" w:rsidP="00967813">
      <w:pPr>
        <w:spacing w:line="360" w:lineRule="auto"/>
        <w:jc w:val="both"/>
        <w:rPr>
          <w:rFonts w:ascii="Palatino Linotype" w:hAnsi="Palatino Linotype" w:cs="Tahoma"/>
          <w:sz w:val="22"/>
          <w:szCs w:val="22"/>
        </w:rPr>
      </w:pPr>
    </w:p>
    <w:p w14:paraId="1708C165" w14:textId="452E1A78" w:rsidR="000221F4" w:rsidRDefault="00140350"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Se precisa que</w:t>
      </w:r>
      <w:r w:rsidR="00FB2A36">
        <w:rPr>
          <w:rFonts w:ascii="Palatino Linotype" w:hAnsi="Palatino Linotype" w:cs="Tahoma"/>
          <w:sz w:val="22"/>
          <w:szCs w:val="22"/>
          <w:lang w:val="es-ES"/>
        </w:rPr>
        <w:t xml:space="preserve"> el Recurrente solicitó al</w:t>
      </w:r>
      <w:r w:rsidR="00FB2A36">
        <w:rPr>
          <w:rFonts w:ascii="Palatino Linotype" w:eastAsia="Calibri" w:hAnsi="Palatino Linotype" w:cs="Tahoma"/>
          <w:iCs/>
          <w:sz w:val="22"/>
          <w:szCs w:val="22"/>
          <w:lang w:val="es-ES" w:eastAsia="es-ES_tradnl"/>
        </w:rPr>
        <w:t xml:space="preserve"> </w:t>
      </w:r>
      <w:r w:rsidR="000221F4">
        <w:rPr>
          <w:rFonts w:ascii="Palatino Linotype" w:eastAsia="Calibri" w:hAnsi="Palatino Linotype" w:cs="Tahoma"/>
          <w:iCs/>
          <w:sz w:val="22"/>
          <w:szCs w:val="22"/>
          <w:lang w:val="es-ES" w:eastAsia="es-ES_tradnl"/>
        </w:rPr>
        <w:t>Tribunal Estatal de Conciliación y Arbitraje del periodo comprendido del 1 al 20 de diciembre de dos mil dieciocho, lo siguiente:</w:t>
      </w:r>
    </w:p>
    <w:p w14:paraId="45F00899" w14:textId="77777777" w:rsidR="000221F4" w:rsidRPr="00527491" w:rsidRDefault="000221F4" w:rsidP="00967813">
      <w:pPr>
        <w:tabs>
          <w:tab w:val="left" w:pos="4962"/>
        </w:tabs>
        <w:spacing w:line="360" w:lineRule="auto"/>
        <w:jc w:val="both"/>
        <w:rPr>
          <w:rFonts w:ascii="Palatino Linotype" w:eastAsia="Calibri" w:hAnsi="Palatino Linotype" w:cs="Tahoma"/>
          <w:iCs/>
          <w:sz w:val="16"/>
          <w:szCs w:val="22"/>
          <w:lang w:val="es-ES" w:eastAsia="es-ES_tradnl"/>
        </w:rPr>
      </w:pPr>
    </w:p>
    <w:p w14:paraId="2486A54F" w14:textId="77777777" w:rsidR="000221F4" w:rsidRDefault="000221F4" w:rsidP="00967813">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Número de expedientes y n</w:t>
      </w:r>
      <w:r w:rsidRPr="006204C0">
        <w:rPr>
          <w:rFonts w:ascii="Palatino Linotype" w:eastAsia="Calibri" w:hAnsi="Palatino Linotype" w:cs="Tahoma"/>
          <w:iCs/>
          <w:szCs w:val="22"/>
          <w:lang w:val="es-ES" w:eastAsia="es-ES_tradnl"/>
        </w:rPr>
        <w:t xml:space="preserve">ombre de las partes intervinientes </w:t>
      </w:r>
      <w:r>
        <w:rPr>
          <w:rFonts w:ascii="Palatino Linotype" w:eastAsia="Calibri" w:hAnsi="Palatino Linotype" w:cs="Tahoma"/>
          <w:iCs/>
          <w:szCs w:val="22"/>
          <w:lang w:val="es-ES" w:eastAsia="es-ES_tradnl"/>
        </w:rPr>
        <w:t xml:space="preserve">en los convenios sin juicio celebrados por el Ayuntamiento de Tezoyuca. </w:t>
      </w:r>
    </w:p>
    <w:p w14:paraId="5C80855D" w14:textId="77777777" w:rsidR="000221F4" w:rsidRDefault="000221F4" w:rsidP="00967813">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Versiones públicas de los convenios antes descritos </w:t>
      </w:r>
    </w:p>
    <w:p w14:paraId="49892D6E" w14:textId="77777777" w:rsidR="000221F4" w:rsidRDefault="000221F4" w:rsidP="00967813">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Boletín laboral en donde estén publicados los convenios antes referidos. </w:t>
      </w:r>
      <w:r w:rsidRPr="00E33AD4">
        <w:rPr>
          <w:rFonts w:ascii="Palatino Linotype" w:eastAsia="Calibri" w:hAnsi="Palatino Linotype" w:cs="Tahoma"/>
          <w:iCs/>
          <w:szCs w:val="22"/>
          <w:lang w:val="es-ES" w:eastAsia="es-ES_tradnl"/>
        </w:rPr>
        <w:t xml:space="preserve"> </w:t>
      </w:r>
    </w:p>
    <w:p w14:paraId="2EA0BD56" w14:textId="77777777" w:rsidR="000221F4" w:rsidRPr="00527491" w:rsidRDefault="000221F4" w:rsidP="00967813">
      <w:pPr>
        <w:pStyle w:val="Prrafodelista"/>
        <w:tabs>
          <w:tab w:val="left" w:pos="4962"/>
        </w:tabs>
        <w:spacing w:line="360" w:lineRule="auto"/>
        <w:ind w:left="1440"/>
        <w:jc w:val="both"/>
        <w:rPr>
          <w:rFonts w:ascii="Palatino Linotype" w:eastAsia="Calibri" w:hAnsi="Palatino Linotype" w:cs="Tahoma"/>
          <w:iCs/>
          <w:sz w:val="14"/>
          <w:szCs w:val="22"/>
          <w:lang w:val="es-ES" w:eastAsia="es-ES_tradnl"/>
        </w:rPr>
      </w:pPr>
    </w:p>
    <w:p w14:paraId="678C670E" w14:textId="1CBDF6C2" w:rsidR="000221F4" w:rsidRDefault="000221F4" w:rsidP="00967813">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En respuesta, </w:t>
      </w:r>
      <w:r>
        <w:rPr>
          <w:rFonts w:ascii="Palatino Linotype" w:eastAsia="Calibri" w:hAnsi="Palatino Linotype" w:cs="Tahoma"/>
          <w:iCs/>
          <w:sz w:val="22"/>
          <w:szCs w:val="22"/>
          <w:lang w:val="es-ES" w:eastAsia="es-ES_tradnl"/>
        </w:rPr>
        <w:t xml:space="preserve">el Sujeto Obligado proporcionó un archivo consistente en los convenios solicitados; sin embargo se precisa que, si bien el Tribunal de Conciliación y Arbitraje pretendió realizar una versión pública de los mismos, lo cierto es que, dejo a la vista datos clasificados como confidenciales, tales como </w:t>
      </w:r>
      <w:r w:rsidR="009430DD">
        <w:rPr>
          <w:rFonts w:ascii="Palatino Linotype" w:eastAsia="Calibri" w:hAnsi="Palatino Linotype" w:cs="Tahoma"/>
          <w:iCs/>
          <w:sz w:val="22"/>
          <w:szCs w:val="22"/>
          <w:lang w:val="es-ES" w:eastAsia="es-ES_tradnl"/>
        </w:rPr>
        <w:t>las huellas dactilares</w:t>
      </w:r>
      <w:r>
        <w:rPr>
          <w:rFonts w:ascii="Palatino Linotype" w:eastAsia="Calibri" w:hAnsi="Palatino Linotype" w:cs="Tahoma"/>
          <w:iCs/>
          <w:sz w:val="22"/>
          <w:szCs w:val="22"/>
          <w:lang w:val="es-ES" w:eastAsia="es-ES_tradnl"/>
        </w:rPr>
        <w:t xml:space="preserve"> de los ex servidores públicos. </w:t>
      </w:r>
    </w:p>
    <w:p w14:paraId="105A639F" w14:textId="77777777" w:rsidR="000221F4" w:rsidRPr="00527491" w:rsidRDefault="000221F4" w:rsidP="00967813">
      <w:pPr>
        <w:tabs>
          <w:tab w:val="left" w:pos="4962"/>
        </w:tabs>
        <w:spacing w:line="360" w:lineRule="auto"/>
        <w:jc w:val="both"/>
        <w:rPr>
          <w:rFonts w:ascii="Palatino Linotype" w:eastAsia="Calibri" w:hAnsi="Palatino Linotype" w:cs="Tahoma"/>
          <w:iCs/>
          <w:sz w:val="14"/>
          <w:szCs w:val="22"/>
          <w:lang w:val="es-ES" w:eastAsia="es-ES_tradnl"/>
        </w:rPr>
      </w:pPr>
    </w:p>
    <w:p w14:paraId="24C64845" w14:textId="32B41A56" w:rsidR="00CA532B" w:rsidRDefault="00CA532B"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Inconforme con lo anterior, el Particular presentó el Recurso de Revisión que nos ocupa, por considerar que la respuesta del Sujeto Obligado se encontraba de manera incompleta, toda vez que no entregó las transferencias bancarias de los convenios requeridos</w:t>
      </w:r>
      <w:r w:rsidR="00901BFC">
        <w:rPr>
          <w:rFonts w:ascii="Palatino Linotype" w:eastAsia="Calibri" w:hAnsi="Palatino Linotype" w:cs="Tahoma"/>
          <w:iCs/>
          <w:sz w:val="22"/>
          <w:szCs w:val="22"/>
          <w:lang w:val="es-ES" w:eastAsia="es-ES_tradnl"/>
        </w:rPr>
        <w:t>, los cuales a su decir eran anexos de los mismos</w:t>
      </w:r>
      <w:r>
        <w:rPr>
          <w:rFonts w:ascii="Palatino Linotype" w:eastAsia="Calibri" w:hAnsi="Palatino Linotype" w:cs="Tahoma"/>
          <w:iCs/>
          <w:sz w:val="22"/>
          <w:szCs w:val="22"/>
          <w:lang w:val="es-ES" w:eastAsia="es-ES_tradnl"/>
        </w:rPr>
        <w:t xml:space="preserve">. </w:t>
      </w:r>
    </w:p>
    <w:p w14:paraId="597A07A4" w14:textId="77777777" w:rsidR="00901BFC"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p>
    <w:p w14:paraId="2FA6F28F" w14:textId="77777777" w:rsidR="00901BFC" w:rsidRDefault="00901BFC" w:rsidP="00967813">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98414BE" w14:textId="77777777" w:rsidR="00901BFC"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p>
    <w:p w14:paraId="2A988955" w14:textId="77777777" w:rsidR="00901BFC" w:rsidRPr="00AD50F9" w:rsidRDefault="00901BFC" w:rsidP="00967813">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38D94D08" w14:textId="77777777" w:rsidR="00901BFC" w:rsidRDefault="00901BFC" w:rsidP="00967813">
      <w:pPr>
        <w:spacing w:line="360" w:lineRule="auto"/>
        <w:contextualSpacing/>
        <w:jc w:val="both"/>
        <w:rPr>
          <w:rFonts w:ascii="Palatino Linotype" w:hAnsi="Palatino Linotype" w:cs="Tahoma"/>
          <w:sz w:val="22"/>
          <w:szCs w:val="22"/>
        </w:rPr>
      </w:pPr>
    </w:p>
    <w:p w14:paraId="036D0CDE" w14:textId="77777777" w:rsidR="00901BFC" w:rsidRPr="00AD50F9" w:rsidRDefault="00901BFC" w:rsidP="00967813">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99355C7" w14:textId="77777777" w:rsidR="00901BFC" w:rsidRPr="00AD50F9" w:rsidRDefault="00901BFC" w:rsidP="00967813">
      <w:pPr>
        <w:spacing w:line="360" w:lineRule="auto"/>
        <w:contextualSpacing/>
        <w:jc w:val="both"/>
        <w:rPr>
          <w:rFonts w:ascii="Palatino Linotype" w:hAnsi="Palatino Linotype" w:cs="Tahoma"/>
          <w:sz w:val="22"/>
          <w:szCs w:val="22"/>
        </w:rPr>
      </w:pPr>
    </w:p>
    <w:p w14:paraId="744E5E73" w14:textId="77777777" w:rsidR="00901BFC" w:rsidRPr="00AD50F9"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D8A5397" w14:textId="77777777" w:rsidR="00901BFC" w:rsidRPr="00AD50F9" w:rsidRDefault="00901BFC" w:rsidP="00967813">
      <w:pPr>
        <w:spacing w:line="360" w:lineRule="auto"/>
        <w:jc w:val="both"/>
        <w:rPr>
          <w:rFonts w:ascii="Palatino Linotype" w:hAnsi="Palatino Linotype" w:cs="Tahoma"/>
          <w:sz w:val="22"/>
          <w:szCs w:val="22"/>
        </w:rPr>
      </w:pPr>
    </w:p>
    <w:p w14:paraId="3EB5C4C3" w14:textId="77777777" w:rsidR="00901BFC" w:rsidRPr="00AD50F9"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E4A3EE3" w14:textId="77777777" w:rsidR="00901BFC" w:rsidRPr="00AD50F9" w:rsidRDefault="00901BFC" w:rsidP="00967813">
      <w:pPr>
        <w:spacing w:line="360" w:lineRule="auto"/>
        <w:jc w:val="both"/>
        <w:rPr>
          <w:rFonts w:ascii="Palatino Linotype" w:hAnsi="Palatino Linotype" w:cs="Tahoma"/>
          <w:sz w:val="22"/>
          <w:szCs w:val="22"/>
        </w:rPr>
      </w:pPr>
    </w:p>
    <w:p w14:paraId="615B6055" w14:textId="77777777" w:rsidR="00901BFC" w:rsidRPr="00AD50F9" w:rsidRDefault="00901BFC" w:rsidP="00967813">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Pr="00AD50F9">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098B7CDE" w14:textId="77777777" w:rsidR="00901BFC" w:rsidRPr="00AD50F9" w:rsidRDefault="00901BFC" w:rsidP="00967813">
      <w:pPr>
        <w:spacing w:line="360" w:lineRule="auto"/>
        <w:jc w:val="both"/>
        <w:rPr>
          <w:rFonts w:ascii="Palatino Linotype" w:hAnsi="Palatino Linotype" w:cs="Tahoma"/>
          <w:sz w:val="22"/>
          <w:szCs w:val="22"/>
        </w:rPr>
      </w:pPr>
    </w:p>
    <w:p w14:paraId="4741F7E9" w14:textId="77777777" w:rsidR="00901BFC" w:rsidRPr="00AD50F9"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8D08660" w14:textId="77777777" w:rsidR="00901BFC" w:rsidRPr="00AD50F9" w:rsidRDefault="00901BFC" w:rsidP="00967813">
      <w:pPr>
        <w:spacing w:line="360" w:lineRule="auto"/>
        <w:jc w:val="both"/>
        <w:rPr>
          <w:rFonts w:ascii="Palatino Linotype" w:hAnsi="Palatino Linotype" w:cs="Tahoma"/>
          <w:sz w:val="22"/>
          <w:szCs w:val="22"/>
        </w:rPr>
      </w:pPr>
    </w:p>
    <w:p w14:paraId="02BFFDD3" w14:textId="77777777" w:rsidR="00901BFC" w:rsidRPr="00AD50F9"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1A793F2D" w14:textId="77777777" w:rsidR="00901BFC" w:rsidRPr="00AD50F9" w:rsidRDefault="00901BFC" w:rsidP="00967813">
      <w:pPr>
        <w:spacing w:line="360" w:lineRule="auto"/>
        <w:jc w:val="both"/>
        <w:rPr>
          <w:rFonts w:ascii="Palatino Linotype" w:hAnsi="Palatino Linotype" w:cs="Tahoma"/>
          <w:sz w:val="22"/>
          <w:szCs w:val="22"/>
        </w:rPr>
      </w:pPr>
    </w:p>
    <w:p w14:paraId="38796BAE" w14:textId="77777777" w:rsidR="00901BFC" w:rsidRPr="00AD50F9"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524C3E2" w14:textId="77777777" w:rsidR="00901BFC" w:rsidRPr="00AD50F9" w:rsidRDefault="00901BFC" w:rsidP="00967813">
      <w:pPr>
        <w:spacing w:line="360" w:lineRule="auto"/>
        <w:jc w:val="both"/>
        <w:rPr>
          <w:rFonts w:ascii="Palatino Linotype" w:hAnsi="Palatino Linotype" w:cs="Tahoma"/>
          <w:sz w:val="22"/>
          <w:szCs w:val="22"/>
        </w:rPr>
      </w:pPr>
    </w:p>
    <w:p w14:paraId="0E7B8E7F" w14:textId="77777777" w:rsidR="00901BFC" w:rsidRDefault="00901BFC" w:rsidP="00967813">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164600" w14:textId="77777777" w:rsidR="00901BFC" w:rsidRDefault="00901BFC" w:rsidP="00967813">
      <w:pPr>
        <w:spacing w:line="360" w:lineRule="auto"/>
        <w:jc w:val="both"/>
        <w:rPr>
          <w:rFonts w:ascii="Palatino Linotype" w:hAnsi="Palatino Linotype" w:cs="Tahoma"/>
          <w:sz w:val="22"/>
          <w:szCs w:val="22"/>
        </w:rPr>
      </w:pPr>
    </w:p>
    <w:p w14:paraId="328839C1" w14:textId="77777777" w:rsidR="00901BFC" w:rsidRPr="00AD50F9" w:rsidRDefault="00901BFC" w:rsidP="00967813">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El artículo 92, detalla la información que corresponde a las Obligaciones Comunes de Transparencia, de las que destaca la contenida en la fracción </w:t>
      </w:r>
      <w:r>
        <w:rPr>
          <w:rFonts w:ascii="Palatino Linotype" w:hAnsi="Palatino Linotype" w:cs="Tahoma"/>
          <w:sz w:val="22"/>
          <w:szCs w:val="22"/>
        </w:rPr>
        <w:t>XXV</w:t>
      </w:r>
      <w:r w:rsidRPr="00912331">
        <w:rPr>
          <w:rFonts w:ascii="Palatino Linotype" w:hAnsi="Palatino Linotype" w:cs="Tahoma"/>
          <w:sz w:val="22"/>
          <w:szCs w:val="22"/>
        </w:rPr>
        <w:t xml:space="preserve"> concerniente </w:t>
      </w:r>
      <w:r>
        <w:rPr>
          <w:rFonts w:ascii="Palatino Linotype" w:hAnsi="Palatino Linotype" w:cs="Tahoma"/>
          <w:sz w:val="22"/>
          <w:szCs w:val="22"/>
        </w:rPr>
        <w:t>a la información financiera sobre el presupuesto asignado, así como los informes del ejercicio trimestral del gasto, en términos de la Ley General de Contabilidad Gubernamental y demás disposiciones jurídicas aplicables.</w:t>
      </w:r>
    </w:p>
    <w:p w14:paraId="2F1C6D18" w14:textId="77777777" w:rsidR="00901BFC" w:rsidRDefault="00901BFC" w:rsidP="00967813">
      <w:pPr>
        <w:spacing w:line="360" w:lineRule="auto"/>
        <w:jc w:val="both"/>
        <w:rPr>
          <w:rFonts w:ascii="Palatino Linotype" w:hAnsi="Palatino Linotype" w:cs="Tahoma"/>
          <w:sz w:val="22"/>
          <w:szCs w:val="22"/>
        </w:rPr>
      </w:pPr>
    </w:p>
    <w:p w14:paraId="1A2686D1" w14:textId="77777777" w:rsidR="00420590" w:rsidRPr="00AD50F9" w:rsidRDefault="00420590" w:rsidP="00967813">
      <w:pPr>
        <w:spacing w:line="360" w:lineRule="auto"/>
        <w:jc w:val="both"/>
        <w:rPr>
          <w:rFonts w:ascii="Palatino Linotype" w:hAnsi="Palatino Linotype" w:cs="Tahoma"/>
          <w:sz w:val="22"/>
          <w:szCs w:val="22"/>
        </w:rPr>
      </w:pPr>
    </w:p>
    <w:p w14:paraId="7091EC3C" w14:textId="77777777" w:rsidR="00901BFC" w:rsidRPr="00AD50F9" w:rsidRDefault="00901BFC" w:rsidP="00967813">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lastRenderedPageBreak/>
        <w:t>QUINTO. Estudio de Fondo.</w:t>
      </w:r>
    </w:p>
    <w:p w14:paraId="2920B4AE" w14:textId="77777777" w:rsidR="00901BFC" w:rsidRPr="00AD50F9" w:rsidRDefault="00901BFC" w:rsidP="00967813">
      <w:pPr>
        <w:spacing w:line="360" w:lineRule="auto"/>
        <w:ind w:right="-93"/>
        <w:jc w:val="both"/>
        <w:rPr>
          <w:rFonts w:ascii="Palatino Linotype" w:hAnsi="Palatino Linotype" w:cs="Tahoma"/>
          <w:sz w:val="22"/>
          <w:szCs w:val="22"/>
          <w:lang w:val="es-ES"/>
        </w:rPr>
      </w:pPr>
    </w:p>
    <w:p w14:paraId="66C04CDA"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A5138A2"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p>
    <w:p w14:paraId="18F69F35" w14:textId="77777777" w:rsidR="00901BFC" w:rsidRPr="001E0D8F" w:rsidRDefault="00901BFC" w:rsidP="009678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8466D93" w14:textId="77777777" w:rsidR="00901BFC" w:rsidRPr="001E0D8F" w:rsidRDefault="00901BFC" w:rsidP="00967813">
      <w:pPr>
        <w:spacing w:line="360" w:lineRule="auto"/>
        <w:ind w:left="360" w:right="-93"/>
        <w:jc w:val="both"/>
        <w:rPr>
          <w:rFonts w:ascii="Palatino Linotype" w:eastAsia="Calibri" w:hAnsi="Palatino Linotype" w:cs="Tahoma"/>
          <w:bCs/>
          <w:sz w:val="22"/>
          <w:szCs w:val="22"/>
          <w:lang w:eastAsia="en-US"/>
        </w:rPr>
      </w:pPr>
    </w:p>
    <w:p w14:paraId="50E67884" w14:textId="77777777" w:rsidR="00901BFC" w:rsidRPr="001E0D8F" w:rsidRDefault="00901BFC" w:rsidP="009678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34AA512C" w14:textId="77777777" w:rsidR="00901BFC" w:rsidRPr="001E0D8F" w:rsidRDefault="00901BFC" w:rsidP="00967813">
      <w:pPr>
        <w:pStyle w:val="Prrafodelista"/>
        <w:spacing w:line="360" w:lineRule="auto"/>
        <w:rPr>
          <w:rFonts w:ascii="Palatino Linotype" w:eastAsia="Calibri" w:hAnsi="Palatino Linotype" w:cs="Tahoma"/>
          <w:bCs/>
          <w:szCs w:val="22"/>
          <w:lang w:eastAsia="en-US"/>
        </w:rPr>
      </w:pPr>
    </w:p>
    <w:p w14:paraId="04F8CA12" w14:textId="77777777" w:rsidR="00901BFC" w:rsidRPr="001E0D8F" w:rsidRDefault="00901BFC" w:rsidP="009678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76CDA25"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p>
    <w:p w14:paraId="05F9B3D5"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774A58E"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p>
    <w:p w14:paraId="310014C0" w14:textId="77777777" w:rsidR="00901BFC" w:rsidRDefault="00901BFC" w:rsidP="00967813">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B28CD42"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p>
    <w:p w14:paraId="17575012"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BA77605" w14:textId="77777777" w:rsidR="00901BFC" w:rsidRPr="001E0D8F" w:rsidRDefault="00901BFC" w:rsidP="00967813">
      <w:pPr>
        <w:spacing w:line="360" w:lineRule="auto"/>
        <w:ind w:right="-93"/>
        <w:jc w:val="both"/>
        <w:rPr>
          <w:rFonts w:ascii="Palatino Linotype" w:eastAsia="Calibri" w:hAnsi="Palatino Linotype" w:cs="Tahoma"/>
          <w:bCs/>
          <w:sz w:val="22"/>
          <w:szCs w:val="22"/>
          <w:lang w:eastAsia="en-US"/>
        </w:rPr>
      </w:pPr>
    </w:p>
    <w:p w14:paraId="32674920" w14:textId="77777777" w:rsidR="00901BFC" w:rsidRPr="001E0D8F" w:rsidRDefault="00901BFC" w:rsidP="0096781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F6D2A04" w14:textId="77777777" w:rsidR="00901BFC" w:rsidRPr="001E0D8F" w:rsidRDefault="00901BFC" w:rsidP="00967813">
      <w:pPr>
        <w:pStyle w:val="Prrafodelista"/>
        <w:spacing w:line="360" w:lineRule="auto"/>
        <w:ind w:right="-93"/>
        <w:jc w:val="both"/>
        <w:rPr>
          <w:rFonts w:ascii="Palatino Linotype" w:eastAsia="Calibri" w:hAnsi="Palatino Linotype" w:cs="Tahoma"/>
          <w:bCs/>
          <w:szCs w:val="22"/>
          <w:lang w:eastAsia="en-US"/>
        </w:rPr>
      </w:pPr>
    </w:p>
    <w:p w14:paraId="59F1A9AD" w14:textId="77777777" w:rsidR="00901BFC" w:rsidRPr="001E0D8F" w:rsidRDefault="00901BFC" w:rsidP="0096781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70743F7" w14:textId="77777777" w:rsidR="00901BFC" w:rsidRPr="001E0D8F" w:rsidRDefault="00901BFC" w:rsidP="00967813">
      <w:pPr>
        <w:pStyle w:val="Prrafodelista"/>
        <w:spacing w:line="360" w:lineRule="auto"/>
        <w:rPr>
          <w:rFonts w:ascii="Palatino Linotype" w:eastAsia="Calibri" w:hAnsi="Palatino Linotype" w:cs="Tahoma"/>
          <w:bCs/>
          <w:szCs w:val="22"/>
          <w:lang w:eastAsia="en-US"/>
        </w:rPr>
      </w:pPr>
    </w:p>
    <w:p w14:paraId="5CC726B5" w14:textId="77777777" w:rsidR="00901BFC" w:rsidRPr="001E0D8F" w:rsidRDefault="00901BFC" w:rsidP="0096781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1E0D8F">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5F24CEA2" w14:textId="77777777" w:rsidR="00901BFC" w:rsidRPr="001E0D8F" w:rsidRDefault="00901BFC" w:rsidP="00967813">
      <w:pPr>
        <w:pStyle w:val="Prrafodelista"/>
        <w:spacing w:line="360" w:lineRule="auto"/>
        <w:rPr>
          <w:rFonts w:ascii="Palatino Linotype" w:eastAsia="Calibri" w:hAnsi="Palatino Linotype" w:cs="Tahoma"/>
          <w:b/>
          <w:bCs/>
          <w:szCs w:val="22"/>
          <w:lang w:eastAsia="en-US"/>
        </w:rPr>
      </w:pPr>
    </w:p>
    <w:p w14:paraId="221817BC" w14:textId="77777777" w:rsidR="00901BFC" w:rsidRPr="00BA50F1" w:rsidRDefault="00901BFC" w:rsidP="0096781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1535CF1" w14:textId="77777777" w:rsidR="00901BFC" w:rsidRPr="00BA50F1" w:rsidRDefault="00901BFC" w:rsidP="00967813">
      <w:pPr>
        <w:pStyle w:val="Prrafodelista"/>
        <w:rPr>
          <w:rFonts w:ascii="Palatino Linotype" w:eastAsia="Calibri" w:hAnsi="Palatino Linotype" w:cs="Tahoma"/>
          <w:b/>
          <w:bCs/>
          <w:szCs w:val="22"/>
          <w:lang w:eastAsia="en-US"/>
        </w:rPr>
      </w:pPr>
    </w:p>
    <w:p w14:paraId="462154A1" w14:textId="77777777" w:rsidR="00901BFC" w:rsidRPr="00BA50F1" w:rsidRDefault="00901BFC" w:rsidP="0096781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3B0D055" w14:textId="77777777" w:rsidR="00CA532B" w:rsidRDefault="00CA532B" w:rsidP="00967813">
      <w:pPr>
        <w:tabs>
          <w:tab w:val="left" w:pos="4962"/>
        </w:tabs>
        <w:spacing w:line="360" w:lineRule="auto"/>
        <w:jc w:val="both"/>
        <w:rPr>
          <w:rFonts w:ascii="Palatino Linotype" w:eastAsia="Calibri" w:hAnsi="Palatino Linotype" w:cs="Tahoma"/>
          <w:iCs/>
          <w:sz w:val="22"/>
          <w:szCs w:val="22"/>
          <w:lang w:val="es-ES" w:eastAsia="es-ES_tradnl"/>
        </w:rPr>
      </w:pPr>
    </w:p>
    <w:p w14:paraId="31B391B5" w14:textId="24BE7786" w:rsidR="00901BFC"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Es preciso indicar que el Recurrente solicitó al</w:t>
      </w:r>
      <w:r>
        <w:rPr>
          <w:rFonts w:ascii="Palatino Linotype" w:eastAsia="Calibri" w:hAnsi="Palatino Linotype" w:cs="Tahoma"/>
          <w:iCs/>
          <w:sz w:val="22"/>
          <w:szCs w:val="22"/>
          <w:lang w:val="es-ES" w:eastAsia="es-ES_tradnl"/>
        </w:rPr>
        <w:t xml:space="preserve"> Tribunal Estatal de Conciliación y Arbitraje del periodo comprendido del 1 al 20 de diciembre de dos mil dieciocho, lo siguiente:</w:t>
      </w:r>
    </w:p>
    <w:p w14:paraId="50E99DAD" w14:textId="77777777" w:rsidR="00901BFC" w:rsidRPr="00527491" w:rsidRDefault="00901BFC" w:rsidP="00967813">
      <w:pPr>
        <w:tabs>
          <w:tab w:val="left" w:pos="4962"/>
        </w:tabs>
        <w:spacing w:line="360" w:lineRule="auto"/>
        <w:jc w:val="both"/>
        <w:rPr>
          <w:rFonts w:ascii="Palatino Linotype" w:eastAsia="Calibri" w:hAnsi="Palatino Linotype" w:cs="Tahoma"/>
          <w:iCs/>
          <w:sz w:val="16"/>
          <w:szCs w:val="22"/>
          <w:lang w:val="es-ES" w:eastAsia="es-ES_tradnl"/>
        </w:rPr>
      </w:pPr>
    </w:p>
    <w:p w14:paraId="2D52D648" w14:textId="77777777" w:rsidR="00901BFC" w:rsidRDefault="00901BFC" w:rsidP="00967813">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Número de expedientes y n</w:t>
      </w:r>
      <w:r w:rsidRPr="006204C0">
        <w:rPr>
          <w:rFonts w:ascii="Palatino Linotype" w:eastAsia="Calibri" w:hAnsi="Palatino Linotype" w:cs="Tahoma"/>
          <w:iCs/>
          <w:szCs w:val="22"/>
          <w:lang w:val="es-ES" w:eastAsia="es-ES_tradnl"/>
        </w:rPr>
        <w:t xml:space="preserve">ombre de las partes intervinientes </w:t>
      </w:r>
      <w:r>
        <w:rPr>
          <w:rFonts w:ascii="Palatino Linotype" w:eastAsia="Calibri" w:hAnsi="Palatino Linotype" w:cs="Tahoma"/>
          <w:iCs/>
          <w:szCs w:val="22"/>
          <w:lang w:val="es-ES" w:eastAsia="es-ES_tradnl"/>
        </w:rPr>
        <w:t xml:space="preserve">en los convenios sin juicio celebrados por el Ayuntamiento de Tezoyuca. </w:t>
      </w:r>
    </w:p>
    <w:p w14:paraId="5DF3593A" w14:textId="77777777" w:rsidR="00901BFC" w:rsidRDefault="00901BFC" w:rsidP="00967813">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Versiones públicas de los convenios antes descritos </w:t>
      </w:r>
    </w:p>
    <w:p w14:paraId="5BB2F470" w14:textId="77777777" w:rsidR="00901BFC" w:rsidRDefault="00901BFC" w:rsidP="00967813">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Boletín laboral en donde estén publicados los convenios antes referidos. </w:t>
      </w:r>
      <w:r w:rsidRPr="00E33AD4">
        <w:rPr>
          <w:rFonts w:ascii="Palatino Linotype" w:eastAsia="Calibri" w:hAnsi="Palatino Linotype" w:cs="Tahoma"/>
          <w:iCs/>
          <w:szCs w:val="22"/>
          <w:lang w:val="es-ES" w:eastAsia="es-ES_tradnl"/>
        </w:rPr>
        <w:t xml:space="preserve"> </w:t>
      </w:r>
    </w:p>
    <w:p w14:paraId="7B585BE1" w14:textId="77777777" w:rsidR="00901BFC" w:rsidRPr="00527491" w:rsidRDefault="00901BFC" w:rsidP="00967813">
      <w:pPr>
        <w:pStyle w:val="Prrafodelista"/>
        <w:tabs>
          <w:tab w:val="left" w:pos="4962"/>
        </w:tabs>
        <w:spacing w:line="360" w:lineRule="auto"/>
        <w:ind w:left="1440"/>
        <w:jc w:val="both"/>
        <w:rPr>
          <w:rFonts w:ascii="Palatino Linotype" w:eastAsia="Calibri" w:hAnsi="Palatino Linotype" w:cs="Tahoma"/>
          <w:iCs/>
          <w:sz w:val="14"/>
          <w:szCs w:val="22"/>
          <w:lang w:val="es-ES" w:eastAsia="es-ES_tradnl"/>
        </w:rPr>
      </w:pPr>
    </w:p>
    <w:p w14:paraId="07C9B5DC" w14:textId="77777777" w:rsidR="00901BFC"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En respuesta, </w:t>
      </w:r>
      <w:r>
        <w:rPr>
          <w:rFonts w:ascii="Palatino Linotype" w:eastAsia="Calibri" w:hAnsi="Palatino Linotype" w:cs="Tahoma"/>
          <w:iCs/>
          <w:sz w:val="22"/>
          <w:szCs w:val="22"/>
          <w:lang w:val="es-ES" w:eastAsia="es-ES_tradnl"/>
        </w:rPr>
        <w:t xml:space="preserve">el Sujeto Obligado proporcionó un archivo consistente en los convenios solicitados; sin embargo se precisa que, si bien el Tribunal de Conciliación y Arbitraje pretendió realizar una versión pública de los mismos, lo cierto es que, dejo a la vista datos </w:t>
      </w:r>
      <w:r>
        <w:rPr>
          <w:rFonts w:ascii="Palatino Linotype" w:eastAsia="Calibri" w:hAnsi="Palatino Linotype" w:cs="Tahoma"/>
          <w:iCs/>
          <w:sz w:val="22"/>
          <w:szCs w:val="22"/>
          <w:lang w:val="es-ES" w:eastAsia="es-ES_tradnl"/>
        </w:rPr>
        <w:lastRenderedPageBreak/>
        <w:t xml:space="preserve">clasificados como confidenciales, tales como las huellas dactilares de los ex servidores públicos. </w:t>
      </w:r>
    </w:p>
    <w:p w14:paraId="60527AC8" w14:textId="77777777" w:rsidR="00901BFC" w:rsidRPr="00527491" w:rsidRDefault="00901BFC" w:rsidP="00967813">
      <w:pPr>
        <w:tabs>
          <w:tab w:val="left" w:pos="4962"/>
        </w:tabs>
        <w:spacing w:line="360" w:lineRule="auto"/>
        <w:jc w:val="both"/>
        <w:rPr>
          <w:rFonts w:ascii="Palatino Linotype" w:eastAsia="Calibri" w:hAnsi="Palatino Linotype" w:cs="Tahoma"/>
          <w:iCs/>
          <w:sz w:val="14"/>
          <w:szCs w:val="22"/>
          <w:lang w:val="es-ES" w:eastAsia="es-ES_tradnl"/>
        </w:rPr>
      </w:pPr>
    </w:p>
    <w:p w14:paraId="76AC94F0" w14:textId="157B1F8A" w:rsidR="000221F4"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w:t>
      </w:r>
      <w:r w:rsidR="000221F4" w:rsidRPr="000221F4">
        <w:rPr>
          <w:rFonts w:ascii="Palatino Linotype" w:eastAsia="Calibri" w:hAnsi="Palatino Linotype" w:cs="Tahoma"/>
          <w:iCs/>
          <w:sz w:val="22"/>
          <w:szCs w:val="22"/>
          <w:lang w:val="es-ES" w:eastAsia="es-ES_tradnl"/>
        </w:rPr>
        <w:t xml:space="preserve">, </w:t>
      </w:r>
      <w:r w:rsidR="00974F49">
        <w:rPr>
          <w:rFonts w:ascii="Palatino Linotype" w:eastAsia="Calibri" w:hAnsi="Palatino Linotype" w:cs="Tahoma"/>
          <w:iCs/>
          <w:sz w:val="22"/>
          <w:szCs w:val="22"/>
          <w:lang w:val="es-ES" w:eastAsia="es-ES_tradnl"/>
        </w:rPr>
        <w:t xml:space="preserve">del análisis a los motivos de inconformidad hechos valer por el Recurrente en el Recurso de Revisión que nos ocupa, se advierte que no </w:t>
      </w:r>
      <w:r w:rsidR="00140350">
        <w:rPr>
          <w:rFonts w:ascii="Palatino Linotype" w:eastAsia="Calibri" w:hAnsi="Palatino Linotype" w:cs="Tahoma"/>
          <w:iCs/>
          <w:sz w:val="22"/>
          <w:szCs w:val="22"/>
          <w:lang w:val="es-ES" w:eastAsia="es-ES_tradnl"/>
        </w:rPr>
        <w:t xml:space="preserve">se inconformó de </w:t>
      </w:r>
      <w:r w:rsidR="00FE4B06">
        <w:rPr>
          <w:rFonts w:ascii="Palatino Linotype" w:eastAsia="Calibri" w:hAnsi="Palatino Linotype" w:cs="Tahoma"/>
          <w:iCs/>
          <w:sz w:val="22"/>
          <w:szCs w:val="22"/>
          <w:lang w:val="es-ES" w:eastAsia="es-ES_tradnl"/>
        </w:rPr>
        <w:t>los</w:t>
      </w:r>
      <w:r w:rsidR="00974F49">
        <w:rPr>
          <w:rFonts w:ascii="Palatino Linotype" w:eastAsia="Calibri" w:hAnsi="Palatino Linotype" w:cs="Tahoma"/>
          <w:iCs/>
          <w:sz w:val="22"/>
          <w:szCs w:val="22"/>
          <w:lang w:val="es-ES" w:eastAsia="es-ES_tradnl"/>
        </w:rPr>
        <w:t xml:space="preserve"> boletines laborales en donde se publicaron los mismos, toda vez que</w:t>
      </w:r>
      <w:r w:rsidR="00140350" w:rsidRPr="00FE4B06">
        <w:rPr>
          <w:rFonts w:ascii="Palatino Linotype" w:eastAsia="Calibri" w:hAnsi="Palatino Linotype" w:cs="Tahoma"/>
          <w:b/>
          <w:iCs/>
          <w:sz w:val="22"/>
          <w:szCs w:val="22"/>
          <w:u w:val="single"/>
          <w:lang w:val="es-ES" w:eastAsia="es-ES_tradnl"/>
        </w:rPr>
        <w:t>,</w:t>
      </w:r>
      <w:r w:rsidR="00974F49" w:rsidRPr="00FE4B06">
        <w:rPr>
          <w:rFonts w:ascii="Palatino Linotype" w:eastAsia="Calibri" w:hAnsi="Palatino Linotype" w:cs="Tahoma"/>
          <w:b/>
          <w:iCs/>
          <w:sz w:val="22"/>
          <w:szCs w:val="22"/>
          <w:u w:val="single"/>
          <w:lang w:val="es-ES" w:eastAsia="es-ES_tradnl"/>
        </w:rPr>
        <w:t xml:space="preserve"> únicamente se inconformó de que el Sujeto Obligado no entregó las transferencias bancarias </w:t>
      </w:r>
      <w:r w:rsidR="000221F4" w:rsidRPr="00FE4B06">
        <w:rPr>
          <w:rFonts w:ascii="Palatino Linotype" w:eastAsia="Calibri" w:hAnsi="Palatino Linotype" w:cs="Tahoma"/>
          <w:b/>
          <w:iCs/>
          <w:sz w:val="22"/>
          <w:szCs w:val="22"/>
          <w:u w:val="single"/>
          <w:lang w:val="es-ES" w:eastAsia="es-ES_tradnl"/>
        </w:rPr>
        <w:t>de los depósitos realizados a los ex servidores públicos derivad</w:t>
      </w:r>
      <w:r w:rsidR="00AC0052" w:rsidRPr="00FE4B06">
        <w:rPr>
          <w:rFonts w:ascii="Palatino Linotype" w:eastAsia="Calibri" w:hAnsi="Palatino Linotype" w:cs="Tahoma"/>
          <w:b/>
          <w:iCs/>
          <w:sz w:val="22"/>
          <w:szCs w:val="22"/>
          <w:u w:val="single"/>
          <w:lang w:val="es-ES" w:eastAsia="es-ES_tradnl"/>
        </w:rPr>
        <w:t>o</w:t>
      </w:r>
      <w:r w:rsidR="00FE4B06">
        <w:rPr>
          <w:rFonts w:ascii="Palatino Linotype" w:eastAsia="Calibri" w:hAnsi="Palatino Linotype" w:cs="Tahoma"/>
          <w:b/>
          <w:iCs/>
          <w:sz w:val="22"/>
          <w:szCs w:val="22"/>
          <w:u w:val="single"/>
          <w:lang w:val="es-ES" w:eastAsia="es-ES_tradnl"/>
        </w:rPr>
        <w:t>s</w:t>
      </w:r>
      <w:r w:rsidR="00AC0052" w:rsidRPr="00FE4B06">
        <w:rPr>
          <w:rFonts w:ascii="Palatino Linotype" w:eastAsia="Calibri" w:hAnsi="Palatino Linotype" w:cs="Tahoma"/>
          <w:b/>
          <w:iCs/>
          <w:sz w:val="22"/>
          <w:szCs w:val="22"/>
          <w:u w:val="single"/>
          <w:lang w:val="es-ES" w:eastAsia="es-ES_tradnl"/>
        </w:rPr>
        <w:t xml:space="preserve"> de los convenios solicitados</w:t>
      </w:r>
      <w:r w:rsidR="00AC0052">
        <w:rPr>
          <w:rFonts w:ascii="Palatino Linotype" w:eastAsia="Calibri" w:hAnsi="Palatino Linotype" w:cs="Tahoma"/>
          <w:iCs/>
          <w:sz w:val="22"/>
          <w:szCs w:val="22"/>
          <w:lang w:val="es-ES" w:eastAsia="es-ES_tradnl"/>
        </w:rPr>
        <w:t xml:space="preserve">; por lo que no existe causa </w:t>
      </w:r>
      <w:r w:rsidR="00AC0052">
        <w:rPr>
          <w:rFonts w:ascii="Palatino Linotype" w:eastAsia="Calibri" w:hAnsi="Palatino Linotype" w:cs="Tahoma"/>
          <w:i/>
          <w:iCs/>
          <w:sz w:val="22"/>
          <w:szCs w:val="22"/>
          <w:lang w:val="es-ES" w:eastAsia="es-ES_tradnl"/>
        </w:rPr>
        <w:t>petendi</w:t>
      </w:r>
      <w:r w:rsidR="00AC0052">
        <w:rPr>
          <w:rFonts w:ascii="Palatino Linotype" w:eastAsia="Calibri" w:hAnsi="Palatino Linotype" w:cs="Tahoma"/>
          <w:iCs/>
          <w:sz w:val="22"/>
          <w:szCs w:val="22"/>
          <w:lang w:val="es-ES" w:eastAsia="es-ES_tradnl"/>
        </w:rPr>
        <w:t xml:space="preserve"> ( que el inconforme precise el agravio o lesión que le cause el acto reclamado), en relación con los documentos que entregó el Sujeto Obligado en respuesta, que permita a este Instituto determinar mediante resolución fundada y motivada una consecuencia jurídica sobre los actos recaídos </w:t>
      </w:r>
      <w:r w:rsidR="00BA5BFC">
        <w:rPr>
          <w:rFonts w:ascii="Palatino Linotype" w:eastAsia="Calibri" w:hAnsi="Palatino Linotype" w:cs="Tahoma"/>
          <w:iCs/>
          <w:sz w:val="22"/>
          <w:szCs w:val="22"/>
          <w:lang w:val="es-ES" w:eastAsia="es-ES_tradnl"/>
        </w:rPr>
        <w:t xml:space="preserve">a dichos requerimientos. </w:t>
      </w:r>
    </w:p>
    <w:p w14:paraId="18FFCFAF" w14:textId="77777777" w:rsidR="00BA5BFC" w:rsidRPr="00527491" w:rsidRDefault="00BA5BFC" w:rsidP="00967813">
      <w:pPr>
        <w:tabs>
          <w:tab w:val="left" w:pos="4962"/>
        </w:tabs>
        <w:spacing w:line="360" w:lineRule="auto"/>
        <w:jc w:val="both"/>
        <w:rPr>
          <w:rFonts w:ascii="Palatino Linotype" w:eastAsia="Calibri" w:hAnsi="Palatino Linotype" w:cs="Tahoma"/>
          <w:iCs/>
          <w:sz w:val="14"/>
          <w:szCs w:val="22"/>
          <w:lang w:val="es-ES" w:eastAsia="es-ES_tradnl"/>
        </w:rPr>
      </w:pPr>
    </w:p>
    <w:p w14:paraId="2EC5309C" w14:textId="77777777" w:rsidR="00BA5BFC" w:rsidRPr="00646BBA" w:rsidRDefault="00BA5BFC" w:rsidP="00967813">
      <w:pPr>
        <w:spacing w:line="360" w:lineRule="auto"/>
        <w:ind w:right="-93"/>
        <w:jc w:val="both"/>
        <w:rPr>
          <w:rFonts w:ascii="Palatino Linotype" w:hAnsi="Palatino Linotype" w:cs="Tahoma"/>
          <w:sz w:val="22"/>
          <w:szCs w:val="24"/>
        </w:rPr>
      </w:pPr>
      <w:r w:rsidRPr="00646BBA">
        <w:rPr>
          <w:rFonts w:ascii="Palatino Linotype" w:hAnsi="Palatino Linotype" w:cs="Tahoma"/>
          <w:sz w:val="22"/>
          <w:szCs w:val="24"/>
        </w:rPr>
        <w:t>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5DE6995A" w14:textId="77777777" w:rsidR="00BA5BFC" w:rsidRPr="00527491" w:rsidRDefault="00BA5BFC" w:rsidP="00967813">
      <w:pPr>
        <w:spacing w:line="360" w:lineRule="auto"/>
        <w:ind w:right="-93"/>
        <w:jc w:val="both"/>
        <w:rPr>
          <w:rFonts w:ascii="Palatino Linotype" w:hAnsi="Palatino Linotype" w:cs="Tahoma"/>
          <w:sz w:val="12"/>
          <w:szCs w:val="24"/>
        </w:rPr>
      </w:pPr>
      <w:r w:rsidRPr="00646BBA">
        <w:rPr>
          <w:rFonts w:ascii="Palatino Linotype" w:hAnsi="Palatino Linotype" w:cs="Tahoma"/>
          <w:sz w:val="22"/>
          <w:szCs w:val="24"/>
        </w:rPr>
        <w:t> </w:t>
      </w:r>
    </w:p>
    <w:p w14:paraId="7295F2E0" w14:textId="6BD2FA5B" w:rsidR="00BA5BFC" w:rsidRDefault="00BA5BFC" w:rsidP="00967813">
      <w:pPr>
        <w:spacing w:line="360" w:lineRule="auto"/>
        <w:ind w:right="-93"/>
        <w:jc w:val="both"/>
        <w:rPr>
          <w:rFonts w:ascii="Palatino Linotype" w:hAnsi="Palatino Linotype" w:cs="Tahoma"/>
          <w:sz w:val="22"/>
          <w:szCs w:val="24"/>
        </w:rPr>
      </w:pPr>
      <w:r w:rsidRPr="00646BBA">
        <w:rPr>
          <w:rFonts w:ascii="Palatino Linotype" w:hAnsi="Palatino Linotype" w:cs="Tahoma"/>
          <w:sz w:val="22"/>
          <w:szCs w:val="24"/>
        </w:rPr>
        <w:t xml:space="preserve">Así, en el presente caso, existe: (i) un acto </w:t>
      </w:r>
      <w:r>
        <w:rPr>
          <w:rFonts w:ascii="Palatino Linotype" w:hAnsi="Palatino Linotype" w:cs="Tahoma"/>
          <w:sz w:val="22"/>
          <w:szCs w:val="24"/>
        </w:rPr>
        <w:t>de autoridad, consistente en la</w:t>
      </w:r>
      <w:r w:rsidRPr="00646BBA">
        <w:rPr>
          <w:rFonts w:ascii="Palatino Linotype" w:hAnsi="Palatino Linotype" w:cs="Tahoma"/>
          <w:sz w:val="22"/>
          <w:szCs w:val="24"/>
        </w:rPr>
        <w:t xml:space="preserve"> respuesta a la solicitud de acceso a la información; (ii) una persona afectada por el hecho, 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w:t>
      </w:r>
      <w:r w:rsidRPr="00646BBA">
        <w:rPr>
          <w:rFonts w:ascii="Palatino Linotype" w:hAnsi="Palatino Linotype" w:cs="Tahoma"/>
          <w:sz w:val="22"/>
          <w:szCs w:val="24"/>
        </w:rPr>
        <w:lastRenderedPageBreak/>
        <w:t xml:space="preserve">conforme al artículo 178 del ordenamiento legal en cita; y (v) el hecho de que, dentro del plazo referido, el ahora Recurrente manifestara queja alguna </w:t>
      </w:r>
      <w:r w:rsidR="009430DD">
        <w:rPr>
          <w:rFonts w:ascii="Palatino Linotype" w:hAnsi="Palatino Linotype" w:cs="Tahoma"/>
          <w:sz w:val="22"/>
          <w:szCs w:val="24"/>
        </w:rPr>
        <w:t>en contra del</w:t>
      </w:r>
      <w:r w:rsidRPr="00646BBA">
        <w:rPr>
          <w:rFonts w:ascii="Palatino Linotype" w:hAnsi="Palatino Linotype" w:cs="Tahoma"/>
          <w:sz w:val="22"/>
          <w:szCs w:val="24"/>
        </w:rPr>
        <w:t xml:space="preserve"> contenido de información </w:t>
      </w:r>
      <w:r w:rsidR="009430DD">
        <w:rPr>
          <w:rFonts w:ascii="Palatino Linotype" w:hAnsi="Palatino Linotype" w:cs="Tahoma"/>
          <w:sz w:val="22"/>
          <w:szCs w:val="24"/>
        </w:rPr>
        <w:t>proporcionada en respuesta</w:t>
      </w:r>
      <w:r w:rsidRPr="00646BBA">
        <w:rPr>
          <w:rFonts w:ascii="Palatino Linotype" w:hAnsi="Palatino Linotype" w:cs="Tahoma"/>
          <w:sz w:val="22"/>
          <w:szCs w:val="24"/>
        </w:rPr>
        <w:t xml:space="preserve">, a saber, </w:t>
      </w:r>
      <w:r w:rsidR="009430DD">
        <w:rPr>
          <w:rFonts w:ascii="Palatino Linotype" w:hAnsi="Palatino Linotype" w:cs="Tahoma"/>
          <w:sz w:val="22"/>
          <w:szCs w:val="24"/>
        </w:rPr>
        <w:t xml:space="preserve"> los boletines laborales donde se publicaron los convenios solicitados, toda vez que únicamente se inconformó de </w:t>
      </w:r>
      <w:r w:rsidRPr="00646BBA">
        <w:rPr>
          <w:rFonts w:ascii="Palatino Linotype" w:hAnsi="Palatino Linotype" w:cs="Tahoma"/>
          <w:sz w:val="22"/>
          <w:szCs w:val="24"/>
        </w:rPr>
        <w:t>la evidencia del cumplimiento de los acuerdos.</w:t>
      </w:r>
    </w:p>
    <w:p w14:paraId="7D936BC4" w14:textId="77777777" w:rsidR="00BA5BFC" w:rsidRPr="00646BBA" w:rsidRDefault="00BA5BFC" w:rsidP="00967813">
      <w:pPr>
        <w:spacing w:line="360" w:lineRule="auto"/>
        <w:ind w:right="-93"/>
        <w:jc w:val="both"/>
        <w:rPr>
          <w:rFonts w:ascii="Palatino Linotype" w:hAnsi="Palatino Linotype" w:cs="Tahoma"/>
          <w:sz w:val="22"/>
          <w:szCs w:val="24"/>
        </w:rPr>
      </w:pPr>
    </w:p>
    <w:p w14:paraId="1B9A29BA" w14:textId="35416A47" w:rsidR="00BA5BFC" w:rsidRPr="00646BBA" w:rsidRDefault="00BA5BFC" w:rsidP="00967813">
      <w:pPr>
        <w:spacing w:line="360" w:lineRule="auto"/>
        <w:ind w:right="-93"/>
        <w:jc w:val="both"/>
        <w:rPr>
          <w:rFonts w:ascii="Palatino Linotype" w:hAnsi="Palatino Linotype" w:cs="Tahoma"/>
          <w:sz w:val="22"/>
          <w:szCs w:val="24"/>
        </w:rPr>
      </w:pPr>
      <w:r w:rsidRPr="00646BBA">
        <w:rPr>
          <w:rFonts w:ascii="Palatino Linotype" w:hAnsi="Palatino Linotype" w:cs="Tahoma"/>
          <w:sz w:val="22"/>
          <w:szCs w:val="24"/>
        </w:rPr>
        <w:t>En ese sentido, la respuesta o falta de respuesta a dicho contenido de información debe considerarse un </w:t>
      </w:r>
      <w:r w:rsidRPr="00646BBA">
        <w:rPr>
          <w:rFonts w:ascii="Palatino Linotype" w:hAnsi="Palatino Linotype" w:cs="Tahoma"/>
          <w:b/>
          <w:bCs/>
          <w:sz w:val="22"/>
          <w:szCs w:val="24"/>
        </w:rPr>
        <w:t>acto consentido tácitamente</w:t>
      </w:r>
      <w:r w:rsidRPr="00646BBA">
        <w:rPr>
          <w:rFonts w:ascii="Palatino Linotype" w:hAnsi="Palatino Linotype" w:cs="Tahoma"/>
          <w:sz w:val="22"/>
          <w:szCs w:val="24"/>
        </w:rPr>
        <w:t>, en razón de que no se reclam</w:t>
      </w:r>
      <w:r w:rsidR="009430DD">
        <w:rPr>
          <w:rFonts w:ascii="Palatino Linotype" w:hAnsi="Palatino Linotype" w:cs="Tahoma"/>
          <w:sz w:val="22"/>
          <w:szCs w:val="24"/>
        </w:rPr>
        <w:t>ó</w:t>
      </w:r>
      <w:r w:rsidRPr="00646BBA">
        <w:rPr>
          <w:rFonts w:ascii="Palatino Linotype" w:hAnsi="Palatino Linotype" w:cs="Tahoma"/>
          <w:sz w:val="22"/>
          <w:szCs w:val="24"/>
        </w:rPr>
        <w:t xml:space="preserve"> por la vía y plazos establecidos en la Ley de Transparencia y Acceso a la Información Pública del Estado de México y Municipios y, </w:t>
      </w:r>
      <w:r w:rsidRPr="00646BBA">
        <w:rPr>
          <w:rFonts w:ascii="Palatino Linotype" w:hAnsi="Palatino Linotype" w:cs="Tahoma"/>
          <w:b/>
          <w:bCs/>
          <w:sz w:val="22"/>
          <w:szCs w:val="24"/>
        </w:rPr>
        <w:t xml:space="preserve">se presume que el Particular está conforme con </w:t>
      </w:r>
      <w:r w:rsidR="009430DD">
        <w:rPr>
          <w:rFonts w:ascii="Palatino Linotype" w:hAnsi="Palatino Linotype" w:cs="Tahoma"/>
          <w:b/>
          <w:bCs/>
          <w:sz w:val="22"/>
          <w:szCs w:val="24"/>
        </w:rPr>
        <w:t>el mismo</w:t>
      </w:r>
      <w:r w:rsidRPr="00646BBA">
        <w:rPr>
          <w:rFonts w:ascii="Palatino Linotype" w:hAnsi="Palatino Linotype" w:cs="Tahoma"/>
          <w:b/>
          <w:bCs/>
          <w:sz w:val="22"/>
          <w:szCs w:val="24"/>
        </w:rPr>
        <w:t>, </w:t>
      </w:r>
      <w:r w:rsidRPr="00646BBA">
        <w:rPr>
          <w:rFonts w:ascii="Palatino Linotype" w:hAnsi="Palatino Linotype" w:cs="Tahoma"/>
          <w:sz w:val="22"/>
          <w:szCs w:val="24"/>
        </w:rPr>
        <w:t>de acuerdo a lo plasmado en la Jurisprudencia “ACTOS CONSENTIDOS TACITAMENTE” (Semanario Judicial de la Federación y su Gaceta, Quinta Época, Tomo VI, 1995, pág. 11.).</w:t>
      </w:r>
    </w:p>
    <w:p w14:paraId="28CF2B84" w14:textId="77777777" w:rsidR="00BA5BFC" w:rsidRDefault="00BA5BFC" w:rsidP="00967813">
      <w:pPr>
        <w:tabs>
          <w:tab w:val="left" w:pos="4962"/>
        </w:tabs>
        <w:spacing w:line="360" w:lineRule="auto"/>
        <w:jc w:val="both"/>
        <w:rPr>
          <w:rFonts w:ascii="Palatino Linotype" w:eastAsia="Calibri" w:hAnsi="Palatino Linotype" w:cs="Tahoma"/>
          <w:iCs/>
          <w:sz w:val="22"/>
          <w:szCs w:val="22"/>
          <w:lang w:val="es-ES" w:eastAsia="es-ES_tradnl"/>
        </w:rPr>
      </w:pPr>
    </w:p>
    <w:p w14:paraId="574137F7" w14:textId="1D1CE486" w:rsidR="00BA5BFC" w:rsidRDefault="00BA5BFC"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Establecido lo anterior, se procede al análisis del agravio hecho valer por el Recurrente consistente en que el Sujeto Obligado no entregó las transferencias bancarias de los depósitos realizados a los ex servidores públicos, derivados de los convenios solicitados</w:t>
      </w:r>
      <w:r w:rsidR="00541135">
        <w:rPr>
          <w:rFonts w:ascii="Palatino Linotype" w:eastAsia="Calibri" w:hAnsi="Palatino Linotype" w:cs="Tahoma"/>
          <w:iCs/>
          <w:sz w:val="22"/>
          <w:szCs w:val="22"/>
          <w:lang w:val="es-ES" w:eastAsia="es-ES_tradnl"/>
        </w:rPr>
        <w:t>.</w:t>
      </w:r>
    </w:p>
    <w:p w14:paraId="05E88B83" w14:textId="77777777" w:rsidR="00901BFC" w:rsidRDefault="00901BFC" w:rsidP="00967813">
      <w:pPr>
        <w:tabs>
          <w:tab w:val="left" w:pos="4962"/>
        </w:tabs>
        <w:spacing w:line="360" w:lineRule="auto"/>
        <w:jc w:val="both"/>
        <w:rPr>
          <w:rFonts w:ascii="Palatino Linotype" w:eastAsia="Calibri" w:hAnsi="Palatino Linotype" w:cs="Tahoma"/>
          <w:iCs/>
          <w:sz w:val="22"/>
          <w:szCs w:val="22"/>
          <w:lang w:val="es-ES" w:eastAsia="es-ES_tradnl"/>
        </w:rPr>
      </w:pPr>
    </w:p>
    <w:p w14:paraId="453CD7F6" w14:textId="2E536D6F" w:rsidR="00901BFC" w:rsidRDefault="00CE174E" w:rsidP="0096781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w:t>
      </w:r>
      <w:r w:rsidR="00901BFC">
        <w:rPr>
          <w:rFonts w:ascii="Palatino Linotype" w:eastAsia="Calibri" w:hAnsi="Palatino Linotype" w:cs="Tahoma"/>
          <w:iCs/>
          <w:sz w:val="22"/>
          <w:szCs w:val="22"/>
          <w:lang w:val="es-ES" w:eastAsia="es-ES_tradnl"/>
        </w:rPr>
        <w:t xml:space="preserve">e las constancias que obran agregadas al expediente en que se actúa se advierte lo siguiente: </w:t>
      </w:r>
    </w:p>
    <w:p w14:paraId="28DA5992" w14:textId="77777777" w:rsidR="00933F64" w:rsidRDefault="00933F64" w:rsidP="00967813">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2503"/>
        <w:gridCol w:w="2600"/>
        <w:gridCol w:w="2199"/>
        <w:gridCol w:w="1732"/>
      </w:tblGrid>
      <w:tr w:rsidR="009430DD" w14:paraId="65D533C8" w14:textId="5423AD2C" w:rsidTr="009430DD">
        <w:tc>
          <w:tcPr>
            <w:tcW w:w="2503" w:type="dxa"/>
            <w:shd w:val="clear" w:color="auto" w:fill="FFF2CC" w:themeFill="accent4" w:themeFillTint="33"/>
          </w:tcPr>
          <w:p w14:paraId="3966D15A" w14:textId="77777777" w:rsidR="009430DD" w:rsidRPr="00AC0052" w:rsidRDefault="009430DD" w:rsidP="00420590">
            <w:pPr>
              <w:tabs>
                <w:tab w:val="left" w:pos="4962"/>
              </w:tabs>
              <w:spacing w:line="276" w:lineRule="auto"/>
              <w:jc w:val="center"/>
              <w:rPr>
                <w:rFonts w:ascii="Palatino Linotype" w:hAnsi="Palatino Linotype" w:cs="Tahoma"/>
                <w:b/>
                <w:szCs w:val="22"/>
              </w:rPr>
            </w:pPr>
            <w:r w:rsidRPr="00AC0052">
              <w:rPr>
                <w:rFonts w:ascii="Palatino Linotype" w:hAnsi="Palatino Linotype" w:cs="Tahoma"/>
                <w:b/>
                <w:szCs w:val="22"/>
              </w:rPr>
              <w:t>Solicitud de Información</w:t>
            </w:r>
          </w:p>
          <w:p w14:paraId="387A4795" w14:textId="77777777" w:rsidR="009430DD" w:rsidRPr="00AC0052" w:rsidRDefault="009430DD" w:rsidP="00420590">
            <w:pPr>
              <w:tabs>
                <w:tab w:val="left" w:pos="4962"/>
              </w:tabs>
              <w:spacing w:line="276" w:lineRule="auto"/>
              <w:jc w:val="center"/>
              <w:rPr>
                <w:rFonts w:ascii="Palatino Linotype" w:hAnsi="Palatino Linotype" w:cs="Tahoma"/>
                <w:b/>
                <w:szCs w:val="22"/>
              </w:rPr>
            </w:pPr>
            <w:r w:rsidRPr="00AC0052">
              <w:rPr>
                <w:rFonts w:ascii="Palatino Linotype" w:hAnsi="Palatino Linotype" w:cs="Tahoma"/>
                <w:b/>
                <w:szCs w:val="22"/>
              </w:rPr>
              <w:t xml:space="preserve">Del periodo comprendido del 1 al 20 de diciembre de 2018. </w:t>
            </w:r>
          </w:p>
        </w:tc>
        <w:tc>
          <w:tcPr>
            <w:tcW w:w="2600" w:type="dxa"/>
            <w:shd w:val="clear" w:color="auto" w:fill="FFF2CC" w:themeFill="accent4" w:themeFillTint="33"/>
          </w:tcPr>
          <w:p w14:paraId="4618E975" w14:textId="77777777" w:rsidR="009430DD" w:rsidRDefault="009430DD" w:rsidP="00420590">
            <w:pPr>
              <w:tabs>
                <w:tab w:val="left" w:pos="4962"/>
              </w:tabs>
              <w:spacing w:line="276" w:lineRule="auto"/>
              <w:jc w:val="center"/>
              <w:rPr>
                <w:rFonts w:ascii="Palatino Linotype" w:hAnsi="Palatino Linotype" w:cs="Tahoma"/>
                <w:b/>
                <w:szCs w:val="22"/>
              </w:rPr>
            </w:pPr>
          </w:p>
          <w:p w14:paraId="44C10E89" w14:textId="77777777" w:rsidR="009430DD" w:rsidRPr="00AC0052" w:rsidRDefault="009430DD" w:rsidP="00420590">
            <w:pPr>
              <w:tabs>
                <w:tab w:val="left" w:pos="4962"/>
              </w:tabs>
              <w:spacing w:line="276" w:lineRule="auto"/>
              <w:jc w:val="center"/>
              <w:rPr>
                <w:rFonts w:ascii="Palatino Linotype" w:hAnsi="Palatino Linotype" w:cs="Tahoma"/>
                <w:b/>
                <w:szCs w:val="22"/>
              </w:rPr>
            </w:pPr>
            <w:r w:rsidRPr="00AC0052">
              <w:rPr>
                <w:rFonts w:ascii="Palatino Linotype" w:hAnsi="Palatino Linotype" w:cs="Tahoma"/>
                <w:b/>
                <w:szCs w:val="22"/>
              </w:rPr>
              <w:t>Respuesta otorgada</w:t>
            </w:r>
          </w:p>
        </w:tc>
        <w:tc>
          <w:tcPr>
            <w:tcW w:w="2199" w:type="dxa"/>
            <w:shd w:val="clear" w:color="auto" w:fill="FFF2CC" w:themeFill="accent4" w:themeFillTint="33"/>
          </w:tcPr>
          <w:p w14:paraId="3C545BB1" w14:textId="77777777" w:rsidR="00901BFC" w:rsidRDefault="00901BFC" w:rsidP="00420590">
            <w:pPr>
              <w:tabs>
                <w:tab w:val="left" w:pos="4962"/>
              </w:tabs>
              <w:spacing w:line="276" w:lineRule="auto"/>
              <w:jc w:val="center"/>
              <w:rPr>
                <w:rFonts w:ascii="Palatino Linotype" w:hAnsi="Palatino Linotype" w:cs="Tahoma"/>
                <w:b/>
                <w:szCs w:val="22"/>
              </w:rPr>
            </w:pPr>
          </w:p>
          <w:p w14:paraId="1F44E0E2" w14:textId="75F92E25" w:rsidR="009430DD" w:rsidRDefault="009430DD" w:rsidP="00420590">
            <w:pPr>
              <w:tabs>
                <w:tab w:val="left" w:pos="4962"/>
              </w:tabs>
              <w:spacing w:line="276" w:lineRule="auto"/>
              <w:jc w:val="center"/>
              <w:rPr>
                <w:rFonts w:ascii="Palatino Linotype" w:hAnsi="Palatino Linotype" w:cs="Tahoma"/>
                <w:b/>
                <w:szCs w:val="22"/>
              </w:rPr>
            </w:pPr>
            <w:r>
              <w:rPr>
                <w:rFonts w:ascii="Palatino Linotype" w:hAnsi="Palatino Linotype" w:cs="Tahoma"/>
                <w:b/>
                <w:szCs w:val="22"/>
              </w:rPr>
              <w:t xml:space="preserve">Recurso de Revisión </w:t>
            </w:r>
          </w:p>
        </w:tc>
        <w:tc>
          <w:tcPr>
            <w:tcW w:w="1732" w:type="dxa"/>
            <w:shd w:val="clear" w:color="auto" w:fill="FFF2CC" w:themeFill="accent4" w:themeFillTint="33"/>
          </w:tcPr>
          <w:p w14:paraId="17A10DB1" w14:textId="77777777" w:rsidR="00901BFC" w:rsidRDefault="00901BFC" w:rsidP="00420590">
            <w:pPr>
              <w:tabs>
                <w:tab w:val="left" w:pos="4962"/>
              </w:tabs>
              <w:spacing w:line="276" w:lineRule="auto"/>
              <w:jc w:val="center"/>
              <w:rPr>
                <w:rFonts w:ascii="Palatino Linotype" w:hAnsi="Palatino Linotype" w:cs="Tahoma"/>
                <w:b/>
                <w:szCs w:val="22"/>
              </w:rPr>
            </w:pPr>
          </w:p>
          <w:p w14:paraId="77B75097" w14:textId="6054328E" w:rsidR="009430DD" w:rsidRDefault="009430DD" w:rsidP="00420590">
            <w:pPr>
              <w:tabs>
                <w:tab w:val="left" w:pos="4962"/>
              </w:tabs>
              <w:spacing w:line="276" w:lineRule="auto"/>
              <w:jc w:val="center"/>
              <w:rPr>
                <w:rFonts w:ascii="Palatino Linotype" w:hAnsi="Palatino Linotype" w:cs="Tahoma"/>
                <w:b/>
                <w:szCs w:val="22"/>
              </w:rPr>
            </w:pPr>
            <w:r>
              <w:rPr>
                <w:rFonts w:ascii="Palatino Linotype" w:hAnsi="Palatino Linotype" w:cs="Tahoma"/>
                <w:b/>
                <w:szCs w:val="22"/>
              </w:rPr>
              <w:t>Informe Justificado</w:t>
            </w:r>
          </w:p>
        </w:tc>
      </w:tr>
      <w:tr w:rsidR="00CA532B" w14:paraId="6210CF5C" w14:textId="4E9BA85E" w:rsidTr="009430DD">
        <w:trPr>
          <w:trHeight w:val="1673"/>
        </w:trPr>
        <w:tc>
          <w:tcPr>
            <w:tcW w:w="2503" w:type="dxa"/>
          </w:tcPr>
          <w:p w14:paraId="3F3078F7" w14:textId="77777777" w:rsidR="00CA532B" w:rsidRPr="002911F2" w:rsidRDefault="00CA532B" w:rsidP="00967813">
            <w:pPr>
              <w:tabs>
                <w:tab w:val="left" w:pos="4962"/>
              </w:tabs>
              <w:spacing w:line="360" w:lineRule="auto"/>
              <w:jc w:val="both"/>
              <w:rPr>
                <w:rFonts w:ascii="Palatino Linotype" w:eastAsia="Calibri" w:hAnsi="Palatino Linotype" w:cs="Tahoma"/>
                <w:iCs/>
                <w:szCs w:val="22"/>
                <w:lang w:eastAsia="es-ES_tradnl"/>
              </w:rPr>
            </w:pPr>
            <w:r w:rsidRPr="002911F2">
              <w:rPr>
                <w:rFonts w:ascii="Palatino Linotype" w:eastAsia="Calibri" w:hAnsi="Palatino Linotype" w:cs="Tahoma"/>
                <w:iCs/>
                <w:szCs w:val="22"/>
                <w:lang w:eastAsia="es-ES_tradnl"/>
              </w:rPr>
              <w:t xml:space="preserve">Número de expedientes y nombre de las partes intervinientes en los convenios sin juicio </w:t>
            </w:r>
            <w:r w:rsidRPr="002911F2">
              <w:rPr>
                <w:rFonts w:ascii="Palatino Linotype" w:eastAsia="Calibri" w:hAnsi="Palatino Linotype" w:cs="Tahoma"/>
                <w:iCs/>
                <w:szCs w:val="22"/>
                <w:lang w:eastAsia="es-ES_tradnl"/>
              </w:rPr>
              <w:lastRenderedPageBreak/>
              <w:t xml:space="preserve">celebrados por el Ayuntamiento de Tezoyuca. </w:t>
            </w:r>
          </w:p>
        </w:tc>
        <w:tc>
          <w:tcPr>
            <w:tcW w:w="2600" w:type="dxa"/>
            <w:vMerge w:val="restart"/>
          </w:tcPr>
          <w:p w14:paraId="419D787E" w14:textId="77777777" w:rsidR="00CA532B" w:rsidRPr="00AC0052" w:rsidRDefault="00CA532B" w:rsidP="00967813">
            <w:pPr>
              <w:tabs>
                <w:tab w:val="left" w:pos="4962"/>
              </w:tabs>
              <w:spacing w:line="360" w:lineRule="auto"/>
              <w:jc w:val="both"/>
              <w:rPr>
                <w:rFonts w:ascii="Palatino Linotype" w:eastAsia="Calibri" w:hAnsi="Palatino Linotype" w:cs="Tahoma"/>
                <w:iCs/>
                <w:sz w:val="22"/>
                <w:szCs w:val="22"/>
                <w:lang w:eastAsia="es-ES_tradnl"/>
              </w:rPr>
            </w:pPr>
            <w:r w:rsidRPr="002911F2">
              <w:rPr>
                <w:rFonts w:ascii="Palatino Linotype" w:hAnsi="Palatino Linotype" w:cs="Tahoma"/>
                <w:szCs w:val="22"/>
              </w:rPr>
              <w:lastRenderedPageBreak/>
              <w:t xml:space="preserve">Otorgó </w:t>
            </w:r>
            <w:r w:rsidRPr="002911F2">
              <w:rPr>
                <w:rFonts w:ascii="Palatino Linotype" w:eastAsia="Calibri" w:hAnsi="Palatino Linotype" w:cs="Tahoma"/>
                <w:iCs/>
                <w:szCs w:val="22"/>
                <w:lang w:eastAsia="es-ES_tradnl"/>
              </w:rPr>
              <w:t xml:space="preserve">un archivo consistente en los convenios solicitados; sin embargo se precisa que, si </w:t>
            </w:r>
            <w:r w:rsidRPr="002911F2">
              <w:rPr>
                <w:rFonts w:ascii="Palatino Linotype" w:eastAsia="Calibri" w:hAnsi="Palatino Linotype" w:cs="Tahoma"/>
                <w:iCs/>
                <w:szCs w:val="22"/>
                <w:lang w:eastAsia="es-ES_tradnl"/>
              </w:rPr>
              <w:lastRenderedPageBreak/>
              <w:t xml:space="preserve">bien el Tribunal de Conciliación y Arbitraje pretendió realizar una versión pública de los mismos, lo cierto es que, dejo a la vista datos clasificados como confidenciales, tales como el número de cuenta de los ex servidores públicos, así como sus huellas dactilares. </w:t>
            </w:r>
          </w:p>
        </w:tc>
        <w:tc>
          <w:tcPr>
            <w:tcW w:w="2199" w:type="dxa"/>
            <w:vMerge w:val="restart"/>
          </w:tcPr>
          <w:p w14:paraId="6AC2A68B" w14:textId="616A377E" w:rsidR="00CA532B" w:rsidRPr="002911F2" w:rsidRDefault="00CA532B" w:rsidP="00967813">
            <w:pPr>
              <w:tabs>
                <w:tab w:val="left" w:pos="4962"/>
              </w:tabs>
              <w:spacing w:line="360" w:lineRule="auto"/>
              <w:jc w:val="both"/>
              <w:rPr>
                <w:rFonts w:ascii="Palatino Linotype" w:hAnsi="Palatino Linotype" w:cs="Tahoma"/>
                <w:szCs w:val="22"/>
              </w:rPr>
            </w:pPr>
            <w:r w:rsidRPr="00AC0052">
              <w:rPr>
                <w:rFonts w:ascii="Palatino Linotype" w:hAnsi="Palatino Linotype" w:cs="Tahoma"/>
                <w:szCs w:val="22"/>
              </w:rPr>
              <w:lastRenderedPageBreak/>
              <w:t xml:space="preserve">El Sujeto Obligado no proporcionó las transferencias bancarias, por lo que </w:t>
            </w:r>
            <w:r w:rsidRPr="00AC0052">
              <w:rPr>
                <w:rFonts w:ascii="Palatino Linotype" w:hAnsi="Palatino Linotype" w:cs="Tahoma"/>
                <w:szCs w:val="22"/>
              </w:rPr>
              <w:lastRenderedPageBreak/>
              <w:t>la respuesta se encuentra incompleta.</w:t>
            </w:r>
          </w:p>
        </w:tc>
        <w:tc>
          <w:tcPr>
            <w:tcW w:w="1732" w:type="dxa"/>
            <w:vMerge w:val="restart"/>
          </w:tcPr>
          <w:p w14:paraId="4496ED33" w14:textId="4F285173" w:rsidR="00CA532B" w:rsidRPr="00AC0052" w:rsidRDefault="00CA532B" w:rsidP="00967813">
            <w:pPr>
              <w:tabs>
                <w:tab w:val="left" w:pos="4962"/>
              </w:tabs>
              <w:spacing w:line="360" w:lineRule="auto"/>
              <w:jc w:val="both"/>
              <w:rPr>
                <w:rFonts w:ascii="Palatino Linotype" w:hAnsi="Palatino Linotype" w:cs="Tahoma"/>
                <w:szCs w:val="22"/>
              </w:rPr>
            </w:pPr>
            <w:r>
              <w:rPr>
                <w:rFonts w:ascii="Palatino Linotype" w:hAnsi="Palatino Linotype" w:cs="Tahoma"/>
                <w:szCs w:val="22"/>
              </w:rPr>
              <w:lastRenderedPageBreak/>
              <w:t xml:space="preserve">Proporcionó las transferencias bancarias de los ex servidores </w:t>
            </w:r>
            <w:r>
              <w:rPr>
                <w:rFonts w:ascii="Palatino Linotype" w:hAnsi="Palatino Linotype" w:cs="Tahoma"/>
                <w:szCs w:val="22"/>
              </w:rPr>
              <w:lastRenderedPageBreak/>
              <w:t xml:space="preserve">públicos que realizaron los convenios solicitados. </w:t>
            </w:r>
          </w:p>
        </w:tc>
      </w:tr>
      <w:tr w:rsidR="00CA532B" w14:paraId="70D28895" w14:textId="6D168934" w:rsidTr="009430DD">
        <w:trPr>
          <w:trHeight w:val="571"/>
        </w:trPr>
        <w:tc>
          <w:tcPr>
            <w:tcW w:w="2503" w:type="dxa"/>
          </w:tcPr>
          <w:p w14:paraId="39EFD85C" w14:textId="77777777" w:rsidR="00CA532B" w:rsidRPr="00AC0052" w:rsidRDefault="00CA532B" w:rsidP="00967813">
            <w:pPr>
              <w:tabs>
                <w:tab w:val="left" w:pos="4962"/>
              </w:tabs>
              <w:spacing w:line="360" w:lineRule="auto"/>
              <w:jc w:val="both"/>
              <w:rPr>
                <w:rFonts w:ascii="Palatino Linotype" w:eastAsia="Calibri" w:hAnsi="Palatino Linotype" w:cs="Tahoma"/>
                <w:iCs/>
                <w:szCs w:val="22"/>
                <w:lang w:eastAsia="es-ES_tradnl"/>
              </w:rPr>
            </w:pPr>
            <w:r w:rsidRPr="002911F2">
              <w:rPr>
                <w:rFonts w:ascii="Palatino Linotype" w:eastAsia="Calibri" w:hAnsi="Palatino Linotype" w:cs="Tahoma"/>
                <w:iCs/>
                <w:szCs w:val="22"/>
                <w:lang w:eastAsia="es-ES_tradnl"/>
              </w:rPr>
              <w:lastRenderedPageBreak/>
              <w:t>Versiones públicas de los convenio</w:t>
            </w:r>
            <w:r>
              <w:rPr>
                <w:rFonts w:ascii="Palatino Linotype" w:eastAsia="Calibri" w:hAnsi="Palatino Linotype" w:cs="Tahoma"/>
                <w:iCs/>
                <w:szCs w:val="22"/>
                <w:lang w:eastAsia="es-ES_tradnl"/>
              </w:rPr>
              <w:t>s antes descritos</w:t>
            </w:r>
          </w:p>
        </w:tc>
        <w:tc>
          <w:tcPr>
            <w:tcW w:w="2600" w:type="dxa"/>
            <w:vMerge/>
          </w:tcPr>
          <w:p w14:paraId="414C1664" w14:textId="77777777" w:rsidR="00CA532B" w:rsidRDefault="00CA532B" w:rsidP="00967813">
            <w:pPr>
              <w:tabs>
                <w:tab w:val="left" w:pos="4962"/>
              </w:tabs>
              <w:jc w:val="both"/>
              <w:rPr>
                <w:rFonts w:ascii="Palatino Linotype" w:hAnsi="Palatino Linotype" w:cs="Tahoma"/>
                <w:sz w:val="22"/>
                <w:szCs w:val="22"/>
              </w:rPr>
            </w:pPr>
          </w:p>
        </w:tc>
        <w:tc>
          <w:tcPr>
            <w:tcW w:w="2199" w:type="dxa"/>
            <w:vMerge/>
          </w:tcPr>
          <w:p w14:paraId="59720B0F" w14:textId="77777777" w:rsidR="00CA532B" w:rsidRDefault="00CA532B" w:rsidP="00967813">
            <w:pPr>
              <w:tabs>
                <w:tab w:val="left" w:pos="4962"/>
              </w:tabs>
              <w:jc w:val="both"/>
              <w:rPr>
                <w:rFonts w:ascii="Palatino Linotype" w:hAnsi="Palatino Linotype" w:cs="Tahoma"/>
                <w:sz w:val="22"/>
                <w:szCs w:val="22"/>
              </w:rPr>
            </w:pPr>
          </w:p>
        </w:tc>
        <w:tc>
          <w:tcPr>
            <w:tcW w:w="1732" w:type="dxa"/>
            <w:vMerge/>
          </w:tcPr>
          <w:p w14:paraId="149A7B44" w14:textId="77777777" w:rsidR="00CA532B" w:rsidRDefault="00CA532B" w:rsidP="00967813">
            <w:pPr>
              <w:tabs>
                <w:tab w:val="left" w:pos="4962"/>
              </w:tabs>
              <w:jc w:val="both"/>
              <w:rPr>
                <w:rFonts w:ascii="Palatino Linotype" w:hAnsi="Palatino Linotype" w:cs="Tahoma"/>
                <w:sz w:val="22"/>
                <w:szCs w:val="22"/>
              </w:rPr>
            </w:pPr>
          </w:p>
        </w:tc>
      </w:tr>
      <w:tr w:rsidR="009430DD" w14:paraId="1E38C1A4" w14:textId="05779E6C" w:rsidTr="009430DD">
        <w:trPr>
          <w:trHeight w:val="1429"/>
        </w:trPr>
        <w:tc>
          <w:tcPr>
            <w:tcW w:w="2503" w:type="dxa"/>
          </w:tcPr>
          <w:p w14:paraId="57CEBEBA" w14:textId="77777777" w:rsidR="009430DD" w:rsidRPr="002911F2" w:rsidRDefault="009430DD" w:rsidP="00967813">
            <w:pPr>
              <w:tabs>
                <w:tab w:val="left" w:pos="4962"/>
              </w:tabs>
              <w:spacing w:line="360" w:lineRule="auto"/>
              <w:jc w:val="both"/>
              <w:rPr>
                <w:rFonts w:ascii="Palatino Linotype" w:eastAsia="Calibri" w:hAnsi="Palatino Linotype" w:cs="Tahoma"/>
                <w:iCs/>
                <w:szCs w:val="22"/>
                <w:lang w:eastAsia="es-ES_tradnl"/>
              </w:rPr>
            </w:pPr>
            <w:r w:rsidRPr="002911F2">
              <w:rPr>
                <w:rFonts w:ascii="Palatino Linotype" w:eastAsia="Calibri" w:hAnsi="Palatino Linotype" w:cs="Tahoma"/>
                <w:iCs/>
                <w:szCs w:val="22"/>
                <w:lang w:eastAsia="es-ES_tradnl"/>
              </w:rPr>
              <w:t xml:space="preserve">Boletín laboral en donde estén publicados los convenios antes referidos.  </w:t>
            </w:r>
          </w:p>
        </w:tc>
        <w:tc>
          <w:tcPr>
            <w:tcW w:w="2600" w:type="dxa"/>
          </w:tcPr>
          <w:p w14:paraId="4C5726A0" w14:textId="77777777" w:rsidR="009430DD" w:rsidRDefault="009430DD" w:rsidP="00967813">
            <w:pPr>
              <w:tabs>
                <w:tab w:val="left" w:pos="4962"/>
              </w:tabs>
              <w:jc w:val="center"/>
              <w:rPr>
                <w:rFonts w:ascii="Palatino Linotype" w:hAnsi="Palatino Linotype" w:cs="Tahoma"/>
                <w:szCs w:val="22"/>
              </w:rPr>
            </w:pPr>
          </w:p>
          <w:p w14:paraId="3177D67D" w14:textId="77777777" w:rsidR="009430DD" w:rsidRDefault="009430DD" w:rsidP="00967813">
            <w:pPr>
              <w:tabs>
                <w:tab w:val="left" w:pos="4962"/>
              </w:tabs>
              <w:jc w:val="center"/>
              <w:rPr>
                <w:rFonts w:ascii="Palatino Linotype" w:hAnsi="Palatino Linotype" w:cs="Tahoma"/>
                <w:sz w:val="22"/>
                <w:szCs w:val="22"/>
              </w:rPr>
            </w:pPr>
            <w:r w:rsidRPr="00AC0052">
              <w:rPr>
                <w:rFonts w:ascii="Palatino Linotype" w:hAnsi="Palatino Linotype" w:cs="Tahoma"/>
                <w:szCs w:val="22"/>
              </w:rPr>
              <w:t>No entregó información</w:t>
            </w:r>
          </w:p>
        </w:tc>
        <w:tc>
          <w:tcPr>
            <w:tcW w:w="2199" w:type="dxa"/>
          </w:tcPr>
          <w:p w14:paraId="4DFF4B8C" w14:textId="51122AA4" w:rsidR="009430DD" w:rsidRDefault="009430DD" w:rsidP="00967813">
            <w:pPr>
              <w:tabs>
                <w:tab w:val="left" w:pos="4962"/>
              </w:tabs>
              <w:jc w:val="center"/>
              <w:rPr>
                <w:rFonts w:ascii="Palatino Linotype" w:hAnsi="Palatino Linotype" w:cs="Tahoma"/>
                <w:szCs w:val="22"/>
              </w:rPr>
            </w:pPr>
            <w:r>
              <w:rPr>
                <w:rFonts w:ascii="Palatino Linotype" w:hAnsi="Palatino Linotype" w:cs="Tahoma"/>
                <w:szCs w:val="22"/>
              </w:rPr>
              <w:t xml:space="preserve">No se inconformó al respecto. </w:t>
            </w:r>
          </w:p>
        </w:tc>
        <w:tc>
          <w:tcPr>
            <w:tcW w:w="1732" w:type="dxa"/>
          </w:tcPr>
          <w:p w14:paraId="590549FC" w14:textId="77777777" w:rsidR="009430DD" w:rsidRDefault="009430DD" w:rsidP="00967813">
            <w:pPr>
              <w:tabs>
                <w:tab w:val="left" w:pos="4962"/>
              </w:tabs>
              <w:jc w:val="center"/>
              <w:rPr>
                <w:rFonts w:ascii="Palatino Linotype" w:hAnsi="Palatino Linotype" w:cs="Tahoma"/>
                <w:szCs w:val="22"/>
              </w:rPr>
            </w:pPr>
          </w:p>
        </w:tc>
      </w:tr>
    </w:tbl>
    <w:p w14:paraId="3A5ABB8B" w14:textId="77777777" w:rsidR="00FE4B06" w:rsidRDefault="00FE4B06" w:rsidP="00967813">
      <w:pPr>
        <w:tabs>
          <w:tab w:val="left" w:pos="4962"/>
        </w:tabs>
        <w:spacing w:line="360" w:lineRule="auto"/>
        <w:jc w:val="both"/>
        <w:rPr>
          <w:rFonts w:ascii="Palatino Linotype" w:eastAsia="Calibri" w:hAnsi="Palatino Linotype" w:cs="Tahoma"/>
          <w:iCs/>
          <w:sz w:val="22"/>
          <w:szCs w:val="22"/>
          <w:lang w:val="es-ES" w:eastAsia="es-ES_tradnl"/>
        </w:rPr>
      </w:pPr>
    </w:p>
    <w:p w14:paraId="6A438268" w14:textId="37193FA5" w:rsidR="00B7316E" w:rsidRPr="00CE174E" w:rsidRDefault="00933F64" w:rsidP="00967813">
      <w:pPr>
        <w:tabs>
          <w:tab w:val="left" w:pos="4962"/>
        </w:tabs>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iCs/>
          <w:sz w:val="22"/>
          <w:szCs w:val="22"/>
          <w:lang w:val="es-ES" w:eastAsia="es-ES_tradnl"/>
        </w:rPr>
        <w:t xml:space="preserve">De lo </w:t>
      </w:r>
      <w:r w:rsidR="00CE174E">
        <w:rPr>
          <w:rFonts w:ascii="Palatino Linotype" w:eastAsia="Calibri" w:hAnsi="Palatino Linotype" w:cs="Tahoma"/>
          <w:iCs/>
          <w:sz w:val="22"/>
          <w:szCs w:val="22"/>
          <w:lang w:val="es-ES" w:eastAsia="es-ES_tradnl"/>
        </w:rPr>
        <w:t xml:space="preserve">anterior, queda evidenciado que,  </w:t>
      </w:r>
      <w:r w:rsidRPr="00CF5FAB">
        <w:rPr>
          <w:rFonts w:ascii="Palatino Linotype" w:eastAsia="Calibri" w:hAnsi="Palatino Linotype" w:cs="Tahoma"/>
          <w:color w:val="000000"/>
          <w:sz w:val="22"/>
          <w:szCs w:val="22"/>
          <w:lang w:eastAsia="es-MX"/>
        </w:rPr>
        <w:t xml:space="preserve">el </w:t>
      </w:r>
      <w:r w:rsidR="00CE174E">
        <w:rPr>
          <w:rFonts w:ascii="Palatino Linotype" w:eastAsia="Calibri" w:hAnsi="Palatino Linotype" w:cs="Tahoma"/>
          <w:color w:val="000000"/>
          <w:sz w:val="22"/>
          <w:szCs w:val="22"/>
          <w:lang w:eastAsia="es-MX"/>
        </w:rPr>
        <w:t>Particular consideró como parte de los convenios solicitados la información relativa a las transferencias bancarias realizadas a los servidores públicos con motivo del cumplimiento de lo</w:t>
      </w:r>
      <w:r w:rsidR="00420590">
        <w:rPr>
          <w:rFonts w:ascii="Palatino Linotype" w:eastAsia="Calibri" w:hAnsi="Palatino Linotype" w:cs="Tahoma"/>
          <w:color w:val="000000"/>
          <w:sz w:val="22"/>
          <w:szCs w:val="22"/>
          <w:lang w:eastAsia="es-MX"/>
        </w:rPr>
        <w:t>s acuerdos en cita; sin embargo,</w:t>
      </w:r>
      <w:r w:rsidR="00CE174E">
        <w:rPr>
          <w:rFonts w:ascii="Palatino Linotype" w:eastAsia="Calibri" w:hAnsi="Palatino Linotype" w:cs="Tahoma"/>
          <w:color w:val="000000"/>
          <w:sz w:val="22"/>
          <w:szCs w:val="22"/>
          <w:lang w:eastAsia="es-MX"/>
        </w:rPr>
        <w:t xml:space="preserve"> e</w:t>
      </w:r>
      <w:r w:rsidR="00B7316E">
        <w:rPr>
          <w:rFonts w:ascii="Palatino Linotype" w:eastAsia="Calibri" w:hAnsi="Palatino Linotype" w:cs="Tahoma"/>
          <w:iCs/>
          <w:sz w:val="22"/>
          <w:szCs w:val="22"/>
          <w:lang w:val="es-ES" w:eastAsia="es-ES_tradnl"/>
        </w:rPr>
        <w:t xml:space="preserve">s importante destacar que </w:t>
      </w:r>
      <w:r w:rsidR="00B7316E" w:rsidRPr="00420590">
        <w:rPr>
          <w:rFonts w:ascii="Palatino Linotype" w:eastAsia="Calibri" w:hAnsi="Palatino Linotype" w:cs="Tahoma"/>
          <w:iCs/>
          <w:sz w:val="22"/>
          <w:szCs w:val="22"/>
          <w:u w:val="single"/>
          <w:lang w:val="es-ES" w:eastAsia="es-ES_tradnl"/>
        </w:rPr>
        <w:t>dentro de los convenios entregados en ninguna parte se estableció que el pago o transferencia se agregaba como parte del mismo o como anexo</w:t>
      </w:r>
      <w:r w:rsidR="00B7316E" w:rsidRPr="00420590">
        <w:rPr>
          <w:rFonts w:ascii="Palatino Linotype" w:eastAsia="Calibri" w:hAnsi="Palatino Linotype" w:cs="Tahoma"/>
          <w:iCs/>
          <w:sz w:val="22"/>
          <w:szCs w:val="22"/>
          <w:lang w:val="es-ES" w:eastAsia="es-ES_tradnl"/>
        </w:rPr>
        <w:t xml:space="preserve">, </w:t>
      </w:r>
      <w:r w:rsidR="00420590">
        <w:rPr>
          <w:rFonts w:ascii="Palatino Linotype" w:eastAsia="Calibri" w:hAnsi="Palatino Linotype" w:cs="Tahoma"/>
          <w:iCs/>
          <w:sz w:val="22"/>
          <w:szCs w:val="22"/>
          <w:lang w:val="es-ES" w:eastAsia="es-ES_tradnl"/>
        </w:rPr>
        <w:t xml:space="preserve">además de que, </w:t>
      </w:r>
      <w:r w:rsidR="00B7316E">
        <w:rPr>
          <w:rFonts w:ascii="Palatino Linotype" w:hAnsi="Palatino Linotype" w:cs="Tahoma"/>
          <w:bCs/>
          <w:sz w:val="22"/>
          <w:szCs w:val="22"/>
        </w:rPr>
        <w:t>en la solicitud no se estableció que fuera de su interés el acceso al documento con el que se ac</w:t>
      </w:r>
      <w:r w:rsidR="0009340C">
        <w:rPr>
          <w:rFonts w:ascii="Palatino Linotype" w:hAnsi="Palatino Linotype" w:cs="Tahoma"/>
          <w:bCs/>
          <w:sz w:val="22"/>
          <w:szCs w:val="22"/>
        </w:rPr>
        <w:t>redita el pago de dichos conven</w:t>
      </w:r>
      <w:r w:rsidR="00B7316E">
        <w:rPr>
          <w:rFonts w:ascii="Palatino Linotype" w:hAnsi="Palatino Linotype" w:cs="Tahoma"/>
          <w:bCs/>
          <w:sz w:val="22"/>
          <w:szCs w:val="22"/>
        </w:rPr>
        <w:t>ios.</w:t>
      </w:r>
    </w:p>
    <w:p w14:paraId="3786488D" w14:textId="16E02E80" w:rsidR="004112AE" w:rsidRDefault="004112AE" w:rsidP="00967813">
      <w:pPr>
        <w:tabs>
          <w:tab w:val="left" w:pos="4962"/>
        </w:tabs>
        <w:spacing w:line="360" w:lineRule="auto"/>
        <w:jc w:val="both"/>
        <w:rPr>
          <w:rFonts w:ascii="Palatino Linotype" w:eastAsia="Calibri" w:hAnsi="Palatino Linotype" w:cs="Tahoma"/>
          <w:color w:val="000000"/>
          <w:sz w:val="22"/>
          <w:szCs w:val="22"/>
          <w:lang w:eastAsia="es-MX"/>
        </w:rPr>
      </w:pPr>
    </w:p>
    <w:p w14:paraId="72EFC91F" w14:textId="6457839F" w:rsidR="004112AE" w:rsidRPr="00A33432" w:rsidRDefault="005E1993" w:rsidP="00967813">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hAnsi="Palatino Linotype" w:cs="Arial"/>
          <w:sz w:val="22"/>
          <w:szCs w:val="22"/>
        </w:rPr>
        <w:t>No obstante,</w:t>
      </w:r>
      <w:r w:rsidR="00CE174E">
        <w:rPr>
          <w:rFonts w:ascii="Palatino Linotype" w:hAnsi="Palatino Linotype" w:cs="Arial"/>
          <w:sz w:val="22"/>
          <w:szCs w:val="22"/>
        </w:rPr>
        <w:t xml:space="preserve"> es menester precisar que </w:t>
      </w:r>
      <w:r w:rsidR="00885050">
        <w:rPr>
          <w:rFonts w:ascii="Palatino Linotype" w:hAnsi="Palatino Linotype" w:cs="Arial"/>
          <w:sz w:val="22"/>
          <w:szCs w:val="22"/>
        </w:rPr>
        <w:t>en Informe Justificado el Sujeto Obligado</w:t>
      </w:r>
      <w:r w:rsidR="00885050">
        <w:rPr>
          <w:rFonts w:ascii="Palatino Linotype" w:eastAsia="Calibri" w:hAnsi="Palatino Linotype" w:cs="Tahoma"/>
          <w:color w:val="000000"/>
          <w:sz w:val="22"/>
          <w:szCs w:val="22"/>
          <w:lang w:eastAsia="es-MX"/>
        </w:rPr>
        <w:t xml:space="preserve"> </w:t>
      </w:r>
      <w:r w:rsidR="004112AE">
        <w:rPr>
          <w:rFonts w:ascii="Palatino Linotype" w:eastAsia="Calibri" w:hAnsi="Palatino Linotype" w:cs="Tahoma"/>
          <w:color w:val="000000"/>
          <w:sz w:val="22"/>
          <w:szCs w:val="22"/>
          <w:lang w:eastAsia="es-MX"/>
        </w:rPr>
        <w:t>pretendió satisfacer la solicitud de información planteada por el R</w:t>
      </w:r>
      <w:r w:rsidR="009A6E70">
        <w:rPr>
          <w:rFonts w:ascii="Palatino Linotype" w:eastAsia="Calibri" w:hAnsi="Palatino Linotype" w:cs="Tahoma"/>
          <w:color w:val="000000"/>
          <w:sz w:val="22"/>
          <w:szCs w:val="22"/>
          <w:lang w:eastAsia="es-MX"/>
        </w:rPr>
        <w:t xml:space="preserve">ecurrente, toda vez que, proporcionó los documentos consistentes en las transferencias bancarias realizadas a los ex servidores </w:t>
      </w:r>
      <w:r w:rsidR="009A6E70">
        <w:rPr>
          <w:rFonts w:ascii="Palatino Linotype" w:eastAsia="Calibri" w:hAnsi="Palatino Linotype" w:cs="Tahoma"/>
          <w:color w:val="000000"/>
          <w:sz w:val="22"/>
          <w:szCs w:val="22"/>
          <w:lang w:eastAsia="es-MX"/>
        </w:rPr>
        <w:lastRenderedPageBreak/>
        <w:t>públicos</w:t>
      </w:r>
      <w:r w:rsidR="009A6E70" w:rsidRPr="00A33432">
        <w:rPr>
          <w:rFonts w:ascii="Palatino Linotype" w:eastAsia="Calibri" w:hAnsi="Palatino Linotype" w:cs="Tahoma"/>
          <w:color w:val="000000"/>
          <w:sz w:val="22"/>
          <w:szCs w:val="22"/>
          <w:lang w:eastAsia="es-MX"/>
        </w:rPr>
        <w:t xml:space="preserve">; sin embargo, </w:t>
      </w:r>
      <w:r w:rsidR="00885050" w:rsidRPr="00A33432">
        <w:rPr>
          <w:rFonts w:ascii="Palatino Linotype" w:eastAsia="Calibri" w:hAnsi="Palatino Linotype" w:cs="Tahoma"/>
          <w:color w:val="000000"/>
          <w:sz w:val="22"/>
          <w:szCs w:val="22"/>
          <w:lang w:eastAsia="es-MX"/>
        </w:rPr>
        <w:t>se advirtió que</w:t>
      </w:r>
      <w:r w:rsidR="009A6E70" w:rsidRPr="00A33432">
        <w:rPr>
          <w:rFonts w:ascii="Palatino Linotype" w:eastAsia="Calibri" w:hAnsi="Palatino Linotype" w:cs="Tahoma"/>
          <w:color w:val="000000"/>
          <w:sz w:val="22"/>
          <w:szCs w:val="22"/>
          <w:lang w:eastAsia="es-MX"/>
        </w:rPr>
        <w:t xml:space="preserve"> dichos documentos contienen datos </w:t>
      </w:r>
      <w:r w:rsidR="00420590" w:rsidRPr="00A33432">
        <w:rPr>
          <w:rFonts w:ascii="Palatino Linotype" w:eastAsia="Calibri" w:hAnsi="Palatino Linotype" w:cs="Tahoma"/>
          <w:color w:val="000000"/>
          <w:sz w:val="22"/>
          <w:szCs w:val="22"/>
          <w:lang w:eastAsia="es-MX"/>
        </w:rPr>
        <w:t xml:space="preserve">susceptibles de </w:t>
      </w:r>
      <w:r w:rsidR="009A6E70" w:rsidRPr="00A33432">
        <w:rPr>
          <w:rFonts w:ascii="Palatino Linotype" w:eastAsia="Calibri" w:hAnsi="Palatino Linotype" w:cs="Tahoma"/>
          <w:color w:val="000000"/>
          <w:sz w:val="22"/>
          <w:szCs w:val="22"/>
          <w:lang w:eastAsia="es-MX"/>
        </w:rPr>
        <w:t>clasifica</w:t>
      </w:r>
      <w:r w:rsidR="00420590" w:rsidRPr="00A33432">
        <w:rPr>
          <w:rFonts w:ascii="Palatino Linotype" w:eastAsia="Calibri" w:hAnsi="Palatino Linotype" w:cs="Tahoma"/>
          <w:color w:val="000000"/>
          <w:sz w:val="22"/>
          <w:szCs w:val="22"/>
          <w:lang w:eastAsia="es-MX"/>
        </w:rPr>
        <w:t>ción</w:t>
      </w:r>
      <w:r w:rsidR="009A6E70" w:rsidRPr="00A33432">
        <w:rPr>
          <w:rFonts w:ascii="Palatino Linotype" w:eastAsia="Calibri" w:hAnsi="Palatino Linotype" w:cs="Tahoma"/>
          <w:color w:val="000000"/>
          <w:sz w:val="22"/>
          <w:szCs w:val="22"/>
          <w:lang w:eastAsia="es-MX"/>
        </w:rPr>
        <w:t xml:space="preserve">; por lo que, este Instituto </w:t>
      </w:r>
      <w:r w:rsidR="000C2F4C" w:rsidRPr="00A33432">
        <w:rPr>
          <w:rFonts w:ascii="Palatino Linotype" w:eastAsia="Calibri" w:hAnsi="Palatino Linotype" w:cs="Tahoma"/>
          <w:color w:val="000000"/>
          <w:sz w:val="22"/>
          <w:szCs w:val="22"/>
          <w:lang w:eastAsia="es-MX"/>
        </w:rPr>
        <w:t xml:space="preserve">estuvo imposibilitado para poner a la vista los archivos antes citados. </w:t>
      </w:r>
    </w:p>
    <w:p w14:paraId="49560217" w14:textId="77777777" w:rsidR="000C2F4C" w:rsidRPr="00A33432" w:rsidRDefault="000C2F4C" w:rsidP="00967813">
      <w:pPr>
        <w:tabs>
          <w:tab w:val="left" w:pos="4962"/>
        </w:tabs>
        <w:spacing w:line="360" w:lineRule="auto"/>
        <w:jc w:val="both"/>
        <w:rPr>
          <w:rFonts w:ascii="Palatino Linotype" w:eastAsia="Calibri" w:hAnsi="Palatino Linotype" w:cs="Tahoma"/>
          <w:color w:val="000000"/>
          <w:sz w:val="22"/>
          <w:szCs w:val="22"/>
          <w:lang w:eastAsia="es-MX"/>
        </w:rPr>
      </w:pPr>
    </w:p>
    <w:p w14:paraId="26FC8632" w14:textId="1B0B4D2E" w:rsidR="00885050" w:rsidRDefault="000C2F4C" w:rsidP="00967813">
      <w:pPr>
        <w:autoSpaceDE w:val="0"/>
        <w:autoSpaceDN w:val="0"/>
        <w:adjustRightInd w:val="0"/>
        <w:spacing w:line="360" w:lineRule="auto"/>
        <w:ind w:right="113"/>
        <w:jc w:val="both"/>
        <w:rPr>
          <w:rFonts w:ascii="Palatino Linotype" w:hAnsi="Palatino Linotype"/>
          <w:color w:val="000000"/>
          <w:sz w:val="22"/>
          <w:szCs w:val="18"/>
        </w:rPr>
      </w:pPr>
      <w:r w:rsidRPr="00A33432">
        <w:rPr>
          <w:rFonts w:ascii="Palatino Linotype" w:eastAsia="Calibri" w:hAnsi="Palatino Linotype" w:cs="Tahoma"/>
          <w:color w:val="000000"/>
          <w:sz w:val="22"/>
          <w:szCs w:val="22"/>
          <w:lang w:eastAsia="es-MX"/>
        </w:rPr>
        <w:t xml:space="preserve">Por otra parte, es necesario precisar que tal y como ha quedado evidenciado, el Sujeto Obligado mediante su respuesta entregó los convenios solicitados sin haber realizado la versión pública correcta </w:t>
      </w:r>
      <w:r w:rsidR="00420590" w:rsidRPr="00A33432">
        <w:rPr>
          <w:rFonts w:ascii="Palatino Linotype" w:eastAsia="Calibri" w:hAnsi="Palatino Linotype" w:cs="Tahoma"/>
          <w:color w:val="000000"/>
          <w:sz w:val="22"/>
          <w:szCs w:val="22"/>
          <w:lang w:eastAsia="es-MX"/>
        </w:rPr>
        <w:t>de los mismos, toda vez que dejó</w:t>
      </w:r>
      <w:r w:rsidRPr="00A33432">
        <w:rPr>
          <w:rFonts w:ascii="Palatino Linotype" w:eastAsia="Calibri" w:hAnsi="Palatino Linotype" w:cs="Tahoma"/>
          <w:color w:val="000000"/>
          <w:sz w:val="22"/>
          <w:szCs w:val="22"/>
          <w:lang w:eastAsia="es-MX"/>
        </w:rPr>
        <w:t xml:space="preserve"> a la vista datos clasificados, tales  como la</w:t>
      </w:r>
      <w:r w:rsidR="00885050" w:rsidRPr="00A33432">
        <w:rPr>
          <w:rFonts w:ascii="Palatino Linotype" w:eastAsia="Calibri" w:hAnsi="Palatino Linotype" w:cs="Tahoma"/>
          <w:color w:val="000000"/>
          <w:sz w:val="22"/>
          <w:szCs w:val="22"/>
          <w:lang w:eastAsia="es-MX"/>
        </w:rPr>
        <w:t>s</w:t>
      </w:r>
      <w:r w:rsidRPr="00A33432">
        <w:rPr>
          <w:rFonts w:ascii="Palatino Linotype" w:eastAsia="Calibri" w:hAnsi="Palatino Linotype" w:cs="Tahoma"/>
          <w:color w:val="000000"/>
          <w:sz w:val="22"/>
          <w:szCs w:val="22"/>
          <w:lang w:eastAsia="es-MX"/>
        </w:rPr>
        <w:t xml:space="preserve"> huellas dactilares</w:t>
      </w:r>
      <w:r w:rsidR="00885050" w:rsidRPr="00A33432">
        <w:rPr>
          <w:rFonts w:ascii="Palatino Linotype" w:eastAsia="Calibri" w:hAnsi="Palatino Linotype" w:cs="Tahoma"/>
          <w:color w:val="000000"/>
          <w:sz w:val="22"/>
          <w:szCs w:val="22"/>
          <w:lang w:eastAsia="es-MX"/>
        </w:rPr>
        <w:t xml:space="preserve"> de los ex servidores públicos, aunado a que no adjuntó </w:t>
      </w:r>
      <w:r w:rsidR="00885050" w:rsidRPr="00A33432">
        <w:rPr>
          <w:rFonts w:ascii="Palatino Linotype" w:hAnsi="Palatino Linotype"/>
          <w:color w:val="000000"/>
          <w:sz w:val="22"/>
          <w:szCs w:val="18"/>
        </w:rPr>
        <w:t>el Acuerdo de Clasificación del Comité de Transparencia</w:t>
      </w:r>
      <w:r w:rsidR="00885050">
        <w:rPr>
          <w:rFonts w:ascii="Palatino Linotype" w:hAnsi="Palatino Linotype"/>
          <w:color w:val="000000"/>
          <w:sz w:val="22"/>
          <w:szCs w:val="18"/>
        </w:rPr>
        <w:t xml:space="preserve">, en donde se advierta que se funde y motive la clasificación de la información testada en los documentos proporcionados. </w:t>
      </w:r>
    </w:p>
    <w:p w14:paraId="039B1064" w14:textId="6B91571C" w:rsidR="000C2F4C" w:rsidRDefault="000C2F4C" w:rsidP="00967813">
      <w:pPr>
        <w:tabs>
          <w:tab w:val="left" w:pos="4962"/>
        </w:tabs>
        <w:spacing w:line="360" w:lineRule="auto"/>
        <w:jc w:val="both"/>
        <w:rPr>
          <w:rFonts w:ascii="Palatino Linotype" w:eastAsia="Calibri" w:hAnsi="Palatino Linotype" w:cs="Tahoma"/>
          <w:color w:val="000000"/>
          <w:sz w:val="22"/>
          <w:szCs w:val="22"/>
          <w:lang w:eastAsia="es-MX"/>
        </w:rPr>
      </w:pPr>
    </w:p>
    <w:p w14:paraId="7EE10067" w14:textId="77777777" w:rsidR="00885050" w:rsidRPr="002E665F" w:rsidRDefault="00885050" w:rsidP="009678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tenor, es oportuno mencionar que</w:t>
      </w:r>
      <w:r>
        <w:rPr>
          <w:rFonts w:ascii="Palatino Linotype" w:hAnsi="Palatino Linotype" w:cs="Arial"/>
          <w:color w:val="000000" w:themeColor="text1"/>
          <w:sz w:val="22"/>
          <w:szCs w:val="22"/>
        </w:rPr>
        <w:t xml:space="preserve"> el </w:t>
      </w:r>
      <w:r w:rsidRPr="002E665F">
        <w:rPr>
          <w:rFonts w:ascii="Palatino Linotype" w:hAnsi="Palatino Linotype" w:cs="Arial"/>
          <w:color w:val="000000" w:themeColor="text1"/>
          <w:sz w:val="22"/>
          <w:szCs w:val="22"/>
        </w:rPr>
        <w:t>artículo 130</w:t>
      </w:r>
      <w:r>
        <w:rPr>
          <w:rFonts w:ascii="Palatino Linotype" w:hAnsi="Palatino Linotype" w:cs="Arial"/>
          <w:color w:val="000000" w:themeColor="text1"/>
          <w:sz w:val="22"/>
          <w:szCs w:val="22"/>
        </w:rPr>
        <w:t>,</w:t>
      </w:r>
      <w:r w:rsidRPr="002E665F">
        <w:rPr>
          <w:rFonts w:ascii="Palatino Linotype" w:hAnsi="Palatino Linotype" w:cs="Arial"/>
          <w:color w:val="000000" w:themeColor="text1"/>
          <w:sz w:val="22"/>
          <w:szCs w:val="22"/>
        </w:rPr>
        <w:t xml:space="preserve"> de la Ley </w:t>
      </w:r>
      <w:r>
        <w:rPr>
          <w:rFonts w:ascii="Palatino Linotype" w:hAnsi="Palatino Linotype" w:cs="Arial"/>
          <w:color w:val="000000" w:themeColor="text1"/>
          <w:sz w:val="22"/>
          <w:szCs w:val="22"/>
        </w:rPr>
        <w:t xml:space="preserve">de la materia </w:t>
      </w:r>
      <w:r w:rsidRPr="002E665F">
        <w:rPr>
          <w:rFonts w:ascii="Palatino Linotype" w:hAnsi="Palatino Linotype" w:cs="Arial"/>
          <w:color w:val="000000" w:themeColor="text1"/>
          <w:sz w:val="22"/>
          <w:szCs w:val="22"/>
        </w:rPr>
        <w:t xml:space="preserve">señala que la aplicación de </w:t>
      </w:r>
      <w:r>
        <w:rPr>
          <w:rFonts w:ascii="Palatino Linotype" w:hAnsi="Palatino Linotype" w:cs="Arial"/>
          <w:color w:val="000000" w:themeColor="text1"/>
          <w:sz w:val="22"/>
          <w:szCs w:val="22"/>
        </w:rPr>
        <w:t xml:space="preserve">confidencialidad debe </w:t>
      </w:r>
      <w:r w:rsidRPr="002E665F">
        <w:rPr>
          <w:rFonts w:ascii="Palatino Linotype" w:hAnsi="Palatino Linotype" w:cs="Arial"/>
          <w:color w:val="000000" w:themeColor="text1"/>
          <w:sz w:val="22"/>
          <w:szCs w:val="22"/>
        </w:rPr>
        <w:t xml:space="preserve">realizarse de manera restrictiva y limitada, por lo que debe acreditarse que se cumple con esta condición y no se pueden ampliar las excepciones o supuestos de clasificación </w:t>
      </w:r>
      <w:r w:rsidRPr="002E665F">
        <w:rPr>
          <w:rFonts w:ascii="Palatino Linotype" w:eastAsia="Calibri" w:hAnsi="Palatino Linotype" w:cs="Tahoma"/>
          <w:bCs/>
          <w:sz w:val="22"/>
          <w:szCs w:val="22"/>
          <w:lang w:eastAsia="en-US"/>
        </w:rPr>
        <w:t>aduciendo analogía o mayoría de razón.</w:t>
      </w:r>
    </w:p>
    <w:p w14:paraId="18D96775" w14:textId="77777777" w:rsidR="00885050" w:rsidRPr="002E665F" w:rsidRDefault="00885050" w:rsidP="00967813">
      <w:pPr>
        <w:spacing w:line="360" w:lineRule="auto"/>
        <w:ind w:right="-93"/>
        <w:jc w:val="both"/>
        <w:rPr>
          <w:rFonts w:ascii="Palatino Linotype" w:eastAsia="Calibri" w:hAnsi="Palatino Linotype" w:cs="Tahoma"/>
          <w:bCs/>
          <w:sz w:val="22"/>
          <w:szCs w:val="22"/>
          <w:lang w:eastAsia="en-US"/>
        </w:rPr>
      </w:pPr>
    </w:p>
    <w:p w14:paraId="6762A6AE" w14:textId="77777777" w:rsidR="00885050" w:rsidRDefault="00885050" w:rsidP="00967813">
      <w:pPr>
        <w:autoSpaceDE w:val="0"/>
        <w:autoSpaceDN w:val="0"/>
        <w:adjustRightInd w:val="0"/>
        <w:spacing w:line="360" w:lineRule="auto"/>
        <w:ind w:right="113"/>
        <w:jc w:val="both"/>
        <w:rPr>
          <w:rFonts w:ascii="Palatino Linotype" w:hAnsi="Palatino Linotype" w:cs="Arial"/>
          <w:color w:val="000000" w:themeColor="text1"/>
          <w:sz w:val="22"/>
          <w:szCs w:val="22"/>
        </w:rPr>
      </w:pPr>
      <w:r>
        <w:rPr>
          <w:rFonts w:ascii="Palatino Linotype" w:eastAsia="Calibri" w:hAnsi="Palatino Linotype" w:cs="Tahoma"/>
          <w:bCs/>
          <w:sz w:val="22"/>
          <w:szCs w:val="22"/>
          <w:lang w:eastAsia="en-US"/>
        </w:rPr>
        <w:t xml:space="preserve">Por </w:t>
      </w:r>
      <w:r w:rsidRPr="002E665F">
        <w:rPr>
          <w:rFonts w:ascii="Palatino Linotype" w:hAnsi="Palatino Linotype" w:cs="Arial"/>
          <w:color w:val="000000" w:themeColor="text1"/>
          <w:sz w:val="22"/>
          <w:szCs w:val="22"/>
        </w:rPr>
        <w:t>lo anterior, el Sujeto</w:t>
      </w:r>
      <w:r w:rsidRPr="002E665F">
        <w:rPr>
          <w:rFonts w:ascii="Palatino Linotype" w:hAnsi="Palatino Linotype" w:cs="Arial"/>
          <w:b/>
          <w:color w:val="000000" w:themeColor="text1"/>
          <w:sz w:val="22"/>
          <w:szCs w:val="22"/>
        </w:rPr>
        <w:t xml:space="preserve"> </w:t>
      </w:r>
      <w:r w:rsidRPr="002E665F">
        <w:rPr>
          <w:rFonts w:ascii="Palatino Linotype" w:hAnsi="Palatino Linotype" w:cs="Arial"/>
          <w:color w:val="000000" w:themeColor="text1"/>
          <w:sz w:val="22"/>
          <w:szCs w:val="22"/>
        </w:rPr>
        <w:t>Obligado debe identificar claramente el tipo de información para acreditar que el supuesto de hecho corresponde estrictamente con la hipótesis jurídica.</w:t>
      </w:r>
    </w:p>
    <w:p w14:paraId="4EA13D5F" w14:textId="77777777" w:rsidR="00885050" w:rsidRDefault="00885050" w:rsidP="00967813">
      <w:pPr>
        <w:autoSpaceDE w:val="0"/>
        <w:autoSpaceDN w:val="0"/>
        <w:adjustRightInd w:val="0"/>
        <w:spacing w:line="360" w:lineRule="auto"/>
        <w:ind w:right="113"/>
        <w:jc w:val="both"/>
        <w:rPr>
          <w:rFonts w:ascii="Palatino Linotype" w:hAnsi="Palatino Linotype" w:cs="Arial"/>
          <w:color w:val="000000" w:themeColor="text1"/>
          <w:sz w:val="22"/>
          <w:szCs w:val="22"/>
        </w:rPr>
      </w:pPr>
    </w:p>
    <w:p w14:paraId="1ABC4F63" w14:textId="77777777" w:rsidR="00885050" w:rsidRDefault="00885050" w:rsidP="00967813">
      <w:pPr>
        <w:spacing w:line="360" w:lineRule="auto"/>
        <w:ind w:right="-93"/>
        <w:jc w:val="both"/>
        <w:rPr>
          <w:rFonts w:ascii="Palatino Linotype" w:hAnsi="Palatino Linotype"/>
          <w:sz w:val="22"/>
          <w:szCs w:val="22"/>
          <w:lang w:eastAsia="es-ES_tradnl"/>
        </w:rPr>
      </w:pPr>
      <w:r w:rsidRPr="00B95C5C">
        <w:rPr>
          <w:rFonts w:ascii="Palatino Linotype" w:eastAsia="Calibri" w:hAnsi="Palatino Linotype" w:cs="Tahoma"/>
          <w:bCs/>
          <w:sz w:val="22"/>
          <w:szCs w:val="22"/>
          <w:lang w:eastAsia="en-US"/>
        </w:rPr>
        <w:t>Posteriormente</w:t>
      </w:r>
      <w:r w:rsidRPr="002E665F">
        <w:rPr>
          <w:rFonts w:ascii="Palatino Linotype" w:hAnsi="Palatino Linotype" w:cs="Arial"/>
          <w:color w:val="000000" w:themeColor="text1"/>
          <w:sz w:val="22"/>
          <w:szCs w:val="22"/>
        </w:rPr>
        <w:t xml:space="preserve"> </w:t>
      </w:r>
      <w:r>
        <w:rPr>
          <w:rFonts w:ascii="Palatino Linotype" w:hAnsi="Palatino Linotype" w:cs="Arial"/>
          <w:color w:val="000000" w:themeColor="text1"/>
          <w:sz w:val="22"/>
          <w:szCs w:val="22"/>
        </w:rPr>
        <w:t>según lo dispuesto en el</w:t>
      </w:r>
      <w:r w:rsidRPr="002E665F">
        <w:rPr>
          <w:rFonts w:ascii="Palatino Linotype" w:hAnsi="Palatino Linotype" w:cs="Arial"/>
          <w:color w:val="000000" w:themeColor="text1"/>
          <w:sz w:val="22"/>
          <w:szCs w:val="22"/>
        </w:rPr>
        <w:t xml:space="preserve"> artículo 128 de la Ley Estatal y </w:t>
      </w:r>
      <w:r w:rsidRPr="002E665F">
        <w:rPr>
          <w:rFonts w:ascii="Palatino Linotype" w:hAnsi="Palatino Linotype"/>
          <w:sz w:val="22"/>
          <w:szCs w:val="22"/>
        </w:rPr>
        <w:t xml:space="preserve">la fracción III del numeral Segundo de los </w:t>
      </w:r>
      <w:r w:rsidRPr="002E665F">
        <w:rPr>
          <w:rFonts w:ascii="Palatino Linotype" w:hAnsi="Palatino Linotype" w:cs="Arial"/>
          <w:color w:val="000000" w:themeColor="text1"/>
          <w:sz w:val="22"/>
          <w:szCs w:val="22"/>
        </w:rPr>
        <w:t xml:space="preserve">lineamientos generales en materia de clasificación y desclasificación de la información, así como para la elaboración de versiones públicas, </w:t>
      </w:r>
      <w:r>
        <w:rPr>
          <w:rFonts w:ascii="Palatino Linotype" w:hAnsi="Palatino Linotype" w:cs="Arial"/>
          <w:color w:val="000000" w:themeColor="text1"/>
          <w:sz w:val="22"/>
          <w:szCs w:val="22"/>
        </w:rPr>
        <w:t>el Comité de Transparencia</w:t>
      </w:r>
      <w:r w:rsidRPr="002E665F">
        <w:rPr>
          <w:rFonts w:ascii="Palatino Linotype" w:hAnsi="Palatino Linotype" w:cs="Arial"/>
          <w:color w:val="000000" w:themeColor="text1"/>
          <w:sz w:val="22"/>
          <w:szCs w:val="22"/>
        </w:rPr>
        <w:t>,</w:t>
      </w:r>
      <w:r w:rsidRPr="002E665F">
        <w:rPr>
          <w:rFonts w:ascii="Palatino Linotype" w:hAnsi="Palatino Linotype"/>
          <w:sz w:val="22"/>
          <w:szCs w:val="22"/>
        </w:rPr>
        <w:t xml:space="preserve"> </w:t>
      </w:r>
      <w:r w:rsidRPr="002E665F">
        <w:rPr>
          <w:rFonts w:ascii="Palatino Linotype" w:hAnsi="Palatino Linotype" w:cs="Arial"/>
          <w:color w:val="000000" w:themeColor="text1"/>
          <w:sz w:val="22"/>
          <w:szCs w:val="22"/>
        </w:rPr>
        <w:t xml:space="preserve">cuenta con las facultades para </w:t>
      </w:r>
      <w:r w:rsidRPr="002E665F">
        <w:rPr>
          <w:rFonts w:ascii="Palatino Linotype" w:hAnsi="Palatino Linotype" w:cs="Arial"/>
          <w:b/>
          <w:color w:val="000000" w:themeColor="text1"/>
          <w:sz w:val="22"/>
          <w:szCs w:val="22"/>
          <w:u w:val="single"/>
        </w:rPr>
        <w:t>confirmar, modificar o revocar</w:t>
      </w:r>
      <w:r w:rsidRPr="002E665F">
        <w:rPr>
          <w:rFonts w:ascii="Palatino Linotype" w:hAnsi="Palatino Linotype" w:cs="Arial"/>
          <w:color w:val="000000" w:themeColor="text1"/>
          <w:sz w:val="22"/>
          <w:szCs w:val="22"/>
        </w:rPr>
        <w:t xml:space="preserve"> la clasificación de la información que ha hecho el titular del área que administra la información. Por lo tanto, el Comité revisa lo que ha hecho el titular del área y confirma, modifica o revoca la decisión a través de un acuerdo.</w:t>
      </w:r>
    </w:p>
    <w:p w14:paraId="036A4125"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r w:rsidRPr="00B95C5C">
        <w:rPr>
          <w:rFonts w:ascii="Palatino Linotype" w:hAnsi="Palatino Linotype"/>
          <w:sz w:val="22"/>
          <w:szCs w:val="22"/>
        </w:rPr>
        <w:lastRenderedPageBreak/>
        <w:t xml:space="preserve">La decisión de confirmar, modificar o revocar la clasificación deberá de asentarse en un documento que registre la determinación a la que se llegue después de un </w:t>
      </w:r>
      <w:r w:rsidRPr="00205C19">
        <w:rPr>
          <w:rFonts w:ascii="Palatino Linotype" w:hAnsi="Palatino Linotype"/>
          <w:b/>
          <w:sz w:val="22"/>
          <w:szCs w:val="22"/>
        </w:rPr>
        <w:t>análisis minucioso</w:t>
      </w:r>
      <w:r w:rsidRPr="00B95C5C">
        <w:rPr>
          <w:rFonts w:ascii="Palatino Linotype" w:hAnsi="Palatino Linotype"/>
          <w:sz w:val="22"/>
          <w:szCs w:val="22"/>
        </w:rPr>
        <w:t xml:space="preserve"> a partir de lo aprobado por el Titular del área que administra la información, cuyo análisis debe integrarse en la agenda de los asuntos a tratar en las sesiones, se insiste, a partir de las </w:t>
      </w:r>
      <w:r w:rsidRPr="00B95C5C">
        <w:rPr>
          <w:rFonts w:ascii="Palatino Linotype" w:eastAsia="Calibri" w:hAnsi="Palatino Linotype" w:cs="Tahoma"/>
          <w:bCs/>
          <w:sz w:val="22"/>
          <w:szCs w:val="22"/>
          <w:lang w:eastAsia="en-US"/>
        </w:rPr>
        <w:t xml:space="preserve">decisiones adoptadas previamente por los titulares de áreas y que son sujetas a control, en primera instancia, por el Comité de Transparencia. </w:t>
      </w:r>
    </w:p>
    <w:p w14:paraId="1E51D3C1" w14:textId="77777777" w:rsidR="00885050" w:rsidRDefault="00885050" w:rsidP="00967813">
      <w:pPr>
        <w:autoSpaceDE w:val="0"/>
        <w:autoSpaceDN w:val="0"/>
        <w:adjustRightInd w:val="0"/>
        <w:spacing w:line="360" w:lineRule="auto"/>
        <w:ind w:right="113"/>
        <w:jc w:val="both"/>
        <w:rPr>
          <w:rFonts w:ascii="Palatino Linotype" w:hAnsi="Palatino Linotype" w:cs="Arial"/>
          <w:color w:val="000000" w:themeColor="text1"/>
          <w:sz w:val="22"/>
          <w:szCs w:val="22"/>
        </w:rPr>
      </w:pPr>
    </w:p>
    <w:p w14:paraId="4AD0A14E" w14:textId="77777777" w:rsidR="00885050" w:rsidRDefault="00885050" w:rsidP="00967813">
      <w:pPr>
        <w:spacing w:line="360" w:lineRule="auto"/>
        <w:ind w:right="-93"/>
        <w:jc w:val="both"/>
        <w:rPr>
          <w:rFonts w:ascii="Palatino Linotype" w:eastAsia="Calibri" w:hAnsi="Palatino Linotype" w:cs="Tahoma"/>
          <w:bCs/>
          <w:sz w:val="22"/>
          <w:szCs w:val="22"/>
          <w:lang w:eastAsia="en-US"/>
        </w:rPr>
      </w:pPr>
      <w:r>
        <w:rPr>
          <w:rFonts w:ascii="Palatino Linotype" w:hAnsi="Palatino Linotype" w:cs="Arial"/>
          <w:color w:val="000000" w:themeColor="text1"/>
          <w:sz w:val="22"/>
          <w:szCs w:val="22"/>
        </w:rPr>
        <w:t>Para la realización del Acuerdo respectivo</w:t>
      </w:r>
      <w:r w:rsidRPr="00B95C5C">
        <w:rPr>
          <w:rFonts w:ascii="Palatino Linotype" w:hAnsi="Palatino Linotype" w:cs="Arial"/>
          <w:color w:val="000000" w:themeColor="text1"/>
          <w:sz w:val="22"/>
          <w:szCs w:val="22"/>
        </w:rPr>
        <w:t xml:space="preserve"> que se desahoga en sede del Comité de Transparencia, la ley nos aporta mayores luces para </w:t>
      </w:r>
      <w:r>
        <w:rPr>
          <w:rFonts w:ascii="Palatino Linotype" w:hAnsi="Palatino Linotype" w:cs="Arial"/>
          <w:color w:val="000000" w:themeColor="text1"/>
          <w:sz w:val="22"/>
          <w:szCs w:val="22"/>
        </w:rPr>
        <w:t>cumplir con dicha acreditación, como se señala en e</w:t>
      </w:r>
      <w:r w:rsidRPr="00B95C5C">
        <w:rPr>
          <w:rFonts w:ascii="Palatino Linotype" w:hAnsi="Palatino Linotype" w:cs="Arial"/>
          <w:color w:val="000000" w:themeColor="text1"/>
          <w:sz w:val="22"/>
          <w:szCs w:val="22"/>
        </w:rPr>
        <w:t xml:space="preserve">l artículo 131 </w:t>
      </w:r>
      <w:r>
        <w:rPr>
          <w:rFonts w:ascii="Palatino Linotype" w:hAnsi="Palatino Linotype" w:cs="Arial"/>
          <w:color w:val="000000" w:themeColor="text1"/>
          <w:sz w:val="22"/>
          <w:szCs w:val="22"/>
        </w:rPr>
        <w:t>de la Ley de la materia</w:t>
      </w:r>
      <w:r w:rsidRPr="00B95C5C">
        <w:rPr>
          <w:rFonts w:ascii="Palatino Linotype" w:hAnsi="Palatino Linotype" w:cs="Arial"/>
          <w:color w:val="000000" w:themeColor="text1"/>
          <w:sz w:val="22"/>
          <w:szCs w:val="22"/>
        </w:rPr>
        <w:t xml:space="preserve">, y el lineamiento sexagésimo segundo de los Lineamientos Generales,  al señalar que la carga de la prueba, para justificar las restricciones, corresponde a los sujetos obligados, por lo que </w:t>
      </w:r>
      <w:r w:rsidRPr="00205C19">
        <w:rPr>
          <w:rFonts w:ascii="Palatino Linotype" w:hAnsi="Palatino Linotype" w:cs="Arial"/>
          <w:b/>
          <w:color w:val="000000" w:themeColor="text1"/>
          <w:sz w:val="22"/>
          <w:szCs w:val="22"/>
        </w:rPr>
        <w:t xml:space="preserve">deberán fundar y motivar debidamente la </w:t>
      </w:r>
      <w:r w:rsidRPr="00205C19">
        <w:rPr>
          <w:rFonts w:ascii="Palatino Linotype" w:eastAsia="Calibri" w:hAnsi="Palatino Linotype" w:cs="Tahoma"/>
          <w:b/>
          <w:bCs/>
          <w:sz w:val="22"/>
          <w:szCs w:val="22"/>
          <w:lang w:eastAsia="en-US"/>
        </w:rPr>
        <w:t>clasificación</w:t>
      </w:r>
      <w:r w:rsidRPr="00B95C5C">
        <w:rPr>
          <w:rFonts w:ascii="Palatino Linotype" w:eastAsia="Calibri" w:hAnsi="Palatino Linotype" w:cs="Tahoma"/>
          <w:bCs/>
          <w:sz w:val="22"/>
          <w:szCs w:val="22"/>
          <w:lang w:eastAsia="en-US"/>
        </w:rPr>
        <w:t xml:space="preserve">. </w:t>
      </w:r>
    </w:p>
    <w:p w14:paraId="40C8F917"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p>
    <w:p w14:paraId="7908B354" w14:textId="77777777" w:rsidR="00885050" w:rsidRDefault="00885050" w:rsidP="00967813">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D4A4C2"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p>
    <w:p w14:paraId="41C1A16F" w14:textId="77777777" w:rsidR="00885050" w:rsidRDefault="00885050" w:rsidP="00967813">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Por lo que</w:t>
      </w:r>
      <w:r>
        <w:rPr>
          <w:rFonts w:ascii="Palatino Linotype" w:eastAsia="Calibri" w:hAnsi="Palatino Linotype" w:cs="Tahoma"/>
          <w:bCs/>
          <w:sz w:val="22"/>
          <w:szCs w:val="22"/>
          <w:lang w:eastAsia="en-US"/>
        </w:rPr>
        <w:t>,</w:t>
      </w:r>
      <w:r w:rsidRPr="00B95C5C">
        <w:rPr>
          <w:rFonts w:ascii="Palatino Linotype" w:eastAsia="Calibri" w:hAnsi="Palatino Linotype" w:cs="Tahoma"/>
          <w:bCs/>
          <w:sz w:val="22"/>
          <w:szCs w:val="22"/>
          <w:lang w:eastAsia="en-US"/>
        </w:rPr>
        <w:t xml:space="preserve"> la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C5AFBF0"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p>
    <w:p w14:paraId="097FED26" w14:textId="77777777" w:rsidR="00885050" w:rsidRDefault="00885050" w:rsidP="009678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Sirve de analogía la siguiente </w:t>
      </w:r>
      <w:r w:rsidRPr="00B95C5C">
        <w:rPr>
          <w:rFonts w:ascii="Palatino Linotype" w:eastAsia="Calibri" w:hAnsi="Palatino Linotype" w:cs="Tahoma"/>
          <w:bCs/>
          <w:sz w:val="22"/>
          <w:szCs w:val="22"/>
          <w:lang w:eastAsia="en-US"/>
        </w:rPr>
        <w:t xml:space="preserve">jurisprudencia respecto a qué debe entenderse </w:t>
      </w:r>
      <w:r>
        <w:rPr>
          <w:rFonts w:ascii="Palatino Linotype" w:eastAsia="Calibri" w:hAnsi="Palatino Linotype" w:cs="Tahoma"/>
          <w:bCs/>
          <w:sz w:val="22"/>
          <w:szCs w:val="22"/>
          <w:lang w:eastAsia="en-US"/>
        </w:rPr>
        <w:t>por fundamentación y motivación</w:t>
      </w:r>
      <w:r w:rsidRPr="00B95C5C">
        <w:rPr>
          <w:rFonts w:ascii="Palatino Linotype" w:eastAsia="Calibri" w:hAnsi="Palatino Linotype" w:cs="Tahoma"/>
          <w:bCs/>
          <w:sz w:val="22"/>
          <w:szCs w:val="22"/>
          <w:lang w:eastAsia="en-US"/>
        </w:rPr>
        <w:t>:</w:t>
      </w:r>
    </w:p>
    <w:p w14:paraId="664280EC"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b/>
          <w:i/>
          <w:color w:val="000000"/>
        </w:rPr>
        <w:lastRenderedPageBreak/>
        <w:t>FUNDAMENTACIÓN Y MOTIVACIÓN.</w:t>
      </w:r>
      <w:r w:rsidRPr="008C6062">
        <w:rPr>
          <w:rFonts w:ascii="Palatino Linotype" w:hAnsi="Palatino Linotype" w:cs="Arial"/>
          <w:i/>
          <w:color w:val="000000"/>
        </w:rPr>
        <w:t xml:space="preserve"> La </w:t>
      </w:r>
      <w:r w:rsidRPr="008C60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6062">
        <w:rPr>
          <w:rFonts w:ascii="Palatino Linotype" w:hAnsi="Palatino Linotype" w:cs="Arial"/>
          <w:i/>
          <w:color w:val="000000"/>
        </w:rPr>
        <w:t>.</w:t>
      </w:r>
    </w:p>
    <w:p w14:paraId="2058C0A4"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SEGUNDO TRIBUNAL COLEGIADO DEL SEXTO CIRCUITO.</w:t>
      </w:r>
    </w:p>
    <w:p w14:paraId="07E3246E"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FF94310"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88E9202"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en revisión 333/88. Adilia Romero. 26 de octubre de 1988. Unanimidad de votos. Ponente: Arnoldo Nájera Virgen. Secretario: Enrique Crispín Campos Ramírez.</w:t>
      </w:r>
    </w:p>
    <w:p w14:paraId="60841E5B" w14:textId="77777777" w:rsidR="00885050" w:rsidRPr="008C6062"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78D7BC6" w14:textId="77777777" w:rsidR="00885050" w:rsidRPr="00B95C5C" w:rsidRDefault="00885050" w:rsidP="00967813">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directo 7/96. Pedro Vicente López Miro. 21 de febrero de 1996. Unanimidad de votos. </w:t>
      </w:r>
      <w:r w:rsidRPr="00B95C5C">
        <w:rPr>
          <w:rFonts w:ascii="Palatino Linotype" w:hAnsi="Palatino Linotype" w:cs="Arial"/>
          <w:i/>
          <w:color w:val="000000"/>
        </w:rPr>
        <w:t>Ponente: María Eugenia Estela Martínez Cardiel. Secretario: Enrique Baigts Muñoz.</w:t>
      </w:r>
    </w:p>
    <w:p w14:paraId="19D2384B"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p>
    <w:p w14:paraId="30C65529" w14:textId="77777777" w:rsidR="00885050" w:rsidRDefault="00885050" w:rsidP="00967813">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3BDDD69"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p>
    <w:p w14:paraId="65E3E4FA" w14:textId="77777777" w:rsidR="00885050" w:rsidRPr="00B95C5C" w:rsidRDefault="00885050" w:rsidP="00967813">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C515C6" w14:textId="77777777" w:rsidR="00885050" w:rsidRDefault="00885050" w:rsidP="00967813">
      <w:pPr>
        <w:tabs>
          <w:tab w:val="left" w:pos="4962"/>
        </w:tabs>
        <w:spacing w:line="360" w:lineRule="auto"/>
        <w:jc w:val="both"/>
        <w:rPr>
          <w:rFonts w:ascii="Palatino Linotype" w:eastAsia="Calibri" w:hAnsi="Palatino Linotype" w:cs="Tahoma"/>
          <w:color w:val="000000"/>
          <w:sz w:val="22"/>
          <w:szCs w:val="22"/>
          <w:lang w:eastAsia="es-MX"/>
        </w:rPr>
      </w:pPr>
    </w:p>
    <w:p w14:paraId="72D430DF" w14:textId="792741D3" w:rsidR="00885050" w:rsidRDefault="00885050" w:rsidP="00967813">
      <w:pPr>
        <w:tabs>
          <w:tab w:val="left" w:pos="4962"/>
        </w:tabs>
        <w:spacing w:line="360" w:lineRule="auto"/>
        <w:jc w:val="both"/>
        <w:rPr>
          <w:rFonts w:ascii="Palatino Linotype" w:hAnsi="Palatino Linotype" w:cs="Arial"/>
          <w:sz w:val="22"/>
          <w:szCs w:val="22"/>
        </w:rPr>
      </w:pPr>
      <w:r>
        <w:rPr>
          <w:rFonts w:ascii="Palatino Linotype" w:eastAsia="Calibri" w:hAnsi="Palatino Linotype" w:cs="Tahoma"/>
          <w:color w:val="000000"/>
          <w:sz w:val="22"/>
          <w:szCs w:val="22"/>
          <w:lang w:eastAsia="es-MX"/>
        </w:rPr>
        <w:lastRenderedPageBreak/>
        <w:t>Derivado de las consideraciones vertidas con antelación, es dable ordenar al Sujeto Obligado, entregue de nueva cuenta los convenios solicitado</w:t>
      </w:r>
      <w:r w:rsidR="00C25FF1">
        <w:rPr>
          <w:rFonts w:ascii="Palatino Linotype" w:eastAsia="Calibri" w:hAnsi="Palatino Linotype" w:cs="Tahoma"/>
          <w:color w:val="000000"/>
          <w:sz w:val="22"/>
          <w:szCs w:val="22"/>
          <w:lang w:eastAsia="es-MX"/>
        </w:rPr>
        <w:t>s, así como las</w:t>
      </w:r>
      <w:r w:rsidR="00C25FF1">
        <w:rPr>
          <w:rFonts w:ascii="Palatino Linotype" w:hAnsi="Palatino Linotype" w:cs="Arial"/>
          <w:sz w:val="22"/>
          <w:szCs w:val="22"/>
        </w:rPr>
        <w:t xml:space="preserve"> transferencias bancarias realizadas a los ex servidores públicos derivados de los convenios sin juicio celebrados entre estos y el Ayuntamiento de Tezoyuca, en el periodo comprendido del 1 al 20 de diciembre de 2018, en versión pública, las cuales deberán llevar el acuerdo de clasificación respectivo fundado y motivado, mismo en el que deberán tener presentes las consideraciones siguientes: </w:t>
      </w:r>
    </w:p>
    <w:p w14:paraId="28F2B610" w14:textId="77777777" w:rsidR="00C25FF1" w:rsidRDefault="00C25FF1" w:rsidP="00967813">
      <w:pPr>
        <w:tabs>
          <w:tab w:val="left" w:pos="4962"/>
        </w:tabs>
        <w:spacing w:line="360" w:lineRule="auto"/>
        <w:jc w:val="both"/>
        <w:rPr>
          <w:rFonts w:ascii="Palatino Linotype" w:hAnsi="Palatino Linotype" w:cs="Arial"/>
          <w:sz w:val="22"/>
          <w:szCs w:val="22"/>
        </w:rPr>
      </w:pPr>
    </w:p>
    <w:p w14:paraId="50160E16" w14:textId="6D8BBB5C" w:rsidR="00C25FF1" w:rsidRPr="00C25FF1" w:rsidRDefault="00C25FF1" w:rsidP="00967813">
      <w:pPr>
        <w:tabs>
          <w:tab w:val="left" w:pos="4962"/>
        </w:tabs>
        <w:spacing w:line="360" w:lineRule="auto"/>
        <w:jc w:val="both"/>
        <w:rPr>
          <w:rFonts w:ascii="Palatino Linotype" w:eastAsia="Calibri" w:hAnsi="Palatino Linotype" w:cs="Tahoma"/>
          <w:b/>
          <w:color w:val="000000"/>
          <w:sz w:val="22"/>
          <w:szCs w:val="22"/>
          <w:lang w:eastAsia="es-MX"/>
        </w:rPr>
      </w:pPr>
      <w:r w:rsidRPr="00C25FF1">
        <w:rPr>
          <w:rFonts w:ascii="Palatino Linotype" w:eastAsia="Calibri" w:hAnsi="Palatino Linotype" w:cs="Tahoma"/>
          <w:b/>
          <w:color w:val="000000"/>
          <w:sz w:val="22"/>
          <w:szCs w:val="22"/>
          <w:lang w:eastAsia="es-MX"/>
        </w:rPr>
        <w:t xml:space="preserve">VERSIÓN PÚBLICA. </w:t>
      </w:r>
    </w:p>
    <w:p w14:paraId="5FCF5E67" w14:textId="77777777" w:rsidR="00885050" w:rsidRDefault="00885050" w:rsidP="00967813">
      <w:pPr>
        <w:tabs>
          <w:tab w:val="left" w:pos="4962"/>
        </w:tabs>
        <w:spacing w:line="360" w:lineRule="auto"/>
        <w:jc w:val="both"/>
        <w:rPr>
          <w:rFonts w:ascii="Palatino Linotype" w:eastAsia="Calibri" w:hAnsi="Palatino Linotype" w:cs="Tahoma"/>
          <w:color w:val="000000"/>
          <w:sz w:val="22"/>
          <w:szCs w:val="22"/>
          <w:lang w:eastAsia="es-MX"/>
        </w:rPr>
      </w:pPr>
    </w:p>
    <w:p w14:paraId="0546D820"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9DDF05C"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225ABDC2"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E2E8822"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2A292CDC"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w:t>
      </w:r>
      <w:r w:rsidRPr="00331DCC">
        <w:rPr>
          <w:rFonts w:ascii="Palatino Linotype" w:hAnsi="Palatino Linotype" w:cs="Tahoma"/>
          <w:bCs/>
          <w:iCs/>
          <w:sz w:val="22"/>
          <w:szCs w:val="22"/>
        </w:rPr>
        <w:lastRenderedPageBreak/>
        <w:t>pública; no obstante, aquella referente a la intimidad de la vida privada y la imagen de las personas, será protegida a través de un marco jurídico rígido, de tratamiento y manejo de datos personales.</w:t>
      </w:r>
    </w:p>
    <w:p w14:paraId="08AAC9B8"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1B094A7F"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E7BBBE2"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7BE3AD75"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88251F8"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6A8F89A8" w14:textId="77777777" w:rsidR="00C25FF1" w:rsidRPr="00331DCC" w:rsidRDefault="00C25FF1" w:rsidP="00967813">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FA0E7D2"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7AEA2B71" w14:textId="77777777" w:rsidR="00C25FF1" w:rsidRPr="00331DCC" w:rsidRDefault="00C25FF1" w:rsidP="00967813">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04918B2F" w14:textId="77777777" w:rsidR="00C25FF1" w:rsidRPr="00331DCC" w:rsidRDefault="00C25FF1" w:rsidP="00967813">
      <w:pPr>
        <w:spacing w:line="360" w:lineRule="auto"/>
        <w:ind w:right="-93"/>
        <w:jc w:val="both"/>
        <w:rPr>
          <w:rFonts w:ascii="Palatino Linotype" w:hAnsi="Palatino Linotype" w:cs="Tahoma"/>
          <w:bCs/>
          <w:iCs/>
          <w:sz w:val="22"/>
          <w:szCs w:val="22"/>
          <w:lang w:val="es-ES"/>
        </w:rPr>
      </w:pPr>
    </w:p>
    <w:p w14:paraId="5E954ABC" w14:textId="77777777" w:rsidR="00C25FF1" w:rsidRPr="00331DCC" w:rsidRDefault="00C25FF1" w:rsidP="00967813">
      <w:pPr>
        <w:numPr>
          <w:ilvl w:val="0"/>
          <w:numId w:val="34"/>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esta sea identificada o identificable. </w:t>
      </w:r>
    </w:p>
    <w:p w14:paraId="20610523" w14:textId="77777777" w:rsidR="00C25FF1" w:rsidRPr="00331DCC" w:rsidRDefault="00C25FF1" w:rsidP="00967813">
      <w:pPr>
        <w:spacing w:line="360" w:lineRule="auto"/>
        <w:ind w:right="-93"/>
        <w:jc w:val="both"/>
        <w:rPr>
          <w:rFonts w:ascii="Palatino Linotype" w:hAnsi="Palatino Linotype" w:cs="Tahoma"/>
          <w:bCs/>
          <w:iCs/>
          <w:sz w:val="22"/>
          <w:szCs w:val="22"/>
          <w:lang w:val="es-ES"/>
        </w:rPr>
      </w:pPr>
    </w:p>
    <w:p w14:paraId="450EC656" w14:textId="77777777" w:rsidR="00C25FF1" w:rsidRPr="00331DCC" w:rsidRDefault="00C25FF1" w:rsidP="00967813">
      <w:pPr>
        <w:numPr>
          <w:ilvl w:val="0"/>
          <w:numId w:val="34"/>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14:paraId="62DBBB0A"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22A35AC2"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FDD7C12"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1EEDB634"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14:paraId="20739F84"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0EBB4E64"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E97E1F4"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w:t>
      </w:r>
      <w:r w:rsidRPr="00331DCC">
        <w:rPr>
          <w:rFonts w:ascii="Palatino Linotype" w:hAnsi="Palatino Linotype" w:cs="Tahoma"/>
          <w:bCs/>
          <w:iCs/>
          <w:sz w:val="22"/>
          <w:szCs w:val="22"/>
        </w:rPr>
        <w:lastRenderedPageBreak/>
        <w:t>las preferencias, gustos, cualidades, opiniones y creencias, constituyen datos personales. En este sentido, cualquier información que por sí sola o relacionada con otra permita hacer identificable a una persona, es un dato personal, susceptible de ser clasificado.</w:t>
      </w:r>
    </w:p>
    <w:p w14:paraId="43C41EF0"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55E3BA19"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6733EA"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3E3F61E3"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09B1F0D" w14:textId="77777777" w:rsidR="00C25FF1" w:rsidRPr="00331DCC" w:rsidRDefault="00C25FF1" w:rsidP="00967813">
      <w:pPr>
        <w:spacing w:line="360" w:lineRule="auto"/>
        <w:ind w:right="-93"/>
        <w:jc w:val="both"/>
        <w:rPr>
          <w:rFonts w:ascii="Palatino Linotype" w:hAnsi="Palatino Linotype" w:cs="Tahoma"/>
          <w:bCs/>
          <w:iCs/>
          <w:sz w:val="22"/>
          <w:szCs w:val="22"/>
        </w:rPr>
      </w:pPr>
    </w:p>
    <w:p w14:paraId="7A030A8A" w14:textId="77777777" w:rsidR="00C25FF1" w:rsidRPr="00331DCC" w:rsidRDefault="00C25FF1" w:rsidP="00967813">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4BB5E55" w14:textId="77777777" w:rsidR="00C25FF1" w:rsidRPr="00D257B4" w:rsidRDefault="00C25FF1" w:rsidP="00967813">
      <w:pPr>
        <w:spacing w:line="360" w:lineRule="auto"/>
        <w:ind w:right="-93"/>
        <w:jc w:val="both"/>
        <w:rPr>
          <w:rFonts w:ascii="Palatino Linotype" w:hAnsi="Palatino Linotype"/>
          <w:noProof/>
          <w:sz w:val="22"/>
          <w:szCs w:val="22"/>
          <w:lang w:eastAsia="es-MX"/>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w:t>
      </w:r>
      <w:r>
        <w:rPr>
          <w:rFonts w:ascii="Palatino Linotype" w:hAnsi="Palatino Linotype"/>
          <w:sz w:val="22"/>
          <w:szCs w:val="22"/>
        </w:rPr>
        <w:t xml:space="preserve"> datos personales eliminados por el Sujeto Obligado en los recibos de nómina enviados en informe justificado</w:t>
      </w:r>
      <w:r>
        <w:rPr>
          <w:rFonts w:ascii="Palatino Linotype" w:hAnsi="Palatino Linotype"/>
          <w:noProof/>
          <w:sz w:val="22"/>
          <w:szCs w:val="22"/>
          <w:lang w:eastAsia="es-MX"/>
        </w:rPr>
        <w:t>.</w:t>
      </w:r>
    </w:p>
    <w:p w14:paraId="531EEBB2" w14:textId="77777777" w:rsidR="00C25FF1" w:rsidRDefault="00C25FF1" w:rsidP="00967813">
      <w:pPr>
        <w:spacing w:line="360" w:lineRule="auto"/>
        <w:ind w:right="-93"/>
        <w:jc w:val="both"/>
        <w:rPr>
          <w:rFonts w:ascii="Palatino Linotype" w:hAnsi="Palatino Linotype" w:cs="Tahoma"/>
          <w:b/>
          <w:sz w:val="22"/>
          <w:szCs w:val="22"/>
        </w:rPr>
      </w:pPr>
    </w:p>
    <w:p w14:paraId="6444FF94" w14:textId="77777777" w:rsidR="00C25FF1" w:rsidRDefault="00C25FF1" w:rsidP="00967813">
      <w:pPr>
        <w:pStyle w:val="Prrafodelista"/>
        <w:numPr>
          <w:ilvl w:val="0"/>
          <w:numId w:val="31"/>
        </w:numPr>
        <w:spacing w:line="360" w:lineRule="auto"/>
        <w:ind w:right="-93"/>
        <w:jc w:val="both"/>
        <w:rPr>
          <w:rFonts w:ascii="Palatino Linotype" w:hAnsi="Palatino Linotype"/>
          <w:b/>
          <w:szCs w:val="22"/>
        </w:rPr>
      </w:pPr>
      <w:r w:rsidRPr="00FE533E">
        <w:rPr>
          <w:rFonts w:ascii="Palatino Linotype" w:hAnsi="Palatino Linotype"/>
          <w:b/>
          <w:szCs w:val="22"/>
        </w:rPr>
        <w:lastRenderedPageBreak/>
        <w:t>R.F.C. del Sujeto Obligado</w:t>
      </w:r>
    </w:p>
    <w:p w14:paraId="460DAA88" w14:textId="77777777" w:rsidR="00C25FF1" w:rsidRDefault="00C25FF1" w:rsidP="00967813">
      <w:pPr>
        <w:tabs>
          <w:tab w:val="left" w:pos="4667"/>
        </w:tabs>
        <w:spacing w:line="360" w:lineRule="auto"/>
        <w:jc w:val="both"/>
        <w:rPr>
          <w:rFonts w:ascii="Palatino Linotype" w:hAnsi="Palatino Linotype" w:cs="Tahoma"/>
          <w:sz w:val="22"/>
          <w:szCs w:val="22"/>
          <w:lang w:val="es-ES"/>
        </w:rPr>
      </w:pPr>
    </w:p>
    <w:p w14:paraId="1553EE1D" w14:textId="77777777" w:rsidR="00C25FF1" w:rsidRPr="00002E06" w:rsidRDefault="00C25FF1" w:rsidP="00967813">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lang w:val="es-ES"/>
        </w:rPr>
        <w:t xml:space="preserve">El Sujeto Obligado en los recibos de nómina enviados en informe justificado testo el RFC del propio Ayuntamiento por lo que al ser además una </w:t>
      </w:r>
      <w:r w:rsidRPr="00002E06">
        <w:rPr>
          <w:rFonts w:ascii="Palatino Linotype" w:eastAsia="Calibri" w:hAnsi="Palatino Linotype" w:cs="Tahoma"/>
          <w:iCs/>
          <w:sz w:val="22"/>
          <w:szCs w:val="22"/>
          <w:lang w:eastAsia="es-ES_tradnl"/>
        </w:rPr>
        <w:t xml:space="preserve">persona jurídico colectiva </w:t>
      </w:r>
      <w:r>
        <w:rPr>
          <w:rFonts w:ascii="Palatino Linotype" w:eastAsia="Calibri" w:hAnsi="Palatino Linotype" w:cs="Tahoma"/>
          <w:iCs/>
          <w:sz w:val="22"/>
          <w:szCs w:val="22"/>
          <w:lang w:eastAsia="es-ES_tradnl"/>
        </w:rPr>
        <w:t>no procede la clasificación del mismo,</w:t>
      </w:r>
      <w:r w:rsidRPr="00002E06">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de conformidad</w:t>
      </w:r>
      <w:r w:rsidRPr="00002E06">
        <w:rPr>
          <w:rFonts w:ascii="Palatino Linotype" w:eastAsia="Calibri" w:hAnsi="Palatino Linotype" w:cs="Tahoma"/>
          <w:iCs/>
          <w:sz w:val="22"/>
          <w:szCs w:val="22"/>
          <w:lang w:eastAsia="es-ES_tradnl"/>
        </w:rPr>
        <w:t xml:space="preserve"> con el Criterio 1/2014, del ahora denominado </w:t>
      </w:r>
      <w:r w:rsidRPr="00704A7A">
        <w:rPr>
          <w:rFonts w:ascii="Palatino Linotype" w:eastAsia="Calibri" w:hAnsi="Palatino Linotype" w:cs="Tahoma"/>
          <w:bCs/>
          <w:iCs/>
          <w:sz w:val="22"/>
          <w:szCs w:val="22"/>
          <w:lang w:eastAsia="es-ES_tradnl"/>
        </w:rPr>
        <w:t>Instituto Nacional de Transparencia, Acceso a la Información y Protección de Datos Personales (</w:t>
      </w:r>
      <w:r w:rsidRPr="00002E06">
        <w:rPr>
          <w:rFonts w:ascii="Palatino Linotype" w:eastAsia="Calibri" w:hAnsi="Palatino Linotype" w:cs="Tahoma"/>
          <w:iCs/>
          <w:sz w:val="22"/>
          <w:szCs w:val="22"/>
          <w:lang w:eastAsia="es-ES_tradnl"/>
        </w:rPr>
        <w:t>INAI).</w:t>
      </w:r>
    </w:p>
    <w:p w14:paraId="4FE285AF" w14:textId="77777777" w:rsidR="00C25FF1" w:rsidRPr="00002E06" w:rsidRDefault="00C25FF1" w:rsidP="00967813">
      <w:pPr>
        <w:tabs>
          <w:tab w:val="left" w:pos="4667"/>
        </w:tabs>
        <w:spacing w:line="360" w:lineRule="auto"/>
        <w:jc w:val="both"/>
        <w:rPr>
          <w:rFonts w:ascii="Palatino Linotype" w:eastAsia="Calibri" w:hAnsi="Palatino Linotype" w:cs="Tahoma"/>
          <w:iCs/>
          <w:sz w:val="22"/>
          <w:szCs w:val="22"/>
          <w:lang w:eastAsia="es-ES_tradnl"/>
        </w:rPr>
      </w:pPr>
    </w:p>
    <w:p w14:paraId="402F586D" w14:textId="77777777" w:rsidR="00C25FF1" w:rsidRPr="002D4CCD" w:rsidRDefault="00C25FF1" w:rsidP="00967813">
      <w:pPr>
        <w:spacing w:line="360" w:lineRule="auto"/>
        <w:ind w:left="567" w:right="567"/>
        <w:jc w:val="both"/>
        <w:rPr>
          <w:rFonts w:ascii="Palatino Linotype" w:eastAsia="Arial" w:hAnsi="Palatino Linotype" w:cs="Arial"/>
          <w:i/>
        </w:rPr>
      </w:pPr>
      <w:r w:rsidRPr="002D4CCD">
        <w:rPr>
          <w:rFonts w:ascii="Palatino Linotype" w:eastAsia="Arial" w:hAnsi="Palatino Linotype" w:cs="Arial"/>
          <w:b/>
          <w:i/>
        </w:rPr>
        <w:t xml:space="preserve">Denominación o razón social, y Registro Federal de Contribuyentes de personas morales, no constituyen información confidencial. </w:t>
      </w:r>
      <w:r w:rsidRPr="002D4CCD">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73601CDE" w14:textId="77777777" w:rsidR="00C25FF1" w:rsidRPr="00002E06" w:rsidRDefault="00C25FF1" w:rsidP="00967813">
      <w:pPr>
        <w:tabs>
          <w:tab w:val="left" w:pos="4667"/>
        </w:tabs>
        <w:spacing w:line="360" w:lineRule="auto"/>
        <w:ind w:left="360"/>
        <w:jc w:val="both"/>
        <w:rPr>
          <w:rFonts w:ascii="Palatino Linotype" w:eastAsia="Calibri" w:hAnsi="Palatino Linotype" w:cs="Tahoma"/>
          <w:iCs/>
          <w:sz w:val="22"/>
          <w:szCs w:val="22"/>
          <w:lang w:eastAsia="es-ES_tradnl"/>
        </w:rPr>
      </w:pPr>
    </w:p>
    <w:p w14:paraId="49407798" w14:textId="77777777" w:rsidR="00C25FF1" w:rsidRPr="00002E06" w:rsidRDefault="00C25FF1" w:rsidP="00967813">
      <w:pPr>
        <w:tabs>
          <w:tab w:val="left" w:pos="4667"/>
        </w:tabs>
        <w:spacing w:line="360" w:lineRule="auto"/>
        <w:jc w:val="both"/>
        <w:rPr>
          <w:rFonts w:ascii="Palatino Linotype" w:eastAsia="Calibri" w:hAnsi="Palatino Linotype" w:cs="Tahoma"/>
          <w:iCs/>
          <w:sz w:val="22"/>
          <w:szCs w:val="22"/>
          <w:lang w:eastAsia="es-ES_tradnl"/>
        </w:rPr>
      </w:pPr>
      <w:r w:rsidRPr="00002E06">
        <w:rPr>
          <w:rFonts w:ascii="Palatino Linotype" w:eastAsia="Calibri" w:hAnsi="Palatino Linotype" w:cs="Tahoma"/>
          <w:iCs/>
          <w:sz w:val="22"/>
          <w:szCs w:val="22"/>
          <w:lang w:eastAsia="es-ES_tradnl"/>
        </w:rPr>
        <w:t>Como se puede observar, los datos de carácter fiscal que se eliminaron de las facturas fueron con el o</w:t>
      </w:r>
      <w:r>
        <w:rPr>
          <w:rFonts w:ascii="Palatino Linotype" w:eastAsia="Calibri" w:hAnsi="Palatino Linotype" w:cs="Tahoma"/>
          <w:iCs/>
          <w:sz w:val="22"/>
          <w:szCs w:val="22"/>
          <w:lang w:eastAsia="es-ES_tradnl"/>
        </w:rPr>
        <w:t xml:space="preserve">bjetivo de proteger el RFC </w:t>
      </w:r>
      <w:r w:rsidRPr="00002E06">
        <w:rPr>
          <w:rFonts w:ascii="Palatino Linotype" w:eastAsia="Calibri" w:hAnsi="Palatino Linotype" w:cs="Tahoma"/>
          <w:iCs/>
          <w:sz w:val="22"/>
          <w:szCs w:val="22"/>
          <w:lang w:eastAsia="es-ES_tradnl"/>
        </w:rPr>
        <w:t xml:space="preserve"> del Sujeto Obligado, por lo que es procedente revocar la clasificación de estos datos.</w:t>
      </w:r>
    </w:p>
    <w:p w14:paraId="4938E14D" w14:textId="77777777" w:rsidR="00C25FF1" w:rsidRDefault="00C25FF1" w:rsidP="00967813">
      <w:pPr>
        <w:spacing w:line="360" w:lineRule="auto"/>
        <w:jc w:val="both"/>
        <w:rPr>
          <w:rFonts w:ascii="Palatino Linotype" w:hAnsi="Palatino Linotype" w:cs="Tahoma"/>
          <w:sz w:val="22"/>
          <w:szCs w:val="22"/>
          <w:lang w:val="es-ES"/>
        </w:rPr>
      </w:pPr>
    </w:p>
    <w:p w14:paraId="26283412" w14:textId="77777777" w:rsidR="00C25FF1" w:rsidRPr="00B4201F" w:rsidRDefault="00C25FF1" w:rsidP="00967813">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lastRenderedPageBreak/>
        <w:t>P</w:t>
      </w:r>
      <w:r w:rsidRPr="00DC1074">
        <w:rPr>
          <w:rFonts w:ascii="Palatino Linotype" w:hAnsi="Palatino Linotype" w:cs="Tahoma"/>
          <w:sz w:val="22"/>
          <w:szCs w:val="22"/>
          <w:lang w:val="es-ES"/>
        </w:rPr>
        <w:t>or lo que hace a las observaciones</w:t>
      </w:r>
      <w:r>
        <w:rPr>
          <w:rFonts w:ascii="Palatino Linotype" w:hAnsi="Palatino Linotype" w:cs="Tahoma"/>
          <w:sz w:val="22"/>
          <w:szCs w:val="22"/>
          <w:lang w:val="es-ES"/>
        </w:rPr>
        <w:t xml:space="preserve"> vertidas</w:t>
      </w:r>
      <w:r w:rsidRPr="00DC1074">
        <w:rPr>
          <w:rFonts w:ascii="Palatino Linotype" w:hAnsi="Palatino Linotype" w:cs="Tahoma"/>
          <w:sz w:val="22"/>
          <w:szCs w:val="22"/>
          <w:lang w:val="es-ES"/>
        </w:rPr>
        <w:t>, se advierte que</w:t>
      </w:r>
      <w:r>
        <w:rPr>
          <w:rFonts w:ascii="Palatino Linotype" w:hAnsi="Palatino Linotype" w:cs="Tahoma"/>
          <w:sz w:val="22"/>
          <w:szCs w:val="22"/>
          <w:lang w:val="es-ES"/>
        </w:rPr>
        <w:t xml:space="preserve"> la información que argumenta haber clasificado el Sujeto Obligado </w:t>
      </w:r>
      <w:r w:rsidRPr="00DC1074">
        <w:rPr>
          <w:rFonts w:ascii="Palatino Linotype" w:hAnsi="Palatino Linotype" w:cs="Tahoma"/>
          <w:sz w:val="22"/>
          <w:szCs w:val="22"/>
          <w:lang w:val="es-ES"/>
        </w:rPr>
        <w:t xml:space="preserve">no es posible relacionarlas con alguna persona física, de tal suerte que pueda tratarse de datos personales confidenciales que actualicen el supuesto del artículo 143, fracción I, de la Ley de Transparencia y Acceso a la Información Pública del Estado de México y Municipios. </w:t>
      </w:r>
    </w:p>
    <w:p w14:paraId="6F625BFF" w14:textId="77777777" w:rsidR="00C25FF1" w:rsidRPr="00FE533E" w:rsidRDefault="00C25FF1" w:rsidP="00967813">
      <w:pPr>
        <w:spacing w:line="360" w:lineRule="auto"/>
        <w:ind w:left="360" w:right="-93"/>
        <w:jc w:val="both"/>
        <w:rPr>
          <w:rFonts w:ascii="Palatino Linotype" w:hAnsi="Palatino Linotype"/>
          <w:b/>
          <w:szCs w:val="22"/>
        </w:rPr>
      </w:pPr>
    </w:p>
    <w:p w14:paraId="2B702E17" w14:textId="77777777" w:rsidR="00C25FF1" w:rsidRPr="00422697" w:rsidRDefault="00C25FF1" w:rsidP="00967813">
      <w:pPr>
        <w:pStyle w:val="Prrafodelista"/>
        <w:numPr>
          <w:ilvl w:val="0"/>
          <w:numId w:val="31"/>
        </w:numPr>
        <w:spacing w:line="360" w:lineRule="auto"/>
        <w:ind w:right="-93"/>
        <w:jc w:val="both"/>
        <w:rPr>
          <w:rFonts w:ascii="Palatino Linotype" w:eastAsia="Calibri" w:hAnsi="Palatino Linotype" w:cs="Tahoma"/>
          <w:bCs/>
          <w:szCs w:val="22"/>
          <w:lang w:val="es-ES" w:eastAsia="en-US"/>
        </w:rPr>
      </w:pPr>
      <w:r w:rsidRPr="00422697">
        <w:rPr>
          <w:rFonts w:ascii="Palatino Linotype" w:hAnsi="Palatino Linotype"/>
          <w:b/>
          <w:noProof/>
          <w:szCs w:val="22"/>
          <w:lang w:eastAsia="es-MX"/>
        </w:rPr>
        <w:t xml:space="preserve">Sello digital CFDI, sello digital del SAT, </w:t>
      </w:r>
      <w:r>
        <w:rPr>
          <w:rFonts w:ascii="Palatino Linotype" w:hAnsi="Palatino Linotype"/>
          <w:b/>
          <w:noProof/>
          <w:szCs w:val="22"/>
          <w:lang w:eastAsia="es-MX"/>
        </w:rPr>
        <w:t>Cadena Original del SAT</w:t>
      </w:r>
    </w:p>
    <w:p w14:paraId="09A4E3ED" w14:textId="77777777" w:rsidR="00C25FF1" w:rsidRPr="00422697" w:rsidRDefault="00C25FF1" w:rsidP="00967813">
      <w:pPr>
        <w:pStyle w:val="Prrafodelista"/>
        <w:spacing w:line="360" w:lineRule="auto"/>
        <w:ind w:right="-93"/>
        <w:jc w:val="both"/>
        <w:rPr>
          <w:rFonts w:ascii="Palatino Linotype" w:eastAsia="Calibri" w:hAnsi="Palatino Linotype" w:cs="Tahoma"/>
          <w:bCs/>
          <w:szCs w:val="22"/>
          <w:lang w:val="es-ES" w:eastAsia="en-US"/>
        </w:rPr>
      </w:pPr>
    </w:p>
    <w:p w14:paraId="15C8BE16" w14:textId="77777777" w:rsidR="00C25FF1" w:rsidRDefault="00C25FF1" w:rsidP="00967813">
      <w:pPr>
        <w:spacing w:line="360" w:lineRule="auto"/>
        <w:ind w:right="-91"/>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131144E" w14:textId="77777777" w:rsidR="00C25FF1" w:rsidRDefault="00C25FF1" w:rsidP="00967813">
      <w:pPr>
        <w:spacing w:line="360" w:lineRule="auto"/>
        <w:ind w:right="-91"/>
        <w:jc w:val="both"/>
        <w:rPr>
          <w:rFonts w:ascii="Palatino Linotype" w:eastAsia="Calibri" w:hAnsi="Palatino Linotype" w:cs="Tahoma"/>
          <w:bCs/>
          <w:sz w:val="22"/>
          <w:szCs w:val="22"/>
          <w:lang w:val="es-ES" w:eastAsia="en-US"/>
        </w:rPr>
      </w:pPr>
    </w:p>
    <w:p w14:paraId="62E4C4A8" w14:textId="77777777" w:rsidR="00C25FF1" w:rsidRPr="00D00D35" w:rsidRDefault="00C25FF1" w:rsidP="00967813">
      <w:pPr>
        <w:spacing w:line="360" w:lineRule="auto"/>
        <w:ind w:right="-91"/>
        <w:jc w:val="both"/>
        <w:rPr>
          <w:rFonts w:ascii="Palatino Linotype" w:eastAsia="Calibri" w:hAnsi="Palatino Linotype" w:cs="Tahoma"/>
          <w:bCs/>
          <w:sz w:val="22"/>
          <w:szCs w:val="22"/>
          <w:lang w:val="es-ES" w:eastAsia="en-US"/>
        </w:rPr>
      </w:pPr>
      <w:r w:rsidRPr="0073132C">
        <w:rPr>
          <w:rFonts w:ascii="Palatino Linotype" w:eastAsia="Calibri" w:hAnsi="Palatino Linotype" w:cs="Tahoma"/>
          <w:b/>
          <w:bCs/>
          <w:sz w:val="22"/>
          <w:szCs w:val="22"/>
          <w:lang w:val="es-ES" w:eastAsia="en-US"/>
        </w:rPr>
        <w:t>Las cadenas originales y sellos</w:t>
      </w:r>
      <w:r w:rsidRPr="00D00D35">
        <w:rPr>
          <w:rFonts w:ascii="Palatino Linotype" w:eastAsia="Calibri" w:hAnsi="Palatino Linotype" w:cs="Tahoma"/>
          <w:bCs/>
          <w:sz w:val="22"/>
          <w:szCs w:val="22"/>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7561F17"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lastRenderedPageBreak/>
        <w:t>“Elementos utilizados en la generación de Sellos Digitales:</w:t>
      </w:r>
    </w:p>
    <w:p w14:paraId="6DF3A0E0"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Cadena Original, el elemento a sellar, en este caso de un comprobante fiscal digital a través de Internet.</w:t>
      </w:r>
    </w:p>
    <w:p w14:paraId="366FA451"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Certificado de Sello Digital y su correspondiente clave privada.</w:t>
      </w:r>
    </w:p>
    <w:p w14:paraId="73FF837A"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Algoritmos de criptografía de clave pública para firma electrónica avanzada.</w:t>
      </w:r>
    </w:p>
    <w:p w14:paraId="2C63C72C"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Especificaciones de conversión de la firma electrónica avanzada a Base 64.</w:t>
      </w:r>
    </w:p>
    <w:p w14:paraId="0ADCB389"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Para la generación de sellos digitales se utiliza criptografía de clave pública aplicada a una cadena original.</w:t>
      </w:r>
    </w:p>
    <w:p w14:paraId="4FE04C5C" w14:textId="77777777" w:rsidR="00C25FF1" w:rsidRPr="00CD4130" w:rsidRDefault="00C25FF1" w:rsidP="00967813">
      <w:pPr>
        <w:spacing w:line="360" w:lineRule="auto"/>
        <w:ind w:left="567" w:right="539"/>
        <w:jc w:val="both"/>
        <w:rPr>
          <w:rFonts w:ascii="Palatino Linotype" w:eastAsia="Calibri" w:hAnsi="Palatino Linotype" w:cs="Tahoma"/>
          <w:bCs/>
          <w:i/>
          <w:sz w:val="24"/>
          <w:lang w:val="es-ES" w:eastAsia="en-US"/>
        </w:rPr>
      </w:pPr>
    </w:p>
    <w:p w14:paraId="6ADE4B19"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Criptografía de la Clave Pública</w:t>
      </w:r>
    </w:p>
    <w:p w14:paraId="6CF3EA93" w14:textId="77777777" w:rsidR="00C25FF1" w:rsidRPr="00CD4130" w:rsidRDefault="00C25FF1" w:rsidP="00967813">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47B0A34" w14:textId="77777777" w:rsidR="00C25FF1" w:rsidRPr="00D00D35" w:rsidRDefault="00C25FF1" w:rsidP="00967813">
      <w:pPr>
        <w:spacing w:line="360" w:lineRule="auto"/>
        <w:ind w:right="-91"/>
        <w:jc w:val="both"/>
        <w:rPr>
          <w:rFonts w:ascii="Palatino Linotype" w:eastAsia="Calibri" w:hAnsi="Palatino Linotype" w:cs="Tahoma"/>
          <w:bCs/>
          <w:sz w:val="22"/>
          <w:szCs w:val="22"/>
          <w:lang w:val="es-ES" w:eastAsia="en-US"/>
        </w:rPr>
      </w:pPr>
    </w:p>
    <w:p w14:paraId="5F435005" w14:textId="77777777" w:rsidR="00C25FF1" w:rsidRPr="00D00D35" w:rsidRDefault="00C25FF1" w:rsidP="00967813">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Es decir, por sí solos las cadenas originales y los sellos originales no contienen datos personales confidenciales, por lo que se considera que </w:t>
      </w:r>
      <w:r w:rsidRPr="002D0CE8">
        <w:rPr>
          <w:rFonts w:ascii="Palatino Linotype" w:eastAsia="Calibri" w:hAnsi="Palatino Linotype" w:cs="Tahoma"/>
          <w:b/>
          <w:bCs/>
          <w:sz w:val="22"/>
          <w:szCs w:val="22"/>
          <w:lang w:val="es-ES" w:eastAsia="en-US"/>
        </w:rPr>
        <w:t>no actualizan en supuesto de confidencialidad</w:t>
      </w:r>
      <w:r w:rsidRPr="00D00D35">
        <w:rPr>
          <w:rFonts w:ascii="Palatino Linotype" w:eastAsia="Calibri" w:hAnsi="Palatino Linotype" w:cs="Tahoma"/>
          <w:bCs/>
          <w:sz w:val="22"/>
          <w:szCs w:val="22"/>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461B592" w14:textId="77777777" w:rsidR="00C25FF1" w:rsidRDefault="00C25FF1" w:rsidP="00967813">
      <w:pPr>
        <w:spacing w:line="360" w:lineRule="auto"/>
        <w:jc w:val="both"/>
        <w:rPr>
          <w:rFonts w:ascii="Palatino Linotype" w:eastAsia="Calibri" w:hAnsi="Palatino Linotype" w:cs="Tahoma"/>
          <w:bCs/>
          <w:sz w:val="22"/>
          <w:szCs w:val="22"/>
          <w:lang w:val="es-ES" w:eastAsia="en-US"/>
        </w:rPr>
      </w:pPr>
    </w:p>
    <w:p w14:paraId="237F6F24" w14:textId="77777777" w:rsidR="00C25FF1" w:rsidRPr="00D00D35" w:rsidRDefault="00C25FF1" w:rsidP="00967813">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Como se logra observar, </w:t>
      </w:r>
      <w:r>
        <w:rPr>
          <w:rFonts w:ascii="Palatino Linotype" w:eastAsia="Calibri" w:hAnsi="Palatino Linotype" w:cs="Tahoma"/>
          <w:bCs/>
          <w:sz w:val="22"/>
          <w:szCs w:val="22"/>
          <w:lang w:val="es-ES" w:eastAsia="en-US"/>
        </w:rPr>
        <w:t xml:space="preserve">las cadenas y sellos </w:t>
      </w:r>
      <w:r w:rsidRPr="00D00D35">
        <w:rPr>
          <w:rFonts w:ascii="Palatino Linotype" w:eastAsia="Calibri" w:hAnsi="Palatino Linotype" w:cs="Tahoma"/>
          <w:bCs/>
          <w:sz w:val="22"/>
          <w:szCs w:val="22"/>
          <w:lang w:val="es-ES" w:eastAsia="en-US"/>
        </w:rPr>
        <w:t>digital</w:t>
      </w:r>
      <w:r>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xml:space="preserve"> no contiene</w:t>
      </w:r>
      <w:r>
        <w:rPr>
          <w:rFonts w:ascii="Palatino Linotype" w:eastAsia="Calibri" w:hAnsi="Palatino Linotype" w:cs="Tahoma"/>
          <w:bCs/>
          <w:sz w:val="22"/>
          <w:szCs w:val="22"/>
          <w:lang w:val="es-ES" w:eastAsia="en-US"/>
        </w:rPr>
        <w:t>n</w:t>
      </w:r>
      <w:r w:rsidRPr="00D00D35">
        <w:rPr>
          <w:rFonts w:ascii="Palatino Linotype" w:eastAsia="Calibri" w:hAnsi="Palatino Linotype" w:cs="Tahoma"/>
          <w:bCs/>
          <w:sz w:val="22"/>
          <w:szCs w:val="22"/>
          <w:lang w:val="es-ES" w:eastAsia="en-US"/>
        </w:rPr>
        <w:t xml:space="preserve"> datos personales y con dichos dígitos tampoco se puede obtener información de carácter confidencial, por lo que, </w:t>
      </w:r>
      <w:r w:rsidRPr="002D0CE8">
        <w:rPr>
          <w:rFonts w:ascii="Palatino Linotype" w:eastAsia="Calibri" w:hAnsi="Palatino Linotype" w:cs="Tahoma"/>
          <w:b/>
          <w:bCs/>
          <w:sz w:val="22"/>
          <w:szCs w:val="22"/>
          <w:lang w:val="es-ES" w:eastAsia="en-US"/>
        </w:rPr>
        <w:t>tampoco actualizan la causal de clasificación</w:t>
      </w:r>
      <w:r w:rsidRPr="00D00D35">
        <w:rPr>
          <w:rFonts w:ascii="Palatino Linotype" w:eastAsia="Calibri" w:hAnsi="Palatino Linotype" w:cs="Tahoma"/>
          <w:bCs/>
          <w:sz w:val="22"/>
          <w:szCs w:val="22"/>
          <w:lang w:val="es-ES" w:eastAsia="en-US"/>
        </w:rPr>
        <w:t xml:space="preserve">, establecida en el artículo 143, fracción I, de la Ley de Transparencia y Acceso a la Información Pública del Estado de México y Municipios. </w:t>
      </w:r>
      <w:r w:rsidRPr="00D00D35">
        <w:rPr>
          <w:rFonts w:ascii="Palatino Linotype" w:eastAsia="Calibri" w:hAnsi="Palatino Linotype" w:cs="Tahoma"/>
          <w:b/>
          <w:bCs/>
          <w:sz w:val="22"/>
          <w:szCs w:val="22"/>
          <w:lang w:val="es-ES" w:eastAsia="en-US"/>
        </w:rPr>
        <w:lastRenderedPageBreak/>
        <w:t>Máxime que permite corroborar la legitimidad a la factura, pues amparan la utilización de los certificados de sellos digitales válidos.</w:t>
      </w:r>
    </w:p>
    <w:p w14:paraId="6AD78E65" w14:textId="77777777" w:rsidR="00C25FF1" w:rsidRDefault="00C25FF1" w:rsidP="00967813">
      <w:pPr>
        <w:spacing w:line="360" w:lineRule="auto"/>
        <w:jc w:val="both"/>
        <w:rPr>
          <w:rFonts w:ascii="Palatino Linotype" w:eastAsia="Calibri" w:hAnsi="Palatino Linotype" w:cs="Tahoma"/>
          <w:bCs/>
          <w:sz w:val="22"/>
          <w:szCs w:val="22"/>
          <w:lang w:eastAsia="en-US"/>
        </w:rPr>
      </w:pPr>
    </w:p>
    <w:p w14:paraId="6A7E9C1E" w14:textId="77777777" w:rsidR="00C25FF1"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w:t>
      </w:r>
      <w:r>
        <w:rPr>
          <w:rFonts w:ascii="Palatino Linotype" w:hAnsi="Palatino Linotype" w:cs="Tahoma"/>
          <w:bCs/>
          <w:iCs/>
          <w:sz w:val="22"/>
          <w:szCs w:val="22"/>
        </w:rPr>
        <w:t xml:space="preserve">que si son </w:t>
      </w:r>
      <w:r w:rsidRPr="00875058">
        <w:rPr>
          <w:rFonts w:ascii="Palatino Linotype" w:hAnsi="Palatino Linotype" w:cs="Tahoma"/>
          <w:bCs/>
          <w:iCs/>
          <w:sz w:val="22"/>
          <w:szCs w:val="22"/>
        </w:rPr>
        <w:t xml:space="preserve">susceptibles de clasificación que 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 así como, los </w:t>
      </w:r>
      <w:r w:rsidRPr="00875058">
        <w:rPr>
          <w:rFonts w:ascii="Palatino Linotype" w:hAnsi="Palatino Linotype" w:cs="Tahoma"/>
          <w:b/>
          <w:bCs/>
          <w:iCs/>
          <w:sz w:val="22"/>
          <w:szCs w:val="22"/>
        </w:rPr>
        <w:t xml:space="preserve">préstamos o descuentos </w:t>
      </w:r>
      <w:r w:rsidRPr="00875058">
        <w:rPr>
          <w:rFonts w:ascii="Palatino Linotype" w:hAnsi="Palatino Linotype" w:cs="Tahoma"/>
          <w:bCs/>
          <w:iCs/>
          <w:sz w:val="22"/>
          <w:szCs w:val="22"/>
        </w:rPr>
        <w:t>que se le hagan al servidor público y la clave interbancaria de depósito.</w:t>
      </w:r>
    </w:p>
    <w:p w14:paraId="16382C9A"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0413D389" w14:textId="77777777" w:rsidR="00C25FF1" w:rsidRPr="007D586F" w:rsidRDefault="00C25FF1" w:rsidP="00967813">
      <w:pPr>
        <w:pStyle w:val="Prrafodelista"/>
        <w:numPr>
          <w:ilvl w:val="0"/>
          <w:numId w:val="32"/>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t>Registro Federal de Contribuyentes</w:t>
      </w:r>
      <w:r w:rsidRPr="007D586F">
        <w:rPr>
          <w:rFonts w:ascii="Palatino Linotype" w:hAnsi="Palatino Linotype" w:cs="Tahoma"/>
          <w:b/>
          <w:bCs/>
          <w:iCs/>
          <w:szCs w:val="22"/>
        </w:rPr>
        <w:t xml:space="preserve"> (RFC)</w:t>
      </w:r>
      <w:r>
        <w:rPr>
          <w:rFonts w:ascii="Palatino Linotype" w:hAnsi="Palatino Linotype" w:cs="Tahoma"/>
          <w:b/>
          <w:bCs/>
          <w:iCs/>
          <w:szCs w:val="22"/>
        </w:rPr>
        <w:t>.</w:t>
      </w:r>
    </w:p>
    <w:p w14:paraId="07A6DC1B" w14:textId="77777777" w:rsidR="00C25FF1" w:rsidRPr="00875058" w:rsidRDefault="00C25FF1" w:rsidP="00967813">
      <w:pPr>
        <w:spacing w:line="360" w:lineRule="auto"/>
        <w:ind w:left="360" w:right="-93"/>
        <w:jc w:val="both"/>
        <w:rPr>
          <w:rFonts w:ascii="Palatino Linotype" w:hAnsi="Palatino Linotype" w:cs="Tahoma"/>
          <w:bCs/>
          <w:iCs/>
          <w:sz w:val="22"/>
          <w:szCs w:val="22"/>
        </w:rPr>
      </w:pPr>
    </w:p>
    <w:p w14:paraId="2756A72A" w14:textId="77777777" w:rsidR="00C25FF1" w:rsidRPr="00875058"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257C84E"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3CAC2E34" w14:textId="77777777" w:rsidR="00C25FF1" w:rsidRPr="00875058"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47560E0"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16123F01" w14:textId="77777777" w:rsidR="00C25FF1" w:rsidRPr="00875058"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w:t>
      </w:r>
      <w:r w:rsidRPr="00875058">
        <w:rPr>
          <w:rFonts w:ascii="Palatino Linotype" w:hAnsi="Palatino Linotype" w:cs="Tahoma"/>
          <w:bCs/>
          <w:iCs/>
          <w:sz w:val="22"/>
          <w:szCs w:val="22"/>
        </w:rPr>
        <w:lastRenderedPageBreak/>
        <w:t>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507C3BB"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25ECC9E2" w14:textId="77777777" w:rsidR="00C25FF1" w:rsidRPr="00875058"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8099AA1"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737DB673" w14:textId="77777777" w:rsidR="00C25FF1" w:rsidRPr="00875058" w:rsidRDefault="00C25FF1" w:rsidP="00967813">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w:t>
      </w:r>
      <w:r w:rsidRPr="00875058">
        <w:rPr>
          <w:rFonts w:ascii="Palatino Linotype" w:hAnsi="Palatino Linotype" w:cs="Tahoma"/>
          <w:bCs/>
          <w:iCs/>
          <w:sz w:val="22"/>
          <w:szCs w:val="22"/>
        </w:rPr>
        <w:t>, resulta congruente con el Criterio 19/17 emitido por el Instituto Nacional de Transparencia, Acceso a la Información y Protección de Datos Personales, en el cual se señala lo siguiente:</w:t>
      </w:r>
    </w:p>
    <w:p w14:paraId="38CD612C"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3A15B784" w14:textId="77777777" w:rsidR="00C25FF1" w:rsidRPr="007D586F" w:rsidRDefault="00C25FF1" w:rsidP="00967813">
      <w:pPr>
        <w:spacing w:line="360" w:lineRule="auto"/>
        <w:ind w:left="567" w:right="539"/>
        <w:jc w:val="both"/>
        <w:rPr>
          <w:rFonts w:ascii="Palatino Linotype" w:hAnsi="Palatino Linotype" w:cs="Tahoma"/>
          <w:bCs/>
          <w:i/>
          <w:iCs/>
        </w:rPr>
      </w:pPr>
      <w:r w:rsidRPr="007D586F">
        <w:rPr>
          <w:rFonts w:ascii="Palatino Linotype" w:hAnsi="Palatino Linotype" w:cs="Tahoma"/>
          <w:bCs/>
          <w:i/>
          <w:iCs/>
        </w:rPr>
        <w:t>“</w:t>
      </w:r>
      <w:r w:rsidRPr="007D586F">
        <w:rPr>
          <w:rFonts w:ascii="Palatino Linotype" w:hAnsi="Palatino Linotype" w:cs="Tahoma"/>
          <w:b/>
          <w:bCs/>
          <w:i/>
          <w:iCs/>
        </w:rPr>
        <w:t>Registro Federal de Contribuyentes (RFC) de personas físicas</w:t>
      </w:r>
      <w:r w:rsidRPr="007D586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6E2E1752" w14:textId="77777777" w:rsidR="00C25FF1" w:rsidRPr="00875058" w:rsidRDefault="00C25FF1" w:rsidP="00967813">
      <w:pPr>
        <w:spacing w:line="360" w:lineRule="auto"/>
        <w:ind w:right="-93"/>
        <w:jc w:val="both"/>
        <w:rPr>
          <w:rFonts w:ascii="Palatino Linotype" w:hAnsi="Palatino Linotype" w:cs="Tahoma"/>
          <w:bCs/>
          <w:iCs/>
          <w:sz w:val="22"/>
          <w:szCs w:val="22"/>
        </w:rPr>
      </w:pPr>
    </w:p>
    <w:p w14:paraId="794192DB" w14:textId="4AA2E7CC" w:rsidR="00C25FF1" w:rsidRDefault="00C25FF1" w:rsidP="009678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el Registro Federal de Contribuyentes de los servidores públicos no guarda relación con la transparencia de los recursos públicos</w:t>
      </w:r>
      <w:r>
        <w:rPr>
          <w:rFonts w:ascii="Palatino Linotype" w:hAnsi="Palatino Linotype" w:cs="Tahoma"/>
          <w:bCs/>
          <w:iCs/>
          <w:sz w:val="22"/>
          <w:szCs w:val="22"/>
        </w:rPr>
        <w:t xml:space="preserve"> ni el Código Qr</w:t>
      </w:r>
      <w:r w:rsidR="00A33432">
        <w:rPr>
          <w:rFonts w:ascii="Palatino Linotype" w:hAnsi="Palatino Linotype" w:cs="Tahoma"/>
          <w:bCs/>
          <w:iCs/>
          <w:sz w:val="22"/>
          <w:szCs w:val="22"/>
        </w:rPr>
        <w:t>.</w:t>
      </w:r>
      <w:r>
        <w:rPr>
          <w:rFonts w:ascii="Palatino Linotype" w:hAnsi="Palatino Linotype" w:cs="Tahoma"/>
          <w:bCs/>
          <w:iCs/>
          <w:sz w:val="22"/>
          <w:szCs w:val="22"/>
        </w:rPr>
        <w:t xml:space="preserve"> ya que este último da cuenta del primero</w:t>
      </w:r>
      <w:r w:rsidRPr="00875058">
        <w:rPr>
          <w:rFonts w:ascii="Palatino Linotype" w:hAnsi="Palatino Linotype" w:cs="Tahoma"/>
          <w:bCs/>
          <w:iCs/>
          <w:sz w:val="22"/>
          <w:szCs w:val="22"/>
        </w:rPr>
        <w:t>,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6A348F9" w14:textId="77777777" w:rsidR="00A33432" w:rsidRPr="00875058" w:rsidRDefault="00A33432" w:rsidP="00967813">
      <w:pPr>
        <w:spacing w:line="360" w:lineRule="auto"/>
        <w:ind w:right="-93"/>
        <w:jc w:val="both"/>
        <w:rPr>
          <w:rFonts w:ascii="Palatino Linotype" w:hAnsi="Palatino Linotype" w:cs="Tahoma"/>
          <w:bCs/>
          <w:iCs/>
          <w:sz w:val="22"/>
          <w:szCs w:val="22"/>
        </w:rPr>
      </w:pPr>
    </w:p>
    <w:p w14:paraId="63ABD551" w14:textId="77777777" w:rsidR="00C25FF1" w:rsidRDefault="00C25FF1" w:rsidP="00967813">
      <w:pPr>
        <w:pStyle w:val="Prrafodelista"/>
        <w:numPr>
          <w:ilvl w:val="0"/>
          <w:numId w:val="33"/>
        </w:numPr>
        <w:spacing w:line="360" w:lineRule="auto"/>
        <w:jc w:val="both"/>
        <w:rPr>
          <w:rFonts w:ascii="Palatino Linotype" w:hAnsi="Palatino Linotype" w:cs="Tahoma"/>
          <w:b/>
          <w:szCs w:val="22"/>
        </w:rPr>
      </w:pPr>
      <w:r w:rsidRPr="00875058">
        <w:rPr>
          <w:rFonts w:ascii="Palatino Linotype" w:hAnsi="Palatino Linotype" w:cs="Tahoma"/>
          <w:b/>
          <w:szCs w:val="22"/>
        </w:rPr>
        <w:lastRenderedPageBreak/>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14:paraId="2133621C" w14:textId="77777777" w:rsidR="00A33432" w:rsidRPr="00875058" w:rsidRDefault="00A33432" w:rsidP="00A33432">
      <w:pPr>
        <w:pStyle w:val="Prrafodelista"/>
        <w:spacing w:line="360" w:lineRule="auto"/>
        <w:jc w:val="both"/>
        <w:rPr>
          <w:rFonts w:ascii="Palatino Linotype" w:hAnsi="Palatino Linotype" w:cs="Tahoma"/>
          <w:b/>
          <w:szCs w:val="22"/>
        </w:rPr>
      </w:pPr>
    </w:p>
    <w:p w14:paraId="522364B5"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2DB5D41"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249556DD"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032245F"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6EA9F9F2"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Acorde con lo </w:t>
      </w:r>
      <w:r>
        <w:rPr>
          <w:rFonts w:ascii="Palatino Linotype" w:hAnsi="Palatino Linotype" w:cs="Tahoma"/>
          <w:sz w:val="22"/>
          <w:szCs w:val="22"/>
          <w:lang w:eastAsia="es-MX"/>
        </w:rPr>
        <w:t>argumentado</w:t>
      </w:r>
      <w:r w:rsidRPr="00875058">
        <w:rPr>
          <w:rFonts w:ascii="Palatino Linotype" w:hAnsi="Palatino Linotype" w:cs="Tahoma"/>
          <w:sz w:val="22"/>
          <w:szCs w:val="22"/>
          <w:lang w:eastAsia="es-MX"/>
        </w:rPr>
        <w:t>,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9E6A3EA" w14:textId="77777777" w:rsidR="00C25FF1" w:rsidRPr="00875058" w:rsidRDefault="00C25FF1" w:rsidP="00967813">
      <w:pPr>
        <w:spacing w:line="360" w:lineRule="auto"/>
        <w:contextualSpacing/>
        <w:jc w:val="both"/>
        <w:rPr>
          <w:rFonts w:ascii="Palatino Linotype" w:hAnsi="Palatino Linotype" w:cs="Tahoma"/>
          <w:b/>
          <w:sz w:val="22"/>
          <w:szCs w:val="22"/>
          <w:lang w:eastAsia="es-MX"/>
        </w:rPr>
      </w:pPr>
    </w:p>
    <w:p w14:paraId="702B0A2B"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8"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14:paraId="3E31FC5F"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1EAB9FF5"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14:paraId="39242C82"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14:paraId="3BCC3B0A"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14:paraId="2501B0DF"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lastRenderedPageBreak/>
        <w:t xml:space="preserve"> • La entidad federativa de nacimiento.</w:t>
      </w:r>
    </w:p>
    <w:p w14:paraId="4CEB245E"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73DEFD51"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14:paraId="4CA8FE17"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0A28A754" w14:textId="77777777" w:rsidR="00C25FF1" w:rsidRPr="00875058" w:rsidRDefault="00C25FF1" w:rsidP="00967813">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 xml:space="preserve">Como se desprende de lo </w:t>
      </w:r>
      <w:r>
        <w:rPr>
          <w:rFonts w:ascii="Palatino Linotype" w:hAnsi="Palatino Linotype" w:cs="Tahoma"/>
          <w:sz w:val="22"/>
          <w:szCs w:val="22"/>
        </w:rPr>
        <w:t>analizado</w:t>
      </w:r>
      <w:r w:rsidRPr="00875058">
        <w:rPr>
          <w:rFonts w:ascii="Palatino Linotype" w:hAnsi="Palatino Linotype" w:cs="Tahoma"/>
          <w:sz w:val="22"/>
          <w:szCs w:val="22"/>
        </w:rPr>
        <w:t>,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A7F55D" w14:textId="77777777" w:rsidR="00C25FF1" w:rsidRPr="00875058" w:rsidRDefault="00C25FF1" w:rsidP="00967813">
      <w:pPr>
        <w:spacing w:line="360" w:lineRule="auto"/>
        <w:contextualSpacing/>
        <w:jc w:val="both"/>
        <w:rPr>
          <w:rFonts w:ascii="Palatino Linotype" w:hAnsi="Palatino Linotype" w:cs="Tahoma"/>
          <w:sz w:val="22"/>
          <w:szCs w:val="22"/>
        </w:rPr>
      </w:pPr>
    </w:p>
    <w:p w14:paraId="4A7CE54C"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14:paraId="34757FC2" w14:textId="77777777" w:rsidR="00C25FF1" w:rsidRPr="00875058" w:rsidRDefault="00C25FF1" w:rsidP="00967813">
      <w:pPr>
        <w:spacing w:line="360" w:lineRule="auto"/>
        <w:contextualSpacing/>
        <w:jc w:val="both"/>
        <w:rPr>
          <w:rFonts w:ascii="Palatino Linotype" w:hAnsi="Palatino Linotype" w:cs="Tahoma"/>
          <w:sz w:val="22"/>
          <w:szCs w:val="22"/>
        </w:rPr>
      </w:pPr>
    </w:p>
    <w:p w14:paraId="1AB30594" w14:textId="77777777" w:rsidR="00C25FF1" w:rsidRDefault="00C25FF1" w:rsidP="00967813">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14:paraId="4B4783FE" w14:textId="77777777" w:rsidR="00A33432" w:rsidRPr="007D586F" w:rsidRDefault="00A33432" w:rsidP="00967813">
      <w:pPr>
        <w:autoSpaceDE w:val="0"/>
        <w:autoSpaceDN w:val="0"/>
        <w:adjustRightInd w:val="0"/>
        <w:spacing w:line="360" w:lineRule="auto"/>
        <w:ind w:left="567" w:right="567"/>
        <w:jc w:val="both"/>
        <w:rPr>
          <w:rFonts w:ascii="Palatino Linotype" w:eastAsia="Calibri" w:hAnsi="Palatino Linotype" w:cs="Tahoma"/>
          <w:i/>
          <w:color w:val="000000"/>
        </w:rPr>
      </w:pPr>
    </w:p>
    <w:p w14:paraId="60E9B8E9" w14:textId="77777777" w:rsidR="00C25FF1" w:rsidRDefault="00C25FF1" w:rsidP="00967813">
      <w:pPr>
        <w:spacing w:line="360" w:lineRule="auto"/>
        <w:jc w:val="both"/>
        <w:rPr>
          <w:rFonts w:ascii="Palatino Linotype" w:hAnsi="Palatino Linotype" w:cs="Tahoma"/>
          <w:sz w:val="22"/>
          <w:szCs w:val="22"/>
        </w:rPr>
      </w:pPr>
      <w:r w:rsidRPr="00875058">
        <w:rPr>
          <w:rFonts w:ascii="Palatino Linotype" w:hAnsi="Palatino Linotype" w:cs="Tahoma"/>
          <w:sz w:val="22"/>
          <w:szCs w:val="22"/>
        </w:rPr>
        <w:lastRenderedPageBreak/>
        <w:t>D</w:t>
      </w:r>
      <w:r>
        <w:rPr>
          <w:rFonts w:ascii="Palatino Linotype" w:hAnsi="Palatino Linotype" w:cs="Tahoma"/>
          <w:sz w:val="22"/>
          <w:szCs w:val="22"/>
        </w:rPr>
        <w:t>e acuerdo con el criterio</w:t>
      </w:r>
      <w:r w:rsidRPr="00875058">
        <w:rPr>
          <w:rFonts w:ascii="Palatino Linotype" w:hAnsi="Palatino Linotype" w:cs="Tahoma"/>
          <w:sz w:val="22"/>
          <w:szCs w:val="22"/>
        </w:rPr>
        <w:t>, se la clave CURP, es un dato personal confidencial, en términos del artículo 143, fracción I de la Ley de Transparencia y Acceso a la Información Pública del Estado de México y Municipios.</w:t>
      </w:r>
    </w:p>
    <w:p w14:paraId="5EF9346A" w14:textId="77777777" w:rsidR="00967813" w:rsidRPr="00875058" w:rsidRDefault="00967813" w:rsidP="00967813">
      <w:pPr>
        <w:spacing w:line="360" w:lineRule="auto"/>
        <w:jc w:val="both"/>
        <w:rPr>
          <w:rFonts w:ascii="Palatino Linotype" w:hAnsi="Palatino Linotype" w:cs="Tahoma"/>
          <w:sz w:val="22"/>
          <w:szCs w:val="22"/>
        </w:rPr>
      </w:pPr>
    </w:p>
    <w:p w14:paraId="3DE889C1" w14:textId="77777777" w:rsidR="00C25FF1" w:rsidRPr="00875058" w:rsidRDefault="00C25FF1" w:rsidP="00967813">
      <w:pPr>
        <w:pStyle w:val="Prrafodelista"/>
        <w:numPr>
          <w:ilvl w:val="0"/>
          <w:numId w:val="32"/>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Número de cuenta bancario.</w:t>
      </w:r>
    </w:p>
    <w:p w14:paraId="1CF988A2" w14:textId="77777777" w:rsidR="00C25FF1" w:rsidRPr="00875058" w:rsidRDefault="00C25FF1" w:rsidP="00967813">
      <w:pPr>
        <w:spacing w:line="360" w:lineRule="auto"/>
        <w:ind w:right="-93"/>
        <w:jc w:val="both"/>
        <w:rPr>
          <w:rFonts w:ascii="Palatino Linotype" w:hAnsi="Palatino Linotype" w:cs="Tahoma"/>
          <w:sz w:val="22"/>
          <w:szCs w:val="22"/>
        </w:rPr>
      </w:pPr>
    </w:p>
    <w:p w14:paraId="2BFB6853"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66DDF7D7"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6C79DC14" w14:textId="77777777" w:rsidR="00C25FF1" w:rsidRPr="00875058" w:rsidRDefault="00C25FF1" w:rsidP="00967813">
      <w:pPr>
        <w:shd w:val="clear" w:color="auto" w:fill="FFFFFF" w:themeFill="background1"/>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19FCD777" w14:textId="77777777" w:rsidR="00C25FF1" w:rsidRPr="00875058" w:rsidRDefault="00C25FF1" w:rsidP="00967813">
      <w:pPr>
        <w:shd w:val="clear" w:color="auto" w:fill="FFFFFF" w:themeFill="background1"/>
        <w:spacing w:line="360" w:lineRule="auto"/>
        <w:ind w:left="567" w:right="567"/>
        <w:jc w:val="both"/>
        <w:rPr>
          <w:rFonts w:ascii="Palatino Linotype" w:hAnsi="Palatino Linotype" w:cs="Tahoma"/>
          <w:sz w:val="22"/>
          <w:szCs w:val="22"/>
        </w:rPr>
      </w:pPr>
    </w:p>
    <w:p w14:paraId="13E2AECC" w14:textId="77777777" w:rsidR="00C25FF1" w:rsidRPr="007D586F" w:rsidRDefault="00C25FF1" w:rsidP="00967813">
      <w:pPr>
        <w:shd w:val="clear" w:color="auto" w:fill="FFFFFF" w:themeFill="background1"/>
        <w:spacing w:line="360" w:lineRule="auto"/>
        <w:ind w:left="567" w:right="567"/>
        <w:jc w:val="both"/>
        <w:rPr>
          <w:rFonts w:ascii="Palatino Linotype" w:hAnsi="Palatino Linotype" w:cs="Tahoma"/>
          <w:i/>
        </w:rPr>
      </w:pPr>
      <w:r w:rsidRPr="007D586F">
        <w:rPr>
          <w:rFonts w:ascii="Palatino Linotype" w:hAnsi="Palatino Linotype" w:cs="Tahoma"/>
          <w:i/>
        </w:rPr>
        <w:t>“</w:t>
      </w:r>
      <w:r w:rsidRPr="007D586F">
        <w:rPr>
          <w:rFonts w:ascii="Palatino Linotype" w:hAnsi="Palatino Linotype" w:cs="Tahoma"/>
          <w:b/>
          <w:i/>
        </w:rPr>
        <w:t>Cuentas bancarias y/o CLABE interbancaria de personas físicas y morales privadas.</w:t>
      </w:r>
      <w:r w:rsidRPr="007D586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589548" w14:textId="77777777" w:rsidR="00C25FF1" w:rsidRPr="00875058" w:rsidRDefault="00C25FF1" w:rsidP="00967813">
      <w:pPr>
        <w:spacing w:line="360" w:lineRule="auto"/>
        <w:contextualSpacing/>
        <w:jc w:val="both"/>
        <w:rPr>
          <w:rFonts w:ascii="Palatino Linotype" w:hAnsi="Palatino Linotype" w:cs="Tahoma"/>
          <w:sz w:val="22"/>
          <w:szCs w:val="22"/>
          <w:lang w:eastAsia="es-MX"/>
        </w:rPr>
      </w:pPr>
    </w:p>
    <w:p w14:paraId="6D1D5046" w14:textId="189D7642" w:rsidR="00C25FF1" w:rsidRDefault="00C25FF1" w:rsidP="0096781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w:t>
      </w:r>
      <w:r w:rsidRPr="00875058">
        <w:rPr>
          <w:rFonts w:ascii="Palatino Linotype" w:hAnsi="Palatino Linotype" w:cs="Tahoma"/>
          <w:sz w:val="22"/>
          <w:szCs w:val="22"/>
          <w:lang w:eastAsia="es-MX"/>
        </w:rPr>
        <w:lastRenderedPageBreak/>
        <w:t xml:space="preserve">con el único fin de que realicen los depósitos de su sueldo, por lo que este número constituye información confidencial al pertenecer exclusivamente al ámbito de la vida privada del trabajador y procede su eliminación de conformidad con el </w:t>
      </w:r>
      <w:r w:rsidRPr="00875058">
        <w:rPr>
          <w:rFonts w:ascii="Palatino Linotype" w:hAnsi="Palatino Linotype" w:cs="Tahoma"/>
          <w:sz w:val="22"/>
          <w:szCs w:val="22"/>
        </w:rPr>
        <w:t>artículo 143, fracción I de la Ley de Transparencia y Acceso a la Información Pública del Estado de México y Municipios.</w:t>
      </w:r>
    </w:p>
    <w:p w14:paraId="6BCE79F2" w14:textId="77777777" w:rsidR="00C25FF1" w:rsidRPr="00875058" w:rsidRDefault="00C25FF1" w:rsidP="00967813">
      <w:pPr>
        <w:spacing w:line="360" w:lineRule="auto"/>
        <w:ind w:right="-93"/>
        <w:jc w:val="both"/>
        <w:rPr>
          <w:rFonts w:ascii="Palatino Linotype" w:hAnsi="Palatino Linotype" w:cs="Tahoma"/>
          <w:sz w:val="22"/>
          <w:szCs w:val="22"/>
        </w:rPr>
      </w:pPr>
    </w:p>
    <w:p w14:paraId="2A24D342" w14:textId="7FDA19D0" w:rsidR="00885050" w:rsidRDefault="00C25FF1" w:rsidP="00967813">
      <w:pPr>
        <w:pStyle w:val="Prrafodelista"/>
        <w:numPr>
          <w:ilvl w:val="0"/>
          <w:numId w:val="32"/>
        </w:numPr>
        <w:spacing w:line="360" w:lineRule="auto"/>
        <w:ind w:right="-93"/>
        <w:jc w:val="both"/>
        <w:rPr>
          <w:rFonts w:ascii="Palatino Linotype" w:eastAsia="Calibri" w:hAnsi="Palatino Linotype" w:cs="Tahoma"/>
          <w:b/>
          <w:bCs/>
          <w:szCs w:val="22"/>
          <w:lang w:eastAsia="en-US"/>
        </w:rPr>
      </w:pPr>
      <w:r w:rsidRPr="00C25FF1">
        <w:rPr>
          <w:rFonts w:ascii="Palatino Linotype" w:eastAsia="Calibri" w:hAnsi="Palatino Linotype" w:cs="Tahoma"/>
          <w:b/>
          <w:bCs/>
          <w:szCs w:val="22"/>
          <w:lang w:eastAsia="en-US"/>
        </w:rPr>
        <w:t xml:space="preserve">Huella dactilar </w:t>
      </w:r>
    </w:p>
    <w:p w14:paraId="02C2CA24" w14:textId="77777777" w:rsidR="00C25FF1" w:rsidRDefault="00C25FF1" w:rsidP="00967813">
      <w:pPr>
        <w:spacing w:line="360" w:lineRule="auto"/>
        <w:jc w:val="both"/>
        <w:rPr>
          <w:rFonts w:ascii="Palatino Linotype" w:eastAsia="Calibri" w:hAnsi="Palatino Linotype" w:cs="Tahoma"/>
          <w:bCs/>
          <w:sz w:val="22"/>
          <w:szCs w:val="22"/>
          <w:lang w:eastAsia="en-US"/>
        </w:rPr>
      </w:pPr>
    </w:p>
    <w:p w14:paraId="3D101C58"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9" w:history="1">
        <w:r w:rsidRPr="0070729C">
          <w:rPr>
            <w:rStyle w:val="Hipervnculo"/>
            <w:rFonts w:ascii="Palatino Linotype" w:eastAsia="Calibri" w:hAnsi="Palatino Linotype" w:cs="Tahoma"/>
            <w:bCs/>
            <w:sz w:val="22"/>
            <w:szCs w:val="22"/>
            <w:lang w:eastAsia="en-US"/>
          </w:rPr>
          <w:t>https://docplayer.es/5455342-Nuevas-tecnologias-biometricas-instituto-nacional-de-ciencias-penales-procuraduria-general-de-la-republica-version-1-0.html</w:t>
        </w:r>
      </w:hyperlink>
      <w:r w:rsidRPr="0070729C">
        <w:rPr>
          <w:rFonts w:ascii="Palatino Linotype" w:eastAsia="Calibri" w:hAnsi="Palatino Linotype" w:cs="Tahoma"/>
          <w:bCs/>
          <w:sz w:val="22"/>
          <w:szCs w:val="22"/>
          <w:lang w:eastAsia="en-US"/>
        </w:rPr>
        <w:t xml:space="preserve">, se indica que existen tres principios fundamentales para la identificación de las huellas dactilares, a saber: </w:t>
      </w:r>
    </w:p>
    <w:p w14:paraId="2E1C416C"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0D06A3D4" w14:textId="77777777" w:rsidR="00C25FF1" w:rsidRPr="0070729C" w:rsidRDefault="00C25FF1" w:rsidP="00967813">
      <w:pPr>
        <w:numPr>
          <w:ilvl w:val="0"/>
          <w:numId w:val="35"/>
        </w:num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Primer principio. La huella es una característica individual. No hay dos huellas con características en las crestas que sean idénticas. </w:t>
      </w:r>
    </w:p>
    <w:p w14:paraId="52C7BC74"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53959012" w14:textId="77777777" w:rsidR="00C25FF1" w:rsidRPr="0070729C" w:rsidRDefault="00C25FF1" w:rsidP="00967813">
      <w:pPr>
        <w:numPr>
          <w:ilvl w:val="0"/>
          <w:numId w:val="35"/>
        </w:num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Segundo principio. Una huella permanece sin cambios durante toda la vida de un individuo (sin embargo, puede adquirir cicatrices o cualquier otra deformación que impida su identificación clara). </w:t>
      </w:r>
    </w:p>
    <w:p w14:paraId="2BC4EBE4"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3C9A4C24" w14:textId="77777777" w:rsidR="00C25FF1" w:rsidRPr="0070729C" w:rsidRDefault="00C25FF1" w:rsidP="00967813">
      <w:pPr>
        <w:numPr>
          <w:ilvl w:val="0"/>
          <w:numId w:val="35"/>
        </w:num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Tercer principio. Las huellas tienen patrones que se forman con sus crestas, lo que hace posible clasificarlas sistemáticamente para agilizar las búsquedas. </w:t>
      </w:r>
    </w:p>
    <w:p w14:paraId="57D92B77"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lastRenderedPageBreak/>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41656646"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6A115070"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3547BDB1"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1C450373" w14:textId="77777777" w:rsidR="00C25FF1" w:rsidRPr="0070729C" w:rsidRDefault="00C25FF1" w:rsidP="00967813">
      <w:pPr>
        <w:spacing w:line="360" w:lineRule="auto"/>
        <w:ind w:left="567" w:right="567"/>
        <w:jc w:val="both"/>
        <w:rPr>
          <w:rFonts w:ascii="Palatino Linotype" w:eastAsia="Calibri" w:hAnsi="Palatino Linotype" w:cs="Tahoma"/>
          <w:bCs/>
          <w:sz w:val="22"/>
          <w:szCs w:val="22"/>
          <w:lang w:eastAsia="en-US"/>
        </w:rPr>
      </w:pPr>
      <w:r w:rsidRPr="0070729C">
        <w:rPr>
          <w:rFonts w:ascii="Palatino Linotype" w:eastAsia="Calibri" w:hAnsi="Palatino Linotype" w:cs="Tahoma"/>
          <w:b/>
          <w:bCs/>
          <w:sz w:val="22"/>
          <w:szCs w:val="22"/>
          <w:lang w:eastAsia="en-US"/>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70729C">
        <w:rPr>
          <w:rFonts w:ascii="Palatino Linotype" w:eastAsia="Calibri" w:hAnsi="Palatino Linotype" w:cs="Tahoma"/>
          <w:bCs/>
          <w:sz w:val="22"/>
          <w:szCs w:val="22"/>
          <w:lang w:eastAsia="en-US"/>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w:t>
      </w:r>
      <w:r w:rsidRPr="0070729C">
        <w:rPr>
          <w:rFonts w:ascii="Palatino Linotype" w:eastAsia="Calibri" w:hAnsi="Palatino Linotype" w:cs="Tahoma"/>
          <w:bCs/>
          <w:sz w:val="22"/>
          <w:szCs w:val="22"/>
          <w:lang w:eastAsia="en-US"/>
        </w:rPr>
        <w:lastRenderedPageBreak/>
        <w:t>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1EA20595" w14:textId="77777777" w:rsidR="00C25FF1" w:rsidRPr="0070729C" w:rsidRDefault="00C25FF1" w:rsidP="00967813">
      <w:pPr>
        <w:spacing w:line="360" w:lineRule="auto"/>
        <w:ind w:left="567" w:right="567"/>
        <w:jc w:val="both"/>
        <w:rPr>
          <w:rFonts w:ascii="Palatino Linotype" w:eastAsia="Calibri" w:hAnsi="Palatino Linotype" w:cs="Tahoma"/>
          <w:bCs/>
          <w:sz w:val="22"/>
          <w:szCs w:val="22"/>
          <w:lang w:eastAsia="en-US"/>
        </w:rPr>
      </w:pPr>
      <w:r w:rsidRPr="0070729C">
        <w:rPr>
          <w:rFonts w:ascii="Palatino Linotype" w:eastAsia="Calibri" w:hAnsi="Palatino Linotype" w:cs="Tahoma"/>
          <w:b/>
          <w:bCs/>
          <w:sz w:val="22"/>
          <w:szCs w:val="22"/>
          <w:lang w:eastAsia="en-US"/>
        </w:rPr>
        <w:t>(Énfasis añadido).</w:t>
      </w:r>
    </w:p>
    <w:p w14:paraId="48BCDE73"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10AEB9E5"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 En la actualidad existen sistemas denominados AFIS por sus siglas en inglés </w:t>
      </w:r>
      <w:r w:rsidRPr="0070729C">
        <w:rPr>
          <w:rFonts w:ascii="Palatino Linotype" w:eastAsia="Calibri" w:hAnsi="Palatino Linotype" w:cs="Tahoma"/>
          <w:bCs/>
          <w:i/>
          <w:sz w:val="22"/>
          <w:szCs w:val="22"/>
          <w:lang w:eastAsia="en-US"/>
        </w:rPr>
        <w:t>Automated Fingerprint Identification System</w:t>
      </w:r>
      <w:r w:rsidRPr="0070729C">
        <w:rPr>
          <w:rFonts w:ascii="Palatino Linotype" w:eastAsia="Calibri" w:hAnsi="Palatino Linotype" w:cs="Tahoma"/>
          <w:bCs/>
          <w:sz w:val="22"/>
          <w:szCs w:val="22"/>
          <w:lang w:eastAsia="en-US"/>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1A1E510C"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1817FE72"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w:t>
      </w:r>
      <w:r w:rsidRPr="0070729C">
        <w:rPr>
          <w:rFonts w:ascii="Palatino Linotype" w:eastAsia="Calibri" w:hAnsi="Palatino Linotype" w:cs="Tahoma"/>
          <w:bCs/>
          <w:sz w:val="22"/>
          <w:szCs w:val="22"/>
          <w:lang w:eastAsia="en-US"/>
        </w:rPr>
        <w:lastRenderedPageBreak/>
        <w:t xml:space="preserve">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6B892105"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06C4B335"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431BAB6E" w14:textId="77777777" w:rsidR="00C25FF1" w:rsidRPr="0070729C" w:rsidRDefault="00C25FF1" w:rsidP="00967813">
      <w:pPr>
        <w:spacing w:line="360" w:lineRule="auto"/>
        <w:jc w:val="both"/>
        <w:rPr>
          <w:rFonts w:ascii="Palatino Linotype" w:eastAsia="Calibri" w:hAnsi="Palatino Linotype" w:cs="Tahoma"/>
          <w:bCs/>
          <w:sz w:val="22"/>
          <w:szCs w:val="22"/>
          <w:lang w:eastAsia="en-US"/>
        </w:rPr>
      </w:pPr>
    </w:p>
    <w:p w14:paraId="178C7720" w14:textId="77777777" w:rsidR="00C25FF1" w:rsidRDefault="00C25FF1" w:rsidP="00967813">
      <w:pPr>
        <w:spacing w:line="360" w:lineRule="auto"/>
        <w:jc w:val="both"/>
        <w:rPr>
          <w:rFonts w:ascii="Palatino Linotype" w:eastAsia="Calibri" w:hAnsi="Palatino Linotype" w:cs="Tahoma"/>
          <w:bCs/>
          <w:sz w:val="22"/>
          <w:szCs w:val="22"/>
          <w:lang w:eastAsia="en-US"/>
        </w:rPr>
      </w:pPr>
      <w:r w:rsidRPr="0070729C">
        <w:rPr>
          <w:rFonts w:ascii="Palatino Linotype" w:eastAsia="Calibri" w:hAnsi="Palatino Linotype" w:cs="Tahoma"/>
          <w:bCs/>
          <w:sz w:val="22"/>
          <w:szCs w:val="22"/>
          <w:lang w:eastAsia="en-US"/>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5316F151" w14:textId="77777777" w:rsidR="004B46FF" w:rsidRDefault="004B46FF" w:rsidP="00967813">
      <w:pPr>
        <w:spacing w:line="360" w:lineRule="auto"/>
        <w:jc w:val="both"/>
        <w:rPr>
          <w:rFonts w:ascii="Palatino Linotype" w:eastAsia="Calibri" w:hAnsi="Palatino Linotype" w:cs="Tahoma"/>
          <w:bCs/>
          <w:sz w:val="22"/>
          <w:szCs w:val="22"/>
          <w:lang w:eastAsia="en-US"/>
        </w:rPr>
      </w:pPr>
    </w:p>
    <w:p w14:paraId="32348193" w14:textId="4404BECF" w:rsidR="004B46FF" w:rsidRDefault="004B46FF" w:rsidP="00967813">
      <w:pPr>
        <w:pStyle w:val="Prrafodelista"/>
        <w:numPr>
          <w:ilvl w:val="0"/>
          <w:numId w:val="36"/>
        </w:numPr>
        <w:spacing w:line="360" w:lineRule="auto"/>
        <w:jc w:val="both"/>
        <w:rPr>
          <w:rFonts w:ascii="Palatino Linotype" w:eastAsia="Calibri" w:hAnsi="Palatino Linotype" w:cs="Tahoma"/>
          <w:b/>
          <w:bCs/>
          <w:szCs w:val="22"/>
          <w:lang w:eastAsia="en-US"/>
        </w:rPr>
      </w:pPr>
      <w:r w:rsidRPr="004B46FF">
        <w:rPr>
          <w:rFonts w:ascii="Palatino Linotype" w:eastAsia="Calibri" w:hAnsi="Palatino Linotype" w:cs="Tahoma"/>
          <w:b/>
          <w:bCs/>
          <w:szCs w:val="22"/>
          <w:lang w:eastAsia="en-US"/>
        </w:rPr>
        <w:t>Clave de elector</w:t>
      </w:r>
    </w:p>
    <w:p w14:paraId="0518EB90" w14:textId="77777777" w:rsidR="004B46FF" w:rsidRDefault="004B46FF" w:rsidP="00967813">
      <w:pPr>
        <w:pStyle w:val="Prrafodelista"/>
        <w:spacing w:line="360" w:lineRule="auto"/>
        <w:jc w:val="both"/>
        <w:rPr>
          <w:rFonts w:ascii="Palatino Linotype" w:eastAsia="Calibri" w:hAnsi="Palatino Linotype" w:cs="Tahoma"/>
          <w:b/>
          <w:bCs/>
          <w:szCs w:val="22"/>
          <w:lang w:eastAsia="en-US"/>
        </w:rPr>
      </w:pPr>
    </w:p>
    <w:p w14:paraId="45DCC037" w14:textId="41FF5820" w:rsidR="004B46FF" w:rsidRDefault="004B46FF" w:rsidP="00967813">
      <w:pPr>
        <w:shd w:val="clear" w:color="auto" w:fill="FFFFFF" w:themeFill="background1"/>
        <w:spacing w:line="360" w:lineRule="auto"/>
        <w:jc w:val="both"/>
        <w:rPr>
          <w:rFonts w:ascii="Palatino Linotype" w:eastAsia="Calibri" w:hAnsi="Palatino Linotype" w:cs="Tahoma"/>
          <w:bCs/>
          <w:iCs/>
          <w:sz w:val="22"/>
          <w:szCs w:val="22"/>
          <w:lang w:eastAsia="en-US"/>
        </w:rPr>
      </w:pPr>
      <w:r w:rsidRPr="004B46FF">
        <w:rPr>
          <w:rFonts w:ascii="Palatino Linotype" w:eastAsia="Calibri" w:hAnsi="Palatino Linotype" w:cs="Tahoma"/>
          <w:bCs/>
          <w:iCs/>
          <w:sz w:val="22"/>
          <w:szCs w:val="22"/>
          <w:lang w:eastAsia="en-US"/>
        </w:rPr>
        <w:t>S</w:t>
      </w:r>
      <w:r>
        <w:rPr>
          <w:rFonts w:ascii="Palatino Linotype" w:eastAsia="Calibri" w:hAnsi="Palatino Linotype" w:cs="Tahoma"/>
          <w:bCs/>
          <w:iCs/>
          <w:sz w:val="22"/>
          <w:szCs w:val="22"/>
          <w:lang w:eastAsia="en-US"/>
        </w:rPr>
        <w:t xml:space="preserve">e conforma por las consonantes iniciales de los apellidos y el nombre del elector, seguido de su fecha de nacimiento </w:t>
      </w:r>
      <w:r w:rsidRPr="00A36F67">
        <w:rPr>
          <w:rFonts w:ascii="Palatino Linotype" w:eastAsia="Calibri" w:hAnsi="Palatino Linotype" w:cs="Tahoma"/>
          <w:bCs/>
          <w:iCs/>
          <w:sz w:val="22"/>
          <w:szCs w:val="22"/>
          <w:lang w:eastAsia="en-US"/>
        </w:rPr>
        <w:t>(dos dígitos para el año, dos dígitos para el mes, dos dígitos para el día), número de la entidad federativa de nacimiento, letra que identifica el género y una homoclave compuesta de tres dígitos, dando un total de 18 caracteres.</w:t>
      </w:r>
    </w:p>
    <w:p w14:paraId="40C6C670" w14:textId="77777777" w:rsidR="004B46FF" w:rsidRDefault="004B46FF" w:rsidP="0096781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B782F7" w14:textId="77777777" w:rsidR="004B46FF" w:rsidRDefault="004B46FF" w:rsidP="00967813">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2F281420" w14:textId="77777777" w:rsidR="004B46FF" w:rsidRDefault="004B46FF" w:rsidP="0096781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F98D3A9" w14:textId="77777777" w:rsidR="004B46FF" w:rsidRDefault="004B46FF" w:rsidP="00967813">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2811970E" w14:textId="77777777" w:rsidR="004B46FF" w:rsidRPr="004B46FF" w:rsidRDefault="004B46FF" w:rsidP="00967813">
      <w:pPr>
        <w:pStyle w:val="Prrafodelista"/>
        <w:spacing w:line="360" w:lineRule="auto"/>
        <w:jc w:val="both"/>
        <w:rPr>
          <w:rFonts w:ascii="Palatino Linotype" w:eastAsia="Calibri" w:hAnsi="Palatino Linotype" w:cs="Tahoma"/>
          <w:b/>
          <w:bCs/>
          <w:szCs w:val="22"/>
          <w:lang w:eastAsia="en-US"/>
        </w:rPr>
      </w:pPr>
    </w:p>
    <w:p w14:paraId="2A438DE1" w14:textId="1354D2ED" w:rsidR="00BB545D" w:rsidRDefault="00967813" w:rsidP="00967813">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34409" w:rsidRPr="00AD50F9">
        <w:rPr>
          <w:rFonts w:ascii="Palatino Linotype" w:hAnsi="Palatino Linotype" w:cs="Tahoma"/>
          <w:b/>
          <w:sz w:val="22"/>
          <w:szCs w:val="22"/>
        </w:rPr>
        <w:t xml:space="preserve">. Decisión. </w:t>
      </w:r>
    </w:p>
    <w:p w14:paraId="7CA6AC9A" w14:textId="77777777" w:rsidR="00BB545D" w:rsidRDefault="00BB545D" w:rsidP="00967813">
      <w:pPr>
        <w:spacing w:line="360" w:lineRule="auto"/>
        <w:ind w:right="-93"/>
        <w:jc w:val="both"/>
        <w:rPr>
          <w:rFonts w:ascii="Palatino Linotype" w:hAnsi="Palatino Linotype" w:cs="Tahoma"/>
          <w:b/>
          <w:sz w:val="22"/>
          <w:szCs w:val="22"/>
        </w:rPr>
      </w:pPr>
    </w:p>
    <w:p w14:paraId="71FABD5C" w14:textId="6768959A" w:rsidR="00F35289" w:rsidRDefault="00933F64" w:rsidP="00967813">
      <w:pPr>
        <w:autoSpaceDE w:val="0"/>
        <w:autoSpaceDN w:val="0"/>
        <w:adjustRightInd w:val="0"/>
        <w:spacing w:line="360" w:lineRule="auto"/>
        <w:jc w:val="both"/>
        <w:rPr>
          <w:rFonts w:ascii="Palatino Linotype" w:eastAsia="Calibri" w:hAnsi="Palatino Linotype" w:cs="Tahoma"/>
          <w:iCs/>
          <w:sz w:val="22"/>
          <w:szCs w:val="22"/>
          <w:lang w:eastAsia="es-ES_tradnl"/>
        </w:rPr>
      </w:pPr>
      <w:r w:rsidRPr="00CE05C3">
        <w:rPr>
          <w:rFonts w:ascii="Palatino Linotype" w:hAnsi="Palatino Linotype" w:cs="Tahoma"/>
          <w:sz w:val="22"/>
          <w:szCs w:val="22"/>
        </w:rPr>
        <w:t xml:space="preserve">Con fundamento </w:t>
      </w:r>
      <w:r w:rsidRPr="00CE05C3">
        <w:rPr>
          <w:rFonts w:ascii="Palatino Linotype" w:hAnsi="Palatino Linotype" w:cs="Arial"/>
          <w:sz w:val="22"/>
          <w:szCs w:val="22"/>
        </w:rPr>
        <w:t xml:space="preserve">en los artículos 186, fracción </w:t>
      </w:r>
      <w:r w:rsidR="004B46FF">
        <w:rPr>
          <w:rFonts w:ascii="Palatino Linotype" w:hAnsi="Palatino Linotype" w:cs="Arial"/>
          <w:sz w:val="22"/>
          <w:szCs w:val="22"/>
        </w:rPr>
        <w:t>II</w:t>
      </w:r>
      <w:r w:rsidRPr="00CE05C3">
        <w:rPr>
          <w:rFonts w:ascii="Palatino Linotype" w:hAnsi="Palatino Linotype" w:cs="Arial"/>
          <w:sz w:val="22"/>
          <w:szCs w:val="22"/>
        </w:rPr>
        <w:t xml:space="preserve">I, de la Ley de Transparencia y Acceso a la Información Pública del Estado de México y Municipios, se </w:t>
      </w:r>
      <w:r w:rsidR="00A33432">
        <w:rPr>
          <w:rFonts w:ascii="Palatino Linotype" w:hAnsi="Palatino Linotype" w:cs="Arial"/>
          <w:b/>
          <w:sz w:val="22"/>
          <w:szCs w:val="22"/>
        </w:rPr>
        <w:t>MODIFICA</w:t>
      </w:r>
      <w:r w:rsidRPr="00CE05C3">
        <w:rPr>
          <w:rFonts w:ascii="Palatino Linotype" w:hAnsi="Palatino Linotype" w:cs="Arial"/>
          <w:b/>
          <w:sz w:val="22"/>
          <w:szCs w:val="22"/>
        </w:rPr>
        <w:t xml:space="preserve"> </w:t>
      </w:r>
      <w:r w:rsidR="004B46FF">
        <w:rPr>
          <w:rFonts w:ascii="Palatino Linotype" w:hAnsi="Palatino Linotype" w:cs="Arial"/>
          <w:sz w:val="22"/>
          <w:szCs w:val="22"/>
        </w:rPr>
        <w:t xml:space="preserve">la respuesta a la solicitud de información </w:t>
      </w:r>
      <w:r w:rsidR="004B46FF" w:rsidRPr="004B46FF">
        <w:rPr>
          <w:rFonts w:ascii="Palatino Linotype" w:hAnsi="Palatino Linotype" w:cs="Tahoma"/>
          <w:b/>
          <w:bCs/>
          <w:sz w:val="22"/>
          <w:szCs w:val="22"/>
        </w:rPr>
        <w:t>00042/TRIECA/IP/2019</w:t>
      </w:r>
      <w:r>
        <w:rPr>
          <w:rFonts w:ascii="Palatino Linotype" w:hAnsi="Palatino Linotype" w:cs="Arial"/>
          <w:sz w:val="22"/>
          <w:szCs w:val="22"/>
        </w:rPr>
        <w:t xml:space="preserve">, </w:t>
      </w:r>
      <w:r w:rsidR="004B46FF">
        <w:rPr>
          <w:rFonts w:ascii="Palatino Linotype" w:hAnsi="Palatino Linotype" w:cs="Arial"/>
          <w:sz w:val="22"/>
          <w:szCs w:val="22"/>
        </w:rPr>
        <w:t xml:space="preserve">y se ORDENA al Sujeto Obligado, a efecto de que </w:t>
      </w:r>
      <w:r w:rsidR="004B46FF" w:rsidRPr="00095CD6">
        <w:rPr>
          <w:rFonts w:ascii="Palatino Linotype" w:eastAsia="Calibri" w:hAnsi="Palatino Linotype" w:cs="Tahoma"/>
          <w:iCs/>
          <w:sz w:val="22"/>
          <w:szCs w:val="22"/>
          <w:lang w:eastAsia="es-ES_tradnl"/>
        </w:rPr>
        <w:t xml:space="preserve">a través del Sistema de Acceso a la </w:t>
      </w:r>
      <w:r w:rsidR="004B46FF">
        <w:rPr>
          <w:rFonts w:ascii="Palatino Linotype" w:eastAsia="Calibri" w:hAnsi="Palatino Linotype" w:cs="Tahoma"/>
          <w:iCs/>
          <w:sz w:val="22"/>
          <w:szCs w:val="22"/>
          <w:lang w:eastAsia="es-ES_tradnl"/>
        </w:rPr>
        <w:t xml:space="preserve">Información Mexiquense (SAIMEX), proporcione en versión pública lo siguiente: </w:t>
      </w:r>
    </w:p>
    <w:p w14:paraId="5508ABF0" w14:textId="77777777" w:rsidR="004B46FF" w:rsidRDefault="004B46FF" w:rsidP="00967813">
      <w:pPr>
        <w:autoSpaceDE w:val="0"/>
        <w:autoSpaceDN w:val="0"/>
        <w:adjustRightInd w:val="0"/>
        <w:spacing w:line="360" w:lineRule="auto"/>
        <w:jc w:val="both"/>
        <w:rPr>
          <w:rFonts w:ascii="Palatino Linotype" w:eastAsia="Calibri" w:hAnsi="Palatino Linotype" w:cs="Tahoma"/>
          <w:iCs/>
          <w:sz w:val="22"/>
          <w:szCs w:val="22"/>
          <w:lang w:eastAsia="es-ES_tradnl"/>
        </w:rPr>
      </w:pPr>
    </w:p>
    <w:p w14:paraId="223FAC95" w14:textId="1E437F82" w:rsidR="004B46FF" w:rsidRDefault="004B46FF" w:rsidP="00967813">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convenios sin juicio celebrados por el Ayuntamiento de Tezoyuca, del periodo comprendido del 1 al 20 de diciembre de 2018. </w:t>
      </w:r>
    </w:p>
    <w:p w14:paraId="1E7F5108" w14:textId="77777777" w:rsidR="004B46FF" w:rsidRDefault="004B46FF" w:rsidP="0096781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B3F6E0E" w14:textId="235916E1" w:rsidR="00F35289" w:rsidRDefault="004B46FF" w:rsidP="00967813">
      <w:pPr>
        <w:pStyle w:val="Prrafodelista"/>
        <w:numPr>
          <w:ilvl w:val="0"/>
          <w:numId w:val="36"/>
        </w:numPr>
        <w:autoSpaceDE w:val="0"/>
        <w:autoSpaceDN w:val="0"/>
        <w:adjustRightInd w:val="0"/>
        <w:spacing w:line="360" w:lineRule="auto"/>
        <w:jc w:val="both"/>
        <w:rPr>
          <w:rFonts w:ascii="Palatino Linotype" w:hAnsi="Palatino Linotype" w:cs="Arial"/>
          <w:szCs w:val="22"/>
        </w:rPr>
      </w:pPr>
      <w:r>
        <w:rPr>
          <w:rFonts w:ascii="Palatino Linotype" w:hAnsi="Palatino Linotype" w:cs="Arial"/>
          <w:szCs w:val="22"/>
        </w:rPr>
        <w:t>T</w:t>
      </w:r>
      <w:r w:rsidR="00F35289" w:rsidRPr="004B46FF">
        <w:rPr>
          <w:rFonts w:ascii="Palatino Linotype" w:hAnsi="Palatino Linotype" w:cs="Arial"/>
          <w:szCs w:val="22"/>
        </w:rPr>
        <w:t xml:space="preserve">ransferencias bancarias realizadas a los ex servidores públicos, derivado de los convenios sin juicio celebrados entre estos y el Ayuntamiento de Tezoyuca, en el periodo comprendido del 1 al 20 de diciembre de 2018.  </w:t>
      </w:r>
    </w:p>
    <w:p w14:paraId="491A397E" w14:textId="77777777" w:rsidR="004B46FF" w:rsidRPr="004B46FF" w:rsidRDefault="004B46FF" w:rsidP="00967813">
      <w:pPr>
        <w:pStyle w:val="Prrafodelista"/>
        <w:rPr>
          <w:rFonts w:ascii="Palatino Linotype" w:hAnsi="Palatino Linotype" w:cs="Arial"/>
          <w:szCs w:val="22"/>
        </w:rPr>
      </w:pPr>
    </w:p>
    <w:p w14:paraId="5FEFDE2F" w14:textId="7E9F9EFE" w:rsidR="004B46FF" w:rsidRPr="00441188" w:rsidRDefault="004B46FF" w:rsidP="00967813">
      <w:pPr>
        <w:pStyle w:val="Prrafodelista"/>
        <w:numPr>
          <w:ilvl w:val="0"/>
          <w:numId w:val="36"/>
        </w:numPr>
        <w:autoSpaceDE w:val="0"/>
        <w:autoSpaceDN w:val="0"/>
        <w:adjustRightInd w:val="0"/>
        <w:spacing w:line="360" w:lineRule="auto"/>
        <w:jc w:val="both"/>
        <w:rPr>
          <w:rFonts w:ascii="Palatino Linotype" w:hAnsi="Palatino Linotype" w:cs="Arial"/>
          <w:szCs w:val="22"/>
        </w:rPr>
      </w:pPr>
      <w:r w:rsidRPr="00441188">
        <w:rPr>
          <w:rFonts w:ascii="Palatino Linotype" w:hAnsi="Palatino Linotype" w:cs="Arial"/>
          <w:szCs w:val="22"/>
        </w:rPr>
        <w:t xml:space="preserve">El acuerdo de clasificación que deberá realizar el Comité de Transparencia del Sujeto Obligado, en términos de lo establecido en el artículo 143, fracción I </w:t>
      </w:r>
      <w:r w:rsidRPr="00441188">
        <w:rPr>
          <w:rFonts w:ascii="Palatino Linotype" w:hAnsi="Palatino Linotype"/>
          <w:color w:val="201F1E"/>
          <w:szCs w:val="22"/>
          <w:bdr w:val="none" w:sz="0" w:space="0" w:color="auto" w:frame="1"/>
        </w:rPr>
        <w:t xml:space="preserve">de la Ley de </w:t>
      </w:r>
      <w:r w:rsidRPr="00441188">
        <w:rPr>
          <w:rFonts w:ascii="Palatino Linotype" w:hAnsi="Palatino Linotype"/>
          <w:color w:val="201F1E"/>
          <w:szCs w:val="22"/>
          <w:bdr w:val="none" w:sz="0" w:space="0" w:color="auto" w:frame="1"/>
        </w:rPr>
        <w:lastRenderedPageBreak/>
        <w:t xml:space="preserve">Transparencia y Acceso a la Información Pública del Estado de México y Municipios, en donde de manera fundada y motivada deberá fundar </w:t>
      </w:r>
      <w:r w:rsidR="00441188" w:rsidRPr="00441188">
        <w:rPr>
          <w:rFonts w:ascii="Palatino Linotype" w:hAnsi="Palatino Linotype"/>
          <w:color w:val="201F1E"/>
          <w:szCs w:val="22"/>
          <w:bdr w:val="none" w:sz="0" w:space="0" w:color="auto" w:frame="1"/>
        </w:rPr>
        <w:t xml:space="preserve">dicha </w:t>
      </w:r>
      <w:r w:rsidR="00441188">
        <w:rPr>
          <w:rFonts w:ascii="Palatino Linotype" w:hAnsi="Palatino Linotype"/>
          <w:color w:val="201F1E"/>
          <w:szCs w:val="22"/>
          <w:bdr w:val="none" w:sz="0" w:space="0" w:color="auto" w:frame="1"/>
        </w:rPr>
        <w:t xml:space="preserve">clasificación. </w:t>
      </w:r>
    </w:p>
    <w:p w14:paraId="1554593B" w14:textId="77777777" w:rsidR="004B46FF" w:rsidRPr="004B46FF" w:rsidRDefault="004B46FF" w:rsidP="00967813">
      <w:pPr>
        <w:pStyle w:val="Prrafodelista"/>
        <w:autoSpaceDE w:val="0"/>
        <w:autoSpaceDN w:val="0"/>
        <w:adjustRightInd w:val="0"/>
        <w:spacing w:line="360" w:lineRule="auto"/>
        <w:jc w:val="both"/>
        <w:rPr>
          <w:rFonts w:ascii="Palatino Linotype" w:hAnsi="Palatino Linotype" w:cs="Arial"/>
          <w:szCs w:val="22"/>
        </w:rPr>
      </w:pPr>
    </w:p>
    <w:p w14:paraId="518E7E0B" w14:textId="565F7697" w:rsidR="007702B2" w:rsidRPr="00473AA4" w:rsidRDefault="00441188" w:rsidP="00967813">
      <w:pPr>
        <w:spacing w:line="360" w:lineRule="auto"/>
        <w:ind w:right="-93"/>
        <w:jc w:val="both"/>
        <w:rPr>
          <w:rFonts w:ascii="Palatino Linotype" w:hAnsi="Palatino Linotype" w:cs="Bookman Old Style"/>
          <w:b/>
          <w:sz w:val="22"/>
        </w:rPr>
      </w:pPr>
      <w:r>
        <w:rPr>
          <w:rFonts w:ascii="Palatino Linotype" w:hAnsi="Palatino Linotype" w:cs="Bookman Old Style"/>
          <w:b/>
          <w:sz w:val="22"/>
        </w:rPr>
        <w:t>SÉPTIMO</w:t>
      </w:r>
      <w:r w:rsidR="007702B2">
        <w:rPr>
          <w:rFonts w:ascii="Palatino Linotype" w:hAnsi="Palatino Linotype" w:cs="Bookman Old Style"/>
          <w:b/>
          <w:sz w:val="22"/>
        </w:rPr>
        <w:t>.</w:t>
      </w:r>
      <w:r w:rsidR="007702B2" w:rsidRPr="00473AA4">
        <w:rPr>
          <w:rFonts w:ascii="Palatino Linotype" w:hAnsi="Palatino Linotype" w:cs="Bookman Old Style"/>
          <w:b/>
          <w:sz w:val="22"/>
        </w:rPr>
        <w:t xml:space="preserve"> Vista </w:t>
      </w:r>
      <w:r w:rsidR="007702B2" w:rsidRPr="00473AA4">
        <w:rPr>
          <w:rFonts w:ascii="Palatino Linotype" w:eastAsia="Calibri" w:hAnsi="Palatino Linotype" w:cs="Tahoma"/>
          <w:b/>
          <w:iCs/>
          <w:sz w:val="22"/>
          <w:szCs w:val="22"/>
          <w:lang w:eastAsia="es-ES_tradnl"/>
        </w:rPr>
        <w:t xml:space="preserve">a la Contraloría Interna y Órgano de Control y Vigilancia. </w:t>
      </w:r>
    </w:p>
    <w:p w14:paraId="62865917" w14:textId="77777777" w:rsidR="007702B2" w:rsidRPr="00473AA4" w:rsidRDefault="007702B2" w:rsidP="00967813">
      <w:pPr>
        <w:tabs>
          <w:tab w:val="left" w:pos="4962"/>
        </w:tabs>
        <w:spacing w:line="360" w:lineRule="auto"/>
        <w:jc w:val="both"/>
        <w:rPr>
          <w:rFonts w:ascii="Palatino Linotype" w:eastAsia="Calibri" w:hAnsi="Palatino Linotype" w:cs="Tahoma"/>
          <w:iCs/>
          <w:sz w:val="22"/>
          <w:szCs w:val="22"/>
          <w:lang w:eastAsia="es-ES_tradnl"/>
        </w:rPr>
      </w:pPr>
    </w:p>
    <w:p w14:paraId="5714B32D" w14:textId="1432088F" w:rsidR="007702B2" w:rsidRDefault="007702B2" w:rsidP="00967813">
      <w:pPr>
        <w:tabs>
          <w:tab w:val="left" w:pos="4962"/>
        </w:tabs>
        <w:spacing w:line="360" w:lineRule="auto"/>
        <w:jc w:val="both"/>
        <w:rPr>
          <w:rFonts w:ascii="Palatino Linotype" w:hAnsi="Palatino Linotype"/>
          <w:color w:val="201F1E"/>
          <w:sz w:val="22"/>
          <w:szCs w:val="22"/>
          <w:bdr w:val="none" w:sz="0" w:space="0" w:color="auto" w:frame="1"/>
        </w:rPr>
      </w:pPr>
      <w:r w:rsidRPr="00473AA4">
        <w:rPr>
          <w:rFonts w:ascii="Palatino Linotype" w:hAnsi="Palatino Linotype"/>
          <w:color w:val="201F1E"/>
          <w:sz w:val="22"/>
          <w:szCs w:val="22"/>
          <w:bdr w:val="none" w:sz="0" w:space="0" w:color="auto" w:frame="1"/>
        </w:rPr>
        <w:t xml:space="preserve">En virtud de que el Sujeto Obligado </w:t>
      </w:r>
      <w:r>
        <w:rPr>
          <w:rFonts w:ascii="Palatino Linotype" w:hAnsi="Palatino Linotype"/>
          <w:color w:val="201F1E"/>
          <w:sz w:val="22"/>
          <w:szCs w:val="22"/>
          <w:bdr w:val="none" w:sz="0" w:space="0" w:color="auto" w:frame="1"/>
        </w:rPr>
        <w:t>a través de</w:t>
      </w:r>
      <w:r w:rsidRPr="00473AA4">
        <w:rPr>
          <w:rFonts w:ascii="Palatino Linotype" w:hAnsi="Palatino Linotype"/>
          <w:color w:val="201F1E"/>
          <w:sz w:val="22"/>
          <w:szCs w:val="22"/>
          <w:bdr w:val="none" w:sz="0" w:space="0" w:color="auto" w:frame="1"/>
        </w:rPr>
        <w:t xml:space="preserve"> la respuesta dejó visible datos personales confidenciales, </w:t>
      </w:r>
      <w:r>
        <w:rPr>
          <w:rFonts w:ascii="Palatino Linotype" w:hAnsi="Palatino Linotype"/>
          <w:b/>
          <w:bCs/>
          <w:color w:val="201F1E"/>
          <w:sz w:val="22"/>
          <w:szCs w:val="22"/>
          <w:bdr w:val="none" w:sz="0" w:space="0" w:color="auto" w:frame="1"/>
        </w:rPr>
        <w:t xml:space="preserve">como lo son </w:t>
      </w:r>
      <w:r w:rsidR="00441188">
        <w:rPr>
          <w:rFonts w:ascii="Palatino Linotype" w:hAnsi="Palatino Linotype"/>
          <w:b/>
          <w:bCs/>
          <w:color w:val="201F1E"/>
          <w:sz w:val="22"/>
          <w:szCs w:val="22"/>
          <w:bdr w:val="none" w:sz="0" w:space="0" w:color="auto" w:frame="1"/>
        </w:rPr>
        <w:t>las</w:t>
      </w:r>
      <w:r>
        <w:rPr>
          <w:rFonts w:ascii="Palatino Linotype" w:hAnsi="Palatino Linotype"/>
          <w:b/>
          <w:bCs/>
          <w:color w:val="201F1E"/>
          <w:sz w:val="22"/>
          <w:szCs w:val="22"/>
          <w:bdr w:val="none" w:sz="0" w:space="0" w:color="auto" w:frame="1"/>
        </w:rPr>
        <w:t xml:space="preserve"> huellas dactilares</w:t>
      </w:r>
      <w:r w:rsidRPr="00473AA4">
        <w:rPr>
          <w:rFonts w:ascii="Palatino Linotype" w:hAnsi="Palatino Linotype"/>
          <w:color w:val="201F1E"/>
          <w:sz w:val="22"/>
          <w:szCs w:val="22"/>
          <w:bdr w:val="none" w:sz="0" w:space="0" w:color="auto" w:frame="1"/>
        </w:rPr>
        <w:t xml:space="preserve">, información que </w:t>
      </w:r>
      <w:r>
        <w:rPr>
          <w:rFonts w:ascii="Palatino Linotype" w:hAnsi="Palatino Linotype"/>
          <w:color w:val="201F1E"/>
          <w:sz w:val="22"/>
          <w:szCs w:val="22"/>
          <w:bdr w:val="none" w:sz="0" w:space="0" w:color="auto" w:frame="1"/>
        </w:rPr>
        <w:t>debe ser clasificada</w:t>
      </w:r>
      <w:r w:rsidRPr="00473AA4">
        <w:rPr>
          <w:rFonts w:ascii="Palatino Linotype" w:hAnsi="Palatino Linotype"/>
          <w:color w:val="201F1E"/>
          <w:sz w:val="22"/>
          <w:szCs w:val="22"/>
          <w:bdr w:val="none" w:sz="0" w:space="0" w:color="auto" w:frame="1"/>
        </w:rPr>
        <w:t>, en términos del artículo 143, fracción I, de la Ley de Transparencia y Acceso a la Información Pública del Estado de México y Municipios.</w:t>
      </w:r>
    </w:p>
    <w:p w14:paraId="2A406219" w14:textId="77777777" w:rsidR="00527491" w:rsidRPr="00473AA4" w:rsidRDefault="00527491" w:rsidP="00967813">
      <w:pPr>
        <w:tabs>
          <w:tab w:val="left" w:pos="4962"/>
        </w:tabs>
        <w:spacing w:line="360" w:lineRule="auto"/>
        <w:jc w:val="both"/>
        <w:rPr>
          <w:rFonts w:ascii="Palatino Linotype" w:eastAsia="Calibri" w:hAnsi="Palatino Linotype" w:cs="Tahoma"/>
          <w:iCs/>
          <w:sz w:val="22"/>
          <w:szCs w:val="22"/>
          <w:lang w:eastAsia="es-ES_tradnl"/>
        </w:rPr>
      </w:pPr>
    </w:p>
    <w:p w14:paraId="502AADCC" w14:textId="1136C548" w:rsidR="007702B2" w:rsidRDefault="007702B2" w:rsidP="00967813">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473AA4">
        <w:rPr>
          <w:rFonts w:ascii="Palatino Linotype" w:hAnsi="Palatino Linotype"/>
          <w:color w:val="201F1E"/>
          <w:sz w:val="22"/>
          <w:szCs w:val="22"/>
          <w:bdr w:val="none" w:sz="0" w:space="0" w:color="auto" w:frame="1"/>
          <w:lang w:val="es-ES"/>
        </w:rPr>
        <w:t>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IV, de dicho ordenamiento, son causas de responsabilidad administrativa los incumplimientos de las obligaciones establecida</w:t>
      </w:r>
      <w:r>
        <w:rPr>
          <w:rFonts w:ascii="Palatino Linotype" w:hAnsi="Palatino Linotype"/>
          <w:color w:val="201F1E"/>
          <w:sz w:val="22"/>
          <w:szCs w:val="22"/>
          <w:bdr w:val="none" w:sz="0" w:space="0" w:color="auto" w:frame="1"/>
          <w:lang w:val="es-ES"/>
        </w:rPr>
        <w:t>s</w:t>
      </w:r>
      <w:r w:rsidRPr="00473AA4">
        <w:rPr>
          <w:rFonts w:ascii="Palatino Linotype" w:hAnsi="Palatino Linotype"/>
          <w:color w:val="201F1E"/>
          <w:sz w:val="22"/>
          <w:szCs w:val="22"/>
          <w:bdr w:val="none" w:sz="0" w:space="0" w:color="auto" w:frame="1"/>
          <w:lang w:val="es-ES"/>
        </w:rPr>
        <w:t xml:space="preserve"> en la Ley de la materia, entre otras conductas, entregar información clasificada.</w:t>
      </w:r>
    </w:p>
    <w:p w14:paraId="03002357" w14:textId="77777777" w:rsidR="00527491" w:rsidRPr="00473AA4" w:rsidRDefault="00527491" w:rsidP="00967813">
      <w:pPr>
        <w:pStyle w:val="xmsonormal"/>
        <w:shd w:val="clear" w:color="auto" w:fill="FFFFFF"/>
        <w:spacing w:before="0" w:beforeAutospacing="0" w:after="0" w:afterAutospacing="0" w:line="360" w:lineRule="auto"/>
        <w:jc w:val="both"/>
        <w:rPr>
          <w:color w:val="201F1E"/>
          <w:sz w:val="20"/>
          <w:szCs w:val="20"/>
        </w:rPr>
      </w:pPr>
    </w:p>
    <w:p w14:paraId="105A4CE5" w14:textId="77777777" w:rsidR="007702B2" w:rsidRDefault="007702B2" w:rsidP="00967813">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473AA4">
        <w:rPr>
          <w:rFonts w:ascii="Palatino Linotype" w:hAnsi="Palatino Linotype"/>
          <w:color w:val="201F1E"/>
          <w:sz w:val="22"/>
          <w:szCs w:val="22"/>
          <w:bdr w:val="none" w:sz="0" w:space="0" w:color="auto" w:frame="1"/>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758744F" w14:textId="77777777" w:rsidR="00527491" w:rsidRPr="00473AA4" w:rsidRDefault="00527491" w:rsidP="00967813">
      <w:pPr>
        <w:pStyle w:val="xmsonormal"/>
        <w:shd w:val="clear" w:color="auto" w:fill="FFFFFF"/>
        <w:spacing w:before="0" w:beforeAutospacing="0" w:after="0" w:afterAutospacing="0" w:line="360" w:lineRule="auto"/>
        <w:jc w:val="both"/>
        <w:rPr>
          <w:color w:val="201F1E"/>
          <w:sz w:val="20"/>
          <w:szCs w:val="20"/>
        </w:rPr>
      </w:pPr>
    </w:p>
    <w:p w14:paraId="7344A23D" w14:textId="77777777" w:rsidR="007702B2" w:rsidRDefault="007702B2" w:rsidP="00967813">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473AA4">
        <w:rPr>
          <w:rFonts w:ascii="Palatino Linotype" w:hAnsi="Palatino Linotype"/>
          <w:color w:val="201F1E"/>
          <w:sz w:val="22"/>
          <w:szCs w:val="22"/>
          <w:bdr w:val="none" w:sz="0" w:space="0" w:color="auto" w:frame="1"/>
          <w:lang w:val="es-ES"/>
        </w:rPr>
        <w:t>Sobre el particular, si bien es cierto, la presente Resolución no tiene por objetivo investigar y determinar posibles violaciones al derecho de acceso a la información, también lo es que, este Organismo Autónomo, advirtió la entrega de información susceptible de clasificación, por lo que, se considera procedente dar vista al Contralor Interno y Titular del Órgano de Control y Vigilancia de este Instituto.</w:t>
      </w:r>
    </w:p>
    <w:p w14:paraId="54773F20" w14:textId="77777777" w:rsidR="00536006" w:rsidRPr="00AD50F9" w:rsidRDefault="00536006" w:rsidP="00967813">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Por lo expuesto y fundado, este Pleno:</w:t>
      </w:r>
    </w:p>
    <w:p w14:paraId="2776AEF2" w14:textId="77777777" w:rsidR="004E1CDA" w:rsidRDefault="004E1CDA" w:rsidP="00967813">
      <w:pPr>
        <w:spacing w:line="360" w:lineRule="auto"/>
        <w:ind w:right="-91"/>
        <w:jc w:val="center"/>
        <w:rPr>
          <w:rFonts w:ascii="Palatino Linotype" w:eastAsia="Calibri" w:hAnsi="Palatino Linotype" w:cs="Tahoma"/>
          <w:b/>
          <w:bCs/>
          <w:sz w:val="22"/>
          <w:szCs w:val="22"/>
          <w:lang w:eastAsia="en-US"/>
        </w:rPr>
      </w:pPr>
    </w:p>
    <w:p w14:paraId="6BF245D9" w14:textId="77777777" w:rsidR="00536006" w:rsidRPr="00AD50F9" w:rsidRDefault="00BB545D" w:rsidP="00967813">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86E81A7" w14:textId="77777777" w:rsidR="00536006" w:rsidRPr="00AD50F9" w:rsidRDefault="00536006" w:rsidP="00967813">
      <w:pPr>
        <w:spacing w:line="360" w:lineRule="auto"/>
        <w:jc w:val="center"/>
        <w:rPr>
          <w:rFonts w:ascii="Palatino Linotype" w:hAnsi="Palatino Linotype" w:cs="Tahoma"/>
          <w:b/>
          <w:bCs/>
          <w:sz w:val="22"/>
          <w:szCs w:val="22"/>
        </w:rPr>
      </w:pPr>
    </w:p>
    <w:p w14:paraId="6064B193" w14:textId="11FD3E47" w:rsidR="00AB6D04" w:rsidRPr="00264223" w:rsidRDefault="007702B2" w:rsidP="00967813">
      <w:pPr>
        <w:shd w:val="clear" w:color="auto" w:fill="FFFFFF" w:themeFill="background1"/>
        <w:spacing w:line="360" w:lineRule="auto"/>
        <w:jc w:val="both"/>
        <w:rPr>
          <w:rFonts w:ascii="Palatino Linotype" w:eastAsia="Calibri" w:hAnsi="Palatino Linotype" w:cs="Tahoma"/>
          <w:bCs/>
          <w:sz w:val="22"/>
          <w:szCs w:val="22"/>
          <w:lang w:eastAsia="en-US"/>
        </w:rPr>
      </w:pPr>
      <w:r w:rsidRPr="00682810">
        <w:rPr>
          <w:rFonts w:ascii="Palatino Linotype" w:hAnsi="Palatino Linotype" w:cs="Arial"/>
          <w:b/>
          <w:bCs/>
          <w:color w:val="000000" w:themeColor="text1"/>
          <w:sz w:val="22"/>
          <w:szCs w:val="22"/>
          <w:lang w:val="es-ES"/>
        </w:rPr>
        <w:t xml:space="preserve">PRIMERO. </w:t>
      </w:r>
      <w:r w:rsidR="00AB6D04" w:rsidRPr="00264223">
        <w:rPr>
          <w:rFonts w:ascii="Palatino Linotype" w:eastAsia="Calibri" w:hAnsi="Palatino Linotype" w:cs="Tahoma"/>
          <w:bCs/>
          <w:sz w:val="22"/>
          <w:szCs w:val="22"/>
          <w:lang w:eastAsia="en-US"/>
        </w:rPr>
        <w:t xml:space="preserve">Resultan </w:t>
      </w:r>
      <w:r w:rsidR="00AB6D04">
        <w:rPr>
          <w:rFonts w:ascii="Palatino Linotype" w:eastAsia="Calibri" w:hAnsi="Palatino Linotype" w:cs="Tahoma"/>
          <w:bCs/>
          <w:sz w:val="22"/>
          <w:szCs w:val="22"/>
          <w:lang w:eastAsia="en-US"/>
        </w:rPr>
        <w:t xml:space="preserve">parcialmente </w:t>
      </w:r>
      <w:r w:rsidR="00AB6D04" w:rsidRPr="00264223">
        <w:rPr>
          <w:rFonts w:ascii="Palatino Linotype" w:eastAsia="Calibri" w:hAnsi="Palatino Linotype" w:cs="Tahoma"/>
          <w:b/>
          <w:bCs/>
          <w:sz w:val="22"/>
          <w:szCs w:val="22"/>
          <w:lang w:eastAsia="en-US"/>
        </w:rPr>
        <w:t>FUNDADAS</w:t>
      </w:r>
      <w:r w:rsidR="00AB6D04" w:rsidRPr="00264223">
        <w:rPr>
          <w:rFonts w:ascii="Palatino Linotype" w:eastAsia="Calibri" w:hAnsi="Palatino Linotype" w:cs="Tahoma"/>
          <w:bCs/>
          <w:sz w:val="22"/>
          <w:szCs w:val="22"/>
          <w:lang w:eastAsia="en-US"/>
        </w:rPr>
        <w:t xml:space="preserve"> las razones o motivos de inconformidad hechos valer por </w:t>
      </w:r>
      <w:r w:rsidR="00AB6D04">
        <w:rPr>
          <w:rFonts w:ascii="Palatino Linotype" w:eastAsia="Calibri" w:hAnsi="Palatino Linotype" w:cs="Tahoma"/>
          <w:bCs/>
          <w:sz w:val="22"/>
          <w:szCs w:val="22"/>
          <w:lang w:eastAsia="en-US"/>
        </w:rPr>
        <w:t>el</w:t>
      </w:r>
      <w:r w:rsidR="00AB6D04" w:rsidRPr="00264223">
        <w:rPr>
          <w:rFonts w:ascii="Palatino Linotype" w:eastAsia="Calibri" w:hAnsi="Palatino Linotype" w:cs="Tahoma"/>
          <w:bCs/>
          <w:sz w:val="22"/>
          <w:szCs w:val="22"/>
          <w:lang w:eastAsia="en-US"/>
        </w:rPr>
        <w:t xml:space="preserve"> Recurrente, en términos de</w:t>
      </w:r>
      <w:r w:rsidR="00AB6D04">
        <w:rPr>
          <w:rFonts w:ascii="Palatino Linotype" w:eastAsia="Calibri" w:hAnsi="Palatino Linotype" w:cs="Tahoma"/>
          <w:bCs/>
          <w:sz w:val="22"/>
          <w:szCs w:val="22"/>
          <w:lang w:eastAsia="en-US"/>
        </w:rPr>
        <w:t xml:space="preserve"> los</w:t>
      </w:r>
      <w:r w:rsidR="00AB6D04" w:rsidRPr="00264223">
        <w:rPr>
          <w:rFonts w:ascii="Palatino Linotype" w:eastAsia="Calibri" w:hAnsi="Palatino Linotype" w:cs="Tahoma"/>
          <w:bCs/>
          <w:sz w:val="22"/>
          <w:szCs w:val="22"/>
          <w:lang w:eastAsia="en-US"/>
        </w:rPr>
        <w:t xml:space="preserve"> </w:t>
      </w:r>
      <w:r w:rsidR="00AB6D04">
        <w:rPr>
          <w:rFonts w:ascii="Palatino Linotype" w:eastAsia="Calibri" w:hAnsi="Palatino Linotype" w:cs="Tahoma"/>
          <w:bCs/>
          <w:sz w:val="22"/>
          <w:szCs w:val="22"/>
          <w:lang w:eastAsia="en-US"/>
        </w:rPr>
        <w:t>C</w:t>
      </w:r>
      <w:r w:rsidR="00AB6D04" w:rsidRPr="00264223">
        <w:rPr>
          <w:rFonts w:ascii="Palatino Linotype" w:eastAsia="Calibri" w:hAnsi="Palatino Linotype" w:cs="Tahoma"/>
          <w:bCs/>
          <w:sz w:val="22"/>
          <w:szCs w:val="22"/>
          <w:lang w:eastAsia="en-US"/>
        </w:rPr>
        <w:t>onsiderando</w:t>
      </w:r>
      <w:r w:rsidR="00AB6D04">
        <w:rPr>
          <w:rFonts w:ascii="Palatino Linotype" w:eastAsia="Calibri" w:hAnsi="Palatino Linotype" w:cs="Tahoma"/>
          <w:bCs/>
          <w:sz w:val="22"/>
          <w:szCs w:val="22"/>
          <w:lang w:eastAsia="en-US"/>
        </w:rPr>
        <w:t>s</w:t>
      </w:r>
      <w:r w:rsidR="00AB6D04" w:rsidRPr="00264223">
        <w:rPr>
          <w:rFonts w:ascii="Palatino Linotype" w:eastAsia="Calibri" w:hAnsi="Palatino Linotype" w:cs="Tahoma"/>
          <w:bCs/>
          <w:sz w:val="22"/>
          <w:szCs w:val="22"/>
          <w:lang w:eastAsia="en-US"/>
        </w:rPr>
        <w:t xml:space="preserve"> </w:t>
      </w:r>
      <w:r w:rsidR="00AB6D04">
        <w:rPr>
          <w:rFonts w:ascii="Palatino Linotype" w:eastAsia="Calibri" w:hAnsi="Palatino Linotype" w:cs="Tahoma"/>
          <w:b/>
          <w:bCs/>
          <w:sz w:val="22"/>
          <w:szCs w:val="22"/>
          <w:lang w:eastAsia="en-US"/>
        </w:rPr>
        <w:t>QUINTO y SEXTO</w:t>
      </w:r>
      <w:r w:rsidR="00AB6D04" w:rsidRPr="00264223">
        <w:rPr>
          <w:rFonts w:ascii="Palatino Linotype" w:eastAsia="Calibri" w:hAnsi="Palatino Linotype" w:cs="Tahoma"/>
          <w:bCs/>
          <w:sz w:val="22"/>
          <w:szCs w:val="22"/>
          <w:lang w:eastAsia="en-US"/>
        </w:rPr>
        <w:t xml:space="preserve"> de la presente </w:t>
      </w:r>
      <w:r w:rsidR="00AB6D04">
        <w:rPr>
          <w:rFonts w:ascii="Palatino Linotype" w:eastAsia="Calibri" w:hAnsi="Palatino Linotype" w:cs="Tahoma"/>
          <w:bCs/>
          <w:sz w:val="22"/>
          <w:szCs w:val="22"/>
          <w:lang w:eastAsia="en-US"/>
        </w:rPr>
        <w:t>R</w:t>
      </w:r>
      <w:r w:rsidR="00AB6D04" w:rsidRPr="00264223">
        <w:rPr>
          <w:rFonts w:ascii="Palatino Linotype" w:eastAsia="Calibri" w:hAnsi="Palatino Linotype" w:cs="Tahoma"/>
          <w:bCs/>
          <w:sz w:val="22"/>
          <w:szCs w:val="22"/>
          <w:lang w:eastAsia="en-US"/>
        </w:rPr>
        <w:t>esolución.</w:t>
      </w:r>
    </w:p>
    <w:p w14:paraId="649C4724" w14:textId="7D4BCF82" w:rsidR="007702B2" w:rsidRDefault="007702B2" w:rsidP="00967813">
      <w:pPr>
        <w:autoSpaceDE w:val="0"/>
        <w:autoSpaceDN w:val="0"/>
        <w:adjustRightInd w:val="0"/>
        <w:spacing w:line="360" w:lineRule="auto"/>
        <w:jc w:val="both"/>
        <w:rPr>
          <w:rFonts w:ascii="Palatino Linotype" w:hAnsi="Palatino Linotype" w:cs="Arial"/>
          <w:b/>
          <w:bCs/>
          <w:color w:val="000000" w:themeColor="text1"/>
          <w:sz w:val="22"/>
          <w:szCs w:val="22"/>
          <w:lang w:val="es-ES"/>
        </w:rPr>
      </w:pPr>
    </w:p>
    <w:p w14:paraId="43249E34" w14:textId="1976E86B" w:rsidR="00AB6D04" w:rsidRDefault="007702B2" w:rsidP="00967813">
      <w:pPr>
        <w:spacing w:line="360" w:lineRule="auto"/>
        <w:jc w:val="both"/>
        <w:rPr>
          <w:rFonts w:ascii="Palatino Linotype" w:hAnsi="Palatino Linotype" w:cs="Tahoma"/>
          <w:color w:val="000000" w:themeColor="text1"/>
          <w:sz w:val="24"/>
          <w:szCs w:val="22"/>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AB6D04" w:rsidRPr="00646BBA">
        <w:rPr>
          <w:rFonts w:ascii="Palatino Linotype" w:hAnsi="Palatino Linotype" w:cs="Tahoma"/>
          <w:sz w:val="22"/>
          <w:szCs w:val="22"/>
        </w:rPr>
        <w:t xml:space="preserve">Se </w:t>
      </w:r>
      <w:r w:rsidR="00A33432">
        <w:rPr>
          <w:rFonts w:ascii="Palatino Linotype" w:hAnsi="Palatino Linotype" w:cs="Tahoma"/>
          <w:b/>
          <w:sz w:val="22"/>
          <w:szCs w:val="22"/>
        </w:rPr>
        <w:t>MODIFICA</w:t>
      </w:r>
      <w:r w:rsidR="00AB6D04">
        <w:rPr>
          <w:rFonts w:ascii="Palatino Linotype" w:hAnsi="Palatino Linotype" w:cs="Tahoma"/>
          <w:b/>
          <w:sz w:val="22"/>
          <w:szCs w:val="22"/>
        </w:rPr>
        <w:t xml:space="preserve"> </w:t>
      </w:r>
      <w:r w:rsidR="00AB6D04">
        <w:rPr>
          <w:rFonts w:ascii="Palatino Linotype" w:hAnsi="Palatino Linotype" w:cs="Tahoma"/>
          <w:sz w:val="22"/>
          <w:szCs w:val="22"/>
        </w:rPr>
        <w:t xml:space="preserve">la respuesta emitida por el Tribunal Estatal de Conciliación y Arbitraje, en la solicitud de información </w:t>
      </w:r>
      <w:r w:rsidR="00AB6D04" w:rsidRPr="00AB6D04">
        <w:rPr>
          <w:rFonts w:ascii="Palatino Linotype" w:hAnsi="Palatino Linotype"/>
          <w:b/>
          <w:bCs/>
          <w:sz w:val="22"/>
        </w:rPr>
        <w:t>00042/TRIECA/IP/2019</w:t>
      </w:r>
      <w:r w:rsidR="00AB6D04">
        <w:rPr>
          <w:rFonts w:ascii="Palatino Linotype" w:hAnsi="Palatino Linotype" w:cs="Tahoma"/>
          <w:color w:val="000000" w:themeColor="text1"/>
          <w:sz w:val="24"/>
          <w:szCs w:val="22"/>
        </w:rPr>
        <w:t xml:space="preserve">. </w:t>
      </w:r>
    </w:p>
    <w:p w14:paraId="01288B42" w14:textId="45E02628" w:rsidR="007702B2" w:rsidRPr="00F143B3" w:rsidRDefault="007702B2" w:rsidP="00967813">
      <w:pPr>
        <w:spacing w:line="360" w:lineRule="auto"/>
        <w:jc w:val="both"/>
        <w:rPr>
          <w:rFonts w:ascii="Palatino Linotype" w:hAnsi="Palatino Linotype" w:cs="Arial"/>
          <w:bCs/>
          <w:color w:val="000000" w:themeColor="text1"/>
          <w:sz w:val="22"/>
          <w:szCs w:val="22"/>
          <w:lang w:val="es-ES"/>
        </w:rPr>
      </w:pPr>
    </w:p>
    <w:p w14:paraId="66548274" w14:textId="77777777" w:rsidR="00AB6D04" w:rsidRDefault="00AB6D04" w:rsidP="00967813">
      <w:pPr>
        <w:autoSpaceDE w:val="0"/>
        <w:autoSpaceDN w:val="0"/>
        <w:adjustRightInd w:val="0"/>
        <w:spacing w:line="360" w:lineRule="auto"/>
        <w:jc w:val="both"/>
        <w:rPr>
          <w:rFonts w:ascii="Palatino Linotype" w:eastAsia="Calibri" w:hAnsi="Palatino Linotype" w:cs="Tahoma"/>
          <w:iCs/>
          <w:sz w:val="22"/>
          <w:szCs w:val="22"/>
          <w:lang w:eastAsia="es-ES_tradnl"/>
        </w:rPr>
      </w:pPr>
      <w:r w:rsidRPr="00405B00">
        <w:rPr>
          <w:rFonts w:ascii="Palatino Linotype" w:hAnsi="Palatino Linotype" w:cs="Tahoma"/>
          <w:b/>
          <w:color w:val="000000" w:themeColor="text1"/>
          <w:sz w:val="22"/>
          <w:szCs w:val="22"/>
        </w:rPr>
        <w:t>TERCERO.</w:t>
      </w:r>
      <w:r w:rsidRPr="00405B00">
        <w:rPr>
          <w:rFonts w:ascii="Palatino Linotype" w:hAnsi="Palatino Linotype" w:cs="Tahoma"/>
          <w:color w:val="000000" w:themeColor="text1"/>
          <w:sz w:val="22"/>
          <w:szCs w:val="22"/>
        </w:rPr>
        <w:t xml:space="preserve"> Se </w:t>
      </w:r>
      <w:r w:rsidRPr="00405B00">
        <w:rPr>
          <w:rFonts w:ascii="Palatino Linotype" w:hAnsi="Palatino Linotype" w:cs="Tahoma"/>
          <w:b/>
          <w:color w:val="000000" w:themeColor="text1"/>
          <w:sz w:val="22"/>
          <w:szCs w:val="22"/>
        </w:rPr>
        <w:t xml:space="preserve">ORDENA </w:t>
      </w:r>
      <w:r w:rsidRPr="00405B00">
        <w:rPr>
          <w:rFonts w:ascii="Palatino Linotype" w:hAnsi="Palatino Linotype" w:cs="Tahoma"/>
          <w:color w:val="000000" w:themeColor="text1"/>
          <w:sz w:val="22"/>
          <w:szCs w:val="22"/>
        </w:rPr>
        <w:t xml:space="preserve">al </w:t>
      </w:r>
      <w:r>
        <w:rPr>
          <w:rFonts w:ascii="Palatino Linotype" w:hAnsi="Palatino Linotype" w:cs="Tahoma"/>
          <w:sz w:val="22"/>
          <w:szCs w:val="22"/>
        </w:rPr>
        <w:t>Tribunal Estatal de Conciliación y Arbitraje</w:t>
      </w:r>
      <w:r>
        <w:rPr>
          <w:rFonts w:ascii="Palatino Linotype" w:hAnsi="Palatino Linotype" w:cs="Tahoma"/>
          <w:color w:val="000000" w:themeColor="text1"/>
          <w:sz w:val="22"/>
          <w:szCs w:val="22"/>
        </w:rPr>
        <w:t>,</w:t>
      </w:r>
      <w:r w:rsidRPr="00405B00">
        <w:rPr>
          <w:rFonts w:ascii="Palatino Linotype" w:hAnsi="Palatino Linotype" w:cs="Tahoma"/>
          <w:szCs w:val="22"/>
        </w:rPr>
        <w:t xml:space="preserve"> </w:t>
      </w:r>
      <w:r>
        <w:rPr>
          <w:rFonts w:ascii="Palatino Linotype" w:hAnsi="Palatino Linotype" w:cs="Tahoma"/>
          <w:sz w:val="22"/>
          <w:szCs w:val="22"/>
        </w:rPr>
        <w:t xml:space="preserve">a efecto de que,  entregue a través del </w:t>
      </w:r>
      <w:r w:rsidRPr="00646BBA">
        <w:rPr>
          <w:rFonts w:ascii="Palatino Linotype" w:eastAsia="Calibri" w:hAnsi="Palatino Linotype" w:cs="Tahoma"/>
          <w:bCs/>
          <w:sz w:val="22"/>
          <w:szCs w:val="22"/>
          <w:lang w:eastAsia="en-US"/>
        </w:rPr>
        <w:t xml:space="preserve">Sistema de Acceso a la Información Mexiquense (SAIMEX), </w:t>
      </w:r>
      <w:r>
        <w:rPr>
          <w:rFonts w:ascii="Palatino Linotype" w:eastAsia="Calibri" w:hAnsi="Palatino Linotype" w:cs="Tahoma"/>
          <w:bCs/>
          <w:sz w:val="22"/>
          <w:szCs w:val="22"/>
          <w:lang w:eastAsia="en-US"/>
        </w:rPr>
        <w:t xml:space="preserve">en versión pública </w:t>
      </w:r>
      <w:r>
        <w:rPr>
          <w:rFonts w:ascii="Palatino Linotype" w:eastAsia="Calibri" w:hAnsi="Palatino Linotype" w:cs="Tahoma"/>
          <w:iCs/>
          <w:sz w:val="22"/>
          <w:szCs w:val="22"/>
          <w:lang w:eastAsia="es-ES_tradnl"/>
        </w:rPr>
        <w:t xml:space="preserve">lo siguiente: </w:t>
      </w:r>
    </w:p>
    <w:p w14:paraId="531D8617" w14:textId="77777777" w:rsidR="00AB6D04" w:rsidRDefault="00AB6D04" w:rsidP="00967813">
      <w:pPr>
        <w:autoSpaceDE w:val="0"/>
        <w:autoSpaceDN w:val="0"/>
        <w:adjustRightInd w:val="0"/>
        <w:spacing w:line="360" w:lineRule="auto"/>
        <w:jc w:val="both"/>
        <w:rPr>
          <w:rFonts w:ascii="Palatino Linotype" w:eastAsia="Calibri" w:hAnsi="Palatino Linotype" w:cs="Tahoma"/>
          <w:iCs/>
          <w:sz w:val="22"/>
          <w:szCs w:val="22"/>
          <w:lang w:eastAsia="es-ES_tradnl"/>
        </w:rPr>
      </w:pPr>
    </w:p>
    <w:p w14:paraId="2EAE0B0E" w14:textId="77777777" w:rsidR="00AB6D04" w:rsidRDefault="00AB6D04" w:rsidP="00967813">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convenios sin juicio celebrados por el Ayuntamiento de Tezoyuca, del periodo comprendido del 1 al 20 de diciembre de 2018. </w:t>
      </w:r>
    </w:p>
    <w:p w14:paraId="65EAE4BC" w14:textId="77777777" w:rsidR="00AB6D04" w:rsidRDefault="00AB6D04" w:rsidP="0096781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F55F987" w14:textId="77777777" w:rsidR="00AB6D04" w:rsidRDefault="00AB6D04" w:rsidP="00967813">
      <w:pPr>
        <w:pStyle w:val="Prrafodelista"/>
        <w:numPr>
          <w:ilvl w:val="0"/>
          <w:numId w:val="36"/>
        </w:numPr>
        <w:autoSpaceDE w:val="0"/>
        <w:autoSpaceDN w:val="0"/>
        <w:adjustRightInd w:val="0"/>
        <w:spacing w:line="360" w:lineRule="auto"/>
        <w:jc w:val="both"/>
        <w:rPr>
          <w:rFonts w:ascii="Palatino Linotype" w:hAnsi="Palatino Linotype" w:cs="Arial"/>
          <w:szCs w:val="22"/>
        </w:rPr>
      </w:pPr>
      <w:r>
        <w:rPr>
          <w:rFonts w:ascii="Palatino Linotype" w:hAnsi="Palatino Linotype" w:cs="Arial"/>
          <w:szCs w:val="22"/>
        </w:rPr>
        <w:t>T</w:t>
      </w:r>
      <w:r w:rsidRPr="004B46FF">
        <w:rPr>
          <w:rFonts w:ascii="Palatino Linotype" w:hAnsi="Palatino Linotype" w:cs="Arial"/>
          <w:szCs w:val="22"/>
        </w:rPr>
        <w:t xml:space="preserve">ransferencias bancarias realizadas a los ex servidores públicos, derivado de los convenios sin juicio celebrados entre estos y el Ayuntamiento de Tezoyuca, en el periodo comprendido del 1 al 20 de diciembre de 2018.  </w:t>
      </w:r>
    </w:p>
    <w:p w14:paraId="2052AC34" w14:textId="77777777" w:rsidR="00AB6D04" w:rsidRPr="004B46FF" w:rsidRDefault="00AB6D04" w:rsidP="00967813">
      <w:pPr>
        <w:pStyle w:val="Prrafodelista"/>
        <w:rPr>
          <w:rFonts w:ascii="Palatino Linotype" w:hAnsi="Palatino Linotype" w:cs="Arial"/>
          <w:szCs w:val="22"/>
        </w:rPr>
      </w:pPr>
    </w:p>
    <w:p w14:paraId="1EA4F99F" w14:textId="77777777" w:rsidR="00AB6D04" w:rsidRPr="00441188" w:rsidRDefault="00AB6D04" w:rsidP="00967813">
      <w:pPr>
        <w:pStyle w:val="Prrafodelista"/>
        <w:numPr>
          <w:ilvl w:val="0"/>
          <w:numId w:val="36"/>
        </w:numPr>
        <w:autoSpaceDE w:val="0"/>
        <w:autoSpaceDN w:val="0"/>
        <w:adjustRightInd w:val="0"/>
        <w:spacing w:line="360" w:lineRule="auto"/>
        <w:jc w:val="both"/>
        <w:rPr>
          <w:rFonts w:ascii="Palatino Linotype" w:hAnsi="Palatino Linotype" w:cs="Arial"/>
          <w:szCs w:val="22"/>
        </w:rPr>
      </w:pPr>
      <w:r w:rsidRPr="00441188">
        <w:rPr>
          <w:rFonts w:ascii="Palatino Linotype" w:hAnsi="Palatino Linotype" w:cs="Arial"/>
          <w:szCs w:val="22"/>
        </w:rPr>
        <w:t xml:space="preserve">El acuerdo de clasificación que deberá realizar el Comité de Transparencia del Sujeto Obligado, en términos de lo establecido en el artículo 143, fracción I </w:t>
      </w:r>
      <w:r w:rsidRPr="00441188">
        <w:rPr>
          <w:rFonts w:ascii="Palatino Linotype" w:hAnsi="Palatino Linotype"/>
          <w:color w:val="201F1E"/>
          <w:szCs w:val="22"/>
          <w:bdr w:val="none" w:sz="0" w:space="0" w:color="auto" w:frame="1"/>
        </w:rPr>
        <w:t xml:space="preserve">de la Ley de Transparencia y Acceso a la Información Pública del Estado de México y Municipios, en donde de manera fundada y motivada deberá fundar dicha </w:t>
      </w:r>
      <w:r>
        <w:rPr>
          <w:rFonts w:ascii="Palatino Linotype" w:hAnsi="Palatino Linotype"/>
          <w:color w:val="201F1E"/>
          <w:szCs w:val="22"/>
          <w:bdr w:val="none" w:sz="0" w:space="0" w:color="auto" w:frame="1"/>
        </w:rPr>
        <w:t xml:space="preserve">clasificación. </w:t>
      </w:r>
    </w:p>
    <w:p w14:paraId="25AD571D" w14:textId="0235D5B7" w:rsidR="00AB6D04" w:rsidRDefault="00AB6D04" w:rsidP="00967813">
      <w:pPr>
        <w:spacing w:line="360" w:lineRule="auto"/>
        <w:jc w:val="both"/>
        <w:rPr>
          <w:rFonts w:ascii="Palatino Linotype" w:eastAsia="Calibri" w:hAnsi="Palatino Linotype" w:cs="Tahoma"/>
          <w:bCs/>
          <w:sz w:val="22"/>
          <w:szCs w:val="22"/>
          <w:lang w:eastAsia="en-US"/>
        </w:rPr>
      </w:pPr>
    </w:p>
    <w:p w14:paraId="19DA290B" w14:textId="77777777" w:rsidR="00AB6D04" w:rsidRDefault="00AB6D04" w:rsidP="00967813">
      <w:pPr>
        <w:spacing w:line="360" w:lineRule="auto"/>
        <w:jc w:val="both"/>
        <w:rPr>
          <w:rFonts w:ascii="Palatino Linotype" w:hAnsi="Palatino Linotype" w:cs="Tahoma"/>
          <w:sz w:val="22"/>
          <w:szCs w:val="22"/>
        </w:rPr>
      </w:pPr>
      <w:r>
        <w:rPr>
          <w:rFonts w:ascii="Palatino Linotype" w:hAnsi="Palatino Linotype" w:cs="Tahoma"/>
          <w:b/>
          <w:sz w:val="22"/>
          <w:szCs w:val="22"/>
        </w:rPr>
        <w:t>CUARTO</w:t>
      </w:r>
      <w:r w:rsidRPr="00646BBA">
        <w:rPr>
          <w:rFonts w:ascii="Palatino Linotype" w:hAnsi="Palatino Linotype" w:cs="Tahoma"/>
          <w:b/>
          <w:sz w:val="22"/>
          <w:szCs w:val="22"/>
        </w:rPr>
        <w:t xml:space="preserve">. NOTIFÍQUESE </w:t>
      </w:r>
      <w:r w:rsidRPr="00646BB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16539C0" w14:textId="77777777" w:rsidR="00AB6D04" w:rsidRPr="00646BBA" w:rsidRDefault="00AB6D04" w:rsidP="00967813">
      <w:pPr>
        <w:spacing w:line="360" w:lineRule="auto"/>
        <w:jc w:val="both"/>
        <w:rPr>
          <w:rFonts w:ascii="Palatino Linotype" w:hAnsi="Palatino Linotype" w:cs="Tahoma"/>
          <w:i/>
          <w:sz w:val="22"/>
          <w:szCs w:val="22"/>
        </w:rPr>
      </w:pPr>
    </w:p>
    <w:p w14:paraId="036561C8" w14:textId="77777777" w:rsidR="00AB6D04" w:rsidRDefault="00AB6D04" w:rsidP="00967813">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QUINTO</w:t>
      </w:r>
      <w:r w:rsidRPr="00646BBA">
        <w:rPr>
          <w:rFonts w:ascii="Palatino Linotype" w:eastAsia="Calibri" w:hAnsi="Palatino Linotype" w:cs="Tahoma"/>
          <w:b/>
          <w:bCs/>
          <w:sz w:val="22"/>
          <w:szCs w:val="22"/>
          <w:lang w:eastAsia="en-US"/>
        </w:rPr>
        <w:t xml:space="preserve">. </w:t>
      </w:r>
      <w:r w:rsidRPr="00646BBA">
        <w:rPr>
          <w:rFonts w:ascii="Palatino Linotype" w:hAnsi="Palatino Linotype" w:cs="Tahoma"/>
          <w:b/>
          <w:sz w:val="22"/>
          <w:szCs w:val="22"/>
        </w:rPr>
        <w:t>NOTIFÍQUESE</w:t>
      </w:r>
      <w:r w:rsidRPr="00646BBA">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A5B970E" w14:textId="77777777" w:rsidR="007702B2" w:rsidRDefault="007702B2" w:rsidP="00967813">
      <w:pPr>
        <w:spacing w:line="360" w:lineRule="auto"/>
        <w:jc w:val="both"/>
        <w:rPr>
          <w:rFonts w:ascii="Palatino Linotype" w:hAnsi="Palatino Linotype" w:cs="Tahoma"/>
          <w:sz w:val="22"/>
          <w:szCs w:val="22"/>
        </w:rPr>
      </w:pPr>
    </w:p>
    <w:p w14:paraId="23FE1F23" w14:textId="2133F664" w:rsidR="001E0A65" w:rsidRPr="00473AA4" w:rsidRDefault="00967813" w:rsidP="00967813">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007702B2" w:rsidRPr="007702B2">
        <w:rPr>
          <w:rFonts w:ascii="Palatino Linotype" w:hAnsi="Palatino Linotype" w:cs="Tahoma"/>
          <w:b/>
          <w:sz w:val="22"/>
          <w:szCs w:val="22"/>
        </w:rPr>
        <w:t xml:space="preserve">. </w:t>
      </w:r>
      <w:r w:rsidR="001E0A65" w:rsidRPr="00473AA4">
        <w:rPr>
          <w:rFonts w:ascii="Palatino Linotype" w:eastAsia="Calibri" w:hAnsi="Palatino Linotype" w:cs="Tahoma"/>
          <w:bCs/>
          <w:sz w:val="22"/>
          <w:szCs w:val="22"/>
          <w:lang w:val="es-ES_tradnl" w:eastAsia="en-US"/>
        </w:rPr>
        <w:t xml:space="preserve">Con fundamento en lo dispuesto en los artículos 190 de la </w:t>
      </w:r>
      <w:r w:rsidR="001E0A65" w:rsidRPr="00473AA4">
        <w:rPr>
          <w:rFonts w:ascii="Palatino Linotype" w:hAnsi="Palatino Linotype" w:cs="Tahoma"/>
          <w:sz w:val="22"/>
          <w:szCs w:val="22"/>
        </w:rPr>
        <w:t xml:space="preserve">Ley de Transparencia y Acceso a la Información Pública del Estado de México y Municipios, gírese </w:t>
      </w:r>
      <w:r w:rsidR="001E0A65" w:rsidRPr="00473AA4">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AB6D04">
        <w:rPr>
          <w:rFonts w:ascii="Palatino Linotype" w:eastAsia="Calibri" w:hAnsi="Palatino Linotype" w:cs="Tahoma"/>
          <w:b/>
          <w:bCs/>
          <w:sz w:val="22"/>
          <w:szCs w:val="22"/>
          <w:lang w:val="es-ES_tradnl" w:eastAsia="en-US"/>
        </w:rPr>
        <w:t>SÉPTIMO</w:t>
      </w:r>
      <w:r w:rsidR="001E0A65" w:rsidRPr="00473AA4">
        <w:rPr>
          <w:rFonts w:ascii="Palatino Linotype" w:eastAsia="Calibri" w:hAnsi="Palatino Linotype" w:cs="Tahoma"/>
          <w:b/>
          <w:bCs/>
          <w:sz w:val="22"/>
          <w:szCs w:val="22"/>
          <w:lang w:val="es-ES_tradnl" w:eastAsia="en-US"/>
        </w:rPr>
        <w:t xml:space="preserve"> </w:t>
      </w:r>
      <w:r w:rsidR="001E0A65" w:rsidRPr="00473AA4">
        <w:rPr>
          <w:rFonts w:ascii="Palatino Linotype" w:eastAsia="Calibri" w:hAnsi="Palatino Linotype" w:cs="Tahoma"/>
          <w:bCs/>
          <w:sz w:val="22"/>
          <w:szCs w:val="22"/>
          <w:lang w:val="es-ES_tradnl" w:eastAsia="en-US"/>
        </w:rPr>
        <w:t>de la presente Resolución.</w:t>
      </w:r>
    </w:p>
    <w:p w14:paraId="6518EF07" w14:textId="77777777" w:rsidR="00536006" w:rsidRPr="00AD50F9" w:rsidRDefault="00536006" w:rsidP="00967813">
      <w:pPr>
        <w:spacing w:line="360" w:lineRule="auto"/>
        <w:jc w:val="both"/>
        <w:rPr>
          <w:rFonts w:ascii="Palatino Linotype" w:hAnsi="Palatino Linotype" w:cs="Tahoma"/>
          <w:sz w:val="22"/>
          <w:szCs w:val="22"/>
          <w:lang w:eastAsia="es-MX"/>
        </w:rPr>
      </w:pPr>
    </w:p>
    <w:p w14:paraId="1E83EA9A" w14:textId="77777777" w:rsidR="00ED43FD" w:rsidRPr="00F012DF" w:rsidRDefault="00ED43FD" w:rsidP="00ED43F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lastRenderedPageBreak/>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45CBDA6E" w14:textId="77777777" w:rsidR="00ED43FD" w:rsidRDefault="00ED43FD" w:rsidP="00ED43FD">
      <w:pPr>
        <w:spacing w:line="360" w:lineRule="auto"/>
        <w:ind w:right="-93"/>
        <w:jc w:val="both"/>
        <w:rPr>
          <w:rFonts w:ascii="Palatino Linotype" w:eastAsia="Calibri" w:hAnsi="Palatino Linotype" w:cs="Tahoma"/>
          <w:bCs/>
          <w:sz w:val="22"/>
          <w:szCs w:val="22"/>
          <w:lang w:eastAsia="en-US"/>
        </w:rPr>
      </w:pPr>
    </w:p>
    <w:p w14:paraId="3887888D" w14:textId="77777777" w:rsidR="00ED43FD" w:rsidRDefault="00ED43FD" w:rsidP="00ED43FD">
      <w:pPr>
        <w:spacing w:line="360" w:lineRule="auto"/>
        <w:ind w:right="-93"/>
        <w:jc w:val="both"/>
        <w:rPr>
          <w:rFonts w:ascii="Palatino Linotype" w:eastAsia="Calibri" w:hAnsi="Palatino Linotype" w:cs="Tahoma"/>
          <w:bCs/>
          <w:sz w:val="22"/>
          <w:szCs w:val="22"/>
          <w:lang w:eastAsia="en-US"/>
        </w:rPr>
      </w:pPr>
    </w:p>
    <w:p w14:paraId="2375DF40" w14:textId="77777777" w:rsidR="00ED43FD" w:rsidRPr="00F012DF" w:rsidRDefault="00ED43FD" w:rsidP="00ED43FD">
      <w:pPr>
        <w:spacing w:line="360" w:lineRule="auto"/>
        <w:ind w:right="-93"/>
        <w:jc w:val="both"/>
        <w:rPr>
          <w:rFonts w:ascii="Palatino Linotype" w:eastAsia="Calibri" w:hAnsi="Palatino Linotype" w:cs="Tahoma"/>
          <w:bCs/>
          <w:sz w:val="22"/>
          <w:szCs w:val="22"/>
          <w:lang w:eastAsia="en-US"/>
        </w:rPr>
      </w:pPr>
    </w:p>
    <w:p w14:paraId="428E53DA"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4EBD055" wp14:editId="55A41A3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286C18"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C7E195"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B25FD8D"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6B7CDDB1" w14:textId="77777777" w:rsidR="00ED43FD" w:rsidRPr="00016AF3" w:rsidRDefault="00ED43FD" w:rsidP="00ED43FD">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BD055"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F286C18"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C7E195"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B25FD8D"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6B7CDDB1" w14:textId="77777777" w:rsidR="00ED43FD" w:rsidRPr="00016AF3" w:rsidRDefault="00ED43FD" w:rsidP="00ED43FD">
                      <w:pPr>
                        <w:jc w:val="center"/>
                        <w:rPr>
                          <w:rFonts w:ascii="Palatino Linotype" w:hAnsi="Palatino Linotype"/>
                          <w:b/>
                          <w:sz w:val="24"/>
                          <w:szCs w:val="24"/>
                        </w:rPr>
                      </w:pPr>
                    </w:p>
                  </w:txbxContent>
                </v:textbox>
                <w10:wrap anchorx="margin"/>
              </v:shape>
            </w:pict>
          </mc:Fallback>
        </mc:AlternateContent>
      </w:r>
    </w:p>
    <w:p w14:paraId="6933A8BC"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7DDD2CA1"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290611C1"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7C0257C3"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68E3D6ED" w14:textId="77777777" w:rsidR="00ED43FD" w:rsidRPr="00F012DF" w:rsidRDefault="00ED43FD" w:rsidP="00ED43FD">
      <w:pPr>
        <w:spacing w:line="360" w:lineRule="auto"/>
        <w:ind w:right="-93"/>
        <w:jc w:val="both"/>
        <w:rPr>
          <w:rFonts w:ascii="Palatino Linotype" w:eastAsia="Calibri" w:hAnsi="Palatino Linotype" w:cs="Tahoma"/>
          <w:b/>
          <w:bCs/>
          <w:sz w:val="22"/>
          <w:szCs w:val="22"/>
          <w:lang w:eastAsia="en-US"/>
        </w:rPr>
      </w:pPr>
    </w:p>
    <w:p w14:paraId="07B93CAF" w14:textId="77777777" w:rsidR="00ED43FD" w:rsidRPr="00F012DF" w:rsidRDefault="00ED43FD" w:rsidP="00ED43F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38E281E" wp14:editId="4FA5B79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D244CE"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2A66E8D"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EBD749"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23AEF0F9" w14:textId="77777777" w:rsidR="00ED43FD" w:rsidRPr="00DA1AD1" w:rsidRDefault="00ED43FD" w:rsidP="00ED43FD">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281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9D244CE"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2A66E8D"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EBD749"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23AEF0F9" w14:textId="77777777" w:rsidR="00ED43FD" w:rsidRPr="00DA1AD1" w:rsidRDefault="00ED43FD" w:rsidP="00ED43FD">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3816B55" wp14:editId="36FF744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C1AB2A"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5D025D4"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D47F901"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6D285DAC" w14:textId="77777777" w:rsidR="00ED43FD" w:rsidRPr="00DA1AD1" w:rsidRDefault="00ED43FD" w:rsidP="00ED43FD">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16B5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9C1AB2A"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5D025D4"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D47F901" w14:textId="77777777" w:rsidR="00ED43FD" w:rsidRPr="00DA1AD1"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6D285DAC" w14:textId="77777777" w:rsidR="00ED43FD" w:rsidRPr="00DA1AD1" w:rsidRDefault="00ED43FD" w:rsidP="00ED43FD">
                      <w:pPr>
                        <w:jc w:val="center"/>
                        <w:rPr>
                          <w:sz w:val="18"/>
                        </w:rPr>
                      </w:pPr>
                    </w:p>
                  </w:txbxContent>
                </v:textbox>
                <w10:wrap anchorx="margin"/>
              </v:shape>
            </w:pict>
          </mc:Fallback>
        </mc:AlternateContent>
      </w:r>
    </w:p>
    <w:p w14:paraId="6859BF58" w14:textId="77777777" w:rsidR="00ED43FD" w:rsidRPr="00F012DF" w:rsidRDefault="00ED43FD" w:rsidP="00ED43FD">
      <w:pPr>
        <w:spacing w:line="360" w:lineRule="auto"/>
        <w:ind w:right="-93"/>
        <w:jc w:val="both"/>
        <w:rPr>
          <w:rFonts w:ascii="Palatino Linotype" w:eastAsia="Calibri" w:hAnsi="Palatino Linotype" w:cs="Tahoma"/>
          <w:b/>
          <w:bCs/>
          <w:sz w:val="22"/>
          <w:szCs w:val="22"/>
          <w:lang w:eastAsia="en-US"/>
        </w:rPr>
      </w:pPr>
    </w:p>
    <w:p w14:paraId="560E6E88" w14:textId="77777777" w:rsidR="00ED43FD" w:rsidRPr="00F012DF" w:rsidRDefault="00ED43FD" w:rsidP="00ED43FD">
      <w:pPr>
        <w:spacing w:line="360" w:lineRule="auto"/>
        <w:ind w:right="-93"/>
        <w:jc w:val="both"/>
        <w:rPr>
          <w:rFonts w:ascii="Palatino Linotype" w:eastAsia="Calibri" w:hAnsi="Palatino Linotype" w:cs="Tahoma"/>
          <w:b/>
          <w:bCs/>
          <w:sz w:val="22"/>
          <w:szCs w:val="22"/>
          <w:lang w:eastAsia="en-US"/>
        </w:rPr>
      </w:pPr>
    </w:p>
    <w:p w14:paraId="02B32FE7"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00EDD8EB" w14:textId="77777777" w:rsidR="00ED43FD" w:rsidRPr="00F012DF" w:rsidRDefault="00ED43FD" w:rsidP="00ED43FD">
      <w:pPr>
        <w:spacing w:line="360" w:lineRule="auto"/>
        <w:ind w:right="-93"/>
        <w:jc w:val="both"/>
        <w:rPr>
          <w:rFonts w:ascii="Palatino Linotype" w:eastAsia="Calibri" w:hAnsi="Palatino Linotype" w:cs="Tahoma"/>
          <w:b/>
          <w:bCs/>
          <w:sz w:val="22"/>
          <w:szCs w:val="22"/>
          <w:lang w:eastAsia="en-US"/>
        </w:rPr>
      </w:pPr>
    </w:p>
    <w:p w14:paraId="2F4151E3" w14:textId="77777777" w:rsidR="00ED43FD" w:rsidRDefault="00ED43FD" w:rsidP="00ED43FD">
      <w:pPr>
        <w:spacing w:line="360" w:lineRule="auto"/>
        <w:ind w:right="-93"/>
        <w:jc w:val="both"/>
        <w:rPr>
          <w:rFonts w:ascii="Palatino Linotype" w:eastAsia="Calibri" w:hAnsi="Palatino Linotype" w:cs="Tahoma"/>
          <w:b/>
          <w:bCs/>
          <w:sz w:val="22"/>
          <w:szCs w:val="22"/>
          <w:lang w:eastAsia="en-US"/>
        </w:rPr>
      </w:pPr>
    </w:p>
    <w:p w14:paraId="77EF484E" w14:textId="77777777" w:rsidR="00ED43FD" w:rsidRPr="00F012DF" w:rsidRDefault="00ED43FD" w:rsidP="00ED43F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11D47FA" wp14:editId="5B5EF66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8E1509"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1C9C5F3"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BBC04A" w14:textId="77777777" w:rsidR="00ED43FD" w:rsidRPr="00DA1AD1" w:rsidRDefault="00ED43FD" w:rsidP="00ED43FD">
                            <w:pPr>
                              <w:jc w:val="center"/>
                              <w:rPr>
                                <w:rFonts w:ascii="Palatino Linotype" w:hAnsi="Palatino Linotype"/>
                                <w:b/>
                                <w:sz w:val="18"/>
                              </w:rPr>
                            </w:pPr>
                            <w:r w:rsidRPr="00DA1AD1">
                              <w:rPr>
                                <w:rFonts w:ascii="Palatino Linotype" w:hAnsi="Palatino Linotype"/>
                                <w:b/>
                                <w:sz w:val="22"/>
                                <w:szCs w:val="24"/>
                              </w:rPr>
                              <w:t>(Rúbrica)</w:t>
                            </w:r>
                          </w:p>
                          <w:p w14:paraId="31CC9586" w14:textId="77777777" w:rsidR="00ED43FD" w:rsidRDefault="00ED43FD" w:rsidP="00ED4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D47F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C8E1509"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1C9C5F3"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BBC04A" w14:textId="77777777" w:rsidR="00ED43FD" w:rsidRPr="00DA1AD1" w:rsidRDefault="00ED43FD" w:rsidP="00ED43FD">
                      <w:pPr>
                        <w:jc w:val="center"/>
                        <w:rPr>
                          <w:rFonts w:ascii="Palatino Linotype" w:hAnsi="Palatino Linotype"/>
                          <w:b/>
                          <w:sz w:val="18"/>
                        </w:rPr>
                      </w:pPr>
                      <w:r w:rsidRPr="00DA1AD1">
                        <w:rPr>
                          <w:rFonts w:ascii="Palatino Linotype" w:hAnsi="Palatino Linotype"/>
                          <w:b/>
                          <w:sz w:val="22"/>
                          <w:szCs w:val="24"/>
                        </w:rPr>
                        <w:t>(Rúbrica)</w:t>
                      </w:r>
                    </w:p>
                    <w:p w14:paraId="31CC9586" w14:textId="77777777" w:rsidR="00ED43FD" w:rsidRDefault="00ED43FD" w:rsidP="00ED43FD"/>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5205457" wp14:editId="2450815F">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32BCD2"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827D9C"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19A1CB" w14:textId="77777777" w:rsidR="00ED43FD" w:rsidRPr="00DA1AD1" w:rsidRDefault="00ED43FD" w:rsidP="00ED43F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0545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732BCD2"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827D9C"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19A1CB" w14:textId="77777777" w:rsidR="00ED43FD" w:rsidRPr="00DA1AD1" w:rsidRDefault="00ED43FD" w:rsidP="00ED43F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1B5DD2F" w14:textId="77777777" w:rsidR="00ED43FD" w:rsidRPr="00F012DF" w:rsidRDefault="00ED43FD" w:rsidP="00ED43FD">
      <w:pPr>
        <w:spacing w:line="360" w:lineRule="auto"/>
        <w:ind w:right="-93"/>
        <w:jc w:val="both"/>
        <w:rPr>
          <w:rFonts w:ascii="Palatino Linotype" w:eastAsia="Calibri" w:hAnsi="Palatino Linotype" w:cs="Tahoma"/>
          <w:bCs/>
          <w:sz w:val="22"/>
          <w:szCs w:val="22"/>
          <w:lang w:eastAsia="en-US"/>
        </w:rPr>
      </w:pPr>
    </w:p>
    <w:p w14:paraId="28F32FDD" w14:textId="77777777" w:rsidR="00ED43FD" w:rsidRPr="00F012DF" w:rsidRDefault="00ED43FD" w:rsidP="00ED43FD">
      <w:pPr>
        <w:spacing w:line="360" w:lineRule="auto"/>
        <w:ind w:right="-93"/>
        <w:jc w:val="both"/>
        <w:rPr>
          <w:rFonts w:ascii="Palatino Linotype" w:eastAsia="Calibri" w:hAnsi="Palatino Linotype" w:cs="Tahoma"/>
          <w:bCs/>
          <w:sz w:val="22"/>
          <w:szCs w:val="22"/>
          <w:lang w:eastAsia="en-US"/>
        </w:rPr>
      </w:pPr>
    </w:p>
    <w:p w14:paraId="147FF852" w14:textId="77777777" w:rsidR="00ED43FD" w:rsidRDefault="00ED43FD" w:rsidP="00ED43FD">
      <w:pPr>
        <w:spacing w:line="360" w:lineRule="auto"/>
        <w:ind w:right="-93"/>
        <w:jc w:val="both"/>
        <w:rPr>
          <w:rFonts w:ascii="Palatino Linotype" w:eastAsia="Calibri" w:hAnsi="Palatino Linotype" w:cs="Tahoma"/>
          <w:bCs/>
          <w:sz w:val="22"/>
          <w:szCs w:val="22"/>
          <w:lang w:eastAsia="en-US"/>
        </w:rPr>
      </w:pPr>
    </w:p>
    <w:p w14:paraId="0C661CC3" w14:textId="77777777" w:rsidR="00ED43FD" w:rsidRDefault="00ED43FD" w:rsidP="00ED43FD">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F7FE557" wp14:editId="288E0D8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17223F"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889907F"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792829" w14:textId="77777777" w:rsidR="00ED43FD"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03068670" w14:textId="77777777" w:rsidR="00ED43FD" w:rsidRDefault="00ED43FD" w:rsidP="00ED43FD">
                            <w:pPr>
                              <w:jc w:val="center"/>
                              <w:rPr>
                                <w:rFonts w:ascii="Palatino Linotype" w:hAnsi="Palatino Linotype"/>
                                <w:b/>
                                <w:sz w:val="22"/>
                                <w:szCs w:val="24"/>
                              </w:rPr>
                            </w:pPr>
                          </w:p>
                          <w:p w14:paraId="2C602C7D" w14:textId="77777777" w:rsidR="00ED43FD" w:rsidRPr="00DA1AD1" w:rsidRDefault="00ED43FD" w:rsidP="00ED43FD">
                            <w:pPr>
                              <w:jc w:val="center"/>
                              <w:rPr>
                                <w:rFonts w:ascii="Palatino Linotype" w:hAnsi="Palatino Linotype"/>
                                <w:b/>
                                <w:sz w:val="22"/>
                                <w:szCs w:val="24"/>
                              </w:rPr>
                            </w:pPr>
                          </w:p>
                          <w:p w14:paraId="00977AED" w14:textId="77777777" w:rsidR="00ED43FD" w:rsidRPr="00DA1AD1" w:rsidRDefault="00ED43FD" w:rsidP="00ED43FD">
                            <w:pPr>
                              <w:jc w:val="center"/>
                              <w:rPr>
                                <w:rFonts w:ascii="Palatino Linotype" w:hAnsi="Palatino Linotype"/>
                                <w:sz w:val="22"/>
                                <w:szCs w:val="24"/>
                              </w:rPr>
                            </w:pPr>
                          </w:p>
                          <w:p w14:paraId="4E539377" w14:textId="77777777" w:rsidR="00ED43FD" w:rsidRPr="00EF2FC0" w:rsidRDefault="00ED43FD" w:rsidP="00ED43FD">
                            <w:pPr>
                              <w:jc w:val="center"/>
                              <w:rPr>
                                <w:rFonts w:ascii="Palatino Linotype" w:hAnsi="Palatino Linotype"/>
                                <w:sz w:val="24"/>
                                <w:szCs w:val="24"/>
                              </w:rPr>
                            </w:pPr>
                          </w:p>
                          <w:p w14:paraId="774D0D00" w14:textId="77777777" w:rsidR="00ED43FD" w:rsidRDefault="00ED43FD" w:rsidP="00ED4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FE55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E17223F" w14:textId="77777777" w:rsidR="00ED43FD" w:rsidRPr="00DA1AD1" w:rsidRDefault="00ED43FD" w:rsidP="00ED43F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889907F" w14:textId="77777777" w:rsidR="00ED43FD" w:rsidRPr="00DA1AD1" w:rsidRDefault="00ED43FD" w:rsidP="00ED43F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792829" w14:textId="77777777" w:rsidR="00ED43FD" w:rsidRDefault="00ED43FD" w:rsidP="00ED43FD">
                      <w:pPr>
                        <w:jc w:val="center"/>
                        <w:rPr>
                          <w:rFonts w:ascii="Palatino Linotype" w:hAnsi="Palatino Linotype"/>
                          <w:b/>
                          <w:sz w:val="22"/>
                          <w:szCs w:val="24"/>
                        </w:rPr>
                      </w:pPr>
                      <w:r w:rsidRPr="00DA1AD1">
                        <w:rPr>
                          <w:rFonts w:ascii="Palatino Linotype" w:hAnsi="Palatino Linotype"/>
                          <w:b/>
                          <w:sz w:val="22"/>
                          <w:szCs w:val="24"/>
                        </w:rPr>
                        <w:t>(Rúbrica)</w:t>
                      </w:r>
                    </w:p>
                    <w:p w14:paraId="03068670" w14:textId="77777777" w:rsidR="00ED43FD" w:rsidRDefault="00ED43FD" w:rsidP="00ED43FD">
                      <w:pPr>
                        <w:jc w:val="center"/>
                        <w:rPr>
                          <w:rFonts w:ascii="Palatino Linotype" w:hAnsi="Palatino Linotype"/>
                          <w:b/>
                          <w:sz w:val="22"/>
                          <w:szCs w:val="24"/>
                        </w:rPr>
                      </w:pPr>
                    </w:p>
                    <w:p w14:paraId="2C602C7D" w14:textId="77777777" w:rsidR="00ED43FD" w:rsidRPr="00DA1AD1" w:rsidRDefault="00ED43FD" w:rsidP="00ED43FD">
                      <w:pPr>
                        <w:jc w:val="center"/>
                        <w:rPr>
                          <w:rFonts w:ascii="Palatino Linotype" w:hAnsi="Palatino Linotype"/>
                          <w:b/>
                          <w:sz w:val="22"/>
                          <w:szCs w:val="24"/>
                        </w:rPr>
                      </w:pPr>
                    </w:p>
                    <w:p w14:paraId="00977AED" w14:textId="77777777" w:rsidR="00ED43FD" w:rsidRPr="00DA1AD1" w:rsidRDefault="00ED43FD" w:rsidP="00ED43FD">
                      <w:pPr>
                        <w:jc w:val="center"/>
                        <w:rPr>
                          <w:rFonts w:ascii="Palatino Linotype" w:hAnsi="Palatino Linotype"/>
                          <w:sz w:val="22"/>
                          <w:szCs w:val="24"/>
                        </w:rPr>
                      </w:pPr>
                    </w:p>
                    <w:p w14:paraId="4E539377" w14:textId="77777777" w:rsidR="00ED43FD" w:rsidRPr="00EF2FC0" w:rsidRDefault="00ED43FD" w:rsidP="00ED43FD">
                      <w:pPr>
                        <w:jc w:val="center"/>
                        <w:rPr>
                          <w:rFonts w:ascii="Palatino Linotype" w:hAnsi="Palatino Linotype"/>
                          <w:sz w:val="24"/>
                          <w:szCs w:val="24"/>
                        </w:rPr>
                      </w:pPr>
                    </w:p>
                    <w:p w14:paraId="774D0D00" w14:textId="77777777" w:rsidR="00ED43FD" w:rsidRDefault="00ED43FD" w:rsidP="00ED43FD"/>
                  </w:txbxContent>
                </v:textbox>
                <w10:wrap anchorx="page"/>
              </v:shape>
            </w:pict>
          </mc:Fallback>
        </mc:AlternateContent>
      </w:r>
    </w:p>
    <w:p w14:paraId="446A1671" w14:textId="77777777" w:rsidR="00ED43FD" w:rsidRPr="006A36F7" w:rsidRDefault="00ED43FD" w:rsidP="00ED43FD">
      <w:pPr>
        <w:spacing w:line="360" w:lineRule="auto"/>
        <w:jc w:val="both"/>
        <w:rPr>
          <w:rFonts w:ascii="Palatino Linotype" w:hAnsi="Palatino Linotype" w:cs="Tahoma"/>
          <w:sz w:val="22"/>
          <w:szCs w:val="22"/>
        </w:rPr>
      </w:pPr>
    </w:p>
    <w:p w14:paraId="6C3AB670" w14:textId="77777777" w:rsidR="00ED43FD" w:rsidRDefault="00ED43FD" w:rsidP="00967813">
      <w:pPr>
        <w:tabs>
          <w:tab w:val="left" w:pos="8931"/>
        </w:tabs>
        <w:spacing w:line="360" w:lineRule="auto"/>
        <w:ind w:right="-93"/>
        <w:jc w:val="both"/>
        <w:rPr>
          <w:rFonts w:ascii="Palatino Linotype" w:eastAsia="Calibri" w:hAnsi="Palatino Linotype" w:cs="Tahoma"/>
          <w:sz w:val="22"/>
          <w:szCs w:val="22"/>
          <w:lang w:eastAsia="en-US"/>
        </w:rPr>
      </w:pPr>
    </w:p>
    <w:p w14:paraId="405E5AD8" w14:textId="523D53E0" w:rsidR="00536006" w:rsidRPr="00AD50F9" w:rsidRDefault="00ED43FD" w:rsidP="00967813">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03306F">
        <w:rPr>
          <w:rFonts w:ascii="Palatino Linotype" w:eastAsia="Calibri" w:hAnsi="Palatino Linotype" w:cs="Tahoma"/>
          <w:sz w:val="22"/>
          <w:szCs w:val="22"/>
          <w:lang w:eastAsia="en-US"/>
        </w:rPr>
        <w:t>diecinueve</w:t>
      </w:r>
      <w:r w:rsidR="007702B2">
        <w:rPr>
          <w:rFonts w:ascii="Palatino Linotype" w:eastAsia="Calibri" w:hAnsi="Palatino Linotype" w:cs="Tahoma"/>
          <w:sz w:val="22"/>
          <w:szCs w:val="22"/>
          <w:lang w:eastAsia="en-US"/>
        </w:rPr>
        <w:t xml:space="preserve"> de septiembre</w:t>
      </w:r>
      <w:r w:rsidR="009D5C33">
        <w:rPr>
          <w:rFonts w:ascii="Palatino Linotype" w:eastAsia="Calibri" w:hAnsi="Palatino Linotype" w:cs="Tahoma"/>
          <w:sz w:val="22"/>
          <w:szCs w:val="22"/>
          <w:lang w:eastAsia="en-US"/>
        </w:rPr>
        <w:t xml:space="preserve"> </w:t>
      </w:r>
      <w:r w:rsidR="00536006" w:rsidRPr="00AD50F9">
        <w:rPr>
          <w:rFonts w:ascii="Palatino Linotype" w:eastAsia="Calibri" w:hAnsi="Palatino Linotype" w:cs="Tahoma"/>
          <w:sz w:val="22"/>
          <w:szCs w:val="22"/>
          <w:lang w:eastAsia="en-US"/>
        </w:rPr>
        <w:t>de dos</w:t>
      </w:r>
      <w:r w:rsidR="009D5C33">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7702B2">
        <w:rPr>
          <w:rFonts w:ascii="Palatino Linotype" w:eastAsia="Calibri" w:hAnsi="Palatino Linotype" w:cs="Tahoma"/>
          <w:b/>
          <w:bCs/>
          <w:sz w:val="22"/>
          <w:szCs w:val="22"/>
          <w:lang w:eastAsia="en-US"/>
        </w:rPr>
        <w:t>5701</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4650" w14:textId="77777777" w:rsidR="00131265" w:rsidRDefault="00131265" w:rsidP="00B31222">
      <w:r>
        <w:separator/>
      </w:r>
    </w:p>
  </w:endnote>
  <w:endnote w:type="continuationSeparator" w:id="0">
    <w:p w14:paraId="4F308A21" w14:textId="77777777" w:rsidR="00131265" w:rsidRDefault="0013126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4B46FF" w:rsidRDefault="004B46FF">
            <w:pPr>
              <w:pStyle w:val="Piedepgina"/>
              <w:jc w:val="right"/>
            </w:pPr>
          </w:p>
          <w:p w14:paraId="58BFAB62" w14:textId="77777777" w:rsidR="004B46FF" w:rsidRDefault="004B4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5AE6">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5AE6">
              <w:rPr>
                <w:b/>
                <w:bCs/>
                <w:noProof/>
              </w:rPr>
              <w:t>40</w:t>
            </w:r>
            <w:r>
              <w:rPr>
                <w:b/>
                <w:bCs/>
                <w:sz w:val="24"/>
                <w:szCs w:val="24"/>
              </w:rPr>
              <w:fldChar w:fldCharType="end"/>
            </w:r>
          </w:p>
        </w:sdtContent>
      </w:sdt>
    </w:sdtContent>
  </w:sdt>
  <w:p w14:paraId="4C1EBC12" w14:textId="77777777" w:rsidR="004B46FF" w:rsidRDefault="004B46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4B46FF" w:rsidRDefault="004B4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5A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5AE6">
              <w:rPr>
                <w:b/>
                <w:bCs/>
                <w:noProof/>
              </w:rPr>
              <w:t>40</w:t>
            </w:r>
            <w:r>
              <w:rPr>
                <w:b/>
                <w:bCs/>
                <w:sz w:val="24"/>
                <w:szCs w:val="24"/>
              </w:rPr>
              <w:fldChar w:fldCharType="end"/>
            </w:r>
          </w:p>
        </w:sdtContent>
      </w:sdt>
    </w:sdtContent>
  </w:sdt>
  <w:p w14:paraId="15BD444E" w14:textId="77777777" w:rsidR="004B46FF" w:rsidRDefault="004B46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D6A1" w14:textId="77777777" w:rsidR="00131265" w:rsidRDefault="00131265" w:rsidP="00B31222">
      <w:r>
        <w:separator/>
      </w:r>
    </w:p>
  </w:footnote>
  <w:footnote w:type="continuationSeparator" w:id="0">
    <w:p w14:paraId="301CE0E4" w14:textId="77777777" w:rsidR="00131265" w:rsidRDefault="0013126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46FF" w:rsidRPr="005C106F" w14:paraId="717A868E" w14:textId="77777777" w:rsidTr="00202DB8">
      <w:trPr>
        <w:trHeight w:val="1435"/>
      </w:trPr>
      <w:tc>
        <w:tcPr>
          <w:tcW w:w="2835" w:type="dxa"/>
          <w:shd w:val="clear" w:color="auto" w:fill="auto"/>
        </w:tcPr>
        <w:p w14:paraId="4289BF87" w14:textId="77777777" w:rsidR="004B46FF" w:rsidRPr="005C106F" w:rsidRDefault="004B46FF"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4B46FF" w:rsidRDefault="004B46F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B46FF" w14:paraId="39F88D19" w14:textId="77777777" w:rsidTr="00FF46FD">
            <w:trPr>
              <w:trHeight w:val="144"/>
            </w:trPr>
            <w:tc>
              <w:tcPr>
                <w:tcW w:w="2727" w:type="dxa"/>
              </w:tcPr>
              <w:p w14:paraId="4E3B62F5" w14:textId="77777777" w:rsidR="004B46FF" w:rsidRPr="00FF46FD" w:rsidRDefault="004B46F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0AA11AD9" w:rsidR="004B46FF" w:rsidRPr="00FF46FD" w:rsidRDefault="004B46FF" w:rsidP="00E43A0F">
                <w:pPr>
                  <w:tabs>
                    <w:tab w:val="right" w:pos="8838"/>
                  </w:tabs>
                  <w:ind w:left="-28" w:right="171"/>
                  <w:jc w:val="both"/>
                  <w:rPr>
                    <w:rFonts w:ascii="Palatino Linotype" w:eastAsia="Calibri" w:hAnsi="Palatino Linotype" w:cs="Tahoma"/>
                    <w:bCs/>
                    <w:sz w:val="24"/>
                    <w:szCs w:val="24"/>
                    <w:lang w:eastAsia="en-US"/>
                  </w:rPr>
                </w:pPr>
                <w:r w:rsidRPr="00A60F2A">
                  <w:rPr>
                    <w:rFonts w:ascii="Palatino Linotype" w:eastAsia="Calibri" w:hAnsi="Palatino Linotype" w:cs="Tahoma"/>
                    <w:bCs/>
                    <w:sz w:val="24"/>
                    <w:szCs w:val="24"/>
                    <w:lang w:eastAsia="en-US"/>
                  </w:rPr>
                  <w:t>05701/INFOEM/IP/RR/2019</w:t>
                </w:r>
              </w:p>
            </w:tc>
          </w:tr>
          <w:tr w:rsidR="004B46FF" w14:paraId="3385006F" w14:textId="77777777" w:rsidTr="00FF46FD">
            <w:trPr>
              <w:trHeight w:val="283"/>
            </w:trPr>
            <w:tc>
              <w:tcPr>
                <w:tcW w:w="2727" w:type="dxa"/>
              </w:tcPr>
              <w:p w14:paraId="0F49CA35" w14:textId="77777777" w:rsidR="004B46FF" w:rsidRPr="00FF46FD" w:rsidRDefault="004B46F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5A80C153" w:rsidR="004B46FF" w:rsidRPr="00FF46FD" w:rsidRDefault="004B46FF" w:rsidP="00E43A0F">
                <w:pPr>
                  <w:tabs>
                    <w:tab w:val="left" w:pos="2834"/>
                    <w:tab w:val="right" w:pos="8838"/>
                  </w:tabs>
                  <w:ind w:right="171"/>
                  <w:jc w:val="both"/>
                  <w:rPr>
                    <w:rFonts w:ascii="Palatino Linotype" w:eastAsia="Calibri" w:hAnsi="Palatino Linotype" w:cs="Tahoma"/>
                    <w:b/>
                    <w:sz w:val="24"/>
                    <w:szCs w:val="24"/>
                    <w:lang w:val="es-MX" w:eastAsia="en-US"/>
                  </w:rPr>
                </w:pPr>
                <w:r w:rsidRPr="00A60F2A">
                  <w:rPr>
                    <w:rFonts w:ascii="Palatino Linotype" w:eastAsia="Calibri" w:hAnsi="Palatino Linotype" w:cs="Tahoma"/>
                    <w:sz w:val="22"/>
                    <w:szCs w:val="22"/>
                    <w:lang w:val="es-MX" w:eastAsia="en-US"/>
                  </w:rPr>
                  <w:t>Tribunal Estatal de Conciliación y Arbitraje</w:t>
                </w:r>
              </w:p>
            </w:tc>
          </w:tr>
          <w:tr w:rsidR="004B46FF" w14:paraId="341FB120" w14:textId="77777777" w:rsidTr="00FF46FD">
            <w:trPr>
              <w:trHeight w:val="283"/>
            </w:trPr>
            <w:tc>
              <w:tcPr>
                <w:tcW w:w="2727" w:type="dxa"/>
              </w:tcPr>
              <w:p w14:paraId="106E7054" w14:textId="77777777" w:rsidR="004B46FF" w:rsidRPr="00FF46FD" w:rsidRDefault="004B46F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4B46FF" w:rsidRPr="00FF46FD" w:rsidRDefault="004B46FF"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4B46FF" w:rsidRPr="005C106F" w:rsidRDefault="004B46FF" w:rsidP="005743D2">
          <w:pPr>
            <w:tabs>
              <w:tab w:val="right" w:pos="8838"/>
            </w:tabs>
            <w:ind w:left="-28"/>
            <w:jc w:val="both"/>
            <w:rPr>
              <w:rFonts w:ascii="Arial" w:eastAsia="Calibri" w:hAnsi="Arial" w:cs="Arial"/>
              <w:b/>
              <w:sz w:val="22"/>
              <w:szCs w:val="22"/>
              <w:lang w:eastAsia="en-US"/>
            </w:rPr>
          </w:pPr>
        </w:p>
      </w:tc>
    </w:tr>
  </w:tbl>
  <w:p w14:paraId="0488DE90" w14:textId="77777777" w:rsidR="004B46FF" w:rsidRDefault="004B46FF" w:rsidP="00EF4A64">
    <w:pPr>
      <w:pStyle w:val="Encabezado"/>
      <w:rPr>
        <w:sz w:val="14"/>
      </w:rPr>
    </w:pPr>
  </w:p>
  <w:p w14:paraId="11CF0039" w14:textId="77777777" w:rsidR="004B46FF" w:rsidRDefault="004B46FF" w:rsidP="00EF4A64">
    <w:pPr>
      <w:pStyle w:val="Encabezado"/>
      <w:rPr>
        <w:sz w:val="14"/>
      </w:rPr>
    </w:pPr>
  </w:p>
  <w:p w14:paraId="4D48503D" w14:textId="77777777" w:rsidR="004B46FF" w:rsidRPr="00443C6B" w:rsidRDefault="004B46F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46FF" w:rsidRPr="00330DA7" w14:paraId="0756BAA3" w14:textId="77777777" w:rsidTr="003B165A">
      <w:trPr>
        <w:trHeight w:val="1435"/>
      </w:trPr>
      <w:tc>
        <w:tcPr>
          <w:tcW w:w="2835" w:type="dxa"/>
          <w:shd w:val="clear" w:color="auto" w:fill="auto"/>
        </w:tcPr>
        <w:p w14:paraId="79A199F2" w14:textId="77777777" w:rsidR="004B46FF" w:rsidRPr="00330DA7" w:rsidRDefault="004B46F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B46FF" w:rsidRPr="00330DA7" w14:paraId="1FED1AD9" w14:textId="77777777" w:rsidTr="001171BD">
            <w:trPr>
              <w:trHeight w:val="144"/>
            </w:trPr>
            <w:tc>
              <w:tcPr>
                <w:tcW w:w="2727" w:type="dxa"/>
              </w:tcPr>
              <w:p w14:paraId="479BE2EF" w14:textId="77777777" w:rsidR="004B46FF" w:rsidRPr="00330DA7" w:rsidRDefault="004B46FF"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0C059339" w:rsidR="004B46FF" w:rsidRPr="00330DA7" w:rsidRDefault="004B46FF" w:rsidP="00A25083">
                <w:pPr>
                  <w:tabs>
                    <w:tab w:val="right" w:pos="8838"/>
                  </w:tabs>
                  <w:ind w:left="-74" w:right="-105"/>
                  <w:jc w:val="both"/>
                  <w:rPr>
                    <w:rFonts w:ascii="Palatino Linotype" w:eastAsia="Calibri" w:hAnsi="Palatino Linotype" w:cs="Tahoma"/>
                    <w:bCs/>
                    <w:sz w:val="22"/>
                    <w:szCs w:val="22"/>
                    <w:lang w:eastAsia="en-US"/>
                  </w:rPr>
                </w:pPr>
                <w:r w:rsidRPr="00A60F2A">
                  <w:rPr>
                    <w:rFonts w:ascii="Palatino Linotype" w:eastAsia="Calibri" w:hAnsi="Palatino Linotype" w:cs="Tahoma"/>
                    <w:bCs/>
                    <w:sz w:val="22"/>
                    <w:szCs w:val="22"/>
                    <w:lang w:eastAsia="en-US"/>
                  </w:rPr>
                  <w:t>05701/INFOEM/IP/RR/2019</w:t>
                </w:r>
              </w:p>
            </w:tc>
          </w:tr>
          <w:tr w:rsidR="004B46FF" w:rsidRPr="00330DA7" w14:paraId="660FE942" w14:textId="77777777" w:rsidTr="001171BD">
            <w:trPr>
              <w:trHeight w:val="144"/>
            </w:trPr>
            <w:tc>
              <w:tcPr>
                <w:tcW w:w="2727" w:type="dxa"/>
              </w:tcPr>
              <w:p w14:paraId="662BC787" w14:textId="77777777" w:rsidR="004B46FF" w:rsidRPr="00330DA7" w:rsidRDefault="004B46FF"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402" w:type="dxa"/>
              </w:tcPr>
              <w:p w14:paraId="389277EF" w14:textId="185E8B20" w:rsidR="004B46FF" w:rsidRPr="00330DA7" w:rsidRDefault="00C45AE6"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C45AE6">
                  <w:rPr>
                    <w:rFonts w:ascii="Palatino Linotype" w:eastAsia="Calibri" w:hAnsi="Palatino Linotype" w:cs="Tahoma"/>
                    <w:sz w:val="22"/>
                    <w:szCs w:val="22"/>
                    <w:highlight w:val="black"/>
                    <w:lang w:val="es-MX" w:eastAsia="en-US"/>
                  </w:rPr>
                  <w:t>XXXXXXXXXXXXXXXXX</w:t>
                </w:r>
              </w:p>
            </w:tc>
          </w:tr>
          <w:bookmarkEnd w:id="4"/>
          <w:tr w:rsidR="004B46FF" w:rsidRPr="00330DA7" w14:paraId="215691A8" w14:textId="77777777" w:rsidTr="001171BD">
            <w:trPr>
              <w:trHeight w:val="283"/>
            </w:trPr>
            <w:tc>
              <w:tcPr>
                <w:tcW w:w="2727" w:type="dxa"/>
              </w:tcPr>
              <w:p w14:paraId="0B74763A" w14:textId="77777777" w:rsidR="004B46FF" w:rsidRPr="00330DA7" w:rsidRDefault="004B46F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5B978D67" w:rsidR="004B46FF" w:rsidRPr="00330DA7" w:rsidRDefault="004B46FF" w:rsidP="006F0A11">
                <w:pPr>
                  <w:tabs>
                    <w:tab w:val="left" w:pos="2834"/>
                    <w:tab w:val="right" w:pos="8838"/>
                  </w:tabs>
                  <w:ind w:right="-105"/>
                  <w:jc w:val="both"/>
                  <w:rPr>
                    <w:rFonts w:ascii="Palatino Linotype" w:eastAsia="Calibri" w:hAnsi="Palatino Linotype" w:cs="Tahoma"/>
                    <w:b/>
                    <w:sz w:val="22"/>
                    <w:szCs w:val="22"/>
                    <w:lang w:val="es-MX" w:eastAsia="en-US"/>
                  </w:rPr>
                </w:pPr>
                <w:r w:rsidRPr="00A60F2A">
                  <w:rPr>
                    <w:rFonts w:ascii="Palatino Linotype" w:eastAsia="Calibri" w:hAnsi="Palatino Linotype" w:cs="Tahoma"/>
                    <w:sz w:val="22"/>
                    <w:szCs w:val="22"/>
                    <w:lang w:val="es-MX" w:eastAsia="en-US"/>
                  </w:rPr>
                  <w:t>Tribunal Estatal de Conciliación y Arbitraje</w:t>
                </w:r>
              </w:p>
            </w:tc>
          </w:tr>
          <w:tr w:rsidR="004B46FF" w:rsidRPr="00330DA7" w14:paraId="6B309D42" w14:textId="77777777" w:rsidTr="001171BD">
            <w:trPr>
              <w:trHeight w:val="283"/>
            </w:trPr>
            <w:tc>
              <w:tcPr>
                <w:tcW w:w="2727" w:type="dxa"/>
              </w:tcPr>
              <w:p w14:paraId="111E9634" w14:textId="77777777" w:rsidR="004B46FF" w:rsidRPr="00330DA7" w:rsidRDefault="004B46F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4B46FF" w:rsidRPr="00330DA7" w:rsidRDefault="004B46FF"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4B46FF" w:rsidRPr="00330DA7" w:rsidRDefault="004B46FF" w:rsidP="00DB7E5F">
          <w:pPr>
            <w:tabs>
              <w:tab w:val="right" w:pos="8838"/>
            </w:tabs>
            <w:ind w:left="-28"/>
            <w:jc w:val="both"/>
            <w:rPr>
              <w:rFonts w:ascii="Arial" w:eastAsia="Calibri" w:hAnsi="Arial" w:cs="Arial"/>
              <w:b/>
              <w:sz w:val="22"/>
              <w:szCs w:val="22"/>
              <w:lang w:eastAsia="en-US"/>
            </w:rPr>
          </w:pPr>
        </w:p>
      </w:tc>
    </w:tr>
  </w:tbl>
  <w:p w14:paraId="2542BF81" w14:textId="77777777" w:rsidR="004B46FF" w:rsidRDefault="004B46FF" w:rsidP="00B727C5">
    <w:pPr>
      <w:pStyle w:val="Encabezado"/>
      <w:rPr>
        <w:sz w:val="22"/>
        <w:szCs w:val="22"/>
      </w:rPr>
    </w:pPr>
  </w:p>
  <w:p w14:paraId="0CB98BDD" w14:textId="77777777" w:rsidR="004B46FF" w:rsidRPr="009D5C33" w:rsidRDefault="004B46FF"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F1308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794EB7"/>
    <w:multiLevelType w:val="hybridMultilevel"/>
    <w:tmpl w:val="A47A44E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B0FFD"/>
    <w:multiLevelType w:val="hybridMultilevel"/>
    <w:tmpl w:val="DABAC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A77533"/>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2" w15:restartNumberingAfterBreak="0">
    <w:nsid w:val="425039C7"/>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7" w15:restartNumberingAfterBreak="0">
    <w:nsid w:val="5C0D1D37"/>
    <w:multiLevelType w:val="hybridMultilevel"/>
    <w:tmpl w:val="58369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9"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14A747F"/>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5953E3"/>
    <w:multiLevelType w:val="hybridMultilevel"/>
    <w:tmpl w:val="C70E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
  </w:num>
  <w:num w:numId="8">
    <w:abstractNumId w:val="29"/>
  </w:num>
  <w:num w:numId="9">
    <w:abstractNumId w:val="18"/>
  </w:num>
  <w:num w:numId="10">
    <w:abstractNumId w:val="30"/>
  </w:num>
  <w:num w:numId="11">
    <w:abstractNumId w:val="33"/>
  </w:num>
  <w:num w:numId="12">
    <w:abstractNumId w:val="20"/>
  </w:num>
  <w:num w:numId="13">
    <w:abstractNumId w:val="23"/>
  </w:num>
  <w:num w:numId="14">
    <w:abstractNumId w:val="8"/>
  </w:num>
  <w:num w:numId="15">
    <w:abstractNumId w:val="24"/>
  </w:num>
  <w:num w:numId="16">
    <w:abstractNumId w:val="7"/>
  </w:num>
  <w:num w:numId="17">
    <w:abstractNumId w:val="13"/>
  </w:num>
  <w:num w:numId="18">
    <w:abstractNumId w:val="21"/>
  </w:num>
  <w:num w:numId="19">
    <w:abstractNumId w:val="10"/>
  </w:num>
  <w:num w:numId="20">
    <w:abstractNumId w:val="6"/>
  </w:num>
  <w:num w:numId="21">
    <w:abstractNumId w:val="5"/>
  </w:num>
  <w:num w:numId="22">
    <w:abstractNumId w:val="1"/>
  </w:num>
  <w:num w:numId="23">
    <w:abstractNumId w:val="26"/>
  </w:num>
  <w:num w:numId="24">
    <w:abstractNumId w:val="28"/>
  </w:num>
  <w:num w:numId="25">
    <w:abstractNumId w:val="9"/>
  </w:num>
  <w:num w:numId="26">
    <w:abstractNumId w:val="35"/>
  </w:num>
  <w:num w:numId="27">
    <w:abstractNumId w:val="17"/>
  </w:num>
  <w:num w:numId="28">
    <w:abstractNumId w:val="22"/>
  </w:num>
  <w:num w:numId="29">
    <w:abstractNumId w:val="4"/>
  </w:num>
  <w:num w:numId="30">
    <w:abstractNumId w:val="32"/>
  </w:num>
  <w:num w:numId="31">
    <w:abstractNumId w:val="16"/>
  </w:num>
  <w:num w:numId="32">
    <w:abstractNumId w:val="27"/>
  </w:num>
  <w:num w:numId="33">
    <w:abstractNumId w:val="14"/>
  </w:num>
  <w:num w:numId="34">
    <w:abstractNumId w:val="19"/>
  </w:num>
  <w:num w:numId="35">
    <w:abstractNumId w:val="25"/>
  </w:num>
  <w:num w:numId="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21F4"/>
    <w:rsid w:val="000241C5"/>
    <w:rsid w:val="00024D74"/>
    <w:rsid w:val="00025F5D"/>
    <w:rsid w:val="000313A7"/>
    <w:rsid w:val="00032F5B"/>
    <w:rsid w:val="0003306F"/>
    <w:rsid w:val="00033BE7"/>
    <w:rsid w:val="00034E9D"/>
    <w:rsid w:val="00035F9E"/>
    <w:rsid w:val="0003734A"/>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92475"/>
    <w:rsid w:val="0009340C"/>
    <w:rsid w:val="00095E4F"/>
    <w:rsid w:val="00097211"/>
    <w:rsid w:val="000A0518"/>
    <w:rsid w:val="000A0861"/>
    <w:rsid w:val="000A20A4"/>
    <w:rsid w:val="000A5058"/>
    <w:rsid w:val="000A5A1D"/>
    <w:rsid w:val="000A5C6A"/>
    <w:rsid w:val="000A60ED"/>
    <w:rsid w:val="000A7211"/>
    <w:rsid w:val="000B1D37"/>
    <w:rsid w:val="000B2C93"/>
    <w:rsid w:val="000B36DD"/>
    <w:rsid w:val="000B5711"/>
    <w:rsid w:val="000B6020"/>
    <w:rsid w:val="000C2283"/>
    <w:rsid w:val="000C27CA"/>
    <w:rsid w:val="000C2F4C"/>
    <w:rsid w:val="000C59CB"/>
    <w:rsid w:val="000D0B08"/>
    <w:rsid w:val="000D1DDF"/>
    <w:rsid w:val="000D2A27"/>
    <w:rsid w:val="000D62EF"/>
    <w:rsid w:val="000D6CF8"/>
    <w:rsid w:val="000E0BEA"/>
    <w:rsid w:val="000E6F80"/>
    <w:rsid w:val="000E7893"/>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42C7"/>
    <w:rsid w:val="001150E9"/>
    <w:rsid w:val="001166C8"/>
    <w:rsid w:val="001171BD"/>
    <w:rsid w:val="001221B8"/>
    <w:rsid w:val="00127757"/>
    <w:rsid w:val="001279BF"/>
    <w:rsid w:val="00131265"/>
    <w:rsid w:val="00132A80"/>
    <w:rsid w:val="00132F95"/>
    <w:rsid w:val="00134409"/>
    <w:rsid w:val="0013647C"/>
    <w:rsid w:val="0013791C"/>
    <w:rsid w:val="00137B8F"/>
    <w:rsid w:val="00140350"/>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A7B"/>
    <w:rsid w:val="001A4B83"/>
    <w:rsid w:val="001A7FD2"/>
    <w:rsid w:val="001B107D"/>
    <w:rsid w:val="001B2CD9"/>
    <w:rsid w:val="001B38FF"/>
    <w:rsid w:val="001B62A0"/>
    <w:rsid w:val="001C17B0"/>
    <w:rsid w:val="001C282F"/>
    <w:rsid w:val="001C2F9F"/>
    <w:rsid w:val="001D0086"/>
    <w:rsid w:val="001D0094"/>
    <w:rsid w:val="001D00D6"/>
    <w:rsid w:val="001D45E8"/>
    <w:rsid w:val="001D67AC"/>
    <w:rsid w:val="001D6F69"/>
    <w:rsid w:val="001D7012"/>
    <w:rsid w:val="001D7BD2"/>
    <w:rsid w:val="001E0A65"/>
    <w:rsid w:val="001E2A4D"/>
    <w:rsid w:val="001E53C2"/>
    <w:rsid w:val="001E6927"/>
    <w:rsid w:val="001E6FC5"/>
    <w:rsid w:val="001F0E9C"/>
    <w:rsid w:val="001F0EB8"/>
    <w:rsid w:val="001F1540"/>
    <w:rsid w:val="001F652C"/>
    <w:rsid w:val="001F7711"/>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892"/>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7034"/>
    <w:rsid w:val="002911F2"/>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3D7F"/>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40EC"/>
    <w:rsid w:val="003350FF"/>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D26"/>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52C5"/>
    <w:rsid w:val="004059FB"/>
    <w:rsid w:val="00407A93"/>
    <w:rsid w:val="004100AA"/>
    <w:rsid w:val="00410CD2"/>
    <w:rsid w:val="004112AE"/>
    <w:rsid w:val="00412203"/>
    <w:rsid w:val="00413D17"/>
    <w:rsid w:val="00414F9B"/>
    <w:rsid w:val="00417DE3"/>
    <w:rsid w:val="00420590"/>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188"/>
    <w:rsid w:val="00441804"/>
    <w:rsid w:val="004435B4"/>
    <w:rsid w:val="004448AE"/>
    <w:rsid w:val="00444B20"/>
    <w:rsid w:val="0044550A"/>
    <w:rsid w:val="00447F7D"/>
    <w:rsid w:val="00460032"/>
    <w:rsid w:val="0046048A"/>
    <w:rsid w:val="00466346"/>
    <w:rsid w:val="004702B0"/>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46FF"/>
    <w:rsid w:val="004B591D"/>
    <w:rsid w:val="004B68DA"/>
    <w:rsid w:val="004B7542"/>
    <w:rsid w:val="004B769A"/>
    <w:rsid w:val="004B7DB2"/>
    <w:rsid w:val="004C14AC"/>
    <w:rsid w:val="004C4ACC"/>
    <w:rsid w:val="004C50EC"/>
    <w:rsid w:val="004C6F68"/>
    <w:rsid w:val="004C7E83"/>
    <w:rsid w:val="004D0A3B"/>
    <w:rsid w:val="004D2B43"/>
    <w:rsid w:val="004D2F08"/>
    <w:rsid w:val="004D583C"/>
    <w:rsid w:val="004D5DB3"/>
    <w:rsid w:val="004E1CDA"/>
    <w:rsid w:val="004E345F"/>
    <w:rsid w:val="004E3BBA"/>
    <w:rsid w:val="004E401B"/>
    <w:rsid w:val="004E41C7"/>
    <w:rsid w:val="004E59B8"/>
    <w:rsid w:val="004E7DB7"/>
    <w:rsid w:val="004F2D88"/>
    <w:rsid w:val="004F38BD"/>
    <w:rsid w:val="004F3D21"/>
    <w:rsid w:val="004F60EF"/>
    <w:rsid w:val="004F6F0B"/>
    <w:rsid w:val="005070C3"/>
    <w:rsid w:val="0051276F"/>
    <w:rsid w:val="005130AC"/>
    <w:rsid w:val="00516378"/>
    <w:rsid w:val="005220BE"/>
    <w:rsid w:val="00526575"/>
    <w:rsid w:val="00527491"/>
    <w:rsid w:val="00527771"/>
    <w:rsid w:val="00533B79"/>
    <w:rsid w:val="00533FD4"/>
    <w:rsid w:val="00534258"/>
    <w:rsid w:val="00536006"/>
    <w:rsid w:val="00541135"/>
    <w:rsid w:val="00542D5F"/>
    <w:rsid w:val="005435DE"/>
    <w:rsid w:val="00543AD3"/>
    <w:rsid w:val="005441AD"/>
    <w:rsid w:val="00544C28"/>
    <w:rsid w:val="00546769"/>
    <w:rsid w:val="00546BAE"/>
    <w:rsid w:val="00546C4E"/>
    <w:rsid w:val="00552EBD"/>
    <w:rsid w:val="00553827"/>
    <w:rsid w:val="00555F71"/>
    <w:rsid w:val="00561750"/>
    <w:rsid w:val="00563BEB"/>
    <w:rsid w:val="00566849"/>
    <w:rsid w:val="00570981"/>
    <w:rsid w:val="005740F6"/>
    <w:rsid w:val="005743D2"/>
    <w:rsid w:val="00575905"/>
    <w:rsid w:val="00576131"/>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993"/>
    <w:rsid w:val="005E1EE5"/>
    <w:rsid w:val="005E37E9"/>
    <w:rsid w:val="005E50A8"/>
    <w:rsid w:val="005E750A"/>
    <w:rsid w:val="005F03DB"/>
    <w:rsid w:val="005F48F1"/>
    <w:rsid w:val="0060077A"/>
    <w:rsid w:val="00601E59"/>
    <w:rsid w:val="00603A46"/>
    <w:rsid w:val="00606194"/>
    <w:rsid w:val="00607F45"/>
    <w:rsid w:val="0061115C"/>
    <w:rsid w:val="00611A49"/>
    <w:rsid w:val="00613017"/>
    <w:rsid w:val="00613A54"/>
    <w:rsid w:val="00616189"/>
    <w:rsid w:val="006172A0"/>
    <w:rsid w:val="006204C0"/>
    <w:rsid w:val="0062078C"/>
    <w:rsid w:val="00620E8F"/>
    <w:rsid w:val="00621760"/>
    <w:rsid w:val="006217BB"/>
    <w:rsid w:val="00625BD5"/>
    <w:rsid w:val="00625DFB"/>
    <w:rsid w:val="006277B7"/>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AC8"/>
    <w:rsid w:val="00667C1C"/>
    <w:rsid w:val="0067001F"/>
    <w:rsid w:val="00670A43"/>
    <w:rsid w:val="00673DD4"/>
    <w:rsid w:val="00674AEB"/>
    <w:rsid w:val="0067655A"/>
    <w:rsid w:val="006811F2"/>
    <w:rsid w:val="00682810"/>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0A11"/>
    <w:rsid w:val="006F1F3A"/>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30B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2B2"/>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0BB7"/>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050"/>
    <w:rsid w:val="00885168"/>
    <w:rsid w:val="0089173B"/>
    <w:rsid w:val="00891E76"/>
    <w:rsid w:val="0089220F"/>
    <w:rsid w:val="008935AA"/>
    <w:rsid w:val="00895FFB"/>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12D0"/>
    <w:rsid w:val="00901BFC"/>
    <w:rsid w:val="0090360E"/>
    <w:rsid w:val="00903D37"/>
    <w:rsid w:val="009079D1"/>
    <w:rsid w:val="0091055D"/>
    <w:rsid w:val="00914C61"/>
    <w:rsid w:val="00917D6F"/>
    <w:rsid w:val="0092073B"/>
    <w:rsid w:val="00921B1A"/>
    <w:rsid w:val="00921B7F"/>
    <w:rsid w:val="00921DDA"/>
    <w:rsid w:val="00922DE1"/>
    <w:rsid w:val="0092600D"/>
    <w:rsid w:val="00930345"/>
    <w:rsid w:val="0093039D"/>
    <w:rsid w:val="00931E4F"/>
    <w:rsid w:val="0093364D"/>
    <w:rsid w:val="00933F64"/>
    <w:rsid w:val="0093429F"/>
    <w:rsid w:val="00936574"/>
    <w:rsid w:val="00937EE1"/>
    <w:rsid w:val="009430DD"/>
    <w:rsid w:val="00943BCE"/>
    <w:rsid w:val="00944076"/>
    <w:rsid w:val="009508A0"/>
    <w:rsid w:val="00953FF0"/>
    <w:rsid w:val="00956711"/>
    <w:rsid w:val="00957326"/>
    <w:rsid w:val="00960346"/>
    <w:rsid w:val="009617D3"/>
    <w:rsid w:val="0096463B"/>
    <w:rsid w:val="00967813"/>
    <w:rsid w:val="00967869"/>
    <w:rsid w:val="0096796E"/>
    <w:rsid w:val="00971F54"/>
    <w:rsid w:val="009725C5"/>
    <w:rsid w:val="00972AEA"/>
    <w:rsid w:val="00972B4E"/>
    <w:rsid w:val="00973F40"/>
    <w:rsid w:val="00974F49"/>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620E"/>
    <w:rsid w:val="009A6E70"/>
    <w:rsid w:val="009B1A70"/>
    <w:rsid w:val="009B6452"/>
    <w:rsid w:val="009B6A6F"/>
    <w:rsid w:val="009C1AFE"/>
    <w:rsid w:val="009C295D"/>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242B"/>
    <w:rsid w:val="00A33113"/>
    <w:rsid w:val="00A33432"/>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0F2A"/>
    <w:rsid w:val="00A6697B"/>
    <w:rsid w:val="00A67022"/>
    <w:rsid w:val="00A719AA"/>
    <w:rsid w:val="00A73DE3"/>
    <w:rsid w:val="00A74C2D"/>
    <w:rsid w:val="00A76B34"/>
    <w:rsid w:val="00A83026"/>
    <w:rsid w:val="00A83487"/>
    <w:rsid w:val="00A84A8E"/>
    <w:rsid w:val="00A854FF"/>
    <w:rsid w:val="00A86E30"/>
    <w:rsid w:val="00A87035"/>
    <w:rsid w:val="00A8745D"/>
    <w:rsid w:val="00A908DA"/>
    <w:rsid w:val="00A90F9B"/>
    <w:rsid w:val="00A92694"/>
    <w:rsid w:val="00A93072"/>
    <w:rsid w:val="00A9629C"/>
    <w:rsid w:val="00A96E80"/>
    <w:rsid w:val="00A97044"/>
    <w:rsid w:val="00AA2289"/>
    <w:rsid w:val="00AA2AFF"/>
    <w:rsid w:val="00AA35D5"/>
    <w:rsid w:val="00AA417B"/>
    <w:rsid w:val="00AA533F"/>
    <w:rsid w:val="00AA5A86"/>
    <w:rsid w:val="00AA7B74"/>
    <w:rsid w:val="00AA7F48"/>
    <w:rsid w:val="00AB010D"/>
    <w:rsid w:val="00AB0749"/>
    <w:rsid w:val="00AB6D04"/>
    <w:rsid w:val="00AB75E2"/>
    <w:rsid w:val="00AB76D8"/>
    <w:rsid w:val="00AB7A1A"/>
    <w:rsid w:val="00AB7E6A"/>
    <w:rsid w:val="00AC0052"/>
    <w:rsid w:val="00AC1B50"/>
    <w:rsid w:val="00AC1B61"/>
    <w:rsid w:val="00AC2C6E"/>
    <w:rsid w:val="00AC5EE6"/>
    <w:rsid w:val="00AD0D24"/>
    <w:rsid w:val="00AD1923"/>
    <w:rsid w:val="00AD2611"/>
    <w:rsid w:val="00AD3AC5"/>
    <w:rsid w:val="00AD3D57"/>
    <w:rsid w:val="00AD43A4"/>
    <w:rsid w:val="00AD497C"/>
    <w:rsid w:val="00AD50F9"/>
    <w:rsid w:val="00AD5C12"/>
    <w:rsid w:val="00AE0B4B"/>
    <w:rsid w:val="00AE47BF"/>
    <w:rsid w:val="00AE489D"/>
    <w:rsid w:val="00AE4A5D"/>
    <w:rsid w:val="00AE552E"/>
    <w:rsid w:val="00AF08DA"/>
    <w:rsid w:val="00AF0A77"/>
    <w:rsid w:val="00AF4C29"/>
    <w:rsid w:val="00AF6432"/>
    <w:rsid w:val="00AF6DED"/>
    <w:rsid w:val="00AF79BD"/>
    <w:rsid w:val="00B01191"/>
    <w:rsid w:val="00B07F12"/>
    <w:rsid w:val="00B07FE3"/>
    <w:rsid w:val="00B10BAE"/>
    <w:rsid w:val="00B12157"/>
    <w:rsid w:val="00B14154"/>
    <w:rsid w:val="00B1415B"/>
    <w:rsid w:val="00B15278"/>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7262F"/>
    <w:rsid w:val="00B727C5"/>
    <w:rsid w:val="00B7316E"/>
    <w:rsid w:val="00B73FD4"/>
    <w:rsid w:val="00B74FC5"/>
    <w:rsid w:val="00B75A6C"/>
    <w:rsid w:val="00B803A5"/>
    <w:rsid w:val="00B82F2D"/>
    <w:rsid w:val="00B83E2A"/>
    <w:rsid w:val="00B83E38"/>
    <w:rsid w:val="00B85DF3"/>
    <w:rsid w:val="00B86C19"/>
    <w:rsid w:val="00B9027B"/>
    <w:rsid w:val="00B92EDF"/>
    <w:rsid w:val="00B93510"/>
    <w:rsid w:val="00B93640"/>
    <w:rsid w:val="00B93E33"/>
    <w:rsid w:val="00B93FFB"/>
    <w:rsid w:val="00B954F3"/>
    <w:rsid w:val="00B95BCD"/>
    <w:rsid w:val="00B95CDC"/>
    <w:rsid w:val="00B95CE5"/>
    <w:rsid w:val="00B96107"/>
    <w:rsid w:val="00BA0D0B"/>
    <w:rsid w:val="00BA4CE5"/>
    <w:rsid w:val="00BA5BC4"/>
    <w:rsid w:val="00BA5BFC"/>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25FF1"/>
    <w:rsid w:val="00C305F2"/>
    <w:rsid w:val="00C3345C"/>
    <w:rsid w:val="00C407E5"/>
    <w:rsid w:val="00C42DAC"/>
    <w:rsid w:val="00C4342B"/>
    <w:rsid w:val="00C436E3"/>
    <w:rsid w:val="00C459A9"/>
    <w:rsid w:val="00C45AE6"/>
    <w:rsid w:val="00C4704E"/>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552"/>
    <w:rsid w:val="00C92C27"/>
    <w:rsid w:val="00C93F1B"/>
    <w:rsid w:val="00C95093"/>
    <w:rsid w:val="00C96DFE"/>
    <w:rsid w:val="00C976D1"/>
    <w:rsid w:val="00CA308F"/>
    <w:rsid w:val="00CA532B"/>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74E"/>
    <w:rsid w:val="00CE1BC9"/>
    <w:rsid w:val="00CE33C1"/>
    <w:rsid w:val="00CE4DD6"/>
    <w:rsid w:val="00CE76FF"/>
    <w:rsid w:val="00CF1CF7"/>
    <w:rsid w:val="00CF4012"/>
    <w:rsid w:val="00CF43D5"/>
    <w:rsid w:val="00D01F75"/>
    <w:rsid w:val="00D02BC6"/>
    <w:rsid w:val="00D0310D"/>
    <w:rsid w:val="00D04B54"/>
    <w:rsid w:val="00D05803"/>
    <w:rsid w:val="00D05C7C"/>
    <w:rsid w:val="00D06906"/>
    <w:rsid w:val="00D07742"/>
    <w:rsid w:val="00D1276A"/>
    <w:rsid w:val="00D132F9"/>
    <w:rsid w:val="00D14DB7"/>
    <w:rsid w:val="00D15ED5"/>
    <w:rsid w:val="00D16656"/>
    <w:rsid w:val="00D200AB"/>
    <w:rsid w:val="00D20613"/>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BD5"/>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BCD"/>
    <w:rsid w:val="00DC68C0"/>
    <w:rsid w:val="00DD1107"/>
    <w:rsid w:val="00DD178F"/>
    <w:rsid w:val="00DD1FE4"/>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33AD4"/>
    <w:rsid w:val="00E37186"/>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5E8D"/>
    <w:rsid w:val="00E661F3"/>
    <w:rsid w:val="00E668A4"/>
    <w:rsid w:val="00E67E50"/>
    <w:rsid w:val="00E705B4"/>
    <w:rsid w:val="00E72967"/>
    <w:rsid w:val="00E7356B"/>
    <w:rsid w:val="00E8155D"/>
    <w:rsid w:val="00E84AD7"/>
    <w:rsid w:val="00E85CC0"/>
    <w:rsid w:val="00E93E33"/>
    <w:rsid w:val="00E96E1A"/>
    <w:rsid w:val="00EA0E04"/>
    <w:rsid w:val="00EA220D"/>
    <w:rsid w:val="00EA3156"/>
    <w:rsid w:val="00EA40A2"/>
    <w:rsid w:val="00EA4CD5"/>
    <w:rsid w:val="00EA5D2C"/>
    <w:rsid w:val="00EA5D8E"/>
    <w:rsid w:val="00EB07CF"/>
    <w:rsid w:val="00EB3B88"/>
    <w:rsid w:val="00EC0C14"/>
    <w:rsid w:val="00EC2B42"/>
    <w:rsid w:val="00EC3B8F"/>
    <w:rsid w:val="00EC55B7"/>
    <w:rsid w:val="00EC5CA0"/>
    <w:rsid w:val="00EC7372"/>
    <w:rsid w:val="00ED19D1"/>
    <w:rsid w:val="00ED2AC0"/>
    <w:rsid w:val="00ED30E8"/>
    <w:rsid w:val="00ED3B69"/>
    <w:rsid w:val="00ED3ECA"/>
    <w:rsid w:val="00ED3F39"/>
    <w:rsid w:val="00ED43FD"/>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633"/>
    <w:rsid w:val="00F21DD6"/>
    <w:rsid w:val="00F25CFE"/>
    <w:rsid w:val="00F35243"/>
    <w:rsid w:val="00F35289"/>
    <w:rsid w:val="00F36E9F"/>
    <w:rsid w:val="00F41B19"/>
    <w:rsid w:val="00F42970"/>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61E"/>
    <w:rsid w:val="00FB1ACE"/>
    <w:rsid w:val="00FB2A36"/>
    <w:rsid w:val="00FB3EA0"/>
    <w:rsid w:val="00FB55F4"/>
    <w:rsid w:val="00FB58D8"/>
    <w:rsid w:val="00FB7140"/>
    <w:rsid w:val="00FC0B63"/>
    <w:rsid w:val="00FC12ED"/>
    <w:rsid w:val="00FC2209"/>
    <w:rsid w:val="00FC6144"/>
    <w:rsid w:val="00FC7531"/>
    <w:rsid w:val="00FC7EAA"/>
    <w:rsid w:val="00FD4FA5"/>
    <w:rsid w:val="00FD5166"/>
    <w:rsid w:val="00FD758C"/>
    <w:rsid w:val="00FE4B06"/>
    <w:rsid w:val="00FF05B9"/>
    <w:rsid w:val="00FF0EB1"/>
    <w:rsid w:val="00FF456A"/>
    <w:rsid w:val="00FF46FD"/>
    <w:rsid w:val="00FF6204"/>
    <w:rsid w:val="00FF634D"/>
    <w:rsid w:val="00FF76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7702B2"/>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player.es/5455342-Nuevas-tecnologias-biometricas-instituto-nacional-de-ciencias-penales-procuraduria-general-de-la-republica-version-1-0.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D287-E830-46B1-ADB6-37040085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10228</Words>
  <Characters>56259</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servicio infoem</cp:lastModifiedBy>
  <cp:revision>2</cp:revision>
  <cp:lastPrinted>2019-05-08T18:00:00Z</cp:lastPrinted>
  <dcterms:created xsi:type="dcterms:W3CDTF">2019-10-09T20:15:00Z</dcterms:created>
  <dcterms:modified xsi:type="dcterms:W3CDTF">2019-10-09T20:15:00Z</dcterms:modified>
</cp:coreProperties>
</file>