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459" w:rsidRPr="006D731E" w:rsidRDefault="00311459" w:rsidP="0025493E">
      <w:pPr>
        <w:widowControl w:val="0"/>
        <w:spacing w:before="100" w:beforeAutospacing="1" w:after="100" w:afterAutospacing="1" w:line="360" w:lineRule="auto"/>
        <w:ind w:right="-164"/>
        <w:jc w:val="both"/>
        <w:rPr>
          <w:rFonts w:ascii="Palatino Linotype" w:eastAsia="Calibri" w:hAnsi="Palatino Linotype" w:cs="Arial"/>
          <w:b/>
        </w:rPr>
      </w:pPr>
      <w:r w:rsidRPr="006D731E">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974872">
        <w:rPr>
          <w:rFonts w:ascii="Palatino Linotype" w:hAnsi="Palatino Linotype" w:cs="Arial"/>
          <w:b/>
        </w:rPr>
        <w:t>TRIGÉSIMA NOVENA</w:t>
      </w:r>
      <w:r>
        <w:rPr>
          <w:rFonts w:ascii="Palatino Linotype" w:hAnsi="Palatino Linotype" w:cs="Arial"/>
          <w:b/>
        </w:rPr>
        <w:t xml:space="preserve"> </w:t>
      </w:r>
      <w:r w:rsidRPr="006D731E">
        <w:rPr>
          <w:rFonts w:ascii="Palatino Linotype" w:hAnsi="Palatino Linotype" w:cs="Arial"/>
          <w:b/>
        </w:rPr>
        <w:t>SESIÓN ORDINARIA DE</w:t>
      </w:r>
      <w:r>
        <w:rPr>
          <w:rFonts w:ascii="Palatino Linotype" w:hAnsi="Palatino Linotype" w:cs="Arial"/>
          <w:b/>
        </w:rPr>
        <w:t xml:space="preserve"> </w:t>
      </w:r>
      <w:r w:rsidR="00974872">
        <w:rPr>
          <w:rFonts w:ascii="Palatino Linotype" w:hAnsi="Palatino Linotype" w:cs="Arial"/>
          <w:b/>
        </w:rPr>
        <w:t>VEINTICUATRO DE OCTUBRE DE DOS MIL DIECINUEVE</w:t>
      </w:r>
      <w:r w:rsidRPr="006D731E">
        <w:rPr>
          <w:rFonts w:ascii="Palatino Linotype" w:hAnsi="Palatino Linotype" w:cs="Arial"/>
          <w:b/>
        </w:rPr>
        <w:t xml:space="preserve">, EN EL RECURSO DE REVISIÓN </w:t>
      </w:r>
      <w:r w:rsidR="00974872">
        <w:rPr>
          <w:rFonts w:ascii="Palatino Linotype" w:hAnsi="Palatino Linotype" w:cs="Arial"/>
          <w:b/>
        </w:rPr>
        <w:t>06743/INFOEM/IP/RR/2019</w:t>
      </w:r>
      <w:r w:rsidRPr="006D731E">
        <w:rPr>
          <w:rFonts w:ascii="Palatino Linotype" w:eastAsia="Calibri" w:hAnsi="Palatino Linotype" w:cs="Arial"/>
          <w:b/>
        </w:rPr>
        <w:t>.</w:t>
      </w:r>
    </w:p>
    <w:p w:rsidR="00311459" w:rsidRDefault="00311459" w:rsidP="0025493E">
      <w:pPr>
        <w:widowControl w:val="0"/>
        <w:spacing w:before="100" w:beforeAutospacing="1" w:after="100" w:afterAutospacing="1" w:line="360" w:lineRule="auto"/>
        <w:ind w:right="-164"/>
        <w:jc w:val="both"/>
        <w:rPr>
          <w:rFonts w:ascii="Palatino Linotype" w:hAnsi="Palatino Linotype" w:cs="Arial"/>
        </w:rPr>
      </w:pPr>
      <w:r w:rsidRPr="006D731E">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6D731E">
        <w:rPr>
          <w:rFonts w:ascii="Palatino Linotype" w:hAnsi="Palatino Linotype" w:cs="Arial"/>
          <w:b/>
          <w:lang w:val="es-ES_tradnl"/>
        </w:rPr>
        <w:t xml:space="preserve"> </w:t>
      </w:r>
      <w:r w:rsidRPr="006D731E">
        <w:rPr>
          <w:rFonts w:ascii="Palatino Linotype" w:hAnsi="Palatino Linotype" w:cs="Arial"/>
          <w:b/>
        </w:rPr>
        <w:t xml:space="preserve">EVA ABAID YAPUR </w:t>
      </w:r>
      <w:r w:rsidRPr="006D731E">
        <w:rPr>
          <w:rFonts w:ascii="Palatino Linotype" w:hAnsi="Palatino Linotype" w:cs="Arial"/>
        </w:rPr>
        <w:t xml:space="preserve">emite </w:t>
      </w:r>
      <w:r w:rsidRPr="006D731E">
        <w:rPr>
          <w:rFonts w:ascii="Palatino Linotype" w:hAnsi="Palatino Linotype" w:cs="Arial"/>
          <w:b/>
        </w:rPr>
        <w:t xml:space="preserve">VOTO PARTICULAR </w:t>
      </w:r>
      <w:r w:rsidRPr="006D731E">
        <w:rPr>
          <w:rFonts w:ascii="Palatino Linotype" w:hAnsi="Palatino Linotype" w:cs="Arial"/>
        </w:rPr>
        <w:t xml:space="preserve">respecto de la resolución dictada en el recurso de revisión </w:t>
      </w:r>
      <w:r w:rsidR="00974872">
        <w:rPr>
          <w:rFonts w:ascii="Palatino Linotype" w:hAnsi="Palatino Linotype" w:cs="Arial"/>
          <w:b/>
        </w:rPr>
        <w:t>06743/INFOEM/IP/RR/2019</w:t>
      </w:r>
      <w:r w:rsidRPr="006D731E">
        <w:rPr>
          <w:rFonts w:ascii="Palatino Linotype" w:eastAsia="Calibri" w:hAnsi="Palatino Linotype" w:cs="Arial"/>
          <w:b/>
        </w:rPr>
        <w:t>,</w:t>
      </w:r>
      <w:r w:rsidRPr="006D731E">
        <w:rPr>
          <w:rFonts w:ascii="Palatino Linotype" w:hAnsi="Palatino Linotype"/>
          <w:b/>
          <w:bCs/>
        </w:rPr>
        <w:t xml:space="preserve"> </w:t>
      </w:r>
      <w:r w:rsidRPr="006D731E">
        <w:rPr>
          <w:rFonts w:ascii="Palatino Linotype" w:hAnsi="Palatino Linotype" w:cs="Arial"/>
        </w:rPr>
        <w:t>pronunciada por el Pleno de este Instituto ante el proyecto presentado por</w:t>
      </w:r>
      <w:r>
        <w:rPr>
          <w:rFonts w:ascii="Palatino Linotype" w:hAnsi="Palatino Linotype" w:cs="Arial"/>
        </w:rPr>
        <w:t xml:space="preserve"> </w:t>
      </w:r>
      <w:r w:rsidR="001B7CE5">
        <w:rPr>
          <w:rFonts w:ascii="Palatino Linotype" w:hAnsi="Palatino Linotype" w:cs="Arial"/>
        </w:rPr>
        <w:t>el Comisionado</w:t>
      </w:r>
      <w:r w:rsidRPr="006D731E">
        <w:rPr>
          <w:rFonts w:ascii="Palatino Linotype" w:hAnsi="Palatino Linotype" w:cs="Arial"/>
        </w:rPr>
        <w:t xml:space="preserve"> </w:t>
      </w:r>
      <w:r w:rsidR="00974872">
        <w:rPr>
          <w:rFonts w:ascii="Palatino Linotype" w:hAnsi="Palatino Linotype" w:cs="Arial"/>
          <w:b/>
        </w:rPr>
        <w:t>JOSÉ GUADALUPE LUNA HERNÁNDEZ</w:t>
      </w:r>
      <w:r w:rsidRPr="006D731E">
        <w:rPr>
          <w:rFonts w:ascii="Palatino Linotype" w:hAnsi="Palatino Linotype" w:cs="Arial"/>
        </w:rPr>
        <w:t xml:space="preserve">, </w:t>
      </w:r>
      <w:r>
        <w:rPr>
          <w:rFonts w:ascii="Palatino Linotype" w:hAnsi="Palatino Linotype" w:cs="Arial"/>
        </w:rPr>
        <w:t>que es del tenor siguiente.</w:t>
      </w:r>
    </w:p>
    <w:p w:rsidR="00311459" w:rsidRPr="006D731E" w:rsidRDefault="00311459" w:rsidP="0025493E">
      <w:pPr>
        <w:spacing w:before="100" w:beforeAutospacing="1" w:after="100" w:afterAutospacing="1" w:line="360" w:lineRule="auto"/>
        <w:jc w:val="both"/>
        <w:rPr>
          <w:rFonts w:ascii="Palatino Linotype" w:hAnsi="Palatino Linotype"/>
        </w:rPr>
      </w:pPr>
      <w:r w:rsidRPr="006D731E">
        <w:rPr>
          <w:rFonts w:ascii="Palatino Linotype" w:hAnsi="Palatino Linotype"/>
        </w:rPr>
        <w:t>Es de destacar, que la suscrita c</w:t>
      </w:r>
      <w:r w:rsidR="000539F5">
        <w:rPr>
          <w:rFonts w:ascii="Palatino Linotype" w:hAnsi="Palatino Linotype"/>
        </w:rPr>
        <w:t>omparte esencialmente el sentido</w:t>
      </w:r>
      <w:r w:rsidRPr="006D731E">
        <w:rPr>
          <w:rFonts w:ascii="Palatino Linotype" w:hAnsi="Palatino Linotype"/>
        </w:rPr>
        <w:t xml:space="preserve"> de la resolución del recurso de revisión; empero, considero necesario precisar algunas consid</w:t>
      </w:r>
      <w:r>
        <w:rPr>
          <w:rFonts w:ascii="Palatino Linotype" w:hAnsi="Palatino Linotype"/>
        </w:rPr>
        <w:t xml:space="preserve">eraciones de hecho y de derecho en cuanto </w:t>
      </w:r>
      <w:r w:rsidR="000539F5">
        <w:rPr>
          <w:rFonts w:ascii="Palatino Linotype" w:hAnsi="Palatino Linotype"/>
        </w:rPr>
        <w:t>a parte</w:t>
      </w:r>
      <w:r w:rsidR="007C2925">
        <w:rPr>
          <w:rFonts w:ascii="Palatino Linotype" w:hAnsi="Palatino Linotype"/>
        </w:rPr>
        <w:t xml:space="preserve"> de lo establecido en el análisis</w:t>
      </w:r>
      <w:r w:rsidR="000539F5">
        <w:rPr>
          <w:rFonts w:ascii="Palatino Linotype" w:hAnsi="Palatino Linotype"/>
        </w:rPr>
        <w:t xml:space="preserve"> de </w:t>
      </w:r>
      <w:r>
        <w:rPr>
          <w:rFonts w:ascii="Palatino Linotype" w:hAnsi="Palatino Linotype"/>
        </w:rPr>
        <w:t>la resolución del recurso de revisión de mérito.</w:t>
      </w:r>
    </w:p>
    <w:p w:rsidR="000539F5" w:rsidRDefault="00311459" w:rsidP="0025493E">
      <w:pPr>
        <w:spacing w:before="100" w:beforeAutospacing="1" w:after="100" w:afterAutospacing="1" w:line="360" w:lineRule="auto"/>
        <w:jc w:val="both"/>
        <w:rPr>
          <w:rFonts w:ascii="Palatino Linotype" w:hAnsi="Palatino Linotype"/>
        </w:rPr>
      </w:pPr>
      <w:r w:rsidRPr="006D731E">
        <w:rPr>
          <w:rFonts w:ascii="Palatino Linotype" w:hAnsi="Palatino Linotype"/>
        </w:rPr>
        <w:t>Al respecto, tal y como quedó debidamente asentado en la resoluci</w:t>
      </w:r>
      <w:r w:rsidR="007C2925">
        <w:rPr>
          <w:rFonts w:ascii="Palatino Linotype" w:hAnsi="Palatino Linotype"/>
        </w:rPr>
        <w:t>ón materia del presente voto, el</w:t>
      </w:r>
      <w:r w:rsidRPr="006D731E">
        <w:rPr>
          <w:rFonts w:ascii="Palatino Linotype" w:hAnsi="Palatino Linotype"/>
        </w:rPr>
        <w:t xml:space="preserve"> particular requirió </w:t>
      </w:r>
      <w:r w:rsidR="00974872">
        <w:rPr>
          <w:rFonts w:ascii="Palatino Linotype" w:hAnsi="Palatino Linotype"/>
        </w:rPr>
        <w:t>a la</w:t>
      </w:r>
      <w:r>
        <w:rPr>
          <w:rFonts w:ascii="Palatino Linotype" w:hAnsi="Palatino Linotype"/>
        </w:rPr>
        <w:t xml:space="preserve"> </w:t>
      </w:r>
      <w:r w:rsidR="00974872">
        <w:rPr>
          <w:rFonts w:ascii="Palatino Linotype" w:hAnsi="Palatino Linotype" w:cs="Arial"/>
          <w:b/>
        </w:rPr>
        <w:t>Secretaría Técnica del Gabinete</w:t>
      </w:r>
      <w:r w:rsidR="000539F5">
        <w:rPr>
          <w:rFonts w:ascii="Palatino Linotype" w:hAnsi="Palatino Linotype"/>
          <w:b/>
        </w:rPr>
        <w:t>,</w:t>
      </w:r>
      <w:r w:rsidRPr="00954188">
        <w:rPr>
          <w:rFonts w:ascii="Palatino Linotype" w:hAnsi="Palatino Linotype"/>
          <w:b/>
        </w:rPr>
        <w:t xml:space="preserve"> </w:t>
      </w:r>
      <w:r w:rsidRPr="002164F0">
        <w:rPr>
          <w:rFonts w:ascii="Palatino Linotype" w:hAnsi="Palatino Linotype"/>
        </w:rPr>
        <w:t>en lo subsecuente</w:t>
      </w:r>
      <w:r>
        <w:rPr>
          <w:rFonts w:ascii="Palatino Linotype" w:hAnsi="Palatino Linotype"/>
          <w:b/>
        </w:rPr>
        <w:t xml:space="preserve"> </w:t>
      </w:r>
      <w:r w:rsidRPr="002164F0">
        <w:rPr>
          <w:rFonts w:ascii="Palatino Linotype" w:hAnsi="Palatino Linotype"/>
          <w:b/>
        </w:rPr>
        <w:t xml:space="preserve">EL </w:t>
      </w:r>
      <w:r w:rsidRPr="006D731E">
        <w:rPr>
          <w:rFonts w:ascii="Palatino Linotype" w:hAnsi="Palatino Linotype"/>
          <w:b/>
        </w:rPr>
        <w:t>SUJETO OBLIGADO</w:t>
      </w:r>
      <w:r w:rsidR="00F42396">
        <w:rPr>
          <w:rFonts w:ascii="Palatino Linotype" w:hAnsi="Palatino Linotype"/>
          <w:b/>
        </w:rPr>
        <w:t xml:space="preserve"> </w:t>
      </w:r>
      <w:r w:rsidR="00F42396">
        <w:rPr>
          <w:rFonts w:ascii="Palatino Linotype" w:hAnsi="Palatino Linotype"/>
        </w:rPr>
        <w:t>lo siguiente:</w:t>
      </w:r>
    </w:p>
    <w:p w:rsidR="008E7293" w:rsidRPr="0056732D" w:rsidRDefault="008E7293" w:rsidP="0025493E">
      <w:pPr>
        <w:spacing w:before="100" w:beforeAutospacing="1" w:after="100" w:afterAutospacing="1"/>
        <w:ind w:left="851" w:right="757"/>
        <w:jc w:val="both"/>
        <w:rPr>
          <w:rFonts w:ascii="Palatino Linotype" w:hAnsi="Palatino Linotype"/>
          <w:sz w:val="22"/>
          <w:szCs w:val="22"/>
          <w:lang w:val="es-ES_tradnl"/>
        </w:rPr>
      </w:pPr>
      <w:r w:rsidRPr="0056732D">
        <w:rPr>
          <w:rFonts w:ascii="Palatino Linotype" w:hAnsi="Palatino Linotype" w:cs="Arial"/>
          <w:i/>
          <w:sz w:val="22"/>
          <w:szCs w:val="22"/>
        </w:rPr>
        <w:lastRenderedPageBreak/>
        <w:t>“</w:t>
      </w:r>
      <w:r w:rsidR="00974872" w:rsidRPr="00974872">
        <w:rPr>
          <w:rFonts w:ascii="Palatino Linotype" w:hAnsi="Palatino Linotype" w:cs="Arial"/>
          <w:i/>
          <w:sz w:val="22"/>
          <w:szCs w:val="22"/>
        </w:rPr>
        <w:t>ACTIVIDADES REALIZADAS POR CADA UNA DE LAS ÁREAS DE ESTA SECRETARÍA DURANTE EL MES DE MAYO Y JUNIO. PERSONAS QUE LABORAN POR OUTSORCING EN ESTA DEPENDENCIA Y ACTIVIDADES DESARROLLADAS, DURANTE EL MES DE MAYO Y JUNIO</w:t>
      </w:r>
      <w:r w:rsidRPr="0056732D">
        <w:rPr>
          <w:rFonts w:ascii="Palatino Linotype" w:hAnsi="Palatino Linotype" w:cs="Arial"/>
          <w:i/>
          <w:sz w:val="22"/>
          <w:szCs w:val="22"/>
        </w:rPr>
        <w:t>.” (Sic).</w:t>
      </w:r>
    </w:p>
    <w:p w:rsidR="00974872" w:rsidRDefault="00311459" w:rsidP="0025493E">
      <w:pPr>
        <w:spacing w:before="100" w:beforeAutospacing="1" w:after="100" w:afterAutospacing="1" w:line="360" w:lineRule="auto"/>
        <w:jc w:val="both"/>
        <w:rPr>
          <w:rFonts w:ascii="Palatino Linotype" w:hAnsi="Palatino Linotype" w:cs="Arial"/>
        </w:rPr>
      </w:pPr>
      <w:r w:rsidRPr="006D731E">
        <w:rPr>
          <w:rFonts w:ascii="Palatino Linotype" w:hAnsi="Palatino Linotype" w:cs="Arial"/>
        </w:rPr>
        <w:t xml:space="preserve">Así, de las constancias que obran en el </w:t>
      </w:r>
      <w:r w:rsidRPr="006D731E">
        <w:rPr>
          <w:rFonts w:ascii="Palatino Linotype" w:hAnsi="Palatino Linotype" w:cs="Arial"/>
          <w:b/>
        </w:rPr>
        <w:t>SAIMEX</w:t>
      </w:r>
      <w:r w:rsidRPr="006D731E">
        <w:rPr>
          <w:rFonts w:ascii="Palatino Linotype" w:hAnsi="Palatino Linotype" w:cs="Arial"/>
        </w:rPr>
        <w:t xml:space="preserve"> se advierte que </w:t>
      </w:r>
      <w:r w:rsidRPr="006D731E">
        <w:rPr>
          <w:rFonts w:ascii="Palatino Linotype" w:hAnsi="Palatino Linotype" w:cs="Arial"/>
          <w:b/>
        </w:rPr>
        <w:t>EL SUJETO OBLIGADO</w:t>
      </w:r>
      <w:r w:rsidRPr="006D731E">
        <w:rPr>
          <w:rFonts w:ascii="Palatino Linotype" w:hAnsi="Palatino Linotype" w:cs="Arial"/>
        </w:rPr>
        <w:t xml:space="preserve"> </w:t>
      </w:r>
      <w:r w:rsidR="000539F5">
        <w:rPr>
          <w:rFonts w:ascii="Palatino Linotype" w:hAnsi="Palatino Linotype" w:cs="Arial"/>
        </w:rPr>
        <w:t xml:space="preserve">adjuntó a su respuesta </w:t>
      </w:r>
      <w:r w:rsidR="00974872">
        <w:rPr>
          <w:rFonts w:ascii="Palatino Linotype" w:hAnsi="Palatino Linotype" w:cs="Arial"/>
        </w:rPr>
        <w:t xml:space="preserve">manifestando </w:t>
      </w:r>
      <w:r w:rsidR="00974872">
        <w:rPr>
          <w:rFonts w:ascii="Palatino Linotype" w:hAnsi="Palatino Linotype" w:cs="Arial"/>
          <w:szCs w:val="23"/>
        </w:rPr>
        <w:t xml:space="preserve">por un lado, que las actividades realizadas por cada una de sus áreas administrativas se encontraban disponibles para consulta a través de una dirección de internet específica y, por otro lado, informó que la Secretaría Técnica del Gabinete no contrataba personas a través de </w:t>
      </w:r>
      <w:proofErr w:type="spellStart"/>
      <w:r w:rsidR="00974872">
        <w:rPr>
          <w:rFonts w:ascii="Palatino Linotype" w:hAnsi="Palatino Linotype" w:cs="Arial"/>
          <w:i/>
          <w:szCs w:val="23"/>
        </w:rPr>
        <w:t>outsourcing</w:t>
      </w:r>
      <w:proofErr w:type="spellEnd"/>
      <w:r w:rsidR="00974872">
        <w:rPr>
          <w:rFonts w:ascii="Palatino Linotype" w:hAnsi="Palatino Linotype" w:cs="Arial"/>
          <w:szCs w:val="23"/>
        </w:rPr>
        <w:t>.</w:t>
      </w:r>
    </w:p>
    <w:p w:rsidR="0056732D" w:rsidRPr="0025493E" w:rsidRDefault="00311459" w:rsidP="00350C35">
      <w:pPr>
        <w:spacing w:before="100" w:beforeAutospacing="1" w:after="100" w:afterAutospacing="1" w:line="360" w:lineRule="auto"/>
        <w:jc w:val="both"/>
        <w:rPr>
          <w:rFonts w:ascii="Palatino Linotype" w:hAnsi="Palatino Linotype" w:cs="Arial"/>
          <w:sz w:val="22"/>
          <w:szCs w:val="22"/>
        </w:rPr>
      </w:pPr>
      <w:r w:rsidRPr="006D731E">
        <w:rPr>
          <w:rFonts w:ascii="Palatino Linotype" w:hAnsi="Palatino Linotype"/>
          <w:lang w:eastAsia="es-MX"/>
        </w:rPr>
        <w:t xml:space="preserve">Inconforme con la respuesta, </w:t>
      </w:r>
      <w:r w:rsidRPr="006D731E">
        <w:rPr>
          <w:rFonts w:ascii="Palatino Linotype" w:hAnsi="Palatino Linotype"/>
          <w:b/>
          <w:lang w:eastAsia="es-MX"/>
        </w:rPr>
        <w:t>EL RECURRENTE</w:t>
      </w:r>
      <w:r w:rsidRPr="006D731E">
        <w:rPr>
          <w:rFonts w:ascii="Palatino Linotype" w:hAnsi="Palatino Linotype"/>
          <w:lang w:eastAsia="es-MX"/>
        </w:rPr>
        <w:t xml:space="preserve"> </w:t>
      </w:r>
      <w:r w:rsidRPr="006D731E">
        <w:rPr>
          <w:rFonts w:ascii="Palatino Linotype" w:hAnsi="Palatino Linotype" w:cs="Arial"/>
        </w:rPr>
        <w:t>interpuso el recurso de revisión de mérito señalando como razones o motivo</w:t>
      </w:r>
      <w:r>
        <w:rPr>
          <w:rFonts w:ascii="Palatino Linotype" w:hAnsi="Palatino Linotype" w:cs="Arial"/>
        </w:rPr>
        <w:t>s de inconformidad</w:t>
      </w:r>
      <w:r w:rsidR="0056732D">
        <w:rPr>
          <w:rFonts w:ascii="Palatino Linotype" w:hAnsi="Palatino Linotype" w:cs="Arial"/>
        </w:rPr>
        <w:t xml:space="preserve"> </w:t>
      </w:r>
      <w:r w:rsidR="00350C35">
        <w:rPr>
          <w:rFonts w:ascii="Palatino Linotype" w:hAnsi="Palatino Linotype" w:cs="Arial"/>
        </w:rPr>
        <w:t xml:space="preserve">que la liga referida en respuesta no mostraba las actividades realizadas </w:t>
      </w:r>
      <w:r w:rsidR="00350C35">
        <w:rPr>
          <w:rFonts w:ascii="Palatino Linotype" w:hAnsi="Palatino Linotype" w:cs="Arial"/>
          <w:szCs w:val="23"/>
        </w:rPr>
        <w:t>durante los meses de mayo y junio.</w:t>
      </w:r>
    </w:p>
    <w:p w:rsidR="00FF556B" w:rsidRPr="00FF556B" w:rsidRDefault="00311459" w:rsidP="0025493E">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Así, del estudio al expediente electrónico, la Ponencia </w:t>
      </w:r>
      <w:proofErr w:type="spellStart"/>
      <w:r>
        <w:rPr>
          <w:rFonts w:ascii="Palatino Linotype" w:hAnsi="Palatino Linotype" w:cs="Arial"/>
        </w:rPr>
        <w:t>Resolutora</w:t>
      </w:r>
      <w:proofErr w:type="spellEnd"/>
      <w:r>
        <w:rPr>
          <w:rFonts w:ascii="Palatino Linotype" w:hAnsi="Palatino Linotype" w:cs="Arial"/>
        </w:rPr>
        <w:t xml:space="preserve"> determinó </w:t>
      </w:r>
      <w:r w:rsidR="00350C35">
        <w:rPr>
          <w:rFonts w:ascii="Palatino Linotype" w:hAnsi="Palatino Linotype" w:cs="Arial"/>
          <w:b/>
        </w:rPr>
        <w:t>MODIFICAR</w:t>
      </w:r>
      <w:r w:rsidRPr="00954188">
        <w:rPr>
          <w:rFonts w:ascii="Palatino Linotype" w:hAnsi="Palatino Linotype" w:cs="Arial"/>
          <w:b/>
        </w:rPr>
        <w:t xml:space="preserve"> </w:t>
      </w:r>
      <w:r w:rsidR="00FF556B">
        <w:rPr>
          <w:rFonts w:ascii="Palatino Linotype" w:hAnsi="Palatino Linotype" w:cs="Arial"/>
        </w:rPr>
        <w:t xml:space="preserve">la respuesta del </w:t>
      </w:r>
      <w:r w:rsidR="00FF556B">
        <w:rPr>
          <w:rFonts w:ascii="Palatino Linotype" w:hAnsi="Palatino Linotype" w:cs="Arial"/>
          <w:b/>
        </w:rPr>
        <w:t xml:space="preserve">SUJETO OBLIGADO </w:t>
      </w:r>
      <w:r w:rsidR="00FF556B">
        <w:rPr>
          <w:rFonts w:ascii="Palatino Linotype" w:hAnsi="Palatino Linotype" w:cs="Arial"/>
        </w:rPr>
        <w:t xml:space="preserve">y ordenar </w:t>
      </w:r>
      <w:r w:rsidR="00350C35" w:rsidRPr="00006BF9">
        <w:rPr>
          <w:rFonts w:ascii="Palatino Linotype" w:eastAsia="Calibri" w:hAnsi="Palatino Linotype" w:cs="Arial"/>
          <w:lang w:val="es-ES"/>
        </w:rPr>
        <w:t>entregar</w:t>
      </w:r>
      <w:r w:rsidR="00350C35" w:rsidRPr="007D4303">
        <w:rPr>
          <w:rFonts w:ascii="Palatino Linotype" w:eastAsia="Calibri" w:hAnsi="Palatino Linotype" w:cs="Arial"/>
          <w:lang w:val="es-ES"/>
        </w:rPr>
        <w:t xml:space="preserve"> vía Sistema de Acceso a la Información Mexiquense </w:t>
      </w:r>
      <w:r w:rsidR="00350C35">
        <w:rPr>
          <w:rFonts w:ascii="Palatino Linotype" w:eastAsia="Calibri" w:hAnsi="Palatino Linotype" w:cs="Arial"/>
          <w:b/>
          <w:lang w:val="es-ES"/>
        </w:rPr>
        <w:t xml:space="preserve">(SAIMEX), </w:t>
      </w:r>
      <w:r w:rsidR="00350C35">
        <w:rPr>
          <w:rFonts w:ascii="Palatino Linotype" w:eastAsia="Calibri" w:hAnsi="Palatino Linotype" w:cs="Arial"/>
          <w:lang w:val="es-ES"/>
        </w:rPr>
        <w:t>de ser necesario en versión pública, los documentos donde conste lo siguiente</w:t>
      </w:r>
      <w:r w:rsidR="00350C35" w:rsidRPr="007D4303">
        <w:rPr>
          <w:rFonts w:ascii="Palatino Linotype" w:eastAsia="Calibri" w:hAnsi="Palatino Linotype" w:cs="Arial"/>
          <w:lang w:val="es-ES"/>
        </w:rPr>
        <w:t>:</w:t>
      </w:r>
    </w:p>
    <w:p w:rsidR="0056732D" w:rsidRPr="003F6E88" w:rsidRDefault="00350C35" w:rsidP="003F6E88">
      <w:pPr>
        <w:pStyle w:val="Prrafodelista"/>
        <w:spacing w:before="100" w:beforeAutospacing="1" w:after="100" w:afterAutospacing="1" w:line="240" w:lineRule="auto"/>
        <w:ind w:right="757"/>
        <w:jc w:val="both"/>
        <w:rPr>
          <w:rFonts w:ascii="Palatino Linotype" w:hAnsi="Palatino Linotype" w:cs="Arial"/>
          <w:b/>
          <w:i/>
        </w:rPr>
      </w:pPr>
      <w:r w:rsidRPr="00350C35">
        <w:rPr>
          <w:rFonts w:ascii="Palatino Linotype" w:hAnsi="Palatino Linotype" w:cs="Arial"/>
          <w:i/>
          <w:szCs w:val="28"/>
        </w:rPr>
        <w:t>A)</w:t>
      </w:r>
      <w:r w:rsidRPr="00350C35">
        <w:rPr>
          <w:rFonts w:ascii="Palatino Linotype" w:hAnsi="Palatino Linotype" w:cs="Arial"/>
          <w:i/>
          <w:szCs w:val="28"/>
        </w:rPr>
        <w:tab/>
        <w:t>Actividades realizadas por cada una de las áreas administrativas que integran a la Secretaría Técnica del Gabinete, durante el uno (01) de mayo al treinta (30) de junio del dos mil diecinueve</w:t>
      </w:r>
    </w:p>
    <w:p w:rsidR="003F6E88" w:rsidRPr="003F6E88" w:rsidRDefault="003F6E88" w:rsidP="003F6E88">
      <w:pPr>
        <w:pStyle w:val="Prrafodelista"/>
        <w:spacing w:before="100" w:beforeAutospacing="1" w:after="100" w:afterAutospacing="1" w:line="240" w:lineRule="auto"/>
        <w:ind w:right="757"/>
        <w:jc w:val="both"/>
        <w:rPr>
          <w:rFonts w:ascii="Palatino Linotype" w:hAnsi="Palatino Linotype" w:cs="Arial"/>
          <w:b/>
          <w:i/>
        </w:rPr>
      </w:pPr>
    </w:p>
    <w:p w:rsidR="003F6E88" w:rsidRPr="003F6E88" w:rsidRDefault="003F6E88" w:rsidP="003F6E88">
      <w:pPr>
        <w:pStyle w:val="Prrafodelista"/>
        <w:spacing w:before="100" w:beforeAutospacing="1" w:after="100" w:afterAutospacing="1" w:line="240" w:lineRule="auto"/>
        <w:ind w:right="757"/>
        <w:jc w:val="both"/>
        <w:rPr>
          <w:rFonts w:ascii="Palatino Linotype" w:hAnsi="Palatino Linotype" w:cs="Arial"/>
          <w:i/>
        </w:rPr>
      </w:pPr>
      <w:r w:rsidRPr="003F6E88">
        <w:rPr>
          <w:rFonts w:ascii="Palatino Linotype" w:hAnsi="Palatino Linotype" w:cs="Arial"/>
          <w:i/>
        </w:rPr>
        <w:t>Para efectos de lo anterior, de ser el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rsidR="00BB467E" w:rsidRDefault="00311459" w:rsidP="0025493E">
      <w:pPr>
        <w:spacing w:before="100" w:beforeAutospacing="1" w:after="100" w:afterAutospacing="1" w:line="360" w:lineRule="auto"/>
        <w:jc w:val="both"/>
        <w:rPr>
          <w:rFonts w:ascii="Palatino Linotype" w:hAnsi="Palatino Linotype" w:cs="Arial"/>
        </w:rPr>
      </w:pPr>
      <w:r w:rsidRPr="001D3F57">
        <w:rPr>
          <w:rFonts w:ascii="Palatino Linotype" w:hAnsi="Palatino Linotype" w:cs="Arial"/>
        </w:rPr>
        <w:lastRenderedPageBreak/>
        <w:t>En ese s</w:t>
      </w:r>
      <w:r>
        <w:rPr>
          <w:rFonts w:ascii="Palatino Linotype" w:hAnsi="Palatino Linotype" w:cs="Arial"/>
        </w:rPr>
        <w:t>entido, la que suscribe reitera</w:t>
      </w:r>
      <w:r w:rsidRPr="001D3F57">
        <w:rPr>
          <w:rFonts w:ascii="Palatino Linotype" w:hAnsi="Palatino Linotype" w:cs="Arial"/>
        </w:rPr>
        <w:t xml:space="preserve"> que si bien coincide en términos generales </w:t>
      </w:r>
      <w:r>
        <w:rPr>
          <w:rFonts w:ascii="Palatino Linotype" w:hAnsi="Palatino Linotype" w:cs="Arial"/>
        </w:rPr>
        <w:t>con el sentido de la resolución e</w:t>
      </w:r>
      <w:r w:rsidRPr="001D3F57">
        <w:rPr>
          <w:rFonts w:ascii="Palatino Linotype" w:hAnsi="Palatino Linotype" w:cs="Arial"/>
        </w:rPr>
        <w:t xml:space="preserve">n comento, </w:t>
      </w:r>
      <w:r>
        <w:rPr>
          <w:rFonts w:ascii="Palatino Linotype" w:hAnsi="Palatino Linotype" w:cs="Arial"/>
        </w:rPr>
        <w:t>considero</w:t>
      </w:r>
      <w:r w:rsidRPr="001D3F57">
        <w:rPr>
          <w:rFonts w:ascii="Palatino Linotype" w:hAnsi="Palatino Linotype" w:cs="Arial"/>
        </w:rPr>
        <w:t xml:space="preserve"> </w:t>
      </w:r>
      <w:r>
        <w:rPr>
          <w:rFonts w:ascii="Palatino Linotype" w:hAnsi="Palatino Linotype" w:cs="Arial"/>
        </w:rPr>
        <w:t xml:space="preserve">que la Ponencia </w:t>
      </w:r>
      <w:proofErr w:type="spellStart"/>
      <w:r>
        <w:rPr>
          <w:rFonts w:ascii="Palatino Linotype" w:hAnsi="Palatino Linotype" w:cs="Arial"/>
        </w:rPr>
        <w:t>Resolutora</w:t>
      </w:r>
      <w:proofErr w:type="spellEnd"/>
      <w:r>
        <w:rPr>
          <w:rFonts w:ascii="Palatino Linotype" w:hAnsi="Palatino Linotype" w:cs="Arial"/>
        </w:rPr>
        <w:t xml:space="preserve"> debió</w:t>
      </w:r>
      <w:r w:rsidR="00316BF6">
        <w:rPr>
          <w:rFonts w:ascii="Palatino Linotype" w:hAnsi="Palatino Linotype" w:cs="Arial"/>
        </w:rPr>
        <w:t xml:space="preserve"> </w:t>
      </w:r>
      <w:r w:rsidR="007C2925">
        <w:rPr>
          <w:rFonts w:ascii="Palatino Linotype" w:hAnsi="Palatino Linotype" w:cs="Arial"/>
        </w:rPr>
        <w:t>tomar en cuenta dentro del resolutivo</w:t>
      </w:r>
      <w:r w:rsidR="00316BF6">
        <w:rPr>
          <w:rFonts w:ascii="Palatino Linotype" w:hAnsi="Palatino Linotype" w:cs="Arial"/>
        </w:rPr>
        <w:t xml:space="preserve"> SEGUNDO, el adicionar</w:t>
      </w:r>
      <w:r w:rsidR="007C2925">
        <w:rPr>
          <w:rFonts w:ascii="Palatino Linotype" w:hAnsi="Palatino Linotype" w:cs="Arial"/>
        </w:rPr>
        <w:t xml:space="preserve"> la posibilidad</w:t>
      </w:r>
      <w:r w:rsidR="00316BF6">
        <w:rPr>
          <w:rFonts w:ascii="Palatino Linotype" w:hAnsi="Palatino Linotype" w:cs="Arial"/>
        </w:rPr>
        <w:t xml:space="preserve"> </w:t>
      </w:r>
      <w:r w:rsidR="007C2925">
        <w:rPr>
          <w:rFonts w:ascii="Palatino Linotype" w:hAnsi="Palatino Linotype" w:cs="Arial"/>
        </w:rPr>
        <w:t xml:space="preserve">de </w:t>
      </w:r>
      <w:r w:rsidR="00316BF6">
        <w:rPr>
          <w:rFonts w:ascii="Palatino Linotype" w:hAnsi="Palatino Linotype" w:cs="Arial"/>
        </w:rPr>
        <w:t>la clasificación</w:t>
      </w:r>
      <w:r w:rsidR="007C2925">
        <w:rPr>
          <w:rFonts w:ascii="Palatino Linotype" w:hAnsi="Palatino Linotype" w:cs="Arial"/>
        </w:rPr>
        <w:t xml:space="preserve"> de la información</w:t>
      </w:r>
      <w:r w:rsidR="00316BF6">
        <w:rPr>
          <w:rFonts w:ascii="Palatino Linotype" w:hAnsi="Palatino Linotype" w:cs="Arial"/>
        </w:rPr>
        <w:t xml:space="preserve"> </w:t>
      </w:r>
      <w:r w:rsidR="007C2925">
        <w:rPr>
          <w:rFonts w:ascii="Palatino Linotype" w:hAnsi="Palatino Linotype" w:cs="Arial"/>
        </w:rPr>
        <w:t>como reservada</w:t>
      </w:r>
      <w:r w:rsidR="00F21C6D">
        <w:rPr>
          <w:rFonts w:ascii="Palatino Linotype" w:hAnsi="Palatino Linotype" w:cs="Arial"/>
        </w:rPr>
        <w:t xml:space="preserve"> para algunos documentos</w:t>
      </w:r>
      <w:r w:rsidR="00316BF6">
        <w:rPr>
          <w:rFonts w:ascii="Palatino Linotype" w:hAnsi="Palatino Linotype" w:cs="Arial"/>
        </w:rPr>
        <w:t xml:space="preserve">, </w:t>
      </w:r>
      <w:r w:rsidR="00F21C6D">
        <w:rPr>
          <w:rFonts w:ascii="Palatino Linotype" w:hAnsi="Palatino Linotype" w:cs="Arial"/>
        </w:rPr>
        <w:t xml:space="preserve">toda vez que </w:t>
      </w:r>
      <w:r w:rsidR="00F21C6D" w:rsidRPr="00F21C6D">
        <w:rPr>
          <w:rFonts w:ascii="Palatino Linotype" w:hAnsi="Palatino Linotype" w:cs="Arial"/>
        </w:rPr>
        <w:t>la Secretaría Técnica del Gabinete</w:t>
      </w:r>
      <w:r w:rsidR="00F21C6D">
        <w:rPr>
          <w:rFonts w:ascii="Palatino Linotype" w:hAnsi="Palatino Linotype" w:cs="Arial"/>
        </w:rPr>
        <w:t xml:space="preserve"> pudiera trata asuntos a los cuales se debería restringir su acceso.</w:t>
      </w:r>
    </w:p>
    <w:p w:rsidR="008E15F4" w:rsidRPr="00112593" w:rsidRDefault="008E15F4" w:rsidP="008E15F4">
      <w:pPr>
        <w:pStyle w:val="Prrafodelista"/>
        <w:tabs>
          <w:tab w:val="left" w:pos="426"/>
        </w:tabs>
        <w:spacing w:before="240" w:after="240" w:line="360" w:lineRule="auto"/>
        <w:ind w:left="0" w:right="49"/>
        <w:jc w:val="both"/>
        <w:rPr>
          <w:rFonts w:ascii="Palatino Linotype" w:hAnsi="Palatino Linotype" w:cs="Arial"/>
          <w:sz w:val="24"/>
          <w:szCs w:val="24"/>
        </w:rPr>
      </w:pPr>
      <w:r w:rsidRPr="00112593">
        <w:rPr>
          <w:rFonts w:ascii="Palatino Linotype" w:hAnsi="Palatino Linotype" w:cs="Arial"/>
          <w:sz w:val="24"/>
          <w:szCs w:val="24"/>
        </w:rPr>
        <w:t>Por su parte, el Considerando Tercero del Acuerdo del Ejecutivo del Estado por el que se Crea la Secretaría Técnica del Gabinete, señala lo siguiente:</w:t>
      </w:r>
    </w:p>
    <w:p w:rsidR="008E15F4" w:rsidRDefault="008E15F4" w:rsidP="008E15F4">
      <w:pPr>
        <w:pStyle w:val="Prrafodelista"/>
        <w:tabs>
          <w:tab w:val="left" w:pos="426"/>
        </w:tabs>
        <w:spacing w:before="240" w:after="240" w:line="360" w:lineRule="auto"/>
        <w:ind w:left="0" w:right="49"/>
        <w:jc w:val="both"/>
        <w:rPr>
          <w:rFonts w:ascii="Palatino Linotype" w:hAnsi="Palatino Linotype" w:cs="Arial"/>
        </w:rPr>
      </w:pPr>
    </w:p>
    <w:p w:rsidR="008E15F4" w:rsidRPr="009C77B9" w:rsidRDefault="008E15F4" w:rsidP="008E15F4">
      <w:pPr>
        <w:pStyle w:val="Prrafodelista"/>
        <w:tabs>
          <w:tab w:val="left" w:pos="426"/>
        </w:tabs>
        <w:spacing w:before="240" w:after="240" w:line="276" w:lineRule="auto"/>
        <w:ind w:left="567" w:right="567"/>
        <w:jc w:val="both"/>
        <w:rPr>
          <w:rFonts w:ascii="Palatino Linotype" w:hAnsi="Palatino Linotype"/>
          <w:i/>
        </w:rPr>
      </w:pPr>
      <w:r>
        <w:rPr>
          <w:rFonts w:ascii="Palatino Linotype" w:hAnsi="Palatino Linotype"/>
          <w:i/>
        </w:rPr>
        <w:t>“</w:t>
      </w:r>
      <w:r w:rsidRPr="009C77B9">
        <w:rPr>
          <w:rFonts w:ascii="Palatino Linotype" w:hAnsi="Palatino Linotype"/>
          <w:b/>
          <w:i/>
        </w:rPr>
        <w:t xml:space="preserve">TERCERO.- </w:t>
      </w:r>
      <w:r w:rsidRPr="009C77B9">
        <w:rPr>
          <w:rFonts w:ascii="Palatino Linotype" w:hAnsi="Palatino Linotype"/>
          <w:i/>
        </w:rPr>
        <w:t xml:space="preserve">La Secretaría Técnica del Gabinete tendrá las siguientes funciones: </w:t>
      </w:r>
    </w:p>
    <w:p w:rsidR="008E15F4" w:rsidRPr="009C77B9" w:rsidRDefault="008E15F4" w:rsidP="008E15F4">
      <w:pPr>
        <w:pStyle w:val="Prrafodelista"/>
        <w:tabs>
          <w:tab w:val="left" w:pos="426"/>
        </w:tabs>
        <w:spacing w:before="240" w:after="240" w:line="276" w:lineRule="auto"/>
        <w:ind w:left="567" w:right="567"/>
        <w:jc w:val="both"/>
        <w:rPr>
          <w:rFonts w:ascii="Palatino Linotype" w:hAnsi="Palatino Linotype"/>
          <w:i/>
        </w:rPr>
      </w:pPr>
      <w:r w:rsidRPr="009C77B9">
        <w:rPr>
          <w:rFonts w:ascii="Palatino Linotype" w:hAnsi="Palatino Linotype"/>
          <w:b/>
          <w:i/>
        </w:rPr>
        <w:t>I.</w:t>
      </w:r>
      <w:r w:rsidRPr="009C77B9">
        <w:rPr>
          <w:rFonts w:ascii="Palatino Linotype" w:hAnsi="Palatino Linotype"/>
          <w:i/>
        </w:rPr>
        <w:t xml:space="preserve"> Atender las acciones de apoyo técnico y asesoría que le encomiende expresamente el titular del Poder Ejecutivo;</w:t>
      </w:r>
    </w:p>
    <w:p w:rsidR="008E15F4" w:rsidRPr="009C77B9" w:rsidRDefault="008E15F4" w:rsidP="008E15F4">
      <w:pPr>
        <w:pStyle w:val="Prrafodelista"/>
        <w:tabs>
          <w:tab w:val="left" w:pos="426"/>
        </w:tabs>
        <w:spacing w:before="240" w:after="240" w:line="276" w:lineRule="auto"/>
        <w:ind w:left="567" w:right="567"/>
        <w:jc w:val="both"/>
        <w:rPr>
          <w:rFonts w:ascii="Palatino Linotype" w:hAnsi="Palatino Linotype"/>
          <w:i/>
        </w:rPr>
      </w:pPr>
      <w:r w:rsidRPr="009C77B9">
        <w:rPr>
          <w:rFonts w:ascii="Palatino Linotype" w:hAnsi="Palatino Linotype"/>
          <w:b/>
          <w:i/>
        </w:rPr>
        <w:t>II.</w:t>
      </w:r>
      <w:r w:rsidRPr="009C77B9">
        <w:rPr>
          <w:rFonts w:ascii="Palatino Linotype" w:hAnsi="Palatino Linotype"/>
          <w:i/>
        </w:rPr>
        <w:t xml:space="preserve"> Prestar al titular del Poder Ejecutivo el apoyo y asesoría que no esté encomendado a otras áreas de la Gubernatura; </w:t>
      </w:r>
    </w:p>
    <w:p w:rsidR="008E15F4" w:rsidRPr="009C77B9" w:rsidRDefault="008E15F4" w:rsidP="008E15F4">
      <w:pPr>
        <w:pStyle w:val="Prrafodelista"/>
        <w:tabs>
          <w:tab w:val="left" w:pos="426"/>
        </w:tabs>
        <w:spacing w:before="240" w:after="240" w:line="276" w:lineRule="auto"/>
        <w:ind w:left="567" w:right="567"/>
        <w:jc w:val="both"/>
        <w:rPr>
          <w:rFonts w:ascii="Palatino Linotype" w:hAnsi="Palatino Linotype"/>
          <w:i/>
        </w:rPr>
      </w:pPr>
      <w:r w:rsidRPr="009C77B9">
        <w:rPr>
          <w:rFonts w:ascii="Palatino Linotype" w:hAnsi="Palatino Linotype"/>
          <w:b/>
          <w:i/>
        </w:rPr>
        <w:t>III.</w:t>
      </w:r>
      <w:r w:rsidRPr="009C77B9">
        <w:rPr>
          <w:rFonts w:ascii="Palatino Linotype" w:hAnsi="Palatino Linotype"/>
          <w:i/>
        </w:rPr>
        <w:t xml:space="preserve"> Hacer el seguimiento del debido cumplimiento de los acuerdos y órdenes establecidos por el Gobernador del Estado de México en sesiones de gabinete; </w:t>
      </w:r>
    </w:p>
    <w:p w:rsidR="008E15F4" w:rsidRPr="009C77B9" w:rsidRDefault="008E15F4" w:rsidP="008E15F4">
      <w:pPr>
        <w:pStyle w:val="Prrafodelista"/>
        <w:tabs>
          <w:tab w:val="left" w:pos="426"/>
        </w:tabs>
        <w:spacing w:before="240" w:after="240" w:line="276" w:lineRule="auto"/>
        <w:ind w:left="567" w:right="567"/>
        <w:jc w:val="both"/>
        <w:rPr>
          <w:rFonts w:ascii="Palatino Linotype" w:hAnsi="Palatino Linotype"/>
          <w:i/>
        </w:rPr>
      </w:pPr>
      <w:r w:rsidRPr="009C77B9">
        <w:rPr>
          <w:rFonts w:ascii="Palatino Linotype" w:hAnsi="Palatino Linotype"/>
          <w:b/>
          <w:i/>
        </w:rPr>
        <w:t>IV.</w:t>
      </w:r>
      <w:r w:rsidRPr="009C77B9">
        <w:rPr>
          <w:rFonts w:ascii="Palatino Linotype" w:hAnsi="Palatino Linotype"/>
          <w:i/>
        </w:rPr>
        <w:t xml:space="preserve"> Mantener informado al Gobernador de la situación que guarda el cumplimiento de los compromisos y acuerdos institucionales instruidos en las sesiones de gabinete; </w:t>
      </w:r>
    </w:p>
    <w:p w:rsidR="008E15F4" w:rsidRPr="009C77B9" w:rsidRDefault="008E15F4" w:rsidP="008E15F4">
      <w:pPr>
        <w:pStyle w:val="Prrafodelista"/>
        <w:tabs>
          <w:tab w:val="left" w:pos="426"/>
        </w:tabs>
        <w:spacing w:before="240" w:after="240" w:line="276" w:lineRule="auto"/>
        <w:ind w:left="567" w:right="567"/>
        <w:jc w:val="both"/>
        <w:rPr>
          <w:rFonts w:ascii="Palatino Linotype" w:hAnsi="Palatino Linotype"/>
          <w:i/>
        </w:rPr>
      </w:pPr>
      <w:r w:rsidRPr="009C77B9">
        <w:rPr>
          <w:rFonts w:ascii="Palatino Linotype" w:hAnsi="Palatino Linotype"/>
          <w:b/>
          <w:i/>
        </w:rPr>
        <w:t>V.</w:t>
      </w:r>
      <w:r w:rsidRPr="009C77B9">
        <w:rPr>
          <w:rFonts w:ascii="Palatino Linotype" w:hAnsi="Palatino Linotype"/>
          <w:i/>
        </w:rPr>
        <w:t xml:space="preserve"> Integrar y llevar a cabo el registro y seguimiento de los acuerdos establecidos entre los titulares de las dependencias que integran el Gabinete, así como de éstos con instancias del Ejecutivo Federal, con gobiernos estatales y municipales y con representantes de la sociedad civil organizada; </w:t>
      </w:r>
    </w:p>
    <w:p w:rsidR="008E15F4" w:rsidRPr="009C77B9" w:rsidRDefault="008E15F4" w:rsidP="008E15F4">
      <w:pPr>
        <w:pStyle w:val="Prrafodelista"/>
        <w:tabs>
          <w:tab w:val="left" w:pos="426"/>
        </w:tabs>
        <w:spacing w:before="240" w:after="240" w:line="276" w:lineRule="auto"/>
        <w:ind w:left="567" w:right="567"/>
        <w:jc w:val="both"/>
        <w:rPr>
          <w:rFonts w:ascii="Palatino Linotype" w:hAnsi="Palatino Linotype"/>
          <w:i/>
        </w:rPr>
      </w:pPr>
      <w:r w:rsidRPr="009C77B9">
        <w:rPr>
          <w:rFonts w:ascii="Palatino Linotype" w:hAnsi="Palatino Linotype"/>
          <w:b/>
          <w:i/>
        </w:rPr>
        <w:t>VI.</w:t>
      </w:r>
      <w:r w:rsidRPr="009C77B9">
        <w:rPr>
          <w:rFonts w:ascii="Palatino Linotype" w:hAnsi="Palatino Linotype"/>
          <w:i/>
        </w:rPr>
        <w:t xml:space="preserve"> Verificar la realización de los programas e instrucciones que expresamente señale el Gobernador cuando abarquen a más de una dependencia; </w:t>
      </w:r>
    </w:p>
    <w:p w:rsidR="008E15F4" w:rsidRPr="009C77B9" w:rsidRDefault="008E15F4" w:rsidP="008E15F4">
      <w:pPr>
        <w:pStyle w:val="Prrafodelista"/>
        <w:tabs>
          <w:tab w:val="left" w:pos="426"/>
        </w:tabs>
        <w:spacing w:before="240" w:after="240" w:line="276" w:lineRule="auto"/>
        <w:ind w:left="567" w:right="567"/>
        <w:jc w:val="both"/>
        <w:rPr>
          <w:rFonts w:ascii="Palatino Linotype" w:hAnsi="Palatino Linotype"/>
          <w:i/>
        </w:rPr>
      </w:pPr>
      <w:r w:rsidRPr="009C77B9">
        <w:rPr>
          <w:rFonts w:ascii="Palatino Linotype" w:hAnsi="Palatino Linotype"/>
          <w:b/>
          <w:i/>
        </w:rPr>
        <w:t>VII.</w:t>
      </w:r>
      <w:r w:rsidRPr="009C77B9">
        <w:rPr>
          <w:rFonts w:ascii="Palatino Linotype" w:hAnsi="Palatino Linotype"/>
          <w:i/>
        </w:rPr>
        <w:t xml:space="preserve"> Coordinar y llevar a cabo el seguimiento de los acuerdos que se tomen en el seno de los gabinetes especializados, elevando a la consideración del Gobernador, la situación que guarde el cumplimiento de los mismos; </w:t>
      </w:r>
    </w:p>
    <w:p w:rsidR="008E15F4" w:rsidRPr="009C77B9" w:rsidRDefault="008E15F4" w:rsidP="008E15F4">
      <w:pPr>
        <w:pStyle w:val="Prrafodelista"/>
        <w:tabs>
          <w:tab w:val="left" w:pos="426"/>
        </w:tabs>
        <w:spacing w:before="240" w:after="240" w:line="276" w:lineRule="auto"/>
        <w:ind w:left="567" w:right="567"/>
        <w:jc w:val="both"/>
        <w:rPr>
          <w:rFonts w:ascii="Palatino Linotype" w:hAnsi="Palatino Linotype"/>
          <w:i/>
        </w:rPr>
      </w:pPr>
      <w:r w:rsidRPr="009C77B9">
        <w:rPr>
          <w:rFonts w:ascii="Palatino Linotype" w:hAnsi="Palatino Linotype"/>
          <w:b/>
          <w:i/>
        </w:rPr>
        <w:lastRenderedPageBreak/>
        <w:t>VIII.</w:t>
      </w:r>
      <w:r w:rsidRPr="009C77B9">
        <w:rPr>
          <w:rFonts w:ascii="Palatino Linotype" w:hAnsi="Palatino Linotype"/>
          <w:i/>
        </w:rPr>
        <w:t xml:space="preserve"> Registrar los acuerdos derivados de reuniones de Gabinete y de los establecidos con los titulares de las dependencias estatales, federales y municipales;</w:t>
      </w:r>
    </w:p>
    <w:p w:rsidR="008E15F4" w:rsidRPr="009C77B9" w:rsidRDefault="008E15F4" w:rsidP="008E15F4">
      <w:pPr>
        <w:pStyle w:val="Prrafodelista"/>
        <w:tabs>
          <w:tab w:val="left" w:pos="426"/>
        </w:tabs>
        <w:spacing w:before="240" w:after="240" w:line="276" w:lineRule="auto"/>
        <w:ind w:left="567" w:right="567"/>
        <w:jc w:val="both"/>
        <w:rPr>
          <w:rFonts w:ascii="Palatino Linotype" w:hAnsi="Palatino Linotype"/>
          <w:i/>
        </w:rPr>
      </w:pPr>
      <w:r w:rsidRPr="009C77B9">
        <w:rPr>
          <w:rFonts w:ascii="Palatino Linotype" w:hAnsi="Palatino Linotype"/>
          <w:b/>
          <w:i/>
        </w:rPr>
        <w:t>IX.</w:t>
      </w:r>
      <w:r w:rsidRPr="009C77B9">
        <w:rPr>
          <w:rFonts w:ascii="Palatino Linotype" w:hAnsi="Palatino Linotype"/>
          <w:i/>
        </w:rPr>
        <w:t xml:space="preserve"> Identificar, jerarquizar y dar seguimiento a la agenda política y de gestión gubernamental sobre temas relevantes y estratégicos del quehacer público, que deban ser considerados por el Gobernador en las sesiones de Gabinete; </w:t>
      </w:r>
    </w:p>
    <w:p w:rsidR="008E15F4" w:rsidRPr="009C77B9" w:rsidRDefault="008E15F4" w:rsidP="008E15F4">
      <w:pPr>
        <w:pStyle w:val="Prrafodelista"/>
        <w:tabs>
          <w:tab w:val="left" w:pos="426"/>
        </w:tabs>
        <w:spacing w:before="240" w:after="240" w:line="276" w:lineRule="auto"/>
        <w:ind w:left="567" w:right="567"/>
        <w:jc w:val="both"/>
        <w:rPr>
          <w:rFonts w:ascii="Palatino Linotype" w:hAnsi="Palatino Linotype"/>
          <w:i/>
        </w:rPr>
      </w:pPr>
      <w:r w:rsidRPr="009C77B9">
        <w:rPr>
          <w:rFonts w:ascii="Palatino Linotype" w:hAnsi="Palatino Linotype"/>
          <w:b/>
          <w:i/>
        </w:rPr>
        <w:t>X.</w:t>
      </w:r>
      <w:r w:rsidRPr="009C77B9">
        <w:rPr>
          <w:rFonts w:ascii="Palatino Linotype" w:hAnsi="Palatino Linotype"/>
          <w:i/>
        </w:rPr>
        <w:t xml:space="preserve"> Proponer al Gobernador la realización de reuniones de Gabinete para abordar temas de interés sustantivo; </w:t>
      </w:r>
    </w:p>
    <w:p w:rsidR="008E15F4" w:rsidRPr="009C77B9" w:rsidRDefault="008E15F4" w:rsidP="008E15F4">
      <w:pPr>
        <w:pStyle w:val="Prrafodelista"/>
        <w:tabs>
          <w:tab w:val="left" w:pos="426"/>
        </w:tabs>
        <w:spacing w:before="240" w:after="240" w:line="276" w:lineRule="auto"/>
        <w:ind w:left="567" w:right="567"/>
        <w:jc w:val="both"/>
        <w:rPr>
          <w:rFonts w:ascii="Palatino Linotype" w:hAnsi="Palatino Linotype"/>
          <w:i/>
        </w:rPr>
      </w:pPr>
      <w:r w:rsidRPr="009C77B9">
        <w:rPr>
          <w:rFonts w:ascii="Palatino Linotype" w:hAnsi="Palatino Linotype"/>
          <w:b/>
          <w:i/>
        </w:rPr>
        <w:t>XI.</w:t>
      </w:r>
      <w:r w:rsidRPr="009C77B9">
        <w:rPr>
          <w:rFonts w:ascii="Palatino Linotype" w:hAnsi="Palatino Linotype"/>
          <w:i/>
        </w:rPr>
        <w:t xml:space="preserve"> Elaborar las actas correspondientes de las reuniones de gabinete e integrar los reportes del estado en que se encuentran los acuerdos tomados; </w:t>
      </w:r>
    </w:p>
    <w:p w:rsidR="008E15F4" w:rsidRPr="009C77B9" w:rsidRDefault="008E15F4" w:rsidP="008E15F4">
      <w:pPr>
        <w:pStyle w:val="Prrafodelista"/>
        <w:tabs>
          <w:tab w:val="left" w:pos="426"/>
        </w:tabs>
        <w:spacing w:before="240" w:after="240" w:line="276" w:lineRule="auto"/>
        <w:ind w:left="567" w:right="567"/>
        <w:jc w:val="both"/>
        <w:rPr>
          <w:rFonts w:ascii="Palatino Linotype" w:hAnsi="Palatino Linotype"/>
          <w:i/>
        </w:rPr>
      </w:pPr>
      <w:r w:rsidRPr="009C77B9">
        <w:rPr>
          <w:rFonts w:ascii="Palatino Linotype" w:hAnsi="Palatino Linotype"/>
          <w:b/>
          <w:i/>
        </w:rPr>
        <w:t>XII.</w:t>
      </w:r>
      <w:r w:rsidRPr="009C77B9">
        <w:rPr>
          <w:rFonts w:ascii="Palatino Linotype" w:hAnsi="Palatino Linotype"/>
          <w:i/>
        </w:rPr>
        <w:t xml:space="preserve"> Registrar el avance en el cumplimiento de los objetivos y metas del Plan de Desarrollo del Estado de México, de los programas de mediano plazo y de las principales implicaciones económicas, políticas, sociales y técnicas de los acuerdos y compromisos asumidos por el titular del Ejecutivo Estatal, sugiriendo, en su caso, medidas que permitan mejorar los resultados obtenidos;</w:t>
      </w:r>
    </w:p>
    <w:p w:rsidR="008E15F4" w:rsidRPr="009C77B9" w:rsidRDefault="008E15F4" w:rsidP="008E15F4">
      <w:pPr>
        <w:pStyle w:val="Prrafodelista"/>
        <w:tabs>
          <w:tab w:val="left" w:pos="426"/>
        </w:tabs>
        <w:spacing w:before="240" w:after="240" w:line="276" w:lineRule="auto"/>
        <w:ind w:left="567" w:right="567"/>
        <w:jc w:val="both"/>
        <w:rPr>
          <w:rFonts w:ascii="Palatino Linotype" w:hAnsi="Palatino Linotype"/>
          <w:i/>
        </w:rPr>
      </w:pPr>
      <w:r w:rsidRPr="009C77B9">
        <w:rPr>
          <w:rFonts w:ascii="Palatino Linotype" w:hAnsi="Palatino Linotype"/>
          <w:b/>
          <w:i/>
        </w:rPr>
        <w:t>XIII.</w:t>
      </w:r>
      <w:r w:rsidRPr="009C77B9">
        <w:rPr>
          <w:rFonts w:ascii="Palatino Linotype" w:hAnsi="Palatino Linotype"/>
          <w:i/>
        </w:rPr>
        <w:t xml:space="preserve"> Integrar un sistema de información y evaluación estratégica que permita al Gobernador y a los miembros del Gabinete conocer el grado de avance en el cumplimiento de los objetivos y compromisos establecidos en el Plan de Desarrollo del Estado de México; </w:t>
      </w:r>
    </w:p>
    <w:p w:rsidR="008E15F4" w:rsidRPr="009C77B9" w:rsidRDefault="008E15F4" w:rsidP="008E15F4">
      <w:pPr>
        <w:pStyle w:val="Prrafodelista"/>
        <w:tabs>
          <w:tab w:val="left" w:pos="426"/>
        </w:tabs>
        <w:spacing w:before="240" w:after="240" w:line="276" w:lineRule="auto"/>
        <w:ind w:left="567" w:right="567"/>
        <w:jc w:val="both"/>
        <w:rPr>
          <w:rFonts w:ascii="Palatino Linotype" w:hAnsi="Palatino Linotype"/>
          <w:i/>
        </w:rPr>
      </w:pPr>
      <w:r w:rsidRPr="009C77B9">
        <w:rPr>
          <w:rFonts w:ascii="Palatino Linotype" w:hAnsi="Palatino Linotype"/>
          <w:b/>
          <w:i/>
        </w:rPr>
        <w:t>XIV.</w:t>
      </w:r>
      <w:r w:rsidRPr="009C77B9">
        <w:rPr>
          <w:rFonts w:ascii="Palatino Linotype" w:hAnsi="Palatino Linotype"/>
          <w:i/>
        </w:rPr>
        <w:t xml:space="preserve"> Dar seguimiento a los programas de alto impacto social que promuevan las dependencias del Ejecutivo e informar al Gobernador de los resultados obtenidos; </w:t>
      </w:r>
    </w:p>
    <w:p w:rsidR="008E15F4" w:rsidRPr="009C77B9" w:rsidRDefault="008E15F4" w:rsidP="008E15F4">
      <w:pPr>
        <w:pStyle w:val="Prrafodelista"/>
        <w:tabs>
          <w:tab w:val="left" w:pos="426"/>
        </w:tabs>
        <w:spacing w:before="240" w:after="240" w:line="276" w:lineRule="auto"/>
        <w:ind w:left="567" w:right="567"/>
        <w:jc w:val="both"/>
        <w:rPr>
          <w:rFonts w:ascii="Palatino Linotype" w:hAnsi="Palatino Linotype"/>
          <w:i/>
        </w:rPr>
      </w:pPr>
      <w:r w:rsidRPr="009C77B9">
        <w:rPr>
          <w:rFonts w:ascii="Palatino Linotype" w:hAnsi="Palatino Linotype"/>
          <w:b/>
          <w:i/>
        </w:rPr>
        <w:t>XV.</w:t>
      </w:r>
      <w:r w:rsidRPr="009C77B9">
        <w:rPr>
          <w:rFonts w:ascii="Palatino Linotype" w:hAnsi="Palatino Linotype"/>
          <w:i/>
        </w:rPr>
        <w:t xml:space="preserve"> Elaborar estudios y análisis especializados que permitan anticipar escenarios y situaciones específicas de orden económico, social y político en la entidad, sugiriendo al titular del Ejecutivo Estatal estrategias de acción y políticas alternativas para su oportuna solución; </w:t>
      </w:r>
    </w:p>
    <w:p w:rsidR="008E15F4" w:rsidRPr="009C77B9" w:rsidRDefault="008E15F4" w:rsidP="008E15F4">
      <w:pPr>
        <w:pStyle w:val="Prrafodelista"/>
        <w:tabs>
          <w:tab w:val="left" w:pos="426"/>
        </w:tabs>
        <w:spacing w:before="240" w:after="240" w:line="276" w:lineRule="auto"/>
        <w:ind w:left="567" w:right="567"/>
        <w:jc w:val="both"/>
        <w:rPr>
          <w:rFonts w:ascii="Palatino Linotype" w:hAnsi="Palatino Linotype"/>
          <w:i/>
        </w:rPr>
      </w:pPr>
      <w:r w:rsidRPr="009C77B9">
        <w:rPr>
          <w:rFonts w:ascii="Palatino Linotype" w:hAnsi="Palatino Linotype"/>
          <w:b/>
          <w:i/>
        </w:rPr>
        <w:t>XVI.</w:t>
      </w:r>
      <w:r w:rsidRPr="009C77B9">
        <w:rPr>
          <w:rFonts w:ascii="Palatino Linotype" w:hAnsi="Palatino Linotype"/>
          <w:i/>
        </w:rPr>
        <w:t xml:space="preserve"> Recopilar y proporcionar al titular del Ejecutivo Estatal y a los miembros del Gabinete información de naturaleza económica, social y política, que permita apoyar la oportuna y adecuada toma de decisiones, dando prioridad a la formulación, seguimiento y evaluación de las políticas de gobierno; </w:t>
      </w:r>
    </w:p>
    <w:p w:rsidR="008E15F4" w:rsidRPr="009C77B9" w:rsidRDefault="008E15F4" w:rsidP="008E15F4">
      <w:pPr>
        <w:pStyle w:val="Prrafodelista"/>
        <w:tabs>
          <w:tab w:val="left" w:pos="426"/>
        </w:tabs>
        <w:spacing w:before="240" w:after="240" w:line="276" w:lineRule="auto"/>
        <w:ind w:left="567" w:right="567"/>
        <w:jc w:val="both"/>
        <w:rPr>
          <w:rFonts w:ascii="Palatino Linotype" w:hAnsi="Palatino Linotype"/>
          <w:i/>
        </w:rPr>
      </w:pPr>
      <w:r w:rsidRPr="009C77B9">
        <w:rPr>
          <w:rFonts w:ascii="Palatino Linotype" w:hAnsi="Palatino Linotype"/>
          <w:b/>
          <w:i/>
        </w:rPr>
        <w:t>XVII.</w:t>
      </w:r>
      <w:r w:rsidRPr="009C77B9">
        <w:rPr>
          <w:rFonts w:ascii="Palatino Linotype" w:hAnsi="Palatino Linotype"/>
          <w:i/>
        </w:rPr>
        <w:t xml:space="preserve"> Realizar la crónica del quehacer del Gobierno del Estado de México; y </w:t>
      </w:r>
    </w:p>
    <w:p w:rsidR="008E15F4" w:rsidRDefault="008E15F4" w:rsidP="008E15F4">
      <w:pPr>
        <w:pStyle w:val="Prrafodelista"/>
        <w:tabs>
          <w:tab w:val="left" w:pos="426"/>
        </w:tabs>
        <w:spacing w:before="240" w:after="240" w:line="360" w:lineRule="auto"/>
        <w:ind w:left="567" w:right="49"/>
        <w:jc w:val="both"/>
        <w:rPr>
          <w:rFonts w:ascii="Palatino Linotype" w:hAnsi="Palatino Linotype" w:cs="Arial"/>
          <w:noProof/>
          <w:lang w:eastAsia="es-MX"/>
        </w:rPr>
      </w:pPr>
      <w:r w:rsidRPr="009C77B9">
        <w:rPr>
          <w:rFonts w:ascii="Palatino Linotype" w:hAnsi="Palatino Linotype"/>
          <w:b/>
          <w:i/>
        </w:rPr>
        <w:t>XVIII.</w:t>
      </w:r>
      <w:r w:rsidRPr="009C77B9">
        <w:rPr>
          <w:rFonts w:ascii="Palatino Linotype" w:hAnsi="Palatino Linotype"/>
          <w:i/>
        </w:rPr>
        <w:t xml:space="preserve"> Las demás que le encomiende el titular del Poder Ejecutivo Estatal.</w:t>
      </w:r>
      <w:r>
        <w:rPr>
          <w:rFonts w:ascii="Palatino Linotype" w:hAnsi="Palatino Linotype"/>
          <w:i/>
        </w:rPr>
        <w:t>”</w:t>
      </w:r>
    </w:p>
    <w:p w:rsidR="00F21C6D" w:rsidRDefault="00F21C6D" w:rsidP="0025493E">
      <w:pPr>
        <w:spacing w:before="100" w:beforeAutospacing="1" w:after="100" w:afterAutospacing="1" w:line="360" w:lineRule="auto"/>
        <w:jc w:val="both"/>
        <w:rPr>
          <w:rFonts w:ascii="Palatino Linotype" w:hAnsi="Palatino Linotype"/>
        </w:rPr>
      </w:pPr>
    </w:p>
    <w:p w:rsidR="00387DEC" w:rsidRDefault="00387DEC" w:rsidP="0025493E">
      <w:pPr>
        <w:spacing w:before="100" w:beforeAutospacing="1" w:after="100" w:afterAutospacing="1" w:line="360" w:lineRule="auto"/>
        <w:jc w:val="both"/>
        <w:rPr>
          <w:rFonts w:ascii="Palatino Linotype" w:hAnsi="Palatino Linotype" w:cs="Arial"/>
        </w:rPr>
      </w:pPr>
      <w:r>
        <w:rPr>
          <w:rFonts w:ascii="Palatino Linotype" w:hAnsi="Palatino Linotype" w:cs="Arial"/>
        </w:rPr>
        <w:lastRenderedPageBreak/>
        <w:t xml:space="preserve">Lo anterior, de acuerdo con lo establecido por el artículo 4 párrafo segundo y 122 de la Ley de la materia; siempre que encuadre en los supuestos del 140 y 143 de la citada ley, </w:t>
      </w:r>
      <w:r w:rsidR="0025493E">
        <w:rPr>
          <w:rFonts w:ascii="Palatino Linotype" w:hAnsi="Palatino Linotype" w:cs="Arial"/>
        </w:rPr>
        <w:t>mismos que señalan lo siguiente:</w:t>
      </w:r>
    </w:p>
    <w:p w:rsidR="00387DEC" w:rsidRPr="00D130EC" w:rsidRDefault="00387DEC" w:rsidP="0025493E">
      <w:pPr>
        <w:tabs>
          <w:tab w:val="left" w:pos="851"/>
        </w:tabs>
        <w:spacing w:before="100" w:beforeAutospacing="1" w:after="100" w:afterAutospacing="1"/>
        <w:ind w:left="709" w:right="757"/>
        <w:jc w:val="both"/>
        <w:rPr>
          <w:rFonts w:ascii="Palatino Linotype" w:hAnsi="Palatino Linotype" w:cs="Arial"/>
          <w:i/>
          <w:sz w:val="22"/>
          <w:szCs w:val="22"/>
        </w:rPr>
      </w:pPr>
      <w:r w:rsidRPr="00D130EC">
        <w:rPr>
          <w:rFonts w:ascii="Palatino Linotype" w:hAnsi="Palatino Linotype" w:cs="Arial"/>
          <w:i/>
          <w:sz w:val="22"/>
          <w:szCs w:val="22"/>
        </w:rPr>
        <w:t>“</w:t>
      </w:r>
      <w:r w:rsidRPr="00D130EC">
        <w:rPr>
          <w:rFonts w:ascii="Palatino Linotype" w:hAnsi="Palatino Linotype" w:cs="Arial"/>
          <w:b/>
          <w:i/>
          <w:sz w:val="22"/>
          <w:szCs w:val="22"/>
        </w:rPr>
        <w:t>Artículo 4</w:t>
      </w:r>
      <w:r w:rsidRPr="00D130EC">
        <w:rPr>
          <w:rFonts w:ascii="Palatino Linotype" w:hAnsi="Palatino Linotype" w:cs="Arial"/>
          <w:i/>
          <w:sz w:val="22"/>
          <w:szCs w:val="22"/>
        </w:rPr>
        <w:t>. …</w:t>
      </w:r>
    </w:p>
    <w:p w:rsidR="00387DEC" w:rsidRPr="00D130EC" w:rsidRDefault="00387DEC" w:rsidP="0025493E">
      <w:pPr>
        <w:tabs>
          <w:tab w:val="left" w:pos="851"/>
        </w:tabs>
        <w:spacing w:before="100" w:beforeAutospacing="1" w:after="100" w:afterAutospacing="1"/>
        <w:ind w:left="709" w:right="757"/>
        <w:jc w:val="both"/>
        <w:rPr>
          <w:rFonts w:ascii="Palatino Linotype" w:hAnsi="Palatino Linotype" w:cs="Arial"/>
          <w:b/>
          <w:i/>
          <w:sz w:val="22"/>
          <w:szCs w:val="22"/>
        </w:rPr>
      </w:pPr>
      <w:r w:rsidRPr="00D130EC">
        <w:rPr>
          <w:rFonts w:ascii="Palatino Linotype" w:hAnsi="Palatino Linotype" w:cs="Arial"/>
          <w:b/>
          <w:i/>
          <w:sz w:val="22"/>
          <w:szCs w:val="22"/>
        </w:rPr>
        <w:t>Toda la información generada, obtenida, adquirida, transformada, administrada o en posesión de los sujetos obligados es pública y accesible de manera permanente a cualquier persona</w:t>
      </w:r>
      <w:r w:rsidRPr="00D130EC">
        <w:rPr>
          <w:rFonts w:ascii="Palatino Linotype" w:hAnsi="Palatino Linotype" w:cs="Arial"/>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w:t>
      </w:r>
      <w:r w:rsidRPr="00D130EC">
        <w:rPr>
          <w:rFonts w:ascii="Palatino Linotype" w:hAnsi="Palatino Linotype" w:cs="Arial"/>
          <w:b/>
          <w:i/>
          <w:sz w:val="22"/>
          <w:szCs w:val="22"/>
        </w:rPr>
        <w:t xml:space="preserve">Solo podrá ser clasificada excepcionalmente como reservada temporalmente por razones de interés público, en los términos de las causas legítimas y estrictamente necesarias previstas por esta Ley. </w:t>
      </w:r>
    </w:p>
    <w:p w:rsidR="00387DEC" w:rsidRPr="00D130EC" w:rsidRDefault="00387DEC" w:rsidP="0025493E">
      <w:pPr>
        <w:tabs>
          <w:tab w:val="left" w:pos="851"/>
        </w:tabs>
        <w:spacing w:before="100" w:beforeAutospacing="1" w:after="100" w:afterAutospacing="1"/>
        <w:ind w:left="709" w:right="757"/>
        <w:jc w:val="both"/>
        <w:rPr>
          <w:rFonts w:ascii="Palatino Linotype" w:hAnsi="Palatino Linotype" w:cs="Arial"/>
          <w:b/>
          <w:i/>
          <w:sz w:val="22"/>
          <w:szCs w:val="22"/>
        </w:rPr>
      </w:pPr>
    </w:p>
    <w:p w:rsidR="00387DEC" w:rsidRDefault="00387DEC" w:rsidP="0025493E">
      <w:pPr>
        <w:tabs>
          <w:tab w:val="left" w:pos="851"/>
        </w:tabs>
        <w:spacing w:before="100" w:beforeAutospacing="1" w:after="100" w:afterAutospacing="1"/>
        <w:ind w:left="709" w:right="757"/>
        <w:jc w:val="both"/>
        <w:rPr>
          <w:rFonts w:ascii="Palatino Linotype" w:hAnsi="Palatino Linotype" w:cs="Arial"/>
          <w:b/>
          <w:i/>
          <w:sz w:val="22"/>
          <w:szCs w:val="22"/>
        </w:rPr>
      </w:pPr>
      <w:r w:rsidRPr="00D130EC">
        <w:rPr>
          <w:rFonts w:ascii="Palatino Linotype" w:hAnsi="Palatino Linotype" w:cs="Arial"/>
          <w:b/>
          <w:i/>
          <w:sz w:val="22"/>
          <w:szCs w:val="22"/>
        </w:rPr>
        <w:t>…”</w:t>
      </w:r>
    </w:p>
    <w:p w:rsidR="00112593" w:rsidRPr="008E15F4" w:rsidRDefault="00112593" w:rsidP="00112593">
      <w:pPr>
        <w:spacing w:before="100" w:beforeAutospacing="1" w:after="100" w:afterAutospacing="1" w:line="360" w:lineRule="auto"/>
        <w:jc w:val="both"/>
        <w:rPr>
          <w:rFonts w:ascii="Palatino Linotype" w:hAnsi="Palatino Linotype"/>
        </w:rPr>
      </w:pPr>
      <w:r>
        <w:rPr>
          <w:rFonts w:ascii="Palatino Linotype" w:hAnsi="Palatino Linotype"/>
        </w:rPr>
        <w:t xml:space="preserve">Es así, que de las atribuciones del </w:t>
      </w:r>
      <w:r w:rsidRPr="008E15F4">
        <w:rPr>
          <w:rFonts w:ascii="Palatino Linotype" w:hAnsi="Palatino Linotype"/>
          <w:b/>
        </w:rPr>
        <w:t>SUJETO OBLIGADO</w:t>
      </w:r>
      <w:r>
        <w:rPr>
          <w:rFonts w:ascii="Palatino Linotype" w:hAnsi="Palatino Linotype"/>
          <w:b/>
        </w:rPr>
        <w:t xml:space="preserve">, </w:t>
      </w:r>
      <w:r>
        <w:rPr>
          <w:rFonts w:ascii="Palatino Linotype" w:hAnsi="Palatino Linotype"/>
        </w:rPr>
        <w:t>se desprende que debe h</w:t>
      </w:r>
      <w:r w:rsidRPr="008E15F4">
        <w:rPr>
          <w:rFonts w:ascii="Palatino Linotype" w:hAnsi="Palatino Linotype"/>
        </w:rPr>
        <w:t>acer el seguimiento del debido cumplimiento de los acuerdos y órdenes establecidos por el Gobernador del Estado de México en sesiones de gabinete</w:t>
      </w:r>
      <w:r>
        <w:rPr>
          <w:rFonts w:ascii="Palatino Linotype" w:hAnsi="Palatino Linotype"/>
        </w:rPr>
        <w:t>, pudiéndose tratar alguno de estos de materia en seguridad pública entre otros.</w:t>
      </w:r>
    </w:p>
    <w:p w:rsidR="00112593" w:rsidRPr="0025493E" w:rsidRDefault="00112593" w:rsidP="00112593">
      <w:pPr>
        <w:widowControl w:val="0"/>
        <w:autoSpaceDE w:val="0"/>
        <w:autoSpaceDN w:val="0"/>
        <w:adjustRightInd w:val="0"/>
        <w:spacing w:before="100" w:beforeAutospacing="1" w:after="100" w:afterAutospacing="1" w:line="360" w:lineRule="auto"/>
        <w:ind w:right="49"/>
        <w:jc w:val="both"/>
        <w:rPr>
          <w:rFonts w:ascii="Palatino Linotype" w:hAnsi="Palatino Linotype" w:cs="Arial"/>
          <w:lang w:eastAsia="es-CO"/>
        </w:rPr>
      </w:pPr>
      <w:r>
        <w:rPr>
          <w:rFonts w:ascii="Palatino Linotype" w:hAnsi="Palatino Linotype" w:cs="Arial"/>
          <w:lang w:eastAsia="es-CO"/>
        </w:rPr>
        <w:t xml:space="preserve">De lo anterior, se deprende que la Ponencia </w:t>
      </w:r>
      <w:proofErr w:type="spellStart"/>
      <w:r>
        <w:rPr>
          <w:rFonts w:ascii="Palatino Linotype" w:hAnsi="Palatino Linotype" w:cs="Arial"/>
          <w:lang w:eastAsia="es-CO"/>
        </w:rPr>
        <w:t>Resolutora</w:t>
      </w:r>
      <w:proofErr w:type="spellEnd"/>
      <w:r>
        <w:rPr>
          <w:rFonts w:ascii="Palatino Linotype" w:hAnsi="Palatino Linotype" w:cs="Arial"/>
          <w:lang w:eastAsia="es-CO"/>
        </w:rPr>
        <w:t>, debió considerar el supuesto del artículo 140 fracción I de la Ley de Transparencia y Acceso a la Información Pública del Estado de México y Municipios.</w:t>
      </w:r>
    </w:p>
    <w:p w:rsidR="00112593" w:rsidRPr="00112593" w:rsidRDefault="00112593" w:rsidP="00112593">
      <w:pPr>
        <w:spacing w:before="100" w:beforeAutospacing="1" w:after="100" w:afterAutospacing="1" w:line="360" w:lineRule="auto"/>
        <w:jc w:val="both"/>
        <w:rPr>
          <w:rFonts w:ascii="Palatino Linotype" w:hAnsi="Palatino Linotype"/>
        </w:rPr>
      </w:pPr>
      <w:r w:rsidRPr="00770718">
        <w:rPr>
          <w:rFonts w:ascii="Palatino Linotype" w:hAnsi="Palatino Linotype"/>
        </w:rPr>
        <w:t xml:space="preserve">Por </w:t>
      </w:r>
      <w:r>
        <w:rPr>
          <w:rFonts w:ascii="Palatino Linotype" w:hAnsi="Palatino Linotype"/>
        </w:rPr>
        <w:t>lo que, una vez establecido lo anterior, a criterio de la que suscribe se</w:t>
      </w:r>
      <w:r w:rsidRPr="00770718">
        <w:rPr>
          <w:rFonts w:ascii="Palatino Linotype" w:hAnsi="Palatino Linotype"/>
        </w:rPr>
        <w:t xml:space="preserve"> debió </w:t>
      </w:r>
      <w:r>
        <w:rPr>
          <w:rFonts w:ascii="Palatino Linotype" w:hAnsi="Palatino Linotype"/>
        </w:rPr>
        <w:t xml:space="preserve">precisar tanto en su estudio como en sus resolutivos que la documentación solicitada por el </w:t>
      </w:r>
      <w:r>
        <w:rPr>
          <w:rFonts w:ascii="Palatino Linotype" w:hAnsi="Palatino Linotype"/>
        </w:rPr>
        <w:lastRenderedPageBreak/>
        <w:t>particular dada su naturaleza jurídica, es susceptible de contener información capaz de ser considerada como reservada, por lo que, lo procedente era el Acuerdo a través del cual se clasifique la información que considere como reservada.</w:t>
      </w:r>
    </w:p>
    <w:p w:rsidR="00387DEC" w:rsidRPr="00D130EC" w:rsidRDefault="00387DEC" w:rsidP="0025493E">
      <w:pPr>
        <w:tabs>
          <w:tab w:val="left" w:pos="851"/>
        </w:tabs>
        <w:autoSpaceDE w:val="0"/>
        <w:autoSpaceDN w:val="0"/>
        <w:adjustRightInd w:val="0"/>
        <w:spacing w:before="100" w:beforeAutospacing="1" w:after="100" w:afterAutospacing="1"/>
        <w:ind w:left="709" w:right="757"/>
        <w:jc w:val="both"/>
        <w:rPr>
          <w:rFonts w:ascii="Palatino Linotype" w:eastAsiaTheme="minorHAnsi" w:hAnsi="Palatino Linotype" w:cs="Arial"/>
          <w:i/>
          <w:sz w:val="22"/>
          <w:szCs w:val="22"/>
          <w:lang w:eastAsia="en-US"/>
        </w:rPr>
      </w:pPr>
      <w:r w:rsidRPr="00D130EC">
        <w:rPr>
          <w:rFonts w:ascii="Palatino Linotype" w:eastAsiaTheme="minorHAnsi" w:hAnsi="Palatino Linotype" w:cs="Arial"/>
          <w:b/>
          <w:bCs/>
          <w:i/>
          <w:sz w:val="22"/>
          <w:szCs w:val="22"/>
          <w:lang w:eastAsia="en-US"/>
        </w:rPr>
        <w:t xml:space="preserve">“Artículo 122. </w:t>
      </w:r>
      <w:r w:rsidRPr="00D130EC">
        <w:rPr>
          <w:rFonts w:ascii="Palatino Linotype" w:eastAsiaTheme="minorHAnsi" w:hAnsi="Palatino Linotype" w:cs="Arial"/>
          <w:b/>
          <w:i/>
          <w:sz w:val="22"/>
          <w:szCs w:val="22"/>
          <w:lang w:eastAsia="en-US"/>
        </w:rPr>
        <w:t xml:space="preserve">La clasificación es el proceso mediante el cual el sujeto obligado determina que la información en su poder </w:t>
      </w:r>
      <w:proofErr w:type="spellStart"/>
      <w:r w:rsidRPr="00D130EC">
        <w:rPr>
          <w:rFonts w:ascii="Palatino Linotype" w:eastAsiaTheme="minorHAnsi" w:hAnsi="Palatino Linotype" w:cs="Arial"/>
          <w:b/>
          <w:i/>
          <w:sz w:val="22"/>
          <w:szCs w:val="22"/>
          <w:lang w:eastAsia="en-US"/>
        </w:rPr>
        <w:t>actualiza</w:t>
      </w:r>
      <w:proofErr w:type="spellEnd"/>
      <w:r w:rsidRPr="00D130EC">
        <w:rPr>
          <w:rFonts w:ascii="Palatino Linotype" w:eastAsiaTheme="minorHAnsi" w:hAnsi="Palatino Linotype" w:cs="Arial"/>
          <w:b/>
          <w:i/>
          <w:sz w:val="22"/>
          <w:szCs w:val="22"/>
          <w:lang w:eastAsia="en-US"/>
        </w:rPr>
        <w:t xml:space="preserve"> alguno de los supuestos de reserva o confidencialidad, </w:t>
      </w:r>
      <w:r w:rsidRPr="00D130EC">
        <w:rPr>
          <w:rFonts w:ascii="Palatino Linotype" w:eastAsiaTheme="minorHAnsi" w:hAnsi="Palatino Linotype" w:cs="Arial"/>
          <w:i/>
          <w:sz w:val="22"/>
          <w:szCs w:val="22"/>
          <w:lang w:eastAsia="en-US"/>
        </w:rPr>
        <w:t>de conformidad con lo dispuesto en el presente título.</w:t>
      </w:r>
    </w:p>
    <w:p w:rsidR="00387DEC" w:rsidRPr="00D130EC" w:rsidRDefault="00387DEC" w:rsidP="0025493E">
      <w:pPr>
        <w:tabs>
          <w:tab w:val="left" w:pos="851"/>
        </w:tabs>
        <w:autoSpaceDE w:val="0"/>
        <w:autoSpaceDN w:val="0"/>
        <w:adjustRightInd w:val="0"/>
        <w:spacing w:before="100" w:beforeAutospacing="1" w:after="100" w:afterAutospacing="1"/>
        <w:ind w:left="709" w:right="757"/>
        <w:jc w:val="both"/>
        <w:rPr>
          <w:rFonts w:ascii="Palatino Linotype" w:eastAsiaTheme="minorHAnsi" w:hAnsi="Palatino Linotype" w:cs="Arial"/>
          <w:i/>
          <w:sz w:val="22"/>
          <w:szCs w:val="22"/>
          <w:lang w:eastAsia="en-US"/>
        </w:rPr>
      </w:pPr>
      <w:r w:rsidRPr="00D130EC">
        <w:rPr>
          <w:rFonts w:ascii="Palatino Linotype" w:eastAsiaTheme="minorHAnsi" w:hAnsi="Palatino Linotype" w:cs="Arial"/>
          <w:i/>
          <w:sz w:val="22"/>
          <w:szCs w:val="22"/>
          <w:lang w:eastAsia="en-US"/>
        </w:rPr>
        <w:t>Los supuestos de reserva o confidencialidad previstos en las leyes deberán ser acordes con las bases, principios y disposiciones establecidos en la Ley General y, en ningún caso, podrán contravenirla.</w:t>
      </w:r>
    </w:p>
    <w:p w:rsidR="00387DEC" w:rsidRPr="00D130EC" w:rsidRDefault="00387DEC" w:rsidP="0025493E">
      <w:pPr>
        <w:tabs>
          <w:tab w:val="left" w:pos="851"/>
        </w:tabs>
        <w:autoSpaceDE w:val="0"/>
        <w:autoSpaceDN w:val="0"/>
        <w:adjustRightInd w:val="0"/>
        <w:spacing w:before="100" w:beforeAutospacing="1" w:after="100" w:afterAutospacing="1"/>
        <w:ind w:left="709" w:right="757"/>
        <w:jc w:val="both"/>
        <w:rPr>
          <w:rFonts w:ascii="Palatino Linotype" w:eastAsiaTheme="minorHAnsi" w:hAnsi="Palatino Linotype" w:cs="Arial"/>
          <w:b/>
          <w:i/>
          <w:sz w:val="22"/>
          <w:szCs w:val="22"/>
          <w:lang w:eastAsia="en-US"/>
        </w:rPr>
      </w:pPr>
      <w:r w:rsidRPr="00D130EC">
        <w:rPr>
          <w:rFonts w:ascii="Palatino Linotype" w:eastAsiaTheme="minorHAnsi" w:hAnsi="Palatino Linotype" w:cs="Arial"/>
          <w:b/>
          <w:i/>
          <w:sz w:val="22"/>
          <w:szCs w:val="22"/>
          <w:lang w:eastAsia="en-US"/>
        </w:rPr>
        <w:t>Los titulares de las áreas de los sujetos obligados serán los responsables de clasificar la información, de conformidad con lo dispuesto en la presente Ley y demás disposiciones jurídicas aplicables</w:t>
      </w:r>
      <w:r w:rsidRPr="00D130EC">
        <w:rPr>
          <w:rFonts w:ascii="Palatino Linotype" w:eastAsiaTheme="minorHAnsi" w:hAnsi="Palatino Linotype" w:cs="Arial"/>
          <w:i/>
          <w:sz w:val="22"/>
          <w:szCs w:val="22"/>
          <w:lang w:eastAsia="en-US"/>
        </w:rPr>
        <w:t>.</w:t>
      </w:r>
    </w:p>
    <w:p w:rsidR="00387DEC" w:rsidRPr="00B860BF" w:rsidRDefault="00387DEC" w:rsidP="0025493E">
      <w:pPr>
        <w:spacing w:before="100" w:beforeAutospacing="1" w:after="100" w:afterAutospacing="1"/>
        <w:ind w:left="709" w:right="757"/>
        <w:jc w:val="both"/>
        <w:rPr>
          <w:rFonts w:ascii="Palatino Linotype" w:hAnsi="Palatino Linotype"/>
          <w:i/>
          <w:sz w:val="22"/>
        </w:rPr>
      </w:pPr>
      <w:r w:rsidRPr="00B860BF">
        <w:rPr>
          <w:rFonts w:ascii="Palatino Linotype" w:hAnsi="Palatino Linotype"/>
          <w:b/>
          <w:i/>
          <w:sz w:val="22"/>
        </w:rPr>
        <w:t>Artículo 140.</w:t>
      </w:r>
      <w:r w:rsidRPr="00B860BF">
        <w:rPr>
          <w:rFonts w:ascii="Palatino Linotype" w:hAnsi="Palatino Linotype"/>
          <w:i/>
          <w:sz w:val="22"/>
        </w:rPr>
        <w:t xml:space="preserve"> El acceso a la información pública será restringido excepcionalmente, cuando por razones de interés público, ésta sea clasificada como reservada, conforme a los criterios siguientes:</w:t>
      </w:r>
    </w:p>
    <w:p w:rsidR="00387DEC" w:rsidRDefault="00387DEC" w:rsidP="0025493E">
      <w:pPr>
        <w:spacing w:before="100" w:beforeAutospacing="1" w:after="100" w:afterAutospacing="1"/>
        <w:ind w:left="709" w:right="757"/>
        <w:jc w:val="both"/>
        <w:rPr>
          <w:rFonts w:ascii="Palatino Linotype" w:hAnsi="Palatino Linotype"/>
          <w:i/>
          <w:sz w:val="22"/>
        </w:rPr>
      </w:pPr>
      <w:r w:rsidRPr="00B860BF">
        <w:rPr>
          <w:rFonts w:ascii="Palatino Linotype" w:hAnsi="Palatino Linotype"/>
          <w:i/>
          <w:sz w:val="22"/>
        </w:rPr>
        <w:t>I. Comprometa la seguridad pública y cuente con un propósito genuino y un efecto demostrable;</w:t>
      </w:r>
    </w:p>
    <w:p w:rsidR="00387DEC" w:rsidRDefault="00387DEC" w:rsidP="0025493E">
      <w:pPr>
        <w:spacing w:before="100" w:beforeAutospacing="1" w:after="100" w:afterAutospacing="1"/>
        <w:ind w:left="709" w:right="757"/>
        <w:jc w:val="both"/>
        <w:rPr>
          <w:rFonts w:ascii="Palatino Linotype" w:hAnsi="Palatino Linotype"/>
          <w:i/>
          <w:sz w:val="22"/>
        </w:rPr>
      </w:pPr>
      <w:r w:rsidRPr="00B860BF">
        <w:rPr>
          <w:rFonts w:ascii="Palatino Linotype" w:hAnsi="Palatino Linotype"/>
          <w:i/>
          <w:sz w:val="22"/>
        </w:rPr>
        <w:t>II. Pueda menoscabar la conducción de las negociaciones y relaciones internacionales;</w:t>
      </w:r>
    </w:p>
    <w:p w:rsidR="00387DEC" w:rsidRPr="00B860BF" w:rsidRDefault="00387DEC" w:rsidP="0025493E">
      <w:pPr>
        <w:spacing w:before="100" w:beforeAutospacing="1" w:after="100" w:afterAutospacing="1"/>
        <w:ind w:left="709" w:right="757"/>
        <w:jc w:val="both"/>
        <w:rPr>
          <w:rFonts w:ascii="Palatino Linotype" w:hAnsi="Palatino Linotype"/>
          <w:i/>
          <w:sz w:val="22"/>
        </w:rPr>
      </w:pPr>
      <w:r w:rsidRPr="00B860BF">
        <w:rPr>
          <w:rFonts w:ascii="Palatino Linotype" w:hAnsi="Palatino Linotype"/>
          <w:i/>
          <w:sz w:val="22"/>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387DEC" w:rsidRDefault="00387DEC" w:rsidP="0025493E">
      <w:pPr>
        <w:spacing w:before="100" w:beforeAutospacing="1" w:after="100" w:afterAutospacing="1"/>
        <w:ind w:left="709" w:right="757"/>
        <w:jc w:val="both"/>
        <w:rPr>
          <w:rFonts w:ascii="Palatino Linotype" w:hAnsi="Palatino Linotype"/>
          <w:i/>
          <w:sz w:val="22"/>
        </w:rPr>
      </w:pPr>
      <w:r w:rsidRPr="00B860BF">
        <w:rPr>
          <w:rFonts w:ascii="Palatino Linotype" w:hAnsi="Palatino Linotype"/>
          <w:i/>
          <w:sz w:val="22"/>
        </w:rPr>
        <w:t>IV. Ponga en riesgo la vida, la seguridad o la salud de una persona física;</w:t>
      </w:r>
    </w:p>
    <w:p w:rsidR="00387DEC" w:rsidRDefault="00387DEC" w:rsidP="0025493E">
      <w:pPr>
        <w:spacing w:before="100" w:beforeAutospacing="1" w:after="100" w:afterAutospacing="1"/>
        <w:ind w:left="709" w:right="757"/>
        <w:jc w:val="both"/>
        <w:rPr>
          <w:rFonts w:ascii="Palatino Linotype" w:hAnsi="Palatino Linotype"/>
          <w:i/>
          <w:sz w:val="22"/>
        </w:rPr>
      </w:pPr>
      <w:r w:rsidRPr="00B860BF">
        <w:rPr>
          <w:rFonts w:ascii="Palatino Linotype" w:hAnsi="Palatino Linotype"/>
          <w:i/>
          <w:sz w:val="22"/>
        </w:rPr>
        <w:t>V. Aquella cuya divulgación obstruya o pueda causar un serio perjuicio a:</w:t>
      </w:r>
    </w:p>
    <w:p w:rsidR="00387DEC" w:rsidRDefault="00387DEC" w:rsidP="0025493E">
      <w:pPr>
        <w:spacing w:before="100" w:beforeAutospacing="1" w:after="100" w:afterAutospacing="1"/>
        <w:ind w:left="1416" w:right="757"/>
        <w:jc w:val="both"/>
        <w:rPr>
          <w:rFonts w:ascii="Palatino Linotype" w:hAnsi="Palatino Linotype"/>
          <w:i/>
          <w:sz w:val="22"/>
        </w:rPr>
      </w:pPr>
      <w:r w:rsidRPr="00B860BF">
        <w:rPr>
          <w:rFonts w:ascii="Palatino Linotype" w:hAnsi="Palatino Linotype"/>
          <w:i/>
          <w:sz w:val="22"/>
        </w:rPr>
        <w:t>1. Las actividades de fiscalización, verificación, inspección, comprobación y auditoría sobre el cumplimiento de las Leyes; o</w:t>
      </w:r>
    </w:p>
    <w:p w:rsidR="00387DEC" w:rsidRDefault="00387DEC" w:rsidP="0025493E">
      <w:pPr>
        <w:spacing w:before="100" w:beforeAutospacing="1" w:after="100" w:afterAutospacing="1"/>
        <w:ind w:left="709" w:right="757" w:firstLine="708"/>
        <w:jc w:val="both"/>
        <w:rPr>
          <w:rFonts w:ascii="Palatino Linotype" w:hAnsi="Palatino Linotype"/>
          <w:i/>
          <w:sz w:val="22"/>
        </w:rPr>
      </w:pPr>
      <w:r w:rsidRPr="00B860BF">
        <w:rPr>
          <w:rFonts w:ascii="Palatino Linotype" w:hAnsi="Palatino Linotype"/>
          <w:i/>
          <w:sz w:val="22"/>
        </w:rPr>
        <w:lastRenderedPageBreak/>
        <w:t>2. La recaudación de las contribuciones.</w:t>
      </w:r>
    </w:p>
    <w:p w:rsidR="00387DEC" w:rsidRDefault="00387DEC" w:rsidP="0025493E">
      <w:pPr>
        <w:spacing w:before="100" w:beforeAutospacing="1" w:after="100" w:afterAutospacing="1"/>
        <w:ind w:left="709" w:right="757"/>
        <w:jc w:val="both"/>
        <w:rPr>
          <w:rFonts w:ascii="Palatino Linotype" w:hAnsi="Palatino Linotype"/>
          <w:i/>
          <w:sz w:val="22"/>
        </w:rPr>
      </w:pPr>
      <w:r w:rsidRPr="00B860BF">
        <w:rPr>
          <w:rFonts w:ascii="Palatino Linotype" w:hAnsi="Palatino Linotype"/>
          <w:i/>
          <w:sz w:val="22"/>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w:t>
      </w:r>
      <w:r>
        <w:rPr>
          <w:rFonts w:ascii="Palatino Linotype" w:hAnsi="Palatino Linotype"/>
          <w:i/>
          <w:sz w:val="22"/>
        </w:rPr>
        <w:t xml:space="preserve"> </w:t>
      </w:r>
      <w:r w:rsidRPr="00B860BF">
        <w:rPr>
          <w:rFonts w:ascii="Palatino Linotype" w:hAnsi="Palatino Linotype"/>
          <w:i/>
          <w:sz w:val="22"/>
        </w:rPr>
        <w:t>tanto no hayan quedado firmes o afecte la administración de justicia o la seguridad de un denunciante, querellante o testigo,</w:t>
      </w:r>
      <w:r>
        <w:rPr>
          <w:rFonts w:ascii="Palatino Linotype" w:hAnsi="Palatino Linotype"/>
          <w:i/>
          <w:sz w:val="22"/>
        </w:rPr>
        <w:t xml:space="preserve"> </w:t>
      </w:r>
      <w:r w:rsidRPr="00B860BF">
        <w:rPr>
          <w:rFonts w:ascii="Palatino Linotype" w:hAnsi="Palatino Linotype"/>
          <w:i/>
          <w:sz w:val="22"/>
        </w:rPr>
        <w:t>así como sus familias, en los términos de las disposiciones jurídicas aplicables;</w:t>
      </w:r>
    </w:p>
    <w:p w:rsidR="00387DEC" w:rsidRDefault="00387DEC" w:rsidP="0025493E">
      <w:pPr>
        <w:spacing w:before="100" w:beforeAutospacing="1" w:after="100" w:afterAutospacing="1"/>
        <w:ind w:left="709" w:right="757"/>
        <w:jc w:val="both"/>
        <w:rPr>
          <w:rFonts w:ascii="Palatino Linotype" w:hAnsi="Palatino Linotype"/>
          <w:i/>
          <w:sz w:val="22"/>
        </w:rPr>
      </w:pPr>
      <w:r w:rsidRPr="00B860BF">
        <w:rPr>
          <w:rFonts w:ascii="Palatino Linotype" w:hAnsi="Palatino Linotype"/>
          <w:i/>
          <w:sz w:val="22"/>
        </w:rPr>
        <w:t>VII. La que contengan las opiniones, recomendaciones o puntos de vista que formen parte del proceso deliberativo de los</w:t>
      </w:r>
      <w:r>
        <w:rPr>
          <w:rFonts w:ascii="Palatino Linotype" w:hAnsi="Palatino Linotype"/>
          <w:i/>
          <w:sz w:val="22"/>
        </w:rPr>
        <w:t xml:space="preserve"> </w:t>
      </w:r>
      <w:r w:rsidRPr="00B860BF">
        <w:rPr>
          <w:rFonts w:ascii="Palatino Linotype" w:hAnsi="Palatino Linotype"/>
          <w:i/>
          <w:sz w:val="22"/>
        </w:rPr>
        <w:t>servidores públicos, hasta en tanto sea adoptada la decisión definitiva, la cual deberá estar documentada;</w:t>
      </w:r>
    </w:p>
    <w:p w:rsidR="00387DEC" w:rsidRPr="00B860BF" w:rsidRDefault="00387DEC" w:rsidP="0025493E">
      <w:pPr>
        <w:spacing w:before="100" w:beforeAutospacing="1" w:after="100" w:afterAutospacing="1"/>
        <w:ind w:left="709" w:right="757"/>
        <w:jc w:val="both"/>
        <w:rPr>
          <w:rFonts w:ascii="Palatino Linotype" w:hAnsi="Palatino Linotype"/>
          <w:i/>
          <w:sz w:val="22"/>
        </w:rPr>
      </w:pPr>
      <w:r w:rsidRPr="00B860BF">
        <w:rPr>
          <w:rFonts w:ascii="Palatino Linotype" w:hAnsi="Palatino Linotype"/>
          <w:i/>
          <w:sz w:val="22"/>
        </w:rPr>
        <w:t>VIII. Vulnere la conducción de los expedientes judiciales o de los procedimientos administrativos seguidos en forma de</w:t>
      </w:r>
      <w:r>
        <w:rPr>
          <w:rFonts w:ascii="Palatino Linotype" w:hAnsi="Palatino Linotype"/>
          <w:i/>
          <w:sz w:val="22"/>
        </w:rPr>
        <w:t xml:space="preserve"> </w:t>
      </w:r>
      <w:r w:rsidRPr="00B860BF">
        <w:rPr>
          <w:rFonts w:ascii="Palatino Linotype" w:hAnsi="Palatino Linotype"/>
          <w:i/>
          <w:sz w:val="22"/>
        </w:rPr>
        <w:t>juicio, en tanto no hayan quedado firmes;</w:t>
      </w:r>
    </w:p>
    <w:p w:rsidR="00387DEC" w:rsidRDefault="00387DEC" w:rsidP="0025493E">
      <w:pPr>
        <w:spacing w:before="100" w:beforeAutospacing="1" w:after="100" w:afterAutospacing="1"/>
        <w:ind w:left="709" w:right="757"/>
        <w:jc w:val="both"/>
        <w:rPr>
          <w:rFonts w:ascii="Palatino Linotype" w:hAnsi="Palatino Linotype"/>
          <w:i/>
          <w:sz w:val="22"/>
        </w:rPr>
      </w:pPr>
      <w:r w:rsidRPr="00B860BF">
        <w:rPr>
          <w:rFonts w:ascii="Palatino Linotype" w:hAnsi="Palatino Linotype"/>
          <w:i/>
          <w:sz w:val="22"/>
        </w:rPr>
        <w:t>IX. Se encuentre contenida dentro de las investigaciones de hechos que la Ley señale como delitos y se tramiten ante el</w:t>
      </w:r>
      <w:r>
        <w:rPr>
          <w:rFonts w:ascii="Palatino Linotype" w:hAnsi="Palatino Linotype"/>
          <w:i/>
          <w:sz w:val="22"/>
        </w:rPr>
        <w:t xml:space="preserve"> </w:t>
      </w:r>
      <w:r w:rsidRPr="00B860BF">
        <w:rPr>
          <w:rFonts w:ascii="Palatino Linotype" w:hAnsi="Palatino Linotype"/>
          <w:i/>
          <w:sz w:val="22"/>
        </w:rPr>
        <w:t>Ministerio Público;</w:t>
      </w:r>
    </w:p>
    <w:p w:rsidR="00387DEC" w:rsidRPr="00B860BF" w:rsidRDefault="00387DEC" w:rsidP="0025493E">
      <w:pPr>
        <w:spacing w:before="100" w:beforeAutospacing="1" w:after="100" w:afterAutospacing="1"/>
        <w:ind w:left="709" w:right="757"/>
        <w:jc w:val="both"/>
        <w:rPr>
          <w:rFonts w:ascii="Palatino Linotype" w:hAnsi="Palatino Linotype"/>
          <w:i/>
          <w:sz w:val="22"/>
        </w:rPr>
      </w:pPr>
      <w:r w:rsidRPr="00B860BF">
        <w:rPr>
          <w:rFonts w:ascii="Palatino Linotype" w:hAnsi="Palatino Linotype"/>
          <w:i/>
          <w:sz w:val="22"/>
        </w:rPr>
        <w:t>X. El daño que pueda producirse con la publicación de la información sea mayor que el interés público de conocer la</w:t>
      </w:r>
      <w:r>
        <w:rPr>
          <w:rFonts w:ascii="Palatino Linotype" w:hAnsi="Palatino Linotype"/>
          <w:i/>
          <w:sz w:val="22"/>
        </w:rPr>
        <w:t xml:space="preserve"> información</w:t>
      </w:r>
      <w:r w:rsidRPr="00B860BF">
        <w:rPr>
          <w:rFonts w:ascii="Palatino Linotype" w:hAnsi="Palatino Linotype"/>
          <w:i/>
          <w:sz w:val="22"/>
        </w:rPr>
        <w:t xml:space="preserve"> de referencia, siempre que esté directamente relacionado con procesos o procedimientos administrativos o</w:t>
      </w:r>
      <w:r>
        <w:rPr>
          <w:rFonts w:ascii="Palatino Linotype" w:hAnsi="Palatino Linotype"/>
          <w:i/>
          <w:sz w:val="22"/>
        </w:rPr>
        <w:t xml:space="preserve"> </w:t>
      </w:r>
      <w:r w:rsidRPr="00B860BF">
        <w:rPr>
          <w:rFonts w:ascii="Palatino Linotype" w:hAnsi="Palatino Linotype"/>
          <w:i/>
          <w:sz w:val="22"/>
        </w:rPr>
        <w:t>judiciales que no hayan quedado firmes;</w:t>
      </w:r>
    </w:p>
    <w:p w:rsidR="00387DEC" w:rsidRPr="00B860BF" w:rsidRDefault="00387DEC" w:rsidP="0025493E">
      <w:pPr>
        <w:spacing w:before="100" w:beforeAutospacing="1" w:after="100" w:afterAutospacing="1"/>
        <w:ind w:left="709" w:right="757"/>
        <w:jc w:val="both"/>
        <w:rPr>
          <w:rFonts w:ascii="Palatino Linotype" w:hAnsi="Palatino Linotype"/>
          <w:i/>
          <w:sz w:val="22"/>
        </w:rPr>
      </w:pPr>
      <w:r w:rsidRPr="00B860BF">
        <w:rPr>
          <w:rFonts w:ascii="Palatino Linotype" w:hAnsi="Palatino Linotype"/>
          <w:i/>
          <w:sz w:val="22"/>
        </w:rPr>
        <w:t>Cuando se trate de información sobre estudios y proyectos cuya divulgación pueda causar daños al interés del Estado o</w:t>
      </w:r>
      <w:r>
        <w:rPr>
          <w:rFonts w:ascii="Palatino Linotype" w:hAnsi="Palatino Linotype"/>
          <w:i/>
          <w:sz w:val="22"/>
        </w:rPr>
        <w:t xml:space="preserve"> </w:t>
      </w:r>
      <w:r w:rsidRPr="00B860BF">
        <w:rPr>
          <w:rFonts w:ascii="Palatino Linotype" w:hAnsi="Palatino Linotype"/>
          <w:i/>
          <w:sz w:val="22"/>
        </w:rPr>
        <w:t>suponga un riesgo para su realización, siempre que esté directamente relacionado con procesos o procedimientos administrativos o judiciales que no hayan quedado firmes; y</w:t>
      </w:r>
    </w:p>
    <w:p w:rsidR="00387DEC" w:rsidRPr="00B860BF" w:rsidRDefault="00387DEC" w:rsidP="0025493E">
      <w:pPr>
        <w:spacing w:before="100" w:beforeAutospacing="1" w:after="100" w:afterAutospacing="1"/>
        <w:ind w:left="709" w:right="757"/>
        <w:jc w:val="both"/>
        <w:rPr>
          <w:rFonts w:ascii="Palatino Linotype" w:hAnsi="Palatino Linotype"/>
          <w:i/>
          <w:sz w:val="22"/>
        </w:rPr>
      </w:pPr>
      <w:r w:rsidRPr="00B860BF">
        <w:rPr>
          <w:rFonts w:ascii="Palatino Linotype" w:hAnsi="Palatino Linotype"/>
          <w:i/>
          <w:sz w:val="22"/>
        </w:rPr>
        <w:t>XI. Las que por disposición expresa de una ley tengan tal carácter, siempre que sean acordes con las bases, principios y disposiciones establecidos en esta Ley y no la contravengan; así como las previstas en tratados internacionales.</w:t>
      </w:r>
    </w:p>
    <w:p w:rsidR="00387DEC" w:rsidRPr="007C2925" w:rsidRDefault="00387DEC" w:rsidP="007C2925">
      <w:pPr>
        <w:spacing w:before="100" w:beforeAutospacing="1" w:after="100" w:afterAutospacing="1"/>
        <w:ind w:left="709" w:right="757"/>
        <w:jc w:val="both"/>
        <w:rPr>
          <w:rFonts w:ascii="Palatino Linotype" w:hAnsi="Palatino Linotype"/>
        </w:rPr>
      </w:pPr>
    </w:p>
    <w:p w:rsidR="00387DEC" w:rsidRDefault="00387DEC" w:rsidP="007C2925">
      <w:pPr>
        <w:spacing w:before="100" w:beforeAutospacing="1" w:after="100" w:afterAutospacing="1" w:line="360" w:lineRule="auto"/>
        <w:jc w:val="both"/>
        <w:rPr>
          <w:rFonts w:ascii="Palatino Linotype" w:hAnsi="Palatino Linotype"/>
        </w:rPr>
      </w:pPr>
      <w:r w:rsidRPr="00770718">
        <w:rPr>
          <w:rFonts w:ascii="Palatino Linotype" w:hAnsi="Palatino Linotype"/>
        </w:rPr>
        <w:lastRenderedPageBreak/>
        <w:t xml:space="preserve">Por </w:t>
      </w:r>
      <w:r>
        <w:rPr>
          <w:rFonts w:ascii="Palatino Linotype" w:hAnsi="Palatino Linotype"/>
        </w:rPr>
        <w:t xml:space="preserve">lo que, una vez establecido lo anterior, a criterio de la que suscribe, la Ponencia </w:t>
      </w:r>
      <w:proofErr w:type="spellStart"/>
      <w:r>
        <w:rPr>
          <w:rFonts w:ascii="Palatino Linotype" w:hAnsi="Palatino Linotype"/>
        </w:rPr>
        <w:t>R</w:t>
      </w:r>
      <w:r w:rsidRPr="00770718">
        <w:rPr>
          <w:rFonts w:ascii="Palatino Linotype" w:hAnsi="Palatino Linotype"/>
        </w:rPr>
        <w:t>esolutora</w:t>
      </w:r>
      <w:proofErr w:type="spellEnd"/>
      <w:r w:rsidRPr="00770718">
        <w:rPr>
          <w:rFonts w:ascii="Palatino Linotype" w:hAnsi="Palatino Linotype"/>
        </w:rPr>
        <w:t xml:space="preserve"> debió </w:t>
      </w:r>
      <w:r>
        <w:rPr>
          <w:rFonts w:ascii="Palatino Linotype" w:hAnsi="Palatino Linotype"/>
        </w:rPr>
        <w:t xml:space="preserve">precisar tanto en su estudio como en sus resolutivos que la documentación solicitada por el particular dada su naturaleza jurídica, es susceptible de contener información capaz de ser considerada como reservada, por lo que, lo procedente era ordenar además del Acuerdo en el que se sustente la versión publica de la información, el Acuerdo de ser procedente a través del cual se clasifique la </w:t>
      </w:r>
      <w:r w:rsidR="007C2925">
        <w:rPr>
          <w:rFonts w:ascii="Palatino Linotype" w:hAnsi="Palatino Linotype"/>
        </w:rPr>
        <w:t xml:space="preserve">información que considere como </w:t>
      </w:r>
      <w:r>
        <w:rPr>
          <w:rFonts w:ascii="Palatino Linotype" w:hAnsi="Palatino Linotype"/>
        </w:rPr>
        <w:t>reservada</w:t>
      </w:r>
      <w:r w:rsidR="007C2925">
        <w:rPr>
          <w:rFonts w:ascii="Palatino Linotype" w:hAnsi="Palatino Linotype"/>
        </w:rPr>
        <w:t xml:space="preserve"> sólo si se actualizan dichos supuestos</w:t>
      </w:r>
      <w:r>
        <w:rPr>
          <w:rFonts w:ascii="Palatino Linotype" w:hAnsi="Palatino Linotype"/>
        </w:rPr>
        <w:t>.</w:t>
      </w:r>
    </w:p>
    <w:p w:rsidR="0025493E" w:rsidRDefault="005604A4" w:rsidP="0025493E">
      <w:pPr>
        <w:spacing w:before="100" w:beforeAutospacing="1" w:after="100" w:afterAutospacing="1" w:line="360" w:lineRule="auto"/>
        <w:jc w:val="both"/>
        <w:rPr>
          <w:rFonts w:ascii="Palatino Linotype" w:hAnsi="Palatino Linotype" w:cs="Arial"/>
        </w:rPr>
      </w:pPr>
      <w:r>
        <w:rPr>
          <w:rFonts w:ascii="Palatino Linotype" w:hAnsi="Palatino Linotype"/>
        </w:rPr>
        <w:t>En ese contexto,</w:t>
      </w:r>
      <w:r w:rsidR="005B233C">
        <w:rPr>
          <w:rFonts w:ascii="Palatino Linotype" w:hAnsi="Palatino Linotype" w:cs="Arial"/>
        </w:rPr>
        <w:t xml:space="preserve"> la que suscribe </w:t>
      </w:r>
      <w:r>
        <w:rPr>
          <w:rFonts w:ascii="Palatino Linotype" w:hAnsi="Palatino Linotype" w:cs="Arial"/>
        </w:rPr>
        <w:t xml:space="preserve">emite </w:t>
      </w:r>
      <w:r w:rsidRPr="003031E1">
        <w:rPr>
          <w:rFonts w:ascii="Palatino Linotype" w:hAnsi="Palatino Linotype" w:cs="Arial"/>
          <w:b/>
        </w:rPr>
        <w:t>VOTO PARTICULAR</w:t>
      </w:r>
      <w:r>
        <w:rPr>
          <w:rFonts w:ascii="Palatino Linotype" w:hAnsi="Palatino Linotype" w:cs="Arial"/>
          <w:b/>
        </w:rPr>
        <w:t xml:space="preserve">, </w:t>
      </w:r>
      <w:r>
        <w:rPr>
          <w:rFonts w:ascii="Palatino Linotype" w:hAnsi="Palatino Linotype" w:cs="Arial"/>
        </w:rPr>
        <w:t xml:space="preserve">ya que se insiste que se debió realizar dicha precisión tanto en el estudio como en los resolutivos </w:t>
      </w:r>
      <w:r w:rsidR="003F2F6B">
        <w:rPr>
          <w:rFonts w:ascii="Palatino Linotype" w:hAnsi="Palatino Linotype" w:cs="Arial"/>
        </w:rPr>
        <w:t>y</w:t>
      </w:r>
      <w:r>
        <w:rPr>
          <w:rFonts w:ascii="Palatino Linotype" w:hAnsi="Palatino Linotype" w:cs="Arial"/>
        </w:rPr>
        <w:t xml:space="preserve"> de esa manera garantizar el derecho de acceso a la información del </w:t>
      </w:r>
      <w:r>
        <w:rPr>
          <w:rFonts w:ascii="Palatino Linotype" w:hAnsi="Palatino Linotype" w:cs="Arial"/>
          <w:b/>
        </w:rPr>
        <w:t xml:space="preserve">RECURRENTE </w:t>
      </w:r>
      <w:r>
        <w:rPr>
          <w:rFonts w:ascii="Palatino Linotype" w:hAnsi="Palatino Linotype" w:cs="Arial"/>
        </w:rPr>
        <w:t>en cuanto a la información que le sea entregada en cumplimiento a la resolución motivo del presente voto.</w:t>
      </w:r>
    </w:p>
    <w:p w:rsidR="008E15F4" w:rsidRPr="0025493E" w:rsidRDefault="008E15F4" w:rsidP="0025493E">
      <w:pPr>
        <w:spacing w:before="100" w:beforeAutospacing="1" w:after="100" w:afterAutospacing="1" w:line="360" w:lineRule="auto"/>
        <w:jc w:val="both"/>
        <w:rPr>
          <w:rFonts w:ascii="Palatino Linotype" w:hAnsi="Palatino Linotype" w:cs="Arial"/>
        </w:rPr>
      </w:pPr>
    </w:p>
    <w:tbl>
      <w:tblPr>
        <w:tblW w:w="4393" w:type="dxa"/>
        <w:jc w:val="center"/>
        <w:tblLayout w:type="fixed"/>
        <w:tblLook w:val="04A0" w:firstRow="1" w:lastRow="0" w:firstColumn="1" w:lastColumn="0" w:noHBand="0" w:noVBand="1"/>
      </w:tblPr>
      <w:tblGrid>
        <w:gridCol w:w="4393"/>
      </w:tblGrid>
      <w:tr w:rsidR="00311459" w:rsidRPr="006D731E" w:rsidTr="006C4EA1">
        <w:trPr>
          <w:jc w:val="center"/>
        </w:trPr>
        <w:tc>
          <w:tcPr>
            <w:tcW w:w="4393" w:type="dxa"/>
          </w:tcPr>
          <w:p w:rsidR="00297BD1" w:rsidRDefault="00297BD1" w:rsidP="0025493E">
            <w:pPr>
              <w:jc w:val="center"/>
              <w:rPr>
                <w:rFonts w:ascii="Palatino Linotype" w:hAnsi="Palatino Linotype"/>
                <w:b/>
              </w:rPr>
            </w:pPr>
          </w:p>
          <w:p w:rsidR="00297BD1" w:rsidRDefault="00297BD1" w:rsidP="0025493E">
            <w:pPr>
              <w:jc w:val="center"/>
              <w:rPr>
                <w:rFonts w:ascii="Palatino Linotype" w:hAnsi="Palatino Linotype"/>
                <w:b/>
              </w:rPr>
            </w:pPr>
          </w:p>
          <w:p w:rsidR="00297BD1" w:rsidRDefault="00297BD1" w:rsidP="0025493E">
            <w:pPr>
              <w:jc w:val="center"/>
              <w:rPr>
                <w:rFonts w:ascii="Palatino Linotype" w:hAnsi="Palatino Linotype"/>
                <w:b/>
              </w:rPr>
            </w:pPr>
          </w:p>
          <w:p w:rsidR="00297BD1" w:rsidRDefault="00297BD1" w:rsidP="0025493E">
            <w:pPr>
              <w:jc w:val="center"/>
              <w:rPr>
                <w:rFonts w:ascii="Palatino Linotype" w:hAnsi="Palatino Linotype"/>
                <w:b/>
              </w:rPr>
            </w:pPr>
          </w:p>
          <w:p w:rsidR="00297BD1" w:rsidRDefault="00297BD1" w:rsidP="0025493E">
            <w:pPr>
              <w:jc w:val="center"/>
              <w:rPr>
                <w:rFonts w:ascii="Palatino Linotype" w:hAnsi="Palatino Linotype"/>
                <w:b/>
              </w:rPr>
            </w:pPr>
          </w:p>
          <w:p w:rsidR="00311459" w:rsidRPr="006D731E" w:rsidRDefault="00311459" w:rsidP="0025493E">
            <w:pPr>
              <w:jc w:val="center"/>
              <w:rPr>
                <w:rFonts w:ascii="Palatino Linotype" w:hAnsi="Palatino Linotype"/>
                <w:b/>
              </w:rPr>
            </w:pPr>
            <w:r w:rsidRPr="006D731E">
              <w:rPr>
                <w:rFonts w:ascii="Palatino Linotype" w:hAnsi="Palatino Linotype"/>
                <w:b/>
              </w:rPr>
              <w:t xml:space="preserve">EVA ABAID YAPUR </w:t>
            </w:r>
          </w:p>
          <w:p w:rsidR="00311459" w:rsidRDefault="00311459" w:rsidP="00297BD1">
            <w:pPr>
              <w:jc w:val="center"/>
              <w:rPr>
                <w:rFonts w:ascii="Palatino Linotype" w:hAnsi="Palatino Linotype"/>
                <w:b/>
              </w:rPr>
            </w:pPr>
            <w:r w:rsidRPr="006D731E">
              <w:rPr>
                <w:rFonts w:ascii="Palatino Linotype" w:hAnsi="Palatino Linotype"/>
                <w:b/>
              </w:rPr>
              <w:t>COMISIONADA</w:t>
            </w:r>
          </w:p>
          <w:p w:rsidR="00F46BBB" w:rsidRPr="006D731E" w:rsidRDefault="00F46BBB" w:rsidP="00297BD1">
            <w:pPr>
              <w:jc w:val="center"/>
              <w:rPr>
                <w:rFonts w:ascii="Palatino Linotype" w:hAnsi="Palatino Linotype"/>
                <w:b/>
              </w:rPr>
            </w:pPr>
            <w:r>
              <w:rPr>
                <w:rFonts w:ascii="Palatino Linotype" w:hAnsi="Palatino Linotype"/>
                <w:b/>
              </w:rPr>
              <w:t>(RÚBRICA)</w:t>
            </w:r>
            <w:bookmarkStart w:id="0" w:name="_GoBack"/>
            <w:bookmarkEnd w:id="0"/>
          </w:p>
        </w:tc>
      </w:tr>
    </w:tbl>
    <w:p w:rsidR="008E15F4" w:rsidRDefault="008E15F4" w:rsidP="0025493E">
      <w:pPr>
        <w:spacing w:before="100" w:beforeAutospacing="1" w:after="100" w:afterAutospacing="1"/>
        <w:jc w:val="both"/>
        <w:rPr>
          <w:rFonts w:ascii="Palatino Linotype" w:eastAsia="Calibri" w:hAnsi="Palatino Linotype" w:cs="Arial"/>
          <w:sz w:val="20"/>
          <w:szCs w:val="20"/>
        </w:rPr>
      </w:pPr>
    </w:p>
    <w:p w:rsidR="0025493E" w:rsidRDefault="00311459" w:rsidP="00297BD1">
      <w:pPr>
        <w:jc w:val="both"/>
        <w:rPr>
          <w:rFonts w:ascii="Palatino Linotype" w:eastAsia="Calibri" w:hAnsi="Palatino Linotype" w:cs="Arial"/>
          <w:sz w:val="20"/>
          <w:szCs w:val="20"/>
        </w:rPr>
      </w:pPr>
      <w:r w:rsidRPr="00FA1770">
        <w:rPr>
          <w:rFonts w:ascii="Palatino Linotype" w:eastAsia="Calibri" w:hAnsi="Palatino Linotype" w:cs="Arial"/>
          <w:sz w:val="20"/>
          <w:szCs w:val="20"/>
        </w:rPr>
        <w:t xml:space="preserve">Esta hoja corresponde al voto </w:t>
      </w:r>
      <w:r w:rsidR="002D6AE8">
        <w:rPr>
          <w:rFonts w:ascii="Palatino Linotype" w:eastAsia="Calibri" w:hAnsi="Palatino Linotype" w:cs="Arial"/>
          <w:sz w:val="20"/>
          <w:szCs w:val="20"/>
        </w:rPr>
        <w:t>particular emitido en la resolución del recurso</w:t>
      </w:r>
      <w:r w:rsidRPr="00FA1770">
        <w:rPr>
          <w:rFonts w:ascii="Palatino Linotype" w:eastAsia="Calibri" w:hAnsi="Palatino Linotype" w:cs="Arial"/>
          <w:sz w:val="20"/>
          <w:szCs w:val="20"/>
        </w:rPr>
        <w:t xml:space="preserve"> de revisión </w:t>
      </w:r>
      <w:r w:rsidR="008E15F4">
        <w:rPr>
          <w:rFonts w:ascii="Palatino Linotype" w:eastAsia="Calibri" w:hAnsi="Palatino Linotype" w:cs="Arial"/>
          <w:sz w:val="20"/>
          <w:szCs w:val="20"/>
        </w:rPr>
        <w:t>06743</w:t>
      </w:r>
      <w:r w:rsidR="002D6AE8">
        <w:rPr>
          <w:rFonts w:ascii="Palatino Linotype" w:eastAsia="Calibri" w:hAnsi="Palatino Linotype" w:cs="Arial"/>
          <w:sz w:val="20"/>
          <w:szCs w:val="20"/>
        </w:rPr>
        <w:t>/INFOEM/IP/RR/201</w:t>
      </w:r>
      <w:r w:rsidR="00297BD1">
        <w:rPr>
          <w:rFonts w:ascii="Palatino Linotype" w:eastAsia="Calibri" w:hAnsi="Palatino Linotype" w:cs="Arial"/>
          <w:sz w:val="20"/>
          <w:szCs w:val="20"/>
        </w:rPr>
        <w:t>9</w:t>
      </w:r>
      <w:r w:rsidR="002D6AE8">
        <w:rPr>
          <w:rFonts w:ascii="Palatino Linotype" w:eastAsia="Calibri" w:hAnsi="Palatino Linotype" w:cs="Arial"/>
          <w:sz w:val="20"/>
          <w:szCs w:val="20"/>
        </w:rPr>
        <w:t>, aprobada</w:t>
      </w:r>
      <w:r w:rsidRPr="00FA1770">
        <w:rPr>
          <w:rFonts w:ascii="Palatino Linotype" w:eastAsia="Calibri" w:hAnsi="Palatino Linotype" w:cs="Arial"/>
          <w:sz w:val="20"/>
          <w:szCs w:val="20"/>
        </w:rPr>
        <w:t xml:space="preserve"> el </w:t>
      </w:r>
      <w:r w:rsidR="000035DF">
        <w:rPr>
          <w:rFonts w:ascii="Palatino Linotype" w:eastAsia="Calibri" w:hAnsi="Palatino Linotype" w:cs="Arial"/>
          <w:sz w:val="20"/>
          <w:szCs w:val="20"/>
        </w:rPr>
        <w:t>veinticuatro</w:t>
      </w:r>
      <w:r w:rsidR="00112593">
        <w:rPr>
          <w:rFonts w:ascii="Palatino Linotype" w:eastAsia="Calibri" w:hAnsi="Palatino Linotype" w:cs="Arial"/>
          <w:sz w:val="20"/>
          <w:szCs w:val="20"/>
        </w:rPr>
        <w:t xml:space="preserve"> de octubre de dos mil diecinueve</w:t>
      </w:r>
      <w:r w:rsidRPr="00FA1770">
        <w:rPr>
          <w:rFonts w:ascii="Palatino Linotype" w:eastAsia="Calibri" w:hAnsi="Palatino Linotype" w:cs="Arial"/>
          <w:sz w:val="20"/>
          <w:szCs w:val="20"/>
        </w:rPr>
        <w:t xml:space="preserve">. </w:t>
      </w:r>
    </w:p>
    <w:p w:rsidR="00297BD1" w:rsidRPr="00297BD1" w:rsidRDefault="00297BD1" w:rsidP="00297BD1">
      <w:pPr>
        <w:jc w:val="both"/>
        <w:rPr>
          <w:rFonts w:ascii="Palatino Linotype" w:eastAsia="Calibri" w:hAnsi="Palatino Linotype" w:cs="Arial"/>
          <w:sz w:val="8"/>
          <w:szCs w:val="8"/>
        </w:rPr>
      </w:pPr>
    </w:p>
    <w:p w:rsidR="00297BD1" w:rsidRPr="0025493E" w:rsidRDefault="00311459" w:rsidP="00297BD1">
      <w:pPr>
        <w:jc w:val="both"/>
        <w:rPr>
          <w:rFonts w:ascii="Palatino Linotype" w:eastAsia="Calibri" w:hAnsi="Palatino Linotype" w:cs="Arial"/>
          <w:sz w:val="20"/>
          <w:szCs w:val="20"/>
        </w:rPr>
      </w:pPr>
      <w:r w:rsidRPr="00FA1770">
        <w:rPr>
          <w:rFonts w:ascii="Palatino Linotype" w:eastAsia="Calibri" w:hAnsi="Palatino Linotype" w:cs="Arial"/>
          <w:sz w:val="20"/>
          <w:szCs w:val="20"/>
        </w:rPr>
        <w:lastRenderedPageBreak/>
        <w:t>YSM/</w:t>
      </w:r>
      <w:r w:rsidR="000035DF">
        <w:rPr>
          <w:rFonts w:ascii="Palatino Linotype" w:eastAsia="Calibri" w:hAnsi="Palatino Linotype" w:cs="Arial"/>
          <w:sz w:val="20"/>
          <w:szCs w:val="20"/>
        </w:rPr>
        <w:t>ATU/</w:t>
      </w:r>
      <w:r w:rsidR="0025493E">
        <w:rPr>
          <w:rFonts w:ascii="Palatino Linotype" w:eastAsia="Calibri" w:hAnsi="Palatino Linotype" w:cs="Arial"/>
          <w:sz w:val="20"/>
          <w:szCs w:val="20"/>
        </w:rPr>
        <w:t>EJCA</w:t>
      </w:r>
    </w:p>
    <w:sectPr w:rsidR="00297BD1" w:rsidRPr="0025493E" w:rsidSect="006D731E">
      <w:headerReference w:type="default" r:id="rId8"/>
      <w:footerReference w:type="default" r:id="rId9"/>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DDA" w:rsidRDefault="00165DDA" w:rsidP="00311459">
      <w:r>
        <w:separator/>
      </w:r>
    </w:p>
  </w:endnote>
  <w:endnote w:type="continuationSeparator" w:id="0">
    <w:p w:rsidR="00165DDA" w:rsidRDefault="00165DDA" w:rsidP="00311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165DDA" w:rsidP="003056D9">
    <w:pPr>
      <w:pStyle w:val="Piedepgina"/>
      <w:tabs>
        <w:tab w:val="clear" w:pos="4252"/>
        <w:tab w:val="left" w:pos="4228"/>
      </w:tabs>
      <w:rPr>
        <w:rFonts w:ascii="Palatino Linotype" w:hAnsi="Palatino Linotype" w:cs="Arial"/>
        <w:b/>
        <w:bCs/>
        <w:sz w:val="20"/>
        <w:szCs w:val="20"/>
      </w:rPr>
    </w:pPr>
  </w:p>
  <w:p w:rsidR="003056D9" w:rsidRDefault="00165DDA" w:rsidP="003056D9">
    <w:pPr>
      <w:pStyle w:val="Piedepgina"/>
      <w:tabs>
        <w:tab w:val="clear" w:pos="4252"/>
        <w:tab w:val="left" w:pos="4228"/>
      </w:tabs>
      <w:rPr>
        <w:rFonts w:ascii="Palatino Linotype" w:hAnsi="Palatino Linotype" w:cs="Arial"/>
        <w:b/>
        <w:bCs/>
        <w:sz w:val="20"/>
        <w:szCs w:val="20"/>
      </w:rPr>
    </w:pPr>
  </w:p>
  <w:p w:rsidR="003056D9" w:rsidRDefault="00165DDA" w:rsidP="003056D9">
    <w:pPr>
      <w:pStyle w:val="Piedepgina"/>
      <w:tabs>
        <w:tab w:val="clear" w:pos="4252"/>
        <w:tab w:val="left" w:pos="4228"/>
      </w:tabs>
      <w:rPr>
        <w:rFonts w:ascii="Palatino Linotype" w:hAnsi="Palatino Linotype" w:cs="Arial"/>
        <w:b/>
        <w:bCs/>
        <w:sz w:val="20"/>
        <w:szCs w:val="20"/>
      </w:rPr>
    </w:pPr>
  </w:p>
  <w:p w:rsidR="00455CB3" w:rsidRDefault="00165DDA" w:rsidP="000E2B1A">
    <w:pPr>
      <w:pStyle w:val="Piedepgina"/>
      <w:rPr>
        <w:rFonts w:ascii="Palatino Linotype" w:hAnsi="Palatino Linotype" w:cs="Arial"/>
        <w:b/>
        <w:bCs/>
        <w:sz w:val="20"/>
        <w:szCs w:val="20"/>
      </w:rPr>
    </w:pPr>
  </w:p>
  <w:p w:rsidR="003056D9" w:rsidRPr="00F12350" w:rsidRDefault="003D7F76"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F46BBB">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F46BBB">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p>
  <w:p w:rsidR="006F30F8" w:rsidRDefault="00165DDA"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DDA" w:rsidRDefault="00165DDA" w:rsidP="00311459">
      <w:r>
        <w:separator/>
      </w:r>
    </w:p>
  </w:footnote>
  <w:footnote w:type="continuationSeparator" w:id="0">
    <w:p w:rsidR="00165DDA" w:rsidRDefault="00165DDA" w:rsidP="003114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165DDA" w:rsidP="0034309A">
    <w:pPr>
      <w:pStyle w:val="Encabezado"/>
      <w:tabs>
        <w:tab w:val="clear" w:pos="4252"/>
        <w:tab w:val="clear" w:pos="8504"/>
        <w:tab w:val="left" w:pos="2326"/>
      </w:tabs>
      <w:jc w:val="right"/>
    </w:pPr>
    <w:sdt>
      <w:sdtPr>
        <w:id w:val="-1498417712"/>
        <w:docPartObj>
          <w:docPartGallery w:val="Watermarks"/>
          <w:docPartUnique/>
        </w:docPartObj>
      </w:sdtPr>
      <w:sdtEndPr/>
      <w:sdtContent/>
    </w:sdt>
    <w:r w:rsidR="003D7F76">
      <w:rPr>
        <w:rFonts w:ascii="Palatino Linotype" w:hAnsi="Palatino Linotype"/>
        <w:noProof/>
        <w:lang w:val="es-MX" w:eastAsia="es-MX"/>
      </w:rPr>
      <w:drawing>
        <wp:anchor distT="0" distB="0" distL="114300" distR="114300" simplePos="0" relativeHeight="251657216" behindDoc="1" locked="0" layoutInCell="1" allowOverlap="1" wp14:anchorId="7A916FEA" wp14:editId="387F6329">
          <wp:simplePos x="0" y="0"/>
          <wp:positionH relativeFrom="column">
            <wp:posOffset>-631825</wp:posOffset>
          </wp:positionH>
          <wp:positionV relativeFrom="paragraph">
            <wp:posOffset>-357979</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rsidR="00125D2F" w:rsidRDefault="00165DDA" w:rsidP="0034309A">
    <w:pPr>
      <w:pStyle w:val="Encabezado"/>
      <w:tabs>
        <w:tab w:val="clear" w:pos="4252"/>
        <w:tab w:val="clear" w:pos="8504"/>
        <w:tab w:val="left" w:pos="2326"/>
      </w:tabs>
      <w:jc w:val="right"/>
      <w:rPr>
        <w:rFonts w:ascii="Palatino Linotype" w:hAnsi="Palatino Linotype" w:cs="Arial"/>
        <w:sz w:val="20"/>
        <w:szCs w:val="20"/>
      </w:rPr>
    </w:pPr>
  </w:p>
  <w:p w:rsidR="00125D2F" w:rsidRDefault="00165DDA" w:rsidP="0034309A">
    <w:pPr>
      <w:pStyle w:val="Encabezado"/>
      <w:tabs>
        <w:tab w:val="clear" w:pos="4252"/>
        <w:tab w:val="clear" w:pos="8504"/>
        <w:tab w:val="left" w:pos="2326"/>
      </w:tabs>
      <w:jc w:val="right"/>
      <w:rPr>
        <w:rFonts w:ascii="Palatino Linotype" w:hAnsi="Palatino Linotype" w:cs="Arial"/>
        <w:sz w:val="20"/>
        <w:szCs w:val="20"/>
      </w:rPr>
    </w:pPr>
  </w:p>
  <w:p w:rsidR="0034309A" w:rsidRDefault="003D7F76" w:rsidP="0034309A">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4B663C" w:rsidRDefault="003D7F76" w:rsidP="0034309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974872">
      <w:rPr>
        <w:rFonts w:ascii="Palatino Linotype" w:hAnsi="Palatino Linotype" w:cs="Arial"/>
        <w:sz w:val="20"/>
        <w:szCs w:val="20"/>
      </w:rPr>
      <w:t>06743/INFOEM/IP/RR/2019</w:t>
    </w:r>
  </w:p>
  <w:p w:rsidR="00125D2F" w:rsidRDefault="00165DDA" w:rsidP="0034309A">
    <w:pPr>
      <w:pStyle w:val="Encabezado"/>
      <w:tabs>
        <w:tab w:val="clear" w:pos="4252"/>
        <w:tab w:val="clear" w:pos="8504"/>
        <w:tab w:val="left" w:pos="2326"/>
      </w:tabs>
      <w:jc w:val="right"/>
      <w:rPr>
        <w:rFonts w:ascii="Palatino Linotype" w:hAnsi="Palatino Linotype" w:cs="Arial"/>
        <w:sz w:val="20"/>
        <w:szCs w:val="20"/>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66.2pt;margin-top:239.5pt;width:639.8pt;height:93.55pt;rotation:315;z-index:-251658240;mso-position-horizontal-relative:margin;mso-position-vertical-relative:margin" o:allowincell="f" fillcolor="#bfbfbf [2412]" stroked="f">
          <v:fill opacity=".5"/>
          <v:textpath style="font-family:&quot;Palatino Linotype&quot;;font-size:44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E53B5"/>
    <w:multiLevelType w:val="hybridMultilevel"/>
    <w:tmpl w:val="79FC2A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51223F"/>
    <w:multiLevelType w:val="hybridMultilevel"/>
    <w:tmpl w:val="6382C754"/>
    <w:lvl w:ilvl="0" w:tplc="0D2CC0C6">
      <w:start w:val="6"/>
      <w:numFmt w:val="decimal"/>
      <w:lvlText w:val="%1."/>
      <w:lvlJc w:val="left"/>
      <w:pPr>
        <w:ind w:left="720" w:hanging="360"/>
      </w:pPr>
      <w:rPr>
        <w:rFonts w:hint="default"/>
        <w:b/>
        <w:i w:val="0"/>
        <w:color w:val="000000" w:themeColor="text1"/>
        <w:sz w:val="24"/>
      </w:rPr>
    </w:lvl>
    <w:lvl w:ilvl="1" w:tplc="080A0015">
      <w:start w:val="1"/>
      <w:numFmt w:val="upperLetter"/>
      <w:lvlText w:val="%2."/>
      <w:lvlJc w:val="left"/>
      <w:pPr>
        <w:ind w:left="1440" w:hanging="360"/>
      </w:pPr>
      <w:rPr>
        <w:rFonts w:hint="default"/>
        <w:b/>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BD2062"/>
    <w:multiLevelType w:val="hybridMultilevel"/>
    <w:tmpl w:val="C95C7B08"/>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A546CF3"/>
    <w:multiLevelType w:val="hybridMultilevel"/>
    <w:tmpl w:val="C92C4C76"/>
    <w:lvl w:ilvl="0" w:tplc="080A0017">
      <w:start w:val="1"/>
      <w:numFmt w:val="lowerLetter"/>
      <w:lvlText w:val="%1)"/>
      <w:lvlJc w:val="left"/>
      <w:pPr>
        <w:ind w:left="928" w:hanging="360"/>
      </w:pPr>
    </w:lvl>
    <w:lvl w:ilvl="1" w:tplc="080A0003">
      <w:start w:val="1"/>
      <w:numFmt w:val="bullet"/>
      <w:lvlText w:val="o"/>
      <w:lvlJc w:val="left"/>
      <w:pPr>
        <w:ind w:left="1648" w:hanging="360"/>
      </w:pPr>
      <w:rPr>
        <w:rFonts w:ascii="Courier New" w:hAnsi="Courier New" w:cs="Courier New" w:hint="default"/>
      </w:rPr>
    </w:lvl>
    <w:lvl w:ilvl="2" w:tplc="080A0005">
      <w:start w:val="1"/>
      <w:numFmt w:val="bullet"/>
      <w:lvlText w:val=""/>
      <w:lvlJc w:val="left"/>
      <w:pPr>
        <w:ind w:left="2368" w:hanging="360"/>
      </w:pPr>
      <w:rPr>
        <w:rFonts w:ascii="Wingdings" w:hAnsi="Wingdings" w:hint="default"/>
      </w:rPr>
    </w:lvl>
    <w:lvl w:ilvl="3" w:tplc="080A0001">
      <w:start w:val="1"/>
      <w:numFmt w:val="bullet"/>
      <w:lvlText w:val=""/>
      <w:lvlJc w:val="left"/>
      <w:pPr>
        <w:ind w:left="3088" w:hanging="360"/>
      </w:pPr>
      <w:rPr>
        <w:rFonts w:ascii="Symbol" w:hAnsi="Symbol" w:hint="default"/>
      </w:rPr>
    </w:lvl>
    <w:lvl w:ilvl="4" w:tplc="080A0003">
      <w:start w:val="1"/>
      <w:numFmt w:val="bullet"/>
      <w:lvlText w:val="o"/>
      <w:lvlJc w:val="left"/>
      <w:pPr>
        <w:ind w:left="3808" w:hanging="360"/>
      </w:pPr>
      <w:rPr>
        <w:rFonts w:ascii="Courier New" w:hAnsi="Courier New" w:cs="Courier New" w:hint="default"/>
      </w:rPr>
    </w:lvl>
    <w:lvl w:ilvl="5" w:tplc="080A0005">
      <w:start w:val="1"/>
      <w:numFmt w:val="bullet"/>
      <w:lvlText w:val=""/>
      <w:lvlJc w:val="left"/>
      <w:pPr>
        <w:ind w:left="4528" w:hanging="360"/>
      </w:pPr>
      <w:rPr>
        <w:rFonts w:ascii="Wingdings" w:hAnsi="Wingdings" w:hint="default"/>
      </w:rPr>
    </w:lvl>
    <w:lvl w:ilvl="6" w:tplc="080A0001">
      <w:start w:val="1"/>
      <w:numFmt w:val="bullet"/>
      <w:lvlText w:val=""/>
      <w:lvlJc w:val="left"/>
      <w:pPr>
        <w:ind w:left="5248" w:hanging="360"/>
      </w:pPr>
      <w:rPr>
        <w:rFonts w:ascii="Symbol" w:hAnsi="Symbol" w:hint="default"/>
      </w:rPr>
    </w:lvl>
    <w:lvl w:ilvl="7" w:tplc="080A0003">
      <w:start w:val="1"/>
      <w:numFmt w:val="bullet"/>
      <w:lvlText w:val="o"/>
      <w:lvlJc w:val="left"/>
      <w:pPr>
        <w:ind w:left="5968" w:hanging="360"/>
      </w:pPr>
      <w:rPr>
        <w:rFonts w:ascii="Courier New" w:hAnsi="Courier New" w:cs="Courier New" w:hint="default"/>
      </w:rPr>
    </w:lvl>
    <w:lvl w:ilvl="8" w:tplc="080A0005">
      <w:start w:val="1"/>
      <w:numFmt w:val="bullet"/>
      <w:lvlText w:val=""/>
      <w:lvlJc w:val="left"/>
      <w:pPr>
        <w:ind w:left="6688" w:hanging="360"/>
      </w:pPr>
      <w:rPr>
        <w:rFonts w:ascii="Wingdings" w:hAnsi="Wingdings" w:hint="default"/>
      </w:rPr>
    </w:lvl>
  </w:abstractNum>
  <w:abstractNum w:abstractNumId="4" w15:restartNumberingAfterBreak="0">
    <w:nsid w:val="41F355D4"/>
    <w:multiLevelType w:val="hybridMultilevel"/>
    <w:tmpl w:val="E5CE909C"/>
    <w:lvl w:ilvl="0" w:tplc="0EFA0958">
      <w:start w:val="1"/>
      <w:numFmt w:val="upperRoman"/>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459"/>
    <w:rsid w:val="000035DF"/>
    <w:rsid w:val="00017222"/>
    <w:rsid w:val="000414A7"/>
    <w:rsid w:val="000539F5"/>
    <w:rsid w:val="00112593"/>
    <w:rsid w:val="00165DDA"/>
    <w:rsid w:val="001B7CE5"/>
    <w:rsid w:val="0025493E"/>
    <w:rsid w:val="00297BD1"/>
    <w:rsid w:val="002D6AE8"/>
    <w:rsid w:val="00311459"/>
    <w:rsid w:val="00316BF6"/>
    <w:rsid w:val="00350C35"/>
    <w:rsid w:val="00387DEC"/>
    <w:rsid w:val="003D7F76"/>
    <w:rsid w:val="003F2F6B"/>
    <w:rsid w:val="003F6E88"/>
    <w:rsid w:val="00400AB6"/>
    <w:rsid w:val="00417F54"/>
    <w:rsid w:val="005511AD"/>
    <w:rsid w:val="005604A4"/>
    <w:rsid w:val="0056732D"/>
    <w:rsid w:val="005B233C"/>
    <w:rsid w:val="00622FD2"/>
    <w:rsid w:val="006D6125"/>
    <w:rsid w:val="006E1005"/>
    <w:rsid w:val="00727428"/>
    <w:rsid w:val="007C2925"/>
    <w:rsid w:val="008E15F4"/>
    <w:rsid w:val="008E7293"/>
    <w:rsid w:val="00974872"/>
    <w:rsid w:val="009962E4"/>
    <w:rsid w:val="00A129E8"/>
    <w:rsid w:val="00A43CEE"/>
    <w:rsid w:val="00AB5763"/>
    <w:rsid w:val="00B36631"/>
    <w:rsid w:val="00BB467E"/>
    <w:rsid w:val="00BC6B31"/>
    <w:rsid w:val="00C23B43"/>
    <w:rsid w:val="00C9714C"/>
    <w:rsid w:val="00D53828"/>
    <w:rsid w:val="00D6483F"/>
    <w:rsid w:val="00D64FEC"/>
    <w:rsid w:val="00E7492F"/>
    <w:rsid w:val="00E87FAD"/>
    <w:rsid w:val="00F21C6D"/>
    <w:rsid w:val="00F42396"/>
    <w:rsid w:val="00F46BBB"/>
    <w:rsid w:val="00F503EC"/>
    <w:rsid w:val="00F65233"/>
    <w:rsid w:val="00FA1770"/>
    <w:rsid w:val="00FF55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3B37E4D-ACB7-4946-AD42-1CEA02FFF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459"/>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11459"/>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11459"/>
    <w:rPr>
      <w:rFonts w:eastAsiaTheme="minorEastAsia"/>
      <w:sz w:val="24"/>
      <w:szCs w:val="24"/>
      <w:lang w:val="es-ES_tradnl" w:eastAsia="es-ES"/>
    </w:rPr>
  </w:style>
  <w:style w:type="paragraph" w:styleId="Piedepgina">
    <w:name w:val="footer"/>
    <w:basedOn w:val="Normal"/>
    <w:link w:val="PiedepginaCar"/>
    <w:uiPriority w:val="99"/>
    <w:unhideWhenUsed/>
    <w:rsid w:val="00311459"/>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11459"/>
    <w:rPr>
      <w:rFonts w:eastAsiaTheme="minorEastAsia"/>
      <w:sz w:val="24"/>
      <w:szCs w:val="24"/>
      <w:lang w:val="es-ES_tradnl" w:eastAsia="es-ES"/>
    </w:rPr>
  </w:style>
  <w:style w:type="paragraph" w:styleId="Sinespaciado">
    <w:name w:val="No Spacing"/>
    <w:aliases w:val="Francesa"/>
    <w:link w:val="SinespaciadoCar"/>
    <w:uiPriority w:val="1"/>
    <w:qFormat/>
    <w:rsid w:val="000539F5"/>
    <w:pPr>
      <w:spacing w:after="0" w:line="240" w:lineRule="auto"/>
    </w:pPr>
  </w:style>
  <w:style w:type="character" w:customStyle="1" w:styleId="SinespaciadoCar">
    <w:name w:val="Sin espaciado Car"/>
    <w:aliases w:val="Francesa Car"/>
    <w:link w:val="Sinespaciado"/>
    <w:uiPriority w:val="1"/>
    <w:locked/>
    <w:rsid w:val="000539F5"/>
  </w:style>
  <w:style w:type="paragraph" w:styleId="Textodeglobo">
    <w:name w:val="Balloon Text"/>
    <w:basedOn w:val="Normal"/>
    <w:link w:val="TextodegloboCar"/>
    <w:uiPriority w:val="99"/>
    <w:semiHidden/>
    <w:unhideWhenUsed/>
    <w:rsid w:val="0072742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7428"/>
    <w:rPr>
      <w:rFonts w:ascii="Segoe UI" w:eastAsia="Times New Roman" w:hAnsi="Segoe UI" w:cs="Segoe UI"/>
      <w:sz w:val="18"/>
      <w:szCs w:val="18"/>
      <w:lang w:eastAsia="es-ES"/>
    </w:rPr>
  </w:style>
  <w:style w:type="paragraph" w:styleId="Textoindependiente2">
    <w:name w:val="Body Text 2"/>
    <w:basedOn w:val="Normal"/>
    <w:link w:val="Textoindependiente2Car"/>
    <w:uiPriority w:val="99"/>
    <w:unhideWhenUsed/>
    <w:rsid w:val="00BC6B31"/>
    <w:pPr>
      <w:spacing w:after="120" w:line="480" w:lineRule="auto"/>
    </w:pPr>
  </w:style>
  <w:style w:type="character" w:customStyle="1" w:styleId="Textoindependiente2Car">
    <w:name w:val="Texto independiente 2 Car"/>
    <w:basedOn w:val="Fuentedeprrafopredeter"/>
    <w:link w:val="Textoindependiente2"/>
    <w:uiPriority w:val="99"/>
    <w:rsid w:val="00BC6B31"/>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6732D"/>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6732D"/>
  </w:style>
  <w:style w:type="character" w:styleId="Hipervnculo">
    <w:name w:val="Hyperlink"/>
    <w:basedOn w:val="Fuentedeprrafopredeter"/>
    <w:uiPriority w:val="99"/>
    <w:unhideWhenUsed/>
    <w:rsid w:val="008E15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184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8FA99-6FE9-4048-8337-83F8BCB61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2116</Words>
  <Characters>11644</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2019-10-25T19:08:00Z</cp:lastPrinted>
  <dcterms:created xsi:type="dcterms:W3CDTF">2019-10-25T18:54:00Z</dcterms:created>
  <dcterms:modified xsi:type="dcterms:W3CDTF">2019-12-17T17:34:00Z</dcterms:modified>
</cp:coreProperties>
</file>