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E114F4">
        <w:rPr>
          <w:rFonts w:ascii="Palatino Linotype" w:hAnsi="Palatino Linotype" w:cs="Arial"/>
          <w:b/>
          <w:sz w:val="24"/>
          <w:szCs w:val="24"/>
        </w:rPr>
        <w:t>1350</w:t>
      </w:r>
      <w:r w:rsidR="007E2CF8">
        <w:rPr>
          <w:rFonts w:ascii="Palatino Linotype" w:hAnsi="Palatino Linotype" w:cs="Arial"/>
          <w:b/>
          <w:sz w:val="24"/>
          <w:szCs w:val="24"/>
        </w:rPr>
        <w:t>/INFOEM/IP/RR/201</w:t>
      </w:r>
      <w:r w:rsidR="00E114F4">
        <w:rPr>
          <w:rFonts w:ascii="Palatino Linotype" w:hAnsi="Palatino Linotype" w:cs="Arial"/>
          <w:b/>
          <w:sz w:val="24"/>
          <w:szCs w:val="24"/>
        </w:rPr>
        <w:t>9</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902248" w:rsidRPr="00105730"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C06207" w:rsidRDefault="00C06207" w:rsidP="00EA2C08">
      <w:pPr>
        <w:spacing w:after="0" w:line="336" w:lineRule="auto"/>
        <w:jc w:val="both"/>
        <w:rPr>
          <w:rFonts w:ascii="Palatino Linotype" w:hAnsi="Palatino Linotype" w:cs="Arial"/>
          <w:sz w:val="24"/>
          <w:szCs w:val="24"/>
        </w:rPr>
      </w:pPr>
    </w:p>
    <w:p w:rsidR="00E114F4" w:rsidRDefault="00E114F4" w:rsidP="00EA2C08">
      <w:pPr>
        <w:spacing w:after="0" w:line="336" w:lineRule="auto"/>
        <w:jc w:val="both"/>
        <w:rPr>
          <w:rFonts w:ascii="Palatino Linotype" w:hAnsi="Palatino Linotype" w:cs="Arial"/>
          <w:sz w:val="24"/>
          <w:szCs w:val="24"/>
        </w:rPr>
      </w:pPr>
      <w:r>
        <w:rPr>
          <w:rFonts w:ascii="Palatino Linotype" w:hAnsi="Palatino Linotype" w:cs="Arial"/>
          <w:sz w:val="24"/>
          <w:szCs w:val="24"/>
        </w:rPr>
        <w:t>El procedimiento de acceso a la información se constituye como la garantía primaria del derecho en cuestión, el cual es obligación de los Sujetos Obligados garantizarlo mediante las solicitudes de información que realizan los ciudadanos para conocer lo que un ente público realiza en ejercicio de sus facultades, competencias y funciones.</w:t>
      </w:r>
    </w:p>
    <w:p w:rsidR="00E114F4" w:rsidRDefault="00E114F4" w:rsidP="00EA2C08">
      <w:pPr>
        <w:spacing w:after="0" w:line="336" w:lineRule="auto"/>
        <w:jc w:val="both"/>
        <w:rPr>
          <w:rFonts w:ascii="Palatino Linotype" w:hAnsi="Palatino Linotype" w:cs="Arial"/>
          <w:sz w:val="24"/>
          <w:szCs w:val="24"/>
        </w:rPr>
      </w:pPr>
    </w:p>
    <w:p w:rsidR="00E114F4" w:rsidRDefault="00E114F4" w:rsidP="00EA2C08">
      <w:pPr>
        <w:spacing w:after="0" w:line="336" w:lineRule="auto"/>
        <w:jc w:val="both"/>
        <w:rPr>
          <w:rFonts w:ascii="Palatino Linotype" w:hAnsi="Palatino Linotype" w:cs="Arial"/>
          <w:sz w:val="24"/>
          <w:szCs w:val="24"/>
        </w:rPr>
      </w:pPr>
      <w:r>
        <w:rPr>
          <w:rFonts w:ascii="Palatino Linotype" w:hAnsi="Palatino Linotype" w:cs="Arial"/>
          <w:sz w:val="24"/>
          <w:szCs w:val="24"/>
        </w:rPr>
        <w:t>Cuando el derecho de acceso a la información no se garantiza mediante la respuesta que se emita a una solicitud de información, los particulares podrán interponer el medio de impugnación denominado “recurso de revisión” que se constituye como la garantía secundaria, mediante la cual se pretende reparar cualquier posible afectación al derecho humano en mención.</w:t>
      </w:r>
    </w:p>
    <w:p w:rsidR="00E114F4" w:rsidRDefault="00E114F4" w:rsidP="00EA2C08">
      <w:pPr>
        <w:spacing w:after="0" w:line="336" w:lineRule="auto"/>
        <w:jc w:val="both"/>
        <w:rPr>
          <w:rFonts w:ascii="Palatino Linotype" w:hAnsi="Palatino Linotype" w:cs="Arial"/>
          <w:sz w:val="24"/>
          <w:szCs w:val="24"/>
        </w:rPr>
      </w:pPr>
    </w:p>
    <w:p w:rsidR="00E114F4" w:rsidRDefault="00E114F4" w:rsidP="00EA2C08">
      <w:pPr>
        <w:spacing w:after="0" w:line="336" w:lineRule="auto"/>
        <w:jc w:val="both"/>
        <w:rPr>
          <w:rFonts w:ascii="Palatino Linotype" w:hAnsi="Palatino Linotype" w:cs="Arial"/>
          <w:sz w:val="24"/>
          <w:szCs w:val="24"/>
        </w:rPr>
      </w:pPr>
      <w:r>
        <w:rPr>
          <w:rFonts w:ascii="Palatino Linotype" w:hAnsi="Palatino Linotype" w:cs="Arial"/>
          <w:sz w:val="24"/>
          <w:szCs w:val="24"/>
        </w:rPr>
        <w:t xml:space="preserve">El sentido de las resoluciones que </w:t>
      </w:r>
      <w:r w:rsidR="00CB7258">
        <w:rPr>
          <w:rFonts w:ascii="Palatino Linotype" w:hAnsi="Palatino Linotype" w:cs="Arial"/>
          <w:sz w:val="24"/>
          <w:szCs w:val="24"/>
        </w:rPr>
        <w:t>emite</w:t>
      </w:r>
      <w:r>
        <w:rPr>
          <w:rFonts w:ascii="Palatino Linotype" w:hAnsi="Palatino Linotype" w:cs="Arial"/>
          <w:sz w:val="24"/>
          <w:szCs w:val="24"/>
        </w:rPr>
        <w:t xml:space="preserve"> el Órgano Garante, cuando deriva de las respuestas proporcionadas por los Sujetos Obligados, </w:t>
      </w:r>
      <w:r w:rsidR="00CB7258">
        <w:rPr>
          <w:rFonts w:ascii="Palatino Linotype" w:hAnsi="Palatino Linotype" w:cs="Arial"/>
          <w:sz w:val="24"/>
          <w:szCs w:val="24"/>
        </w:rPr>
        <w:t xml:space="preserve">se debe analizar </w:t>
      </w:r>
      <w:r>
        <w:rPr>
          <w:rFonts w:ascii="Palatino Linotype" w:hAnsi="Palatino Linotype" w:cs="Arial"/>
          <w:sz w:val="24"/>
          <w:szCs w:val="24"/>
        </w:rPr>
        <w:t>si esta es susceptible de confirmarse, revocarse o modi</w:t>
      </w:r>
      <w:r w:rsidR="00CB7258">
        <w:rPr>
          <w:rFonts w:ascii="Palatino Linotype" w:hAnsi="Palatino Linotype" w:cs="Arial"/>
          <w:sz w:val="24"/>
          <w:szCs w:val="24"/>
        </w:rPr>
        <w:t xml:space="preserve">ficarse, con la finalidad de </w:t>
      </w:r>
      <w:r w:rsidR="00270614">
        <w:rPr>
          <w:rFonts w:ascii="Palatino Linotype" w:hAnsi="Palatino Linotype" w:cs="Arial"/>
          <w:sz w:val="24"/>
          <w:szCs w:val="24"/>
        </w:rPr>
        <w:t xml:space="preserve">brindar certeza a </w:t>
      </w:r>
      <w:r w:rsidR="00CB7258">
        <w:rPr>
          <w:rFonts w:ascii="Palatino Linotype" w:hAnsi="Palatino Linotype" w:cs="Arial"/>
          <w:sz w:val="24"/>
          <w:szCs w:val="24"/>
        </w:rPr>
        <w:t xml:space="preserve">los particulares </w:t>
      </w:r>
      <w:r w:rsidR="00270614">
        <w:rPr>
          <w:rFonts w:ascii="Palatino Linotype" w:hAnsi="Palatino Linotype" w:cs="Arial"/>
          <w:sz w:val="24"/>
          <w:szCs w:val="24"/>
        </w:rPr>
        <w:t xml:space="preserve">los elementos que se consideraron para dictar la resolución en dichos términos. </w:t>
      </w:r>
    </w:p>
    <w:p w:rsidR="00C06207" w:rsidRDefault="00C06207" w:rsidP="00EA2C08">
      <w:pPr>
        <w:spacing w:after="0" w:line="336" w:lineRule="auto"/>
        <w:jc w:val="both"/>
        <w:rPr>
          <w:rFonts w:ascii="Palatino Linotype" w:hAnsi="Palatino Linotype" w:cs="Arial"/>
          <w:sz w:val="24"/>
          <w:szCs w:val="24"/>
        </w:rPr>
      </w:pPr>
    </w:p>
    <w:p w:rsidR="00C06207" w:rsidRDefault="00C06207" w:rsidP="00EA2C08">
      <w:pPr>
        <w:spacing w:after="0" w:line="336" w:lineRule="auto"/>
        <w:jc w:val="both"/>
        <w:rPr>
          <w:rFonts w:ascii="Palatino Linotype" w:hAnsi="Palatino Linotype" w:cs="Arial"/>
          <w:sz w:val="24"/>
          <w:szCs w:val="24"/>
        </w:rPr>
      </w:pPr>
    </w:p>
    <w:p w:rsidR="0046491C" w:rsidRPr="0001046D" w:rsidRDefault="00EA2C08" w:rsidP="00C06207">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CC3BC2"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9872718" w:history="1">
            <w:r w:rsidR="00CC3BC2" w:rsidRPr="008C63CB">
              <w:rPr>
                <w:rStyle w:val="Hipervnculo"/>
                <w:rFonts w:ascii="Palatino Linotype" w:hAnsi="Palatino Linotype"/>
                <w:b/>
                <w:noProof/>
              </w:rPr>
              <w:t>I.</w:t>
            </w:r>
            <w:r w:rsidR="00CC3BC2">
              <w:rPr>
                <w:rFonts w:eastAsiaTheme="minorEastAsia"/>
                <w:noProof/>
                <w:lang w:eastAsia="es-MX"/>
              </w:rPr>
              <w:tab/>
            </w:r>
            <w:r w:rsidR="00CC3BC2" w:rsidRPr="008C63CB">
              <w:rPr>
                <w:rStyle w:val="Hipervnculo"/>
                <w:rFonts w:ascii="Palatino Linotype" w:hAnsi="Palatino Linotype"/>
                <w:b/>
                <w:noProof/>
              </w:rPr>
              <w:t>Consideraciones Generales.</w:t>
            </w:r>
            <w:r w:rsidR="00CC3BC2">
              <w:rPr>
                <w:noProof/>
                <w:webHidden/>
              </w:rPr>
              <w:tab/>
            </w:r>
            <w:r w:rsidR="00CC3BC2">
              <w:rPr>
                <w:noProof/>
                <w:webHidden/>
              </w:rPr>
              <w:fldChar w:fldCharType="begin"/>
            </w:r>
            <w:r w:rsidR="00CC3BC2">
              <w:rPr>
                <w:noProof/>
                <w:webHidden/>
              </w:rPr>
              <w:instrText xml:space="preserve"> PAGEREF _Toc9872718 \h </w:instrText>
            </w:r>
            <w:r w:rsidR="00CC3BC2">
              <w:rPr>
                <w:noProof/>
                <w:webHidden/>
              </w:rPr>
            </w:r>
            <w:r w:rsidR="00CC3BC2">
              <w:rPr>
                <w:noProof/>
                <w:webHidden/>
              </w:rPr>
              <w:fldChar w:fldCharType="separate"/>
            </w:r>
            <w:r w:rsidR="004C0D39">
              <w:rPr>
                <w:noProof/>
                <w:webHidden/>
              </w:rPr>
              <w:t>2</w:t>
            </w:r>
            <w:r w:rsidR="00CC3BC2">
              <w:rPr>
                <w:noProof/>
                <w:webHidden/>
              </w:rPr>
              <w:fldChar w:fldCharType="end"/>
            </w:r>
          </w:hyperlink>
        </w:p>
        <w:p w:rsidR="00CC3BC2" w:rsidRDefault="009F45B3">
          <w:pPr>
            <w:pStyle w:val="TDC1"/>
            <w:rPr>
              <w:rFonts w:eastAsiaTheme="minorEastAsia"/>
              <w:noProof/>
              <w:lang w:eastAsia="es-MX"/>
            </w:rPr>
          </w:pPr>
          <w:hyperlink w:anchor="_Toc9872719" w:history="1">
            <w:r w:rsidR="00CC3BC2" w:rsidRPr="008C63CB">
              <w:rPr>
                <w:rStyle w:val="Hipervnculo"/>
                <w:rFonts w:ascii="Palatino Linotype" w:hAnsi="Palatino Linotype"/>
                <w:b/>
                <w:noProof/>
              </w:rPr>
              <w:t>II.</w:t>
            </w:r>
            <w:r w:rsidR="00CC3BC2">
              <w:rPr>
                <w:rFonts w:eastAsiaTheme="minorEastAsia"/>
                <w:noProof/>
                <w:lang w:eastAsia="es-MX"/>
              </w:rPr>
              <w:tab/>
            </w:r>
            <w:r w:rsidR="00CC3BC2" w:rsidRPr="008C63CB">
              <w:rPr>
                <w:rStyle w:val="Hipervnculo"/>
                <w:rFonts w:ascii="Palatino Linotype" w:hAnsi="Palatino Linotype"/>
                <w:b/>
                <w:noProof/>
              </w:rPr>
              <w:t>De los requerimientos planteados en el recurso de revisión.</w:t>
            </w:r>
            <w:r w:rsidR="00CC3BC2">
              <w:rPr>
                <w:noProof/>
                <w:webHidden/>
              </w:rPr>
              <w:tab/>
            </w:r>
            <w:r w:rsidR="00CC3BC2">
              <w:rPr>
                <w:noProof/>
                <w:webHidden/>
              </w:rPr>
              <w:fldChar w:fldCharType="begin"/>
            </w:r>
            <w:r w:rsidR="00CC3BC2">
              <w:rPr>
                <w:noProof/>
                <w:webHidden/>
              </w:rPr>
              <w:instrText xml:space="preserve"> PAGEREF _Toc9872719 \h </w:instrText>
            </w:r>
            <w:r w:rsidR="00CC3BC2">
              <w:rPr>
                <w:noProof/>
                <w:webHidden/>
              </w:rPr>
            </w:r>
            <w:r w:rsidR="00CC3BC2">
              <w:rPr>
                <w:noProof/>
                <w:webHidden/>
              </w:rPr>
              <w:fldChar w:fldCharType="separate"/>
            </w:r>
            <w:r w:rsidR="004C0D39">
              <w:rPr>
                <w:noProof/>
                <w:webHidden/>
              </w:rPr>
              <w:t>3</w:t>
            </w:r>
            <w:r w:rsidR="00CC3BC2">
              <w:rPr>
                <w:noProof/>
                <w:webHidden/>
              </w:rPr>
              <w:fldChar w:fldCharType="end"/>
            </w:r>
          </w:hyperlink>
        </w:p>
        <w:p w:rsidR="00CC3BC2" w:rsidRDefault="009F45B3">
          <w:pPr>
            <w:pStyle w:val="TDC1"/>
            <w:rPr>
              <w:rFonts w:eastAsiaTheme="minorEastAsia"/>
              <w:noProof/>
              <w:lang w:eastAsia="es-MX"/>
            </w:rPr>
          </w:pPr>
          <w:hyperlink w:anchor="_Toc9872720" w:history="1">
            <w:r w:rsidR="00CC3BC2" w:rsidRPr="008C63CB">
              <w:rPr>
                <w:rStyle w:val="Hipervnculo"/>
                <w:rFonts w:ascii="Palatino Linotype" w:hAnsi="Palatino Linotype"/>
                <w:b/>
                <w:noProof/>
              </w:rPr>
              <w:t>III.</w:t>
            </w:r>
            <w:r w:rsidR="00CC3BC2">
              <w:rPr>
                <w:rFonts w:eastAsiaTheme="minorEastAsia"/>
                <w:noProof/>
                <w:lang w:eastAsia="es-MX"/>
              </w:rPr>
              <w:tab/>
            </w:r>
            <w:r w:rsidR="00CC3BC2" w:rsidRPr="008C63CB">
              <w:rPr>
                <w:rStyle w:val="Hipervnculo"/>
                <w:rFonts w:ascii="Palatino Linotype" w:hAnsi="Palatino Linotype"/>
                <w:b/>
                <w:noProof/>
              </w:rPr>
              <w:t>Del sentido de la resoluciones.</w:t>
            </w:r>
            <w:r w:rsidR="00CC3BC2">
              <w:rPr>
                <w:noProof/>
                <w:webHidden/>
              </w:rPr>
              <w:tab/>
            </w:r>
            <w:r w:rsidR="00CC3BC2">
              <w:rPr>
                <w:noProof/>
                <w:webHidden/>
              </w:rPr>
              <w:fldChar w:fldCharType="begin"/>
            </w:r>
            <w:r w:rsidR="00CC3BC2">
              <w:rPr>
                <w:noProof/>
                <w:webHidden/>
              </w:rPr>
              <w:instrText xml:space="preserve"> PAGEREF _Toc9872720 \h </w:instrText>
            </w:r>
            <w:r w:rsidR="00CC3BC2">
              <w:rPr>
                <w:noProof/>
                <w:webHidden/>
              </w:rPr>
            </w:r>
            <w:r w:rsidR="00CC3BC2">
              <w:rPr>
                <w:noProof/>
                <w:webHidden/>
              </w:rPr>
              <w:fldChar w:fldCharType="separate"/>
            </w:r>
            <w:r w:rsidR="004C0D39">
              <w:rPr>
                <w:noProof/>
                <w:webHidden/>
              </w:rPr>
              <w:t>5</w:t>
            </w:r>
            <w:r w:rsidR="00CC3BC2">
              <w:rPr>
                <w:noProof/>
                <w:webHidden/>
              </w:rPr>
              <w:fldChar w:fldCharType="end"/>
            </w:r>
          </w:hyperlink>
        </w:p>
        <w:p w:rsidR="00CC3BC2" w:rsidRDefault="009F45B3">
          <w:pPr>
            <w:pStyle w:val="TDC1"/>
            <w:rPr>
              <w:rFonts w:eastAsiaTheme="minorEastAsia"/>
              <w:noProof/>
              <w:lang w:eastAsia="es-MX"/>
            </w:rPr>
          </w:pPr>
          <w:hyperlink w:anchor="_Toc9872721" w:history="1">
            <w:r w:rsidR="00CC3BC2" w:rsidRPr="008C63CB">
              <w:rPr>
                <w:rStyle w:val="Hipervnculo"/>
                <w:rFonts w:ascii="Palatino Linotype" w:hAnsi="Palatino Linotype"/>
                <w:b/>
                <w:noProof/>
              </w:rPr>
              <w:t>IV. Conclusión</w:t>
            </w:r>
            <w:r w:rsidR="00CC3BC2">
              <w:rPr>
                <w:noProof/>
                <w:webHidden/>
              </w:rPr>
              <w:tab/>
            </w:r>
            <w:r w:rsidR="00CC3BC2">
              <w:rPr>
                <w:noProof/>
                <w:webHidden/>
              </w:rPr>
              <w:fldChar w:fldCharType="begin"/>
            </w:r>
            <w:r w:rsidR="00CC3BC2">
              <w:rPr>
                <w:noProof/>
                <w:webHidden/>
              </w:rPr>
              <w:instrText xml:space="preserve"> PAGEREF _Toc9872721 \h </w:instrText>
            </w:r>
            <w:r w:rsidR="00CC3BC2">
              <w:rPr>
                <w:noProof/>
                <w:webHidden/>
              </w:rPr>
            </w:r>
            <w:r w:rsidR="00CC3BC2">
              <w:rPr>
                <w:noProof/>
                <w:webHidden/>
              </w:rPr>
              <w:fldChar w:fldCharType="separate"/>
            </w:r>
            <w:r w:rsidR="004C0D39">
              <w:rPr>
                <w:noProof/>
                <w:webHidden/>
              </w:rPr>
              <w:t>6</w:t>
            </w:r>
            <w:r w:rsidR="00CC3BC2">
              <w:rPr>
                <w:noProof/>
                <w:webHidden/>
              </w:rPr>
              <w:fldChar w:fldCharType="end"/>
            </w:r>
          </w:hyperlink>
        </w:p>
        <w:p w:rsidR="00F618FA" w:rsidRDefault="0046491C" w:rsidP="00E34F08">
          <w:pPr>
            <w:spacing w:line="360" w:lineRule="auto"/>
            <w:rPr>
              <w:rFonts w:ascii="Palatino Linotype" w:hAnsi="Palatino Linotype"/>
              <w:b/>
              <w:bCs/>
              <w:lang w:val="es-ES"/>
            </w:rPr>
          </w:pPr>
          <w:r w:rsidRPr="0001046D">
            <w:rPr>
              <w:rFonts w:ascii="Palatino Linotype" w:hAnsi="Palatino Linotype"/>
              <w:b/>
              <w:bCs/>
              <w:lang w:val="es-ES"/>
            </w:rPr>
            <w:fldChar w:fldCharType="end"/>
          </w:r>
        </w:p>
        <w:p w:rsidR="0046491C" w:rsidRPr="0001046D" w:rsidRDefault="009F45B3" w:rsidP="00E34F08">
          <w:pPr>
            <w:spacing w:line="360" w:lineRule="auto"/>
            <w:rPr>
              <w:rFonts w:ascii="Palatino Linotype" w:hAnsi="Palatino Linotype"/>
            </w:rPr>
          </w:pPr>
        </w:p>
      </w:sdtContent>
    </w:sdt>
    <w:p w:rsidR="00270614" w:rsidRPr="0001046D" w:rsidRDefault="00270614" w:rsidP="00270614">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8222817"/>
      <w:bookmarkStart w:id="2" w:name="_Toc9872718"/>
      <w:r w:rsidRPr="0001046D">
        <w:rPr>
          <w:rFonts w:ascii="Palatino Linotype" w:hAnsi="Palatino Linotype"/>
          <w:b/>
          <w:color w:val="auto"/>
          <w:sz w:val="24"/>
          <w:szCs w:val="24"/>
        </w:rPr>
        <w:t>Consideraciones Generales.</w:t>
      </w:r>
      <w:bookmarkEnd w:id="1"/>
      <w:bookmarkEnd w:id="2"/>
    </w:p>
    <w:p w:rsidR="00270614" w:rsidRPr="00F3161F" w:rsidRDefault="00270614" w:rsidP="00270614">
      <w:pPr>
        <w:pStyle w:val="Prrafodelista"/>
        <w:spacing w:after="0" w:line="360" w:lineRule="auto"/>
        <w:ind w:left="1080"/>
        <w:jc w:val="both"/>
        <w:rPr>
          <w:rFonts w:ascii="Palatino Linotype" w:hAnsi="Palatino Linotype" w:cs="Arial"/>
          <w:b/>
          <w:sz w:val="16"/>
          <w:szCs w:val="24"/>
        </w:rPr>
      </w:pPr>
    </w:p>
    <w:p w:rsidR="00270614" w:rsidRPr="00EE49DD" w:rsidRDefault="00270614" w:rsidP="0027061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voto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México y Municipios, en su</w:t>
      </w:r>
      <w:r>
        <w:rPr>
          <w:rFonts w:ascii="Palatino Linotype" w:hAnsi="Palatino Linotype" w:cs="Arial"/>
          <w:sz w:val="24"/>
          <w:szCs w:val="24"/>
        </w:rPr>
        <w:t xml:space="preserve"> Décima </w:t>
      </w:r>
      <w:r w:rsidR="005B680F">
        <w:rPr>
          <w:rFonts w:ascii="Palatino Linotype" w:hAnsi="Palatino Linotype" w:cs="Arial"/>
          <w:sz w:val="24"/>
          <w:szCs w:val="24"/>
        </w:rPr>
        <w:t>Novena</w:t>
      </w:r>
      <w:r>
        <w:rPr>
          <w:rFonts w:ascii="Palatino Linotype" w:hAnsi="Palatino Linotype" w:cs="Arial"/>
          <w:sz w:val="24"/>
          <w:szCs w:val="24"/>
        </w:rPr>
        <w:t xml:space="preserve"> Sesión O</w:t>
      </w:r>
      <w:r w:rsidRPr="00E34F08">
        <w:rPr>
          <w:rFonts w:ascii="Palatino Linotype" w:hAnsi="Palatino Linotype" w:cs="Arial"/>
          <w:sz w:val="24"/>
          <w:szCs w:val="24"/>
        </w:rPr>
        <w:t>rdinaria de</w:t>
      </w:r>
      <w:r>
        <w:rPr>
          <w:rFonts w:ascii="Palatino Linotype" w:hAnsi="Palatino Linotype" w:cs="Arial"/>
          <w:sz w:val="24"/>
          <w:szCs w:val="24"/>
        </w:rPr>
        <w:t xml:space="preserve"> fecha </w:t>
      </w:r>
      <w:r w:rsidR="005B680F">
        <w:rPr>
          <w:rFonts w:ascii="Palatino Linotype" w:hAnsi="Palatino Linotype" w:cs="Arial"/>
          <w:sz w:val="24"/>
          <w:szCs w:val="24"/>
        </w:rPr>
        <w:t>veintidós</w:t>
      </w:r>
      <w:r>
        <w:rPr>
          <w:rFonts w:ascii="Palatino Linotype" w:hAnsi="Palatino Linotype" w:cs="Arial"/>
          <w:sz w:val="24"/>
          <w:szCs w:val="24"/>
        </w:rPr>
        <w:t xml:space="preserve"> </w:t>
      </w:r>
      <w:r w:rsidRPr="00E34F08">
        <w:rPr>
          <w:rFonts w:ascii="Palatino Linotype" w:hAnsi="Palatino Linotype" w:cs="Arial"/>
          <w:sz w:val="24"/>
          <w:szCs w:val="24"/>
        </w:rPr>
        <w:t>(</w:t>
      </w:r>
      <w:r w:rsidR="005B680F">
        <w:rPr>
          <w:rFonts w:ascii="Palatino Linotype" w:hAnsi="Palatino Linotype" w:cs="Arial"/>
          <w:sz w:val="24"/>
          <w:szCs w:val="24"/>
        </w:rPr>
        <w:t>2</w:t>
      </w:r>
      <w:r>
        <w:rPr>
          <w:rFonts w:ascii="Palatino Linotype" w:hAnsi="Palatino Linotype" w:cs="Arial"/>
          <w:sz w:val="24"/>
          <w:szCs w:val="24"/>
        </w:rPr>
        <w:t>2</w:t>
      </w:r>
      <w:r w:rsidRPr="00E34F08">
        <w:rPr>
          <w:rFonts w:ascii="Palatino Linotype" w:hAnsi="Palatino Linotype" w:cs="Arial"/>
          <w:sz w:val="24"/>
          <w:szCs w:val="24"/>
        </w:rPr>
        <w:t xml:space="preserve">) de </w:t>
      </w:r>
      <w:r>
        <w:rPr>
          <w:rFonts w:ascii="Palatino Linotype" w:hAnsi="Palatino Linotype" w:cs="Arial"/>
          <w:sz w:val="24"/>
          <w:szCs w:val="24"/>
        </w:rPr>
        <w:t xml:space="preserve">mayo de dos mil diecinueve, en </w:t>
      </w:r>
      <w:r w:rsidR="005B680F">
        <w:rPr>
          <w:rFonts w:ascii="Palatino Linotype" w:hAnsi="Palatino Linotype" w:cs="Arial"/>
          <w:sz w:val="24"/>
          <w:szCs w:val="24"/>
        </w:rPr>
        <w:t>el</w:t>
      </w:r>
      <w:r w:rsidRPr="00E34F08">
        <w:rPr>
          <w:rFonts w:ascii="Palatino Linotype" w:hAnsi="Palatino Linotype" w:cs="Arial"/>
          <w:sz w:val="24"/>
          <w:szCs w:val="24"/>
        </w:rPr>
        <w:t xml:space="preserve"> recurso de revisión promovido por</w:t>
      </w:r>
      <w:r w:rsidRPr="00E34F08">
        <w:rPr>
          <w:rFonts w:ascii="Palatino Linotype" w:hAnsi="Palatino Linotype" w:cs="Arial"/>
          <w:b/>
          <w:sz w:val="24"/>
          <w:szCs w:val="24"/>
        </w:rPr>
        <w:t xml:space="preserve"> </w:t>
      </w:r>
      <w:r w:rsidRPr="000A71F1">
        <w:rPr>
          <w:rFonts w:ascii="Palatino Linotype" w:hAnsi="Palatino Linotype" w:cs="Arial"/>
          <w:sz w:val="24"/>
          <w:szCs w:val="24"/>
        </w:rPr>
        <w:t>un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 respuesta de</w:t>
      </w:r>
      <w:r w:rsidR="005B680F">
        <w:rPr>
          <w:rFonts w:ascii="Palatino Linotype" w:hAnsi="Palatino Linotype" w:cs="Arial"/>
          <w:sz w:val="24"/>
          <w:szCs w:val="24"/>
        </w:rPr>
        <w:t xml:space="preserve"> </w:t>
      </w:r>
      <w:r w:rsidRPr="00E34F08">
        <w:rPr>
          <w:rFonts w:ascii="Palatino Linotype" w:hAnsi="Palatino Linotype" w:cs="Arial"/>
          <w:sz w:val="24"/>
          <w:szCs w:val="24"/>
        </w:rPr>
        <w:t>l</w:t>
      </w:r>
      <w:r w:rsidR="005B680F">
        <w:rPr>
          <w:rFonts w:ascii="Palatino Linotype" w:hAnsi="Palatino Linotype" w:cs="Arial"/>
          <w:sz w:val="24"/>
          <w:szCs w:val="24"/>
        </w:rPr>
        <w:t>a</w:t>
      </w:r>
      <w:r w:rsidRPr="00E34F08">
        <w:rPr>
          <w:rFonts w:ascii="Palatino Linotype" w:hAnsi="Palatino Linotype" w:cs="Arial"/>
          <w:sz w:val="24"/>
          <w:szCs w:val="24"/>
        </w:rPr>
        <w:t xml:space="preserve"> </w:t>
      </w:r>
      <w:r w:rsidR="005B680F">
        <w:rPr>
          <w:rFonts w:ascii="Palatino Linotype" w:eastAsia="Calibri" w:hAnsi="Palatino Linotype" w:cs="Times New Roman"/>
          <w:b/>
          <w:sz w:val="24"/>
          <w:szCs w:val="24"/>
          <w:lang w:val="es-ES" w:eastAsia="es-ES"/>
        </w:rPr>
        <w:t>Universidad Politécnica del Valle de Toluca</w:t>
      </w:r>
      <w:r w:rsidRPr="00E34F08">
        <w:rPr>
          <w:rFonts w:ascii="Palatino Linotype" w:hAnsi="Palatino Linotype" w:cs="Arial"/>
          <w:sz w:val="24"/>
          <w:szCs w:val="24"/>
        </w:rPr>
        <w:t>, procedimiento a</w:t>
      </w:r>
      <w:r>
        <w:rPr>
          <w:rFonts w:ascii="Palatino Linotype" w:hAnsi="Palatino Linotype" w:cs="Arial"/>
          <w:sz w:val="24"/>
          <w:szCs w:val="24"/>
        </w:rPr>
        <w:t>l</w:t>
      </w:r>
      <w:r w:rsidRPr="00E34F08">
        <w:rPr>
          <w:rFonts w:ascii="Palatino Linotype" w:hAnsi="Palatino Linotype" w:cs="Arial"/>
          <w:sz w:val="24"/>
          <w:szCs w:val="24"/>
        </w:rPr>
        <w:t xml:space="preserve"> que se le asignó </w:t>
      </w:r>
      <w:r w:rsidR="005B680F">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Pr>
          <w:rFonts w:ascii="Palatino Linotype" w:eastAsia="Times New Roman" w:hAnsi="Palatino Linotype" w:cs="Arial"/>
          <w:b/>
          <w:bCs/>
          <w:sz w:val="24"/>
          <w:szCs w:val="24"/>
          <w:lang w:eastAsia="es-ES"/>
        </w:rPr>
        <w:t>0</w:t>
      </w:r>
      <w:r w:rsidR="005B680F">
        <w:rPr>
          <w:rFonts w:ascii="Palatino Linotype" w:eastAsia="Times New Roman" w:hAnsi="Palatino Linotype" w:cs="Arial"/>
          <w:b/>
          <w:bCs/>
          <w:sz w:val="24"/>
          <w:szCs w:val="24"/>
          <w:lang w:eastAsia="es-ES"/>
        </w:rPr>
        <w:t>1350</w:t>
      </w:r>
      <w:r>
        <w:rPr>
          <w:rFonts w:ascii="Palatino Linotype" w:eastAsia="Times New Roman" w:hAnsi="Palatino Linotype" w:cs="Arial"/>
          <w:b/>
          <w:bCs/>
          <w:sz w:val="24"/>
          <w:szCs w:val="24"/>
          <w:lang w:eastAsia="es-ES"/>
        </w:rPr>
        <w:t>/INFOEM/IP/RR/</w:t>
      </w:r>
      <w:r w:rsidR="005B680F">
        <w:rPr>
          <w:rFonts w:ascii="Palatino Linotype" w:eastAsia="Times New Roman" w:hAnsi="Palatino Linotype" w:cs="Arial"/>
          <w:b/>
          <w:bCs/>
          <w:sz w:val="24"/>
          <w:szCs w:val="24"/>
          <w:lang w:eastAsia="es-ES"/>
        </w:rPr>
        <w:t>2019.</w:t>
      </w:r>
    </w:p>
    <w:p w:rsidR="00270614" w:rsidRPr="00EE49DD" w:rsidRDefault="00270614" w:rsidP="00270614">
      <w:pPr>
        <w:pStyle w:val="Prrafodelista"/>
        <w:tabs>
          <w:tab w:val="left" w:pos="426"/>
        </w:tabs>
        <w:spacing w:after="0" w:line="360" w:lineRule="auto"/>
        <w:ind w:left="0"/>
        <w:jc w:val="both"/>
        <w:rPr>
          <w:rFonts w:ascii="Palatino Linotype" w:hAnsi="Palatino Linotype" w:cs="Arial"/>
          <w:sz w:val="24"/>
          <w:szCs w:val="24"/>
        </w:rPr>
      </w:pPr>
    </w:p>
    <w:p w:rsidR="00270614" w:rsidRDefault="00270614" w:rsidP="0027061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E49DD">
        <w:rPr>
          <w:rFonts w:ascii="Palatino Linotype" w:hAnsi="Palatino Linotype" w:cs="Arial"/>
          <w:sz w:val="24"/>
          <w:szCs w:val="24"/>
        </w:rPr>
        <w:t xml:space="preserve">A través del estudio realizado dentro de la resolución que al rubro se indica, la Ponencia Resolutora determinó que resultaban </w:t>
      </w:r>
      <w:r w:rsidR="005B680F">
        <w:rPr>
          <w:rFonts w:ascii="Palatino Linotype" w:hAnsi="Palatino Linotype" w:cs="Arial"/>
          <w:sz w:val="24"/>
          <w:szCs w:val="24"/>
        </w:rPr>
        <w:t xml:space="preserve">parcialmente </w:t>
      </w:r>
      <w:r w:rsidRPr="00EE49DD">
        <w:rPr>
          <w:rFonts w:ascii="Palatino Linotype" w:hAnsi="Palatino Linotype" w:cs="Arial"/>
          <w:sz w:val="24"/>
          <w:szCs w:val="24"/>
        </w:rPr>
        <w:t xml:space="preserve">fundadas las razones o motivos de inconformidad hechos valer por </w:t>
      </w:r>
      <w:r w:rsidR="005B680F">
        <w:rPr>
          <w:rFonts w:ascii="Palatino Linotype" w:hAnsi="Palatino Linotype" w:cs="Arial"/>
          <w:sz w:val="24"/>
          <w:szCs w:val="24"/>
        </w:rPr>
        <w:t>la</w:t>
      </w:r>
      <w:r w:rsidRPr="00EE49DD">
        <w:rPr>
          <w:rFonts w:ascii="Palatino Linotype" w:hAnsi="Palatino Linotype" w:cs="Arial"/>
          <w:sz w:val="24"/>
          <w:szCs w:val="24"/>
        </w:rPr>
        <w:t xml:space="preserve"> </w:t>
      </w:r>
      <w:r w:rsidRPr="00EE49DD">
        <w:rPr>
          <w:rFonts w:ascii="Palatino Linotype" w:hAnsi="Palatino Linotype" w:cs="Arial"/>
          <w:b/>
          <w:sz w:val="24"/>
          <w:szCs w:val="24"/>
        </w:rPr>
        <w:t>RECURRENTE</w:t>
      </w:r>
      <w:r w:rsidRPr="00EE49DD">
        <w:rPr>
          <w:rFonts w:ascii="Palatino Linotype" w:hAnsi="Palatino Linotype" w:cs="Arial"/>
          <w:sz w:val="24"/>
          <w:szCs w:val="24"/>
        </w:rPr>
        <w:t xml:space="preserve"> en términos del Considerando </w:t>
      </w:r>
      <w:r w:rsidR="005B680F">
        <w:rPr>
          <w:rFonts w:ascii="Palatino Linotype" w:hAnsi="Palatino Linotype" w:cs="Arial"/>
          <w:b/>
          <w:sz w:val="24"/>
          <w:szCs w:val="24"/>
        </w:rPr>
        <w:t xml:space="preserve">CUARTO </w:t>
      </w:r>
      <w:r w:rsidRPr="00EE49DD">
        <w:rPr>
          <w:rFonts w:ascii="Palatino Linotype" w:hAnsi="Palatino Linotype" w:cs="Arial"/>
          <w:sz w:val="24"/>
          <w:szCs w:val="24"/>
        </w:rPr>
        <w:t xml:space="preserve">de la resolución, por lo que se consideró, </w:t>
      </w:r>
      <w:r w:rsidRPr="00EE49DD">
        <w:rPr>
          <w:rFonts w:ascii="Palatino Linotype" w:hAnsi="Palatino Linotype" w:cs="Arial"/>
          <w:b/>
          <w:sz w:val="24"/>
          <w:szCs w:val="24"/>
        </w:rPr>
        <w:t>ORDENAR</w:t>
      </w:r>
      <w:r w:rsidRPr="00EE49DD">
        <w:rPr>
          <w:rFonts w:ascii="Palatino Linotype" w:hAnsi="Palatino Linotype" w:cs="Arial"/>
          <w:sz w:val="24"/>
          <w:szCs w:val="24"/>
        </w:rPr>
        <w:t xml:space="preserve"> al </w:t>
      </w:r>
      <w:r w:rsidRPr="00EE49DD">
        <w:rPr>
          <w:rFonts w:ascii="Palatino Linotype" w:hAnsi="Palatino Linotype" w:cs="Arial"/>
          <w:b/>
          <w:sz w:val="24"/>
          <w:szCs w:val="24"/>
        </w:rPr>
        <w:lastRenderedPageBreak/>
        <w:t xml:space="preserve">SUJETO OBLIGADO </w:t>
      </w:r>
      <w:r w:rsidRPr="00EE49DD">
        <w:rPr>
          <w:rFonts w:ascii="Palatino Linotype" w:hAnsi="Palatino Linotype" w:cs="Arial"/>
          <w:sz w:val="24"/>
          <w:szCs w:val="24"/>
        </w:rPr>
        <w:t>entregue,</w:t>
      </w:r>
      <w:r w:rsidRPr="00EE49DD">
        <w:t xml:space="preserve"> </w:t>
      </w:r>
      <w:r w:rsidR="005B680F">
        <w:rPr>
          <w:rFonts w:ascii="Palatino Linotype" w:hAnsi="Palatino Linotype" w:cs="Arial"/>
          <w:sz w:val="24"/>
          <w:szCs w:val="24"/>
        </w:rPr>
        <w:t>de ser procedente en versión pública</w:t>
      </w:r>
      <w:r w:rsidRPr="00EE49DD">
        <w:rPr>
          <w:rFonts w:ascii="Palatino Linotype" w:hAnsi="Palatino Linotype" w:cs="Arial"/>
          <w:sz w:val="24"/>
          <w:szCs w:val="24"/>
        </w:rPr>
        <w:t xml:space="preserve">, </w:t>
      </w:r>
      <w:r w:rsidR="005B680F">
        <w:rPr>
          <w:rFonts w:ascii="Palatino Linotype" w:hAnsi="Palatino Linotype" w:cs="Arial"/>
          <w:sz w:val="24"/>
          <w:szCs w:val="24"/>
        </w:rPr>
        <w:t>vía consulta directa “</w:t>
      </w:r>
      <w:r w:rsidR="005B680F" w:rsidRPr="005B680F">
        <w:rPr>
          <w:rFonts w:ascii="Palatino Linotype" w:hAnsi="Palatino Linotype" w:cs="Arial"/>
          <w:i/>
          <w:sz w:val="24"/>
          <w:szCs w:val="24"/>
        </w:rPr>
        <w:t>la relación histórica de reconocimientos entregados al personal interno y ponentes externos</w:t>
      </w:r>
      <w:r w:rsidR="005B680F">
        <w:rPr>
          <w:rFonts w:ascii="Palatino Linotype" w:hAnsi="Palatino Linotype" w:cs="Arial"/>
          <w:sz w:val="24"/>
          <w:szCs w:val="24"/>
        </w:rPr>
        <w:t>”.</w:t>
      </w:r>
    </w:p>
    <w:p w:rsidR="00270614" w:rsidRDefault="00270614" w:rsidP="00270614">
      <w:pPr>
        <w:pStyle w:val="Prrafodelista"/>
        <w:tabs>
          <w:tab w:val="left" w:pos="426"/>
        </w:tabs>
        <w:spacing w:after="0" w:line="360" w:lineRule="auto"/>
        <w:ind w:left="0"/>
        <w:jc w:val="both"/>
        <w:rPr>
          <w:rFonts w:ascii="Palatino Linotype" w:hAnsi="Palatino Linotype" w:cs="Arial"/>
          <w:sz w:val="24"/>
          <w:szCs w:val="24"/>
        </w:rPr>
      </w:pPr>
    </w:p>
    <w:p w:rsidR="00270614" w:rsidRPr="00EE49DD" w:rsidRDefault="00270614" w:rsidP="0027061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E49DD">
        <w:rPr>
          <w:rFonts w:ascii="Palatino Linotype" w:hAnsi="Palatino Linotype" w:cs="Arial"/>
          <w:sz w:val="24"/>
          <w:szCs w:val="24"/>
        </w:rPr>
        <w:t xml:space="preserve">Sin embargo, mi voto particular se deriva del hecho de que </w:t>
      </w:r>
      <w:r>
        <w:rPr>
          <w:rFonts w:ascii="Palatino Linotype" w:hAnsi="Palatino Linotype" w:cs="Arial"/>
          <w:sz w:val="24"/>
          <w:szCs w:val="24"/>
        </w:rPr>
        <w:t xml:space="preserve">se considerara </w:t>
      </w:r>
      <w:r w:rsidR="003D6600">
        <w:rPr>
          <w:rFonts w:ascii="Palatino Linotype" w:hAnsi="Palatino Linotype" w:cs="Arial"/>
          <w:sz w:val="24"/>
          <w:szCs w:val="24"/>
        </w:rPr>
        <w:t xml:space="preserve">que la respuesta del </w:t>
      </w:r>
      <w:r w:rsidR="003D6600" w:rsidRPr="003D6600">
        <w:rPr>
          <w:rFonts w:ascii="Palatino Linotype" w:hAnsi="Palatino Linotype" w:cs="Arial"/>
          <w:b/>
          <w:sz w:val="24"/>
          <w:szCs w:val="24"/>
        </w:rPr>
        <w:t>SUJETO OBLIGADO</w:t>
      </w:r>
      <w:r w:rsidR="003D6600">
        <w:rPr>
          <w:rFonts w:ascii="Palatino Linotype" w:hAnsi="Palatino Linotype" w:cs="Arial"/>
          <w:sz w:val="24"/>
          <w:szCs w:val="24"/>
        </w:rPr>
        <w:t xml:space="preserve"> era susceptible de modificarse, cuando de su lectura se advierte una negativa a la entrega de la información</w:t>
      </w:r>
      <w:r>
        <w:rPr>
          <w:rFonts w:ascii="Palatino Linotype" w:hAnsi="Palatino Linotype" w:cs="Arial"/>
          <w:sz w:val="24"/>
          <w:szCs w:val="24"/>
        </w:rPr>
        <w:t xml:space="preserve">. </w:t>
      </w:r>
    </w:p>
    <w:p w:rsidR="00270614" w:rsidRPr="00F3161F" w:rsidRDefault="00270614" w:rsidP="00270614">
      <w:pPr>
        <w:pStyle w:val="Prrafodelista"/>
        <w:tabs>
          <w:tab w:val="left" w:pos="426"/>
        </w:tabs>
        <w:rPr>
          <w:rFonts w:ascii="Palatino Linotype" w:hAnsi="Palatino Linotype" w:cs="Arial"/>
          <w:sz w:val="20"/>
          <w:szCs w:val="24"/>
        </w:rPr>
      </w:pPr>
    </w:p>
    <w:p w:rsidR="00270614" w:rsidRDefault="00270614" w:rsidP="0027061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270614" w:rsidRPr="0001046D" w:rsidRDefault="00270614" w:rsidP="00270614">
      <w:pPr>
        <w:pStyle w:val="Prrafodelista"/>
        <w:rPr>
          <w:rFonts w:ascii="Palatino Linotype" w:hAnsi="Palatino Linotype" w:cs="Arial"/>
          <w:sz w:val="24"/>
          <w:szCs w:val="24"/>
        </w:rPr>
      </w:pPr>
    </w:p>
    <w:p w:rsidR="00270614" w:rsidRPr="0001046D" w:rsidRDefault="00270614" w:rsidP="00270614">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3" w:name="_Toc8222818"/>
      <w:bookmarkStart w:id="4" w:name="_Toc9872719"/>
      <w:r w:rsidRPr="0001046D">
        <w:rPr>
          <w:rFonts w:ascii="Palatino Linotype" w:hAnsi="Palatino Linotype"/>
          <w:b/>
          <w:color w:val="auto"/>
          <w:sz w:val="24"/>
          <w:szCs w:val="24"/>
        </w:rPr>
        <w:t xml:space="preserve">De los requerimientos planteados en </w:t>
      </w:r>
      <w:r>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3"/>
      <w:bookmarkEnd w:id="4"/>
    </w:p>
    <w:p w:rsidR="00270614" w:rsidRPr="00F3161F" w:rsidRDefault="00270614" w:rsidP="00270614">
      <w:pPr>
        <w:pStyle w:val="Prrafodelista"/>
        <w:spacing w:line="360" w:lineRule="auto"/>
        <w:ind w:left="1080"/>
        <w:jc w:val="both"/>
        <w:rPr>
          <w:rFonts w:ascii="Palatino Linotype" w:hAnsi="Palatino Linotype" w:cs="Arial"/>
          <w:sz w:val="20"/>
          <w:szCs w:val="24"/>
        </w:rPr>
      </w:pPr>
    </w:p>
    <w:p w:rsidR="00270614" w:rsidRPr="009B4E7D" w:rsidRDefault="003D6600" w:rsidP="0027061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La</w:t>
      </w:r>
      <w:r w:rsidR="00270614" w:rsidRPr="00F25783">
        <w:rPr>
          <w:rFonts w:ascii="Palatino Linotype" w:hAnsi="Palatino Linotype" w:cs="Arial"/>
          <w:sz w:val="24"/>
          <w:szCs w:val="24"/>
        </w:rPr>
        <w:t xml:space="preserve"> particular requirió de</w:t>
      </w:r>
      <w:r>
        <w:rPr>
          <w:rFonts w:ascii="Palatino Linotype" w:hAnsi="Palatino Linotype" w:cs="Arial"/>
          <w:sz w:val="24"/>
          <w:szCs w:val="24"/>
        </w:rPr>
        <w:t xml:space="preserve"> </w:t>
      </w:r>
      <w:r w:rsidR="00270614" w:rsidRPr="00F25783">
        <w:rPr>
          <w:rFonts w:ascii="Palatino Linotype" w:hAnsi="Palatino Linotype" w:cs="Arial"/>
          <w:sz w:val="24"/>
          <w:szCs w:val="24"/>
        </w:rPr>
        <w:t>l</w:t>
      </w:r>
      <w:r>
        <w:rPr>
          <w:rFonts w:ascii="Palatino Linotype" w:hAnsi="Palatino Linotype" w:cs="Arial"/>
          <w:sz w:val="24"/>
          <w:szCs w:val="24"/>
        </w:rPr>
        <w:t>a</w:t>
      </w:r>
      <w:r w:rsidR="00270614">
        <w:rPr>
          <w:rFonts w:ascii="Palatino Linotype" w:hAnsi="Palatino Linotype" w:cs="Arial"/>
          <w:sz w:val="24"/>
          <w:szCs w:val="24"/>
        </w:rPr>
        <w:t xml:space="preserve"> </w:t>
      </w:r>
      <w:r w:rsidRPr="003D6600">
        <w:rPr>
          <w:rFonts w:ascii="Palatino Linotype" w:hAnsi="Palatino Linotype" w:cs="Arial"/>
          <w:b/>
          <w:sz w:val="24"/>
          <w:szCs w:val="24"/>
        </w:rPr>
        <w:t>Universidad Politécnica del Valle de Toluca</w:t>
      </w:r>
      <w:r w:rsidR="00270614">
        <w:rPr>
          <w:rFonts w:ascii="Palatino Linotype" w:hAnsi="Palatino Linotype" w:cs="Arial"/>
          <w:sz w:val="24"/>
          <w:szCs w:val="24"/>
        </w:rPr>
        <w:t xml:space="preserve"> lo </w:t>
      </w:r>
      <w:r w:rsidR="00270614" w:rsidRPr="00F25783">
        <w:rPr>
          <w:rFonts w:ascii="Palatino Linotype" w:hAnsi="Palatino Linotype" w:cs="Arial"/>
          <w:sz w:val="24"/>
          <w:szCs w:val="24"/>
        </w:rPr>
        <w:t xml:space="preserve">siguiente: </w:t>
      </w:r>
      <w:r w:rsidR="00270614" w:rsidRPr="00F25783">
        <w:rPr>
          <w:rFonts w:ascii="Palatino Linotype" w:hAnsi="Palatino Linotype" w:cs="Arial"/>
          <w:b/>
          <w:sz w:val="24"/>
          <w:szCs w:val="24"/>
        </w:rPr>
        <w:t xml:space="preserve"> </w:t>
      </w:r>
    </w:p>
    <w:p w:rsidR="00270614" w:rsidRPr="003268D1" w:rsidRDefault="00270614" w:rsidP="00270614">
      <w:pPr>
        <w:pStyle w:val="Prrafodelista"/>
        <w:spacing w:after="0" w:line="276" w:lineRule="auto"/>
        <w:ind w:left="360"/>
        <w:jc w:val="both"/>
        <w:rPr>
          <w:rFonts w:ascii="Palatino Linotype" w:hAnsi="Palatino Linotype" w:cs="Arial"/>
          <w:b/>
          <w:i/>
        </w:rPr>
      </w:pPr>
    </w:p>
    <w:p w:rsidR="003D6600" w:rsidRPr="00CF2490" w:rsidRDefault="003D6600" w:rsidP="003D6600">
      <w:pPr>
        <w:pStyle w:val="Sinespaciado"/>
        <w:ind w:left="567" w:right="567"/>
        <w:jc w:val="both"/>
        <w:rPr>
          <w:rFonts w:ascii="Palatino Linotype" w:hAnsi="Palatino Linotype"/>
          <w:b/>
          <w:bCs/>
          <w:color w:val="000000" w:themeColor="text1"/>
          <w:u w:val="single"/>
        </w:rPr>
      </w:pPr>
      <w:r w:rsidRPr="00CF2490">
        <w:rPr>
          <w:rFonts w:ascii="Palatino Linotype" w:hAnsi="Palatino Linotype"/>
          <w:i/>
          <w:lang w:val="es-ES_tradnl"/>
        </w:rPr>
        <w:t>“Relación histórica de reconocimientos que ha entregado la universidad tanto a personal interno como ponentes externos” [Sic]</w:t>
      </w:r>
    </w:p>
    <w:p w:rsidR="00270614" w:rsidRDefault="00270614" w:rsidP="00270614">
      <w:pPr>
        <w:pStyle w:val="Prrafodelista"/>
        <w:spacing w:after="0" w:line="276" w:lineRule="auto"/>
        <w:ind w:left="360"/>
        <w:jc w:val="both"/>
        <w:rPr>
          <w:rFonts w:ascii="Palatino Linotype" w:hAnsi="Palatino Linotype" w:cs="Arial"/>
          <w:b/>
          <w:i/>
        </w:rPr>
      </w:pPr>
    </w:p>
    <w:p w:rsidR="003D6600" w:rsidRPr="003268D1" w:rsidRDefault="003D6600" w:rsidP="00270614">
      <w:pPr>
        <w:pStyle w:val="Prrafodelista"/>
        <w:spacing w:after="0" w:line="276" w:lineRule="auto"/>
        <w:ind w:left="360"/>
        <w:jc w:val="both"/>
        <w:rPr>
          <w:rFonts w:ascii="Palatino Linotype" w:hAnsi="Palatino Linotype" w:cs="Arial"/>
          <w:b/>
          <w:i/>
        </w:rPr>
      </w:pPr>
    </w:p>
    <w:p w:rsidR="00270614" w:rsidRPr="003D6600" w:rsidRDefault="00270614" w:rsidP="003D6600">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El </w:t>
      </w:r>
      <w:r w:rsidRPr="008E4128">
        <w:rPr>
          <w:rFonts w:ascii="Palatino Linotype" w:hAnsi="Palatino Linotype" w:cs="Arial"/>
          <w:b/>
          <w:sz w:val="24"/>
          <w:szCs w:val="24"/>
        </w:rPr>
        <w:t>SUJETO OBLIGADO</w:t>
      </w:r>
      <w:r>
        <w:rPr>
          <w:rFonts w:ascii="Palatino Linotype" w:hAnsi="Palatino Linotype" w:cs="Arial"/>
          <w:sz w:val="24"/>
          <w:szCs w:val="24"/>
        </w:rPr>
        <w:t xml:space="preserve"> </w:t>
      </w:r>
      <w:r w:rsidR="003D6600">
        <w:rPr>
          <w:rFonts w:ascii="Palatino Linotype" w:hAnsi="Palatino Linotype" w:cs="Arial"/>
          <w:sz w:val="24"/>
          <w:szCs w:val="24"/>
        </w:rPr>
        <w:t>en respuesta informó</w:t>
      </w:r>
      <w:r w:rsidR="003D6600" w:rsidRPr="003D6600">
        <w:rPr>
          <w:rFonts w:ascii="Palatino Linotype" w:hAnsi="Palatino Linotype" w:cs="Arial"/>
          <w:sz w:val="24"/>
          <w:szCs w:val="24"/>
        </w:rPr>
        <w:t xml:space="preserve"> que, de acuerdo a lo establecido en su Manual General de Organización, la Dirección de Planeación, Vinculación e Igualdad de Género no cuenta con la función de generar y administrar documentos </w:t>
      </w:r>
      <w:r w:rsidR="003D6600" w:rsidRPr="003D6600">
        <w:rPr>
          <w:rFonts w:ascii="Palatino Linotype" w:hAnsi="Palatino Linotype" w:cs="Arial"/>
          <w:sz w:val="24"/>
          <w:szCs w:val="24"/>
        </w:rPr>
        <w:lastRenderedPageBreak/>
        <w:t xml:space="preserve">oficiales en los que se establezca la relación histórica de los reconocimientos que ha entregado el Sujeto Obligado a ponentes externos y personal de esa Casa de Estudios. </w:t>
      </w:r>
    </w:p>
    <w:p w:rsidR="00270614" w:rsidRPr="00F3161F" w:rsidRDefault="00270614" w:rsidP="00270614">
      <w:pPr>
        <w:pStyle w:val="Prrafodelista"/>
        <w:tabs>
          <w:tab w:val="left" w:pos="426"/>
        </w:tabs>
        <w:spacing w:after="0" w:line="360" w:lineRule="auto"/>
        <w:ind w:left="0"/>
        <w:jc w:val="both"/>
        <w:rPr>
          <w:rFonts w:ascii="Palatino Linotype" w:hAnsi="Palatino Linotype" w:cs="Arial"/>
          <w:sz w:val="20"/>
          <w:szCs w:val="24"/>
        </w:rPr>
      </w:pPr>
    </w:p>
    <w:p w:rsidR="00270614" w:rsidRPr="00D157E6" w:rsidRDefault="00270614" w:rsidP="00270614">
      <w:pPr>
        <w:pStyle w:val="Prrafodelista"/>
        <w:numPr>
          <w:ilvl w:val="0"/>
          <w:numId w:val="1"/>
        </w:numPr>
        <w:tabs>
          <w:tab w:val="left" w:pos="0"/>
          <w:tab w:val="left" w:pos="426"/>
        </w:tabs>
        <w:spacing w:before="240" w:after="240" w:line="360" w:lineRule="auto"/>
        <w:ind w:left="0" w:firstLine="0"/>
        <w:jc w:val="both"/>
        <w:rPr>
          <w:rFonts w:ascii="Palatino Linotype" w:hAnsi="Palatino Linotype" w:cs="Arial"/>
          <w:sz w:val="20"/>
          <w:szCs w:val="24"/>
        </w:rPr>
      </w:pPr>
      <w:r>
        <w:rPr>
          <w:rFonts w:ascii="Palatino Linotype" w:hAnsi="Palatino Linotype" w:cs="Arial"/>
          <w:sz w:val="24"/>
          <w:szCs w:val="24"/>
        </w:rPr>
        <w:t>Por lo anterior</w:t>
      </w:r>
      <w:r w:rsidRPr="00D157E6">
        <w:rPr>
          <w:rFonts w:ascii="Palatino Linotype" w:hAnsi="Palatino Linotype" w:cs="Arial"/>
          <w:sz w:val="24"/>
          <w:szCs w:val="24"/>
        </w:rPr>
        <w:t>,</w:t>
      </w:r>
      <w:r w:rsidRPr="00D157E6">
        <w:rPr>
          <w:rFonts w:ascii="Palatino Linotype" w:hAnsi="Palatino Linotype" w:cs="Arial"/>
          <w:b/>
          <w:sz w:val="24"/>
          <w:szCs w:val="24"/>
        </w:rPr>
        <w:t xml:space="preserve"> </w:t>
      </w:r>
      <w:r w:rsidRPr="00D157E6">
        <w:rPr>
          <w:rFonts w:ascii="Palatino Linotype" w:hAnsi="Palatino Linotype" w:cs="Arial"/>
          <w:sz w:val="24"/>
          <w:szCs w:val="24"/>
        </w:rPr>
        <w:t xml:space="preserve">el </w:t>
      </w:r>
      <w:r w:rsidRPr="00D157E6">
        <w:rPr>
          <w:rFonts w:ascii="Palatino Linotype" w:hAnsi="Palatino Linotype" w:cs="Arial"/>
          <w:b/>
          <w:sz w:val="24"/>
          <w:szCs w:val="24"/>
        </w:rPr>
        <w:t>RECURRENTE</w:t>
      </w:r>
      <w:r w:rsidRPr="00D157E6">
        <w:rPr>
          <w:rFonts w:ascii="Palatino Linotype" w:hAnsi="Palatino Linotype" w:cs="Arial"/>
          <w:sz w:val="24"/>
          <w:szCs w:val="24"/>
        </w:rPr>
        <w:t xml:space="preserve"> </w:t>
      </w:r>
      <w:r>
        <w:rPr>
          <w:rFonts w:ascii="Palatino Linotype" w:hAnsi="Palatino Linotype" w:cs="Arial"/>
          <w:sz w:val="24"/>
          <w:szCs w:val="24"/>
        </w:rPr>
        <w:t xml:space="preserve">interpuso </w:t>
      </w:r>
      <w:r w:rsidR="003D6600">
        <w:rPr>
          <w:rFonts w:ascii="Palatino Linotype" w:hAnsi="Palatino Linotype" w:cs="Arial"/>
          <w:sz w:val="24"/>
          <w:szCs w:val="24"/>
        </w:rPr>
        <w:t>el</w:t>
      </w:r>
      <w:r>
        <w:rPr>
          <w:rFonts w:ascii="Palatino Linotype" w:hAnsi="Palatino Linotype" w:cs="Arial"/>
          <w:sz w:val="24"/>
          <w:szCs w:val="24"/>
        </w:rPr>
        <w:t xml:space="preserve"> medio de impugnación anteriormente citado, en </w:t>
      </w:r>
      <w:r w:rsidR="003D6600">
        <w:rPr>
          <w:rFonts w:ascii="Palatino Linotype" w:hAnsi="Palatino Linotype" w:cs="Arial"/>
          <w:sz w:val="24"/>
          <w:szCs w:val="24"/>
        </w:rPr>
        <w:t>el cual refirió</w:t>
      </w:r>
      <w:r>
        <w:rPr>
          <w:rFonts w:ascii="Palatino Linotype" w:hAnsi="Palatino Linotype" w:cs="Arial"/>
          <w:sz w:val="24"/>
          <w:szCs w:val="24"/>
        </w:rPr>
        <w:t xml:space="preserve"> como motivos de inconformidad </w:t>
      </w:r>
      <w:r w:rsidR="003D6600">
        <w:rPr>
          <w:rFonts w:ascii="Palatino Linotype" w:hAnsi="Palatino Linotype" w:cs="Arial"/>
          <w:sz w:val="24"/>
          <w:szCs w:val="24"/>
        </w:rPr>
        <w:t>la negativa a la entrega de la información.</w:t>
      </w:r>
    </w:p>
    <w:p w:rsidR="00270614" w:rsidRPr="00D157E6" w:rsidRDefault="00270614" w:rsidP="00270614">
      <w:pPr>
        <w:pStyle w:val="Prrafodelista"/>
        <w:tabs>
          <w:tab w:val="left" w:pos="426"/>
        </w:tabs>
        <w:spacing w:before="240" w:after="240" w:line="360" w:lineRule="auto"/>
        <w:ind w:left="360"/>
        <w:jc w:val="both"/>
        <w:rPr>
          <w:rFonts w:ascii="Palatino Linotype" w:hAnsi="Palatino Linotype" w:cs="Arial"/>
          <w:sz w:val="20"/>
          <w:szCs w:val="24"/>
        </w:rPr>
      </w:pPr>
    </w:p>
    <w:p w:rsidR="003D6600" w:rsidRDefault="003D6600" w:rsidP="0027061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Así, es de señalar que durante el periodo de manifestaciones el </w:t>
      </w:r>
      <w:r w:rsidRPr="00CC3BC2">
        <w:rPr>
          <w:rFonts w:ascii="Palatino Linotype" w:hAnsi="Palatino Linotype" w:cs="Arial"/>
          <w:b/>
          <w:sz w:val="24"/>
          <w:szCs w:val="24"/>
        </w:rPr>
        <w:t xml:space="preserve">SUJETO OBLIGADO </w:t>
      </w:r>
      <w:r>
        <w:rPr>
          <w:rFonts w:ascii="Palatino Linotype" w:hAnsi="Palatino Linotype" w:cs="Arial"/>
          <w:sz w:val="24"/>
          <w:szCs w:val="24"/>
        </w:rPr>
        <w:t>rindió su informe justificado en el cual confirmó su respuesta primigenia.</w:t>
      </w:r>
    </w:p>
    <w:p w:rsidR="003D6600" w:rsidRDefault="003D6600" w:rsidP="003D6600">
      <w:pPr>
        <w:pStyle w:val="Prrafodelista"/>
        <w:tabs>
          <w:tab w:val="left" w:pos="426"/>
        </w:tabs>
        <w:spacing w:before="240" w:after="240" w:line="360" w:lineRule="auto"/>
        <w:ind w:left="0" w:right="49"/>
        <w:jc w:val="both"/>
        <w:rPr>
          <w:rFonts w:ascii="Palatino Linotype" w:hAnsi="Palatino Linotype" w:cs="Arial"/>
          <w:sz w:val="24"/>
          <w:szCs w:val="24"/>
        </w:rPr>
      </w:pPr>
    </w:p>
    <w:p w:rsidR="003D6600" w:rsidRDefault="003D6600" w:rsidP="0027061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Posteriormente, el </w:t>
      </w:r>
      <w:r w:rsidRPr="003D6600">
        <w:rPr>
          <w:rFonts w:ascii="Palatino Linotype" w:hAnsi="Palatino Linotype" w:cs="Arial"/>
          <w:b/>
          <w:sz w:val="24"/>
          <w:szCs w:val="24"/>
        </w:rPr>
        <w:t>SUJETO OBLIGADO</w:t>
      </w:r>
      <w:r>
        <w:rPr>
          <w:rFonts w:ascii="Palatino Linotype" w:hAnsi="Palatino Linotype" w:cs="Arial"/>
          <w:sz w:val="24"/>
          <w:szCs w:val="24"/>
        </w:rPr>
        <w:t xml:space="preserve"> rindió un alcance al informe justificado, en el cual solicito a este Instituto el cambio de modalidad de entrega de la información para que</w:t>
      </w:r>
      <w:r w:rsidRPr="003D6600">
        <w:rPr>
          <w:rFonts w:ascii="Palatino Linotype" w:hAnsi="Palatino Linotype" w:cs="Arial"/>
          <w:sz w:val="24"/>
          <w:szCs w:val="24"/>
        </w:rPr>
        <w:t xml:space="preserve"> se realice en la modalidad </w:t>
      </w:r>
      <w:r w:rsidRPr="003D6600">
        <w:rPr>
          <w:rFonts w:ascii="Palatino Linotype" w:hAnsi="Palatino Linotype" w:cs="Arial"/>
          <w:i/>
          <w:sz w:val="24"/>
          <w:szCs w:val="24"/>
        </w:rPr>
        <w:t>in situ</w:t>
      </w:r>
      <w:r w:rsidRPr="003D6600">
        <w:rPr>
          <w:rFonts w:ascii="Palatino Linotype" w:hAnsi="Palatino Linotype" w:cs="Arial"/>
          <w:sz w:val="24"/>
          <w:szCs w:val="24"/>
        </w:rPr>
        <w:t>, es decir, en consul</w:t>
      </w:r>
      <w:r w:rsidR="004421B3">
        <w:rPr>
          <w:rFonts w:ascii="Palatino Linotype" w:hAnsi="Palatino Linotype" w:cs="Arial"/>
          <w:sz w:val="24"/>
          <w:szCs w:val="24"/>
        </w:rPr>
        <w:t>ta directa en sus instalaciones; cambio que indica que la información efectivamente es administrada, poseída o generada por este ente público, actualizándose con ello el supuesto jurídico previsto en la Ley de Transparencia y Acceso a la Información Pública del Estado de México y Municipios.</w:t>
      </w:r>
    </w:p>
    <w:p w:rsidR="003D6600" w:rsidRDefault="003D6600" w:rsidP="003D6600">
      <w:pPr>
        <w:pStyle w:val="Prrafodelista"/>
        <w:tabs>
          <w:tab w:val="left" w:pos="426"/>
        </w:tabs>
        <w:spacing w:before="240" w:after="240" w:line="360" w:lineRule="auto"/>
        <w:ind w:left="0" w:right="49"/>
        <w:jc w:val="both"/>
        <w:rPr>
          <w:rFonts w:ascii="Palatino Linotype" w:hAnsi="Palatino Linotype" w:cs="Arial"/>
          <w:sz w:val="24"/>
          <w:szCs w:val="24"/>
        </w:rPr>
      </w:pPr>
    </w:p>
    <w:p w:rsidR="004421B3" w:rsidRDefault="00270614" w:rsidP="0027061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Ante ello, la Ponencia Resolutora determinó </w:t>
      </w:r>
      <w:r w:rsidR="003D6600">
        <w:rPr>
          <w:rFonts w:ascii="Palatino Linotype" w:hAnsi="Palatino Linotype" w:cs="Arial"/>
          <w:sz w:val="24"/>
          <w:szCs w:val="24"/>
        </w:rPr>
        <w:t xml:space="preserve">que era procedente el cambio de </w:t>
      </w:r>
      <w:r w:rsidR="004421B3">
        <w:rPr>
          <w:rFonts w:ascii="Palatino Linotype" w:hAnsi="Palatino Linotype" w:cs="Arial"/>
          <w:sz w:val="24"/>
          <w:szCs w:val="24"/>
        </w:rPr>
        <w:t>modalidad</w:t>
      </w:r>
      <w:r w:rsidR="003D6600">
        <w:rPr>
          <w:rFonts w:ascii="Palatino Linotype" w:hAnsi="Palatino Linotype" w:cs="Arial"/>
          <w:sz w:val="24"/>
          <w:szCs w:val="24"/>
        </w:rPr>
        <w:t xml:space="preserve"> solicitado, ya que el </w:t>
      </w:r>
      <w:r w:rsidR="003D6600" w:rsidRPr="004421B3">
        <w:rPr>
          <w:rFonts w:ascii="Palatino Linotype" w:hAnsi="Palatino Linotype" w:cs="Arial"/>
          <w:b/>
          <w:sz w:val="24"/>
          <w:szCs w:val="24"/>
        </w:rPr>
        <w:t>SUJETO OBLIGADO</w:t>
      </w:r>
      <w:r w:rsidR="003D6600">
        <w:rPr>
          <w:rFonts w:ascii="Palatino Linotype" w:hAnsi="Palatino Linotype" w:cs="Arial"/>
          <w:sz w:val="24"/>
          <w:szCs w:val="24"/>
        </w:rPr>
        <w:t xml:space="preserve"> acredito la falta de </w:t>
      </w:r>
      <w:r w:rsidR="003D6600">
        <w:rPr>
          <w:rFonts w:ascii="Palatino Linotype" w:hAnsi="Palatino Linotype" w:cs="Arial"/>
          <w:sz w:val="24"/>
          <w:szCs w:val="24"/>
        </w:rPr>
        <w:lastRenderedPageBreak/>
        <w:t>capacidades técnicas, administrativas y humanas para entregarla en la vía primigeniamente requerida</w:t>
      </w:r>
      <w:r w:rsidR="004421B3">
        <w:rPr>
          <w:rFonts w:ascii="Palatino Linotype" w:hAnsi="Palatino Linotype" w:cs="Arial"/>
          <w:sz w:val="24"/>
          <w:szCs w:val="24"/>
        </w:rPr>
        <w:t>.</w:t>
      </w:r>
    </w:p>
    <w:p w:rsidR="004421B3" w:rsidRDefault="004421B3" w:rsidP="004421B3">
      <w:pPr>
        <w:pStyle w:val="Prrafodelista"/>
        <w:tabs>
          <w:tab w:val="left" w:pos="426"/>
        </w:tabs>
        <w:spacing w:before="240" w:after="240" w:line="360" w:lineRule="auto"/>
        <w:ind w:left="0" w:right="49"/>
        <w:jc w:val="both"/>
        <w:rPr>
          <w:rFonts w:ascii="Palatino Linotype" w:hAnsi="Palatino Linotype" w:cs="Arial"/>
          <w:sz w:val="24"/>
          <w:szCs w:val="24"/>
        </w:rPr>
      </w:pPr>
    </w:p>
    <w:p w:rsidR="00270614" w:rsidRPr="004421B3" w:rsidRDefault="004421B3" w:rsidP="006945EF">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4421B3">
        <w:rPr>
          <w:rFonts w:ascii="Palatino Linotype" w:hAnsi="Palatino Linotype" w:cs="Arial"/>
          <w:sz w:val="24"/>
          <w:szCs w:val="24"/>
        </w:rPr>
        <w:t xml:space="preserve">Al respecto, si bien se comparte que el cambio de modalidad requerido </w:t>
      </w:r>
      <w:r w:rsidR="00270614" w:rsidRPr="004421B3">
        <w:rPr>
          <w:rFonts w:ascii="Palatino Linotype" w:hAnsi="Palatino Linotype" w:cs="Arial"/>
          <w:sz w:val="24"/>
          <w:szCs w:val="24"/>
        </w:rPr>
        <w:t xml:space="preserve"> </w:t>
      </w:r>
      <w:r w:rsidR="00270614" w:rsidRPr="004421B3">
        <w:rPr>
          <w:rFonts w:ascii="Palatino Linotype" w:hAnsi="Palatino Linotype" w:cs="Arial"/>
          <w:b/>
          <w:sz w:val="24"/>
          <w:szCs w:val="24"/>
        </w:rPr>
        <w:t>SUJETO OBLIGADO</w:t>
      </w:r>
      <w:r w:rsidR="00270614" w:rsidRPr="004421B3">
        <w:rPr>
          <w:rFonts w:ascii="Palatino Linotype" w:hAnsi="Palatino Linotype" w:cs="Arial"/>
          <w:sz w:val="24"/>
          <w:szCs w:val="24"/>
        </w:rPr>
        <w:t xml:space="preserve"> </w:t>
      </w:r>
      <w:r w:rsidRPr="004421B3">
        <w:rPr>
          <w:rFonts w:ascii="Palatino Linotype" w:hAnsi="Palatino Linotype" w:cs="Arial"/>
          <w:sz w:val="24"/>
          <w:szCs w:val="24"/>
        </w:rPr>
        <w:t>es procedente porque acredito los supuestos previstos por la Ley de la materia para que la entrega se realice por una vía distinta a la previamente requerida por el particular, lo cierto es que la respuesta prim</w:t>
      </w:r>
      <w:r>
        <w:rPr>
          <w:rFonts w:ascii="Palatino Linotype" w:hAnsi="Palatino Linotype" w:cs="Arial"/>
          <w:sz w:val="24"/>
          <w:szCs w:val="24"/>
        </w:rPr>
        <w:t>igenia</w:t>
      </w:r>
      <w:r w:rsidRPr="004421B3">
        <w:rPr>
          <w:rFonts w:ascii="Palatino Linotype" w:hAnsi="Palatino Linotype" w:cs="Arial"/>
          <w:sz w:val="24"/>
          <w:szCs w:val="24"/>
        </w:rPr>
        <w:t xml:space="preserve"> recaída a la solicitud de información no aportaba elementos para considerar que el sentido de la resolución era modificar la misma, </w:t>
      </w:r>
      <w:r w:rsidR="00270614" w:rsidRPr="004421B3">
        <w:rPr>
          <w:rFonts w:ascii="Palatino Linotype" w:hAnsi="Palatino Linotype" w:cs="Arial"/>
          <w:sz w:val="24"/>
          <w:szCs w:val="24"/>
        </w:rPr>
        <w:t>razón por la cual no comparto en su totalidad el criterio adoptado para ordenar la entrega de la información.</w:t>
      </w:r>
    </w:p>
    <w:p w:rsidR="00270614" w:rsidRDefault="00270614" w:rsidP="00270614">
      <w:pPr>
        <w:pStyle w:val="Prrafodelista"/>
        <w:spacing w:before="240" w:after="240" w:line="360" w:lineRule="auto"/>
        <w:ind w:left="0" w:right="49"/>
        <w:jc w:val="both"/>
        <w:rPr>
          <w:rFonts w:ascii="Palatino Linotype" w:hAnsi="Palatino Linotype" w:cs="Arial"/>
          <w:sz w:val="18"/>
          <w:szCs w:val="24"/>
        </w:rPr>
      </w:pPr>
    </w:p>
    <w:p w:rsidR="00270614" w:rsidRPr="0001046D" w:rsidRDefault="00270614" w:rsidP="00270614">
      <w:pPr>
        <w:pStyle w:val="Ttulo1"/>
        <w:numPr>
          <w:ilvl w:val="0"/>
          <w:numId w:val="12"/>
        </w:numPr>
        <w:tabs>
          <w:tab w:val="left" w:pos="426"/>
        </w:tabs>
        <w:spacing w:line="360" w:lineRule="auto"/>
        <w:ind w:left="426" w:hanging="426"/>
        <w:jc w:val="both"/>
        <w:rPr>
          <w:rFonts w:ascii="Palatino Linotype" w:hAnsi="Palatino Linotype"/>
          <w:b/>
          <w:color w:val="auto"/>
          <w:sz w:val="24"/>
          <w:szCs w:val="24"/>
        </w:rPr>
      </w:pPr>
      <w:bookmarkStart w:id="5" w:name="_Toc8222819"/>
      <w:bookmarkStart w:id="6" w:name="_Toc9872720"/>
      <w:r w:rsidRPr="004D6630">
        <w:rPr>
          <w:rFonts w:ascii="Palatino Linotype" w:hAnsi="Palatino Linotype"/>
          <w:b/>
          <w:color w:val="auto"/>
          <w:sz w:val="24"/>
          <w:szCs w:val="24"/>
        </w:rPr>
        <w:t>De</w:t>
      </w:r>
      <w:bookmarkEnd w:id="5"/>
      <w:r w:rsidR="004421B3">
        <w:rPr>
          <w:rFonts w:ascii="Palatino Linotype" w:hAnsi="Palatino Linotype"/>
          <w:b/>
          <w:color w:val="auto"/>
          <w:sz w:val="24"/>
          <w:szCs w:val="24"/>
        </w:rPr>
        <w:t>l sentido de la resoluciones.</w:t>
      </w:r>
      <w:bookmarkEnd w:id="6"/>
    </w:p>
    <w:p w:rsidR="00270614" w:rsidRPr="00F3161F" w:rsidRDefault="00270614" w:rsidP="00270614">
      <w:pPr>
        <w:pStyle w:val="Prrafodelista"/>
        <w:spacing w:after="0" w:line="360" w:lineRule="auto"/>
        <w:ind w:left="1080"/>
        <w:jc w:val="both"/>
        <w:rPr>
          <w:rFonts w:ascii="Palatino Linotype" w:hAnsi="Palatino Linotype" w:cs="Arial"/>
          <w:b/>
          <w:sz w:val="20"/>
          <w:szCs w:val="24"/>
        </w:rPr>
      </w:pPr>
    </w:p>
    <w:p w:rsidR="00270614" w:rsidRDefault="004421B3" w:rsidP="00270614">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Las resoluciones que emite este Órgano Garante estriban en la respuesta de los Sujetos Obligados o la falta de esta, para explicar ello es conveniente citar el artículo 186 de la </w:t>
      </w:r>
      <w:r w:rsidRPr="004421B3">
        <w:rPr>
          <w:rFonts w:ascii="Palatino Linotype" w:hAnsi="Palatino Linotype" w:cs="Arial"/>
          <w:sz w:val="24"/>
          <w:szCs w:val="24"/>
        </w:rPr>
        <w:t>Ley de Transparencia y Acceso a la Información Pública del Estado de M</w:t>
      </w:r>
      <w:r>
        <w:rPr>
          <w:rFonts w:ascii="Palatino Linotype" w:hAnsi="Palatino Linotype" w:cs="Arial"/>
          <w:sz w:val="24"/>
          <w:szCs w:val="24"/>
        </w:rPr>
        <w:t>éxico y Municipios, que dispone los siguiente:</w:t>
      </w:r>
    </w:p>
    <w:p w:rsidR="00D740EF" w:rsidRPr="00D740EF" w:rsidRDefault="00D740EF" w:rsidP="00D740EF">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D740EF" w:rsidRPr="00D740EF" w:rsidRDefault="00D740EF" w:rsidP="00D740EF">
      <w:pPr>
        <w:pStyle w:val="Prrafodelista"/>
        <w:tabs>
          <w:tab w:val="left" w:pos="142"/>
          <w:tab w:val="left" w:pos="426"/>
        </w:tabs>
        <w:spacing w:after="0" w:line="240" w:lineRule="auto"/>
        <w:ind w:left="567" w:right="616"/>
        <w:jc w:val="both"/>
        <w:rPr>
          <w:rFonts w:ascii="Palatino Linotype" w:hAnsi="Palatino Linotype" w:cs="Arial"/>
          <w:i/>
          <w:szCs w:val="24"/>
        </w:rPr>
      </w:pPr>
      <w:r>
        <w:rPr>
          <w:rFonts w:ascii="Palatino Linotype" w:hAnsi="Palatino Linotype" w:cs="Arial"/>
          <w:i/>
          <w:szCs w:val="24"/>
        </w:rPr>
        <w:t>“</w:t>
      </w:r>
      <w:r w:rsidRPr="00D740EF">
        <w:rPr>
          <w:rFonts w:ascii="Palatino Linotype" w:hAnsi="Palatino Linotype" w:cs="Arial"/>
          <w:i/>
          <w:szCs w:val="24"/>
        </w:rPr>
        <w:t>Artículo 186. Las resoluciones del Instituto podrán:</w:t>
      </w:r>
    </w:p>
    <w:p w:rsidR="00D740EF" w:rsidRPr="00D740EF" w:rsidRDefault="00D740EF" w:rsidP="00D740EF">
      <w:pPr>
        <w:pStyle w:val="Prrafodelista"/>
        <w:tabs>
          <w:tab w:val="left" w:pos="142"/>
          <w:tab w:val="left" w:pos="426"/>
        </w:tabs>
        <w:spacing w:after="0" w:line="240" w:lineRule="auto"/>
        <w:ind w:left="567" w:right="616"/>
        <w:jc w:val="both"/>
        <w:rPr>
          <w:rFonts w:ascii="Palatino Linotype" w:hAnsi="Palatino Linotype" w:cs="Arial"/>
          <w:i/>
          <w:szCs w:val="24"/>
        </w:rPr>
      </w:pPr>
      <w:r w:rsidRPr="00D740EF">
        <w:rPr>
          <w:rFonts w:ascii="Palatino Linotype" w:hAnsi="Palatino Linotype" w:cs="Arial"/>
          <w:i/>
          <w:szCs w:val="24"/>
        </w:rPr>
        <w:t>I. Desechar o sobreseer el recurso;</w:t>
      </w:r>
    </w:p>
    <w:p w:rsidR="00D740EF" w:rsidRPr="00D740EF" w:rsidRDefault="00D740EF" w:rsidP="00D740EF">
      <w:pPr>
        <w:pStyle w:val="Prrafodelista"/>
        <w:tabs>
          <w:tab w:val="left" w:pos="142"/>
          <w:tab w:val="left" w:pos="426"/>
        </w:tabs>
        <w:spacing w:after="0" w:line="240" w:lineRule="auto"/>
        <w:ind w:left="567" w:right="616"/>
        <w:jc w:val="both"/>
        <w:rPr>
          <w:rFonts w:ascii="Palatino Linotype" w:hAnsi="Palatino Linotype" w:cs="Arial"/>
          <w:i/>
          <w:szCs w:val="24"/>
        </w:rPr>
      </w:pPr>
      <w:r w:rsidRPr="00D740EF">
        <w:rPr>
          <w:rFonts w:ascii="Palatino Linotype" w:hAnsi="Palatino Linotype" w:cs="Arial"/>
          <w:i/>
          <w:szCs w:val="24"/>
        </w:rPr>
        <w:t>II. Confirmar la respuesta del sujeto obligado;</w:t>
      </w:r>
    </w:p>
    <w:p w:rsidR="00D740EF" w:rsidRPr="00D740EF" w:rsidRDefault="00D740EF" w:rsidP="00D740EF">
      <w:pPr>
        <w:pStyle w:val="Prrafodelista"/>
        <w:tabs>
          <w:tab w:val="left" w:pos="142"/>
          <w:tab w:val="left" w:pos="426"/>
        </w:tabs>
        <w:spacing w:after="0" w:line="240" w:lineRule="auto"/>
        <w:ind w:left="567" w:right="616"/>
        <w:jc w:val="both"/>
        <w:rPr>
          <w:rFonts w:ascii="Palatino Linotype" w:hAnsi="Palatino Linotype" w:cs="Arial"/>
          <w:i/>
          <w:szCs w:val="24"/>
        </w:rPr>
      </w:pPr>
      <w:r w:rsidRPr="00D740EF">
        <w:rPr>
          <w:rFonts w:ascii="Palatino Linotype" w:hAnsi="Palatino Linotype" w:cs="Arial"/>
          <w:i/>
          <w:szCs w:val="24"/>
        </w:rPr>
        <w:t>III. Revocar o modificar la respuesta del sujeto obligado; y</w:t>
      </w:r>
    </w:p>
    <w:p w:rsidR="00D740EF" w:rsidRPr="00D740EF" w:rsidRDefault="00D740EF" w:rsidP="00D740EF">
      <w:pPr>
        <w:pStyle w:val="Prrafodelista"/>
        <w:tabs>
          <w:tab w:val="left" w:pos="142"/>
          <w:tab w:val="left" w:pos="426"/>
        </w:tabs>
        <w:spacing w:after="0" w:line="240" w:lineRule="auto"/>
        <w:ind w:left="567" w:right="616"/>
        <w:jc w:val="both"/>
        <w:rPr>
          <w:rFonts w:ascii="Palatino Linotype" w:hAnsi="Palatino Linotype" w:cs="Arial"/>
          <w:i/>
          <w:szCs w:val="24"/>
        </w:rPr>
      </w:pPr>
      <w:r w:rsidRPr="00D740EF">
        <w:rPr>
          <w:rFonts w:ascii="Palatino Linotype" w:hAnsi="Palatino Linotype" w:cs="Arial"/>
          <w:i/>
          <w:szCs w:val="24"/>
        </w:rPr>
        <w:t>IV. Ordenar la entrega de la información.</w:t>
      </w:r>
    </w:p>
    <w:p w:rsidR="004421B3" w:rsidRPr="00D740EF" w:rsidRDefault="00D740EF" w:rsidP="00D740EF">
      <w:pPr>
        <w:pStyle w:val="Prrafodelista"/>
        <w:tabs>
          <w:tab w:val="left" w:pos="142"/>
          <w:tab w:val="left" w:pos="426"/>
        </w:tabs>
        <w:spacing w:after="0" w:line="240" w:lineRule="auto"/>
        <w:ind w:left="567" w:right="616"/>
        <w:jc w:val="both"/>
        <w:rPr>
          <w:rFonts w:ascii="Palatino Linotype" w:hAnsi="Palatino Linotype" w:cs="Arial"/>
          <w:i/>
          <w:szCs w:val="24"/>
        </w:rPr>
      </w:pPr>
      <w:r w:rsidRPr="00D740EF">
        <w:rPr>
          <w:rFonts w:ascii="Palatino Linotype" w:hAnsi="Palatino Linotype" w:cs="Arial"/>
          <w:i/>
          <w:szCs w:val="24"/>
        </w:rPr>
        <w:t xml:space="preserve">Las resoluciones establecerán, en su caso, los plazos y términos para su cumplimiento y los procedimientos para asegurar su ejecución, los cuales no podrán exceder de diez días </w:t>
      </w:r>
      <w:r w:rsidRPr="00D740EF">
        <w:rPr>
          <w:rFonts w:ascii="Palatino Linotype" w:hAnsi="Palatino Linotype" w:cs="Arial"/>
          <w:i/>
          <w:szCs w:val="24"/>
        </w:rPr>
        <w:lastRenderedPageBreak/>
        <w:t>hábiles para la entrega de información. Excepcionalmente el Instituto, previa fundamentación y motivación, podrán ampliar estos plazos cuando el asunto así lo requiera.</w:t>
      </w:r>
      <w:r>
        <w:rPr>
          <w:rFonts w:ascii="Palatino Linotype" w:hAnsi="Palatino Linotype" w:cs="Arial"/>
          <w:i/>
          <w:szCs w:val="24"/>
        </w:rPr>
        <w:t>”</w:t>
      </w:r>
    </w:p>
    <w:p w:rsidR="00270614" w:rsidRDefault="00270614" w:rsidP="00270614">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270614" w:rsidRDefault="00270614" w:rsidP="00270614">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 lo anterior, </w:t>
      </w:r>
      <w:r w:rsidR="00D740EF">
        <w:rPr>
          <w:rFonts w:ascii="Palatino Linotype" w:hAnsi="Palatino Linotype" w:cs="Arial"/>
          <w:sz w:val="24"/>
          <w:szCs w:val="24"/>
        </w:rPr>
        <w:t>se puede advertir que el sentido de las resoluciones depende del contenido de la solicitud, así como de las respuestas de los Sujetos Obligados.</w:t>
      </w:r>
    </w:p>
    <w:p w:rsidR="00D740EF" w:rsidRDefault="00D740EF" w:rsidP="00D740EF">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CC3BC2" w:rsidRDefault="00D740EF" w:rsidP="00270614">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Ante ello, en el caso concreto, si bien el </w:t>
      </w:r>
      <w:r w:rsidRPr="00D740EF">
        <w:rPr>
          <w:rFonts w:ascii="Palatino Linotype" w:hAnsi="Palatino Linotype" w:cs="Arial"/>
          <w:b/>
          <w:sz w:val="24"/>
          <w:szCs w:val="24"/>
        </w:rPr>
        <w:t>SUJETO OBLIGADO</w:t>
      </w:r>
      <w:r>
        <w:rPr>
          <w:rFonts w:ascii="Palatino Linotype" w:hAnsi="Palatino Linotype" w:cs="Arial"/>
          <w:sz w:val="24"/>
          <w:szCs w:val="24"/>
        </w:rPr>
        <w:t xml:space="preserve"> emitió una respuesta</w:t>
      </w:r>
      <w:r w:rsidR="00CC3BC2">
        <w:rPr>
          <w:rFonts w:ascii="Palatino Linotype" w:hAnsi="Palatino Linotype" w:cs="Arial"/>
          <w:sz w:val="24"/>
          <w:szCs w:val="24"/>
        </w:rPr>
        <w:t xml:space="preserve"> a la solicitud de acceso a la información, es de señalar que esta</w:t>
      </w:r>
      <w:r>
        <w:rPr>
          <w:rFonts w:ascii="Palatino Linotype" w:hAnsi="Palatino Linotype" w:cs="Arial"/>
          <w:sz w:val="24"/>
          <w:szCs w:val="24"/>
        </w:rPr>
        <w:t xml:space="preserve"> fue en sentido ne</w:t>
      </w:r>
      <w:r w:rsidR="00CC3BC2">
        <w:rPr>
          <w:rFonts w:ascii="Palatino Linotype" w:hAnsi="Palatino Linotype" w:cs="Arial"/>
          <w:sz w:val="24"/>
          <w:szCs w:val="24"/>
        </w:rPr>
        <w:t>gativo, a pesar de que mediante alcance al informe justificado ya se aportan elementos para determinar que la información existe y es susceptible de entregarse, es decir, desde un inicio no se proporcionó</w:t>
      </w:r>
      <w:r>
        <w:rPr>
          <w:rFonts w:ascii="Palatino Linotype" w:hAnsi="Palatino Linotype" w:cs="Arial"/>
          <w:sz w:val="24"/>
          <w:szCs w:val="24"/>
        </w:rPr>
        <w:t xml:space="preserve"> elementos que permitieran acreditar que </w:t>
      </w:r>
      <w:r w:rsidR="00CC3BC2">
        <w:rPr>
          <w:rFonts w:ascii="Palatino Linotype" w:hAnsi="Palatino Linotype" w:cs="Arial"/>
          <w:sz w:val="24"/>
          <w:szCs w:val="24"/>
        </w:rPr>
        <w:t>el requerimiento de la particular fue parcialmente</w:t>
      </w:r>
      <w:r>
        <w:rPr>
          <w:rFonts w:ascii="Palatino Linotype" w:hAnsi="Palatino Linotype" w:cs="Arial"/>
          <w:sz w:val="24"/>
          <w:szCs w:val="24"/>
        </w:rPr>
        <w:t xml:space="preserve"> colmado</w:t>
      </w:r>
      <w:r w:rsidR="00CC3BC2">
        <w:rPr>
          <w:rFonts w:ascii="Palatino Linotype" w:hAnsi="Palatino Linotype" w:cs="Arial"/>
          <w:sz w:val="24"/>
          <w:szCs w:val="24"/>
        </w:rPr>
        <w:t>.</w:t>
      </w:r>
    </w:p>
    <w:p w:rsidR="00CC3BC2" w:rsidRDefault="00CC3BC2" w:rsidP="00CC3BC2">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D740EF" w:rsidRDefault="00D740EF" w:rsidP="00270614">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 </w:t>
      </w:r>
      <w:r w:rsidR="00CC3BC2">
        <w:rPr>
          <w:rFonts w:ascii="Palatino Linotype" w:hAnsi="Palatino Linotype" w:cs="Arial"/>
          <w:sz w:val="24"/>
          <w:szCs w:val="24"/>
        </w:rPr>
        <w:t>De esta manera, cuando las respuestas que proporcionan los Sujetos Obligados no colman el o los requerimientos iniciales, estas son susceptibles de revocarse y ordenar se entregue la información que desde un comienzo debió ser entregada.</w:t>
      </w:r>
    </w:p>
    <w:p w:rsidR="00270614" w:rsidRDefault="00270614" w:rsidP="00270614">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270614" w:rsidRPr="006664D8" w:rsidRDefault="00270614" w:rsidP="00270614">
      <w:pPr>
        <w:pStyle w:val="Ttulo1"/>
        <w:rPr>
          <w:rFonts w:ascii="Palatino Linotype" w:hAnsi="Palatino Linotype"/>
          <w:b/>
          <w:color w:val="000000" w:themeColor="text1"/>
          <w:sz w:val="24"/>
        </w:rPr>
      </w:pPr>
      <w:bookmarkStart w:id="7" w:name="_Toc8222820"/>
      <w:bookmarkStart w:id="8" w:name="_Toc9872721"/>
      <w:r w:rsidRPr="006664D8">
        <w:rPr>
          <w:rFonts w:ascii="Palatino Linotype" w:hAnsi="Palatino Linotype"/>
          <w:b/>
          <w:color w:val="000000" w:themeColor="text1"/>
          <w:sz w:val="24"/>
        </w:rPr>
        <w:t>IV. Conclusión</w:t>
      </w:r>
      <w:bookmarkEnd w:id="7"/>
      <w:bookmarkEnd w:id="8"/>
    </w:p>
    <w:p w:rsidR="00270614" w:rsidRPr="006664D8" w:rsidRDefault="00270614" w:rsidP="00270614">
      <w:pPr>
        <w:pStyle w:val="Prrafodelista"/>
        <w:tabs>
          <w:tab w:val="left" w:pos="142"/>
          <w:tab w:val="left" w:pos="426"/>
        </w:tabs>
        <w:spacing w:after="0" w:line="360" w:lineRule="auto"/>
        <w:ind w:left="0" w:right="49"/>
        <w:jc w:val="both"/>
        <w:rPr>
          <w:rFonts w:ascii="Palatino Linotype" w:hAnsi="Palatino Linotype" w:cs="Arial"/>
          <w:b/>
          <w:sz w:val="24"/>
          <w:szCs w:val="24"/>
        </w:rPr>
      </w:pPr>
    </w:p>
    <w:p w:rsidR="00CC3BC2" w:rsidRDefault="00270614" w:rsidP="00270614">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Así, considero que </w:t>
      </w:r>
      <w:r w:rsidR="00CC3BC2">
        <w:rPr>
          <w:rFonts w:ascii="Palatino Linotype" w:hAnsi="Palatino Linotype" w:cs="Arial"/>
          <w:sz w:val="24"/>
          <w:szCs w:val="24"/>
        </w:rPr>
        <w:t xml:space="preserve">las resoluciones que emite este </w:t>
      </w:r>
      <w:r>
        <w:rPr>
          <w:rFonts w:ascii="Palatino Linotype" w:hAnsi="Palatino Linotype" w:cs="Arial"/>
          <w:sz w:val="24"/>
          <w:szCs w:val="24"/>
        </w:rPr>
        <w:t xml:space="preserve">Órgano Garante </w:t>
      </w:r>
      <w:r w:rsidR="00CC3BC2">
        <w:rPr>
          <w:rFonts w:ascii="Palatino Linotype" w:hAnsi="Palatino Linotype" w:cs="Arial"/>
          <w:sz w:val="24"/>
          <w:szCs w:val="24"/>
        </w:rPr>
        <w:t xml:space="preserve">se debe basar en las actuaciones que obran en los expedientes electrónicos, a fin de verificar si el nivel de cumplimiento de las respuestas que entregan los Sujetos Obligados es </w:t>
      </w:r>
      <w:r w:rsidR="00CC3BC2">
        <w:rPr>
          <w:rFonts w:ascii="Palatino Linotype" w:hAnsi="Palatino Linotype" w:cs="Arial"/>
          <w:sz w:val="24"/>
          <w:szCs w:val="24"/>
        </w:rPr>
        <w:lastRenderedPageBreak/>
        <w:t>parcial o nula, y de resultar procedente aplicar el sentido correcto y evitar contradicción y una posible incertidumbre a los particulares por no conocer en qué forma se había colmado inicialmente su derecho de acceso a la información.</w:t>
      </w:r>
    </w:p>
    <w:p w:rsidR="00270614" w:rsidRDefault="00270614" w:rsidP="00270614">
      <w:pPr>
        <w:tabs>
          <w:tab w:val="left" w:pos="426"/>
        </w:tabs>
        <w:spacing w:after="0" w:line="360" w:lineRule="auto"/>
        <w:ind w:right="49"/>
        <w:jc w:val="both"/>
        <w:rPr>
          <w:rFonts w:ascii="Palatino Linotype" w:hAnsi="Palatino Linotype" w:cs="Arial"/>
          <w:sz w:val="24"/>
          <w:szCs w:val="24"/>
        </w:rPr>
      </w:pPr>
    </w:p>
    <w:p w:rsidR="00270614" w:rsidRDefault="00270614" w:rsidP="00270614">
      <w:pPr>
        <w:tabs>
          <w:tab w:val="left" w:pos="426"/>
        </w:tabs>
        <w:spacing w:after="0" w:line="360" w:lineRule="auto"/>
        <w:ind w:right="49"/>
        <w:jc w:val="both"/>
        <w:rPr>
          <w:rFonts w:ascii="Palatino Linotype" w:hAnsi="Palatino Linotype" w:cs="Arial"/>
          <w:sz w:val="24"/>
          <w:szCs w:val="24"/>
        </w:rPr>
      </w:pPr>
    </w:p>
    <w:p w:rsidR="00270614" w:rsidRDefault="00270614" w:rsidP="00270614">
      <w:pPr>
        <w:tabs>
          <w:tab w:val="left" w:pos="426"/>
        </w:tabs>
        <w:spacing w:after="0" w:line="360" w:lineRule="auto"/>
        <w:ind w:right="49"/>
        <w:jc w:val="both"/>
        <w:rPr>
          <w:rFonts w:ascii="Palatino Linotype" w:hAnsi="Palatino Linotype" w:cs="Arial"/>
          <w:sz w:val="24"/>
          <w:szCs w:val="24"/>
        </w:rPr>
      </w:pPr>
    </w:p>
    <w:p w:rsidR="00CC3BC2" w:rsidRDefault="00CC3BC2" w:rsidP="00270614">
      <w:pPr>
        <w:tabs>
          <w:tab w:val="left" w:pos="426"/>
        </w:tabs>
        <w:spacing w:after="0" w:line="360" w:lineRule="auto"/>
        <w:ind w:right="49"/>
        <w:jc w:val="both"/>
        <w:rPr>
          <w:rFonts w:ascii="Palatino Linotype" w:hAnsi="Palatino Linotype" w:cs="Arial"/>
          <w:sz w:val="24"/>
          <w:szCs w:val="24"/>
        </w:rPr>
      </w:pPr>
    </w:p>
    <w:p w:rsidR="00CC3BC2" w:rsidRPr="004D6630" w:rsidRDefault="00CC3BC2" w:rsidP="00270614">
      <w:pPr>
        <w:tabs>
          <w:tab w:val="left" w:pos="426"/>
        </w:tabs>
        <w:spacing w:after="0" w:line="360" w:lineRule="auto"/>
        <w:ind w:right="49"/>
        <w:jc w:val="both"/>
        <w:rPr>
          <w:rFonts w:ascii="Palatino Linotype" w:hAnsi="Palatino Linotype" w:cs="Arial"/>
          <w:sz w:val="24"/>
          <w:szCs w:val="24"/>
        </w:rPr>
      </w:pPr>
    </w:p>
    <w:p w:rsidR="00270614" w:rsidRDefault="00270614" w:rsidP="00270614">
      <w:pPr>
        <w:pStyle w:val="Sinespaciado"/>
        <w:spacing w:line="360" w:lineRule="auto"/>
        <w:jc w:val="center"/>
        <w:rPr>
          <w:rFonts w:ascii="Palatino Linotype" w:hAnsi="Palatino Linotype"/>
          <w:b/>
          <w:sz w:val="24"/>
          <w:szCs w:val="24"/>
        </w:rPr>
      </w:pPr>
    </w:p>
    <w:p w:rsidR="00270614" w:rsidRPr="0001046D" w:rsidRDefault="00270614" w:rsidP="00270614">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270614" w:rsidRPr="0001046D" w:rsidRDefault="00270614" w:rsidP="00270614">
      <w:pPr>
        <w:spacing w:line="360" w:lineRule="auto"/>
        <w:jc w:val="center"/>
        <w:rPr>
          <w:rFonts w:ascii="Palatino Linotype" w:hAnsi="Palatino Linotype"/>
        </w:rPr>
      </w:pPr>
      <w:r w:rsidRPr="0001046D">
        <w:rPr>
          <w:rFonts w:ascii="Palatino Linotype" w:hAnsi="Palatino Linotype"/>
          <w:b/>
          <w:sz w:val="24"/>
          <w:szCs w:val="24"/>
        </w:rPr>
        <w:t>COMISIONADO</w:t>
      </w:r>
    </w:p>
    <w:p w:rsidR="00270614" w:rsidRDefault="00270614" w:rsidP="00270614">
      <w:pPr>
        <w:spacing w:line="360" w:lineRule="auto"/>
        <w:jc w:val="center"/>
        <w:rPr>
          <w:rFonts w:ascii="Palatino Linotype" w:hAnsi="Palatino Linotype"/>
          <w:b/>
          <w:sz w:val="24"/>
          <w:szCs w:val="24"/>
        </w:rPr>
      </w:pPr>
      <w:r>
        <w:rPr>
          <w:rFonts w:ascii="Palatino Linotype" w:hAnsi="Palatino Linotype"/>
          <w:b/>
          <w:sz w:val="24"/>
          <w:szCs w:val="24"/>
        </w:rPr>
        <w:t>(RÚBRICA)</w:t>
      </w:r>
    </w:p>
    <w:p w:rsidR="00270614" w:rsidRDefault="00270614" w:rsidP="00270614">
      <w:pPr>
        <w:spacing w:line="360" w:lineRule="auto"/>
        <w:rPr>
          <w:rFonts w:ascii="Palatino Linotype" w:hAnsi="Palatino Linotype"/>
          <w:b/>
          <w:sz w:val="24"/>
          <w:szCs w:val="24"/>
        </w:rPr>
      </w:pPr>
    </w:p>
    <w:p w:rsidR="00270614" w:rsidRDefault="00270614" w:rsidP="00270614">
      <w:pPr>
        <w:spacing w:line="360" w:lineRule="auto"/>
        <w:rPr>
          <w:rFonts w:ascii="Palatino Linotype" w:hAnsi="Palatino Linotype"/>
          <w:b/>
          <w:sz w:val="24"/>
          <w:szCs w:val="24"/>
        </w:rPr>
      </w:pPr>
    </w:p>
    <w:p w:rsidR="00270614" w:rsidRDefault="00270614" w:rsidP="00270614">
      <w:pPr>
        <w:spacing w:line="360" w:lineRule="auto"/>
        <w:rPr>
          <w:rFonts w:ascii="Palatino Linotype" w:hAnsi="Palatino Linotype"/>
          <w:b/>
          <w:sz w:val="24"/>
          <w:szCs w:val="24"/>
        </w:rPr>
      </w:pPr>
    </w:p>
    <w:p w:rsidR="00CC3BC2" w:rsidRDefault="00CC3BC2" w:rsidP="00270614">
      <w:pPr>
        <w:spacing w:line="360" w:lineRule="auto"/>
        <w:rPr>
          <w:rFonts w:ascii="Palatino Linotype" w:hAnsi="Palatino Linotype"/>
          <w:b/>
          <w:sz w:val="24"/>
          <w:szCs w:val="24"/>
        </w:rPr>
      </w:pPr>
    </w:p>
    <w:p w:rsidR="00CC3BC2" w:rsidRDefault="00CC3BC2" w:rsidP="00270614">
      <w:pPr>
        <w:spacing w:line="360" w:lineRule="auto"/>
        <w:rPr>
          <w:rFonts w:ascii="Palatino Linotype" w:hAnsi="Palatino Linotype"/>
          <w:b/>
          <w:sz w:val="24"/>
          <w:szCs w:val="24"/>
        </w:rPr>
      </w:pPr>
    </w:p>
    <w:p w:rsidR="00270614" w:rsidRDefault="00270614" w:rsidP="00270614">
      <w:pPr>
        <w:spacing w:line="360" w:lineRule="auto"/>
        <w:rPr>
          <w:rFonts w:ascii="Palatino Linotype" w:hAnsi="Palatino Linotype"/>
          <w:b/>
          <w:sz w:val="24"/>
          <w:szCs w:val="24"/>
        </w:rPr>
      </w:pPr>
    </w:p>
    <w:p w:rsidR="00575478" w:rsidRPr="0001046D" w:rsidRDefault="00270614" w:rsidP="00270614">
      <w:pPr>
        <w:spacing w:line="360" w:lineRule="auto"/>
        <w:rPr>
          <w:rFonts w:ascii="Palatino Linotype" w:hAnsi="Palatino Linotype"/>
          <w:b/>
          <w:sz w:val="24"/>
          <w:szCs w:val="24"/>
        </w:rPr>
      </w:pPr>
      <w:r>
        <w:rPr>
          <w:rFonts w:ascii="Palatino Linotype" w:hAnsi="Palatino Linotype"/>
          <w:b/>
          <w:sz w:val="24"/>
          <w:szCs w:val="24"/>
        </w:rPr>
        <w:t>JGLH/DAG.</w:t>
      </w:r>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5B3" w:rsidRDefault="009F45B3" w:rsidP="00E706DA">
      <w:pPr>
        <w:spacing w:after="0" w:line="240" w:lineRule="auto"/>
      </w:pPr>
      <w:r>
        <w:separator/>
      </w:r>
    </w:p>
  </w:endnote>
  <w:endnote w:type="continuationSeparator" w:id="0">
    <w:p w:rsidR="009F45B3" w:rsidRDefault="009F45B3"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F45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06F9A">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06F9A">
              <w:rPr>
                <w:rFonts w:ascii="Palatino Linotype" w:hAnsi="Palatino Linotype"/>
                <w:b/>
                <w:bCs/>
                <w:noProof/>
                <w:sz w:val="20"/>
                <w:szCs w:val="20"/>
              </w:rPr>
              <w:t>7</w:t>
            </w:r>
            <w:r w:rsidRPr="0052203D">
              <w:rPr>
                <w:rFonts w:ascii="Palatino Linotype" w:hAnsi="Palatino Linotype"/>
                <w:b/>
                <w:bCs/>
                <w:sz w:val="20"/>
                <w:szCs w:val="20"/>
              </w:rPr>
              <w:fldChar w:fldCharType="end"/>
            </w:r>
          </w:p>
        </w:sdtContent>
      </w:sdt>
    </w:sdtContent>
  </w:sdt>
  <w:p w:rsidR="00951E8B" w:rsidRDefault="009F45B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F45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5B3" w:rsidRDefault="009F45B3" w:rsidP="00E706DA">
      <w:pPr>
        <w:spacing w:after="0" w:line="240" w:lineRule="auto"/>
      </w:pPr>
      <w:r>
        <w:separator/>
      </w:r>
    </w:p>
  </w:footnote>
  <w:footnote w:type="continuationSeparator" w:id="0">
    <w:p w:rsidR="009F45B3" w:rsidRDefault="009F45B3" w:rsidP="00E7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F45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F45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F45B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F45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7"/>
  </w:num>
  <w:num w:numId="5">
    <w:abstractNumId w:val="8"/>
  </w:num>
  <w:num w:numId="6">
    <w:abstractNumId w:val="10"/>
  </w:num>
  <w:num w:numId="7">
    <w:abstractNumId w:val="13"/>
  </w:num>
  <w:num w:numId="8">
    <w:abstractNumId w:val="11"/>
  </w:num>
  <w:num w:numId="9">
    <w:abstractNumId w:val="15"/>
  </w:num>
  <w:num w:numId="10">
    <w:abstractNumId w:val="1"/>
  </w:num>
  <w:num w:numId="11">
    <w:abstractNumId w:val="14"/>
  </w:num>
  <w:num w:numId="12">
    <w:abstractNumId w:val="6"/>
  </w:num>
  <w:num w:numId="13">
    <w:abstractNumId w:val="2"/>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54F1"/>
    <w:rsid w:val="00042ABC"/>
    <w:rsid w:val="00073F0D"/>
    <w:rsid w:val="000802F2"/>
    <w:rsid w:val="000951B4"/>
    <w:rsid w:val="000A77B5"/>
    <w:rsid w:val="000A7B66"/>
    <w:rsid w:val="000F6C81"/>
    <w:rsid w:val="000F6CBB"/>
    <w:rsid w:val="00105730"/>
    <w:rsid w:val="00122625"/>
    <w:rsid w:val="00182C6C"/>
    <w:rsid w:val="00194B6A"/>
    <w:rsid w:val="001B088A"/>
    <w:rsid w:val="001D3F34"/>
    <w:rsid w:val="001F692B"/>
    <w:rsid w:val="0020315F"/>
    <w:rsid w:val="002036ED"/>
    <w:rsid w:val="00222DD9"/>
    <w:rsid w:val="00225026"/>
    <w:rsid w:val="0025608F"/>
    <w:rsid w:val="00260D6C"/>
    <w:rsid w:val="002620E9"/>
    <w:rsid w:val="00270614"/>
    <w:rsid w:val="00281310"/>
    <w:rsid w:val="002C1F75"/>
    <w:rsid w:val="00302832"/>
    <w:rsid w:val="00303664"/>
    <w:rsid w:val="00346DBD"/>
    <w:rsid w:val="00367E00"/>
    <w:rsid w:val="003705BB"/>
    <w:rsid w:val="003747A5"/>
    <w:rsid w:val="0037509B"/>
    <w:rsid w:val="003837C2"/>
    <w:rsid w:val="003A74F5"/>
    <w:rsid w:val="003C5606"/>
    <w:rsid w:val="003D6600"/>
    <w:rsid w:val="003D7092"/>
    <w:rsid w:val="003D7B9E"/>
    <w:rsid w:val="00412952"/>
    <w:rsid w:val="00413496"/>
    <w:rsid w:val="004148A3"/>
    <w:rsid w:val="00424DE3"/>
    <w:rsid w:val="004421B3"/>
    <w:rsid w:val="00444048"/>
    <w:rsid w:val="0046491C"/>
    <w:rsid w:val="0048490F"/>
    <w:rsid w:val="0049456C"/>
    <w:rsid w:val="004A5486"/>
    <w:rsid w:val="004C0D39"/>
    <w:rsid w:val="004F5418"/>
    <w:rsid w:val="005258C9"/>
    <w:rsid w:val="00532410"/>
    <w:rsid w:val="00563071"/>
    <w:rsid w:val="00575478"/>
    <w:rsid w:val="005A3267"/>
    <w:rsid w:val="005A4C79"/>
    <w:rsid w:val="005B680F"/>
    <w:rsid w:val="005C79C8"/>
    <w:rsid w:val="005F3760"/>
    <w:rsid w:val="00634736"/>
    <w:rsid w:val="00644249"/>
    <w:rsid w:val="00651380"/>
    <w:rsid w:val="00652F8C"/>
    <w:rsid w:val="006728FD"/>
    <w:rsid w:val="00673293"/>
    <w:rsid w:val="00675C07"/>
    <w:rsid w:val="0069498B"/>
    <w:rsid w:val="006C1E90"/>
    <w:rsid w:val="006D5F6A"/>
    <w:rsid w:val="006E2606"/>
    <w:rsid w:val="00717C0D"/>
    <w:rsid w:val="0072136B"/>
    <w:rsid w:val="00730A90"/>
    <w:rsid w:val="0076241F"/>
    <w:rsid w:val="00770016"/>
    <w:rsid w:val="00790E37"/>
    <w:rsid w:val="007A7FAD"/>
    <w:rsid w:val="007B2FBA"/>
    <w:rsid w:val="007E2CF8"/>
    <w:rsid w:val="00806300"/>
    <w:rsid w:val="00814E97"/>
    <w:rsid w:val="00826FCB"/>
    <w:rsid w:val="008355BF"/>
    <w:rsid w:val="008361CA"/>
    <w:rsid w:val="00850252"/>
    <w:rsid w:val="00854C2E"/>
    <w:rsid w:val="00856FA1"/>
    <w:rsid w:val="008822B3"/>
    <w:rsid w:val="00895A90"/>
    <w:rsid w:val="008B03B6"/>
    <w:rsid w:val="008C2FF2"/>
    <w:rsid w:val="008D4B3A"/>
    <w:rsid w:val="008E01AC"/>
    <w:rsid w:val="008E1DCC"/>
    <w:rsid w:val="008E4128"/>
    <w:rsid w:val="008F3E81"/>
    <w:rsid w:val="00900E75"/>
    <w:rsid w:val="00902248"/>
    <w:rsid w:val="009156AC"/>
    <w:rsid w:val="00937D7D"/>
    <w:rsid w:val="00941370"/>
    <w:rsid w:val="0094239C"/>
    <w:rsid w:val="009457EF"/>
    <w:rsid w:val="0095013C"/>
    <w:rsid w:val="009649F8"/>
    <w:rsid w:val="00983F08"/>
    <w:rsid w:val="00997A9C"/>
    <w:rsid w:val="009B4E7D"/>
    <w:rsid w:val="009C4EF6"/>
    <w:rsid w:val="009F45B3"/>
    <w:rsid w:val="00A57BE6"/>
    <w:rsid w:val="00A63717"/>
    <w:rsid w:val="00A71441"/>
    <w:rsid w:val="00AA49F3"/>
    <w:rsid w:val="00AB023D"/>
    <w:rsid w:val="00AB126B"/>
    <w:rsid w:val="00AC381E"/>
    <w:rsid w:val="00AC64C5"/>
    <w:rsid w:val="00AE4797"/>
    <w:rsid w:val="00AE58DA"/>
    <w:rsid w:val="00AF73BC"/>
    <w:rsid w:val="00B02A47"/>
    <w:rsid w:val="00B120CA"/>
    <w:rsid w:val="00B25A37"/>
    <w:rsid w:val="00B62486"/>
    <w:rsid w:val="00B6406E"/>
    <w:rsid w:val="00BC7968"/>
    <w:rsid w:val="00BC7B0C"/>
    <w:rsid w:val="00BF3534"/>
    <w:rsid w:val="00C06207"/>
    <w:rsid w:val="00C330CF"/>
    <w:rsid w:val="00C364AB"/>
    <w:rsid w:val="00CB7258"/>
    <w:rsid w:val="00CC3BC2"/>
    <w:rsid w:val="00CE0823"/>
    <w:rsid w:val="00CE4265"/>
    <w:rsid w:val="00D23FE9"/>
    <w:rsid w:val="00D33AF9"/>
    <w:rsid w:val="00D363F7"/>
    <w:rsid w:val="00D72985"/>
    <w:rsid w:val="00D740EF"/>
    <w:rsid w:val="00D7508B"/>
    <w:rsid w:val="00DA6B18"/>
    <w:rsid w:val="00DB04F1"/>
    <w:rsid w:val="00DF6F7E"/>
    <w:rsid w:val="00E114F4"/>
    <w:rsid w:val="00E30CD7"/>
    <w:rsid w:val="00E34F08"/>
    <w:rsid w:val="00E35329"/>
    <w:rsid w:val="00E361CB"/>
    <w:rsid w:val="00E6129E"/>
    <w:rsid w:val="00E61AB8"/>
    <w:rsid w:val="00E706DA"/>
    <w:rsid w:val="00E83E93"/>
    <w:rsid w:val="00E90EB5"/>
    <w:rsid w:val="00E94FBF"/>
    <w:rsid w:val="00EA2C08"/>
    <w:rsid w:val="00ED288D"/>
    <w:rsid w:val="00ED57EE"/>
    <w:rsid w:val="00EF0C2D"/>
    <w:rsid w:val="00F06F9A"/>
    <w:rsid w:val="00F25783"/>
    <w:rsid w:val="00F352FD"/>
    <w:rsid w:val="00F45161"/>
    <w:rsid w:val="00F46E78"/>
    <w:rsid w:val="00F618FA"/>
    <w:rsid w:val="00F857BC"/>
    <w:rsid w:val="00F90F3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SinespaciadoCar">
    <w:name w:val="Sin espaciado Car"/>
    <w:aliases w:val="Francesa Car"/>
    <w:link w:val="Sinespaciado"/>
    <w:uiPriority w:val="1"/>
    <w:locked/>
    <w:rsid w:val="003D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1206</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2019-05-27T23:12:00Z</cp:lastPrinted>
  <dcterms:created xsi:type="dcterms:W3CDTF">2019-05-30T17:51:00Z</dcterms:created>
  <dcterms:modified xsi:type="dcterms:W3CDTF">2019-05-30T17:51:00Z</dcterms:modified>
</cp:coreProperties>
</file>