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BC9" w:rsidRDefault="00554DF4" w:rsidP="00554DF4">
      <w:pPr>
        <w:spacing w:line="360" w:lineRule="auto"/>
        <w:rPr>
          <w:rFonts w:ascii="Palatino Linotype" w:eastAsia="Times New Roman" w:hAnsi="Palatino Linotype" w:cs="Times New Roman"/>
          <w:b/>
        </w:rPr>
      </w:pPr>
      <w:r>
        <w:rPr>
          <w:rFonts w:ascii="Palatino Linotype" w:eastAsia="Times New Roman" w:hAnsi="Palatino Linotype" w:cs="Times New Roman"/>
          <w:b/>
        </w:rPr>
        <w:t xml:space="preserve">LÍNEAS ARGUMENTATIVAS </w:t>
      </w:r>
      <w:r w:rsidR="00A86534">
        <w:rPr>
          <w:rFonts w:ascii="Palatino Linotype" w:eastAsia="Times New Roman" w:hAnsi="Palatino Linotype" w:cs="Times New Roman"/>
          <w:b/>
        </w:rPr>
        <w:t xml:space="preserve"> </w:t>
      </w:r>
    </w:p>
    <w:p w:rsidR="001A4BC9" w:rsidRDefault="001A4BC9" w:rsidP="00554DF4">
      <w:pPr>
        <w:spacing w:line="360" w:lineRule="auto"/>
        <w:rPr>
          <w:rFonts w:ascii="Palatino Linotype" w:eastAsia="Times New Roman" w:hAnsi="Palatino Linotype" w:cs="Times New Roman"/>
          <w:b/>
        </w:rPr>
      </w:pPr>
    </w:p>
    <w:p w:rsidR="00B55D4A" w:rsidRDefault="00B55D4A" w:rsidP="00A456E5">
      <w:pPr>
        <w:spacing w:before="240" w:after="240" w:line="360" w:lineRule="auto"/>
        <w:jc w:val="both"/>
        <w:rPr>
          <w:rFonts w:ascii="Palatino Linotype" w:hAnsi="Palatino Linotype"/>
          <w:b/>
        </w:rPr>
      </w:pPr>
      <w:bookmarkStart w:id="0" w:name="_Toc512340965"/>
      <w:bookmarkStart w:id="1" w:name="_Toc527041797"/>
      <w:r w:rsidRPr="00D850B3">
        <w:rPr>
          <w:rFonts w:ascii="Palatino Linotype" w:hAnsi="Palatino Linotype"/>
          <w:b/>
        </w:rPr>
        <w:t xml:space="preserve">INFORME JUSTIFICADO, FALTA DE. </w:t>
      </w:r>
      <w:r w:rsidRPr="00D850B3">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p>
    <w:bookmarkEnd w:id="0"/>
    <w:bookmarkEnd w:id="1"/>
    <w:p w:rsidR="00554DF4" w:rsidRDefault="00554DF4" w:rsidP="001A4BC9">
      <w:pPr>
        <w:spacing w:line="360" w:lineRule="auto"/>
        <w:rPr>
          <w:rFonts w:ascii="Palatino Linotype" w:eastAsia="MS Mincho" w:hAnsi="Palatino Linotype" w:cs="Times New Roman"/>
        </w:rPr>
      </w:pPr>
      <w:r>
        <w:rPr>
          <w:rFonts w:ascii="Palatino Linotype" w:eastAsia="MS Mincho" w:hAnsi="Palatino Linotype" w:cs="Times New Roman"/>
          <w:b/>
        </w:rPr>
        <w:t xml:space="preserve">DERECHO DE ACCESO A LA INFORMACIÓN PÚBLICA. </w:t>
      </w:r>
      <w:r>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Pr>
          <w:rFonts w:ascii="Palatino Linotype" w:eastAsia="MS Mincho" w:hAnsi="Palatino Linotype" w:cs="Times New Roman"/>
        </w:rPr>
        <w:t>.</w:t>
      </w:r>
    </w:p>
    <w:p w:rsidR="00A456E5" w:rsidRPr="00F22BBE" w:rsidRDefault="00A456E5" w:rsidP="00A456E5">
      <w:pPr>
        <w:spacing w:before="240" w:after="240" w:line="360" w:lineRule="auto"/>
        <w:jc w:val="both"/>
        <w:rPr>
          <w:rFonts w:ascii="Palatino Linotype" w:eastAsia="MS Mincho" w:hAnsi="Palatino Linotype" w:cs="Times New Roman"/>
        </w:rPr>
      </w:pPr>
      <w:r w:rsidRPr="007A4334">
        <w:rPr>
          <w:rFonts w:ascii="Palatino Linotype" w:eastAsia="MS Mincho" w:hAnsi="Palatino Linotype" w:cs="Times New Roman"/>
          <w:b/>
        </w:rPr>
        <w:t>INFORMACIÓN DISPONIBLE EN SITIOS ELECTRÓNICOS.</w:t>
      </w:r>
      <w:r>
        <w:rPr>
          <w:rFonts w:ascii="Palatino Linotype" w:eastAsia="MS Mincho" w:hAnsi="Palatino Linotype" w:cs="Times New Roman"/>
          <w:b/>
        </w:rPr>
        <w:t xml:space="preserve"> </w:t>
      </w:r>
      <w:r>
        <w:rPr>
          <w:rFonts w:ascii="Palatino Linotype" w:eastAsia="MS Mincho" w:hAnsi="Palatino Linotype" w:cs="Times New Roman"/>
        </w:rPr>
        <w:t>Al</w:t>
      </w:r>
      <w:r w:rsidRPr="00F22BBE">
        <w:rPr>
          <w:rFonts w:ascii="Palatino Linotype" w:eastAsia="MS Mincho" w:hAnsi="Palatino Linotype" w:cs="Times New Roman"/>
        </w:rPr>
        <w:t xml:space="preserve"> indicar que la información solicitada se encuentra disponible en sitios electrónicos, los Sujetos Obligados deberán indicar la dirección electrónica correcta, así como el procedimiento a seguir para allegarse de la información solicitada, de tal modo que no implique que realizar una búsqueda en toda la información disponible, la falta de alguno de estos elementos</w:t>
      </w:r>
      <w:r>
        <w:rPr>
          <w:rFonts w:ascii="Palatino Linotype" w:eastAsia="MS Mincho" w:hAnsi="Palatino Linotype" w:cs="Times New Roman"/>
        </w:rPr>
        <w:t xml:space="preserve"> causa una afectación al derecho de los recurrentes.</w:t>
      </w:r>
    </w:p>
    <w:p w:rsidR="00A456E5" w:rsidRDefault="00A456E5" w:rsidP="001A4BC9">
      <w:pPr>
        <w:spacing w:line="360" w:lineRule="auto"/>
        <w:rPr>
          <w:rFonts w:ascii="Palatino Linotype" w:eastAsia="MS Mincho" w:hAnsi="Palatino Linotype" w:cs="Times New Roman"/>
        </w:rPr>
      </w:pPr>
    </w:p>
    <w:p w:rsidR="00980652" w:rsidRDefault="00980652" w:rsidP="00554DF4">
      <w:pPr>
        <w:spacing w:before="240" w:after="240" w:line="360" w:lineRule="auto"/>
        <w:jc w:val="both"/>
        <w:rPr>
          <w:rFonts w:ascii="Palatino Linotype" w:hAnsi="Palatino Linotype" w:cs="Arial"/>
        </w:rPr>
      </w:pPr>
    </w:p>
    <w:p w:rsidR="00980652" w:rsidRDefault="00980652" w:rsidP="00554DF4">
      <w:pPr>
        <w:spacing w:before="240" w:after="240" w:line="360" w:lineRule="auto"/>
        <w:jc w:val="both"/>
        <w:rPr>
          <w:rFonts w:ascii="Palatino Linotype" w:hAnsi="Palatino Linotype" w:cs="Arial"/>
        </w:rPr>
      </w:pPr>
    </w:p>
    <w:p w:rsidR="00980652" w:rsidRDefault="00980652" w:rsidP="00554DF4">
      <w:pPr>
        <w:spacing w:before="240" w:after="240" w:line="360" w:lineRule="auto"/>
        <w:jc w:val="both"/>
        <w:rPr>
          <w:rFonts w:ascii="Palatino Linotype" w:hAnsi="Palatino Linotype" w:cs="Arial"/>
        </w:rPr>
      </w:pPr>
    </w:p>
    <w:p w:rsidR="00980652" w:rsidRDefault="00980652" w:rsidP="00554DF4">
      <w:pPr>
        <w:spacing w:before="240" w:after="240" w:line="360" w:lineRule="auto"/>
        <w:jc w:val="both"/>
        <w:rPr>
          <w:rFonts w:ascii="Palatino Linotype" w:hAnsi="Palatino Linotype" w:cs="Arial"/>
        </w:rPr>
      </w:pPr>
    </w:p>
    <w:p w:rsidR="00980652" w:rsidRDefault="00980652" w:rsidP="00554DF4">
      <w:pPr>
        <w:spacing w:before="240" w:after="240" w:line="360" w:lineRule="auto"/>
        <w:jc w:val="both"/>
        <w:rPr>
          <w:rFonts w:ascii="Palatino Linotype" w:hAnsi="Palatino Linotype" w:cs="Arial"/>
        </w:rPr>
      </w:pPr>
    </w:p>
    <w:p w:rsidR="00554DF4" w:rsidRDefault="00554DF4" w:rsidP="00554DF4">
      <w:pPr>
        <w:spacing w:before="240" w:after="240" w:line="360" w:lineRule="auto"/>
        <w:jc w:val="center"/>
        <w:rPr>
          <w:rFonts w:ascii="Palatino Linotype" w:hAnsi="Palatino Linotype"/>
        </w:rPr>
      </w:pPr>
      <w:r>
        <w:rPr>
          <w:rFonts w:ascii="Palatino Linotype" w:hAnsi="Palatino Linotype"/>
          <w:b/>
        </w:rPr>
        <w:t>Índice</w:t>
      </w:r>
      <w:r>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rsidR="00554DF4" w:rsidRDefault="00554DF4" w:rsidP="00554DF4">
          <w:pPr>
            <w:pStyle w:val="TtulodeTDC"/>
            <w:spacing w:line="480" w:lineRule="auto"/>
          </w:pPr>
        </w:p>
        <w:p w:rsidR="003354E1" w:rsidRPr="003354E1" w:rsidRDefault="00554DF4">
          <w:pPr>
            <w:pStyle w:val="TDC1"/>
            <w:tabs>
              <w:tab w:val="right" w:leader="dot" w:pos="8779"/>
            </w:tabs>
            <w:rPr>
              <w:rFonts w:ascii="Palatino Linotype" w:hAnsi="Palatino Linotype"/>
              <w:b/>
              <w:noProof/>
              <w:sz w:val="22"/>
              <w:szCs w:val="22"/>
              <w:lang w:val="es-MX" w:eastAsia="es-MX"/>
            </w:rPr>
          </w:pPr>
          <w:r w:rsidRPr="003354E1">
            <w:rPr>
              <w:rFonts w:ascii="Palatino Linotype" w:hAnsi="Palatino Linotype"/>
              <w:b/>
            </w:rPr>
            <w:fldChar w:fldCharType="begin"/>
          </w:r>
          <w:r w:rsidRPr="003354E1">
            <w:rPr>
              <w:rFonts w:ascii="Palatino Linotype" w:hAnsi="Palatino Linotype"/>
              <w:b/>
            </w:rPr>
            <w:instrText xml:space="preserve"> TOC \o "1-3" \h \z \u </w:instrText>
          </w:r>
          <w:r w:rsidRPr="003354E1">
            <w:rPr>
              <w:rFonts w:ascii="Palatino Linotype" w:hAnsi="Palatino Linotype"/>
              <w:b/>
            </w:rPr>
            <w:fldChar w:fldCharType="separate"/>
          </w:r>
          <w:hyperlink w:anchor="_Toc32248300" w:history="1">
            <w:r w:rsidR="003354E1" w:rsidRPr="003354E1">
              <w:rPr>
                <w:rStyle w:val="Hipervnculo"/>
                <w:rFonts w:ascii="Palatino Linotype" w:hAnsi="Palatino Linotype"/>
                <w:b/>
                <w:noProof/>
              </w:rPr>
              <w:t>ANTECEDENTES</w:t>
            </w:r>
            <w:r w:rsidR="003354E1" w:rsidRPr="003354E1">
              <w:rPr>
                <w:rFonts w:ascii="Palatino Linotype" w:hAnsi="Palatino Linotype"/>
                <w:b/>
                <w:noProof/>
                <w:webHidden/>
              </w:rPr>
              <w:tab/>
            </w:r>
            <w:r w:rsidR="003354E1" w:rsidRPr="003354E1">
              <w:rPr>
                <w:rFonts w:ascii="Palatino Linotype" w:hAnsi="Palatino Linotype"/>
                <w:b/>
                <w:noProof/>
                <w:webHidden/>
              </w:rPr>
              <w:fldChar w:fldCharType="begin"/>
            </w:r>
            <w:r w:rsidR="003354E1" w:rsidRPr="003354E1">
              <w:rPr>
                <w:rFonts w:ascii="Palatino Linotype" w:hAnsi="Palatino Linotype"/>
                <w:b/>
                <w:noProof/>
                <w:webHidden/>
              </w:rPr>
              <w:instrText xml:space="preserve"> PAGEREF _Toc32248300 \h </w:instrText>
            </w:r>
            <w:r w:rsidR="003354E1" w:rsidRPr="003354E1">
              <w:rPr>
                <w:rFonts w:ascii="Palatino Linotype" w:hAnsi="Palatino Linotype"/>
                <w:b/>
                <w:noProof/>
                <w:webHidden/>
              </w:rPr>
            </w:r>
            <w:r w:rsidR="003354E1" w:rsidRPr="003354E1">
              <w:rPr>
                <w:rFonts w:ascii="Palatino Linotype" w:hAnsi="Palatino Linotype"/>
                <w:b/>
                <w:noProof/>
                <w:webHidden/>
              </w:rPr>
              <w:fldChar w:fldCharType="separate"/>
            </w:r>
            <w:r w:rsidR="003354E1" w:rsidRPr="003354E1">
              <w:rPr>
                <w:rFonts w:ascii="Palatino Linotype" w:hAnsi="Palatino Linotype"/>
                <w:b/>
                <w:noProof/>
                <w:webHidden/>
              </w:rPr>
              <w:t>3</w:t>
            </w:r>
            <w:r w:rsidR="003354E1" w:rsidRPr="003354E1">
              <w:rPr>
                <w:rFonts w:ascii="Palatino Linotype" w:hAnsi="Palatino Linotype"/>
                <w:b/>
                <w:noProof/>
                <w:webHidden/>
              </w:rPr>
              <w:fldChar w:fldCharType="end"/>
            </w:r>
          </w:hyperlink>
        </w:p>
        <w:p w:rsidR="003354E1" w:rsidRPr="003354E1" w:rsidRDefault="00E1283A">
          <w:pPr>
            <w:pStyle w:val="TDC1"/>
            <w:tabs>
              <w:tab w:val="right" w:leader="dot" w:pos="8779"/>
            </w:tabs>
            <w:rPr>
              <w:rFonts w:ascii="Palatino Linotype" w:hAnsi="Palatino Linotype"/>
              <w:b/>
              <w:noProof/>
              <w:sz w:val="22"/>
              <w:szCs w:val="22"/>
              <w:lang w:val="es-MX" w:eastAsia="es-MX"/>
            </w:rPr>
          </w:pPr>
          <w:hyperlink w:anchor="_Toc32248301" w:history="1">
            <w:r w:rsidR="003354E1" w:rsidRPr="003354E1">
              <w:rPr>
                <w:rStyle w:val="Hipervnculo"/>
                <w:rFonts w:ascii="Palatino Linotype" w:hAnsi="Palatino Linotype"/>
                <w:b/>
                <w:noProof/>
              </w:rPr>
              <w:t>CONSIDERANDO</w:t>
            </w:r>
            <w:r w:rsidR="003354E1" w:rsidRPr="003354E1">
              <w:rPr>
                <w:rFonts w:ascii="Palatino Linotype" w:hAnsi="Palatino Linotype"/>
                <w:b/>
                <w:noProof/>
                <w:webHidden/>
              </w:rPr>
              <w:tab/>
            </w:r>
            <w:r w:rsidR="003354E1" w:rsidRPr="003354E1">
              <w:rPr>
                <w:rFonts w:ascii="Palatino Linotype" w:hAnsi="Palatino Linotype"/>
                <w:b/>
                <w:noProof/>
                <w:webHidden/>
              </w:rPr>
              <w:fldChar w:fldCharType="begin"/>
            </w:r>
            <w:r w:rsidR="003354E1" w:rsidRPr="003354E1">
              <w:rPr>
                <w:rFonts w:ascii="Palatino Linotype" w:hAnsi="Palatino Linotype"/>
                <w:b/>
                <w:noProof/>
                <w:webHidden/>
              </w:rPr>
              <w:instrText xml:space="preserve"> PAGEREF _Toc32248301 \h </w:instrText>
            </w:r>
            <w:r w:rsidR="003354E1" w:rsidRPr="003354E1">
              <w:rPr>
                <w:rFonts w:ascii="Palatino Linotype" w:hAnsi="Palatino Linotype"/>
                <w:b/>
                <w:noProof/>
                <w:webHidden/>
              </w:rPr>
            </w:r>
            <w:r w:rsidR="003354E1" w:rsidRPr="003354E1">
              <w:rPr>
                <w:rFonts w:ascii="Palatino Linotype" w:hAnsi="Palatino Linotype"/>
                <w:b/>
                <w:noProof/>
                <w:webHidden/>
              </w:rPr>
              <w:fldChar w:fldCharType="separate"/>
            </w:r>
            <w:r w:rsidR="003354E1" w:rsidRPr="003354E1">
              <w:rPr>
                <w:rFonts w:ascii="Palatino Linotype" w:hAnsi="Palatino Linotype"/>
                <w:b/>
                <w:noProof/>
                <w:webHidden/>
              </w:rPr>
              <w:t>8</w:t>
            </w:r>
            <w:r w:rsidR="003354E1" w:rsidRPr="003354E1">
              <w:rPr>
                <w:rFonts w:ascii="Palatino Linotype" w:hAnsi="Palatino Linotype"/>
                <w:b/>
                <w:noProof/>
                <w:webHidden/>
              </w:rPr>
              <w:fldChar w:fldCharType="end"/>
            </w:r>
          </w:hyperlink>
        </w:p>
        <w:p w:rsidR="003354E1" w:rsidRPr="003354E1" w:rsidRDefault="00E1283A">
          <w:pPr>
            <w:pStyle w:val="TDC2"/>
            <w:rPr>
              <w:rFonts w:ascii="Palatino Linotype" w:hAnsi="Palatino Linotype"/>
              <w:b/>
              <w:noProof/>
              <w:sz w:val="22"/>
              <w:szCs w:val="22"/>
              <w:lang w:val="es-MX" w:eastAsia="es-MX"/>
            </w:rPr>
          </w:pPr>
          <w:hyperlink w:anchor="_Toc32248302" w:history="1">
            <w:r w:rsidR="003354E1" w:rsidRPr="003354E1">
              <w:rPr>
                <w:rStyle w:val="Hipervnculo"/>
                <w:rFonts w:ascii="Palatino Linotype" w:hAnsi="Palatino Linotype"/>
                <w:b/>
                <w:noProof/>
              </w:rPr>
              <w:t>PRIMERO. De la competencia</w:t>
            </w:r>
            <w:r w:rsidR="003354E1" w:rsidRPr="003354E1">
              <w:rPr>
                <w:rFonts w:ascii="Palatino Linotype" w:hAnsi="Palatino Linotype"/>
                <w:b/>
                <w:noProof/>
                <w:webHidden/>
              </w:rPr>
              <w:tab/>
            </w:r>
            <w:r w:rsidR="003354E1" w:rsidRPr="003354E1">
              <w:rPr>
                <w:rFonts w:ascii="Palatino Linotype" w:hAnsi="Palatino Linotype"/>
                <w:b/>
                <w:noProof/>
                <w:webHidden/>
              </w:rPr>
              <w:fldChar w:fldCharType="begin"/>
            </w:r>
            <w:r w:rsidR="003354E1" w:rsidRPr="003354E1">
              <w:rPr>
                <w:rFonts w:ascii="Palatino Linotype" w:hAnsi="Palatino Linotype"/>
                <w:b/>
                <w:noProof/>
                <w:webHidden/>
              </w:rPr>
              <w:instrText xml:space="preserve"> PAGEREF _Toc32248302 \h </w:instrText>
            </w:r>
            <w:r w:rsidR="003354E1" w:rsidRPr="003354E1">
              <w:rPr>
                <w:rFonts w:ascii="Palatino Linotype" w:hAnsi="Palatino Linotype"/>
                <w:b/>
                <w:noProof/>
                <w:webHidden/>
              </w:rPr>
            </w:r>
            <w:r w:rsidR="003354E1" w:rsidRPr="003354E1">
              <w:rPr>
                <w:rFonts w:ascii="Palatino Linotype" w:hAnsi="Palatino Linotype"/>
                <w:b/>
                <w:noProof/>
                <w:webHidden/>
              </w:rPr>
              <w:fldChar w:fldCharType="separate"/>
            </w:r>
            <w:r w:rsidR="003354E1" w:rsidRPr="003354E1">
              <w:rPr>
                <w:rFonts w:ascii="Palatino Linotype" w:hAnsi="Palatino Linotype"/>
                <w:b/>
                <w:noProof/>
                <w:webHidden/>
              </w:rPr>
              <w:t>8</w:t>
            </w:r>
            <w:r w:rsidR="003354E1" w:rsidRPr="003354E1">
              <w:rPr>
                <w:rFonts w:ascii="Palatino Linotype" w:hAnsi="Palatino Linotype"/>
                <w:b/>
                <w:noProof/>
                <w:webHidden/>
              </w:rPr>
              <w:fldChar w:fldCharType="end"/>
            </w:r>
          </w:hyperlink>
        </w:p>
        <w:p w:rsidR="003354E1" w:rsidRPr="003354E1" w:rsidRDefault="00E1283A">
          <w:pPr>
            <w:pStyle w:val="TDC2"/>
            <w:rPr>
              <w:rFonts w:ascii="Palatino Linotype" w:hAnsi="Palatino Linotype"/>
              <w:b/>
              <w:noProof/>
              <w:sz w:val="22"/>
              <w:szCs w:val="22"/>
              <w:lang w:val="es-MX" w:eastAsia="es-MX"/>
            </w:rPr>
          </w:pPr>
          <w:hyperlink w:anchor="_Toc32248303" w:history="1">
            <w:r w:rsidR="003354E1" w:rsidRPr="003354E1">
              <w:rPr>
                <w:rStyle w:val="Hipervnculo"/>
                <w:rFonts w:ascii="Palatino Linotype" w:hAnsi="Palatino Linotype"/>
                <w:b/>
                <w:noProof/>
              </w:rPr>
              <w:t>SEGUNDO. De la oportunidad y procedencia.</w:t>
            </w:r>
            <w:r w:rsidR="003354E1" w:rsidRPr="003354E1">
              <w:rPr>
                <w:rFonts w:ascii="Palatino Linotype" w:hAnsi="Palatino Linotype"/>
                <w:b/>
                <w:noProof/>
                <w:webHidden/>
              </w:rPr>
              <w:tab/>
            </w:r>
            <w:r w:rsidR="003354E1" w:rsidRPr="003354E1">
              <w:rPr>
                <w:rFonts w:ascii="Palatino Linotype" w:hAnsi="Palatino Linotype"/>
                <w:b/>
                <w:noProof/>
                <w:webHidden/>
              </w:rPr>
              <w:fldChar w:fldCharType="begin"/>
            </w:r>
            <w:r w:rsidR="003354E1" w:rsidRPr="003354E1">
              <w:rPr>
                <w:rFonts w:ascii="Palatino Linotype" w:hAnsi="Palatino Linotype"/>
                <w:b/>
                <w:noProof/>
                <w:webHidden/>
              </w:rPr>
              <w:instrText xml:space="preserve"> PAGEREF _Toc32248303 \h </w:instrText>
            </w:r>
            <w:r w:rsidR="003354E1" w:rsidRPr="003354E1">
              <w:rPr>
                <w:rFonts w:ascii="Palatino Linotype" w:hAnsi="Palatino Linotype"/>
                <w:b/>
                <w:noProof/>
                <w:webHidden/>
              </w:rPr>
            </w:r>
            <w:r w:rsidR="003354E1" w:rsidRPr="003354E1">
              <w:rPr>
                <w:rFonts w:ascii="Palatino Linotype" w:hAnsi="Palatino Linotype"/>
                <w:b/>
                <w:noProof/>
                <w:webHidden/>
              </w:rPr>
              <w:fldChar w:fldCharType="separate"/>
            </w:r>
            <w:r w:rsidR="003354E1" w:rsidRPr="003354E1">
              <w:rPr>
                <w:rFonts w:ascii="Palatino Linotype" w:hAnsi="Palatino Linotype"/>
                <w:b/>
                <w:noProof/>
                <w:webHidden/>
              </w:rPr>
              <w:t>9</w:t>
            </w:r>
            <w:r w:rsidR="003354E1" w:rsidRPr="003354E1">
              <w:rPr>
                <w:rFonts w:ascii="Palatino Linotype" w:hAnsi="Palatino Linotype"/>
                <w:b/>
                <w:noProof/>
                <w:webHidden/>
              </w:rPr>
              <w:fldChar w:fldCharType="end"/>
            </w:r>
          </w:hyperlink>
        </w:p>
        <w:p w:rsidR="003354E1" w:rsidRPr="003354E1" w:rsidRDefault="00E1283A">
          <w:pPr>
            <w:pStyle w:val="TDC2"/>
            <w:rPr>
              <w:rFonts w:ascii="Palatino Linotype" w:hAnsi="Palatino Linotype"/>
              <w:b/>
              <w:noProof/>
              <w:sz w:val="22"/>
              <w:szCs w:val="22"/>
              <w:lang w:val="es-MX" w:eastAsia="es-MX"/>
            </w:rPr>
          </w:pPr>
          <w:hyperlink w:anchor="_Toc32248304" w:history="1">
            <w:r w:rsidR="003354E1" w:rsidRPr="003354E1">
              <w:rPr>
                <w:rStyle w:val="Hipervnculo"/>
                <w:rFonts w:ascii="Palatino Linotype" w:hAnsi="Palatino Linotype"/>
                <w:b/>
                <w:noProof/>
              </w:rPr>
              <w:t>TERCERO. Planteamiento de la Litis.</w:t>
            </w:r>
            <w:r w:rsidR="003354E1" w:rsidRPr="003354E1">
              <w:rPr>
                <w:rFonts w:ascii="Palatino Linotype" w:hAnsi="Palatino Linotype"/>
                <w:b/>
                <w:noProof/>
                <w:webHidden/>
              </w:rPr>
              <w:tab/>
            </w:r>
            <w:r w:rsidR="003354E1" w:rsidRPr="003354E1">
              <w:rPr>
                <w:rFonts w:ascii="Palatino Linotype" w:hAnsi="Palatino Linotype"/>
                <w:b/>
                <w:noProof/>
                <w:webHidden/>
              </w:rPr>
              <w:fldChar w:fldCharType="begin"/>
            </w:r>
            <w:r w:rsidR="003354E1" w:rsidRPr="003354E1">
              <w:rPr>
                <w:rFonts w:ascii="Palatino Linotype" w:hAnsi="Palatino Linotype"/>
                <w:b/>
                <w:noProof/>
                <w:webHidden/>
              </w:rPr>
              <w:instrText xml:space="preserve"> PAGEREF _Toc32248304 \h </w:instrText>
            </w:r>
            <w:r w:rsidR="003354E1" w:rsidRPr="003354E1">
              <w:rPr>
                <w:rFonts w:ascii="Palatino Linotype" w:hAnsi="Palatino Linotype"/>
                <w:b/>
                <w:noProof/>
                <w:webHidden/>
              </w:rPr>
            </w:r>
            <w:r w:rsidR="003354E1" w:rsidRPr="003354E1">
              <w:rPr>
                <w:rFonts w:ascii="Palatino Linotype" w:hAnsi="Palatino Linotype"/>
                <w:b/>
                <w:noProof/>
                <w:webHidden/>
              </w:rPr>
              <w:fldChar w:fldCharType="separate"/>
            </w:r>
            <w:r w:rsidR="003354E1" w:rsidRPr="003354E1">
              <w:rPr>
                <w:rFonts w:ascii="Palatino Linotype" w:hAnsi="Palatino Linotype"/>
                <w:b/>
                <w:noProof/>
                <w:webHidden/>
              </w:rPr>
              <w:t>10</w:t>
            </w:r>
            <w:r w:rsidR="003354E1" w:rsidRPr="003354E1">
              <w:rPr>
                <w:rFonts w:ascii="Palatino Linotype" w:hAnsi="Palatino Linotype"/>
                <w:b/>
                <w:noProof/>
                <w:webHidden/>
              </w:rPr>
              <w:fldChar w:fldCharType="end"/>
            </w:r>
          </w:hyperlink>
        </w:p>
        <w:p w:rsidR="003354E1" w:rsidRPr="003354E1" w:rsidRDefault="00E1283A">
          <w:pPr>
            <w:pStyle w:val="TDC2"/>
            <w:rPr>
              <w:rFonts w:ascii="Palatino Linotype" w:hAnsi="Palatino Linotype"/>
              <w:b/>
              <w:noProof/>
              <w:sz w:val="22"/>
              <w:szCs w:val="22"/>
              <w:lang w:val="es-MX" w:eastAsia="es-MX"/>
            </w:rPr>
          </w:pPr>
          <w:hyperlink w:anchor="_Toc32248305" w:history="1">
            <w:r w:rsidR="003354E1" w:rsidRPr="003354E1">
              <w:rPr>
                <w:rStyle w:val="Hipervnculo"/>
                <w:rFonts w:ascii="Palatino Linotype" w:hAnsi="Palatino Linotype"/>
                <w:b/>
                <w:noProof/>
              </w:rPr>
              <w:t>CUARTO. Análisis y resolución del asunto.</w:t>
            </w:r>
            <w:r w:rsidR="003354E1" w:rsidRPr="003354E1">
              <w:rPr>
                <w:rFonts w:ascii="Palatino Linotype" w:hAnsi="Palatino Linotype"/>
                <w:b/>
                <w:noProof/>
                <w:webHidden/>
              </w:rPr>
              <w:tab/>
            </w:r>
            <w:r w:rsidR="003354E1" w:rsidRPr="003354E1">
              <w:rPr>
                <w:rFonts w:ascii="Palatino Linotype" w:hAnsi="Palatino Linotype"/>
                <w:b/>
                <w:noProof/>
                <w:webHidden/>
              </w:rPr>
              <w:fldChar w:fldCharType="begin"/>
            </w:r>
            <w:r w:rsidR="003354E1" w:rsidRPr="003354E1">
              <w:rPr>
                <w:rFonts w:ascii="Palatino Linotype" w:hAnsi="Palatino Linotype"/>
                <w:b/>
                <w:noProof/>
                <w:webHidden/>
              </w:rPr>
              <w:instrText xml:space="preserve"> PAGEREF _Toc32248305 \h </w:instrText>
            </w:r>
            <w:r w:rsidR="003354E1" w:rsidRPr="003354E1">
              <w:rPr>
                <w:rFonts w:ascii="Palatino Linotype" w:hAnsi="Palatino Linotype"/>
                <w:b/>
                <w:noProof/>
                <w:webHidden/>
              </w:rPr>
            </w:r>
            <w:r w:rsidR="003354E1" w:rsidRPr="003354E1">
              <w:rPr>
                <w:rFonts w:ascii="Palatino Linotype" w:hAnsi="Palatino Linotype"/>
                <w:b/>
                <w:noProof/>
                <w:webHidden/>
              </w:rPr>
              <w:fldChar w:fldCharType="separate"/>
            </w:r>
            <w:r w:rsidR="003354E1" w:rsidRPr="003354E1">
              <w:rPr>
                <w:rFonts w:ascii="Palatino Linotype" w:hAnsi="Palatino Linotype"/>
                <w:b/>
                <w:noProof/>
                <w:webHidden/>
              </w:rPr>
              <w:t>10</w:t>
            </w:r>
            <w:r w:rsidR="003354E1" w:rsidRPr="003354E1">
              <w:rPr>
                <w:rFonts w:ascii="Palatino Linotype" w:hAnsi="Palatino Linotype"/>
                <w:b/>
                <w:noProof/>
                <w:webHidden/>
              </w:rPr>
              <w:fldChar w:fldCharType="end"/>
            </w:r>
          </w:hyperlink>
        </w:p>
        <w:p w:rsidR="003354E1" w:rsidRPr="003354E1" w:rsidRDefault="00E1283A">
          <w:pPr>
            <w:pStyle w:val="TDC2"/>
            <w:rPr>
              <w:rFonts w:ascii="Palatino Linotype" w:hAnsi="Palatino Linotype"/>
              <w:b/>
              <w:noProof/>
              <w:sz w:val="22"/>
              <w:szCs w:val="22"/>
              <w:lang w:val="es-MX" w:eastAsia="es-MX"/>
            </w:rPr>
          </w:pPr>
          <w:hyperlink w:anchor="_Toc32248306" w:history="1">
            <w:r w:rsidR="003354E1" w:rsidRPr="003354E1">
              <w:rPr>
                <w:rStyle w:val="Hipervnculo"/>
                <w:rFonts w:ascii="Palatino Linotype" w:hAnsi="Palatino Linotype"/>
                <w:b/>
                <w:noProof/>
              </w:rPr>
              <w:t>A.</w:t>
            </w:r>
            <w:r w:rsidR="003354E1" w:rsidRPr="003354E1">
              <w:rPr>
                <w:rFonts w:ascii="Palatino Linotype" w:hAnsi="Palatino Linotype"/>
                <w:b/>
                <w:noProof/>
                <w:sz w:val="22"/>
                <w:szCs w:val="22"/>
                <w:lang w:val="es-MX" w:eastAsia="es-MX"/>
              </w:rPr>
              <w:tab/>
            </w:r>
            <w:r w:rsidR="003354E1" w:rsidRPr="003354E1">
              <w:rPr>
                <w:rStyle w:val="Hipervnculo"/>
                <w:rFonts w:ascii="Palatino Linotype" w:hAnsi="Palatino Linotype"/>
                <w:b/>
                <w:noProof/>
              </w:rPr>
              <w:t>El derecho de acceso a la información.</w:t>
            </w:r>
            <w:r w:rsidR="003354E1" w:rsidRPr="003354E1">
              <w:rPr>
                <w:rFonts w:ascii="Palatino Linotype" w:hAnsi="Palatino Linotype"/>
                <w:b/>
                <w:noProof/>
                <w:webHidden/>
              </w:rPr>
              <w:tab/>
            </w:r>
            <w:r w:rsidR="003354E1" w:rsidRPr="003354E1">
              <w:rPr>
                <w:rFonts w:ascii="Palatino Linotype" w:hAnsi="Palatino Linotype"/>
                <w:b/>
                <w:noProof/>
                <w:webHidden/>
              </w:rPr>
              <w:fldChar w:fldCharType="begin"/>
            </w:r>
            <w:r w:rsidR="003354E1" w:rsidRPr="003354E1">
              <w:rPr>
                <w:rFonts w:ascii="Palatino Linotype" w:hAnsi="Palatino Linotype"/>
                <w:b/>
                <w:noProof/>
                <w:webHidden/>
              </w:rPr>
              <w:instrText xml:space="preserve"> PAGEREF _Toc32248306 \h </w:instrText>
            </w:r>
            <w:r w:rsidR="003354E1" w:rsidRPr="003354E1">
              <w:rPr>
                <w:rFonts w:ascii="Palatino Linotype" w:hAnsi="Palatino Linotype"/>
                <w:b/>
                <w:noProof/>
                <w:webHidden/>
              </w:rPr>
            </w:r>
            <w:r w:rsidR="003354E1" w:rsidRPr="003354E1">
              <w:rPr>
                <w:rFonts w:ascii="Palatino Linotype" w:hAnsi="Palatino Linotype"/>
                <w:b/>
                <w:noProof/>
                <w:webHidden/>
              </w:rPr>
              <w:fldChar w:fldCharType="separate"/>
            </w:r>
            <w:r w:rsidR="003354E1" w:rsidRPr="003354E1">
              <w:rPr>
                <w:rFonts w:ascii="Palatino Linotype" w:hAnsi="Palatino Linotype"/>
                <w:b/>
                <w:noProof/>
                <w:webHidden/>
              </w:rPr>
              <w:t>10</w:t>
            </w:r>
            <w:r w:rsidR="003354E1" w:rsidRPr="003354E1">
              <w:rPr>
                <w:rFonts w:ascii="Palatino Linotype" w:hAnsi="Palatino Linotype"/>
                <w:b/>
                <w:noProof/>
                <w:webHidden/>
              </w:rPr>
              <w:fldChar w:fldCharType="end"/>
            </w:r>
          </w:hyperlink>
        </w:p>
        <w:p w:rsidR="003354E1" w:rsidRPr="003354E1" w:rsidRDefault="00E1283A">
          <w:pPr>
            <w:pStyle w:val="TDC2"/>
            <w:rPr>
              <w:rFonts w:ascii="Palatino Linotype" w:hAnsi="Palatino Linotype"/>
              <w:b/>
              <w:noProof/>
              <w:sz w:val="22"/>
              <w:szCs w:val="22"/>
              <w:lang w:val="es-MX" w:eastAsia="es-MX"/>
            </w:rPr>
          </w:pPr>
          <w:hyperlink w:anchor="_Toc32248307" w:history="1">
            <w:r w:rsidR="003354E1" w:rsidRPr="003354E1">
              <w:rPr>
                <w:rStyle w:val="Hipervnculo"/>
                <w:rFonts w:ascii="Palatino Linotype" w:hAnsi="Palatino Linotype"/>
                <w:b/>
                <w:noProof/>
              </w:rPr>
              <w:t>B.</w:t>
            </w:r>
            <w:r w:rsidR="003354E1" w:rsidRPr="003354E1">
              <w:rPr>
                <w:rFonts w:ascii="Palatino Linotype" w:hAnsi="Palatino Linotype"/>
                <w:b/>
                <w:noProof/>
                <w:sz w:val="22"/>
                <w:szCs w:val="22"/>
                <w:lang w:val="es-MX" w:eastAsia="es-MX"/>
              </w:rPr>
              <w:tab/>
            </w:r>
            <w:r w:rsidR="003354E1" w:rsidRPr="003354E1">
              <w:rPr>
                <w:rStyle w:val="Hipervnculo"/>
                <w:rFonts w:ascii="Palatino Linotype" w:hAnsi="Palatino Linotype"/>
                <w:b/>
                <w:noProof/>
              </w:rPr>
              <w:t>Fuente Obligacional.</w:t>
            </w:r>
            <w:r w:rsidR="003354E1" w:rsidRPr="003354E1">
              <w:rPr>
                <w:rFonts w:ascii="Palatino Linotype" w:hAnsi="Palatino Linotype"/>
                <w:b/>
                <w:noProof/>
                <w:webHidden/>
              </w:rPr>
              <w:tab/>
            </w:r>
            <w:r w:rsidR="003354E1" w:rsidRPr="003354E1">
              <w:rPr>
                <w:rFonts w:ascii="Palatino Linotype" w:hAnsi="Palatino Linotype"/>
                <w:b/>
                <w:noProof/>
                <w:webHidden/>
              </w:rPr>
              <w:fldChar w:fldCharType="begin"/>
            </w:r>
            <w:r w:rsidR="003354E1" w:rsidRPr="003354E1">
              <w:rPr>
                <w:rFonts w:ascii="Palatino Linotype" w:hAnsi="Palatino Linotype"/>
                <w:b/>
                <w:noProof/>
                <w:webHidden/>
              </w:rPr>
              <w:instrText xml:space="preserve"> PAGEREF _Toc32248307 \h </w:instrText>
            </w:r>
            <w:r w:rsidR="003354E1" w:rsidRPr="003354E1">
              <w:rPr>
                <w:rFonts w:ascii="Palatino Linotype" w:hAnsi="Palatino Linotype"/>
                <w:b/>
                <w:noProof/>
                <w:webHidden/>
              </w:rPr>
            </w:r>
            <w:r w:rsidR="003354E1" w:rsidRPr="003354E1">
              <w:rPr>
                <w:rFonts w:ascii="Palatino Linotype" w:hAnsi="Palatino Linotype"/>
                <w:b/>
                <w:noProof/>
                <w:webHidden/>
              </w:rPr>
              <w:fldChar w:fldCharType="separate"/>
            </w:r>
            <w:r w:rsidR="003354E1" w:rsidRPr="003354E1">
              <w:rPr>
                <w:rFonts w:ascii="Palatino Linotype" w:hAnsi="Palatino Linotype"/>
                <w:b/>
                <w:noProof/>
                <w:webHidden/>
              </w:rPr>
              <w:t>17</w:t>
            </w:r>
            <w:r w:rsidR="003354E1" w:rsidRPr="003354E1">
              <w:rPr>
                <w:rFonts w:ascii="Palatino Linotype" w:hAnsi="Palatino Linotype"/>
                <w:b/>
                <w:noProof/>
                <w:webHidden/>
              </w:rPr>
              <w:fldChar w:fldCharType="end"/>
            </w:r>
          </w:hyperlink>
        </w:p>
        <w:p w:rsidR="003354E1" w:rsidRPr="003354E1" w:rsidRDefault="00E1283A">
          <w:pPr>
            <w:pStyle w:val="TDC3"/>
            <w:tabs>
              <w:tab w:val="left" w:pos="880"/>
              <w:tab w:val="right" w:leader="dot" w:pos="8779"/>
            </w:tabs>
            <w:rPr>
              <w:rFonts w:ascii="Palatino Linotype" w:hAnsi="Palatino Linotype"/>
              <w:b/>
              <w:noProof/>
              <w:sz w:val="22"/>
              <w:szCs w:val="22"/>
              <w:lang w:val="es-MX" w:eastAsia="es-MX"/>
            </w:rPr>
          </w:pPr>
          <w:hyperlink w:anchor="_Toc32248308" w:history="1">
            <w:r w:rsidR="003354E1" w:rsidRPr="003354E1">
              <w:rPr>
                <w:rStyle w:val="Hipervnculo"/>
                <w:rFonts w:ascii="Palatino Linotype" w:hAnsi="Palatino Linotype"/>
                <w:b/>
                <w:noProof/>
              </w:rPr>
              <w:t>I.</w:t>
            </w:r>
            <w:r w:rsidR="003354E1" w:rsidRPr="003354E1">
              <w:rPr>
                <w:rFonts w:ascii="Palatino Linotype" w:hAnsi="Palatino Linotype"/>
                <w:b/>
                <w:noProof/>
                <w:sz w:val="22"/>
                <w:szCs w:val="22"/>
                <w:lang w:val="es-MX" w:eastAsia="es-MX"/>
              </w:rPr>
              <w:tab/>
            </w:r>
            <w:r w:rsidR="003354E1" w:rsidRPr="003354E1">
              <w:rPr>
                <w:rStyle w:val="Hipervnculo"/>
                <w:rFonts w:ascii="Palatino Linotype" w:hAnsi="Palatino Linotype"/>
                <w:b/>
                <w:noProof/>
              </w:rPr>
              <w:t>De la obligación de transparencia.</w:t>
            </w:r>
            <w:r w:rsidR="003354E1" w:rsidRPr="003354E1">
              <w:rPr>
                <w:rFonts w:ascii="Palatino Linotype" w:hAnsi="Palatino Linotype"/>
                <w:b/>
                <w:noProof/>
                <w:webHidden/>
              </w:rPr>
              <w:tab/>
            </w:r>
            <w:r w:rsidR="003354E1" w:rsidRPr="003354E1">
              <w:rPr>
                <w:rFonts w:ascii="Palatino Linotype" w:hAnsi="Palatino Linotype"/>
                <w:b/>
                <w:noProof/>
                <w:webHidden/>
              </w:rPr>
              <w:fldChar w:fldCharType="begin"/>
            </w:r>
            <w:r w:rsidR="003354E1" w:rsidRPr="003354E1">
              <w:rPr>
                <w:rFonts w:ascii="Palatino Linotype" w:hAnsi="Palatino Linotype"/>
                <w:b/>
                <w:noProof/>
                <w:webHidden/>
              </w:rPr>
              <w:instrText xml:space="preserve"> PAGEREF _Toc32248308 \h </w:instrText>
            </w:r>
            <w:r w:rsidR="003354E1" w:rsidRPr="003354E1">
              <w:rPr>
                <w:rFonts w:ascii="Palatino Linotype" w:hAnsi="Palatino Linotype"/>
                <w:b/>
                <w:noProof/>
                <w:webHidden/>
              </w:rPr>
            </w:r>
            <w:r w:rsidR="003354E1" w:rsidRPr="003354E1">
              <w:rPr>
                <w:rFonts w:ascii="Palatino Linotype" w:hAnsi="Palatino Linotype"/>
                <w:b/>
                <w:noProof/>
                <w:webHidden/>
              </w:rPr>
              <w:fldChar w:fldCharType="separate"/>
            </w:r>
            <w:r w:rsidR="003354E1" w:rsidRPr="003354E1">
              <w:rPr>
                <w:rFonts w:ascii="Palatino Linotype" w:hAnsi="Palatino Linotype"/>
                <w:b/>
                <w:noProof/>
                <w:webHidden/>
              </w:rPr>
              <w:t>17</w:t>
            </w:r>
            <w:r w:rsidR="003354E1" w:rsidRPr="003354E1">
              <w:rPr>
                <w:rFonts w:ascii="Palatino Linotype" w:hAnsi="Palatino Linotype"/>
                <w:b/>
                <w:noProof/>
                <w:webHidden/>
              </w:rPr>
              <w:fldChar w:fldCharType="end"/>
            </w:r>
          </w:hyperlink>
        </w:p>
        <w:p w:rsidR="003354E1" w:rsidRPr="003354E1" w:rsidRDefault="00E1283A">
          <w:pPr>
            <w:pStyle w:val="TDC2"/>
            <w:rPr>
              <w:rFonts w:ascii="Palatino Linotype" w:hAnsi="Palatino Linotype"/>
              <w:b/>
              <w:noProof/>
              <w:sz w:val="22"/>
              <w:szCs w:val="22"/>
              <w:lang w:val="es-MX" w:eastAsia="es-MX"/>
            </w:rPr>
          </w:pPr>
          <w:hyperlink w:anchor="_Toc32248309" w:history="1">
            <w:r w:rsidR="003354E1" w:rsidRPr="003354E1">
              <w:rPr>
                <w:rStyle w:val="Hipervnculo"/>
                <w:rFonts w:ascii="Palatino Linotype" w:hAnsi="Palatino Linotype"/>
                <w:b/>
                <w:noProof/>
              </w:rPr>
              <w:t>C.</w:t>
            </w:r>
            <w:r w:rsidR="003354E1" w:rsidRPr="003354E1">
              <w:rPr>
                <w:rFonts w:ascii="Palatino Linotype" w:hAnsi="Palatino Linotype"/>
                <w:b/>
                <w:noProof/>
                <w:sz w:val="22"/>
                <w:szCs w:val="22"/>
                <w:lang w:val="es-MX" w:eastAsia="es-MX"/>
              </w:rPr>
              <w:tab/>
            </w:r>
            <w:r w:rsidR="003354E1" w:rsidRPr="003354E1">
              <w:rPr>
                <w:rStyle w:val="Hipervnculo"/>
                <w:rFonts w:ascii="Palatino Linotype" w:hAnsi="Palatino Linotype"/>
                <w:b/>
                <w:noProof/>
              </w:rPr>
              <w:t>De la Información disponible en sitios electrónicos.</w:t>
            </w:r>
            <w:r w:rsidR="003354E1" w:rsidRPr="003354E1">
              <w:rPr>
                <w:rFonts w:ascii="Palatino Linotype" w:hAnsi="Palatino Linotype"/>
                <w:b/>
                <w:noProof/>
                <w:webHidden/>
              </w:rPr>
              <w:tab/>
            </w:r>
            <w:r w:rsidR="003354E1" w:rsidRPr="003354E1">
              <w:rPr>
                <w:rFonts w:ascii="Palatino Linotype" w:hAnsi="Palatino Linotype"/>
                <w:b/>
                <w:noProof/>
                <w:webHidden/>
              </w:rPr>
              <w:fldChar w:fldCharType="begin"/>
            </w:r>
            <w:r w:rsidR="003354E1" w:rsidRPr="003354E1">
              <w:rPr>
                <w:rFonts w:ascii="Palatino Linotype" w:hAnsi="Palatino Linotype"/>
                <w:b/>
                <w:noProof/>
                <w:webHidden/>
              </w:rPr>
              <w:instrText xml:space="preserve"> PAGEREF _Toc32248309 \h </w:instrText>
            </w:r>
            <w:r w:rsidR="003354E1" w:rsidRPr="003354E1">
              <w:rPr>
                <w:rFonts w:ascii="Palatino Linotype" w:hAnsi="Palatino Linotype"/>
                <w:b/>
                <w:noProof/>
                <w:webHidden/>
              </w:rPr>
            </w:r>
            <w:r w:rsidR="003354E1" w:rsidRPr="003354E1">
              <w:rPr>
                <w:rFonts w:ascii="Palatino Linotype" w:hAnsi="Palatino Linotype"/>
                <w:b/>
                <w:noProof/>
                <w:webHidden/>
              </w:rPr>
              <w:fldChar w:fldCharType="separate"/>
            </w:r>
            <w:r w:rsidR="003354E1" w:rsidRPr="003354E1">
              <w:rPr>
                <w:rFonts w:ascii="Palatino Linotype" w:hAnsi="Palatino Linotype"/>
                <w:b/>
                <w:noProof/>
                <w:webHidden/>
              </w:rPr>
              <w:t>23</w:t>
            </w:r>
            <w:r w:rsidR="003354E1" w:rsidRPr="003354E1">
              <w:rPr>
                <w:rFonts w:ascii="Palatino Linotype" w:hAnsi="Palatino Linotype"/>
                <w:b/>
                <w:noProof/>
                <w:webHidden/>
              </w:rPr>
              <w:fldChar w:fldCharType="end"/>
            </w:r>
          </w:hyperlink>
        </w:p>
        <w:p w:rsidR="003354E1" w:rsidRPr="003354E1" w:rsidRDefault="00E1283A">
          <w:pPr>
            <w:pStyle w:val="TDC1"/>
            <w:tabs>
              <w:tab w:val="right" w:leader="dot" w:pos="8779"/>
            </w:tabs>
            <w:rPr>
              <w:rFonts w:ascii="Palatino Linotype" w:hAnsi="Palatino Linotype"/>
              <w:b/>
              <w:noProof/>
              <w:sz w:val="22"/>
              <w:szCs w:val="22"/>
              <w:lang w:val="es-MX" w:eastAsia="es-MX"/>
            </w:rPr>
          </w:pPr>
          <w:hyperlink w:anchor="_Toc32248310" w:history="1">
            <w:r w:rsidR="003354E1" w:rsidRPr="003354E1">
              <w:rPr>
                <w:rStyle w:val="Hipervnculo"/>
                <w:rFonts w:ascii="Palatino Linotype" w:hAnsi="Palatino Linotype" w:cs="Times New Roman"/>
                <w:b/>
                <w:noProof/>
                <w:lang w:eastAsia="es-ES_tradnl"/>
              </w:rPr>
              <w:t xml:space="preserve">QUINTO. </w:t>
            </w:r>
            <w:r w:rsidR="003354E1" w:rsidRPr="003354E1">
              <w:rPr>
                <w:rStyle w:val="Hipervnculo"/>
                <w:rFonts w:ascii="Palatino Linotype" w:hAnsi="Palatino Linotype"/>
                <w:b/>
                <w:noProof/>
              </w:rPr>
              <w:t xml:space="preserve"> De la elaboración de la versión pública.</w:t>
            </w:r>
            <w:r w:rsidR="003354E1" w:rsidRPr="003354E1">
              <w:rPr>
                <w:rFonts w:ascii="Palatino Linotype" w:hAnsi="Palatino Linotype"/>
                <w:b/>
                <w:noProof/>
                <w:webHidden/>
              </w:rPr>
              <w:tab/>
            </w:r>
            <w:r w:rsidR="003354E1" w:rsidRPr="003354E1">
              <w:rPr>
                <w:rFonts w:ascii="Palatino Linotype" w:hAnsi="Palatino Linotype"/>
                <w:b/>
                <w:noProof/>
                <w:webHidden/>
              </w:rPr>
              <w:fldChar w:fldCharType="begin"/>
            </w:r>
            <w:r w:rsidR="003354E1" w:rsidRPr="003354E1">
              <w:rPr>
                <w:rFonts w:ascii="Palatino Linotype" w:hAnsi="Palatino Linotype"/>
                <w:b/>
                <w:noProof/>
                <w:webHidden/>
              </w:rPr>
              <w:instrText xml:space="preserve"> PAGEREF _Toc32248310 \h </w:instrText>
            </w:r>
            <w:r w:rsidR="003354E1" w:rsidRPr="003354E1">
              <w:rPr>
                <w:rFonts w:ascii="Palatino Linotype" w:hAnsi="Palatino Linotype"/>
                <w:b/>
                <w:noProof/>
                <w:webHidden/>
              </w:rPr>
            </w:r>
            <w:r w:rsidR="003354E1" w:rsidRPr="003354E1">
              <w:rPr>
                <w:rFonts w:ascii="Palatino Linotype" w:hAnsi="Palatino Linotype"/>
                <w:b/>
                <w:noProof/>
                <w:webHidden/>
              </w:rPr>
              <w:fldChar w:fldCharType="separate"/>
            </w:r>
            <w:r w:rsidR="003354E1" w:rsidRPr="003354E1">
              <w:rPr>
                <w:rFonts w:ascii="Palatino Linotype" w:hAnsi="Palatino Linotype"/>
                <w:b/>
                <w:noProof/>
                <w:webHidden/>
              </w:rPr>
              <w:t>30</w:t>
            </w:r>
            <w:r w:rsidR="003354E1" w:rsidRPr="003354E1">
              <w:rPr>
                <w:rFonts w:ascii="Palatino Linotype" w:hAnsi="Palatino Linotype"/>
                <w:b/>
                <w:noProof/>
                <w:webHidden/>
              </w:rPr>
              <w:fldChar w:fldCharType="end"/>
            </w:r>
          </w:hyperlink>
        </w:p>
        <w:p w:rsidR="003354E1" w:rsidRPr="003354E1" w:rsidRDefault="00E1283A">
          <w:pPr>
            <w:pStyle w:val="TDC1"/>
            <w:tabs>
              <w:tab w:val="left" w:pos="480"/>
              <w:tab w:val="right" w:leader="dot" w:pos="8779"/>
            </w:tabs>
            <w:rPr>
              <w:rFonts w:ascii="Palatino Linotype" w:hAnsi="Palatino Linotype"/>
              <w:b/>
              <w:noProof/>
              <w:sz w:val="22"/>
              <w:szCs w:val="22"/>
              <w:lang w:val="es-MX" w:eastAsia="es-MX"/>
            </w:rPr>
          </w:pPr>
          <w:hyperlink w:anchor="_Toc32248311" w:history="1">
            <w:r w:rsidR="003354E1" w:rsidRPr="003354E1">
              <w:rPr>
                <w:rStyle w:val="Hipervnculo"/>
                <w:rFonts w:ascii="Palatino Linotype" w:hAnsi="Palatino Linotype" w:cs="Times New Roman"/>
                <w:b/>
                <w:noProof/>
              </w:rPr>
              <w:t>I.</w:t>
            </w:r>
            <w:r w:rsidR="003354E1" w:rsidRPr="003354E1">
              <w:rPr>
                <w:rFonts w:ascii="Palatino Linotype" w:hAnsi="Palatino Linotype"/>
                <w:b/>
                <w:noProof/>
                <w:sz w:val="22"/>
                <w:szCs w:val="22"/>
                <w:lang w:val="es-MX" w:eastAsia="es-MX"/>
              </w:rPr>
              <w:tab/>
            </w:r>
            <w:r w:rsidR="003354E1" w:rsidRPr="003354E1">
              <w:rPr>
                <w:rStyle w:val="Hipervnculo"/>
                <w:rFonts w:ascii="Palatino Linotype" w:hAnsi="Palatino Linotype" w:cs="Times New Roman"/>
                <w:b/>
                <w:noProof/>
                <w:lang w:eastAsia="es-ES_tradnl"/>
              </w:rPr>
              <w:t xml:space="preserve">Del </w:t>
            </w:r>
            <w:r w:rsidR="003354E1" w:rsidRPr="003354E1">
              <w:rPr>
                <w:rStyle w:val="Hipervnculo"/>
                <w:rFonts w:ascii="Palatino Linotype" w:hAnsi="Palatino Linotype"/>
                <w:b/>
                <w:noProof/>
              </w:rPr>
              <w:t>análisis de los datos susceptibles de ser protegidos.</w:t>
            </w:r>
            <w:r w:rsidR="003354E1" w:rsidRPr="003354E1">
              <w:rPr>
                <w:rFonts w:ascii="Palatino Linotype" w:hAnsi="Palatino Linotype"/>
                <w:b/>
                <w:noProof/>
                <w:webHidden/>
              </w:rPr>
              <w:tab/>
            </w:r>
            <w:r w:rsidR="003354E1" w:rsidRPr="003354E1">
              <w:rPr>
                <w:rFonts w:ascii="Palatino Linotype" w:hAnsi="Palatino Linotype"/>
                <w:b/>
                <w:noProof/>
                <w:webHidden/>
              </w:rPr>
              <w:fldChar w:fldCharType="begin"/>
            </w:r>
            <w:r w:rsidR="003354E1" w:rsidRPr="003354E1">
              <w:rPr>
                <w:rFonts w:ascii="Palatino Linotype" w:hAnsi="Palatino Linotype"/>
                <w:b/>
                <w:noProof/>
                <w:webHidden/>
              </w:rPr>
              <w:instrText xml:space="preserve"> PAGEREF _Toc32248311 \h </w:instrText>
            </w:r>
            <w:r w:rsidR="003354E1" w:rsidRPr="003354E1">
              <w:rPr>
                <w:rFonts w:ascii="Palatino Linotype" w:hAnsi="Palatino Linotype"/>
                <w:b/>
                <w:noProof/>
                <w:webHidden/>
              </w:rPr>
            </w:r>
            <w:r w:rsidR="003354E1" w:rsidRPr="003354E1">
              <w:rPr>
                <w:rFonts w:ascii="Palatino Linotype" w:hAnsi="Palatino Linotype"/>
                <w:b/>
                <w:noProof/>
                <w:webHidden/>
              </w:rPr>
              <w:fldChar w:fldCharType="separate"/>
            </w:r>
            <w:r w:rsidR="003354E1" w:rsidRPr="003354E1">
              <w:rPr>
                <w:rFonts w:ascii="Palatino Linotype" w:hAnsi="Palatino Linotype"/>
                <w:b/>
                <w:noProof/>
                <w:webHidden/>
              </w:rPr>
              <w:t>34</w:t>
            </w:r>
            <w:r w:rsidR="003354E1" w:rsidRPr="003354E1">
              <w:rPr>
                <w:rFonts w:ascii="Palatino Linotype" w:hAnsi="Palatino Linotype"/>
                <w:b/>
                <w:noProof/>
                <w:webHidden/>
              </w:rPr>
              <w:fldChar w:fldCharType="end"/>
            </w:r>
          </w:hyperlink>
        </w:p>
        <w:p w:rsidR="003354E1" w:rsidRPr="003354E1" w:rsidRDefault="00E1283A">
          <w:pPr>
            <w:pStyle w:val="TDC1"/>
            <w:tabs>
              <w:tab w:val="left" w:pos="480"/>
              <w:tab w:val="right" w:leader="dot" w:pos="8779"/>
            </w:tabs>
            <w:rPr>
              <w:rFonts w:ascii="Palatino Linotype" w:hAnsi="Palatino Linotype"/>
              <w:b/>
              <w:noProof/>
              <w:sz w:val="22"/>
              <w:szCs w:val="22"/>
              <w:lang w:val="es-MX" w:eastAsia="es-MX"/>
            </w:rPr>
          </w:pPr>
          <w:hyperlink w:anchor="_Toc32248312" w:history="1">
            <w:r w:rsidR="003354E1" w:rsidRPr="003354E1">
              <w:rPr>
                <w:rStyle w:val="Hipervnculo"/>
                <w:rFonts w:ascii="Palatino Linotype" w:eastAsia="Times New Roman" w:hAnsi="Palatino Linotype" w:cs="Times New Roman"/>
                <w:b/>
                <w:bCs/>
                <w:noProof/>
              </w:rPr>
              <w:t>a)</w:t>
            </w:r>
            <w:r w:rsidR="003354E1" w:rsidRPr="003354E1">
              <w:rPr>
                <w:rFonts w:ascii="Palatino Linotype" w:hAnsi="Palatino Linotype"/>
                <w:b/>
                <w:noProof/>
                <w:sz w:val="22"/>
                <w:szCs w:val="22"/>
                <w:lang w:val="es-MX" w:eastAsia="es-MX"/>
              </w:rPr>
              <w:tab/>
            </w:r>
            <w:r w:rsidR="003354E1" w:rsidRPr="003354E1">
              <w:rPr>
                <w:rStyle w:val="Hipervnculo"/>
                <w:rFonts w:ascii="Palatino Linotype" w:eastAsia="Times New Roman" w:hAnsi="Palatino Linotype" w:cs="Arial"/>
                <w:b/>
                <w:bCs/>
                <w:noProof/>
              </w:rPr>
              <w:t>Clave Única de Registro de Población (CURP)</w:t>
            </w:r>
            <w:r w:rsidR="003354E1" w:rsidRPr="003354E1">
              <w:rPr>
                <w:rStyle w:val="Hipervnculo"/>
                <w:rFonts w:ascii="Palatino Linotype" w:eastAsia="Times New Roman" w:hAnsi="Palatino Linotype" w:cs="Arial"/>
                <w:b/>
                <w:noProof/>
              </w:rPr>
              <w:t>.</w:t>
            </w:r>
            <w:r w:rsidR="003354E1" w:rsidRPr="003354E1">
              <w:rPr>
                <w:rFonts w:ascii="Palatino Linotype" w:hAnsi="Palatino Linotype"/>
                <w:b/>
                <w:noProof/>
                <w:webHidden/>
              </w:rPr>
              <w:tab/>
            </w:r>
            <w:r w:rsidR="003354E1" w:rsidRPr="003354E1">
              <w:rPr>
                <w:rFonts w:ascii="Palatino Linotype" w:hAnsi="Palatino Linotype"/>
                <w:b/>
                <w:noProof/>
                <w:webHidden/>
              </w:rPr>
              <w:fldChar w:fldCharType="begin"/>
            </w:r>
            <w:r w:rsidR="003354E1" w:rsidRPr="003354E1">
              <w:rPr>
                <w:rFonts w:ascii="Palatino Linotype" w:hAnsi="Palatino Linotype"/>
                <w:b/>
                <w:noProof/>
                <w:webHidden/>
              </w:rPr>
              <w:instrText xml:space="preserve"> PAGEREF _Toc32248312 \h </w:instrText>
            </w:r>
            <w:r w:rsidR="003354E1" w:rsidRPr="003354E1">
              <w:rPr>
                <w:rFonts w:ascii="Palatino Linotype" w:hAnsi="Palatino Linotype"/>
                <w:b/>
                <w:noProof/>
                <w:webHidden/>
              </w:rPr>
            </w:r>
            <w:r w:rsidR="003354E1" w:rsidRPr="003354E1">
              <w:rPr>
                <w:rFonts w:ascii="Palatino Linotype" w:hAnsi="Palatino Linotype"/>
                <w:b/>
                <w:noProof/>
                <w:webHidden/>
              </w:rPr>
              <w:fldChar w:fldCharType="separate"/>
            </w:r>
            <w:r w:rsidR="003354E1" w:rsidRPr="003354E1">
              <w:rPr>
                <w:rFonts w:ascii="Palatino Linotype" w:hAnsi="Palatino Linotype"/>
                <w:b/>
                <w:noProof/>
                <w:webHidden/>
              </w:rPr>
              <w:t>35</w:t>
            </w:r>
            <w:r w:rsidR="003354E1" w:rsidRPr="003354E1">
              <w:rPr>
                <w:rFonts w:ascii="Palatino Linotype" w:hAnsi="Palatino Linotype"/>
                <w:b/>
                <w:noProof/>
                <w:webHidden/>
              </w:rPr>
              <w:fldChar w:fldCharType="end"/>
            </w:r>
          </w:hyperlink>
        </w:p>
        <w:p w:rsidR="003354E1" w:rsidRPr="003354E1" w:rsidRDefault="00E1283A">
          <w:pPr>
            <w:pStyle w:val="TDC1"/>
            <w:tabs>
              <w:tab w:val="left" w:pos="480"/>
              <w:tab w:val="right" w:leader="dot" w:pos="8779"/>
            </w:tabs>
            <w:rPr>
              <w:rFonts w:ascii="Palatino Linotype" w:hAnsi="Palatino Linotype"/>
              <w:b/>
              <w:noProof/>
              <w:sz w:val="22"/>
              <w:szCs w:val="22"/>
              <w:lang w:val="es-MX" w:eastAsia="es-MX"/>
            </w:rPr>
          </w:pPr>
          <w:hyperlink w:anchor="_Toc32248313" w:history="1">
            <w:r w:rsidR="003354E1" w:rsidRPr="003354E1">
              <w:rPr>
                <w:rStyle w:val="Hipervnculo"/>
                <w:rFonts w:ascii="Palatino Linotype" w:hAnsi="Palatino Linotype" w:cs="Times New Roman"/>
                <w:b/>
                <w:bCs/>
                <w:noProof/>
              </w:rPr>
              <w:t>b)</w:t>
            </w:r>
            <w:r w:rsidR="003354E1" w:rsidRPr="003354E1">
              <w:rPr>
                <w:rFonts w:ascii="Palatino Linotype" w:hAnsi="Palatino Linotype"/>
                <w:b/>
                <w:noProof/>
                <w:sz w:val="22"/>
                <w:szCs w:val="22"/>
                <w:lang w:val="es-MX" w:eastAsia="es-MX"/>
              </w:rPr>
              <w:tab/>
            </w:r>
            <w:r w:rsidR="003354E1" w:rsidRPr="003354E1">
              <w:rPr>
                <w:rStyle w:val="Hipervnculo"/>
                <w:rFonts w:ascii="Palatino Linotype" w:hAnsi="Palatino Linotype"/>
                <w:b/>
                <w:noProof/>
              </w:rPr>
              <w:t>Credencial de elector.</w:t>
            </w:r>
            <w:r w:rsidR="003354E1" w:rsidRPr="003354E1">
              <w:rPr>
                <w:rFonts w:ascii="Palatino Linotype" w:hAnsi="Palatino Linotype"/>
                <w:b/>
                <w:noProof/>
                <w:webHidden/>
              </w:rPr>
              <w:tab/>
            </w:r>
            <w:r w:rsidR="003354E1" w:rsidRPr="003354E1">
              <w:rPr>
                <w:rFonts w:ascii="Palatino Linotype" w:hAnsi="Palatino Linotype"/>
                <w:b/>
                <w:noProof/>
                <w:webHidden/>
              </w:rPr>
              <w:fldChar w:fldCharType="begin"/>
            </w:r>
            <w:r w:rsidR="003354E1" w:rsidRPr="003354E1">
              <w:rPr>
                <w:rFonts w:ascii="Palatino Linotype" w:hAnsi="Palatino Linotype"/>
                <w:b/>
                <w:noProof/>
                <w:webHidden/>
              </w:rPr>
              <w:instrText xml:space="preserve"> PAGEREF _Toc32248313 \h </w:instrText>
            </w:r>
            <w:r w:rsidR="003354E1" w:rsidRPr="003354E1">
              <w:rPr>
                <w:rFonts w:ascii="Palatino Linotype" w:hAnsi="Palatino Linotype"/>
                <w:b/>
                <w:noProof/>
                <w:webHidden/>
              </w:rPr>
            </w:r>
            <w:r w:rsidR="003354E1" w:rsidRPr="003354E1">
              <w:rPr>
                <w:rFonts w:ascii="Palatino Linotype" w:hAnsi="Palatino Linotype"/>
                <w:b/>
                <w:noProof/>
                <w:webHidden/>
              </w:rPr>
              <w:fldChar w:fldCharType="separate"/>
            </w:r>
            <w:r w:rsidR="003354E1" w:rsidRPr="003354E1">
              <w:rPr>
                <w:rFonts w:ascii="Palatino Linotype" w:hAnsi="Palatino Linotype"/>
                <w:b/>
                <w:noProof/>
                <w:webHidden/>
              </w:rPr>
              <w:t>38</w:t>
            </w:r>
            <w:r w:rsidR="003354E1" w:rsidRPr="003354E1">
              <w:rPr>
                <w:rFonts w:ascii="Palatino Linotype" w:hAnsi="Palatino Linotype"/>
                <w:b/>
                <w:noProof/>
                <w:webHidden/>
              </w:rPr>
              <w:fldChar w:fldCharType="end"/>
            </w:r>
          </w:hyperlink>
        </w:p>
        <w:p w:rsidR="003354E1" w:rsidRPr="003354E1" w:rsidRDefault="00E1283A">
          <w:pPr>
            <w:pStyle w:val="TDC1"/>
            <w:tabs>
              <w:tab w:val="right" w:leader="dot" w:pos="8779"/>
            </w:tabs>
            <w:rPr>
              <w:rFonts w:ascii="Palatino Linotype" w:hAnsi="Palatino Linotype"/>
              <w:b/>
              <w:noProof/>
              <w:sz w:val="22"/>
              <w:szCs w:val="22"/>
              <w:lang w:val="es-MX" w:eastAsia="es-MX"/>
            </w:rPr>
          </w:pPr>
          <w:hyperlink w:anchor="_Toc32248314" w:history="1">
            <w:r w:rsidR="003354E1" w:rsidRPr="003354E1">
              <w:rPr>
                <w:rStyle w:val="Hipervnculo"/>
                <w:rFonts w:ascii="Palatino Linotype" w:eastAsia="Times New Roman" w:hAnsi="Palatino Linotype" w:cstheme="majorBidi"/>
                <w:b/>
                <w:bCs/>
                <w:noProof/>
              </w:rPr>
              <w:t>R E S O L U T I V O S</w:t>
            </w:r>
            <w:r w:rsidR="003354E1" w:rsidRPr="003354E1">
              <w:rPr>
                <w:rFonts w:ascii="Palatino Linotype" w:hAnsi="Palatino Linotype"/>
                <w:b/>
                <w:noProof/>
                <w:webHidden/>
              </w:rPr>
              <w:tab/>
            </w:r>
            <w:r w:rsidR="003354E1" w:rsidRPr="003354E1">
              <w:rPr>
                <w:rFonts w:ascii="Palatino Linotype" w:hAnsi="Palatino Linotype"/>
                <w:b/>
                <w:noProof/>
                <w:webHidden/>
              </w:rPr>
              <w:fldChar w:fldCharType="begin"/>
            </w:r>
            <w:r w:rsidR="003354E1" w:rsidRPr="003354E1">
              <w:rPr>
                <w:rFonts w:ascii="Palatino Linotype" w:hAnsi="Palatino Linotype"/>
                <w:b/>
                <w:noProof/>
                <w:webHidden/>
              </w:rPr>
              <w:instrText xml:space="preserve"> PAGEREF _Toc32248314 \h </w:instrText>
            </w:r>
            <w:r w:rsidR="003354E1" w:rsidRPr="003354E1">
              <w:rPr>
                <w:rFonts w:ascii="Palatino Linotype" w:hAnsi="Palatino Linotype"/>
                <w:b/>
                <w:noProof/>
                <w:webHidden/>
              </w:rPr>
            </w:r>
            <w:r w:rsidR="003354E1" w:rsidRPr="003354E1">
              <w:rPr>
                <w:rFonts w:ascii="Palatino Linotype" w:hAnsi="Palatino Linotype"/>
                <w:b/>
                <w:noProof/>
                <w:webHidden/>
              </w:rPr>
              <w:fldChar w:fldCharType="separate"/>
            </w:r>
            <w:r w:rsidR="003354E1" w:rsidRPr="003354E1">
              <w:rPr>
                <w:rFonts w:ascii="Palatino Linotype" w:hAnsi="Palatino Linotype"/>
                <w:b/>
                <w:noProof/>
                <w:webHidden/>
              </w:rPr>
              <w:t>40</w:t>
            </w:r>
            <w:r w:rsidR="003354E1" w:rsidRPr="003354E1">
              <w:rPr>
                <w:rFonts w:ascii="Palatino Linotype" w:hAnsi="Palatino Linotype"/>
                <w:b/>
                <w:noProof/>
                <w:webHidden/>
              </w:rPr>
              <w:fldChar w:fldCharType="end"/>
            </w:r>
          </w:hyperlink>
        </w:p>
        <w:p w:rsidR="00554DF4" w:rsidRDefault="00554DF4" w:rsidP="00554DF4">
          <w:pPr>
            <w:spacing w:line="480" w:lineRule="auto"/>
          </w:pPr>
          <w:r w:rsidRPr="003354E1">
            <w:rPr>
              <w:rFonts w:ascii="Palatino Linotype" w:hAnsi="Palatino Linotype"/>
              <w:b/>
              <w:bCs/>
              <w:lang w:val="es-ES"/>
            </w:rPr>
            <w:fldChar w:fldCharType="end"/>
          </w:r>
        </w:p>
      </w:sdtContent>
    </w:sdt>
    <w:p w:rsidR="00554DF4" w:rsidRDefault="00554DF4" w:rsidP="00554DF4">
      <w:pPr>
        <w:spacing w:before="240" w:after="240" w:line="360" w:lineRule="auto"/>
        <w:jc w:val="both"/>
        <w:rPr>
          <w:rFonts w:ascii="Palatino Linotype" w:hAnsi="Palatino Linotype"/>
        </w:rPr>
      </w:pPr>
    </w:p>
    <w:p w:rsidR="009D4B58" w:rsidRDefault="009D4B58" w:rsidP="00554DF4">
      <w:pPr>
        <w:spacing w:before="240" w:after="240" w:line="360" w:lineRule="auto"/>
        <w:jc w:val="both"/>
        <w:rPr>
          <w:rFonts w:ascii="Palatino Linotype" w:hAnsi="Palatino Linotype"/>
        </w:rPr>
      </w:pPr>
    </w:p>
    <w:p w:rsidR="003354E1" w:rsidRDefault="003354E1" w:rsidP="00554DF4">
      <w:pPr>
        <w:spacing w:before="240" w:after="240" w:line="360" w:lineRule="auto"/>
        <w:jc w:val="both"/>
        <w:rPr>
          <w:rFonts w:ascii="Palatino Linotype" w:hAnsi="Palatino Linotype"/>
        </w:rPr>
      </w:pPr>
    </w:p>
    <w:p w:rsidR="00554DF4" w:rsidRDefault="00554DF4" w:rsidP="00554DF4">
      <w:pPr>
        <w:spacing w:before="240" w:after="240" w:line="360" w:lineRule="auto"/>
        <w:jc w:val="both"/>
        <w:rPr>
          <w:rFonts w:ascii="Palatino Linotype" w:hAnsi="Palatino Linotype"/>
        </w:rPr>
      </w:pPr>
      <w:r w:rsidRPr="003354E1">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FA6777" w:rsidRPr="003354E1">
        <w:rPr>
          <w:rFonts w:ascii="Palatino Linotype" w:hAnsi="Palatino Linotype"/>
        </w:rPr>
        <w:t xml:space="preserve">seis (6) de febrero </w:t>
      </w:r>
      <w:r w:rsidRPr="003354E1">
        <w:rPr>
          <w:rFonts w:ascii="Palatino Linotype" w:hAnsi="Palatino Linotype"/>
        </w:rPr>
        <w:t xml:space="preserve">de dos mil </w:t>
      </w:r>
      <w:r w:rsidR="00F76C2F" w:rsidRPr="003354E1">
        <w:rPr>
          <w:rFonts w:ascii="Palatino Linotype" w:hAnsi="Palatino Linotype"/>
        </w:rPr>
        <w:t>veinte</w:t>
      </w:r>
      <w:r w:rsidRPr="003354E1">
        <w:rPr>
          <w:rFonts w:ascii="Palatino Linotype" w:hAnsi="Palatino Linotype"/>
        </w:rPr>
        <w:t>.</w:t>
      </w:r>
    </w:p>
    <w:p w:rsidR="00554DF4" w:rsidRDefault="00554DF4" w:rsidP="00554DF4">
      <w:pPr>
        <w:spacing w:before="240" w:after="360" w:line="360" w:lineRule="auto"/>
        <w:jc w:val="both"/>
        <w:rPr>
          <w:rFonts w:ascii="Palatino Linotype" w:hAnsi="Palatino Linotype"/>
        </w:rPr>
      </w:pPr>
      <w:r>
        <w:rPr>
          <w:rFonts w:ascii="Palatino Linotype" w:hAnsi="Palatino Linotype"/>
          <w:b/>
        </w:rPr>
        <w:t>VISTO el</w:t>
      </w:r>
      <w:r>
        <w:rPr>
          <w:rFonts w:ascii="Palatino Linotype" w:hAnsi="Palatino Linotype"/>
        </w:rPr>
        <w:t xml:space="preserve"> expediente electrónico formado con motivo del recurso de revisión </w:t>
      </w:r>
      <w:r w:rsidR="006D6CCC">
        <w:rPr>
          <w:rFonts w:ascii="Palatino Linotype" w:hAnsi="Palatino Linotype" w:cs="Arial"/>
          <w:b/>
          <w:bCs/>
          <w:szCs w:val="22"/>
          <w:lang w:eastAsia="es-MX"/>
        </w:rPr>
        <w:t>0</w:t>
      </w:r>
      <w:r w:rsidR="00A109E3">
        <w:rPr>
          <w:rFonts w:ascii="Palatino Linotype" w:hAnsi="Palatino Linotype" w:cs="Arial"/>
          <w:b/>
          <w:bCs/>
          <w:sz w:val="22"/>
          <w:szCs w:val="22"/>
          <w:lang w:eastAsia="es-MX"/>
        </w:rPr>
        <w:t>8743</w:t>
      </w:r>
      <w:r>
        <w:rPr>
          <w:rFonts w:ascii="Palatino Linotype" w:hAnsi="Palatino Linotype" w:cs="Arial"/>
          <w:b/>
          <w:bCs/>
        </w:rPr>
        <w:t xml:space="preserve">/INFOEM/IP/RR/2019, </w:t>
      </w:r>
      <w:r>
        <w:rPr>
          <w:rFonts w:ascii="Palatino Linotype" w:hAnsi="Palatino Linotype"/>
        </w:rPr>
        <w:t xml:space="preserve">promovido por </w:t>
      </w:r>
      <w:r w:rsidR="00794E7A" w:rsidRPr="00794E7A">
        <w:rPr>
          <w:rFonts w:ascii="Palatino Linotype" w:hAnsi="Palatino Linotype"/>
          <w:b/>
          <w:szCs w:val="22"/>
          <w:highlight w:val="black"/>
        </w:rPr>
        <w:t>---------------------------------------------------</w:t>
      </w:r>
      <w:r w:rsidR="00A109E3" w:rsidRPr="00A109E3">
        <w:rPr>
          <w:rFonts w:ascii="Palatino Linotype" w:hAnsi="Palatino Linotype"/>
          <w:sz w:val="28"/>
        </w:rPr>
        <w:t xml:space="preserve"> </w:t>
      </w:r>
      <w:r>
        <w:rPr>
          <w:rFonts w:ascii="Palatino Linotype" w:hAnsi="Palatino Linotype"/>
        </w:rPr>
        <w:t xml:space="preserve">en su calidad de </w:t>
      </w:r>
      <w:r>
        <w:rPr>
          <w:rFonts w:ascii="Palatino Linotype" w:hAnsi="Palatino Linotype"/>
          <w:b/>
        </w:rPr>
        <w:t>RECURRENTE</w:t>
      </w:r>
      <w:r>
        <w:rPr>
          <w:rFonts w:ascii="Palatino Linotype" w:hAnsi="Palatino Linotype" w:cs="Arial"/>
        </w:rPr>
        <w:t xml:space="preserve">, en contra de la respuesta del </w:t>
      </w:r>
      <w:r>
        <w:rPr>
          <w:rFonts w:ascii="Palatino Linotype" w:hAnsi="Palatino Linotype"/>
          <w:b/>
          <w:bCs/>
          <w:szCs w:val="22"/>
        </w:rPr>
        <w:t xml:space="preserve">Ayuntamiento de </w:t>
      </w:r>
      <w:r w:rsidR="00A109E3" w:rsidRPr="00A109E3">
        <w:rPr>
          <w:rFonts w:ascii="Palatino Linotype" w:hAnsi="Palatino Linotype"/>
          <w:b/>
          <w:bCs/>
          <w:szCs w:val="22"/>
        </w:rPr>
        <w:t>San José del Rincón</w:t>
      </w:r>
      <w:r>
        <w:rPr>
          <w:rFonts w:ascii="Palatino Linotype" w:hAnsi="Palatino Linotype" w:cs="Arial"/>
        </w:rPr>
        <w:t>,</w:t>
      </w:r>
      <w:r>
        <w:rPr>
          <w:rFonts w:ascii="Palatino Linotype" w:hAnsi="Palatino Linotype"/>
          <w:b/>
        </w:rPr>
        <w:t xml:space="preserve"> </w:t>
      </w:r>
      <w:r>
        <w:rPr>
          <w:rFonts w:ascii="Palatino Linotype" w:hAnsi="Palatino Linotype"/>
        </w:rPr>
        <w:t>en lo sucesivo el</w:t>
      </w:r>
      <w:r>
        <w:rPr>
          <w:rFonts w:ascii="Palatino Linotype" w:hAnsi="Palatino Linotype"/>
          <w:b/>
        </w:rPr>
        <w:t xml:space="preserve"> SUJETO OBLIGADO, </w:t>
      </w:r>
      <w:r>
        <w:rPr>
          <w:rFonts w:ascii="Palatino Linotype" w:hAnsi="Palatino Linotype"/>
        </w:rPr>
        <w:t xml:space="preserve">se procede a dictar la presente resolución, con base en los siguientes: </w:t>
      </w:r>
    </w:p>
    <w:p w:rsidR="00554DF4" w:rsidRDefault="00554DF4" w:rsidP="00554DF4">
      <w:pPr>
        <w:pStyle w:val="Ttulo1"/>
        <w:jc w:val="center"/>
      </w:pPr>
      <w:bookmarkStart w:id="2" w:name="_Toc32248300"/>
      <w:r>
        <w:t>ANTECEDENTES</w:t>
      </w:r>
      <w:bookmarkEnd w:id="2"/>
    </w:p>
    <w:p w:rsidR="00554DF4" w:rsidRDefault="00554DF4" w:rsidP="00554DF4">
      <w:pPr>
        <w:rPr>
          <w:lang w:val="es-MX" w:eastAsia="en-US"/>
        </w:rPr>
      </w:pPr>
    </w:p>
    <w:p w:rsidR="00554DF4"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Pr>
          <w:rFonts w:ascii="Palatino Linotype" w:eastAsia="Calibri" w:hAnsi="Palatino Linotype" w:cs="Arial"/>
          <w:lang w:val="es-ES"/>
        </w:rPr>
        <w:t xml:space="preserve">El día </w:t>
      </w:r>
      <w:r w:rsidR="00A109E3">
        <w:rPr>
          <w:rFonts w:ascii="Palatino Linotype" w:eastAsia="Calibri" w:hAnsi="Palatino Linotype" w:cs="Arial"/>
          <w:lang w:val="es-ES"/>
        </w:rPr>
        <w:t>veinticuatro</w:t>
      </w:r>
      <w:r>
        <w:rPr>
          <w:rFonts w:ascii="Palatino Linotype" w:eastAsia="Calibri" w:hAnsi="Palatino Linotype" w:cs="Arial"/>
          <w:lang w:val="es-ES"/>
        </w:rPr>
        <w:t xml:space="preserve"> (</w:t>
      </w:r>
      <w:r w:rsidR="00A109E3">
        <w:rPr>
          <w:rFonts w:ascii="Palatino Linotype" w:eastAsia="Calibri" w:hAnsi="Palatino Linotype" w:cs="Arial"/>
          <w:lang w:val="es-ES"/>
        </w:rPr>
        <w:t>24</w:t>
      </w:r>
      <w:r>
        <w:rPr>
          <w:rFonts w:ascii="Palatino Linotype" w:eastAsia="Calibri" w:hAnsi="Palatino Linotype" w:cs="Arial"/>
          <w:lang w:val="es-ES"/>
        </w:rPr>
        <w:t xml:space="preserve">) </w:t>
      </w:r>
      <w:r>
        <w:rPr>
          <w:rFonts w:ascii="Palatino Linotype" w:eastAsia="Calibri" w:hAnsi="Palatino Linotype" w:cs="Times New Roman"/>
          <w:lang w:val="es-ES"/>
        </w:rPr>
        <w:t xml:space="preserve">de </w:t>
      </w:r>
      <w:r w:rsidR="00C11A40">
        <w:rPr>
          <w:rFonts w:ascii="Palatino Linotype" w:eastAsia="Calibri" w:hAnsi="Palatino Linotype" w:cs="Times New Roman"/>
          <w:lang w:val="es-ES"/>
        </w:rPr>
        <w:t>octubre</w:t>
      </w:r>
      <w:r>
        <w:rPr>
          <w:rFonts w:ascii="Palatino Linotype" w:eastAsia="Calibri" w:hAnsi="Palatino Linotype" w:cs="Times New Roman"/>
          <w:lang w:val="es-ES"/>
        </w:rPr>
        <w:t xml:space="preserve"> de dos mil diecinueve</w:t>
      </w:r>
      <w:r>
        <w:rPr>
          <w:rFonts w:ascii="Palatino Linotype" w:eastAsia="Calibri" w:hAnsi="Palatino Linotype" w:cs="Arial"/>
          <w:lang w:val="es-ES"/>
        </w:rPr>
        <w:t>,</w:t>
      </w:r>
      <w:r>
        <w:rPr>
          <w:rFonts w:ascii="Palatino Linotype" w:eastAsia="Calibri" w:hAnsi="Palatino Linotype" w:cs="Times New Roman"/>
          <w:lang w:val="es-ES"/>
        </w:rPr>
        <w:t xml:space="preserve"> </w:t>
      </w:r>
      <w:r>
        <w:rPr>
          <w:rFonts w:ascii="Palatino Linotype" w:eastAsia="Calibri" w:hAnsi="Palatino Linotype" w:cs="Times New Roman"/>
          <w:b/>
          <w:lang w:val="es-ES"/>
        </w:rPr>
        <w:t>EL RECURRENTE</w:t>
      </w:r>
      <w:r>
        <w:rPr>
          <w:rFonts w:ascii="Palatino Linotype" w:hAnsi="Palatino Linotype"/>
          <w:b/>
        </w:rPr>
        <w:t>,</w:t>
      </w:r>
      <w:r>
        <w:rPr>
          <w:rFonts w:ascii="Palatino Linotype" w:eastAsia="Calibri" w:hAnsi="Palatino Linotype" w:cs="Arial"/>
          <w:lang w:val="es-ES"/>
        </w:rPr>
        <w:t xml:space="preserve"> ante el </w:t>
      </w:r>
      <w:r>
        <w:rPr>
          <w:rFonts w:ascii="Palatino Linotype" w:eastAsia="Calibri" w:hAnsi="Palatino Linotype" w:cs="Arial"/>
          <w:b/>
          <w:lang w:val="es-ES"/>
        </w:rPr>
        <w:t>SUJETO OBLIGADO</w:t>
      </w:r>
      <w:r>
        <w:rPr>
          <w:rFonts w:ascii="Palatino Linotype" w:eastAsia="Calibri" w:hAnsi="Palatino Linotype" w:cs="Arial"/>
        </w:rPr>
        <w:t xml:space="preserve"> vía </w:t>
      </w:r>
      <w:r>
        <w:rPr>
          <w:rFonts w:ascii="Palatino Linotype" w:eastAsia="Calibri" w:hAnsi="Palatino Linotype" w:cs="Arial"/>
          <w:lang w:val="es-ES"/>
        </w:rPr>
        <w:t>Sistema de Acceso a la Información Mexiquense (</w:t>
      </w:r>
      <w:r>
        <w:rPr>
          <w:rFonts w:ascii="Palatino Linotype" w:eastAsia="Calibri" w:hAnsi="Palatino Linotype" w:cs="Arial"/>
          <w:b/>
          <w:lang w:val="es-ES"/>
        </w:rPr>
        <w:t>SAIMEX)</w:t>
      </w:r>
      <w:r>
        <w:rPr>
          <w:rFonts w:ascii="Palatino Linotype" w:eastAsia="Calibri" w:hAnsi="Palatino Linotype" w:cs="Arial"/>
          <w:lang w:val="es-ES"/>
        </w:rPr>
        <w:t xml:space="preserve">, presentó la solicitud de información pública registrada con el número </w:t>
      </w:r>
      <w:r w:rsidR="00373F0F">
        <w:rPr>
          <w:rFonts w:ascii="Palatino Linotype" w:eastAsia="Calibri" w:hAnsi="Palatino Linotype" w:cs="Arial"/>
          <w:b/>
          <w:lang w:val="es-ES"/>
        </w:rPr>
        <w:t>00</w:t>
      </w:r>
      <w:r w:rsidR="00883837">
        <w:rPr>
          <w:rFonts w:ascii="Palatino Linotype" w:eastAsia="Calibri" w:hAnsi="Palatino Linotype" w:cs="Arial"/>
          <w:b/>
          <w:lang w:val="es-ES"/>
        </w:rPr>
        <w:t>1</w:t>
      </w:r>
      <w:r w:rsidR="00A109E3">
        <w:rPr>
          <w:rFonts w:ascii="Palatino Linotype" w:eastAsia="Calibri" w:hAnsi="Palatino Linotype" w:cs="Arial"/>
          <w:b/>
          <w:lang w:val="es-ES"/>
        </w:rPr>
        <w:t>04</w:t>
      </w:r>
      <w:r>
        <w:rPr>
          <w:rFonts w:ascii="Palatino Linotype" w:eastAsia="Calibri" w:hAnsi="Palatino Linotype" w:cs="Arial"/>
          <w:b/>
          <w:lang w:val="es-ES"/>
        </w:rPr>
        <w:t>/</w:t>
      </w:r>
      <w:r w:rsidR="00A109E3">
        <w:rPr>
          <w:rFonts w:ascii="Palatino Linotype" w:eastAsia="Calibri" w:hAnsi="Palatino Linotype" w:cs="Arial"/>
          <w:b/>
          <w:lang w:val="es-ES"/>
        </w:rPr>
        <w:t>JOSERIN</w:t>
      </w:r>
      <w:r>
        <w:rPr>
          <w:rFonts w:ascii="Palatino Linotype" w:eastAsia="Calibri" w:hAnsi="Palatino Linotype" w:cs="Arial"/>
          <w:b/>
          <w:lang w:val="es-ES"/>
        </w:rPr>
        <w:t>/IP/2019</w:t>
      </w:r>
      <w:r>
        <w:rPr>
          <w:rFonts w:ascii="Palatino Linotype" w:hAnsi="Palatino Linotype"/>
          <w:b/>
        </w:rPr>
        <w:t xml:space="preserve">, </w:t>
      </w:r>
      <w:r>
        <w:rPr>
          <w:rFonts w:ascii="Palatino Linotype" w:eastAsia="Calibri" w:hAnsi="Palatino Linotype" w:cs="Arial"/>
          <w:lang w:val="es-ES"/>
        </w:rPr>
        <w:t>mediante la cual solicitó lo siguiente:</w:t>
      </w:r>
    </w:p>
    <w:p w:rsidR="00554DF4" w:rsidRDefault="00554DF4" w:rsidP="00554DF4">
      <w:pPr>
        <w:pStyle w:val="Prrafodelista"/>
        <w:spacing w:line="360" w:lineRule="auto"/>
        <w:ind w:left="0"/>
        <w:jc w:val="both"/>
        <w:rPr>
          <w:rFonts w:ascii="Palatino Linotype" w:eastAsia="Times New Roman" w:hAnsi="Palatino Linotype" w:cs="Arial"/>
          <w:lang w:val="es-ES"/>
        </w:rPr>
      </w:pPr>
    </w:p>
    <w:p w:rsidR="00554DF4" w:rsidRDefault="00554DF4" w:rsidP="00C11A40">
      <w:pPr>
        <w:ind w:left="567" w:right="567"/>
        <w:jc w:val="both"/>
        <w:rPr>
          <w:rFonts w:ascii="Palatino Linotype" w:eastAsia="Calibri" w:hAnsi="Palatino Linotype" w:cs="Arial"/>
          <w:i/>
          <w:sz w:val="22"/>
          <w:lang w:val="es-ES"/>
        </w:rPr>
      </w:pPr>
      <w:r>
        <w:rPr>
          <w:rFonts w:ascii="Palatino Linotype" w:eastAsia="Calibri" w:hAnsi="Palatino Linotype" w:cs="Arial"/>
          <w:i/>
          <w:sz w:val="22"/>
          <w:lang w:val="es-ES"/>
        </w:rPr>
        <w:t>“</w:t>
      </w:r>
      <w:r w:rsidR="00A109E3" w:rsidRPr="00A109E3">
        <w:rPr>
          <w:rFonts w:ascii="Palatino Linotype" w:eastAsia="Times New Roman" w:hAnsi="Palatino Linotype" w:cs="Times New Roman"/>
          <w:i/>
          <w:sz w:val="22"/>
          <w:szCs w:val="14"/>
          <w:lang w:val="es-MX" w:eastAsia="es-MX"/>
        </w:rPr>
        <w:t xml:space="preserve">Solicito copia fiel digitalizada de la información sobre los procesos y resultados sobre los procedimientos de invitación restringida de las siguientes obras: a).- AMPLIACIÓN DEL SISTEMA DE AGUA POTABLE en la comunidad de BARRIO SANTA RITA PUEBLO NUEVO y b).- CONSTRUCCIÓN DE TECHADO EN EL ÁREA DE IMPARTICIÓN DE EDUCACIÓN FÍSICA, "ESCUELA PRIMARIA MIGUEL HIDALGO Y COSTILLA" en la comunidad de COLONIA BENITO JUÁREZ, incluyendo la versión pública del expediente respectivo y de los contratos celebrados, que deberán contener, por los menos, lo siguiente. 1) Los dictámenes técnicos y actas de fallo de adjudicación; 2) Los mecanismos de vigilancia y supervisión, incluyendo en su caso, los estudios de impacto urbano y ambiental, según corresponda; 3) La partida presupuestal, de conformidad con el clasificador por objeto del gasto, en el caso de ser aplicable; 4) Los convenios modificatorios en monto y plazo que, en su caso, sean firmados, precisando el objeto y la fecha de celebración; 5) Los informes de avance físico </w:t>
      </w:r>
      <w:r w:rsidR="00A109E3" w:rsidRPr="00A109E3">
        <w:rPr>
          <w:rFonts w:ascii="Palatino Linotype" w:eastAsia="Times New Roman" w:hAnsi="Palatino Linotype" w:cs="Times New Roman"/>
          <w:i/>
          <w:sz w:val="22"/>
          <w:szCs w:val="14"/>
          <w:lang w:val="es-MX" w:eastAsia="es-MX"/>
        </w:rPr>
        <w:lastRenderedPageBreak/>
        <w:t>y financiero sobre las obras contratadas; 6) Las actas de entrega recepción, finiquito y extinción de derechos y obligaciones. Lo anterior de acuerdo a lo dispuesto, entre otros requisitos, en el artículo 94 fracción XXIX inciso a) de la Ley de Transparencia y Acceso a la Información Pública del Estado de México y Municipios Así mismo solicito que se me haga entrega de la información digitalizada de las propuestas técnica y económicas del licitante ganador, ya que siendo público el recurso utilizado para la ejecución de estas obras, no se cuenta con dicha información en la página de internet del ayuntamiento.</w:t>
      </w:r>
      <w:r w:rsidRPr="006D6CCC">
        <w:rPr>
          <w:rFonts w:ascii="Palatino Linotype" w:eastAsia="Calibri" w:hAnsi="Palatino Linotype" w:cs="Arial"/>
          <w:i/>
          <w:sz w:val="22"/>
          <w:lang w:val="es-ES"/>
        </w:rPr>
        <w:t>” (Sic)</w:t>
      </w:r>
    </w:p>
    <w:p w:rsidR="00F76C2F" w:rsidRDefault="00F76C2F" w:rsidP="006D6CCC">
      <w:pPr>
        <w:jc w:val="both"/>
        <w:rPr>
          <w:rFonts w:ascii="Palatino Linotype" w:eastAsia="Calibri" w:hAnsi="Palatino Linotype" w:cs="Arial"/>
          <w:i/>
          <w:sz w:val="22"/>
          <w:lang w:val="es-ES"/>
        </w:rPr>
      </w:pPr>
    </w:p>
    <w:p w:rsidR="006D6CCC" w:rsidRDefault="006D6CCC" w:rsidP="006D6CCC">
      <w:pPr>
        <w:jc w:val="both"/>
        <w:rPr>
          <w:rFonts w:ascii="Palatino Linotype" w:eastAsia="Calibri" w:hAnsi="Palatino Linotype" w:cs="Arial"/>
          <w:i/>
          <w:sz w:val="22"/>
          <w:lang w:val="es-ES"/>
        </w:rPr>
      </w:pPr>
    </w:p>
    <w:p w:rsidR="00554DF4"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Pr>
          <w:rFonts w:ascii="Palatino Linotype" w:eastAsia="Times New Roman" w:hAnsi="Palatino Linotype" w:cs="Arial"/>
          <w:lang w:val="es-ES"/>
        </w:rPr>
        <w:t>Señaló como modalidad de entrega de la información</w:t>
      </w:r>
      <w:r>
        <w:rPr>
          <w:rFonts w:ascii="Palatino Linotype" w:eastAsia="Times New Roman" w:hAnsi="Palatino Linotype" w:cs="Arial"/>
          <w:b/>
          <w:lang w:val="es-ES"/>
        </w:rPr>
        <w:t>:</w:t>
      </w:r>
      <w:r>
        <w:rPr>
          <w:rFonts w:ascii="Palatino Linotype" w:eastAsia="Times New Roman" w:hAnsi="Palatino Linotype" w:cs="Arial"/>
          <w:lang w:val="es-ES"/>
        </w:rPr>
        <w:t xml:space="preserve"> a través del </w:t>
      </w:r>
      <w:r>
        <w:rPr>
          <w:rFonts w:ascii="Palatino Linotype" w:eastAsia="Times New Roman" w:hAnsi="Palatino Linotype" w:cs="Arial"/>
          <w:b/>
          <w:lang w:val="es-ES"/>
        </w:rPr>
        <w:t>SAIMEX.</w:t>
      </w:r>
    </w:p>
    <w:p w:rsidR="00554DF4" w:rsidRDefault="00554DF4" w:rsidP="00554DF4">
      <w:pPr>
        <w:pStyle w:val="Prrafodelista"/>
        <w:spacing w:before="240" w:after="240" w:line="360" w:lineRule="auto"/>
        <w:ind w:left="0"/>
        <w:jc w:val="both"/>
        <w:rPr>
          <w:rFonts w:ascii="Palatino Linotype" w:hAnsi="Palatino Linotype"/>
        </w:rPr>
      </w:pPr>
    </w:p>
    <w:p w:rsidR="00554DF4" w:rsidRPr="007B3254" w:rsidRDefault="00554DF4" w:rsidP="007B3254">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Pr>
          <w:rFonts w:ascii="Palatino Linotype" w:eastAsia="Calibri" w:hAnsi="Palatino Linotype" w:cs="Times New Roman"/>
          <w:lang w:val="es-ES"/>
        </w:rPr>
        <w:t xml:space="preserve">El día </w:t>
      </w:r>
      <w:r w:rsidR="007B3254">
        <w:rPr>
          <w:rFonts w:ascii="Palatino Linotype" w:eastAsia="Calibri" w:hAnsi="Palatino Linotype" w:cs="Times New Roman"/>
          <w:lang w:val="es-ES"/>
        </w:rPr>
        <w:t>c</w:t>
      </w:r>
      <w:r w:rsidR="00A109E3">
        <w:rPr>
          <w:rFonts w:ascii="Palatino Linotype" w:eastAsia="Calibri" w:hAnsi="Palatino Linotype" w:cs="Times New Roman"/>
          <w:lang w:val="es-ES"/>
        </w:rPr>
        <w:t>at</w:t>
      </w:r>
      <w:r w:rsidR="007B3254">
        <w:rPr>
          <w:rFonts w:ascii="Palatino Linotype" w:eastAsia="Calibri" w:hAnsi="Palatino Linotype" w:cs="Times New Roman"/>
          <w:lang w:val="es-ES"/>
        </w:rPr>
        <w:t>o</w:t>
      </w:r>
      <w:r w:rsidR="00A109E3">
        <w:rPr>
          <w:rFonts w:ascii="Palatino Linotype" w:eastAsia="Calibri" w:hAnsi="Palatino Linotype" w:cs="Times New Roman"/>
          <w:lang w:val="es-ES"/>
        </w:rPr>
        <w:t>rce</w:t>
      </w:r>
      <w:r w:rsidR="006D6CCC">
        <w:rPr>
          <w:rFonts w:ascii="Palatino Linotype" w:eastAsia="Calibri" w:hAnsi="Palatino Linotype" w:cs="Arial"/>
          <w:lang w:val="es-ES"/>
        </w:rPr>
        <w:t xml:space="preserve"> (</w:t>
      </w:r>
      <w:r w:rsidR="00A109E3">
        <w:rPr>
          <w:rFonts w:ascii="Palatino Linotype" w:eastAsia="Calibri" w:hAnsi="Palatino Linotype" w:cs="Arial"/>
          <w:lang w:val="es-ES"/>
        </w:rPr>
        <w:t>14</w:t>
      </w:r>
      <w:r w:rsidR="006D6CCC">
        <w:rPr>
          <w:rFonts w:ascii="Palatino Linotype" w:eastAsia="Calibri" w:hAnsi="Palatino Linotype" w:cs="Arial"/>
          <w:lang w:val="es-ES"/>
        </w:rPr>
        <w:t xml:space="preserve">) </w:t>
      </w:r>
      <w:r w:rsidR="006D6CCC">
        <w:rPr>
          <w:rFonts w:ascii="Palatino Linotype" w:eastAsia="Calibri" w:hAnsi="Palatino Linotype" w:cs="Times New Roman"/>
          <w:lang w:val="es-ES"/>
        </w:rPr>
        <w:t xml:space="preserve">de </w:t>
      </w:r>
      <w:r w:rsidR="00C11A40">
        <w:rPr>
          <w:rFonts w:ascii="Palatino Linotype" w:eastAsia="Calibri" w:hAnsi="Palatino Linotype" w:cs="Times New Roman"/>
          <w:lang w:val="es-ES"/>
        </w:rPr>
        <w:t>noviembre</w:t>
      </w:r>
      <w:r w:rsidR="006D6CCC">
        <w:rPr>
          <w:rFonts w:ascii="Palatino Linotype" w:eastAsia="Calibri" w:hAnsi="Palatino Linotype" w:cs="Times New Roman"/>
          <w:lang w:val="es-ES"/>
        </w:rPr>
        <w:t xml:space="preserve"> </w:t>
      </w:r>
      <w:r>
        <w:rPr>
          <w:rFonts w:ascii="Palatino Linotype" w:eastAsia="Calibri" w:hAnsi="Palatino Linotype" w:cs="Times New Roman"/>
          <w:lang w:val="es-ES"/>
        </w:rPr>
        <w:t xml:space="preserve">de dos mil diecinueve, el </w:t>
      </w:r>
      <w:r>
        <w:rPr>
          <w:rFonts w:ascii="Palatino Linotype" w:eastAsia="Calibri" w:hAnsi="Palatino Linotype" w:cs="Arial"/>
          <w:b/>
          <w:lang w:val="es-AR"/>
        </w:rPr>
        <w:t>SUJETO OBLIGADO</w:t>
      </w:r>
      <w:r>
        <w:rPr>
          <w:rFonts w:ascii="Palatino Linotype" w:eastAsia="Calibri" w:hAnsi="Palatino Linotype" w:cs="Arial"/>
          <w:b/>
          <w:i/>
          <w:lang w:val="es-AR"/>
        </w:rPr>
        <w:t xml:space="preserve"> </w:t>
      </w:r>
      <w:r>
        <w:rPr>
          <w:rFonts w:ascii="Palatino Linotype" w:eastAsia="Times New Roman" w:hAnsi="Palatino Linotype" w:cs="Arial"/>
          <w:lang w:val="es-ES"/>
        </w:rPr>
        <w:t>dio respuesta a la solicitud de información,</w:t>
      </w:r>
      <w:r w:rsidR="00196809">
        <w:rPr>
          <w:rFonts w:ascii="Palatino Linotype" w:eastAsia="Times New Roman" w:hAnsi="Palatino Linotype" w:cs="Arial"/>
          <w:lang w:val="es-ES"/>
        </w:rPr>
        <w:t xml:space="preserve"> adjuntando el documento denominado </w:t>
      </w:r>
      <w:r w:rsidR="00A109E3">
        <w:rPr>
          <w:rFonts w:ascii="Palatino Linotype" w:eastAsia="Times New Roman" w:hAnsi="Palatino Linotype" w:cs="Arial"/>
          <w:b/>
          <w:lang w:val="es-ES"/>
        </w:rPr>
        <w:t>104.pdf</w:t>
      </w:r>
      <w:r w:rsidR="007B3254">
        <w:rPr>
          <w:rFonts w:ascii="Palatino Linotype" w:eastAsia="Calibri" w:hAnsi="Palatino Linotype" w:cs="Times New Roman"/>
          <w:lang w:val="es-ES"/>
        </w:rPr>
        <w:t xml:space="preserve"> y</w:t>
      </w:r>
      <w:r w:rsidRPr="007B3254">
        <w:rPr>
          <w:rFonts w:ascii="Palatino Linotype" w:eastAsia="Times New Roman" w:hAnsi="Palatino Linotype" w:cs="Arial"/>
          <w:lang w:val="es-ES"/>
        </w:rPr>
        <w:t xml:space="preserve"> en los siguientes términos:</w:t>
      </w:r>
    </w:p>
    <w:p w:rsidR="00554DF4" w:rsidRDefault="00554DF4" w:rsidP="00554DF4">
      <w:pPr>
        <w:pStyle w:val="Prrafodelista"/>
        <w:rPr>
          <w:rFonts w:ascii="Palatino Linotype" w:eastAsia="Times New Roman" w:hAnsi="Palatino Linotype" w:cs="Arial"/>
          <w:lang w:val="es-ES"/>
        </w:rPr>
      </w:pPr>
    </w:p>
    <w:p w:rsidR="00A109E3" w:rsidRPr="00A109E3" w:rsidRDefault="00554DF4" w:rsidP="00A109E3">
      <w:pPr>
        <w:pStyle w:val="Prrafodelista"/>
        <w:spacing w:before="240" w:after="240" w:line="360" w:lineRule="auto"/>
        <w:ind w:left="567" w:right="567"/>
        <w:jc w:val="both"/>
        <w:rPr>
          <w:rFonts w:ascii="Palatino Linotype" w:hAnsi="Palatino Linotype"/>
          <w:i/>
          <w:color w:val="000000"/>
          <w:sz w:val="22"/>
          <w:szCs w:val="22"/>
        </w:rPr>
      </w:pPr>
      <w:r>
        <w:rPr>
          <w:rFonts w:ascii="Palatino Linotype" w:eastAsia="Calibri" w:hAnsi="Palatino Linotype" w:cs="Times New Roman"/>
          <w:i/>
          <w:sz w:val="22"/>
          <w:szCs w:val="22"/>
          <w:lang w:val="es-ES"/>
        </w:rPr>
        <w:t>“</w:t>
      </w:r>
      <w:r w:rsidR="00A109E3" w:rsidRPr="00A109E3">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54DF4" w:rsidRDefault="00A109E3" w:rsidP="00A109E3">
      <w:pPr>
        <w:pStyle w:val="Prrafodelista"/>
        <w:spacing w:before="240" w:after="240" w:line="360" w:lineRule="auto"/>
        <w:ind w:left="567" w:right="567"/>
        <w:jc w:val="both"/>
        <w:rPr>
          <w:rFonts w:ascii="Palatino Linotype" w:hAnsi="Palatino Linotype"/>
          <w:i/>
          <w:color w:val="000000"/>
          <w:sz w:val="22"/>
          <w:szCs w:val="22"/>
        </w:rPr>
      </w:pPr>
      <w:r w:rsidRPr="00A109E3">
        <w:rPr>
          <w:rFonts w:ascii="Palatino Linotype" w:hAnsi="Palatino Linotype"/>
          <w:i/>
          <w:color w:val="000000"/>
          <w:sz w:val="22"/>
          <w:szCs w:val="22"/>
        </w:rPr>
        <w:t>Por medio del presente y en atención a la solicitud de información número 000104/JOSERIN/IP/2019, al respecto me permito informar que de acuerdo a lo establecido por el artículo 161 de la Ley de Transparencia y Acceso a la Información Pública del Estado de México y Municipios, la información solicitada se encuentra en los formatos electrónicos de internet disponibles en el portal del IPOMEX del Municipio en el siguiente link. https://www.ipomex.org.mx/ipo3/lgt/indice/SANJOSEDELRINCON/art_92_xxix_a.web</w:t>
      </w:r>
      <w:r w:rsidR="00554DF4">
        <w:rPr>
          <w:rFonts w:ascii="Palatino Linotype" w:hAnsi="Palatino Linotype"/>
          <w:i/>
          <w:color w:val="000000"/>
          <w:sz w:val="22"/>
          <w:szCs w:val="22"/>
        </w:rPr>
        <w:t>” (sic)</w:t>
      </w:r>
    </w:p>
    <w:p w:rsidR="00196809" w:rsidRDefault="00196809" w:rsidP="00196809">
      <w:pPr>
        <w:pStyle w:val="Prrafodelista"/>
        <w:spacing w:before="240" w:after="240" w:line="360" w:lineRule="auto"/>
        <w:ind w:left="567" w:right="567"/>
        <w:jc w:val="both"/>
        <w:rPr>
          <w:rFonts w:ascii="Palatino Linotype" w:hAnsi="Palatino Linotype"/>
          <w:i/>
          <w:color w:val="000000"/>
          <w:sz w:val="22"/>
          <w:szCs w:val="22"/>
        </w:rPr>
      </w:pPr>
    </w:p>
    <w:p w:rsidR="00B55D4A" w:rsidRPr="00B55D4A" w:rsidRDefault="00DF641B" w:rsidP="00B55D4A">
      <w:pPr>
        <w:pStyle w:val="Prrafodelista"/>
        <w:numPr>
          <w:ilvl w:val="0"/>
          <w:numId w:val="26"/>
        </w:numPr>
        <w:spacing w:before="240" w:after="240" w:line="360" w:lineRule="auto"/>
        <w:ind w:right="567"/>
        <w:jc w:val="both"/>
        <w:rPr>
          <w:rFonts w:ascii="Palatino Linotype" w:eastAsia="Times New Roman" w:hAnsi="Palatino Linotype" w:cs="Arial"/>
          <w:b/>
          <w:i/>
          <w:lang w:val="es-ES"/>
        </w:rPr>
      </w:pPr>
      <w:r>
        <w:rPr>
          <w:rFonts w:ascii="Palatino Linotype" w:eastAsia="Times New Roman" w:hAnsi="Palatino Linotype" w:cs="Arial"/>
          <w:b/>
          <w:i/>
          <w:lang w:val="es-ES"/>
        </w:rPr>
        <w:t>104.pdf</w:t>
      </w:r>
      <w:r w:rsidR="00196809">
        <w:rPr>
          <w:rFonts w:ascii="Palatino Linotype" w:eastAsia="Times New Roman" w:hAnsi="Palatino Linotype" w:cs="Arial"/>
          <w:b/>
          <w:lang w:val="es-ES"/>
        </w:rPr>
        <w:t xml:space="preserve">: </w:t>
      </w:r>
      <w:r w:rsidRPr="00DF641B">
        <w:rPr>
          <w:rFonts w:ascii="Palatino Linotype" w:eastAsia="Times New Roman" w:hAnsi="Palatino Linotype" w:cs="Arial"/>
          <w:lang w:val="es-ES"/>
        </w:rPr>
        <w:t>Oficio MSJR/JDR/DOPYDU/1349/2019</w:t>
      </w:r>
      <w:r>
        <w:rPr>
          <w:rFonts w:ascii="Palatino Linotype" w:eastAsia="Times New Roman" w:hAnsi="Palatino Linotype" w:cs="Arial"/>
          <w:b/>
          <w:lang w:val="es-ES"/>
        </w:rPr>
        <w:t xml:space="preserve">, </w:t>
      </w:r>
      <w:r w:rsidRPr="00B55D4A">
        <w:rPr>
          <w:rFonts w:ascii="Palatino Linotype" w:eastAsia="Times New Roman" w:hAnsi="Palatino Linotype" w:cs="Arial"/>
          <w:lang w:val="es-ES"/>
        </w:rPr>
        <w:t xml:space="preserve">suscrito por el Director </w:t>
      </w:r>
      <w:r w:rsidR="00B55D4A" w:rsidRPr="00B55D4A">
        <w:rPr>
          <w:rFonts w:ascii="Palatino Linotype" w:eastAsia="Times New Roman" w:hAnsi="Palatino Linotype" w:cs="Arial"/>
          <w:lang w:val="es-ES"/>
        </w:rPr>
        <w:t xml:space="preserve">de Obras Públicas y Desarrollo Urbano, mediante el cual </w:t>
      </w:r>
      <w:r w:rsidR="00B55D4A" w:rsidRPr="00B55D4A">
        <w:rPr>
          <w:rFonts w:ascii="Palatino Linotype" w:eastAsia="Times New Roman" w:hAnsi="Palatino Linotype" w:cs="Arial"/>
          <w:lang w:val="es-ES"/>
        </w:rPr>
        <w:lastRenderedPageBreak/>
        <w:t>se le hace de conocimiento al recurrente que la información se encuentra en la dirección electrónica</w:t>
      </w:r>
      <w:r w:rsidR="00B55D4A">
        <w:rPr>
          <w:rFonts w:ascii="Palatino Linotype" w:eastAsia="Times New Roman" w:hAnsi="Palatino Linotype" w:cs="Arial"/>
          <w:b/>
          <w:lang w:val="es-ES"/>
        </w:rPr>
        <w:t xml:space="preserve"> </w:t>
      </w:r>
      <w:r w:rsidR="00B55D4A" w:rsidRPr="00B55D4A">
        <w:rPr>
          <w:rFonts w:ascii="Palatino Linotype" w:hAnsi="Palatino Linotype"/>
          <w:i/>
          <w:color w:val="000000"/>
          <w:sz w:val="22"/>
          <w:szCs w:val="22"/>
        </w:rPr>
        <w:t>https://www.ipomex.org.mx/ipo3/lgt/indice/SANJOSEDELRINCON/art_92_xxix_a.web</w:t>
      </w:r>
    </w:p>
    <w:p w:rsidR="007B3254" w:rsidRDefault="007B3254" w:rsidP="00196809">
      <w:pPr>
        <w:pStyle w:val="Prrafodelista"/>
        <w:spacing w:before="240" w:after="240" w:line="360" w:lineRule="auto"/>
        <w:ind w:left="567" w:right="567"/>
        <w:jc w:val="both"/>
        <w:rPr>
          <w:rFonts w:ascii="Palatino Linotype" w:eastAsia="Times New Roman" w:hAnsi="Palatino Linotype" w:cs="Arial"/>
          <w:b/>
          <w:i/>
          <w:lang w:val="es-ES"/>
        </w:rPr>
      </w:pPr>
    </w:p>
    <w:p w:rsidR="00554DF4" w:rsidRPr="006240BC" w:rsidRDefault="00554DF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6240BC">
        <w:rPr>
          <w:rFonts w:ascii="Palatino Linotype" w:eastAsia="Calibri" w:hAnsi="Palatino Linotype" w:cs="Arial"/>
          <w:lang w:val="es-AR"/>
        </w:rPr>
        <w:t>El día</w:t>
      </w:r>
      <w:r w:rsidR="007B3254" w:rsidRPr="006240BC">
        <w:rPr>
          <w:rFonts w:ascii="Palatino Linotype" w:eastAsia="Calibri" w:hAnsi="Palatino Linotype" w:cs="Arial"/>
          <w:lang w:val="es-AR"/>
        </w:rPr>
        <w:t xml:space="preserve"> </w:t>
      </w:r>
      <w:r w:rsidR="00B55D4A">
        <w:rPr>
          <w:rFonts w:ascii="Palatino Linotype" w:eastAsia="Calibri" w:hAnsi="Palatino Linotype" w:cs="Arial"/>
          <w:lang w:val="es-AR"/>
        </w:rPr>
        <w:t>quince</w:t>
      </w:r>
      <w:r w:rsidRPr="006240BC">
        <w:rPr>
          <w:rFonts w:ascii="Palatino Linotype" w:eastAsia="Calibri" w:hAnsi="Palatino Linotype" w:cs="Arial"/>
          <w:lang w:val="es-AR"/>
        </w:rPr>
        <w:t xml:space="preserve"> (</w:t>
      </w:r>
      <w:r w:rsidR="00B55D4A">
        <w:rPr>
          <w:rFonts w:ascii="Palatino Linotype" w:eastAsia="Calibri" w:hAnsi="Palatino Linotype" w:cs="Arial"/>
          <w:lang w:val="es-AR"/>
        </w:rPr>
        <w:t>1</w:t>
      </w:r>
      <w:r w:rsidR="007B3254" w:rsidRPr="006240BC">
        <w:rPr>
          <w:rFonts w:ascii="Palatino Linotype" w:eastAsia="Calibri" w:hAnsi="Palatino Linotype" w:cs="Arial"/>
          <w:lang w:val="es-AR"/>
        </w:rPr>
        <w:t>5</w:t>
      </w:r>
      <w:r w:rsidRPr="006240BC">
        <w:rPr>
          <w:rFonts w:ascii="Palatino Linotype" w:eastAsia="Calibri" w:hAnsi="Palatino Linotype" w:cs="Arial"/>
          <w:lang w:val="es-AR"/>
        </w:rPr>
        <w:t xml:space="preserve">) de </w:t>
      </w:r>
      <w:r w:rsidR="001A4BC9" w:rsidRPr="006240BC">
        <w:rPr>
          <w:rFonts w:ascii="Palatino Linotype" w:eastAsia="Calibri" w:hAnsi="Palatino Linotype" w:cs="Arial"/>
          <w:lang w:val="es-AR"/>
        </w:rPr>
        <w:t>noviembre</w:t>
      </w:r>
      <w:r w:rsidRPr="006240BC">
        <w:rPr>
          <w:rFonts w:ascii="Palatino Linotype" w:eastAsia="Calibri" w:hAnsi="Palatino Linotype" w:cs="Arial"/>
          <w:lang w:val="es-AR"/>
        </w:rPr>
        <w:t xml:space="preserve"> de</w:t>
      </w:r>
      <w:r w:rsidRPr="006240BC">
        <w:rPr>
          <w:rFonts w:ascii="Palatino Linotype" w:eastAsia="Times New Roman" w:hAnsi="Palatino Linotype" w:cs="Arial"/>
          <w:lang w:val="es-ES"/>
        </w:rPr>
        <w:t xml:space="preserve"> dos mil diecinueve, </w:t>
      </w:r>
      <w:r w:rsidRPr="006240BC">
        <w:rPr>
          <w:rFonts w:ascii="Palatino Linotype" w:hAnsi="Palatino Linotype"/>
          <w:b/>
        </w:rPr>
        <w:t>EL RECURRENTE</w:t>
      </w:r>
      <w:r w:rsidRPr="006240BC">
        <w:rPr>
          <w:rFonts w:ascii="Palatino Linotype" w:eastAsia="Times New Roman" w:hAnsi="Palatino Linotype" w:cs="Arial"/>
          <w:lang w:val="es-ES"/>
        </w:rPr>
        <w:t xml:space="preserve"> interpuso el recurso de revis</w:t>
      </w:r>
      <w:r w:rsidR="007B3254" w:rsidRPr="006240BC">
        <w:rPr>
          <w:rFonts w:ascii="Palatino Linotype" w:eastAsia="Times New Roman" w:hAnsi="Palatino Linotype" w:cs="Arial"/>
          <w:lang w:val="es-ES"/>
        </w:rPr>
        <w:t xml:space="preserve">ión, en contra de la respuesta </w:t>
      </w:r>
      <w:r w:rsidR="001C401F" w:rsidRPr="006240BC">
        <w:rPr>
          <w:rFonts w:ascii="Palatino Linotype" w:eastAsia="Times New Roman" w:hAnsi="Palatino Linotype" w:cs="Arial"/>
          <w:lang w:val="es-ES"/>
        </w:rPr>
        <w:t>y</w:t>
      </w:r>
      <w:r w:rsidR="001A4BC9" w:rsidRPr="006240BC">
        <w:rPr>
          <w:rFonts w:ascii="Palatino Linotype" w:eastAsia="Times New Roman" w:hAnsi="Palatino Linotype" w:cs="Arial"/>
          <w:lang w:val="es-ES"/>
        </w:rPr>
        <w:t>,</w:t>
      </w:r>
      <w:r w:rsidR="001C401F" w:rsidRPr="006240BC">
        <w:rPr>
          <w:rFonts w:ascii="Palatino Linotype" w:eastAsia="Times New Roman" w:hAnsi="Palatino Linotype" w:cs="Arial"/>
          <w:lang w:val="es-ES"/>
        </w:rPr>
        <w:t xml:space="preserve"> </w:t>
      </w:r>
      <w:r w:rsidRPr="006240BC">
        <w:rPr>
          <w:rFonts w:ascii="Palatino Linotype" w:eastAsia="Times New Roman" w:hAnsi="Palatino Linotype" w:cs="Arial"/>
          <w:lang w:val="es-ES"/>
        </w:rPr>
        <w:t>señal</w:t>
      </w:r>
      <w:r w:rsidR="001C401F" w:rsidRPr="006240BC">
        <w:rPr>
          <w:rFonts w:ascii="Palatino Linotype" w:eastAsia="Times New Roman" w:hAnsi="Palatino Linotype" w:cs="Arial"/>
          <w:lang w:val="es-ES"/>
        </w:rPr>
        <w:t>ó</w:t>
      </w:r>
      <w:r w:rsidRPr="006240BC">
        <w:rPr>
          <w:rFonts w:ascii="Palatino Linotype" w:eastAsia="Times New Roman" w:hAnsi="Palatino Linotype" w:cs="Arial"/>
          <w:lang w:val="es-ES"/>
        </w:rPr>
        <w:t xml:space="preserve"> como:</w:t>
      </w:r>
      <w:bookmarkStart w:id="3" w:name="_Toc472500652"/>
      <w:bookmarkStart w:id="4" w:name="_Toc472427085"/>
      <w:bookmarkStart w:id="5" w:name="_Toc462307683"/>
    </w:p>
    <w:p w:rsidR="00554DF4" w:rsidRPr="006240BC" w:rsidRDefault="00554DF4" w:rsidP="00554DF4">
      <w:pPr>
        <w:pStyle w:val="Prrafodelista"/>
        <w:rPr>
          <w:rFonts w:ascii="Palatino Linotype" w:hAnsi="Palatino Linotype" w:cs="Arial"/>
          <w:i/>
          <w:sz w:val="22"/>
          <w:szCs w:val="22"/>
        </w:rPr>
      </w:pPr>
    </w:p>
    <w:p w:rsidR="00554DF4" w:rsidRDefault="00554DF4" w:rsidP="00554DF4">
      <w:pPr>
        <w:pStyle w:val="Prrafodelista"/>
        <w:spacing w:line="360" w:lineRule="auto"/>
        <w:jc w:val="both"/>
        <w:rPr>
          <w:rFonts w:ascii="Palatino Linotype" w:eastAsia="Calibri" w:hAnsi="Palatino Linotype" w:cs="Arial"/>
          <w:szCs w:val="22"/>
          <w:lang w:val="es-ES"/>
        </w:rPr>
      </w:pPr>
      <w:r w:rsidRPr="006240BC">
        <w:rPr>
          <w:rFonts w:ascii="Palatino Linotype" w:hAnsi="Palatino Linotype"/>
          <w:b/>
        </w:rPr>
        <w:t>Acto impugnado:</w:t>
      </w:r>
      <w:r w:rsidRPr="006240BC">
        <w:rPr>
          <w:rStyle w:val="Ttulo2Car"/>
          <w:rFonts w:ascii="Palatino Linotype" w:hAnsi="Palatino Linotype"/>
          <w:b/>
          <w:i/>
          <w:lang w:val="es-ES"/>
        </w:rPr>
        <w:t xml:space="preserve"> </w:t>
      </w:r>
      <w:r w:rsidRPr="006240BC">
        <w:rPr>
          <w:rFonts w:ascii="Palatino Linotype" w:hAnsi="Palatino Linotype"/>
        </w:rPr>
        <w:t>“</w:t>
      </w:r>
      <w:r w:rsidR="00B55D4A" w:rsidRPr="00B55D4A">
        <w:rPr>
          <w:rFonts w:ascii="Palatino Linotype" w:hAnsi="Palatino Linotype"/>
          <w:i/>
          <w:sz w:val="22"/>
        </w:rPr>
        <w:t>LA ENTREGA INCOMPLETA DE LA INFORMACIÓN POR PARTE DEL AYUNTAMIENTO</w:t>
      </w:r>
      <w:r>
        <w:rPr>
          <w:rFonts w:ascii="Palatino Linotype" w:hAnsi="Palatino Linotype"/>
        </w:rPr>
        <w:t>"</w:t>
      </w:r>
      <w:r>
        <w:rPr>
          <w:rFonts w:ascii="Palatino Linotype" w:eastAsia="Calibri" w:hAnsi="Palatino Linotype" w:cs="Arial"/>
          <w:sz w:val="20"/>
          <w:szCs w:val="22"/>
          <w:lang w:val="es-ES"/>
        </w:rPr>
        <w:t xml:space="preserve"> </w:t>
      </w:r>
      <w:r>
        <w:rPr>
          <w:rFonts w:ascii="Palatino Linotype" w:eastAsia="Calibri" w:hAnsi="Palatino Linotype" w:cs="Arial"/>
          <w:szCs w:val="22"/>
          <w:lang w:val="es-ES"/>
        </w:rPr>
        <w:t>(Sic); Y</w:t>
      </w:r>
    </w:p>
    <w:p w:rsidR="00554DF4" w:rsidRDefault="00554DF4" w:rsidP="00554DF4">
      <w:pPr>
        <w:pStyle w:val="Prrafodelista"/>
        <w:spacing w:line="360" w:lineRule="auto"/>
        <w:jc w:val="both"/>
        <w:rPr>
          <w:rFonts w:ascii="Palatino Linotype" w:hAnsi="Palatino Linotype" w:cs="Arial"/>
          <w:sz w:val="22"/>
          <w:szCs w:val="22"/>
        </w:rPr>
      </w:pPr>
      <w:r>
        <w:rPr>
          <w:rFonts w:ascii="Palatino Linotype" w:hAnsi="Palatino Linotype"/>
          <w:b/>
        </w:rPr>
        <w:t>Razones o Motivos de inconformidad:</w:t>
      </w:r>
      <w:r>
        <w:rPr>
          <w:rStyle w:val="Ttulo2Car"/>
          <w:rFonts w:ascii="Palatino Linotype" w:hAnsi="Palatino Linotype"/>
          <w:b/>
          <w:lang w:val="es-ES"/>
        </w:rPr>
        <w:t xml:space="preserve"> </w:t>
      </w:r>
      <w:r>
        <w:rPr>
          <w:rFonts w:ascii="Palatino Linotype" w:hAnsi="Palatino Linotype"/>
          <w:i/>
          <w:szCs w:val="22"/>
        </w:rPr>
        <w:t>“</w:t>
      </w:r>
      <w:r w:rsidR="00B55D4A" w:rsidRPr="00B55D4A">
        <w:rPr>
          <w:rFonts w:ascii="Palatino Linotype" w:hAnsi="Palatino Linotype"/>
          <w:i/>
          <w:sz w:val="22"/>
        </w:rPr>
        <w:t xml:space="preserve">SE ARGUMENTA QUE LA INFORMACIÓN SOLICITADA SE ENCUENTRA EN LOS FORMATOS ELECTRÓNICOS DE INTERNET DISPONIBLES EN EL PORTAL DEL IPOMEX DEL MUNICIPIO EN EL SIGUIENTE LINK. https://www.ipomex.org.mx/ipo3/lgt/indice/SANJOSEDELRINCON/art_92_xxix_a.web, PERO NO APARECE LA INFORMACIÓN ESPECÍFICAMENTE SOLICITADA, YA QUE PREVIAMENTE SE HABÍA REVISADO Y NO SE ENCUENTRA AHÍ, DONDE NO APARECE TAMPOCO LA INFORMACIÓN RELACIONADA A LAS PROPUESTAS DEL LICITANTE GANADOR QUE SEGÚN CONTRATO CORRESPONDIENTE ES LA EMPRESA BOMBEO E INFRAESTRUCTURA HIDRÁULICA, S.A. DE C.V., POR LO ANTERIOR MENCIONADO SOLICITO SE ME PROPORCIONE LA INFORMACIÓN FALTANTE A TRAVÉS DEL MEDIO SOLICITADO (EL SAIMEX) LA CUAL ENUMERO A CONTINUACIÓN, 1) EL DICTAMEN TÉCNICO QUE DERIVA EN EL FALLO RESPECTIVO, 2) LOS MECANISMOS DE VIGILANCIA Y SUPERVISIÓN, INCLUYENDO EN SU CASO, LOS ESTUDIOS DE IMPACTO URBANO Y AMBIENTAL, SEGÚN </w:t>
      </w:r>
      <w:r w:rsidR="00B55D4A" w:rsidRPr="00B55D4A">
        <w:rPr>
          <w:rFonts w:ascii="Palatino Linotype" w:hAnsi="Palatino Linotype"/>
          <w:i/>
          <w:sz w:val="22"/>
        </w:rPr>
        <w:lastRenderedPageBreak/>
        <w:t>CORRESPONDA, 3) LOS INFORMES DE AVANCE FÍSICO Y FINANCIERO SOBRE LA OBRA EN CUESTIÓN, 4) LAS ACTAS DE ENTREGA RECEPCIÓN, FINIQUITO Y EXTINCIÓN DE DERECHOS Y OBLIGACIONES, YA QUE SEGÚN DATOS DEL CONTRATO SE EJECUTO DEL 08 DE JULIO DE 2019 Y SE CONCLUYÓ EL 05 DE SEPTIEMBRE DE 2019 Y POR LOS PLAZOS INDICADOS EN EL REGLAMENTO DEL LIBRO DÉCIMO SEGUNDO DEL CÓDIGO ADMINISTRATIVO DEL ESTADO DE MÉXICO, YA TRANSCURRIÓ EL TIEMPO SUFICIENTE PARA ENTREGA DE LA OBRA Y LA ELABORACIÓN DE LAS ACTAS SOLICITADAS Y 5) LA INFORMACIÓN RELATIVA AL PROCEDIMIENTO DE ADJUDICACIÓN DEL LICITANTE GANADOR, EN ESPECIFICO SU PROPUESTA TÉCNICA Y SU PROPUESTA ECONÓMICA PARA SER ADJUDICADO CON EL CONTRATO Y EJECUCIÓN DE LA OBRA.</w:t>
      </w:r>
      <w:r>
        <w:rPr>
          <w:rFonts w:ascii="Palatino Linotype" w:hAnsi="Palatino Linotype"/>
          <w:i/>
          <w:sz w:val="22"/>
          <w:szCs w:val="22"/>
        </w:rPr>
        <w:t xml:space="preserve">” </w:t>
      </w:r>
      <w:r>
        <w:rPr>
          <w:rFonts w:ascii="Palatino Linotype" w:hAnsi="Palatino Linotype" w:cs="Arial"/>
          <w:i/>
          <w:sz w:val="22"/>
          <w:szCs w:val="22"/>
        </w:rPr>
        <w:t>(Sic)</w:t>
      </w:r>
      <w:r>
        <w:rPr>
          <w:rFonts w:ascii="Palatino Linotype" w:hAnsi="Palatino Linotype" w:cs="Arial"/>
          <w:sz w:val="22"/>
          <w:szCs w:val="22"/>
        </w:rPr>
        <w:t xml:space="preserve"> </w:t>
      </w:r>
    </w:p>
    <w:p w:rsidR="00554DF4" w:rsidRDefault="00554DF4" w:rsidP="00554DF4">
      <w:pPr>
        <w:pStyle w:val="Prrafodelista"/>
        <w:spacing w:line="360" w:lineRule="auto"/>
        <w:jc w:val="both"/>
        <w:rPr>
          <w:rFonts w:ascii="Palatino Linotype" w:hAnsi="Palatino Linotype" w:cs="Arial"/>
          <w:sz w:val="22"/>
          <w:szCs w:val="22"/>
        </w:rPr>
      </w:pPr>
    </w:p>
    <w:bookmarkEnd w:id="3"/>
    <w:bookmarkEnd w:id="4"/>
    <w:bookmarkEnd w:id="5"/>
    <w:p w:rsidR="00554DF4"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Pr>
          <w:rFonts w:ascii="Palatino Linotype" w:eastAsia="Times New Roman" w:hAnsi="Palatino Linotype" w:cs="Arial"/>
          <w:lang w:val="es-ES"/>
        </w:rPr>
        <w:t xml:space="preserve">Se registró el recurso de revisión bajo el número de expediente </w:t>
      </w:r>
      <w:r>
        <w:rPr>
          <w:rFonts w:ascii="Palatino Linotype" w:hAnsi="Palatino Linotype" w:cs="Arial"/>
          <w:bCs/>
        </w:rPr>
        <w:t xml:space="preserve">al rubro indicado, asimismo con fundamento en lo dispuesto por el </w:t>
      </w:r>
      <w:r>
        <w:rPr>
          <w:rFonts w:ascii="Palatino Linotype" w:eastAsia="Calibri" w:hAnsi="Palatino Linotype" w:cs="Arial"/>
          <w:lang w:val="es-ES"/>
        </w:rPr>
        <w:t xml:space="preserve">artículo 185 fracción I de la </w:t>
      </w:r>
      <w:r>
        <w:rPr>
          <w:rFonts w:ascii="Palatino Linotype" w:eastAsia="Calibri" w:hAnsi="Palatino Linotype" w:cs="Arial"/>
          <w:b/>
          <w:lang w:val="es-ES"/>
        </w:rPr>
        <w:t xml:space="preserve">Ley de Transparencia y Acceso a la Información Pública del Estado de México y Municipios </w:t>
      </w:r>
      <w:r>
        <w:rPr>
          <w:rFonts w:ascii="Palatino Linotype" w:eastAsia="Times New Roman" w:hAnsi="Palatino Linotype" w:cs="Arial"/>
          <w:lang w:val="es-ES"/>
        </w:rPr>
        <w:t xml:space="preserve">se turnó al </w:t>
      </w:r>
      <w:r>
        <w:rPr>
          <w:rFonts w:ascii="Palatino Linotype" w:eastAsia="Times New Roman" w:hAnsi="Palatino Linotype" w:cs="Arial"/>
          <w:b/>
          <w:lang w:val="es-ES"/>
        </w:rPr>
        <w:t xml:space="preserve">Comisionado José Guadalupe Luna Hernández, </w:t>
      </w:r>
      <w:r>
        <w:rPr>
          <w:rFonts w:ascii="Palatino Linotype" w:eastAsia="Times New Roman" w:hAnsi="Palatino Linotype" w:cs="Arial"/>
          <w:lang w:val="es-ES"/>
        </w:rPr>
        <w:t xml:space="preserve">con el objeto de </w:t>
      </w:r>
      <w:r>
        <w:rPr>
          <w:rFonts w:ascii="Palatino Linotype" w:eastAsia="Times New Roman" w:hAnsi="Palatino Linotype" w:cs="Arial"/>
          <w:lang w:val="es-MX"/>
        </w:rPr>
        <w:t xml:space="preserve">su análisis. </w:t>
      </w:r>
    </w:p>
    <w:p w:rsidR="00554DF4" w:rsidRDefault="00554DF4" w:rsidP="00554DF4">
      <w:pPr>
        <w:pStyle w:val="Prrafodelista"/>
        <w:spacing w:before="240" w:after="240" w:line="360" w:lineRule="auto"/>
        <w:ind w:left="0"/>
        <w:jc w:val="both"/>
        <w:rPr>
          <w:rFonts w:ascii="Palatino Linotype" w:eastAsia="Calibri" w:hAnsi="Palatino Linotype" w:cs="Arial"/>
          <w:lang w:val="es-AR"/>
        </w:rPr>
      </w:pPr>
    </w:p>
    <w:p w:rsidR="00554DF4" w:rsidRPr="00B55D4A"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B55D4A">
        <w:rPr>
          <w:rFonts w:ascii="Palatino Linotype" w:eastAsia="Calibri" w:hAnsi="Palatino Linotype" w:cs="Arial"/>
          <w:lang w:val="es-ES"/>
        </w:rPr>
        <w:t>veintidós</w:t>
      </w:r>
      <w:r>
        <w:rPr>
          <w:rFonts w:ascii="Palatino Linotype" w:eastAsia="Calibri" w:hAnsi="Palatino Linotype" w:cs="Arial"/>
          <w:lang w:val="es-ES"/>
        </w:rPr>
        <w:t xml:space="preserve"> (</w:t>
      </w:r>
      <w:r w:rsidR="00B55D4A">
        <w:rPr>
          <w:rFonts w:ascii="Palatino Linotype" w:eastAsia="Calibri" w:hAnsi="Palatino Linotype" w:cs="Arial"/>
          <w:lang w:val="es-ES"/>
        </w:rPr>
        <w:t>22</w:t>
      </w:r>
      <w:r>
        <w:rPr>
          <w:rFonts w:ascii="Palatino Linotype" w:eastAsia="Calibri" w:hAnsi="Palatino Linotype" w:cs="Arial"/>
          <w:lang w:val="es-ES"/>
        </w:rPr>
        <w:t xml:space="preserve">) de </w:t>
      </w:r>
      <w:r w:rsidR="00300AC1">
        <w:rPr>
          <w:rFonts w:ascii="Palatino Linotype" w:eastAsia="Calibri" w:hAnsi="Palatino Linotype" w:cs="Arial"/>
          <w:lang w:val="es-ES"/>
        </w:rPr>
        <w:t>noviembre</w:t>
      </w:r>
      <w:r>
        <w:rPr>
          <w:rFonts w:ascii="Palatino Linotype" w:eastAsia="Calibri" w:hAnsi="Palatino Linotype" w:cs="Arial"/>
          <w:lang w:val="es-ES"/>
        </w:rPr>
        <w:t xml:space="preserve"> de dos mil diecinueve, puso a disposición de las partes el expediente electrónico </w:t>
      </w:r>
      <w:r>
        <w:rPr>
          <w:rFonts w:ascii="Palatino Linotype" w:eastAsia="Calibri" w:hAnsi="Palatino Linotype" w:cs="Arial"/>
        </w:rPr>
        <w:t xml:space="preserve">vía </w:t>
      </w:r>
      <w:r>
        <w:rPr>
          <w:rFonts w:ascii="Palatino Linotype" w:eastAsia="Calibri" w:hAnsi="Palatino Linotype" w:cs="Arial"/>
          <w:b/>
          <w:lang w:val="es-ES"/>
        </w:rPr>
        <w:t xml:space="preserve">SAIMEX </w:t>
      </w:r>
      <w:r>
        <w:rPr>
          <w:rFonts w:ascii="Palatino Linotype" w:eastAsia="Calibri" w:hAnsi="Palatino Linotype" w:cs="Arial"/>
          <w:lang w:val="es-ES"/>
        </w:rPr>
        <w:t xml:space="preserve">a efecto de que en un plazo máximo de siete días manifestaran lo que a derecho convinieran, ofrecieran pruebas y alegatos según </w:t>
      </w:r>
      <w:r>
        <w:rPr>
          <w:rFonts w:ascii="Palatino Linotype" w:eastAsia="Calibri" w:hAnsi="Palatino Linotype" w:cs="Arial"/>
          <w:lang w:val="es-ES"/>
        </w:rPr>
        <w:lastRenderedPageBreak/>
        <w:t xml:space="preserve">corresponda al caso concreto, de esta forma para que el </w:t>
      </w:r>
      <w:r>
        <w:rPr>
          <w:rFonts w:ascii="Palatino Linotype" w:eastAsia="Calibri" w:hAnsi="Palatino Linotype" w:cs="Arial"/>
          <w:b/>
          <w:lang w:val="es-ES"/>
        </w:rPr>
        <w:t>SUJETO OBLIGADO</w:t>
      </w:r>
      <w:r>
        <w:rPr>
          <w:rFonts w:ascii="Palatino Linotype" w:eastAsia="Calibri" w:hAnsi="Palatino Linotype" w:cs="Arial"/>
          <w:lang w:val="es-ES"/>
        </w:rPr>
        <w:t xml:space="preserve"> presentara el informe justificado procedente.</w:t>
      </w:r>
    </w:p>
    <w:p w:rsidR="00B55D4A" w:rsidRPr="00B55D4A" w:rsidRDefault="00B55D4A" w:rsidP="00B55D4A">
      <w:pPr>
        <w:pStyle w:val="Prrafodelista"/>
        <w:rPr>
          <w:rFonts w:ascii="Palatino Linotype" w:hAnsi="Palatino Linotype"/>
          <w:i/>
          <w:color w:val="000000"/>
          <w:sz w:val="22"/>
          <w:szCs w:val="22"/>
        </w:rPr>
      </w:pPr>
    </w:p>
    <w:p w:rsidR="00B55D4A" w:rsidRDefault="00B55D4A" w:rsidP="00B55D4A">
      <w:pPr>
        <w:pStyle w:val="Prrafodelista"/>
        <w:numPr>
          <w:ilvl w:val="0"/>
          <w:numId w:val="4"/>
        </w:numPr>
        <w:spacing w:line="360" w:lineRule="auto"/>
        <w:ind w:left="0" w:firstLine="0"/>
        <w:jc w:val="both"/>
        <w:rPr>
          <w:rFonts w:ascii="Palatino Linotype" w:eastAsia="Calibri" w:hAnsi="Palatino Linotype" w:cs="Arial"/>
          <w:lang w:val="es-ES"/>
        </w:rPr>
      </w:pPr>
      <w:r>
        <w:rPr>
          <w:rFonts w:ascii="Palatino Linotype" w:eastAsia="Calibri" w:hAnsi="Palatino Linotype" w:cs="Arial"/>
          <w:lang w:val="es-ES"/>
        </w:rPr>
        <w:t>De las constancias que obran en el expediente electrónico del SAIMEX, se tiene que, tanto el Sujeto Obligado como la parte recurrente fueron omisos en manifestar lo que a su derecho conviniera, se inserta imagen de referencia:</w:t>
      </w:r>
    </w:p>
    <w:p w:rsidR="00B55D4A" w:rsidRDefault="00B55D4A" w:rsidP="00B55D4A">
      <w:pPr>
        <w:pStyle w:val="Prrafodelista"/>
        <w:spacing w:line="360" w:lineRule="auto"/>
        <w:ind w:left="0"/>
        <w:jc w:val="both"/>
        <w:rPr>
          <w:rFonts w:ascii="Palatino Linotype" w:eastAsia="Calibri" w:hAnsi="Palatino Linotype" w:cs="Arial"/>
          <w:lang w:val="es-ES"/>
        </w:rPr>
      </w:pPr>
      <w:r>
        <w:rPr>
          <w:noProof/>
          <w:lang w:val="es-MX" w:eastAsia="es-MX"/>
        </w:rPr>
        <w:drawing>
          <wp:inline distT="0" distB="0" distL="0" distR="0" wp14:anchorId="37E251E7" wp14:editId="5CD2640D">
            <wp:extent cx="5543550" cy="13525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851" t="28520" r="42485" b="49939"/>
                    <a:stretch/>
                  </pic:blipFill>
                  <pic:spPr bwMode="auto">
                    <a:xfrm>
                      <a:off x="0" y="0"/>
                      <a:ext cx="5579308" cy="1361274"/>
                    </a:xfrm>
                    <a:prstGeom prst="rect">
                      <a:avLst/>
                    </a:prstGeom>
                    <a:ln>
                      <a:noFill/>
                    </a:ln>
                    <a:extLst>
                      <a:ext uri="{53640926-AAD7-44D8-BBD7-CCE9431645EC}">
                        <a14:shadowObscured xmlns:a14="http://schemas.microsoft.com/office/drawing/2010/main"/>
                      </a:ext>
                    </a:extLst>
                  </pic:spPr>
                </pic:pic>
              </a:graphicData>
            </a:graphic>
          </wp:inline>
        </w:drawing>
      </w:r>
    </w:p>
    <w:p w:rsidR="00B55D4A" w:rsidRPr="00B745F7" w:rsidRDefault="00B55D4A" w:rsidP="00B55D4A">
      <w:pPr>
        <w:pStyle w:val="Prrafodelista"/>
        <w:numPr>
          <w:ilvl w:val="0"/>
          <w:numId w:val="4"/>
        </w:numPr>
        <w:spacing w:line="360" w:lineRule="auto"/>
        <w:ind w:left="0" w:firstLine="0"/>
        <w:jc w:val="both"/>
        <w:rPr>
          <w:rFonts w:ascii="Palatino Linotype" w:hAnsi="Palatino Linotype" w:cs="Arial"/>
        </w:rPr>
      </w:pPr>
      <w:r>
        <w:rPr>
          <w:rFonts w:ascii="Palatino Linotype" w:hAnsi="Palatino Linotype" w:cs="Arial"/>
          <w:color w:val="222222"/>
        </w:rPr>
        <w:t xml:space="preserve">Ante la omisión de rendir informe justificado, se tiene que dejó </w:t>
      </w:r>
      <w:r w:rsidRPr="00637995">
        <w:rPr>
          <w:rFonts w:ascii="Palatino Linotype" w:hAnsi="Palatino Linotype" w:cs="Arial"/>
          <w:color w:val="222222"/>
        </w:rPr>
        <w:t xml:space="preserve">de justificar las razones o motivos que lo llevaron a no emitir la respuesta que ahora se impugna, </w:t>
      </w:r>
      <w:r w:rsidRPr="00B745F7">
        <w:rPr>
          <w:rFonts w:ascii="Palatino Linotype" w:hAnsi="Palatino Linotype" w:cs="Arial"/>
          <w:color w:val="222222"/>
        </w:rPr>
        <w:t>generando con esta omisión el perjuicio en su contra ya que impide que esta Autoridad conozca y resuelva el presente recurso con mayor cautela si consideramos lo que al respecto ha señalado la autoridad jurisdiccional al emitir el siguiente criterio:</w:t>
      </w:r>
    </w:p>
    <w:p w:rsidR="00B55D4A" w:rsidRDefault="00B55D4A" w:rsidP="00B55D4A">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637995">
        <w:rPr>
          <w:rFonts w:ascii="Palatino Linotype" w:hAnsi="Palatino Linotype" w:cs="Arial"/>
          <w:b/>
          <w:bCs/>
          <w:i/>
          <w:iCs/>
          <w:color w:val="222222"/>
          <w:sz w:val="22"/>
          <w:lang w:val="es-ES_tradnl"/>
        </w:rPr>
        <w:t>QUEJA, RECURSO DE. LA OMISION DE RENDIR EL INFORME RESPECTIVO NO IMPIDE QUE SE RESUELV</w:t>
      </w:r>
      <w:r w:rsidRPr="00637995">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w:t>
      </w:r>
      <w:r w:rsidRPr="00637995">
        <w:rPr>
          <w:rFonts w:ascii="Palatino Linotype" w:hAnsi="Palatino Linotype" w:cs="Arial"/>
          <w:i/>
          <w:iCs/>
          <w:color w:val="222222"/>
          <w:sz w:val="22"/>
          <w:lang w:val="es-ES_tradnl"/>
        </w:rPr>
        <w:lastRenderedPageBreak/>
        <w:t>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637995">
        <w:rPr>
          <w:rFonts w:ascii="Palatino Linotype" w:hAnsi="Palatino Linotype" w:cs="Arial"/>
          <w:i/>
          <w:iCs/>
          <w:color w:val="222222"/>
          <w:lang w:val="es-ES_tradnl"/>
        </w:rPr>
        <w:t> </w:t>
      </w:r>
      <w:r>
        <w:rPr>
          <w:rFonts w:ascii="Palatino Linotype" w:hAnsi="Palatino Linotype" w:cs="Arial"/>
          <w:i/>
          <w:iCs/>
          <w:color w:val="222222"/>
          <w:lang w:val="es-ES_tradnl"/>
        </w:rPr>
        <w:t xml:space="preserve"> </w:t>
      </w:r>
    </w:p>
    <w:p w:rsidR="00B55D4A" w:rsidRPr="00637995" w:rsidRDefault="00B55D4A" w:rsidP="00B55D4A">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rsidR="00B55D4A" w:rsidRPr="00660272" w:rsidRDefault="00B55D4A" w:rsidP="00B55D4A">
      <w:pPr>
        <w:pStyle w:val="Prrafodelista"/>
        <w:numPr>
          <w:ilvl w:val="0"/>
          <w:numId w:val="4"/>
        </w:numPr>
        <w:spacing w:line="360" w:lineRule="auto"/>
        <w:ind w:left="0" w:firstLine="0"/>
        <w:jc w:val="both"/>
        <w:rPr>
          <w:rFonts w:ascii="Palatino Linotype" w:hAnsi="Palatino Linotype"/>
          <w:b/>
          <w:u w:val="single"/>
        </w:rPr>
      </w:pPr>
      <w:r w:rsidRPr="00637995">
        <w:rPr>
          <w:rFonts w:ascii="Palatino Linotype" w:hAnsi="Palatino Linotype" w:cs="Arial"/>
          <w:color w:val="222222"/>
        </w:rPr>
        <w:t>Por lo cual se reitera, que la falta de informe justificado no impide que este Órgano Garante conozca y resuelva el recurso de revisión, solo propicia que el </w:t>
      </w:r>
      <w:r w:rsidRPr="00637995">
        <w:rPr>
          <w:rFonts w:ascii="Palatino Linotype" w:hAnsi="Palatino Linotype" w:cs="Arial"/>
          <w:b/>
          <w:bCs/>
          <w:color w:val="222222"/>
        </w:rPr>
        <w:t>SUJETO OBLIGADO</w:t>
      </w:r>
      <w:r w:rsidRPr="00637995">
        <w:rPr>
          <w:rFonts w:ascii="Palatino Linotype" w:hAnsi="Palatino Linotype" w:cs="Arial"/>
          <w:color w:val="222222"/>
        </w:rPr>
        <w:t> pierda la oportunidad de justificar su falta de respuesta y manifestar lo que a su derecho convenga.</w:t>
      </w:r>
    </w:p>
    <w:p w:rsidR="00B55D4A" w:rsidRDefault="00B55D4A" w:rsidP="00B55D4A">
      <w:pPr>
        <w:pStyle w:val="Prrafodelista"/>
        <w:spacing w:before="240" w:after="240" w:line="360" w:lineRule="auto"/>
        <w:ind w:left="0"/>
        <w:jc w:val="both"/>
        <w:rPr>
          <w:rFonts w:ascii="Palatino Linotype" w:hAnsi="Palatino Linotype"/>
          <w:i/>
          <w:color w:val="000000"/>
          <w:sz w:val="22"/>
          <w:szCs w:val="22"/>
        </w:rPr>
      </w:pPr>
    </w:p>
    <w:p w:rsidR="00554DF4" w:rsidRPr="00E2678D" w:rsidRDefault="00443AB4" w:rsidP="00E2678D">
      <w:pPr>
        <w:pStyle w:val="Prrafodelista"/>
        <w:numPr>
          <w:ilvl w:val="0"/>
          <w:numId w:val="1"/>
        </w:numPr>
        <w:spacing w:line="360" w:lineRule="auto"/>
        <w:ind w:left="0" w:firstLine="0"/>
        <w:jc w:val="both"/>
        <w:rPr>
          <w:rFonts w:ascii="Tahoma" w:hAnsi="Tahoma" w:cs="Tahoma"/>
        </w:rPr>
      </w:pPr>
      <w:r w:rsidRPr="00443AB4">
        <w:rPr>
          <w:rFonts w:ascii="Palatino Linotype" w:eastAsia="Calibri" w:hAnsi="Palatino Linotype" w:cs="Arial"/>
          <w:lang w:val="es-ES"/>
        </w:rPr>
        <w:t xml:space="preserve">El día </w:t>
      </w:r>
      <w:r w:rsidR="00B55D4A">
        <w:rPr>
          <w:rFonts w:ascii="Palatino Linotype" w:eastAsia="Calibri" w:hAnsi="Palatino Linotype" w:cs="Arial"/>
          <w:lang w:val="es-ES"/>
        </w:rPr>
        <w:t>veintinueve</w:t>
      </w:r>
      <w:r w:rsidRPr="00443AB4">
        <w:rPr>
          <w:rFonts w:ascii="Palatino Linotype" w:eastAsia="Calibri" w:hAnsi="Palatino Linotype" w:cs="Arial"/>
          <w:lang w:val="es-ES"/>
        </w:rPr>
        <w:t xml:space="preserve"> (</w:t>
      </w:r>
      <w:r w:rsidR="00B55D4A">
        <w:rPr>
          <w:rFonts w:ascii="Palatino Linotype" w:eastAsia="Calibri" w:hAnsi="Palatino Linotype" w:cs="Arial"/>
          <w:lang w:val="es-ES"/>
        </w:rPr>
        <w:t>29</w:t>
      </w:r>
      <w:r w:rsidRPr="00443AB4">
        <w:rPr>
          <w:rFonts w:ascii="Palatino Linotype" w:eastAsia="Calibri" w:hAnsi="Palatino Linotype" w:cs="Arial"/>
          <w:lang w:val="es-ES"/>
        </w:rPr>
        <w:t xml:space="preserve">) de </w:t>
      </w:r>
      <w:r w:rsidRPr="00E2678D">
        <w:rPr>
          <w:rFonts w:ascii="Palatino Linotype" w:eastAsia="Calibri" w:hAnsi="Palatino Linotype" w:cs="Arial"/>
          <w:lang w:val="es-ES"/>
        </w:rPr>
        <w:t xml:space="preserve">noviembre </w:t>
      </w:r>
      <w:r w:rsidR="00E2678D" w:rsidRPr="00E2678D">
        <w:rPr>
          <w:rFonts w:ascii="Palatino Linotype" w:hAnsi="Palatino Linotype" w:cs="Tahoma"/>
        </w:rPr>
        <w:t xml:space="preserve">se </w:t>
      </w:r>
      <w:r w:rsidR="006D6CCC" w:rsidRPr="00E2678D">
        <w:rPr>
          <w:rFonts w:ascii="Palatino Linotype" w:eastAsia="Calibri" w:hAnsi="Palatino Linotype" w:cs="Arial"/>
          <w:lang w:val="es-ES"/>
        </w:rPr>
        <w:t>notificó el acuerdo mediante el cual se amplió el plazo para resolver el recurso de revisión por un periodo de quince (15) días hábiles.</w:t>
      </w:r>
      <w:r w:rsidR="001A4BC9" w:rsidRPr="00E2678D">
        <w:rPr>
          <w:rFonts w:ascii="Palatino Linotype" w:eastAsia="Calibri" w:hAnsi="Palatino Linotype" w:cs="Arial"/>
          <w:lang w:val="es-ES"/>
        </w:rPr>
        <w:t xml:space="preserve"> Asimismo, e</w:t>
      </w:r>
      <w:r w:rsidR="00554DF4" w:rsidRPr="00E2678D">
        <w:rPr>
          <w:rFonts w:ascii="Palatino Linotype" w:hAnsi="Palatino Linotype"/>
        </w:rPr>
        <w:t>l Comisionado Ponente decretó el cierre de instrucción</w:t>
      </w:r>
      <w:r w:rsidR="001A4BC9" w:rsidRPr="00E2678D">
        <w:rPr>
          <w:rFonts w:ascii="Palatino Linotype" w:hAnsi="Palatino Linotype" w:cs="Arial"/>
        </w:rPr>
        <w:t xml:space="preserve">, </w:t>
      </w:r>
      <w:r w:rsidR="00554DF4" w:rsidRPr="00E2678D">
        <w:rPr>
          <w:rFonts w:ascii="Palatino Linotype" w:hAnsi="Palatino Linotype" w:cs="Arial"/>
          <w:color w:val="000000" w:themeColor="text1"/>
          <w:highlight w:val="yellow"/>
        </w:rPr>
        <w:t xml:space="preserve">por lo que ordenó turnar el expediente para su resolución, misma que ahora se pronuncia; y  - - - - - - - - - - - </w:t>
      </w:r>
      <w:r w:rsidR="00554DF4" w:rsidRPr="00E2678D">
        <w:rPr>
          <w:rFonts w:ascii="Palatino Linotype" w:hAnsi="Palatino Linotype" w:cs="Arial"/>
          <w:highlight w:val="yellow"/>
        </w:rPr>
        <w:t xml:space="preserve">- </w:t>
      </w:r>
      <w:r w:rsidR="00A56957" w:rsidRPr="00E2678D">
        <w:rPr>
          <w:rFonts w:ascii="Palatino Linotype" w:hAnsi="Palatino Linotype" w:cs="Arial"/>
        </w:rPr>
        <w:t xml:space="preserve">- - </w:t>
      </w:r>
      <w:r w:rsidR="00550DA9" w:rsidRPr="00E2678D">
        <w:rPr>
          <w:rFonts w:ascii="Palatino Linotype" w:hAnsi="Palatino Linotype" w:cs="Arial"/>
        </w:rPr>
        <w:t xml:space="preserve">- - - - - - - - - - - - - - - - - - - - - - - </w:t>
      </w:r>
      <w:r w:rsidR="00E2678D">
        <w:rPr>
          <w:rFonts w:ascii="Palatino Linotype" w:hAnsi="Palatino Linotype" w:cs="Arial"/>
        </w:rPr>
        <w:t>- - - - - - - - - - - - - - - -</w:t>
      </w:r>
    </w:p>
    <w:p w:rsidR="00554DF4" w:rsidRDefault="00554DF4" w:rsidP="00554DF4">
      <w:pPr>
        <w:pStyle w:val="Ttulo1"/>
        <w:jc w:val="center"/>
        <w:rPr>
          <w:b w:val="0"/>
          <w:szCs w:val="24"/>
        </w:rPr>
      </w:pPr>
      <w:bookmarkStart w:id="6" w:name="_Toc32248301"/>
      <w:r>
        <w:rPr>
          <w:szCs w:val="24"/>
        </w:rPr>
        <w:t>CONSIDERANDO</w:t>
      </w:r>
      <w:bookmarkEnd w:id="6"/>
      <w:r>
        <w:rPr>
          <w:szCs w:val="24"/>
        </w:rPr>
        <w:t xml:space="preserve"> </w:t>
      </w:r>
    </w:p>
    <w:p w:rsidR="00554DF4" w:rsidRDefault="00554DF4" w:rsidP="00554DF4">
      <w:pPr>
        <w:rPr>
          <w:rFonts w:ascii="Palatino Linotype" w:hAnsi="Palatino Linotype"/>
          <w:lang w:val="es-MX" w:eastAsia="en-US"/>
        </w:rPr>
      </w:pPr>
    </w:p>
    <w:p w:rsidR="00554DF4" w:rsidRDefault="00554DF4" w:rsidP="00554DF4">
      <w:pPr>
        <w:pStyle w:val="Ttulo2"/>
        <w:rPr>
          <w:rFonts w:ascii="Palatino Linotype" w:hAnsi="Palatino Linotype"/>
          <w:b/>
          <w:bCs/>
          <w:color w:val="auto"/>
          <w:spacing w:val="60"/>
          <w:sz w:val="24"/>
        </w:rPr>
      </w:pPr>
      <w:bookmarkStart w:id="7" w:name="_Toc32248302"/>
      <w:r>
        <w:rPr>
          <w:rFonts w:ascii="Palatino Linotype" w:hAnsi="Palatino Linotype"/>
          <w:b/>
          <w:color w:val="auto"/>
          <w:sz w:val="24"/>
        </w:rPr>
        <w:t>PRIMERO. De la competencia</w:t>
      </w:r>
      <w:bookmarkEnd w:id="7"/>
    </w:p>
    <w:p w:rsidR="00554DF4" w:rsidRDefault="00554DF4" w:rsidP="00587D80">
      <w:pPr>
        <w:pStyle w:val="Prrafodelista"/>
        <w:numPr>
          <w:ilvl w:val="0"/>
          <w:numId w:val="1"/>
        </w:numPr>
        <w:spacing w:before="240" w:after="240" w:line="360" w:lineRule="auto"/>
        <w:ind w:left="0" w:firstLine="0"/>
        <w:jc w:val="both"/>
        <w:rPr>
          <w:rFonts w:ascii="Palatino Linotype" w:hAnsi="Palatino Linotype"/>
        </w:rPr>
      </w:pPr>
      <w:r>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Pr>
          <w:rFonts w:ascii="Palatino Linotype" w:eastAsia="Calibri" w:hAnsi="Palatino Linotype" w:cs="Times New Roman"/>
          <w:b/>
          <w:lang w:val="es-ES"/>
        </w:rPr>
        <w:t>Constitución Política de los Estados Unidos Mexicanos</w:t>
      </w:r>
      <w:r>
        <w:rPr>
          <w:rFonts w:ascii="Palatino Linotype" w:eastAsia="Calibri" w:hAnsi="Palatino Linotype" w:cs="Times New Roman"/>
          <w:lang w:val="es-ES"/>
        </w:rPr>
        <w:t xml:space="preserve">; 5, párrafos </w:t>
      </w:r>
      <w:r>
        <w:rPr>
          <w:rFonts w:ascii="Palatino Linotype" w:hAnsi="Palatino Linotype" w:cs="Arial"/>
          <w:bCs/>
          <w:color w:val="222222"/>
          <w:lang w:val="es-ES"/>
        </w:rPr>
        <w:t xml:space="preserve">vigésimo, vigésimo primero y vigésimo segundo </w:t>
      </w:r>
      <w:r>
        <w:rPr>
          <w:rFonts w:ascii="Palatino Linotype" w:eastAsia="Calibri" w:hAnsi="Palatino Linotype" w:cs="Times New Roman"/>
          <w:lang w:val="es-ES"/>
        </w:rPr>
        <w:t xml:space="preserve">fracciones IV y V de la </w:t>
      </w:r>
      <w:r>
        <w:rPr>
          <w:rFonts w:ascii="Palatino Linotype" w:eastAsia="Calibri" w:hAnsi="Palatino Linotype" w:cs="Times New Roman"/>
          <w:b/>
          <w:lang w:val="es-ES"/>
        </w:rPr>
        <w:lastRenderedPageBreak/>
        <w:t>Constitución Política del Estado Libre y Soberano de México</w:t>
      </w:r>
      <w:r>
        <w:rPr>
          <w:rFonts w:ascii="Palatino Linotype" w:eastAsia="Calibri" w:hAnsi="Palatino Linotype" w:cs="Times New Roman"/>
          <w:lang w:val="es-ES"/>
        </w:rPr>
        <w:t xml:space="preserve">; artículos 1, 2 fracción II, 13, 29, 36 fracciones I y II, 176, 178, 179, 181 párrafo tercero y 185 </w:t>
      </w:r>
      <w:r>
        <w:rPr>
          <w:rFonts w:ascii="Palatino Linotype" w:eastAsia="Calibri" w:hAnsi="Palatino Linotype" w:cs="Arial"/>
          <w:lang w:val="es-ES"/>
        </w:rPr>
        <w:t xml:space="preserve">de la </w:t>
      </w:r>
      <w:r>
        <w:rPr>
          <w:rFonts w:ascii="Palatino Linotype" w:eastAsia="Calibri" w:hAnsi="Palatino Linotype" w:cs="Arial"/>
          <w:b/>
          <w:lang w:val="es-ES"/>
        </w:rPr>
        <w:t>Ley de Transparencia y Acceso a la Información Pública del Estado de México y Municipios</w:t>
      </w:r>
      <w:r>
        <w:rPr>
          <w:rFonts w:ascii="Palatino Linotype" w:eastAsia="Calibri" w:hAnsi="Palatino Linotype" w:cs="Arial"/>
          <w:lang w:val="es-ES"/>
        </w:rPr>
        <w:t xml:space="preserve">; y 7, 9 fracciones I y XXIV, y 11 del </w:t>
      </w:r>
      <w:r>
        <w:rPr>
          <w:rFonts w:ascii="Palatino Linotype" w:eastAsia="Calibri" w:hAnsi="Palatino Linotype" w:cs="Arial"/>
          <w:b/>
          <w:lang w:val="es-ES"/>
        </w:rPr>
        <w:t>Reglamento Interior del Instituto de Transparencia, Acceso a la Información Pública y Protección de Datos Personales del Estado de México y Municipios</w:t>
      </w:r>
      <w:r>
        <w:rPr>
          <w:rFonts w:ascii="Palatino Linotype" w:hAnsi="Palatino Linotype"/>
        </w:rPr>
        <w:t>.</w:t>
      </w:r>
    </w:p>
    <w:p w:rsidR="00554DF4" w:rsidRDefault="00554DF4" w:rsidP="00554DF4">
      <w:pPr>
        <w:pStyle w:val="Ttulo2"/>
        <w:rPr>
          <w:rFonts w:ascii="Palatino Linotype" w:hAnsi="Palatino Linotype"/>
          <w:b/>
          <w:color w:val="auto"/>
          <w:sz w:val="24"/>
        </w:rPr>
      </w:pPr>
      <w:bookmarkStart w:id="8" w:name="_Toc32248303"/>
      <w:r>
        <w:rPr>
          <w:rFonts w:ascii="Palatino Linotype" w:hAnsi="Palatino Linotype"/>
          <w:b/>
          <w:color w:val="auto"/>
          <w:sz w:val="24"/>
        </w:rPr>
        <w:t>SEGUNDO. De la oportunidad y procedencia.</w:t>
      </w:r>
      <w:bookmarkEnd w:id="8"/>
    </w:p>
    <w:p w:rsidR="00554DF4" w:rsidRPr="001A4BC9"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Pr>
          <w:rFonts w:ascii="Palatino Linotype" w:eastAsia="Calibri" w:hAnsi="Palatino Linotype" w:cs="Arial"/>
        </w:rPr>
        <w:t xml:space="preserve">El medio de impugnación fue presentado a través del </w:t>
      </w:r>
      <w:r>
        <w:rPr>
          <w:rFonts w:ascii="Palatino Linotype" w:eastAsia="Calibri" w:hAnsi="Palatino Linotype" w:cs="Arial"/>
          <w:b/>
        </w:rPr>
        <w:t>SAIMEX,</w:t>
      </w:r>
      <w:r>
        <w:rPr>
          <w:rFonts w:ascii="Palatino Linotype" w:eastAsia="Calibri" w:hAnsi="Palatino Linotype" w:cs="Arial"/>
        </w:rPr>
        <w:t xml:space="preserve"> en el formato previamente aprobado para tal efecto y dentro del plazo legal de quince días hábiles otorgados; siendo así que el </w:t>
      </w:r>
      <w:r>
        <w:rPr>
          <w:rFonts w:ascii="Palatino Linotype" w:eastAsia="Calibri" w:hAnsi="Palatino Linotype" w:cs="Arial"/>
          <w:b/>
        </w:rPr>
        <w:t>SUJETO OBLIGADO</w:t>
      </w:r>
      <w:r>
        <w:rPr>
          <w:rFonts w:ascii="Palatino Linotype" w:eastAsia="Calibri" w:hAnsi="Palatino Linotype" w:cs="Arial"/>
        </w:rPr>
        <w:t xml:space="preserve"> entregó respuesta a la solicitud el día</w:t>
      </w:r>
      <w:r w:rsidR="001A4BC9">
        <w:rPr>
          <w:rFonts w:ascii="Palatino Linotype" w:eastAsia="Calibri" w:hAnsi="Palatino Linotype" w:cs="Arial"/>
        </w:rPr>
        <w:t xml:space="preserve"> </w:t>
      </w:r>
      <w:r w:rsidR="00E2678D">
        <w:rPr>
          <w:rFonts w:ascii="Palatino Linotype" w:eastAsia="Calibri" w:hAnsi="Palatino Linotype" w:cs="Arial"/>
        </w:rPr>
        <w:t>catorce</w:t>
      </w:r>
      <w:r>
        <w:rPr>
          <w:rFonts w:ascii="Palatino Linotype" w:eastAsia="Calibri" w:hAnsi="Palatino Linotype" w:cs="Arial"/>
        </w:rPr>
        <w:t xml:space="preserve"> (</w:t>
      </w:r>
      <w:r w:rsidR="00E2678D">
        <w:rPr>
          <w:rFonts w:ascii="Palatino Linotype" w:eastAsia="Calibri" w:hAnsi="Palatino Linotype" w:cs="Arial"/>
        </w:rPr>
        <w:t>14</w:t>
      </w:r>
      <w:r>
        <w:rPr>
          <w:rFonts w:ascii="Palatino Linotype" w:eastAsia="Calibri" w:hAnsi="Palatino Linotype" w:cs="Arial"/>
        </w:rPr>
        <w:t xml:space="preserve">) de </w:t>
      </w:r>
      <w:r w:rsidR="001A4BC9">
        <w:rPr>
          <w:rFonts w:ascii="Palatino Linotype" w:eastAsia="Calibri" w:hAnsi="Palatino Linotype" w:cs="Arial"/>
        </w:rPr>
        <w:t>noviembre</w:t>
      </w:r>
      <w:r>
        <w:rPr>
          <w:rFonts w:ascii="Palatino Linotype" w:eastAsia="Calibri" w:hAnsi="Palatino Linotype" w:cs="Arial"/>
        </w:rPr>
        <w:t xml:space="preserve"> de dos mil diecinueve, </w:t>
      </w:r>
      <w:r>
        <w:rPr>
          <w:rFonts w:ascii="Palatino Linotype" w:hAnsi="Palatino Linotype" w:cs="Arial"/>
        </w:rPr>
        <w:t xml:space="preserve">de tal forma que el plazo para interponer el recurso de revisión transcurrió del </w:t>
      </w:r>
      <w:r w:rsidR="00E2678D">
        <w:rPr>
          <w:rFonts w:ascii="Palatino Linotype" w:hAnsi="Palatino Linotype" w:cs="Arial"/>
        </w:rPr>
        <w:t>quince</w:t>
      </w:r>
      <w:r w:rsidR="00AA15CC">
        <w:rPr>
          <w:rFonts w:ascii="Palatino Linotype" w:hAnsi="Palatino Linotype" w:cs="Arial"/>
        </w:rPr>
        <w:t xml:space="preserve"> </w:t>
      </w:r>
      <w:r>
        <w:rPr>
          <w:rFonts w:ascii="Palatino Linotype" w:hAnsi="Palatino Linotype" w:cs="Arial"/>
        </w:rPr>
        <w:t>(</w:t>
      </w:r>
      <w:r w:rsidR="00E2678D">
        <w:rPr>
          <w:rFonts w:ascii="Palatino Linotype" w:hAnsi="Palatino Linotype" w:cs="Arial"/>
        </w:rPr>
        <w:t>15</w:t>
      </w:r>
      <w:r>
        <w:rPr>
          <w:rFonts w:ascii="Palatino Linotype" w:hAnsi="Palatino Linotype" w:cs="Arial"/>
        </w:rPr>
        <w:t xml:space="preserve">) </w:t>
      </w:r>
      <w:r w:rsidR="00E2678D">
        <w:rPr>
          <w:rFonts w:ascii="Palatino Linotype" w:hAnsi="Palatino Linotype" w:cs="Arial"/>
        </w:rPr>
        <w:t>de noviembre al</w:t>
      </w:r>
      <w:r w:rsidR="00A56957">
        <w:rPr>
          <w:rFonts w:ascii="Palatino Linotype" w:hAnsi="Palatino Linotype" w:cs="Arial"/>
        </w:rPr>
        <w:t xml:space="preserve"> </w:t>
      </w:r>
      <w:r w:rsidR="00E2678D">
        <w:rPr>
          <w:rFonts w:ascii="Palatino Linotype" w:hAnsi="Palatino Linotype" w:cs="Arial"/>
        </w:rPr>
        <w:t>seis</w:t>
      </w:r>
      <w:r w:rsidR="00A56957">
        <w:rPr>
          <w:rFonts w:ascii="Palatino Linotype" w:hAnsi="Palatino Linotype" w:cs="Arial"/>
        </w:rPr>
        <w:t xml:space="preserve"> (</w:t>
      </w:r>
      <w:r w:rsidR="00E2678D">
        <w:rPr>
          <w:rFonts w:ascii="Palatino Linotype" w:hAnsi="Palatino Linotype" w:cs="Arial"/>
        </w:rPr>
        <w:t>6</w:t>
      </w:r>
      <w:r w:rsidR="00A56957">
        <w:rPr>
          <w:rFonts w:ascii="Palatino Linotype" w:hAnsi="Palatino Linotype" w:cs="Arial"/>
        </w:rPr>
        <w:t xml:space="preserve">) </w:t>
      </w:r>
      <w:r w:rsidR="006B009B">
        <w:rPr>
          <w:rFonts w:ascii="Palatino Linotype" w:hAnsi="Palatino Linotype" w:cs="Arial"/>
        </w:rPr>
        <w:t xml:space="preserve">de </w:t>
      </w:r>
      <w:r w:rsidR="00E2678D">
        <w:rPr>
          <w:rFonts w:ascii="Palatino Linotype" w:hAnsi="Palatino Linotype" w:cs="Arial"/>
        </w:rPr>
        <w:t>diciembre</w:t>
      </w:r>
      <w:r w:rsidR="006B009B">
        <w:rPr>
          <w:rFonts w:ascii="Palatino Linotype" w:hAnsi="Palatino Linotype" w:cs="Arial"/>
        </w:rPr>
        <w:t xml:space="preserve"> </w:t>
      </w:r>
      <w:r w:rsidR="00A56957">
        <w:rPr>
          <w:rFonts w:ascii="Palatino Linotype" w:hAnsi="Palatino Linotype" w:cs="Arial"/>
        </w:rPr>
        <w:t xml:space="preserve">de  dos </w:t>
      </w:r>
      <w:r>
        <w:rPr>
          <w:rFonts w:ascii="Palatino Linotype" w:hAnsi="Palatino Linotype" w:cs="Arial"/>
        </w:rPr>
        <w:t>mil diecinueve; en consecuencia, presen</w:t>
      </w:r>
      <w:r w:rsidR="006B009B">
        <w:rPr>
          <w:rFonts w:ascii="Palatino Linotype" w:hAnsi="Palatino Linotype" w:cs="Arial"/>
        </w:rPr>
        <w:t xml:space="preserve">tó su inconformidad el día </w:t>
      </w:r>
      <w:r w:rsidR="00E2678D">
        <w:rPr>
          <w:rFonts w:ascii="Palatino Linotype" w:hAnsi="Palatino Linotype" w:cs="Arial"/>
        </w:rPr>
        <w:t>quince</w:t>
      </w:r>
      <w:r>
        <w:rPr>
          <w:rFonts w:ascii="Palatino Linotype" w:eastAsia="Calibri" w:hAnsi="Palatino Linotype" w:cs="Arial"/>
        </w:rPr>
        <w:t xml:space="preserve"> (</w:t>
      </w:r>
      <w:r w:rsidR="00E2678D">
        <w:rPr>
          <w:rFonts w:ascii="Palatino Linotype" w:eastAsia="Calibri" w:hAnsi="Palatino Linotype" w:cs="Arial"/>
        </w:rPr>
        <w:t>1</w:t>
      </w:r>
      <w:r w:rsidR="00AA15CC">
        <w:rPr>
          <w:rFonts w:ascii="Palatino Linotype" w:eastAsia="Calibri" w:hAnsi="Palatino Linotype" w:cs="Arial"/>
        </w:rPr>
        <w:t>5</w:t>
      </w:r>
      <w:r>
        <w:rPr>
          <w:rFonts w:ascii="Palatino Linotype" w:eastAsia="Calibri" w:hAnsi="Palatino Linotype" w:cs="Arial"/>
        </w:rPr>
        <w:t xml:space="preserve">) de </w:t>
      </w:r>
      <w:r w:rsidR="001A4BC9">
        <w:rPr>
          <w:rFonts w:ascii="Palatino Linotype" w:eastAsia="Calibri" w:hAnsi="Palatino Linotype" w:cs="Arial"/>
        </w:rPr>
        <w:t>noviembre</w:t>
      </w:r>
      <w:r>
        <w:rPr>
          <w:rFonts w:ascii="Palatino Linotype" w:eastAsia="Calibri" w:hAnsi="Palatino Linotype" w:cs="Arial"/>
        </w:rPr>
        <w:t xml:space="preserve"> de dos mil diecinueve</w:t>
      </w:r>
      <w:r>
        <w:rPr>
          <w:rFonts w:ascii="Palatino Linotype" w:hAnsi="Palatino Linotype" w:cs="Arial"/>
        </w:rPr>
        <w:t xml:space="preserve">, por lo que se encuentra dentro de los márgenes temporales previstos en el artículo 178 de la </w:t>
      </w:r>
      <w:r>
        <w:rPr>
          <w:rFonts w:ascii="Palatino Linotype" w:hAnsi="Palatino Linotype" w:cs="Arial"/>
          <w:b/>
        </w:rPr>
        <w:t xml:space="preserve">Ley de Transparencia y Acceso a la Información Pública del Estado de México y Municipios </w:t>
      </w:r>
      <w:r w:rsidRPr="00274DA0">
        <w:rPr>
          <w:rFonts w:ascii="Palatino Linotype" w:hAnsi="Palatino Linotype" w:cs="Arial"/>
          <w:b/>
        </w:rPr>
        <w:t>vigente.</w:t>
      </w:r>
    </w:p>
    <w:p w:rsidR="001A4BC9" w:rsidRDefault="001A4BC9" w:rsidP="001A4BC9">
      <w:pPr>
        <w:pStyle w:val="Prrafodelista"/>
        <w:spacing w:before="240" w:after="240" w:line="360" w:lineRule="auto"/>
        <w:ind w:left="0" w:right="49"/>
        <w:jc w:val="both"/>
        <w:rPr>
          <w:rFonts w:ascii="Palatino Linotype" w:hAnsi="Palatino Linotype" w:cs="Arial"/>
          <w:b/>
        </w:rPr>
      </w:pPr>
    </w:p>
    <w:p w:rsidR="00554DF4"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54DF4" w:rsidRDefault="00554DF4" w:rsidP="00554DF4">
      <w:pPr>
        <w:pStyle w:val="Ttulo2"/>
        <w:rPr>
          <w:rFonts w:ascii="Palatino Linotype" w:hAnsi="Palatino Linotype"/>
          <w:b/>
          <w:color w:val="auto"/>
          <w:sz w:val="24"/>
        </w:rPr>
      </w:pPr>
      <w:bookmarkStart w:id="9" w:name="_Toc32248304"/>
      <w:bookmarkStart w:id="10" w:name="_Toc486525253"/>
      <w:r>
        <w:rPr>
          <w:rFonts w:ascii="Palatino Linotype" w:hAnsi="Palatino Linotype"/>
          <w:b/>
          <w:color w:val="auto"/>
          <w:sz w:val="24"/>
        </w:rPr>
        <w:lastRenderedPageBreak/>
        <w:t>TERCERO. Planteamiento de la Litis.</w:t>
      </w:r>
      <w:bookmarkEnd w:id="9"/>
    </w:p>
    <w:p w:rsidR="00554DF4" w:rsidRDefault="00554DF4" w:rsidP="00554DF4">
      <w:pPr>
        <w:rPr>
          <w:lang w:val="es-MX" w:eastAsia="en-US"/>
        </w:rPr>
      </w:pPr>
    </w:p>
    <w:p w:rsidR="00BD2091" w:rsidRDefault="00AA15CC" w:rsidP="00274DA0">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cs="Arial"/>
        </w:rPr>
        <w:t xml:space="preserve">Se solicitó </w:t>
      </w:r>
      <w:r w:rsidR="00BD2091">
        <w:rPr>
          <w:rFonts w:ascii="Palatino Linotype" w:hAnsi="Palatino Linotype" w:cs="Arial"/>
        </w:rPr>
        <w:t>información relacionada con los procesos de adquisición de las siguientes obras:</w:t>
      </w:r>
    </w:p>
    <w:p w:rsidR="00BD2091" w:rsidRDefault="00BD2091" w:rsidP="00A456E5">
      <w:pPr>
        <w:pStyle w:val="Prrafodelista"/>
        <w:numPr>
          <w:ilvl w:val="3"/>
          <w:numId w:val="1"/>
        </w:numPr>
        <w:spacing w:before="240" w:after="240" w:line="360" w:lineRule="auto"/>
        <w:ind w:left="567"/>
        <w:jc w:val="both"/>
        <w:rPr>
          <w:rFonts w:ascii="Palatino Linotype" w:hAnsi="Palatino Linotype" w:cs="Arial"/>
        </w:rPr>
      </w:pPr>
      <w:r>
        <w:rPr>
          <w:rFonts w:ascii="Palatino Linotype" w:hAnsi="Palatino Linotype" w:cs="Arial"/>
        </w:rPr>
        <w:t>Ampliación del sistema de agua potable en la C</w:t>
      </w:r>
      <w:r w:rsidR="00A456E5">
        <w:rPr>
          <w:rFonts w:ascii="Palatino Linotype" w:hAnsi="Palatino Linotype" w:cs="Arial"/>
        </w:rPr>
        <w:t>omu</w:t>
      </w:r>
      <w:r>
        <w:rPr>
          <w:rFonts w:ascii="Palatino Linotype" w:hAnsi="Palatino Linotype" w:cs="Arial"/>
        </w:rPr>
        <w:t xml:space="preserve">nidad de Barrio </w:t>
      </w:r>
      <w:r w:rsidR="00A456E5">
        <w:rPr>
          <w:rFonts w:ascii="Palatino Linotype" w:hAnsi="Palatino Linotype" w:cs="Arial"/>
        </w:rPr>
        <w:t xml:space="preserve">Santa Rita Pueblo Nuevo; y, </w:t>
      </w:r>
    </w:p>
    <w:p w:rsidR="00A456E5" w:rsidRPr="00A456E5" w:rsidRDefault="00A456E5" w:rsidP="00A456E5">
      <w:pPr>
        <w:pStyle w:val="Prrafodelista"/>
        <w:numPr>
          <w:ilvl w:val="3"/>
          <w:numId w:val="1"/>
        </w:numPr>
        <w:spacing w:before="240" w:after="240" w:line="360" w:lineRule="auto"/>
        <w:ind w:left="567"/>
        <w:jc w:val="both"/>
        <w:rPr>
          <w:rFonts w:ascii="Palatino Linotype" w:hAnsi="Palatino Linotype" w:cs="Arial"/>
        </w:rPr>
      </w:pPr>
      <w:r>
        <w:rPr>
          <w:rFonts w:ascii="Palatino Linotype" w:hAnsi="Palatino Linotype" w:cs="Arial"/>
        </w:rPr>
        <w:t>Construcción de Techado en el área de impartición de Educación Física en la Escuela Primaria Miguel hidalgo y Costilla, en la Comunidad de Colonia Benito Juárez.</w:t>
      </w:r>
    </w:p>
    <w:p w:rsidR="00AA15CC" w:rsidRDefault="00AA15CC" w:rsidP="00AA15CC">
      <w:pPr>
        <w:pStyle w:val="Prrafodelista"/>
        <w:spacing w:before="240" w:after="240" w:line="360" w:lineRule="auto"/>
        <w:ind w:left="0"/>
        <w:jc w:val="both"/>
        <w:rPr>
          <w:rFonts w:ascii="Palatino Linotype" w:hAnsi="Palatino Linotype" w:cs="Arial"/>
        </w:rPr>
      </w:pPr>
    </w:p>
    <w:p w:rsidR="00A456E5" w:rsidRPr="00A456E5" w:rsidRDefault="00AA15CC" w:rsidP="00A456E5">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cs="Arial"/>
        </w:rPr>
        <w:t>El Sujeto Obligado se limitó a referir que</w:t>
      </w:r>
      <w:r w:rsidR="00A456E5">
        <w:rPr>
          <w:rFonts w:ascii="Palatino Linotype" w:hAnsi="Palatino Linotype" w:cs="Arial"/>
        </w:rPr>
        <w:t xml:space="preserve"> la información se encuentra disponible en la dirección electrónica </w:t>
      </w:r>
      <w:r w:rsidR="00A456E5" w:rsidRPr="00A456E5">
        <w:rPr>
          <w:rFonts w:ascii="Palatino Linotype" w:hAnsi="Palatino Linotype"/>
          <w:i/>
          <w:color w:val="000000"/>
          <w:sz w:val="22"/>
          <w:szCs w:val="22"/>
        </w:rPr>
        <w:t>https://www.ipomex.org.mx/ipo3/lgt/indice/SANJOSEDELRINCON/art_92_xxix_a.web</w:t>
      </w:r>
    </w:p>
    <w:p w:rsidR="00A456E5" w:rsidRDefault="00A456E5" w:rsidP="00A456E5">
      <w:pPr>
        <w:pStyle w:val="Prrafodelista"/>
        <w:spacing w:before="240" w:after="240" w:line="360" w:lineRule="auto"/>
        <w:ind w:left="0"/>
        <w:jc w:val="both"/>
        <w:rPr>
          <w:rFonts w:ascii="Palatino Linotype" w:hAnsi="Palatino Linotype" w:cs="Arial"/>
        </w:rPr>
      </w:pPr>
    </w:p>
    <w:p w:rsidR="00A456E5" w:rsidRDefault="001C6B98" w:rsidP="00A456E5">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cs="Arial"/>
        </w:rPr>
        <w:t xml:space="preserve">El </w:t>
      </w:r>
      <w:r w:rsidR="00AA15CC">
        <w:rPr>
          <w:rFonts w:ascii="Palatino Linotype" w:hAnsi="Palatino Linotype" w:cs="Arial"/>
        </w:rPr>
        <w:t>r</w:t>
      </w:r>
      <w:r w:rsidR="00A456E5">
        <w:rPr>
          <w:rFonts w:ascii="Palatino Linotype" w:hAnsi="Palatino Linotype" w:cs="Arial"/>
        </w:rPr>
        <w:t>ecurrente se inconformó porque la información se encuentra incompleta.</w:t>
      </w:r>
    </w:p>
    <w:p w:rsidR="00A456E5" w:rsidRPr="00A456E5" w:rsidRDefault="00A456E5" w:rsidP="00A456E5">
      <w:pPr>
        <w:pStyle w:val="Prrafodelista"/>
        <w:rPr>
          <w:rFonts w:ascii="Palatino Linotype" w:hAnsi="Palatino Linotype" w:cs="Arial"/>
        </w:rPr>
      </w:pPr>
    </w:p>
    <w:p w:rsidR="00554DF4" w:rsidRDefault="00554DF4" w:rsidP="00587D80">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cs="Arial"/>
        </w:rPr>
        <w:t xml:space="preserve"> </w:t>
      </w:r>
      <w:r>
        <w:rPr>
          <w:rFonts w:ascii="Palatino Linotype" w:eastAsia="Times New Roman" w:hAnsi="Palatino Linotype" w:cs="Arial"/>
        </w:rPr>
        <w:t xml:space="preserve">En dichas condiciones, la </w:t>
      </w:r>
      <w:proofErr w:type="spellStart"/>
      <w:r>
        <w:rPr>
          <w:rFonts w:ascii="Palatino Linotype" w:eastAsia="Times New Roman" w:hAnsi="Palatino Linotype" w:cs="Arial"/>
          <w:i/>
        </w:rPr>
        <w:t>litis</w:t>
      </w:r>
      <w:proofErr w:type="spellEnd"/>
      <w:r>
        <w:rPr>
          <w:rFonts w:ascii="Palatino Linotype" w:eastAsia="Times New Roman" w:hAnsi="Palatino Linotype" w:cs="Arial"/>
        </w:rPr>
        <w:t xml:space="preserve"> a resolver en este recurso se circunscribe a determinar si </w:t>
      </w:r>
      <w:r>
        <w:rPr>
          <w:rFonts w:ascii="Palatino Linotype" w:eastAsia="MS Mincho" w:hAnsi="Palatino Linotype" w:cs="Arial"/>
        </w:rPr>
        <w:t xml:space="preserve">se actualiza la causal de procedencia prevista en el artículo 179, fracciones </w:t>
      </w:r>
      <w:r w:rsidR="00A456E5" w:rsidRPr="00A456E5">
        <w:rPr>
          <w:rFonts w:ascii="Palatino Linotype" w:eastAsia="MS Mincho" w:hAnsi="Palatino Linotype" w:cs="Arial"/>
          <w:b/>
        </w:rPr>
        <w:t>V</w:t>
      </w:r>
      <w:r w:rsidR="001C6B98">
        <w:rPr>
          <w:rFonts w:ascii="Palatino Linotype" w:eastAsia="MS Mincho" w:hAnsi="Palatino Linotype" w:cs="Arial"/>
        </w:rPr>
        <w:t xml:space="preserve"> </w:t>
      </w:r>
      <w:r>
        <w:rPr>
          <w:rFonts w:ascii="Palatino Linotype" w:eastAsia="MS Mincho" w:hAnsi="Palatino Linotype" w:cs="Arial"/>
        </w:rPr>
        <w:t>de la Ley de Transparencia y Acceso a la Información Pública del Estado de México y Municipios.</w:t>
      </w:r>
    </w:p>
    <w:p w:rsidR="00554DF4" w:rsidRDefault="00554DF4" w:rsidP="00554DF4">
      <w:pPr>
        <w:rPr>
          <w:lang w:val="es-MX" w:eastAsia="en-US"/>
        </w:rPr>
      </w:pPr>
    </w:p>
    <w:p w:rsidR="00554DF4" w:rsidRDefault="00554DF4" w:rsidP="00554DF4">
      <w:pPr>
        <w:pStyle w:val="Ttulo2"/>
        <w:rPr>
          <w:rFonts w:ascii="Palatino Linotype" w:eastAsia="Times New Roman" w:hAnsi="Palatino Linotype" w:cs="Arial"/>
          <w:color w:val="000000"/>
        </w:rPr>
      </w:pPr>
      <w:bookmarkStart w:id="11" w:name="_Toc32248305"/>
      <w:r>
        <w:rPr>
          <w:rFonts w:ascii="Palatino Linotype" w:hAnsi="Palatino Linotype"/>
          <w:b/>
          <w:color w:val="auto"/>
          <w:sz w:val="24"/>
        </w:rPr>
        <w:t xml:space="preserve">CUARTO. </w:t>
      </w:r>
      <w:bookmarkEnd w:id="10"/>
      <w:r>
        <w:rPr>
          <w:rFonts w:ascii="Palatino Linotype" w:hAnsi="Palatino Linotype"/>
          <w:b/>
          <w:color w:val="auto"/>
          <w:sz w:val="24"/>
        </w:rPr>
        <w:t>Análisis y resolución del asunto.</w:t>
      </w:r>
      <w:bookmarkEnd w:id="11"/>
    </w:p>
    <w:p w:rsidR="00554DF4" w:rsidRDefault="00554DF4" w:rsidP="00554DF4">
      <w:pPr>
        <w:rPr>
          <w:lang w:val="es-MX" w:eastAsia="en-US"/>
        </w:rPr>
      </w:pPr>
    </w:p>
    <w:p w:rsidR="00554DF4" w:rsidRDefault="00554DF4" w:rsidP="00554DF4">
      <w:pPr>
        <w:pStyle w:val="Prrafodelista"/>
        <w:rPr>
          <w:rFonts w:ascii="Palatino Linotype" w:hAnsi="Palatino Linotype" w:cs="Arial"/>
        </w:rPr>
      </w:pPr>
      <w:bookmarkStart w:id="12" w:name="_Toc476675991"/>
      <w:bookmarkStart w:id="13" w:name="_Toc454373811"/>
      <w:bookmarkStart w:id="14" w:name="_Toc452722829"/>
    </w:p>
    <w:p w:rsidR="00554DF4" w:rsidRDefault="00554DF4" w:rsidP="00C5169B">
      <w:pPr>
        <w:pStyle w:val="Ttulo2"/>
        <w:numPr>
          <w:ilvl w:val="0"/>
          <w:numId w:val="2"/>
        </w:numPr>
        <w:spacing w:line="256" w:lineRule="auto"/>
        <w:rPr>
          <w:rFonts w:ascii="Palatino Linotype" w:hAnsi="Palatino Linotype"/>
          <w:b/>
          <w:color w:val="auto"/>
          <w:sz w:val="24"/>
        </w:rPr>
      </w:pPr>
      <w:bookmarkStart w:id="15" w:name="_Toc9525984"/>
      <w:bookmarkStart w:id="16" w:name="_Toc32248306"/>
      <w:r>
        <w:rPr>
          <w:rFonts w:ascii="Palatino Linotype" w:hAnsi="Palatino Linotype"/>
          <w:b/>
          <w:color w:val="auto"/>
          <w:sz w:val="24"/>
        </w:rPr>
        <w:t>El derecho de acceso a la información.</w:t>
      </w:r>
      <w:bookmarkEnd w:id="15"/>
      <w:bookmarkEnd w:id="16"/>
    </w:p>
    <w:p w:rsidR="00554DF4" w:rsidRDefault="00554DF4" w:rsidP="00554DF4">
      <w:pPr>
        <w:rPr>
          <w:lang w:val="es-MX" w:eastAsia="en-US"/>
        </w:rPr>
      </w:pPr>
    </w:p>
    <w:p w:rsidR="00554DF4" w:rsidRDefault="00554DF4" w:rsidP="00554DF4">
      <w:pPr>
        <w:rPr>
          <w:lang w:val="es-MX" w:eastAsia="en-US"/>
        </w:rPr>
      </w:pPr>
    </w:p>
    <w:p w:rsidR="00554DF4" w:rsidRDefault="00554DF4" w:rsidP="00587D80">
      <w:pPr>
        <w:pStyle w:val="Prrafodelista"/>
        <w:numPr>
          <w:ilvl w:val="0"/>
          <w:numId w:val="1"/>
        </w:numPr>
        <w:spacing w:line="360" w:lineRule="auto"/>
        <w:ind w:left="0" w:firstLine="0"/>
        <w:jc w:val="both"/>
        <w:rPr>
          <w:rFonts w:ascii="Palatino Linotype" w:hAnsi="Palatino Linotype"/>
          <w:color w:val="000000"/>
          <w:sz w:val="22"/>
          <w:szCs w:val="22"/>
        </w:rPr>
      </w:pPr>
      <w:r>
        <w:rPr>
          <w:rFonts w:ascii="Palatino Linotype" w:hAnsi="Palatino Linotype"/>
          <w:color w:val="000000"/>
          <w:sz w:val="22"/>
          <w:szCs w:val="22"/>
        </w:rPr>
        <w:t xml:space="preserve">El Derecho que tutela este Órgano Garante es la </w:t>
      </w:r>
      <w:r>
        <w:rPr>
          <w:rFonts w:ascii="Palatino Linotype" w:eastAsia="Times New Roman" w:hAnsi="Palatino Linotype" w:cs="Arial"/>
          <w:color w:val="000000" w:themeColor="text1"/>
          <w:lang w:eastAsia="es-MX"/>
        </w:rPr>
        <w:t xml:space="preserve"> </w:t>
      </w:r>
      <w:r>
        <w:rPr>
          <w:rFonts w:ascii="Palatino Linotype" w:eastAsia="MS Mincho" w:hAnsi="Palatino Linotype" w:cs="Times New Roman"/>
          <w:i/>
        </w:rPr>
        <w:t>igualdad de oportunidades para recibir, buscar e impartir información</w:t>
      </w:r>
      <w:r>
        <w:rPr>
          <w:rStyle w:val="Refdenotaalpie"/>
          <w:rFonts w:ascii="Palatino Linotype" w:eastAsia="MS Mincho" w:hAnsi="Palatino Linotype" w:cs="Times New Roman"/>
          <w:i/>
        </w:rPr>
        <w:footnoteReference w:id="1"/>
      </w:r>
      <w:r>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Style w:val="Refdenotaalpie"/>
          <w:rFonts w:ascii="Palatino Linotype" w:eastAsia="MS Mincho" w:hAnsi="Palatino Linotype" w:cs="Times New Roman"/>
        </w:rPr>
        <w:footnoteReference w:id="2"/>
      </w:r>
      <w:r>
        <w:rPr>
          <w:rFonts w:ascii="Palatino Linotype" w:eastAsia="MS Mincho" w:hAnsi="Palatino Linotype" w:cs="Times New Roman"/>
          <w:i/>
        </w:rPr>
        <w:t xml:space="preserve"> </w:t>
      </w:r>
      <w:r>
        <w:rPr>
          <w:rFonts w:ascii="Palatino Linotype" w:eastAsia="MS Mincho" w:hAnsi="Palatino Linotype" w:cs="Times New Roman"/>
        </w:rPr>
        <w:t xml:space="preserve">que se constituye como una herramienta fundamental para </w:t>
      </w:r>
      <w:r>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Pr>
          <w:rStyle w:val="Refdenotaalpie"/>
          <w:rFonts w:ascii="Palatino Linotype" w:eastAsia="MS Mincho" w:hAnsi="Palatino Linotype" w:cs="Times New Roman"/>
          <w:i/>
        </w:rPr>
        <w:footnoteReference w:id="3"/>
      </w:r>
      <w:r>
        <w:rPr>
          <w:rFonts w:ascii="Palatino Linotype" w:eastAsia="MS Mincho" w:hAnsi="Palatino Linotype" w:cs="Times New Roman"/>
        </w:rPr>
        <w:t>fomentando</w:t>
      </w:r>
      <w:r>
        <w:rPr>
          <w:rFonts w:ascii="Palatino Linotype" w:eastAsia="MS Mincho" w:hAnsi="Palatino Linotype" w:cs="Times New Roman"/>
          <w:i/>
        </w:rPr>
        <w:t xml:space="preserve"> la transparencia de las actividades estatales y</w:t>
      </w:r>
      <w:r>
        <w:rPr>
          <w:rFonts w:ascii="Palatino Linotype" w:eastAsia="MS Mincho" w:hAnsi="Palatino Linotype" w:cs="Times New Roman"/>
        </w:rPr>
        <w:t xml:space="preserve"> promoviendo</w:t>
      </w:r>
      <w:r>
        <w:rPr>
          <w:rFonts w:ascii="Palatino Linotype" w:eastAsia="MS Mincho" w:hAnsi="Palatino Linotype" w:cs="Times New Roman"/>
          <w:i/>
        </w:rPr>
        <w:t xml:space="preserve"> la responsabilidad de los funcionarios sobre su gestión pública</w:t>
      </w:r>
      <w:r>
        <w:rPr>
          <w:rStyle w:val="Refdenotaalpie"/>
          <w:rFonts w:ascii="Palatino Linotype" w:eastAsia="MS Mincho" w:hAnsi="Palatino Linotype" w:cs="Times New Roman"/>
          <w:i/>
        </w:rPr>
        <w:footnoteReference w:id="4"/>
      </w:r>
      <w:r>
        <w:rPr>
          <w:rFonts w:ascii="Palatino Linotype" w:eastAsia="MS Mincho" w:hAnsi="Palatino Linotype" w:cs="Times New Roman"/>
          <w:i/>
        </w:rPr>
        <w:t xml:space="preserve"> </w:t>
      </w:r>
      <w:r>
        <w:rPr>
          <w:rFonts w:ascii="Palatino Linotype" w:eastAsia="MS Mincho" w:hAnsi="Palatino Linotype" w:cs="Times New Roman"/>
        </w:rPr>
        <w:t>que permite</w:t>
      </w:r>
      <w:r>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Pr>
          <w:rStyle w:val="Refdenotaalpie"/>
          <w:rFonts w:ascii="Palatino Linotype" w:eastAsia="MS Mincho" w:hAnsi="Palatino Linotype" w:cs="Times New Roman"/>
          <w:i/>
        </w:rPr>
        <w:footnoteReference w:id="5"/>
      </w:r>
      <w:r>
        <w:rPr>
          <w:rFonts w:ascii="Palatino Linotype" w:eastAsia="MS Mincho" w:hAnsi="Palatino Linotype" w:cs="Times New Roman"/>
        </w:rPr>
        <w:t xml:space="preserve"> ” </w:t>
      </w:r>
    </w:p>
    <w:p w:rsidR="00554DF4" w:rsidRDefault="00554DF4" w:rsidP="00554DF4">
      <w:pPr>
        <w:pStyle w:val="Prrafodelista"/>
        <w:spacing w:line="360" w:lineRule="auto"/>
        <w:ind w:left="0"/>
        <w:jc w:val="both"/>
        <w:rPr>
          <w:rFonts w:ascii="Palatino Linotype" w:hAnsi="Palatino Linotype"/>
          <w:color w:val="000000"/>
          <w:sz w:val="22"/>
          <w:szCs w:val="22"/>
        </w:rPr>
      </w:pPr>
    </w:p>
    <w:p w:rsidR="00554DF4" w:rsidRDefault="00554DF4" w:rsidP="00587D80">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Pr>
          <w:rFonts w:ascii="Palatino Linotype" w:hAnsi="Palatino Linotype" w:cs="Arial"/>
        </w:rPr>
        <w:t xml:space="preserve">Ahora bien para entender los alcances de la información pública se considera importante citar el criterio </w:t>
      </w:r>
      <w:r>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w:t>
      </w:r>
      <w:r>
        <w:rPr>
          <w:rFonts w:ascii="Palatino Linotype" w:hAnsi="Palatino Linotype" w:cs="Arial"/>
          <w:bCs/>
          <w:lang w:val="es-MX" w:eastAsia="es-MX"/>
        </w:rPr>
        <w:lastRenderedPageBreak/>
        <w:t xml:space="preserve">Periódico Oficial del Gobierno del Estado Libre y Soberano de México “Gaceta del Gobierno” el diecinueve de octubre de dos mil once, </w:t>
      </w:r>
      <w:r>
        <w:rPr>
          <w:rFonts w:ascii="Palatino Linotype" w:hAnsi="Palatino Linotype" w:cs="Arial"/>
        </w:rPr>
        <w:t>cuyo rubro y texto dispone:</w:t>
      </w:r>
    </w:p>
    <w:p w:rsidR="00554DF4" w:rsidRDefault="00554DF4" w:rsidP="00554DF4">
      <w:pPr>
        <w:pStyle w:val="Prrafodelista"/>
        <w:autoSpaceDE w:val="0"/>
        <w:autoSpaceDN w:val="0"/>
        <w:adjustRightInd w:val="0"/>
        <w:spacing w:line="360" w:lineRule="auto"/>
        <w:ind w:left="0"/>
        <w:jc w:val="both"/>
        <w:rPr>
          <w:rFonts w:ascii="Palatino Linotype" w:hAnsi="Palatino Linotype" w:cs="Arial"/>
          <w:lang w:val="es-MX"/>
        </w:rPr>
      </w:pPr>
    </w:p>
    <w:p w:rsidR="00554DF4" w:rsidRDefault="00554DF4" w:rsidP="00554DF4">
      <w:pPr>
        <w:autoSpaceDE w:val="0"/>
        <w:autoSpaceDN w:val="0"/>
        <w:adjustRightInd w:val="0"/>
        <w:spacing w:line="360" w:lineRule="auto"/>
        <w:ind w:left="567" w:right="567"/>
        <w:jc w:val="both"/>
        <w:rPr>
          <w:rFonts w:ascii="Palatino Linotype" w:hAnsi="Palatino Linotype" w:cs="Arial"/>
          <w:b/>
          <w:i/>
          <w:sz w:val="22"/>
          <w:szCs w:val="22"/>
          <w:lang w:val="es-MX" w:eastAsia="es-MX"/>
        </w:rPr>
      </w:pPr>
      <w:r>
        <w:rPr>
          <w:rFonts w:ascii="Palatino Linotype" w:hAnsi="Palatino Linotype" w:cs="Arial"/>
          <w:b/>
          <w:i/>
          <w:sz w:val="22"/>
          <w:szCs w:val="22"/>
          <w:lang w:val="es-MX" w:eastAsia="es-MX"/>
        </w:rPr>
        <w:t>“CRITERIO 0002-11</w:t>
      </w:r>
    </w:p>
    <w:p w:rsidR="00554DF4"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Pr>
          <w:rFonts w:ascii="Palatino Linotype" w:hAnsi="Palatino Linotype" w:cs="Arial"/>
          <w:b/>
          <w:bCs/>
          <w:i/>
          <w:sz w:val="22"/>
          <w:szCs w:val="22"/>
          <w:lang w:val="es-MX" w:eastAsia="es-MX"/>
        </w:rPr>
        <w:t xml:space="preserve">V, XV, Y XVI, </w:t>
      </w:r>
      <w:r>
        <w:rPr>
          <w:rFonts w:ascii="Palatino Linotype" w:hAnsi="Palatino Linotype" w:cs="Arial"/>
          <w:b/>
          <w:i/>
          <w:sz w:val="22"/>
          <w:szCs w:val="22"/>
          <w:lang w:val="es-MX" w:eastAsia="es-MX"/>
        </w:rPr>
        <w:t>3, 4,11 Y 41.</w:t>
      </w:r>
      <w:r>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4DF4"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Pr>
          <w:rFonts w:ascii="Palatino Linotype" w:hAnsi="Palatino Linotype" w:cs="Arial"/>
          <w:i/>
          <w:sz w:val="22"/>
          <w:szCs w:val="22"/>
          <w:lang w:val="es-MX" w:eastAsia="es-MX"/>
        </w:rPr>
        <w:t>En consecuencia el acceso a la información se refiere a que se cumplan cualquiera de los siguientes tres supuestos:</w:t>
      </w:r>
    </w:p>
    <w:p w:rsidR="00554DF4"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554DF4"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554DF4" w:rsidRDefault="00554DF4" w:rsidP="00554DF4">
      <w:pPr>
        <w:spacing w:line="360" w:lineRule="auto"/>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554DF4"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Default="00554DF4" w:rsidP="00587D80">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28"/>
          <w:lang w:val="es-ES"/>
        </w:rPr>
      </w:pPr>
      <w:r>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554DF4" w:rsidRDefault="00554DF4" w:rsidP="00554DF4">
      <w:pPr>
        <w:autoSpaceDE w:val="0"/>
        <w:autoSpaceDN w:val="0"/>
        <w:adjustRightInd w:val="0"/>
        <w:spacing w:line="360" w:lineRule="auto"/>
        <w:ind w:left="567" w:right="567"/>
        <w:jc w:val="both"/>
        <w:rPr>
          <w:rFonts w:ascii="Palatino Linotype" w:hAnsi="Palatino Linotype"/>
          <w:i/>
          <w:sz w:val="28"/>
          <w:lang w:val="es-ES"/>
        </w:rPr>
      </w:pPr>
      <w:r>
        <w:rPr>
          <w:rFonts w:ascii="Palatino Linotype" w:eastAsiaTheme="minorHAnsi" w:hAnsi="Palatino Linotype" w:cs="Bookman Old Style,Bold"/>
          <w:b/>
          <w:bCs/>
          <w:i/>
          <w:sz w:val="22"/>
          <w:szCs w:val="20"/>
          <w:lang w:val="es-MX" w:eastAsia="en-US"/>
        </w:rPr>
        <w:lastRenderedPageBreak/>
        <w:t xml:space="preserve">XI. Documento: </w:t>
      </w:r>
      <w:r>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Pr>
          <w:rFonts w:ascii="Palatino Linotype" w:eastAsiaTheme="minorHAnsi" w:hAnsi="Palatino Linotype" w:cs="Bookman Old Style"/>
          <w:b/>
          <w:i/>
          <w:sz w:val="22"/>
          <w:szCs w:val="20"/>
          <w:lang w:val="es-MX" w:eastAsia="en-US"/>
        </w:rPr>
        <w:t>cualquier otro registro</w:t>
      </w:r>
      <w:r>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54DF4"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554DF4" w:rsidRDefault="00554DF4" w:rsidP="00554DF4">
      <w:pPr>
        <w:pStyle w:val="Prrafodelista"/>
        <w:spacing w:line="360" w:lineRule="auto"/>
        <w:ind w:left="0"/>
        <w:jc w:val="both"/>
        <w:rPr>
          <w:rFonts w:ascii="Palatino Linotype" w:eastAsia="Calibri" w:hAnsi="Palatino Linotype" w:cs="Arial"/>
        </w:rPr>
      </w:pPr>
    </w:p>
    <w:p w:rsidR="00554DF4" w:rsidRDefault="00554DF4" w:rsidP="00587D80">
      <w:pPr>
        <w:pStyle w:val="Prrafodelista"/>
        <w:numPr>
          <w:ilvl w:val="0"/>
          <w:numId w:val="1"/>
        </w:numPr>
        <w:spacing w:line="360" w:lineRule="auto"/>
        <w:ind w:left="0" w:firstLine="0"/>
        <w:jc w:val="both"/>
        <w:rPr>
          <w:rFonts w:ascii="Palatino Linotype" w:eastAsia="Calibri" w:hAnsi="Palatino Linotype" w:cs="Arial"/>
        </w:rPr>
      </w:pPr>
      <w:r>
        <w:rPr>
          <w:rFonts w:ascii="Palatino Linotype" w:eastAsia="Calibri" w:hAnsi="Palatino Linotype" w:cs="Arial"/>
        </w:rPr>
        <w:t>E</w:t>
      </w:r>
      <w:r>
        <w:rPr>
          <w:rFonts w:ascii="Palatino Linotype" w:eastAsia="MS Mincho" w:hAnsi="Palatino Linotype"/>
        </w:rPr>
        <w:t xml:space="preserve">l acceso a la información es un derecho humano constitucional y convencionalmente reconocido y para tal efecto </w:t>
      </w:r>
      <w:r>
        <w:rPr>
          <w:rFonts w:ascii="Palatino Linotype" w:eastAsia="Calibri" w:hAnsi="Palatino Linotype"/>
          <w:lang w:val="es-ES"/>
        </w:rPr>
        <w:t xml:space="preserve">el párrafo tercero del artículo primero de la Constitución Política de los Estados Unidos Mexicanos establece el deber de todas las autoridades, </w:t>
      </w:r>
      <w:r>
        <w:rPr>
          <w:rFonts w:ascii="Palatino Linotype" w:eastAsia="Calibri" w:hAnsi="Palatino Linotype"/>
          <w:i/>
          <w:lang w:val="es-ES"/>
        </w:rPr>
        <w:t xml:space="preserve">en el ámbito de sus atribuciones, de promover, respetar, proteger y </w:t>
      </w:r>
      <w:r>
        <w:rPr>
          <w:rFonts w:ascii="Palatino Linotype" w:eastAsia="Calibri" w:hAnsi="Palatino Linotype"/>
          <w:b/>
          <w:i/>
          <w:lang w:val="es-ES"/>
        </w:rPr>
        <w:t>garantizar</w:t>
      </w:r>
      <w:r>
        <w:rPr>
          <w:rFonts w:ascii="Palatino Linotype" w:eastAsia="Calibri" w:hAnsi="Palatino Linotype"/>
          <w:i/>
          <w:lang w:val="es-ES"/>
        </w:rPr>
        <w:t xml:space="preserve"> los derechos humanos. </w:t>
      </w:r>
      <w:r>
        <w:rPr>
          <w:rFonts w:ascii="Palatino Linotype" w:eastAsia="Calibri" w:hAnsi="Palatino Linotype"/>
          <w:lang w:val="es-ES"/>
        </w:rPr>
        <w:t>En cuanto al derecho de acceso a la información, la Ley de Transparencia y Acceso a la Información Pública del Estado de México y Municipios prevé establece que</w:t>
      </w:r>
      <w:r>
        <w:rPr>
          <w:rFonts w:ascii="Palatino Linotype" w:eastAsia="Calibri" w:hAnsi="Palatino Linotype"/>
          <w:b/>
          <w:i/>
          <w:lang w:val="es-ES"/>
        </w:rPr>
        <w:t xml:space="preserve"> e</w:t>
      </w:r>
      <w:r>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Pr>
          <w:rStyle w:val="Refdenotaalpie"/>
          <w:rFonts w:ascii="Palatino Linotype" w:hAnsi="Palatino Linotype"/>
          <w:i/>
        </w:rPr>
        <w:footnoteReference w:id="6"/>
      </w:r>
      <w:r>
        <w:rPr>
          <w:rFonts w:ascii="Palatino Linotype" w:hAnsi="Palatino Linotype"/>
          <w:i/>
        </w:rPr>
        <w:t xml:space="preserve">, </w:t>
      </w:r>
      <w:r>
        <w:rPr>
          <w:rFonts w:ascii="Palatino Linotype" w:hAnsi="Palatino Linotype"/>
        </w:rPr>
        <w:t>asimismo establece</w:t>
      </w:r>
      <w:r>
        <w:rPr>
          <w:rFonts w:ascii="Palatino Linotype" w:hAnsi="Palatino Linotype"/>
          <w:i/>
        </w:rPr>
        <w:t xml:space="preserve"> que las unidades de transparencia de los Sujetos Obligados deberán garantizar las </w:t>
      </w:r>
      <w:r>
        <w:rPr>
          <w:rFonts w:ascii="Palatino Linotype" w:hAnsi="Palatino Linotype"/>
          <w:i/>
        </w:rPr>
        <w:lastRenderedPageBreak/>
        <w:t>medidas y condiciones de accesibilidad para que toda persona pueda ejercer el derecho de acceso a la información, mediante solicitudes de información y deberá apoyar al solicitante en la elaboración de las mismas.</w:t>
      </w:r>
    </w:p>
    <w:p w:rsidR="00554DF4" w:rsidRDefault="00554DF4" w:rsidP="00554DF4">
      <w:pPr>
        <w:pStyle w:val="Prrafodelista"/>
        <w:rPr>
          <w:rFonts w:ascii="Palatino Linotype" w:eastAsia="Calibri" w:hAnsi="Palatino Linotype" w:cs="Arial"/>
        </w:rPr>
      </w:pPr>
    </w:p>
    <w:p w:rsidR="00554DF4" w:rsidRDefault="00554DF4" w:rsidP="00587D80">
      <w:pPr>
        <w:pStyle w:val="Prrafodelista"/>
        <w:numPr>
          <w:ilvl w:val="0"/>
          <w:numId w:val="1"/>
        </w:numPr>
        <w:spacing w:line="360" w:lineRule="auto"/>
        <w:ind w:left="0" w:firstLine="0"/>
        <w:jc w:val="both"/>
        <w:rPr>
          <w:rFonts w:ascii="Palatino Linotype" w:eastAsia="Calibri" w:hAnsi="Palatino Linotype" w:cs="Arial"/>
        </w:rPr>
      </w:pPr>
      <w:r>
        <w:rPr>
          <w:rFonts w:ascii="Palatino Linotype" w:hAnsi="Palatino Linotype"/>
          <w:color w:val="000000" w:themeColor="text1"/>
        </w:rPr>
        <w:t xml:space="preserve">Resulta necesario referir que, el </w:t>
      </w:r>
      <w:r>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Pr>
          <w:rFonts w:ascii="Palatino Linotype" w:eastAsia="Calibri" w:hAnsi="Palatino Linotype" w:cs="Arial"/>
          <w:b/>
        </w:rPr>
        <w:t>los Sujetos Obligados deberán documentar todo acto que se derive del ejercicio de sus facultades, competencias o funciones,</w:t>
      </w:r>
      <w:r>
        <w:rPr>
          <w:rFonts w:ascii="Palatino Linotype" w:eastAsia="Calibri" w:hAnsi="Palatino Linotype" w:cs="Arial"/>
        </w:rPr>
        <w:t xml:space="preserve"> considerando desde su origen la eventual publicidad y reutilización de la información que generen, posean o administren.</w:t>
      </w:r>
    </w:p>
    <w:p w:rsidR="00554DF4" w:rsidRDefault="00554DF4" w:rsidP="00554DF4">
      <w:pPr>
        <w:pStyle w:val="Prrafodelista"/>
        <w:rPr>
          <w:rFonts w:ascii="Palatino Linotype" w:eastAsia="Calibri" w:hAnsi="Palatino Linotype" w:cs="Arial"/>
        </w:rPr>
      </w:pPr>
    </w:p>
    <w:p w:rsidR="00554DF4" w:rsidRDefault="00554DF4" w:rsidP="00587D80">
      <w:pPr>
        <w:pStyle w:val="Prrafodelista"/>
        <w:numPr>
          <w:ilvl w:val="0"/>
          <w:numId w:val="1"/>
        </w:numPr>
        <w:spacing w:line="360" w:lineRule="auto"/>
        <w:ind w:left="0" w:firstLine="0"/>
        <w:jc w:val="both"/>
        <w:rPr>
          <w:rFonts w:ascii="Palatino Linotype" w:eastAsia="Calibri" w:hAnsi="Palatino Linotype" w:cs="Arial"/>
        </w:rPr>
      </w:pPr>
      <w:r>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554DF4" w:rsidRDefault="00554DF4" w:rsidP="00554DF4">
      <w:pPr>
        <w:pStyle w:val="Prrafodelista"/>
        <w:spacing w:line="360" w:lineRule="auto"/>
        <w:rPr>
          <w:rFonts w:ascii="Palatino Linotype" w:eastAsia="Times New Roman" w:hAnsi="Palatino Linotype" w:cs="Arial"/>
          <w:color w:val="000000"/>
        </w:rPr>
      </w:pPr>
    </w:p>
    <w:p w:rsidR="00554DF4"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Bold"/>
          <w:b/>
          <w:bCs/>
          <w:i/>
          <w:sz w:val="22"/>
          <w:szCs w:val="20"/>
          <w:lang w:val="es-MX"/>
        </w:rPr>
        <w:t xml:space="preserve">Artículo 4. </w:t>
      </w:r>
      <w:r>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554DF4"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
          <w:i/>
          <w:sz w:val="22"/>
          <w:szCs w:val="20"/>
          <w:lang w:val="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w:t>
      </w:r>
      <w:r>
        <w:rPr>
          <w:rFonts w:ascii="Palatino Linotype" w:hAnsi="Palatino Linotype" w:cs="Bookman Old Style"/>
          <w:i/>
          <w:sz w:val="22"/>
          <w:szCs w:val="20"/>
          <w:lang w:val="es-MX"/>
        </w:rPr>
        <w:lastRenderedPageBreak/>
        <w:t>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54DF4"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554DF4" w:rsidRDefault="00554DF4" w:rsidP="00A456E5">
      <w:pPr>
        <w:autoSpaceDE w:val="0"/>
        <w:autoSpaceDN w:val="0"/>
        <w:adjustRightInd w:val="0"/>
        <w:spacing w:line="360" w:lineRule="auto"/>
        <w:ind w:left="567" w:right="567"/>
        <w:jc w:val="both"/>
        <w:rPr>
          <w:rFonts w:ascii="Palatino Linotype" w:eastAsia="Times New Roman" w:hAnsi="Palatino Linotype" w:cs="Arial"/>
          <w:i/>
          <w:color w:val="000000"/>
          <w:sz w:val="28"/>
        </w:rPr>
      </w:pPr>
    </w:p>
    <w:p w:rsidR="00554DF4"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Bold"/>
          <w:b/>
          <w:bCs/>
          <w:i/>
          <w:sz w:val="22"/>
          <w:szCs w:val="20"/>
          <w:lang w:val="es-MX"/>
        </w:rPr>
        <w:t xml:space="preserve">Artículo 12. </w:t>
      </w:r>
      <w:r>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554DF4"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Default="00554DF4" w:rsidP="00A456E5">
      <w:pPr>
        <w:autoSpaceDE w:val="0"/>
        <w:autoSpaceDN w:val="0"/>
        <w:adjustRightInd w:val="0"/>
        <w:spacing w:line="360" w:lineRule="auto"/>
        <w:ind w:left="567" w:right="567"/>
        <w:jc w:val="both"/>
        <w:rPr>
          <w:rFonts w:ascii="Palatino Linotype" w:hAnsi="Palatino Linotype" w:cs="Bookman Old Style"/>
          <w:b/>
          <w:i/>
          <w:sz w:val="22"/>
          <w:szCs w:val="20"/>
          <w:lang w:val="es-MX"/>
        </w:rPr>
      </w:pPr>
      <w:r>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rsidR="00554DF4"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Style w:val="Refdenotaalpie"/>
          <w:rFonts w:ascii="Palatino Linotype" w:hAnsi="Palatino Linotype"/>
          <w:lang w:val="es-ES"/>
        </w:rPr>
        <w:footnoteReference w:id="7"/>
      </w:r>
      <w:r>
        <w:rPr>
          <w:rFonts w:ascii="Palatino Linotype" w:hAnsi="Palatino Linotype"/>
          <w:lang w:val="es-ES"/>
        </w:rPr>
        <w:t xml:space="preserve"> y máxima publicidad, sobre éste último se debe poner mayor </w:t>
      </w:r>
      <w:r>
        <w:rPr>
          <w:rFonts w:ascii="Palatino Linotype" w:hAnsi="Palatino Linotype"/>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rsidR="00554DF4"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554DF4" w:rsidRDefault="00554DF4" w:rsidP="00554DF4">
      <w:pPr>
        <w:pStyle w:val="Prrafodelista"/>
        <w:spacing w:line="360" w:lineRule="auto"/>
        <w:rPr>
          <w:rFonts w:ascii="Palatino Linotype" w:hAnsi="Palatino Linotype"/>
          <w:lang w:val="es-ES"/>
        </w:rPr>
      </w:pPr>
    </w:p>
    <w:p w:rsidR="00554DF4" w:rsidRDefault="00554DF4" w:rsidP="00554DF4">
      <w:pPr>
        <w:pStyle w:val="Prrafodelista"/>
        <w:tabs>
          <w:tab w:val="left" w:pos="851"/>
        </w:tabs>
        <w:spacing w:line="360" w:lineRule="auto"/>
        <w:ind w:left="567" w:right="567"/>
        <w:jc w:val="both"/>
        <w:rPr>
          <w:rFonts w:ascii="Palatino Linotype" w:hAnsi="Palatino Linotype"/>
          <w:i/>
          <w:sz w:val="22"/>
        </w:rPr>
      </w:pPr>
      <w:r>
        <w:rPr>
          <w:rFonts w:ascii="Palatino Linotype" w:hAnsi="Palatino Linotype"/>
          <w:b/>
          <w:i/>
          <w:sz w:val="22"/>
        </w:rPr>
        <w:t>ACCESO A LA INFORMACIÓN. IMPLICACIÓN DEL PRINCIPIO DE MÁXIMA PUBLICIDAD EN EL DERECHO FUNDAMENTAL RELATIVO.</w:t>
      </w:r>
      <w:r>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w:t>
      </w:r>
      <w:r>
        <w:rPr>
          <w:rFonts w:ascii="Palatino Linotype" w:hAnsi="Palatino Linotype"/>
          <w:i/>
          <w:sz w:val="22"/>
        </w:rPr>
        <w:lastRenderedPageBreak/>
        <w:t xml:space="preserve">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54DF4"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Default="00554DF4" w:rsidP="00554DF4">
      <w:pPr>
        <w:pStyle w:val="Prrafodelista"/>
        <w:tabs>
          <w:tab w:val="left" w:pos="851"/>
        </w:tabs>
        <w:spacing w:line="360" w:lineRule="auto"/>
        <w:ind w:left="567" w:right="567"/>
        <w:jc w:val="both"/>
        <w:rPr>
          <w:rFonts w:ascii="Palatino Linotype" w:hAnsi="Palatino Linotype"/>
          <w:i/>
          <w:sz w:val="22"/>
        </w:rPr>
      </w:pPr>
      <w:r>
        <w:rPr>
          <w:rFonts w:ascii="Palatino Linotype" w:hAnsi="Palatino Linotype"/>
          <w:i/>
          <w:sz w:val="22"/>
        </w:rPr>
        <w:t xml:space="preserve">CUARTO TRIBUNAL COLEGIADO EN MATERIA ADMINISTRATIVA DEL PRIMER CIRCUITO. </w:t>
      </w:r>
    </w:p>
    <w:p w:rsidR="00554DF4"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Default="00554DF4" w:rsidP="00554DF4">
      <w:pPr>
        <w:pStyle w:val="Prrafodelista"/>
        <w:tabs>
          <w:tab w:val="left" w:pos="851"/>
        </w:tabs>
        <w:spacing w:line="360" w:lineRule="auto"/>
        <w:ind w:left="567" w:right="567"/>
        <w:jc w:val="both"/>
        <w:rPr>
          <w:rFonts w:ascii="Palatino Linotype" w:hAnsi="Palatino Linotype"/>
          <w:i/>
          <w:sz w:val="22"/>
          <w:lang w:val="es-ES"/>
        </w:rPr>
      </w:pPr>
      <w:r>
        <w:rPr>
          <w:rFonts w:ascii="Palatino Linotype" w:hAnsi="Palatino Linotype"/>
          <w:i/>
          <w:sz w:val="22"/>
        </w:rPr>
        <w:t xml:space="preserve">Amparo en revisión 257/2012. Ruth Corona Muñoz. 6 de diciembre de 2012. Unanimidad de votos. Ponente: Jean Claude </w:t>
      </w:r>
      <w:proofErr w:type="spellStart"/>
      <w:r>
        <w:rPr>
          <w:rFonts w:ascii="Palatino Linotype" w:hAnsi="Palatino Linotype"/>
          <w:i/>
          <w:sz w:val="22"/>
        </w:rPr>
        <w:t>Tron</w:t>
      </w:r>
      <w:proofErr w:type="spellEnd"/>
      <w:r>
        <w:rPr>
          <w:rFonts w:ascii="Palatino Linotype" w:hAnsi="Palatino Linotype"/>
          <w:i/>
          <w:sz w:val="22"/>
        </w:rPr>
        <w:t xml:space="preserve"> </w:t>
      </w:r>
      <w:proofErr w:type="spellStart"/>
      <w:r>
        <w:rPr>
          <w:rFonts w:ascii="Palatino Linotype" w:hAnsi="Palatino Linotype"/>
          <w:i/>
          <w:sz w:val="22"/>
        </w:rPr>
        <w:t>Petit</w:t>
      </w:r>
      <w:proofErr w:type="spellEnd"/>
      <w:r>
        <w:rPr>
          <w:rFonts w:ascii="Palatino Linotype" w:hAnsi="Palatino Linotype"/>
          <w:i/>
          <w:sz w:val="22"/>
        </w:rPr>
        <w:t>. Secretaria: Mayra Susana Martínez López.</w:t>
      </w:r>
    </w:p>
    <w:p w:rsidR="00554DF4" w:rsidRDefault="00554DF4" w:rsidP="00554DF4">
      <w:pPr>
        <w:pStyle w:val="Prrafodelista"/>
        <w:spacing w:line="360" w:lineRule="auto"/>
        <w:rPr>
          <w:rFonts w:ascii="Palatino Linotype" w:hAnsi="Palatino Linotype"/>
          <w:lang w:val="es-ES"/>
        </w:rPr>
      </w:pPr>
    </w:p>
    <w:p w:rsidR="00554DF4"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C67BCA" w:rsidRDefault="00C67BCA" w:rsidP="001C6B98">
      <w:pPr>
        <w:tabs>
          <w:tab w:val="left" w:pos="851"/>
        </w:tabs>
        <w:spacing w:line="360" w:lineRule="auto"/>
        <w:ind w:right="49"/>
        <w:jc w:val="both"/>
        <w:rPr>
          <w:rFonts w:ascii="Palatino Linotype" w:hAnsi="Palatino Linotype"/>
          <w:lang w:val="es-ES"/>
        </w:rPr>
      </w:pPr>
    </w:p>
    <w:p w:rsidR="001C6B98" w:rsidRDefault="001C6B98" w:rsidP="00C5169B">
      <w:pPr>
        <w:pStyle w:val="Ttulo2"/>
        <w:numPr>
          <w:ilvl w:val="0"/>
          <w:numId w:val="2"/>
        </w:numPr>
        <w:spacing w:line="360" w:lineRule="auto"/>
        <w:rPr>
          <w:rFonts w:ascii="Palatino Linotype" w:hAnsi="Palatino Linotype"/>
          <w:b/>
          <w:color w:val="auto"/>
          <w:sz w:val="24"/>
        </w:rPr>
      </w:pPr>
      <w:bookmarkStart w:id="17" w:name="_Toc23418068"/>
      <w:bookmarkStart w:id="18" w:name="_Toc25251825"/>
      <w:bookmarkStart w:id="19" w:name="_Toc29923834"/>
      <w:bookmarkStart w:id="20" w:name="_Toc32248307"/>
      <w:r>
        <w:rPr>
          <w:rFonts w:ascii="Palatino Linotype" w:hAnsi="Palatino Linotype"/>
          <w:b/>
          <w:color w:val="auto"/>
          <w:sz w:val="24"/>
        </w:rPr>
        <w:t>Fuente Obligacional.</w:t>
      </w:r>
      <w:bookmarkEnd w:id="17"/>
      <w:bookmarkEnd w:id="18"/>
      <w:bookmarkEnd w:id="19"/>
      <w:bookmarkEnd w:id="20"/>
      <w:r>
        <w:rPr>
          <w:rFonts w:ascii="Palatino Linotype" w:hAnsi="Palatino Linotype"/>
          <w:b/>
          <w:color w:val="auto"/>
          <w:sz w:val="24"/>
        </w:rPr>
        <w:t xml:space="preserve"> </w:t>
      </w:r>
    </w:p>
    <w:p w:rsidR="001C6B98" w:rsidRPr="00B22D36" w:rsidRDefault="001C6B98" w:rsidP="001C6B98">
      <w:pPr>
        <w:rPr>
          <w:lang w:val="es-MX" w:eastAsia="en-US"/>
        </w:rPr>
      </w:pPr>
    </w:p>
    <w:p w:rsidR="001C6B98" w:rsidRDefault="001C6B98" w:rsidP="00C5169B">
      <w:pPr>
        <w:pStyle w:val="Ttulo3"/>
        <w:numPr>
          <w:ilvl w:val="1"/>
          <w:numId w:val="4"/>
        </w:numPr>
        <w:rPr>
          <w:rFonts w:ascii="Palatino Linotype" w:hAnsi="Palatino Linotype"/>
          <w:b/>
          <w:color w:val="auto"/>
        </w:rPr>
      </w:pPr>
      <w:bookmarkStart w:id="21" w:name="_Toc23418069"/>
      <w:bookmarkStart w:id="22" w:name="_Toc25251826"/>
      <w:bookmarkStart w:id="23" w:name="_Toc29923835"/>
      <w:bookmarkStart w:id="24" w:name="_Toc32248308"/>
      <w:r>
        <w:rPr>
          <w:rFonts w:ascii="Palatino Linotype" w:hAnsi="Palatino Linotype"/>
          <w:b/>
          <w:color w:val="auto"/>
        </w:rPr>
        <w:t>De la obligación de transparencia.</w:t>
      </w:r>
      <w:bookmarkEnd w:id="21"/>
      <w:bookmarkEnd w:id="22"/>
      <w:bookmarkEnd w:id="23"/>
      <w:bookmarkEnd w:id="24"/>
    </w:p>
    <w:p w:rsidR="001C6B98" w:rsidRDefault="001C6B98" w:rsidP="001C6B98"/>
    <w:p w:rsidR="001C6B98" w:rsidRDefault="001C6B98" w:rsidP="001C6B98"/>
    <w:p w:rsidR="001C6B98" w:rsidRPr="007E2CDA" w:rsidRDefault="001C6B98" w:rsidP="00C5169B">
      <w:pPr>
        <w:pStyle w:val="Prrafodelista"/>
        <w:numPr>
          <w:ilvl w:val="0"/>
          <w:numId w:val="4"/>
        </w:numPr>
        <w:tabs>
          <w:tab w:val="left" w:pos="0"/>
        </w:tabs>
        <w:spacing w:line="360" w:lineRule="auto"/>
        <w:ind w:left="0" w:right="49" w:firstLine="0"/>
        <w:jc w:val="both"/>
        <w:rPr>
          <w:rFonts w:ascii="Palatino Linotype" w:hAnsi="Palatino Linotype" w:cs="Arial"/>
          <w:lang w:eastAsia="es-MX"/>
        </w:rPr>
      </w:pPr>
      <w:r>
        <w:rPr>
          <w:rFonts w:ascii="Palatino Linotype" w:hAnsi="Palatino Linotype" w:cs="Arial"/>
        </w:rPr>
        <w:lastRenderedPageBreak/>
        <w:t>E</w:t>
      </w:r>
      <w:r w:rsidRPr="007E2CDA">
        <w:rPr>
          <w:rFonts w:ascii="Palatino Linotype" w:hAnsi="Palatino Linotype" w:cs="Arial"/>
        </w:rPr>
        <w:t>s pertinente enfatizar lo que respecto al derecho de acceso a la información pública, refiere el artículo 6° de la Constitución Política de los Estados Unidos Mexicanos, que en su parte conducente señala:</w:t>
      </w:r>
    </w:p>
    <w:p w:rsidR="001C6B98" w:rsidRPr="00197E0B" w:rsidRDefault="001C6B98" w:rsidP="001C6B98">
      <w:pPr>
        <w:spacing w:line="360" w:lineRule="auto"/>
        <w:jc w:val="both"/>
        <w:rPr>
          <w:rFonts w:ascii="Palatino Linotype" w:hAnsi="Palatino Linotype" w:cs="Arial"/>
        </w:rPr>
      </w:pPr>
    </w:p>
    <w:p w:rsidR="001C6B98" w:rsidRPr="00197E0B" w:rsidRDefault="001C6B98" w:rsidP="001C6B98">
      <w:pPr>
        <w:spacing w:line="360" w:lineRule="auto"/>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rsidR="001C6B98" w:rsidRPr="00197E0B" w:rsidRDefault="001C6B98" w:rsidP="001C6B98">
      <w:pPr>
        <w:spacing w:line="360" w:lineRule="auto"/>
        <w:ind w:left="567" w:right="567"/>
        <w:jc w:val="both"/>
        <w:rPr>
          <w:rFonts w:ascii="Palatino Linotype" w:hAnsi="Palatino Linotype" w:cs="Arial"/>
          <w:i/>
          <w:sz w:val="22"/>
        </w:rPr>
      </w:pPr>
    </w:p>
    <w:p w:rsidR="001C6B98" w:rsidRPr="00197E0B" w:rsidRDefault="001C6B98" w:rsidP="001C6B98">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1C6B98" w:rsidRPr="00197E0B" w:rsidRDefault="001C6B98" w:rsidP="001C6B98">
      <w:pPr>
        <w:spacing w:line="360" w:lineRule="auto"/>
        <w:ind w:left="567" w:right="567"/>
        <w:jc w:val="both"/>
        <w:rPr>
          <w:rFonts w:ascii="Palatino Linotype" w:hAnsi="Palatino Linotype" w:cs="Arial"/>
          <w:i/>
          <w:sz w:val="22"/>
        </w:rPr>
      </w:pPr>
    </w:p>
    <w:p w:rsidR="001C6B98" w:rsidRPr="00197E0B" w:rsidRDefault="001C6B98" w:rsidP="001C6B98">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rsidR="001C6B98" w:rsidRPr="00197E0B" w:rsidRDefault="001C6B98" w:rsidP="001C6B98">
      <w:pPr>
        <w:spacing w:line="360" w:lineRule="auto"/>
        <w:ind w:left="567" w:right="567"/>
        <w:jc w:val="both"/>
        <w:rPr>
          <w:rFonts w:ascii="Palatino Linotype" w:hAnsi="Palatino Linotype" w:cs="Arial"/>
          <w:i/>
          <w:sz w:val="22"/>
        </w:rPr>
      </w:pPr>
    </w:p>
    <w:p w:rsidR="001C6B98" w:rsidRPr="00197E0B" w:rsidRDefault="001C6B98" w:rsidP="001C6B98">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1C6B98" w:rsidRPr="00197E0B" w:rsidRDefault="001C6B98" w:rsidP="001C6B98">
      <w:pPr>
        <w:spacing w:line="360" w:lineRule="auto"/>
        <w:ind w:left="567" w:right="567"/>
        <w:jc w:val="both"/>
        <w:rPr>
          <w:rFonts w:ascii="Palatino Linotype" w:hAnsi="Palatino Linotype" w:cs="Arial"/>
          <w:b/>
          <w:i/>
          <w:sz w:val="22"/>
        </w:rPr>
      </w:pPr>
    </w:p>
    <w:p w:rsidR="001C6B98" w:rsidRPr="00197E0B" w:rsidRDefault="001C6B98" w:rsidP="001C6B98">
      <w:pPr>
        <w:spacing w:line="360" w:lineRule="auto"/>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w:t>
      </w:r>
      <w:r w:rsidRPr="00197E0B">
        <w:rPr>
          <w:rFonts w:ascii="Palatino Linotype" w:hAnsi="Palatino Linotype" w:cs="Arial"/>
          <w:i/>
          <w:sz w:val="22"/>
        </w:rPr>
        <w:lastRenderedPageBreak/>
        <w:t xml:space="preserve">la interpretación de este derecho deberá prevalecer el principio de máxima publicidad. </w:t>
      </w:r>
      <w:r w:rsidRPr="00197E0B">
        <w:rPr>
          <w:rFonts w:ascii="Palatino Linotype" w:hAnsi="Palatino Linotype" w:cs="Arial"/>
          <w:b/>
          <w:i/>
          <w:sz w:val="22"/>
        </w:rPr>
        <w:t>Los sujetos obligados deberán documentar todo acto que derive del ejercicio de sus 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rsidR="001C6B98" w:rsidRPr="00197E0B" w:rsidRDefault="001C6B98" w:rsidP="001C6B98">
      <w:pPr>
        <w:spacing w:line="360" w:lineRule="auto"/>
        <w:ind w:left="567" w:right="567"/>
        <w:jc w:val="both"/>
        <w:rPr>
          <w:rFonts w:ascii="Palatino Linotype" w:hAnsi="Palatino Linotype" w:cs="Arial"/>
          <w:i/>
          <w:sz w:val="22"/>
        </w:rPr>
      </w:pPr>
    </w:p>
    <w:p w:rsidR="001C6B98" w:rsidRPr="00197E0B" w:rsidRDefault="001C6B98" w:rsidP="001C6B98">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rsidR="001C6B98" w:rsidRPr="00197E0B" w:rsidRDefault="001C6B98" w:rsidP="001C6B98">
      <w:pPr>
        <w:spacing w:line="360" w:lineRule="auto"/>
        <w:ind w:left="567" w:right="567"/>
        <w:jc w:val="both"/>
        <w:rPr>
          <w:rFonts w:ascii="Palatino Linotype" w:hAnsi="Palatino Linotype" w:cs="Arial"/>
          <w:i/>
          <w:sz w:val="22"/>
        </w:rPr>
      </w:pPr>
    </w:p>
    <w:p w:rsidR="001C6B98" w:rsidRPr="00197E0B" w:rsidRDefault="001C6B98" w:rsidP="001C6B98">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1C6B98" w:rsidRPr="00197E0B" w:rsidRDefault="001C6B98" w:rsidP="001C6B98">
      <w:pPr>
        <w:spacing w:line="360" w:lineRule="auto"/>
        <w:ind w:left="567" w:right="567"/>
        <w:jc w:val="both"/>
        <w:rPr>
          <w:rFonts w:ascii="Palatino Linotype" w:hAnsi="Palatino Linotype" w:cs="Arial"/>
          <w:i/>
          <w:sz w:val="22"/>
        </w:rPr>
      </w:pPr>
    </w:p>
    <w:p w:rsidR="001C6B98" w:rsidRPr="00197E0B" w:rsidRDefault="001C6B98" w:rsidP="001C6B98">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1C6B98" w:rsidRPr="00197E0B" w:rsidRDefault="001C6B98" w:rsidP="001C6B98">
      <w:pPr>
        <w:spacing w:line="360" w:lineRule="auto"/>
        <w:ind w:left="567" w:right="567"/>
        <w:jc w:val="both"/>
        <w:rPr>
          <w:rFonts w:ascii="Palatino Linotype" w:hAnsi="Palatino Linotype" w:cs="Arial"/>
          <w:b/>
          <w:i/>
          <w:sz w:val="22"/>
        </w:rPr>
      </w:pPr>
    </w:p>
    <w:p w:rsidR="001C6B98" w:rsidRPr="00197E0B" w:rsidRDefault="001C6B98" w:rsidP="001C6B98">
      <w:pPr>
        <w:spacing w:line="360" w:lineRule="auto"/>
        <w:ind w:left="567" w:right="567"/>
        <w:jc w:val="both"/>
        <w:rPr>
          <w:rFonts w:ascii="Palatino Linotype" w:hAnsi="Palatino Linotype" w:cs="Arial"/>
          <w:i/>
          <w:sz w:val="22"/>
        </w:rPr>
      </w:pPr>
      <w:r w:rsidRPr="00197E0B">
        <w:rPr>
          <w:rFonts w:ascii="Palatino Linotype" w:hAnsi="Palatino Linotype" w:cs="Arial"/>
          <w:b/>
          <w:i/>
          <w:sz w:val="22"/>
        </w:rPr>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1C6B98" w:rsidRPr="00197E0B" w:rsidRDefault="001C6B98" w:rsidP="001C6B98">
      <w:pPr>
        <w:spacing w:line="360" w:lineRule="auto"/>
        <w:ind w:left="567" w:right="567"/>
        <w:jc w:val="both"/>
        <w:rPr>
          <w:rFonts w:ascii="Palatino Linotype" w:hAnsi="Palatino Linotype" w:cs="Arial"/>
          <w:i/>
          <w:sz w:val="22"/>
        </w:rPr>
      </w:pPr>
    </w:p>
    <w:p w:rsidR="001C6B98" w:rsidRPr="00197E0B" w:rsidRDefault="001C6B98" w:rsidP="001C6B98">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1C6B98" w:rsidRPr="00197E0B" w:rsidRDefault="001C6B98" w:rsidP="001C6B98">
      <w:pPr>
        <w:spacing w:line="360" w:lineRule="auto"/>
        <w:ind w:left="567" w:right="567"/>
        <w:jc w:val="both"/>
        <w:rPr>
          <w:rFonts w:ascii="Palatino Linotype" w:hAnsi="Palatino Linotype" w:cs="Arial"/>
          <w:i/>
          <w:sz w:val="22"/>
        </w:rPr>
      </w:pPr>
    </w:p>
    <w:p w:rsidR="001C6B98" w:rsidRPr="00197E0B" w:rsidRDefault="001C6B98" w:rsidP="001C6B98">
      <w:pPr>
        <w:spacing w:line="360" w:lineRule="auto"/>
        <w:ind w:left="567" w:right="567"/>
        <w:jc w:val="both"/>
        <w:rPr>
          <w:rFonts w:ascii="Palatino Linotype" w:hAnsi="Palatino Linotype" w:cs="Arial"/>
          <w:i/>
          <w:sz w:val="22"/>
        </w:rPr>
      </w:pPr>
      <w:r w:rsidRPr="00197E0B">
        <w:rPr>
          <w:rFonts w:ascii="Palatino Linotype" w:hAnsi="Palatino Linotype" w:cs="Arial"/>
          <w:i/>
          <w:sz w:val="22"/>
        </w:rPr>
        <w:lastRenderedPageBreak/>
        <w:t>VII. La inobservancia a las disposiciones en materia de acceso a la información pública será sancionada en los términos que dispongan las leyes.</w:t>
      </w:r>
    </w:p>
    <w:p w:rsidR="001C6B98" w:rsidRPr="00197E0B" w:rsidRDefault="001C6B98" w:rsidP="001C6B98">
      <w:pPr>
        <w:spacing w:line="360" w:lineRule="auto"/>
        <w:ind w:left="567" w:right="567"/>
        <w:jc w:val="both"/>
        <w:rPr>
          <w:rFonts w:ascii="Palatino Linotype" w:hAnsi="Palatino Linotype" w:cs="Arial"/>
          <w:i/>
          <w:sz w:val="22"/>
        </w:rPr>
      </w:pPr>
    </w:p>
    <w:p w:rsidR="001C6B98" w:rsidRPr="00197E0B" w:rsidRDefault="001C6B98" w:rsidP="001C6B98">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C6B98" w:rsidRPr="00197E0B" w:rsidRDefault="001C6B98" w:rsidP="001C6B98">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w:t>
      </w:r>
    </w:p>
    <w:p w:rsidR="001C6B98" w:rsidRPr="00197E0B" w:rsidRDefault="001C6B98" w:rsidP="001C6B98">
      <w:pPr>
        <w:spacing w:line="360" w:lineRule="auto"/>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rsidR="001C6B98" w:rsidRPr="00197E0B" w:rsidRDefault="001C6B98" w:rsidP="001C6B98">
      <w:pPr>
        <w:spacing w:line="360" w:lineRule="auto"/>
        <w:ind w:left="567" w:right="567"/>
        <w:jc w:val="both"/>
        <w:rPr>
          <w:rFonts w:ascii="Palatino Linotype" w:hAnsi="Palatino Linotype"/>
          <w:i/>
          <w:sz w:val="22"/>
        </w:rPr>
      </w:pPr>
    </w:p>
    <w:p w:rsidR="001C6B98" w:rsidRPr="00197E0B" w:rsidRDefault="001C6B98" w:rsidP="001C6B98">
      <w:pPr>
        <w:spacing w:line="360" w:lineRule="auto"/>
        <w:ind w:left="567" w:right="567"/>
        <w:jc w:val="both"/>
        <w:rPr>
          <w:rFonts w:ascii="Palatino Linotype" w:hAnsi="Palatino Linotype"/>
          <w:i/>
          <w:sz w:val="22"/>
        </w:rPr>
      </w:pPr>
      <w:r w:rsidRPr="00197E0B">
        <w:rPr>
          <w:rFonts w:ascii="Palatino Linotype" w:hAnsi="Palatino Linotype"/>
          <w:i/>
          <w:sz w:val="22"/>
        </w:rPr>
        <w:t>(Énfasis añadido)</w:t>
      </w:r>
    </w:p>
    <w:p w:rsidR="001C6B98" w:rsidRPr="00197E0B" w:rsidRDefault="001C6B98" w:rsidP="001C6B98">
      <w:pPr>
        <w:spacing w:line="360" w:lineRule="auto"/>
        <w:ind w:left="709" w:right="757"/>
        <w:jc w:val="both"/>
        <w:rPr>
          <w:rFonts w:ascii="Palatino Linotype" w:hAnsi="Palatino Linotype"/>
        </w:rPr>
      </w:pPr>
    </w:p>
    <w:p w:rsidR="001C6B98" w:rsidRPr="007E2CDA" w:rsidRDefault="001C6B98" w:rsidP="00C5169B">
      <w:pPr>
        <w:pStyle w:val="Prrafodelista"/>
        <w:numPr>
          <w:ilvl w:val="0"/>
          <w:numId w:val="4"/>
        </w:numPr>
        <w:spacing w:line="360" w:lineRule="auto"/>
        <w:ind w:left="0" w:firstLine="0"/>
        <w:jc w:val="both"/>
        <w:rPr>
          <w:rFonts w:ascii="Palatino Linotype" w:hAnsi="Palatino Linotype" w:cs="Arial"/>
        </w:rPr>
      </w:pPr>
      <w:r w:rsidRPr="007E2CDA">
        <w:rPr>
          <w:rFonts w:ascii="Palatino Linotype" w:hAnsi="Palatino Linotype" w:cs="Arial"/>
        </w:rPr>
        <w:t>Por su parte, la Constitución Política del Estado Libre y Soberano de México, en su artículo 5°, dispone en su parte conducente, lo siguiente:</w:t>
      </w:r>
    </w:p>
    <w:p w:rsidR="001C6B98" w:rsidRPr="00197E0B" w:rsidRDefault="001C6B98" w:rsidP="001C6B98">
      <w:pPr>
        <w:spacing w:line="360" w:lineRule="auto"/>
        <w:ind w:left="709" w:right="757"/>
        <w:jc w:val="both"/>
        <w:rPr>
          <w:rFonts w:ascii="Palatino Linotype" w:hAnsi="Palatino Linotype" w:cs="Arial"/>
        </w:rPr>
      </w:pPr>
    </w:p>
    <w:p w:rsidR="001C6B98" w:rsidRPr="00197E0B" w:rsidRDefault="001C6B98" w:rsidP="001C6B98">
      <w:pPr>
        <w:spacing w:line="360" w:lineRule="auto"/>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rsidR="001C6B98" w:rsidRPr="00197E0B" w:rsidRDefault="001C6B98" w:rsidP="001C6B98">
      <w:pPr>
        <w:spacing w:line="360" w:lineRule="auto"/>
        <w:ind w:left="567" w:right="567"/>
        <w:jc w:val="both"/>
        <w:rPr>
          <w:rFonts w:ascii="Palatino Linotype" w:hAnsi="Palatino Linotype"/>
          <w:i/>
          <w:sz w:val="22"/>
        </w:rPr>
      </w:pPr>
      <w:r w:rsidRPr="00197E0B">
        <w:rPr>
          <w:rFonts w:ascii="Palatino Linotype" w:hAnsi="Palatino Linotype"/>
          <w:b/>
          <w:i/>
          <w:sz w:val="22"/>
        </w:rPr>
        <w:t>El derecho a l</w:t>
      </w:r>
      <w:bookmarkStart w:id="25" w:name="_GoBack"/>
      <w:bookmarkEnd w:id="25"/>
      <w:r w:rsidRPr="00197E0B">
        <w:rPr>
          <w:rFonts w:ascii="Palatino Linotype" w:hAnsi="Palatino Linotype"/>
          <w:b/>
          <w:i/>
          <w:sz w:val="22"/>
        </w:rPr>
        <w:t>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rsidR="001C6B98" w:rsidRPr="00197E0B" w:rsidRDefault="001C6B98" w:rsidP="001C6B98">
      <w:pPr>
        <w:spacing w:line="360" w:lineRule="auto"/>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C6B98" w:rsidRPr="00197E0B" w:rsidRDefault="001C6B98" w:rsidP="001C6B98">
      <w:pPr>
        <w:spacing w:line="360" w:lineRule="auto"/>
        <w:ind w:left="567" w:right="567"/>
        <w:jc w:val="both"/>
        <w:rPr>
          <w:rFonts w:ascii="Palatino Linotype" w:hAnsi="Palatino Linotype"/>
          <w:i/>
          <w:sz w:val="22"/>
        </w:rPr>
      </w:pPr>
    </w:p>
    <w:p w:rsidR="001C6B98" w:rsidRPr="00197E0B" w:rsidRDefault="001C6B98" w:rsidP="001C6B98">
      <w:pPr>
        <w:spacing w:line="360" w:lineRule="auto"/>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rsidR="001C6B98" w:rsidRPr="00197E0B" w:rsidRDefault="001C6B98" w:rsidP="001C6B98">
      <w:pPr>
        <w:spacing w:line="360" w:lineRule="auto"/>
        <w:ind w:left="567" w:right="567"/>
        <w:jc w:val="both"/>
        <w:rPr>
          <w:rFonts w:ascii="Palatino Linotype" w:hAnsi="Palatino Linotype"/>
          <w:b/>
          <w:i/>
          <w:sz w:val="22"/>
        </w:rPr>
      </w:pPr>
    </w:p>
    <w:p w:rsidR="001C6B98" w:rsidRPr="00197E0B" w:rsidRDefault="001C6B98" w:rsidP="001C6B98">
      <w:pPr>
        <w:spacing w:line="360" w:lineRule="auto"/>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C6B98" w:rsidRPr="00197E0B" w:rsidRDefault="001C6B98" w:rsidP="001C6B98">
      <w:pPr>
        <w:spacing w:line="360" w:lineRule="auto"/>
        <w:ind w:left="567" w:right="567"/>
        <w:jc w:val="both"/>
        <w:rPr>
          <w:rFonts w:ascii="Palatino Linotype" w:hAnsi="Palatino Linotype"/>
          <w:i/>
          <w:sz w:val="22"/>
        </w:rPr>
      </w:pPr>
    </w:p>
    <w:p w:rsidR="001C6B98" w:rsidRPr="00197E0B" w:rsidRDefault="001C6B98" w:rsidP="001C6B98">
      <w:pPr>
        <w:spacing w:line="360" w:lineRule="auto"/>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1C6B98" w:rsidRPr="00197E0B" w:rsidRDefault="001C6B98" w:rsidP="001C6B98">
      <w:pPr>
        <w:spacing w:line="360" w:lineRule="auto"/>
        <w:ind w:left="567" w:right="567"/>
        <w:jc w:val="both"/>
        <w:rPr>
          <w:rFonts w:ascii="Palatino Linotype" w:hAnsi="Palatino Linotype"/>
          <w:i/>
          <w:sz w:val="22"/>
        </w:rPr>
      </w:pPr>
    </w:p>
    <w:p w:rsidR="001C6B98" w:rsidRPr="00197E0B" w:rsidRDefault="001C6B98" w:rsidP="001C6B98">
      <w:pPr>
        <w:spacing w:line="360" w:lineRule="auto"/>
        <w:ind w:left="567" w:right="567"/>
        <w:jc w:val="both"/>
        <w:rPr>
          <w:rFonts w:ascii="Palatino Linotype" w:hAnsi="Palatino Linotype"/>
          <w:i/>
          <w:sz w:val="22"/>
        </w:rPr>
      </w:pPr>
      <w:r w:rsidRPr="00197E0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1C6B98" w:rsidRPr="00197E0B" w:rsidRDefault="001C6B98" w:rsidP="001C6B98">
      <w:pPr>
        <w:spacing w:line="360" w:lineRule="auto"/>
        <w:ind w:left="567" w:right="567"/>
        <w:jc w:val="both"/>
        <w:rPr>
          <w:rFonts w:ascii="Palatino Linotype" w:hAnsi="Palatino Linotype"/>
          <w:i/>
          <w:sz w:val="22"/>
        </w:rPr>
      </w:pPr>
    </w:p>
    <w:p w:rsidR="001C6B98" w:rsidRPr="00197E0B" w:rsidRDefault="001C6B98" w:rsidP="001C6B98">
      <w:pPr>
        <w:spacing w:line="360" w:lineRule="auto"/>
        <w:ind w:left="567" w:right="567"/>
        <w:jc w:val="both"/>
        <w:rPr>
          <w:rFonts w:ascii="Palatino Linotype" w:hAnsi="Palatino Linotype"/>
          <w:i/>
          <w:sz w:val="22"/>
        </w:rPr>
      </w:pPr>
      <w:r w:rsidRPr="00197E0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1C6B98" w:rsidRPr="00197E0B" w:rsidRDefault="001C6B98" w:rsidP="001C6B98">
      <w:pPr>
        <w:spacing w:line="360" w:lineRule="auto"/>
        <w:ind w:left="567" w:right="567"/>
        <w:jc w:val="both"/>
        <w:rPr>
          <w:rFonts w:ascii="Palatino Linotype" w:hAnsi="Palatino Linotype"/>
          <w:i/>
          <w:sz w:val="22"/>
        </w:rPr>
      </w:pPr>
    </w:p>
    <w:p w:rsidR="001C6B98" w:rsidRPr="00197E0B" w:rsidRDefault="001C6B98" w:rsidP="001C6B98">
      <w:pPr>
        <w:spacing w:line="360" w:lineRule="auto"/>
        <w:ind w:left="567" w:right="567"/>
        <w:jc w:val="both"/>
        <w:rPr>
          <w:rFonts w:ascii="Palatino Linotype" w:hAnsi="Palatino Linotype"/>
          <w:i/>
          <w:sz w:val="22"/>
        </w:rPr>
      </w:pPr>
      <w:r w:rsidRPr="00197E0B">
        <w:rPr>
          <w:rFonts w:ascii="Palatino Linotype" w:hAnsi="Palatino Linotype"/>
          <w:i/>
          <w:sz w:val="22"/>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C6B98" w:rsidRPr="00197E0B" w:rsidRDefault="001C6B98" w:rsidP="001C6B98">
      <w:pPr>
        <w:spacing w:line="360" w:lineRule="auto"/>
        <w:ind w:left="567" w:right="567"/>
        <w:jc w:val="both"/>
        <w:rPr>
          <w:rFonts w:ascii="Palatino Linotype" w:hAnsi="Palatino Linotype"/>
          <w:b/>
          <w:i/>
          <w:sz w:val="22"/>
        </w:rPr>
      </w:pPr>
    </w:p>
    <w:p w:rsidR="001C6B98" w:rsidRPr="00197E0B" w:rsidRDefault="001C6B98" w:rsidP="001C6B98">
      <w:pPr>
        <w:spacing w:line="360" w:lineRule="auto"/>
        <w:ind w:left="567" w:right="567"/>
        <w:jc w:val="both"/>
        <w:rPr>
          <w:rFonts w:ascii="Palatino Linotype" w:hAnsi="Palatino Linotype"/>
          <w:i/>
          <w:sz w:val="22"/>
        </w:rPr>
      </w:pPr>
      <w:r w:rsidRPr="00197E0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rsidR="001C6B98" w:rsidRPr="00197E0B" w:rsidRDefault="001C6B98" w:rsidP="001C6B98">
      <w:pPr>
        <w:spacing w:line="360" w:lineRule="auto"/>
        <w:ind w:left="567" w:right="567"/>
        <w:jc w:val="both"/>
        <w:rPr>
          <w:rFonts w:ascii="Palatino Linotype" w:hAnsi="Palatino Linotype"/>
          <w:i/>
          <w:sz w:val="22"/>
        </w:rPr>
      </w:pPr>
    </w:p>
    <w:p w:rsidR="001C6B98" w:rsidRPr="00197E0B" w:rsidRDefault="001C6B98" w:rsidP="001C6B98">
      <w:pPr>
        <w:spacing w:line="360" w:lineRule="auto"/>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1C6B98" w:rsidRPr="00197E0B" w:rsidRDefault="001C6B98" w:rsidP="001C6B98">
      <w:pPr>
        <w:spacing w:line="360" w:lineRule="auto"/>
        <w:ind w:left="567" w:right="567"/>
        <w:jc w:val="both"/>
        <w:rPr>
          <w:rFonts w:ascii="Palatino Linotype" w:hAnsi="Palatino Linotype"/>
          <w:sz w:val="22"/>
        </w:rPr>
      </w:pPr>
    </w:p>
    <w:p w:rsidR="001C6B98" w:rsidRDefault="001C6B98" w:rsidP="001C6B98">
      <w:pPr>
        <w:spacing w:line="360" w:lineRule="auto"/>
        <w:ind w:left="567" w:right="567"/>
        <w:jc w:val="both"/>
        <w:rPr>
          <w:rFonts w:ascii="Palatino Linotype" w:hAnsi="Palatino Linotype"/>
          <w:sz w:val="22"/>
        </w:rPr>
      </w:pPr>
      <w:r w:rsidRPr="00197E0B">
        <w:rPr>
          <w:rFonts w:ascii="Palatino Linotype" w:hAnsi="Palatino Linotype"/>
          <w:sz w:val="22"/>
        </w:rPr>
        <w:t>(Énfasis añadido)</w:t>
      </w:r>
    </w:p>
    <w:p w:rsidR="001C6B98" w:rsidRPr="00197E0B" w:rsidRDefault="001C6B98" w:rsidP="001C6B98">
      <w:pPr>
        <w:spacing w:line="360" w:lineRule="auto"/>
        <w:ind w:left="567" w:right="567"/>
        <w:jc w:val="both"/>
        <w:rPr>
          <w:rFonts w:ascii="Palatino Linotype" w:hAnsi="Palatino Linotype"/>
          <w:sz w:val="22"/>
        </w:rPr>
      </w:pPr>
    </w:p>
    <w:p w:rsidR="001C6B98" w:rsidRPr="007E2CDA" w:rsidRDefault="001C6B98" w:rsidP="00C5169B">
      <w:pPr>
        <w:pStyle w:val="Prrafodelista"/>
        <w:numPr>
          <w:ilvl w:val="0"/>
          <w:numId w:val="4"/>
        </w:numPr>
        <w:spacing w:line="360" w:lineRule="auto"/>
        <w:ind w:left="0" w:firstLine="0"/>
        <w:jc w:val="both"/>
        <w:rPr>
          <w:rFonts w:ascii="Palatino Linotype" w:hAnsi="Palatino Linotype" w:cs="Arial"/>
        </w:rPr>
      </w:pPr>
      <w:r w:rsidRPr="007E2CDA">
        <w:rPr>
          <w:rFonts w:ascii="Palatino Linotype" w:hAnsi="Palatino Linotype" w:cs="Arial"/>
        </w:rPr>
        <w:t>Adicional, tenemos que la Ley de Transparencia y Acceso a la Información Pública del Estado de México y Municipios, prevé en su artículo 23</w:t>
      </w:r>
      <w:r>
        <w:rPr>
          <w:rFonts w:ascii="Palatino Linotype" w:hAnsi="Palatino Linotype" w:cs="Arial"/>
        </w:rPr>
        <w:t xml:space="preserve"> fracción IV,</w:t>
      </w:r>
      <w:r w:rsidRPr="007E2CDA">
        <w:rPr>
          <w:rFonts w:ascii="Palatino Linotype" w:hAnsi="Palatino Linotype" w:cs="Arial"/>
        </w:rPr>
        <w:t xml:space="preserve"> lo siguiente:</w:t>
      </w:r>
    </w:p>
    <w:p w:rsidR="001C6B98" w:rsidRPr="00197E0B" w:rsidRDefault="001C6B98" w:rsidP="001C6B98">
      <w:pPr>
        <w:spacing w:line="360" w:lineRule="auto"/>
        <w:jc w:val="both"/>
        <w:rPr>
          <w:rFonts w:ascii="Palatino Linotype" w:hAnsi="Palatino Linotype" w:cs="Arial"/>
        </w:rPr>
      </w:pPr>
    </w:p>
    <w:p w:rsidR="001C6B98" w:rsidRDefault="001C6B98" w:rsidP="001C6B98">
      <w:pPr>
        <w:ind w:left="567" w:right="567"/>
        <w:jc w:val="both"/>
        <w:rPr>
          <w:rFonts w:ascii="Palatino Linotype" w:hAnsi="Palatino Linotype" w:cs="Arial"/>
          <w:i/>
          <w:sz w:val="22"/>
        </w:rPr>
      </w:pPr>
      <w:r w:rsidRPr="00197E0B">
        <w:rPr>
          <w:rFonts w:ascii="Palatino Linotype" w:hAnsi="Palatino Linotype" w:cs="Arial"/>
          <w:b/>
          <w:i/>
          <w:sz w:val="22"/>
        </w:rPr>
        <w:t xml:space="preserve">“Artículo 23. Son sujetos obligados a transparentar y permitir el acceso a su información y </w:t>
      </w:r>
      <w:r w:rsidRPr="00197E0B">
        <w:rPr>
          <w:rFonts w:ascii="Palatino Linotype" w:hAnsi="Palatino Linotype"/>
          <w:b/>
          <w:i/>
          <w:sz w:val="22"/>
        </w:rPr>
        <w:t>proteger</w:t>
      </w:r>
      <w:r w:rsidRPr="00197E0B">
        <w:rPr>
          <w:rFonts w:ascii="Palatino Linotype" w:hAnsi="Palatino Linotype" w:cs="Arial"/>
          <w:b/>
          <w:i/>
          <w:sz w:val="22"/>
        </w:rPr>
        <w:t xml:space="preserve"> los datos personales que obren en su poder</w:t>
      </w:r>
      <w:r w:rsidRPr="00197E0B">
        <w:rPr>
          <w:rFonts w:ascii="Palatino Linotype" w:hAnsi="Palatino Linotype" w:cs="Arial"/>
          <w:i/>
          <w:sz w:val="22"/>
        </w:rPr>
        <w:t>:</w:t>
      </w:r>
    </w:p>
    <w:p w:rsidR="001C6B98" w:rsidRPr="00197E0B" w:rsidRDefault="001C6B98" w:rsidP="001C6B98">
      <w:pPr>
        <w:ind w:left="567" w:right="567"/>
        <w:jc w:val="both"/>
        <w:rPr>
          <w:rFonts w:ascii="Palatino Linotype" w:hAnsi="Palatino Linotype" w:cs="Arial"/>
          <w:i/>
          <w:sz w:val="22"/>
        </w:rPr>
      </w:pPr>
      <w:r>
        <w:rPr>
          <w:rFonts w:ascii="Palatino Linotype" w:hAnsi="Palatino Linotype" w:cs="Arial"/>
          <w:i/>
          <w:sz w:val="22"/>
        </w:rPr>
        <w:t>…</w:t>
      </w:r>
    </w:p>
    <w:p w:rsidR="001C6B98" w:rsidRPr="00197E0B" w:rsidRDefault="001C6B98" w:rsidP="001C6B98">
      <w:pPr>
        <w:ind w:left="567" w:right="567"/>
        <w:jc w:val="both"/>
        <w:rPr>
          <w:rFonts w:ascii="Palatino Linotype" w:hAnsi="Palatino Linotype" w:cs="Arial"/>
          <w:i/>
          <w:sz w:val="22"/>
        </w:rPr>
      </w:pPr>
    </w:p>
    <w:p w:rsidR="001C6B98" w:rsidRPr="00B96075" w:rsidRDefault="001C6B98" w:rsidP="001C6B98">
      <w:pPr>
        <w:ind w:left="567" w:right="567"/>
        <w:jc w:val="both"/>
        <w:rPr>
          <w:rFonts w:ascii="Palatino Linotype" w:hAnsi="Palatino Linotype" w:cs="Arial"/>
          <w:b/>
          <w:i/>
          <w:sz w:val="22"/>
          <w:szCs w:val="22"/>
        </w:rPr>
      </w:pPr>
      <w:r w:rsidRPr="00B96075">
        <w:rPr>
          <w:rFonts w:ascii="Palatino Linotype" w:hAnsi="Palatino Linotype" w:cs="Arial"/>
          <w:b/>
          <w:i/>
          <w:sz w:val="22"/>
          <w:szCs w:val="22"/>
        </w:rPr>
        <w:lastRenderedPageBreak/>
        <w:t xml:space="preserve">IV. </w:t>
      </w:r>
      <w:r w:rsidRPr="00B96075">
        <w:rPr>
          <w:rFonts w:ascii="Palatino Linotype" w:eastAsiaTheme="minorHAnsi" w:hAnsi="Palatino Linotype" w:cs="Bookman Old Style"/>
          <w:i/>
          <w:sz w:val="22"/>
          <w:szCs w:val="22"/>
          <w:lang w:val="es-MX" w:eastAsia="en-US"/>
        </w:rPr>
        <w:t>Los ayuntamientos y las dependencias, organismos, órganos y entidades de la administración municipal;</w:t>
      </w:r>
    </w:p>
    <w:p w:rsidR="001C6B98" w:rsidRPr="00197E0B" w:rsidRDefault="001C6B98" w:rsidP="001C6B98">
      <w:pPr>
        <w:ind w:left="567" w:right="567"/>
        <w:jc w:val="both"/>
        <w:rPr>
          <w:rFonts w:ascii="Palatino Linotype" w:hAnsi="Palatino Linotype" w:cs="Arial"/>
          <w:i/>
          <w:sz w:val="22"/>
        </w:rPr>
      </w:pPr>
      <w:r>
        <w:rPr>
          <w:rFonts w:ascii="Palatino Linotype" w:hAnsi="Palatino Linotype" w:cs="Arial"/>
          <w:i/>
          <w:sz w:val="22"/>
        </w:rPr>
        <w:t>…</w:t>
      </w:r>
    </w:p>
    <w:p w:rsidR="001C6B98" w:rsidRPr="00197E0B" w:rsidRDefault="001C6B98" w:rsidP="001C6B98">
      <w:pPr>
        <w:ind w:left="567" w:right="567"/>
        <w:jc w:val="both"/>
        <w:rPr>
          <w:rFonts w:ascii="Palatino Linotype" w:hAnsi="Palatino Linotype"/>
          <w:i/>
          <w:sz w:val="22"/>
        </w:rPr>
      </w:pPr>
    </w:p>
    <w:p w:rsidR="001C6B98" w:rsidRPr="00197E0B" w:rsidRDefault="001C6B98" w:rsidP="001C6B98">
      <w:pPr>
        <w:ind w:left="567" w:right="567"/>
        <w:jc w:val="both"/>
        <w:rPr>
          <w:rFonts w:ascii="Palatino Linotype" w:hAnsi="Palatino Linotype"/>
          <w:i/>
          <w:sz w:val="22"/>
        </w:rPr>
      </w:pPr>
      <w:r w:rsidRPr="00197E0B">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C6B98" w:rsidRPr="00197E0B" w:rsidRDefault="001C6B98" w:rsidP="001C6B98">
      <w:pPr>
        <w:ind w:left="567" w:right="567"/>
        <w:jc w:val="both"/>
        <w:rPr>
          <w:rFonts w:ascii="Palatino Linotype" w:hAnsi="Palatino Linotype" w:cs="Arial"/>
          <w:b/>
          <w:i/>
          <w:sz w:val="22"/>
        </w:rPr>
      </w:pPr>
    </w:p>
    <w:p w:rsidR="001C6B98" w:rsidRPr="00197E0B" w:rsidRDefault="001C6B98" w:rsidP="001C6B98">
      <w:pPr>
        <w:ind w:left="567" w:right="567"/>
        <w:jc w:val="both"/>
        <w:rPr>
          <w:rFonts w:ascii="Palatino Linotype" w:hAnsi="Palatino Linotype" w:cs="Arial"/>
          <w:i/>
          <w:sz w:val="22"/>
        </w:rPr>
      </w:pPr>
      <w:r w:rsidRPr="00197E0B">
        <w:rPr>
          <w:rFonts w:ascii="Palatino Linotype" w:hAnsi="Palatino Linotype" w:cs="Arial"/>
          <w:b/>
          <w:i/>
          <w:sz w:val="22"/>
        </w:rPr>
        <w:t>Los servidores públicos deberán transparentar sus acciones así como garantizar y respetar el derecho de acceso a la información pública.”</w:t>
      </w:r>
    </w:p>
    <w:p w:rsidR="001C6B98" w:rsidRPr="00197E0B" w:rsidRDefault="001C6B98" w:rsidP="001C6B98">
      <w:pPr>
        <w:ind w:left="567" w:right="567"/>
        <w:jc w:val="both"/>
        <w:rPr>
          <w:rFonts w:ascii="Palatino Linotype" w:hAnsi="Palatino Linotype" w:cs="Arial"/>
          <w:sz w:val="22"/>
        </w:rPr>
      </w:pPr>
    </w:p>
    <w:p w:rsidR="001C6B98" w:rsidRPr="00197E0B" w:rsidRDefault="001C6B98" w:rsidP="001C6B98">
      <w:pPr>
        <w:ind w:left="567" w:right="567"/>
        <w:jc w:val="both"/>
        <w:rPr>
          <w:rFonts w:ascii="Palatino Linotype" w:hAnsi="Palatino Linotype" w:cs="Arial"/>
          <w:sz w:val="22"/>
        </w:rPr>
      </w:pPr>
      <w:r w:rsidRPr="00197E0B">
        <w:rPr>
          <w:rFonts w:ascii="Palatino Linotype" w:hAnsi="Palatino Linotype" w:cs="Arial"/>
          <w:sz w:val="22"/>
        </w:rPr>
        <w:t>(Énfasis añadido)</w:t>
      </w:r>
    </w:p>
    <w:p w:rsidR="001C6B98" w:rsidRPr="00197E0B" w:rsidRDefault="001C6B98" w:rsidP="001C6B98">
      <w:pPr>
        <w:spacing w:line="360" w:lineRule="auto"/>
        <w:jc w:val="both"/>
        <w:rPr>
          <w:rFonts w:ascii="Palatino Linotype" w:hAnsi="Palatino Linotype" w:cs="Arial"/>
        </w:rPr>
      </w:pPr>
    </w:p>
    <w:p w:rsidR="001C6B98" w:rsidRDefault="001C6B98" w:rsidP="00C5169B">
      <w:pPr>
        <w:pStyle w:val="Prrafodelista"/>
        <w:numPr>
          <w:ilvl w:val="0"/>
          <w:numId w:val="4"/>
        </w:numPr>
        <w:spacing w:line="360" w:lineRule="auto"/>
        <w:ind w:left="0" w:firstLine="0"/>
        <w:jc w:val="both"/>
        <w:rPr>
          <w:rFonts w:ascii="Palatino Linotype" w:hAnsi="Palatino Linotype" w:cs="Arial"/>
        </w:rPr>
      </w:pPr>
      <w:r w:rsidRPr="007E2CD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C6B98" w:rsidRDefault="001C6B98" w:rsidP="001C6B98">
      <w:pPr>
        <w:pStyle w:val="Prrafodelista"/>
        <w:spacing w:line="360" w:lineRule="auto"/>
        <w:ind w:left="0"/>
        <w:jc w:val="both"/>
        <w:rPr>
          <w:rFonts w:ascii="Palatino Linotype" w:hAnsi="Palatino Linotype" w:cs="Arial"/>
        </w:rPr>
      </w:pPr>
    </w:p>
    <w:p w:rsidR="001C6B98" w:rsidRDefault="001C6B98" w:rsidP="00C5169B">
      <w:pPr>
        <w:pStyle w:val="Prrafodelista"/>
        <w:numPr>
          <w:ilvl w:val="0"/>
          <w:numId w:val="4"/>
        </w:numPr>
        <w:spacing w:line="360" w:lineRule="auto"/>
        <w:ind w:left="0" w:firstLine="0"/>
        <w:jc w:val="both"/>
        <w:rPr>
          <w:rFonts w:ascii="Palatino Linotype" w:hAnsi="Palatino Linotype" w:cs="Arial"/>
        </w:rPr>
      </w:pPr>
      <w:r>
        <w:rPr>
          <w:rFonts w:ascii="Palatino Linotype" w:hAnsi="Palatino Linotype" w:cs="Arial"/>
        </w:rPr>
        <w:t>Por lo anterior, es de referir que,</w:t>
      </w:r>
      <w:r w:rsidRPr="005E2E2B">
        <w:rPr>
          <w:rFonts w:ascii="Palatino Linotype" w:hAnsi="Palatino Linotype" w:cs="Arial"/>
          <w:b/>
        </w:rPr>
        <w:t xml:space="preserve"> </w:t>
      </w:r>
      <w:r>
        <w:rPr>
          <w:rFonts w:ascii="Palatino Linotype" w:hAnsi="Palatino Linotype" w:cs="Arial"/>
          <w:b/>
        </w:rPr>
        <w:t xml:space="preserve">el Ayuntamiento de </w:t>
      </w:r>
      <w:r w:rsidR="00A109E3" w:rsidRPr="00A109E3">
        <w:rPr>
          <w:rFonts w:ascii="Palatino Linotype" w:hAnsi="Palatino Linotype"/>
          <w:b/>
          <w:bCs/>
          <w:szCs w:val="22"/>
        </w:rPr>
        <w:t>San José del Rincón</w:t>
      </w:r>
      <w:r w:rsidRPr="00883837">
        <w:rPr>
          <w:rFonts w:ascii="Palatino Linotype" w:hAnsi="Palatino Linotype" w:cs="Arial"/>
        </w:rPr>
        <w:t>,</w:t>
      </w:r>
      <w:r>
        <w:rPr>
          <w:rFonts w:ascii="Palatino Linotype" w:hAnsi="Palatino Linotype" w:cs="Arial"/>
        </w:rPr>
        <w:t xml:space="preserve"> </w:t>
      </w:r>
      <w:r w:rsidRPr="00185C27">
        <w:rPr>
          <w:rFonts w:ascii="Palatino Linotype" w:hAnsi="Palatino Linotype" w:cs="Arial"/>
        </w:rPr>
        <w:t>al ser un Sujeto Obligado comprendido por la Legislación Local en materia de Transparencia, se encuentra obligado a hacer pública toda aquella información que genere, administre o posea.</w:t>
      </w:r>
    </w:p>
    <w:p w:rsidR="00A456E5" w:rsidRPr="00A456E5" w:rsidRDefault="00A456E5" w:rsidP="00A456E5">
      <w:pPr>
        <w:pStyle w:val="Prrafodelista"/>
        <w:rPr>
          <w:rFonts w:ascii="Palatino Linotype" w:hAnsi="Palatino Linotype" w:cs="Arial"/>
        </w:rPr>
      </w:pPr>
    </w:p>
    <w:p w:rsidR="00A456E5" w:rsidRPr="00A456E5" w:rsidRDefault="00A456E5" w:rsidP="00A456E5">
      <w:pPr>
        <w:pStyle w:val="Ttulo2"/>
        <w:numPr>
          <w:ilvl w:val="0"/>
          <w:numId w:val="2"/>
        </w:numPr>
        <w:rPr>
          <w:rFonts w:ascii="Palatino Linotype" w:hAnsi="Palatino Linotype"/>
          <w:b/>
          <w:color w:val="auto"/>
          <w:sz w:val="24"/>
        </w:rPr>
      </w:pPr>
      <w:bookmarkStart w:id="26" w:name="_Toc32248309"/>
      <w:r w:rsidRPr="00A456E5">
        <w:rPr>
          <w:rFonts w:ascii="Palatino Linotype" w:hAnsi="Palatino Linotype"/>
          <w:b/>
          <w:color w:val="auto"/>
          <w:sz w:val="24"/>
        </w:rPr>
        <w:t>De la Información disponible en sitios electrónicos.</w:t>
      </w:r>
      <w:bookmarkEnd w:id="26"/>
    </w:p>
    <w:p w:rsidR="00492774" w:rsidRPr="00492774" w:rsidRDefault="00492774" w:rsidP="00492774">
      <w:pPr>
        <w:pStyle w:val="Prrafodelista"/>
        <w:rPr>
          <w:rFonts w:ascii="Palatino Linotype" w:hAnsi="Palatino Linotype" w:cs="Arial"/>
        </w:rPr>
      </w:pPr>
    </w:p>
    <w:p w:rsidR="00CB6882" w:rsidRPr="00CB6882" w:rsidRDefault="00CB6882" w:rsidP="00CB6882">
      <w:pPr>
        <w:pStyle w:val="Prrafodelista"/>
        <w:numPr>
          <w:ilvl w:val="0"/>
          <w:numId w:val="4"/>
        </w:numPr>
        <w:spacing w:line="360" w:lineRule="auto"/>
        <w:ind w:left="0" w:firstLine="0"/>
        <w:jc w:val="both"/>
        <w:rPr>
          <w:rFonts w:ascii="Palatino Linotype" w:hAnsi="Palatino Linotype" w:cs="Arial"/>
        </w:rPr>
      </w:pPr>
      <w:r w:rsidRPr="00CB6882">
        <w:rPr>
          <w:rFonts w:ascii="Palatino Linotype" w:hAnsi="Palatino Linotype" w:cs="Arial"/>
        </w:rPr>
        <w:t>En respuesta, el Sujeto Obligado refirió que la información se encontraba disponible en la siguiente dirección electrónica:</w:t>
      </w:r>
    </w:p>
    <w:p w:rsidR="00CB6882" w:rsidRDefault="00CB6882" w:rsidP="00CB6882">
      <w:pPr>
        <w:pStyle w:val="Prrafodelista"/>
        <w:spacing w:line="360" w:lineRule="auto"/>
        <w:ind w:left="0"/>
        <w:jc w:val="both"/>
        <w:rPr>
          <w:rFonts w:ascii="Palatino Linotype" w:hAnsi="Palatino Linotype" w:cs="Arial"/>
        </w:rPr>
      </w:pPr>
    </w:p>
    <w:p w:rsidR="00CB6882" w:rsidRPr="00A456E5" w:rsidRDefault="00CB6882" w:rsidP="00B5288F">
      <w:pPr>
        <w:pStyle w:val="Prrafodelista"/>
        <w:numPr>
          <w:ilvl w:val="0"/>
          <w:numId w:val="26"/>
        </w:numPr>
        <w:spacing w:before="240" w:after="240" w:line="360" w:lineRule="auto"/>
        <w:ind w:left="709" w:hanging="283"/>
        <w:jc w:val="both"/>
        <w:rPr>
          <w:rFonts w:ascii="Palatino Linotype" w:hAnsi="Palatino Linotype" w:cs="Arial"/>
        </w:rPr>
      </w:pPr>
      <w:r w:rsidRPr="00A456E5">
        <w:rPr>
          <w:rFonts w:ascii="Palatino Linotype" w:hAnsi="Palatino Linotype"/>
          <w:i/>
          <w:color w:val="000000"/>
          <w:sz w:val="22"/>
          <w:szCs w:val="22"/>
        </w:rPr>
        <w:lastRenderedPageBreak/>
        <w:t>https://www.ipomex.org.mx/ipo3/lgt/indice/SANJOSEDELRINCON/art_92_xxix_a.web</w:t>
      </w:r>
    </w:p>
    <w:p w:rsidR="00CB6882" w:rsidRDefault="00CB6882" w:rsidP="00CB6882">
      <w:pPr>
        <w:pStyle w:val="Prrafodelista"/>
        <w:spacing w:line="360" w:lineRule="auto"/>
        <w:rPr>
          <w:rFonts w:ascii="Palatino Linotype" w:hAnsi="Palatino Linotype"/>
          <w:lang w:val="es-ES"/>
        </w:rPr>
      </w:pPr>
    </w:p>
    <w:p w:rsidR="00CB6882" w:rsidRPr="003A4A4C" w:rsidRDefault="00CB6882" w:rsidP="00CB6882">
      <w:pPr>
        <w:pStyle w:val="Prrafodelista"/>
        <w:numPr>
          <w:ilvl w:val="0"/>
          <w:numId w:val="4"/>
        </w:numPr>
        <w:tabs>
          <w:tab w:val="left" w:pos="851"/>
        </w:tabs>
        <w:spacing w:before="240" w:after="240" w:line="360" w:lineRule="auto"/>
        <w:ind w:left="0" w:right="49" w:firstLine="0"/>
        <w:jc w:val="both"/>
        <w:rPr>
          <w:rFonts w:ascii="Palatino Linotype" w:hAnsi="Palatino Linotype"/>
          <w:i/>
          <w:sz w:val="32"/>
          <w:lang w:val="es-ES"/>
        </w:rPr>
      </w:pPr>
      <w:r>
        <w:rPr>
          <w:rFonts w:ascii="Palatino Linotype" w:hAnsi="Palatino Linotype"/>
          <w:lang w:val="es-ES"/>
        </w:rPr>
        <w:t>Al dirigirnos al contenido de la dirección electrónica, se localizó lo siguiente:</w:t>
      </w:r>
    </w:p>
    <w:p w:rsidR="00CB6882" w:rsidRDefault="00CB6882" w:rsidP="00CB6882">
      <w:pPr>
        <w:pStyle w:val="Prrafodelista"/>
        <w:spacing w:line="360" w:lineRule="auto"/>
        <w:ind w:left="0"/>
        <w:jc w:val="both"/>
        <w:rPr>
          <w:rFonts w:ascii="Palatino Linotype" w:hAnsi="Palatino Linotype" w:cs="Arial"/>
        </w:rPr>
      </w:pPr>
    </w:p>
    <w:p w:rsidR="00CB6882" w:rsidRDefault="00CB6882" w:rsidP="00CB6882">
      <w:pPr>
        <w:pStyle w:val="Prrafodelista"/>
        <w:spacing w:line="360" w:lineRule="auto"/>
        <w:ind w:left="0"/>
        <w:jc w:val="both"/>
        <w:rPr>
          <w:rFonts w:ascii="Palatino Linotype" w:hAnsi="Palatino Linotype" w:cs="Arial"/>
        </w:rPr>
      </w:pPr>
      <w:r>
        <w:rPr>
          <w:noProof/>
          <w:lang w:val="es-MX" w:eastAsia="es-MX"/>
        </w:rPr>
        <w:drawing>
          <wp:inline distT="0" distB="0" distL="0" distR="0" wp14:anchorId="1403E4C8" wp14:editId="167B0C87">
            <wp:extent cx="5581934" cy="3425868"/>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575" t="23040" r="40333" b="45218"/>
                    <a:stretch/>
                  </pic:blipFill>
                  <pic:spPr bwMode="auto">
                    <a:xfrm>
                      <a:off x="0" y="0"/>
                      <a:ext cx="5606944" cy="3441218"/>
                    </a:xfrm>
                    <a:prstGeom prst="rect">
                      <a:avLst/>
                    </a:prstGeom>
                    <a:ln>
                      <a:noFill/>
                    </a:ln>
                    <a:extLst>
                      <a:ext uri="{53640926-AAD7-44D8-BBD7-CCE9431645EC}">
                        <a14:shadowObscured xmlns:a14="http://schemas.microsoft.com/office/drawing/2010/main"/>
                      </a:ext>
                    </a:extLst>
                  </pic:spPr>
                </pic:pic>
              </a:graphicData>
            </a:graphic>
          </wp:inline>
        </w:drawing>
      </w:r>
    </w:p>
    <w:p w:rsidR="00CB6882" w:rsidRDefault="00CB6882" w:rsidP="00CB6882">
      <w:pPr>
        <w:pStyle w:val="Prrafodelista"/>
        <w:spacing w:line="360" w:lineRule="auto"/>
        <w:ind w:left="0"/>
        <w:jc w:val="both"/>
        <w:rPr>
          <w:rFonts w:ascii="Palatino Linotype" w:hAnsi="Palatino Linotype" w:cs="Arial"/>
        </w:rPr>
      </w:pPr>
    </w:p>
    <w:p w:rsidR="00CB6882" w:rsidRDefault="00CB6882" w:rsidP="00CB6882">
      <w:pPr>
        <w:pStyle w:val="Prrafodelista"/>
        <w:spacing w:line="360" w:lineRule="auto"/>
        <w:ind w:left="0"/>
        <w:jc w:val="both"/>
        <w:rPr>
          <w:rFonts w:ascii="Palatino Linotype" w:hAnsi="Palatino Linotype" w:cs="Arial"/>
        </w:rPr>
      </w:pPr>
    </w:p>
    <w:p w:rsidR="00CB6882" w:rsidRDefault="00CB6882" w:rsidP="00C5169B">
      <w:pPr>
        <w:pStyle w:val="Prrafodelista"/>
        <w:numPr>
          <w:ilvl w:val="0"/>
          <w:numId w:val="4"/>
        </w:numPr>
        <w:spacing w:line="360" w:lineRule="auto"/>
        <w:ind w:left="0" w:firstLine="0"/>
        <w:jc w:val="both"/>
        <w:rPr>
          <w:rFonts w:ascii="Palatino Linotype" w:hAnsi="Palatino Linotype" w:cs="Arial"/>
        </w:rPr>
      </w:pPr>
      <w:r>
        <w:rPr>
          <w:rFonts w:ascii="Palatino Linotype" w:hAnsi="Palatino Linotype" w:cs="Arial"/>
        </w:rPr>
        <w:t>La dirección electrónica que remitió el Sujeto Obligado se aprecia la totalidad de los procedimientos de licitación pública e invitación restringida cuando menos a tres personas. No obstante, no precisa el número de registro en donde se localice la información solicitada.</w:t>
      </w:r>
    </w:p>
    <w:p w:rsidR="00CB6882" w:rsidRDefault="00CB6882" w:rsidP="00CB6882">
      <w:pPr>
        <w:pStyle w:val="Prrafodelista"/>
        <w:spacing w:line="360" w:lineRule="auto"/>
        <w:ind w:left="0"/>
        <w:jc w:val="both"/>
        <w:rPr>
          <w:rFonts w:ascii="Palatino Linotype" w:hAnsi="Palatino Linotype" w:cs="Arial"/>
        </w:rPr>
      </w:pPr>
    </w:p>
    <w:p w:rsidR="00CB6882" w:rsidRPr="0043492B" w:rsidRDefault="00CB6882" w:rsidP="00CB6882">
      <w:pPr>
        <w:pStyle w:val="Prrafodelista"/>
        <w:numPr>
          <w:ilvl w:val="0"/>
          <w:numId w:val="4"/>
        </w:numPr>
        <w:tabs>
          <w:tab w:val="left" w:pos="851"/>
        </w:tabs>
        <w:spacing w:before="240" w:after="240" w:line="360" w:lineRule="auto"/>
        <w:ind w:left="0" w:right="49" w:firstLine="0"/>
        <w:jc w:val="both"/>
        <w:rPr>
          <w:rFonts w:ascii="Palatino Linotype" w:hAnsi="Palatino Linotype"/>
          <w:i/>
          <w:lang w:val="es-ES"/>
        </w:rPr>
      </w:pPr>
      <w:r>
        <w:rPr>
          <w:rFonts w:ascii="Palatino Linotype" w:hAnsi="Palatino Linotype"/>
          <w:lang w:val="es-ES"/>
        </w:rPr>
        <w:lastRenderedPageBreak/>
        <w:t>Lo anterior, incumple</w:t>
      </w:r>
      <w:r w:rsidRPr="0043492B">
        <w:rPr>
          <w:rFonts w:ascii="Palatino Linotype" w:hAnsi="Palatino Linotype"/>
          <w:lang w:val="es-ES"/>
        </w:rPr>
        <w:t xml:space="preserve"> lo que establece el artículo 161 de la Ley de Transparencia y Acceso a la Información Pública del Estado de México y Municipios, para mejor referencia, se inserta su contenido:</w:t>
      </w:r>
    </w:p>
    <w:p w:rsidR="00CB6882" w:rsidRPr="00C15943" w:rsidRDefault="00CB6882" w:rsidP="00CB6882">
      <w:pPr>
        <w:autoSpaceDE w:val="0"/>
        <w:autoSpaceDN w:val="0"/>
        <w:adjustRightInd w:val="0"/>
        <w:spacing w:line="360" w:lineRule="auto"/>
        <w:ind w:left="567" w:right="567"/>
        <w:jc w:val="both"/>
        <w:rPr>
          <w:rFonts w:ascii="Palatino Linotype" w:hAnsi="Palatino Linotype"/>
          <w:i/>
          <w:sz w:val="28"/>
          <w:lang w:val="es-ES"/>
        </w:rPr>
      </w:pPr>
      <w:r w:rsidRPr="00C15943">
        <w:rPr>
          <w:rFonts w:ascii="Palatino Linotype" w:hAnsi="Palatino Linotype" w:cs="Bookman Old Style,Bold"/>
          <w:b/>
          <w:bCs/>
          <w:i/>
          <w:sz w:val="22"/>
          <w:szCs w:val="20"/>
          <w:lang w:val="es-MX"/>
        </w:rPr>
        <w:t xml:space="preserve">Artículo 161. </w:t>
      </w:r>
      <w:r w:rsidRPr="00C15943">
        <w:rPr>
          <w:rFonts w:ascii="Palatino Linotype" w:hAnsi="Palatino Linotype" w:cs="Bookman Old Style"/>
          <w:i/>
          <w:sz w:val="22"/>
          <w:szCs w:val="20"/>
          <w:lang w:val="es-MX"/>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Bookman Old Style"/>
          <w:i/>
          <w:sz w:val="22"/>
          <w:szCs w:val="20"/>
          <w:lang w:val="es-MX"/>
        </w:rPr>
        <w:t>.</w:t>
      </w:r>
    </w:p>
    <w:p w:rsidR="00CB6882" w:rsidRPr="00CB6882" w:rsidRDefault="00CB6882" w:rsidP="00CB6882">
      <w:pPr>
        <w:pStyle w:val="Prrafodelista"/>
        <w:numPr>
          <w:ilvl w:val="0"/>
          <w:numId w:val="4"/>
        </w:numPr>
        <w:tabs>
          <w:tab w:val="left" w:pos="851"/>
        </w:tabs>
        <w:spacing w:before="240" w:after="240" w:line="360" w:lineRule="auto"/>
        <w:ind w:left="0" w:right="49" w:firstLine="0"/>
        <w:jc w:val="both"/>
        <w:rPr>
          <w:rFonts w:ascii="Palatino Linotype" w:hAnsi="Palatino Linotype" w:cs="Arial"/>
        </w:rPr>
      </w:pPr>
      <w:r>
        <w:rPr>
          <w:rFonts w:ascii="Palatino Linotype" w:hAnsi="Palatino Linotype"/>
          <w:lang w:val="es-ES"/>
        </w:rPr>
        <w:t>Es así que, toda aquella información que sea requerida por los particulares que se encuentre previamente disponible en sitios electrónicos, como puede ser de manera enunciativa más no limitativa, el sitio oficial del Sujeto Obligado o el portal IPOMEX,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 Lo cual no sucedió en el presente asunto.</w:t>
      </w:r>
    </w:p>
    <w:p w:rsidR="00CB6882" w:rsidRDefault="00CB6882" w:rsidP="00CB6882">
      <w:pPr>
        <w:pStyle w:val="Prrafodelista"/>
        <w:tabs>
          <w:tab w:val="left" w:pos="851"/>
        </w:tabs>
        <w:spacing w:before="240" w:after="240" w:line="360" w:lineRule="auto"/>
        <w:ind w:left="0" w:right="49"/>
        <w:jc w:val="both"/>
        <w:rPr>
          <w:rFonts w:ascii="Palatino Linotype" w:hAnsi="Palatino Linotype"/>
          <w:lang w:val="es-ES"/>
        </w:rPr>
      </w:pPr>
    </w:p>
    <w:p w:rsidR="00CB6882" w:rsidRDefault="00CB6882" w:rsidP="00C5169B">
      <w:pPr>
        <w:pStyle w:val="Prrafodelista"/>
        <w:numPr>
          <w:ilvl w:val="0"/>
          <w:numId w:val="4"/>
        </w:numPr>
        <w:spacing w:line="360" w:lineRule="auto"/>
        <w:ind w:left="0" w:firstLine="0"/>
        <w:jc w:val="both"/>
        <w:rPr>
          <w:rFonts w:ascii="Palatino Linotype" w:hAnsi="Palatino Linotype" w:cs="Arial"/>
        </w:rPr>
      </w:pPr>
      <w:r>
        <w:rPr>
          <w:rFonts w:ascii="Palatino Linotype" w:hAnsi="Palatino Linotype" w:cs="Arial"/>
        </w:rPr>
        <w:t>Por otra parte, el Sujeto Obligado no niega la existencia de la información, sino por el contrario, proporcionó la dirección electrónica donde supuestamente se localiza.</w:t>
      </w:r>
    </w:p>
    <w:p w:rsidR="00CB6882" w:rsidRPr="00CB6882" w:rsidRDefault="00CB6882" w:rsidP="00CB6882">
      <w:pPr>
        <w:pStyle w:val="Prrafodelista"/>
        <w:rPr>
          <w:rFonts w:ascii="Palatino Linotype" w:hAnsi="Palatino Linotype" w:cs="Arial"/>
        </w:rPr>
      </w:pPr>
    </w:p>
    <w:p w:rsidR="00BE7690" w:rsidRPr="00757201" w:rsidRDefault="00BE7690" w:rsidP="00BE7690">
      <w:pPr>
        <w:pStyle w:val="Prrafodelista"/>
        <w:numPr>
          <w:ilvl w:val="0"/>
          <w:numId w:val="4"/>
        </w:numPr>
        <w:spacing w:line="360" w:lineRule="auto"/>
        <w:ind w:left="0" w:firstLine="0"/>
        <w:jc w:val="both"/>
        <w:rPr>
          <w:rFonts w:ascii="Palatino Linotype" w:hAnsi="Palatino Linotype" w:cs="Arial"/>
        </w:rPr>
      </w:pPr>
      <w:r>
        <w:rPr>
          <w:rFonts w:ascii="Palatino Linotype" w:eastAsia="Calibri" w:hAnsi="Palatino Linotype" w:cs="Tahoma"/>
          <w:iCs/>
          <w:lang w:val="es-ES" w:eastAsia="es-ES_tradnl"/>
        </w:rPr>
        <w:lastRenderedPageBreak/>
        <w:t>Por su parte, l</w:t>
      </w:r>
      <w:r w:rsidRPr="00757201">
        <w:rPr>
          <w:rFonts w:ascii="Palatino Linotype" w:eastAsia="Calibri" w:hAnsi="Palatino Linotype" w:cs="Tahoma"/>
          <w:iCs/>
          <w:lang w:val="es-ES" w:eastAsia="es-ES_tradnl"/>
        </w:rPr>
        <w:t xml:space="preserve">a Ley de Contratación Pública del Estado de México y Municipios, aplicable </w:t>
      </w:r>
      <w:r>
        <w:rPr>
          <w:rFonts w:ascii="Palatino Linotype" w:eastAsia="Calibri" w:hAnsi="Palatino Linotype" w:cs="Tahoma"/>
          <w:iCs/>
          <w:lang w:val="es-ES" w:eastAsia="es-ES_tradnl"/>
        </w:rPr>
        <w:t>para los municipios que integran al Estado de México,</w:t>
      </w:r>
      <w:r w:rsidRPr="00757201">
        <w:rPr>
          <w:rFonts w:ascii="Palatino Linotype" w:eastAsia="Calibri" w:hAnsi="Palatino Linotype" w:cs="Tahoma"/>
          <w:iCs/>
          <w:lang w:eastAsia="es-ES_tradnl"/>
        </w:rPr>
        <w:t xml:space="preserve"> </w:t>
      </w:r>
      <w:r>
        <w:rPr>
          <w:rFonts w:ascii="Palatino Linotype" w:eastAsia="Calibri" w:hAnsi="Palatino Linotype" w:cs="Tahoma"/>
          <w:iCs/>
          <w:lang w:eastAsia="es-ES_tradnl"/>
        </w:rPr>
        <w:t>t</w:t>
      </w:r>
      <w:r w:rsidRPr="00757201">
        <w:rPr>
          <w:rFonts w:ascii="Palatino Linotype" w:eastAsia="Calibri" w:hAnsi="Palatino Linotype" w:cs="Tahoma"/>
          <w:iCs/>
          <w:lang w:eastAsia="es-ES_tradnl"/>
        </w:rPr>
        <w:t xml:space="preserve">iene por objeto regular los actos relativos a la planeación, programación, </w:t>
      </w:r>
      <w:proofErr w:type="spellStart"/>
      <w:r w:rsidRPr="00757201">
        <w:rPr>
          <w:rFonts w:ascii="Palatino Linotype" w:eastAsia="Calibri" w:hAnsi="Palatino Linotype" w:cs="Tahoma"/>
          <w:iCs/>
          <w:lang w:eastAsia="es-ES_tradnl"/>
        </w:rPr>
        <w:t>presupuestación</w:t>
      </w:r>
      <w:proofErr w:type="spellEnd"/>
      <w:r w:rsidRPr="00757201">
        <w:rPr>
          <w:rFonts w:ascii="Palatino Linotype" w:eastAsia="Calibri" w:hAnsi="Palatino Linotype" w:cs="Tahoma"/>
          <w:iCs/>
          <w:lang w:eastAsia="es-ES_tradnl"/>
        </w:rPr>
        <w:t xml:space="preserve">, ejecución y control de la adquisición, enajenación y arrendamiento de bienes, y la </w:t>
      </w:r>
      <w:r w:rsidRPr="00757201">
        <w:rPr>
          <w:rFonts w:ascii="Palatino Linotype" w:eastAsia="Calibri" w:hAnsi="Palatino Linotype" w:cs="Tahoma"/>
          <w:b/>
          <w:iCs/>
          <w:lang w:eastAsia="es-ES_tradnl"/>
        </w:rPr>
        <w:t>contratación de servicios de cualquier naturaleza.</w:t>
      </w:r>
    </w:p>
    <w:p w:rsidR="00BE7690" w:rsidRPr="00757201" w:rsidRDefault="00BE7690" w:rsidP="00BE7690">
      <w:pPr>
        <w:pStyle w:val="Prrafodelista"/>
        <w:spacing w:line="360" w:lineRule="auto"/>
        <w:ind w:left="0"/>
        <w:jc w:val="both"/>
        <w:rPr>
          <w:rFonts w:ascii="Palatino Linotype" w:hAnsi="Palatino Linotype" w:cs="Arial"/>
        </w:rPr>
      </w:pPr>
    </w:p>
    <w:p w:rsidR="00BE7690" w:rsidRPr="00757201" w:rsidRDefault="00BE7690" w:rsidP="00BE7690">
      <w:pPr>
        <w:pStyle w:val="Prrafodelista"/>
        <w:numPr>
          <w:ilvl w:val="0"/>
          <w:numId w:val="4"/>
        </w:numPr>
        <w:spacing w:line="360" w:lineRule="auto"/>
        <w:ind w:left="0" w:firstLine="0"/>
        <w:jc w:val="both"/>
        <w:rPr>
          <w:rFonts w:ascii="Palatino Linotype" w:hAnsi="Palatino Linotype" w:cs="Arial"/>
        </w:rPr>
      </w:pPr>
      <w:r w:rsidRPr="00757201">
        <w:rPr>
          <w:rFonts w:ascii="Palatino Linotype" w:eastAsia="Calibri" w:hAnsi="Palatino Linotype" w:cs="Tahoma"/>
          <w:iCs/>
          <w:lang w:eastAsia="es-ES_tradnl"/>
        </w:rPr>
        <w:t xml:space="preserve">El artículo 26 de la citada legislación, determina que las adquisiciones, arrendamientos y </w:t>
      </w:r>
      <w:r w:rsidRPr="00757201">
        <w:rPr>
          <w:rFonts w:ascii="Palatino Linotype" w:eastAsia="Calibri" w:hAnsi="Palatino Linotype" w:cs="Tahoma"/>
          <w:b/>
          <w:iCs/>
          <w:lang w:eastAsia="es-ES_tradnl"/>
        </w:rPr>
        <w:t>servicios se adjudicarán a través de licitaciones públicas</w:t>
      </w:r>
      <w:r w:rsidRPr="00757201">
        <w:rPr>
          <w:rFonts w:ascii="Palatino Linotype" w:eastAsia="Calibri" w:hAnsi="Palatino Linotype" w:cs="Tahoma"/>
          <w:iCs/>
          <w:lang w:eastAsia="es-ES_tradnl"/>
        </w:rPr>
        <w:t xml:space="preserve">, mediante convocatoria pública. Asimismo, en su artículo 43, prevé como excepciones a la licitación pública los procedimientos de </w:t>
      </w:r>
      <w:r w:rsidRPr="00757201">
        <w:rPr>
          <w:rFonts w:ascii="Palatino Linotype" w:eastAsia="Calibri" w:hAnsi="Palatino Linotype" w:cs="Tahoma"/>
          <w:b/>
          <w:iCs/>
          <w:lang w:eastAsia="es-ES_tradnl"/>
        </w:rPr>
        <w:t>adquisición de</w:t>
      </w:r>
      <w:r w:rsidRPr="00757201">
        <w:rPr>
          <w:rFonts w:ascii="Palatino Linotype" w:eastAsia="Calibri" w:hAnsi="Palatino Linotype" w:cs="Tahoma"/>
          <w:iCs/>
          <w:lang w:eastAsia="es-ES_tradnl"/>
        </w:rPr>
        <w:t xml:space="preserve"> bienes o </w:t>
      </w:r>
      <w:r w:rsidRPr="00757201">
        <w:rPr>
          <w:rFonts w:ascii="Palatino Linotype" w:eastAsia="Calibri" w:hAnsi="Palatino Linotype" w:cs="Tahoma"/>
          <w:b/>
          <w:iCs/>
          <w:lang w:eastAsia="es-ES_tradnl"/>
        </w:rPr>
        <w:t>servicios</w:t>
      </w:r>
      <w:r w:rsidRPr="00757201">
        <w:rPr>
          <w:rFonts w:ascii="Palatino Linotype" w:eastAsia="Calibri" w:hAnsi="Palatino Linotype" w:cs="Tahoma"/>
          <w:iCs/>
          <w:lang w:eastAsia="es-ES_tradnl"/>
        </w:rPr>
        <w:t xml:space="preserve"> a través de las modalidades de invitación restringida y adjudicación directa.</w:t>
      </w:r>
    </w:p>
    <w:p w:rsidR="00BE7690" w:rsidRPr="00757201" w:rsidRDefault="00BE7690" w:rsidP="00BE7690">
      <w:pPr>
        <w:pStyle w:val="Prrafodelista"/>
        <w:rPr>
          <w:rFonts w:ascii="Palatino Linotype" w:hAnsi="Palatino Linotype" w:cs="Arial"/>
        </w:rPr>
      </w:pPr>
    </w:p>
    <w:p w:rsidR="00BE7690" w:rsidRPr="00757201" w:rsidRDefault="00BE7690" w:rsidP="00BE7690">
      <w:pPr>
        <w:pStyle w:val="Prrafodelista"/>
        <w:numPr>
          <w:ilvl w:val="0"/>
          <w:numId w:val="4"/>
        </w:numPr>
        <w:spacing w:line="360" w:lineRule="auto"/>
        <w:ind w:left="0" w:firstLine="0"/>
        <w:jc w:val="both"/>
        <w:rPr>
          <w:rFonts w:ascii="Palatino Linotype" w:hAnsi="Palatino Linotype" w:cs="Arial"/>
        </w:rPr>
      </w:pPr>
      <w:r w:rsidRPr="00757201">
        <w:rPr>
          <w:rFonts w:ascii="Palatino Linotype" w:eastAsia="Calibri" w:hAnsi="Palatino Linotype" w:cs="Tahoma"/>
          <w:iCs/>
          <w:lang w:eastAsia="es-ES_tradnl"/>
        </w:rPr>
        <w:t xml:space="preserve">Con relación a la modalidad de adjudicación directa, el artículo 48, fracción IV, de la Ley en cita, establece que </w:t>
      </w:r>
      <w:r w:rsidRPr="00757201">
        <w:rPr>
          <w:rFonts w:ascii="Palatino Linotype" w:eastAsia="Calibri" w:hAnsi="Palatino Linotype" w:cs="Tahoma"/>
          <w:b/>
          <w:iCs/>
          <w:u w:val="single"/>
          <w:lang w:eastAsia="es-ES_tradnl"/>
        </w:rPr>
        <w:t>podrá realizarse cuando sea urgente la adquisición de</w:t>
      </w:r>
      <w:r w:rsidRPr="00757201">
        <w:rPr>
          <w:rFonts w:ascii="Palatino Linotype" w:eastAsia="Calibri" w:hAnsi="Palatino Linotype" w:cs="Tahoma"/>
          <w:iCs/>
          <w:lang w:eastAsia="es-ES_tradnl"/>
        </w:rPr>
        <w:t xml:space="preserve"> bienes, arrendamientos o </w:t>
      </w:r>
      <w:r w:rsidRPr="00757201">
        <w:rPr>
          <w:rFonts w:ascii="Palatino Linotype" w:eastAsia="Calibri" w:hAnsi="Palatino Linotype" w:cs="Tahoma"/>
          <w:b/>
          <w:iCs/>
          <w:u w:val="single"/>
          <w:lang w:eastAsia="es-ES_tradnl"/>
        </w:rPr>
        <w:t>servicios por estar en riesgo el orden social, la salubridad, la seguridad pública o el ambiente, de alguna zona o región del Estado</w:t>
      </w:r>
      <w:r w:rsidRPr="00757201">
        <w:rPr>
          <w:rFonts w:ascii="Palatino Linotype" w:eastAsia="Calibri" w:hAnsi="Palatino Linotype" w:cs="Tahoma"/>
          <w:iCs/>
          <w:lang w:eastAsia="es-ES_tradnl"/>
        </w:rPr>
        <w:t xml:space="preserve">; </w:t>
      </w:r>
      <w:r w:rsidRPr="00757201">
        <w:rPr>
          <w:rFonts w:ascii="Palatino Linotype" w:eastAsia="Calibri" w:hAnsi="Palatino Linotype" w:cs="Tahoma"/>
          <w:b/>
          <w:iCs/>
          <w:u w:val="single"/>
          <w:lang w:eastAsia="es-ES_tradnl"/>
        </w:rPr>
        <w:t>se paralicen los servicios públicos</w:t>
      </w:r>
      <w:r w:rsidRPr="00757201">
        <w:rPr>
          <w:rFonts w:ascii="Palatino Linotype" w:eastAsia="Calibri" w:hAnsi="Palatino Linotype" w:cs="Tahoma"/>
          <w:iCs/>
          <w:lang w:eastAsia="es-ES_tradnl"/>
        </w:rPr>
        <w:t xml:space="preserve">; </w:t>
      </w:r>
      <w:r w:rsidRPr="00757201">
        <w:rPr>
          <w:rFonts w:ascii="Palatino Linotype" w:eastAsia="Calibri" w:hAnsi="Palatino Linotype" w:cs="Tahoma"/>
          <w:b/>
          <w:iCs/>
          <w:u w:val="single"/>
          <w:lang w:eastAsia="es-ES_tradnl"/>
        </w:rPr>
        <w:t>se trate de programas o acciones</w:t>
      </w:r>
      <w:r w:rsidRPr="00757201">
        <w:rPr>
          <w:rFonts w:ascii="Palatino Linotype" w:eastAsia="Calibri" w:hAnsi="Palatino Linotype" w:cs="Tahoma"/>
          <w:iCs/>
          <w:lang w:eastAsia="es-ES_tradnl"/>
        </w:rPr>
        <w:t xml:space="preserve"> de apoyo a la población </w:t>
      </w:r>
      <w:r w:rsidRPr="00757201">
        <w:rPr>
          <w:rFonts w:ascii="Palatino Linotype" w:eastAsia="Calibri" w:hAnsi="Palatino Linotype" w:cs="Tahoma"/>
          <w:b/>
          <w:iCs/>
          <w:u w:val="single"/>
          <w:lang w:eastAsia="es-ES_tradnl"/>
        </w:rPr>
        <w:t>para atender necesidades apremiantes, o concurra alguna causa similar de interés público</w:t>
      </w:r>
      <w:r w:rsidRPr="00757201">
        <w:rPr>
          <w:rFonts w:ascii="Palatino Linotype" w:eastAsia="Calibri" w:hAnsi="Palatino Linotype" w:cs="Tahoma"/>
          <w:iCs/>
          <w:lang w:eastAsia="es-ES_tradnl"/>
        </w:rPr>
        <w:t>.</w:t>
      </w:r>
    </w:p>
    <w:p w:rsidR="00BE7690" w:rsidRPr="00757201" w:rsidRDefault="00BE7690" w:rsidP="00BE7690">
      <w:pPr>
        <w:pStyle w:val="Prrafodelista"/>
        <w:rPr>
          <w:rFonts w:ascii="Palatino Linotype" w:hAnsi="Palatino Linotype" w:cs="Arial"/>
        </w:rPr>
      </w:pPr>
    </w:p>
    <w:p w:rsidR="00BE7690" w:rsidRPr="00757201" w:rsidRDefault="00BE7690" w:rsidP="00BE7690">
      <w:pPr>
        <w:pStyle w:val="Prrafodelista"/>
        <w:numPr>
          <w:ilvl w:val="0"/>
          <w:numId w:val="4"/>
        </w:numPr>
        <w:spacing w:line="360" w:lineRule="auto"/>
        <w:ind w:left="0" w:firstLine="0"/>
        <w:jc w:val="both"/>
        <w:rPr>
          <w:rFonts w:ascii="Palatino Linotype" w:hAnsi="Palatino Linotype" w:cs="Arial"/>
        </w:rPr>
      </w:pPr>
      <w:r w:rsidRPr="00757201">
        <w:rPr>
          <w:rFonts w:ascii="Palatino Linotype" w:eastAsia="Calibri" w:hAnsi="Palatino Linotype" w:cs="Tahoma"/>
          <w:iCs/>
          <w:lang w:eastAsia="es-ES_tradnl"/>
        </w:rPr>
        <w:t>En este sentido, se advierte la existencia de obligación legal para realizar contrataciones por parte del Sujeto Obligado, incluso la propia normatividad prevé supuestos de excepción al procedimiento adquisitivo cuando se trate de situaciones de emergencia que pongan en riesgo la pr</w:t>
      </w:r>
      <w:r>
        <w:rPr>
          <w:rFonts w:ascii="Palatino Linotype" w:eastAsia="Calibri" w:hAnsi="Palatino Linotype" w:cs="Tahoma"/>
          <w:iCs/>
          <w:lang w:eastAsia="es-ES_tradnl"/>
        </w:rPr>
        <w:t>estación de servicios públicos.</w:t>
      </w:r>
    </w:p>
    <w:p w:rsidR="00BE7690" w:rsidRPr="00757201" w:rsidRDefault="00BE7690" w:rsidP="00BE7690">
      <w:pPr>
        <w:pStyle w:val="Prrafodelista"/>
        <w:rPr>
          <w:rFonts w:ascii="Palatino Linotype" w:hAnsi="Palatino Linotype" w:cs="Arial"/>
        </w:rPr>
      </w:pPr>
    </w:p>
    <w:p w:rsidR="00BE7690" w:rsidRPr="00757201" w:rsidRDefault="00BE7690" w:rsidP="00BE7690">
      <w:pPr>
        <w:pStyle w:val="Prrafodelista"/>
        <w:numPr>
          <w:ilvl w:val="0"/>
          <w:numId w:val="4"/>
        </w:numPr>
        <w:spacing w:line="360" w:lineRule="auto"/>
        <w:ind w:left="0" w:firstLine="0"/>
        <w:jc w:val="both"/>
        <w:rPr>
          <w:rFonts w:ascii="Palatino Linotype" w:hAnsi="Palatino Linotype" w:cs="Arial"/>
        </w:rPr>
      </w:pPr>
      <w:r w:rsidRPr="00757201">
        <w:rPr>
          <w:rFonts w:ascii="Palatino Linotype" w:eastAsia="Calibri" w:hAnsi="Palatino Linotype" w:cs="Tahoma"/>
          <w:iCs/>
          <w:lang w:eastAsia="es-ES_tradnl"/>
        </w:rPr>
        <w:t xml:space="preserve">Asimismo, los artículos 65, 80 y 81 de la </w:t>
      </w:r>
      <w:r w:rsidRPr="00757201">
        <w:rPr>
          <w:rFonts w:ascii="Palatino Linotype" w:eastAsia="Calibri" w:hAnsi="Palatino Linotype" w:cs="Tahoma"/>
          <w:iCs/>
          <w:lang w:val="es-ES" w:eastAsia="es-ES_tradnl"/>
        </w:rPr>
        <w:t>Ley de Contratación Pública de</w:t>
      </w:r>
      <w:r>
        <w:rPr>
          <w:rFonts w:ascii="Palatino Linotype" w:eastAsia="Calibri" w:hAnsi="Palatino Linotype" w:cs="Tahoma"/>
          <w:iCs/>
          <w:lang w:val="es-ES" w:eastAsia="es-ES_tradnl"/>
        </w:rPr>
        <w:t xml:space="preserve">l Estado de México y Municipios establecen </w:t>
      </w:r>
      <w:r w:rsidRPr="00757201">
        <w:rPr>
          <w:rFonts w:ascii="Palatino Linotype" w:eastAsia="Calibri" w:hAnsi="Palatino Linotype" w:cs="Tahoma"/>
          <w:iCs/>
          <w:lang w:val="es-ES" w:eastAsia="es-ES_tradnl"/>
        </w:rPr>
        <w:t>lo siguiente:</w:t>
      </w:r>
    </w:p>
    <w:p w:rsidR="00BE7690" w:rsidRPr="00757201" w:rsidRDefault="00BE7690" w:rsidP="00BE7690">
      <w:pPr>
        <w:tabs>
          <w:tab w:val="left" w:pos="4962"/>
        </w:tabs>
        <w:spacing w:line="360" w:lineRule="auto"/>
        <w:jc w:val="both"/>
        <w:rPr>
          <w:rFonts w:ascii="Palatino Linotype" w:eastAsia="Calibri" w:hAnsi="Palatino Linotype" w:cs="Tahoma"/>
          <w:iCs/>
          <w:lang w:val="es-ES" w:eastAsia="es-ES_tradnl"/>
        </w:rPr>
      </w:pPr>
    </w:p>
    <w:p w:rsidR="00BE7690" w:rsidRPr="00757201" w:rsidRDefault="00BE7690" w:rsidP="00BE7690">
      <w:pPr>
        <w:tabs>
          <w:tab w:val="left" w:pos="4962"/>
        </w:tabs>
        <w:spacing w:line="360" w:lineRule="auto"/>
        <w:ind w:left="567" w:right="567"/>
        <w:jc w:val="both"/>
        <w:rPr>
          <w:rFonts w:ascii="Palatino Linotype" w:eastAsia="Calibri" w:hAnsi="Palatino Linotype" w:cs="Tahoma"/>
          <w:i/>
          <w:iCs/>
          <w:sz w:val="22"/>
          <w:lang w:eastAsia="es-ES_tradnl"/>
        </w:rPr>
      </w:pPr>
      <w:r w:rsidRPr="00757201">
        <w:rPr>
          <w:rFonts w:ascii="Palatino Linotype" w:eastAsia="Calibri" w:hAnsi="Palatino Linotype" w:cs="Tahoma"/>
          <w:b/>
          <w:i/>
          <w:iCs/>
          <w:sz w:val="22"/>
          <w:lang w:eastAsia="es-ES_tradnl"/>
        </w:rPr>
        <w:t>Artículo 65.-</w:t>
      </w:r>
      <w:r w:rsidRPr="00757201">
        <w:rPr>
          <w:rFonts w:ascii="Palatino Linotype" w:eastAsia="Calibri" w:hAnsi="Palatino Linotype" w:cs="Tahoma"/>
          <w:i/>
          <w:iCs/>
          <w:sz w:val="22"/>
          <w:lang w:eastAsia="es-ES_tradnl"/>
        </w:rPr>
        <w:t xml:space="preserve"> La adjudicación de los contratos derivados de los procedimientos de </w:t>
      </w:r>
      <w:r w:rsidRPr="00757201">
        <w:rPr>
          <w:rFonts w:ascii="Palatino Linotype" w:eastAsia="Calibri" w:hAnsi="Palatino Linotype" w:cs="Tahoma"/>
          <w:b/>
          <w:i/>
          <w:iCs/>
          <w:sz w:val="22"/>
          <w:lang w:eastAsia="es-ES_tradnl"/>
        </w:rPr>
        <w:t xml:space="preserve">adquisiciones de </w:t>
      </w:r>
      <w:r w:rsidRPr="00757201">
        <w:rPr>
          <w:rFonts w:ascii="Palatino Linotype" w:eastAsia="Calibri" w:hAnsi="Palatino Linotype" w:cs="Tahoma"/>
          <w:i/>
          <w:iCs/>
          <w:sz w:val="22"/>
          <w:lang w:eastAsia="es-ES_tradnl"/>
        </w:rPr>
        <w:t xml:space="preserve">bienes o </w:t>
      </w:r>
      <w:r w:rsidRPr="00757201">
        <w:rPr>
          <w:rFonts w:ascii="Palatino Linotype" w:eastAsia="Calibri" w:hAnsi="Palatino Linotype" w:cs="Tahoma"/>
          <w:b/>
          <w:i/>
          <w:iCs/>
          <w:sz w:val="22"/>
          <w:lang w:eastAsia="es-ES_tradnl"/>
        </w:rPr>
        <w:t>servicios</w:t>
      </w:r>
      <w:r w:rsidRPr="00757201">
        <w:rPr>
          <w:rFonts w:ascii="Palatino Linotype" w:eastAsia="Calibri" w:hAnsi="Palatino Linotype" w:cs="Tahoma"/>
          <w:i/>
          <w:iCs/>
          <w:sz w:val="22"/>
          <w:lang w:eastAsia="es-ES_tradnl"/>
        </w:rPr>
        <w:t xml:space="preserve">, obligará a la convocante y al licitante ganador a </w:t>
      </w:r>
      <w:r w:rsidRPr="00757201">
        <w:rPr>
          <w:rFonts w:ascii="Palatino Linotype" w:eastAsia="Calibri" w:hAnsi="Palatino Linotype" w:cs="Tahoma"/>
          <w:b/>
          <w:i/>
          <w:iCs/>
          <w:sz w:val="22"/>
          <w:lang w:eastAsia="es-ES_tradnl"/>
        </w:rPr>
        <w:t>suscribir el contrato respectivo</w:t>
      </w:r>
      <w:r w:rsidRPr="00757201">
        <w:rPr>
          <w:rFonts w:ascii="Palatino Linotype" w:eastAsia="Calibri" w:hAnsi="Palatino Linotype" w:cs="Tahoma"/>
          <w:i/>
          <w:iCs/>
          <w:sz w:val="22"/>
          <w:lang w:eastAsia="es-ES_tradnl"/>
        </w:rPr>
        <w:t>, dentro de los diez días hábiles siguientes al de la notificación del fallo. Los contratos podrán suscribirse mediante el uso de la firma electrónica, en apego a las disposiciones de la Ley de Medios Electrónicos y de su Reglamento.</w:t>
      </w:r>
    </w:p>
    <w:p w:rsidR="00BE7690" w:rsidRPr="00757201" w:rsidRDefault="00BE7690" w:rsidP="00BE7690">
      <w:pPr>
        <w:tabs>
          <w:tab w:val="left" w:pos="4962"/>
        </w:tabs>
        <w:spacing w:line="360" w:lineRule="auto"/>
        <w:ind w:left="567" w:right="567"/>
        <w:jc w:val="both"/>
        <w:rPr>
          <w:rFonts w:ascii="Palatino Linotype" w:eastAsia="Calibri" w:hAnsi="Palatino Linotype" w:cs="Tahoma"/>
          <w:i/>
          <w:iCs/>
          <w:sz w:val="22"/>
          <w:lang w:eastAsia="es-ES_tradnl"/>
        </w:rPr>
      </w:pPr>
    </w:p>
    <w:p w:rsidR="00BE7690" w:rsidRPr="00757201" w:rsidRDefault="00BE7690" w:rsidP="00BE7690">
      <w:pPr>
        <w:tabs>
          <w:tab w:val="left" w:pos="4962"/>
        </w:tabs>
        <w:spacing w:line="360" w:lineRule="auto"/>
        <w:ind w:left="567" w:right="567"/>
        <w:jc w:val="both"/>
        <w:rPr>
          <w:rFonts w:ascii="Palatino Linotype" w:eastAsia="Calibri" w:hAnsi="Palatino Linotype" w:cs="Tahoma"/>
          <w:i/>
          <w:iCs/>
          <w:sz w:val="22"/>
          <w:lang w:eastAsia="es-ES_tradnl"/>
        </w:rPr>
      </w:pPr>
      <w:r w:rsidRPr="00757201">
        <w:rPr>
          <w:rFonts w:ascii="Palatino Linotype" w:eastAsia="Calibri" w:hAnsi="Palatino Linotype" w:cs="Tahoma"/>
          <w:b/>
          <w:i/>
          <w:iCs/>
          <w:sz w:val="22"/>
          <w:lang w:eastAsia="es-ES_tradnl"/>
        </w:rPr>
        <w:t>Artículo 80.-</w:t>
      </w:r>
      <w:r w:rsidRPr="00757201">
        <w:rPr>
          <w:rFonts w:ascii="Palatino Linotype" w:eastAsia="Calibri" w:hAnsi="Palatino Linotype" w:cs="Tahoma"/>
          <w:i/>
          <w:iCs/>
          <w:sz w:val="22"/>
          <w:lang w:eastAsia="es-ES_tradnl"/>
        </w:rPr>
        <w:t xml:space="preserve"> Los </w:t>
      </w:r>
      <w:r w:rsidRPr="00757201">
        <w:rPr>
          <w:rFonts w:ascii="Palatino Linotype" w:eastAsia="Calibri" w:hAnsi="Palatino Linotype" w:cs="Tahoma"/>
          <w:b/>
          <w:i/>
          <w:iCs/>
          <w:sz w:val="22"/>
          <w:lang w:eastAsia="es-ES_tradnl"/>
        </w:rPr>
        <w:t xml:space="preserve">contratos </w:t>
      </w:r>
      <w:proofErr w:type="gramStart"/>
      <w:r w:rsidRPr="00757201">
        <w:rPr>
          <w:rFonts w:ascii="Palatino Linotype" w:eastAsia="Calibri" w:hAnsi="Palatino Linotype" w:cs="Tahoma"/>
          <w:b/>
          <w:i/>
          <w:iCs/>
          <w:sz w:val="22"/>
          <w:lang w:eastAsia="es-ES_tradnl"/>
        </w:rPr>
        <w:t>pedido</w:t>
      </w:r>
      <w:proofErr w:type="gramEnd"/>
      <w:r w:rsidRPr="00757201">
        <w:rPr>
          <w:rFonts w:ascii="Palatino Linotype" w:eastAsia="Calibri" w:hAnsi="Palatino Linotype" w:cs="Tahoma"/>
          <w:i/>
          <w:iCs/>
          <w:sz w:val="22"/>
          <w:lang w:eastAsia="es-ES_tradnl"/>
        </w:rPr>
        <w:t xml:space="preserve"> son aquellos instrumentos que permiten a las dependencias, a las entidades, a los tribunales administrativos y a los ayuntamientos adquirir bienes o contratar servicios por una cantidad que no exceda los montos establecidos para la adjudicación directa, de conformidad con lo previsto en la fracción XI del artículo 48 de la presente Ley. Las dependencias deberán celebrar </w:t>
      </w:r>
      <w:proofErr w:type="gramStart"/>
      <w:r w:rsidRPr="00757201">
        <w:rPr>
          <w:rFonts w:ascii="Palatino Linotype" w:eastAsia="Calibri" w:hAnsi="Palatino Linotype" w:cs="Tahoma"/>
          <w:i/>
          <w:iCs/>
          <w:sz w:val="22"/>
          <w:lang w:eastAsia="es-ES_tradnl"/>
        </w:rPr>
        <w:t>contratos pedido</w:t>
      </w:r>
      <w:proofErr w:type="gramEnd"/>
      <w:r w:rsidRPr="00757201">
        <w:rPr>
          <w:rFonts w:ascii="Palatino Linotype" w:eastAsia="Calibri" w:hAnsi="Palatino Linotype" w:cs="Tahoma"/>
          <w:i/>
          <w:iCs/>
          <w:sz w:val="22"/>
          <w:lang w:eastAsia="es-ES_tradnl"/>
        </w:rPr>
        <w:t xml:space="preserve"> para la contratación de bienes o de servicios, que realicen al amparo de dicha fracción. </w:t>
      </w:r>
    </w:p>
    <w:p w:rsidR="00BE7690" w:rsidRPr="00757201" w:rsidRDefault="00BE7690" w:rsidP="00BE7690">
      <w:pPr>
        <w:tabs>
          <w:tab w:val="left" w:pos="4962"/>
        </w:tabs>
        <w:spacing w:line="360" w:lineRule="auto"/>
        <w:ind w:left="567" w:right="567"/>
        <w:jc w:val="both"/>
        <w:rPr>
          <w:rFonts w:ascii="Palatino Linotype" w:eastAsia="Calibri" w:hAnsi="Palatino Linotype" w:cs="Tahoma"/>
          <w:i/>
          <w:iCs/>
          <w:sz w:val="22"/>
          <w:lang w:eastAsia="es-ES_tradnl"/>
        </w:rPr>
      </w:pPr>
    </w:p>
    <w:p w:rsidR="00BE7690" w:rsidRPr="00757201" w:rsidRDefault="00BE7690" w:rsidP="00BE7690">
      <w:pPr>
        <w:tabs>
          <w:tab w:val="left" w:pos="4962"/>
        </w:tabs>
        <w:spacing w:line="360" w:lineRule="auto"/>
        <w:ind w:left="567" w:right="567"/>
        <w:jc w:val="both"/>
        <w:rPr>
          <w:rFonts w:ascii="Palatino Linotype" w:eastAsia="Calibri" w:hAnsi="Palatino Linotype" w:cs="Tahoma"/>
          <w:i/>
          <w:iCs/>
          <w:sz w:val="22"/>
          <w:lang w:eastAsia="es-ES_tradnl"/>
        </w:rPr>
      </w:pPr>
      <w:r w:rsidRPr="00757201">
        <w:rPr>
          <w:rFonts w:ascii="Palatino Linotype" w:eastAsia="Calibri" w:hAnsi="Palatino Linotype" w:cs="Tahoma"/>
          <w:b/>
          <w:i/>
          <w:iCs/>
          <w:sz w:val="22"/>
          <w:lang w:eastAsia="es-ES_tradnl"/>
        </w:rPr>
        <w:t>Artículo 81.-</w:t>
      </w:r>
      <w:r w:rsidRPr="00757201">
        <w:rPr>
          <w:rFonts w:ascii="Palatino Linotype" w:eastAsia="Calibri" w:hAnsi="Palatino Linotype" w:cs="Tahoma"/>
          <w:i/>
          <w:iCs/>
          <w:sz w:val="22"/>
          <w:lang w:eastAsia="es-ES_tradnl"/>
        </w:rPr>
        <w:t xml:space="preserve"> Los </w:t>
      </w:r>
      <w:r w:rsidRPr="00757201">
        <w:rPr>
          <w:rFonts w:ascii="Palatino Linotype" w:eastAsia="Calibri" w:hAnsi="Palatino Linotype" w:cs="Tahoma"/>
          <w:b/>
          <w:i/>
          <w:iCs/>
          <w:sz w:val="22"/>
          <w:lang w:eastAsia="es-ES_tradnl"/>
        </w:rPr>
        <w:t>contratos abiertos</w:t>
      </w:r>
      <w:r w:rsidRPr="00757201">
        <w:rPr>
          <w:rFonts w:ascii="Palatino Linotype" w:eastAsia="Calibri" w:hAnsi="Palatino Linotype" w:cs="Tahoma"/>
          <w:i/>
          <w:iCs/>
          <w:sz w:val="22"/>
          <w:lang w:eastAsia="es-ES_tradnl"/>
        </w:rPr>
        <w:t xml:space="preserve"> son aquellos instrumentos que permiten a las dependencias, a las entidades, a los tribunales administrativos y a los ayuntamientos adquirir bienes o contratar servicios por una cantidad y plazo indeterminados, fijando mínimos y máximos, dentro de la asignación presupuestal correspondiente, y en el caso de los Ayuntamientos con sujeción a las disposiciones legales correspondientes.</w:t>
      </w:r>
    </w:p>
    <w:p w:rsidR="00BE7690" w:rsidRDefault="00BE7690" w:rsidP="00BE7690">
      <w:pPr>
        <w:pStyle w:val="Prrafodelista"/>
        <w:spacing w:line="360" w:lineRule="auto"/>
        <w:ind w:left="0"/>
        <w:jc w:val="both"/>
        <w:rPr>
          <w:rFonts w:ascii="Palatino Linotype" w:hAnsi="Palatino Linotype" w:cs="Arial"/>
        </w:rPr>
      </w:pPr>
    </w:p>
    <w:p w:rsidR="00BE7690" w:rsidRDefault="00BE7690" w:rsidP="00BE7690">
      <w:pPr>
        <w:pStyle w:val="Prrafodelista"/>
        <w:numPr>
          <w:ilvl w:val="0"/>
          <w:numId w:val="4"/>
        </w:numPr>
        <w:spacing w:line="360" w:lineRule="auto"/>
        <w:ind w:left="0" w:firstLine="0"/>
        <w:jc w:val="both"/>
        <w:rPr>
          <w:rFonts w:ascii="Palatino Linotype" w:hAnsi="Palatino Linotype" w:cs="Arial"/>
        </w:rPr>
      </w:pPr>
      <w:r>
        <w:rPr>
          <w:rFonts w:ascii="Palatino Linotype" w:hAnsi="Palatino Linotype" w:cs="Arial"/>
        </w:rPr>
        <w:t xml:space="preserve">Es así que, los municipios cuentan con la atribución legal para celebrar contratos para la adquisición de bienes o servicios. Por su parte, la Ley de </w:t>
      </w:r>
      <w:r>
        <w:rPr>
          <w:rFonts w:ascii="Palatino Linotype" w:hAnsi="Palatino Linotype" w:cs="Arial"/>
        </w:rPr>
        <w:lastRenderedPageBreak/>
        <w:t>Transparencia y Acceso a la Información Pública del Estado de México y Municipios, en su artículo 92, fracción XXIX establece lo siguiente:</w:t>
      </w:r>
    </w:p>
    <w:p w:rsidR="00BE7690" w:rsidRDefault="00BE7690" w:rsidP="00BE7690">
      <w:pPr>
        <w:spacing w:line="360" w:lineRule="auto"/>
        <w:jc w:val="both"/>
        <w:rPr>
          <w:rFonts w:ascii="Palatino Linotype" w:hAnsi="Palatino Linotype" w:cs="Arial"/>
        </w:rPr>
      </w:pPr>
    </w:p>
    <w:p w:rsidR="00BE7690" w:rsidRPr="005D258B" w:rsidRDefault="00BE7690" w:rsidP="00BE7690">
      <w:pPr>
        <w:autoSpaceDE w:val="0"/>
        <w:autoSpaceDN w:val="0"/>
        <w:adjustRightInd w:val="0"/>
        <w:spacing w:line="360" w:lineRule="auto"/>
        <w:ind w:left="284" w:right="567"/>
        <w:rPr>
          <w:rFonts w:ascii="Palatino Linotype" w:hAnsi="Palatino Linotype" w:cs="Arial"/>
          <w:i/>
          <w:sz w:val="28"/>
        </w:rPr>
      </w:pPr>
      <w:r w:rsidRPr="005D258B">
        <w:rPr>
          <w:rFonts w:ascii="Palatino Linotype" w:eastAsiaTheme="minorHAnsi" w:hAnsi="Palatino Linotype" w:cs="Bookman Old Style,Bold"/>
          <w:b/>
          <w:bCs/>
          <w:i/>
          <w:sz w:val="22"/>
          <w:szCs w:val="20"/>
          <w:lang w:val="es-MX" w:eastAsia="en-US"/>
        </w:rPr>
        <w:t xml:space="preserve">XXIX. </w:t>
      </w:r>
      <w:r w:rsidRPr="005D258B">
        <w:rPr>
          <w:rFonts w:ascii="Palatino Linotype" w:eastAsiaTheme="minorHAnsi" w:hAnsi="Palatino Linotype" w:cs="Bookman Old Style"/>
          <w:i/>
          <w:sz w:val="22"/>
          <w:szCs w:val="20"/>
          <w:lang w:val="es-MX" w:eastAsia="en-US"/>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BE7690" w:rsidRPr="005D258B" w:rsidRDefault="00BE7690" w:rsidP="00BE7690">
      <w:pPr>
        <w:spacing w:line="360" w:lineRule="auto"/>
        <w:ind w:left="567" w:right="567" w:hanging="283"/>
        <w:jc w:val="both"/>
        <w:rPr>
          <w:rFonts w:ascii="Palatino Linotype" w:hAnsi="Palatino Linotype" w:cs="Arial"/>
          <w:i/>
          <w:sz w:val="28"/>
        </w:rPr>
      </w:pPr>
    </w:p>
    <w:p w:rsidR="00BE7690" w:rsidRPr="005D258B" w:rsidRDefault="00BE7690" w:rsidP="00BE7690">
      <w:pPr>
        <w:spacing w:line="360" w:lineRule="auto"/>
        <w:ind w:left="284" w:right="567" w:hanging="283"/>
        <w:jc w:val="both"/>
        <w:rPr>
          <w:rFonts w:ascii="Palatino Linotype" w:hAnsi="Palatino Linotype" w:cs="Arial"/>
          <w:i/>
          <w:sz w:val="28"/>
        </w:rPr>
      </w:pPr>
      <w:r w:rsidRPr="005D258B">
        <w:rPr>
          <w:rFonts w:ascii="Palatino Linotype" w:eastAsiaTheme="minorHAnsi" w:hAnsi="Palatino Linotype" w:cs="Bookman Old Style,Bold"/>
          <w:b/>
          <w:bCs/>
          <w:i/>
          <w:sz w:val="22"/>
          <w:szCs w:val="20"/>
          <w:lang w:val="es-MX" w:eastAsia="en-US"/>
        </w:rPr>
        <w:t xml:space="preserve">a) </w:t>
      </w:r>
      <w:r w:rsidRPr="005D258B">
        <w:rPr>
          <w:rFonts w:ascii="Palatino Linotype" w:eastAsiaTheme="minorHAnsi" w:hAnsi="Palatino Linotype" w:cs="Bookman Old Style"/>
          <w:i/>
          <w:sz w:val="22"/>
          <w:szCs w:val="20"/>
          <w:lang w:val="es-MX" w:eastAsia="en-US"/>
        </w:rPr>
        <w:t>De licitaciones públicas o procedimientos de invitación restringida:</w:t>
      </w:r>
    </w:p>
    <w:p w:rsidR="00BE7690" w:rsidRPr="005D258B" w:rsidRDefault="00BE7690" w:rsidP="00BE7690">
      <w:pPr>
        <w:pStyle w:val="Prrafodelista"/>
        <w:spacing w:line="360" w:lineRule="auto"/>
        <w:ind w:left="567" w:right="567" w:hanging="283"/>
        <w:jc w:val="both"/>
        <w:rPr>
          <w:rFonts w:ascii="Palatino Linotype" w:hAnsi="Palatino Linotype" w:cs="Arial"/>
          <w:i/>
          <w:sz w:val="28"/>
        </w:rPr>
      </w:pPr>
    </w:p>
    <w:p w:rsidR="00BE7690" w:rsidRPr="005D258B" w:rsidRDefault="00BE7690" w:rsidP="00BE7690">
      <w:pPr>
        <w:autoSpaceDE w:val="0"/>
        <w:autoSpaceDN w:val="0"/>
        <w:adjustRightInd w:val="0"/>
        <w:spacing w:line="360" w:lineRule="auto"/>
        <w:ind w:left="567" w:right="567" w:hanging="283"/>
        <w:rPr>
          <w:rFonts w:ascii="Palatino Linotype" w:eastAsiaTheme="minorHAnsi" w:hAnsi="Palatino Linotype" w:cs="Bookman Old Style"/>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1) </w:t>
      </w:r>
      <w:r w:rsidRPr="005D258B">
        <w:rPr>
          <w:rFonts w:ascii="Palatino Linotype" w:eastAsiaTheme="minorHAnsi" w:hAnsi="Palatino Linotype" w:cs="Bookman Old Style"/>
          <w:i/>
          <w:sz w:val="22"/>
          <w:szCs w:val="20"/>
          <w:lang w:val="es-MX" w:eastAsia="en-US"/>
        </w:rPr>
        <w:t>La convocatoria o invitación emitida, así como los fundamentos legales aplicados para llevarla a cabo;</w:t>
      </w:r>
    </w:p>
    <w:p w:rsidR="00BE7690" w:rsidRPr="00B5288F" w:rsidRDefault="00BE7690" w:rsidP="00BE7690">
      <w:pPr>
        <w:autoSpaceDE w:val="0"/>
        <w:autoSpaceDN w:val="0"/>
        <w:adjustRightInd w:val="0"/>
        <w:spacing w:line="360" w:lineRule="auto"/>
        <w:ind w:left="567" w:right="567" w:hanging="283"/>
        <w:rPr>
          <w:rFonts w:ascii="Palatino Linotype" w:eastAsiaTheme="minorHAnsi" w:hAnsi="Palatino Linotype" w:cs="Bookman Old Style"/>
          <w:b/>
          <w:i/>
          <w:sz w:val="22"/>
          <w:szCs w:val="20"/>
          <w:lang w:val="es-MX" w:eastAsia="en-US"/>
        </w:rPr>
      </w:pPr>
      <w:r w:rsidRPr="00B5288F">
        <w:rPr>
          <w:rFonts w:ascii="Palatino Linotype" w:eastAsiaTheme="minorHAnsi" w:hAnsi="Palatino Linotype" w:cs="Bookman Old Style,Bold"/>
          <w:b/>
          <w:bCs/>
          <w:i/>
          <w:sz w:val="22"/>
          <w:szCs w:val="20"/>
          <w:lang w:val="es-MX" w:eastAsia="en-US"/>
        </w:rPr>
        <w:t xml:space="preserve">2) </w:t>
      </w:r>
      <w:r w:rsidRPr="00B5288F">
        <w:rPr>
          <w:rFonts w:ascii="Palatino Linotype" w:eastAsiaTheme="minorHAnsi" w:hAnsi="Palatino Linotype" w:cs="Bookman Old Style"/>
          <w:b/>
          <w:i/>
          <w:sz w:val="22"/>
          <w:szCs w:val="20"/>
          <w:lang w:val="es-MX" w:eastAsia="en-US"/>
        </w:rPr>
        <w:t>Los nombres de los participantes o invitados;</w:t>
      </w:r>
    </w:p>
    <w:p w:rsidR="00BE7690" w:rsidRPr="00B5288F" w:rsidRDefault="00BE7690" w:rsidP="00BE7690">
      <w:pPr>
        <w:autoSpaceDE w:val="0"/>
        <w:autoSpaceDN w:val="0"/>
        <w:adjustRightInd w:val="0"/>
        <w:spacing w:line="360" w:lineRule="auto"/>
        <w:ind w:left="567" w:right="567" w:hanging="283"/>
        <w:rPr>
          <w:rFonts w:ascii="Palatino Linotype" w:eastAsiaTheme="minorHAnsi" w:hAnsi="Palatino Linotype" w:cs="Bookman Old Style"/>
          <w:b/>
          <w:i/>
          <w:sz w:val="22"/>
          <w:szCs w:val="20"/>
          <w:lang w:val="es-MX" w:eastAsia="en-US"/>
        </w:rPr>
      </w:pPr>
      <w:r w:rsidRPr="00B5288F">
        <w:rPr>
          <w:rFonts w:ascii="Palatino Linotype" w:eastAsiaTheme="minorHAnsi" w:hAnsi="Palatino Linotype" w:cs="Bookman Old Style,Bold"/>
          <w:b/>
          <w:bCs/>
          <w:i/>
          <w:sz w:val="22"/>
          <w:szCs w:val="20"/>
          <w:lang w:val="es-MX" w:eastAsia="en-US"/>
        </w:rPr>
        <w:t xml:space="preserve">3) </w:t>
      </w:r>
      <w:r w:rsidRPr="00B5288F">
        <w:rPr>
          <w:rFonts w:ascii="Palatino Linotype" w:eastAsiaTheme="minorHAnsi" w:hAnsi="Palatino Linotype" w:cs="Bookman Old Style"/>
          <w:b/>
          <w:i/>
          <w:sz w:val="22"/>
          <w:szCs w:val="20"/>
          <w:lang w:val="es-MX" w:eastAsia="en-US"/>
        </w:rPr>
        <w:t>El nombre del ganador y las razones que lo justifican;</w:t>
      </w:r>
    </w:p>
    <w:p w:rsidR="00BE7690" w:rsidRPr="005D258B" w:rsidRDefault="00BE7690" w:rsidP="00BE7690">
      <w:pPr>
        <w:autoSpaceDE w:val="0"/>
        <w:autoSpaceDN w:val="0"/>
        <w:adjustRightInd w:val="0"/>
        <w:spacing w:line="360" w:lineRule="auto"/>
        <w:ind w:left="567" w:right="567" w:hanging="283"/>
        <w:rPr>
          <w:rFonts w:ascii="Palatino Linotype" w:eastAsiaTheme="minorHAnsi" w:hAnsi="Palatino Linotype" w:cs="Bookman Old Style"/>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4) </w:t>
      </w:r>
      <w:r w:rsidRPr="005D258B">
        <w:rPr>
          <w:rFonts w:ascii="Palatino Linotype" w:eastAsiaTheme="minorHAnsi" w:hAnsi="Palatino Linotype" w:cs="Bookman Old Style"/>
          <w:i/>
          <w:sz w:val="22"/>
          <w:szCs w:val="20"/>
          <w:lang w:val="es-MX" w:eastAsia="en-US"/>
        </w:rPr>
        <w:t>El área solicitante y la responsable de su ejecución;</w:t>
      </w:r>
    </w:p>
    <w:p w:rsidR="00BE7690" w:rsidRPr="005D258B" w:rsidRDefault="00BE7690" w:rsidP="00BE7690">
      <w:pPr>
        <w:autoSpaceDE w:val="0"/>
        <w:autoSpaceDN w:val="0"/>
        <w:adjustRightInd w:val="0"/>
        <w:spacing w:line="360" w:lineRule="auto"/>
        <w:ind w:left="567" w:right="567" w:hanging="283"/>
        <w:rPr>
          <w:rFonts w:ascii="Palatino Linotype" w:eastAsiaTheme="minorHAnsi" w:hAnsi="Palatino Linotype" w:cs="Bookman Old Style"/>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5) </w:t>
      </w:r>
      <w:r w:rsidRPr="005D258B">
        <w:rPr>
          <w:rFonts w:ascii="Palatino Linotype" w:eastAsiaTheme="minorHAnsi" w:hAnsi="Palatino Linotype" w:cs="Bookman Old Style"/>
          <w:i/>
          <w:sz w:val="22"/>
          <w:szCs w:val="20"/>
          <w:lang w:val="es-MX" w:eastAsia="en-US"/>
        </w:rPr>
        <w:t>Las convocatorias e invitaciones emitidas;</w:t>
      </w:r>
    </w:p>
    <w:p w:rsidR="00BE7690" w:rsidRPr="00B5288F" w:rsidRDefault="00BE7690" w:rsidP="00BE7690">
      <w:pPr>
        <w:autoSpaceDE w:val="0"/>
        <w:autoSpaceDN w:val="0"/>
        <w:adjustRightInd w:val="0"/>
        <w:spacing w:line="360" w:lineRule="auto"/>
        <w:ind w:left="567" w:right="567" w:hanging="283"/>
        <w:rPr>
          <w:rFonts w:ascii="Palatino Linotype" w:eastAsiaTheme="minorHAnsi" w:hAnsi="Palatino Linotype" w:cs="Bookman Old Style"/>
          <w:b/>
          <w:i/>
          <w:sz w:val="22"/>
          <w:szCs w:val="20"/>
          <w:lang w:val="es-MX" w:eastAsia="en-US"/>
        </w:rPr>
      </w:pPr>
      <w:r w:rsidRPr="00B5288F">
        <w:rPr>
          <w:rFonts w:ascii="Palatino Linotype" w:eastAsiaTheme="minorHAnsi" w:hAnsi="Palatino Linotype" w:cs="Bookman Old Style,Bold"/>
          <w:b/>
          <w:bCs/>
          <w:i/>
          <w:sz w:val="22"/>
          <w:szCs w:val="20"/>
          <w:lang w:val="es-MX" w:eastAsia="en-US"/>
        </w:rPr>
        <w:t xml:space="preserve">6) </w:t>
      </w:r>
      <w:r w:rsidRPr="00B5288F">
        <w:rPr>
          <w:rFonts w:ascii="Palatino Linotype" w:eastAsiaTheme="minorHAnsi" w:hAnsi="Palatino Linotype" w:cs="Bookman Old Style"/>
          <w:b/>
          <w:i/>
          <w:sz w:val="22"/>
          <w:szCs w:val="20"/>
          <w:lang w:val="es-MX" w:eastAsia="en-US"/>
        </w:rPr>
        <w:t>Los dictámenes y fallo de adjudicación;</w:t>
      </w:r>
    </w:p>
    <w:p w:rsidR="00BE7690" w:rsidRPr="005D258B" w:rsidRDefault="00BE7690" w:rsidP="00BE7690">
      <w:pPr>
        <w:autoSpaceDE w:val="0"/>
        <w:autoSpaceDN w:val="0"/>
        <w:adjustRightInd w:val="0"/>
        <w:spacing w:line="360" w:lineRule="auto"/>
        <w:ind w:left="567" w:right="567" w:hanging="283"/>
        <w:rPr>
          <w:rFonts w:ascii="Palatino Linotype" w:eastAsiaTheme="minorHAnsi" w:hAnsi="Palatino Linotype" w:cs="Bookman Old Style"/>
          <w:b/>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7) </w:t>
      </w:r>
      <w:r w:rsidRPr="005D258B">
        <w:rPr>
          <w:rFonts w:ascii="Palatino Linotype" w:eastAsiaTheme="minorHAnsi" w:hAnsi="Palatino Linotype" w:cs="Bookman Old Style"/>
          <w:b/>
          <w:i/>
          <w:sz w:val="22"/>
          <w:szCs w:val="20"/>
          <w:lang w:val="es-MX" w:eastAsia="en-US"/>
        </w:rPr>
        <w:t>El contrato y, en su caso, sus anexos;</w:t>
      </w:r>
    </w:p>
    <w:p w:rsidR="00BE7690" w:rsidRPr="00B5288F" w:rsidRDefault="00BE7690" w:rsidP="00BE7690">
      <w:pPr>
        <w:autoSpaceDE w:val="0"/>
        <w:autoSpaceDN w:val="0"/>
        <w:adjustRightInd w:val="0"/>
        <w:spacing w:line="360" w:lineRule="auto"/>
        <w:ind w:left="567" w:right="567" w:hanging="283"/>
        <w:rPr>
          <w:rFonts w:ascii="Palatino Linotype" w:eastAsiaTheme="minorHAnsi" w:hAnsi="Palatino Linotype" w:cs="Bookman Old Style"/>
          <w:b/>
          <w:i/>
          <w:sz w:val="22"/>
          <w:szCs w:val="20"/>
          <w:lang w:val="es-MX" w:eastAsia="en-US"/>
        </w:rPr>
      </w:pPr>
      <w:r w:rsidRPr="005D258B">
        <w:rPr>
          <w:rFonts w:ascii="Palatino Linotype" w:eastAsiaTheme="minorHAnsi" w:hAnsi="Palatino Linotype" w:cs="Bookman Old Style,Bold"/>
          <w:b/>
          <w:bCs/>
          <w:i/>
          <w:sz w:val="22"/>
          <w:szCs w:val="20"/>
          <w:lang w:val="es-MX" w:eastAsia="en-US"/>
        </w:rPr>
        <w:t>8</w:t>
      </w:r>
      <w:r w:rsidRPr="00B5288F">
        <w:rPr>
          <w:rFonts w:ascii="Palatino Linotype" w:eastAsiaTheme="minorHAnsi" w:hAnsi="Palatino Linotype" w:cs="Bookman Old Style,Bold"/>
          <w:b/>
          <w:bCs/>
          <w:i/>
          <w:sz w:val="22"/>
          <w:szCs w:val="20"/>
          <w:lang w:val="es-MX" w:eastAsia="en-US"/>
        </w:rPr>
        <w:t xml:space="preserve">) </w:t>
      </w:r>
      <w:r w:rsidRPr="00B5288F">
        <w:rPr>
          <w:rFonts w:ascii="Palatino Linotype" w:eastAsiaTheme="minorHAnsi" w:hAnsi="Palatino Linotype" w:cs="Bookman Old Style"/>
          <w:b/>
          <w:i/>
          <w:sz w:val="22"/>
          <w:szCs w:val="20"/>
          <w:lang w:val="es-MX" w:eastAsia="en-US"/>
        </w:rPr>
        <w:t>Los mecanismos de vigilancia y supervisión, incluyendo en su caso, los estudios de impacto urbano y ambiental, según corresponda;</w:t>
      </w:r>
    </w:p>
    <w:p w:rsidR="00BE7690" w:rsidRPr="00B5288F" w:rsidRDefault="00BE7690" w:rsidP="00BE7690">
      <w:pPr>
        <w:autoSpaceDE w:val="0"/>
        <w:autoSpaceDN w:val="0"/>
        <w:adjustRightInd w:val="0"/>
        <w:spacing w:line="360" w:lineRule="auto"/>
        <w:ind w:left="567" w:right="567" w:hanging="283"/>
        <w:rPr>
          <w:rFonts w:ascii="Palatino Linotype" w:eastAsiaTheme="minorHAnsi" w:hAnsi="Palatino Linotype" w:cs="Bookman Old Style"/>
          <w:b/>
          <w:i/>
          <w:sz w:val="22"/>
          <w:szCs w:val="20"/>
          <w:lang w:val="es-MX" w:eastAsia="en-US"/>
        </w:rPr>
      </w:pPr>
      <w:r w:rsidRPr="00B5288F">
        <w:rPr>
          <w:rFonts w:ascii="Palatino Linotype" w:eastAsiaTheme="minorHAnsi" w:hAnsi="Palatino Linotype" w:cs="Bookman Old Style,Bold"/>
          <w:b/>
          <w:bCs/>
          <w:i/>
          <w:sz w:val="22"/>
          <w:szCs w:val="20"/>
          <w:lang w:val="es-MX" w:eastAsia="en-US"/>
        </w:rPr>
        <w:t xml:space="preserve">9) </w:t>
      </w:r>
      <w:r w:rsidRPr="00B5288F">
        <w:rPr>
          <w:rFonts w:ascii="Palatino Linotype" w:eastAsiaTheme="minorHAnsi" w:hAnsi="Palatino Linotype" w:cs="Bookman Old Style"/>
          <w:b/>
          <w:i/>
          <w:sz w:val="22"/>
          <w:szCs w:val="20"/>
          <w:lang w:val="es-MX" w:eastAsia="en-US"/>
        </w:rPr>
        <w:t>La partida presupuestal, de conformidad con el clasificador por objeto del gasto, en el caso de ser aplicable;</w:t>
      </w:r>
    </w:p>
    <w:p w:rsidR="00BE7690" w:rsidRPr="00B5288F" w:rsidRDefault="00BE7690" w:rsidP="00BE7690">
      <w:pPr>
        <w:autoSpaceDE w:val="0"/>
        <w:autoSpaceDN w:val="0"/>
        <w:adjustRightInd w:val="0"/>
        <w:spacing w:line="360" w:lineRule="auto"/>
        <w:ind w:left="567" w:right="567" w:hanging="283"/>
        <w:rPr>
          <w:rFonts w:ascii="Palatino Linotype" w:eastAsiaTheme="minorHAnsi" w:hAnsi="Palatino Linotype" w:cs="Bookman Old Style"/>
          <w:b/>
          <w:i/>
          <w:sz w:val="22"/>
          <w:szCs w:val="20"/>
          <w:lang w:val="es-MX" w:eastAsia="en-US"/>
        </w:rPr>
      </w:pPr>
      <w:r w:rsidRPr="00B5288F">
        <w:rPr>
          <w:rFonts w:ascii="Palatino Linotype" w:eastAsiaTheme="minorHAnsi" w:hAnsi="Palatino Linotype" w:cs="Bookman Old Style,Bold"/>
          <w:b/>
          <w:bCs/>
          <w:i/>
          <w:sz w:val="22"/>
          <w:szCs w:val="20"/>
          <w:lang w:val="es-MX" w:eastAsia="en-US"/>
        </w:rPr>
        <w:t xml:space="preserve">10) </w:t>
      </w:r>
      <w:r w:rsidRPr="00B5288F">
        <w:rPr>
          <w:rFonts w:ascii="Palatino Linotype" w:eastAsiaTheme="minorHAnsi" w:hAnsi="Palatino Linotype" w:cs="Bookman Old Style"/>
          <w:b/>
          <w:i/>
          <w:sz w:val="22"/>
          <w:szCs w:val="20"/>
          <w:lang w:val="es-MX" w:eastAsia="en-US"/>
        </w:rPr>
        <w:t>Origen de los recursos especificando si son federales, estatales o municipales, así como el tipo de fondo de participación o aportación respectiva;</w:t>
      </w:r>
    </w:p>
    <w:p w:rsidR="00BE7690" w:rsidRPr="00B5288F" w:rsidRDefault="00BE7690" w:rsidP="00BE7690">
      <w:pPr>
        <w:autoSpaceDE w:val="0"/>
        <w:autoSpaceDN w:val="0"/>
        <w:adjustRightInd w:val="0"/>
        <w:spacing w:line="360" w:lineRule="auto"/>
        <w:ind w:left="567" w:right="567" w:hanging="283"/>
        <w:rPr>
          <w:rFonts w:ascii="Palatino Linotype" w:eastAsiaTheme="minorHAnsi" w:hAnsi="Palatino Linotype" w:cs="Bookman Old Style"/>
          <w:b/>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11) </w:t>
      </w:r>
      <w:r w:rsidRPr="00B5288F">
        <w:rPr>
          <w:rFonts w:ascii="Palatino Linotype" w:eastAsiaTheme="minorHAnsi" w:hAnsi="Palatino Linotype" w:cs="Bookman Old Style"/>
          <w:b/>
          <w:i/>
          <w:sz w:val="22"/>
          <w:szCs w:val="20"/>
          <w:lang w:val="es-MX" w:eastAsia="en-US"/>
        </w:rPr>
        <w:t>Los convenios modificatorios que, en su caso, sean firmados, precisando el objeto y la fecha de celebración;</w:t>
      </w:r>
    </w:p>
    <w:p w:rsidR="00BE7690" w:rsidRPr="00B5288F" w:rsidRDefault="00BE7690" w:rsidP="00BE7690">
      <w:pPr>
        <w:autoSpaceDE w:val="0"/>
        <w:autoSpaceDN w:val="0"/>
        <w:adjustRightInd w:val="0"/>
        <w:spacing w:line="360" w:lineRule="auto"/>
        <w:ind w:left="567" w:right="567" w:hanging="283"/>
        <w:rPr>
          <w:rFonts w:ascii="Palatino Linotype" w:eastAsiaTheme="minorHAnsi" w:hAnsi="Palatino Linotype" w:cs="Bookman Old Style"/>
          <w:b/>
          <w:i/>
          <w:sz w:val="22"/>
          <w:szCs w:val="20"/>
          <w:lang w:val="es-MX" w:eastAsia="en-US"/>
        </w:rPr>
      </w:pPr>
      <w:r w:rsidRPr="00B5288F">
        <w:rPr>
          <w:rFonts w:ascii="Palatino Linotype" w:eastAsiaTheme="minorHAnsi" w:hAnsi="Palatino Linotype" w:cs="Bookman Old Style,Bold"/>
          <w:b/>
          <w:bCs/>
          <w:i/>
          <w:sz w:val="22"/>
          <w:szCs w:val="20"/>
          <w:lang w:val="es-MX" w:eastAsia="en-US"/>
        </w:rPr>
        <w:lastRenderedPageBreak/>
        <w:t xml:space="preserve">12) </w:t>
      </w:r>
      <w:r w:rsidRPr="00B5288F">
        <w:rPr>
          <w:rFonts w:ascii="Palatino Linotype" w:eastAsiaTheme="minorHAnsi" w:hAnsi="Palatino Linotype" w:cs="Bookman Old Style"/>
          <w:b/>
          <w:i/>
          <w:sz w:val="22"/>
          <w:szCs w:val="20"/>
          <w:lang w:val="es-MX" w:eastAsia="en-US"/>
        </w:rPr>
        <w:t>Los informes de avance físico y financiero sobre las obras o servicios contratados;</w:t>
      </w:r>
    </w:p>
    <w:p w:rsidR="00BE7690" w:rsidRPr="00B5288F" w:rsidRDefault="00BE7690" w:rsidP="00BE7690">
      <w:pPr>
        <w:autoSpaceDE w:val="0"/>
        <w:autoSpaceDN w:val="0"/>
        <w:adjustRightInd w:val="0"/>
        <w:spacing w:line="360" w:lineRule="auto"/>
        <w:ind w:left="567" w:right="567" w:hanging="283"/>
        <w:rPr>
          <w:rFonts w:ascii="Palatino Linotype" w:eastAsiaTheme="minorHAnsi" w:hAnsi="Palatino Linotype" w:cs="Bookman Old Style"/>
          <w:b/>
          <w:i/>
          <w:sz w:val="22"/>
          <w:szCs w:val="20"/>
          <w:lang w:val="es-MX" w:eastAsia="en-US"/>
        </w:rPr>
      </w:pPr>
      <w:r w:rsidRPr="00B5288F">
        <w:rPr>
          <w:rFonts w:ascii="Palatino Linotype" w:eastAsiaTheme="minorHAnsi" w:hAnsi="Palatino Linotype" w:cs="Bookman Old Style,Bold"/>
          <w:b/>
          <w:bCs/>
          <w:i/>
          <w:sz w:val="22"/>
          <w:szCs w:val="20"/>
          <w:lang w:val="es-MX" w:eastAsia="en-US"/>
        </w:rPr>
        <w:t xml:space="preserve">13) </w:t>
      </w:r>
      <w:r w:rsidRPr="00B5288F">
        <w:rPr>
          <w:rFonts w:ascii="Palatino Linotype" w:eastAsiaTheme="minorHAnsi" w:hAnsi="Palatino Linotype" w:cs="Bookman Old Style"/>
          <w:b/>
          <w:i/>
          <w:sz w:val="22"/>
          <w:szCs w:val="20"/>
          <w:lang w:val="es-MX" w:eastAsia="en-US"/>
        </w:rPr>
        <w:t>El convenio de terminación; y</w:t>
      </w:r>
    </w:p>
    <w:p w:rsidR="00BE7690" w:rsidRPr="00B5288F" w:rsidRDefault="00BE7690" w:rsidP="00BE7690">
      <w:pPr>
        <w:pStyle w:val="Prrafodelista"/>
        <w:spacing w:line="360" w:lineRule="auto"/>
        <w:ind w:left="567" w:right="567" w:hanging="283"/>
        <w:jc w:val="both"/>
        <w:rPr>
          <w:rFonts w:ascii="Palatino Linotype" w:hAnsi="Palatino Linotype" w:cs="Arial"/>
          <w:b/>
          <w:i/>
          <w:sz w:val="28"/>
        </w:rPr>
      </w:pPr>
      <w:r w:rsidRPr="00B5288F">
        <w:rPr>
          <w:rFonts w:ascii="Palatino Linotype" w:eastAsiaTheme="minorHAnsi" w:hAnsi="Palatino Linotype" w:cs="Bookman Old Style,Bold"/>
          <w:b/>
          <w:bCs/>
          <w:i/>
          <w:sz w:val="22"/>
          <w:szCs w:val="20"/>
          <w:lang w:val="es-MX" w:eastAsia="en-US"/>
        </w:rPr>
        <w:t xml:space="preserve">14) </w:t>
      </w:r>
      <w:r w:rsidRPr="00B5288F">
        <w:rPr>
          <w:rFonts w:ascii="Palatino Linotype" w:eastAsiaTheme="minorHAnsi" w:hAnsi="Palatino Linotype" w:cs="Bookman Old Style"/>
          <w:b/>
          <w:i/>
          <w:sz w:val="22"/>
          <w:szCs w:val="20"/>
          <w:lang w:val="es-MX" w:eastAsia="en-US"/>
        </w:rPr>
        <w:t>El finiquito.</w:t>
      </w:r>
    </w:p>
    <w:p w:rsidR="00BE7690" w:rsidRPr="005D258B" w:rsidRDefault="00BE7690" w:rsidP="00BE7690">
      <w:pPr>
        <w:pStyle w:val="Prrafodelista"/>
        <w:spacing w:line="360" w:lineRule="auto"/>
        <w:ind w:left="567" w:right="567" w:hanging="283"/>
        <w:jc w:val="both"/>
        <w:rPr>
          <w:rFonts w:ascii="Palatino Linotype" w:hAnsi="Palatino Linotype" w:cs="Arial"/>
          <w:i/>
          <w:sz w:val="28"/>
        </w:rPr>
      </w:pPr>
    </w:p>
    <w:p w:rsidR="00BE7690" w:rsidRPr="005D258B" w:rsidRDefault="00BE7690" w:rsidP="00BE7690">
      <w:pPr>
        <w:pStyle w:val="Prrafodelista"/>
        <w:spacing w:line="360" w:lineRule="auto"/>
        <w:ind w:left="284" w:right="567" w:hanging="283"/>
        <w:jc w:val="both"/>
        <w:rPr>
          <w:rFonts w:ascii="Palatino Linotype" w:eastAsiaTheme="minorHAnsi" w:hAnsi="Palatino Linotype" w:cs="Bookman Old Style"/>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b) </w:t>
      </w:r>
      <w:r w:rsidRPr="005D258B">
        <w:rPr>
          <w:rFonts w:ascii="Palatino Linotype" w:eastAsiaTheme="minorHAnsi" w:hAnsi="Palatino Linotype" w:cs="Bookman Old Style"/>
          <w:i/>
          <w:sz w:val="22"/>
          <w:szCs w:val="20"/>
          <w:lang w:val="es-MX" w:eastAsia="en-US"/>
        </w:rPr>
        <w:t>De las adjudicaciones directas:</w:t>
      </w:r>
    </w:p>
    <w:p w:rsidR="00BE7690" w:rsidRPr="005D258B" w:rsidRDefault="00BE7690" w:rsidP="00BE7690">
      <w:pPr>
        <w:pStyle w:val="Prrafodelista"/>
        <w:spacing w:line="360" w:lineRule="auto"/>
        <w:ind w:left="567" w:right="567" w:hanging="283"/>
        <w:jc w:val="both"/>
        <w:rPr>
          <w:rFonts w:ascii="Palatino Linotype" w:eastAsiaTheme="minorHAnsi" w:hAnsi="Palatino Linotype" w:cs="Bookman Old Style"/>
          <w:i/>
          <w:sz w:val="22"/>
          <w:szCs w:val="20"/>
          <w:lang w:val="es-MX" w:eastAsia="en-US"/>
        </w:rPr>
      </w:pPr>
    </w:p>
    <w:p w:rsidR="00BE7690" w:rsidRPr="005D258B" w:rsidRDefault="00BE7690" w:rsidP="00BE7690">
      <w:pPr>
        <w:autoSpaceDE w:val="0"/>
        <w:autoSpaceDN w:val="0"/>
        <w:adjustRightInd w:val="0"/>
        <w:spacing w:line="360" w:lineRule="auto"/>
        <w:ind w:left="567" w:right="567" w:hanging="283"/>
        <w:rPr>
          <w:rFonts w:ascii="Palatino Linotype" w:eastAsiaTheme="minorHAnsi" w:hAnsi="Palatino Linotype" w:cs="Bookman Old Style"/>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1) </w:t>
      </w:r>
      <w:r w:rsidRPr="005D258B">
        <w:rPr>
          <w:rFonts w:ascii="Palatino Linotype" w:eastAsiaTheme="minorHAnsi" w:hAnsi="Palatino Linotype" w:cs="Bookman Old Style"/>
          <w:i/>
          <w:sz w:val="22"/>
          <w:szCs w:val="20"/>
          <w:lang w:val="es-MX" w:eastAsia="en-US"/>
        </w:rPr>
        <w:t>La propuesta enviada por el participante;</w:t>
      </w:r>
    </w:p>
    <w:p w:rsidR="00BE7690" w:rsidRPr="005D258B" w:rsidRDefault="00BE7690" w:rsidP="00BE7690">
      <w:pPr>
        <w:autoSpaceDE w:val="0"/>
        <w:autoSpaceDN w:val="0"/>
        <w:adjustRightInd w:val="0"/>
        <w:spacing w:line="360" w:lineRule="auto"/>
        <w:ind w:left="567" w:right="567" w:hanging="283"/>
        <w:rPr>
          <w:rFonts w:ascii="Palatino Linotype" w:eastAsiaTheme="minorHAnsi" w:hAnsi="Palatino Linotype" w:cs="Bookman Old Style"/>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2) </w:t>
      </w:r>
      <w:r w:rsidRPr="005D258B">
        <w:rPr>
          <w:rFonts w:ascii="Palatino Linotype" w:eastAsiaTheme="minorHAnsi" w:hAnsi="Palatino Linotype" w:cs="Bookman Old Style"/>
          <w:i/>
          <w:sz w:val="22"/>
          <w:szCs w:val="20"/>
          <w:lang w:val="es-MX" w:eastAsia="en-US"/>
        </w:rPr>
        <w:t>Los motivos y fundamentos legales aplicados para llevarla a cabo;</w:t>
      </w:r>
    </w:p>
    <w:p w:rsidR="00BE7690" w:rsidRPr="005D258B" w:rsidRDefault="00BE7690" w:rsidP="00BE7690">
      <w:pPr>
        <w:autoSpaceDE w:val="0"/>
        <w:autoSpaceDN w:val="0"/>
        <w:adjustRightInd w:val="0"/>
        <w:spacing w:line="360" w:lineRule="auto"/>
        <w:ind w:left="567" w:right="567" w:hanging="283"/>
        <w:rPr>
          <w:rFonts w:ascii="Palatino Linotype" w:eastAsiaTheme="minorHAnsi" w:hAnsi="Palatino Linotype" w:cs="Bookman Old Style"/>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3) </w:t>
      </w:r>
      <w:r w:rsidRPr="005D258B">
        <w:rPr>
          <w:rFonts w:ascii="Palatino Linotype" w:eastAsiaTheme="minorHAnsi" w:hAnsi="Palatino Linotype" w:cs="Bookman Old Style"/>
          <w:i/>
          <w:sz w:val="22"/>
          <w:szCs w:val="20"/>
          <w:lang w:val="es-MX" w:eastAsia="en-US"/>
        </w:rPr>
        <w:t>La autorización del ejercicio de la opción;</w:t>
      </w:r>
    </w:p>
    <w:p w:rsidR="00BE7690" w:rsidRPr="005D258B" w:rsidRDefault="00BE7690" w:rsidP="00BE7690">
      <w:pPr>
        <w:pStyle w:val="Prrafodelista"/>
        <w:spacing w:line="360" w:lineRule="auto"/>
        <w:ind w:left="567" w:right="567" w:hanging="283"/>
        <w:jc w:val="both"/>
        <w:rPr>
          <w:rFonts w:ascii="Palatino Linotype" w:eastAsiaTheme="minorHAnsi" w:hAnsi="Palatino Linotype" w:cs="Bookman Old Style"/>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4) </w:t>
      </w:r>
      <w:r w:rsidRPr="005D258B">
        <w:rPr>
          <w:rFonts w:ascii="Palatino Linotype" w:eastAsiaTheme="minorHAnsi" w:hAnsi="Palatino Linotype" w:cs="Bookman Old Style"/>
          <w:i/>
          <w:sz w:val="22"/>
          <w:szCs w:val="20"/>
          <w:lang w:val="es-MX" w:eastAsia="en-US"/>
        </w:rPr>
        <w:t>En su caso, las cotizaciones consideradas, especificando los nombres de los proveedores y sus montos;</w:t>
      </w:r>
    </w:p>
    <w:p w:rsidR="00BE7690" w:rsidRPr="005D258B" w:rsidRDefault="00BE7690" w:rsidP="00BE7690">
      <w:pPr>
        <w:autoSpaceDE w:val="0"/>
        <w:autoSpaceDN w:val="0"/>
        <w:adjustRightInd w:val="0"/>
        <w:spacing w:line="360" w:lineRule="auto"/>
        <w:ind w:left="567" w:right="567" w:hanging="283"/>
        <w:rPr>
          <w:rFonts w:ascii="Palatino Linotype" w:eastAsiaTheme="minorHAnsi" w:hAnsi="Palatino Linotype" w:cs="Bookman Old Style"/>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5) </w:t>
      </w:r>
      <w:r w:rsidRPr="005D258B">
        <w:rPr>
          <w:rFonts w:ascii="Palatino Linotype" w:eastAsiaTheme="minorHAnsi" w:hAnsi="Palatino Linotype" w:cs="Bookman Old Style"/>
          <w:i/>
          <w:sz w:val="22"/>
          <w:szCs w:val="20"/>
          <w:lang w:val="es-MX" w:eastAsia="en-US"/>
        </w:rPr>
        <w:t>El nombre de la persona física o jurídica colectiva adjudicada;</w:t>
      </w:r>
    </w:p>
    <w:p w:rsidR="00BE7690" w:rsidRPr="005D258B" w:rsidRDefault="00BE7690" w:rsidP="00BE7690">
      <w:pPr>
        <w:autoSpaceDE w:val="0"/>
        <w:autoSpaceDN w:val="0"/>
        <w:adjustRightInd w:val="0"/>
        <w:spacing w:line="360" w:lineRule="auto"/>
        <w:ind w:left="567" w:right="567" w:hanging="283"/>
        <w:rPr>
          <w:rFonts w:ascii="Palatino Linotype" w:eastAsiaTheme="minorHAnsi" w:hAnsi="Palatino Linotype" w:cs="Bookman Old Style"/>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6) </w:t>
      </w:r>
      <w:r w:rsidRPr="005D258B">
        <w:rPr>
          <w:rFonts w:ascii="Palatino Linotype" w:eastAsiaTheme="minorHAnsi" w:hAnsi="Palatino Linotype" w:cs="Bookman Old Style"/>
          <w:i/>
          <w:sz w:val="22"/>
          <w:szCs w:val="20"/>
          <w:lang w:val="es-MX" w:eastAsia="en-US"/>
        </w:rPr>
        <w:t>La unidad administrativa solicitante y la responsable de su ejecución;</w:t>
      </w:r>
    </w:p>
    <w:p w:rsidR="00BE7690" w:rsidRPr="005D258B" w:rsidRDefault="00BE7690" w:rsidP="00BE7690">
      <w:pPr>
        <w:autoSpaceDE w:val="0"/>
        <w:autoSpaceDN w:val="0"/>
        <w:adjustRightInd w:val="0"/>
        <w:spacing w:line="360" w:lineRule="auto"/>
        <w:ind w:left="567" w:right="567" w:hanging="283"/>
        <w:rPr>
          <w:rFonts w:ascii="Palatino Linotype" w:eastAsiaTheme="minorHAnsi" w:hAnsi="Palatino Linotype" w:cs="Bookman Old Style"/>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7) </w:t>
      </w:r>
      <w:r w:rsidRPr="005D258B">
        <w:rPr>
          <w:rFonts w:ascii="Palatino Linotype" w:eastAsiaTheme="minorHAnsi" w:hAnsi="Palatino Linotype" w:cs="Bookman Old Style"/>
          <w:i/>
          <w:sz w:val="22"/>
          <w:szCs w:val="20"/>
          <w:lang w:val="es-MX" w:eastAsia="en-US"/>
        </w:rPr>
        <w:t>El número, fecha, el monto del contrato y el plazo de entrega o de ejecución de los servicios u obra;</w:t>
      </w:r>
    </w:p>
    <w:p w:rsidR="00BE7690" w:rsidRPr="005D258B" w:rsidRDefault="00BE7690" w:rsidP="00BE7690">
      <w:pPr>
        <w:autoSpaceDE w:val="0"/>
        <w:autoSpaceDN w:val="0"/>
        <w:adjustRightInd w:val="0"/>
        <w:spacing w:line="360" w:lineRule="auto"/>
        <w:ind w:left="567" w:right="567" w:hanging="283"/>
        <w:rPr>
          <w:rFonts w:ascii="Palatino Linotype" w:eastAsiaTheme="minorHAnsi" w:hAnsi="Palatino Linotype" w:cs="Bookman Old Style"/>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8) </w:t>
      </w:r>
      <w:r w:rsidRPr="005D258B">
        <w:rPr>
          <w:rFonts w:ascii="Palatino Linotype" w:eastAsiaTheme="minorHAnsi" w:hAnsi="Palatino Linotype" w:cs="Bookman Old Style"/>
          <w:i/>
          <w:sz w:val="22"/>
          <w:szCs w:val="20"/>
          <w:lang w:val="es-MX" w:eastAsia="en-US"/>
        </w:rPr>
        <w:t>Los mecanismos de vigilancia y supervisión, incluyendo, en su caso, los estudios de impacto urbano y ambiental, según corresponda;</w:t>
      </w:r>
    </w:p>
    <w:p w:rsidR="00BE7690" w:rsidRPr="005D258B" w:rsidRDefault="00BE7690" w:rsidP="00BE7690">
      <w:pPr>
        <w:autoSpaceDE w:val="0"/>
        <w:autoSpaceDN w:val="0"/>
        <w:adjustRightInd w:val="0"/>
        <w:spacing w:line="360" w:lineRule="auto"/>
        <w:ind w:left="567" w:right="567" w:hanging="283"/>
        <w:rPr>
          <w:rFonts w:ascii="Palatino Linotype" w:eastAsiaTheme="minorHAnsi" w:hAnsi="Palatino Linotype" w:cs="Bookman Old Style"/>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9) </w:t>
      </w:r>
      <w:r w:rsidRPr="005D258B">
        <w:rPr>
          <w:rFonts w:ascii="Palatino Linotype" w:eastAsiaTheme="minorHAnsi" w:hAnsi="Palatino Linotype" w:cs="Bookman Old Style"/>
          <w:i/>
          <w:sz w:val="22"/>
          <w:szCs w:val="20"/>
          <w:lang w:val="es-MX" w:eastAsia="en-US"/>
        </w:rPr>
        <w:t>Los informes de avance sobre las obras o servicios contratados;</w:t>
      </w:r>
    </w:p>
    <w:p w:rsidR="00BE7690" w:rsidRPr="005D258B" w:rsidRDefault="00BE7690" w:rsidP="00BE7690">
      <w:pPr>
        <w:autoSpaceDE w:val="0"/>
        <w:autoSpaceDN w:val="0"/>
        <w:adjustRightInd w:val="0"/>
        <w:spacing w:line="360" w:lineRule="auto"/>
        <w:ind w:left="567" w:right="567" w:hanging="283"/>
        <w:rPr>
          <w:rFonts w:ascii="Palatino Linotype" w:eastAsiaTheme="minorHAnsi" w:hAnsi="Palatino Linotype" w:cs="Bookman Old Style"/>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10) </w:t>
      </w:r>
      <w:r w:rsidRPr="005D258B">
        <w:rPr>
          <w:rFonts w:ascii="Palatino Linotype" w:eastAsiaTheme="minorHAnsi" w:hAnsi="Palatino Linotype" w:cs="Bookman Old Style"/>
          <w:i/>
          <w:sz w:val="22"/>
          <w:szCs w:val="20"/>
          <w:lang w:val="es-MX" w:eastAsia="en-US"/>
        </w:rPr>
        <w:t>El convenio de terminación; y</w:t>
      </w:r>
    </w:p>
    <w:p w:rsidR="00BE7690" w:rsidRPr="005D258B" w:rsidRDefault="00BE7690" w:rsidP="00BE7690">
      <w:pPr>
        <w:pStyle w:val="Prrafodelista"/>
        <w:spacing w:line="360" w:lineRule="auto"/>
        <w:ind w:left="567" w:right="567" w:hanging="283"/>
        <w:jc w:val="both"/>
        <w:rPr>
          <w:rFonts w:ascii="Palatino Linotype" w:eastAsiaTheme="minorHAnsi" w:hAnsi="Palatino Linotype" w:cs="Bookman Old Style"/>
          <w:i/>
          <w:sz w:val="22"/>
          <w:szCs w:val="20"/>
          <w:lang w:val="es-MX" w:eastAsia="en-US"/>
        </w:rPr>
      </w:pPr>
      <w:r w:rsidRPr="005D258B">
        <w:rPr>
          <w:rFonts w:ascii="Palatino Linotype" w:eastAsiaTheme="minorHAnsi" w:hAnsi="Palatino Linotype" w:cs="Bookman Old Style,Bold"/>
          <w:b/>
          <w:bCs/>
          <w:i/>
          <w:sz w:val="22"/>
          <w:szCs w:val="20"/>
          <w:lang w:val="es-MX" w:eastAsia="en-US"/>
        </w:rPr>
        <w:t xml:space="preserve">11) </w:t>
      </w:r>
      <w:r w:rsidRPr="005D258B">
        <w:rPr>
          <w:rFonts w:ascii="Palatino Linotype" w:eastAsiaTheme="minorHAnsi" w:hAnsi="Palatino Linotype" w:cs="Bookman Old Style"/>
          <w:i/>
          <w:sz w:val="22"/>
          <w:szCs w:val="20"/>
          <w:lang w:val="es-MX" w:eastAsia="en-US"/>
        </w:rPr>
        <w:t>El finiquito.</w:t>
      </w:r>
    </w:p>
    <w:p w:rsidR="00BE7690" w:rsidRDefault="00BE7690" w:rsidP="00BE7690">
      <w:pPr>
        <w:pStyle w:val="Prrafodelista"/>
        <w:spacing w:line="360" w:lineRule="auto"/>
        <w:ind w:left="0"/>
        <w:jc w:val="both"/>
        <w:rPr>
          <w:rFonts w:ascii="Bookman Old Style" w:eastAsiaTheme="minorHAnsi" w:hAnsi="Bookman Old Style" w:cs="Bookman Old Style"/>
          <w:sz w:val="20"/>
          <w:szCs w:val="20"/>
          <w:lang w:val="es-MX" w:eastAsia="en-US"/>
        </w:rPr>
      </w:pPr>
    </w:p>
    <w:p w:rsidR="00BE7690" w:rsidRDefault="00BE7690" w:rsidP="00BE7690">
      <w:pPr>
        <w:pStyle w:val="Prrafodelista"/>
        <w:numPr>
          <w:ilvl w:val="0"/>
          <w:numId w:val="4"/>
        </w:numPr>
        <w:spacing w:line="360" w:lineRule="auto"/>
        <w:ind w:left="0" w:firstLine="0"/>
        <w:jc w:val="both"/>
        <w:rPr>
          <w:rFonts w:ascii="Palatino Linotype" w:hAnsi="Palatino Linotype" w:cs="Arial"/>
        </w:rPr>
      </w:pPr>
      <w:r>
        <w:rPr>
          <w:rFonts w:ascii="Palatino Linotype" w:hAnsi="Palatino Linotype" w:cs="Arial"/>
        </w:rPr>
        <w:t>La normatividad en materia establece que los procesos de licitación pública  y adjudicación directa deberán ser públicos junto con toda la documentación que de ellos se derive, tal como el contrato y sus anexos por estar contemplados dentro de las obligaciones de transparencia común.</w:t>
      </w:r>
    </w:p>
    <w:p w:rsidR="00BE7690" w:rsidRDefault="00BE7690" w:rsidP="00BE7690">
      <w:pPr>
        <w:pStyle w:val="Prrafodelista"/>
        <w:spacing w:line="360" w:lineRule="auto"/>
        <w:ind w:left="0"/>
        <w:jc w:val="both"/>
        <w:rPr>
          <w:rFonts w:ascii="Palatino Linotype" w:hAnsi="Palatino Linotype" w:cs="Arial"/>
        </w:rPr>
      </w:pPr>
    </w:p>
    <w:p w:rsidR="00BE7690" w:rsidRDefault="00BE7690" w:rsidP="00BE7690">
      <w:pPr>
        <w:pStyle w:val="Prrafodelista"/>
        <w:numPr>
          <w:ilvl w:val="0"/>
          <w:numId w:val="4"/>
        </w:numPr>
        <w:spacing w:line="360" w:lineRule="auto"/>
        <w:ind w:left="0" w:firstLine="0"/>
        <w:jc w:val="both"/>
        <w:rPr>
          <w:rFonts w:ascii="Palatino Linotype" w:hAnsi="Palatino Linotype" w:cs="Arial"/>
        </w:rPr>
      </w:pPr>
      <w:r>
        <w:rPr>
          <w:rFonts w:ascii="Palatino Linotype" w:hAnsi="Palatino Linotype" w:cs="Arial"/>
        </w:rPr>
        <w:t>La Ley de Transparencia Local, establece la información que debe publicarse de manera oficiosa en los portales de IPOMEX, en relación a los procedimientos de licitación pública, invitación restringida o adjudicación directa. En consecuencia, se aprecia que la información que solicitó el recurrente es de carácter público, por lo que deberá proporcionarse.</w:t>
      </w:r>
    </w:p>
    <w:p w:rsidR="00BE7690" w:rsidRPr="00BE7690" w:rsidRDefault="00BE7690" w:rsidP="00BE7690">
      <w:pPr>
        <w:pStyle w:val="Prrafodelista"/>
        <w:rPr>
          <w:rFonts w:ascii="Palatino Linotype" w:hAnsi="Palatino Linotype" w:cs="Arial"/>
        </w:rPr>
      </w:pPr>
    </w:p>
    <w:p w:rsidR="00BE7690" w:rsidRDefault="00BE7690" w:rsidP="00BE7690">
      <w:pPr>
        <w:pStyle w:val="Prrafodelista"/>
        <w:numPr>
          <w:ilvl w:val="0"/>
          <w:numId w:val="4"/>
        </w:numPr>
        <w:spacing w:line="360" w:lineRule="auto"/>
        <w:ind w:left="0" w:firstLine="0"/>
        <w:jc w:val="both"/>
        <w:rPr>
          <w:rFonts w:ascii="Palatino Linotype" w:hAnsi="Palatino Linotype" w:cs="Arial"/>
        </w:rPr>
      </w:pPr>
      <w:r>
        <w:rPr>
          <w:rFonts w:ascii="Palatino Linotype" w:hAnsi="Palatino Linotype" w:cs="Arial"/>
        </w:rPr>
        <w:t>Se ORDENA entregar, de las obras señaladas en la solicitud, lo siguiente:</w:t>
      </w:r>
    </w:p>
    <w:p w:rsidR="00BE7690" w:rsidRPr="00BE7690" w:rsidRDefault="00BE7690" w:rsidP="00BE7690">
      <w:pPr>
        <w:pStyle w:val="Prrafodelista"/>
        <w:rPr>
          <w:rFonts w:ascii="Palatino Linotype" w:hAnsi="Palatino Linotype" w:cs="Arial"/>
        </w:rPr>
      </w:pPr>
    </w:p>
    <w:p w:rsidR="00BE7690" w:rsidRPr="00B5288F" w:rsidRDefault="00B5288F" w:rsidP="00B5288F">
      <w:pPr>
        <w:pStyle w:val="Prrafodelista"/>
        <w:numPr>
          <w:ilvl w:val="0"/>
          <w:numId w:val="26"/>
        </w:numPr>
        <w:spacing w:line="360" w:lineRule="auto"/>
        <w:jc w:val="both"/>
        <w:rPr>
          <w:rFonts w:ascii="Palatino Linotype" w:hAnsi="Palatino Linotype" w:cs="Arial"/>
          <w:b/>
        </w:rPr>
      </w:pPr>
      <w:r w:rsidRPr="00B5288F">
        <w:rPr>
          <w:rFonts w:ascii="Palatino Linotype" w:hAnsi="Palatino Linotype" w:cs="Arial"/>
          <w:b/>
        </w:rPr>
        <w:t>Dictámenes</w:t>
      </w:r>
      <w:r w:rsidR="00BE7690" w:rsidRPr="00B5288F">
        <w:rPr>
          <w:rFonts w:ascii="Palatino Linotype" w:hAnsi="Palatino Linotype" w:cs="Arial"/>
          <w:b/>
        </w:rPr>
        <w:t xml:space="preserve"> técnicos del fallo de la adjudicación;</w:t>
      </w:r>
    </w:p>
    <w:p w:rsidR="00BE7690" w:rsidRPr="00B5288F" w:rsidRDefault="00BE7690" w:rsidP="00B5288F">
      <w:pPr>
        <w:pStyle w:val="Prrafodelista"/>
        <w:numPr>
          <w:ilvl w:val="0"/>
          <w:numId w:val="26"/>
        </w:numPr>
        <w:spacing w:line="360" w:lineRule="auto"/>
        <w:jc w:val="both"/>
        <w:rPr>
          <w:rFonts w:ascii="Palatino Linotype" w:hAnsi="Palatino Linotype" w:cs="Arial"/>
          <w:b/>
        </w:rPr>
      </w:pPr>
      <w:r w:rsidRPr="00B5288F">
        <w:rPr>
          <w:rFonts w:ascii="Palatino Linotype" w:hAnsi="Palatino Linotype" w:cs="Arial"/>
          <w:b/>
        </w:rPr>
        <w:t xml:space="preserve">Mecanismos de </w:t>
      </w:r>
      <w:r w:rsidR="00B5288F" w:rsidRPr="00B5288F">
        <w:rPr>
          <w:rFonts w:ascii="Palatino Linotype" w:hAnsi="Palatino Linotype" w:cs="Arial"/>
          <w:b/>
        </w:rPr>
        <w:t>vigilancia</w:t>
      </w:r>
      <w:r w:rsidRPr="00B5288F">
        <w:rPr>
          <w:rFonts w:ascii="Palatino Linotype" w:hAnsi="Palatino Linotype" w:cs="Arial"/>
          <w:b/>
        </w:rPr>
        <w:t xml:space="preserve"> y supervisión</w:t>
      </w:r>
      <w:r w:rsidR="00B5288F" w:rsidRPr="00B5288F">
        <w:rPr>
          <w:rFonts w:ascii="Palatino Linotype" w:hAnsi="Palatino Linotype" w:cs="Arial"/>
          <w:b/>
        </w:rPr>
        <w:t>, incluidos los estudios de impacto urbano y ambiental;</w:t>
      </w:r>
    </w:p>
    <w:p w:rsidR="00B5288F" w:rsidRPr="00B5288F" w:rsidRDefault="00B5288F" w:rsidP="00B5288F">
      <w:pPr>
        <w:pStyle w:val="Prrafodelista"/>
        <w:numPr>
          <w:ilvl w:val="0"/>
          <w:numId w:val="26"/>
        </w:numPr>
        <w:spacing w:line="360" w:lineRule="auto"/>
        <w:jc w:val="both"/>
        <w:rPr>
          <w:rFonts w:ascii="Palatino Linotype" w:hAnsi="Palatino Linotype" w:cs="Arial"/>
          <w:b/>
        </w:rPr>
      </w:pPr>
      <w:r w:rsidRPr="00B5288F">
        <w:rPr>
          <w:rFonts w:ascii="Palatino Linotype" w:hAnsi="Palatino Linotype" w:cs="Arial"/>
          <w:b/>
        </w:rPr>
        <w:t>Partida presupuestal;</w:t>
      </w:r>
    </w:p>
    <w:p w:rsidR="00B5288F" w:rsidRPr="00B5288F" w:rsidRDefault="00B5288F" w:rsidP="00B5288F">
      <w:pPr>
        <w:pStyle w:val="Prrafodelista"/>
        <w:numPr>
          <w:ilvl w:val="0"/>
          <w:numId w:val="26"/>
        </w:numPr>
        <w:spacing w:line="360" w:lineRule="auto"/>
        <w:jc w:val="both"/>
        <w:rPr>
          <w:rFonts w:ascii="Palatino Linotype" w:hAnsi="Palatino Linotype" w:cs="Arial"/>
          <w:b/>
        </w:rPr>
      </w:pPr>
      <w:r w:rsidRPr="00B5288F">
        <w:rPr>
          <w:rFonts w:ascii="Palatino Linotype" w:hAnsi="Palatino Linotype" w:cs="Arial"/>
          <w:b/>
        </w:rPr>
        <w:t>Convenios modificatorios en monto y plazo, donde se aprecien las firmas y la fecha de celebración;</w:t>
      </w:r>
    </w:p>
    <w:p w:rsidR="00B5288F" w:rsidRPr="00B5288F" w:rsidRDefault="00B5288F" w:rsidP="00B5288F">
      <w:pPr>
        <w:pStyle w:val="Prrafodelista"/>
        <w:numPr>
          <w:ilvl w:val="0"/>
          <w:numId w:val="26"/>
        </w:numPr>
        <w:spacing w:line="360" w:lineRule="auto"/>
        <w:jc w:val="both"/>
        <w:rPr>
          <w:rFonts w:ascii="Palatino Linotype" w:hAnsi="Palatino Linotype" w:cs="Arial"/>
          <w:b/>
        </w:rPr>
      </w:pPr>
      <w:r w:rsidRPr="00B5288F">
        <w:rPr>
          <w:rFonts w:ascii="Palatino Linotype" w:hAnsi="Palatino Linotype" w:cs="Arial"/>
          <w:b/>
        </w:rPr>
        <w:t xml:space="preserve">Informes de avance físico y financiero; </w:t>
      </w:r>
    </w:p>
    <w:p w:rsidR="00B5288F" w:rsidRPr="00B5288F" w:rsidRDefault="00B5288F" w:rsidP="00B5288F">
      <w:pPr>
        <w:pStyle w:val="Prrafodelista"/>
        <w:numPr>
          <w:ilvl w:val="0"/>
          <w:numId w:val="26"/>
        </w:numPr>
        <w:spacing w:line="360" w:lineRule="auto"/>
        <w:jc w:val="both"/>
        <w:rPr>
          <w:rFonts w:ascii="Palatino Linotype" w:hAnsi="Palatino Linotype" w:cs="Arial"/>
          <w:b/>
        </w:rPr>
      </w:pPr>
      <w:r w:rsidRPr="00B5288F">
        <w:rPr>
          <w:rFonts w:ascii="Palatino Linotype" w:hAnsi="Palatino Linotype" w:cs="Arial"/>
          <w:b/>
        </w:rPr>
        <w:t>Actas de entrega recepción, finiquito y extinción de derechos y obligaciones; y</w:t>
      </w:r>
    </w:p>
    <w:p w:rsidR="00B5288F" w:rsidRPr="00B5288F" w:rsidRDefault="00B5288F" w:rsidP="00B5288F">
      <w:pPr>
        <w:pStyle w:val="Prrafodelista"/>
        <w:numPr>
          <w:ilvl w:val="0"/>
          <w:numId w:val="26"/>
        </w:numPr>
        <w:spacing w:line="360" w:lineRule="auto"/>
        <w:jc w:val="both"/>
        <w:rPr>
          <w:rFonts w:ascii="Palatino Linotype" w:hAnsi="Palatino Linotype" w:cs="Arial"/>
          <w:b/>
        </w:rPr>
      </w:pPr>
      <w:r w:rsidRPr="00B5288F">
        <w:rPr>
          <w:rFonts w:ascii="Palatino Linotype" w:hAnsi="Palatino Linotype" w:cs="Arial"/>
          <w:b/>
        </w:rPr>
        <w:t>Propuestas técnicas y económicas del licitante ganador.</w:t>
      </w:r>
    </w:p>
    <w:p w:rsidR="00BE7690" w:rsidRPr="00BE7690" w:rsidRDefault="00BE7690" w:rsidP="00BE7690">
      <w:pPr>
        <w:pStyle w:val="Prrafodelista"/>
        <w:rPr>
          <w:rFonts w:ascii="Palatino Linotype" w:hAnsi="Palatino Linotype" w:cs="Arial"/>
        </w:rPr>
      </w:pPr>
    </w:p>
    <w:p w:rsidR="00B5288F" w:rsidRDefault="00B5288F" w:rsidP="00C5169B">
      <w:pPr>
        <w:numPr>
          <w:ilvl w:val="0"/>
          <w:numId w:val="4"/>
        </w:numPr>
        <w:spacing w:line="360" w:lineRule="auto"/>
        <w:ind w:left="0" w:firstLine="0"/>
        <w:contextualSpacing/>
        <w:jc w:val="both"/>
        <w:rPr>
          <w:rFonts w:ascii="Palatino Linotype" w:eastAsia="Times New Roman" w:hAnsi="Palatino Linotype" w:cs="Arial"/>
          <w:color w:val="000000"/>
          <w:lang w:val="es-ES"/>
        </w:rPr>
      </w:pPr>
      <w:r>
        <w:rPr>
          <w:rFonts w:ascii="Palatino Linotype" w:eastAsia="Times New Roman" w:hAnsi="Palatino Linotype" w:cs="Arial"/>
          <w:color w:val="000000"/>
          <w:lang w:val="es-ES"/>
        </w:rPr>
        <w:t>De ser el caso de que la información contenga datos personales susceptibles de clasificarse como confidenciales, el Sujeto Obligado deberá estar a lo dispuesto en el Considerando que a continuación se enuncia.</w:t>
      </w:r>
    </w:p>
    <w:p w:rsidR="00C507C8" w:rsidRDefault="00C507C8" w:rsidP="00C507C8">
      <w:pPr>
        <w:pStyle w:val="Prrafodelista"/>
        <w:rPr>
          <w:rFonts w:ascii="Palatino Linotype" w:eastAsia="Times New Roman" w:hAnsi="Palatino Linotype" w:cs="Arial"/>
          <w:color w:val="000000"/>
          <w:lang w:val="es-ES"/>
        </w:rPr>
      </w:pPr>
    </w:p>
    <w:p w:rsidR="00DF3A22" w:rsidRDefault="00DF3A22" w:rsidP="00DF3A22">
      <w:pPr>
        <w:pStyle w:val="Ttulo1"/>
        <w:spacing w:before="0" w:line="360" w:lineRule="auto"/>
        <w:rPr>
          <w:b w:val="0"/>
          <w:color w:val="000000" w:themeColor="text1"/>
          <w:szCs w:val="24"/>
        </w:rPr>
      </w:pPr>
      <w:bookmarkStart w:id="27" w:name="_Toc523908140"/>
      <w:bookmarkStart w:id="28" w:name="_Toc522209067"/>
      <w:bookmarkStart w:id="29" w:name="_Toc521949107"/>
      <w:bookmarkStart w:id="30" w:name="_Toc12448142"/>
      <w:bookmarkStart w:id="31" w:name="_Toc11834466"/>
      <w:bookmarkStart w:id="32" w:name="_Toc26441935"/>
      <w:bookmarkStart w:id="33" w:name="_Toc30090207"/>
      <w:bookmarkStart w:id="34" w:name="_Toc32248310"/>
      <w:r>
        <w:rPr>
          <w:rFonts w:cs="Times New Roman"/>
          <w:color w:val="000000" w:themeColor="text1"/>
          <w:szCs w:val="24"/>
          <w:lang w:eastAsia="es-ES_tradnl"/>
        </w:rPr>
        <w:t xml:space="preserve">QUINTO. </w:t>
      </w:r>
      <w:r>
        <w:rPr>
          <w:color w:val="000000" w:themeColor="text1"/>
          <w:szCs w:val="24"/>
        </w:rPr>
        <w:t xml:space="preserve"> De la elaboración de la versión pública</w:t>
      </w:r>
      <w:bookmarkEnd w:id="27"/>
      <w:bookmarkEnd w:id="28"/>
      <w:bookmarkEnd w:id="29"/>
      <w:r>
        <w:rPr>
          <w:color w:val="000000" w:themeColor="text1"/>
          <w:szCs w:val="24"/>
        </w:rPr>
        <w:t>.</w:t>
      </w:r>
      <w:bookmarkEnd w:id="30"/>
      <w:bookmarkEnd w:id="31"/>
      <w:bookmarkEnd w:id="32"/>
      <w:bookmarkEnd w:id="33"/>
      <w:bookmarkEnd w:id="34"/>
      <w:r>
        <w:rPr>
          <w:color w:val="000000" w:themeColor="text1"/>
          <w:szCs w:val="24"/>
        </w:rPr>
        <w:t xml:space="preserve"> </w:t>
      </w:r>
    </w:p>
    <w:p w:rsidR="00DF3A22" w:rsidRPr="00E677DD" w:rsidRDefault="00DF3A22" w:rsidP="00DF3A22">
      <w:pPr>
        <w:pStyle w:val="Prrafodelista"/>
        <w:tabs>
          <w:tab w:val="left" w:pos="426"/>
        </w:tabs>
        <w:spacing w:line="360" w:lineRule="auto"/>
        <w:ind w:left="0"/>
        <w:jc w:val="both"/>
        <w:rPr>
          <w:rFonts w:ascii="Palatino Linotype" w:eastAsia="MS Mincho" w:hAnsi="Palatino Linotype" w:cs="Arial"/>
          <w:color w:val="000000" w:themeColor="text1"/>
        </w:rPr>
      </w:pPr>
    </w:p>
    <w:p w:rsidR="00DF3A22" w:rsidRDefault="00DF3A22" w:rsidP="00C5169B">
      <w:pPr>
        <w:pStyle w:val="Prrafodelista"/>
        <w:numPr>
          <w:ilvl w:val="0"/>
          <w:numId w:val="4"/>
        </w:numPr>
        <w:spacing w:line="360" w:lineRule="auto"/>
        <w:ind w:left="0" w:right="49" w:firstLine="0"/>
        <w:jc w:val="both"/>
        <w:rPr>
          <w:rFonts w:ascii="Palatino Linotype" w:eastAsia="Times New Roman" w:hAnsi="Palatino Linotype" w:cs="Arial"/>
          <w:color w:val="000000"/>
        </w:rPr>
      </w:pPr>
      <w:r>
        <w:rPr>
          <w:rFonts w:ascii="Palatino Linotype" w:eastAsia="Times New Roman" w:hAnsi="Palatino Linotype" w:cs="Arial"/>
          <w:color w:val="000000"/>
        </w:rPr>
        <w:lastRenderedPageBreak/>
        <w:t>Debe destacarse que, debido a la naturaleza de la información solicitada</w:t>
      </w:r>
      <w:r>
        <w:rPr>
          <w:rFonts w:ascii="Palatino Linotype" w:eastAsia="Times New Roman" w:hAnsi="Palatino Linotype" w:cs="Arial"/>
          <w:b/>
          <w:color w:val="000000"/>
        </w:rPr>
        <w:t xml:space="preserve">, </w:t>
      </w:r>
      <w:r>
        <w:rPr>
          <w:rFonts w:ascii="Palatino Linotype" w:eastAsia="Times New Roman" w:hAnsi="Palatino Linotype" w:cs="Arial"/>
          <w:color w:val="000000"/>
        </w:rPr>
        <w:t>eventualmente pudiera obrar datos personales susceptibles de protegerse, los cuales su exposición vulneraría la esfera más íntima del servidor público.</w:t>
      </w:r>
    </w:p>
    <w:p w:rsidR="00DF3A22" w:rsidRDefault="00DF3A22" w:rsidP="00DF3A22">
      <w:pPr>
        <w:pStyle w:val="Prrafodelista"/>
        <w:spacing w:line="360" w:lineRule="auto"/>
        <w:ind w:left="0" w:right="49"/>
        <w:jc w:val="both"/>
        <w:rPr>
          <w:rFonts w:ascii="Palatino Linotype" w:eastAsia="Times New Roman" w:hAnsi="Palatino Linotype" w:cs="Arial"/>
          <w:color w:val="000000"/>
        </w:rPr>
      </w:pPr>
    </w:p>
    <w:p w:rsidR="00DF3A22" w:rsidRDefault="00DF3A22" w:rsidP="00C5169B">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CE599F">
        <w:rPr>
          <w:rFonts w:ascii="Palatino Linotype" w:eastAsia="Times New Roman" w:hAnsi="Palatino Linotype" w:cs="Arial"/>
          <w:color w:val="000000"/>
        </w:rPr>
        <w:t xml:space="preserve"> Es por ello que, este Instituto de Transparencia, Acceso a la Información Pública y Protección de Datos Personales del Estado de México tiene el deber de velar por la protección de los datos personales aun tratándose de servidores públicos y en su caso generar la </w:t>
      </w:r>
      <w:r w:rsidRPr="00CE599F">
        <w:rPr>
          <w:rFonts w:ascii="Palatino Linotype" w:eastAsia="Times New Roman" w:hAnsi="Palatino Linotype" w:cs="Arial"/>
          <w:b/>
          <w:color w:val="000000"/>
        </w:rPr>
        <w:t>versión pública</w:t>
      </w:r>
      <w:r w:rsidRPr="00CE599F">
        <w:rPr>
          <w:rFonts w:ascii="Palatino Linotype" w:eastAsia="Times New Roman" w:hAnsi="Palatino Linotype" w:cs="Arial"/>
          <w:color w:val="000000"/>
        </w:rPr>
        <w:t xml:space="preserve"> del documento por las consideraciones que se estimen pertinentes.</w:t>
      </w:r>
    </w:p>
    <w:p w:rsidR="00DF3A22" w:rsidRDefault="00DF3A22" w:rsidP="00DF3A22">
      <w:pPr>
        <w:pStyle w:val="Prrafodelista"/>
        <w:spacing w:line="360" w:lineRule="auto"/>
        <w:ind w:left="0" w:right="49"/>
        <w:jc w:val="both"/>
        <w:rPr>
          <w:rFonts w:ascii="Palatino Linotype" w:eastAsia="Times New Roman" w:hAnsi="Palatino Linotype" w:cs="Arial"/>
          <w:color w:val="000000"/>
        </w:rPr>
      </w:pPr>
    </w:p>
    <w:p w:rsidR="00DF3A22" w:rsidRPr="00CE599F" w:rsidRDefault="00DF3A22" w:rsidP="00C5169B">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CE599F">
        <w:rPr>
          <w:rFonts w:ascii="Palatino Linotype" w:eastAsia="Times New Roman" w:hAnsi="Palatino Linotype" w:cs="Arial"/>
          <w:color w:val="000000"/>
        </w:rPr>
        <w:t xml:space="preserve">Cabe precisar que, 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CE599F">
        <w:rPr>
          <w:rFonts w:ascii="Palatino Linotype" w:eastAsia="Times New Roman" w:hAnsi="Palatino Linotype" w:cs="Arial"/>
          <w:b/>
          <w:color w:val="000000"/>
        </w:rPr>
        <w:t>Sujetos Obligados</w:t>
      </w:r>
      <w:r w:rsidRPr="00CE599F">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DF3A22" w:rsidRDefault="00DF3A22" w:rsidP="00DF3A22">
      <w:pPr>
        <w:spacing w:line="360" w:lineRule="auto"/>
        <w:ind w:right="49"/>
        <w:contextualSpacing/>
        <w:jc w:val="both"/>
        <w:rPr>
          <w:rFonts w:ascii="Palatino Linotype" w:eastAsia="Times New Roman" w:hAnsi="Palatino Linotype" w:cs="Arial"/>
          <w:color w:val="000000"/>
        </w:rPr>
      </w:pPr>
    </w:p>
    <w:tbl>
      <w:tblPr>
        <w:tblStyle w:val="Tabladecuadrcula6concolores"/>
        <w:tblW w:w="0" w:type="auto"/>
        <w:tblLook w:val="04A0" w:firstRow="1" w:lastRow="0" w:firstColumn="1" w:lastColumn="0" w:noHBand="0" w:noVBand="1"/>
      </w:tblPr>
      <w:tblGrid>
        <w:gridCol w:w="1834"/>
        <w:gridCol w:w="6945"/>
      </w:tblGrid>
      <w:tr w:rsidR="00DF3A22" w:rsidTr="00A10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DF3A22" w:rsidRDefault="00DF3A22" w:rsidP="00A109E3">
            <w:pPr>
              <w:spacing w:line="360" w:lineRule="auto"/>
              <w:rPr>
                <w:bCs w:val="0"/>
                <w:sz w:val="20"/>
                <w:szCs w:val="20"/>
              </w:rPr>
            </w:pPr>
            <w:r>
              <w:rPr>
                <w:rFonts w:ascii="Palatino Linotype" w:hAnsi="Palatino Linotype" w:cstheme="majorBidi"/>
                <w:bCs w:val="0"/>
                <w:sz w:val="20"/>
                <w:szCs w:val="20"/>
              </w:rPr>
              <w:t>a) Requisitos previos.</w:t>
            </w:r>
          </w:p>
        </w:tc>
        <w:tc>
          <w:tcPr>
            <w:tcW w:w="6990" w:type="dxa"/>
            <w:hideMark/>
          </w:tcPr>
          <w:p w:rsidR="00DF3A22" w:rsidRDefault="00DF3A22" w:rsidP="00A109E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DF3A22" w:rsidRDefault="00DF3A22" w:rsidP="00A109E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Pr>
                <w:rFonts w:ascii="Palatino Linotype" w:eastAsia="Times New Roman" w:hAnsi="Palatino Linotype" w:cs="Arial"/>
                <w:b w:val="0"/>
                <w:bCs w:val="0"/>
                <w:color w:val="000000"/>
                <w:sz w:val="20"/>
                <w:szCs w:val="20"/>
              </w:rPr>
              <w:lastRenderedPageBreak/>
              <w:t>Al hacerlo tienen que precisar de qué información se trata, señalando el supuesto de clasificación (confidencialidad o reserva).</w:t>
            </w:r>
          </w:p>
          <w:p w:rsidR="00DF3A22" w:rsidRDefault="00DF3A22" w:rsidP="00A109E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rsidR="00DF3A22" w:rsidRDefault="00DF3A22" w:rsidP="00A109E3">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r>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DF3A22" w:rsidTr="00A10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DF3A22" w:rsidRDefault="00DF3A22" w:rsidP="00A109E3">
            <w:pPr>
              <w:spacing w:line="360" w:lineRule="auto"/>
              <w:rPr>
                <w:bCs w:val="0"/>
                <w:sz w:val="20"/>
                <w:szCs w:val="20"/>
              </w:rPr>
            </w:pPr>
            <w:r>
              <w:rPr>
                <w:rFonts w:ascii="Palatino Linotype" w:hAnsi="Palatino Linotype" w:cstheme="majorBidi"/>
                <w:bCs w:val="0"/>
                <w:color w:val="auto"/>
                <w:sz w:val="20"/>
                <w:szCs w:val="20"/>
              </w:rPr>
              <w:lastRenderedPageBreak/>
              <w:t>b) Supuestos de clasificación.</w:t>
            </w:r>
          </w:p>
        </w:tc>
        <w:tc>
          <w:tcPr>
            <w:tcW w:w="6990" w:type="dxa"/>
            <w:hideMark/>
          </w:tcPr>
          <w:p w:rsidR="00DF3A22" w:rsidRDefault="00DF3A22" w:rsidP="00A109E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rsidR="00DF3A22" w:rsidRDefault="00DF3A22" w:rsidP="00A109E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DF3A22" w:rsidRDefault="00DF3A22" w:rsidP="00A109E3">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rFonts w:ascii="Palatino Linotype" w:eastAsia="Times New Roman" w:hAnsi="Palatino Linotype" w:cs="Arial"/>
                <w:color w:val="000000"/>
                <w:sz w:val="20"/>
                <w:szCs w:val="20"/>
              </w:rPr>
              <w:t xml:space="preserve">El </w:t>
            </w:r>
            <w:r>
              <w:rPr>
                <w:rFonts w:ascii="Palatino Linotype" w:eastAsia="Times New Roman" w:hAnsi="Palatino Linotype" w:cs="Arial"/>
                <w:b/>
                <w:color w:val="000000"/>
                <w:sz w:val="20"/>
                <w:szCs w:val="20"/>
              </w:rPr>
              <w:t>Sujeto Obligado</w:t>
            </w:r>
            <w:r>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F3A22" w:rsidTr="00A109E3">
        <w:tc>
          <w:tcPr>
            <w:cnfStyle w:val="001000000000" w:firstRow="0" w:lastRow="0" w:firstColumn="1" w:lastColumn="0" w:oddVBand="0" w:evenVBand="0" w:oddHBand="0" w:evenHBand="0" w:firstRowFirstColumn="0" w:firstRowLastColumn="0" w:lastRowFirstColumn="0" w:lastRowLastColumn="0"/>
            <w:tcW w:w="1838" w:type="dxa"/>
            <w:hideMark/>
          </w:tcPr>
          <w:p w:rsidR="00DF3A22" w:rsidRDefault="00DF3A22" w:rsidP="00A109E3">
            <w:pPr>
              <w:spacing w:line="360" w:lineRule="auto"/>
              <w:rPr>
                <w:bCs w:val="0"/>
                <w:sz w:val="20"/>
                <w:szCs w:val="20"/>
              </w:rPr>
            </w:pPr>
            <w:r>
              <w:rPr>
                <w:rFonts w:ascii="Palatino Linotype" w:hAnsi="Palatino Linotype" w:cstheme="majorBidi"/>
                <w:bCs w:val="0"/>
                <w:sz w:val="20"/>
                <w:szCs w:val="20"/>
              </w:rPr>
              <w:t xml:space="preserve">c) Formalidades para emitir el </w:t>
            </w:r>
            <w:r>
              <w:rPr>
                <w:rFonts w:ascii="Palatino Linotype" w:hAnsi="Palatino Linotype" w:cstheme="majorBidi"/>
                <w:bCs w:val="0"/>
                <w:sz w:val="20"/>
                <w:szCs w:val="20"/>
              </w:rPr>
              <w:lastRenderedPageBreak/>
              <w:t>acuerdo de clasificación.</w:t>
            </w:r>
          </w:p>
        </w:tc>
        <w:tc>
          <w:tcPr>
            <w:tcW w:w="6990" w:type="dxa"/>
            <w:hideMark/>
          </w:tcPr>
          <w:p w:rsidR="00DF3A22" w:rsidRDefault="00DF3A22" w:rsidP="00A109E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lastRenderedPageBreak/>
              <w:t xml:space="preserve">El Comité de Transparencia, según lo dispuesto en los artículos cuenta con las facultades para aprobar, modificar o revocar la clasificación de la información que haya propuesto. </w:t>
            </w:r>
          </w:p>
          <w:p w:rsidR="00DF3A22" w:rsidRDefault="00DF3A22" w:rsidP="00A109E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lastRenderedPageBreak/>
              <w:t xml:space="preserve">Es necesario que </w:t>
            </w:r>
            <w:r>
              <w:rPr>
                <w:rFonts w:ascii="Palatino Linotype" w:eastAsia="Times New Roman" w:hAnsi="Palatino Linotype" w:cs="Arial"/>
                <w:b/>
                <w:color w:val="000000"/>
                <w:sz w:val="20"/>
                <w:szCs w:val="20"/>
                <w:u w:val="single"/>
              </w:rPr>
              <w:t>el acto reúna con los requisitos elementales</w:t>
            </w:r>
            <w:r>
              <w:rPr>
                <w:rFonts w:ascii="Palatino Linotype" w:eastAsia="Times New Roman" w:hAnsi="Palatino Linotype" w:cs="Arial"/>
                <w:color w:val="000000"/>
                <w:sz w:val="20"/>
                <w:szCs w:val="20"/>
              </w:rPr>
              <w:t>, entre ellos, que la autoridad que va a emitir el acto de autoridad sea la legalmente facultada para ello.</w:t>
            </w:r>
          </w:p>
          <w:p w:rsidR="00DF3A22" w:rsidRDefault="00DF3A22" w:rsidP="00A109E3">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F3A22" w:rsidTr="00A10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DF3A22" w:rsidRDefault="00DF3A22" w:rsidP="00A109E3">
            <w:pPr>
              <w:spacing w:line="360" w:lineRule="auto"/>
              <w:rPr>
                <w:b w:val="0"/>
                <w:sz w:val="20"/>
                <w:szCs w:val="20"/>
              </w:rPr>
            </w:pPr>
          </w:p>
          <w:p w:rsidR="00DF3A22" w:rsidRDefault="00DF3A22" w:rsidP="00A109E3">
            <w:pPr>
              <w:spacing w:line="360" w:lineRule="auto"/>
              <w:jc w:val="both"/>
              <w:rPr>
                <w:bCs w:val="0"/>
                <w:sz w:val="20"/>
                <w:szCs w:val="20"/>
              </w:rPr>
            </w:pPr>
            <w:r>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rsidR="00DF3A22" w:rsidRDefault="00DF3A22" w:rsidP="00A109E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Times New Roman" w:hAnsi="Palatino Linotype" w:cs="Arial"/>
                <w:b/>
                <w:color w:val="000000"/>
                <w:sz w:val="20"/>
                <w:szCs w:val="20"/>
              </w:rPr>
              <w:t>Sujetos Obligados</w:t>
            </w:r>
            <w:r>
              <w:rPr>
                <w:rFonts w:ascii="Palatino Linotype" w:eastAsia="Times New Roman" w:hAnsi="Palatino Linotype" w:cs="Arial"/>
                <w:color w:val="000000"/>
                <w:sz w:val="20"/>
                <w:szCs w:val="20"/>
              </w:rPr>
              <w:t xml:space="preserve">, por lo que deberán fundar y motivar debidamente la clasificación. </w:t>
            </w:r>
          </w:p>
          <w:p w:rsidR="00DF3A22" w:rsidRDefault="00DF3A22" w:rsidP="00A109E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De lo anterior, se desprende que para una correcta </w:t>
            </w:r>
            <w:r>
              <w:rPr>
                <w:rFonts w:ascii="Palatino Linotype" w:eastAsia="Times New Roman" w:hAnsi="Palatino Linotype" w:cs="Arial"/>
                <w:b/>
                <w:color w:val="000000"/>
                <w:sz w:val="20"/>
                <w:szCs w:val="20"/>
              </w:rPr>
              <w:t>clasificación total o parcial</w:t>
            </w:r>
            <w:r>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F3A22" w:rsidRDefault="00DF3A22" w:rsidP="00A109E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DF3A22" w:rsidRDefault="00DF3A22" w:rsidP="00A109E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lastRenderedPageBreak/>
              <w:t>En ese mismo sentido, el numeral trigésimo tercero fracción V de los Lineamientos Generales, precisa que para motivar la clasificación se deben acreditar las circunstancias de tiempo, modo y lugar.</w:t>
            </w:r>
          </w:p>
          <w:p w:rsidR="00DF3A22" w:rsidRDefault="00DF3A22" w:rsidP="00A109E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Ahora bien, </w:t>
            </w:r>
            <w:r>
              <w:rPr>
                <w:rFonts w:ascii="Palatino Linotype" w:eastAsia="Times New Roman" w:hAnsi="Palatino Linotype" w:cs="Arial"/>
                <w:b/>
                <w:color w:val="000000"/>
                <w:sz w:val="20"/>
                <w:szCs w:val="20"/>
                <w:u w:val="single"/>
              </w:rPr>
              <w:t>para cada caso además de fundar y motivar</w:t>
            </w:r>
            <w:r>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DF3A22" w:rsidTr="00A109E3">
        <w:tc>
          <w:tcPr>
            <w:cnfStyle w:val="001000000000" w:firstRow="0" w:lastRow="0" w:firstColumn="1" w:lastColumn="0" w:oddVBand="0" w:evenVBand="0" w:oddHBand="0" w:evenHBand="0" w:firstRowFirstColumn="0" w:firstRowLastColumn="0" w:lastRowFirstColumn="0" w:lastRowLastColumn="0"/>
            <w:tcW w:w="1838" w:type="dxa"/>
          </w:tcPr>
          <w:p w:rsidR="00DF3A22" w:rsidRDefault="00DF3A22" w:rsidP="00A109E3">
            <w:pPr>
              <w:spacing w:line="360" w:lineRule="auto"/>
              <w:ind w:right="49"/>
              <w:jc w:val="both"/>
              <w:rPr>
                <w:rFonts w:ascii="Palatino Linotype" w:eastAsia="Times New Roman" w:hAnsi="Palatino Linotype" w:cs="Arial"/>
                <w:sz w:val="20"/>
                <w:szCs w:val="20"/>
              </w:rPr>
            </w:pPr>
            <w:r>
              <w:rPr>
                <w:rFonts w:ascii="Palatino Linotype" w:eastAsia="MS Gothic" w:hAnsi="Palatino Linotype" w:cs="Times New Roman"/>
                <w:b w:val="0"/>
                <w:sz w:val="20"/>
                <w:szCs w:val="20"/>
              </w:rPr>
              <w:lastRenderedPageBreak/>
              <w:t>e)</w:t>
            </w:r>
            <w:r>
              <w:rPr>
                <w:rFonts w:ascii="Palatino Linotype" w:eastAsia="MS Gothic" w:hAnsi="Palatino Linotype" w:cs="Times New Roman"/>
                <w:bCs w:val="0"/>
                <w:sz w:val="20"/>
                <w:szCs w:val="20"/>
              </w:rPr>
              <w:t xml:space="preserve"> Condiciones especiales de la clasificación de la información como confidencial.</w:t>
            </w:r>
            <w:r>
              <w:rPr>
                <w:rFonts w:ascii="Palatino Linotype" w:eastAsia="MS Gothic" w:hAnsi="Palatino Linotype" w:cs="Times New Roman"/>
                <w:b w:val="0"/>
                <w:sz w:val="20"/>
                <w:szCs w:val="20"/>
              </w:rPr>
              <w:t xml:space="preserve"> </w:t>
            </w:r>
          </w:p>
          <w:p w:rsidR="00DF3A22" w:rsidRDefault="00DF3A22" w:rsidP="00A109E3">
            <w:pPr>
              <w:spacing w:line="360" w:lineRule="auto"/>
              <w:rPr>
                <w:sz w:val="20"/>
                <w:szCs w:val="20"/>
              </w:rPr>
            </w:pPr>
          </w:p>
        </w:tc>
        <w:tc>
          <w:tcPr>
            <w:tcW w:w="6990" w:type="dxa"/>
            <w:hideMark/>
          </w:tcPr>
          <w:p w:rsidR="00DF3A22" w:rsidRDefault="00DF3A22" w:rsidP="00A109E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rsidR="00DF3A22" w:rsidRDefault="00DF3A22" w:rsidP="00A109E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F3A22" w:rsidRDefault="00DF3A22" w:rsidP="00A109E3">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DF3A22" w:rsidRDefault="00DF3A22" w:rsidP="00DF3A22">
      <w:pPr>
        <w:tabs>
          <w:tab w:val="left" w:pos="1134"/>
        </w:tabs>
        <w:spacing w:line="360" w:lineRule="auto"/>
        <w:rPr>
          <w:rFonts w:ascii="Palatino Linotype" w:eastAsia="MS Mincho" w:hAnsi="Palatino Linotype" w:cs="Times New Roman"/>
          <w:highlight w:val="yellow"/>
        </w:rPr>
      </w:pPr>
    </w:p>
    <w:p w:rsidR="00D81DD6" w:rsidRDefault="00D81DD6" w:rsidP="00DF3A22">
      <w:pPr>
        <w:tabs>
          <w:tab w:val="left" w:pos="1134"/>
        </w:tabs>
        <w:spacing w:line="360" w:lineRule="auto"/>
        <w:rPr>
          <w:rFonts w:ascii="Palatino Linotype" w:eastAsia="MS Mincho" w:hAnsi="Palatino Linotype" w:cs="Times New Roman"/>
          <w:highlight w:val="yellow"/>
        </w:rPr>
      </w:pPr>
    </w:p>
    <w:p w:rsidR="00DF3A22" w:rsidRDefault="00DF3A22" w:rsidP="00C5169B">
      <w:pPr>
        <w:pStyle w:val="Ttulo1"/>
        <w:numPr>
          <w:ilvl w:val="0"/>
          <w:numId w:val="6"/>
        </w:numPr>
        <w:spacing w:before="0" w:line="360" w:lineRule="auto"/>
        <w:ind w:left="709"/>
        <w:rPr>
          <w:color w:val="000000" w:themeColor="text1"/>
          <w:szCs w:val="24"/>
        </w:rPr>
      </w:pPr>
      <w:bookmarkStart w:id="35" w:name="_Toc30090209"/>
      <w:bookmarkStart w:id="36" w:name="_Toc32248311"/>
      <w:r>
        <w:rPr>
          <w:rFonts w:cs="Times New Roman"/>
          <w:color w:val="000000" w:themeColor="text1"/>
          <w:szCs w:val="24"/>
          <w:lang w:eastAsia="es-ES_tradnl"/>
        </w:rPr>
        <w:t xml:space="preserve">Del </w:t>
      </w:r>
      <w:r>
        <w:rPr>
          <w:color w:val="000000" w:themeColor="text1"/>
          <w:szCs w:val="24"/>
        </w:rPr>
        <w:t>análisis de los datos susceptibles de ser protegidos.</w:t>
      </w:r>
      <w:bookmarkEnd w:id="35"/>
      <w:bookmarkEnd w:id="36"/>
      <w:r>
        <w:rPr>
          <w:color w:val="000000" w:themeColor="text1"/>
          <w:szCs w:val="24"/>
        </w:rPr>
        <w:t xml:space="preserve"> </w:t>
      </w:r>
    </w:p>
    <w:p w:rsidR="00D81DD6" w:rsidRPr="00D81DD6" w:rsidRDefault="00D81DD6" w:rsidP="00D81DD6">
      <w:pPr>
        <w:rPr>
          <w:lang w:val="es-MX" w:eastAsia="en-US"/>
        </w:rPr>
      </w:pPr>
    </w:p>
    <w:p w:rsidR="00B97C44" w:rsidRPr="00B5288F" w:rsidRDefault="00DF3A22" w:rsidP="00A80CC4">
      <w:pPr>
        <w:pStyle w:val="Prrafodelista"/>
        <w:numPr>
          <w:ilvl w:val="0"/>
          <w:numId w:val="4"/>
        </w:numPr>
        <w:spacing w:line="360" w:lineRule="auto"/>
        <w:ind w:left="0" w:right="49" w:firstLine="0"/>
        <w:jc w:val="both"/>
        <w:rPr>
          <w:rFonts w:ascii="Palatino Linotype" w:eastAsia="Times New Roman" w:hAnsi="Palatino Linotype" w:cs="Arial"/>
          <w:color w:val="000000"/>
        </w:rPr>
      </w:pPr>
      <w:r w:rsidRPr="00B5288F">
        <w:rPr>
          <w:rFonts w:ascii="Palatino Linotype" w:eastAsia="Times New Roman" w:hAnsi="Palatino Linotype" w:cs="Arial"/>
          <w:color w:val="000000"/>
        </w:rPr>
        <w:t xml:space="preserve">Bajo lo anterior, es importante analizar los datos personales susceptibles de ser protegido, que pudieran estar contenidos </w:t>
      </w:r>
      <w:r w:rsidR="00B97C44" w:rsidRPr="00B5288F">
        <w:rPr>
          <w:rFonts w:ascii="Palatino Linotype" w:eastAsia="Times New Roman" w:hAnsi="Palatino Linotype" w:cs="Arial"/>
          <w:color w:val="000000"/>
        </w:rPr>
        <w:t xml:space="preserve">los documentos que se han ordenado </w:t>
      </w:r>
      <w:r w:rsidR="00B97C44" w:rsidRPr="00B5288F">
        <w:rPr>
          <w:rFonts w:ascii="Palatino Linotype" w:eastAsia="Times New Roman" w:hAnsi="Palatino Linotype" w:cs="Arial"/>
          <w:color w:val="000000"/>
        </w:rPr>
        <w:lastRenderedPageBreak/>
        <w:t xml:space="preserve">entregar, tales como </w:t>
      </w:r>
      <w:r w:rsidRPr="00B5288F">
        <w:rPr>
          <w:rFonts w:ascii="Palatino Linotype" w:eastAsia="Times New Roman" w:hAnsi="Palatino Linotype" w:cs="Arial"/>
          <w:color w:val="000000"/>
        </w:rPr>
        <w:t xml:space="preserve">la </w:t>
      </w:r>
      <w:r w:rsidRPr="00B5288F">
        <w:rPr>
          <w:rFonts w:ascii="Palatino Linotype" w:eastAsia="Times New Roman" w:hAnsi="Palatino Linotype" w:cs="Arial"/>
          <w:b/>
          <w:bCs/>
          <w:color w:val="000000"/>
        </w:rPr>
        <w:t>Clave Única de Registro de Población (CURP)</w:t>
      </w:r>
      <w:r w:rsidRPr="00B5288F">
        <w:rPr>
          <w:rFonts w:ascii="Palatino Linotype" w:eastAsia="Times New Roman" w:hAnsi="Palatino Linotype" w:cs="Arial"/>
          <w:color w:val="000000"/>
        </w:rPr>
        <w:t xml:space="preserve">, </w:t>
      </w:r>
      <w:r w:rsidR="00B97C44" w:rsidRPr="00B5288F">
        <w:rPr>
          <w:rFonts w:ascii="Palatino Linotype" w:eastAsia="Times New Roman" w:hAnsi="Palatino Linotype" w:cs="Arial"/>
          <w:b/>
          <w:color w:val="000000"/>
        </w:rPr>
        <w:t>comprobantes de do</w:t>
      </w:r>
      <w:r w:rsidR="00B5288F">
        <w:rPr>
          <w:rFonts w:ascii="Palatino Linotype" w:eastAsia="Times New Roman" w:hAnsi="Palatino Linotype" w:cs="Arial"/>
          <w:b/>
          <w:color w:val="000000"/>
        </w:rPr>
        <w:t>micilio, Credencial de Elector, entre otros.</w:t>
      </w:r>
    </w:p>
    <w:p w:rsidR="00B5288F" w:rsidRPr="00B5288F" w:rsidRDefault="00B5288F" w:rsidP="00B5288F">
      <w:pPr>
        <w:pStyle w:val="Prrafodelista"/>
        <w:spacing w:line="360" w:lineRule="auto"/>
        <w:ind w:left="0" w:right="49"/>
        <w:jc w:val="both"/>
        <w:rPr>
          <w:rFonts w:ascii="Palatino Linotype" w:eastAsia="Times New Roman" w:hAnsi="Palatino Linotype" w:cs="Arial"/>
          <w:color w:val="000000"/>
        </w:rPr>
      </w:pPr>
    </w:p>
    <w:p w:rsidR="00B97C44" w:rsidRDefault="00B97C44" w:rsidP="00C5169B">
      <w:pPr>
        <w:pStyle w:val="Ttulo1"/>
        <w:numPr>
          <w:ilvl w:val="0"/>
          <w:numId w:val="7"/>
        </w:numPr>
        <w:spacing w:before="0" w:line="360" w:lineRule="auto"/>
        <w:ind w:left="284"/>
        <w:rPr>
          <w:rFonts w:eastAsia="Times New Roman" w:cs="Arial"/>
          <w:color w:val="000000"/>
        </w:rPr>
      </w:pPr>
      <w:bookmarkStart w:id="37" w:name="_Toc12448145"/>
      <w:bookmarkStart w:id="38" w:name="_Toc26441938"/>
      <w:bookmarkStart w:id="39" w:name="_Toc30090211"/>
      <w:bookmarkStart w:id="40" w:name="_Toc32248312"/>
      <w:r>
        <w:rPr>
          <w:rFonts w:eastAsia="Times New Roman" w:cs="Arial"/>
          <w:bCs/>
          <w:color w:val="000000"/>
        </w:rPr>
        <w:t>Clave Única de Registro de Población (CURP)</w:t>
      </w:r>
      <w:r>
        <w:rPr>
          <w:rFonts w:eastAsia="Times New Roman" w:cs="Arial"/>
          <w:color w:val="000000"/>
        </w:rPr>
        <w:t>.</w:t>
      </w:r>
      <w:bookmarkEnd w:id="37"/>
      <w:bookmarkEnd w:id="38"/>
      <w:bookmarkEnd w:id="39"/>
      <w:bookmarkEnd w:id="40"/>
    </w:p>
    <w:p w:rsidR="00B97C44" w:rsidRDefault="00B97C44" w:rsidP="00B97C44">
      <w:pPr>
        <w:spacing w:line="360" w:lineRule="auto"/>
      </w:pPr>
    </w:p>
    <w:p w:rsidR="00B97C44" w:rsidRPr="00CE599F" w:rsidRDefault="00B97C44" w:rsidP="00C5169B">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sidRPr="00CE599F">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rsidR="00B97C44" w:rsidRDefault="00B97C44" w:rsidP="00B97C44">
      <w:pPr>
        <w:tabs>
          <w:tab w:val="left" w:pos="851"/>
        </w:tabs>
        <w:spacing w:line="360" w:lineRule="auto"/>
        <w:ind w:right="49"/>
        <w:contextualSpacing/>
        <w:jc w:val="both"/>
        <w:rPr>
          <w:rFonts w:ascii="Palatino Linotype" w:eastAsia="MS Mincho" w:hAnsi="Palatino Linotype" w:cs="Arial"/>
          <w:iCs/>
        </w:rPr>
      </w:pPr>
      <w:r>
        <w:rPr>
          <w:noProof/>
          <w:lang w:val="es-MX" w:eastAsia="es-MX"/>
        </w:rPr>
        <w:lastRenderedPageBreak/>
        <w:drawing>
          <wp:inline distT="0" distB="0" distL="0" distR="0" wp14:anchorId="3DA7B3E6" wp14:editId="65AD4091">
            <wp:extent cx="5305425" cy="4676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rsidR="00B97C44" w:rsidRDefault="00B97C44" w:rsidP="00B97C44">
      <w:pPr>
        <w:tabs>
          <w:tab w:val="left" w:pos="851"/>
        </w:tabs>
        <w:spacing w:line="360" w:lineRule="auto"/>
        <w:ind w:right="49"/>
        <w:contextualSpacing/>
        <w:jc w:val="both"/>
        <w:rPr>
          <w:rFonts w:ascii="Palatino Linotype" w:eastAsia="MS Mincho" w:hAnsi="Palatino Linotype" w:cs="Arial"/>
          <w:iCs/>
        </w:rPr>
      </w:pPr>
    </w:p>
    <w:p w:rsidR="00B97C44" w:rsidRPr="00CE599F" w:rsidRDefault="00B97C44" w:rsidP="00C5169B">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sidRPr="00CE599F">
        <w:rPr>
          <w:rFonts w:ascii="Palatino Linotype" w:eastAsia="MS Mincho" w:hAnsi="Palatino Linotype" w:cs="Arial"/>
          <w:iCs/>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rsidR="00B97C44" w:rsidRDefault="00B97C44" w:rsidP="00B97C44">
      <w:pPr>
        <w:tabs>
          <w:tab w:val="left" w:pos="0"/>
          <w:tab w:val="left" w:pos="426"/>
        </w:tabs>
        <w:spacing w:line="360" w:lineRule="auto"/>
        <w:ind w:right="49"/>
        <w:contextualSpacing/>
        <w:jc w:val="both"/>
        <w:rPr>
          <w:rFonts w:ascii="Palatino Linotype" w:eastAsia="MS Mincho" w:hAnsi="Palatino Linotype" w:cs="Arial"/>
          <w:iCs/>
        </w:rPr>
      </w:pPr>
    </w:p>
    <w:p w:rsidR="00B97C44" w:rsidRPr="00CE599F" w:rsidRDefault="00B97C44" w:rsidP="00C5169B">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sidRPr="00CE599F">
        <w:rPr>
          <w:rFonts w:ascii="Palatino Linotype" w:eastAsia="MS Mincho" w:hAnsi="Palatino Linotype" w:cs="Arial"/>
          <w:iCs/>
        </w:rPr>
        <w:t xml:space="preserve">Entre las características de la CURP, se encuentra: </w:t>
      </w:r>
    </w:p>
    <w:p w:rsidR="00B97C44" w:rsidRDefault="00B97C44" w:rsidP="00B97C44">
      <w:pPr>
        <w:tabs>
          <w:tab w:val="left" w:pos="0"/>
          <w:tab w:val="left" w:pos="426"/>
        </w:tabs>
        <w:spacing w:line="360" w:lineRule="auto"/>
        <w:ind w:right="49"/>
        <w:contextualSpacing/>
        <w:jc w:val="both"/>
        <w:rPr>
          <w:rFonts w:ascii="Palatino Linotype" w:eastAsia="MS Mincho" w:hAnsi="Palatino Linotype" w:cs="Arial"/>
          <w:iCs/>
        </w:rPr>
      </w:pPr>
    </w:p>
    <w:p w:rsidR="00B97C44" w:rsidRPr="009E49BD" w:rsidRDefault="00B97C44" w:rsidP="00B97C44">
      <w:pPr>
        <w:tabs>
          <w:tab w:val="left" w:pos="426"/>
          <w:tab w:val="left" w:pos="567"/>
        </w:tabs>
        <w:spacing w:line="360" w:lineRule="auto"/>
        <w:ind w:left="567" w:right="567"/>
        <w:contextualSpacing/>
        <w:jc w:val="both"/>
        <w:rPr>
          <w:rFonts w:ascii="Palatino Linotype" w:eastAsia="MS Mincho" w:hAnsi="Palatino Linotype" w:cs="Arial"/>
          <w:iCs/>
        </w:rPr>
      </w:pPr>
      <w:r w:rsidRPr="009E49BD">
        <w:rPr>
          <w:rFonts w:ascii="Palatino Linotype" w:eastAsia="MS Mincho" w:hAnsi="Palatino Linotype" w:cs="Arial"/>
          <w:b/>
          <w:bCs/>
          <w:iCs/>
        </w:rPr>
        <w:t xml:space="preserve">Composición. </w:t>
      </w:r>
      <w:r w:rsidRPr="009E49BD">
        <w:rPr>
          <w:rFonts w:ascii="Palatino Linotype" w:eastAsia="MS Mincho" w:hAnsi="Palatino Linotype" w:cs="Arial"/>
          <w:iCs/>
        </w:rPr>
        <w:t>Alfanumérica.</w:t>
      </w:r>
    </w:p>
    <w:p w:rsidR="00B97C44" w:rsidRPr="009E49BD" w:rsidRDefault="00B97C44" w:rsidP="00B97C44">
      <w:pPr>
        <w:tabs>
          <w:tab w:val="left" w:pos="426"/>
          <w:tab w:val="left" w:pos="567"/>
        </w:tabs>
        <w:spacing w:line="360" w:lineRule="auto"/>
        <w:ind w:left="567" w:right="567"/>
        <w:contextualSpacing/>
        <w:jc w:val="both"/>
        <w:rPr>
          <w:rFonts w:ascii="Palatino Linotype" w:eastAsia="MS Mincho" w:hAnsi="Palatino Linotype" w:cs="Arial"/>
          <w:iCs/>
        </w:rPr>
      </w:pPr>
      <w:r w:rsidRPr="009E49BD">
        <w:rPr>
          <w:rFonts w:ascii="Palatino Linotype" w:eastAsia="MS Mincho" w:hAnsi="Palatino Linotype" w:cs="Arial"/>
          <w:b/>
          <w:bCs/>
          <w:iCs/>
        </w:rPr>
        <w:lastRenderedPageBreak/>
        <w:t xml:space="preserve">Longitud. </w:t>
      </w:r>
      <w:r w:rsidRPr="009E49BD">
        <w:rPr>
          <w:rFonts w:ascii="Palatino Linotype" w:eastAsia="MS Mincho" w:hAnsi="Palatino Linotype" w:cs="Arial"/>
          <w:iCs/>
        </w:rPr>
        <w:t xml:space="preserve"> 18 caracteres.</w:t>
      </w:r>
    </w:p>
    <w:p w:rsidR="00B97C44" w:rsidRPr="009E49BD" w:rsidRDefault="00B97C44" w:rsidP="00B97C44">
      <w:pPr>
        <w:tabs>
          <w:tab w:val="left" w:pos="426"/>
          <w:tab w:val="left" w:pos="567"/>
        </w:tabs>
        <w:spacing w:line="360" w:lineRule="auto"/>
        <w:ind w:left="567" w:right="567"/>
        <w:contextualSpacing/>
        <w:jc w:val="both"/>
        <w:rPr>
          <w:rFonts w:ascii="Palatino Linotype" w:eastAsia="MS Mincho" w:hAnsi="Palatino Linotype" w:cs="Arial"/>
          <w:iCs/>
        </w:rPr>
      </w:pPr>
      <w:r w:rsidRPr="009E49BD">
        <w:rPr>
          <w:rFonts w:ascii="Palatino Linotype" w:eastAsia="MS Mincho" w:hAnsi="Palatino Linotype" w:cs="Arial"/>
          <w:b/>
          <w:bCs/>
          <w:iCs/>
        </w:rPr>
        <w:t xml:space="preserve">Naturaleza. </w:t>
      </w:r>
      <w:r w:rsidRPr="009E49BD">
        <w:rPr>
          <w:rFonts w:ascii="Palatino Linotype" w:eastAsia="MS Mincho" w:hAnsi="Palatino Linotype" w:cs="Arial"/>
          <w:iCs/>
        </w:rPr>
        <w:t>Biunívoca.</w:t>
      </w:r>
    </w:p>
    <w:p w:rsidR="00B97C44" w:rsidRPr="009E49BD" w:rsidRDefault="00B97C44" w:rsidP="00B97C44">
      <w:pPr>
        <w:tabs>
          <w:tab w:val="left" w:pos="426"/>
          <w:tab w:val="left" w:pos="567"/>
        </w:tabs>
        <w:spacing w:line="360" w:lineRule="auto"/>
        <w:ind w:left="567" w:right="567"/>
        <w:contextualSpacing/>
        <w:jc w:val="both"/>
        <w:rPr>
          <w:rFonts w:ascii="Palatino Linotype" w:eastAsia="MS Mincho" w:hAnsi="Palatino Linotype" w:cs="Arial"/>
          <w:iCs/>
        </w:rPr>
      </w:pPr>
      <w:r w:rsidRPr="009E49BD">
        <w:rPr>
          <w:rFonts w:ascii="Palatino Linotype" w:eastAsia="MS Mincho" w:hAnsi="Palatino Linotype" w:cs="Arial"/>
          <w:b/>
          <w:bCs/>
          <w:iCs/>
        </w:rPr>
        <w:t xml:space="preserve">Universalidad. </w:t>
      </w:r>
      <w:r w:rsidRPr="009E49BD">
        <w:rPr>
          <w:rFonts w:ascii="Palatino Linotype" w:eastAsia="MS Mincho" w:hAnsi="Palatino Linotype" w:cs="Arial"/>
          <w:iCs/>
        </w:rPr>
        <w:t>Se asigna a todas las personas que conforman la población.</w:t>
      </w:r>
    </w:p>
    <w:p w:rsidR="00B97C44" w:rsidRPr="009E49BD" w:rsidRDefault="00B97C44" w:rsidP="00B97C44">
      <w:pPr>
        <w:tabs>
          <w:tab w:val="left" w:pos="426"/>
          <w:tab w:val="left" w:pos="567"/>
        </w:tabs>
        <w:spacing w:line="360" w:lineRule="auto"/>
        <w:ind w:left="567" w:right="567"/>
        <w:contextualSpacing/>
        <w:jc w:val="both"/>
        <w:rPr>
          <w:rFonts w:ascii="Palatino Linotype" w:eastAsia="MS Mincho" w:hAnsi="Palatino Linotype" w:cs="Arial"/>
          <w:b/>
          <w:bCs/>
          <w:iCs/>
        </w:rPr>
      </w:pPr>
      <w:r w:rsidRPr="009E49BD">
        <w:rPr>
          <w:rFonts w:ascii="Palatino Linotype" w:eastAsia="MS Mincho" w:hAnsi="Palatino Linotype" w:cs="Arial"/>
          <w:b/>
          <w:bCs/>
          <w:iCs/>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rsidR="00B97C44" w:rsidRDefault="00B97C44" w:rsidP="00B97C44">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rsidR="00B97C44" w:rsidRPr="00CE599F" w:rsidRDefault="00B97C44" w:rsidP="00C5169B">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
        </w:rPr>
      </w:pPr>
      <w:r w:rsidRPr="00CE599F">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rsidR="00B97C44" w:rsidRDefault="00B97C44" w:rsidP="00B97C44">
      <w:pPr>
        <w:tabs>
          <w:tab w:val="left" w:pos="0"/>
          <w:tab w:val="left" w:pos="426"/>
        </w:tabs>
        <w:spacing w:line="360" w:lineRule="auto"/>
        <w:ind w:right="49"/>
        <w:contextualSpacing/>
        <w:jc w:val="both"/>
        <w:rPr>
          <w:rFonts w:ascii="Palatino Linotype" w:eastAsia="MS Mincho" w:hAnsi="Palatino Linotype" w:cs="Arial"/>
          <w:i/>
        </w:rPr>
      </w:pPr>
    </w:p>
    <w:p w:rsidR="00B97C44" w:rsidRDefault="00B97C44" w:rsidP="00C5169B">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sidRPr="00CE599F">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B97C44" w:rsidRPr="009E49BD" w:rsidRDefault="00B97C44" w:rsidP="00B97C44">
      <w:pPr>
        <w:pStyle w:val="Prrafodelista"/>
        <w:tabs>
          <w:tab w:val="left" w:pos="0"/>
          <w:tab w:val="left" w:pos="426"/>
        </w:tabs>
        <w:spacing w:line="360" w:lineRule="auto"/>
        <w:ind w:left="0" w:right="49"/>
        <w:jc w:val="both"/>
        <w:rPr>
          <w:rFonts w:ascii="Palatino Linotype" w:eastAsia="MS Mincho" w:hAnsi="Palatino Linotype" w:cs="Arial"/>
          <w:iCs/>
        </w:rPr>
      </w:pPr>
    </w:p>
    <w:p w:rsidR="00B97C44" w:rsidRPr="00CE599F" w:rsidRDefault="00B97C44" w:rsidP="00C5169B">
      <w:pPr>
        <w:pStyle w:val="Prrafodelista"/>
        <w:numPr>
          <w:ilvl w:val="0"/>
          <w:numId w:val="4"/>
        </w:numPr>
        <w:tabs>
          <w:tab w:val="left" w:pos="0"/>
          <w:tab w:val="left" w:pos="426"/>
        </w:tabs>
        <w:spacing w:line="360" w:lineRule="auto"/>
        <w:ind w:left="0" w:right="49" w:firstLine="0"/>
        <w:jc w:val="both"/>
        <w:rPr>
          <w:rFonts w:ascii="Palatino Linotype" w:eastAsia="MS Mincho" w:hAnsi="Palatino Linotype" w:cs="Arial"/>
          <w:iCs/>
        </w:rPr>
      </w:pPr>
      <w:r w:rsidRPr="00CE599F">
        <w:rPr>
          <w:rFonts w:ascii="Palatino Linotype" w:eastAsia="MS Mincho" w:hAnsi="Palatino Linotype" w:cs="Arial"/>
          <w:iCs/>
        </w:rPr>
        <w:lastRenderedPageBreak/>
        <w:t xml:space="preserve">Ante ello, resulta aplicable el Criterio 18/17 emitido por el Instituto Nacional de Transparencia, Acceso a la Información y Protección de Datos Personales, que a la literalidad señala: </w:t>
      </w:r>
    </w:p>
    <w:p w:rsidR="00B97C44" w:rsidRPr="00C50850" w:rsidRDefault="00B97C44" w:rsidP="00B97C44">
      <w:pPr>
        <w:pStyle w:val="Prrafodelista"/>
        <w:spacing w:line="360" w:lineRule="auto"/>
        <w:ind w:left="567" w:right="616"/>
        <w:rPr>
          <w:rFonts w:ascii="Palatino Linotype" w:eastAsia="MS Mincho" w:hAnsi="Palatino Linotype" w:cs="Arial"/>
          <w:i/>
          <w:iCs/>
        </w:rPr>
      </w:pPr>
    </w:p>
    <w:p w:rsidR="00B97C44" w:rsidRPr="00B97C44" w:rsidRDefault="00B97C44" w:rsidP="00B97C44">
      <w:pPr>
        <w:tabs>
          <w:tab w:val="left" w:pos="0"/>
          <w:tab w:val="left" w:pos="426"/>
        </w:tabs>
        <w:spacing w:line="360" w:lineRule="auto"/>
        <w:ind w:right="49"/>
        <w:jc w:val="both"/>
        <w:rPr>
          <w:rFonts w:ascii="Palatino Linotype" w:eastAsia="MS Mincho" w:hAnsi="Palatino Linotype" w:cs="Arial"/>
          <w:iCs/>
        </w:rPr>
      </w:pPr>
      <w:r w:rsidRPr="00C50850">
        <w:rPr>
          <w:rFonts w:ascii="Palatino Linotype" w:eastAsia="Calibri" w:hAnsi="Palatino Linotype" w:cs="Tahoma"/>
          <w:i/>
          <w:iCs/>
        </w:rPr>
        <w:t>“</w:t>
      </w:r>
      <w:r w:rsidRPr="00C50850">
        <w:rPr>
          <w:rFonts w:ascii="Palatino Linotype" w:eastAsia="Calibri" w:hAnsi="Palatino Linotype" w:cs="Tahoma"/>
          <w:b/>
          <w:bCs/>
          <w:i/>
          <w:iCs/>
        </w:rPr>
        <w:t xml:space="preserve">Clave Única de Registro de Población (CURP). </w:t>
      </w:r>
      <w:r w:rsidRPr="00C50850">
        <w:rPr>
          <w:rFonts w:ascii="Palatino Linotype" w:eastAsia="Calibri" w:hAnsi="Palatino Linotype" w:cs="Tahoma"/>
          <w:bCs/>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B97C44" w:rsidRPr="00321D14" w:rsidRDefault="00B97C44" w:rsidP="00C5169B">
      <w:pPr>
        <w:pStyle w:val="Ttulo1"/>
        <w:numPr>
          <w:ilvl w:val="0"/>
          <w:numId w:val="7"/>
        </w:numPr>
      </w:pPr>
      <w:bookmarkStart w:id="41" w:name="_Toc18493437"/>
      <w:bookmarkStart w:id="42" w:name="_Toc32248313"/>
      <w:r w:rsidRPr="00321D14">
        <w:t>Credencial de elector.</w:t>
      </w:r>
      <w:bookmarkEnd w:id="41"/>
      <w:bookmarkEnd w:id="42"/>
    </w:p>
    <w:p w:rsidR="00B97C44" w:rsidRDefault="00B97C44" w:rsidP="00C5169B">
      <w:pPr>
        <w:pStyle w:val="Prrafodelista"/>
        <w:numPr>
          <w:ilvl w:val="0"/>
          <w:numId w:val="4"/>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Sobre este documento, el Instituto Nacional Electoral lo conceptualiza como una </w:t>
      </w:r>
      <w:r w:rsidRPr="004A5039">
        <w:rPr>
          <w:rFonts w:ascii="Palatino Linotype" w:hAnsi="Palatino Linotype"/>
          <w:i/>
          <w:lang w:val="es-ES"/>
        </w:rPr>
        <w:t>identificación oficial que avala la ciudadanía mexicana, la emplean millones de personas para ejercer su derecho al voto en México y en el extranjero</w:t>
      </w:r>
      <w:r>
        <w:rPr>
          <w:rStyle w:val="Refdenotaalpie"/>
          <w:rFonts w:ascii="Palatino Linotype" w:hAnsi="Palatino Linotype"/>
          <w:i/>
          <w:lang w:val="es-ES"/>
        </w:rPr>
        <w:footnoteReference w:id="8"/>
      </w:r>
      <w:r>
        <w:rPr>
          <w:rFonts w:ascii="Palatino Linotype" w:hAnsi="Palatino Linotype"/>
          <w:i/>
          <w:lang w:val="es-ES"/>
        </w:rPr>
        <w:t xml:space="preserve"> </w:t>
      </w:r>
      <w:r>
        <w:rPr>
          <w:rFonts w:ascii="Palatino Linotype" w:hAnsi="Palatino Linotype"/>
          <w:lang w:val="es-ES"/>
        </w:rPr>
        <w:t>El documento cuenta con diversos datos y medidas de seguridad, siendo los siguientes:</w:t>
      </w:r>
    </w:p>
    <w:p w:rsidR="00B97C44" w:rsidRDefault="00B97C44" w:rsidP="00B97C44">
      <w:pPr>
        <w:pStyle w:val="Prrafodelista"/>
        <w:tabs>
          <w:tab w:val="left" w:pos="851"/>
        </w:tabs>
        <w:spacing w:before="240" w:after="240" w:line="360" w:lineRule="auto"/>
        <w:ind w:left="0" w:right="49"/>
        <w:jc w:val="both"/>
        <w:rPr>
          <w:rFonts w:ascii="Palatino Linotype" w:hAnsi="Palatino Linotype"/>
          <w:lang w:val="es-ES"/>
        </w:rPr>
      </w:pPr>
    </w:p>
    <w:p w:rsidR="00B97C44" w:rsidRDefault="00B97C44" w:rsidP="00B97C44">
      <w:pPr>
        <w:pStyle w:val="Prrafodelista"/>
        <w:tabs>
          <w:tab w:val="left" w:pos="851"/>
        </w:tabs>
        <w:spacing w:before="240" w:after="240" w:line="360" w:lineRule="auto"/>
        <w:ind w:left="0" w:right="49"/>
        <w:jc w:val="both"/>
        <w:rPr>
          <w:rFonts w:ascii="Palatino Linotype" w:hAnsi="Palatino Linotype"/>
          <w:lang w:val="es-ES"/>
        </w:rPr>
      </w:pPr>
      <w:r>
        <w:rPr>
          <w:noProof/>
          <w:lang w:val="es-MX" w:eastAsia="es-MX"/>
        </w:rPr>
        <w:lastRenderedPageBreak/>
        <w:drawing>
          <wp:inline distT="0" distB="0" distL="0" distR="0" wp14:anchorId="0B8D1324" wp14:editId="3E241390">
            <wp:extent cx="5503653" cy="282378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48" t="17312" r="13751" b="17838"/>
                    <a:stretch/>
                  </pic:blipFill>
                  <pic:spPr bwMode="auto">
                    <a:xfrm>
                      <a:off x="0" y="0"/>
                      <a:ext cx="5524580" cy="2834521"/>
                    </a:xfrm>
                    <a:prstGeom prst="rect">
                      <a:avLst/>
                    </a:prstGeom>
                    <a:ln>
                      <a:noFill/>
                    </a:ln>
                    <a:extLst>
                      <a:ext uri="{53640926-AAD7-44D8-BBD7-CCE9431645EC}">
                        <a14:shadowObscured xmlns:a14="http://schemas.microsoft.com/office/drawing/2010/main"/>
                      </a:ext>
                    </a:extLst>
                  </pic:spPr>
                </pic:pic>
              </a:graphicData>
            </a:graphic>
          </wp:inline>
        </w:drawing>
      </w:r>
    </w:p>
    <w:p w:rsidR="00B97C44" w:rsidRDefault="00B97C44" w:rsidP="00B97C44">
      <w:pPr>
        <w:pStyle w:val="Prrafodelista"/>
        <w:tabs>
          <w:tab w:val="left" w:pos="851"/>
        </w:tabs>
        <w:spacing w:before="240" w:after="240" w:line="360" w:lineRule="auto"/>
        <w:ind w:left="0" w:right="49"/>
        <w:jc w:val="both"/>
        <w:rPr>
          <w:rFonts w:ascii="Palatino Linotype" w:hAnsi="Palatino Linotype"/>
          <w:lang w:val="es-ES"/>
        </w:rPr>
      </w:pPr>
      <w:r>
        <w:rPr>
          <w:noProof/>
          <w:lang w:val="es-MX" w:eastAsia="es-MX"/>
        </w:rPr>
        <w:drawing>
          <wp:inline distT="0" distB="0" distL="0" distR="0" wp14:anchorId="090F453C" wp14:editId="29DFB65C">
            <wp:extent cx="5553718" cy="234637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767" t="18763" r="14662" b="26733"/>
                    <a:stretch/>
                  </pic:blipFill>
                  <pic:spPr bwMode="auto">
                    <a:xfrm>
                      <a:off x="0" y="0"/>
                      <a:ext cx="5579596" cy="2357303"/>
                    </a:xfrm>
                    <a:prstGeom prst="rect">
                      <a:avLst/>
                    </a:prstGeom>
                    <a:ln>
                      <a:noFill/>
                    </a:ln>
                    <a:extLst>
                      <a:ext uri="{53640926-AAD7-44D8-BBD7-CCE9431645EC}">
                        <a14:shadowObscured xmlns:a14="http://schemas.microsoft.com/office/drawing/2010/main"/>
                      </a:ext>
                    </a:extLst>
                  </pic:spPr>
                </pic:pic>
              </a:graphicData>
            </a:graphic>
          </wp:inline>
        </w:drawing>
      </w:r>
    </w:p>
    <w:p w:rsidR="00B97C44" w:rsidRDefault="00B97C44" w:rsidP="00B97C44">
      <w:pPr>
        <w:pStyle w:val="Prrafodelista"/>
        <w:tabs>
          <w:tab w:val="left" w:pos="851"/>
        </w:tabs>
        <w:spacing w:before="240" w:after="240" w:line="360" w:lineRule="auto"/>
        <w:ind w:left="0" w:right="49"/>
        <w:jc w:val="both"/>
        <w:rPr>
          <w:rFonts w:ascii="Palatino Linotype" w:hAnsi="Palatino Linotype"/>
          <w:lang w:val="es-ES"/>
        </w:rPr>
      </w:pPr>
    </w:p>
    <w:p w:rsidR="00B97C44" w:rsidRDefault="00B97C44" w:rsidP="00C5169B">
      <w:pPr>
        <w:pStyle w:val="Prrafodelista"/>
        <w:numPr>
          <w:ilvl w:val="0"/>
          <w:numId w:val="4"/>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Entre los datos que se destacan se encuentra el nombre, domicilio, edad, sexo, folio de nacionalidad, clave de elector, CURP y huella dactilar datos que son meramente personales y su divulgación trae consigo demás información que pudiera vulnerar la esfera más íntima de su titular si fuera difundida. Además, como se ha señalado, su uso es principalmente como documento oficial de identificación y para el ejercicio del derecho a votar. En consecuencia, al igual que </w:t>
      </w:r>
      <w:r>
        <w:rPr>
          <w:rFonts w:ascii="Palatino Linotype" w:hAnsi="Palatino Linotype"/>
          <w:lang w:val="es-ES"/>
        </w:rPr>
        <w:lastRenderedPageBreak/>
        <w:t>los documentos anteriores, deberá ser clasificado en su totalidad como confidencial, por lo que el Sujeto Obligado deberá elaborar el acuerdo de clasificación correspondiente, de acuerdo al siguiente apartado.</w:t>
      </w:r>
    </w:p>
    <w:p w:rsidR="00005E5B" w:rsidRPr="00005E5B" w:rsidRDefault="00005E5B" w:rsidP="00E75115">
      <w:pPr>
        <w:pStyle w:val="Prrafodelista"/>
        <w:spacing w:before="240" w:after="240" w:line="360" w:lineRule="auto"/>
        <w:ind w:left="0"/>
        <w:jc w:val="both"/>
        <w:rPr>
          <w:rFonts w:ascii="Palatino Linotype" w:hAnsi="Palatino Linotype" w:cs="Arial"/>
        </w:rPr>
      </w:pPr>
    </w:p>
    <w:p w:rsidR="00554DF4" w:rsidRDefault="00554DF4" w:rsidP="00587D80">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color w:val="000000"/>
          <w:lang w:val="es-ES" w:eastAsia="es-MX"/>
        </w:rPr>
        <w:t xml:space="preserve">Por lo anteriormente expuesto y fundado, este </w:t>
      </w:r>
      <w:r>
        <w:rPr>
          <w:rFonts w:ascii="Palatino Linotype" w:hAnsi="Palatino Linotype"/>
          <w:b/>
          <w:bCs/>
          <w:color w:val="000000"/>
          <w:lang w:val="es-ES" w:eastAsia="es-MX"/>
        </w:rPr>
        <w:t>ÓRGANO GARANTE</w:t>
      </w:r>
      <w:r>
        <w:rPr>
          <w:rFonts w:ascii="Palatino Linotype" w:hAnsi="Palatino Linotype"/>
          <w:color w:val="000000"/>
          <w:lang w:val="es-ES" w:eastAsia="es-MX"/>
        </w:rPr>
        <w:t xml:space="preserve"> emite los siguientes:</w:t>
      </w:r>
    </w:p>
    <w:p w:rsidR="00554DF4" w:rsidRDefault="00554DF4" w:rsidP="00554DF4">
      <w:pPr>
        <w:keepNext/>
        <w:keepLines/>
        <w:spacing w:line="360" w:lineRule="auto"/>
        <w:jc w:val="center"/>
        <w:outlineLvl w:val="0"/>
        <w:rPr>
          <w:rFonts w:ascii="Palatino Linotype" w:eastAsia="Times New Roman" w:hAnsi="Palatino Linotype" w:cstheme="majorBidi"/>
          <w:b/>
          <w:bCs/>
        </w:rPr>
      </w:pPr>
      <w:bookmarkStart w:id="43" w:name="_Toc486525261"/>
      <w:bookmarkStart w:id="44" w:name="_Toc445745148"/>
      <w:bookmarkStart w:id="45" w:name="_Toc447699324"/>
      <w:bookmarkStart w:id="46" w:name="_Toc32248314"/>
      <w:r>
        <w:rPr>
          <w:rFonts w:ascii="Palatino Linotype" w:eastAsia="Times New Roman" w:hAnsi="Palatino Linotype" w:cstheme="majorBidi"/>
          <w:b/>
          <w:bCs/>
        </w:rPr>
        <w:t>R E S O L U T I V O S</w:t>
      </w:r>
      <w:bookmarkEnd w:id="43"/>
      <w:bookmarkEnd w:id="44"/>
      <w:bookmarkEnd w:id="45"/>
      <w:bookmarkEnd w:id="46"/>
    </w:p>
    <w:p w:rsidR="00554DF4" w:rsidRDefault="00554DF4" w:rsidP="00554DF4">
      <w:pPr>
        <w:keepNext/>
        <w:keepLines/>
        <w:spacing w:line="360" w:lineRule="auto"/>
        <w:jc w:val="center"/>
        <w:outlineLvl w:val="0"/>
        <w:rPr>
          <w:rFonts w:ascii="Palatino Linotype" w:eastAsia="Times New Roman" w:hAnsi="Palatino Linotype" w:cstheme="majorBidi"/>
          <w:b/>
          <w:bCs/>
        </w:rPr>
      </w:pPr>
    </w:p>
    <w:p w:rsidR="00554DF4" w:rsidRDefault="00554DF4" w:rsidP="00554DF4">
      <w:pPr>
        <w:pStyle w:val="Prrafodelista"/>
        <w:widowControl w:val="0"/>
        <w:tabs>
          <w:tab w:val="left" w:pos="1701"/>
        </w:tabs>
        <w:autoSpaceDE w:val="0"/>
        <w:autoSpaceDN w:val="0"/>
        <w:adjustRightInd w:val="0"/>
        <w:spacing w:before="120" w:line="360" w:lineRule="auto"/>
        <w:ind w:left="0"/>
        <w:jc w:val="both"/>
        <w:rPr>
          <w:rFonts w:ascii="Palatino Linotype" w:hAnsi="Palatino Linotype" w:cs="Arial"/>
        </w:rPr>
      </w:pPr>
      <w:bookmarkStart w:id="47" w:name="_Toc460947011"/>
      <w:bookmarkStart w:id="48" w:name="_Toc450120669"/>
      <w:bookmarkEnd w:id="12"/>
      <w:bookmarkEnd w:id="13"/>
      <w:bookmarkEnd w:id="14"/>
      <w:r>
        <w:rPr>
          <w:rFonts w:ascii="Palatino Linotype" w:eastAsia="Times New Roman" w:hAnsi="Palatino Linotype" w:cs="Arial"/>
          <w:b/>
        </w:rPr>
        <w:t xml:space="preserve">PRIMERO. </w:t>
      </w:r>
      <w:r>
        <w:rPr>
          <w:rFonts w:ascii="Palatino Linotype" w:hAnsi="Palatino Linotype"/>
        </w:rPr>
        <w:t xml:space="preserve">Resultan fundadas las razones y motivos de inconformidad hechos valer en el recurso de revisión </w:t>
      </w:r>
      <w:r>
        <w:rPr>
          <w:rFonts w:ascii="Palatino Linotype" w:hAnsi="Palatino Linotype"/>
          <w:b/>
        </w:rPr>
        <w:t>0</w:t>
      </w:r>
      <w:r w:rsidR="00883837">
        <w:rPr>
          <w:rFonts w:ascii="Palatino Linotype" w:hAnsi="Palatino Linotype" w:cs="Arial"/>
          <w:b/>
          <w:bCs/>
          <w:szCs w:val="22"/>
          <w:lang w:eastAsia="es-MX"/>
        </w:rPr>
        <w:t>8</w:t>
      </w:r>
      <w:r w:rsidR="00A109E3">
        <w:rPr>
          <w:rFonts w:ascii="Palatino Linotype" w:hAnsi="Palatino Linotype" w:cs="Arial"/>
          <w:b/>
          <w:bCs/>
          <w:szCs w:val="22"/>
          <w:lang w:eastAsia="es-MX"/>
        </w:rPr>
        <w:t>743</w:t>
      </w:r>
      <w:r>
        <w:rPr>
          <w:rFonts w:ascii="Palatino Linotype" w:hAnsi="Palatino Linotype"/>
          <w:b/>
        </w:rPr>
        <w:t xml:space="preserve">/INFOEM/IP/RR/2019 </w:t>
      </w:r>
      <w:r>
        <w:rPr>
          <w:rFonts w:ascii="Palatino Linotype" w:hAnsi="Palatino Linotype"/>
        </w:rPr>
        <w:t>en términos de los considerandos</w:t>
      </w:r>
      <w:r>
        <w:rPr>
          <w:rFonts w:ascii="Palatino Linotype" w:hAnsi="Palatino Linotype"/>
          <w:b/>
        </w:rPr>
        <w:t xml:space="preserve"> CUARTO </w:t>
      </w:r>
      <w:r w:rsidR="00ED430A">
        <w:rPr>
          <w:rFonts w:ascii="Palatino Linotype" w:hAnsi="Palatino Linotype"/>
          <w:b/>
        </w:rPr>
        <w:t xml:space="preserve">y QUINTO </w:t>
      </w:r>
      <w:r>
        <w:rPr>
          <w:rFonts w:ascii="Palatino Linotype" w:hAnsi="Palatino Linotype"/>
        </w:rPr>
        <w:t>de la presente resolución.</w:t>
      </w:r>
    </w:p>
    <w:p w:rsidR="00554DF4" w:rsidRPr="001F02A3" w:rsidRDefault="00554DF4" w:rsidP="00554DF4">
      <w:pPr>
        <w:spacing w:before="240" w:after="360" w:line="360" w:lineRule="auto"/>
        <w:jc w:val="both"/>
        <w:rPr>
          <w:rStyle w:val="Ttulo2Car"/>
          <w:rFonts w:ascii="Palatino Linotype" w:hAnsi="Palatino Linotype"/>
          <w:color w:val="000000" w:themeColor="text1"/>
          <w:sz w:val="24"/>
          <w:szCs w:val="24"/>
        </w:rPr>
      </w:pPr>
      <w:bookmarkStart w:id="49" w:name="_Toc504377974"/>
      <w:bookmarkStart w:id="50" w:name="_Toc499757020"/>
      <w:bookmarkStart w:id="51" w:name="_Toc499756977"/>
      <w:bookmarkStart w:id="52" w:name="_Toc496100166"/>
      <w:bookmarkStart w:id="53" w:name="_Toc496099789"/>
      <w:bookmarkStart w:id="54" w:name="_Toc462228129"/>
      <w:bookmarkStart w:id="55" w:name="_Toc462228049"/>
      <w:bookmarkStart w:id="56" w:name="_Toc461648682"/>
      <w:bookmarkStart w:id="57" w:name="_Toc461648590"/>
      <w:r w:rsidRPr="001F02A3">
        <w:rPr>
          <w:rFonts w:ascii="Palatino Linotype" w:eastAsia="Times New Roman" w:hAnsi="Palatino Linotype" w:cs="Arial"/>
          <w:b/>
        </w:rPr>
        <w:t>SEGUNDO.</w:t>
      </w:r>
      <w:bookmarkEnd w:id="49"/>
      <w:bookmarkEnd w:id="50"/>
      <w:bookmarkEnd w:id="51"/>
      <w:bookmarkEnd w:id="52"/>
      <w:bookmarkEnd w:id="53"/>
      <w:bookmarkEnd w:id="54"/>
      <w:bookmarkEnd w:id="55"/>
      <w:bookmarkEnd w:id="56"/>
      <w:bookmarkEnd w:id="57"/>
      <w:r w:rsidRPr="001F02A3">
        <w:rPr>
          <w:rStyle w:val="Ttulo2Car"/>
          <w:rFonts w:ascii="Palatino Linotype" w:hAnsi="Palatino Linotype"/>
          <w:b/>
          <w:color w:val="000000" w:themeColor="text1"/>
          <w:sz w:val="24"/>
          <w:szCs w:val="24"/>
        </w:rPr>
        <w:t xml:space="preserve"> Se </w:t>
      </w:r>
      <w:r w:rsidR="00B5288F">
        <w:rPr>
          <w:rStyle w:val="Ttulo2Car"/>
          <w:rFonts w:ascii="Palatino Linotype" w:hAnsi="Palatino Linotype"/>
          <w:b/>
          <w:color w:val="000000" w:themeColor="text1"/>
          <w:sz w:val="24"/>
          <w:szCs w:val="24"/>
        </w:rPr>
        <w:t xml:space="preserve">REVOCA </w:t>
      </w:r>
      <w:r w:rsidRPr="001F02A3">
        <w:rPr>
          <w:rStyle w:val="Ttulo2Car"/>
          <w:rFonts w:ascii="Palatino Linotype" w:hAnsi="Palatino Linotype"/>
          <w:color w:val="000000" w:themeColor="text1"/>
          <w:sz w:val="24"/>
          <w:szCs w:val="24"/>
        </w:rPr>
        <w:t>la respuesta emitida por el</w:t>
      </w:r>
      <w:r w:rsidRPr="001F02A3">
        <w:rPr>
          <w:rStyle w:val="Ttulo2Car"/>
          <w:rFonts w:ascii="Palatino Linotype" w:hAnsi="Palatino Linotype"/>
          <w:b/>
          <w:color w:val="000000" w:themeColor="text1"/>
          <w:sz w:val="24"/>
          <w:szCs w:val="24"/>
        </w:rPr>
        <w:t xml:space="preserve"> </w:t>
      </w:r>
      <w:r w:rsidR="00F76C2F" w:rsidRPr="001F02A3">
        <w:rPr>
          <w:rFonts w:ascii="Palatino Linotype" w:hAnsi="Palatino Linotype"/>
          <w:b/>
          <w:bCs/>
        </w:rPr>
        <w:t xml:space="preserve">Ayuntamiento de </w:t>
      </w:r>
      <w:r w:rsidR="00A109E3" w:rsidRPr="00A109E3">
        <w:rPr>
          <w:rFonts w:ascii="Palatino Linotype" w:hAnsi="Palatino Linotype"/>
          <w:b/>
          <w:bCs/>
          <w:szCs w:val="22"/>
        </w:rPr>
        <w:t>San José del Rincón</w:t>
      </w:r>
      <w:r w:rsidR="00883837" w:rsidRPr="001F02A3">
        <w:rPr>
          <w:rStyle w:val="Ttulo2Car"/>
          <w:rFonts w:ascii="Palatino Linotype" w:hAnsi="Palatino Linotype"/>
          <w:color w:val="000000" w:themeColor="text1"/>
          <w:sz w:val="24"/>
          <w:szCs w:val="24"/>
        </w:rPr>
        <w:t xml:space="preserve"> </w:t>
      </w:r>
      <w:r w:rsidRPr="001F02A3">
        <w:rPr>
          <w:rStyle w:val="Ttulo2Car"/>
          <w:rFonts w:ascii="Palatino Linotype" w:hAnsi="Palatino Linotype"/>
          <w:color w:val="000000" w:themeColor="text1"/>
          <w:sz w:val="24"/>
          <w:szCs w:val="24"/>
        </w:rPr>
        <w:t>y se</w:t>
      </w:r>
      <w:r w:rsidRPr="001F02A3">
        <w:rPr>
          <w:rStyle w:val="Ttulo2Car"/>
          <w:rFonts w:ascii="Palatino Linotype" w:hAnsi="Palatino Linotype"/>
          <w:b/>
          <w:color w:val="000000" w:themeColor="text1"/>
          <w:sz w:val="24"/>
          <w:szCs w:val="24"/>
        </w:rPr>
        <w:t xml:space="preserve"> ORDENA </w:t>
      </w:r>
      <w:r w:rsidR="00827373" w:rsidRPr="001F02A3">
        <w:rPr>
          <w:rStyle w:val="Ttulo2Car"/>
          <w:rFonts w:ascii="Palatino Linotype" w:hAnsi="Palatino Linotype"/>
          <w:color w:val="000000" w:themeColor="text1"/>
          <w:sz w:val="24"/>
          <w:szCs w:val="24"/>
        </w:rPr>
        <w:t xml:space="preserve">entregar </w:t>
      </w:r>
      <w:r w:rsidR="00ED430A" w:rsidRPr="001F02A3">
        <w:rPr>
          <w:rStyle w:val="Ttulo2Car"/>
          <w:rFonts w:ascii="Palatino Linotype" w:hAnsi="Palatino Linotype"/>
          <w:color w:val="000000" w:themeColor="text1"/>
          <w:sz w:val="24"/>
          <w:szCs w:val="24"/>
        </w:rPr>
        <w:t>vía Sistema de Acceso a la Información Mexiqu</w:t>
      </w:r>
      <w:r w:rsidR="001F02A3">
        <w:rPr>
          <w:rStyle w:val="Ttulo2Car"/>
          <w:rFonts w:ascii="Palatino Linotype" w:hAnsi="Palatino Linotype"/>
          <w:color w:val="000000" w:themeColor="text1"/>
          <w:sz w:val="24"/>
          <w:szCs w:val="24"/>
        </w:rPr>
        <w:t>ense (SAIMEX),</w:t>
      </w:r>
      <w:r w:rsidR="00DF3A22">
        <w:rPr>
          <w:rStyle w:val="Ttulo2Car"/>
          <w:rFonts w:ascii="Palatino Linotype" w:hAnsi="Palatino Linotype"/>
          <w:color w:val="000000" w:themeColor="text1"/>
          <w:sz w:val="24"/>
          <w:szCs w:val="24"/>
        </w:rPr>
        <w:t xml:space="preserve"> </w:t>
      </w:r>
      <w:r w:rsidR="00B5288F">
        <w:rPr>
          <w:rStyle w:val="Ttulo2Car"/>
          <w:rFonts w:ascii="Palatino Linotype" w:hAnsi="Palatino Linotype"/>
          <w:color w:val="000000" w:themeColor="text1"/>
          <w:sz w:val="24"/>
          <w:szCs w:val="24"/>
        </w:rPr>
        <w:t xml:space="preserve">de ser el caso </w:t>
      </w:r>
      <w:r w:rsidR="00DF3A22">
        <w:rPr>
          <w:rStyle w:val="Ttulo2Car"/>
          <w:rFonts w:ascii="Palatino Linotype" w:hAnsi="Palatino Linotype"/>
          <w:color w:val="000000" w:themeColor="text1"/>
          <w:sz w:val="24"/>
          <w:szCs w:val="24"/>
        </w:rPr>
        <w:t>en versión pública,</w:t>
      </w:r>
      <w:r w:rsidR="001F02A3">
        <w:rPr>
          <w:rStyle w:val="Ttulo2Car"/>
          <w:rFonts w:ascii="Palatino Linotype" w:hAnsi="Palatino Linotype"/>
          <w:color w:val="000000" w:themeColor="text1"/>
          <w:sz w:val="24"/>
          <w:szCs w:val="24"/>
        </w:rPr>
        <w:t xml:space="preserve"> </w:t>
      </w:r>
      <w:r w:rsidR="00B5288F">
        <w:rPr>
          <w:rStyle w:val="Ttulo2Car"/>
          <w:rFonts w:ascii="Palatino Linotype" w:hAnsi="Palatino Linotype"/>
          <w:color w:val="000000" w:themeColor="text1"/>
          <w:sz w:val="24"/>
          <w:szCs w:val="24"/>
        </w:rPr>
        <w:t xml:space="preserve">de las obras señaladas en la solicitud </w:t>
      </w:r>
      <w:r w:rsidR="00B5288F" w:rsidRPr="00B5288F">
        <w:rPr>
          <w:rStyle w:val="Ttulo2Car"/>
          <w:rFonts w:ascii="Palatino Linotype" w:hAnsi="Palatino Linotype"/>
          <w:b/>
          <w:color w:val="000000" w:themeColor="text1"/>
          <w:sz w:val="24"/>
          <w:szCs w:val="24"/>
        </w:rPr>
        <w:t>00104/JOSERIN/2019</w:t>
      </w:r>
      <w:r w:rsidR="00B5288F">
        <w:rPr>
          <w:rStyle w:val="Ttulo2Car"/>
          <w:rFonts w:ascii="Palatino Linotype" w:hAnsi="Palatino Linotype"/>
          <w:color w:val="000000" w:themeColor="text1"/>
          <w:sz w:val="24"/>
          <w:szCs w:val="24"/>
        </w:rPr>
        <w:t xml:space="preserve">, </w:t>
      </w:r>
      <w:r w:rsidRPr="001F02A3">
        <w:rPr>
          <w:rStyle w:val="Ttulo2Car"/>
          <w:rFonts w:ascii="Palatino Linotype" w:hAnsi="Palatino Linotype"/>
          <w:color w:val="000000" w:themeColor="text1"/>
          <w:sz w:val="24"/>
          <w:szCs w:val="24"/>
        </w:rPr>
        <w:t>lo siguiente:</w:t>
      </w:r>
    </w:p>
    <w:p w:rsidR="00B5288F" w:rsidRPr="00B5288F" w:rsidRDefault="00B5288F" w:rsidP="00B5288F">
      <w:pPr>
        <w:pStyle w:val="Prrafodelista"/>
        <w:numPr>
          <w:ilvl w:val="0"/>
          <w:numId w:val="3"/>
        </w:numPr>
        <w:spacing w:line="360" w:lineRule="auto"/>
        <w:jc w:val="both"/>
        <w:rPr>
          <w:rFonts w:ascii="Palatino Linotype" w:hAnsi="Palatino Linotype" w:cs="Arial"/>
          <w:b/>
        </w:rPr>
      </w:pPr>
      <w:bookmarkStart w:id="58" w:name="_Toc29491355"/>
      <w:r w:rsidRPr="00B5288F">
        <w:rPr>
          <w:rFonts w:ascii="Palatino Linotype" w:hAnsi="Palatino Linotype" w:cs="Arial"/>
          <w:b/>
        </w:rPr>
        <w:t>Dictámenes técnicos del fallo de la adjudicación;</w:t>
      </w:r>
    </w:p>
    <w:p w:rsidR="00B5288F" w:rsidRPr="00B5288F" w:rsidRDefault="00B5288F" w:rsidP="00B5288F">
      <w:pPr>
        <w:pStyle w:val="Prrafodelista"/>
        <w:numPr>
          <w:ilvl w:val="0"/>
          <w:numId w:val="3"/>
        </w:numPr>
        <w:spacing w:line="360" w:lineRule="auto"/>
        <w:jc w:val="both"/>
        <w:rPr>
          <w:rFonts w:ascii="Palatino Linotype" w:hAnsi="Palatino Linotype" w:cs="Arial"/>
          <w:b/>
        </w:rPr>
      </w:pPr>
      <w:r w:rsidRPr="00B5288F">
        <w:rPr>
          <w:rFonts w:ascii="Palatino Linotype" w:hAnsi="Palatino Linotype" w:cs="Arial"/>
          <w:b/>
        </w:rPr>
        <w:t>Mecanismos de vigilancia y supervisión, incluidos los estudios de impacto urbano y ambiental;</w:t>
      </w:r>
    </w:p>
    <w:p w:rsidR="00B5288F" w:rsidRPr="00B5288F" w:rsidRDefault="00B5288F" w:rsidP="00B5288F">
      <w:pPr>
        <w:pStyle w:val="Prrafodelista"/>
        <w:numPr>
          <w:ilvl w:val="0"/>
          <w:numId w:val="3"/>
        </w:numPr>
        <w:spacing w:line="360" w:lineRule="auto"/>
        <w:jc w:val="both"/>
        <w:rPr>
          <w:rFonts w:ascii="Palatino Linotype" w:hAnsi="Palatino Linotype" w:cs="Arial"/>
          <w:b/>
        </w:rPr>
      </w:pPr>
      <w:r w:rsidRPr="00B5288F">
        <w:rPr>
          <w:rFonts w:ascii="Palatino Linotype" w:hAnsi="Palatino Linotype" w:cs="Arial"/>
          <w:b/>
        </w:rPr>
        <w:t>Partida presupuestal;</w:t>
      </w:r>
    </w:p>
    <w:p w:rsidR="00B5288F" w:rsidRPr="00B5288F" w:rsidRDefault="00B5288F" w:rsidP="00B5288F">
      <w:pPr>
        <w:pStyle w:val="Prrafodelista"/>
        <w:numPr>
          <w:ilvl w:val="0"/>
          <w:numId w:val="3"/>
        </w:numPr>
        <w:spacing w:line="360" w:lineRule="auto"/>
        <w:jc w:val="both"/>
        <w:rPr>
          <w:rFonts w:ascii="Palatino Linotype" w:hAnsi="Palatino Linotype" w:cs="Arial"/>
          <w:b/>
        </w:rPr>
      </w:pPr>
      <w:r w:rsidRPr="00B5288F">
        <w:rPr>
          <w:rFonts w:ascii="Palatino Linotype" w:hAnsi="Palatino Linotype" w:cs="Arial"/>
          <w:b/>
        </w:rPr>
        <w:t>Convenios modificatorios en monto y plazo, donde se aprecien las firmas y la fecha de celebración;</w:t>
      </w:r>
    </w:p>
    <w:p w:rsidR="00B5288F" w:rsidRPr="00B5288F" w:rsidRDefault="00B5288F" w:rsidP="00B5288F">
      <w:pPr>
        <w:pStyle w:val="Prrafodelista"/>
        <w:numPr>
          <w:ilvl w:val="0"/>
          <w:numId w:val="3"/>
        </w:numPr>
        <w:spacing w:line="360" w:lineRule="auto"/>
        <w:jc w:val="both"/>
        <w:rPr>
          <w:rFonts w:ascii="Palatino Linotype" w:hAnsi="Palatino Linotype" w:cs="Arial"/>
          <w:b/>
        </w:rPr>
      </w:pPr>
      <w:r w:rsidRPr="00B5288F">
        <w:rPr>
          <w:rFonts w:ascii="Palatino Linotype" w:hAnsi="Palatino Linotype" w:cs="Arial"/>
          <w:b/>
        </w:rPr>
        <w:t xml:space="preserve">Informes de avance físico y financiero; </w:t>
      </w:r>
    </w:p>
    <w:p w:rsidR="00B5288F" w:rsidRPr="00B5288F" w:rsidRDefault="00B5288F" w:rsidP="00B5288F">
      <w:pPr>
        <w:pStyle w:val="Prrafodelista"/>
        <w:numPr>
          <w:ilvl w:val="0"/>
          <w:numId w:val="3"/>
        </w:numPr>
        <w:spacing w:line="360" w:lineRule="auto"/>
        <w:jc w:val="both"/>
        <w:rPr>
          <w:rFonts w:ascii="Palatino Linotype" w:hAnsi="Palatino Linotype" w:cs="Arial"/>
          <w:b/>
        </w:rPr>
      </w:pPr>
      <w:r w:rsidRPr="00B5288F">
        <w:rPr>
          <w:rFonts w:ascii="Palatino Linotype" w:hAnsi="Palatino Linotype" w:cs="Arial"/>
          <w:b/>
        </w:rPr>
        <w:lastRenderedPageBreak/>
        <w:t>Actas de entrega recepción, finiquito y extinción de derechos y obligaciones; y</w:t>
      </w:r>
    </w:p>
    <w:p w:rsidR="00B5288F" w:rsidRDefault="00B5288F" w:rsidP="00B5288F">
      <w:pPr>
        <w:pStyle w:val="Prrafodelista"/>
        <w:numPr>
          <w:ilvl w:val="0"/>
          <w:numId w:val="3"/>
        </w:numPr>
        <w:spacing w:line="360" w:lineRule="auto"/>
        <w:jc w:val="both"/>
        <w:rPr>
          <w:rFonts w:ascii="Palatino Linotype" w:hAnsi="Palatino Linotype" w:cs="Arial"/>
          <w:b/>
        </w:rPr>
      </w:pPr>
      <w:r w:rsidRPr="00B5288F">
        <w:rPr>
          <w:rFonts w:ascii="Palatino Linotype" w:hAnsi="Palatino Linotype" w:cs="Arial"/>
          <w:b/>
        </w:rPr>
        <w:t>Propuestas técnicas y económicas del licitante ganador.</w:t>
      </w:r>
    </w:p>
    <w:p w:rsidR="00B5288F" w:rsidRPr="00B5288F" w:rsidRDefault="00B5288F" w:rsidP="00B5288F">
      <w:pPr>
        <w:pStyle w:val="Prrafodelista"/>
        <w:spacing w:line="360" w:lineRule="auto"/>
        <w:jc w:val="both"/>
        <w:rPr>
          <w:rFonts w:ascii="Palatino Linotype" w:hAnsi="Palatino Linotype" w:cs="Arial"/>
          <w:b/>
        </w:rPr>
      </w:pPr>
    </w:p>
    <w:bookmarkEnd w:id="58"/>
    <w:p w:rsidR="00DF3A22" w:rsidRDefault="00DF3A22" w:rsidP="00DF3A22">
      <w:pPr>
        <w:spacing w:line="360" w:lineRule="auto"/>
        <w:jc w:val="both"/>
        <w:rPr>
          <w:rFonts w:ascii="Palatino Linotype" w:eastAsia="Calibri" w:hAnsi="Palatino Linotype" w:cs="Arial"/>
        </w:rPr>
      </w:pPr>
      <w:r w:rsidRPr="00DF3A22">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FA6777">
        <w:rPr>
          <w:rFonts w:ascii="Palatino Linotype" w:eastAsia="Calibri" w:hAnsi="Palatino Linotype" w:cs="Arial"/>
        </w:rPr>
        <w:t>siones públicas que se formulen y se pongan a disposición del RECURRENTE.</w:t>
      </w:r>
    </w:p>
    <w:p w:rsidR="00B04311" w:rsidRDefault="00B04311" w:rsidP="00DF3A22">
      <w:pPr>
        <w:spacing w:line="360" w:lineRule="auto"/>
        <w:jc w:val="both"/>
        <w:rPr>
          <w:rFonts w:ascii="Palatino Linotype" w:eastAsia="Calibri" w:hAnsi="Palatino Linotype" w:cs="Arial"/>
        </w:rPr>
      </w:pPr>
    </w:p>
    <w:p w:rsidR="00554DF4" w:rsidRDefault="00554DF4" w:rsidP="00554DF4">
      <w:pPr>
        <w:tabs>
          <w:tab w:val="left" w:pos="8080"/>
        </w:tabs>
        <w:spacing w:line="360" w:lineRule="auto"/>
        <w:ind w:right="49"/>
        <w:contextualSpacing/>
        <w:jc w:val="both"/>
        <w:rPr>
          <w:rFonts w:ascii="Palatino Linotype" w:hAnsi="Palatino Linotype"/>
          <w:color w:val="222222"/>
          <w:shd w:val="clear" w:color="auto" w:fill="FFFFFF"/>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554DF4" w:rsidRDefault="00554DF4" w:rsidP="00554DF4">
      <w:pPr>
        <w:tabs>
          <w:tab w:val="left" w:pos="8080"/>
        </w:tabs>
        <w:spacing w:line="360" w:lineRule="auto"/>
        <w:ind w:right="49"/>
        <w:contextualSpacing/>
        <w:jc w:val="both"/>
        <w:rPr>
          <w:rFonts w:ascii="Palatino Linotype" w:eastAsia="Palatino Linotype" w:hAnsi="Palatino Linotype" w:cs="Palatino Linotype"/>
          <w:b/>
        </w:rPr>
      </w:pPr>
    </w:p>
    <w:p w:rsidR="00554DF4" w:rsidRDefault="00554DF4" w:rsidP="00554DF4">
      <w:pPr>
        <w:spacing w:line="360" w:lineRule="auto"/>
        <w:jc w:val="both"/>
        <w:rPr>
          <w:rFonts w:ascii="Palatino Linotype" w:hAnsi="Palatino Linotype"/>
        </w:rPr>
      </w:pPr>
      <w:bookmarkStart w:id="59" w:name="_Toc460947013"/>
      <w:bookmarkEnd w:id="47"/>
      <w:bookmarkEnd w:id="48"/>
      <w:r>
        <w:rPr>
          <w:rFonts w:ascii="Palatino Linotype" w:eastAsia="Times New Roman" w:hAnsi="Palatino Linotype" w:cs="Arial"/>
          <w:b/>
        </w:rPr>
        <w:t xml:space="preserve">CUARTO. </w:t>
      </w:r>
      <w:r>
        <w:rPr>
          <w:rFonts w:ascii="Palatino Linotype" w:eastAsia="Times New Roman" w:hAnsi="Palatino Linotype" w:cs="Times New Roman"/>
          <w:b/>
          <w:bCs/>
          <w:color w:val="222222"/>
          <w:lang w:val="es-ES"/>
        </w:rPr>
        <w:t xml:space="preserve">Notifíquese a </w:t>
      </w:r>
      <w:r w:rsidR="00794E7A" w:rsidRPr="00794E7A">
        <w:rPr>
          <w:rFonts w:ascii="Palatino Linotype" w:hAnsi="Palatino Linotype"/>
          <w:b/>
          <w:szCs w:val="22"/>
          <w:highlight w:val="black"/>
        </w:rPr>
        <w:t>-----------------------------------------------</w:t>
      </w:r>
      <w:r w:rsidR="00A109E3" w:rsidRPr="00A109E3">
        <w:rPr>
          <w:rFonts w:ascii="Palatino Linotype" w:hAnsi="Palatino Linotype"/>
          <w:sz w:val="28"/>
        </w:rPr>
        <w:t xml:space="preserve"> </w:t>
      </w:r>
      <w:r>
        <w:rPr>
          <w:rFonts w:ascii="Palatino Linotype" w:hAnsi="Palatino Linotype"/>
        </w:rPr>
        <w:t>la presente resolución</w:t>
      </w:r>
      <w:r w:rsidR="00B5288F">
        <w:rPr>
          <w:rFonts w:ascii="Palatino Linotype" w:hAnsi="Palatino Linotype"/>
        </w:rPr>
        <w:t>.</w:t>
      </w:r>
    </w:p>
    <w:p w:rsidR="00554DF4" w:rsidRDefault="00554DF4" w:rsidP="00554DF4">
      <w:pPr>
        <w:spacing w:line="360" w:lineRule="auto"/>
        <w:jc w:val="both"/>
        <w:rPr>
          <w:rFonts w:ascii="Palatino Linotype" w:hAnsi="Palatino Linotype"/>
        </w:rPr>
      </w:pPr>
    </w:p>
    <w:bookmarkEnd w:id="59"/>
    <w:p w:rsidR="00554DF4" w:rsidRDefault="00554DF4" w:rsidP="00554DF4">
      <w:pPr>
        <w:spacing w:line="360" w:lineRule="auto"/>
        <w:jc w:val="both"/>
        <w:rPr>
          <w:rFonts w:ascii="Palatino Linotype" w:eastAsia="MS Mincho" w:hAnsi="Palatino Linotype" w:cs="Times New Roman"/>
          <w:lang w:val="es-ES"/>
        </w:rPr>
      </w:pPr>
      <w:r>
        <w:rPr>
          <w:rFonts w:ascii="Palatino Linotype" w:eastAsia="MS Mincho" w:hAnsi="Palatino Linotype" w:cs="Times New Roman"/>
          <w:b/>
          <w:lang w:val="es-MX"/>
        </w:rPr>
        <w:t>QUINTO.</w:t>
      </w:r>
      <w:r>
        <w:rPr>
          <w:rFonts w:ascii="Palatino Linotype" w:eastAsia="MS Mincho" w:hAnsi="Palatino Linotype" w:cs="Times New Roman"/>
          <w:lang w:val="es-MX"/>
        </w:rPr>
        <w:t xml:space="preserve"> </w:t>
      </w:r>
      <w:r>
        <w:rPr>
          <w:rFonts w:ascii="Palatino Linotype" w:eastAsia="MS Mincho" w:hAnsi="Palatino Linotype" w:cs="Times New Roman"/>
          <w:lang w:val="es-ES"/>
        </w:rPr>
        <w:t xml:space="preserve">Se hace del conocimiento del </w:t>
      </w:r>
      <w:r w:rsidR="00794E7A" w:rsidRPr="00794E7A">
        <w:rPr>
          <w:rFonts w:ascii="Palatino Linotype" w:hAnsi="Palatino Linotype"/>
          <w:b/>
          <w:szCs w:val="22"/>
          <w:highlight w:val="black"/>
        </w:rPr>
        <w:t>------------------------------------------------------</w:t>
      </w:r>
      <w:r w:rsidR="00A109E3" w:rsidRPr="00A109E3">
        <w:rPr>
          <w:rFonts w:ascii="Palatino Linotype" w:hAnsi="Palatino Linotype"/>
          <w:sz w:val="28"/>
        </w:rPr>
        <w:t xml:space="preserve"> </w:t>
      </w:r>
      <w:r>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w:t>
      </w:r>
      <w:r>
        <w:rPr>
          <w:rFonts w:ascii="Palatino Linotype" w:eastAsia="MS Mincho" w:hAnsi="Palatino Linotype" w:cs="Times New Roman"/>
          <w:lang w:val="es-ES"/>
        </w:rPr>
        <w:lastRenderedPageBreak/>
        <w:t>que considere que la resolución le cause algún perjuicio podrá impugnarla </w:t>
      </w:r>
      <w:r>
        <w:rPr>
          <w:rFonts w:ascii="Palatino Linotype" w:eastAsia="MS Mincho" w:hAnsi="Palatino Linotype" w:cs="Times New Roman"/>
          <w:bCs/>
          <w:lang w:val="es-ES"/>
        </w:rPr>
        <w:t>vía juicio de amparo</w:t>
      </w:r>
      <w:r>
        <w:rPr>
          <w:rFonts w:ascii="Palatino Linotype" w:eastAsia="MS Mincho" w:hAnsi="Palatino Linotype" w:cs="Times New Roman"/>
          <w:lang w:val="es-ES"/>
        </w:rPr>
        <w:t> en los términos de las leyes aplicables.</w:t>
      </w:r>
    </w:p>
    <w:p w:rsidR="00C11FEA" w:rsidRDefault="00C11FEA" w:rsidP="00554DF4">
      <w:pPr>
        <w:spacing w:line="360" w:lineRule="auto"/>
        <w:jc w:val="both"/>
        <w:rPr>
          <w:rFonts w:ascii="Palatino Linotype" w:eastAsia="MS Mincho" w:hAnsi="Palatino Linotype" w:cs="Times New Roman"/>
          <w:lang w:val="es-ES"/>
        </w:rPr>
      </w:pPr>
    </w:p>
    <w:p w:rsidR="003354E1" w:rsidRPr="001D73B7" w:rsidRDefault="003354E1" w:rsidP="003354E1">
      <w:pPr>
        <w:shd w:val="clear" w:color="auto" w:fill="FFFFFF"/>
        <w:spacing w:line="360" w:lineRule="auto"/>
        <w:jc w:val="both"/>
        <w:rPr>
          <w:rFonts w:ascii="Palatino Linotype" w:hAnsi="Palatino Linotype"/>
        </w:rPr>
      </w:pPr>
      <w:r w:rsidRPr="001D73B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CUARTA SESIÓN ORDINARIA CELEBRADA EL SEIS (06) DE FEBRERO DE DOS MIL VEINTE, ANTE EL SECRETARIO TÉCNICO DEL PLENO ALEXIS TAPIA RAMÍREZ.</w:t>
      </w:r>
    </w:p>
    <w:p w:rsidR="003354E1" w:rsidRPr="001D73B7" w:rsidRDefault="003354E1" w:rsidP="003354E1">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3354E1" w:rsidRPr="001D73B7" w:rsidTr="00300E76">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3354E1" w:rsidRPr="001D73B7" w:rsidTr="00300E76">
              <w:trPr>
                <w:jc w:val="center"/>
              </w:trPr>
              <w:tc>
                <w:tcPr>
                  <w:tcW w:w="10365" w:type="dxa"/>
                  <w:gridSpan w:val="2"/>
                  <w:shd w:val="clear" w:color="auto" w:fill="auto"/>
                </w:tcPr>
                <w:p w:rsidR="003354E1" w:rsidRPr="001D73B7" w:rsidRDefault="003354E1" w:rsidP="00300E76">
                  <w:pPr>
                    <w:spacing w:line="360" w:lineRule="auto"/>
                    <w:rPr>
                      <w:rFonts w:ascii="Palatino Linotype" w:hAnsi="Palatino Linotype" w:cs="Arial"/>
                      <w:b/>
                    </w:rPr>
                  </w:pPr>
                </w:p>
                <w:p w:rsidR="003354E1" w:rsidRPr="001D73B7" w:rsidRDefault="003354E1" w:rsidP="00300E76">
                  <w:pPr>
                    <w:spacing w:line="360" w:lineRule="auto"/>
                    <w:jc w:val="center"/>
                    <w:rPr>
                      <w:rFonts w:ascii="Palatino Linotype" w:hAnsi="Palatino Linotype" w:cs="Arial"/>
                      <w:b/>
                    </w:rPr>
                  </w:pPr>
                  <w:r w:rsidRPr="001D73B7">
                    <w:rPr>
                      <w:rFonts w:ascii="Palatino Linotype" w:hAnsi="Palatino Linotype" w:cs="Arial"/>
                      <w:b/>
                    </w:rPr>
                    <w:t>Zulema Martínez Sánchez</w:t>
                  </w:r>
                </w:p>
                <w:p w:rsidR="003354E1" w:rsidRPr="001D73B7" w:rsidRDefault="003354E1" w:rsidP="00300E76">
                  <w:pPr>
                    <w:spacing w:line="360" w:lineRule="auto"/>
                    <w:jc w:val="center"/>
                    <w:rPr>
                      <w:rFonts w:ascii="Palatino Linotype" w:hAnsi="Palatino Linotype" w:cs="Arial"/>
                      <w:b/>
                    </w:rPr>
                  </w:pPr>
                  <w:r w:rsidRPr="001D73B7">
                    <w:rPr>
                      <w:rFonts w:ascii="Palatino Linotype" w:hAnsi="Palatino Linotype" w:cs="Arial"/>
                    </w:rPr>
                    <w:t>Comisionada Presidenta</w:t>
                  </w:r>
                </w:p>
                <w:p w:rsidR="003354E1" w:rsidRPr="001D73B7" w:rsidRDefault="003354E1" w:rsidP="00300E76">
                  <w:pPr>
                    <w:spacing w:line="360" w:lineRule="auto"/>
                    <w:jc w:val="center"/>
                    <w:rPr>
                      <w:rFonts w:ascii="Palatino Linotype" w:hAnsi="Palatino Linotype" w:cs="Arial"/>
                      <w:b/>
                    </w:rPr>
                  </w:pPr>
                  <w:r w:rsidRPr="001D73B7">
                    <w:rPr>
                      <w:rFonts w:ascii="Palatino Linotype" w:hAnsi="Palatino Linotype" w:cs="Arial"/>
                      <w:b/>
                    </w:rPr>
                    <w:t xml:space="preserve">(RÚBRICA) </w:t>
                  </w:r>
                </w:p>
              </w:tc>
            </w:tr>
            <w:tr w:rsidR="003354E1" w:rsidRPr="001D73B7" w:rsidTr="00300E76">
              <w:trPr>
                <w:jc w:val="center"/>
              </w:trPr>
              <w:tc>
                <w:tcPr>
                  <w:tcW w:w="5182" w:type="dxa"/>
                  <w:shd w:val="clear" w:color="auto" w:fill="auto"/>
                </w:tcPr>
                <w:p w:rsidR="003354E1" w:rsidRDefault="003354E1" w:rsidP="00300E76">
                  <w:pPr>
                    <w:spacing w:line="360" w:lineRule="auto"/>
                    <w:rPr>
                      <w:rFonts w:ascii="Palatino Linotype" w:hAnsi="Palatino Linotype" w:cs="Arial"/>
                      <w:b/>
                    </w:rPr>
                  </w:pPr>
                </w:p>
                <w:p w:rsidR="003354E1" w:rsidRDefault="003354E1" w:rsidP="00300E76">
                  <w:pPr>
                    <w:spacing w:line="360" w:lineRule="auto"/>
                    <w:rPr>
                      <w:rFonts w:ascii="Palatino Linotype" w:hAnsi="Palatino Linotype" w:cs="Arial"/>
                      <w:b/>
                    </w:rPr>
                  </w:pPr>
                </w:p>
                <w:p w:rsidR="003354E1" w:rsidRPr="001D73B7" w:rsidRDefault="003354E1" w:rsidP="00300E76">
                  <w:pPr>
                    <w:spacing w:line="360" w:lineRule="auto"/>
                    <w:rPr>
                      <w:rFonts w:ascii="Palatino Linotype" w:hAnsi="Palatino Linotype" w:cs="Arial"/>
                      <w:b/>
                    </w:rPr>
                  </w:pPr>
                </w:p>
                <w:p w:rsidR="003354E1" w:rsidRPr="001D73B7" w:rsidRDefault="003354E1" w:rsidP="00300E76">
                  <w:pPr>
                    <w:spacing w:line="360" w:lineRule="auto"/>
                    <w:jc w:val="center"/>
                    <w:rPr>
                      <w:rFonts w:ascii="Palatino Linotype" w:hAnsi="Palatino Linotype" w:cs="Arial"/>
                      <w:b/>
                    </w:rPr>
                  </w:pPr>
                  <w:r w:rsidRPr="001D73B7">
                    <w:rPr>
                      <w:rFonts w:ascii="Palatino Linotype" w:hAnsi="Palatino Linotype" w:cs="Arial"/>
                      <w:b/>
                    </w:rPr>
                    <w:t xml:space="preserve">Eva </w:t>
                  </w:r>
                  <w:proofErr w:type="spellStart"/>
                  <w:r w:rsidRPr="001D73B7">
                    <w:rPr>
                      <w:rFonts w:ascii="Palatino Linotype" w:hAnsi="Palatino Linotype" w:cs="Arial"/>
                      <w:b/>
                    </w:rPr>
                    <w:t>Abaid</w:t>
                  </w:r>
                  <w:proofErr w:type="spellEnd"/>
                  <w:r w:rsidRPr="001D73B7">
                    <w:rPr>
                      <w:rFonts w:ascii="Palatino Linotype" w:hAnsi="Palatino Linotype" w:cs="Arial"/>
                      <w:b/>
                    </w:rPr>
                    <w:t xml:space="preserve"> </w:t>
                  </w:r>
                  <w:proofErr w:type="spellStart"/>
                  <w:r w:rsidRPr="001D73B7">
                    <w:rPr>
                      <w:rFonts w:ascii="Palatino Linotype" w:hAnsi="Palatino Linotype" w:cs="Arial"/>
                      <w:b/>
                    </w:rPr>
                    <w:t>Yapur</w:t>
                  </w:r>
                  <w:proofErr w:type="spellEnd"/>
                </w:p>
                <w:p w:rsidR="003354E1" w:rsidRPr="001D73B7" w:rsidRDefault="003354E1" w:rsidP="00300E76">
                  <w:pPr>
                    <w:spacing w:line="360" w:lineRule="auto"/>
                    <w:jc w:val="center"/>
                    <w:rPr>
                      <w:rFonts w:ascii="Palatino Linotype" w:hAnsi="Palatino Linotype" w:cs="Arial"/>
                    </w:rPr>
                  </w:pPr>
                  <w:r w:rsidRPr="001D73B7">
                    <w:rPr>
                      <w:rFonts w:ascii="Palatino Linotype" w:hAnsi="Palatino Linotype" w:cs="Arial"/>
                    </w:rPr>
                    <w:t>Comisionada</w:t>
                  </w:r>
                </w:p>
                <w:p w:rsidR="003354E1" w:rsidRPr="001D73B7" w:rsidRDefault="003354E1" w:rsidP="00300E76">
                  <w:pPr>
                    <w:spacing w:line="360" w:lineRule="auto"/>
                    <w:jc w:val="center"/>
                    <w:rPr>
                      <w:rFonts w:ascii="Palatino Linotype" w:hAnsi="Palatino Linotype" w:cs="Arial"/>
                      <w:b/>
                    </w:rPr>
                  </w:pPr>
                  <w:r w:rsidRPr="001D73B7">
                    <w:rPr>
                      <w:rFonts w:ascii="Palatino Linotype" w:hAnsi="Palatino Linotype" w:cs="Arial"/>
                      <w:b/>
                    </w:rPr>
                    <w:t>(RÚBRICA)</w:t>
                  </w:r>
                </w:p>
              </w:tc>
              <w:tc>
                <w:tcPr>
                  <w:tcW w:w="5183" w:type="dxa"/>
                  <w:shd w:val="clear" w:color="auto" w:fill="auto"/>
                </w:tcPr>
                <w:p w:rsidR="003354E1" w:rsidRDefault="003354E1" w:rsidP="00300E76">
                  <w:pPr>
                    <w:spacing w:line="360" w:lineRule="auto"/>
                    <w:rPr>
                      <w:rFonts w:ascii="Palatino Linotype" w:hAnsi="Palatino Linotype" w:cs="Arial"/>
                      <w:b/>
                    </w:rPr>
                  </w:pPr>
                </w:p>
                <w:p w:rsidR="003354E1" w:rsidRDefault="003354E1" w:rsidP="00300E76">
                  <w:pPr>
                    <w:spacing w:line="360" w:lineRule="auto"/>
                    <w:rPr>
                      <w:rFonts w:ascii="Palatino Linotype" w:hAnsi="Palatino Linotype" w:cs="Arial"/>
                      <w:b/>
                    </w:rPr>
                  </w:pPr>
                </w:p>
                <w:p w:rsidR="003354E1" w:rsidRPr="001D73B7" w:rsidRDefault="003354E1" w:rsidP="00300E76">
                  <w:pPr>
                    <w:spacing w:line="360" w:lineRule="auto"/>
                    <w:rPr>
                      <w:rFonts w:ascii="Palatino Linotype" w:hAnsi="Palatino Linotype" w:cs="Arial"/>
                      <w:b/>
                    </w:rPr>
                  </w:pPr>
                </w:p>
                <w:p w:rsidR="003354E1" w:rsidRPr="001D73B7" w:rsidRDefault="003354E1" w:rsidP="00300E76">
                  <w:pPr>
                    <w:spacing w:line="360" w:lineRule="auto"/>
                    <w:jc w:val="center"/>
                    <w:rPr>
                      <w:rFonts w:ascii="Palatino Linotype" w:hAnsi="Palatino Linotype" w:cs="Arial"/>
                      <w:b/>
                    </w:rPr>
                  </w:pPr>
                  <w:r w:rsidRPr="001D73B7">
                    <w:rPr>
                      <w:rFonts w:ascii="Palatino Linotype" w:hAnsi="Palatino Linotype" w:cs="Arial"/>
                      <w:b/>
                    </w:rPr>
                    <w:t>José Guadalupe Luna Hernández</w:t>
                  </w:r>
                </w:p>
                <w:p w:rsidR="003354E1" w:rsidRPr="001D73B7" w:rsidRDefault="003354E1" w:rsidP="00300E76">
                  <w:pPr>
                    <w:spacing w:line="360" w:lineRule="auto"/>
                    <w:jc w:val="center"/>
                    <w:rPr>
                      <w:rFonts w:ascii="Palatino Linotype" w:hAnsi="Palatino Linotype" w:cs="Arial"/>
                    </w:rPr>
                  </w:pPr>
                  <w:r w:rsidRPr="001D73B7">
                    <w:rPr>
                      <w:rFonts w:ascii="Palatino Linotype" w:hAnsi="Palatino Linotype" w:cs="Arial"/>
                    </w:rPr>
                    <w:t>Comisionado</w:t>
                  </w:r>
                </w:p>
                <w:p w:rsidR="003354E1" w:rsidRPr="001D73B7" w:rsidRDefault="003354E1" w:rsidP="00300E76">
                  <w:pPr>
                    <w:spacing w:line="360" w:lineRule="auto"/>
                    <w:jc w:val="center"/>
                    <w:rPr>
                      <w:rFonts w:ascii="Palatino Linotype" w:hAnsi="Palatino Linotype" w:cs="Arial"/>
                      <w:b/>
                    </w:rPr>
                  </w:pPr>
                  <w:r w:rsidRPr="001D73B7">
                    <w:rPr>
                      <w:rFonts w:ascii="Palatino Linotype" w:hAnsi="Palatino Linotype" w:cs="Arial"/>
                      <w:b/>
                    </w:rPr>
                    <w:t>(RÚBRICA)</w:t>
                  </w:r>
                </w:p>
              </w:tc>
            </w:tr>
            <w:tr w:rsidR="003354E1" w:rsidRPr="001D73B7" w:rsidTr="00300E76">
              <w:trPr>
                <w:jc w:val="center"/>
              </w:trPr>
              <w:tc>
                <w:tcPr>
                  <w:tcW w:w="5182" w:type="dxa"/>
                  <w:shd w:val="clear" w:color="auto" w:fill="auto"/>
                </w:tcPr>
                <w:p w:rsidR="003354E1" w:rsidRPr="001D73B7" w:rsidRDefault="003354E1" w:rsidP="00300E76">
                  <w:pPr>
                    <w:spacing w:line="360" w:lineRule="auto"/>
                    <w:rPr>
                      <w:rFonts w:ascii="Palatino Linotype" w:hAnsi="Palatino Linotype" w:cs="Arial"/>
                      <w:b/>
                    </w:rPr>
                  </w:pPr>
                </w:p>
                <w:p w:rsidR="003354E1" w:rsidRDefault="003354E1" w:rsidP="00300E76">
                  <w:pPr>
                    <w:spacing w:line="360" w:lineRule="auto"/>
                    <w:rPr>
                      <w:rFonts w:ascii="Palatino Linotype" w:hAnsi="Palatino Linotype" w:cs="Arial"/>
                      <w:b/>
                    </w:rPr>
                  </w:pPr>
                </w:p>
                <w:p w:rsidR="003354E1" w:rsidRDefault="003354E1" w:rsidP="00300E76">
                  <w:pPr>
                    <w:spacing w:line="360" w:lineRule="auto"/>
                    <w:jc w:val="center"/>
                    <w:rPr>
                      <w:rFonts w:ascii="Palatino Linotype" w:hAnsi="Palatino Linotype" w:cs="Arial"/>
                      <w:b/>
                    </w:rPr>
                  </w:pPr>
                </w:p>
                <w:p w:rsidR="003354E1" w:rsidRDefault="003354E1" w:rsidP="00300E76">
                  <w:pPr>
                    <w:spacing w:line="360" w:lineRule="auto"/>
                    <w:jc w:val="center"/>
                    <w:rPr>
                      <w:rFonts w:ascii="Palatino Linotype" w:hAnsi="Palatino Linotype" w:cs="Arial"/>
                      <w:b/>
                    </w:rPr>
                  </w:pPr>
                </w:p>
                <w:p w:rsidR="003354E1" w:rsidRDefault="003354E1" w:rsidP="00300E76">
                  <w:pPr>
                    <w:spacing w:line="360" w:lineRule="auto"/>
                    <w:jc w:val="center"/>
                    <w:rPr>
                      <w:rFonts w:ascii="Palatino Linotype" w:hAnsi="Palatino Linotype" w:cs="Arial"/>
                      <w:b/>
                    </w:rPr>
                  </w:pPr>
                </w:p>
                <w:p w:rsidR="003354E1" w:rsidRPr="001D73B7" w:rsidRDefault="003354E1" w:rsidP="00300E76">
                  <w:pPr>
                    <w:spacing w:line="360" w:lineRule="auto"/>
                    <w:jc w:val="center"/>
                    <w:rPr>
                      <w:rFonts w:ascii="Palatino Linotype" w:hAnsi="Palatino Linotype" w:cs="Arial"/>
                      <w:b/>
                    </w:rPr>
                  </w:pPr>
                  <w:r w:rsidRPr="001D73B7">
                    <w:rPr>
                      <w:rFonts w:ascii="Palatino Linotype" w:hAnsi="Palatino Linotype" w:cs="Arial"/>
                      <w:b/>
                    </w:rPr>
                    <w:t>Javier Martínez Cruz</w:t>
                  </w:r>
                </w:p>
                <w:p w:rsidR="003354E1" w:rsidRPr="001D73B7" w:rsidRDefault="003354E1" w:rsidP="00300E76">
                  <w:pPr>
                    <w:spacing w:line="360" w:lineRule="auto"/>
                    <w:jc w:val="center"/>
                    <w:rPr>
                      <w:rFonts w:ascii="Palatino Linotype" w:hAnsi="Palatino Linotype" w:cs="Arial"/>
                    </w:rPr>
                  </w:pPr>
                  <w:r w:rsidRPr="001D73B7">
                    <w:rPr>
                      <w:rFonts w:ascii="Palatino Linotype" w:hAnsi="Palatino Linotype" w:cs="Arial"/>
                    </w:rPr>
                    <w:t>Comisionado</w:t>
                  </w:r>
                </w:p>
                <w:p w:rsidR="003354E1" w:rsidRPr="001D73B7" w:rsidRDefault="003354E1" w:rsidP="00300E76">
                  <w:pPr>
                    <w:spacing w:line="360" w:lineRule="auto"/>
                    <w:jc w:val="center"/>
                    <w:rPr>
                      <w:rFonts w:ascii="Palatino Linotype" w:hAnsi="Palatino Linotype" w:cs="Arial"/>
                    </w:rPr>
                  </w:pPr>
                  <w:r w:rsidRPr="001D73B7">
                    <w:rPr>
                      <w:rFonts w:ascii="Palatino Linotype" w:hAnsi="Palatino Linotype" w:cs="Arial"/>
                      <w:b/>
                    </w:rPr>
                    <w:t>(RÚBRICA)</w:t>
                  </w:r>
                </w:p>
              </w:tc>
              <w:tc>
                <w:tcPr>
                  <w:tcW w:w="5183" w:type="dxa"/>
                  <w:shd w:val="clear" w:color="auto" w:fill="auto"/>
                </w:tcPr>
                <w:p w:rsidR="003354E1" w:rsidRPr="001D73B7" w:rsidRDefault="003354E1" w:rsidP="00300E76">
                  <w:pPr>
                    <w:spacing w:line="360" w:lineRule="auto"/>
                    <w:rPr>
                      <w:rFonts w:ascii="Palatino Linotype" w:hAnsi="Palatino Linotype" w:cs="Arial"/>
                      <w:b/>
                    </w:rPr>
                  </w:pPr>
                </w:p>
                <w:p w:rsidR="003354E1" w:rsidRDefault="003354E1" w:rsidP="00300E76">
                  <w:pPr>
                    <w:spacing w:line="360" w:lineRule="auto"/>
                    <w:rPr>
                      <w:rFonts w:ascii="Palatino Linotype" w:hAnsi="Palatino Linotype" w:cs="Arial"/>
                      <w:b/>
                    </w:rPr>
                  </w:pPr>
                </w:p>
                <w:p w:rsidR="003354E1" w:rsidRDefault="003354E1" w:rsidP="00300E76">
                  <w:pPr>
                    <w:spacing w:line="360" w:lineRule="auto"/>
                    <w:rPr>
                      <w:rFonts w:ascii="Palatino Linotype" w:hAnsi="Palatino Linotype" w:cs="Arial"/>
                      <w:b/>
                    </w:rPr>
                  </w:pPr>
                </w:p>
                <w:p w:rsidR="003354E1" w:rsidRPr="001D73B7" w:rsidRDefault="003354E1" w:rsidP="00300E76">
                  <w:pPr>
                    <w:spacing w:line="360" w:lineRule="auto"/>
                    <w:rPr>
                      <w:rFonts w:ascii="Palatino Linotype" w:hAnsi="Palatino Linotype" w:cs="Arial"/>
                      <w:b/>
                    </w:rPr>
                  </w:pPr>
                </w:p>
                <w:p w:rsidR="003354E1" w:rsidRDefault="003354E1" w:rsidP="00300E76">
                  <w:pPr>
                    <w:spacing w:line="360" w:lineRule="auto"/>
                    <w:jc w:val="center"/>
                    <w:rPr>
                      <w:rFonts w:ascii="Palatino Linotype" w:hAnsi="Palatino Linotype" w:cs="Arial"/>
                      <w:b/>
                    </w:rPr>
                  </w:pPr>
                </w:p>
                <w:p w:rsidR="003354E1" w:rsidRPr="001D73B7" w:rsidRDefault="003354E1" w:rsidP="00300E76">
                  <w:pPr>
                    <w:spacing w:line="360" w:lineRule="auto"/>
                    <w:jc w:val="center"/>
                    <w:rPr>
                      <w:rFonts w:ascii="Palatino Linotype" w:hAnsi="Palatino Linotype" w:cs="Arial"/>
                      <w:b/>
                    </w:rPr>
                  </w:pPr>
                  <w:r w:rsidRPr="001D73B7">
                    <w:rPr>
                      <w:rFonts w:ascii="Palatino Linotype" w:hAnsi="Palatino Linotype" w:cs="Arial"/>
                      <w:b/>
                    </w:rPr>
                    <w:t>Luis Gustavo Parra Noriega</w:t>
                  </w:r>
                </w:p>
                <w:p w:rsidR="003354E1" w:rsidRPr="001D73B7" w:rsidRDefault="003354E1" w:rsidP="00300E76">
                  <w:pPr>
                    <w:spacing w:line="360" w:lineRule="auto"/>
                    <w:jc w:val="center"/>
                    <w:rPr>
                      <w:rFonts w:ascii="Palatino Linotype" w:hAnsi="Palatino Linotype" w:cs="Arial"/>
                    </w:rPr>
                  </w:pPr>
                  <w:r w:rsidRPr="001D73B7">
                    <w:rPr>
                      <w:rFonts w:ascii="Palatino Linotype" w:hAnsi="Palatino Linotype" w:cs="Arial"/>
                    </w:rPr>
                    <w:t>Comisionado</w:t>
                  </w:r>
                </w:p>
                <w:p w:rsidR="003354E1" w:rsidRPr="001D73B7" w:rsidRDefault="003354E1" w:rsidP="00300E76">
                  <w:pPr>
                    <w:spacing w:line="360" w:lineRule="auto"/>
                    <w:jc w:val="center"/>
                    <w:rPr>
                      <w:rFonts w:ascii="Palatino Linotype" w:hAnsi="Palatino Linotype" w:cs="Arial"/>
                      <w:b/>
                    </w:rPr>
                  </w:pPr>
                  <w:r w:rsidRPr="001D73B7">
                    <w:rPr>
                      <w:rFonts w:ascii="Palatino Linotype" w:hAnsi="Palatino Linotype" w:cs="Arial"/>
                      <w:b/>
                    </w:rPr>
                    <w:t>(RÚBRICA)</w:t>
                  </w:r>
                </w:p>
              </w:tc>
            </w:tr>
            <w:tr w:rsidR="003354E1" w:rsidRPr="001D73B7" w:rsidTr="00300E76">
              <w:trPr>
                <w:jc w:val="center"/>
              </w:trPr>
              <w:tc>
                <w:tcPr>
                  <w:tcW w:w="10365" w:type="dxa"/>
                  <w:gridSpan w:val="2"/>
                  <w:shd w:val="clear" w:color="auto" w:fill="auto"/>
                </w:tcPr>
                <w:p w:rsidR="003354E1" w:rsidRPr="001D73B7" w:rsidRDefault="003354E1" w:rsidP="00300E76">
                  <w:pPr>
                    <w:tabs>
                      <w:tab w:val="left" w:pos="3720"/>
                    </w:tabs>
                    <w:spacing w:line="360" w:lineRule="auto"/>
                    <w:rPr>
                      <w:rFonts w:ascii="Palatino Linotype" w:hAnsi="Palatino Linotype" w:cs="Arial"/>
                      <w:b/>
                    </w:rPr>
                  </w:pPr>
                </w:p>
                <w:p w:rsidR="003354E1" w:rsidRDefault="003354E1" w:rsidP="00300E76">
                  <w:pPr>
                    <w:spacing w:line="360" w:lineRule="auto"/>
                    <w:jc w:val="center"/>
                    <w:rPr>
                      <w:rFonts w:ascii="Palatino Linotype" w:hAnsi="Palatino Linotype" w:cs="Arial"/>
                      <w:b/>
                    </w:rPr>
                  </w:pPr>
                </w:p>
                <w:p w:rsidR="003354E1" w:rsidRPr="001D73B7" w:rsidRDefault="003354E1" w:rsidP="00300E76">
                  <w:pPr>
                    <w:spacing w:line="360" w:lineRule="auto"/>
                    <w:jc w:val="center"/>
                    <w:rPr>
                      <w:rFonts w:ascii="Palatino Linotype" w:hAnsi="Palatino Linotype" w:cs="Arial"/>
                      <w:b/>
                    </w:rPr>
                  </w:pPr>
                </w:p>
                <w:p w:rsidR="003354E1" w:rsidRPr="001D73B7" w:rsidRDefault="003354E1" w:rsidP="00300E76">
                  <w:pPr>
                    <w:spacing w:line="360" w:lineRule="auto"/>
                    <w:jc w:val="center"/>
                    <w:rPr>
                      <w:rFonts w:ascii="Palatino Linotype" w:hAnsi="Palatino Linotype" w:cs="Arial"/>
                      <w:b/>
                    </w:rPr>
                  </w:pPr>
                  <w:r w:rsidRPr="001D73B7">
                    <w:rPr>
                      <w:rFonts w:ascii="Palatino Linotype" w:hAnsi="Palatino Linotype" w:cs="Arial"/>
                      <w:b/>
                    </w:rPr>
                    <w:t>Alexis Tapia Ramírez</w:t>
                  </w:r>
                </w:p>
                <w:p w:rsidR="003354E1" w:rsidRPr="001D73B7" w:rsidRDefault="003354E1" w:rsidP="00300E76">
                  <w:pPr>
                    <w:spacing w:line="360" w:lineRule="auto"/>
                    <w:jc w:val="center"/>
                    <w:rPr>
                      <w:rFonts w:ascii="Palatino Linotype" w:hAnsi="Palatino Linotype" w:cs="Arial"/>
                    </w:rPr>
                  </w:pPr>
                  <w:r w:rsidRPr="001D73B7">
                    <w:rPr>
                      <w:rFonts w:ascii="Palatino Linotype" w:hAnsi="Palatino Linotype" w:cs="Arial"/>
                    </w:rPr>
                    <w:t>Secretario Técnico del Pleno</w:t>
                  </w:r>
                </w:p>
                <w:p w:rsidR="003354E1" w:rsidRPr="001D73B7" w:rsidRDefault="003354E1" w:rsidP="00300E76">
                  <w:pPr>
                    <w:spacing w:line="360" w:lineRule="auto"/>
                    <w:jc w:val="center"/>
                    <w:rPr>
                      <w:rFonts w:ascii="Palatino Linotype" w:hAnsi="Palatino Linotype" w:cs="Arial"/>
                    </w:rPr>
                  </w:pPr>
                  <w:r w:rsidRPr="001D73B7">
                    <w:rPr>
                      <w:rFonts w:ascii="Palatino Linotype" w:hAnsi="Palatino Linotype" w:cs="Arial"/>
                      <w:b/>
                    </w:rPr>
                    <w:t>(RÚBRICA)</w:t>
                  </w:r>
                  <w:r w:rsidRPr="001D73B7">
                    <w:rPr>
                      <w:rFonts w:ascii="Palatino Linotype" w:hAnsi="Palatino Linotype" w:cs="Arial"/>
                    </w:rPr>
                    <w:t xml:space="preserve"> </w:t>
                  </w:r>
                </w:p>
              </w:tc>
            </w:tr>
          </w:tbl>
          <w:p w:rsidR="003354E1" w:rsidRPr="001D73B7" w:rsidRDefault="003354E1" w:rsidP="00300E76">
            <w:pPr>
              <w:spacing w:line="360" w:lineRule="auto"/>
              <w:jc w:val="both"/>
              <w:rPr>
                <w:rFonts w:ascii="Palatino Linotype" w:hAnsi="Palatino Linotype" w:cs="Arial"/>
                <w:lang w:val="es-ES"/>
              </w:rPr>
            </w:pPr>
          </w:p>
        </w:tc>
      </w:tr>
      <w:tr w:rsidR="003354E1" w:rsidRPr="001D73B7" w:rsidTr="00300E76">
        <w:trPr>
          <w:jc w:val="center"/>
        </w:trPr>
        <w:tc>
          <w:tcPr>
            <w:tcW w:w="5184" w:type="dxa"/>
            <w:hideMark/>
          </w:tcPr>
          <w:p w:rsidR="003354E1" w:rsidRPr="001D73B7" w:rsidRDefault="003354E1" w:rsidP="00300E76">
            <w:pPr>
              <w:spacing w:line="360" w:lineRule="auto"/>
              <w:jc w:val="both"/>
              <w:rPr>
                <w:rFonts w:ascii="Palatino Linotype" w:hAnsi="Palatino Linotype" w:cs="Arial"/>
                <w:lang w:val="es-ES"/>
              </w:rPr>
            </w:pPr>
          </w:p>
        </w:tc>
        <w:tc>
          <w:tcPr>
            <w:tcW w:w="5184" w:type="dxa"/>
          </w:tcPr>
          <w:p w:rsidR="003354E1" w:rsidRPr="001D73B7" w:rsidRDefault="003354E1" w:rsidP="00300E76">
            <w:pPr>
              <w:spacing w:line="360" w:lineRule="auto"/>
              <w:jc w:val="center"/>
              <w:rPr>
                <w:rFonts w:ascii="Palatino Linotype" w:hAnsi="Palatino Linotype" w:cs="Arial"/>
                <w:b/>
              </w:rPr>
            </w:pPr>
          </w:p>
        </w:tc>
      </w:tr>
      <w:tr w:rsidR="003354E1" w:rsidRPr="001D73B7" w:rsidTr="00300E76">
        <w:trPr>
          <w:jc w:val="center"/>
        </w:trPr>
        <w:tc>
          <w:tcPr>
            <w:tcW w:w="10368" w:type="dxa"/>
            <w:gridSpan w:val="2"/>
          </w:tcPr>
          <w:p w:rsidR="003354E1" w:rsidRPr="001D73B7" w:rsidRDefault="003354E1" w:rsidP="00300E76">
            <w:pPr>
              <w:spacing w:line="360" w:lineRule="auto"/>
              <w:jc w:val="both"/>
              <w:rPr>
                <w:rFonts w:ascii="Palatino Linotype" w:hAnsi="Palatino Linotype" w:cs="Arial"/>
                <w:lang w:val="es-ES"/>
              </w:rPr>
            </w:pPr>
          </w:p>
        </w:tc>
      </w:tr>
    </w:tbl>
    <w:p w:rsidR="003354E1" w:rsidRPr="001D73B7" w:rsidRDefault="003354E1" w:rsidP="003354E1">
      <w:pPr>
        <w:tabs>
          <w:tab w:val="left" w:pos="0"/>
        </w:tabs>
        <w:spacing w:line="360" w:lineRule="auto"/>
        <w:jc w:val="both"/>
        <w:rPr>
          <w:rFonts w:ascii="Palatino Linotype" w:hAnsi="Palatino Linotype"/>
        </w:rPr>
      </w:pPr>
      <w:r w:rsidRPr="001D73B7">
        <w:rPr>
          <w:rFonts w:ascii="Palatino Linotype" w:hAnsi="Palatino Linotype" w:cs="Arial"/>
        </w:rPr>
        <w:t xml:space="preserve">Esta hoja corresponde a la resolución de fecha </w:t>
      </w:r>
      <w:r>
        <w:rPr>
          <w:rFonts w:ascii="Palatino Linotype" w:hAnsi="Palatino Linotype" w:cs="Arial"/>
        </w:rPr>
        <w:t>seis</w:t>
      </w:r>
      <w:r w:rsidRPr="001D73B7">
        <w:rPr>
          <w:rFonts w:ascii="Palatino Linotype" w:hAnsi="Palatino Linotype" w:cs="Arial"/>
        </w:rPr>
        <w:t xml:space="preserve"> (</w:t>
      </w:r>
      <w:r>
        <w:rPr>
          <w:rFonts w:ascii="Palatino Linotype" w:hAnsi="Palatino Linotype" w:cs="Arial"/>
        </w:rPr>
        <w:t>06</w:t>
      </w:r>
      <w:r w:rsidRPr="001D73B7">
        <w:rPr>
          <w:rFonts w:ascii="Palatino Linotype" w:hAnsi="Palatino Linotype" w:cs="Arial"/>
        </w:rPr>
        <w:t xml:space="preserve">) de </w:t>
      </w:r>
      <w:r>
        <w:rPr>
          <w:rFonts w:ascii="Palatino Linotype" w:hAnsi="Palatino Linotype" w:cs="Arial"/>
        </w:rPr>
        <w:t>febrero</w:t>
      </w:r>
      <w:r w:rsidRPr="001D73B7">
        <w:rPr>
          <w:rFonts w:ascii="Palatino Linotype" w:hAnsi="Palatino Linotype" w:cs="Arial"/>
        </w:rPr>
        <w:t xml:space="preserve"> de dos mil </w:t>
      </w:r>
      <w:r>
        <w:rPr>
          <w:rFonts w:ascii="Palatino Linotype" w:hAnsi="Palatino Linotype" w:cs="Arial"/>
        </w:rPr>
        <w:t>veinte</w:t>
      </w:r>
      <w:r w:rsidRPr="001D73B7">
        <w:rPr>
          <w:rFonts w:ascii="Palatino Linotype" w:hAnsi="Palatino Linotype" w:cs="Arial"/>
        </w:rPr>
        <w:t xml:space="preserve">, emitida en el recurso de revisión </w:t>
      </w:r>
      <w:r>
        <w:rPr>
          <w:rFonts w:ascii="Palatino Linotype" w:hAnsi="Palatino Linotype" w:cs="Arial"/>
          <w:bCs/>
        </w:rPr>
        <w:t>08743</w:t>
      </w:r>
      <w:r w:rsidRPr="001D73B7">
        <w:rPr>
          <w:rFonts w:ascii="Palatino Linotype" w:hAnsi="Palatino Linotype" w:cs="Arial"/>
          <w:bCs/>
        </w:rPr>
        <w:t xml:space="preserve">/INFOEM/IP/RR/2019. </w:t>
      </w:r>
    </w:p>
    <w:p w:rsidR="002248D3" w:rsidRPr="00554DF4" w:rsidRDefault="002248D3" w:rsidP="00554DF4"/>
    <w:sectPr w:rsidR="002248D3" w:rsidRPr="00554DF4" w:rsidSect="00141DF6">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54B" w:rsidRDefault="00A2754B" w:rsidP="008B6F5F">
      <w:r>
        <w:separator/>
      </w:r>
    </w:p>
  </w:endnote>
  <w:endnote w:type="continuationSeparator" w:id="0">
    <w:p w:rsidR="00A2754B" w:rsidRDefault="00A2754B"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charset w:val="00"/>
    <w:family w:val="swiss"/>
    <w:pitch w:val="default"/>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A109E3" w:rsidRPr="000A2541" w:rsidRDefault="00A109E3">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E1283A">
              <w:rPr>
                <w:rFonts w:ascii="Palatino Linotype" w:hAnsi="Palatino Linotype"/>
                <w:b/>
                <w:bCs/>
                <w:noProof/>
              </w:rPr>
              <w:t>5</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E1283A">
              <w:rPr>
                <w:rFonts w:ascii="Palatino Linotype" w:hAnsi="Palatino Linotype"/>
                <w:b/>
                <w:bCs/>
                <w:noProof/>
              </w:rPr>
              <w:t>43</w:t>
            </w:r>
            <w:r w:rsidRPr="000A2541">
              <w:rPr>
                <w:rFonts w:ascii="Palatino Linotype" w:hAnsi="Palatino Linotype"/>
                <w:b/>
                <w:bCs/>
              </w:rPr>
              <w:fldChar w:fldCharType="end"/>
            </w:r>
          </w:p>
        </w:sdtContent>
      </w:sdt>
    </w:sdtContent>
  </w:sdt>
  <w:p w:rsidR="00A109E3" w:rsidRDefault="00A109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9E3" w:rsidRPr="00883450" w:rsidRDefault="00A109E3"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1283A" w:rsidRPr="00E1283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1283A" w:rsidRPr="00E1283A">
      <w:rPr>
        <w:rFonts w:ascii="Palatino Linotype" w:hAnsi="Palatino Linotype"/>
        <w:noProof/>
        <w:sz w:val="22"/>
        <w:szCs w:val="22"/>
        <w:lang w:val="es-ES"/>
      </w:rPr>
      <w:t>43</w:t>
    </w:r>
    <w:r w:rsidRPr="00883450">
      <w:rPr>
        <w:rFonts w:ascii="Palatino Linotype" w:hAnsi="Palatino Linotype"/>
        <w:sz w:val="22"/>
        <w:szCs w:val="22"/>
      </w:rPr>
      <w:fldChar w:fldCharType="end"/>
    </w:r>
  </w:p>
  <w:p w:rsidR="00A109E3" w:rsidRPr="00883450" w:rsidRDefault="00A109E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54B" w:rsidRDefault="00A2754B" w:rsidP="008B6F5F">
      <w:r>
        <w:separator/>
      </w:r>
    </w:p>
  </w:footnote>
  <w:footnote w:type="continuationSeparator" w:id="0">
    <w:p w:rsidR="00A2754B" w:rsidRDefault="00A2754B" w:rsidP="008B6F5F">
      <w:r>
        <w:continuationSeparator/>
      </w:r>
    </w:p>
  </w:footnote>
  <w:footnote w:id="1">
    <w:p w:rsidR="00A109E3" w:rsidRDefault="00A109E3" w:rsidP="00554DF4">
      <w:pPr>
        <w:pStyle w:val="Textonotapie"/>
      </w:pPr>
      <w:r>
        <w:rPr>
          <w:rStyle w:val="Refdenotaalpie"/>
        </w:rPr>
        <w:footnoteRef/>
      </w:r>
      <w:r>
        <w:t xml:space="preserve"> Convención Americana sobre Derechos Humanos. Artículo 13.</w:t>
      </w:r>
    </w:p>
  </w:footnote>
  <w:footnote w:id="2">
    <w:p w:rsidR="00A109E3" w:rsidRDefault="00A109E3" w:rsidP="00554DF4">
      <w:pPr>
        <w:pStyle w:val="Textonotapie"/>
      </w:pPr>
      <w:r>
        <w:rPr>
          <w:rStyle w:val="Refdenotaalpie"/>
        </w:rPr>
        <w:footnoteRef/>
      </w:r>
      <w:r>
        <w:t xml:space="preserve"> Constitución Política de los Estados Unidos Mexicanos. Artículo sexto, sección A, Fracción I.</w:t>
      </w:r>
    </w:p>
  </w:footnote>
  <w:footnote w:id="3">
    <w:p w:rsidR="00A109E3" w:rsidRDefault="00A109E3" w:rsidP="00554DF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A109E3" w:rsidRDefault="00A109E3" w:rsidP="00554DF4">
      <w:pPr>
        <w:pStyle w:val="Textonotapie"/>
      </w:pPr>
      <w:r>
        <w:rPr>
          <w:rStyle w:val="Refdenotaalpie"/>
        </w:rPr>
        <w:footnoteRef/>
      </w:r>
      <w:r>
        <w:t xml:space="preserve"> Ibídem. Párr. 87.</w:t>
      </w:r>
    </w:p>
  </w:footnote>
  <w:footnote w:id="5">
    <w:p w:rsidR="00A109E3" w:rsidRDefault="00A109E3" w:rsidP="00554DF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rsidR="00A109E3" w:rsidRDefault="00A109E3" w:rsidP="00554DF4">
      <w:pPr>
        <w:pStyle w:val="Textonotapie"/>
      </w:pPr>
      <w:r>
        <w:rPr>
          <w:rStyle w:val="Refdenotaalpie"/>
        </w:rPr>
        <w:footnoteRef/>
      </w:r>
      <w:r>
        <w:t xml:space="preserve"> Artículo 150. Ley de Transparencia y Acceso a la Información Pública del Estado de México y Municipios.</w:t>
      </w:r>
    </w:p>
    <w:p w:rsidR="00A109E3" w:rsidRDefault="00A109E3" w:rsidP="00554DF4">
      <w:pPr>
        <w:pStyle w:val="Textonotapie"/>
      </w:pPr>
      <w:r>
        <w:t>Artículo 151. Ibídem.</w:t>
      </w:r>
    </w:p>
  </w:footnote>
  <w:footnote w:id="7">
    <w:p w:rsidR="00A109E3" w:rsidRDefault="00A109E3" w:rsidP="00554DF4">
      <w:pPr>
        <w:pStyle w:val="Textonotapie"/>
      </w:pPr>
      <w:r>
        <w:rPr>
          <w:rStyle w:val="Refdenotaalpie"/>
        </w:rPr>
        <w:footnoteRef/>
      </w:r>
      <w:r>
        <w:t xml:space="preserve"> Ley de Transparencia y Acceso a la Información Pública del Estado de México y Municipios. Artículo 9. …</w:t>
      </w:r>
    </w:p>
    <w:p w:rsidR="00A109E3" w:rsidRDefault="00A109E3" w:rsidP="00554DF4">
      <w:pPr>
        <w:pStyle w:val="Textonotapie"/>
      </w:pPr>
      <w:r>
        <w:t>II. Eficacia: Obligación del Instituto para tutelar, de manera efectiva, el derecho de acceso a la información;</w:t>
      </w:r>
    </w:p>
    <w:p w:rsidR="00A109E3" w:rsidRDefault="00A109E3" w:rsidP="00554DF4">
      <w:pPr>
        <w:pStyle w:val="Textonotapie"/>
      </w:pPr>
      <w:r>
        <w:t xml:space="preserve">… </w:t>
      </w:r>
    </w:p>
  </w:footnote>
  <w:footnote w:id="8">
    <w:p w:rsidR="00A109E3" w:rsidRDefault="00A109E3" w:rsidP="00B97C44">
      <w:pPr>
        <w:pStyle w:val="Textonotapie"/>
      </w:pPr>
      <w:r>
        <w:rPr>
          <w:rStyle w:val="Refdenotaalpie"/>
        </w:rPr>
        <w:footnoteRef/>
      </w:r>
      <w:r>
        <w:t xml:space="preserve"> </w:t>
      </w:r>
      <w:hyperlink r:id="rId2" w:history="1">
        <w:r>
          <w:rPr>
            <w:rStyle w:val="Hipervnculo"/>
          </w:rPr>
          <w:t>https://www.ine.mx/credencial/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109E3" w:rsidRPr="00EF13C1" w:rsidTr="00646380">
      <w:trPr>
        <w:trHeight w:val="138"/>
        <w:jc w:val="right"/>
      </w:trPr>
      <w:tc>
        <w:tcPr>
          <w:tcW w:w="2552" w:type="dxa"/>
          <w:vAlign w:val="center"/>
        </w:tcPr>
        <w:p w:rsidR="00A109E3" w:rsidRPr="00EF13C1" w:rsidRDefault="00A109E3"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A109E3" w:rsidRPr="00EF13C1" w:rsidRDefault="00A109E3" w:rsidP="00A109E3">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Pr="00883837">
            <w:rPr>
              <w:rFonts w:ascii="Palatino Linotype" w:hAnsi="Palatino Linotype" w:cs="Arial"/>
              <w:b/>
              <w:bCs/>
              <w:sz w:val="22"/>
              <w:szCs w:val="22"/>
              <w:lang w:eastAsia="es-MX"/>
            </w:rPr>
            <w:t>8</w:t>
          </w:r>
          <w:r>
            <w:rPr>
              <w:rFonts w:ascii="Palatino Linotype" w:hAnsi="Palatino Linotype" w:cs="Arial"/>
              <w:b/>
              <w:bCs/>
              <w:sz w:val="22"/>
              <w:szCs w:val="22"/>
              <w:lang w:eastAsia="es-MX"/>
            </w:rPr>
            <w:t>743/INFOEM/IP/RR/2019</w:t>
          </w:r>
        </w:p>
      </w:tc>
    </w:tr>
    <w:tr w:rsidR="00A109E3" w:rsidRPr="00EF13C1" w:rsidTr="00646380">
      <w:trPr>
        <w:trHeight w:val="233"/>
        <w:jc w:val="right"/>
      </w:trPr>
      <w:tc>
        <w:tcPr>
          <w:tcW w:w="2552" w:type="dxa"/>
          <w:vAlign w:val="center"/>
        </w:tcPr>
        <w:p w:rsidR="00A109E3" w:rsidRPr="00EF13C1" w:rsidRDefault="00A109E3" w:rsidP="00646380">
          <w:pPr>
            <w:rPr>
              <w:rFonts w:ascii="Palatino Linotype" w:hAnsi="Palatino Linotype"/>
              <w:b/>
              <w:sz w:val="22"/>
              <w:szCs w:val="22"/>
            </w:rPr>
          </w:pPr>
        </w:p>
      </w:tc>
      <w:tc>
        <w:tcPr>
          <w:tcW w:w="3826" w:type="dxa"/>
          <w:vAlign w:val="center"/>
        </w:tcPr>
        <w:p w:rsidR="00A109E3" w:rsidRPr="00EF13C1" w:rsidRDefault="00A109E3" w:rsidP="00141DF6">
          <w:pPr>
            <w:pStyle w:val="Encabezado"/>
            <w:jc w:val="center"/>
            <w:rPr>
              <w:rFonts w:ascii="Palatino Linotype" w:hAnsi="Palatino Linotype"/>
              <w:b/>
              <w:sz w:val="22"/>
              <w:szCs w:val="22"/>
            </w:rPr>
          </w:pPr>
        </w:p>
      </w:tc>
    </w:tr>
    <w:tr w:rsidR="00A109E3" w:rsidRPr="00EF13C1" w:rsidTr="00646380">
      <w:trPr>
        <w:trHeight w:val="321"/>
        <w:jc w:val="right"/>
      </w:trPr>
      <w:tc>
        <w:tcPr>
          <w:tcW w:w="2552" w:type="dxa"/>
          <w:vAlign w:val="center"/>
        </w:tcPr>
        <w:p w:rsidR="00A109E3" w:rsidRPr="00EF13C1" w:rsidRDefault="00A109E3"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A109E3" w:rsidRPr="00EF13C1" w:rsidRDefault="00A109E3" w:rsidP="00883837">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r w:rsidRPr="00A109E3">
            <w:rPr>
              <w:rFonts w:ascii="Palatino Linotype" w:hAnsi="Palatino Linotype"/>
              <w:b/>
              <w:bCs/>
              <w:sz w:val="22"/>
              <w:szCs w:val="22"/>
            </w:rPr>
            <w:t>San José del Rincón</w:t>
          </w:r>
        </w:p>
      </w:tc>
    </w:tr>
    <w:tr w:rsidR="00A109E3" w:rsidRPr="00EF13C1" w:rsidTr="00646380">
      <w:trPr>
        <w:trHeight w:val="321"/>
        <w:jc w:val="right"/>
      </w:trPr>
      <w:tc>
        <w:tcPr>
          <w:tcW w:w="2552" w:type="dxa"/>
          <w:vAlign w:val="center"/>
        </w:tcPr>
        <w:p w:rsidR="00A109E3" w:rsidRPr="00EF13C1" w:rsidRDefault="00A109E3"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A109E3" w:rsidRPr="00EF13C1" w:rsidRDefault="00A109E3"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A109E3" w:rsidRDefault="00A109E3"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A109E3" w:rsidRPr="00182113" w:rsidTr="00141DF6">
      <w:trPr>
        <w:trHeight w:val="138"/>
      </w:trPr>
      <w:tc>
        <w:tcPr>
          <w:tcW w:w="2532" w:type="dxa"/>
          <w:vAlign w:val="center"/>
        </w:tcPr>
        <w:p w:rsidR="00A109E3" w:rsidRPr="00EF13C1" w:rsidRDefault="00A109E3"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A109E3" w:rsidRPr="00EF13C1" w:rsidRDefault="00A109E3" w:rsidP="00A109E3">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08743/INFOEM/IP/RR/2019 </w:t>
          </w:r>
        </w:p>
      </w:tc>
      <w:tc>
        <w:tcPr>
          <w:tcW w:w="2532" w:type="dxa"/>
          <w:vAlign w:val="center"/>
        </w:tcPr>
        <w:p w:rsidR="00A109E3" w:rsidRPr="00182113" w:rsidRDefault="00A109E3" w:rsidP="00141DF6">
          <w:pPr>
            <w:rPr>
              <w:rFonts w:ascii="Palatino Linotype" w:hAnsi="Palatino Linotype"/>
              <w:b/>
              <w:sz w:val="22"/>
              <w:szCs w:val="22"/>
            </w:rPr>
          </w:pPr>
        </w:p>
      </w:tc>
      <w:tc>
        <w:tcPr>
          <w:tcW w:w="236" w:type="dxa"/>
          <w:vAlign w:val="center"/>
        </w:tcPr>
        <w:p w:rsidR="00A109E3" w:rsidRPr="00182113" w:rsidRDefault="00A109E3" w:rsidP="00141DF6">
          <w:pPr>
            <w:pStyle w:val="Encabezado"/>
            <w:jc w:val="center"/>
            <w:rPr>
              <w:rFonts w:ascii="Palatino Linotype" w:hAnsi="Palatino Linotype"/>
              <w:b/>
              <w:sz w:val="22"/>
              <w:szCs w:val="22"/>
            </w:rPr>
          </w:pPr>
        </w:p>
      </w:tc>
      <w:tc>
        <w:tcPr>
          <w:tcW w:w="3261" w:type="dxa"/>
          <w:vAlign w:val="center"/>
        </w:tcPr>
        <w:p w:rsidR="00A109E3" w:rsidRPr="00182113" w:rsidRDefault="00A109E3" w:rsidP="00141DF6">
          <w:pPr>
            <w:pStyle w:val="Encabezado"/>
            <w:rPr>
              <w:rFonts w:ascii="Palatino Linotype" w:hAnsi="Palatino Linotype"/>
              <w:b/>
              <w:sz w:val="22"/>
              <w:szCs w:val="22"/>
            </w:rPr>
          </w:pPr>
        </w:p>
      </w:tc>
    </w:tr>
    <w:tr w:rsidR="00A109E3" w:rsidRPr="00182113" w:rsidTr="00141DF6">
      <w:trPr>
        <w:trHeight w:val="227"/>
      </w:trPr>
      <w:tc>
        <w:tcPr>
          <w:tcW w:w="2532" w:type="dxa"/>
          <w:vAlign w:val="center"/>
        </w:tcPr>
        <w:p w:rsidR="00A109E3" w:rsidRPr="00EF13C1" w:rsidRDefault="00A109E3"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A109E3" w:rsidRPr="00794E7A" w:rsidRDefault="00794E7A" w:rsidP="00141DF6">
          <w:pPr>
            <w:pStyle w:val="Encabezado"/>
            <w:jc w:val="right"/>
            <w:rPr>
              <w:rFonts w:ascii="Palatino Linotype" w:hAnsi="Palatino Linotype"/>
              <w:b/>
              <w:sz w:val="22"/>
              <w:szCs w:val="22"/>
              <w:highlight w:val="black"/>
            </w:rPr>
          </w:pPr>
          <w:r w:rsidRPr="00794E7A">
            <w:rPr>
              <w:rFonts w:ascii="Palatino Linotype" w:hAnsi="Palatino Linotype"/>
              <w:b/>
              <w:sz w:val="22"/>
              <w:szCs w:val="22"/>
              <w:highlight w:val="black"/>
            </w:rPr>
            <w:t>--------------------------------------------------------------------------------------------------</w:t>
          </w:r>
        </w:p>
      </w:tc>
      <w:tc>
        <w:tcPr>
          <w:tcW w:w="2532" w:type="dxa"/>
          <w:vAlign w:val="center"/>
        </w:tcPr>
        <w:p w:rsidR="00A109E3" w:rsidRPr="00182113" w:rsidRDefault="00A109E3" w:rsidP="00141DF6">
          <w:pPr>
            <w:rPr>
              <w:rFonts w:ascii="Palatino Linotype" w:hAnsi="Palatino Linotype"/>
              <w:b/>
              <w:sz w:val="22"/>
              <w:szCs w:val="22"/>
            </w:rPr>
          </w:pPr>
        </w:p>
      </w:tc>
      <w:tc>
        <w:tcPr>
          <w:tcW w:w="236" w:type="dxa"/>
          <w:vAlign w:val="center"/>
        </w:tcPr>
        <w:p w:rsidR="00A109E3" w:rsidRPr="00182113" w:rsidRDefault="00A109E3" w:rsidP="00141DF6">
          <w:pPr>
            <w:pStyle w:val="Encabezado"/>
            <w:jc w:val="center"/>
            <w:rPr>
              <w:rFonts w:ascii="Palatino Linotype" w:hAnsi="Palatino Linotype"/>
              <w:b/>
              <w:sz w:val="22"/>
              <w:szCs w:val="22"/>
            </w:rPr>
          </w:pPr>
        </w:p>
      </w:tc>
      <w:tc>
        <w:tcPr>
          <w:tcW w:w="3261" w:type="dxa"/>
          <w:vAlign w:val="center"/>
        </w:tcPr>
        <w:p w:rsidR="00A109E3" w:rsidRPr="00182113" w:rsidRDefault="00A109E3" w:rsidP="00141DF6">
          <w:pPr>
            <w:pStyle w:val="Encabezado"/>
            <w:rPr>
              <w:rFonts w:ascii="Palatino Linotype" w:hAnsi="Palatino Linotype"/>
              <w:b/>
              <w:sz w:val="22"/>
              <w:szCs w:val="22"/>
            </w:rPr>
          </w:pPr>
        </w:p>
      </w:tc>
    </w:tr>
    <w:tr w:rsidR="00A109E3" w:rsidRPr="00182113" w:rsidTr="00141DF6">
      <w:trPr>
        <w:trHeight w:val="232"/>
      </w:trPr>
      <w:tc>
        <w:tcPr>
          <w:tcW w:w="2532" w:type="dxa"/>
          <w:vAlign w:val="center"/>
        </w:tcPr>
        <w:p w:rsidR="00A109E3" w:rsidRPr="00EF13C1" w:rsidRDefault="00A109E3"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A109E3" w:rsidRPr="00EF13C1" w:rsidRDefault="00A109E3" w:rsidP="00A109E3">
          <w:pPr>
            <w:pStyle w:val="Encabezado"/>
            <w:jc w:val="right"/>
            <w:rPr>
              <w:rFonts w:ascii="Palatino Linotype" w:hAnsi="Palatino Linotype"/>
              <w:b/>
              <w:sz w:val="22"/>
              <w:szCs w:val="22"/>
            </w:rPr>
          </w:pPr>
          <w:r>
            <w:rPr>
              <w:rFonts w:ascii="Palatino Linotype" w:hAnsi="Palatino Linotype"/>
              <w:b/>
              <w:bCs/>
              <w:sz w:val="22"/>
              <w:szCs w:val="22"/>
            </w:rPr>
            <w:t>Ayuntamiento de San José del Rincón</w:t>
          </w:r>
        </w:p>
      </w:tc>
      <w:tc>
        <w:tcPr>
          <w:tcW w:w="2532" w:type="dxa"/>
          <w:vAlign w:val="center"/>
        </w:tcPr>
        <w:p w:rsidR="00A109E3" w:rsidRPr="00182113" w:rsidRDefault="00A109E3" w:rsidP="00141DF6">
          <w:pPr>
            <w:rPr>
              <w:rFonts w:ascii="Palatino Linotype" w:hAnsi="Palatino Linotype"/>
              <w:b/>
              <w:sz w:val="22"/>
              <w:szCs w:val="22"/>
            </w:rPr>
          </w:pPr>
        </w:p>
      </w:tc>
      <w:tc>
        <w:tcPr>
          <w:tcW w:w="236" w:type="dxa"/>
          <w:vAlign w:val="center"/>
        </w:tcPr>
        <w:p w:rsidR="00A109E3" w:rsidRPr="00182113" w:rsidRDefault="00A109E3" w:rsidP="00141DF6">
          <w:pPr>
            <w:pStyle w:val="Encabezado"/>
            <w:jc w:val="center"/>
            <w:rPr>
              <w:rFonts w:ascii="Palatino Linotype" w:hAnsi="Palatino Linotype"/>
              <w:b/>
              <w:sz w:val="22"/>
              <w:szCs w:val="22"/>
            </w:rPr>
          </w:pPr>
        </w:p>
      </w:tc>
      <w:tc>
        <w:tcPr>
          <w:tcW w:w="3261" w:type="dxa"/>
          <w:vAlign w:val="center"/>
        </w:tcPr>
        <w:p w:rsidR="00A109E3" w:rsidRPr="00182113" w:rsidRDefault="00A109E3" w:rsidP="00141DF6">
          <w:pPr>
            <w:pStyle w:val="Encabezado"/>
            <w:rPr>
              <w:rFonts w:ascii="Palatino Linotype" w:hAnsi="Palatino Linotype"/>
              <w:b/>
              <w:sz w:val="22"/>
              <w:szCs w:val="22"/>
            </w:rPr>
          </w:pPr>
        </w:p>
      </w:tc>
    </w:tr>
    <w:tr w:rsidR="00A109E3" w:rsidRPr="00182113" w:rsidTr="00141DF6">
      <w:trPr>
        <w:trHeight w:val="320"/>
      </w:trPr>
      <w:tc>
        <w:tcPr>
          <w:tcW w:w="2532" w:type="dxa"/>
          <w:vAlign w:val="center"/>
        </w:tcPr>
        <w:p w:rsidR="00A109E3" w:rsidRPr="00EF13C1" w:rsidRDefault="00A109E3"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A109E3" w:rsidRPr="00EF13C1" w:rsidRDefault="00A109E3"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A109E3" w:rsidRPr="00182113" w:rsidRDefault="00A109E3" w:rsidP="00141DF6">
          <w:pPr>
            <w:rPr>
              <w:rFonts w:ascii="Palatino Linotype" w:hAnsi="Palatino Linotype"/>
              <w:b/>
              <w:sz w:val="22"/>
              <w:szCs w:val="22"/>
            </w:rPr>
          </w:pPr>
        </w:p>
      </w:tc>
      <w:tc>
        <w:tcPr>
          <w:tcW w:w="236" w:type="dxa"/>
          <w:vAlign w:val="center"/>
        </w:tcPr>
        <w:p w:rsidR="00A109E3" w:rsidRPr="00182113" w:rsidRDefault="00A109E3" w:rsidP="00141DF6">
          <w:pPr>
            <w:pStyle w:val="Encabezado"/>
            <w:jc w:val="center"/>
            <w:rPr>
              <w:rFonts w:ascii="Palatino Linotype" w:hAnsi="Palatino Linotype"/>
              <w:b/>
              <w:sz w:val="22"/>
              <w:szCs w:val="22"/>
            </w:rPr>
          </w:pPr>
        </w:p>
      </w:tc>
      <w:tc>
        <w:tcPr>
          <w:tcW w:w="3261" w:type="dxa"/>
          <w:vAlign w:val="center"/>
        </w:tcPr>
        <w:p w:rsidR="00A109E3" w:rsidRPr="00182113" w:rsidRDefault="00A109E3" w:rsidP="00141DF6">
          <w:pPr>
            <w:pStyle w:val="Encabezado"/>
            <w:rPr>
              <w:rFonts w:ascii="Palatino Linotype" w:hAnsi="Palatino Linotype"/>
              <w:b/>
              <w:sz w:val="22"/>
              <w:szCs w:val="22"/>
            </w:rPr>
          </w:pPr>
        </w:p>
      </w:tc>
    </w:tr>
  </w:tbl>
  <w:p w:rsidR="00A109E3" w:rsidRDefault="00A109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C4B90"/>
    <w:multiLevelType w:val="hybridMultilevel"/>
    <w:tmpl w:val="1368F106"/>
    <w:lvl w:ilvl="0" w:tplc="2BACE79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E08E7"/>
    <w:multiLevelType w:val="hybridMultilevel"/>
    <w:tmpl w:val="4A8EA8C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C40FE6"/>
    <w:multiLevelType w:val="hybridMultilevel"/>
    <w:tmpl w:val="8452BCC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 w:numId="9">
    <w:abstractNumId w:val="13"/>
  </w:num>
  <w:num w:numId="10">
    <w:abstractNumId w:val="3"/>
  </w:num>
  <w:num w:numId="11">
    <w:abstractNumId w:val="6"/>
  </w:num>
  <w:num w:numId="12">
    <w:abstractNumId w:val="17"/>
  </w:num>
  <w:num w:numId="13">
    <w:abstractNumId w:val="16"/>
  </w:num>
  <w:num w:numId="14">
    <w:abstractNumId w:val="16"/>
    <w:lvlOverride w:ilvl="0">
      <w:startOverride w:val="2"/>
    </w:lvlOverride>
  </w:num>
  <w:num w:numId="15">
    <w:abstractNumId w:val="16"/>
    <w:lvlOverride w:ilvl="0">
      <w:startOverride w:val="3"/>
    </w:lvlOverride>
  </w:num>
  <w:num w:numId="16">
    <w:abstractNumId w:val="16"/>
    <w:lvlOverride w:ilvl="0">
      <w:startOverride w:val="4"/>
    </w:lvlOverride>
  </w:num>
  <w:num w:numId="17">
    <w:abstractNumId w:val="16"/>
    <w:lvlOverride w:ilvl="0">
      <w:startOverride w:val="5"/>
    </w:lvlOverride>
  </w:num>
  <w:num w:numId="18">
    <w:abstractNumId w:val="14"/>
  </w:num>
  <w:num w:numId="19">
    <w:abstractNumId w:val="12"/>
  </w:num>
  <w:num w:numId="20">
    <w:abstractNumId w:val="9"/>
  </w:num>
  <w:num w:numId="21">
    <w:abstractNumId w:val="15"/>
  </w:num>
  <w:num w:numId="22">
    <w:abstractNumId w:val="5"/>
  </w:num>
  <w:num w:numId="23">
    <w:abstractNumId w:val="2"/>
  </w:num>
  <w:num w:numId="24">
    <w:abstractNumId w:val="4"/>
  </w:num>
  <w:num w:numId="25">
    <w:abstractNumId w:val="18"/>
  </w:num>
  <w:num w:numId="26">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205C3"/>
    <w:rsid w:val="00020A79"/>
    <w:rsid w:val="000218CD"/>
    <w:rsid w:val="00021CFC"/>
    <w:rsid w:val="00021EFC"/>
    <w:rsid w:val="000274EF"/>
    <w:rsid w:val="00031362"/>
    <w:rsid w:val="00032ED4"/>
    <w:rsid w:val="000343D4"/>
    <w:rsid w:val="0003577B"/>
    <w:rsid w:val="00036E69"/>
    <w:rsid w:val="000404FD"/>
    <w:rsid w:val="0004269C"/>
    <w:rsid w:val="00045D8E"/>
    <w:rsid w:val="000463AC"/>
    <w:rsid w:val="000471A3"/>
    <w:rsid w:val="000550E9"/>
    <w:rsid w:val="00055C0B"/>
    <w:rsid w:val="00057046"/>
    <w:rsid w:val="00061B8C"/>
    <w:rsid w:val="00066351"/>
    <w:rsid w:val="000663DD"/>
    <w:rsid w:val="0007491E"/>
    <w:rsid w:val="00075A4C"/>
    <w:rsid w:val="00091880"/>
    <w:rsid w:val="00092CD4"/>
    <w:rsid w:val="00094259"/>
    <w:rsid w:val="00096AFD"/>
    <w:rsid w:val="000A203F"/>
    <w:rsid w:val="000A2541"/>
    <w:rsid w:val="000A46A2"/>
    <w:rsid w:val="000A79E0"/>
    <w:rsid w:val="000B0650"/>
    <w:rsid w:val="000B3BC1"/>
    <w:rsid w:val="000C37A1"/>
    <w:rsid w:val="000C524E"/>
    <w:rsid w:val="000D4FCC"/>
    <w:rsid w:val="000D567E"/>
    <w:rsid w:val="000D62D7"/>
    <w:rsid w:val="000E03A9"/>
    <w:rsid w:val="000E04B9"/>
    <w:rsid w:val="000E053C"/>
    <w:rsid w:val="000E10C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8AF"/>
    <w:rsid w:val="001319DC"/>
    <w:rsid w:val="00132F24"/>
    <w:rsid w:val="00133116"/>
    <w:rsid w:val="001336BF"/>
    <w:rsid w:val="001342EB"/>
    <w:rsid w:val="00140005"/>
    <w:rsid w:val="00141DF6"/>
    <w:rsid w:val="00144456"/>
    <w:rsid w:val="0014528A"/>
    <w:rsid w:val="00145959"/>
    <w:rsid w:val="00150242"/>
    <w:rsid w:val="0015151E"/>
    <w:rsid w:val="001515F1"/>
    <w:rsid w:val="001520C4"/>
    <w:rsid w:val="0015267F"/>
    <w:rsid w:val="0015525D"/>
    <w:rsid w:val="00156A90"/>
    <w:rsid w:val="00162483"/>
    <w:rsid w:val="001624FE"/>
    <w:rsid w:val="00163041"/>
    <w:rsid w:val="00163F26"/>
    <w:rsid w:val="00166171"/>
    <w:rsid w:val="00167218"/>
    <w:rsid w:val="001672EA"/>
    <w:rsid w:val="00170DEE"/>
    <w:rsid w:val="001715AF"/>
    <w:rsid w:val="001720F9"/>
    <w:rsid w:val="00173525"/>
    <w:rsid w:val="00182731"/>
    <w:rsid w:val="001846A4"/>
    <w:rsid w:val="001864B6"/>
    <w:rsid w:val="00187676"/>
    <w:rsid w:val="00192EC4"/>
    <w:rsid w:val="00196809"/>
    <w:rsid w:val="0019703D"/>
    <w:rsid w:val="001A160C"/>
    <w:rsid w:val="001A4BC9"/>
    <w:rsid w:val="001A556A"/>
    <w:rsid w:val="001A7D74"/>
    <w:rsid w:val="001B0E38"/>
    <w:rsid w:val="001B2A18"/>
    <w:rsid w:val="001B3D20"/>
    <w:rsid w:val="001B48A5"/>
    <w:rsid w:val="001B7FCE"/>
    <w:rsid w:val="001C0763"/>
    <w:rsid w:val="001C0F74"/>
    <w:rsid w:val="001C1F82"/>
    <w:rsid w:val="001C32D4"/>
    <w:rsid w:val="001C401F"/>
    <w:rsid w:val="001C6037"/>
    <w:rsid w:val="001C6B98"/>
    <w:rsid w:val="001C7C47"/>
    <w:rsid w:val="001D5999"/>
    <w:rsid w:val="001D5D25"/>
    <w:rsid w:val="001D5F4A"/>
    <w:rsid w:val="001D6496"/>
    <w:rsid w:val="001E673C"/>
    <w:rsid w:val="001E69EF"/>
    <w:rsid w:val="001F02A3"/>
    <w:rsid w:val="001F1A61"/>
    <w:rsid w:val="001F27F5"/>
    <w:rsid w:val="001F2B1D"/>
    <w:rsid w:val="001F6878"/>
    <w:rsid w:val="001F7B21"/>
    <w:rsid w:val="00201C80"/>
    <w:rsid w:val="00203DB6"/>
    <w:rsid w:val="002065EF"/>
    <w:rsid w:val="0021062B"/>
    <w:rsid w:val="0021398B"/>
    <w:rsid w:val="002146B1"/>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7EAE"/>
    <w:rsid w:val="00241128"/>
    <w:rsid w:val="0024503C"/>
    <w:rsid w:val="00245255"/>
    <w:rsid w:val="002456EB"/>
    <w:rsid w:val="002459BD"/>
    <w:rsid w:val="0025652B"/>
    <w:rsid w:val="00256D0A"/>
    <w:rsid w:val="00260E8C"/>
    <w:rsid w:val="00262949"/>
    <w:rsid w:val="002644B7"/>
    <w:rsid w:val="002655B2"/>
    <w:rsid w:val="00266D19"/>
    <w:rsid w:val="00266F04"/>
    <w:rsid w:val="00271ADB"/>
    <w:rsid w:val="00271AF3"/>
    <w:rsid w:val="00273E6D"/>
    <w:rsid w:val="002748FD"/>
    <w:rsid w:val="00274D1E"/>
    <w:rsid w:val="00274DA0"/>
    <w:rsid w:val="00274E75"/>
    <w:rsid w:val="00276B36"/>
    <w:rsid w:val="002770B1"/>
    <w:rsid w:val="0027779A"/>
    <w:rsid w:val="00277AA5"/>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3F81"/>
    <w:rsid w:val="002D7BFD"/>
    <w:rsid w:val="002E01F3"/>
    <w:rsid w:val="002E2041"/>
    <w:rsid w:val="002E4801"/>
    <w:rsid w:val="002F1198"/>
    <w:rsid w:val="002F37F6"/>
    <w:rsid w:val="002F41D4"/>
    <w:rsid w:val="002F42C6"/>
    <w:rsid w:val="002F4E9B"/>
    <w:rsid w:val="003006D4"/>
    <w:rsid w:val="00300AC1"/>
    <w:rsid w:val="00302FF6"/>
    <w:rsid w:val="00311921"/>
    <w:rsid w:val="00316A85"/>
    <w:rsid w:val="00316E45"/>
    <w:rsid w:val="00322592"/>
    <w:rsid w:val="00323479"/>
    <w:rsid w:val="003243D0"/>
    <w:rsid w:val="003337B5"/>
    <w:rsid w:val="00334D63"/>
    <w:rsid w:val="003354E1"/>
    <w:rsid w:val="0033655A"/>
    <w:rsid w:val="00341141"/>
    <w:rsid w:val="003438A7"/>
    <w:rsid w:val="0034418B"/>
    <w:rsid w:val="003477AB"/>
    <w:rsid w:val="003520B3"/>
    <w:rsid w:val="00352347"/>
    <w:rsid w:val="00352F58"/>
    <w:rsid w:val="003530F1"/>
    <w:rsid w:val="00356876"/>
    <w:rsid w:val="00357218"/>
    <w:rsid w:val="00360C39"/>
    <w:rsid w:val="0036237D"/>
    <w:rsid w:val="00366760"/>
    <w:rsid w:val="0036737F"/>
    <w:rsid w:val="0036741F"/>
    <w:rsid w:val="00373F0F"/>
    <w:rsid w:val="0038111F"/>
    <w:rsid w:val="00382C85"/>
    <w:rsid w:val="00385622"/>
    <w:rsid w:val="003916EC"/>
    <w:rsid w:val="00392960"/>
    <w:rsid w:val="003950A7"/>
    <w:rsid w:val="003977F2"/>
    <w:rsid w:val="003A1075"/>
    <w:rsid w:val="003A3A45"/>
    <w:rsid w:val="003A75A4"/>
    <w:rsid w:val="003A7F47"/>
    <w:rsid w:val="003B0404"/>
    <w:rsid w:val="003B1C04"/>
    <w:rsid w:val="003B26E6"/>
    <w:rsid w:val="003B31C0"/>
    <w:rsid w:val="003B3BE1"/>
    <w:rsid w:val="003C2170"/>
    <w:rsid w:val="003C233B"/>
    <w:rsid w:val="003C2EEA"/>
    <w:rsid w:val="003C53A5"/>
    <w:rsid w:val="003C76B3"/>
    <w:rsid w:val="003C7AB3"/>
    <w:rsid w:val="003D0613"/>
    <w:rsid w:val="003D59AE"/>
    <w:rsid w:val="003D6FEA"/>
    <w:rsid w:val="003E000F"/>
    <w:rsid w:val="003E1028"/>
    <w:rsid w:val="003E10C7"/>
    <w:rsid w:val="003E1ACD"/>
    <w:rsid w:val="003F369B"/>
    <w:rsid w:val="003F4747"/>
    <w:rsid w:val="003F688E"/>
    <w:rsid w:val="003F7AE2"/>
    <w:rsid w:val="003F7E47"/>
    <w:rsid w:val="00400CBE"/>
    <w:rsid w:val="00405905"/>
    <w:rsid w:val="00405F39"/>
    <w:rsid w:val="00413FE7"/>
    <w:rsid w:val="0041566F"/>
    <w:rsid w:val="00415864"/>
    <w:rsid w:val="00420A1F"/>
    <w:rsid w:val="004246CF"/>
    <w:rsid w:val="0042724E"/>
    <w:rsid w:val="004311BF"/>
    <w:rsid w:val="00433978"/>
    <w:rsid w:val="0043492B"/>
    <w:rsid w:val="00443AB4"/>
    <w:rsid w:val="00443C87"/>
    <w:rsid w:val="0044467F"/>
    <w:rsid w:val="00446859"/>
    <w:rsid w:val="00450462"/>
    <w:rsid w:val="00450C1E"/>
    <w:rsid w:val="0045387B"/>
    <w:rsid w:val="00456B4C"/>
    <w:rsid w:val="00457FE4"/>
    <w:rsid w:val="004638E4"/>
    <w:rsid w:val="00465214"/>
    <w:rsid w:val="0046559A"/>
    <w:rsid w:val="00473FB2"/>
    <w:rsid w:val="00474D8F"/>
    <w:rsid w:val="00475B56"/>
    <w:rsid w:val="004817DA"/>
    <w:rsid w:val="00483E81"/>
    <w:rsid w:val="00484F9A"/>
    <w:rsid w:val="00485D79"/>
    <w:rsid w:val="00486B61"/>
    <w:rsid w:val="00490A69"/>
    <w:rsid w:val="004915E2"/>
    <w:rsid w:val="00492774"/>
    <w:rsid w:val="00493DF5"/>
    <w:rsid w:val="00493FD5"/>
    <w:rsid w:val="0049508E"/>
    <w:rsid w:val="00496F1E"/>
    <w:rsid w:val="004A18C9"/>
    <w:rsid w:val="004A2C19"/>
    <w:rsid w:val="004A4715"/>
    <w:rsid w:val="004A52A6"/>
    <w:rsid w:val="004A7BB6"/>
    <w:rsid w:val="004B019D"/>
    <w:rsid w:val="004B40AF"/>
    <w:rsid w:val="004B5E61"/>
    <w:rsid w:val="004C6DD1"/>
    <w:rsid w:val="004C775C"/>
    <w:rsid w:val="004D60FB"/>
    <w:rsid w:val="004D6254"/>
    <w:rsid w:val="004D6310"/>
    <w:rsid w:val="004D65D4"/>
    <w:rsid w:val="004E1E1B"/>
    <w:rsid w:val="004E202B"/>
    <w:rsid w:val="004E2942"/>
    <w:rsid w:val="004E30FA"/>
    <w:rsid w:val="004E46DE"/>
    <w:rsid w:val="004E747E"/>
    <w:rsid w:val="004F2039"/>
    <w:rsid w:val="004F2755"/>
    <w:rsid w:val="004F6C8A"/>
    <w:rsid w:val="004F7B23"/>
    <w:rsid w:val="004F7EE3"/>
    <w:rsid w:val="00500359"/>
    <w:rsid w:val="00500675"/>
    <w:rsid w:val="00500D9A"/>
    <w:rsid w:val="005044D6"/>
    <w:rsid w:val="00504780"/>
    <w:rsid w:val="0050618A"/>
    <w:rsid w:val="00513071"/>
    <w:rsid w:val="00513336"/>
    <w:rsid w:val="0051467E"/>
    <w:rsid w:val="0051509C"/>
    <w:rsid w:val="005200F5"/>
    <w:rsid w:val="0052012D"/>
    <w:rsid w:val="005212A5"/>
    <w:rsid w:val="005234DE"/>
    <w:rsid w:val="00524962"/>
    <w:rsid w:val="005272BF"/>
    <w:rsid w:val="00530E6E"/>
    <w:rsid w:val="0053423A"/>
    <w:rsid w:val="00534605"/>
    <w:rsid w:val="00541AC9"/>
    <w:rsid w:val="00543B5B"/>
    <w:rsid w:val="00546D26"/>
    <w:rsid w:val="005472AB"/>
    <w:rsid w:val="00550CB1"/>
    <w:rsid w:val="00550DA9"/>
    <w:rsid w:val="0055170E"/>
    <w:rsid w:val="005540A0"/>
    <w:rsid w:val="00554DF4"/>
    <w:rsid w:val="0055717D"/>
    <w:rsid w:val="0056331C"/>
    <w:rsid w:val="00566C07"/>
    <w:rsid w:val="0056738A"/>
    <w:rsid w:val="00570FDC"/>
    <w:rsid w:val="00571A57"/>
    <w:rsid w:val="00580D78"/>
    <w:rsid w:val="00582A53"/>
    <w:rsid w:val="00583AB6"/>
    <w:rsid w:val="005855B3"/>
    <w:rsid w:val="00585CCF"/>
    <w:rsid w:val="00587D80"/>
    <w:rsid w:val="005933EC"/>
    <w:rsid w:val="0059406B"/>
    <w:rsid w:val="005949E1"/>
    <w:rsid w:val="005A1327"/>
    <w:rsid w:val="005B02E5"/>
    <w:rsid w:val="005B0AB7"/>
    <w:rsid w:val="005B34DC"/>
    <w:rsid w:val="005B3C42"/>
    <w:rsid w:val="005B4009"/>
    <w:rsid w:val="005C46E9"/>
    <w:rsid w:val="005C5C3E"/>
    <w:rsid w:val="005C6A6F"/>
    <w:rsid w:val="005D182C"/>
    <w:rsid w:val="005D258B"/>
    <w:rsid w:val="005D31E4"/>
    <w:rsid w:val="005D4B68"/>
    <w:rsid w:val="005E06DC"/>
    <w:rsid w:val="005E10C3"/>
    <w:rsid w:val="005E1D42"/>
    <w:rsid w:val="005E22B0"/>
    <w:rsid w:val="005E2E2B"/>
    <w:rsid w:val="005E3616"/>
    <w:rsid w:val="005E6C51"/>
    <w:rsid w:val="005E6EC8"/>
    <w:rsid w:val="005F53F8"/>
    <w:rsid w:val="005F6D7D"/>
    <w:rsid w:val="00602483"/>
    <w:rsid w:val="006027FD"/>
    <w:rsid w:val="00604915"/>
    <w:rsid w:val="00605332"/>
    <w:rsid w:val="0060769D"/>
    <w:rsid w:val="0061346B"/>
    <w:rsid w:val="00616EC9"/>
    <w:rsid w:val="00617E6C"/>
    <w:rsid w:val="00617EB5"/>
    <w:rsid w:val="00621D34"/>
    <w:rsid w:val="00622BFB"/>
    <w:rsid w:val="006240BC"/>
    <w:rsid w:val="0062698E"/>
    <w:rsid w:val="0062799B"/>
    <w:rsid w:val="00630DD2"/>
    <w:rsid w:val="00632219"/>
    <w:rsid w:val="006339F3"/>
    <w:rsid w:val="00640FFB"/>
    <w:rsid w:val="006414BE"/>
    <w:rsid w:val="00644191"/>
    <w:rsid w:val="00644FEC"/>
    <w:rsid w:val="006456DF"/>
    <w:rsid w:val="00646380"/>
    <w:rsid w:val="00651373"/>
    <w:rsid w:val="006514CA"/>
    <w:rsid w:val="00654CE8"/>
    <w:rsid w:val="0065568B"/>
    <w:rsid w:val="006566D0"/>
    <w:rsid w:val="00660D0F"/>
    <w:rsid w:val="006650CC"/>
    <w:rsid w:val="00666351"/>
    <w:rsid w:val="00666B58"/>
    <w:rsid w:val="00671EE2"/>
    <w:rsid w:val="006740AD"/>
    <w:rsid w:val="006758D9"/>
    <w:rsid w:val="00684855"/>
    <w:rsid w:val="00685022"/>
    <w:rsid w:val="00685C1F"/>
    <w:rsid w:val="00686CB3"/>
    <w:rsid w:val="00693768"/>
    <w:rsid w:val="00695DD2"/>
    <w:rsid w:val="006A2124"/>
    <w:rsid w:val="006A4E52"/>
    <w:rsid w:val="006A5CB3"/>
    <w:rsid w:val="006A67CD"/>
    <w:rsid w:val="006A6CC5"/>
    <w:rsid w:val="006B0028"/>
    <w:rsid w:val="006B009B"/>
    <w:rsid w:val="006B1786"/>
    <w:rsid w:val="006B1CCF"/>
    <w:rsid w:val="006B22CF"/>
    <w:rsid w:val="006B3D8E"/>
    <w:rsid w:val="006B4C4D"/>
    <w:rsid w:val="006C084A"/>
    <w:rsid w:val="006C1A67"/>
    <w:rsid w:val="006C293F"/>
    <w:rsid w:val="006C37D6"/>
    <w:rsid w:val="006C3D1D"/>
    <w:rsid w:val="006C43CD"/>
    <w:rsid w:val="006D21E4"/>
    <w:rsid w:val="006D6CCC"/>
    <w:rsid w:val="006E1918"/>
    <w:rsid w:val="006E3AC2"/>
    <w:rsid w:val="006E4CE1"/>
    <w:rsid w:val="006E53A9"/>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5A86"/>
    <w:rsid w:val="007307EA"/>
    <w:rsid w:val="00731E6E"/>
    <w:rsid w:val="007338EF"/>
    <w:rsid w:val="007401AD"/>
    <w:rsid w:val="00740D89"/>
    <w:rsid w:val="00742C51"/>
    <w:rsid w:val="00745072"/>
    <w:rsid w:val="00746CAC"/>
    <w:rsid w:val="007473A6"/>
    <w:rsid w:val="00747BD2"/>
    <w:rsid w:val="00755CC3"/>
    <w:rsid w:val="00756E1A"/>
    <w:rsid w:val="00757201"/>
    <w:rsid w:val="00757EFE"/>
    <w:rsid w:val="0076044B"/>
    <w:rsid w:val="007604AA"/>
    <w:rsid w:val="00766EB6"/>
    <w:rsid w:val="007740EB"/>
    <w:rsid w:val="007763D4"/>
    <w:rsid w:val="0078539D"/>
    <w:rsid w:val="00785B79"/>
    <w:rsid w:val="00794037"/>
    <w:rsid w:val="00794E7A"/>
    <w:rsid w:val="00795D3A"/>
    <w:rsid w:val="00795EA1"/>
    <w:rsid w:val="00796727"/>
    <w:rsid w:val="00796D7E"/>
    <w:rsid w:val="007A53F9"/>
    <w:rsid w:val="007B3254"/>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644F"/>
    <w:rsid w:val="007F175E"/>
    <w:rsid w:val="007F27B2"/>
    <w:rsid w:val="007F5923"/>
    <w:rsid w:val="007F611D"/>
    <w:rsid w:val="007F7C18"/>
    <w:rsid w:val="008004BE"/>
    <w:rsid w:val="00801CB0"/>
    <w:rsid w:val="00805C58"/>
    <w:rsid w:val="008078B6"/>
    <w:rsid w:val="00807FD2"/>
    <w:rsid w:val="0081044D"/>
    <w:rsid w:val="00811F2A"/>
    <w:rsid w:val="00812C54"/>
    <w:rsid w:val="00816BA0"/>
    <w:rsid w:val="00821599"/>
    <w:rsid w:val="00826715"/>
    <w:rsid w:val="00826DBC"/>
    <w:rsid w:val="00827373"/>
    <w:rsid w:val="00830751"/>
    <w:rsid w:val="00833DF1"/>
    <w:rsid w:val="00835853"/>
    <w:rsid w:val="00837A65"/>
    <w:rsid w:val="00840C2D"/>
    <w:rsid w:val="008427BB"/>
    <w:rsid w:val="00843D41"/>
    <w:rsid w:val="00844254"/>
    <w:rsid w:val="00847AFB"/>
    <w:rsid w:val="008503FC"/>
    <w:rsid w:val="0085232E"/>
    <w:rsid w:val="00852825"/>
    <w:rsid w:val="00854A7E"/>
    <w:rsid w:val="008553BE"/>
    <w:rsid w:val="008555E0"/>
    <w:rsid w:val="00856687"/>
    <w:rsid w:val="00857345"/>
    <w:rsid w:val="00860BA4"/>
    <w:rsid w:val="00863F69"/>
    <w:rsid w:val="00865B1E"/>
    <w:rsid w:val="008706E3"/>
    <w:rsid w:val="00872FF9"/>
    <w:rsid w:val="00873B93"/>
    <w:rsid w:val="00881FAD"/>
    <w:rsid w:val="00883837"/>
    <w:rsid w:val="00885AF2"/>
    <w:rsid w:val="00886B78"/>
    <w:rsid w:val="00891001"/>
    <w:rsid w:val="00892C42"/>
    <w:rsid w:val="00892DFF"/>
    <w:rsid w:val="00895C56"/>
    <w:rsid w:val="00896802"/>
    <w:rsid w:val="00897A58"/>
    <w:rsid w:val="008A1EB9"/>
    <w:rsid w:val="008A4423"/>
    <w:rsid w:val="008B0105"/>
    <w:rsid w:val="008B1732"/>
    <w:rsid w:val="008B4115"/>
    <w:rsid w:val="008B48E5"/>
    <w:rsid w:val="008B575A"/>
    <w:rsid w:val="008B6A29"/>
    <w:rsid w:val="008B6F5F"/>
    <w:rsid w:val="008B768C"/>
    <w:rsid w:val="008C1660"/>
    <w:rsid w:val="008C31DF"/>
    <w:rsid w:val="008C40D3"/>
    <w:rsid w:val="008D11BC"/>
    <w:rsid w:val="008D42C3"/>
    <w:rsid w:val="008D59C7"/>
    <w:rsid w:val="008D5FE3"/>
    <w:rsid w:val="008D6200"/>
    <w:rsid w:val="008D75F0"/>
    <w:rsid w:val="008E5C56"/>
    <w:rsid w:val="008E6106"/>
    <w:rsid w:val="008E78E7"/>
    <w:rsid w:val="008F284F"/>
    <w:rsid w:val="008F6153"/>
    <w:rsid w:val="008F61D4"/>
    <w:rsid w:val="008F7333"/>
    <w:rsid w:val="008F7F5F"/>
    <w:rsid w:val="0090334F"/>
    <w:rsid w:val="00916C74"/>
    <w:rsid w:val="00923DF9"/>
    <w:rsid w:val="00924B1A"/>
    <w:rsid w:val="0092505E"/>
    <w:rsid w:val="0092772E"/>
    <w:rsid w:val="00933B2F"/>
    <w:rsid w:val="00936B23"/>
    <w:rsid w:val="009400E4"/>
    <w:rsid w:val="00941CA4"/>
    <w:rsid w:val="00941F93"/>
    <w:rsid w:val="00943DBF"/>
    <w:rsid w:val="0094493D"/>
    <w:rsid w:val="009472D4"/>
    <w:rsid w:val="00950645"/>
    <w:rsid w:val="009510E0"/>
    <w:rsid w:val="009541F4"/>
    <w:rsid w:val="0095457D"/>
    <w:rsid w:val="00954B5F"/>
    <w:rsid w:val="00954B82"/>
    <w:rsid w:val="00954FB9"/>
    <w:rsid w:val="009603EC"/>
    <w:rsid w:val="00962CAE"/>
    <w:rsid w:val="009660E6"/>
    <w:rsid w:val="00970964"/>
    <w:rsid w:val="00970F94"/>
    <w:rsid w:val="00971105"/>
    <w:rsid w:val="00976E5F"/>
    <w:rsid w:val="0097749D"/>
    <w:rsid w:val="00980652"/>
    <w:rsid w:val="009848D4"/>
    <w:rsid w:val="009947E6"/>
    <w:rsid w:val="00996A7E"/>
    <w:rsid w:val="009A30B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B58"/>
    <w:rsid w:val="009D4D36"/>
    <w:rsid w:val="009D62BC"/>
    <w:rsid w:val="009E0CF4"/>
    <w:rsid w:val="009E1568"/>
    <w:rsid w:val="009E5696"/>
    <w:rsid w:val="009F144C"/>
    <w:rsid w:val="009F1491"/>
    <w:rsid w:val="009F5288"/>
    <w:rsid w:val="00A02087"/>
    <w:rsid w:val="00A109E3"/>
    <w:rsid w:val="00A1302E"/>
    <w:rsid w:val="00A1731C"/>
    <w:rsid w:val="00A21FB0"/>
    <w:rsid w:val="00A22BE6"/>
    <w:rsid w:val="00A25F73"/>
    <w:rsid w:val="00A2754B"/>
    <w:rsid w:val="00A30000"/>
    <w:rsid w:val="00A3464C"/>
    <w:rsid w:val="00A349F8"/>
    <w:rsid w:val="00A359E8"/>
    <w:rsid w:val="00A40493"/>
    <w:rsid w:val="00A41C80"/>
    <w:rsid w:val="00A42F27"/>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E7"/>
    <w:rsid w:val="00A82194"/>
    <w:rsid w:val="00A828E4"/>
    <w:rsid w:val="00A848FC"/>
    <w:rsid w:val="00A86534"/>
    <w:rsid w:val="00A86541"/>
    <w:rsid w:val="00A8727A"/>
    <w:rsid w:val="00A9281A"/>
    <w:rsid w:val="00A9421A"/>
    <w:rsid w:val="00A9637C"/>
    <w:rsid w:val="00AA15CC"/>
    <w:rsid w:val="00AA311C"/>
    <w:rsid w:val="00AB0497"/>
    <w:rsid w:val="00AB21D6"/>
    <w:rsid w:val="00AB2713"/>
    <w:rsid w:val="00AB3D5A"/>
    <w:rsid w:val="00AB3E67"/>
    <w:rsid w:val="00AB43B1"/>
    <w:rsid w:val="00AB679F"/>
    <w:rsid w:val="00AB6C1E"/>
    <w:rsid w:val="00AC3C31"/>
    <w:rsid w:val="00AC6FC5"/>
    <w:rsid w:val="00AC7D50"/>
    <w:rsid w:val="00AC7DFC"/>
    <w:rsid w:val="00AD184C"/>
    <w:rsid w:val="00AD2AF6"/>
    <w:rsid w:val="00AD4EB3"/>
    <w:rsid w:val="00AE094B"/>
    <w:rsid w:val="00AE1DD5"/>
    <w:rsid w:val="00AE5ED3"/>
    <w:rsid w:val="00AE6A0C"/>
    <w:rsid w:val="00AF064C"/>
    <w:rsid w:val="00AF0D0E"/>
    <w:rsid w:val="00B01F10"/>
    <w:rsid w:val="00B024CD"/>
    <w:rsid w:val="00B04311"/>
    <w:rsid w:val="00B06DC5"/>
    <w:rsid w:val="00B06E30"/>
    <w:rsid w:val="00B07912"/>
    <w:rsid w:val="00B07E62"/>
    <w:rsid w:val="00B1149A"/>
    <w:rsid w:val="00B12F05"/>
    <w:rsid w:val="00B13BA4"/>
    <w:rsid w:val="00B14AF0"/>
    <w:rsid w:val="00B14EF2"/>
    <w:rsid w:val="00B165CC"/>
    <w:rsid w:val="00B16FB2"/>
    <w:rsid w:val="00B20268"/>
    <w:rsid w:val="00B21140"/>
    <w:rsid w:val="00B216D8"/>
    <w:rsid w:val="00B22D36"/>
    <w:rsid w:val="00B247C4"/>
    <w:rsid w:val="00B24B4D"/>
    <w:rsid w:val="00B258AA"/>
    <w:rsid w:val="00B34623"/>
    <w:rsid w:val="00B353DF"/>
    <w:rsid w:val="00B36CBB"/>
    <w:rsid w:val="00B37C23"/>
    <w:rsid w:val="00B40212"/>
    <w:rsid w:val="00B40B5C"/>
    <w:rsid w:val="00B50B83"/>
    <w:rsid w:val="00B5288F"/>
    <w:rsid w:val="00B5361E"/>
    <w:rsid w:val="00B55D4A"/>
    <w:rsid w:val="00B55EEC"/>
    <w:rsid w:val="00B61ED9"/>
    <w:rsid w:val="00B62D3A"/>
    <w:rsid w:val="00B62DE1"/>
    <w:rsid w:val="00B64D15"/>
    <w:rsid w:val="00B65F93"/>
    <w:rsid w:val="00B723EB"/>
    <w:rsid w:val="00B74A03"/>
    <w:rsid w:val="00B82B69"/>
    <w:rsid w:val="00B91C15"/>
    <w:rsid w:val="00B91D5C"/>
    <w:rsid w:val="00B9311E"/>
    <w:rsid w:val="00B95C98"/>
    <w:rsid w:val="00B962E1"/>
    <w:rsid w:val="00B97C44"/>
    <w:rsid w:val="00BA1118"/>
    <w:rsid w:val="00BA16B2"/>
    <w:rsid w:val="00BA2730"/>
    <w:rsid w:val="00BA76D6"/>
    <w:rsid w:val="00BB3360"/>
    <w:rsid w:val="00BB3486"/>
    <w:rsid w:val="00BB383B"/>
    <w:rsid w:val="00BB4217"/>
    <w:rsid w:val="00BB5E45"/>
    <w:rsid w:val="00BB7073"/>
    <w:rsid w:val="00BB7618"/>
    <w:rsid w:val="00BC0ABE"/>
    <w:rsid w:val="00BC1428"/>
    <w:rsid w:val="00BC259E"/>
    <w:rsid w:val="00BD13E9"/>
    <w:rsid w:val="00BD2091"/>
    <w:rsid w:val="00BD4F16"/>
    <w:rsid w:val="00BD5621"/>
    <w:rsid w:val="00BE0B34"/>
    <w:rsid w:val="00BE1F56"/>
    <w:rsid w:val="00BE3633"/>
    <w:rsid w:val="00BE3B9E"/>
    <w:rsid w:val="00BE7690"/>
    <w:rsid w:val="00BE7859"/>
    <w:rsid w:val="00BF2E59"/>
    <w:rsid w:val="00BF5406"/>
    <w:rsid w:val="00BF7759"/>
    <w:rsid w:val="00C00901"/>
    <w:rsid w:val="00C11558"/>
    <w:rsid w:val="00C11A40"/>
    <w:rsid w:val="00C11D32"/>
    <w:rsid w:val="00C11FEA"/>
    <w:rsid w:val="00C156B2"/>
    <w:rsid w:val="00C22445"/>
    <w:rsid w:val="00C24901"/>
    <w:rsid w:val="00C306D3"/>
    <w:rsid w:val="00C33621"/>
    <w:rsid w:val="00C353A3"/>
    <w:rsid w:val="00C36247"/>
    <w:rsid w:val="00C366FF"/>
    <w:rsid w:val="00C4140A"/>
    <w:rsid w:val="00C4149D"/>
    <w:rsid w:val="00C41A2E"/>
    <w:rsid w:val="00C4225D"/>
    <w:rsid w:val="00C434DD"/>
    <w:rsid w:val="00C43B58"/>
    <w:rsid w:val="00C44FEF"/>
    <w:rsid w:val="00C45590"/>
    <w:rsid w:val="00C507C8"/>
    <w:rsid w:val="00C509A4"/>
    <w:rsid w:val="00C5169B"/>
    <w:rsid w:val="00C56D7E"/>
    <w:rsid w:val="00C57119"/>
    <w:rsid w:val="00C572EF"/>
    <w:rsid w:val="00C602D0"/>
    <w:rsid w:val="00C61C2B"/>
    <w:rsid w:val="00C61ED6"/>
    <w:rsid w:val="00C63AA8"/>
    <w:rsid w:val="00C67BCA"/>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7174"/>
    <w:rsid w:val="00CA7849"/>
    <w:rsid w:val="00CB07C2"/>
    <w:rsid w:val="00CB6882"/>
    <w:rsid w:val="00CC0101"/>
    <w:rsid w:val="00CC1066"/>
    <w:rsid w:val="00CC4B02"/>
    <w:rsid w:val="00CC5D6A"/>
    <w:rsid w:val="00CD20A6"/>
    <w:rsid w:val="00CD24A7"/>
    <w:rsid w:val="00CD310D"/>
    <w:rsid w:val="00CD5823"/>
    <w:rsid w:val="00CD7977"/>
    <w:rsid w:val="00CD7DB0"/>
    <w:rsid w:val="00CE58D0"/>
    <w:rsid w:val="00CE60E2"/>
    <w:rsid w:val="00CF1B65"/>
    <w:rsid w:val="00CF2A07"/>
    <w:rsid w:val="00CF71EA"/>
    <w:rsid w:val="00CF79AF"/>
    <w:rsid w:val="00D01008"/>
    <w:rsid w:val="00D02A45"/>
    <w:rsid w:val="00D047AC"/>
    <w:rsid w:val="00D077FB"/>
    <w:rsid w:val="00D11B0B"/>
    <w:rsid w:val="00D11E1D"/>
    <w:rsid w:val="00D14D0F"/>
    <w:rsid w:val="00D16D22"/>
    <w:rsid w:val="00D31C70"/>
    <w:rsid w:val="00D343BD"/>
    <w:rsid w:val="00D345F4"/>
    <w:rsid w:val="00D35DE2"/>
    <w:rsid w:val="00D41D69"/>
    <w:rsid w:val="00D42221"/>
    <w:rsid w:val="00D57D6E"/>
    <w:rsid w:val="00D60131"/>
    <w:rsid w:val="00D6467C"/>
    <w:rsid w:val="00D70F0F"/>
    <w:rsid w:val="00D75159"/>
    <w:rsid w:val="00D7583A"/>
    <w:rsid w:val="00D765E3"/>
    <w:rsid w:val="00D76CEA"/>
    <w:rsid w:val="00D777C0"/>
    <w:rsid w:val="00D81D71"/>
    <w:rsid w:val="00D81DD6"/>
    <w:rsid w:val="00D87A72"/>
    <w:rsid w:val="00D87AF3"/>
    <w:rsid w:val="00D95FF9"/>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C18BA"/>
    <w:rsid w:val="00DC4262"/>
    <w:rsid w:val="00DC6BB8"/>
    <w:rsid w:val="00DD0BF3"/>
    <w:rsid w:val="00DD2B67"/>
    <w:rsid w:val="00DD670C"/>
    <w:rsid w:val="00DD764A"/>
    <w:rsid w:val="00DE11CF"/>
    <w:rsid w:val="00DE38E9"/>
    <w:rsid w:val="00DE422B"/>
    <w:rsid w:val="00DF3A22"/>
    <w:rsid w:val="00DF641B"/>
    <w:rsid w:val="00DF7895"/>
    <w:rsid w:val="00DF7CC5"/>
    <w:rsid w:val="00E00CCE"/>
    <w:rsid w:val="00E02044"/>
    <w:rsid w:val="00E1283A"/>
    <w:rsid w:val="00E12C58"/>
    <w:rsid w:val="00E1317C"/>
    <w:rsid w:val="00E1743B"/>
    <w:rsid w:val="00E174E5"/>
    <w:rsid w:val="00E17F9A"/>
    <w:rsid w:val="00E22A84"/>
    <w:rsid w:val="00E26459"/>
    <w:rsid w:val="00E2678D"/>
    <w:rsid w:val="00E30414"/>
    <w:rsid w:val="00E345A7"/>
    <w:rsid w:val="00E37012"/>
    <w:rsid w:val="00E40062"/>
    <w:rsid w:val="00E40EC3"/>
    <w:rsid w:val="00E446ED"/>
    <w:rsid w:val="00E50C09"/>
    <w:rsid w:val="00E5400F"/>
    <w:rsid w:val="00E55AA1"/>
    <w:rsid w:val="00E60440"/>
    <w:rsid w:val="00E60771"/>
    <w:rsid w:val="00E616A4"/>
    <w:rsid w:val="00E6281B"/>
    <w:rsid w:val="00E62F4E"/>
    <w:rsid w:val="00E632D0"/>
    <w:rsid w:val="00E64135"/>
    <w:rsid w:val="00E64B2C"/>
    <w:rsid w:val="00E6579F"/>
    <w:rsid w:val="00E65874"/>
    <w:rsid w:val="00E6663B"/>
    <w:rsid w:val="00E66780"/>
    <w:rsid w:val="00E66B3A"/>
    <w:rsid w:val="00E75115"/>
    <w:rsid w:val="00E81879"/>
    <w:rsid w:val="00E83578"/>
    <w:rsid w:val="00E876CA"/>
    <w:rsid w:val="00E91E3F"/>
    <w:rsid w:val="00E95C7C"/>
    <w:rsid w:val="00EA3F3C"/>
    <w:rsid w:val="00EA4970"/>
    <w:rsid w:val="00EA5687"/>
    <w:rsid w:val="00EA59B6"/>
    <w:rsid w:val="00EA606F"/>
    <w:rsid w:val="00EB1032"/>
    <w:rsid w:val="00EB2644"/>
    <w:rsid w:val="00EB2A7E"/>
    <w:rsid w:val="00EC033D"/>
    <w:rsid w:val="00EC1FDB"/>
    <w:rsid w:val="00EC220C"/>
    <w:rsid w:val="00EC5155"/>
    <w:rsid w:val="00ED0266"/>
    <w:rsid w:val="00ED2E65"/>
    <w:rsid w:val="00ED430A"/>
    <w:rsid w:val="00ED6F3B"/>
    <w:rsid w:val="00ED6F71"/>
    <w:rsid w:val="00ED70A8"/>
    <w:rsid w:val="00EE1693"/>
    <w:rsid w:val="00EE177E"/>
    <w:rsid w:val="00EE7803"/>
    <w:rsid w:val="00EF0D0E"/>
    <w:rsid w:val="00EF0E1A"/>
    <w:rsid w:val="00EF1ECC"/>
    <w:rsid w:val="00EF292B"/>
    <w:rsid w:val="00EF2BB2"/>
    <w:rsid w:val="00EF2C7E"/>
    <w:rsid w:val="00EF54D1"/>
    <w:rsid w:val="00EF5CFD"/>
    <w:rsid w:val="00F01334"/>
    <w:rsid w:val="00F04E2A"/>
    <w:rsid w:val="00F05C5D"/>
    <w:rsid w:val="00F06B7E"/>
    <w:rsid w:val="00F112C9"/>
    <w:rsid w:val="00F1459F"/>
    <w:rsid w:val="00F151C9"/>
    <w:rsid w:val="00F15D54"/>
    <w:rsid w:val="00F20D88"/>
    <w:rsid w:val="00F21C23"/>
    <w:rsid w:val="00F22076"/>
    <w:rsid w:val="00F31162"/>
    <w:rsid w:val="00F32B25"/>
    <w:rsid w:val="00F34E81"/>
    <w:rsid w:val="00F416A5"/>
    <w:rsid w:val="00F4517B"/>
    <w:rsid w:val="00F51FCD"/>
    <w:rsid w:val="00F55213"/>
    <w:rsid w:val="00F55EBA"/>
    <w:rsid w:val="00F57F08"/>
    <w:rsid w:val="00F611A7"/>
    <w:rsid w:val="00F66D06"/>
    <w:rsid w:val="00F67AC6"/>
    <w:rsid w:val="00F67B5B"/>
    <w:rsid w:val="00F72E48"/>
    <w:rsid w:val="00F76C2F"/>
    <w:rsid w:val="00F77D9B"/>
    <w:rsid w:val="00F77E6F"/>
    <w:rsid w:val="00F811F5"/>
    <w:rsid w:val="00F816E8"/>
    <w:rsid w:val="00F817E5"/>
    <w:rsid w:val="00F81C22"/>
    <w:rsid w:val="00F843EA"/>
    <w:rsid w:val="00F854E9"/>
    <w:rsid w:val="00F85B3C"/>
    <w:rsid w:val="00F87867"/>
    <w:rsid w:val="00F918B8"/>
    <w:rsid w:val="00F92ABE"/>
    <w:rsid w:val="00F94E78"/>
    <w:rsid w:val="00FA0954"/>
    <w:rsid w:val="00FA14AC"/>
    <w:rsid w:val="00FA1F4E"/>
    <w:rsid w:val="00FA204E"/>
    <w:rsid w:val="00FA5A1C"/>
    <w:rsid w:val="00FA6777"/>
    <w:rsid w:val="00FB4F8E"/>
    <w:rsid w:val="00FB61C7"/>
    <w:rsid w:val="00FB6647"/>
    <w:rsid w:val="00FC5D9F"/>
    <w:rsid w:val="00FC7332"/>
    <w:rsid w:val="00FD0D95"/>
    <w:rsid w:val="00FD731B"/>
    <w:rsid w:val="00FE0502"/>
    <w:rsid w:val="00FE069D"/>
    <w:rsid w:val="00FE49E8"/>
    <w:rsid w:val="00FE5F8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ine.mx/credencial/"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59F0B-83C1-4667-B090-96673EF1C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43</Pages>
  <Words>8922</Words>
  <Characters>49076</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7</cp:revision>
  <cp:lastPrinted>2019-12-19T01:53:00Z</cp:lastPrinted>
  <dcterms:created xsi:type="dcterms:W3CDTF">2020-01-31T03:10:00Z</dcterms:created>
  <dcterms:modified xsi:type="dcterms:W3CDTF">2020-05-04T21:14:00Z</dcterms:modified>
</cp:coreProperties>
</file>