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83" w:rsidRDefault="00DE2983" w:rsidP="00DE2983">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 QUE FORMULA</w:t>
      </w:r>
      <w:r>
        <w:rPr>
          <w:rFonts w:ascii="Palatino Linotype" w:hAnsi="Palatino Linotype" w:cs="Arial"/>
          <w:b/>
        </w:rPr>
        <w:t xml:space="preserve"> LA COMISIONADA EVA ABAID YAPUR </w:t>
      </w:r>
      <w:r w:rsidRPr="0073286C">
        <w:rPr>
          <w:rFonts w:ascii="Palatino Linotype" w:hAnsi="Palatino Linotype" w:cs="Arial"/>
          <w:b/>
        </w:rPr>
        <w:t>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CUADRAGÉSIMA </w:t>
      </w:r>
      <w:r w:rsidR="00092FBC">
        <w:rPr>
          <w:rFonts w:ascii="Palatino Linotype" w:hAnsi="Palatino Linotype" w:cs="Arial"/>
          <w:b/>
        </w:rPr>
        <w:t>SÉPTIMA</w:t>
      </w:r>
      <w:r>
        <w:rPr>
          <w:rFonts w:ascii="Palatino Linotype" w:hAnsi="Palatino Linotype" w:cs="Arial"/>
          <w:b/>
        </w:rPr>
        <w:t xml:space="preserve"> </w:t>
      </w:r>
      <w:r w:rsidRPr="0073286C">
        <w:rPr>
          <w:rFonts w:ascii="Palatino Linotype" w:hAnsi="Palatino Linotype" w:cs="Arial"/>
          <w:b/>
        </w:rPr>
        <w:t xml:space="preserve">SESIÓN ORDINARIA DE </w:t>
      </w:r>
      <w:r w:rsidR="00FF7A92">
        <w:rPr>
          <w:rFonts w:ascii="Palatino Linotype" w:hAnsi="Palatino Linotype" w:cs="Arial"/>
          <w:b/>
        </w:rPr>
        <w:t xml:space="preserve">DIECIOCHO </w:t>
      </w:r>
      <w:r>
        <w:rPr>
          <w:rFonts w:ascii="Palatino Linotype" w:hAnsi="Palatino Linotype" w:cs="Arial"/>
          <w:b/>
        </w:rPr>
        <w:t xml:space="preserve">DE </w:t>
      </w:r>
      <w:r w:rsidR="00FF7A92">
        <w:rPr>
          <w:rFonts w:ascii="Palatino Linotype" w:hAnsi="Palatino Linotype" w:cs="Arial"/>
          <w:b/>
        </w:rPr>
        <w:t>DIC</w:t>
      </w:r>
      <w:r>
        <w:rPr>
          <w:rFonts w:ascii="Palatino Linotype" w:hAnsi="Palatino Linotype" w:cs="Arial"/>
          <w:b/>
        </w:rPr>
        <w:t xml:space="preserve">IEMBRE DE DOS MIL </w:t>
      </w:r>
      <w:r w:rsidRPr="0073286C">
        <w:rPr>
          <w:rFonts w:ascii="Palatino Linotype" w:hAnsi="Palatino Linotype" w:cs="Arial"/>
          <w:b/>
        </w:rPr>
        <w:t>DIECI</w:t>
      </w:r>
      <w:r>
        <w:rPr>
          <w:rFonts w:ascii="Palatino Linotype" w:hAnsi="Palatino Linotype" w:cs="Arial"/>
          <w:b/>
        </w:rPr>
        <w:t>NUEVE</w:t>
      </w:r>
      <w:r w:rsidRPr="0073286C">
        <w:rPr>
          <w:rFonts w:ascii="Palatino Linotype" w:hAnsi="Palatino Linotype" w:cs="Arial"/>
          <w:b/>
        </w:rPr>
        <w:t xml:space="preserve">, EN </w:t>
      </w:r>
      <w:r w:rsidR="00FF7A92">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w:t>
      </w:r>
      <w:r w:rsidR="00FF7A92">
        <w:rPr>
          <w:rFonts w:ascii="Palatino Linotype" w:hAnsi="Palatino Linotype" w:cs="Arial"/>
          <w:b/>
        </w:rPr>
        <w:t>08270</w:t>
      </w:r>
      <w:r w:rsidRPr="00FF7A92">
        <w:rPr>
          <w:rFonts w:ascii="Palatino Linotype" w:hAnsi="Palatino Linotype" w:cs="Arial"/>
          <w:b/>
        </w:rPr>
        <w:t>/INFOEM/IP/RR/2019</w:t>
      </w:r>
      <w:r w:rsidRPr="00FF7A92">
        <w:rPr>
          <w:rFonts w:ascii="Palatino Linotype" w:eastAsia="Calibri" w:hAnsi="Palatino Linotype" w:cs="Arial"/>
          <w:b/>
          <w:color w:val="000000"/>
        </w:rPr>
        <w:t>.</w:t>
      </w:r>
      <w:r>
        <w:rPr>
          <w:rFonts w:ascii="Palatino Linotype" w:eastAsia="Calibri" w:hAnsi="Palatino Linotype" w:cs="Arial"/>
          <w:b/>
          <w:color w:val="000000"/>
        </w:rPr>
        <w:t xml:space="preserve"> </w:t>
      </w:r>
    </w:p>
    <w:p w:rsidR="00DE2983" w:rsidRDefault="00DE2983" w:rsidP="00DE2983">
      <w:pPr>
        <w:spacing w:before="100" w:beforeAutospacing="1" w:after="100" w:afterAutospacing="1" w:line="360" w:lineRule="auto"/>
        <w:contextualSpacing/>
        <w:jc w:val="both"/>
        <w:rPr>
          <w:rFonts w:ascii="Palatino Linotype" w:hAnsi="Palatino Linotype" w:cs="Arial"/>
        </w:rPr>
      </w:pPr>
    </w:p>
    <w:p w:rsidR="00DE2983" w:rsidRPr="005F5DFC" w:rsidRDefault="00DE2983" w:rsidP="00DE2983">
      <w:pPr>
        <w:spacing w:before="100" w:beforeAutospacing="1" w:after="100" w:afterAutospacing="1" w:line="360" w:lineRule="auto"/>
        <w:contextualSpacing/>
        <w:jc w:val="both"/>
        <w:rPr>
          <w:rFonts w:ascii="Palatino Linotype" w:hAnsi="Palatino Linotype" w:cs="Arial"/>
          <w:b/>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FF7A92">
        <w:rPr>
          <w:rFonts w:ascii="Palatino Linotype" w:hAnsi="Palatino Linotype" w:cs="Arial"/>
        </w:rPr>
        <w:t>el</w:t>
      </w:r>
      <w:r>
        <w:rPr>
          <w:rFonts w:ascii="Palatino Linotype" w:hAnsi="Palatino Linotype" w:cs="Arial"/>
        </w:rPr>
        <w:t xml:space="preserve"> recurso de revisión </w:t>
      </w:r>
      <w:r>
        <w:rPr>
          <w:rFonts w:ascii="Palatino Linotype" w:hAnsi="Palatino Linotype" w:cs="Arial"/>
          <w:b/>
        </w:rPr>
        <w:t>0</w:t>
      </w:r>
      <w:r w:rsidR="00FF7A92">
        <w:rPr>
          <w:rFonts w:ascii="Palatino Linotype" w:hAnsi="Palatino Linotype" w:cs="Arial"/>
          <w:b/>
        </w:rPr>
        <w:t>8270</w:t>
      </w:r>
      <w:r w:rsidRPr="000316CC">
        <w:rPr>
          <w:rFonts w:ascii="Palatino Linotype" w:hAnsi="Palatino Linotype" w:cs="Arial"/>
          <w:b/>
        </w:rPr>
        <w:t>/INFOEM/IP/RR/2019</w:t>
      </w:r>
      <w:r w:rsidRPr="0073286C">
        <w:rPr>
          <w:rFonts w:ascii="Palatino Linotype" w:hAnsi="Palatino Linotype" w:cs="Arial"/>
        </w:rPr>
        <w:t>, pronunciada por el Pleno de este Instituto an</w:t>
      </w:r>
      <w:r w:rsidR="00FF7A92">
        <w:rPr>
          <w:rFonts w:ascii="Palatino Linotype" w:hAnsi="Palatino Linotype" w:cs="Arial"/>
        </w:rPr>
        <w:t>te el proyecto presentado por la Comisionada Presidenta</w:t>
      </w:r>
      <w:r w:rsidRPr="0073286C">
        <w:rPr>
          <w:rFonts w:ascii="Palatino Linotype" w:hAnsi="Palatino Linotype" w:cs="Arial"/>
        </w:rPr>
        <w:t xml:space="preserve"> </w:t>
      </w:r>
      <w:r w:rsidR="00FF7A92">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DE2983" w:rsidRDefault="00DE2983" w:rsidP="00DE2983">
      <w:pPr>
        <w:spacing w:before="100" w:beforeAutospacing="1" w:after="100" w:afterAutospacing="1" w:line="360" w:lineRule="auto"/>
        <w:contextualSpacing/>
        <w:jc w:val="both"/>
        <w:rPr>
          <w:rFonts w:ascii="Palatino Linotype" w:hAnsi="Palatino Linotype"/>
        </w:rPr>
      </w:pPr>
    </w:p>
    <w:p w:rsidR="00DE2983" w:rsidRDefault="00DE2983" w:rsidP="00DE2983">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Es de destacar, que la</w:t>
      </w:r>
      <w:r>
        <w:rPr>
          <w:rFonts w:ascii="Palatino Linotype" w:hAnsi="Palatino Linotype"/>
        </w:rPr>
        <w:t xml:space="preserve"> </w:t>
      </w:r>
      <w:r w:rsidRPr="0073286C">
        <w:rPr>
          <w:rFonts w:ascii="Palatino Linotype" w:hAnsi="Palatino Linotype"/>
        </w:rPr>
        <w:t xml:space="preserve">suscrita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w:t>
      </w:r>
      <w:r>
        <w:rPr>
          <w:rFonts w:ascii="Palatino Linotype" w:hAnsi="Palatino Linotype"/>
        </w:rPr>
        <w:t>.</w:t>
      </w:r>
    </w:p>
    <w:p w:rsidR="00DE2983" w:rsidRDefault="00DE2983" w:rsidP="00DE2983">
      <w:pPr>
        <w:spacing w:before="100" w:beforeAutospacing="1" w:after="100" w:afterAutospacing="1" w:line="360" w:lineRule="auto"/>
        <w:contextualSpacing/>
        <w:jc w:val="both"/>
        <w:rPr>
          <w:rFonts w:ascii="Palatino Linotype" w:hAnsi="Palatino Linotype"/>
        </w:rPr>
      </w:pPr>
    </w:p>
    <w:p w:rsidR="00DE2983" w:rsidRDefault="00DE2983" w:rsidP="00DE2983">
      <w:pPr>
        <w:spacing w:before="100" w:beforeAutospacing="1" w:after="100" w:afterAutospacing="1" w:line="360" w:lineRule="auto"/>
        <w:contextualSpacing/>
        <w:jc w:val="both"/>
        <w:rPr>
          <w:rFonts w:ascii="Palatino Linotype" w:eastAsia="MS Mincho" w:hAnsi="Palatino Linotype" w:cs="Arial"/>
          <w:lang w:val="es-ES_tradnl"/>
        </w:rPr>
      </w:pPr>
      <w:r w:rsidRPr="0073286C">
        <w:rPr>
          <w:rFonts w:ascii="Palatino Linotype" w:hAnsi="Palatino Linotype"/>
        </w:rPr>
        <w:t>Al respecto, tal y como quedó debidamente asentado en la resoluci</w:t>
      </w:r>
      <w:r>
        <w:rPr>
          <w:rFonts w:ascii="Palatino Linotype" w:hAnsi="Palatino Linotype"/>
        </w:rPr>
        <w:t>ón materia del presente voto, el</w:t>
      </w:r>
      <w:r w:rsidRPr="0073286C">
        <w:rPr>
          <w:rFonts w:ascii="Palatino Linotype" w:hAnsi="Palatino Linotype"/>
        </w:rPr>
        <w:t xml:space="preserve"> particular requirió </w:t>
      </w:r>
      <w:r>
        <w:rPr>
          <w:rFonts w:ascii="Palatino Linotype" w:hAnsi="Palatino Linotype"/>
        </w:rPr>
        <w:t xml:space="preserve">medularmente </w:t>
      </w:r>
      <w:r w:rsidRPr="0073286C">
        <w:rPr>
          <w:rFonts w:ascii="Palatino Linotype" w:hAnsi="Palatino Linotype"/>
        </w:rPr>
        <w:t>de</w:t>
      </w:r>
      <w:r>
        <w:rPr>
          <w:rFonts w:ascii="Palatino Linotype" w:hAnsi="Palatino Linotype"/>
        </w:rPr>
        <w:t xml:space="preserve">l </w:t>
      </w:r>
      <w:r w:rsidR="00FF7A92" w:rsidRPr="00FF7A92">
        <w:rPr>
          <w:rFonts w:ascii="Palatino Linotype" w:hAnsi="Palatino Linotype"/>
          <w:b/>
        </w:rPr>
        <w:t>Sistema Municipal Para el Desarrollo Integral de la Familia de Acolman</w:t>
      </w:r>
      <w:r w:rsidR="00D97FF8">
        <w:rPr>
          <w:rFonts w:ascii="Palatino Linotype" w:hAnsi="Palatino Linotype"/>
        </w:rPr>
        <w:t>, en lo sucesivo</w:t>
      </w:r>
      <w:r>
        <w:rPr>
          <w:rFonts w:ascii="Palatino Linotype" w:hAnsi="Palatino Linotype"/>
        </w:rPr>
        <w:t xml:space="preserve"> </w:t>
      </w:r>
      <w:r w:rsidRPr="00F00774">
        <w:rPr>
          <w:rFonts w:ascii="Palatino Linotype" w:hAnsi="Palatino Linotype"/>
          <w:b/>
        </w:rPr>
        <w:t xml:space="preserve">EL </w:t>
      </w:r>
      <w:r>
        <w:rPr>
          <w:rFonts w:ascii="Palatino Linotype" w:hAnsi="Palatino Linotype"/>
          <w:b/>
        </w:rPr>
        <w:t xml:space="preserve">SUJETO </w:t>
      </w:r>
      <w:r>
        <w:rPr>
          <w:rFonts w:ascii="Palatino Linotype" w:hAnsi="Palatino Linotype"/>
          <w:b/>
        </w:rPr>
        <w:lastRenderedPageBreak/>
        <w:t>OBLIGADO</w:t>
      </w:r>
      <w:r>
        <w:rPr>
          <w:rFonts w:ascii="Palatino Linotype" w:hAnsi="Palatino Linotype"/>
        </w:rPr>
        <w:t xml:space="preserve">, </w:t>
      </w:r>
      <w:r w:rsidR="00795608">
        <w:rPr>
          <w:rFonts w:ascii="Palatino Linotype" w:hAnsi="Palatino Linotype"/>
        </w:rPr>
        <w:t xml:space="preserve">copias simples de las </w:t>
      </w:r>
      <w:r w:rsidR="00FF7A92">
        <w:rPr>
          <w:rFonts w:ascii="Palatino Linotype" w:hAnsi="Palatino Linotype"/>
        </w:rPr>
        <w:t xml:space="preserve">actas de los comités de adquisiciones tanto ordinarias como extraordinarias </w:t>
      </w:r>
      <w:r>
        <w:rPr>
          <w:rFonts w:ascii="Palatino Linotype" w:eastAsia="MS Mincho" w:hAnsi="Palatino Linotype" w:cs="Arial"/>
          <w:lang w:val="es-ES_tradnl"/>
        </w:rPr>
        <w:t>señalan</w:t>
      </w:r>
      <w:r w:rsidR="00795608">
        <w:rPr>
          <w:rFonts w:ascii="Palatino Linotype" w:eastAsia="MS Mincho" w:hAnsi="Palatino Linotype" w:cs="Arial"/>
          <w:lang w:val="es-ES_tradnl"/>
        </w:rPr>
        <w:t>do como modalidad de entrega a través del SAIMEX.</w:t>
      </w:r>
    </w:p>
    <w:p w:rsidR="00DE2983" w:rsidRDefault="00DE2983" w:rsidP="00DE2983">
      <w:pPr>
        <w:spacing w:before="100" w:beforeAutospacing="1" w:after="100" w:afterAutospacing="1" w:line="360" w:lineRule="auto"/>
        <w:contextualSpacing/>
        <w:jc w:val="both"/>
        <w:rPr>
          <w:rFonts w:ascii="Palatino Linotype" w:eastAsia="MS Mincho" w:hAnsi="Palatino Linotype" w:cs="Arial"/>
          <w:lang w:val="es-ES_tradnl"/>
        </w:rPr>
      </w:pPr>
    </w:p>
    <w:p w:rsidR="00DE2983" w:rsidRDefault="00DE2983" w:rsidP="00DE2983">
      <w:pPr>
        <w:spacing w:before="100" w:beforeAutospacing="1" w:after="100" w:afterAutospacing="1" w:line="360" w:lineRule="auto"/>
        <w:contextualSpacing/>
        <w:jc w:val="both"/>
        <w:rPr>
          <w:rFonts w:ascii="Palatino Linotype" w:eastAsia="MS Mincho" w:hAnsi="Palatino Linotype" w:cs="Arial"/>
          <w:lang w:val="es-ES_tradnl"/>
        </w:rPr>
      </w:pPr>
      <w:r>
        <w:rPr>
          <w:rFonts w:ascii="Palatino Linotype" w:eastAsia="MS Mincho" w:hAnsi="Palatino Linotype" w:cs="Arial"/>
          <w:lang w:val="es-ES_tradnl"/>
        </w:rPr>
        <w:t xml:space="preserve">Así, del expediente electrónico del </w:t>
      </w:r>
      <w:r>
        <w:rPr>
          <w:rFonts w:ascii="Palatino Linotype" w:eastAsia="MS Mincho" w:hAnsi="Palatino Linotype" w:cs="Arial"/>
          <w:b/>
          <w:lang w:val="es-ES_tradnl"/>
        </w:rPr>
        <w:t xml:space="preserve">SAIMEX </w:t>
      </w:r>
      <w:r>
        <w:rPr>
          <w:rFonts w:ascii="Palatino Linotype" w:eastAsia="MS Mincho" w:hAnsi="Palatino Linotype" w:cs="Arial"/>
          <w:lang w:val="es-ES_tradnl"/>
        </w:rPr>
        <w:t xml:space="preserve">se observa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 xml:space="preserve"> </w:t>
      </w:r>
      <w:r w:rsidR="008D3702">
        <w:rPr>
          <w:rFonts w:ascii="Palatino Linotype" w:eastAsia="MS Mincho" w:hAnsi="Palatino Linotype" w:cs="Arial"/>
          <w:lang w:val="es-ES_tradnl"/>
        </w:rPr>
        <w:t>remitió</w:t>
      </w:r>
      <w:r w:rsidR="00491A73">
        <w:rPr>
          <w:rFonts w:ascii="Palatino Linotype" w:eastAsia="MS Mincho" w:hAnsi="Palatino Linotype" w:cs="Arial"/>
          <w:lang w:val="es-ES_tradnl"/>
        </w:rPr>
        <w:t xml:space="preserve"> su</w:t>
      </w:r>
      <w:r w:rsidR="008D3702">
        <w:rPr>
          <w:rFonts w:ascii="Palatino Linotype" w:eastAsia="MS Mincho" w:hAnsi="Palatino Linotype" w:cs="Arial"/>
          <w:lang w:val="es-ES_tradnl"/>
        </w:rPr>
        <w:t xml:space="preserve"> </w:t>
      </w:r>
      <w:r>
        <w:rPr>
          <w:rFonts w:ascii="Palatino Linotype" w:eastAsia="MS Mincho" w:hAnsi="Palatino Linotype" w:cs="Arial"/>
          <w:lang w:val="es-ES_tradnl"/>
        </w:rPr>
        <w:t xml:space="preserve">respuesta </w:t>
      </w:r>
      <w:r w:rsidR="008D3702">
        <w:rPr>
          <w:rFonts w:ascii="Palatino Linotype" w:eastAsia="MS Mincho" w:hAnsi="Palatino Linotype" w:cs="Arial"/>
          <w:lang w:val="es-ES_tradnl"/>
        </w:rPr>
        <w:t>en los siguientes términos</w:t>
      </w:r>
      <w:r>
        <w:rPr>
          <w:rFonts w:ascii="Palatino Linotype" w:eastAsia="MS Mincho" w:hAnsi="Palatino Linotype" w:cs="Arial"/>
          <w:lang w:val="es-ES_tradnl"/>
        </w:rPr>
        <w:t>:</w:t>
      </w:r>
    </w:p>
    <w:p w:rsidR="008D3702" w:rsidRDefault="008D3702" w:rsidP="00DE2983">
      <w:pPr>
        <w:spacing w:before="100" w:beforeAutospacing="1" w:after="100" w:afterAutospacing="1" w:line="360" w:lineRule="auto"/>
        <w:contextualSpacing/>
        <w:jc w:val="both"/>
        <w:rPr>
          <w:rFonts w:ascii="Palatino Linotype" w:eastAsia="MS Mincho" w:hAnsi="Palatino Linotype" w:cs="Arial"/>
          <w:lang w:val="es-ES_tradnl"/>
        </w:rPr>
      </w:pPr>
    </w:p>
    <w:p w:rsidR="008D3702" w:rsidRPr="008D3702" w:rsidRDefault="008D3702" w:rsidP="008D3702">
      <w:pPr>
        <w:spacing w:before="100" w:beforeAutospacing="1" w:after="100" w:afterAutospacing="1"/>
        <w:ind w:left="851" w:right="902"/>
        <w:contextualSpacing/>
        <w:jc w:val="both"/>
        <w:rPr>
          <w:rFonts w:ascii="Palatino Linotype" w:hAnsi="Palatino Linotype"/>
          <w:i/>
          <w:sz w:val="22"/>
          <w:szCs w:val="22"/>
          <w:lang w:eastAsia="es-MX"/>
        </w:rPr>
      </w:pPr>
      <w:r w:rsidRPr="008D3702">
        <w:rPr>
          <w:rFonts w:ascii="Palatino Linotype" w:hAnsi="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D3702" w:rsidRPr="008D3702" w:rsidRDefault="008D3702" w:rsidP="008D3702">
      <w:pPr>
        <w:spacing w:before="100" w:beforeAutospacing="1" w:after="100" w:afterAutospacing="1"/>
        <w:ind w:left="851" w:right="902"/>
        <w:contextualSpacing/>
        <w:jc w:val="both"/>
        <w:rPr>
          <w:rFonts w:ascii="Palatino Linotype" w:eastAsia="MS Mincho" w:hAnsi="Palatino Linotype" w:cs="Arial"/>
          <w:sz w:val="22"/>
          <w:szCs w:val="22"/>
          <w:lang w:val="es-ES_tradnl"/>
        </w:rPr>
      </w:pPr>
      <w:r w:rsidRPr="008D3702">
        <w:rPr>
          <w:rFonts w:ascii="Palatino Linotype" w:hAnsi="Palatino Linotype"/>
          <w:i/>
          <w:sz w:val="22"/>
          <w:szCs w:val="22"/>
          <w:lang w:eastAsia="es-MX"/>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w:t>
      </w:r>
    </w:p>
    <w:p w:rsidR="00DE2983" w:rsidRDefault="00DE2983" w:rsidP="00DE2983">
      <w:pPr>
        <w:spacing w:before="100" w:beforeAutospacing="1" w:after="100" w:afterAutospacing="1" w:line="360" w:lineRule="auto"/>
        <w:contextualSpacing/>
        <w:jc w:val="both"/>
        <w:rPr>
          <w:rFonts w:ascii="Palatino Linotype" w:eastAsia="MS Mincho" w:hAnsi="Palatino Linotype" w:cs="Arial"/>
          <w:lang w:val="es-ES_tradnl"/>
        </w:rPr>
      </w:pPr>
    </w:p>
    <w:p w:rsidR="008D3702" w:rsidRDefault="008D3702" w:rsidP="008D3702">
      <w:pPr>
        <w:spacing w:before="100" w:beforeAutospacing="1" w:after="100" w:afterAutospacing="1" w:line="360" w:lineRule="auto"/>
        <w:contextualSpacing/>
        <w:jc w:val="both"/>
        <w:rPr>
          <w:rFonts w:ascii="Palatino Linotype" w:eastAsia="MS Mincho" w:hAnsi="Palatino Linotype" w:cs="Arial"/>
          <w:lang w:val="es-ES_tradnl"/>
        </w:rPr>
      </w:pPr>
      <w:r>
        <w:rPr>
          <w:rFonts w:ascii="Palatino Linotype" w:eastAsia="MS Mincho" w:hAnsi="Palatino Linotype" w:cs="Arial"/>
          <w:lang w:val="es-ES_tradnl"/>
        </w:rPr>
        <w:t xml:space="preserve">Asimismo, adjunto el archivo electrónico </w:t>
      </w:r>
      <w:proofErr w:type="spellStart"/>
      <w:r>
        <w:rPr>
          <w:rFonts w:ascii="Palatino Linotype" w:hAnsi="Palatino Linotype" w:cs="Arial"/>
          <w:b/>
        </w:rPr>
        <w:t>comite</w:t>
      </w:r>
      <w:proofErr w:type="spellEnd"/>
      <w:r>
        <w:rPr>
          <w:rFonts w:ascii="Palatino Linotype" w:hAnsi="Palatino Linotype" w:cs="Arial"/>
          <w:b/>
        </w:rPr>
        <w:t xml:space="preserve"> de adquisiciones DIF.pdf </w:t>
      </w:r>
      <w:r>
        <w:rPr>
          <w:rFonts w:ascii="Palatino Linotype" w:hAnsi="Palatino Linotype" w:cs="Arial"/>
        </w:rPr>
        <w:t>el cual consiste en el Acta de Instalación y Primera Sesión Ordinaria del Comité de Adquisiciones y servicios</w:t>
      </w:r>
      <w:r w:rsidR="00491A73">
        <w:rPr>
          <w:rFonts w:ascii="Palatino Linotype" w:hAnsi="Palatino Linotype" w:cs="Arial"/>
        </w:rPr>
        <w:t>.</w:t>
      </w:r>
    </w:p>
    <w:p w:rsidR="008D3702" w:rsidRDefault="008D3702" w:rsidP="008D3702">
      <w:pPr>
        <w:spacing w:before="100" w:beforeAutospacing="1" w:after="100" w:afterAutospacing="1" w:line="360" w:lineRule="auto"/>
        <w:contextualSpacing/>
        <w:jc w:val="both"/>
        <w:rPr>
          <w:rFonts w:ascii="Palatino Linotype" w:eastAsia="MS Mincho" w:hAnsi="Palatino Linotype" w:cs="Arial"/>
          <w:lang w:val="es-ES_tradnl"/>
        </w:rPr>
      </w:pPr>
    </w:p>
    <w:p w:rsidR="0092546E" w:rsidRDefault="00DE2983" w:rsidP="008D3702">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 xml:space="preserve">el particular interpuso </w:t>
      </w:r>
      <w:r w:rsidR="0092546E">
        <w:rPr>
          <w:rFonts w:ascii="Palatino Linotype" w:hAnsi="Palatino Linotype"/>
        </w:rPr>
        <w:t>el</w:t>
      </w:r>
      <w:r>
        <w:rPr>
          <w:rFonts w:ascii="Palatino Linotype" w:hAnsi="Palatino Linotype"/>
        </w:rPr>
        <w:t xml:space="preserve"> recurso de revisión de mérito, manifestando </w:t>
      </w:r>
      <w:r w:rsidR="0092546E">
        <w:rPr>
          <w:rFonts w:ascii="Palatino Linotype" w:hAnsi="Palatino Linotype"/>
        </w:rPr>
        <w:t>como acto impugnado:</w:t>
      </w:r>
    </w:p>
    <w:p w:rsidR="0092546E" w:rsidRDefault="0092546E" w:rsidP="008D3702">
      <w:pPr>
        <w:spacing w:before="100" w:beforeAutospacing="1" w:after="100" w:afterAutospacing="1" w:line="360" w:lineRule="auto"/>
        <w:contextualSpacing/>
        <w:jc w:val="both"/>
        <w:rPr>
          <w:rFonts w:ascii="Palatino Linotype" w:hAnsi="Palatino Linotype"/>
        </w:rPr>
      </w:pPr>
    </w:p>
    <w:p w:rsidR="0092546E" w:rsidRPr="0092546E" w:rsidRDefault="0092546E" w:rsidP="0092546E">
      <w:pPr>
        <w:spacing w:before="100" w:beforeAutospacing="1" w:after="100" w:afterAutospacing="1"/>
        <w:ind w:left="851" w:right="902"/>
        <w:contextualSpacing/>
        <w:jc w:val="both"/>
        <w:rPr>
          <w:rFonts w:ascii="Palatino Linotype" w:hAnsi="Palatino Linotype"/>
          <w:sz w:val="22"/>
          <w:szCs w:val="22"/>
        </w:rPr>
      </w:pPr>
      <w:r w:rsidRPr="0092546E">
        <w:rPr>
          <w:rFonts w:ascii="Palatino Linotype" w:hAnsi="Palatino Linotype" w:cs="Arial"/>
          <w:i/>
          <w:sz w:val="22"/>
          <w:szCs w:val="22"/>
        </w:rPr>
        <w:t>“</w:t>
      </w:r>
      <w:r w:rsidRPr="0092546E">
        <w:rPr>
          <w:rFonts w:ascii="Palatino Linotype" w:hAnsi="Palatino Linotype"/>
          <w:i/>
          <w:color w:val="000000"/>
          <w:sz w:val="22"/>
          <w:szCs w:val="22"/>
        </w:rPr>
        <w:t>COPIA SIMPLE DE LAS ACTAS DE COMITES DE ADQUISIONES ELABORADAS DESPUES DE CADA UNA DE LAS REUNIONES DE COMITE YA SEAN ORDINARIAS O EXTRAORDINARIAS</w:t>
      </w:r>
      <w:r w:rsidRPr="0092546E">
        <w:rPr>
          <w:rFonts w:ascii="Palatino Linotype" w:hAnsi="Palatino Linotype" w:cs="Arial"/>
          <w:i/>
          <w:sz w:val="22"/>
          <w:szCs w:val="22"/>
        </w:rPr>
        <w:t>”</w:t>
      </w:r>
    </w:p>
    <w:p w:rsidR="00DE2983" w:rsidRPr="008D3702" w:rsidRDefault="0092546E" w:rsidP="008D3702">
      <w:pPr>
        <w:spacing w:before="100" w:beforeAutospacing="1" w:after="100" w:afterAutospacing="1" w:line="360" w:lineRule="auto"/>
        <w:contextualSpacing/>
        <w:jc w:val="both"/>
        <w:rPr>
          <w:rFonts w:ascii="Palatino Linotype" w:eastAsia="MS Mincho" w:hAnsi="Palatino Linotype" w:cs="Arial"/>
          <w:lang w:val="es-ES_tradnl"/>
        </w:rPr>
      </w:pPr>
      <w:r>
        <w:rPr>
          <w:rFonts w:ascii="Palatino Linotype" w:hAnsi="Palatino Linotype"/>
        </w:rPr>
        <w:lastRenderedPageBreak/>
        <w:t xml:space="preserve">Asimismo, </w:t>
      </w:r>
      <w:r w:rsidR="00DE2983">
        <w:rPr>
          <w:rFonts w:ascii="Palatino Linotype" w:hAnsi="Palatino Linotype"/>
        </w:rPr>
        <w:t>como razones o motivos de inconformidad:</w:t>
      </w:r>
    </w:p>
    <w:p w:rsidR="00DE2983" w:rsidRDefault="00DE2983" w:rsidP="00DE2983">
      <w:pPr>
        <w:spacing w:before="100" w:beforeAutospacing="1" w:after="100" w:afterAutospacing="1" w:line="360" w:lineRule="auto"/>
        <w:contextualSpacing/>
        <w:jc w:val="both"/>
        <w:rPr>
          <w:rFonts w:ascii="Palatino Linotype" w:hAnsi="Palatino Linotype"/>
        </w:rPr>
      </w:pPr>
    </w:p>
    <w:p w:rsidR="0092546E" w:rsidRPr="00520EFB" w:rsidRDefault="0092546E" w:rsidP="00DE2983">
      <w:pPr>
        <w:spacing w:before="100" w:beforeAutospacing="1" w:after="100" w:afterAutospacing="1"/>
        <w:ind w:left="851" w:right="902"/>
        <w:contextualSpacing/>
        <w:jc w:val="both"/>
        <w:rPr>
          <w:rFonts w:ascii="Palatino Linotype" w:eastAsia="Calibri" w:hAnsi="Palatino Linotype" w:cs="Arial"/>
          <w:i/>
          <w:sz w:val="22"/>
          <w:szCs w:val="22"/>
        </w:rPr>
      </w:pPr>
      <w:r w:rsidRPr="0092546E">
        <w:rPr>
          <w:rFonts w:ascii="Palatino Linotype" w:eastAsia="Calibri" w:hAnsi="Palatino Linotype" w:cs="Arial"/>
          <w:i/>
          <w:sz w:val="22"/>
          <w:szCs w:val="22"/>
        </w:rPr>
        <w:t>“solo me envían la primera sesión de comité ¿acaso es la única sesión que ha realizado el comité de adquisiciones? SOLICITO LAS ACTAS ELABORADAS DE CADA COMITÉ DE ADQUISICIONES HASTA LA FACHA DE LA SOLICITUD DE INFORMACIÓN”</w:t>
      </w:r>
      <w:r>
        <w:rPr>
          <w:rFonts w:ascii="Palatino Linotype" w:eastAsia="Calibri" w:hAnsi="Palatino Linotype" w:cs="Arial"/>
          <w:i/>
          <w:sz w:val="22"/>
          <w:szCs w:val="22"/>
        </w:rPr>
        <w:t xml:space="preserve"> (Sic)</w:t>
      </w:r>
    </w:p>
    <w:p w:rsidR="00DE2983" w:rsidRDefault="00DE2983" w:rsidP="00DE2983">
      <w:pPr>
        <w:spacing w:before="100" w:beforeAutospacing="1" w:after="100" w:afterAutospacing="1" w:line="360" w:lineRule="auto"/>
        <w:contextualSpacing/>
        <w:jc w:val="both"/>
        <w:rPr>
          <w:rFonts w:ascii="Palatino Linotype" w:hAnsi="Palatino Linotype"/>
        </w:rPr>
      </w:pPr>
    </w:p>
    <w:p w:rsidR="00DE2983" w:rsidRPr="003F2406" w:rsidRDefault="00DE2983" w:rsidP="00DE2983">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Pr>
          <w:rFonts w:ascii="Palatino Linotype" w:eastAsia="Calibri" w:hAnsi="Palatino Linotype" w:cs="Arial"/>
        </w:rPr>
        <w:t xml:space="preserve">y se ordenó </w:t>
      </w:r>
      <w:r w:rsidRPr="00323CF2">
        <w:rPr>
          <w:rFonts w:ascii="Palatino Linotype" w:hAnsi="Palatino Linotype"/>
        </w:rPr>
        <w:t>que</w:t>
      </w:r>
      <w:r w:rsidRPr="00323CF2">
        <w:rPr>
          <w:rFonts w:ascii="Palatino Linotype" w:hAnsi="Palatino Linotype"/>
          <w:b/>
        </w:rPr>
        <w:t xml:space="preserve"> </w:t>
      </w:r>
      <w:r w:rsidRPr="00323CF2">
        <w:rPr>
          <w:rFonts w:ascii="Palatino Linotype" w:hAnsi="Palatino Linotype"/>
        </w:rPr>
        <w:t xml:space="preserve">en términos del Considerando </w:t>
      </w:r>
      <w:r w:rsidRPr="00323CF2">
        <w:rPr>
          <w:rFonts w:ascii="Palatino Linotype" w:hAnsi="Palatino Linotype"/>
          <w:b/>
        </w:rPr>
        <w:t xml:space="preserve">Cuarto </w:t>
      </w:r>
      <w:r>
        <w:rPr>
          <w:rFonts w:ascii="Palatino Linotype" w:hAnsi="Palatino Linotype"/>
        </w:rPr>
        <w:t>de la</w:t>
      </w:r>
      <w:r w:rsidRPr="00323CF2">
        <w:rPr>
          <w:rFonts w:ascii="Palatino Linotype" w:hAnsi="Palatino Linotype"/>
        </w:rPr>
        <w:t xml:space="preserve"> resolución </w:t>
      </w:r>
      <w:r>
        <w:rPr>
          <w:rFonts w:ascii="Palatino Linotype" w:hAnsi="Palatino Linotype"/>
        </w:rPr>
        <w:t>de mérito hiciera</w:t>
      </w:r>
      <w:r w:rsidRPr="00323CF2">
        <w:rPr>
          <w:rFonts w:ascii="Palatino Linotype" w:hAnsi="Palatino Linotype"/>
        </w:rPr>
        <w:t xml:space="preserve"> entrega, </w:t>
      </w:r>
      <w:r>
        <w:rPr>
          <w:rFonts w:ascii="Palatino Linotype" w:hAnsi="Palatino Linotype"/>
        </w:rPr>
        <w:t>copias fotostáticas (sin costo)</w:t>
      </w:r>
      <w:r w:rsidRPr="00323CF2">
        <w:rPr>
          <w:rFonts w:ascii="Palatino Linotype" w:hAnsi="Palatino Linotype"/>
        </w:rPr>
        <w:t>, de ser procedente en versión pública</w:t>
      </w:r>
      <w:r w:rsidRPr="00323CF2">
        <w:rPr>
          <w:rFonts w:ascii="Palatino Linotype" w:eastAsia="Arial Unicode MS" w:hAnsi="Palatino Linotype" w:cs="Arial"/>
        </w:rPr>
        <w:t xml:space="preserve">, </w:t>
      </w:r>
      <w:r w:rsidRPr="00323CF2">
        <w:rPr>
          <w:rFonts w:ascii="Palatino Linotype" w:hAnsi="Palatino Linotype" w:cs="Arial"/>
        </w:rPr>
        <w:t xml:space="preserve"> lo siguiente:</w:t>
      </w:r>
    </w:p>
    <w:p w:rsidR="00DE2983" w:rsidRPr="003F2406" w:rsidRDefault="00DE2983" w:rsidP="00DE2983">
      <w:pPr>
        <w:spacing w:before="100" w:beforeAutospacing="1" w:after="100" w:afterAutospacing="1"/>
        <w:ind w:right="49"/>
        <w:contextualSpacing/>
        <w:jc w:val="both"/>
        <w:rPr>
          <w:rFonts w:ascii="Palatino Linotype" w:eastAsia="Calibri" w:hAnsi="Palatino Linotype" w:cs="Arial"/>
          <w:sz w:val="22"/>
          <w:szCs w:val="22"/>
        </w:rPr>
      </w:pPr>
    </w:p>
    <w:p w:rsidR="0092546E" w:rsidRPr="0092546E"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 xml:space="preserve">1. </w:t>
      </w:r>
      <w:r w:rsidRPr="0092546E">
        <w:rPr>
          <w:rFonts w:ascii="Palatino Linotype" w:eastAsia="Arial Unicode MS" w:hAnsi="Palatino Linotype" w:cs="Arial"/>
          <w:i/>
          <w:sz w:val="22"/>
          <w:szCs w:val="22"/>
        </w:rPr>
        <w:t xml:space="preserve">Actas ordinarias y extraordinarias del Comité de Adquisiciones y Servicios, correspondientes al periodo comprendido del uno de enero al veinticinco de septiembre de dos mil diecinueve, únicamente respecto de la información que no fue remitida mediante respuesta. </w:t>
      </w:r>
    </w:p>
    <w:p w:rsidR="0092546E"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p>
    <w:p w:rsidR="0092546E" w:rsidRPr="0092546E"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sidRPr="0092546E">
        <w:rPr>
          <w:rFonts w:ascii="Palatino Linotype" w:eastAsia="Arial Unicode MS" w:hAnsi="Palatino Linotype" w:cs="Arial"/>
          <w:i/>
          <w:sz w:val="22"/>
          <w:szCs w:val="22"/>
        </w:rPr>
        <w:t xml:space="preserve">En el supuesto de que la información referida en el punto 1 (actas extraordinarias del Comité de Adquisiciones y Servicios), no haya sido generada, poseída o administrada por El Sujeto Obligado, bastará con que así lo manifieste al momento de dar cumplimiento a la presente resolución. </w:t>
      </w:r>
    </w:p>
    <w:p w:rsidR="0092546E"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p>
    <w:p w:rsidR="0092546E" w:rsidRPr="00623BF8"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b/>
          <w:i/>
          <w:sz w:val="22"/>
          <w:szCs w:val="22"/>
        </w:rPr>
      </w:pPr>
      <w:r w:rsidRPr="00623BF8">
        <w:rPr>
          <w:rFonts w:ascii="Palatino Linotype" w:eastAsia="Arial Unicode MS" w:hAnsi="Palatino Linotype" w:cs="Arial"/>
          <w:b/>
          <w:i/>
          <w:sz w:val="22"/>
          <w:szCs w:val="22"/>
        </w:rPr>
        <w:t xml:space="preserve">Asimismo, en caso de que El Recurrente requiera la entrega de la información en copias simples (sin costo), a efecto de que El Sujeto Obligado de pleno cumplimiento respecto de la entrega de la información en la modalidad referida, es necesario que informe al particular sobre el día, hora, lugar para la reproducción de la información, para que posteriormente se proceda a la entrega de la misma. </w:t>
      </w:r>
    </w:p>
    <w:p w:rsidR="0092546E"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p>
    <w:p w:rsidR="00DE2983" w:rsidRPr="002B1B88" w:rsidRDefault="0092546E" w:rsidP="0092546E">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sidRPr="0092546E">
        <w:rPr>
          <w:rFonts w:ascii="Palatino Linotype" w:eastAsia="Arial Unicode MS"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92546E">
        <w:rPr>
          <w:rFonts w:ascii="Palatino Linotype" w:eastAsia="Arial Unicode MS" w:hAnsi="Palatino Linotype" w:cs="Arial"/>
          <w:i/>
          <w:sz w:val="22"/>
          <w:szCs w:val="22"/>
        </w:rPr>
        <w:lastRenderedPageBreak/>
        <w:t>Municipios, en el que funde y motive las razones sobre los datos que se supriman o eliminen y se ponga a disposición</w:t>
      </w:r>
      <w:r>
        <w:rPr>
          <w:rFonts w:ascii="Palatino Linotype" w:eastAsia="Arial Unicode MS" w:hAnsi="Palatino Linotype" w:cs="Arial"/>
          <w:i/>
          <w:sz w:val="22"/>
          <w:szCs w:val="22"/>
        </w:rPr>
        <w:t xml:space="preserve"> del recurrente</w:t>
      </w:r>
      <w:r w:rsidR="00DE2983" w:rsidRPr="002B1B88">
        <w:rPr>
          <w:rFonts w:ascii="Palatino Linotype" w:eastAsia="Arial Unicode MS" w:hAnsi="Palatino Linotype" w:cs="Arial"/>
          <w:i/>
          <w:sz w:val="22"/>
          <w:szCs w:val="22"/>
        </w:rPr>
        <w:t>.</w:t>
      </w:r>
    </w:p>
    <w:p w:rsidR="00DE2983" w:rsidRPr="003F2406" w:rsidRDefault="00DE2983" w:rsidP="00DE2983">
      <w:pPr>
        <w:pStyle w:val="Prrafodelista"/>
        <w:tabs>
          <w:tab w:val="left" w:pos="3960"/>
        </w:tabs>
        <w:spacing w:before="100" w:beforeAutospacing="1" w:after="100" w:afterAutospacing="1"/>
        <w:ind w:right="850"/>
        <w:jc w:val="both"/>
        <w:rPr>
          <w:rFonts w:ascii="Palatino Linotype" w:eastAsia="MS Mincho" w:hAnsi="Palatino Linotype" w:cstheme="majorBidi"/>
          <w:i/>
          <w:sz w:val="22"/>
          <w:szCs w:val="22"/>
        </w:rPr>
      </w:pPr>
      <w:r>
        <w:rPr>
          <w:rFonts w:ascii="Palatino Linotype" w:eastAsia="MS Mincho" w:hAnsi="Palatino Linotype" w:cstheme="majorBidi"/>
          <w:i/>
          <w:sz w:val="22"/>
          <w:szCs w:val="22"/>
        </w:rPr>
        <w:tab/>
      </w:r>
    </w:p>
    <w:p w:rsidR="00DE2983" w:rsidRDefault="00DE2983" w:rsidP="00DE2983">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t>En ese sentido, la</w:t>
      </w:r>
      <w:r>
        <w:rPr>
          <w:rFonts w:ascii="Palatino Linotype" w:hAnsi="Palatino Linotype" w:cs="Arial"/>
        </w:rPr>
        <w:t xml:space="preserve"> que suscribe reitera</w:t>
      </w:r>
      <w:r w:rsidRPr="006D731E">
        <w:rPr>
          <w:rFonts w:ascii="Palatino Linotype" w:hAnsi="Palatino Linotype" w:cs="Arial"/>
        </w:rPr>
        <w:t>, que si bien</w:t>
      </w:r>
      <w:r>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Pr>
          <w:rFonts w:ascii="Palatino Linotype" w:hAnsi="Palatino Linotype" w:cs="Arial"/>
        </w:rPr>
        <w:t xml:space="preserve">estimo necesario precisar que en cuanto hace al requerimiento que realizó </w:t>
      </w:r>
      <w:r w:rsidRPr="00D052DA">
        <w:rPr>
          <w:rFonts w:ascii="Palatino Linotype" w:hAnsi="Palatino Linotype" w:cs="Arial"/>
          <w:b/>
        </w:rPr>
        <w:t>EL</w:t>
      </w:r>
      <w:r>
        <w:rPr>
          <w:rFonts w:ascii="Palatino Linotype" w:hAnsi="Palatino Linotype" w:cs="Arial"/>
        </w:rPr>
        <w:t xml:space="preserve"> </w:t>
      </w:r>
      <w:r w:rsidRPr="00B30650">
        <w:rPr>
          <w:rFonts w:ascii="Palatino Linotype" w:hAnsi="Palatino Linotype" w:cs="Arial"/>
          <w:b/>
        </w:rPr>
        <w:t>SUJETO</w:t>
      </w:r>
      <w:r>
        <w:rPr>
          <w:rFonts w:ascii="Palatino Linotype" w:hAnsi="Palatino Linotype" w:cs="Arial"/>
        </w:rPr>
        <w:t xml:space="preserve"> </w:t>
      </w:r>
      <w:r w:rsidRPr="00B30650">
        <w:rPr>
          <w:rFonts w:ascii="Palatino Linotype" w:hAnsi="Palatino Linotype" w:cs="Arial"/>
          <w:b/>
        </w:rPr>
        <w:t>OBLIGADO</w:t>
      </w:r>
      <w:r>
        <w:rPr>
          <w:rFonts w:ascii="Palatino Linotype" w:hAnsi="Palatino Linotype" w:cs="Arial"/>
        </w:rPr>
        <w:t xml:space="preserve"> al </w:t>
      </w:r>
      <w:r w:rsidRPr="00B30650">
        <w:rPr>
          <w:rFonts w:ascii="Palatino Linotype" w:hAnsi="Palatino Linotype" w:cs="Arial"/>
          <w:b/>
        </w:rPr>
        <w:t>RECURRENTE</w:t>
      </w:r>
      <w:r>
        <w:rPr>
          <w:rFonts w:ascii="Palatino Linotype" w:hAnsi="Palatino Linotype" w:cs="Arial"/>
        </w:rPr>
        <w:t xml:space="preserve"> a fin de que realizara el pago por concepto de digitalización de la información requerida por éste, la Ponencia Resolutora debió pronunciarse respecto de la procedencia de dicho cobro.</w:t>
      </w:r>
    </w:p>
    <w:p w:rsidR="00DE2983" w:rsidRDefault="00DE2983" w:rsidP="00DE2983">
      <w:pPr>
        <w:spacing w:before="100" w:beforeAutospacing="1" w:after="100" w:afterAutospacing="1" w:line="360" w:lineRule="auto"/>
        <w:contextualSpacing/>
        <w:jc w:val="both"/>
        <w:rPr>
          <w:rFonts w:ascii="Palatino Linotype" w:hAnsi="Palatino Linotype" w:cs="Arial"/>
        </w:rPr>
      </w:pP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Lo anterior, obedece a que conforme al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Pr>
          <w:rFonts w:ascii="Palatino Linotype" w:hAnsi="Palatino Linotype" w:cs="Arial"/>
          <w:lang w:eastAsia="es-MX"/>
        </w:rPr>
        <w:t>, tal como se advierte a continuación</w:t>
      </w:r>
      <w:r w:rsidRPr="00DC522B">
        <w:rPr>
          <w:rFonts w:ascii="Palatino Linotype" w:hAnsi="Palatino Linotype" w:cs="Arial"/>
          <w:lang w:eastAsia="es-MX"/>
        </w:rPr>
        <w:t>.</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DE2983"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DE2983" w:rsidRPr="00DC522B" w:rsidRDefault="00DE2983" w:rsidP="00DE2983">
      <w:pPr>
        <w:spacing w:before="100" w:beforeAutospacing="1" w:after="100" w:afterAutospacing="1"/>
        <w:ind w:left="709" w:right="757"/>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Pr>
          <w:rFonts w:ascii="Palatino Linotype" w:hAnsi="Palatino Linotype" w:cs="Arial"/>
          <w:lang w:eastAsia="es-MX"/>
        </w:rPr>
        <w:t>n</w:t>
      </w:r>
      <w:r w:rsidRPr="00DC522B">
        <w:rPr>
          <w:rFonts w:ascii="Palatino Linotype" w:hAnsi="Palatino Linotype" w:cs="Arial"/>
          <w:lang w:eastAsia="es-MX"/>
        </w:rPr>
        <w:t xml:space="preserve"> los supuestos </w:t>
      </w:r>
      <w:r>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lastRenderedPageBreak/>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De los </w:t>
      </w:r>
      <w:r w:rsidRPr="00DC522B">
        <w:rPr>
          <w:rFonts w:ascii="Palatino Linotype" w:hAnsi="Palatino Linotype" w:cs="Arial"/>
          <w:lang w:eastAsia="es-MX"/>
        </w:rPr>
        <w:t>ordenamiento</w:t>
      </w:r>
      <w:r>
        <w:rPr>
          <w:rFonts w:ascii="Palatino Linotype" w:hAnsi="Palatino Linotype" w:cs="Arial"/>
          <w:lang w:eastAsia="es-MX"/>
        </w:rPr>
        <w:t>s</w:t>
      </w:r>
      <w:r w:rsidRPr="00DC522B">
        <w:rPr>
          <w:rFonts w:ascii="Palatino Linotype" w:hAnsi="Palatino Linotype" w:cs="Arial"/>
          <w:lang w:eastAsia="es-MX"/>
        </w:rPr>
        <w:t xml:space="preserve"> anterior</w:t>
      </w:r>
      <w:r>
        <w:rPr>
          <w:rFonts w:ascii="Palatino Linotype" w:hAnsi="Palatino Linotype" w:cs="Arial"/>
          <w:lang w:eastAsia="es-MX"/>
        </w:rPr>
        <w:t>es</w:t>
      </w:r>
      <w:r w:rsidR="0092546E">
        <w:rPr>
          <w:rFonts w:ascii="Palatino Linotype" w:hAnsi="Palatino Linotype" w:cs="Arial"/>
          <w:lang w:eastAsia="es-MX"/>
        </w:rPr>
        <w:t xml:space="preserve"> </w:t>
      </w:r>
      <w:r>
        <w:rPr>
          <w:rFonts w:ascii="Palatino Linotype" w:hAnsi="Palatino Linotype" w:cs="Arial"/>
          <w:lang w:eastAsia="es-MX"/>
        </w:rPr>
        <w:t xml:space="preserve">se concluye </w:t>
      </w:r>
      <w:r w:rsidRPr="00DC522B">
        <w:rPr>
          <w:rFonts w:ascii="Palatino Linotype" w:hAnsi="Palatino Linotype" w:cs="Arial"/>
          <w:lang w:eastAsia="es-MX"/>
        </w:rPr>
        <w:t xml:space="preserve">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Pr>
          <w:rFonts w:ascii="Palatino Linotype" w:hAnsi="Palatino Linotype" w:cs="Arial"/>
          <w:lang w:eastAsia="es-MX"/>
        </w:rPr>
        <w:t xml:space="preserve"> alguno</w:t>
      </w:r>
      <w:r w:rsidRPr="00DC522B">
        <w:rPr>
          <w:rFonts w:ascii="Palatino Linotype" w:hAnsi="Palatino Linotype" w:cs="Arial"/>
          <w:lang w:eastAsia="es-MX"/>
        </w:rPr>
        <w:t xml:space="preserve"> para los particulares, y podrán acceder a ella</w:t>
      </w:r>
      <w:r>
        <w:rPr>
          <w:rFonts w:ascii="Palatino Linotype" w:hAnsi="Palatino Linotype" w:cs="Arial"/>
          <w:lang w:eastAsia="es-MX"/>
        </w:rPr>
        <w:t>,</w:t>
      </w:r>
      <w:r w:rsidRPr="00DC522B">
        <w:rPr>
          <w:rFonts w:ascii="Palatino Linotype" w:hAnsi="Palatino Linotype" w:cs="Arial"/>
          <w:lang w:eastAsia="es-MX"/>
        </w:rPr>
        <w:t xml:space="preserve"> excepto en los casos que </w:t>
      </w:r>
      <w:r>
        <w:rPr>
          <w:rFonts w:ascii="Palatino Linotype" w:hAnsi="Palatino Linotype" w:cs="Arial"/>
          <w:lang w:eastAsia="es-MX"/>
        </w:rPr>
        <w:t xml:space="preserve">dicha información </w:t>
      </w:r>
      <w:r w:rsidRPr="00DC522B">
        <w:rPr>
          <w:rFonts w:ascii="Palatino Linotype" w:hAnsi="Palatino Linotype" w:cs="Arial"/>
          <w:lang w:eastAsia="es-MX"/>
        </w:rPr>
        <w:t>encuadre en los supuestos de clasificación de la información.</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554ACC" w:rsidRDefault="00DE2983" w:rsidP="00DE2983">
      <w:pPr>
        <w:spacing w:before="100" w:beforeAutospacing="1" w:after="100" w:afterAutospacing="1" w:line="360" w:lineRule="auto"/>
        <w:contextualSpacing/>
        <w:jc w:val="both"/>
        <w:rPr>
          <w:rFonts w:ascii="Palatino Linotype" w:hAnsi="Palatino Linotype"/>
        </w:rPr>
      </w:pPr>
      <w:r>
        <w:rPr>
          <w:rFonts w:ascii="Palatino Linotype" w:hAnsi="Palatino Linotype" w:cs="Arial"/>
          <w:lang w:eastAsia="es-MX"/>
        </w:rPr>
        <w:lastRenderedPageBreak/>
        <w:t>En ese contexto, r</w:t>
      </w:r>
      <w:r w:rsidRPr="00DC522B">
        <w:rPr>
          <w:rFonts w:ascii="Palatino Linotype" w:hAnsi="Palatino Linotype" w:cs="Arial"/>
          <w:lang w:eastAsia="es-MX"/>
        </w:rPr>
        <w:t>elacionado con</w:t>
      </w:r>
      <w:r w:rsidRPr="005E24C2">
        <w:rPr>
          <w:rFonts w:ascii="Palatino Linotype" w:hAnsi="Palatino Linotype"/>
        </w:rPr>
        <w:t xml:space="preserve"> </w:t>
      </w:r>
      <w:r>
        <w:rPr>
          <w:rFonts w:ascii="Palatino Linotype" w:hAnsi="Palatino Linotype"/>
        </w:rPr>
        <w:t>c</w:t>
      </w:r>
      <w:r w:rsidRPr="00AE4FD6">
        <w:rPr>
          <w:rFonts w:ascii="Palatino Linotype" w:hAnsi="Palatino Linotype"/>
        </w:rPr>
        <w:t xml:space="preserve">opia digital </w:t>
      </w:r>
      <w:r>
        <w:rPr>
          <w:rFonts w:ascii="Palatino Linotype" w:hAnsi="Palatino Linotype"/>
        </w:rPr>
        <w:t>de las renuncias concernientes a</w:t>
      </w:r>
      <w:r w:rsidRPr="00AE4FD6">
        <w:rPr>
          <w:rFonts w:ascii="Palatino Linotype" w:hAnsi="Palatino Linotype"/>
        </w:rPr>
        <w:t xml:space="preserve"> los servidores públicos indicados en la solicitud</w:t>
      </w:r>
      <w:r w:rsidRPr="00DC522B">
        <w:rPr>
          <w:rFonts w:ascii="Palatino Linotype" w:hAnsi="Palatino Linotype" w:cs="Arial"/>
          <w:lang w:eastAsia="es-MX"/>
        </w:rPr>
        <w:t xml:space="preserve">, es menester precisar que éste no representa una obligación de transparencia común </w:t>
      </w:r>
      <w:r>
        <w:rPr>
          <w:rFonts w:ascii="Palatino Linotype" w:hAnsi="Palatino Linotype" w:cs="Arial"/>
          <w:lang w:eastAsia="es-MX"/>
        </w:rPr>
        <w:t xml:space="preserve">o específica </w:t>
      </w:r>
      <w:r w:rsidRPr="00DC522B">
        <w:rPr>
          <w:rFonts w:ascii="Palatino Linotype" w:hAnsi="Palatino Linotype" w:cs="Arial"/>
          <w:lang w:eastAsia="es-MX"/>
        </w:rPr>
        <w:t xml:space="preserve">para </w:t>
      </w:r>
      <w:r w:rsidRPr="00DC522B">
        <w:rPr>
          <w:rFonts w:ascii="Palatino Linotype" w:hAnsi="Palatino Linotype" w:cs="Arial"/>
          <w:b/>
          <w:lang w:eastAsia="es-MX"/>
        </w:rPr>
        <w:t>EL SUJETO OBLIGADO</w:t>
      </w:r>
      <w:r w:rsidRPr="00DC522B">
        <w:rPr>
          <w:rFonts w:ascii="Palatino Linotype" w:hAnsi="Palatino Linotype" w:cs="Arial"/>
          <w:lang w:eastAsia="es-MX"/>
        </w:rPr>
        <w:t>, puesto que</w:t>
      </w:r>
      <w:r>
        <w:rPr>
          <w:rFonts w:ascii="Palatino Linotype" w:hAnsi="Palatino Linotype" w:cs="Arial"/>
          <w:lang w:eastAsia="es-MX"/>
        </w:rPr>
        <w:t xml:space="preserve"> de las referidas en los</w:t>
      </w:r>
      <w:r w:rsidRPr="00DC522B">
        <w:rPr>
          <w:rFonts w:ascii="Palatino Linotype" w:hAnsi="Palatino Linotype" w:cs="Arial"/>
          <w:lang w:eastAsia="es-MX"/>
        </w:rPr>
        <w:t xml:space="preserve"> artícu</w:t>
      </w:r>
      <w:r>
        <w:rPr>
          <w:rFonts w:ascii="Palatino Linotype" w:hAnsi="Palatino Linotype" w:cs="Arial"/>
          <w:lang w:eastAsia="es-MX"/>
        </w:rPr>
        <w:t>los 92 y 94 de la Ley de Transparencia y Acceso a la Información Pública del Estado de México y Municipios</w:t>
      </w:r>
      <w:r w:rsidRPr="00DC522B">
        <w:rPr>
          <w:rFonts w:ascii="Palatino Linotype" w:hAnsi="Palatino Linotype" w:cs="Arial"/>
          <w:lang w:eastAsia="es-MX"/>
        </w:rPr>
        <w:t>, no configura</w:t>
      </w:r>
      <w:r>
        <w:rPr>
          <w:rFonts w:ascii="Palatino Linotype" w:hAnsi="Palatino Linotype" w:cs="Arial"/>
          <w:lang w:eastAsia="es-MX"/>
        </w:rPr>
        <w:t>n</w:t>
      </w:r>
      <w:r w:rsidRPr="00DC522B">
        <w:rPr>
          <w:rFonts w:ascii="Palatino Linotype" w:hAnsi="Palatino Linotype" w:cs="Arial"/>
          <w:lang w:eastAsia="es-MX"/>
        </w:rPr>
        <w:t xml:space="preserve"> el supuesto que excluya al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para requerir el previo pago de derechos a </w:t>
      </w:r>
      <w:r>
        <w:rPr>
          <w:rFonts w:ascii="Palatino Linotype" w:hAnsi="Palatino Linotype" w:cs="Arial"/>
          <w:lang w:eastAsia="es-MX"/>
        </w:rPr>
        <w:t xml:space="preserve">la solicitante </w:t>
      </w:r>
      <w:r w:rsidRPr="00DC522B">
        <w:rPr>
          <w:rFonts w:ascii="Palatino Linotype" w:hAnsi="Palatino Linotype" w:cs="Arial"/>
          <w:lang w:eastAsia="es-MX"/>
        </w:rPr>
        <w:t>por concepto de escaneo y reproducción de la información para su envío.</w:t>
      </w:r>
    </w:p>
    <w:p w:rsidR="00DE2983" w:rsidRPr="00DC522B"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Default="00DE2983" w:rsidP="00DE2983">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Por ende</w:t>
      </w:r>
      <w:r>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DE2983" w:rsidRPr="00F441FF" w:rsidRDefault="00DE2983" w:rsidP="00DE2983">
      <w:pPr>
        <w:spacing w:before="100" w:beforeAutospacing="1" w:after="100" w:afterAutospacing="1" w:line="360" w:lineRule="auto"/>
        <w:contextualSpacing/>
        <w:jc w:val="both"/>
        <w:rPr>
          <w:rFonts w:ascii="Palatino Linotype" w:hAnsi="Palatino Linotype" w:cs="Arial"/>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p>
    <w:p w:rsidR="00DE2983" w:rsidRPr="00DC522B"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DE2983" w:rsidRDefault="00DE2983" w:rsidP="00DE2983">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DE2983" w:rsidRPr="00F441FF" w:rsidRDefault="00DE2983" w:rsidP="00DE2983">
      <w:pPr>
        <w:spacing w:before="100" w:beforeAutospacing="1" w:after="100" w:afterAutospacing="1"/>
        <w:ind w:left="709" w:right="757"/>
        <w:contextualSpacing/>
        <w:jc w:val="both"/>
        <w:rPr>
          <w:rFonts w:ascii="Palatino Linotype" w:hAnsi="Palatino Linotype" w:cs="Arial"/>
          <w:i/>
          <w:sz w:val="16"/>
          <w:szCs w:val="16"/>
          <w:lang w:eastAsia="es-MX"/>
        </w:rPr>
      </w:pPr>
    </w:p>
    <w:p w:rsidR="00DE2983" w:rsidRDefault="00DE2983" w:rsidP="00DE2983">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DE2983" w:rsidRDefault="00DE2983" w:rsidP="00DE2983">
      <w:pPr>
        <w:spacing w:before="100" w:beforeAutospacing="1" w:after="100" w:afterAutospacing="1"/>
        <w:ind w:left="709" w:right="757"/>
        <w:contextualSpacing/>
        <w:jc w:val="both"/>
        <w:rPr>
          <w:rFonts w:ascii="Palatino Linotype" w:hAnsi="Palatino Linotype"/>
          <w:b/>
          <w:i/>
          <w:sz w:val="22"/>
          <w:szCs w:val="22"/>
        </w:rPr>
      </w:pPr>
    </w:p>
    <w:p w:rsidR="00DE2983" w:rsidRPr="00554ACC" w:rsidRDefault="00DE2983" w:rsidP="00DE2983">
      <w:pPr>
        <w:spacing w:before="100" w:beforeAutospacing="1" w:after="100" w:afterAutospacing="1"/>
        <w:ind w:left="851" w:right="902"/>
        <w:contextualSpacing/>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DE2983" w:rsidRPr="00554ACC" w:rsidRDefault="00DE2983" w:rsidP="00DE2983">
      <w:pPr>
        <w:spacing w:before="100" w:beforeAutospacing="1" w:after="100" w:afterAutospacing="1"/>
        <w:ind w:left="851" w:right="902"/>
        <w:contextualSpacing/>
        <w:jc w:val="both"/>
        <w:rPr>
          <w:rFonts w:ascii="Palatino Linotype" w:hAnsi="Palatino Linotype"/>
          <w:i/>
          <w:sz w:val="22"/>
          <w:szCs w:val="22"/>
        </w:rPr>
      </w:pPr>
      <w:r w:rsidRPr="00554ACC">
        <w:rPr>
          <w:rFonts w:ascii="Palatino Linotype" w:hAnsi="Palatino Linotype"/>
          <w:i/>
          <w:sz w:val="22"/>
          <w:szCs w:val="22"/>
        </w:rPr>
        <w:br/>
      </w:r>
    </w:p>
    <w:p w:rsidR="00DE2983" w:rsidRPr="00554ACC" w:rsidRDefault="00DE2983" w:rsidP="00DE2983">
      <w:pPr>
        <w:spacing w:before="100" w:beforeAutospacing="1" w:after="100" w:afterAutospacing="1"/>
        <w:ind w:left="851" w:right="902"/>
        <w:contextualSpacing/>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7"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xml:space="preserve">.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w:t>
      </w:r>
      <w:r w:rsidRPr="00554ACC">
        <w:rPr>
          <w:rFonts w:ascii="Palatino Linotype" w:hAnsi="Palatino Linotype"/>
          <w:i/>
          <w:sz w:val="22"/>
          <w:szCs w:val="22"/>
        </w:rPr>
        <w:lastRenderedPageBreak/>
        <w:t>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DE2983" w:rsidRDefault="00DE2983" w:rsidP="00DE2983">
      <w:pPr>
        <w:spacing w:before="100" w:beforeAutospacing="1" w:after="100" w:afterAutospacing="1" w:line="360" w:lineRule="auto"/>
        <w:contextualSpacing/>
        <w:jc w:val="both"/>
        <w:rPr>
          <w:rFonts w:ascii="Palatino Linotype" w:hAnsi="Palatino Linotype" w:cs="Arial"/>
        </w:rPr>
      </w:pPr>
    </w:p>
    <w:p w:rsidR="00DE2983" w:rsidRDefault="00DE2983" w:rsidP="00DE2983">
      <w:pPr>
        <w:spacing w:before="100" w:beforeAutospacing="1" w:after="100" w:afterAutospacing="1" w:line="360" w:lineRule="auto"/>
        <w:ind w:right="49"/>
        <w:contextualSpacing/>
        <w:jc w:val="both"/>
        <w:rPr>
          <w:rFonts w:ascii="Palatino Linotype" w:hAnsi="Palatino Linotype" w:cs="Arial"/>
        </w:rPr>
      </w:pPr>
      <w:r w:rsidRPr="00574CFC">
        <w:rPr>
          <w:rFonts w:ascii="Palatino Linotype" w:hAnsi="Palatino Linotype"/>
        </w:rPr>
        <w:t>En razón de lo expuesto, la</w:t>
      </w:r>
      <w:r>
        <w:rPr>
          <w:rFonts w:ascii="Palatino Linotype" w:hAnsi="Palatino Linotype"/>
        </w:rPr>
        <w:t xml:space="preserve"> que suscribe</w:t>
      </w:r>
      <w:r w:rsidRPr="00574CFC">
        <w:rPr>
          <w:rFonts w:ascii="Palatino Linotype" w:hAnsi="Palatino Linotype"/>
        </w:rPr>
        <w:t xml:space="preserve"> </w:t>
      </w:r>
      <w:r>
        <w:rPr>
          <w:rFonts w:ascii="Palatino Linotype" w:hAnsi="Palatino Linotype" w:cs="Arial"/>
        </w:rPr>
        <w:t>emite</w:t>
      </w:r>
      <w:r w:rsidRPr="00574CFC">
        <w:rPr>
          <w:rFonts w:ascii="Palatino Linotype" w:hAnsi="Palatino Linotype" w:cs="Arial"/>
        </w:rPr>
        <w:t xml:space="preserve"> </w:t>
      </w:r>
      <w:r w:rsidRPr="00574CFC">
        <w:rPr>
          <w:rFonts w:ascii="Palatino Linotype" w:hAnsi="Palatino Linotype" w:cs="Arial"/>
          <w:b/>
        </w:rPr>
        <w:t xml:space="preserve">VOTO PARTICULAR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se considera procedente 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w:t>
      </w:r>
      <w:r w:rsidR="00623BF8">
        <w:rPr>
          <w:rFonts w:ascii="Palatino Linotype" w:hAnsi="Palatino Linotype" w:cs="Arial"/>
        </w:rPr>
        <w:t>simples</w:t>
      </w:r>
      <w:r>
        <w:rPr>
          <w:rFonts w:ascii="Palatino Linotype" w:hAnsi="Palatino Linotype" w:cs="Arial"/>
        </w:rPr>
        <w:t xml:space="preserve">, modalidad de entrega elegida por éste, en razón de valorar como negligente el actuar del </w:t>
      </w:r>
      <w:r w:rsidRPr="00A002B7">
        <w:rPr>
          <w:rFonts w:ascii="Palatino Linotype" w:hAnsi="Palatino Linotype" w:cs="Arial"/>
          <w:b/>
        </w:rPr>
        <w:t>SUJETO OBLIGADO</w:t>
      </w:r>
      <w:r>
        <w:rPr>
          <w:rFonts w:ascii="Palatino Linotype" w:hAnsi="Palatino Linotype" w:cs="Arial"/>
        </w:rPr>
        <w:t xml:space="preserve"> vía recurso de revisión, toda vez que los medios de impugnación no son la instancia para determinar las responsabilidades </w:t>
      </w:r>
      <w:r w:rsidR="00491A73">
        <w:rPr>
          <w:rFonts w:ascii="Palatino Linotype" w:hAnsi="Palatino Linotype" w:cs="Arial"/>
        </w:rPr>
        <w:t xml:space="preserve">administrativas </w:t>
      </w:r>
      <w:r>
        <w:rPr>
          <w:rFonts w:ascii="Palatino Linotype" w:hAnsi="Palatino Linotype" w:cs="Arial"/>
        </w:rPr>
        <w:t>de los Sujeto Obligados, pues al emitir la resolución se debe actuar con apego a los principios de exhaustividad y congruencia.</w:t>
      </w:r>
    </w:p>
    <w:p w:rsidR="00DE2983" w:rsidRDefault="00DE2983" w:rsidP="00DE2983">
      <w:pPr>
        <w:spacing w:before="100" w:beforeAutospacing="1" w:after="100" w:afterAutospacing="1" w:line="360" w:lineRule="auto"/>
        <w:ind w:right="49"/>
        <w:contextualSpacing/>
        <w:jc w:val="both"/>
        <w:rPr>
          <w:rFonts w:ascii="Palatino Linotype" w:hAnsi="Palatino Linotype" w:cs="Arial"/>
        </w:rPr>
      </w:pPr>
    </w:p>
    <w:p w:rsidR="00DE2983" w:rsidRDefault="00DE2983" w:rsidP="00DE2983">
      <w:pPr>
        <w:spacing w:before="100" w:beforeAutospacing="1" w:after="100" w:afterAutospacing="1" w:line="360" w:lineRule="auto"/>
        <w:ind w:right="49"/>
        <w:contextualSpacing/>
        <w:jc w:val="both"/>
        <w:rPr>
          <w:rFonts w:ascii="Palatino Linotype" w:hAnsi="Palatino Linotype" w:cs="Arial"/>
        </w:rPr>
      </w:pPr>
    </w:p>
    <w:p w:rsidR="00DE2983" w:rsidRDefault="00DE2983" w:rsidP="00DE2983">
      <w:pPr>
        <w:spacing w:before="100" w:beforeAutospacing="1" w:after="100" w:afterAutospacing="1" w:line="360" w:lineRule="auto"/>
        <w:ind w:right="49"/>
        <w:contextualSpacing/>
        <w:jc w:val="center"/>
        <w:rPr>
          <w:rFonts w:ascii="Palatino Linotype" w:hAnsi="Palatino Linotype" w:cs="Arial"/>
        </w:rPr>
      </w:pPr>
    </w:p>
    <w:p w:rsidR="00D97FF8" w:rsidRDefault="00D97FF8" w:rsidP="00DE2983">
      <w:pPr>
        <w:framePr w:hSpace="141" w:wrap="around" w:vAnchor="text" w:hAnchor="margin" w:y="139"/>
        <w:spacing w:before="100" w:beforeAutospacing="1" w:after="100" w:afterAutospacing="1"/>
        <w:contextualSpacing/>
        <w:jc w:val="center"/>
        <w:rPr>
          <w:rFonts w:ascii="Palatino Linotype" w:hAnsi="Palatino Linotype"/>
          <w:b/>
        </w:rPr>
      </w:pPr>
    </w:p>
    <w:p w:rsidR="00D97FF8" w:rsidRDefault="00D97FF8" w:rsidP="00DE2983">
      <w:pPr>
        <w:framePr w:hSpace="141" w:wrap="around" w:vAnchor="text" w:hAnchor="margin" w:y="139"/>
        <w:spacing w:before="100" w:beforeAutospacing="1" w:after="100" w:afterAutospacing="1"/>
        <w:contextualSpacing/>
        <w:jc w:val="center"/>
        <w:rPr>
          <w:rFonts w:ascii="Palatino Linotype" w:hAnsi="Palatino Linotype"/>
          <w:b/>
        </w:rPr>
      </w:pPr>
    </w:p>
    <w:p w:rsidR="00DE2983" w:rsidRPr="0073286C" w:rsidRDefault="00DE2983" w:rsidP="00DE2983">
      <w:pPr>
        <w:framePr w:hSpace="141" w:wrap="around" w:vAnchor="text" w:hAnchor="margin" w:y="139"/>
        <w:spacing w:before="100" w:beforeAutospacing="1" w:after="100" w:afterAutospacing="1"/>
        <w:contextualSpacing/>
        <w:jc w:val="center"/>
        <w:rPr>
          <w:rFonts w:ascii="Palatino Linotype" w:hAnsi="Palatino Linotype"/>
          <w:b/>
        </w:rPr>
      </w:pPr>
      <w:r w:rsidRPr="0073286C">
        <w:rPr>
          <w:rFonts w:ascii="Palatino Linotype" w:hAnsi="Palatino Linotype"/>
          <w:b/>
        </w:rPr>
        <w:t>EVA ABAID YAPUR</w:t>
      </w:r>
    </w:p>
    <w:p w:rsidR="00DE2983" w:rsidRPr="0073286C" w:rsidRDefault="00DE2983" w:rsidP="00DE2983">
      <w:pPr>
        <w:framePr w:hSpace="141" w:wrap="around" w:vAnchor="text" w:hAnchor="margin" w:y="139"/>
        <w:spacing w:before="100" w:beforeAutospacing="1" w:after="100" w:afterAutospacing="1"/>
        <w:contextualSpacing/>
        <w:jc w:val="center"/>
        <w:rPr>
          <w:rFonts w:ascii="Palatino Linotype" w:hAnsi="Palatino Linotype"/>
          <w:b/>
        </w:rPr>
      </w:pPr>
      <w:r w:rsidRPr="0073286C">
        <w:rPr>
          <w:rFonts w:ascii="Palatino Linotype" w:hAnsi="Palatino Linotype"/>
          <w:b/>
        </w:rPr>
        <w:t>COMISIONADA</w:t>
      </w:r>
    </w:p>
    <w:p w:rsidR="00DE2983" w:rsidRPr="00722B7D" w:rsidRDefault="00722B7D" w:rsidP="00DE2983">
      <w:pPr>
        <w:spacing w:before="100" w:beforeAutospacing="1" w:after="100" w:afterAutospacing="1" w:line="360" w:lineRule="auto"/>
        <w:ind w:right="49"/>
        <w:contextualSpacing/>
        <w:jc w:val="center"/>
        <w:rPr>
          <w:rFonts w:ascii="Palatino Linotype" w:hAnsi="Palatino Linotype" w:cs="Arial"/>
          <w:b/>
        </w:rPr>
      </w:pPr>
      <w:bookmarkStart w:id="0" w:name="_GoBack"/>
      <w:r w:rsidRPr="00722B7D">
        <w:rPr>
          <w:rFonts w:ascii="Palatino Linotype" w:hAnsi="Palatino Linotype" w:cs="Arial"/>
          <w:b/>
        </w:rPr>
        <w:t>(RÚBRICA)</w:t>
      </w:r>
    </w:p>
    <w:bookmarkEnd w:id="0"/>
    <w:p w:rsidR="00DE2983" w:rsidRDefault="00DE2983" w:rsidP="00DE2983">
      <w:pPr>
        <w:spacing w:before="100" w:beforeAutospacing="1" w:after="100" w:afterAutospacing="1" w:line="360" w:lineRule="auto"/>
        <w:ind w:right="49"/>
        <w:contextualSpacing/>
        <w:jc w:val="both"/>
        <w:rPr>
          <w:rFonts w:ascii="Palatino Linotype" w:hAnsi="Palatino Linotype" w:cs="Arial"/>
        </w:rPr>
      </w:pPr>
    </w:p>
    <w:p w:rsidR="00DE2983" w:rsidRDefault="00DE2983" w:rsidP="00DE2983">
      <w:pPr>
        <w:spacing w:before="100" w:beforeAutospacing="1" w:after="100" w:afterAutospacing="1"/>
        <w:contextualSpacing/>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Pr="001A4E4A">
        <w:rPr>
          <w:rFonts w:ascii="Palatino Linotype" w:eastAsia="Calibri" w:hAnsi="Palatino Linotype" w:cs="Arial"/>
          <w:color w:val="000000" w:themeColor="text1"/>
          <w:sz w:val="20"/>
          <w:szCs w:val="20"/>
        </w:rPr>
        <w:t>sta hoja corresponde al voto particular</w:t>
      </w:r>
      <w:r>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Pr>
          <w:rFonts w:ascii="Palatino Linotype" w:eastAsia="Calibri" w:hAnsi="Palatino Linotype" w:cs="Arial"/>
          <w:color w:val="000000" w:themeColor="text1"/>
          <w:sz w:val="20"/>
          <w:szCs w:val="20"/>
        </w:rPr>
        <w:t xml:space="preserve"> en la resolución del recurso de revisión 0</w:t>
      </w:r>
      <w:r w:rsidR="00623BF8">
        <w:rPr>
          <w:rFonts w:ascii="Palatino Linotype" w:eastAsia="Calibri" w:hAnsi="Palatino Linotype" w:cs="Arial"/>
          <w:color w:val="000000" w:themeColor="text1"/>
          <w:sz w:val="20"/>
          <w:szCs w:val="20"/>
        </w:rPr>
        <w:t xml:space="preserve">8270/INFOEM/IP/RR/2019, </w:t>
      </w:r>
      <w:r w:rsidRPr="001A4E4A">
        <w:rPr>
          <w:rFonts w:ascii="Palatino Linotype" w:eastAsia="Calibri" w:hAnsi="Palatino Linotype" w:cs="Arial"/>
          <w:color w:val="000000" w:themeColor="text1"/>
          <w:sz w:val="20"/>
          <w:szCs w:val="20"/>
        </w:rPr>
        <w:t>aprobad</w:t>
      </w:r>
      <w:r>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D97FF8">
        <w:rPr>
          <w:rFonts w:ascii="Palatino Linotype" w:eastAsia="Calibri" w:hAnsi="Palatino Linotype" w:cs="Arial"/>
          <w:color w:val="000000" w:themeColor="text1"/>
          <w:sz w:val="20"/>
          <w:szCs w:val="20"/>
        </w:rPr>
        <w:t>dieciocho</w:t>
      </w:r>
      <w:r w:rsidR="00623BF8">
        <w:rPr>
          <w:rFonts w:ascii="Palatino Linotype" w:eastAsia="Calibri" w:hAnsi="Palatino Linotype" w:cs="Arial"/>
          <w:color w:val="000000" w:themeColor="text1"/>
          <w:sz w:val="20"/>
          <w:szCs w:val="20"/>
        </w:rPr>
        <w:t xml:space="preserve"> de diciembre </w:t>
      </w:r>
      <w:r>
        <w:rPr>
          <w:rFonts w:ascii="Palatino Linotype" w:eastAsia="Calibri" w:hAnsi="Palatino Linotype" w:cs="Arial"/>
          <w:color w:val="000000" w:themeColor="text1"/>
          <w:sz w:val="20"/>
          <w:szCs w:val="20"/>
        </w:rPr>
        <w:t>de dos mil diecinueve</w:t>
      </w:r>
      <w:r w:rsidRPr="001A4E4A">
        <w:rPr>
          <w:rFonts w:ascii="Palatino Linotype" w:eastAsia="Calibri" w:hAnsi="Palatino Linotype" w:cs="Arial"/>
          <w:color w:val="000000" w:themeColor="text1"/>
          <w:sz w:val="20"/>
          <w:szCs w:val="20"/>
        </w:rPr>
        <w:t xml:space="preserve">.  </w:t>
      </w:r>
    </w:p>
    <w:p w:rsidR="00D97FF8" w:rsidRPr="00D97FF8" w:rsidRDefault="00D97FF8" w:rsidP="00DE2983">
      <w:pPr>
        <w:spacing w:before="100" w:beforeAutospacing="1" w:after="100" w:afterAutospacing="1"/>
        <w:contextualSpacing/>
        <w:jc w:val="both"/>
        <w:rPr>
          <w:rFonts w:ascii="Palatino Linotype" w:eastAsia="Calibri" w:hAnsi="Palatino Linotype" w:cs="Arial"/>
          <w:color w:val="000000" w:themeColor="text1"/>
          <w:sz w:val="8"/>
          <w:szCs w:val="8"/>
        </w:rPr>
      </w:pPr>
    </w:p>
    <w:p w:rsidR="00847315" w:rsidRPr="00F43301" w:rsidRDefault="00DE2983" w:rsidP="00D97FF8">
      <w:pPr>
        <w:spacing w:before="100" w:beforeAutospacing="1" w:after="100" w:afterAutospacing="1"/>
        <w:contextualSpacing/>
        <w:jc w:val="both"/>
      </w:pPr>
      <w:r>
        <w:rPr>
          <w:rFonts w:ascii="Palatino Linotype" w:eastAsia="Calibri" w:hAnsi="Palatino Linotype" w:cs="Arial"/>
          <w:color w:val="000000" w:themeColor="text1"/>
          <w:sz w:val="20"/>
          <w:szCs w:val="20"/>
        </w:rPr>
        <w:t>YSM/LGMJ</w:t>
      </w:r>
    </w:p>
    <w:sectPr w:rsidR="00847315" w:rsidRPr="00F43301"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47C" w:rsidRDefault="0020147C" w:rsidP="00B2492D">
      <w:r>
        <w:separator/>
      </w:r>
    </w:p>
  </w:endnote>
  <w:endnote w:type="continuationSeparator" w:id="0">
    <w:p w:rsidR="0020147C" w:rsidRDefault="0020147C"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722B7D" w:rsidP="003056D9">
    <w:pPr>
      <w:pStyle w:val="Piedepgina"/>
      <w:tabs>
        <w:tab w:val="clear" w:pos="4252"/>
        <w:tab w:val="left" w:pos="4228"/>
      </w:tabs>
      <w:rPr>
        <w:rFonts w:ascii="Palatino Linotype" w:hAnsi="Palatino Linotype" w:cs="Arial"/>
        <w:b/>
        <w:bCs/>
        <w:sz w:val="20"/>
        <w:szCs w:val="20"/>
      </w:rPr>
    </w:pPr>
  </w:p>
  <w:p w:rsidR="00D97FF8" w:rsidRDefault="00D97FF8" w:rsidP="003056D9">
    <w:pPr>
      <w:pStyle w:val="Piedepgina"/>
      <w:tabs>
        <w:tab w:val="clear" w:pos="4252"/>
        <w:tab w:val="left" w:pos="4228"/>
      </w:tabs>
      <w:rPr>
        <w:rFonts w:ascii="Palatino Linotype" w:hAnsi="Palatino Linotype" w:cs="Arial"/>
        <w:b/>
        <w:bCs/>
        <w:sz w:val="20"/>
        <w:szCs w:val="20"/>
      </w:rPr>
    </w:pPr>
  </w:p>
  <w:p w:rsidR="003056D9" w:rsidRDefault="00722B7D" w:rsidP="003056D9">
    <w:pPr>
      <w:pStyle w:val="Piedepgina"/>
      <w:tabs>
        <w:tab w:val="clear" w:pos="4252"/>
        <w:tab w:val="left" w:pos="4228"/>
      </w:tabs>
      <w:rPr>
        <w:rFonts w:ascii="Palatino Linotype" w:hAnsi="Palatino Linotype" w:cs="Arial"/>
        <w:b/>
        <w:bCs/>
        <w:sz w:val="20"/>
        <w:szCs w:val="20"/>
      </w:rPr>
    </w:pPr>
  </w:p>
  <w:p w:rsidR="003056D9" w:rsidRDefault="00722B7D" w:rsidP="003056D9">
    <w:pPr>
      <w:pStyle w:val="Piedepgina"/>
      <w:tabs>
        <w:tab w:val="clear" w:pos="4252"/>
        <w:tab w:val="left" w:pos="4228"/>
      </w:tabs>
      <w:rPr>
        <w:rFonts w:ascii="Palatino Linotype" w:hAnsi="Palatino Linotype" w:cs="Arial"/>
        <w:b/>
        <w:bCs/>
        <w:sz w:val="20"/>
        <w:szCs w:val="20"/>
      </w:rPr>
    </w:pPr>
  </w:p>
  <w:p w:rsidR="00455CB3" w:rsidRDefault="00722B7D"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2B7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2B7D">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722B7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47C" w:rsidRDefault="0020147C" w:rsidP="00B2492D">
      <w:r>
        <w:separator/>
      </w:r>
    </w:p>
  </w:footnote>
  <w:footnote w:type="continuationSeparator" w:id="0">
    <w:p w:rsidR="0020147C" w:rsidRDefault="0020147C"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22B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D97FF8" w:rsidRDefault="00D97FF8" w:rsidP="0034309A">
    <w:pPr>
      <w:pStyle w:val="Encabezado"/>
      <w:tabs>
        <w:tab w:val="clear" w:pos="4252"/>
        <w:tab w:val="clear" w:pos="8504"/>
        <w:tab w:val="left" w:pos="2326"/>
      </w:tabs>
      <w:jc w:val="right"/>
      <w:rPr>
        <w:rFonts w:ascii="Palatino Linotype" w:hAnsi="Palatino Linotype" w:cs="Arial"/>
        <w:sz w:val="20"/>
        <w:szCs w:val="20"/>
      </w:rPr>
    </w:pPr>
  </w:p>
  <w:p w:rsidR="00D97FF8" w:rsidRPr="00D97FF8" w:rsidRDefault="00D97FF8" w:rsidP="0034309A">
    <w:pPr>
      <w:pStyle w:val="Encabezado"/>
      <w:tabs>
        <w:tab w:val="clear" w:pos="4252"/>
        <w:tab w:val="clear" w:pos="8504"/>
        <w:tab w:val="left" w:pos="2326"/>
      </w:tabs>
      <w:jc w:val="right"/>
      <w:rPr>
        <w:rFonts w:ascii="Palatino Linotype" w:hAnsi="Palatino Linotype" w:cs="Arial"/>
        <w:sz w:val="18"/>
        <w:szCs w:val="20"/>
      </w:rPr>
    </w:pPr>
    <w:r>
      <w:rPr>
        <w:rFonts w:ascii="Palatino Linotype" w:hAnsi="Palatino Linotype" w:cs="Arial"/>
        <w:sz w:val="20"/>
        <w:szCs w:val="20"/>
      </w:rPr>
      <w:t>VOTO PARTICULAR</w:t>
    </w:r>
  </w:p>
  <w:p w:rsidR="00D97FF8" w:rsidRDefault="00D97FF8"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RECURSO DE REVISIÓN 08270/INFOEM/IP/RR/2019</w:t>
    </w:r>
  </w:p>
  <w:p w:rsidR="00066B13" w:rsidRDefault="00722B7D"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87.9pt;margin-top:242.9pt;width:654.65pt;height:93.55pt;rotation:315;z-index:-251658240;mso-position-horizontal-relative:margin;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22B7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15:restartNumberingAfterBreak="0">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86CEA"/>
    <w:rsid w:val="00092FBC"/>
    <w:rsid w:val="00124FC4"/>
    <w:rsid w:val="0012522C"/>
    <w:rsid w:val="00132F66"/>
    <w:rsid w:val="0020147C"/>
    <w:rsid w:val="00216380"/>
    <w:rsid w:val="00252B0C"/>
    <w:rsid w:val="00296C85"/>
    <w:rsid w:val="002C6E86"/>
    <w:rsid w:val="00307678"/>
    <w:rsid w:val="00311E8E"/>
    <w:rsid w:val="00324EBE"/>
    <w:rsid w:val="00341BD6"/>
    <w:rsid w:val="00343D4E"/>
    <w:rsid w:val="003C2F6A"/>
    <w:rsid w:val="003F4C4C"/>
    <w:rsid w:val="00437359"/>
    <w:rsid w:val="00472B04"/>
    <w:rsid w:val="00491A73"/>
    <w:rsid w:val="004F77DC"/>
    <w:rsid w:val="0053148C"/>
    <w:rsid w:val="00534623"/>
    <w:rsid w:val="00536A17"/>
    <w:rsid w:val="005465A5"/>
    <w:rsid w:val="00567273"/>
    <w:rsid w:val="00585BF9"/>
    <w:rsid w:val="005A18E2"/>
    <w:rsid w:val="005A4D7F"/>
    <w:rsid w:val="005B5027"/>
    <w:rsid w:val="005B5A8B"/>
    <w:rsid w:val="005E206C"/>
    <w:rsid w:val="00623BF8"/>
    <w:rsid w:val="00654FE9"/>
    <w:rsid w:val="00674B2F"/>
    <w:rsid w:val="006801D4"/>
    <w:rsid w:val="006A1F35"/>
    <w:rsid w:val="006B30CD"/>
    <w:rsid w:val="00722B7D"/>
    <w:rsid w:val="00737D84"/>
    <w:rsid w:val="00764EA4"/>
    <w:rsid w:val="007734C3"/>
    <w:rsid w:val="00777C87"/>
    <w:rsid w:val="00795608"/>
    <w:rsid w:val="007A54A4"/>
    <w:rsid w:val="007C26E9"/>
    <w:rsid w:val="007C7A0C"/>
    <w:rsid w:val="007F2DFC"/>
    <w:rsid w:val="007F5B50"/>
    <w:rsid w:val="00811B0B"/>
    <w:rsid w:val="00832192"/>
    <w:rsid w:val="00846D29"/>
    <w:rsid w:val="00864D3F"/>
    <w:rsid w:val="008A35FA"/>
    <w:rsid w:val="008B0732"/>
    <w:rsid w:val="008D3702"/>
    <w:rsid w:val="009110E4"/>
    <w:rsid w:val="0092546E"/>
    <w:rsid w:val="00925D1C"/>
    <w:rsid w:val="009379FA"/>
    <w:rsid w:val="00940165"/>
    <w:rsid w:val="00955E48"/>
    <w:rsid w:val="00964600"/>
    <w:rsid w:val="0097165B"/>
    <w:rsid w:val="00973992"/>
    <w:rsid w:val="00990B93"/>
    <w:rsid w:val="009C4594"/>
    <w:rsid w:val="009D3429"/>
    <w:rsid w:val="009D7BAE"/>
    <w:rsid w:val="00A51F16"/>
    <w:rsid w:val="00A65E45"/>
    <w:rsid w:val="00A96975"/>
    <w:rsid w:val="00AC0EBE"/>
    <w:rsid w:val="00AD61D0"/>
    <w:rsid w:val="00B2492D"/>
    <w:rsid w:val="00B34091"/>
    <w:rsid w:val="00B71A4B"/>
    <w:rsid w:val="00B74B12"/>
    <w:rsid w:val="00B85728"/>
    <w:rsid w:val="00BE5708"/>
    <w:rsid w:val="00BF2A76"/>
    <w:rsid w:val="00C61158"/>
    <w:rsid w:val="00C94710"/>
    <w:rsid w:val="00CA6DA2"/>
    <w:rsid w:val="00CB7180"/>
    <w:rsid w:val="00CD4FA1"/>
    <w:rsid w:val="00CE0D21"/>
    <w:rsid w:val="00CF1343"/>
    <w:rsid w:val="00D44FBB"/>
    <w:rsid w:val="00D724F4"/>
    <w:rsid w:val="00D97FF8"/>
    <w:rsid w:val="00DE2983"/>
    <w:rsid w:val="00DE65CF"/>
    <w:rsid w:val="00E03254"/>
    <w:rsid w:val="00E12526"/>
    <w:rsid w:val="00E54183"/>
    <w:rsid w:val="00EB5084"/>
    <w:rsid w:val="00ED622F"/>
    <w:rsid w:val="00EE6CCD"/>
    <w:rsid w:val="00EF3D33"/>
    <w:rsid w:val="00F43301"/>
    <w:rsid w:val="00F64CC1"/>
    <w:rsid w:val="00FA0BF5"/>
    <w:rsid w:val="00FA2626"/>
    <w:rsid w:val="00FB7ABA"/>
    <w:rsid w:val="00FF7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3301"/>
    <w:pPr>
      <w:spacing w:after="0" w:line="240" w:lineRule="auto"/>
    </w:pPr>
  </w:style>
  <w:style w:type="character" w:customStyle="1" w:styleId="SinespaciadoCar">
    <w:name w:val="Sin espaciado Car"/>
    <w:aliases w:val="Francesa Car"/>
    <w:link w:val="Sinespaciado"/>
    <w:uiPriority w:val="1"/>
    <w:locked/>
    <w:rsid w:val="00F4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1999</Words>
  <Characters>10998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8</cp:revision>
  <cp:lastPrinted>2020-01-08T21:24:00Z</cp:lastPrinted>
  <dcterms:created xsi:type="dcterms:W3CDTF">2019-12-19T19:36:00Z</dcterms:created>
  <dcterms:modified xsi:type="dcterms:W3CDTF">2020-02-11T01:17:00Z</dcterms:modified>
</cp:coreProperties>
</file>