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0AA050" w14:textId="11727410" w:rsidR="004C0749" w:rsidRPr="00864D82" w:rsidRDefault="004C0749" w:rsidP="0089168C">
      <w:pPr>
        <w:widowControl w:val="0"/>
        <w:spacing w:before="100" w:beforeAutospacing="1" w:after="100" w:afterAutospacing="1" w:line="360" w:lineRule="auto"/>
        <w:ind w:right="-164"/>
        <w:contextualSpacing/>
        <w:jc w:val="both"/>
        <w:rPr>
          <w:rFonts w:ascii="Palatino Linotype" w:eastAsia="Calibri" w:hAnsi="Palatino Linotype" w:cs="Arial"/>
          <w:b/>
          <w:color w:val="000000"/>
        </w:rPr>
      </w:pPr>
      <w:r w:rsidRPr="00864D82">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89168C">
        <w:rPr>
          <w:rFonts w:ascii="Palatino Linotype" w:hAnsi="Palatino Linotype" w:cs="Arial"/>
          <w:b/>
        </w:rPr>
        <w:t xml:space="preserve">SEGUNDA </w:t>
      </w:r>
      <w:r w:rsidRPr="00864D82">
        <w:rPr>
          <w:rFonts w:ascii="Palatino Linotype" w:hAnsi="Palatino Linotype" w:cs="Arial"/>
          <w:b/>
        </w:rPr>
        <w:t xml:space="preserve">SESIÓN ORDINARIA DEL </w:t>
      </w:r>
      <w:r w:rsidR="00081A00">
        <w:rPr>
          <w:rFonts w:ascii="Palatino Linotype" w:hAnsi="Palatino Linotype" w:cs="Arial"/>
          <w:b/>
        </w:rPr>
        <w:t>VEINTIDÓS</w:t>
      </w:r>
      <w:r w:rsidR="002A2EBD">
        <w:rPr>
          <w:rFonts w:ascii="Palatino Linotype" w:hAnsi="Palatino Linotype" w:cs="Arial"/>
          <w:b/>
        </w:rPr>
        <w:t xml:space="preserve"> </w:t>
      </w:r>
      <w:r w:rsidR="00864D82">
        <w:rPr>
          <w:rFonts w:ascii="Palatino Linotype" w:hAnsi="Palatino Linotype" w:cs="Arial"/>
          <w:b/>
        </w:rPr>
        <w:t xml:space="preserve">DE </w:t>
      </w:r>
      <w:r w:rsidR="0089168C">
        <w:rPr>
          <w:rFonts w:ascii="Palatino Linotype" w:hAnsi="Palatino Linotype" w:cs="Arial"/>
          <w:b/>
        </w:rPr>
        <w:t>ENERO</w:t>
      </w:r>
      <w:r w:rsidR="00AC74DB">
        <w:rPr>
          <w:rFonts w:ascii="Palatino Linotype" w:hAnsi="Palatino Linotype" w:cs="Arial"/>
          <w:b/>
        </w:rPr>
        <w:t xml:space="preserve"> </w:t>
      </w:r>
      <w:r w:rsidR="008833B1">
        <w:rPr>
          <w:rFonts w:ascii="Palatino Linotype" w:hAnsi="Palatino Linotype" w:cs="Arial"/>
          <w:b/>
        </w:rPr>
        <w:t xml:space="preserve">DE DOS MIL </w:t>
      </w:r>
      <w:r w:rsidR="0089168C">
        <w:rPr>
          <w:rFonts w:ascii="Palatino Linotype" w:hAnsi="Palatino Linotype" w:cs="Arial"/>
          <w:b/>
        </w:rPr>
        <w:t>VEINTE</w:t>
      </w:r>
      <w:r w:rsidR="00AC74DB">
        <w:rPr>
          <w:rFonts w:ascii="Palatino Linotype" w:hAnsi="Palatino Linotype" w:cs="Arial"/>
          <w:b/>
        </w:rPr>
        <w:t>,</w:t>
      </w:r>
      <w:r w:rsidR="0089168C">
        <w:rPr>
          <w:rFonts w:ascii="Palatino Linotype" w:hAnsi="Palatino Linotype" w:cs="Arial"/>
          <w:b/>
        </w:rPr>
        <w:t xml:space="preserve"> EN EL RECURSO DE REVISIÓN 08378</w:t>
      </w:r>
      <w:r w:rsidRPr="00864D82">
        <w:rPr>
          <w:rFonts w:ascii="Palatino Linotype" w:hAnsi="Palatino Linotype" w:cs="Arial"/>
          <w:b/>
        </w:rPr>
        <w:t>/INFOEM/IP/</w:t>
      </w:r>
      <w:proofErr w:type="spellStart"/>
      <w:r w:rsidRPr="00864D82">
        <w:rPr>
          <w:rFonts w:ascii="Palatino Linotype" w:hAnsi="Palatino Linotype" w:cs="Arial"/>
          <w:b/>
        </w:rPr>
        <w:t>RR</w:t>
      </w:r>
      <w:proofErr w:type="spellEnd"/>
      <w:r w:rsidRPr="00864D82">
        <w:rPr>
          <w:rFonts w:ascii="Palatino Linotype" w:hAnsi="Palatino Linotype" w:cs="Arial"/>
          <w:b/>
        </w:rPr>
        <w:t>/201</w:t>
      </w:r>
      <w:r w:rsidR="00AC74DB">
        <w:rPr>
          <w:rFonts w:ascii="Palatino Linotype" w:hAnsi="Palatino Linotype" w:cs="Arial"/>
          <w:b/>
        </w:rPr>
        <w:t>9</w:t>
      </w:r>
      <w:r w:rsidRPr="00864D82">
        <w:rPr>
          <w:rFonts w:ascii="Palatino Linotype" w:eastAsia="Calibri" w:hAnsi="Palatino Linotype" w:cs="Arial"/>
          <w:b/>
          <w:color w:val="000000"/>
        </w:rPr>
        <w:t>.</w:t>
      </w:r>
    </w:p>
    <w:p w14:paraId="46D9D84F" w14:textId="77777777" w:rsidR="00047C55" w:rsidRDefault="00047C55" w:rsidP="0089168C">
      <w:pPr>
        <w:spacing w:before="100" w:beforeAutospacing="1" w:after="100" w:afterAutospacing="1" w:line="360" w:lineRule="auto"/>
        <w:contextualSpacing/>
        <w:jc w:val="both"/>
        <w:rPr>
          <w:rFonts w:ascii="Palatino Linotype" w:hAnsi="Palatino Linotype" w:cs="Arial"/>
        </w:rPr>
      </w:pPr>
    </w:p>
    <w:p w14:paraId="0F92F505" w14:textId="7376AD35" w:rsidR="004C0749" w:rsidRPr="00864D82" w:rsidRDefault="004C0749" w:rsidP="0089168C">
      <w:pPr>
        <w:spacing w:before="100" w:beforeAutospacing="1" w:after="100" w:afterAutospacing="1" w:line="360" w:lineRule="auto"/>
        <w:contextualSpacing/>
        <w:jc w:val="both"/>
        <w:rPr>
          <w:rFonts w:ascii="Palatino Linotype" w:hAnsi="Palatino Linotype" w:cs="Arial"/>
        </w:rPr>
      </w:pPr>
      <w:r w:rsidRPr="00864D82">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 que suscribe</w:t>
      </w:r>
      <w:r w:rsidRPr="00864D82">
        <w:rPr>
          <w:rFonts w:ascii="Palatino Linotype" w:hAnsi="Palatino Linotype" w:cs="Arial"/>
          <w:b/>
          <w:lang w:val="es-ES_tradnl"/>
        </w:rPr>
        <w:t xml:space="preserve"> </w:t>
      </w:r>
      <w:r w:rsidRPr="00864D82">
        <w:rPr>
          <w:rFonts w:ascii="Palatino Linotype" w:hAnsi="Palatino Linotype" w:cs="Arial"/>
          <w:b/>
        </w:rPr>
        <w:t xml:space="preserve">EVA ABAID YAPUR </w:t>
      </w:r>
      <w:r w:rsidRPr="00864D82">
        <w:rPr>
          <w:rFonts w:ascii="Palatino Linotype" w:hAnsi="Palatino Linotype" w:cs="Arial"/>
        </w:rPr>
        <w:t xml:space="preserve">emite </w:t>
      </w:r>
      <w:r w:rsidRPr="00864D82">
        <w:rPr>
          <w:rFonts w:ascii="Palatino Linotype" w:hAnsi="Palatino Linotype" w:cs="Arial"/>
          <w:b/>
        </w:rPr>
        <w:t xml:space="preserve">VOTO PARTICULAR </w:t>
      </w:r>
      <w:r w:rsidRPr="00864D82">
        <w:rPr>
          <w:rFonts w:ascii="Palatino Linotype" w:hAnsi="Palatino Linotype" w:cs="Arial"/>
        </w:rPr>
        <w:t xml:space="preserve">respecto de la resolución dictada en el recurso de revisión </w:t>
      </w:r>
      <w:r w:rsidRPr="00864D82">
        <w:rPr>
          <w:rFonts w:ascii="Palatino Linotype" w:eastAsia="Calibri" w:hAnsi="Palatino Linotype" w:cs="Arial"/>
          <w:b/>
          <w:color w:val="000000"/>
        </w:rPr>
        <w:t>0</w:t>
      </w:r>
      <w:r w:rsidR="0089168C">
        <w:rPr>
          <w:rFonts w:ascii="Palatino Linotype" w:eastAsia="Calibri" w:hAnsi="Palatino Linotype" w:cs="Arial"/>
          <w:b/>
          <w:color w:val="000000"/>
        </w:rPr>
        <w:t>8378</w:t>
      </w:r>
      <w:r w:rsidR="002B752D" w:rsidRPr="00864D82">
        <w:rPr>
          <w:rFonts w:ascii="Palatino Linotype" w:eastAsia="Calibri" w:hAnsi="Palatino Linotype" w:cs="Arial"/>
          <w:b/>
          <w:color w:val="000000"/>
        </w:rPr>
        <w:t>/</w:t>
      </w:r>
      <w:r w:rsidR="008833B1">
        <w:rPr>
          <w:rFonts w:ascii="Palatino Linotype" w:eastAsia="Calibri" w:hAnsi="Palatino Linotype" w:cs="Arial"/>
          <w:b/>
          <w:color w:val="000000"/>
        </w:rPr>
        <w:t>INFOEM/IP/</w:t>
      </w:r>
      <w:proofErr w:type="spellStart"/>
      <w:r w:rsidR="008833B1">
        <w:rPr>
          <w:rFonts w:ascii="Palatino Linotype" w:eastAsia="Calibri" w:hAnsi="Palatino Linotype" w:cs="Arial"/>
          <w:b/>
          <w:color w:val="000000"/>
        </w:rPr>
        <w:t>RR</w:t>
      </w:r>
      <w:proofErr w:type="spellEnd"/>
      <w:r w:rsidR="008833B1">
        <w:rPr>
          <w:rFonts w:ascii="Palatino Linotype" w:eastAsia="Calibri" w:hAnsi="Palatino Linotype" w:cs="Arial"/>
          <w:b/>
          <w:color w:val="000000"/>
        </w:rPr>
        <w:t>/201</w:t>
      </w:r>
      <w:r w:rsidR="00AC74DB">
        <w:rPr>
          <w:rFonts w:ascii="Palatino Linotype" w:eastAsia="Calibri" w:hAnsi="Palatino Linotype" w:cs="Arial"/>
          <w:b/>
          <w:color w:val="000000"/>
        </w:rPr>
        <w:t>9</w:t>
      </w:r>
      <w:r w:rsidRPr="00864D82">
        <w:rPr>
          <w:rFonts w:ascii="Palatino Linotype" w:hAnsi="Palatino Linotype" w:cs="Arial"/>
        </w:rPr>
        <w:t>, pronunciada por el Pleno de este Instituto ante el proyecto presentado</w:t>
      </w:r>
      <w:r w:rsidR="00D04F2B">
        <w:rPr>
          <w:rFonts w:ascii="Palatino Linotype" w:hAnsi="Palatino Linotype" w:cs="Arial"/>
        </w:rPr>
        <w:t xml:space="preserve"> </w:t>
      </w:r>
      <w:r w:rsidRPr="00864D82">
        <w:rPr>
          <w:rFonts w:ascii="Palatino Linotype" w:hAnsi="Palatino Linotype" w:cs="Arial"/>
        </w:rPr>
        <w:t xml:space="preserve">por </w:t>
      </w:r>
      <w:r w:rsidR="00864D82">
        <w:rPr>
          <w:rFonts w:ascii="Palatino Linotype" w:hAnsi="Palatino Linotype" w:cs="Arial"/>
        </w:rPr>
        <w:t>el</w:t>
      </w:r>
      <w:r w:rsidRPr="00864D82">
        <w:rPr>
          <w:rFonts w:ascii="Palatino Linotype" w:hAnsi="Palatino Linotype" w:cs="Arial"/>
        </w:rPr>
        <w:t xml:space="preserve"> Comisionad</w:t>
      </w:r>
      <w:r w:rsidR="00864D82">
        <w:rPr>
          <w:rFonts w:ascii="Palatino Linotype" w:hAnsi="Palatino Linotype" w:cs="Arial"/>
        </w:rPr>
        <w:t>o</w:t>
      </w:r>
      <w:r w:rsidR="00D76FBE" w:rsidRPr="00864D82">
        <w:rPr>
          <w:rFonts w:ascii="Palatino Linotype" w:hAnsi="Palatino Linotype" w:cs="Arial"/>
        </w:rPr>
        <w:t xml:space="preserve"> </w:t>
      </w:r>
      <w:r w:rsidR="0089168C">
        <w:rPr>
          <w:rFonts w:ascii="Palatino Linotype" w:hAnsi="Palatino Linotype" w:cs="Arial"/>
          <w:b/>
        </w:rPr>
        <w:t xml:space="preserve">JOSÉ GUADALUPE LUNA HERNÁNDEZ </w:t>
      </w:r>
      <w:r w:rsidR="00246C33" w:rsidRPr="00864D82">
        <w:rPr>
          <w:rFonts w:ascii="Palatino Linotype" w:hAnsi="Palatino Linotype" w:cs="Arial"/>
        </w:rPr>
        <w:t>que es del tenor siguiente.</w:t>
      </w:r>
    </w:p>
    <w:p w14:paraId="2E4C241E" w14:textId="77777777" w:rsidR="00047C55" w:rsidRDefault="00047C55" w:rsidP="0089168C">
      <w:pPr>
        <w:spacing w:before="100" w:beforeAutospacing="1" w:after="100" w:afterAutospacing="1" w:line="360" w:lineRule="auto"/>
        <w:contextualSpacing/>
        <w:jc w:val="both"/>
        <w:rPr>
          <w:rFonts w:ascii="Palatino Linotype" w:hAnsi="Palatino Linotype"/>
        </w:rPr>
      </w:pPr>
    </w:p>
    <w:p w14:paraId="75A30CA2" w14:textId="198D6A0B" w:rsidR="004C0749" w:rsidRPr="00864D82" w:rsidRDefault="004C0749" w:rsidP="0089168C">
      <w:pPr>
        <w:spacing w:before="100" w:beforeAutospacing="1" w:after="100" w:afterAutospacing="1" w:line="360" w:lineRule="auto"/>
        <w:contextualSpacing/>
        <w:jc w:val="both"/>
        <w:rPr>
          <w:rFonts w:ascii="Palatino Linotype" w:hAnsi="Palatino Linotype"/>
        </w:rPr>
      </w:pPr>
      <w:r w:rsidRPr="00864D82">
        <w:rPr>
          <w:rFonts w:ascii="Palatino Linotype" w:hAnsi="Palatino Linotype"/>
        </w:rPr>
        <w:t xml:space="preserve">Es de destacar, que la suscrita comparte esencialmente el estudio realizado en la resolución del recurso de revisión; empero, </w:t>
      </w:r>
      <w:r w:rsidR="00D04F2B">
        <w:rPr>
          <w:rFonts w:ascii="Palatino Linotype" w:hAnsi="Palatino Linotype"/>
        </w:rPr>
        <w:t xml:space="preserve">es </w:t>
      </w:r>
      <w:r w:rsidRPr="00864D82">
        <w:rPr>
          <w:rFonts w:ascii="Palatino Linotype" w:hAnsi="Palatino Linotype"/>
        </w:rPr>
        <w:t>necesario precisar algunas consideraciones de hecho y de derecho.</w:t>
      </w:r>
    </w:p>
    <w:p w14:paraId="3A126F70" w14:textId="77777777" w:rsidR="00047C55" w:rsidRDefault="00047C55" w:rsidP="0089168C">
      <w:pPr>
        <w:spacing w:before="100" w:beforeAutospacing="1" w:after="100" w:afterAutospacing="1" w:line="360" w:lineRule="auto"/>
        <w:contextualSpacing/>
        <w:jc w:val="both"/>
        <w:rPr>
          <w:rFonts w:ascii="Palatino Linotype" w:hAnsi="Palatino Linotype"/>
        </w:rPr>
      </w:pPr>
    </w:p>
    <w:p w14:paraId="091B684D" w14:textId="5B00AF87" w:rsidR="00152C33" w:rsidRDefault="00864D82" w:rsidP="0089168C">
      <w:pPr>
        <w:spacing w:before="100" w:beforeAutospacing="1" w:after="100" w:afterAutospacing="1" w:line="360" w:lineRule="auto"/>
        <w:contextualSpacing/>
        <w:jc w:val="both"/>
        <w:rPr>
          <w:rFonts w:ascii="Palatino Linotype" w:hAnsi="Palatino Linotype"/>
        </w:rPr>
      </w:pPr>
      <w:r>
        <w:rPr>
          <w:rFonts w:ascii="Palatino Linotype" w:hAnsi="Palatino Linotype"/>
        </w:rPr>
        <w:t>A</w:t>
      </w:r>
      <w:r w:rsidR="004C0749" w:rsidRPr="00864D82">
        <w:rPr>
          <w:rFonts w:ascii="Palatino Linotype" w:hAnsi="Palatino Linotype"/>
        </w:rPr>
        <w:t xml:space="preserve">l respecto, tal y como quedó debidamente asentado en la resolución materia del presente voto, </w:t>
      </w:r>
      <w:r w:rsidR="00EE7D90" w:rsidRPr="00864D82">
        <w:rPr>
          <w:rFonts w:ascii="Palatino Linotype" w:hAnsi="Palatino Linotype"/>
        </w:rPr>
        <w:t>el</w:t>
      </w:r>
      <w:r w:rsidR="004C0749" w:rsidRPr="00864D82">
        <w:rPr>
          <w:rFonts w:ascii="Palatino Linotype" w:hAnsi="Palatino Linotype"/>
        </w:rPr>
        <w:t xml:space="preserve"> particular requirió del </w:t>
      </w:r>
      <w:r w:rsidR="008833B1" w:rsidRPr="008833B1">
        <w:rPr>
          <w:rFonts w:ascii="Palatino Linotype" w:hAnsi="Palatino Linotype"/>
          <w:b/>
        </w:rPr>
        <w:t xml:space="preserve">Ayuntamiento de </w:t>
      </w:r>
      <w:r w:rsidR="0089168C">
        <w:rPr>
          <w:rFonts w:ascii="Palatino Linotype" w:hAnsi="Palatino Linotype"/>
          <w:b/>
        </w:rPr>
        <w:t>Tlalnepantla</w:t>
      </w:r>
      <w:r w:rsidR="008833B1">
        <w:rPr>
          <w:rFonts w:ascii="Palatino Linotype" w:hAnsi="Palatino Linotype"/>
        </w:rPr>
        <w:t xml:space="preserve">, en lo sucesivo </w:t>
      </w:r>
      <w:r w:rsidR="008833B1" w:rsidRPr="008833B1">
        <w:rPr>
          <w:rFonts w:ascii="Palatino Linotype" w:hAnsi="Palatino Linotype"/>
          <w:b/>
        </w:rPr>
        <w:t>EL</w:t>
      </w:r>
      <w:r w:rsidR="008833B1">
        <w:rPr>
          <w:rFonts w:ascii="Palatino Linotype" w:hAnsi="Palatino Linotype"/>
        </w:rPr>
        <w:t xml:space="preserve"> </w:t>
      </w:r>
      <w:r w:rsidR="004C0749" w:rsidRPr="00864D82">
        <w:rPr>
          <w:rFonts w:ascii="Palatino Linotype" w:hAnsi="Palatino Linotype"/>
          <w:b/>
        </w:rPr>
        <w:t>SUJETO OBLIGADO</w:t>
      </w:r>
      <w:r w:rsidR="004C0749" w:rsidRPr="00864D82">
        <w:rPr>
          <w:rFonts w:ascii="Palatino Linotype" w:hAnsi="Palatino Linotype"/>
        </w:rPr>
        <w:t xml:space="preserve">, </w:t>
      </w:r>
      <w:r w:rsidR="00152C33">
        <w:rPr>
          <w:rFonts w:ascii="Palatino Linotype" w:hAnsi="Palatino Linotype"/>
        </w:rPr>
        <w:t>la</w:t>
      </w:r>
      <w:r w:rsidR="0089168C">
        <w:rPr>
          <w:rFonts w:ascii="Palatino Linotype" w:hAnsi="Palatino Linotype"/>
        </w:rPr>
        <w:t xml:space="preserve"> siguiente</w:t>
      </w:r>
      <w:r w:rsidR="00152C33">
        <w:rPr>
          <w:rFonts w:ascii="Palatino Linotype" w:hAnsi="Palatino Linotype"/>
        </w:rPr>
        <w:t xml:space="preserve"> información:</w:t>
      </w:r>
    </w:p>
    <w:p w14:paraId="06C278E4" w14:textId="77777777" w:rsidR="00152C33" w:rsidRDefault="00152C33" w:rsidP="0089168C">
      <w:pPr>
        <w:spacing w:before="100" w:beforeAutospacing="1" w:after="100" w:afterAutospacing="1" w:line="360" w:lineRule="auto"/>
        <w:contextualSpacing/>
        <w:jc w:val="both"/>
        <w:rPr>
          <w:rFonts w:ascii="Palatino Linotype" w:hAnsi="Palatino Linotype"/>
        </w:rPr>
      </w:pPr>
    </w:p>
    <w:p w14:paraId="28A6E459" w14:textId="47AD1284" w:rsidR="002A2EBD" w:rsidRDefault="00152C33" w:rsidP="0089168C">
      <w:pPr>
        <w:spacing w:before="100" w:beforeAutospacing="1" w:after="100" w:afterAutospacing="1"/>
        <w:ind w:left="851" w:right="902"/>
        <w:contextualSpacing/>
        <w:jc w:val="both"/>
        <w:rPr>
          <w:rFonts w:ascii="Palatino Linotype" w:hAnsi="Palatino Linotype"/>
          <w:i/>
          <w:sz w:val="22"/>
          <w:szCs w:val="22"/>
        </w:rPr>
      </w:pPr>
      <w:r w:rsidRPr="00D7446C">
        <w:rPr>
          <w:rFonts w:ascii="Palatino Linotype" w:hAnsi="Palatino Linotype"/>
          <w:i/>
          <w:sz w:val="22"/>
          <w:szCs w:val="22"/>
        </w:rPr>
        <w:t>“</w:t>
      </w:r>
      <w:r w:rsidR="0089168C">
        <w:rPr>
          <w:rFonts w:ascii="Palatino Linotype" w:hAnsi="Palatino Linotype"/>
          <w:i/>
          <w:sz w:val="22"/>
          <w:szCs w:val="22"/>
        </w:rPr>
        <w:t>…</w:t>
      </w:r>
      <w:r w:rsidR="0089168C" w:rsidRPr="0089168C">
        <w:rPr>
          <w:rFonts w:ascii="Palatino Linotype" w:hAnsi="Palatino Linotype"/>
          <w:i/>
          <w:sz w:val="22"/>
          <w:szCs w:val="22"/>
        </w:rPr>
        <w:t>copia certificada del Oficio que se adjunta al presente, suscrito por el entonces DIRECTOR GENERAL DE TRÁNSITO, VIALIDAD Y TRANSPORTES DEL MUNICIPIO DE TLALNEPANTLA DE BAZ, de fecha 04 de ju</w:t>
      </w:r>
      <w:r w:rsidR="0089168C">
        <w:rPr>
          <w:rFonts w:ascii="Palatino Linotype" w:hAnsi="Palatino Linotype"/>
          <w:i/>
          <w:sz w:val="22"/>
          <w:szCs w:val="22"/>
        </w:rPr>
        <w:t>nio de 2015…”</w:t>
      </w:r>
    </w:p>
    <w:p w14:paraId="153837C3" w14:textId="77777777" w:rsidR="002A2EBD" w:rsidRDefault="002A2EBD" w:rsidP="0089168C">
      <w:pPr>
        <w:spacing w:before="100" w:beforeAutospacing="1" w:after="100" w:afterAutospacing="1" w:line="360" w:lineRule="auto"/>
        <w:contextualSpacing/>
        <w:jc w:val="both"/>
        <w:rPr>
          <w:rFonts w:ascii="Palatino Linotype" w:hAnsi="Palatino Linotype" w:cs="Arial"/>
        </w:rPr>
      </w:pPr>
    </w:p>
    <w:p w14:paraId="41793374" w14:textId="19B241C0" w:rsidR="008D43D7" w:rsidRDefault="004C0749" w:rsidP="0089168C">
      <w:pPr>
        <w:spacing w:before="100" w:beforeAutospacing="1" w:after="100" w:afterAutospacing="1" w:line="360" w:lineRule="auto"/>
        <w:contextualSpacing/>
        <w:jc w:val="both"/>
        <w:rPr>
          <w:rFonts w:ascii="Palatino Linotype" w:hAnsi="Palatino Linotype" w:cs="Arial"/>
        </w:rPr>
      </w:pPr>
      <w:r w:rsidRPr="00864D82">
        <w:rPr>
          <w:rFonts w:ascii="Palatino Linotype" w:hAnsi="Palatino Linotype" w:cs="Arial"/>
        </w:rPr>
        <w:t xml:space="preserve">En respuesta a la solicitud, </w:t>
      </w:r>
      <w:r w:rsidRPr="00864D82">
        <w:rPr>
          <w:rFonts w:ascii="Palatino Linotype" w:hAnsi="Palatino Linotype" w:cs="Arial"/>
          <w:b/>
        </w:rPr>
        <w:t>EL SUJETO OBLIGADO</w:t>
      </w:r>
      <w:r w:rsidR="00271506">
        <w:rPr>
          <w:rFonts w:ascii="Palatino Linotype" w:hAnsi="Palatino Linotype" w:cs="Arial"/>
        </w:rPr>
        <w:t xml:space="preserve"> se pronunció en</w:t>
      </w:r>
      <w:r w:rsidR="008D43D7">
        <w:rPr>
          <w:rFonts w:ascii="Palatino Linotype" w:hAnsi="Palatino Linotype" w:cs="Arial"/>
        </w:rPr>
        <w:t xml:space="preserve"> los siguientes términos:</w:t>
      </w:r>
    </w:p>
    <w:p w14:paraId="5FA6610A" w14:textId="77777777" w:rsidR="008D43D7" w:rsidRDefault="008D43D7" w:rsidP="0089168C">
      <w:pPr>
        <w:spacing w:before="100" w:beforeAutospacing="1" w:after="100" w:afterAutospacing="1" w:line="360" w:lineRule="auto"/>
        <w:contextualSpacing/>
        <w:jc w:val="both"/>
        <w:rPr>
          <w:rFonts w:ascii="Palatino Linotype" w:hAnsi="Palatino Linotype" w:cs="Arial"/>
        </w:rPr>
      </w:pPr>
    </w:p>
    <w:p w14:paraId="2D797C72" w14:textId="77777777" w:rsidR="0089168C" w:rsidRPr="0089168C" w:rsidRDefault="008D43D7" w:rsidP="0089168C">
      <w:pPr>
        <w:spacing w:before="100" w:beforeAutospacing="1" w:after="100" w:afterAutospacing="1"/>
        <w:ind w:left="851" w:right="902"/>
        <w:contextualSpacing/>
        <w:jc w:val="both"/>
        <w:rPr>
          <w:rFonts w:ascii="Palatino Linotype" w:hAnsi="Palatino Linotype"/>
          <w:i/>
          <w:color w:val="000000"/>
          <w:sz w:val="22"/>
          <w:szCs w:val="22"/>
        </w:rPr>
      </w:pPr>
      <w:r>
        <w:rPr>
          <w:rFonts w:ascii="Palatino Linotype" w:hAnsi="Palatino Linotype"/>
          <w:i/>
          <w:color w:val="000000"/>
          <w:sz w:val="22"/>
          <w:szCs w:val="22"/>
        </w:rPr>
        <w:t>“</w:t>
      </w:r>
      <w:r w:rsidR="0089168C" w:rsidRPr="0089168C">
        <w:rPr>
          <w:rFonts w:ascii="Palatino Linotype" w:hAnsi="Palatino Linotype"/>
          <w:i/>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AE991A1" w14:textId="77777777" w:rsidR="0089168C" w:rsidRDefault="0089168C" w:rsidP="0089168C">
      <w:pPr>
        <w:spacing w:before="100" w:beforeAutospacing="1" w:after="100" w:afterAutospacing="1"/>
        <w:ind w:left="851" w:right="902"/>
        <w:contextualSpacing/>
        <w:jc w:val="both"/>
        <w:rPr>
          <w:rFonts w:ascii="Palatino Linotype" w:hAnsi="Palatino Linotype"/>
          <w:i/>
          <w:color w:val="000000"/>
          <w:sz w:val="22"/>
          <w:szCs w:val="22"/>
        </w:rPr>
      </w:pPr>
    </w:p>
    <w:p w14:paraId="0CE59966" w14:textId="28A7DD82" w:rsidR="008D43D7" w:rsidRPr="008D43D7" w:rsidRDefault="0089168C" w:rsidP="0089168C">
      <w:pPr>
        <w:spacing w:before="100" w:beforeAutospacing="1" w:after="100" w:afterAutospacing="1"/>
        <w:ind w:left="851" w:right="902"/>
        <w:contextualSpacing/>
        <w:jc w:val="both"/>
        <w:rPr>
          <w:rFonts w:ascii="Palatino Linotype" w:hAnsi="Palatino Linotype" w:cs="Arial"/>
          <w:i/>
          <w:sz w:val="22"/>
          <w:szCs w:val="22"/>
        </w:rPr>
      </w:pPr>
      <w:r w:rsidRPr="0089168C">
        <w:rPr>
          <w:rFonts w:ascii="Palatino Linotype" w:hAnsi="Palatino Linotype"/>
          <w:i/>
          <w:color w:val="000000"/>
          <w:sz w:val="22"/>
          <w:szCs w:val="22"/>
        </w:rPr>
        <w:t xml:space="preserve">Con fundamento en los artículos 12 segundo párrafo, 53 fracción II y V 163 de la Ley de Transparencia y Acceso a la Información </w:t>
      </w:r>
      <w:proofErr w:type="spellStart"/>
      <w:r w:rsidRPr="0089168C">
        <w:rPr>
          <w:rFonts w:ascii="Palatino Linotype" w:hAnsi="Palatino Linotype"/>
          <w:i/>
          <w:color w:val="000000"/>
          <w:sz w:val="22"/>
          <w:szCs w:val="22"/>
        </w:rPr>
        <w:t>Publica</w:t>
      </w:r>
      <w:proofErr w:type="spellEnd"/>
      <w:r w:rsidRPr="0089168C">
        <w:rPr>
          <w:rFonts w:ascii="Palatino Linotype" w:hAnsi="Palatino Linotype"/>
          <w:i/>
          <w:color w:val="000000"/>
          <w:sz w:val="22"/>
          <w:szCs w:val="22"/>
        </w:rPr>
        <w:t xml:space="preserve"> del Estado de México y Municipios. SE ENVÍA OFICIO DE REPUESTA A LA SOLICITUD DE INFORMACIÓN PUBLICA CON NUMERO DE FOLIO 00998/</w:t>
      </w:r>
      <w:proofErr w:type="spellStart"/>
      <w:r w:rsidRPr="0089168C">
        <w:rPr>
          <w:rFonts w:ascii="Palatino Linotype" w:hAnsi="Palatino Linotype"/>
          <w:i/>
          <w:color w:val="000000"/>
          <w:sz w:val="22"/>
          <w:szCs w:val="22"/>
        </w:rPr>
        <w:t>TLALNEPA</w:t>
      </w:r>
      <w:proofErr w:type="spellEnd"/>
      <w:r w:rsidRPr="0089168C">
        <w:rPr>
          <w:rFonts w:ascii="Palatino Linotype" w:hAnsi="Palatino Linotype"/>
          <w:i/>
          <w:color w:val="000000"/>
          <w:sz w:val="22"/>
          <w:szCs w:val="22"/>
        </w:rPr>
        <w:t>/IP/2019.”</w:t>
      </w:r>
      <w:r w:rsidR="002A2EBD">
        <w:rPr>
          <w:rFonts w:ascii="Palatino Linotype" w:hAnsi="Palatino Linotype"/>
          <w:i/>
          <w:color w:val="000000"/>
          <w:sz w:val="22"/>
          <w:szCs w:val="22"/>
        </w:rPr>
        <w:t>”</w:t>
      </w:r>
    </w:p>
    <w:p w14:paraId="50862F85" w14:textId="77777777" w:rsidR="00047C55" w:rsidRDefault="00047C55" w:rsidP="0089168C">
      <w:pPr>
        <w:spacing w:before="100" w:beforeAutospacing="1" w:after="100" w:afterAutospacing="1" w:line="360" w:lineRule="auto"/>
        <w:contextualSpacing/>
        <w:jc w:val="both"/>
        <w:rPr>
          <w:rFonts w:ascii="Palatino Linotype" w:hAnsi="Palatino Linotype" w:cs="Arial"/>
        </w:rPr>
      </w:pPr>
    </w:p>
    <w:p w14:paraId="3B35F73A" w14:textId="77777777" w:rsidR="0089168C" w:rsidRDefault="0089168C" w:rsidP="0089168C">
      <w:pPr>
        <w:spacing w:before="100" w:beforeAutospacing="1" w:after="100" w:afterAutospacing="1" w:line="360" w:lineRule="auto"/>
        <w:ind w:right="567"/>
        <w:contextualSpacing/>
        <w:jc w:val="both"/>
        <w:rPr>
          <w:rFonts w:ascii="Palatino Linotype" w:hAnsi="Palatino Linotype"/>
          <w:i/>
          <w:color w:val="000000"/>
          <w:sz w:val="22"/>
          <w:szCs w:val="22"/>
        </w:rPr>
      </w:pPr>
      <w:r w:rsidRPr="0089168C">
        <w:rPr>
          <w:rFonts w:ascii="Palatino Linotype" w:hAnsi="Palatino Linotype" w:cs="Arial"/>
        </w:rPr>
        <w:t xml:space="preserve">Asimismo, adjuntó el archivo electrónico </w:t>
      </w:r>
      <w:proofErr w:type="spellStart"/>
      <w:r w:rsidRPr="0089168C">
        <w:rPr>
          <w:rFonts w:ascii="Palatino Linotype" w:hAnsi="Palatino Linotype" w:cs="Arial"/>
          <w:b/>
        </w:rPr>
        <w:t>SAIMEX</w:t>
      </w:r>
      <w:proofErr w:type="spellEnd"/>
      <w:r w:rsidRPr="0089168C">
        <w:rPr>
          <w:rFonts w:ascii="Palatino Linotype" w:hAnsi="Palatino Linotype" w:cs="Arial"/>
          <w:b/>
        </w:rPr>
        <w:t xml:space="preserve"> 00998.zip </w:t>
      </w:r>
      <w:r w:rsidRPr="0089168C">
        <w:rPr>
          <w:rFonts w:ascii="Palatino Linotype" w:hAnsi="Palatino Linotype" w:cs="Arial"/>
        </w:rPr>
        <w:t xml:space="preserve">mismo que contiene el oficio </w:t>
      </w:r>
      <w:proofErr w:type="spellStart"/>
      <w:r w:rsidRPr="0089168C">
        <w:rPr>
          <w:rFonts w:ascii="Palatino Linotype" w:hAnsi="Palatino Linotype" w:cs="Arial"/>
        </w:rPr>
        <w:t>CGSP</w:t>
      </w:r>
      <w:proofErr w:type="spellEnd"/>
      <w:r w:rsidRPr="0089168C">
        <w:rPr>
          <w:rFonts w:ascii="Palatino Linotype" w:hAnsi="Palatino Linotype" w:cs="Arial"/>
        </w:rPr>
        <w:t>/</w:t>
      </w:r>
      <w:proofErr w:type="spellStart"/>
      <w:r w:rsidRPr="0089168C">
        <w:rPr>
          <w:rFonts w:ascii="Palatino Linotype" w:hAnsi="Palatino Linotype" w:cs="Arial"/>
        </w:rPr>
        <w:t>SEM</w:t>
      </w:r>
      <w:proofErr w:type="spellEnd"/>
      <w:r w:rsidRPr="0089168C">
        <w:rPr>
          <w:rFonts w:ascii="Palatino Linotype" w:hAnsi="Palatino Linotype" w:cs="Arial"/>
        </w:rPr>
        <w:t xml:space="preserve">/0601/2019, </w:t>
      </w:r>
      <w:r>
        <w:rPr>
          <w:rFonts w:ascii="Palatino Linotype" w:hAnsi="Palatino Linotype" w:cs="Arial"/>
        </w:rPr>
        <w:t xml:space="preserve">en el cual </w:t>
      </w:r>
      <w:proofErr w:type="spellStart"/>
      <w:r>
        <w:rPr>
          <w:rFonts w:ascii="Palatino Linotype" w:hAnsi="Palatino Linotype" w:cs="Arial"/>
        </w:rPr>
        <w:t>medularemte</w:t>
      </w:r>
      <w:proofErr w:type="spellEnd"/>
      <w:r w:rsidRPr="0089168C">
        <w:rPr>
          <w:rFonts w:ascii="Palatino Linotype" w:hAnsi="Palatino Linotype" w:cs="Arial"/>
        </w:rPr>
        <w:t>, el Servidor Público Habilitado de la Comisaría General de Seguridad Pública refirió que se realizó una búsqueda exhaustiva y razonable en sus archivos para la localización de la información solicitada; sin embargo, esta no fue localizada, ni existe antecedente alguno de haber recibido o realizado transferencia primaria al archivo municipal.</w:t>
      </w:r>
    </w:p>
    <w:p w14:paraId="3F41EF75" w14:textId="77777777" w:rsidR="0089168C" w:rsidRDefault="0089168C" w:rsidP="0089168C">
      <w:pPr>
        <w:spacing w:before="100" w:beforeAutospacing="1" w:after="100" w:afterAutospacing="1" w:line="360" w:lineRule="auto"/>
        <w:ind w:right="567"/>
        <w:contextualSpacing/>
        <w:jc w:val="both"/>
        <w:rPr>
          <w:rFonts w:ascii="Palatino Linotype" w:hAnsi="Palatino Linotype"/>
          <w:i/>
          <w:color w:val="000000"/>
          <w:sz w:val="22"/>
          <w:szCs w:val="22"/>
        </w:rPr>
      </w:pPr>
    </w:p>
    <w:p w14:paraId="1060BF06" w14:textId="205A3221" w:rsidR="00C725B0" w:rsidRPr="0089168C" w:rsidRDefault="004D627E" w:rsidP="0089168C">
      <w:pPr>
        <w:spacing w:before="100" w:beforeAutospacing="1" w:after="100" w:afterAutospacing="1" w:line="360" w:lineRule="auto"/>
        <w:ind w:right="567"/>
        <w:contextualSpacing/>
        <w:jc w:val="both"/>
        <w:rPr>
          <w:rFonts w:ascii="Palatino Linotype" w:hAnsi="Palatino Linotype"/>
          <w:i/>
          <w:color w:val="000000"/>
          <w:sz w:val="22"/>
          <w:szCs w:val="22"/>
        </w:rPr>
      </w:pPr>
      <w:r>
        <w:rPr>
          <w:rFonts w:ascii="Palatino Linotype" w:hAnsi="Palatino Linotype"/>
          <w:bCs/>
        </w:rPr>
        <w:t xml:space="preserve">Inconforme con la respuesta, </w:t>
      </w:r>
      <w:r>
        <w:rPr>
          <w:rFonts w:ascii="Palatino Linotype" w:hAnsi="Palatino Linotype"/>
          <w:b/>
          <w:bCs/>
        </w:rPr>
        <w:t>EL</w:t>
      </w:r>
      <w:r w:rsidRPr="00D771C3">
        <w:rPr>
          <w:rFonts w:ascii="Palatino Linotype" w:hAnsi="Palatino Linotype"/>
          <w:b/>
          <w:bCs/>
        </w:rPr>
        <w:t xml:space="preserve"> RECURRENTE</w:t>
      </w:r>
      <w:r w:rsidRPr="00D771C3">
        <w:rPr>
          <w:rFonts w:ascii="Palatino Linotype" w:hAnsi="Palatino Linotype"/>
          <w:bCs/>
        </w:rPr>
        <w:t xml:space="preserve"> </w:t>
      </w:r>
      <w:r>
        <w:rPr>
          <w:rFonts w:ascii="Palatino Linotype" w:hAnsi="Palatino Linotype"/>
          <w:bCs/>
        </w:rPr>
        <w:t xml:space="preserve">interpuso el recurso de revisión de mérito, </w:t>
      </w:r>
      <w:r w:rsidR="00C725B0">
        <w:rPr>
          <w:rFonts w:ascii="Palatino Linotype" w:hAnsi="Palatino Linotype"/>
          <w:bCs/>
        </w:rPr>
        <w:t>señalando como acto impugnado lo siguiente:</w:t>
      </w:r>
    </w:p>
    <w:p w14:paraId="51773B90" w14:textId="2AF1AC87" w:rsidR="00E70B36" w:rsidRPr="00C725B0" w:rsidRDefault="00C725B0" w:rsidP="0089168C">
      <w:pPr>
        <w:spacing w:before="100" w:beforeAutospacing="1" w:after="100" w:afterAutospacing="1"/>
        <w:ind w:left="851" w:right="902"/>
        <w:contextualSpacing/>
        <w:jc w:val="both"/>
        <w:rPr>
          <w:rFonts w:ascii="Palatino Linotype" w:hAnsi="Palatino Linotype"/>
          <w:bCs/>
          <w:i/>
          <w:sz w:val="22"/>
          <w:szCs w:val="22"/>
        </w:rPr>
      </w:pPr>
      <w:r w:rsidRPr="00C725B0">
        <w:rPr>
          <w:rFonts w:ascii="Palatino Linotype" w:hAnsi="Palatino Linotype"/>
          <w:bCs/>
          <w:i/>
          <w:sz w:val="22"/>
          <w:szCs w:val="22"/>
        </w:rPr>
        <w:lastRenderedPageBreak/>
        <w:t>“</w:t>
      </w:r>
      <w:r w:rsidR="0089168C" w:rsidRPr="0089168C">
        <w:rPr>
          <w:rFonts w:ascii="Palatino Linotype" w:hAnsi="Palatino Linotype"/>
          <w:bCs/>
          <w:i/>
          <w:sz w:val="22"/>
          <w:szCs w:val="22"/>
        </w:rPr>
        <w:t>La entrega de información incompleta a mi solicitud marcada con el número de folio 00998/</w:t>
      </w:r>
      <w:proofErr w:type="spellStart"/>
      <w:r w:rsidR="0089168C" w:rsidRPr="0089168C">
        <w:rPr>
          <w:rFonts w:ascii="Palatino Linotype" w:hAnsi="Palatino Linotype"/>
          <w:bCs/>
          <w:i/>
          <w:sz w:val="22"/>
          <w:szCs w:val="22"/>
        </w:rPr>
        <w:t>TLALNEPA</w:t>
      </w:r>
      <w:proofErr w:type="spellEnd"/>
      <w:r w:rsidR="0089168C" w:rsidRPr="0089168C">
        <w:rPr>
          <w:rFonts w:ascii="Palatino Linotype" w:hAnsi="Palatino Linotype"/>
          <w:bCs/>
          <w:i/>
          <w:sz w:val="22"/>
          <w:szCs w:val="22"/>
        </w:rPr>
        <w:t>/IP/2019.</w:t>
      </w:r>
      <w:r w:rsidRPr="00C725B0">
        <w:rPr>
          <w:rFonts w:ascii="Palatino Linotype" w:hAnsi="Palatino Linotype"/>
          <w:bCs/>
          <w:i/>
          <w:sz w:val="22"/>
          <w:szCs w:val="22"/>
        </w:rPr>
        <w:t>”</w:t>
      </w:r>
    </w:p>
    <w:p w14:paraId="7129F450" w14:textId="77777777" w:rsidR="00EA2C86" w:rsidRDefault="00EA2C86" w:rsidP="0089168C">
      <w:pPr>
        <w:spacing w:before="100" w:beforeAutospacing="1" w:after="100" w:afterAutospacing="1" w:line="360" w:lineRule="auto"/>
        <w:contextualSpacing/>
        <w:jc w:val="both"/>
        <w:rPr>
          <w:rFonts w:ascii="Palatino Linotype" w:hAnsi="Palatino Linotype" w:cs="Arial"/>
        </w:rPr>
      </w:pPr>
    </w:p>
    <w:p w14:paraId="513AE8FF" w14:textId="5BD22D9E" w:rsidR="00C725B0" w:rsidRDefault="00C725B0" w:rsidP="0089168C">
      <w:pPr>
        <w:spacing w:before="100" w:beforeAutospacing="1" w:after="100" w:afterAutospacing="1" w:line="360" w:lineRule="auto"/>
        <w:contextualSpacing/>
        <w:jc w:val="both"/>
        <w:rPr>
          <w:rFonts w:ascii="Palatino Linotype" w:hAnsi="Palatino Linotype" w:cs="Arial"/>
        </w:rPr>
      </w:pPr>
      <w:r>
        <w:rPr>
          <w:rFonts w:ascii="Palatino Linotype" w:hAnsi="Palatino Linotype" w:cs="Arial"/>
        </w:rPr>
        <w:t xml:space="preserve">Asimismo, como razones o motivos de </w:t>
      </w:r>
      <w:r w:rsidR="00915357">
        <w:rPr>
          <w:rFonts w:ascii="Palatino Linotype" w:hAnsi="Palatino Linotype" w:cs="Arial"/>
        </w:rPr>
        <w:t>inconformidad:</w:t>
      </w:r>
    </w:p>
    <w:p w14:paraId="2B2FACA8" w14:textId="77777777" w:rsidR="00C725B0" w:rsidRDefault="00C725B0" w:rsidP="0089168C">
      <w:pPr>
        <w:spacing w:before="100" w:beforeAutospacing="1" w:after="100" w:afterAutospacing="1" w:line="360" w:lineRule="auto"/>
        <w:contextualSpacing/>
        <w:jc w:val="both"/>
        <w:rPr>
          <w:rFonts w:ascii="Palatino Linotype" w:hAnsi="Palatino Linotype" w:cs="Arial"/>
        </w:rPr>
      </w:pPr>
    </w:p>
    <w:p w14:paraId="3C951DD2" w14:textId="325C9D3E" w:rsidR="0089168C" w:rsidRDefault="0089168C" w:rsidP="0089168C">
      <w:pPr>
        <w:spacing w:before="100" w:beforeAutospacing="1" w:after="100" w:afterAutospacing="1"/>
        <w:ind w:left="851" w:right="902"/>
        <w:contextualSpacing/>
        <w:jc w:val="both"/>
        <w:rPr>
          <w:rFonts w:ascii="Palatino Linotype" w:hAnsi="Palatino Linotype" w:cs="Arial"/>
          <w:i/>
          <w:sz w:val="22"/>
          <w:szCs w:val="22"/>
        </w:rPr>
      </w:pPr>
      <w:r>
        <w:rPr>
          <w:rFonts w:ascii="Palatino Linotype" w:hAnsi="Palatino Linotype" w:cs="Arial"/>
          <w:i/>
          <w:sz w:val="22"/>
          <w:szCs w:val="22"/>
        </w:rPr>
        <w:t>“…</w:t>
      </w:r>
    </w:p>
    <w:p w14:paraId="5EFF67F8" w14:textId="3FA5DFA0" w:rsidR="00C725B0" w:rsidRPr="00C725B0" w:rsidRDefault="0089168C" w:rsidP="0089168C">
      <w:pPr>
        <w:spacing w:before="100" w:beforeAutospacing="1" w:after="100" w:afterAutospacing="1"/>
        <w:ind w:left="851" w:right="902"/>
        <w:contextualSpacing/>
        <w:jc w:val="both"/>
        <w:rPr>
          <w:rFonts w:ascii="Palatino Linotype" w:hAnsi="Palatino Linotype" w:cs="Arial"/>
          <w:i/>
          <w:sz w:val="22"/>
          <w:szCs w:val="22"/>
        </w:rPr>
      </w:pPr>
      <w:r w:rsidRPr="0089168C">
        <w:rPr>
          <w:rFonts w:ascii="Palatino Linotype" w:hAnsi="Palatino Linotype" w:cs="Arial"/>
          <w:i/>
          <w:sz w:val="22"/>
          <w:szCs w:val="22"/>
        </w:rPr>
        <w:t>PRIMERO.- Tenerme por presentado y admitido por encontrarse en tiempo y forma el recurso de revisión por la entrega de información incompleta de mi solicitud de información con folio 00998/</w:t>
      </w:r>
      <w:proofErr w:type="spellStart"/>
      <w:r w:rsidRPr="0089168C">
        <w:rPr>
          <w:rFonts w:ascii="Palatino Linotype" w:hAnsi="Palatino Linotype" w:cs="Arial"/>
          <w:i/>
          <w:sz w:val="22"/>
          <w:szCs w:val="22"/>
        </w:rPr>
        <w:t>TLALNEPA</w:t>
      </w:r>
      <w:proofErr w:type="spellEnd"/>
      <w:r w:rsidRPr="0089168C">
        <w:rPr>
          <w:rFonts w:ascii="Palatino Linotype" w:hAnsi="Palatino Linotype" w:cs="Arial"/>
          <w:i/>
          <w:sz w:val="22"/>
          <w:szCs w:val="22"/>
        </w:rPr>
        <w:t>/IP/2019. SEGUNDO.-Tener por autorizado el correo electrónico: vivia_2018@hotmail.com, para recibir notificaciones. TERCERO.- Tener por admitidas y desahogadas las pruebas que adjunto al presente CUARTO.- Resolver el recurso de revisión dentro de los términos previstos en el artículo 181 párrafo tercero de la Ley de Transparencia y Acceso a la información Pública del Estado de México y Municipios.”</w:t>
      </w:r>
      <w:r w:rsidR="00C725B0" w:rsidRPr="00C725B0">
        <w:rPr>
          <w:rFonts w:ascii="Palatino Linotype" w:hAnsi="Palatino Linotype" w:cs="Arial"/>
          <w:i/>
          <w:sz w:val="22"/>
          <w:szCs w:val="22"/>
        </w:rPr>
        <w:t>”</w:t>
      </w:r>
    </w:p>
    <w:p w14:paraId="0744851E" w14:textId="77777777" w:rsidR="00C725B0" w:rsidRPr="008D43D7" w:rsidRDefault="00C725B0" w:rsidP="0089168C">
      <w:pPr>
        <w:spacing w:before="100" w:beforeAutospacing="1" w:after="100" w:afterAutospacing="1" w:line="360" w:lineRule="auto"/>
        <w:contextualSpacing/>
        <w:jc w:val="both"/>
        <w:rPr>
          <w:rFonts w:ascii="Palatino Linotype" w:hAnsi="Palatino Linotype" w:cs="Arial"/>
        </w:rPr>
      </w:pPr>
    </w:p>
    <w:p w14:paraId="7BB176F7" w14:textId="4FFD5A03" w:rsidR="0089168C" w:rsidRPr="00E70425" w:rsidRDefault="0089168C" w:rsidP="00E70425">
      <w:pPr>
        <w:spacing w:before="100" w:beforeAutospacing="1" w:after="100" w:afterAutospacing="1" w:line="360" w:lineRule="auto"/>
        <w:contextualSpacing/>
        <w:jc w:val="both"/>
        <w:rPr>
          <w:rFonts w:ascii="Palatino Linotype" w:hAnsi="Palatino Linotype" w:cs="Arial"/>
        </w:rPr>
      </w:pPr>
      <w:r>
        <w:rPr>
          <w:rFonts w:ascii="Palatino Linotype" w:hAnsi="Palatino Linotype" w:cs="Arial"/>
        </w:rPr>
        <w:t xml:space="preserve">Ahora bien, en </w:t>
      </w:r>
      <w:r w:rsidR="00E70425">
        <w:rPr>
          <w:rFonts w:ascii="Palatino Linotype" w:hAnsi="Palatino Linotype" w:cs="Arial"/>
        </w:rPr>
        <w:t xml:space="preserve">fechas 14 y 28 de diciembre de 2019 </w:t>
      </w:r>
      <w:r w:rsidR="00E70425" w:rsidRPr="00E70425">
        <w:rPr>
          <w:rFonts w:ascii="Palatino Linotype" w:hAnsi="Palatino Linotype" w:cs="Arial"/>
          <w:b/>
        </w:rPr>
        <w:t>EL</w:t>
      </w:r>
      <w:r w:rsidR="00E70425">
        <w:rPr>
          <w:rFonts w:ascii="Palatino Linotype" w:hAnsi="Palatino Linotype" w:cs="Arial"/>
          <w:b/>
        </w:rPr>
        <w:t xml:space="preserve"> SUJETO OBLIGADO </w:t>
      </w:r>
      <w:r w:rsidR="00E70425">
        <w:rPr>
          <w:rFonts w:ascii="Palatino Linotype" w:hAnsi="Palatino Linotype" w:cs="Arial"/>
        </w:rPr>
        <w:t xml:space="preserve">remitió su Informe Justificado a través de los archivos electrónicos </w:t>
      </w:r>
      <w:r w:rsidR="00E70425" w:rsidRPr="00E70425">
        <w:rPr>
          <w:rFonts w:ascii="Palatino Linotype" w:hAnsi="Palatino Linotype" w:cs="Arial"/>
          <w:b/>
          <w:i/>
        </w:rPr>
        <w:t xml:space="preserve">MANIFESTACIONES 08378 INFOEM IP </w:t>
      </w:r>
      <w:proofErr w:type="spellStart"/>
      <w:r w:rsidR="00E70425" w:rsidRPr="00E70425">
        <w:rPr>
          <w:rFonts w:ascii="Palatino Linotype" w:hAnsi="Palatino Linotype" w:cs="Arial"/>
          <w:b/>
          <w:i/>
        </w:rPr>
        <w:t>RR</w:t>
      </w:r>
      <w:proofErr w:type="spellEnd"/>
      <w:r w:rsidR="00E70425" w:rsidRPr="00E70425">
        <w:rPr>
          <w:rFonts w:ascii="Palatino Linotype" w:hAnsi="Palatino Linotype" w:cs="Arial"/>
          <w:b/>
          <w:i/>
        </w:rPr>
        <w:t xml:space="preserve"> 2019.zip</w:t>
      </w:r>
      <w:r w:rsidR="00E70425">
        <w:rPr>
          <w:rFonts w:ascii="Palatino Linotype" w:hAnsi="Palatino Linotype" w:cs="Arial"/>
          <w:b/>
          <w:i/>
        </w:rPr>
        <w:t xml:space="preserve"> </w:t>
      </w:r>
      <w:r w:rsidR="00E70425">
        <w:rPr>
          <w:rFonts w:ascii="Palatino Linotype" w:hAnsi="Palatino Linotype" w:cs="Arial"/>
        </w:rPr>
        <w:t xml:space="preserve">del que se desprenden 14 oficios remitidos por Secretaría del Ayuntamiento; Tesorería; </w:t>
      </w:r>
      <w:r w:rsidR="00E70425" w:rsidRPr="00E70425">
        <w:rPr>
          <w:rFonts w:ascii="Palatino Linotype" w:hAnsi="Palatino Linotype" w:cs="Arial"/>
        </w:rPr>
        <w:t>Dirección de Sustent</w:t>
      </w:r>
      <w:r w:rsidR="00E70425">
        <w:rPr>
          <w:rFonts w:ascii="Palatino Linotype" w:hAnsi="Palatino Linotype" w:cs="Arial"/>
        </w:rPr>
        <w:t xml:space="preserve">abilidad Ambiental y Movilidad; Seguridad Pública; Oficialía Mayor; Coordinación de Asesores; Contraloría; Consejería Jurídica; y </w:t>
      </w:r>
      <w:r w:rsidR="00E70425" w:rsidRPr="00E70425">
        <w:rPr>
          <w:rFonts w:ascii="Palatino Linotype" w:hAnsi="Palatino Linotype" w:cs="Arial"/>
        </w:rPr>
        <w:t>Archivo Municipal</w:t>
      </w:r>
      <w:r w:rsidR="00E70425">
        <w:rPr>
          <w:rFonts w:ascii="Palatino Linotype" w:hAnsi="Palatino Linotype" w:cs="Arial"/>
        </w:rPr>
        <w:t xml:space="preserve"> en los cuales medularmente informan que de una búsqueda exhaustiva y razonable no se localizó la información solicitada por el particular</w:t>
      </w:r>
      <w:r w:rsidR="00E70425" w:rsidRPr="00E70425">
        <w:rPr>
          <w:rFonts w:ascii="Palatino Linotype" w:hAnsi="Palatino Linotype" w:cs="Arial"/>
        </w:rPr>
        <w:t>.</w:t>
      </w:r>
    </w:p>
    <w:p w14:paraId="622DE647" w14:textId="77777777" w:rsidR="0089168C" w:rsidRDefault="0089168C" w:rsidP="0089168C">
      <w:pPr>
        <w:spacing w:before="100" w:beforeAutospacing="1" w:after="100" w:afterAutospacing="1" w:line="360" w:lineRule="auto"/>
        <w:contextualSpacing/>
        <w:jc w:val="both"/>
        <w:rPr>
          <w:rFonts w:ascii="Palatino Linotype" w:hAnsi="Palatino Linotype" w:cs="Arial"/>
        </w:rPr>
      </w:pPr>
    </w:p>
    <w:p w14:paraId="5FDEFE5A" w14:textId="686359A4" w:rsidR="002A2EBD" w:rsidRDefault="004D627E" w:rsidP="0089168C">
      <w:pPr>
        <w:spacing w:before="100" w:beforeAutospacing="1" w:after="100" w:afterAutospacing="1" w:line="360" w:lineRule="auto"/>
        <w:contextualSpacing/>
        <w:jc w:val="both"/>
        <w:rPr>
          <w:rFonts w:ascii="Palatino Linotype" w:eastAsia="Calibri" w:hAnsi="Palatino Linotype" w:cs="Tahoma"/>
          <w:bCs/>
          <w:iCs/>
          <w:sz w:val="22"/>
          <w:szCs w:val="22"/>
          <w:lang w:eastAsia="en-US"/>
        </w:rPr>
      </w:pPr>
      <w:r>
        <w:rPr>
          <w:rFonts w:ascii="Palatino Linotype" w:hAnsi="Palatino Linotype" w:cs="Arial"/>
        </w:rPr>
        <w:t xml:space="preserve">Así, la Ponencia Resolutora determinó </w:t>
      </w:r>
      <w:r w:rsidR="0089168C">
        <w:rPr>
          <w:rFonts w:ascii="Palatino Linotype" w:eastAsia="Calibri" w:hAnsi="Palatino Linotype" w:cs="Tahoma"/>
          <w:b/>
          <w:bCs/>
          <w:iCs/>
          <w:sz w:val="22"/>
          <w:szCs w:val="22"/>
          <w:lang w:eastAsia="en-US"/>
        </w:rPr>
        <w:t>REVOCAR</w:t>
      </w:r>
      <w:r w:rsidR="002A2EBD" w:rsidRPr="00A0243C">
        <w:rPr>
          <w:rFonts w:ascii="Palatino Linotype" w:eastAsia="Calibri" w:hAnsi="Palatino Linotype" w:cs="Tahoma"/>
          <w:bCs/>
          <w:iCs/>
          <w:sz w:val="22"/>
          <w:szCs w:val="22"/>
          <w:lang w:eastAsia="en-US"/>
        </w:rPr>
        <w:t xml:space="preserve"> la respuesta del Sujeto Obligado</w:t>
      </w:r>
      <w:r w:rsidR="002A2EBD" w:rsidRPr="00A0243C">
        <w:rPr>
          <w:rFonts w:ascii="Palatino Linotype" w:eastAsia="Calibri" w:hAnsi="Palatino Linotype" w:cs="Tahoma"/>
          <w:b/>
          <w:bCs/>
          <w:iCs/>
          <w:sz w:val="22"/>
          <w:szCs w:val="22"/>
          <w:lang w:eastAsia="en-US"/>
        </w:rPr>
        <w:t xml:space="preserve"> </w:t>
      </w:r>
      <w:r w:rsidR="002A2EBD" w:rsidRPr="00A0243C">
        <w:rPr>
          <w:rFonts w:ascii="Palatino Linotype" w:eastAsia="Calibri" w:hAnsi="Palatino Linotype" w:cs="Tahoma"/>
          <w:bCs/>
          <w:iCs/>
          <w:sz w:val="22"/>
          <w:szCs w:val="22"/>
          <w:lang w:eastAsia="en-US"/>
        </w:rPr>
        <w:t xml:space="preserve">a la solicitud de información </w:t>
      </w:r>
      <w:r w:rsidR="00E70425">
        <w:rPr>
          <w:rFonts w:ascii="Palatino Linotype" w:eastAsia="Calibri" w:hAnsi="Palatino Linotype" w:cs="Tahoma"/>
          <w:b/>
          <w:bCs/>
          <w:iCs/>
          <w:sz w:val="22"/>
          <w:szCs w:val="22"/>
          <w:lang w:eastAsia="en-US"/>
        </w:rPr>
        <w:t>00998</w:t>
      </w:r>
      <w:r w:rsidR="002A2EBD" w:rsidRPr="00A0243C">
        <w:rPr>
          <w:rFonts w:ascii="Palatino Linotype" w:eastAsia="Calibri" w:hAnsi="Palatino Linotype" w:cs="Tahoma"/>
          <w:b/>
          <w:bCs/>
          <w:iCs/>
          <w:sz w:val="22"/>
          <w:szCs w:val="22"/>
          <w:lang w:eastAsia="en-US"/>
        </w:rPr>
        <w:t>/</w:t>
      </w:r>
      <w:proofErr w:type="spellStart"/>
      <w:r w:rsidR="00E70425">
        <w:rPr>
          <w:rFonts w:ascii="Palatino Linotype" w:eastAsia="Calibri" w:hAnsi="Palatino Linotype" w:cs="Tahoma"/>
          <w:b/>
          <w:bCs/>
          <w:iCs/>
          <w:sz w:val="22"/>
          <w:szCs w:val="22"/>
          <w:lang w:eastAsia="en-US"/>
        </w:rPr>
        <w:t>TALANEPA</w:t>
      </w:r>
      <w:proofErr w:type="spellEnd"/>
      <w:r w:rsidR="00E70425">
        <w:rPr>
          <w:rFonts w:ascii="Palatino Linotype" w:eastAsia="Calibri" w:hAnsi="Palatino Linotype" w:cs="Tahoma"/>
          <w:b/>
          <w:bCs/>
          <w:iCs/>
          <w:sz w:val="22"/>
          <w:szCs w:val="22"/>
          <w:lang w:eastAsia="en-US"/>
        </w:rPr>
        <w:t>/</w:t>
      </w:r>
      <w:r w:rsidR="002A2EBD" w:rsidRPr="00A0243C">
        <w:rPr>
          <w:rFonts w:ascii="Palatino Linotype" w:eastAsia="Calibri" w:hAnsi="Palatino Linotype" w:cs="Tahoma"/>
          <w:b/>
          <w:bCs/>
          <w:iCs/>
          <w:sz w:val="22"/>
          <w:szCs w:val="22"/>
          <w:lang w:eastAsia="en-US"/>
        </w:rPr>
        <w:t xml:space="preserve">IP/2019, </w:t>
      </w:r>
      <w:r w:rsidR="00E70425">
        <w:rPr>
          <w:rFonts w:ascii="Palatino Linotype" w:eastAsia="Calibri" w:hAnsi="Palatino Linotype" w:cs="Tahoma"/>
          <w:bCs/>
          <w:iCs/>
          <w:sz w:val="22"/>
          <w:szCs w:val="22"/>
          <w:lang w:eastAsia="en-US"/>
        </w:rPr>
        <w:t xml:space="preserve">por resultar </w:t>
      </w:r>
      <w:r w:rsidR="002A2EBD" w:rsidRPr="00A0243C">
        <w:rPr>
          <w:rFonts w:ascii="Palatino Linotype" w:eastAsia="Calibri" w:hAnsi="Palatino Linotype" w:cs="Tahoma"/>
          <w:bCs/>
          <w:iCs/>
          <w:sz w:val="22"/>
          <w:szCs w:val="22"/>
          <w:lang w:eastAsia="en-US"/>
        </w:rPr>
        <w:t xml:space="preserve">fundadas las razones o </w:t>
      </w:r>
      <w:r w:rsidR="002A2EBD" w:rsidRPr="00A0243C">
        <w:rPr>
          <w:rFonts w:ascii="Palatino Linotype" w:eastAsia="Calibri" w:hAnsi="Palatino Linotype" w:cs="Tahoma"/>
          <w:bCs/>
          <w:iCs/>
          <w:sz w:val="22"/>
          <w:szCs w:val="22"/>
          <w:lang w:eastAsia="en-US"/>
        </w:rPr>
        <w:lastRenderedPageBreak/>
        <w:t xml:space="preserve">motivos de inconformidad hechos valer por el Recurrente, en términos del Considerando </w:t>
      </w:r>
      <w:r w:rsidR="00E70425">
        <w:rPr>
          <w:rFonts w:ascii="Palatino Linotype" w:eastAsia="Calibri" w:hAnsi="Palatino Linotype" w:cs="Tahoma"/>
          <w:b/>
          <w:bCs/>
          <w:iCs/>
          <w:sz w:val="22"/>
          <w:szCs w:val="22"/>
          <w:lang w:eastAsia="en-US"/>
        </w:rPr>
        <w:t>CUARTO</w:t>
      </w:r>
      <w:r w:rsidR="00E70425" w:rsidRPr="00A0243C">
        <w:rPr>
          <w:rFonts w:ascii="Palatino Linotype" w:eastAsia="Calibri" w:hAnsi="Palatino Linotype" w:cs="Tahoma"/>
          <w:b/>
          <w:bCs/>
          <w:iCs/>
          <w:sz w:val="22"/>
          <w:szCs w:val="22"/>
          <w:lang w:eastAsia="en-US"/>
        </w:rPr>
        <w:t xml:space="preserve"> </w:t>
      </w:r>
      <w:r w:rsidR="00E70425">
        <w:rPr>
          <w:rFonts w:ascii="Palatino Linotype" w:eastAsia="Calibri" w:hAnsi="Palatino Linotype" w:cs="Tahoma"/>
          <w:bCs/>
          <w:iCs/>
          <w:sz w:val="22"/>
          <w:szCs w:val="22"/>
          <w:lang w:eastAsia="en-US"/>
        </w:rPr>
        <w:t>de esta Resolución, ordenándole la entrega de la siguiente información:</w:t>
      </w:r>
    </w:p>
    <w:p w14:paraId="4672D633" w14:textId="77777777" w:rsidR="00E70425" w:rsidRDefault="00E70425" w:rsidP="0089168C">
      <w:pPr>
        <w:spacing w:before="100" w:beforeAutospacing="1" w:after="100" w:afterAutospacing="1" w:line="360" w:lineRule="auto"/>
        <w:contextualSpacing/>
        <w:jc w:val="both"/>
        <w:rPr>
          <w:rFonts w:ascii="Palatino Linotype" w:eastAsia="Calibri" w:hAnsi="Palatino Linotype" w:cs="Tahoma"/>
          <w:bCs/>
          <w:iCs/>
          <w:sz w:val="22"/>
          <w:szCs w:val="22"/>
          <w:lang w:eastAsia="en-US"/>
        </w:rPr>
      </w:pPr>
    </w:p>
    <w:p w14:paraId="620781B2" w14:textId="11AAAEE0" w:rsidR="008556EE" w:rsidRPr="008556EE" w:rsidRDefault="008556EE" w:rsidP="008556EE">
      <w:pPr>
        <w:pStyle w:val="Prrafodelista"/>
        <w:spacing w:before="100" w:beforeAutospacing="1" w:after="100" w:afterAutospacing="1"/>
        <w:ind w:left="851" w:right="902"/>
        <w:jc w:val="both"/>
        <w:rPr>
          <w:rStyle w:val="Ttulo2Car"/>
          <w:rFonts w:asciiTheme="minorHAnsi" w:eastAsiaTheme="minorEastAsia" w:hAnsiTheme="minorHAnsi" w:cstheme="minorBidi"/>
          <w:i/>
          <w:sz w:val="22"/>
          <w:szCs w:val="22"/>
        </w:rPr>
      </w:pPr>
      <w:bookmarkStart w:id="0" w:name="_Toc23438284"/>
      <w:bookmarkStart w:id="1" w:name="_Toc29491348"/>
      <w:bookmarkStart w:id="2" w:name="_Toc30070614"/>
      <w:r>
        <w:rPr>
          <w:rStyle w:val="Ttulo2Car"/>
          <w:rFonts w:ascii="Palatino Linotype" w:hAnsi="Palatino Linotype"/>
          <w:i/>
          <w:color w:val="000000" w:themeColor="text1"/>
          <w:sz w:val="22"/>
          <w:szCs w:val="22"/>
        </w:rPr>
        <w:t xml:space="preserve">1) </w:t>
      </w:r>
      <w:r w:rsidRPr="008556EE">
        <w:rPr>
          <w:rStyle w:val="Ttulo2Car"/>
          <w:rFonts w:ascii="Palatino Linotype" w:hAnsi="Palatino Linotype"/>
          <w:i/>
          <w:color w:val="000000" w:themeColor="text1"/>
          <w:sz w:val="22"/>
          <w:szCs w:val="22"/>
        </w:rPr>
        <w:t>Oficio que anexó el recurrente a la solicitud de acceso a la información 00998/</w:t>
      </w:r>
      <w:proofErr w:type="spellStart"/>
      <w:r w:rsidRPr="008556EE">
        <w:rPr>
          <w:rStyle w:val="Ttulo2Car"/>
          <w:rFonts w:ascii="Palatino Linotype" w:hAnsi="Palatino Linotype"/>
          <w:i/>
          <w:color w:val="000000" w:themeColor="text1"/>
          <w:sz w:val="22"/>
          <w:szCs w:val="22"/>
        </w:rPr>
        <w:t>TLALNEPA</w:t>
      </w:r>
      <w:proofErr w:type="spellEnd"/>
      <w:r w:rsidRPr="008556EE">
        <w:rPr>
          <w:rStyle w:val="Ttulo2Car"/>
          <w:rFonts w:ascii="Palatino Linotype" w:hAnsi="Palatino Linotype"/>
          <w:i/>
          <w:color w:val="000000" w:themeColor="text1"/>
          <w:sz w:val="22"/>
          <w:szCs w:val="22"/>
        </w:rPr>
        <w:t>/IP/2019.</w:t>
      </w:r>
      <w:bookmarkStart w:id="3" w:name="_Toc29491355"/>
      <w:bookmarkEnd w:id="0"/>
      <w:bookmarkEnd w:id="1"/>
      <w:bookmarkEnd w:id="2"/>
    </w:p>
    <w:bookmarkEnd w:id="3"/>
    <w:p w14:paraId="5507752F" w14:textId="77777777" w:rsidR="008556EE" w:rsidRPr="00915357" w:rsidRDefault="008556EE" w:rsidP="00915357">
      <w:pPr>
        <w:ind w:left="851" w:right="899"/>
        <w:jc w:val="both"/>
        <w:rPr>
          <w:rFonts w:ascii="Palatino Linotype" w:hAnsi="Palatino Linotype"/>
          <w:i/>
        </w:rPr>
      </w:pPr>
      <w:r w:rsidRPr="00915357">
        <w:rPr>
          <w:rFonts w:ascii="Palatino Linotype" w:hAnsi="Palatino Linotype"/>
          <w:i/>
        </w:rPr>
        <w:t>Asimismo se ordena al Sujeto Obligado que previo a la entrega de la información, haga del conocimiento del recurrente, el domicilio al cual deberá acudir, el nombre de la dependencia o área respectiva, los días y horarios de atención en los cuales podrá realizar la consulta, la forma y procedimiento a seguir, así como el periodo durante el cual quedará a su disposición la documentación conforme a lo dispuesto por el artículo 166 de la Ley de Transparencia y Acceso a la Información Pública del Estado de México y Municipios de aplicación supletoria.</w:t>
      </w:r>
    </w:p>
    <w:p w14:paraId="1A277F04" w14:textId="77777777" w:rsidR="008556EE" w:rsidRPr="008556EE" w:rsidRDefault="008556EE" w:rsidP="008556EE">
      <w:pPr>
        <w:spacing w:before="100" w:beforeAutospacing="1" w:after="100" w:afterAutospacing="1"/>
        <w:ind w:left="851" w:right="902"/>
        <w:contextualSpacing/>
        <w:jc w:val="both"/>
        <w:rPr>
          <w:rFonts w:ascii="Palatino Linotype" w:hAnsi="Palatino Linotype"/>
          <w:i/>
          <w:color w:val="222222"/>
          <w:sz w:val="22"/>
          <w:szCs w:val="22"/>
          <w:shd w:val="clear" w:color="auto" w:fill="FFFFFF"/>
        </w:rPr>
      </w:pPr>
    </w:p>
    <w:p w14:paraId="7840885A" w14:textId="77777777" w:rsidR="008556EE" w:rsidRPr="008556EE" w:rsidRDefault="008556EE" w:rsidP="008556EE">
      <w:pPr>
        <w:tabs>
          <w:tab w:val="left" w:pos="8080"/>
        </w:tabs>
        <w:spacing w:before="100" w:beforeAutospacing="1" w:after="100" w:afterAutospacing="1"/>
        <w:ind w:left="851" w:right="902"/>
        <w:contextualSpacing/>
        <w:jc w:val="both"/>
        <w:rPr>
          <w:rFonts w:ascii="Palatino Linotype" w:eastAsia="Palatino Linotype" w:hAnsi="Palatino Linotype" w:cs="Palatino Linotype"/>
          <w:i/>
          <w:sz w:val="22"/>
          <w:szCs w:val="22"/>
        </w:rPr>
      </w:pPr>
      <w:r w:rsidRPr="008556EE">
        <w:rPr>
          <w:rFonts w:ascii="Palatino Linotype" w:eastAsia="Palatino Linotype" w:hAnsi="Palatino Linotype" w:cs="Palatino Linotype"/>
          <w:i/>
          <w:sz w:val="22"/>
          <w:szCs w:val="22"/>
        </w:rPr>
        <w:t>Para el caso de que el </w:t>
      </w:r>
      <w:r w:rsidRPr="008556EE">
        <w:rPr>
          <w:rFonts w:ascii="Palatino Linotype" w:eastAsia="Palatino Linotype" w:hAnsi="Palatino Linotype" w:cs="Palatino Linotype"/>
          <w:bCs/>
          <w:i/>
          <w:sz w:val="22"/>
          <w:szCs w:val="22"/>
        </w:rPr>
        <w:t>SUJETO OBLIGADO</w:t>
      </w:r>
      <w:r w:rsidRPr="008556EE">
        <w:rPr>
          <w:rFonts w:ascii="Palatino Linotype" w:eastAsia="Palatino Linotype" w:hAnsi="Palatino Linotype" w:cs="Palatino Linotype"/>
          <w:i/>
          <w:sz w:val="22"/>
          <w:szCs w:val="22"/>
        </w:rPr>
        <w:t xml:space="preserve">, no localice la información señalada en el </w:t>
      </w:r>
      <w:r w:rsidRPr="008556EE">
        <w:rPr>
          <w:rFonts w:ascii="Palatino Linotype" w:eastAsia="Palatino Linotype" w:hAnsi="Palatino Linotype" w:cs="Palatino Linotype"/>
          <w:bCs/>
          <w:i/>
          <w:sz w:val="22"/>
          <w:szCs w:val="22"/>
        </w:rPr>
        <w:t>inciso número 1</w:t>
      </w:r>
      <w:r w:rsidRPr="008556EE">
        <w:rPr>
          <w:rFonts w:ascii="Palatino Linotype" w:eastAsia="Palatino Linotype" w:hAnsi="Palatino Linotype" w:cs="Palatino Linotype"/>
          <w:i/>
          <w:sz w:val="22"/>
          <w:szCs w:val="22"/>
        </w:rPr>
        <w:t>, deberá de emitir el Acuerdo de Inexistencia en términos de los artículos 49, fracciones II y XIII, 169 y 170 de la Ley de Transparencia y Acceso a la Información Pública del Estado de México y Municipios que al respecto emita su Comité de Transparencia.</w:t>
      </w:r>
    </w:p>
    <w:p w14:paraId="46D29CC7" w14:textId="77777777" w:rsidR="002A2EBD" w:rsidRDefault="002A2EBD" w:rsidP="0089168C">
      <w:pPr>
        <w:spacing w:before="100" w:beforeAutospacing="1" w:after="100" w:afterAutospacing="1" w:line="360" w:lineRule="auto"/>
        <w:contextualSpacing/>
        <w:jc w:val="both"/>
        <w:rPr>
          <w:rFonts w:ascii="Palatino Linotype" w:eastAsia="Calibri" w:hAnsi="Palatino Linotype" w:cs="Tahoma"/>
          <w:bCs/>
          <w:iCs/>
          <w:sz w:val="22"/>
          <w:szCs w:val="22"/>
          <w:lang w:eastAsia="en-US"/>
        </w:rPr>
      </w:pPr>
    </w:p>
    <w:p w14:paraId="6C5A675D" w14:textId="70D1C21C" w:rsidR="00BF349D" w:rsidRPr="008556EE" w:rsidRDefault="00E70B36" w:rsidP="0089168C">
      <w:pPr>
        <w:spacing w:before="100" w:beforeAutospacing="1" w:after="100" w:afterAutospacing="1" w:line="360" w:lineRule="auto"/>
        <w:contextualSpacing/>
        <w:jc w:val="both"/>
        <w:rPr>
          <w:rFonts w:ascii="Palatino Linotype" w:hAnsi="Palatino Linotype" w:cs="Arial"/>
          <w:b/>
          <w:i/>
          <w:sz w:val="22"/>
          <w:szCs w:val="22"/>
        </w:rPr>
      </w:pPr>
      <w:r>
        <w:rPr>
          <w:rFonts w:ascii="Palatino Linotype" w:hAnsi="Palatino Linotype" w:cs="Arial"/>
        </w:rPr>
        <w:t>En ese sentido, la suscrita reitera, que si bien coincide con las causas que dieron origen al recurso de revisión de mérito</w:t>
      </w:r>
      <w:r w:rsidR="00271506">
        <w:rPr>
          <w:rFonts w:ascii="Palatino Linotype" w:hAnsi="Palatino Linotype" w:cs="Arial"/>
        </w:rPr>
        <w:t xml:space="preserve">; </w:t>
      </w:r>
      <w:r w:rsidR="00AF3927">
        <w:rPr>
          <w:rFonts w:ascii="Palatino Linotype" w:hAnsi="Palatino Linotype" w:cs="Arial"/>
        </w:rPr>
        <w:t>se comparte el pronunciamiento</w:t>
      </w:r>
      <w:r w:rsidR="00271506">
        <w:rPr>
          <w:rFonts w:ascii="Palatino Linotype" w:hAnsi="Palatino Linotype" w:cs="Arial"/>
        </w:rPr>
        <w:t>, respecto a</w:t>
      </w:r>
      <w:r w:rsidR="00983278">
        <w:rPr>
          <w:rFonts w:ascii="Palatino Linotype" w:hAnsi="Palatino Linotype" w:cs="Arial"/>
        </w:rPr>
        <w:t xml:space="preserve"> </w:t>
      </w:r>
      <w:r w:rsidR="008556EE">
        <w:rPr>
          <w:rFonts w:ascii="Palatino Linotype" w:hAnsi="Palatino Linotype" w:cs="Arial"/>
          <w:b/>
        </w:rPr>
        <w:t xml:space="preserve">REVOCAR </w:t>
      </w:r>
      <w:r w:rsidR="00983278" w:rsidRPr="00983278">
        <w:rPr>
          <w:rFonts w:ascii="Palatino Linotype" w:hAnsi="Palatino Linotype" w:cs="Arial"/>
        </w:rPr>
        <w:t>la respuesta</w:t>
      </w:r>
      <w:r w:rsidR="00983278">
        <w:rPr>
          <w:rFonts w:ascii="Palatino Linotype" w:hAnsi="Palatino Linotype" w:cs="Arial"/>
        </w:rPr>
        <w:t xml:space="preserve"> del proporcionada por el </w:t>
      </w:r>
      <w:r w:rsidR="00983278" w:rsidRPr="00983278">
        <w:rPr>
          <w:rFonts w:ascii="Palatino Linotype" w:hAnsi="Palatino Linotype" w:cs="Arial"/>
          <w:b/>
        </w:rPr>
        <w:t>SUJETO OBLIGADO</w:t>
      </w:r>
      <w:r w:rsidR="00983278">
        <w:rPr>
          <w:rFonts w:ascii="Palatino Linotype" w:hAnsi="Palatino Linotype" w:cs="Arial"/>
          <w:b/>
        </w:rPr>
        <w:t>,</w:t>
      </w:r>
      <w:r w:rsidR="00AF3927">
        <w:rPr>
          <w:rFonts w:ascii="Palatino Linotype" w:hAnsi="Palatino Linotype" w:cs="Arial"/>
          <w:b/>
        </w:rPr>
        <w:t xml:space="preserve"> </w:t>
      </w:r>
      <w:r w:rsidR="00AF3927">
        <w:rPr>
          <w:rFonts w:ascii="Palatino Linotype" w:hAnsi="Palatino Linotype" w:cs="Arial"/>
        </w:rPr>
        <w:t xml:space="preserve">sin embargo se considera que la Ponencia Resolutora </w:t>
      </w:r>
      <w:r w:rsidR="00BF349D">
        <w:rPr>
          <w:rFonts w:ascii="Palatino Linotype" w:hAnsi="Palatino Linotype"/>
        </w:rPr>
        <w:t xml:space="preserve">debió ordenar al </w:t>
      </w:r>
      <w:r w:rsidR="00BF349D" w:rsidRPr="00BF349D">
        <w:rPr>
          <w:rFonts w:ascii="Palatino Linotype" w:hAnsi="Palatino Linotype"/>
          <w:b/>
        </w:rPr>
        <w:t>SUJETO OBLIGADO</w:t>
      </w:r>
      <w:r w:rsidR="00BF349D">
        <w:rPr>
          <w:rFonts w:ascii="Palatino Linotype" w:hAnsi="Palatino Linotype"/>
        </w:rPr>
        <w:t xml:space="preserve"> realizara </w:t>
      </w:r>
      <w:r w:rsidR="00BF349D" w:rsidRPr="00BF349D">
        <w:rPr>
          <w:rFonts w:ascii="Palatino Linotype" w:hAnsi="Palatino Linotype"/>
        </w:rPr>
        <w:t>una búsqueda exhaustiva</w:t>
      </w:r>
      <w:r w:rsidR="00BF349D">
        <w:rPr>
          <w:rFonts w:ascii="Palatino Linotype" w:hAnsi="Palatino Linotype"/>
        </w:rPr>
        <w:t xml:space="preserve"> y razonable de la información y </w:t>
      </w:r>
      <w:r w:rsidR="00BF349D" w:rsidRPr="00BF349D">
        <w:rPr>
          <w:rFonts w:ascii="Palatino Linotype" w:hAnsi="Palatino Linotype"/>
        </w:rPr>
        <w:t>en caso de no encontrarla, notificar el Acuerdo de Inexistencia corre</w:t>
      </w:r>
      <w:r w:rsidR="00354640">
        <w:rPr>
          <w:rFonts w:ascii="Palatino Linotype" w:hAnsi="Palatino Linotype"/>
        </w:rPr>
        <w:t>spondiente, en el que fundara</w:t>
      </w:r>
      <w:r w:rsidR="00BF349D" w:rsidRPr="00BF349D">
        <w:rPr>
          <w:rFonts w:ascii="Palatino Linotype" w:hAnsi="Palatino Linotype"/>
        </w:rPr>
        <w:t xml:space="preserve"> y motiv</w:t>
      </w:r>
      <w:r w:rsidR="00354640">
        <w:rPr>
          <w:rFonts w:ascii="Palatino Linotype" w:hAnsi="Palatino Linotype"/>
        </w:rPr>
        <w:t>ara</w:t>
      </w:r>
      <w:r w:rsidR="00BF349D" w:rsidRPr="00BF349D">
        <w:rPr>
          <w:rFonts w:ascii="Palatino Linotype" w:hAnsi="Palatino Linotype"/>
        </w:rPr>
        <w:t xml:space="preserve">, las circunstancias de la pre existencia de la documentación y la falta posterior de la misma, de conformidad con los artículos 18 y 19, 169 y 170 de la Ley de </w:t>
      </w:r>
      <w:r w:rsidR="00BF349D" w:rsidRPr="00BF349D">
        <w:rPr>
          <w:rFonts w:ascii="Palatino Linotype" w:hAnsi="Palatino Linotype"/>
        </w:rPr>
        <w:lastRenderedPageBreak/>
        <w:t>Transparencia y Acceso a la Información Pública del Estado de México y Municipios, que establece lo siguiente:</w:t>
      </w:r>
    </w:p>
    <w:p w14:paraId="507C4A81" w14:textId="77777777" w:rsidR="00BF349D" w:rsidRPr="00BF349D" w:rsidRDefault="00BF349D" w:rsidP="0089168C">
      <w:pPr>
        <w:spacing w:before="100" w:beforeAutospacing="1" w:after="100" w:afterAutospacing="1"/>
        <w:contextualSpacing/>
      </w:pPr>
    </w:p>
    <w:p w14:paraId="633C542B" w14:textId="77777777" w:rsidR="00BF349D" w:rsidRPr="00BF349D" w:rsidRDefault="00BF349D" w:rsidP="0089168C">
      <w:pPr>
        <w:spacing w:before="100" w:beforeAutospacing="1" w:after="100" w:afterAutospacing="1"/>
        <w:ind w:left="851" w:right="899"/>
        <w:contextualSpacing/>
        <w:jc w:val="both"/>
        <w:rPr>
          <w:rFonts w:ascii="Palatino Linotype" w:hAnsi="Palatino Linotype"/>
          <w:i/>
          <w:sz w:val="22"/>
        </w:rPr>
      </w:pPr>
      <w:r w:rsidRPr="00BF349D">
        <w:rPr>
          <w:rFonts w:ascii="Palatino Linotype" w:hAnsi="Palatino Linotype"/>
          <w:i/>
          <w:sz w:val="22"/>
        </w:rPr>
        <w:t>“</w:t>
      </w:r>
      <w:r w:rsidRPr="00BF349D">
        <w:rPr>
          <w:rFonts w:ascii="Palatino Linotype" w:hAnsi="Palatino Linotype"/>
          <w:b/>
          <w:i/>
          <w:sz w:val="22"/>
        </w:rPr>
        <w:t>Artículo 18</w:t>
      </w:r>
      <w:r w:rsidRPr="00BF349D">
        <w:rPr>
          <w:rFonts w:ascii="Palatino Linotype" w:hAnsi="Palatino Linotype"/>
          <w:i/>
          <w:sz w:val="22"/>
        </w:rPr>
        <w:t>. Los sujetos obligados deberán documentar todo acto que derive del ejercicio de sus facultades, competencias o funciones, considerando desde su origen la eventual publicidad y reutilización de la información que generen.</w:t>
      </w:r>
    </w:p>
    <w:p w14:paraId="3291F2D6" w14:textId="77777777" w:rsidR="00BF349D" w:rsidRPr="00BF349D" w:rsidRDefault="00BF349D" w:rsidP="0089168C">
      <w:pPr>
        <w:spacing w:before="100" w:beforeAutospacing="1" w:after="100" w:afterAutospacing="1"/>
        <w:ind w:left="851" w:right="899"/>
        <w:contextualSpacing/>
        <w:jc w:val="both"/>
        <w:rPr>
          <w:rFonts w:ascii="Palatino Linotype" w:hAnsi="Palatino Linotype"/>
          <w:i/>
          <w:sz w:val="22"/>
        </w:rPr>
      </w:pPr>
    </w:p>
    <w:p w14:paraId="1C75D95A" w14:textId="77777777" w:rsidR="00BF349D" w:rsidRDefault="00BF349D" w:rsidP="0089168C">
      <w:pPr>
        <w:spacing w:before="100" w:beforeAutospacing="1" w:after="100" w:afterAutospacing="1"/>
        <w:ind w:left="851" w:right="899"/>
        <w:contextualSpacing/>
        <w:jc w:val="both"/>
        <w:rPr>
          <w:rFonts w:ascii="Palatino Linotype" w:hAnsi="Palatino Linotype"/>
          <w:i/>
          <w:sz w:val="22"/>
        </w:rPr>
      </w:pPr>
      <w:r w:rsidRPr="00BF349D">
        <w:rPr>
          <w:rFonts w:ascii="Palatino Linotype" w:hAnsi="Palatino Linotype"/>
          <w:b/>
          <w:i/>
          <w:sz w:val="22"/>
        </w:rPr>
        <w:t>Artículo 19.</w:t>
      </w:r>
      <w:r w:rsidRPr="00BF349D">
        <w:rPr>
          <w:rFonts w:ascii="Palatino Linotype" w:hAnsi="Palatino Linotype"/>
          <w:i/>
          <w:sz w:val="22"/>
        </w:rPr>
        <w:t> Se presume que la información debe existir si se refiere a las facultades, competencias y funciones que los ordenamientos jurídicos aplicables otorgan a los sujetos obligados.</w:t>
      </w:r>
    </w:p>
    <w:p w14:paraId="241DDAE7" w14:textId="77777777" w:rsidR="00BF349D" w:rsidRPr="00BF349D" w:rsidRDefault="00BF349D" w:rsidP="0089168C">
      <w:pPr>
        <w:spacing w:before="100" w:beforeAutospacing="1" w:after="100" w:afterAutospacing="1"/>
        <w:ind w:left="851" w:right="899"/>
        <w:contextualSpacing/>
        <w:jc w:val="both"/>
        <w:rPr>
          <w:rFonts w:ascii="Palatino Linotype" w:hAnsi="Palatino Linotype"/>
          <w:i/>
          <w:sz w:val="22"/>
        </w:rPr>
      </w:pPr>
    </w:p>
    <w:p w14:paraId="70202277" w14:textId="77777777" w:rsidR="00BF349D" w:rsidRPr="00BF349D" w:rsidRDefault="00BF349D" w:rsidP="0089168C">
      <w:pPr>
        <w:spacing w:before="100" w:beforeAutospacing="1" w:after="100" w:afterAutospacing="1"/>
        <w:ind w:left="851" w:right="899"/>
        <w:contextualSpacing/>
        <w:jc w:val="both"/>
        <w:rPr>
          <w:rFonts w:ascii="Palatino Linotype" w:hAnsi="Palatino Linotype"/>
          <w:i/>
          <w:sz w:val="22"/>
        </w:rPr>
      </w:pPr>
      <w:r w:rsidRPr="00BF349D">
        <w:rPr>
          <w:rFonts w:ascii="Palatino Linotype" w:hAnsi="Palatino Linotype"/>
          <w:i/>
          <w:sz w:val="22"/>
        </w:rPr>
        <w:t>En los casos en que ciertas facultades, competencias o funciones no se hayan ejercido, se debe motivar la respuesta en función de las causas que motiven tal circunstancia.</w:t>
      </w:r>
    </w:p>
    <w:p w14:paraId="1BD72818" w14:textId="77777777" w:rsidR="00BF349D" w:rsidRDefault="00BF349D" w:rsidP="0089168C">
      <w:pPr>
        <w:spacing w:before="100" w:beforeAutospacing="1" w:after="100" w:afterAutospacing="1"/>
        <w:ind w:left="851" w:right="899"/>
        <w:contextualSpacing/>
        <w:jc w:val="both"/>
        <w:rPr>
          <w:rFonts w:ascii="Palatino Linotype" w:hAnsi="Palatino Linotype"/>
          <w:i/>
          <w:sz w:val="22"/>
        </w:rPr>
      </w:pPr>
      <w:r w:rsidRPr="00BF349D">
        <w:rPr>
          <w:rFonts w:ascii="Palatino Linotype" w:hAnsi="Palatino Linotype"/>
          <w:i/>
          <w:sz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28639D9F" w14:textId="77777777" w:rsidR="00BF349D" w:rsidRPr="00BF349D" w:rsidRDefault="00BF349D" w:rsidP="0089168C">
      <w:pPr>
        <w:spacing w:before="100" w:beforeAutospacing="1" w:after="100" w:afterAutospacing="1"/>
        <w:ind w:left="851" w:right="899"/>
        <w:contextualSpacing/>
        <w:jc w:val="both"/>
        <w:rPr>
          <w:rFonts w:ascii="Palatino Linotype" w:hAnsi="Palatino Linotype"/>
          <w:i/>
          <w:sz w:val="22"/>
        </w:rPr>
      </w:pPr>
    </w:p>
    <w:p w14:paraId="2829D3BF" w14:textId="77777777" w:rsidR="00BF349D" w:rsidRDefault="00BF349D" w:rsidP="0089168C">
      <w:pPr>
        <w:spacing w:before="100" w:beforeAutospacing="1" w:after="100" w:afterAutospacing="1"/>
        <w:ind w:left="851" w:right="899"/>
        <w:contextualSpacing/>
        <w:jc w:val="both"/>
        <w:rPr>
          <w:rFonts w:ascii="Palatino Linotype" w:hAnsi="Palatino Linotype"/>
          <w:i/>
          <w:sz w:val="22"/>
        </w:rPr>
      </w:pPr>
      <w:r w:rsidRPr="00BF349D">
        <w:rPr>
          <w:rFonts w:ascii="Palatino Linotype" w:hAnsi="Palatino Linotype"/>
          <w:b/>
          <w:i/>
          <w:sz w:val="22"/>
        </w:rPr>
        <w:t>Artículo 169</w:t>
      </w:r>
      <w:r w:rsidRPr="00BF349D">
        <w:rPr>
          <w:rFonts w:ascii="Palatino Linotype" w:hAnsi="Palatino Linotype"/>
          <w:i/>
          <w:sz w:val="22"/>
        </w:rPr>
        <w:t>. Cuando la información no se encuentre en los archivos del sujeto obligado, el Comité de Transparencia:</w:t>
      </w:r>
    </w:p>
    <w:p w14:paraId="10A29E1A" w14:textId="77777777" w:rsidR="00BF349D" w:rsidRPr="00BF349D" w:rsidRDefault="00BF349D" w:rsidP="0089168C">
      <w:pPr>
        <w:spacing w:before="100" w:beforeAutospacing="1" w:after="100" w:afterAutospacing="1"/>
        <w:ind w:left="851" w:right="899"/>
        <w:contextualSpacing/>
        <w:jc w:val="both"/>
        <w:rPr>
          <w:rFonts w:ascii="Palatino Linotype" w:hAnsi="Palatino Linotype"/>
          <w:i/>
          <w:sz w:val="22"/>
        </w:rPr>
      </w:pPr>
    </w:p>
    <w:p w14:paraId="67AD149C" w14:textId="77777777" w:rsidR="00BF349D" w:rsidRPr="00BF349D" w:rsidRDefault="00BF349D" w:rsidP="0089168C">
      <w:pPr>
        <w:spacing w:before="100" w:beforeAutospacing="1" w:after="100" w:afterAutospacing="1"/>
        <w:ind w:left="851" w:right="899"/>
        <w:contextualSpacing/>
        <w:jc w:val="both"/>
        <w:rPr>
          <w:rFonts w:ascii="Palatino Linotype" w:hAnsi="Palatino Linotype"/>
          <w:i/>
          <w:sz w:val="22"/>
        </w:rPr>
      </w:pPr>
      <w:r w:rsidRPr="00BF349D">
        <w:rPr>
          <w:rFonts w:ascii="Palatino Linotype" w:hAnsi="Palatino Linotype"/>
          <w:i/>
          <w:sz w:val="22"/>
        </w:rPr>
        <w:t>I. Analizará el caso y tomará las medidas necesarias para localizar la información;</w:t>
      </w:r>
    </w:p>
    <w:p w14:paraId="75FC96C9" w14:textId="77777777" w:rsidR="00BF349D" w:rsidRPr="00BF349D" w:rsidRDefault="00BF349D" w:rsidP="0089168C">
      <w:pPr>
        <w:spacing w:before="100" w:beforeAutospacing="1" w:after="100" w:afterAutospacing="1"/>
        <w:ind w:left="851" w:right="899"/>
        <w:contextualSpacing/>
        <w:jc w:val="both"/>
        <w:rPr>
          <w:rFonts w:ascii="Palatino Linotype" w:hAnsi="Palatino Linotype"/>
          <w:i/>
          <w:sz w:val="22"/>
        </w:rPr>
      </w:pPr>
      <w:r w:rsidRPr="00BF349D">
        <w:rPr>
          <w:rFonts w:ascii="Palatino Linotype" w:hAnsi="Palatino Linotype"/>
          <w:i/>
          <w:sz w:val="22"/>
        </w:rPr>
        <w:t>II. Expedirá una resolución que confirme la inexistencia del documento;</w:t>
      </w:r>
    </w:p>
    <w:p w14:paraId="76318F5B" w14:textId="77777777" w:rsidR="00BF349D" w:rsidRPr="00BF349D" w:rsidRDefault="00BF349D" w:rsidP="0089168C">
      <w:pPr>
        <w:spacing w:before="100" w:beforeAutospacing="1" w:after="100" w:afterAutospacing="1"/>
        <w:ind w:left="851" w:right="899"/>
        <w:contextualSpacing/>
        <w:jc w:val="both"/>
        <w:rPr>
          <w:rFonts w:ascii="Palatino Linotype" w:hAnsi="Palatino Linotype"/>
          <w:i/>
          <w:sz w:val="22"/>
        </w:rPr>
      </w:pPr>
      <w:r w:rsidRPr="00BF349D">
        <w:rPr>
          <w:rFonts w:ascii="Palatino Linotype" w:hAnsi="Palatino Linotype"/>
          <w:i/>
          <w:sz w:val="22"/>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66559D74" w14:textId="77777777" w:rsidR="00BF349D" w:rsidRDefault="00BF349D" w:rsidP="0089168C">
      <w:pPr>
        <w:spacing w:before="100" w:beforeAutospacing="1" w:after="100" w:afterAutospacing="1"/>
        <w:ind w:left="851" w:right="899"/>
        <w:contextualSpacing/>
        <w:jc w:val="both"/>
        <w:rPr>
          <w:rFonts w:ascii="Palatino Linotype" w:hAnsi="Palatino Linotype"/>
          <w:i/>
          <w:sz w:val="22"/>
        </w:rPr>
      </w:pPr>
      <w:r w:rsidRPr="00BF349D">
        <w:rPr>
          <w:rFonts w:ascii="Palatino Linotype" w:hAnsi="Palatino Linotype"/>
          <w:i/>
          <w:sz w:val="22"/>
        </w:rPr>
        <w:t>IV. Notificará al órgano interno de control o equivalente del sujeto obligado quien, en su caso, deberá iniciar el procedimiento de responsabilidad administrativa que corresponda.</w:t>
      </w:r>
    </w:p>
    <w:p w14:paraId="49980DE8" w14:textId="77777777" w:rsidR="00BF349D" w:rsidRPr="00BF349D" w:rsidRDefault="00BF349D" w:rsidP="0089168C">
      <w:pPr>
        <w:spacing w:before="100" w:beforeAutospacing="1" w:after="100" w:afterAutospacing="1"/>
        <w:ind w:left="851" w:right="899"/>
        <w:contextualSpacing/>
        <w:jc w:val="both"/>
        <w:rPr>
          <w:rFonts w:ascii="Palatino Linotype" w:hAnsi="Palatino Linotype"/>
          <w:i/>
          <w:sz w:val="22"/>
        </w:rPr>
      </w:pPr>
    </w:p>
    <w:p w14:paraId="7D864DAB" w14:textId="77777777" w:rsidR="00BF349D" w:rsidRDefault="00BF349D" w:rsidP="0089168C">
      <w:pPr>
        <w:spacing w:before="100" w:beforeAutospacing="1" w:after="100" w:afterAutospacing="1"/>
        <w:ind w:left="851" w:right="899"/>
        <w:contextualSpacing/>
        <w:jc w:val="both"/>
        <w:rPr>
          <w:rFonts w:ascii="Palatino Linotype" w:hAnsi="Palatino Linotype"/>
          <w:i/>
          <w:sz w:val="22"/>
        </w:rPr>
      </w:pPr>
      <w:r w:rsidRPr="00BF349D">
        <w:rPr>
          <w:rFonts w:ascii="Palatino Linotype" w:hAnsi="Palatino Linotype"/>
          <w:i/>
          <w:sz w:val="22"/>
        </w:rPr>
        <w:t>La Unidad de Transparencia deberá notificarlo al solicitante por escrito, en un plazo que no exceda de quince días hábiles contados a partir del día siguiente a la presentación de la solicitud.</w:t>
      </w:r>
    </w:p>
    <w:p w14:paraId="695A5B8A" w14:textId="77777777" w:rsidR="00BF349D" w:rsidRPr="00BF349D" w:rsidRDefault="00BF349D" w:rsidP="0089168C">
      <w:pPr>
        <w:spacing w:before="100" w:beforeAutospacing="1" w:after="100" w:afterAutospacing="1"/>
        <w:ind w:left="851" w:right="899"/>
        <w:contextualSpacing/>
        <w:jc w:val="both"/>
        <w:rPr>
          <w:rFonts w:ascii="Palatino Linotype" w:hAnsi="Palatino Linotype"/>
          <w:i/>
          <w:sz w:val="22"/>
        </w:rPr>
      </w:pPr>
    </w:p>
    <w:p w14:paraId="245E93DB" w14:textId="77777777" w:rsidR="00BF349D" w:rsidRPr="00BF349D" w:rsidRDefault="00BF349D" w:rsidP="0089168C">
      <w:pPr>
        <w:spacing w:before="100" w:beforeAutospacing="1" w:after="100" w:afterAutospacing="1"/>
        <w:ind w:left="851" w:right="899"/>
        <w:contextualSpacing/>
        <w:jc w:val="both"/>
        <w:rPr>
          <w:rFonts w:ascii="Palatino Linotype" w:hAnsi="Palatino Linotype"/>
          <w:i/>
          <w:sz w:val="22"/>
        </w:rPr>
      </w:pPr>
      <w:r w:rsidRPr="00BF349D">
        <w:rPr>
          <w:rFonts w:ascii="Palatino Linotype" w:hAnsi="Palatino Linotype"/>
          <w:i/>
          <w:sz w:val="22"/>
        </w:rPr>
        <w:t>Este plazo podrá ampliarse hasta por otros siete días hábiles, siempre que existan razones para ello, debiendo notificarse por escrito al solicitante.</w:t>
      </w:r>
    </w:p>
    <w:p w14:paraId="5B5B006A" w14:textId="77777777" w:rsidR="00BF349D" w:rsidRPr="00BF349D" w:rsidRDefault="00BF349D" w:rsidP="0089168C">
      <w:pPr>
        <w:spacing w:before="100" w:beforeAutospacing="1" w:after="100" w:afterAutospacing="1"/>
        <w:ind w:left="851" w:right="899"/>
        <w:contextualSpacing/>
        <w:jc w:val="both"/>
        <w:rPr>
          <w:rFonts w:ascii="Palatino Linotype" w:hAnsi="Palatino Linotype"/>
          <w:sz w:val="22"/>
        </w:rPr>
      </w:pPr>
      <w:r w:rsidRPr="00BF349D">
        <w:rPr>
          <w:rFonts w:ascii="Palatino Linotype" w:hAnsi="Palatino Linotype"/>
          <w:b/>
          <w:i/>
          <w:sz w:val="22"/>
        </w:rPr>
        <w:t>Artículo 170</w:t>
      </w:r>
      <w:r w:rsidRPr="00BF349D">
        <w:rPr>
          <w:rFonts w:ascii="Palatino Linotype" w:hAnsi="Palatino Linotype"/>
          <w:i/>
          <w:sz w:val="22"/>
        </w:rPr>
        <w:t>.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14:paraId="4D2BC3C4" w14:textId="77777777" w:rsidR="00BF349D" w:rsidRPr="00BF349D" w:rsidRDefault="00BF349D" w:rsidP="0089168C">
      <w:pPr>
        <w:spacing w:before="100" w:beforeAutospacing="1" w:after="100" w:afterAutospacing="1"/>
        <w:ind w:left="851" w:right="899"/>
        <w:contextualSpacing/>
        <w:jc w:val="both"/>
        <w:rPr>
          <w:rFonts w:ascii="Palatino Linotype" w:hAnsi="Palatino Linotype"/>
          <w:sz w:val="22"/>
        </w:rPr>
      </w:pPr>
      <w:r w:rsidRPr="00BF349D">
        <w:rPr>
          <w:rFonts w:ascii="Palatino Linotype" w:hAnsi="Palatino Linotype"/>
          <w:sz w:val="22"/>
        </w:rPr>
        <w:t> </w:t>
      </w:r>
    </w:p>
    <w:p w14:paraId="23020734" w14:textId="753802BA" w:rsidR="00BF349D" w:rsidRPr="00BF349D" w:rsidRDefault="00BF349D" w:rsidP="0089168C">
      <w:pPr>
        <w:spacing w:before="100" w:beforeAutospacing="1" w:after="100" w:afterAutospacing="1" w:line="360" w:lineRule="auto"/>
        <w:contextualSpacing/>
        <w:jc w:val="both"/>
        <w:rPr>
          <w:rFonts w:ascii="Palatino Linotype" w:hAnsi="Palatino Linotype"/>
        </w:rPr>
      </w:pPr>
      <w:r w:rsidRPr="00BF349D">
        <w:rPr>
          <w:rFonts w:ascii="Palatino Linotype" w:hAnsi="Palatino Linotype"/>
        </w:rPr>
        <w:t>En tal caso, la declaratoria debe realizarse conforme a lo dispuesto en el artículo 49 fracciones II y XIII de la Ley de Transparencia y Acceso a la Información Pública del Estado de México y Municipios, que establecen la forma en que los Sujetos Obligados deben dar curso a las Declaratorias de Inexistencia; preceptos que se transcriben a continuación:</w:t>
      </w:r>
    </w:p>
    <w:p w14:paraId="467629ED" w14:textId="77777777" w:rsidR="00DD566A" w:rsidRDefault="00DD566A" w:rsidP="0089168C">
      <w:pPr>
        <w:spacing w:before="100" w:beforeAutospacing="1" w:after="100" w:afterAutospacing="1"/>
        <w:ind w:left="851" w:right="899"/>
        <w:contextualSpacing/>
        <w:jc w:val="both"/>
        <w:rPr>
          <w:rFonts w:ascii="Palatino Linotype" w:hAnsi="Palatino Linotype"/>
          <w:i/>
          <w:sz w:val="22"/>
        </w:rPr>
      </w:pPr>
    </w:p>
    <w:p w14:paraId="1FDB16EE" w14:textId="77777777" w:rsidR="00BF349D" w:rsidRPr="00BF349D" w:rsidRDefault="00BF349D" w:rsidP="0089168C">
      <w:pPr>
        <w:spacing w:before="100" w:beforeAutospacing="1" w:after="100" w:afterAutospacing="1"/>
        <w:ind w:left="851" w:right="899"/>
        <w:contextualSpacing/>
        <w:jc w:val="both"/>
        <w:rPr>
          <w:rFonts w:ascii="Palatino Linotype" w:hAnsi="Palatino Linotype"/>
          <w:i/>
          <w:sz w:val="22"/>
        </w:rPr>
      </w:pPr>
      <w:r w:rsidRPr="00BF349D">
        <w:rPr>
          <w:rFonts w:ascii="Palatino Linotype" w:hAnsi="Palatino Linotype"/>
          <w:i/>
          <w:sz w:val="22"/>
        </w:rPr>
        <w:t>“</w:t>
      </w:r>
      <w:r w:rsidRPr="00BF349D">
        <w:rPr>
          <w:rFonts w:ascii="Palatino Linotype" w:hAnsi="Palatino Linotype"/>
          <w:b/>
          <w:i/>
          <w:sz w:val="22"/>
        </w:rPr>
        <w:t>Artículo 49</w:t>
      </w:r>
      <w:r w:rsidRPr="00BF349D">
        <w:rPr>
          <w:rFonts w:ascii="Palatino Linotype" w:hAnsi="Palatino Linotype"/>
          <w:i/>
          <w:sz w:val="22"/>
        </w:rPr>
        <w:t>. Los Comités de Transparencia tendrán las siguientes atribuciones:</w:t>
      </w:r>
    </w:p>
    <w:p w14:paraId="330B756A" w14:textId="77777777" w:rsidR="00BF349D" w:rsidRPr="00BF349D" w:rsidRDefault="00BF349D" w:rsidP="0089168C">
      <w:pPr>
        <w:spacing w:before="100" w:beforeAutospacing="1" w:after="100" w:afterAutospacing="1"/>
        <w:ind w:left="851" w:right="899"/>
        <w:contextualSpacing/>
        <w:jc w:val="both"/>
        <w:rPr>
          <w:rFonts w:ascii="Palatino Linotype" w:hAnsi="Palatino Linotype"/>
          <w:i/>
          <w:sz w:val="22"/>
        </w:rPr>
      </w:pPr>
      <w:r w:rsidRPr="00BF349D">
        <w:rPr>
          <w:rFonts w:ascii="Palatino Linotype" w:hAnsi="Palatino Linotype"/>
          <w:i/>
          <w:sz w:val="22"/>
        </w:rPr>
        <w:t>…</w:t>
      </w:r>
    </w:p>
    <w:p w14:paraId="59A42BE3" w14:textId="77777777" w:rsidR="00BF349D" w:rsidRPr="00BF349D" w:rsidRDefault="00BF349D" w:rsidP="0089168C">
      <w:pPr>
        <w:spacing w:before="100" w:beforeAutospacing="1" w:after="100" w:afterAutospacing="1"/>
        <w:ind w:left="851" w:right="899"/>
        <w:contextualSpacing/>
        <w:jc w:val="both"/>
        <w:rPr>
          <w:rFonts w:ascii="Palatino Linotype" w:hAnsi="Palatino Linotype"/>
          <w:i/>
          <w:sz w:val="22"/>
        </w:rPr>
      </w:pPr>
      <w:r w:rsidRPr="00BF349D">
        <w:rPr>
          <w:rFonts w:ascii="Palatino Linotype" w:hAnsi="Palatino Linotype"/>
          <w:i/>
          <w:sz w:val="22"/>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0A348F24" w14:textId="77777777" w:rsidR="00BF349D" w:rsidRPr="00BF349D" w:rsidRDefault="00BF349D" w:rsidP="0089168C">
      <w:pPr>
        <w:spacing w:before="100" w:beforeAutospacing="1" w:after="100" w:afterAutospacing="1"/>
        <w:ind w:left="851" w:right="899"/>
        <w:contextualSpacing/>
        <w:jc w:val="both"/>
        <w:rPr>
          <w:rFonts w:ascii="Palatino Linotype" w:hAnsi="Palatino Linotype"/>
          <w:i/>
          <w:sz w:val="22"/>
        </w:rPr>
      </w:pPr>
      <w:r w:rsidRPr="00BF349D">
        <w:rPr>
          <w:rFonts w:ascii="Palatino Linotype" w:hAnsi="Palatino Linotype"/>
          <w:i/>
          <w:sz w:val="22"/>
        </w:rPr>
        <w:t>…</w:t>
      </w:r>
    </w:p>
    <w:p w14:paraId="1D640C3B" w14:textId="77777777" w:rsidR="00BF349D" w:rsidRPr="00BF349D" w:rsidRDefault="00BF349D" w:rsidP="0089168C">
      <w:pPr>
        <w:spacing w:before="100" w:beforeAutospacing="1" w:after="100" w:afterAutospacing="1"/>
        <w:ind w:left="851" w:right="899"/>
        <w:contextualSpacing/>
        <w:jc w:val="both"/>
        <w:rPr>
          <w:rFonts w:ascii="Palatino Linotype" w:hAnsi="Palatino Linotype"/>
          <w:i/>
          <w:sz w:val="22"/>
        </w:rPr>
      </w:pPr>
      <w:r w:rsidRPr="00BF349D">
        <w:rPr>
          <w:rFonts w:ascii="Palatino Linotype" w:hAnsi="Palatino Linotype"/>
          <w:i/>
          <w:sz w:val="22"/>
        </w:rPr>
        <w:t>XIII. Dictaminar las declaratorias de inexistencia de la información que les remitan las unidades administrativas y resolver en consecuencia;</w:t>
      </w:r>
    </w:p>
    <w:p w14:paraId="2235F719" w14:textId="77777777" w:rsidR="00BF349D" w:rsidRPr="00BF349D" w:rsidRDefault="00BF349D" w:rsidP="0089168C">
      <w:pPr>
        <w:spacing w:before="100" w:beforeAutospacing="1" w:after="100" w:afterAutospacing="1"/>
        <w:ind w:left="851" w:right="899"/>
        <w:contextualSpacing/>
        <w:jc w:val="both"/>
      </w:pPr>
      <w:r w:rsidRPr="00BF349D">
        <w:rPr>
          <w:rFonts w:ascii="Palatino Linotype" w:hAnsi="Palatino Linotype"/>
          <w:i/>
          <w:sz w:val="22"/>
        </w:rPr>
        <w:t>…</w:t>
      </w:r>
      <w:r w:rsidRPr="00BF349D">
        <w:t>”</w:t>
      </w:r>
    </w:p>
    <w:p w14:paraId="7B3B2822" w14:textId="77777777" w:rsidR="008556EE" w:rsidRDefault="008556EE" w:rsidP="0089168C">
      <w:pPr>
        <w:spacing w:before="100" w:beforeAutospacing="1" w:after="100" w:afterAutospacing="1" w:line="360" w:lineRule="auto"/>
        <w:contextualSpacing/>
        <w:jc w:val="both"/>
        <w:rPr>
          <w:rFonts w:ascii="Palatino Linotype" w:hAnsi="Palatino Linotype" w:cs="Arial"/>
        </w:rPr>
      </w:pPr>
    </w:p>
    <w:p w14:paraId="421B490C" w14:textId="0AF4FAB2" w:rsidR="00621556" w:rsidRDefault="008556EE" w:rsidP="0089168C">
      <w:pPr>
        <w:spacing w:before="100" w:beforeAutospacing="1" w:after="100" w:afterAutospacing="1" w:line="360" w:lineRule="auto"/>
        <w:contextualSpacing/>
        <w:jc w:val="both"/>
        <w:rPr>
          <w:rFonts w:ascii="Palatino Linotype" w:hAnsi="Palatino Linotype" w:cs="Arial"/>
        </w:rPr>
      </w:pPr>
      <w:r>
        <w:rPr>
          <w:rFonts w:ascii="Palatino Linotype" w:hAnsi="Palatino Linotype" w:cs="Arial"/>
        </w:rPr>
        <w:t xml:space="preserve">Aunado a lo anterior, de la remisión del Informe Justificado se aprecia que el Servidor Público Habilitado remitió la información de </w:t>
      </w:r>
      <w:r w:rsidR="00915357">
        <w:rPr>
          <w:rFonts w:ascii="Palatino Linotype" w:hAnsi="Palatino Linotype" w:cs="Arial"/>
        </w:rPr>
        <w:t>todas las áreas</w:t>
      </w:r>
      <w:r>
        <w:rPr>
          <w:rFonts w:ascii="Palatino Linotype" w:hAnsi="Palatino Linotype" w:cs="Arial"/>
        </w:rPr>
        <w:t xml:space="preserve"> que pudieran contar con la información por lo que contraviene el siguiente precepto:</w:t>
      </w:r>
    </w:p>
    <w:p w14:paraId="1BD8FC0B" w14:textId="77777777" w:rsidR="008556EE" w:rsidRDefault="008556EE" w:rsidP="0089168C">
      <w:pPr>
        <w:spacing w:before="100" w:beforeAutospacing="1" w:after="100" w:afterAutospacing="1" w:line="360" w:lineRule="auto"/>
        <w:contextualSpacing/>
        <w:jc w:val="both"/>
        <w:rPr>
          <w:rFonts w:ascii="Palatino Linotype" w:hAnsi="Palatino Linotype" w:cs="Arial"/>
        </w:rPr>
      </w:pPr>
    </w:p>
    <w:p w14:paraId="23B027BC" w14:textId="77777777" w:rsidR="008556EE" w:rsidRDefault="008556EE" w:rsidP="008556EE">
      <w:pPr>
        <w:ind w:left="709" w:right="850"/>
        <w:jc w:val="both"/>
        <w:rPr>
          <w:rFonts w:ascii="Palatino Linotype" w:hAnsi="Palatino Linotype"/>
          <w:i/>
          <w:sz w:val="22"/>
        </w:rPr>
      </w:pPr>
      <w:r w:rsidRPr="003E7669">
        <w:rPr>
          <w:rFonts w:ascii="Palatino Linotype" w:hAnsi="Palatino Linotype"/>
          <w:b/>
          <w:i/>
          <w:sz w:val="22"/>
        </w:rPr>
        <w:lastRenderedPageBreak/>
        <w:t>Artículo 162.</w:t>
      </w:r>
      <w:r w:rsidRPr="003E7669">
        <w:rPr>
          <w:rFonts w:ascii="Palatino Linotype" w:hAnsi="Palatino Linotype"/>
          <w:i/>
          <w:sz w:val="22"/>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7342459E" w14:textId="77777777" w:rsidR="00915357" w:rsidRDefault="00915357" w:rsidP="0089168C">
      <w:pPr>
        <w:spacing w:before="100" w:beforeAutospacing="1" w:after="100" w:afterAutospacing="1" w:line="360" w:lineRule="auto"/>
        <w:contextualSpacing/>
        <w:jc w:val="both"/>
        <w:rPr>
          <w:rFonts w:ascii="Palatino Linotype" w:hAnsi="Palatino Linotype" w:cs="Arial"/>
        </w:rPr>
      </w:pPr>
    </w:p>
    <w:p w14:paraId="28C1D0AF" w14:textId="0184DADC" w:rsidR="00271D08" w:rsidRPr="00864D82" w:rsidRDefault="000C08A6" w:rsidP="0089168C">
      <w:pPr>
        <w:spacing w:before="100" w:beforeAutospacing="1" w:after="100" w:afterAutospacing="1" w:line="360" w:lineRule="auto"/>
        <w:contextualSpacing/>
        <w:jc w:val="both"/>
        <w:rPr>
          <w:rFonts w:ascii="Palatino Linotype" w:hAnsi="Palatino Linotype" w:cs="Arial"/>
        </w:rPr>
      </w:pPr>
      <w:r>
        <w:rPr>
          <w:rFonts w:ascii="Palatino Linotype" w:hAnsi="Palatino Linotype" w:cs="Arial"/>
        </w:rPr>
        <w:t>En conclusión</w:t>
      </w:r>
      <w:r w:rsidR="00414C32" w:rsidRPr="00864D82">
        <w:rPr>
          <w:rFonts w:ascii="Palatino Linotype" w:hAnsi="Palatino Linotype" w:cs="Arial"/>
        </w:rPr>
        <w:t xml:space="preserve">, </w:t>
      </w:r>
      <w:r w:rsidR="00B05E89" w:rsidRPr="00864D82">
        <w:rPr>
          <w:rFonts w:ascii="Palatino Linotype" w:hAnsi="Palatino Linotype" w:cs="Arial"/>
        </w:rPr>
        <w:t xml:space="preserve">la que suscribe emite </w:t>
      </w:r>
      <w:r w:rsidR="00B05E89" w:rsidRPr="00864D82">
        <w:rPr>
          <w:rFonts w:ascii="Palatino Linotype" w:hAnsi="Palatino Linotype" w:cs="Arial"/>
          <w:b/>
        </w:rPr>
        <w:t>VOTO PARTICULAR</w:t>
      </w:r>
      <w:r w:rsidR="00B05E89" w:rsidRPr="00864D82">
        <w:rPr>
          <w:rFonts w:ascii="Palatino Linotype" w:hAnsi="Palatino Linotype" w:cs="Arial"/>
        </w:rPr>
        <w:t xml:space="preserve">, pues se insiste </w:t>
      </w:r>
      <w:r w:rsidR="00081A00">
        <w:rPr>
          <w:rFonts w:ascii="Palatino Linotype" w:hAnsi="Palatino Linotype" w:cs="Arial"/>
        </w:rPr>
        <w:t xml:space="preserve">al existir un pronunciamiento de las áreas </w:t>
      </w:r>
      <w:r w:rsidR="00081A00" w:rsidRPr="00081A00">
        <w:rPr>
          <w:rFonts w:ascii="Palatino Linotype" w:hAnsi="Palatino Linotype" w:cs="Arial"/>
        </w:rPr>
        <w:t>del</w:t>
      </w:r>
      <w:r w:rsidR="00081A00" w:rsidRPr="00864D82">
        <w:rPr>
          <w:rFonts w:ascii="Palatino Linotype" w:hAnsi="Palatino Linotype" w:cs="Arial"/>
          <w:b/>
        </w:rPr>
        <w:t xml:space="preserve"> SUJETO OBLIGADO</w:t>
      </w:r>
      <w:r w:rsidR="00081A00">
        <w:rPr>
          <w:rFonts w:ascii="Palatino Linotype" w:hAnsi="Palatino Linotype" w:cs="Arial"/>
        </w:rPr>
        <w:t xml:space="preserve"> que pudiesen contar con la información y al no encontrar acreditando una búsqueda exhaustiva y razonable</w:t>
      </w:r>
      <w:r w:rsidR="00271D08" w:rsidRPr="00864D82">
        <w:rPr>
          <w:rFonts w:ascii="Palatino Linotype" w:hAnsi="Palatino Linotype" w:cs="Arial"/>
        </w:rPr>
        <w:t xml:space="preserve">, </w:t>
      </w:r>
      <w:r w:rsidR="00081A00">
        <w:rPr>
          <w:rFonts w:ascii="Palatino Linotype" w:hAnsi="Palatino Linotype" w:cs="Arial"/>
        </w:rPr>
        <w:t>se debió</w:t>
      </w:r>
      <w:r w:rsidR="00271D08" w:rsidRPr="00864D82">
        <w:rPr>
          <w:rFonts w:ascii="Palatino Linotype" w:hAnsi="Palatino Linotype" w:cs="Arial"/>
        </w:rPr>
        <w:t xml:space="preserve"> emitir el Acuerdo de Inexistencia y hacerlo del conocimiento del </w:t>
      </w:r>
      <w:r w:rsidR="00271D08" w:rsidRPr="00864D82">
        <w:rPr>
          <w:rFonts w:ascii="Palatino Linotype" w:hAnsi="Palatino Linotype" w:cs="Arial"/>
          <w:b/>
        </w:rPr>
        <w:t>RECURRENTE</w:t>
      </w:r>
      <w:r w:rsidR="00D41397">
        <w:rPr>
          <w:rFonts w:ascii="Palatino Linotype" w:hAnsi="Palatino Linotype" w:cs="Arial"/>
          <w:b/>
        </w:rPr>
        <w:t>.</w:t>
      </w:r>
    </w:p>
    <w:tbl>
      <w:tblPr>
        <w:tblW w:w="4393" w:type="dxa"/>
        <w:jc w:val="center"/>
        <w:tblLayout w:type="fixed"/>
        <w:tblLook w:val="04A0" w:firstRow="1" w:lastRow="0" w:firstColumn="1" w:lastColumn="0" w:noHBand="0" w:noVBand="1"/>
      </w:tblPr>
      <w:tblGrid>
        <w:gridCol w:w="4393"/>
      </w:tblGrid>
      <w:tr w:rsidR="004C0749" w:rsidRPr="00864D82" w14:paraId="3FEB39FF" w14:textId="77777777" w:rsidTr="004C0749">
        <w:trPr>
          <w:jc w:val="center"/>
        </w:trPr>
        <w:tc>
          <w:tcPr>
            <w:tcW w:w="4393" w:type="dxa"/>
          </w:tcPr>
          <w:p w14:paraId="6D424C9A" w14:textId="77777777" w:rsidR="00554E19" w:rsidRDefault="00554E19" w:rsidP="0089168C">
            <w:pPr>
              <w:spacing w:before="100" w:beforeAutospacing="1" w:after="100" w:afterAutospacing="1"/>
              <w:contextualSpacing/>
              <w:jc w:val="center"/>
              <w:rPr>
                <w:rFonts w:ascii="Palatino Linotype" w:hAnsi="Palatino Linotype"/>
                <w:b/>
              </w:rPr>
            </w:pPr>
          </w:p>
          <w:p w14:paraId="58A4A6FD" w14:textId="77777777" w:rsidR="008556EE" w:rsidRDefault="008556EE" w:rsidP="0089168C">
            <w:pPr>
              <w:spacing w:before="100" w:beforeAutospacing="1" w:after="100" w:afterAutospacing="1"/>
              <w:contextualSpacing/>
              <w:jc w:val="center"/>
              <w:rPr>
                <w:rFonts w:ascii="Palatino Linotype" w:hAnsi="Palatino Linotype"/>
                <w:b/>
              </w:rPr>
            </w:pPr>
          </w:p>
          <w:p w14:paraId="3FA722AF" w14:textId="77777777" w:rsidR="008556EE" w:rsidRDefault="008556EE" w:rsidP="0089168C">
            <w:pPr>
              <w:spacing w:before="100" w:beforeAutospacing="1" w:after="100" w:afterAutospacing="1"/>
              <w:contextualSpacing/>
              <w:jc w:val="center"/>
              <w:rPr>
                <w:rFonts w:ascii="Palatino Linotype" w:hAnsi="Palatino Linotype"/>
                <w:b/>
              </w:rPr>
            </w:pPr>
          </w:p>
          <w:p w14:paraId="09EA6733" w14:textId="77777777" w:rsidR="008556EE" w:rsidRDefault="008556EE" w:rsidP="0089168C">
            <w:pPr>
              <w:spacing w:before="100" w:beforeAutospacing="1" w:after="100" w:afterAutospacing="1"/>
              <w:contextualSpacing/>
              <w:jc w:val="center"/>
              <w:rPr>
                <w:rFonts w:ascii="Palatino Linotype" w:hAnsi="Palatino Linotype"/>
                <w:b/>
              </w:rPr>
            </w:pPr>
          </w:p>
          <w:p w14:paraId="0085B7EB" w14:textId="77777777" w:rsidR="008556EE" w:rsidRDefault="008556EE" w:rsidP="0089168C">
            <w:pPr>
              <w:spacing w:before="100" w:beforeAutospacing="1" w:after="100" w:afterAutospacing="1"/>
              <w:contextualSpacing/>
              <w:jc w:val="center"/>
              <w:rPr>
                <w:rFonts w:ascii="Palatino Linotype" w:hAnsi="Palatino Linotype"/>
                <w:b/>
              </w:rPr>
            </w:pPr>
          </w:p>
          <w:p w14:paraId="5BFE730B" w14:textId="77777777" w:rsidR="00915357" w:rsidRDefault="00915357" w:rsidP="0089168C">
            <w:pPr>
              <w:spacing w:before="100" w:beforeAutospacing="1" w:after="100" w:afterAutospacing="1"/>
              <w:contextualSpacing/>
              <w:jc w:val="center"/>
              <w:rPr>
                <w:rFonts w:ascii="Palatino Linotype" w:hAnsi="Palatino Linotype"/>
                <w:b/>
              </w:rPr>
            </w:pPr>
          </w:p>
          <w:p w14:paraId="4B905D3D" w14:textId="77777777" w:rsidR="00915357" w:rsidRDefault="00915357" w:rsidP="0089168C">
            <w:pPr>
              <w:spacing w:before="100" w:beforeAutospacing="1" w:after="100" w:afterAutospacing="1"/>
              <w:contextualSpacing/>
              <w:jc w:val="center"/>
              <w:rPr>
                <w:rFonts w:ascii="Palatino Linotype" w:hAnsi="Palatino Linotype"/>
                <w:b/>
              </w:rPr>
            </w:pPr>
          </w:p>
          <w:p w14:paraId="7C55CABE" w14:textId="77777777" w:rsidR="00915357" w:rsidRDefault="00915357" w:rsidP="0089168C">
            <w:pPr>
              <w:spacing w:before="100" w:beforeAutospacing="1" w:after="100" w:afterAutospacing="1"/>
              <w:contextualSpacing/>
              <w:jc w:val="center"/>
              <w:rPr>
                <w:rFonts w:ascii="Palatino Linotype" w:hAnsi="Palatino Linotype"/>
                <w:b/>
              </w:rPr>
            </w:pPr>
          </w:p>
          <w:p w14:paraId="024FD636" w14:textId="77777777" w:rsidR="00915357" w:rsidRDefault="00915357" w:rsidP="0089168C">
            <w:pPr>
              <w:spacing w:before="100" w:beforeAutospacing="1" w:after="100" w:afterAutospacing="1"/>
              <w:contextualSpacing/>
              <w:jc w:val="center"/>
              <w:rPr>
                <w:rFonts w:ascii="Palatino Linotype" w:hAnsi="Palatino Linotype"/>
                <w:b/>
              </w:rPr>
            </w:pPr>
          </w:p>
          <w:p w14:paraId="4BD97A68" w14:textId="77777777" w:rsidR="00915357" w:rsidRDefault="00915357" w:rsidP="0089168C">
            <w:pPr>
              <w:spacing w:before="100" w:beforeAutospacing="1" w:after="100" w:afterAutospacing="1"/>
              <w:contextualSpacing/>
              <w:jc w:val="center"/>
              <w:rPr>
                <w:rFonts w:ascii="Palatino Linotype" w:hAnsi="Palatino Linotype"/>
                <w:b/>
              </w:rPr>
            </w:pPr>
          </w:p>
          <w:p w14:paraId="710F7FA3" w14:textId="77777777" w:rsidR="004C0749" w:rsidRPr="00864D82" w:rsidRDefault="004C0749" w:rsidP="0089168C">
            <w:pPr>
              <w:spacing w:before="100" w:beforeAutospacing="1" w:after="100" w:afterAutospacing="1"/>
              <w:contextualSpacing/>
              <w:jc w:val="center"/>
              <w:rPr>
                <w:rFonts w:ascii="Palatino Linotype" w:hAnsi="Palatino Linotype"/>
                <w:b/>
              </w:rPr>
            </w:pPr>
            <w:r w:rsidRPr="00864D82">
              <w:rPr>
                <w:rFonts w:ascii="Palatino Linotype" w:hAnsi="Palatino Linotype"/>
                <w:b/>
              </w:rPr>
              <w:t xml:space="preserve">EVA ABAID YAPUR </w:t>
            </w:r>
          </w:p>
          <w:p w14:paraId="2A3FE628" w14:textId="77777777" w:rsidR="00246C33" w:rsidRDefault="004C0749" w:rsidP="0089168C">
            <w:pPr>
              <w:spacing w:before="100" w:beforeAutospacing="1" w:after="100" w:afterAutospacing="1"/>
              <w:contextualSpacing/>
              <w:jc w:val="center"/>
              <w:rPr>
                <w:rFonts w:ascii="Palatino Linotype" w:hAnsi="Palatino Linotype"/>
                <w:b/>
              </w:rPr>
            </w:pPr>
            <w:r w:rsidRPr="00864D82">
              <w:rPr>
                <w:rFonts w:ascii="Palatino Linotype" w:hAnsi="Palatino Linotype"/>
                <w:b/>
              </w:rPr>
              <w:t>COMISIONADA</w:t>
            </w:r>
          </w:p>
          <w:p w14:paraId="46BF9CB2" w14:textId="0706CFBC" w:rsidR="00337E9B" w:rsidRPr="00864D82" w:rsidRDefault="00337E9B" w:rsidP="0089168C">
            <w:pPr>
              <w:spacing w:before="100" w:beforeAutospacing="1" w:after="100" w:afterAutospacing="1"/>
              <w:contextualSpacing/>
              <w:jc w:val="center"/>
              <w:rPr>
                <w:rFonts w:ascii="Palatino Linotype" w:hAnsi="Palatino Linotype"/>
                <w:b/>
              </w:rPr>
            </w:pPr>
            <w:bookmarkStart w:id="4" w:name="_GoBack"/>
            <w:r>
              <w:rPr>
                <w:rFonts w:ascii="Palatino Linotype" w:hAnsi="Palatino Linotype"/>
                <w:b/>
              </w:rPr>
              <w:t>(RÚBRICA)</w:t>
            </w:r>
            <w:bookmarkEnd w:id="4"/>
          </w:p>
        </w:tc>
      </w:tr>
    </w:tbl>
    <w:p w14:paraId="3220B0D0" w14:textId="77777777" w:rsidR="00354640" w:rsidRDefault="00354640" w:rsidP="0089168C">
      <w:pPr>
        <w:spacing w:before="100" w:beforeAutospacing="1" w:after="100" w:afterAutospacing="1"/>
        <w:contextualSpacing/>
        <w:jc w:val="both"/>
        <w:rPr>
          <w:rFonts w:ascii="Palatino Linotype" w:eastAsia="Calibri" w:hAnsi="Palatino Linotype" w:cs="Arial"/>
          <w:color w:val="000000" w:themeColor="text1"/>
          <w:sz w:val="10"/>
        </w:rPr>
      </w:pPr>
    </w:p>
    <w:p w14:paraId="586ACE1C" w14:textId="77777777" w:rsidR="00081A00" w:rsidRDefault="00081A00" w:rsidP="0089168C">
      <w:pPr>
        <w:spacing w:before="100" w:beforeAutospacing="1" w:after="100" w:afterAutospacing="1"/>
        <w:contextualSpacing/>
        <w:jc w:val="both"/>
        <w:rPr>
          <w:rFonts w:ascii="Palatino Linotype" w:eastAsia="Calibri" w:hAnsi="Palatino Linotype" w:cs="Arial"/>
          <w:color w:val="000000" w:themeColor="text1"/>
          <w:sz w:val="10"/>
        </w:rPr>
      </w:pPr>
    </w:p>
    <w:p w14:paraId="1471E7DC" w14:textId="77777777" w:rsidR="00081A00" w:rsidRDefault="00081A00" w:rsidP="0089168C">
      <w:pPr>
        <w:spacing w:before="100" w:beforeAutospacing="1" w:after="100" w:afterAutospacing="1"/>
        <w:contextualSpacing/>
        <w:jc w:val="both"/>
        <w:rPr>
          <w:rFonts w:ascii="Palatino Linotype" w:eastAsia="Calibri" w:hAnsi="Palatino Linotype" w:cs="Arial"/>
          <w:color w:val="000000" w:themeColor="text1"/>
          <w:sz w:val="10"/>
        </w:rPr>
      </w:pPr>
    </w:p>
    <w:p w14:paraId="70D894AC" w14:textId="77777777" w:rsidR="00081A00" w:rsidRDefault="00081A00" w:rsidP="0089168C">
      <w:pPr>
        <w:spacing w:before="100" w:beforeAutospacing="1" w:after="100" w:afterAutospacing="1"/>
        <w:contextualSpacing/>
        <w:jc w:val="both"/>
        <w:rPr>
          <w:rFonts w:ascii="Palatino Linotype" w:eastAsia="Calibri" w:hAnsi="Palatino Linotype" w:cs="Arial"/>
          <w:color w:val="000000" w:themeColor="text1"/>
          <w:sz w:val="10"/>
        </w:rPr>
      </w:pPr>
    </w:p>
    <w:p w14:paraId="722955BD" w14:textId="77777777" w:rsidR="00C035BD" w:rsidRDefault="00C035BD" w:rsidP="0089168C">
      <w:pPr>
        <w:spacing w:before="100" w:beforeAutospacing="1" w:after="100" w:afterAutospacing="1"/>
        <w:contextualSpacing/>
        <w:jc w:val="both"/>
        <w:rPr>
          <w:rFonts w:ascii="Palatino Linotype" w:eastAsia="Calibri" w:hAnsi="Palatino Linotype" w:cs="Arial"/>
          <w:color w:val="000000" w:themeColor="text1"/>
          <w:sz w:val="10"/>
        </w:rPr>
      </w:pPr>
    </w:p>
    <w:p w14:paraId="2AD78AC4" w14:textId="77777777" w:rsidR="00915357" w:rsidRDefault="00915357" w:rsidP="0089168C">
      <w:pPr>
        <w:spacing w:before="100" w:beforeAutospacing="1" w:after="100" w:afterAutospacing="1"/>
        <w:contextualSpacing/>
        <w:jc w:val="both"/>
        <w:rPr>
          <w:rFonts w:ascii="Palatino Linotype" w:eastAsia="Calibri" w:hAnsi="Palatino Linotype" w:cs="Arial"/>
          <w:color w:val="000000" w:themeColor="text1"/>
          <w:sz w:val="20"/>
        </w:rPr>
      </w:pPr>
    </w:p>
    <w:p w14:paraId="29F349CF" w14:textId="77777777" w:rsidR="00915357" w:rsidRDefault="00915357" w:rsidP="0089168C">
      <w:pPr>
        <w:spacing w:before="100" w:beforeAutospacing="1" w:after="100" w:afterAutospacing="1"/>
        <w:contextualSpacing/>
        <w:jc w:val="both"/>
        <w:rPr>
          <w:rFonts w:ascii="Palatino Linotype" w:eastAsia="Calibri" w:hAnsi="Palatino Linotype" w:cs="Arial"/>
          <w:color w:val="000000" w:themeColor="text1"/>
          <w:sz w:val="20"/>
        </w:rPr>
      </w:pPr>
    </w:p>
    <w:p w14:paraId="75636469" w14:textId="77777777" w:rsidR="00915357" w:rsidRDefault="00915357" w:rsidP="0089168C">
      <w:pPr>
        <w:spacing w:before="100" w:beforeAutospacing="1" w:after="100" w:afterAutospacing="1"/>
        <w:contextualSpacing/>
        <w:jc w:val="both"/>
        <w:rPr>
          <w:rFonts w:ascii="Palatino Linotype" w:eastAsia="Calibri" w:hAnsi="Palatino Linotype" w:cs="Arial"/>
          <w:color w:val="000000" w:themeColor="text1"/>
          <w:sz w:val="20"/>
        </w:rPr>
      </w:pPr>
    </w:p>
    <w:p w14:paraId="011004AA" w14:textId="77777777" w:rsidR="00915357" w:rsidRDefault="00915357" w:rsidP="0089168C">
      <w:pPr>
        <w:spacing w:before="100" w:beforeAutospacing="1" w:after="100" w:afterAutospacing="1"/>
        <w:contextualSpacing/>
        <w:jc w:val="both"/>
        <w:rPr>
          <w:rFonts w:ascii="Palatino Linotype" w:eastAsia="Calibri" w:hAnsi="Palatino Linotype" w:cs="Arial"/>
          <w:color w:val="000000" w:themeColor="text1"/>
          <w:sz w:val="20"/>
        </w:rPr>
      </w:pPr>
    </w:p>
    <w:p w14:paraId="440470AE" w14:textId="77777777" w:rsidR="00915357" w:rsidRDefault="00915357" w:rsidP="0089168C">
      <w:pPr>
        <w:spacing w:before="100" w:beforeAutospacing="1" w:after="100" w:afterAutospacing="1"/>
        <w:contextualSpacing/>
        <w:jc w:val="both"/>
        <w:rPr>
          <w:rFonts w:ascii="Palatino Linotype" w:eastAsia="Calibri" w:hAnsi="Palatino Linotype" w:cs="Arial"/>
          <w:color w:val="000000" w:themeColor="text1"/>
          <w:sz w:val="20"/>
        </w:rPr>
      </w:pPr>
    </w:p>
    <w:p w14:paraId="7963AB0F" w14:textId="77777777" w:rsidR="00915357" w:rsidRDefault="00915357" w:rsidP="0089168C">
      <w:pPr>
        <w:spacing w:before="100" w:beforeAutospacing="1" w:after="100" w:afterAutospacing="1"/>
        <w:contextualSpacing/>
        <w:jc w:val="both"/>
        <w:rPr>
          <w:rFonts w:ascii="Palatino Linotype" w:eastAsia="Calibri" w:hAnsi="Palatino Linotype" w:cs="Arial"/>
          <w:color w:val="000000" w:themeColor="text1"/>
          <w:sz w:val="20"/>
        </w:rPr>
      </w:pPr>
    </w:p>
    <w:p w14:paraId="322186CD" w14:textId="3C5B5145" w:rsidR="00081A00" w:rsidRDefault="004C0749" w:rsidP="0089168C">
      <w:pPr>
        <w:spacing w:before="100" w:beforeAutospacing="1" w:after="100" w:afterAutospacing="1"/>
        <w:contextualSpacing/>
        <w:jc w:val="both"/>
        <w:rPr>
          <w:rFonts w:ascii="Palatino Linotype" w:eastAsia="Calibri" w:hAnsi="Palatino Linotype" w:cs="Arial"/>
          <w:color w:val="000000" w:themeColor="text1"/>
          <w:sz w:val="20"/>
        </w:rPr>
      </w:pPr>
      <w:r w:rsidRPr="000C08A6">
        <w:rPr>
          <w:rFonts w:ascii="Palatino Linotype" w:eastAsia="Calibri" w:hAnsi="Palatino Linotype" w:cs="Arial"/>
          <w:color w:val="000000" w:themeColor="text1"/>
          <w:sz w:val="20"/>
        </w:rPr>
        <w:t xml:space="preserve">Esta hoja corresponde al voto particular emitido en </w:t>
      </w:r>
      <w:r w:rsidR="00A07476" w:rsidRPr="000C08A6">
        <w:rPr>
          <w:rFonts w:ascii="Palatino Linotype" w:eastAsia="Calibri" w:hAnsi="Palatino Linotype" w:cs="Arial"/>
          <w:color w:val="000000" w:themeColor="text1"/>
          <w:sz w:val="20"/>
        </w:rPr>
        <w:t>la resolución d</w:t>
      </w:r>
      <w:r w:rsidRPr="000C08A6">
        <w:rPr>
          <w:rFonts w:ascii="Palatino Linotype" w:eastAsia="Calibri" w:hAnsi="Palatino Linotype" w:cs="Arial"/>
          <w:color w:val="000000" w:themeColor="text1"/>
          <w:sz w:val="20"/>
        </w:rPr>
        <w:t xml:space="preserve">el </w:t>
      </w:r>
      <w:r w:rsidR="00263383" w:rsidRPr="000C08A6">
        <w:rPr>
          <w:rFonts w:ascii="Palatino Linotype" w:eastAsia="Calibri" w:hAnsi="Palatino Linotype" w:cs="Arial"/>
          <w:color w:val="000000" w:themeColor="text1"/>
          <w:sz w:val="20"/>
        </w:rPr>
        <w:t xml:space="preserve">Recurso </w:t>
      </w:r>
      <w:r w:rsidRPr="000C08A6">
        <w:rPr>
          <w:rFonts w:ascii="Palatino Linotype" w:eastAsia="Calibri" w:hAnsi="Palatino Linotype" w:cs="Arial"/>
          <w:color w:val="000000" w:themeColor="text1"/>
          <w:sz w:val="20"/>
        </w:rPr>
        <w:t xml:space="preserve">de </w:t>
      </w:r>
      <w:r w:rsidR="00263383" w:rsidRPr="000C08A6">
        <w:rPr>
          <w:rFonts w:ascii="Palatino Linotype" w:eastAsia="Calibri" w:hAnsi="Palatino Linotype" w:cs="Arial"/>
          <w:color w:val="000000" w:themeColor="text1"/>
          <w:sz w:val="20"/>
        </w:rPr>
        <w:t xml:space="preserve">Revisión </w:t>
      </w:r>
      <w:r w:rsidRPr="000C08A6">
        <w:rPr>
          <w:rFonts w:ascii="Palatino Linotype" w:eastAsia="Calibri" w:hAnsi="Palatino Linotype" w:cs="Arial"/>
          <w:color w:val="000000" w:themeColor="text1"/>
          <w:sz w:val="20"/>
        </w:rPr>
        <w:t>0</w:t>
      </w:r>
      <w:r w:rsidR="00081A00">
        <w:rPr>
          <w:rFonts w:ascii="Palatino Linotype" w:eastAsia="Calibri" w:hAnsi="Palatino Linotype" w:cs="Arial"/>
          <w:color w:val="000000" w:themeColor="text1"/>
          <w:sz w:val="20"/>
        </w:rPr>
        <w:t>837</w:t>
      </w:r>
      <w:r w:rsidR="00DD566A">
        <w:rPr>
          <w:rFonts w:ascii="Palatino Linotype" w:eastAsia="Calibri" w:hAnsi="Palatino Linotype" w:cs="Arial"/>
          <w:color w:val="000000" w:themeColor="text1"/>
          <w:sz w:val="20"/>
        </w:rPr>
        <w:t>8</w:t>
      </w:r>
      <w:r w:rsidR="00A07476" w:rsidRPr="000C08A6">
        <w:rPr>
          <w:rFonts w:ascii="Palatino Linotype" w:eastAsia="Calibri" w:hAnsi="Palatino Linotype" w:cs="Arial"/>
          <w:color w:val="000000" w:themeColor="text1"/>
          <w:sz w:val="20"/>
        </w:rPr>
        <w:t>/INFOEM/IP/</w:t>
      </w:r>
      <w:proofErr w:type="spellStart"/>
      <w:r w:rsidR="00A07476" w:rsidRPr="000C08A6">
        <w:rPr>
          <w:rFonts w:ascii="Palatino Linotype" w:eastAsia="Calibri" w:hAnsi="Palatino Linotype" w:cs="Arial"/>
          <w:color w:val="000000" w:themeColor="text1"/>
          <w:sz w:val="20"/>
        </w:rPr>
        <w:t>RR</w:t>
      </w:r>
      <w:proofErr w:type="spellEnd"/>
      <w:r w:rsidR="00A07476" w:rsidRPr="000C08A6">
        <w:rPr>
          <w:rFonts w:ascii="Palatino Linotype" w:eastAsia="Calibri" w:hAnsi="Palatino Linotype" w:cs="Arial"/>
          <w:color w:val="000000" w:themeColor="text1"/>
          <w:sz w:val="20"/>
        </w:rPr>
        <w:t>/201</w:t>
      </w:r>
      <w:r w:rsidR="00263383">
        <w:rPr>
          <w:rFonts w:ascii="Palatino Linotype" w:eastAsia="Calibri" w:hAnsi="Palatino Linotype" w:cs="Arial"/>
          <w:color w:val="000000" w:themeColor="text1"/>
          <w:sz w:val="20"/>
        </w:rPr>
        <w:t>9</w:t>
      </w:r>
      <w:r w:rsidR="00A07476" w:rsidRPr="000C08A6">
        <w:rPr>
          <w:rFonts w:ascii="Palatino Linotype" w:eastAsia="Calibri" w:hAnsi="Palatino Linotype" w:cs="Arial"/>
          <w:color w:val="000000" w:themeColor="text1"/>
          <w:sz w:val="20"/>
        </w:rPr>
        <w:t>, aprobada</w:t>
      </w:r>
      <w:r w:rsidRPr="000C08A6">
        <w:rPr>
          <w:rFonts w:ascii="Palatino Linotype" w:eastAsia="Calibri" w:hAnsi="Palatino Linotype" w:cs="Arial"/>
          <w:color w:val="000000" w:themeColor="text1"/>
          <w:sz w:val="20"/>
        </w:rPr>
        <w:t xml:space="preserve"> el </w:t>
      </w:r>
      <w:r w:rsidR="00D04F2B">
        <w:rPr>
          <w:rFonts w:ascii="Palatino Linotype" w:eastAsia="Calibri" w:hAnsi="Palatino Linotype" w:cs="Arial"/>
          <w:color w:val="000000" w:themeColor="text1"/>
          <w:sz w:val="20"/>
        </w:rPr>
        <w:t>veinti</w:t>
      </w:r>
      <w:r w:rsidR="00081A00">
        <w:rPr>
          <w:rFonts w:ascii="Palatino Linotype" w:eastAsia="Calibri" w:hAnsi="Palatino Linotype" w:cs="Arial"/>
          <w:color w:val="000000" w:themeColor="text1"/>
          <w:sz w:val="20"/>
        </w:rPr>
        <w:t>dós</w:t>
      </w:r>
      <w:r w:rsidR="00263383">
        <w:rPr>
          <w:rFonts w:ascii="Palatino Linotype" w:eastAsia="Calibri" w:hAnsi="Palatino Linotype" w:cs="Arial"/>
          <w:color w:val="000000" w:themeColor="text1"/>
          <w:sz w:val="20"/>
        </w:rPr>
        <w:t xml:space="preserve"> </w:t>
      </w:r>
      <w:r w:rsidR="00D41397" w:rsidRPr="000C08A6">
        <w:rPr>
          <w:rFonts w:ascii="Palatino Linotype" w:eastAsia="Calibri" w:hAnsi="Palatino Linotype" w:cs="Arial"/>
          <w:color w:val="000000" w:themeColor="text1"/>
          <w:sz w:val="20"/>
        </w:rPr>
        <w:t xml:space="preserve">de </w:t>
      </w:r>
      <w:r w:rsidR="00081A00">
        <w:rPr>
          <w:rFonts w:ascii="Palatino Linotype" w:eastAsia="Calibri" w:hAnsi="Palatino Linotype" w:cs="Arial"/>
          <w:color w:val="000000" w:themeColor="text1"/>
          <w:sz w:val="20"/>
        </w:rPr>
        <w:t>enero</w:t>
      </w:r>
      <w:r w:rsidR="00C035BD">
        <w:rPr>
          <w:rFonts w:ascii="Palatino Linotype" w:eastAsia="Calibri" w:hAnsi="Palatino Linotype" w:cs="Arial"/>
          <w:color w:val="000000" w:themeColor="text1"/>
          <w:sz w:val="20"/>
        </w:rPr>
        <w:t xml:space="preserve"> </w:t>
      </w:r>
      <w:r w:rsidR="00263383">
        <w:rPr>
          <w:rFonts w:ascii="Palatino Linotype" w:eastAsia="Calibri" w:hAnsi="Palatino Linotype" w:cs="Arial"/>
          <w:color w:val="000000" w:themeColor="text1"/>
          <w:sz w:val="20"/>
        </w:rPr>
        <w:t xml:space="preserve">de dos mil </w:t>
      </w:r>
      <w:r w:rsidR="00081A00">
        <w:rPr>
          <w:rFonts w:ascii="Palatino Linotype" w:eastAsia="Calibri" w:hAnsi="Palatino Linotype" w:cs="Arial"/>
          <w:color w:val="000000" w:themeColor="text1"/>
          <w:sz w:val="20"/>
        </w:rPr>
        <w:t>veinte</w:t>
      </w:r>
      <w:r w:rsidRPr="000C08A6">
        <w:rPr>
          <w:rFonts w:ascii="Palatino Linotype" w:eastAsia="Calibri" w:hAnsi="Palatino Linotype" w:cs="Arial"/>
          <w:color w:val="000000" w:themeColor="text1"/>
          <w:sz w:val="20"/>
        </w:rPr>
        <w:t>.</w:t>
      </w:r>
    </w:p>
    <w:p w14:paraId="7FA65535" w14:textId="77777777" w:rsidR="00915357" w:rsidRPr="00915357" w:rsidRDefault="00915357" w:rsidP="0089168C">
      <w:pPr>
        <w:spacing w:before="100" w:beforeAutospacing="1" w:after="100" w:afterAutospacing="1"/>
        <w:contextualSpacing/>
        <w:jc w:val="both"/>
        <w:rPr>
          <w:rFonts w:ascii="Palatino Linotype" w:eastAsia="Calibri" w:hAnsi="Palatino Linotype" w:cs="Arial"/>
          <w:color w:val="000000" w:themeColor="text1"/>
          <w:sz w:val="8"/>
          <w:szCs w:val="8"/>
        </w:rPr>
      </w:pPr>
    </w:p>
    <w:p w14:paraId="63CB441D" w14:textId="55C3AFCF" w:rsidR="00A07476" w:rsidRPr="000C08A6" w:rsidRDefault="00915357" w:rsidP="0089168C">
      <w:pPr>
        <w:spacing w:before="100" w:beforeAutospacing="1" w:after="100" w:afterAutospacing="1"/>
        <w:contextualSpacing/>
        <w:jc w:val="both"/>
        <w:rPr>
          <w:rFonts w:ascii="Palatino Linotype" w:eastAsia="Calibri" w:hAnsi="Palatino Linotype" w:cs="Arial"/>
          <w:color w:val="000000" w:themeColor="text1"/>
          <w:sz w:val="20"/>
        </w:rPr>
      </w:pPr>
      <w:proofErr w:type="spellStart"/>
      <w:r>
        <w:rPr>
          <w:rFonts w:ascii="Palatino Linotype" w:eastAsia="Calibri" w:hAnsi="Palatino Linotype" w:cs="Arial"/>
          <w:color w:val="000000" w:themeColor="text1"/>
          <w:sz w:val="20"/>
        </w:rPr>
        <w:t>YSM</w:t>
      </w:r>
      <w:proofErr w:type="spellEnd"/>
      <w:r w:rsidR="00047C55">
        <w:rPr>
          <w:rFonts w:ascii="Palatino Linotype" w:eastAsia="Calibri" w:hAnsi="Palatino Linotype" w:cs="Arial"/>
          <w:color w:val="000000" w:themeColor="text1"/>
          <w:sz w:val="20"/>
        </w:rPr>
        <w:t>/</w:t>
      </w:r>
      <w:proofErr w:type="spellStart"/>
      <w:r w:rsidR="00047C55">
        <w:rPr>
          <w:rFonts w:ascii="Palatino Linotype" w:eastAsia="Calibri" w:hAnsi="Palatino Linotype" w:cs="Arial"/>
          <w:color w:val="000000" w:themeColor="text1"/>
          <w:sz w:val="20"/>
        </w:rPr>
        <w:t>LGMJ</w:t>
      </w:r>
      <w:proofErr w:type="spellEnd"/>
    </w:p>
    <w:sectPr w:rsidR="00A07476" w:rsidRPr="000C08A6" w:rsidSect="00864D82">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FD83B6" w14:textId="77777777" w:rsidR="00CE224C" w:rsidRDefault="00CE224C" w:rsidP="00C80F8C">
      <w:r>
        <w:separator/>
      </w:r>
    </w:p>
  </w:endnote>
  <w:endnote w:type="continuationSeparator" w:id="0">
    <w:p w14:paraId="3118DBA1" w14:textId="77777777" w:rsidR="00CE224C" w:rsidRDefault="00CE224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26389C" w14:textId="77777777" w:rsidR="003056D9" w:rsidRDefault="003056D9" w:rsidP="003056D9">
    <w:pPr>
      <w:pStyle w:val="Piedepgina"/>
      <w:tabs>
        <w:tab w:val="clear" w:pos="4252"/>
        <w:tab w:val="left" w:pos="4228"/>
      </w:tabs>
      <w:rPr>
        <w:rFonts w:ascii="Palatino Linotype" w:hAnsi="Palatino Linotype" w:cs="Arial"/>
        <w:b/>
        <w:bCs/>
        <w:sz w:val="20"/>
        <w:szCs w:val="20"/>
      </w:rPr>
    </w:pPr>
  </w:p>
  <w:p w14:paraId="7694619B" w14:textId="676EB295" w:rsidR="003056D9" w:rsidRDefault="003056D9" w:rsidP="003056D9">
    <w:pPr>
      <w:pStyle w:val="Piedepgina"/>
      <w:tabs>
        <w:tab w:val="clear" w:pos="4252"/>
        <w:tab w:val="left" w:pos="4228"/>
      </w:tabs>
      <w:rPr>
        <w:rFonts w:ascii="Palatino Linotype" w:hAnsi="Palatino Linotype" w:cs="Arial"/>
        <w:b/>
        <w:bCs/>
        <w:sz w:val="20"/>
        <w:szCs w:val="20"/>
      </w:rPr>
    </w:pPr>
  </w:p>
  <w:p w14:paraId="390F141A" w14:textId="77777777" w:rsidR="00455CB3" w:rsidRDefault="00455CB3" w:rsidP="000E2B1A">
    <w:pPr>
      <w:pStyle w:val="Piedepgina"/>
      <w:rPr>
        <w:rFonts w:ascii="Palatino Linotype" w:hAnsi="Palatino Linotype" w:cs="Arial"/>
        <w:b/>
        <w:bCs/>
        <w:sz w:val="20"/>
        <w:szCs w:val="20"/>
      </w:rPr>
    </w:pPr>
  </w:p>
  <w:p w14:paraId="122599E5" w14:textId="77777777" w:rsidR="003056D9" w:rsidRPr="00F12350" w:rsidRDefault="003056D9"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337E9B">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337E9B">
      <w:rPr>
        <w:rFonts w:ascii="Palatino Linotype" w:hAnsi="Palatino Linotype" w:cs="Arial"/>
        <w:b/>
        <w:bCs/>
        <w:noProof/>
        <w:sz w:val="20"/>
        <w:szCs w:val="20"/>
      </w:rPr>
      <w:t>7</w:t>
    </w:r>
    <w:r w:rsidRPr="00F12350">
      <w:rPr>
        <w:rFonts w:ascii="Palatino Linotype" w:hAnsi="Palatino Linotype" w:cs="Arial"/>
        <w:b/>
        <w:bCs/>
        <w:sz w:val="20"/>
        <w:szCs w:val="20"/>
      </w:rPr>
      <w:fldChar w:fldCharType="end"/>
    </w:r>
  </w:p>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3B5A0C" w14:textId="77777777" w:rsidR="00CE224C" w:rsidRDefault="00CE224C" w:rsidP="00C80F8C">
      <w:r>
        <w:separator/>
      </w:r>
    </w:p>
  </w:footnote>
  <w:footnote w:type="continuationSeparator" w:id="0">
    <w:p w14:paraId="105E1F76" w14:textId="77777777" w:rsidR="00CE224C" w:rsidRDefault="00CE224C"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969BE" w14:textId="4DD2E2A6" w:rsidR="0034309A" w:rsidRDefault="00337E9B">
    <w:pPr>
      <w:pStyle w:val="Encabezado"/>
    </w:pPr>
    <w:r>
      <w:rPr>
        <w:noProof/>
      </w:rPr>
      <w:pict w14:anchorId="33D001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4144;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2159F" w14:textId="292D720F" w:rsidR="0034309A" w:rsidRDefault="0034309A"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8240" behindDoc="1" locked="0" layoutInCell="1" allowOverlap="1" wp14:anchorId="46D381A4" wp14:editId="16FA49E0">
          <wp:simplePos x="0" y="0"/>
          <wp:positionH relativeFrom="column">
            <wp:posOffset>-631494</wp:posOffset>
          </wp:positionH>
          <wp:positionV relativeFrom="paragraph">
            <wp:posOffset>-237241</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p w14:paraId="07B61D73" w14:textId="0B147B78" w:rsidR="0034309A" w:rsidRDefault="0034309A" w:rsidP="0034309A">
    <w:pPr>
      <w:pStyle w:val="Encabezado"/>
      <w:tabs>
        <w:tab w:val="clear" w:pos="4252"/>
        <w:tab w:val="clear" w:pos="8504"/>
        <w:tab w:val="left" w:pos="2326"/>
      </w:tabs>
      <w:jc w:val="right"/>
      <w:rPr>
        <w:rFonts w:ascii="Palatino Linotype" w:hAnsi="Palatino Linotype"/>
      </w:rPr>
    </w:pPr>
  </w:p>
  <w:p w14:paraId="71104997" w14:textId="034F657B" w:rsidR="00634485" w:rsidRDefault="00634485" w:rsidP="0034309A">
    <w:pPr>
      <w:pStyle w:val="Encabezado"/>
      <w:tabs>
        <w:tab w:val="clear" w:pos="4252"/>
        <w:tab w:val="clear" w:pos="8504"/>
        <w:tab w:val="left" w:pos="2326"/>
      </w:tabs>
      <w:jc w:val="right"/>
      <w:rPr>
        <w:rFonts w:ascii="Palatino Linotype" w:hAnsi="Palatino Linotype" w:cs="Arial"/>
        <w:sz w:val="20"/>
        <w:szCs w:val="20"/>
      </w:rPr>
    </w:pPr>
  </w:p>
  <w:p w14:paraId="5605195D" w14:textId="2BD16AF5" w:rsidR="00EB7480" w:rsidRDefault="000C08A6" w:rsidP="0034309A">
    <w:pPr>
      <w:pStyle w:val="Encabezado"/>
      <w:tabs>
        <w:tab w:val="clear" w:pos="4252"/>
        <w:tab w:val="clear" w:pos="8504"/>
        <w:tab w:val="left" w:pos="2326"/>
      </w:tabs>
      <w:jc w:val="right"/>
      <w:rPr>
        <w:rFonts w:ascii="Palatino Linotype" w:hAnsi="Palatino Linotype" w:cs="Arial"/>
        <w:sz w:val="20"/>
        <w:szCs w:val="20"/>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14:paraId="333995A2" w14:textId="5DA4DBF3" w:rsidR="0030072F" w:rsidRDefault="000C08A6" w:rsidP="005B773B">
    <w:pPr>
      <w:pStyle w:val="Encabezado"/>
      <w:tabs>
        <w:tab w:val="clear" w:pos="4252"/>
        <w:tab w:val="clear" w:pos="8504"/>
        <w:tab w:val="left" w:pos="2326"/>
      </w:tabs>
      <w:spacing w:after="240"/>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sidR="0089168C">
      <w:rPr>
        <w:rFonts w:ascii="Palatino Linotype" w:hAnsi="Palatino Linotype" w:cs="Arial"/>
        <w:sz w:val="20"/>
        <w:szCs w:val="20"/>
      </w:rPr>
      <w:t>08378</w:t>
    </w:r>
    <w:r>
      <w:rPr>
        <w:rFonts w:ascii="Palatino Linotype" w:hAnsi="Palatino Linotype" w:cs="Arial"/>
        <w:sz w:val="20"/>
        <w:szCs w:val="20"/>
      </w:rPr>
      <w:t>/INFOEM/IP</w:t>
    </w:r>
    <w:r w:rsidRPr="00706042">
      <w:rPr>
        <w:rFonts w:ascii="Palatino Linotype" w:hAnsi="Palatino Linotype" w:cs="Arial"/>
        <w:sz w:val="20"/>
        <w:szCs w:val="20"/>
      </w:rPr>
      <w:t>/</w:t>
    </w:r>
    <w:proofErr w:type="spellStart"/>
    <w:r w:rsidRPr="00706042">
      <w:rPr>
        <w:rFonts w:ascii="Palatino Linotype" w:hAnsi="Palatino Linotype" w:cs="Arial"/>
        <w:sz w:val="20"/>
        <w:szCs w:val="20"/>
      </w:rPr>
      <w:t>RR</w:t>
    </w:r>
    <w:proofErr w:type="spellEnd"/>
    <w:r w:rsidRPr="00706042">
      <w:rPr>
        <w:rFonts w:ascii="Palatino Linotype" w:hAnsi="Palatino Linotype" w:cs="Arial"/>
        <w:sz w:val="20"/>
        <w:szCs w:val="20"/>
      </w:rPr>
      <w:t>/201</w:t>
    </w:r>
    <w:r w:rsidR="00AC74DB">
      <w:rPr>
        <w:rFonts w:ascii="Palatino Linotype" w:hAnsi="Palatino Linotype" w:cs="Arial"/>
        <w:sz w:val="20"/>
        <w:szCs w:val="20"/>
      </w:rPr>
      <w:t>9</w:t>
    </w:r>
  </w:p>
  <w:p w14:paraId="1C0113F8" w14:textId="4F7D6B03" w:rsidR="000C08A6" w:rsidRDefault="00337E9B" w:rsidP="000C08A6">
    <w:pPr>
      <w:pStyle w:val="Encabezado"/>
      <w:tabs>
        <w:tab w:val="clear" w:pos="4252"/>
        <w:tab w:val="clear" w:pos="8504"/>
        <w:tab w:val="left" w:pos="2326"/>
      </w:tabs>
      <w:jc w:val="right"/>
      <w:rPr>
        <w:rFonts w:ascii="Palatino Linotype" w:hAnsi="Palatino Linotype" w:cs="Arial"/>
        <w:sz w:val="20"/>
        <w:szCs w:val="20"/>
      </w:rPr>
    </w:pPr>
    <w:r>
      <w:rPr>
        <w:noProof/>
      </w:rPr>
      <w:pict w14:anchorId="38BFA9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0;margin-top:0;width:675.8pt;height:93.55pt;rotation:315;z-index:-251652096;mso-position-horizontal:center;mso-position-horizontal-relative:margin;mso-position-vertical:center;mso-position-vertical-relative:margin" o:allowincell="f" fillcolor="#bfbfbf [2412]" stroked="f">
          <v:fill opacity=".5"/>
          <v:textpath style="font-family:&quot;Palatino Linotype&quot;;font-size:1pt" string="  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7B53A" w14:textId="7CCC1D43" w:rsidR="0034309A" w:rsidRDefault="00337E9B">
    <w:pPr>
      <w:pStyle w:val="Encabezado"/>
    </w:pPr>
    <w:r>
      <w:rPr>
        <w:noProof/>
      </w:rPr>
      <w:pict w14:anchorId="216D65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6192;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C60F5"/>
    <w:multiLevelType w:val="hybridMultilevel"/>
    <w:tmpl w:val="AEAC8FB4"/>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15:restartNumberingAfterBreak="0">
    <w:nsid w:val="06B16172"/>
    <w:multiLevelType w:val="hybridMultilevel"/>
    <w:tmpl w:val="82CAE9BE"/>
    <w:lvl w:ilvl="0" w:tplc="CDEC5E8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F63D8B"/>
    <w:multiLevelType w:val="hybridMultilevel"/>
    <w:tmpl w:val="7164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BB96A75"/>
    <w:multiLevelType w:val="hybridMultilevel"/>
    <w:tmpl w:val="BB02C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F32205E"/>
    <w:multiLevelType w:val="hybridMultilevel"/>
    <w:tmpl w:val="F5545A92"/>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213E08E7"/>
    <w:multiLevelType w:val="hybridMultilevel"/>
    <w:tmpl w:val="4A8EA8CA"/>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2D652D05"/>
    <w:multiLevelType w:val="hybridMultilevel"/>
    <w:tmpl w:val="4D728D9C"/>
    <w:lvl w:ilvl="0" w:tplc="82847B0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B887FD3"/>
    <w:multiLevelType w:val="hybridMultilevel"/>
    <w:tmpl w:val="9F307D16"/>
    <w:lvl w:ilvl="0" w:tplc="080A0017">
      <w:start w:val="1"/>
      <w:numFmt w:val="lowerLetter"/>
      <w:lvlText w:val="%1)"/>
      <w:lvlJc w:val="left"/>
      <w:pPr>
        <w:ind w:left="1068" w:hanging="360"/>
      </w:pPr>
      <w:rPr>
        <w:rFont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9" w15:restartNumberingAfterBreak="0">
    <w:nsid w:val="43636575"/>
    <w:multiLevelType w:val="hybridMultilevel"/>
    <w:tmpl w:val="0A9C66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B4B347A"/>
    <w:multiLevelType w:val="hybridMultilevel"/>
    <w:tmpl w:val="DA742BEE"/>
    <w:lvl w:ilvl="0" w:tplc="93A0D3E6">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1" w15:restartNumberingAfterBreak="0">
    <w:nsid w:val="52E2611B"/>
    <w:multiLevelType w:val="hybridMultilevel"/>
    <w:tmpl w:val="354E7B1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2" w15:restartNumberingAfterBreak="0">
    <w:nsid w:val="603808C6"/>
    <w:multiLevelType w:val="hybridMultilevel"/>
    <w:tmpl w:val="9292913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3" w15:restartNumberingAfterBreak="0">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353"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8CD42D9"/>
    <w:multiLevelType w:val="hybridMultilevel"/>
    <w:tmpl w:val="6C14C7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D1F6166"/>
    <w:multiLevelType w:val="hybridMultilevel"/>
    <w:tmpl w:val="839212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8"/>
  </w:num>
  <w:num w:numId="4">
    <w:abstractNumId w:val="1"/>
  </w:num>
  <w:num w:numId="5">
    <w:abstractNumId w:val="10"/>
  </w:num>
  <w:num w:numId="6">
    <w:abstractNumId w:val="6"/>
  </w:num>
  <w:num w:numId="7">
    <w:abstractNumId w:val="15"/>
  </w:num>
  <w:num w:numId="8">
    <w:abstractNumId w:val="12"/>
  </w:num>
  <w:num w:numId="9">
    <w:abstractNumId w:val="14"/>
  </w:num>
  <w:num w:numId="10">
    <w:abstractNumId w:val="4"/>
  </w:num>
  <w:num w:numId="11">
    <w:abstractNumId w:val="11"/>
  </w:num>
  <w:num w:numId="12">
    <w:abstractNumId w:val="0"/>
  </w:num>
  <w:num w:numId="13">
    <w:abstractNumId w:val="9"/>
  </w:num>
  <w:num w:numId="14">
    <w:abstractNumId w:val="13"/>
  </w:num>
  <w:num w:numId="15">
    <w:abstractNumId w:val="7"/>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9A5"/>
    <w:rsid w:val="0000387C"/>
    <w:rsid w:val="0001751C"/>
    <w:rsid w:val="00017D16"/>
    <w:rsid w:val="000412FB"/>
    <w:rsid w:val="00047C55"/>
    <w:rsid w:val="00055107"/>
    <w:rsid w:val="00055AEC"/>
    <w:rsid w:val="00056138"/>
    <w:rsid w:val="0006079D"/>
    <w:rsid w:val="0007653D"/>
    <w:rsid w:val="00081A00"/>
    <w:rsid w:val="00082101"/>
    <w:rsid w:val="0008542A"/>
    <w:rsid w:val="0008745A"/>
    <w:rsid w:val="00092678"/>
    <w:rsid w:val="00095B30"/>
    <w:rsid w:val="000B17C9"/>
    <w:rsid w:val="000B3FFD"/>
    <w:rsid w:val="000C08A6"/>
    <w:rsid w:val="000C4453"/>
    <w:rsid w:val="000D03A9"/>
    <w:rsid w:val="000D136C"/>
    <w:rsid w:val="000D66DE"/>
    <w:rsid w:val="000D7FD8"/>
    <w:rsid w:val="000E2B1A"/>
    <w:rsid w:val="000E4C17"/>
    <w:rsid w:val="000F05FA"/>
    <w:rsid w:val="00102EEC"/>
    <w:rsid w:val="0010583C"/>
    <w:rsid w:val="00111F95"/>
    <w:rsid w:val="00117749"/>
    <w:rsid w:val="00123644"/>
    <w:rsid w:val="00130433"/>
    <w:rsid w:val="001317F7"/>
    <w:rsid w:val="0013735C"/>
    <w:rsid w:val="00140058"/>
    <w:rsid w:val="00152C33"/>
    <w:rsid w:val="00175DEE"/>
    <w:rsid w:val="00187FFD"/>
    <w:rsid w:val="001950C9"/>
    <w:rsid w:val="001E757E"/>
    <w:rsid w:val="001E763C"/>
    <w:rsid w:val="002038F0"/>
    <w:rsid w:val="00217A1B"/>
    <w:rsid w:val="002314AA"/>
    <w:rsid w:val="002341E5"/>
    <w:rsid w:val="0023504D"/>
    <w:rsid w:val="00237A37"/>
    <w:rsid w:val="0024119C"/>
    <w:rsid w:val="00246C33"/>
    <w:rsid w:val="0025202C"/>
    <w:rsid w:val="002562CC"/>
    <w:rsid w:val="00263383"/>
    <w:rsid w:val="00271506"/>
    <w:rsid w:val="00271D08"/>
    <w:rsid w:val="002940F8"/>
    <w:rsid w:val="00295FDA"/>
    <w:rsid w:val="00297341"/>
    <w:rsid w:val="002A2EBD"/>
    <w:rsid w:val="002B752D"/>
    <w:rsid w:val="002B7856"/>
    <w:rsid w:val="002D3BBD"/>
    <w:rsid w:val="002D4526"/>
    <w:rsid w:val="002D69E1"/>
    <w:rsid w:val="002D7F7A"/>
    <w:rsid w:val="002E6D5B"/>
    <w:rsid w:val="0030072F"/>
    <w:rsid w:val="003056D9"/>
    <w:rsid w:val="003102FA"/>
    <w:rsid w:val="0033037E"/>
    <w:rsid w:val="00337E9B"/>
    <w:rsid w:val="0034309A"/>
    <w:rsid w:val="00354640"/>
    <w:rsid w:val="003628B7"/>
    <w:rsid w:val="0037321B"/>
    <w:rsid w:val="00383F34"/>
    <w:rsid w:val="00395BC6"/>
    <w:rsid w:val="003A6F70"/>
    <w:rsid w:val="003B5C81"/>
    <w:rsid w:val="003C23BE"/>
    <w:rsid w:val="003C28FC"/>
    <w:rsid w:val="003C2D10"/>
    <w:rsid w:val="003C7226"/>
    <w:rsid w:val="003D1C14"/>
    <w:rsid w:val="003D297D"/>
    <w:rsid w:val="003F4C9C"/>
    <w:rsid w:val="00410D1F"/>
    <w:rsid w:val="00414C32"/>
    <w:rsid w:val="00414E48"/>
    <w:rsid w:val="00414E7B"/>
    <w:rsid w:val="004179B7"/>
    <w:rsid w:val="004315BB"/>
    <w:rsid w:val="0044271B"/>
    <w:rsid w:val="00443646"/>
    <w:rsid w:val="0044475B"/>
    <w:rsid w:val="00455CB3"/>
    <w:rsid w:val="004661D2"/>
    <w:rsid w:val="004776FF"/>
    <w:rsid w:val="00497120"/>
    <w:rsid w:val="004B1EC9"/>
    <w:rsid w:val="004B7325"/>
    <w:rsid w:val="004C0749"/>
    <w:rsid w:val="004C40EA"/>
    <w:rsid w:val="004C64D9"/>
    <w:rsid w:val="004D0A26"/>
    <w:rsid w:val="004D627E"/>
    <w:rsid w:val="004E308E"/>
    <w:rsid w:val="00500FFD"/>
    <w:rsid w:val="00516914"/>
    <w:rsid w:val="00522EB6"/>
    <w:rsid w:val="005236B6"/>
    <w:rsid w:val="005318AB"/>
    <w:rsid w:val="00533E3D"/>
    <w:rsid w:val="00544FAB"/>
    <w:rsid w:val="00554E19"/>
    <w:rsid w:val="00562649"/>
    <w:rsid w:val="00575235"/>
    <w:rsid w:val="0058067E"/>
    <w:rsid w:val="00584781"/>
    <w:rsid w:val="0058639E"/>
    <w:rsid w:val="005870DF"/>
    <w:rsid w:val="005B773B"/>
    <w:rsid w:val="005C5B04"/>
    <w:rsid w:val="005C66D4"/>
    <w:rsid w:val="005D14C4"/>
    <w:rsid w:val="005D1946"/>
    <w:rsid w:val="006006D5"/>
    <w:rsid w:val="00612544"/>
    <w:rsid w:val="00612ED9"/>
    <w:rsid w:val="006163D1"/>
    <w:rsid w:val="00621556"/>
    <w:rsid w:val="00634485"/>
    <w:rsid w:val="006521C1"/>
    <w:rsid w:val="00672211"/>
    <w:rsid w:val="006824EF"/>
    <w:rsid w:val="00684492"/>
    <w:rsid w:val="00684E46"/>
    <w:rsid w:val="006869DD"/>
    <w:rsid w:val="0069256D"/>
    <w:rsid w:val="00694EB3"/>
    <w:rsid w:val="006967D4"/>
    <w:rsid w:val="006A496D"/>
    <w:rsid w:val="006C0991"/>
    <w:rsid w:val="006C7692"/>
    <w:rsid w:val="006D16A2"/>
    <w:rsid w:val="006E6389"/>
    <w:rsid w:val="006F30F8"/>
    <w:rsid w:val="00711B32"/>
    <w:rsid w:val="00712BC2"/>
    <w:rsid w:val="0071346B"/>
    <w:rsid w:val="00721966"/>
    <w:rsid w:val="00724599"/>
    <w:rsid w:val="00736C06"/>
    <w:rsid w:val="007416E3"/>
    <w:rsid w:val="00742010"/>
    <w:rsid w:val="007435A3"/>
    <w:rsid w:val="00772360"/>
    <w:rsid w:val="007A4AB6"/>
    <w:rsid w:val="007B6E55"/>
    <w:rsid w:val="007C0FDA"/>
    <w:rsid w:val="007C3C0E"/>
    <w:rsid w:val="007D0FEE"/>
    <w:rsid w:val="007E3C3D"/>
    <w:rsid w:val="008217CD"/>
    <w:rsid w:val="00846A21"/>
    <w:rsid w:val="008556EE"/>
    <w:rsid w:val="008600E3"/>
    <w:rsid w:val="00864D82"/>
    <w:rsid w:val="0087259C"/>
    <w:rsid w:val="008833B1"/>
    <w:rsid w:val="00883433"/>
    <w:rsid w:val="0089168C"/>
    <w:rsid w:val="00892AFC"/>
    <w:rsid w:val="008A0442"/>
    <w:rsid w:val="008C0700"/>
    <w:rsid w:val="008C0C70"/>
    <w:rsid w:val="008C17F2"/>
    <w:rsid w:val="008D1526"/>
    <w:rsid w:val="008D43D7"/>
    <w:rsid w:val="008D584A"/>
    <w:rsid w:val="008E5FCF"/>
    <w:rsid w:val="00915357"/>
    <w:rsid w:val="00926A92"/>
    <w:rsid w:val="0093343E"/>
    <w:rsid w:val="009344A3"/>
    <w:rsid w:val="00953EC8"/>
    <w:rsid w:val="00966E59"/>
    <w:rsid w:val="00975AA3"/>
    <w:rsid w:val="00975EB9"/>
    <w:rsid w:val="009773AF"/>
    <w:rsid w:val="00983278"/>
    <w:rsid w:val="00986740"/>
    <w:rsid w:val="00986DDD"/>
    <w:rsid w:val="009A271C"/>
    <w:rsid w:val="009A67F5"/>
    <w:rsid w:val="009B65F4"/>
    <w:rsid w:val="009C46BF"/>
    <w:rsid w:val="009D63A9"/>
    <w:rsid w:val="009E15B4"/>
    <w:rsid w:val="00A00304"/>
    <w:rsid w:val="00A032F1"/>
    <w:rsid w:val="00A04C79"/>
    <w:rsid w:val="00A07476"/>
    <w:rsid w:val="00A14B1D"/>
    <w:rsid w:val="00A40057"/>
    <w:rsid w:val="00A4593D"/>
    <w:rsid w:val="00A53958"/>
    <w:rsid w:val="00A60D1E"/>
    <w:rsid w:val="00A81140"/>
    <w:rsid w:val="00A824CA"/>
    <w:rsid w:val="00AB21DA"/>
    <w:rsid w:val="00AB46DE"/>
    <w:rsid w:val="00AB609C"/>
    <w:rsid w:val="00AC248E"/>
    <w:rsid w:val="00AC3F99"/>
    <w:rsid w:val="00AC74DB"/>
    <w:rsid w:val="00AD3154"/>
    <w:rsid w:val="00AE2B18"/>
    <w:rsid w:val="00AE36F5"/>
    <w:rsid w:val="00AF0B38"/>
    <w:rsid w:val="00AF3927"/>
    <w:rsid w:val="00AF3F82"/>
    <w:rsid w:val="00B05E89"/>
    <w:rsid w:val="00B151A8"/>
    <w:rsid w:val="00B16800"/>
    <w:rsid w:val="00B27BE5"/>
    <w:rsid w:val="00B337A5"/>
    <w:rsid w:val="00B35A45"/>
    <w:rsid w:val="00B4641E"/>
    <w:rsid w:val="00B46E78"/>
    <w:rsid w:val="00B5072E"/>
    <w:rsid w:val="00B520D9"/>
    <w:rsid w:val="00B53290"/>
    <w:rsid w:val="00B57FE6"/>
    <w:rsid w:val="00B64C77"/>
    <w:rsid w:val="00B650A8"/>
    <w:rsid w:val="00B75D83"/>
    <w:rsid w:val="00B80485"/>
    <w:rsid w:val="00B95BF7"/>
    <w:rsid w:val="00BA5EC1"/>
    <w:rsid w:val="00BD7483"/>
    <w:rsid w:val="00BE5D03"/>
    <w:rsid w:val="00BF349D"/>
    <w:rsid w:val="00BF70DD"/>
    <w:rsid w:val="00C035BD"/>
    <w:rsid w:val="00C1644D"/>
    <w:rsid w:val="00C30621"/>
    <w:rsid w:val="00C307F0"/>
    <w:rsid w:val="00C3241C"/>
    <w:rsid w:val="00C4493E"/>
    <w:rsid w:val="00C725B0"/>
    <w:rsid w:val="00C766EF"/>
    <w:rsid w:val="00C80F8C"/>
    <w:rsid w:val="00CA047D"/>
    <w:rsid w:val="00CC5EAB"/>
    <w:rsid w:val="00CD5A95"/>
    <w:rsid w:val="00CE224C"/>
    <w:rsid w:val="00CF30E8"/>
    <w:rsid w:val="00D01B99"/>
    <w:rsid w:val="00D03219"/>
    <w:rsid w:val="00D04F2B"/>
    <w:rsid w:val="00D10C70"/>
    <w:rsid w:val="00D22D87"/>
    <w:rsid w:val="00D31BE3"/>
    <w:rsid w:val="00D41397"/>
    <w:rsid w:val="00D557C2"/>
    <w:rsid w:val="00D573B2"/>
    <w:rsid w:val="00D64F32"/>
    <w:rsid w:val="00D7446C"/>
    <w:rsid w:val="00D76FBE"/>
    <w:rsid w:val="00DA5209"/>
    <w:rsid w:val="00DC4E64"/>
    <w:rsid w:val="00DC6D7D"/>
    <w:rsid w:val="00DC7173"/>
    <w:rsid w:val="00DD566A"/>
    <w:rsid w:val="00DD6A6C"/>
    <w:rsid w:val="00E10A96"/>
    <w:rsid w:val="00E146AA"/>
    <w:rsid w:val="00E267C3"/>
    <w:rsid w:val="00E27F2A"/>
    <w:rsid w:val="00E42755"/>
    <w:rsid w:val="00E43B8E"/>
    <w:rsid w:val="00E44DD0"/>
    <w:rsid w:val="00E45B76"/>
    <w:rsid w:val="00E46383"/>
    <w:rsid w:val="00E50E30"/>
    <w:rsid w:val="00E70425"/>
    <w:rsid w:val="00E70B36"/>
    <w:rsid w:val="00E74399"/>
    <w:rsid w:val="00E76ECF"/>
    <w:rsid w:val="00E81034"/>
    <w:rsid w:val="00E8209A"/>
    <w:rsid w:val="00E90260"/>
    <w:rsid w:val="00EA27CB"/>
    <w:rsid w:val="00EA2C86"/>
    <w:rsid w:val="00EA69DF"/>
    <w:rsid w:val="00EA7804"/>
    <w:rsid w:val="00EA7874"/>
    <w:rsid w:val="00EB7480"/>
    <w:rsid w:val="00EB7DE6"/>
    <w:rsid w:val="00EB7F1A"/>
    <w:rsid w:val="00EC0002"/>
    <w:rsid w:val="00EC4667"/>
    <w:rsid w:val="00ED34E1"/>
    <w:rsid w:val="00ED3F8C"/>
    <w:rsid w:val="00ED5EE9"/>
    <w:rsid w:val="00EE66B7"/>
    <w:rsid w:val="00EE7D90"/>
    <w:rsid w:val="00F325C9"/>
    <w:rsid w:val="00F36CDE"/>
    <w:rsid w:val="00F44E84"/>
    <w:rsid w:val="00F548A9"/>
    <w:rsid w:val="00F54D8B"/>
    <w:rsid w:val="00F9624E"/>
    <w:rsid w:val="00FA6221"/>
    <w:rsid w:val="00FB48D6"/>
    <w:rsid w:val="00FC4F07"/>
    <w:rsid w:val="00FE7408"/>
    <w:rsid w:val="00FF475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E8CC70D"/>
  <w14:defaultImageDpi w14:val="300"/>
  <w15:docId w15:val="{EFE4BFD2-B48E-467C-848E-18A9E8E85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2">
    <w:name w:val="heading 2"/>
    <w:basedOn w:val="Normal"/>
    <w:next w:val="Normal"/>
    <w:link w:val="Ttulo2Car"/>
    <w:uiPriority w:val="9"/>
    <w:unhideWhenUsed/>
    <w:qFormat/>
    <w:rsid w:val="008556EE"/>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8639E"/>
    <w:pPr>
      <w:ind w:left="720"/>
      <w:contextualSpacing/>
    </w:pPr>
  </w:style>
  <w:style w:type="paragraph" w:customStyle="1" w:styleId="Default">
    <w:name w:val="Default"/>
    <w:rsid w:val="0058639E"/>
    <w:pPr>
      <w:autoSpaceDE w:val="0"/>
      <w:autoSpaceDN w:val="0"/>
      <w:adjustRightInd w:val="0"/>
    </w:pPr>
    <w:rPr>
      <w:rFonts w:ascii="Arial" w:hAnsi="Arial" w:cs="Arial"/>
      <w:color w:val="000000"/>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E2B1A"/>
    <w:rPr>
      <w:rFonts w:ascii="Times New Roman" w:eastAsia="Times New Roman" w:hAnsi="Times New Roman" w:cs="Times New Roman"/>
      <w:lang w:val="es-ES"/>
    </w:rPr>
  </w:style>
  <w:style w:type="paragraph" w:styleId="Sinespaciado">
    <w:name w:val="No Spacing"/>
    <w:aliases w:val="Francesa"/>
    <w:link w:val="SinespaciadoCar"/>
    <w:uiPriority w:val="1"/>
    <w:qFormat/>
    <w:rsid w:val="008C0700"/>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8C0700"/>
    <w:rPr>
      <w:rFonts w:ascii="Times New Roman" w:eastAsia="Times New Roman" w:hAnsi="Times New Roman" w:cs="Times New Roman"/>
      <w:lang w:val="es-MX"/>
    </w:rPr>
  </w:style>
  <w:style w:type="character" w:customStyle="1" w:styleId="normaltextrun">
    <w:name w:val="normaltextrun"/>
    <w:basedOn w:val="Fuentedeprrafopredeter"/>
    <w:rsid w:val="002D69E1"/>
  </w:style>
  <w:style w:type="paragraph" w:customStyle="1" w:styleId="paragraph">
    <w:name w:val="paragraph"/>
    <w:basedOn w:val="Normal"/>
    <w:rsid w:val="002D69E1"/>
    <w:pPr>
      <w:spacing w:before="100" w:beforeAutospacing="1" w:after="100" w:afterAutospacing="1"/>
    </w:pPr>
    <w:rPr>
      <w:lang w:val="es-MX" w:eastAsia="es-MX"/>
    </w:rPr>
  </w:style>
  <w:style w:type="character" w:styleId="Hipervnculo">
    <w:name w:val="Hyperlink"/>
    <w:basedOn w:val="Fuentedeprrafopredeter"/>
    <w:uiPriority w:val="99"/>
    <w:unhideWhenUsed/>
    <w:rsid w:val="004C0749"/>
    <w:rPr>
      <w:color w:val="0000FF" w:themeColor="hyperlink"/>
      <w:u w:val="single"/>
    </w:rPr>
  </w:style>
  <w:style w:type="character" w:styleId="Textoennegrita">
    <w:name w:val="Strong"/>
    <w:basedOn w:val="Fuentedeprrafopredeter"/>
    <w:uiPriority w:val="22"/>
    <w:qFormat/>
    <w:rsid w:val="00983278"/>
    <w:rPr>
      <w:b/>
      <w:bCs/>
    </w:rPr>
  </w:style>
  <w:style w:type="character" w:customStyle="1" w:styleId="Ttulo2Car">
    <w:name w:val="Título 2 Car"/>
    <w:basedOn w:val="Fuentedeprrafopredeter"/>
    <w:link w:val="Ttulo2"/>
    <w:uiPriority w:val="9"/>
    <w:rsid w:val="008556EE"/>
    <w:rPr>
      <w:rFonts w:asciiTheme="majorHAnsi" w:eastAsiaTheme="majorEastAsia" w:hAnsiTheme="majorHAnsi" w:cstheme="majorBidi"/>
      <w:color w:val="365F91" w:themeColor="accent1" w:themeShade="BF"/>
      <w:sz w:val="26"/>
      <w:szCs w:val="26"/>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15726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7628F-26ED-4FA7-AEE3-80253BF31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1656</Words>
  <Characters>9109</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 usuario 2019</cp:lastModifiedBy>
  <cp:revision>6</cp:revision>
  <cp:lastPrinted>2020-01-27T18:00:00Z</cp:lastPrinted>
  <dcterms:created xsi:type="dcterms:W3CDTF">2020-01-27T19:20:00Z</dcterms:created>
  <dcterms:modified xsi:type="dcterms:W3CDTF">2020-02-17T17:18:00Z</dcterms:modified>
</cp:coreProperties>
</file>