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8C1" w:rsidRDefault="009718C1" w:rsidP="009718C1">
      <w:pPr>
        <w:spacing w:after="0" w:line="360" w:lineRule="auto"/>
        <w:jc w:val="both"/>
        <w:rPr>
          <w:rFonts w:ascii="Palatino Linotype" w:hAnsi="Palatino Linotype" w:cs="Arial"/>
          <w:b/>
          <w:sz w:val="24"/>
          <w:szCs w:val="24"/>
        </w:rPr>
      </w:pPr>
      <w:bookmarkStart w:id="0" w:name="_GoBack"/>
      <w:bookmarkEnd w:id="0"/>
      <w:r w:rsidRPr="0001046D">
        <w:rPr>
          <w:rFonts w:ascii="Palatino Linotype" w:hAnsi="Palatino Linotype" w:cs="Arial"/>
          <w:b/>
          <w:sz w:val="24"/>
          <w:szCs w:val="24"/>
        </w:rPr>
        <w:t>VOTO PARTICULAR DEL COMISIONADO JOSÉ GUADA</w:t>
      </w:r>
      <w:r>
        <w:rPr>
          <w:rFonts w:ascii="Palatino Linotype" w:hAnsi="Palatino Linotype" w:cs="Arial"/>
          <w:b/>
          <w:sz w:val="24"/>
          <w:szCs w:val="24"/>
        </w:rPr>
        <w:t xml:space="preserve">LUPE LUNA HERNÁNDEZ </w:t>
      </w:r>
      <w:r w:rsidRPr="0001046D">
        <w:rPr>
          <w:rFonts w:ascii="Palatino Linotype" w:hAnsi="Palatino Linotype" w:cs="Arial"/>
          <w:b/>
          <w:sz w:val="24"/>
          <w:szCs w:val="24"/>
        </w:rPr>
        <w:t>E</w:t>
      </w:r>
      <w:r>
        <w:rPr>
          <w:rFonts w:ascii="Palatino Linotype" w:hAnsi="Palatino Linotype" w:cs="Arial"/>
          <w:b/>
          <w:sz w:val="24"/>
          <w:szCs w:val="24"/>
        </w:rPr>
        <w:t>N LA RESOLUCIÓN DEL</w:t>
      </w:r>
      <w:r w:rsidRPr="0001046D">
        <w:rPr>
          <w:rFonts w:ascii="Palatino Linotype" w:hAnsi="Palatino Linotype" w:cs="Arial"/>
          <w:b/>
          <w:sz w:val="24"/>
          <w:szCs w:val="24"/>
        </w:rPr>
        <w:t xml:space="preserve"> RECURSO DE REVISIÓN </w:t>
      </w:r>
      <w:r w:rsidR="008E0AF3">
        <w:rPr>
          <w:rFonts w:ascii="Palatino Linotype" w:hAnsi="Palatino Linotype" w:cs="Arial"/>
          <w:b/>
          <w:sz w:val="24"/>
          <w:szCs w:val="24"/>
        </w:rPr>
        <w:t>0191</w:t>
      </w:r>
      <w:r>
        <w:rPr>
          <w:rFonts w:ascii="Palatino Linotype" w:hAnsi="Palatino Linotype" w:cs="Arial"/>
          <w:b/>
          <w:sz w:val="24"/>
          <w:szCs w:val="24"/>
        </w:rPr>
        <w:t>0/INFOEM/IP/RR/2019</w:t>
      </w:r>
      <w:r w:rsidRPr="00E34F08">
        <w:rPr>
          <w:rFonts w:ascii="Palatino Linotype" w:hAnsi="Palatino Linotype" w:cs="Arial"/>
          <w:b/>
          <w:sz w:val="24"/>
          <w:szCs w:val="24"/>
        </w:rPr>
        <w:t>.</w:t>
      </w:r>
    </w:p>
    <w:p w:rsidR="009718C1" w:rsidRPr="00F84F62" w:rsidRDefault="009718C1" w:rsidP="009718C1">
      <w:pPr>
        <w:spacing w:after="0" w:line="360" w:lineRule="auto"/>
        <w:jc w:val="both"/>
        <w:rPr>
          <w:rFonts w:ascii="Palatino Linotype" w:hAnsi="Palatino Linotype" w:cs="Arial"/>
          <w:sz w:val="6"/>
          <w:szCs w:val="24"/>
        </w:rPr>
      </w:pPr>
    </w:p>
    <w:p w:rsidR="009718C1" w:rsidRPr="00C06207" w:rsidRDefault="009718C1" w:rsidP="009718C1">
      <w:pPr>
        <w:spacing w:after="0" w:line="360" w:lineRule="auto"/>
        <w:jc w:val="both"/>
        <w:rPr>
          <w:rFonts w:ascii="Palatino Linotype" w:hAnsi="Palatino Linotype" w:cs="Arial"/>
          <w:b/>
          <w:sz w:val="12"/>
          <w:szCs w:val="24"/>
        </w:rPr>
      </w:pPr>
    </w:p>
    <w:p w:rsidR="009718C1" w:rsidRPr="00105730" w:rsidRDefault="009718C1" w:rsidP="009718C1">
      <w:pPr>
        <w:spacing w:after="0" w:line="360" w:lineRule="auto"/>
        <w:jc w:val="center"/>
        <w:rPr>
          <w:rFonts w:ascii="Palatino Linotype" w:hAnsi="Palatino Linotype" w:cs="Arial"/>
          <w:b/>
          <w:sz w:val="24"/>
          <w:szCs w:val="24"/>
        </w:rPr>
      </w:pPr>
      <w:r>
        <w:rPr>
          <w:rFonts w:ascii="Palatino Linotype" w:hAnsi="Palatino Linotype" w:cs="Arial"/>
          <w:b/>
          <w:sz w:val="24"/>
          <w:szCs w:val="24"/>
        </w:rPr>
        <w:t>LINEAS ARGUMENTATIVAS</w:t>
      </w:r>
      <w:r w:rsidRPr="0001046D">
        <w:rPr>
          <w:rFonts w:ascii="Palatino Linotype" w:hAnsi="Palatino Linotype" w:cs="Arial"/>
          <w:b/>
          <w:sz w:val="24"/>
          <w:szCs w:val="24"/>
        </w:rPr>
        <w:t>:</w:t>
      </w:r>
    </w:p>
    <w:p w:rsidR="009718C1" w:rsidRPr="00F84F62" w:rsidRDefault="009718C1" w:rsidP="009718C1">
      <w:pPr>
        <w:spacing w:after="0" w:line="336" w:lineRule="auto"/>
        <w:jc w:val="both"/>
        <w:rPr>
          <w:rFonts w:ascii="Palatino Linotype" w:hAnsi="Palatino Linotype" w:cs="Arial"/>
          <w:sz w:val="8"/>
          <w:szCs w:val="24"/>
        </w:rPr>
      </w:pPr>
    </w:p>
    <w:p w:rsidR="009718C1" w:rsidRPr="00F84F62" w:rsidRDefault="009718C1" w:rsidP="009718C1">
      <w:pPr>
        <w:spacing w:after="0" w:line="336" w:lineRule="auto"/>
        <w:jc w:val="both"/>
        <w:rPr>
          <w:rFonts w:ascii="Palatino Linotype" w:hAnsi="Palatino Linotype" w:cs="Arial"/>
          <w:sz w:val="24"/>
          <w:szCs w:val="24"/>
        </w:rPr>
      </w:pPr>
      <w:r w:rsidRPr="00F84F62">
        <w:rPr>
          <w:rFonts w:ascii="Palatino Linotype" w:hAnsi="Palatino Linotype" w:cs="Arial"/>
          <w:sz w:val="24"/>
          <w:szCs w:val="24"/>
        </w:rPr>
        <w:t>Cuando se está en presencia de una probable colisión entre el derecho de acceso a la información pública y el derecho a la protección de datos personales, es necesario destacar que ambos cuentan con el mismo valor toda vez que son concebidos en la Constitución Política de los Estados Unidos Mexicanos, por lo que,  uno no puede prevalecer frente al otro; ello sin dejar de lado que ningún derecho es ilimitado.</w:t>
      </w:r>
    </w:p>
    <w:p w:rsidR="009718C1" w:rsidRPr="00F84F62" w:rsidRDefault="009718C1" w:rsidP="009718C1">
      <w:pPr>
        <w:spacing w:after="0" w:line="336" w:lineRule="auto"/>
        <w:jc w:val="both"/>
        <w:rPr>
          <w:rFonts w:ascii="Palatino Linotype" w:hAnsi="Palatino Linotype" w:cs="Arial"/>
          <w:sz w:val="24"/>
          <w:szCs w:val="24"/>
        </w:rPr>
      </w:pPr>
    </w:p>
    <w:p w:rsidR="009718C1" w:rsidRPr="00F84F62" w:rsidRDefault="009718C1" w:rsidP="009718C1">
      <w:pPr>
        <w:spacing w:after="0" w:line="336" w:lineRule="auto"/>
        <w:jc w:val="both"/>
        <w:rPr>
          <w:rFonts w:ascii="Palatino Linotype" w:hAnsi="Palatino Linotype" w:cs="Arial"/>
          <w:sz w:val="24"/>
          <w:szCs w:val="24"/>
        </w:rPr>
      </w:pPr>
      <w:r w:rsidRPr="00F84F62">
        <w:rPr>
          <w:rFonts w:ascii="Palatino Linotype" w:hAnsi="Palatino Linotype" w:cs="Arial"/>
          <w:sz w:val="24"/>
          <w:szCs w:val="24"/>
        </w:rPr>
        <w:t>Para una correcta ponderación de ambos derechos, es necesario realizar el juicio de ponderación que se rige por la exigencia y observancia de tres momentos: el juicio de idoneidad, el juicio de necesidad y el juicio de estricta proporcionalidad. La fotografía, es un requisito para la expedición del título y la cédula profesional y constituye un elemento indispensable de identidad, pues su objetivo es justamente que su titular los utilice para identificarse frente a terceros, como la persona que cuenta con los conocimientos para ejercer la profesión que se indique.</w:t>
      </w:r>
    </w:p>
    <w:p w:rsidR="009718C1" w:rsidRPr="00F84F62" w:rsidRDefault="009718C1" w:rsidP="009718C1">
      <w:pPr>
        <w:spacing w:after="0" w:line="336" w:lineRule="auto"/>
        <w:jc w:val="both"/>
        <w:rPr>
          <w:rFonts w:ascii="Palatino Linotype" w:hAnsi="Palatino Linotype" w:cs="Arial"/>
          <w:sz w:val="24"/>
          <w:szCs w:val="24"/>
        </w:rPr>
      </w:pPr>
    </w:p>
    <w:p w:rsidR="009718C1" w:rsidRDefault="009718C1" w:rsidP="009718C1">
      <w:pPr>
        <w:spacing w:after="0" w:line="336" w:lineRule="auto"/>
        <w:jc w:val="both"/>
        <w:rPr>
          <w:rFonts w:ascii="Palatino Linotype" w:hAnsi="Palatino Linotype" w:cs="Arial"/>
          <w:sz w:val="24"/>
          <w:szCs w:val="24"/>
        </w:rPr>
      </w:pPr>
      <w:r>
        <w:rPr>
          <w:rFonts w:ascii="Palatino Linotype" w:hAnsi="Palatino Linotype" w:cs="Arial"/>
          <w:sz w:val="24"/>
          <w:szCs w:val="24"/>
        </w:rPr>
        <w:t>L</w:t>
      </w:r>
      <w:r w:rsidRPr="00F84F62">
        <w:rPr>
          <w:rFonts w:ascii="Palatino Linotype" w:hAnsi="Palatino Linotype" w:cs="Arial"/>
          <w:sz w:val="24"/>
          <w:szCs w:val="24"/>
        </w:rPr>
        <w:t xml:space="preserve">a cédula profesional, se integra por un conjunto de elementos cuya concurrencia simultánea permiten identificar clara e indubitablemente que una persona determinada cuenta con los conocimientos necesarios para desempeñar una profesión y que por ello se ha emitido la respectiva patente; sin dejar de lado que </w:t>
      </w:r>
      <w:r w:rsidRPr="00F84F62">
        <w:rPr>
          <w:rFonts w:ascii="Palatino Linotype" w:hAnsi="Palatino Linotype" w:cs="Arial"/>
          <w:sz w:val="24"/>
          <w:szCs w:val="24"/>
        </w:rPr>
        <w:lastRenderedPageBreak/>
        <w:t>además la cédula profesional también sirve como medio de identificación oficial, en términos del artículo 2.5 Bis, fracción III, del Código Civil del Estado de México.</w:t>
      </w:r>
    </w:p>
    <w:p w:rsidR="009718C1" w:rsidRDefault="009718C1" w:rsidP="009718C1">
      <w:pPr>
        <w:spacing w:after="0" w:line="336" w:lineRule="auto"/>
        <w:jc w:val="both"/>
        <w:rPr>
          <w:rFonts w:ascii="Palatino Linotype" w:hAnsi="Palatino Linotype" w:cs="Arial"/>
          <w:sz w:val="24"/>
          <w:szCs w:val="24"/>
        </w:rPr>
      </w:pPr>
    </w:p>
    <w:p w:rsidR="009718C1" w:rsidRPr="0001046D" w:rsidRDefault="009718C1" w:rsidP="009718C1">
      <w:pPr>
        <w:spacing w:after="0" w:line="360" w:lineRule="auto"/>
        <w:jc w:val="center"/>
        <w:rPr>
          <w:rFonts w:ascii="Palatino Linotype" w:hAnsi="Palatino Linotype" w:cs="Arial"/>
          <w:sz w:val="24"/>
          <w:szCs w:val="24"/>
        </w:rPr>
      </w:pPr>
      <w:r w:rsidRPr="0001046D">
        <w:rPr>
          <w:rFonts w:ascii="Palatino Linotype" w:hAnsi="Palatino Linotype" w:cs="Arial"/>
          <w:b/>
          <w:sz w:val="24"/>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9718C1" w:rsidRPr="0001046D" w:rsidRDefault="009718C1" w:rsidP="009718C1">
          <w:pPr>
            <w:pStyle w:val="TtulodeTDC"/>
            <w:spacing w:line="360" w:lineRule="auto"/>
            <w:rPr>
              <w:rFonts w:ascii="Palatino Linotype" w:hAnsi="Palatino Linotype"/>
            </w:rPr>
          </w:pPr>
        </w:p>
        <w:p w:rsidR="009718C1" w:rsidRDefault="009718C1" w:rsidP="009718C1">
          <w:pPr>
            <w:pStyle w:val="TDC1"/>
            <w:rPr>
              <w:rFonts w:eastAsiaTheme="minorEastAsia"/>
              <w:noProof/>
              <w:lang w:eastAsia="es-MX"/>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11082721" w:history="1">
            <w:r w:rsidRPr="00BB73D5">
              <w:rPr>
                <w:rStyle w:val="Hipervnculo"/>
                <w:rFonts w:ascii="Palatino Linotype" w:hAnsi="Palatino Linotype"/>
                <w:b/>
                <w:noProof/>
              </w:rPr>
              <w:t>I.</w:t>
            </w:r>
            <w:r>
              <w:rPr>
                <w:rFonts w:eastAsiaTheme="minorEastAsia"/>
                <w:noProof/>
                <w:lang w:eastAsia="es-MX"/>
              </w:rPr>
              <w:tab/>
            </w:r>
            <w:r w:rsidRPr="00BB73D5">
              <w:rPr>
                <w:rStyle w:val="Hipervnculo"/>
                <w:rFonts w:ascii="Palatino Linotype" w:hAnsi="Palatino Linotype"/>
                <w:b/>
                <w:noProof/>
              </w:rPr>
              <w:t>Consideraciones Generales.</w:t>
            </w:r>
            <w:r>
              <w:rPr>
                <w:noProof/>
                <w:webHidden/>
              </w:rPr>
              <w:tab/>
            </w:r>
            <w:r>
              <w:rPr>
                <w:noProof/>
                <w:webHidden/>
              </w:rPr>
              <w:fldChar w:fldCharType="begin"/>
            </w:r>
            <w:r>
              <w:rPr>
                <w:noProof/>
                <w:webHidden/>
              </w:rPr>
              <w:instrText xml:space="preserve"> PAGEREF _Toc11082721 \h </w:instrText>
            </w:r>
            <w:r>
              <w:rPr>
                <w:noProof/>
                <w:webHidden/>
              </w:rPr>
            </w:r>
            <w:r>
              <w:rPr>
                <w:noProof/>
                <w:webHidden/>
              </w:rPr>
              <w:fldChar w:fldCharType="separate"/>
            </w:r>
            <w:r w:rsidR="003F0F3E">
              <w:rPr>
                <w:noProof/>
                <w:webHidden/>
              </w:rPr>
              <w:t>2</w:t>
            </w:r>
            <w:r>
              <w:rPr>
                <w:noProof/>
                <w:webHidden/>
              </w:rPr>
              <w:fldChar w:fldCharType="end"/>
            </w:r>
          </w:hyperlink>
        </w:p>
        <w:p w:rsidR="009718C1" w:rsidRDefault="000E5718" w:rsidP="009718C1">
          <w:pPr>
            <w:pStyle w:val="TDC1"/>
            <w:rPr>
              <w:rFonts w:eastAsiaTheme="minorEastAsia"/>
              <w:noProof/>
              <w:lang w:eastAsia="es-MX"/>
            </w:rPr>
          </w:pPr>
          <w:hyperlink w:anchor="_Toc11082722" w:history="1">
            <w:r w:rsidR="009718C1" w:rsidRPr="00BB73D5">
              <w:rPr>
                <w:rStyle w:val="Hipervnculo"/>
                <w:rFonts w:ascii="Palatino Linotype" w:hAnsi="Palatino Linotype"/>
                <w:b/>
                <w:noProof/>
              </w:rPr>
              <w:t>II.</w:t>
            </w:r>
            <w:r w:rsidR="009718C1">
              <w:rPr>
                <w:rFonts w:eastAsiaTheme="minorEastAsia"/>
                <w:noProof/>
                <w:lang w:eastAsia="es-MX"/>
              </w:rPr>
              <w:tab/>
            </w:r>
            <w:r w:rsidR="009718C1" w:rsidRPr="00BB73D5">
              <w:rPr>
                <w:rStyle w:val="Hipervnculo"/>
                <w:rFonts w:ascii="Palatino Linotype" w:hAnsi="Palatino Linotype"/>
                <w:b/>
                <w:noProof/>
              </w:rPr>
              <w:t>De los requerimientos planteados en el recurso de revisión.</w:t>
            </w:r>
            <w:r w:rsidR="009718C1">
              <w:rPr>
                <w:noProof/>
                <w:webHidden/>
              </w:rPr>
              <w:tab/>
            </w:r>
            <w:r w:rsidR="009718C1">
              <w:rPr>
                <w:noProof/>
                <w:webHidden/>
              </w:rPr>
              <w:fldChar w:fldCharType="begin"/>
            </w:r>
            <w:r w:rsidR="009718C1">
              <w:rPr>
                <w:noProof/>
                <w:webHidden/>
              </w:rPr>
              <w:instrText xml:space="preserve"> PAGEREF _Toc11082722 \h </w:instrText>
            </w:r>
            <w:r w:rsidR="009718C1">
              <w:rPr>
                <w:noProof/>
                <w:webHidden/>
              </w:rPr>
            </w:r>
            <w:r w:rsidR="009718C1">
              <w:rPr>
                <w:noProof/>
                <w:webHidden/>
              </w:rPr>
              <w:fldChar w:fldCharType="separate"/>
            </w:r>
            <w:r w:rsidR="003F0F3E">
              <w:rPr>
                <w:noProof/>
                <w:webHidden/>
              </w:rPr>
              <w:t>2</w:t>
            </w:r>
            <w:r w:rsidR="009718C1">
              <w:rPr>
                <w:noProof/>
                <w:webHidden/>
              </w:rPr>
              <w:fldChar w:fldCharType="end"/>
            </w:r>
          </w:hyperlink>
        </w:p>
        <w:p w:rsidR="009718C1" w:rsidRDefault="000E5718" w:rsidP="009718C1">
          <w:pPr>
            <w:pStyle w:val="TDC1"/>
            <w:rPr>
              <w:rFonts w:eastAsiaTheme="minorEastAsia"/>
              <w:noProof/>
              <w:lang w:eastAsia="es-MX"/>
            </w:rPr>
          </w:pPr>
          <w:hyperlink w:anchor="_Toc11082723" w:history="1">
            <w:r w:rsidR="009718C1" w:rsidRPr="00BB73D5">
              <w:rPr>
                <w:rStyle w:val="Hipervnculo"/>
                <w:rFonts w:ascii="Palatino Linotype" w:hAnsi="Palatino Linotype"/>
                <w:b/>
                <w:noProof/>
              </w:rPr>
              <w:t>III.</w:t>
            </w:r>
            <w:r w:rsidR="009718C1">
              <w:rPr>
                <w:rFonts w:eastAsiaTheme="minorEastAsia"/>
                <w:noProof/>
                <w:lang w:eastAsia="es-MX"/>
              </w:rPr>
              <w:tab/>
            </w:r>
            <w:r w:rsidR="009718C1" w:rsidRPr="00BB73D5">
              <w:rPr>
                <w:rStyle w:val="Hipervnculo"/>
                <w:rFonts w:ascii="Palatino Linotype" w:hAnsi="Palatino Linotype"/>
                <w:b/>
                <w:noProof/>
              </w:rPr>
              <w:t>La naturaleza de la cédula profesional</w:t>
            </w:r>
            <w:r w:rsidR="009718C1">
              <w:rPr>
                <w:noProof/>
                <w:webHidden/>
              </w:rPr>
              <w:tab/>
            </w:r>
            <w:r w:rsidR="009718C1">
              <w:rPr>
                <w:noProof/>
                <w:webHidden/>
              </w:rPr>
              <w:fldChar w:fldCharType="begin"/>
            </w:r>
            <w:r w:rsidR="009718C1">
              <w:rPr>
                <w:noProof/>
                <w:webHidden/>
              </w:rPr>
              <w:instrText xml:space="preserve"> PAGEREF _Toc11082723 \h </w:instrText>
            </w:r>
            <w:r w:rsidR="009718C1">
              <w:rPr>
                <w:noProof/>
                <w:webHidden/>
              </w:rPr>
            </w:r>
            <w:r w:rsidR="009718C1">
              <w:rPr>
                <w:noProof/>
                <w:webHidden/>
              </w:rPr>
              <w:fldChar w:fldCharType="separate"/>
            </w:r>
            <w:r w:rsidR="003F0F3E">
              <w:rPr>
                <w:noProof/>
                <w:webHidden/>
              </w:rPr>
              <w:t>2</w:t>
            </w:r>
            <w:r w:rsidR="009718C1">
              <w:rPr>
                <w:noProof/>
                <w:webHidden/>
              </w:rPr>
              <w:fldChar w:fldCharType="end"/>
            </w:r>
          </w:hyperlink>
        </w:p>
        <w:p w:rsidR="009718C1" w:rsidRDefault="000E5718" w:rsidP="009718C1">
          <w:pPr>
            <w:pStyle w:val="TDC1"/>
            <w:rPr>
              <w:rFonts w:eastAsiaTheme="minorEastAsia"/>
              <w:noProof/>
              <w:lang w:eastAsia="es-MX"/>
            </w:rPr>
          </w:pPr>
          <w:hyperlink w:anchor="_Toc11082724" w:history="1">
            <w:r w:rsidR="009718C1" w:rsidRPr="00BB73D5">
              <w:rPr>
                <w:rStyle w:val="Hipervnculo"/>
                <w:rFonts w:ascii="Palatino Linotype" w:hAnsi="Palatino Linotype"/>
                <w:b/>
                <w:noProof/>
              </w:rPr>
              <w:t>IV. De la naturaleza de la función pública que se desempeña</w:t>
            </w:r>
            <w:r w:rsidR="009718C1">
              <w:rPr>
                <w:noProof/>
                <w:webHidden/>
              </w:rPr>
              <w:tab/>
            </w:r>
            <w:r w:rsidR="009718C1">
              <w:rPr>
                <w:noProof/>
                <w:webHidden/>
              </w:rPr>
              <w:fldChar w:fldCharType="begin"/>
            </w:r>
            <w:r w:rsidR="009718C1">
              <w:rPr>
                <w:noProof/>
                <w:webHidden/>
              </w:rPr>
              <w:instrText xml:space="preserve"> PAGEREF _Toc11082724 \h </w:instrText>
            </w:r>
            <w:r w:rsidR="009718C1">
              <w:rPr>
                <w:noProof/>
                <w:webHidden/>
              </w:rPr>
            </w:r>
            <w:r w:rsidR="009718C1">
              <w:rPr>
                <w:noProof/>
                <w:webHidden/>
              </w:rPr>
              <w:fldChar w:fldCharType="separate"/>
            </w:r>
            <w:r w:rsidR="003F0F3E">
              <w:rPr>
                <w:noProof/>
                <w:webHidden/>
              </w:rPr>
              <w:t>2</w:t>
            </w:r>
            <w:r w:rsidR="009718C1">
              <w:rPr>
                <w:noProof/>
                <w:webHidden/>
              </w:rPr>
              <w:fldChar w:fldCharType="end"/>
            </w:r>
          </w:hyperlink>
        </w:p>
        <w:p w:rsidR="009718C1" w:rsidRDefault="000E5718" w:rsidP="009718C1">
          <w:pPr>
            <w:pStyle w:val="TDC1"/>
            <w:rPr>
              <w:rFonts w:eastAsiaTheme="minorEastAsia"/>
              <w:noProof/>
              <w:lang w:eastAsia="es-MX"/>
            </w:rPr>
          </w:pPr>
          <w:hyperlink w:anchor="_Toc11082725" w:history="1">
            <w:r w:rsidR="009718C1" w:rsidRPr="00BB73D5">
              <w:rPr>
                <w:rStyle w:val="Hipervnculo"/>
                <w:rFonts w:ascii="Palatino Linotype" w:eastAsiaTheme="majorEastAsia" w:hAnsi="Palatino Linotype" w:cstheme="majorBidi"/>
                <w:b/>
                <w:noProof/>
              </w:rPr>
              <w:t>V. Restricciones legítimas al derecho a la privacidad.</w:t>
            </w:r>
            <w:r w:rsidR="009718C1">
              <w:rPr>
                <w:noProof/>
                <w:webHidden/>
              </w:rPr>
              <w:tab/>
            </w:r>
            <w:r w:rsidR="009718C1">
              <w:rPr>
                <w:noProof/>
                <w:webHidden/>
              </w:rPr>
              <w:fldChar w:fldCharType="begin"/>
            </w:r>
            <w:r w:rsidR="009718C1">
              <w:rPr>
                <w:noProof/>
                <w:webHidden/>
              </w:rPr>
              <w:instrText xml:space="preserve"> PAGEREF _Toc11082725 \h </w:instrText>
            </w:r>
            <w:r w:rsidR="009718C1">
              <w:rPr>
                <w:noProof/>
                <w:webHidden/>
              </w:rPr>
            </w:r>
            <w:r w:rsidR="009718C1">
              <w:rPr>
                <w:noProof/>
                <w:webHidden/>
              </w:rPr>
              <w:fldChar w:fldCharType="separate"/>
            </w:r>
            <w:r w:rsidR="003F0F3E">
              <w:rPr>
                <w:noProof/>
                <w:webHidden/>
              </w:rPr>
              <w:t>2</w:t>
            </w:r>
            <w:r w:rsidR="009718C1">
              <w:rPr>
                <w:noProof/>
                <w:webHidden/>
              </w:rPr>
              <w:fldChar w:fldCharType="end"/>
            </w:r>
          </w:hyperlink>
        </w:p>
        <w:p w:rsidR="009718C1" w:rsidRDefault="000E5718" w:rsidP="009718C1">
          <w:pPr>
            <w:pStyle w:val="TDC1"/>
            <w:rPr>
              <w:rFonts w:eastAsiaTheme="minorEastAsia"/>
              <w:noProof/>
              <w:lang w:eastAsia="es-MX"/>
            </w:rPr>
          </w:pPr>
          <w:hyperlink w:anchor="_Toc11082726" w:history="1">
            <w:r w:rsidR="009718C1" w:rsidRPr="00BB73D5">
              <w:rPr>
                <w:rStyle w:val="Hipervnculo"/>
                <w:rFonts w:ascii="Palatino Linotype" w:eastAsiaTheme="majorEastAsia" w:hAnsi="Palatino Linotype" w:cstheme="majorBidi"/>
                <w:b/>
                <w:noProof/>
              </w:rPr>
              <w:t>VI. Acceso a la información versus protección de datos personales.</w:t>
            </w:r>
            <w:r w:rsidR="009718C1">
              <w:rPr>
                <w:noProof/>
                <w:webHidden/>
              </w:rPr>
              <w:tab/>
            </w:r>
            <w:r w:rsidR="009718C1">
              <w:rPr>
                <w:noProof/>
                <w:webHidden/>
              </w:rPr>
              <w:fldChar w:fldCharType="begin"/>
            </w:r>
            <w:r w:rsidR="009718C1">
              <w:rPr>
                <w:noProof/>
                <w:webHidden/>
              </w:rPr>
              <w:instrText xml:space="preserve"> PAGEREF _Toc11082726 \h </w:instrText>
            </w:r>
            <w:r w:rsidR="009718C1">
              <w:rPr>
                <w:noProof/>
                <w:webHidden/>
              </w:rPr>
            </w:r>
            <w:r w:rsidR="009718C1">
              <w:rPr>
                <w:noProof/>
                <w:webHidden/>
              </w:rPr>
              <w:fldChar w:fldCharType="separate"/>
            </w:r>
            <w:r w:rsidR="003F0F3E">
              <w:rPr>
                <w:noProof/>
                <w:webHidden/>
              </w:rPr>
              <w:t>2</w:t>
            </w:r>
            <w:r w:rsidR="009718C1">
              <w:rPr>
                <w:noProof/>
                <w:webHidden/>
              </w:rPr>
              <w:fldChar w:fldCharType="end"/>
            </w:r>
          </w:hyperlink>
        </w:p>
        <w:p w:rsidR="009718C1" w:rsidRDefault="000E5718" w:rsidP="009718C1">
          <w:pPr>
            <w:pStyle w:val="TDC1"/>
            <w:rPr>
              <w:rFonts w:eastAsiaTheme="minorEastAsia"/>
              <w:noProof/>
              <w:lang w:eastAsia="es-MX"/>
            </w:rPr>
          </w:pPr>
          <w:hyperlink w:anchor="_Toc11082727" w:history="1">
            <w:r w:rsidR="009718C1" w:rsidRPr="00BB73D5">
              <w:rPr>
                <w:rStyle w:val="Hipervnculo"/>
                <w:rFonts w:ascii="Palatino Linotype" w:hAnsi="Palatino Linotype"/>
                <w:b/>
                <w:noProof/>
              </w:rPr>
              <w:t>A. Juicio de idoneidad.</w:t>
            </w:r>
            <w:r w:rsidR="009718C1">
              <w:rPr>
                <w:noProof/>
                <w:webHidden/>
              </w:rPr>
              <w:tab/>
            </w:r>
            <w:r w:rsidR="009718C1">
              <w:rPr>
                <w:noProof/>
                <w:webHidden/>
              </w:rPr>
              <w:fldChar w:fldCharType="begin"/>
            </w:r>
            <w:r w:rsidR="009718C1">
              <w:rPr>
                <w:noProof/>
                <w:webHidden/>
              </w:rPr>
              <w:instrText xml:space="preserve"> PAGEREF _Toc11082727 \h </w:instrText>
            </w:r>
            <w:r w:rsidR="009718C1">
              <w:rPr>
                <w:noProof/>
                <w:webHidden/>
              </w:rPr>
            </w:r>
            <w:r w:rsidR="009718C1">
              <w:rPr>
                <w:noProof/>
                <w:webHidden/>
              </w:rPr>
              <w:fldChar w:fldCharType="separate"/>
            </w:r>
            <w:r w:rsidR="003F0F3E">
              <w:rPr>
                <w:noProof/>
                <w:webHidden/>
              </w:rPr>
              <w:t>2</w:t>
            </w:r>
            <w:r w:rsidR="009718C1">
              <w:rPr>
                <w:noProof/>
                <w:webHidden/>
              </w:rPr>
              <w:fldChar w:fldCharType="end"/>
            </w:r>
          </w:hyperlink>
        </w:p>
        <w:p w:rsidR="009718C1" w:rsidRDefault="000E5718" w:rsidP="009718C1">
          <w:pPr>
            <w:pStyle w:val="TDC1"/>
            <w:rPr>
              <w:rFonts w:eastAsiaTheme="minorEastAsia"/>
              <w:noProof/>
              <w:lang w:eastAsia="es-MX"/>
            </w:rPr>
          </w:pPr>
          <w:hyperlink w:anchor="_Toc11082728" w:history="1">
            <w:r w:rsidR="009718C1" w:rsidRPr="00BB73D5">
              <w:rPr>
                <w:rStyle w:val="Hipervnculo"/>
                <w:rFonts w:ascii="Palatino Linotype" w:hAnsi="Palatino Linotype"/>
                <w:b/>
                <w:noProof/>
              </w:rPr>
              <w:t>B.  Juicio de Necesidad</w:t>
            </w:r>
            <w:r w:rsidR="009718C1" w:rsidRPr="00BB73D5">
              <w:rPr>
                <w:rStyle w:val="Hipervnculo"/>
                <w:noProof/>
              </w:rPr>
              <w:t>.</w:t>
            </w:r>
            <w:r w:rsidR="009718C1">
              <w:rPr>
                <w:noProof/>
                <w:webHidden/>
              </w:rPr>
              <w:tab/>
            </w:r>
            <w:r w:rsidR="009718C1">
              <w:rPr>
                <w:noProof/>
                <w:webHidden/>
              </w:rPr>
              <w:fldChar w:fldCharType="begin"/>
            </w:r>
            <w:r w:rsidR="009718C1">
              <w:rPr>
                <w:noProof/>
                <w:webHidden/>
              </w:rPr>
              <w:instrText xml:space="preserve"> PAGEREF _Toc11082728 \h </w:instrText>
            </w:r>
            <w:r w:rsidR="009718C1">
              <w:rPr>
                <w:noProof/>
                <w:webHidden/>
              </w:rPr>
            </w:r>
            <w:r w:rsidR="009718C1">
              <w:rPr>
                <w:noProof/>
                <w:webHidden/>
              </w:rPr>
              <w:fldChar w:fldCharType="separate"/>
            </w:r>
            <w:r w:rsidR="003F0F3E">
              <w:rPr>
                <w:noProof/>
                <w:webHidden/>
              </w:rPr>
              <w:t>2</w:t>
            </w:r>
            <w:r w:rsidR="009718C1">
              <w:rPr>
                <w:noProof/>
                <w:webHidden/>
              </w:rPr>
              <w:fldChar w:fldCharType="end"/>
            </w:r>
          </w:hyperlink>
        </w:p>
        <w:p w:rsidR="009718C1" w:rsidRDefault="000E5718" w:rsidP="009718C1">
          <w:pPr>
            <w:pStyle w:val="TDC1"/>
            <w:rPr>
              <w:rFonts w:eastAsiaTheme="minorEastAsia"/>
              <w:noProof/>
              <w:lang w:eastAsia="es-MX"/>
            </w:rPr>
          </w:pPr>
          <w:hyperlink w:anchor="_Toc11082729" w:history="1">
            <w:r w:rsidR="009718C1" w:rsidRPr="00414F77">
              <w:rPr>
                <w:rStyle w:val="Hipervnculo"/>
                <w:rFonts w:ascii="Palatino Linotype" w:hAnsi="Palatino Linotype"/>
                <w:b/>
                <w:noProof/>
                <w:color w:val="auto"/>
              </w:rPr>
              <w:t>C. Juicio de estricta proporcionalidad.</w:t>
            </w:r>
            <w:r w:rsidR="009718C1">
              <w:rPr>
                <w:noProof/>
                <w:webHidden/>
              </w:rPr>
              <w:tab/>
            </w:r>
            <w:r w:rsidR="009718C1">
              <w:rPr>
                <w:noProof/>
                <w:webHidden/>
              </w:rPr>
              <w:fldChar w:fldCharType="begin"/>
            </w:r>
            <w:r w:rsidR="009718C1">
              <w:rPr>
                <w:noProof/>
                <w:webHidden/>
              </w:rPr>
              <w:instrText xml:space="preserve"> PAGEREF _Toc11082729 \h </w:instrText>
            </w:r>
            <w:r w:rsidR="009718C1">
              <w:rPr>
                <w:noProof/>
                <w:webHidden/>
              </w:rPr>
            </w:r>
            <w:r w:rsidR="009718C1">
              <w:rPr>
                <w:noProof/>
                <w:webHidden/>
              </w:rPr>
              <w:fldChar w:fldCharType="separate"/>
            </w:r>
            <w:r w:rsidR="003F0F3E">
              <w:rPr>
                <w:noProof/>
                <w:webHidden/>
              </w:rPr>
              <w:t>2</w:t>
            </w:r>
            <w:r w:rsidR="009718C1">
              <w:rPr>
                <w:noProof/>
                <w:webHidden/>
              </w:rPr>
              <w:fldChar w:fldCharType="end"/>
            </w:r>
          </w:hyperlink>
        </w:p>
        <w:p w:rsidR="009718C1" w:rsidRDefault="000E5718" w:rsidP="009718C1">
          <w:pPr>
            <w:pStyle w:val="TDC1"/>
            <w:rPr>
              <w:rFonts w:eastAsiaTheme="minorEastAsia"/>
              <w:noProof/>
              <w:lang w:eastAsia="es-MX"/>
            </w:rPr>
          </w:pPr>
          <w:hyperlink w:anchor="_Toc11082730" w:history="1">
            <w:r w:rsidR="009718C1" w:rsidRPr="00BB73D5">
              <w:rPr>
                <w:rStyle w:val="Hipervnculo"/>
                <w:rFonts w:ascii="Palatino Linotype" w:hAnsi="Palatino Linotype"/>
                <w:b/>
                <w:noProof/>
              </w:rPr>
              <w:t>VII. Conclusión</w:t>
            </w:r>
            <w:r w:rsidR="009718C1">
              <w:rPr>
                <w:noProof/>
                <w:webHidden/>
              </w:rPr>
              <w:tab/>
            </w:r>
            <w:r w:rsidR="009718C1">
              <w:rPr>
                <w:noProof/>
                <w:webHidden/>
              </w:rPr>
              <w:fldChar w:fldCharType="begin"/>
            </w:r>
            <w:r w:rsidR="009718C1">
              <w:rPr>
                <w:noProof/>
                <w:webHidden/>
              </w:rPr>
              <w:instrText xml:space="preserve"> PAGEREF _Toc11082730 \h </w:instrText>
            </w:r>
            <w:r w:rsidR="009718C1">
              <w:rPr>
                <w:noProof/>
                <w:webHidden/>
              </w:rPr>
            </w:r>
            <w:r w:rsidR="009718C1">
              <w:rPr>
                <w:noProof/>
                <w:webHidden/>
              </w:rPr>
              <w:fldChar w:fldCharType="separate"/>
            </w:r>
            <w:r w:rsidR="003F0F3E">
              <w:rPr>
                <w:noProof/>
                <w:webHidden/>
              </w:rPr>
              <w:t>2</w:t>
            </w:r>
            <w:r w:rsidR="009718C1">
              <w:rPr>
                <w:noProof/>
                <w:webHidden/>
              </w:rPr>
              <w:fldChar w:fldCharType="end"/>
            </w:r>
          </w:hyperlink>
        </w:p>
        <w:p w:rsidR="009718C1" w:rsidRPr="0001046D" w:rsidRDefault="009718C1" w:rsidP="009718C1">
          <w:pPr>
            <w:spacing w:line="360" w:lineRule="auto"/>
            <w:rPr>
              <w:rFonts w:ascii="Palatino Linotype" w:hAnsi="Palatino Linotype"/>
            </w:rPr>
          </w:pPr>
          <w:r w:rsidRPr="0001046D">
            <w:rPr>
              <w:rFonts w:ascii="Palatino Linotype" w:hAnsi="Palatino Linotype"/>
              <w:b/>
              <w:bCs/>
              <w:lang w:val="es-ES"/>
            </w:rPr>
            <w:fldChar w:fldCharType="end"/>
          </w:r>
        </w:p>
      </w:sdtContent>
    </w:sdt>
    <w:p w:rsidR="009718C1" w:rsidRPr="0001046D" w:rsidRDefault="009718C1" w:rsidP="009718C1">
      <w:pPr>
        <w:pStyle w:val="Ttulo1"/>
        <w:numPr>
          <w:ilvl w:val="0"/>
          <w:numId w:val="2"/>
        </w:numPr>
        <w:tabs>
          <w:tab w:val="left" w:pos="426"/>
        </w:tabs>
        <w:spacing w:line="360" w:lineRule="auto"/>
        <w:ind w:left="0" w:firstLine="0"/>
        <w:rPr>
          <w:rFonts w:ascii="Palatino Linotype" w:hAnsi="Palatino Linotype"/>
          <w:b/>
          <w:color w:val="auto"/>
          <w:sz w:val="24"/>
          <w:szCs w:val="24"/>
        </w:rPr>
      </w:pPr>
      <w:bookmarkStart w:id="1" w:name="_Toc8222817"/>
      <w:bookmarkStart w:id="2" w:name="_Toc11082721"/>
      <w:r w:rsidRPr="0001046D">
        <w:rPr>
          <w:rFonts w:ascii="Palatino Linotype" w:hAnsi="Palatino Linotype"/>
          <w:b/>
          <w:color w:val="auto"/>
          <w:sz w:val="24"/>
          <w:szCs w:val="24"/>
        </w:rPr>
        <w:t>Consideraciones Generales.</w:t>
      </w:r>
      <w:bookmarkEnd w:id="1"/>
      <w:bookmarkEnd w:id="2"/>
    </w:p>
    <w:p w:rsidR="009718C1" w:rsidRPr="00F3161F" w:rsidRDefault="009718C1" w:rsidP="009718C1">
      <w:pPr>
        <w:pStyle w:val="Prrafodelista"/>
        <w:spacing w:after="0" w:line="360" w:lineRule="auto"/>
        <w:ind w:left="1080"/>
        <w:jc w:val="both"/>
        <w:rPr>
          <w:rFonts w:ascii="Palatino Linotype" w:hAnsi="Palatino Linotype" w:cs="Arial"/>
          <w:b/>
          <w:sz w:val="16"/>
          <w:szCs w:val="24"/>
        </w:rPr>
      </w:pPr>
    </w:p>
    <w:p w:rsidR="009718C1" w:rsidRPr="00647EFF" w:rsidRDefault="009718C1" w:rsidP="009718C1">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voto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México y Municipios, en su</w:t>
      </w:r>
      <w:r>
        <w:rPr>
          <w:rFonts w:ascii="Palatino Linotype" w:hAnsi="Palatino Linotype" w:cs="Arial"/>
          <w:sz w:val="24"/>
          <w:szCs w:val="24"/>
        </w:rPr>
        <w:t xml:space="preserve"> Vigésima Primera Sesión O</w:t>
      </w:r>
      <w:r w:rsidRPr="00E34F08">
        <w:rPr>
          <w:rFonts w:ascii="Palatino Linotype" w:hAnsi="Palatino Linotype" w:cs="Arial"/>
          <w:sz w:val="24"/>
          <w:szCs w:val="24"/>
        </w:rPr>
        <w:t>rdinaria de</w:t>
      </w:r>
      <w:r>
        <w:rPr>
          <w:rFonts w:ascii="Palatino Linotype" w:hAnsi="Palatino Linotype" w:cs="Arial"/>
          <w:sz w:val="24"/>
          <w:szCs w:val="24"/>
        </w:rPr>
        <w:t xml:space="preserve"> fecha cinco </w:t>
      </w:r>
      <w:r w:rsidRPr="00E34F08">
        <w:rPr>
          <w:rFonts w:ascii="Palatino Linotype" w:hAnsi="Palatino Linotype" w:cs="Arial"/>
          <w:sz w:val="24"/>
          <w:szCs w:val="24"/>
        </w:rPr>
        <w:t>(</w:t>
      </w:r>
      <w:r>
        <w:rPr>
          <w:rFonts w:ascii="Palatino Linotype" w:hAnsi="Palatino Linotype" w:cs="Arial"/>
          <w:sz w:val="24"/>
          <w:szCs w:val="24"/>
        </w:rPr>
        <w:t>05</w:t>
      </w:r>
      <w:r w:rsidRPr="00E34F08">
        <w:rPr>
          <w:rFonts w:ascii="Palatino Linotype" w:hAnsi="Palatino Linotype" w:cs="Arial"/>
          <w:sz w:val="24"/>
          <w:szCs w:val="24"/>
        </w:rPr>
        <w:t xml:space="preserve">) de </w:t>
      </w:r>
      <w:r>
        <w:rPr>
          <w:rFonts w:ascii="Palatino Linotype" w:hAnsi="Palatino Linotype" w:cs="Arial"/>
          <w:sz w:val="24"/>
          <w:szCs w:val="24"/>
        </w:rPr>
        <w:t>junio de dos mil diecinueve, en el</w:t>
      </w:r>
      <w:r w:rsidRPr="00E34F08">
        <w:rPr>
          <w:rFonts w:ascii="Palatino Linotype" w:hAnsi="Palatino Linotype" w:cs="Arial"/>
          <w:sz w:val="24"/>
          <w:szCs w:val="24"/>
        </w:rPr>
        <w:t xml:space="preserve"> recurso de revisión promovido por</w:t>
      </w:r>
      <w:r w:rsidRPr="00E34F08">
        <w:rPr>
          <w:rFonts w:ascii="Palatino Linotype" w:hAnsi="Palatino Linotype" w:cs="Arial"/>
          <w:b/>
          <w:sz w:val="24"/>
          <w:szCs w:val="24"/>
        </w:rPr>
        <w:t xml:space="preserve"> </w:t>
      </w:r>
      <w:r w:rsidRPr="000A71F1">
        <w:rPr>
          <w:rFonts w:ascii="Palatino Linotype" w:hAnsi="Palatino Linotype" w:cs="Arial"/>
          <w:sz w:val="24"/>
          <w:szCs w:val="24"/>
        </w:rPr>
        <w:t>un particular</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en contra de la respuesta del</w:t>
      </w:r>
      <w:r w:rsidRPr="00647EFF">
        <w:rPr>
          <w:rFonts w:ascii="Palatino Linotype" w:hAnsi="Palatino Linotype" w:cs="Arial"/>
          <w:sz w:val="24"/>
          <w:szCs w:val="24"/>
        </w:rPr>
        <w:t xml:space="preserve"> </w:t>
      </w:r>
      <w:r w:rsidRPr="001D63FD">
        <w:rPr>
          <w:rFonts w:ascii="Palatino Linotype" w:hAnsi="Palatino Linotype" w:cs="Arial"/>
          <w:b/>
          <w:sz w:val="24"/>
          <w:szCs w:val="24"/>
        </w:rPr>
        <w:t xml:space="preserve">Ayuntamiento </w:t>
      </w:r>
      <w:r w:rsidR="008E0AF3">
        <w:rPr>
          <w:rFonts w:ascii="Palatino Linotype" w:hAnsi="Palatino Linotype" w:cs="Arial"/>
          <w:b/>
          <w:sz w:val="24"/>
          <w:szCs w:val="24"/>
        </w:rPr>
        <w:lastRenderedPageBreak/>
        <w:t>de Ixtlahuaca</w:t>
      </w:r>
      <w:r>
        <w:rPr>
          <w:rFonts w:ascii="Palatino Linotype" w:hAnsi="Palatino Linotype" w:cs="Arial"/>
          <w:sz w:val="24"/>
          <w:szCs w:val="24"/>
        </w:rPr>
        <w:t xml:space="preserve">, </w:t>
      </w:r>
      <w:r w:rsidRPr="00647EFF">
        <w:rPr>
          <w:rFonts w:ascii="Palatino Linotype" w:hAnsi="Palatino Linotype" w:cs="Arial"/>
          <w:sz w:val="24"/>
          <w:szCs w:val="24"/>
        </w:rPr>
        <w:t xml:space="preserve">procedimiento al que se le asignó el número de expediente </w:t>
      </w:r>
      <w:r w:rsidRPr="00647EFF">
        <w:rPr>
          <w:rFonts w:ascii="Palatino Linotype" w:eastAsia="Times New Roman" w:hAnsi="Palatino Linotype" w:cs="Arial"/>
          <w:b/>
          <w:bCs/>
          <w:sz w:val="24"/>
          <w:szCs w:val="24"/>
          <w:lang w:eastAsia="es-ES"/>
        </w:rPr>
        <w:t>01</w:t>
      </w:r>
      <w:r w:rsidR="008E0AF3">
        <w:rPr>
          <w:rFonts w:ascii="Palatino Linotype" w:eastAsia="Times New Roman" w:hAnsi="Palatino Linotype" w:cs="Arial"/>
          <w:b/>
          <w:bCs/>
          <w:sz w:val="24"/>
          <w:szCs w:val="24"/>
          <w:lang w:eastAsia="es-ES"/>
        </w:rPr>
        <w:t>91</w:t>
      </w:r>
      <w:r>
        <w:rPr>
          <w:rFonts w:ascii="Palatino Linotype" w:eastAsia="Times New Roman" w:hAnsi="Palatino Linotype" w:cs="Arial"/>
          <w:b/>
          <w:bCs/>
          <w:sz w:val="24"/>
          <w:szCs w:val="24"/>
          <w:lang w:eastAsia="es-ES"/>
        </w:rPr>
        <w:t>0</w:t>
      </w:r>
      <w:r w:rsidRPr="00647EFF">
        <w:rPr>
          <w:rFonts w:ascii="Palatino Linotype" w:eastAsia="Times New Roman" w:hAnsi="Palatino Linotype" w:cs="Arial"/>
          <w:b/>
          <w:bCs/>
          <w:sz w:val="24"/>
          <w:szCs w:val="24"/>
          <w:lang w:eastAsia="es-ES"/>
        </w:rPr>
        <w:t>/INFOEM/IP/RR/2019.</w:t>
      </w:r>
    </w:p>
    <w:p w:rsidR="009718C1" w:rsidRPr="00EE49DD" w:rsidRDefault="009718C1" w:rsidP="009718C1">
      <w:pPr>
        <w:pStyle w:val="Prrafodelista"/>
        <w:tabs>
          <w:tab w:val="left" w:pos="426"/>
        </w:tabs>
        <w:spacing w:after="0" w:line="360" w:lineRule="auto"/>
        <w:ind w:left="0"/>
        <w:jc w:val="both"/>
        <w:rPr>
          <w:rFonts w:ascii="Palatino Linotype" w:hAnsi="Palatino Linotype" w:cs="Arial"/>
          <w:sz w:val="24"/>
          <w:szCs w:val="24"/>
        </w:rPr>
      </w:pPr>
    </w:p>
    <w:p w:rsidR="009718C1" w:rsidRDefault="009718C1" w:rsidP="009718C1">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647EFF">
        <w:rPr>
          <w:rFonts w:ascii="Palatino Linotype" w:hAnsi="Palatino Linotype" w:cs="Arial"/>
          <w:sz w:val="24"/>
          <w:szCs w:val="24"/>
        </w:rPr>
        <w:t xml:space="preserve">A través del estudio realizado dentro de la resolución que al rubro se indica, la Ponencia Resolutora determinó que resultaban </w:t>
      </w:r>
      <w:r>
        <w:rPr>
          <w:rFonts w:ascii="Palatino Linotype" w:hAnsi="Palatino Linotype" w:cs="Arial"/>
          <w:sz w:val="24"/>
          <w:szCs w:val="24"/>
        </w:rPr>
        <w:t>fundado</w:t>
      </w:r>
      <w:r w:rsidRPr="00647EFF">
        <w:rPr>
          <w:rFonts w:ascii="Palatino Linotype" w:hAnsi="Palatino Linotype" w:cs="Arial"/>
          <w:sz w:val="24"/>
          <w:szCs w:val="24"/>
        </w:rPr>
        <w:t xml:space="preserve">s </w:t>
      </w:r>
      <w:r>
        <w:rPr>
          <w:rFonts w:ascii="Palatino Linotype" w:hAnsi="Palatino Linotype" w:cs="Arial"/>
          <w:sz w:val="24"/>
          <w:szCs w:val="24"/>
        </w:rPr>
        <w:t>los</w:t>
      </w:r>
      <w:r w:rsidRPr="00647EFF">
        <w:rPr>
          <w:rFonts w:ascii="Palatino Linotype" w:hAnsi="Palatino Linotype" w:cs="Arial"/>
          <w:sz w:val="24"/>
          <w:szCs w:val="24"/>
        </w:rPr>
        <w:t xml:space="preserve"> motivos de inconformidad hechos valer por el </w:t>
      </w:r>
      <w:r w:rsidRPr="00647EFF">
        <w:rPr>
          <w:rFonts w:ascii="Palatino Linotype" w:hAnsi="Palatino Linotype" w:cs="Arial"/>
          <w:b/>
          <w:sz w:val="24"/>
          <w:szCs w:val="24"/>
        </w:rPr>
        <w:t>RECURRENTE</w:t>
      </w:r>
      <w:r w:rsidRPr="00647EFF">
        <w:rPr>
          <w:rFonts w:ascii="Palatino Linotype" w:hAnsi="Palatino Linotype" w:cs="Arial"/>
          <w:sz w:val="24"/>
          <w:szCs w:val="24"/>
        </w:rPr>
        <w:t xml:space="preserve"> en términos del Considerando </w:t>
      </w:r>
      <w:r>
        <w:rPr>
          <w:rFonts w:ascii="Palatino Linotype" w:hAnsi="Palatino Linotype" w:cs="Arial"/>
          <w:b/>
          <w:sz w:val="24"/>
          <w:szCs w:val="24"/>
        </w:rPr>
        <w:t>QUIN</w:t>
      </w:r>
      <w:r w:rsidRPr="00647EFF">
        <w:rPr>
          <w:rFonts w:ascii="Palatino Linotype" w:hAnsi="Palatino Linotype" w:cs="Arial"/>
          <w:b/>
          <w:sz w:val="24"/>
          <w:szCs w:val="24"/>
        </w:rPr>
        <w:t xml:space="preserve">TO </w:t>
      </w:r>
      <w:r w:rsidRPr="00647EFF">
        <w:rPr>
          <w:rFonts w:ascii="Palatino Linotype" w:hAnsi="Palatino Linotype" w:cs="Arial"/>
          <w:sz w:val="24"/>
          <w:szCs w:val="24"/>
        </w:rPr>
        <w:t xml:space="preserve">de la resolución, por lo que se consideró </w:t>
      </w:r>
      <w:r>
        <w:rPr>
          <w:rFonts w:ascii="Palatino Linotype" w:hAnsi="Palatino Linotype" w:cs="Arial"/>
          <w:b/>
          <w:sz w:val="24"/>
          <w:szCs w:val="24"/>
        </w:rPr>
        <w:t>MODIFIC</w:t>
      </w:r>
      <w:r w:rsidRPr="00647EFF">
        <w:rPr>
          <w:rFonts w:ascii="Palatino Linotype" w:hAnsi="Palatino Linotype" w:cs="Arial"/>
          <w:b/>
          <w:sz w:val="24"/>
          <w:szCs w:val="24"/>
        </w:rPr>
        <w:t>AR</w:t>
      </w:r>
      <w:r w:rsidRPr="00647EFF">
        <w:rPr>
          <w:rFonts w:ascii="Palatino Linotype" w:hAnsi="Palatino Linotype" w:cs="Arial"/>
          <w:sz w:val="24"/>
          <w:szCs w:val="24"/>
        </w:rPr>
        <w:t xml:space="preserve"> la respuesta del </w:t>
      </w:r>
      <w:r>
        <w:rPr>
          <w:rFonts w:ascii="Palatino Linotype" w:hAnsi="Palatino Linotype" w:cs="Arial"/>
          <w:b/>
          <w:sz w:val="24"/>
          <w:szCs w:val="24"/>
        </w:rPr>
        <w:t xml:space="preserve">SUJETO OBLIGADO, </w:t>
      </w:r>
      <w:r>
        <w:rPr>
          <w:rFonts w:ascii="Palatino Linotype" w:hAnsi="Palatino Linotype" w:cs="Arial"/>
          <w:sz w:val="24"/>
          <w:szCs w:val="24"/>
        </w:rPr>
        <w:t>y ordenar la entrega, en versión pública</w:t>
      </w:r>
      <w:r w:rsidR="008E0AF3">
        <w:rPr>
          <w:rFonts w:ascii="Palatino Linotype" w:hAnsi="Palatino Linotype" w:cs="Arial"/>
          <w:sz w:val="24"/>
          <w:szCs w:val="24"/>
        </w:rPr>
        <w:t xml:space="preserve"> de ser procedente del documento en el que conste lo siguiente</w:t>
      </w:r>
      <w:r>
        <w:rPr>
          <w:rFonts w:ascii="Palatino Linotype" w:hAnsi="Palatino Linotype" w:cs="Arial"/>
          <w:sz w:val="24"/>
          <w:szCs w:val="24"/>
        </w:rPr>
        <w:t>:</w:t>
      </w:r>
    </w:p>
    <w:p w:rsidR="009718C1" w:rsidRPr="001D63FD" w:rsidRDefault="009718C1" w:rsidP="009718C1">
      <w:pPr>
        <w:pStyle w:val="Prrafodelista"/>
        <w:tabs>
          <w:tab w:val="left" w:pos="426"/>
        </w:tabs>
        <w:spacing w:after="0" w:line="360" w:lineRule="auto"/>
        <w:ind w:left="426"/>
        <w:jc w:val="both"/>
        <w:rPr>
          <w:rFonts w:ascii="Palatino Linotype" w:hAnsi="Palatino Linotype" w:cs="Arial"/>
          <w:i/>
          <w:sz w:val="24"/>
          <w:szCs w:val="24"/>
        </w:rPr>
      </w:pPr>
      <w:r w:rsidRPr="001D63FD">
        <w:rPr>
          <w:rFonts w:ascii="Palatino Linotype" w:hAnsi="Palatino Linotype" w:cs="Arial"/>
          <w:i/>
          <w:sz w:val="24"/>
          <w:szCs w:val="24"/>
        </w:rPr>
        <w:t>“(…)</w:t>
      </w:r>
    </w:p>
    <w:p w:rsidR="008E0AF3" w:rsidRPr="008E0AF3" w:rsidRDefault="008E0AF3" w:rsidP="008E0AF3">
      <w:pPr>
        <w:pStyle w:val="Prrafodelista"/>
        <w:numPr>
          <w:ilvl w:val="0"/>
          <w:numId w:val="5"/>
        </w:numPr>
        <w:tabs>
          <w:tab w:val="left" w:pos="1276"/>
        </w:tabs>
        <w:rPr>
          <w:rFonts w:ascii="Palatino Linotype" w:hAnsi="Palatino Linotype" w:cs="Arial"/>
          <w:i/>
          <w:sz w:val="24"/>
          <w:szCs w:val="24"/>
        </w:rPr>
      </w:pPr>
      <w:r w:rsidRPr="008E0AF3">
        <w:rPr>
          <w:rFonts w:ascii="Palatino Linotype" w:hAnsi="Palatino Linotype" w:cs="Arial"/>
          <w:i/>
          <w:sz w:val="24"/>
          <w:szCs w:val="24"/>
        </w:rPr>
        <w:t>El último grado de estudios del Director de Ecología adscrito al H. Ayuntamiento de Ixtlahuaca.</w:t>
      </w:r>
    </w:p>
    <w:p w:rsidR="008E0AF3" w:rsidRPr="008E0AF3" w:rsidRDefault="008E0AF3" w:rsidP="008E0AF3">
      <w:pPr>
        <w:pStyle w:val="Prrafodelista"/>
        <w:tabs>
          <w:tab w:val="left" w:pos="1276"/>
        </w:tabs>
        <w:ind w:left="851"/>
        <w:rPr>
          <w:rFonts w:ascii="Palatino Linotype" w:hAnsi="Palatino Linotype" w:cs="Arial"/>
          <w:b/>
          <w:i/>
          <w:sz w:val="24"/>
          <w:szCs w:val="24"/>
        </w:rPr>
      </w:pPr>
    </w:p>
    <w:p w:rsidR="008E0AF3" w:rsidRPr="008E0AF3" w:rsidRDefault="008E0AF3" w:rsidP="008E0AF3">
      <w:pPr>
        <w:pStyle w:val="Prrafodelista"/>
        <w:tabs>
          <w:tab w:val="left" w:pos="1276"/>
        </w:tabs>
        <w:ind w:left="851"/>
        <w:rPr>
          <w:rFonts w:ascii="Palatino Linotype" w:hAnsi="Palatino Linotype" w:cs="Arial"/>
          <w:i/>
          <w:sz w:val="24"/>
          <w:szCs w:val="24"/>
        </w:rPr>
      </w:pPr>
      <w:r w:rsidRPr="008E0AF3">
        <w:rPr>
          <w:rFonts w:ascii="Palatino Linotype" w:hAnsi="Palatino Linotype" w:cs="Arial"/>
          <w:i/>
          <w:sz w:val="24"/>
          <w:szCs w:val="24"/>
        </w:rPr>
        <w:t>Para efecto de lo anterior, se deberá emitir el acuerdo de clasificación que respalde la versión pública, en términos de los artículos 49, fracción VIII, 132, fracción II, de la Ley de Transparencia y Acceso a la Información Pública del Estado de México y Municipios y demás normatividades aplicables.</w:t>
      </w:r>
    </w:p>
    <w:p w:rsidR="009718C1" w:rsidRPr="00CE68A3" w:rsidRDefault="009718C1" w:rsidP="009718C1">
      <w:pPr>
        <w:pStyle w:val="Prrafodelista"/>
        <w:tabs>
          <w:tab w:val="left" w:pos="1276"/>
        </w:tabs>
        <w:ind w:left="851"/>
        <w:rPr>
          <w:rFonts w:ascii="Palatino Linotype" w:hAnsi="Palatino Linotype" w:cs="Arial"/>
          <w:i/>
          <w:sz w:val="24"/>
          <w:szCs w:val="24"/>
        </w:rPr>
      </w:pPr>
    </w:p>
    <w:p w:rsidR="009718C1" w:rsidRPr="001D63FD" w:rsidRDefault="009718C1" w:rsidP="009718C1">
      <w:pPr>
        <w:pStyle w:val="Prrafodelista"/>
        <w:tabs>
          <w:tab w:val="left" w:pos="1276"/>
        </w:tabs>
        <w:spacing w:after="0" w:line="240" w:lineRule="auto"/>
        <w:ind w:left="851"/>
        <w:jc w:val="both"/>
        <w:rPr>
          <w:rFonts w:ascii="Palatino Linotype" w:hAnsi="Palatino Linotype" w:cs="Arial"/>
          <w:i/>
          <w:sz w:val="24"/>
          <w:szCs w:val="24"/>
        </w:rPr>
      </w:pPr>
    </w:p>
    <w:p w:rsidR="009718C1" w:rsidRDefault="009718C1" w:rsidP="009718C1">
      <w:pPr>
        <w:pStyle w:val="Prrafodelista"/>
        <w:tabs>
          <w:tab w:val="left" w:pos="1276"/>
        </w:tabs>
        <w:spacing w:after="0" w:line="240" w:lineRule="auto"/>
        <w:ind w:left="851"/>
        <w:jc w:val="both"/>
        <w:rPr>
          <w:rFonts w:ascii="Palatino Linotype" w:hAnsi="Palatino Linotype" w:cs="Arial"/>
          <w:i/>
          <w:sz w:val="24"/>
          <w:szCs w:val="24"/>
        </w:rPr>
      </w:pPr>
      <w:r w:rsidRPr="001D63FD">
        <w:rPr>
          <w:rFonts w:ascii="Palatino Linotype" w:hAnsi="Palatino Linotype" w:cs="Arial"/>
          <w:i/>
          <w:sz w:val="24"/>
          <w:szCs w:val="24"/>
        </w:rPr>
        <w:t>(…)”</w:t>
      </w:r>
      <w:r>
        <w:rPr>
          <w:rFonts w:ascii="Palatino Linotype" w:hAnsi="Palatino Linotype" w:cs="Arial"/>
          <w:i/>
          <w:sz w:val="24"/>
          <w:szCs w:val="24"/>
        </w:rPr>
        <w:t xml:space="preserve"> </w:t>
      </w:r>
      <w:r w:rsidRPr="001D63FD">
        <w:rPr>
          <w:rFonts w:ascii="Palatino Linotype" w:hAnsi="Palatino Linotype" w:cs="Arial"/>
          <w:sz w:val="24"/>
          <w:szCs w:val="24"/>
        </w:rPr>
        <w:t>(Sic)</w:t>
      </w:r>
    </w:p>
    <w:p w:rsidR="009718C1" w:rsidRPr="001D63FD" w:rsidRDefault="009718C1" w:rsidP="009718C1">
      <w:pPr>
        <w:tabs>
          <w:tab w:val="left" w:pos="1276"/>
        </w:tabs>
        <w:spacing w:after="0" w:line="240" w:lineRule="auto"/>
        <w:jc w:val="both"/>
        <w:rPr>
          <w:rFonts w:ascii="Palatino Linotype" w:hAnsi="Palatino Linotype" w:cs="Arial"/>
          <w:i/>
          <w:sz w:val="24"/>
          <w:szCs w:val="24"/>
        </w:rPr>
      </w:pPr>
    </w:p>
    <w:p w:rsidR="009718C1" w:rsidRPr="005020DC" w:rsidRDefault="009718C1" w:rsidP="009718C1">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E49DD">
        <w:rPr>
          <w:rFonts w:ascii="Palatino Linotype" w:hAnsi="Palatino Linotype" w:cs="Arial"/>
          <w:sz w:val="24"/>
          <w:szCs w:val="24"/>
        </w:rPr>
        <w:t xml:space="preserve">Sin embargo, mi voto particular se deriva del hecho de que </w:t>
      </w:r>
      <w:r>
        <w:rPr>
          <w:rFonts w:ascii="Palatino Linotype" w:hAnsi="Palatino Linotype" w:cs="Arial"/>
          <w:sz w:val="24"/>
          <w:szCs w:val="24"/>
        </w:rPr>
        <w:t>la Ponencia Resolutora</w:t>
      </w:r>
      <w:r w:rsidR="0045489C">
        <w:rPr>
          <w:rFonts w:ascii="Palatino Linotype" w:hAnsi="Palatino Linotype" w:cs="Arial"/>
          <w:sz w:val="24"/>
          <w:szCs w:val="24"/>
        </w:rPr>
        <w:t xml:space="preserve"> considerará que al momento de dar respuesta a la solicitud de información dejo datos que pueden considerarse información confidencial por lo que ordenaron dar vista al Titular de la Contraloría Interna y Órgano de Control y Vigilancia de este Instituto, derivado de lo anterior </w:t>
      </w:r>
      <w:r w:rsidR="00F51877">
        <w:rPr>
          <w:rFonts w:ascii="Palatino Linotype" w:hAnsi="Palatino Linotype" w:cs="Arial"/>
          <w:sz w:val="24"/>
          <w:szCs w:val="24"/>
        </w:rPr>
        <w:t xml:space="preserve">esta Ponencia considera que no </w:t>
      </w:r>
      <w:r w:rsidR="00F51877">
        <w:rPr>
          <w:rFonts w:ascii="Palatino Linotype" w:hAnsi="Palatino Linotype" w:cs="Arial"/>
          <w:sz w:val="24"/>
          <w:szCs w:val="24"/>
        </w:rPr>
        <w:lastRenderedPageBreak/>
        <w:t>es</w:t>
      </w:r>
      <w:r>
        <w:rPr>
          <w:rFonts w:ascii="Palatino Linotype" w:hAnsi="Palatino Linotype" w:cs="Arial"/>
          <w:sz w:val="24"/>
          <w:szCs w:val="24"/>
        </w:rPr>
        <w:t xml:space="preserve"> procedente la clasificación como información confidencial la relativa a la firma en la cédula profesional del </w:t>
      </w:r>
      <w:r w:rsidR="00F51877">
        <w:rPr>
          <w:rFonts w:ascii="Palatino Linotype" w:hAnsi="Palatino Linotype" w:cs="Arial"/>
          <w:sz w:val="24"/>
          <w:szCs w:val="24"/>
        </w:rPr>
        <w:t xml:space="preserve"> Tesorero Municipal y el Director de Desarrollo Urbano y Obras Públicas</w:t>
      </w:r>
      <w:r>
        <w:rPr>
          <w:rFonts w:ascii="Palatino Linotype" w:hAnsi="Palatino Linotype" w:cs="Arial"/>
          <w:sz w:val="24"/>
          <w:szCs w:val="24"/>
        </w:rPr>
        <w:t xml:space="preserve">, razón por la cual a consideración de un servidor dicho dato personal tiene carácter de público. </w:t>
      </w:r>
    </w:p>
    <w:p w:rsidR="009718C1" w:rsidRPr="00F3161F" w:rsidRDefault="009718C1" w:rsidP="009718C1">
      <w:pPr>
        <w:pStyle w:val="Prrafodelista"/>
        <w:tabs>
          <w:tab w:val="left" w:pos="426"/>
        </w:tabs>
        <w:rPr>
          <w:rFonts w:ascii="Palatino Linotype" w:hAnsi="Palatino Linotype" w:cs="Arial"/>
          <w:sz w:val="20"/>
          <w:szCs w:val="24"/>
        </w:rPr>
      </w:pPr>
    </w:p>
    <w:p w:rsidR="009718C1" w:rsidRDefault="009718C1" w:rsidP="009718C1">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14 fracción XI del Reglamento Interior del Instituto de Transparencia y Acceso a la Información Pública del Estado de México y Municipios formulo el presente voto particular. </w:t>
      </w:r>
    </w:p>
    <w:p w:rsidR="009718C1" w:rsidRPr="0001046D" w:rsidRDefault="009718C1" w:rsidP="009718C1">
      <w:pPr>
        <w:pStyle w:val="Prrafodelista"/>
        <w:rPr>
          <w:rFonts w:ascii="Palatino Linotype" w:hAnsi="Palatino Linotype" w:cs="Arial"/>
          <w:sz w:val="24"/>
          <w:szCs w:val="24"/>
        </w:rPr>
      </w:pPr>
    </w:p>
    <w:p w:rsidR="009718C1" w:rsidRPr="0001046D" w:rsidRDefault="009718C1" w:rsidP="009718C1">
      <w:pPr>
        <w:pStyle w:val="Ttulo1"/>
        <w:numPr>
          <w:ilvl w:val="0"/>
          <w:numId w:val="2"/>
        </w:numPr>
        <w:tabs>
          <w:tab w:val="left" w:pos="426"/>
        </w:tabs>
        <w:spacing w:line="360" w:lineRule="auto"/>
        <w:ind w:left="0" w:firstLine="0"/>
        <w:rPr>
          <w:rFonts w:ascii="Palatino Linotype" w:hAnsi="Palatino Linotype"/>
          <w:b/>
          <w:color w:val="auto"/>
          <w:sz w:val="24"/>
          <w:szCs w:val="24"/>
        </w:rPr>
      </w:pPr>
      <w:bookmarkStart w:id="3" w:name="_Toc8222818"/>
      <w:bookmarkStart w:id="4" w:name="_Toc11082722"/>
      <w:r w:rsidRPr="0001046D">
        <w:rPr>
          <w:rFonts w:ascii="Palatino Linotype" w:hAnsi="Palatino Linotype"/>
          <w:b/>
          <w:color w:val="auto"/>
          <w:sz w:val="24"/>
          <w:szCs w:val="24"/>
        </w:rPr>
        <w:t xml:space="preserve">De los requerimientos planteados en </w:t>
      </w:r>
      <w:r>
        <w:rPr>
          <w:rFonts w:ascii="Palatino Linotype" w:hAnsi="Palatino Linotype"/>
          <w:b/>
          <w:color w:val="auto"/>
          <w:sz w:val="24"/>
          <w:szCs w:val="24"/>
        </w:rPr>
        <w:t>el</w:t>
      </w:r>
      <w:r w:rsidRPr="0001046D">
        <w:rPr>
          <w:rFonts w:ascii="Palatino Linotype" w:hAnsi="Palatino Linotype"/>
          <w:b/>
          <w:color w:val="auto"/>
          <w:sz w:val="24"/>
          <w:szCs w:val="24"/>
        </w:rPr>
        <w:t xml:space="preserve"> recurso de revisión.</w:t>
      </w:r>
      <w:bookmarkEnd w:id="3"/>
      <w:bookmarkEnd w:id="4"/>
    </w:p>
    <w:p w:rsidR="009718C1" w:rsidRPr="00F3161F" w:rsidRDefault="009718C1" w:rsidP="009718C1">
      <w:pPr>
        <w:pStyle w:val="Prrafodelista"/>
        <w:spacing w:line="360" w:lineRule="auto"/>
        <w:ind w:left="1080"/>
        <w:jc w:val="both"/>
        <w:rPr>
          <w:rFonts w:ascii="Palatino Linotype" w:hAnsi="Palatino Linotype" w:cs="Arial"/>
          <w:sz w:val="20"/>
          <w:szCs w:val="24"/>
        </w:rPr>
      </w:pPr>
    </w:p>
    <w:p w:rsidR="009718C1" w:rsidRPr="00CF5C13" w:rsidRDefault="009718C1" w:rsidP="009718C1">
      <w:pPr>
        <w:pStyle w:val="Prrafodelista"/>
        <w:widowControl w:val="0"/>
        <w:numPr>
          <w:ilvl w:val="0"/>
          <w:numId w:val="1"/>
        </w:numPr>
        <w:tabs>
          <w:tab w:val="left" w:pos="426"/>
        </w:tabs>
        <w:autoSpaceDE w:val="0"/>
        <w:autoSpaceDN w:val="0"/>
        <w:adjustRightInd w:val="0"/>
        <w:spacing w:after="0" w:line="360" w:lineRule="auto"/>
        <w:ind w:left="0" w:firstLine="0"/>
        <w:jc w:val="both"/>
        <w:rPr>
          <w:rFonts w:ascii="Palatino Linotype" w:hAnsi="Palatino Linotype"/>
        </w:rPr>
      </w:pPr>
      <w:r w:rsidRPr="00CF5C13">
        <w:rPr>
          <w:rFonts w:ascii="Palatino Linotype" w:hAnsi="Palatino Linotype" w:cs="Arial"/>
          <w:sz w:val="24"/>
          <w:szCs w:val="24"/>
        </w:rPr>
        <w:t xml:space="preserve">El particular requirió de </w:t>
      </w:r>
      <w:r w:rsidR="00F51877">
        <w:rPr>
          <w:rFonts w:ascii="Palatino Linotype" w:hAnsi="Palatino Linotype" w:cs="Arial"/>
          <w:b/>
          <w:sz w:val="24"/>
          <w:szCs w:val="24"/>
        </w:rPr>
        <w:t>Ayuntamiento de Ixtlahuaca</w:t>
      </w:r>
      <w:r w:rsidRPr="00CF5C13">
        <w:rPr>
          <w:rFonts w:ascii="Palatino Linotype" w:hAnsi="Palatino Linotype" w:cs="Arial"/>
          <w:sz w:val="24"/>
          <w:szCs w:val="24"/>
        </w:rPr>
        <w:t xml:space="preserve">, </w:t>
      </w:r>
      <w:r w:rsidRPr="00CF5C13">
        <w:rPr>
          <w:rFonts w:ascii="Palatino Linotype" w:hAnsi="Palatino Linotype" w:cs="Arial"/>
        </w:rPr>
        <w:t>l</w:t>
      </w:r>
      <w:r w:rsidRPr="00CF5C13">
        <w:rPr>
          <w:rFonts w:ascii="Palatino Linotype" w:hAnsi="Palatino Linotype"/>
        </w:rPr>
        <w:t xml:space="preserve">as fichas curriculares y el documento probatorio de grado de estudios de los </w:t>
      </w:r>
      <w:r>
        <w:rPr>
          <w:rFonts w:ascii="Palatino Linotype" w:hAnsi="Palatino Linotype"/>
        </w:rPr>
        <w:t>servidores</w:t>
      </w:r>
      <w:r w:rsidRPr="00CF5C13">
        <w:rPr>
          <w:rFonts w:ascii="Palatino Linotype" w:hAnsi="Palatino Linotype"/>
        </w:rPr>
        <w:t xml:space="preserve"> públicos siguientes:</w:t>
      </w:r>
    </w:p>
    <w:p w:rsidR="009718C1" w:rsidRPr="0024200F" w:rsidRDefault="009718C1" w:rsidP="009718C1">
      <w:pPr>
        <w:pStyle w:val="Prrafodelista"/>
        <w:widowControl w:val="0"/>
        <w:autoSpaceDE w:val="0"/>
        <w:autoSpaceDN w:val="0"/>
        <w:adjustRightInd w:val="0"/>
        <w:spacing w:line="360" w:lineRule="auto"/>
        <w:ind w:left="0"/>
        <w:jc w:val="both"/>
        <w:rPr>
          <w:rFonts w:ascii="Palatino Linotype" w:hAnsi="Palatino Linotype"/>
        </w:rPr>
      </w:pPr>
    </w:p>
    <w:p w:rsidR="009718C1" w:rsidRPr="00CF5C13" w:rsidRDefault="009718C1" w:rsidP="009718C1">
      <w:pPr>
        <w:pStyle w:val="Prrafodelista"/>
        <w:numPr>
          <w:ilvl w:val="0"/>
          <w:numId w:val="3"/>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El Presidente Municipal;</w:t>
      </w:r>
    </w:p>
    <w:p w:rsidR="009718C1" w:rsidRPr="00CF5C13" w:rsidRDefault="009718C1" w:rsidP="009718C1">
      <w:pPr>
        <w:pStyle w:val="Prrafodelista"/>
        <w:numPr>
          <w:ilvl w:val="0"/>
          <w:numId w:val="3"/>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 xml:space="preserve">Secretario del Ayuntamiento, </w:t>
      </w:r>
    </w:p>
    <w:p w:rsidR="009718C1" w:rsidRPr="00CF5C13" w:rsidRDefault="009718C1" w:rsidP="009718C1">
      <w:pPr>
        <w:pStyle w:val="Prrafodelista"/>
        <w:numPr>
          <w:ilvl w:val="0"/>
          <w:numId w:val="3"/>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 xml:space="preserve">Tesorero; </w:t>
      </w:r>
    </w:p>
    <w:p w:rsidR="009718C1" w:rsidRPr="00CF5C13" w:rsidRDefault="009718C1" w:rsidP="009718C1">
      <w:pPr>
        <w:pStyle w:val="Prrafodelista"/>
        <w:numPr>
          <w:ilvl w:val="0"/>
          <w:numId w:val="3"/>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Director de Obras Públicas;</w:t>
      </w:r>
    </w:p>
    <w:p w:rsidR="009718C1" w:rsidRPr="00CF5C13" w:rsidRDefault="009718C1" w:rsidP="009718C1">
      <w:pPr>
        <w:pStyle w:val="Prrafodelista"/>
        <w:numPr>
          <w:ilvl w:val="0"/>
          <w:numId w:val="3"/>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Director de Desarrollo Económico;</w:t>
      </w:r>
    </w:p>
    <w:p w:rsidR="009718C1" w:rsidRPr="00CF5C13" w:rsidRDefault="009718C1" w:rsidP="009718C1">
      <w:pPr>
        <w:pStyle w:val="Prrafodelista"/>
        <w:numPr>
          <w:ilvl w:val="0"/>
          <w:numId w:val="3"/>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Coordinador General</w:t>
      </w:r>
      <w:r>
        <w:rPr>
          <w:rFonts w:ascii="Palatino Linotype" w:hAnsi="Palatino Linotype" w:cs="Arial"/>
          <w:b/>
          <w:color w:val="000000" w:themeColor="text1"/>
        </w:rPr>
        <w:t xml:space="preserve"> Municipal</w:t>
      </w:r>
      <w:r w:rsidRPr="00CF5C13">
        <w:rPr>
          <w:rFonts w:ascii="Palatino Linotype" w:hAnsi="Palatino Linotype" w:cs="Arial"/>
          <w:b/>
          <w:color w:val="000000" w:themeColor="text1"/>
        </w:rPr>
        <w:t xml:space="preserve"> de Mejora Regulatoria;</w:t>
      </w:r>
    </w:p>
    <w:p w:rsidR="009718C1" w:rsidRPr="00CF5C13" w:rsidRDefault="009718C1" w:rsidP="009718C1">
      <w:pPr>
        <w:pStyle w:val="Prrafodelista"/>
        <w:numPr>
          <w:ilvl w:val="0"/>
          <w:numId w:val="3"/>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Ecología;</w:t>
      </w:r>
    </w:p>
    <w:p w:rsidR="009718C1" w:rsidRPr="00CF5C13" w:rsidRDefault="009718C1" w:rsidP="009718C1">
      <w:pPr>
        <w:pStyle w:val="Prrafodelista"/>
        <w:numPr>
          <w:ilvl w:val="0"/>
          <w:numId w:val="3"/>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Desarrollo Urbano; y</w:t>
      </w:r>
    </w:p>
    <w:p w:rsidR="009718C1" w:rsidRPr="00CF5C13" w:rsidRDefault="009718C1" w:rsidP="009718C1">
      <w:pPr>
        <w:pStyle w:val="Prrafodelista"/>
        <w:numPr>
          <w:ilvl w:val="0"/>
          <w:numId w:val="3"/>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Protección Civil.</w:t>
      </w:r>
    </w:p>
    <w:p w:rsidR="009718C1" w:rsidRPr="00CF5C13" w:rsidRDefault="009718C1" w:rsidP="009718C1">
      <w:pPr>
        <w:spacing w:after="0" w:line="276" w:lineRule="auto"/>
        <w:jc w:val="both"/>
        <w:rPr>
          <w:rFonts w:ascii="Palatino Linotype" w:hAnsi="Palatino Linotype" w:cs="Arial"/>
          <w:b/>
          <w:i/>
        </w:rPr>
      </w:pPr>
    </w:p>
    <w:p w:rsidR="009718C1" w:rsidRPr="00CE68A3" w:rsidRDefault="009718C1" w:rsidP="009718C1">
      <w:pPr>
        <w:pStyle w:val="Prrafodelista"/>
        <w:numPr>
          <w:ilvl w:val="0"/>
          <w:numId w:val="1"/>
        </w:numPr>
        <w:tabs>
          <w:tab w:val="left" w:pos="426"/>
        </w:tabs>
        <w:spacing w:after="0" w:line="360" w:lineRule="auto"/>
        <w:ind w:left="0" w:firstLine="0"/>
        <w:jc w:val="both"/>
        <w:rPr>
          <w:rFonts w:ascii="Palatino Linotype" w:hAnsi="Palatino Linotype" w:cs="Arial"/>
          <w:sz w:val="20"/>
          <w:szCs w:val="24"/>
        </w:rPr>
      </w:pPr>
      <w:r w:rsidRPr="00CE68A3">
        <w:rPr>
          <w:rFonts w:ascii="Palatino Linotype" w:hAnsi="Palatino Linotype" w:cs="Arial"/>
          <w:sz w:val="24"/>
          <w:szCs w:val="24"/>
        </w:rPr>
        <w:t xml:space="preserve">El </w:t>
      </w:r>
      <w:r w:rsidRPr="00CE68A3">
        <w:rPr>
          <w:rFonts w:ascii="Palatino Linotype" w:hAnsi="Palatino Linotype" w:cs="Arial"/>
          <w:b/>
          <w:sz w:val="24"/>
          <w:szCs w:val="24"/>
        </w:rPr>
        <w:t>SUJETO OBLIGADO</w:t>
      </w:r>
      <w:r w:rsidR="00F51877">
        <w:rPr>
          <w:rFonts w:ascii="Palatino Linotype" w:hAnsi="Palatino Linotype" w:cs="Arial"/>
          <w:sz w:val="24"/>
          <w:szCs w:val="24"/>
        </w:rPr>
        <w:t xml:space="preserve"> en respuesta adjuntó curriculums,</w:t>
      </w:r>
      <w:r w:rsidRPr="00CE68A3">
        <w:rPr>
          <w:rFonts w:ascii="Palatino Linotype" w:hAnsi="Palatino Linotype" w:cs="Arial"/>
          <w:sz w:val="24"/>
          <w:szCs w:val="24"/>
        </w:rPr>
        <w:t xml:space="preserve"> documento probatorio del </w:t>
      </w:r>
      <w:r w:rsidR="00F51877">
        <w:rPr>
          <w:rFonts w:ascii="Palatino Linotype" w:hAnsi="Palatino Linotype" w:cs="Arial"/>
          <w:sz w:val="24"/>
          <w:szCs w:val="24"/>
        </w:rPr>
        <w:t xml:space="preserve">ultimo </w:t>
      </w:r>
      <w:r w:rsidRPr="00CE68A3">
        <w:rPr>
          <w:rFonts w:ascii="Palatino Linotype" w:hAnsi="Palatino Linotype" w:cs="Arial"/>
          <w:sz w:val="24"/>
          <w:szCs w:val="24"/>
        </w:rPr>
        <w:t>grado de estudios de los siguientes servidores públicos</w:t>
      </w:r>
      <w:r w:rsidR="00F51877">
        <w:rPr>
          <w:rFonts w:ascii="Palatino Linotype" w:hAnsi="Palatino Linotype" w:cs="Arial"/>
          <w:sz w:val="24"/>
          <w:szCs w:val="24"/>
        </w:rPr>
        <w:t xml:space="preserve">: </w:t>
      </w:r>
      <w:r w:rsidR="00F51877">
        <w:rPr>
          <w:rFonts w:ascii="Palatino Linotype" w:hAnsi="Palatino Linotype" w:cs="Arial"/>
          <w:sz w:val="24"/>
          <w:szCs w:val="24"/>
        </w:rPr>
        <w:lastRenderedPageBreak/>
        <w:t xml:space="preserve">Presidente Municipal, Secretario del Ayuntamiento, Tesorero Municipal, Director de Fomento </w:t>
      </w:r>
      <w:r w:rsidR="00F51877">
        <w:rPr>
          <w:rFonts w:ascii="Palatino Linotype" w:hAnsi="Palatino Linotype"/>
          <w:sz w:val="24"/>
          <w:szCs w:val="24"/>
        </w:rPr>
        <w:t>Económico, Turismo y Artesanal, Director de Ecología, Titular de la Unidad de Protección Civil, Coordinador de la Mejora Regulatoria y Director de Desarrollo Urbano y Obras Públicas</w:t>
      </w:r>
      <w:r w:rsidR="00F51877">
        <w:rPr>
          <w:rFonts w:ascii="Palatino Linotype" w:hAnsi="Palatino Linotype" w:cs="Arial"/>
          <w:sz w:val="24"/>
          <w:szCs w:val="24"/>
        </w:rPr>
        <w:t>.</w:t>
      </w:r>
      <w:r w:rsidRPr="00CE68A3">
        <w:rPr>
          <w:rFonts w:ascii="Palatino Linotype" w:hAnsi="Palatino Linotype" w:cs="Arial"/>
          <w:sz w:val="24"/>
          <w:szCs w:val="24"/>
        </w:rPr>
        <w:t xml:space="preserve">  </w:t>
      </w:r>
    </w:p>
    <w:p w:rsidR="009718C1" w:rsidRPr="00CE68A3" w:rsidRDefault="009718C1" w:rsidP="009718C1">
      <w:pPr>
        <w:pStyle w:val="Prrafodelista"/>
        <w:tabs>
          <w:tab w:val="left" w:pos="426"/>
        </w:tabs>
        <w:spacing w:after="0" w:line="360" w:lineRule="auto"/>
        <w:ind w:left="0"/>
        <w:jc w:val="both"/>
        <w:rPr>
          <w:rFonts w:ascii="Palatino Linotype" w:hAnsi="Palatino Linotype" w:cs="Arial"/>
          <w:sz w:val="20"/>
          <w:szCs w:val="24"/>
        </w:rPr>
      </w:pPr>
    </w:p>
    <w:p w:rsidR="009718C1" w:rsidRPr="00B25C66" w:rsidRDefault="009718C1" w:rsidP="009718C1">
      <w:pPr>
        <w:pStyle w:val="Prrafodelista"/>
        <w:numPr>
          <w:ilvl w:val="0"/>
          <w:numId w:val="1"/>
        </w:numPr>
        <w:tabs>
          <w:tab w:val="left" w:pos="426"/>
        </w:tabs>
        <w:spacing w:after="0" w:line="360" w:lineRule="auto"/>
        <w:ind w:left="0" w:firstLine="0"/>
        <w:jc w:val="both"/>
        <w:rPr>
          <w:rFonts w:ascii="Palatino Linotype" w:hAnsi="Palatino Linotype" w:cs="Arial"/>
          <w:sz w:val="20"/>
          <w:szCs w:val="24"/>
        </w:rPr>
      </w:pPr>
      <w:r w:rsidRPr="00B25C66">
        <w:rPr>
          <w:rFonts w:ascii="Palatino Linotype" w:hAnsi="Palatino Linotype" w:cs="Arial"/>
          <w:sz w:val="24"/>
          <w:szCs w:val="24"/>
        </w:rPr>
        <w:t>Inconforme con la respuesta el particular interpuso el medio de impugnación citado al rubro, en el cual señalo como acto impugnado que no se le entregó la información solicitada, y como razones o motivos de inconformidad transcribió el artículo 15 y 16 de la Ley de Transparencia y  Acceso a la Información Pública del Estado de M</w:t>
      </w:r>
      <w:r>
        <w:rPr>
          <w:rFonts w:ascii="Palatino Linotype" w:hAnsi="Palatino Linotype" w:cs="Arial"/>
          <w:sz w:val="24"/>
          <w:szCs w:val="24"/>
        </w:rPr>
        <w:t>éxico y Municipios.</w:t>
      </w:r>
    </w:p>
    <w:p w:rsidR="009718C1" w:rsidRPr="00B25C66" w:rsidRDefault="009718C1" w:rsidP="009718C1">
      <w:pPr>
        <w:pStyle w:val="Prrafodelista"/>
        <w:tabs>
          <w:tab w:val="left" w:pos="426"/>
        </w:tabs>
        <w:spacing w:after="0" w:line="360" w:lineRule="auto"/>
        <w:ind w:left="0"/>
        <w:jc w:val="both"/>
        <w:rPr>
          <w:rFonts w:ascii="Palatino Linotype" w:hAnsi="Palatino Linotype" w:cs="Arial"/>
          <w:sz w:val="20"/>
          <w:szCs w:val="24"/>
        </w:rPr>
      </w:pPr>
    </w:p>
    <w:p w:rsidR="009718C1" w:rsidRDefault="009718C1" w:rsidP="009718C1">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B25C66">
        <w:rPr>
          <w:rFonts w:ascii="Palatino Linotype" w:hAnsi="Palatino Linotype" w:cs="Arial"/>
          <w:sz w:val="24"/>
          <w:szCs w:val="24"/>
        </w:rPr>
        <w:t xml:space="preserve">Así, es de señalar que durante el periodo de manifestaciones el </w:t>
      </w:r>
      <w:r w:rsidR="00F51877">
        <w:rPr>
          <w:rFonts w:ascii="Palatino Linotype" w:hAnsi="Palatino Linotype" w:cs="Arial"/>
          <w:b/>
          <w:sz w:val="24"/>
          <w:szCs w:val="24"/>
        </w:rPr>
        <w:t xml:space="preserve">SUJETO OBLIGADO, </w:t>
      </w:r>
      <w:r>
        <w:rPr>
          <w:rFonts w:ascii="Palatino Linotype" w:hAnsi="Palatino Linotype" w:cs="Arial"/>
          <w:sz w:val="24"/>
          <w:szCs w:val="24"/>
        </w:rPr>
        <w:t>rindió su Informe J</w:t>
      </w:r>
      <w:r w:rsidRPr="00B25C66">
        <w:rPr>
          <w:rFonts w:ascii="Palatino Linotype" w:hAnsi="Palatino Linotype" w:cs="Arial"/>
          <w:sz w:val="24"/>
          <w:szCs w:val="24"/>
        </w:rPr>
        <w:t>ustificado</w:t>
      </w:r>
      <w:r w:rsidR="00F51877">
        <w:rPr>
          <w:rFonts w:ascii="Palatino Linotype" w:hAnsi="Palatino Linotype" w:cs="Arial"/>
          <w:sz w:val="24"/>
          <w:szCs w:val="24"/>
        </w:rPr>
        <w:t>, mediante el cual de forma concisa confirmo su respuesta anexando nuevamente los documentos remitidos en respuesta.</w:t>
      </w:r>
    </w:p>
    <w:p w:rsidR="009718C1" w:rsidRPr="00B25C66" w:rsidRDefault="009718C1" w:rsidP="009718C1">
      <w:pPr>
        <w:pStyle w:val="Prrafodelista"/>
        <w:tabs>
          <w:tab w:val="left" w:pos="426"/>
        </w:tabs>
        <w:spacing w:before="240" w:after="240" w:line="360" w:lineRule="auto"/>
        <w:ind w:left="0" w:right="49"/>
        <w:jc w:val="both"/>
        <w:rPr>
          <w:rFonts w:ascii="Palatino Linotype" w:hAnsi="Palatino Linotype" w:cs="Arial"/>
          <w:sz w:val="24"/>
          <w:szCs w:val="24"/>
        </w:rPr>
      </w:pPr>
      <w:r w:rsidRPr="00B25C66">
        <w:rPr>
          <w:rFonts w:ascii="Palatino Linotype" w:hAnsi="Palatino Linotype" w:cs="Arial"/>
          <w:sz w:val="24"/>
          <w:szCs w:val="24"/>
        </w:rPr>
        <w:t xml:space="preserve"> </w:t>
      </w:r>
    </w:p>
    <w:p w:rsidR="009718C1" w:rsidRDefault="009718C1" w:rsidP="009718C1">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Sin embargo, dichos documentos no resultaron suficientes para garantizar el derecho de acceso a la información del particular, tan es así que la Ponencia Resolutora analizó cada uno de los documentos entregados, razón por la cual determinó modificar la respuesta del </w:t>
      </w:r>
      <w:r w:rsidRPr="00A47952">
        <w:rPr>
          <w:rFonts w:ascii="Palatino Linotype" w:hAnsi="Palatino Linotype" w:cs="Arial"/>
          <w:b/>
          <w:sz w:val="24"/>
          <w:szCs w:val="24"/>
        </w:rPr>
        <w:t>SUJETO OBLIGADO</w:t>
      </w:r>
      <w:r>
        <w:rPr>
          <w:rFonts w:ascii="Palatino Linotype" w:hAnsi="Palatino Linotype" w:cs="Arial"/>
          <w:sz w:val="24"/>
          <w:szCs w:val="24"/>
        </w:rPr>
        <w:t xml:space="preserve"> y ordenar la entrega de la documentación faltante.</w:t>
      </w:r>
    </w:p>
    <w:p w:rsidR="009718C1" w:rsidRPr="00720600" w:rsidRDefault="009718C1" w:rsidP="009718C1">
      <w:pPr>
        <w:pStyle w:val="Prrafodelista"/>
        <w:tabs>
          <w:tab w:val="left" w:pos="426"/>
        </w:tabs>
        <w:spacing w:before="240" w:after="240" w:line="360" w:lineRule="auto"/>
        <w:ind w:left="0" w:right="49"/>
        <w:jc w:val="both"/>
        <w:rPr>
          <w:rFonts w:ascii="Palatino Linotype" w:hAnsi="Palatino Linotype" w:cs="Arial"/>
          <w:sz w:val="24"/>
          <w:szCs w:val="24"/>
        </w:rPr>
      </w:pPr>
    </w:p>
    <w:p w:rsidR="009718C1" w:rsidRPr="004421B3" w:rsidRDefault="009718C1" w:rsidP="009718C1">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4421B3">
        <w:rPr>
          <w:rFonts w:ascii="Palatino Linotype" w:hAnsi="Palatino Linotype" w:cs="Arial"/>
          <w:sz w:val="24"/>
          <w:szCs w:val="24"/>
        </w:rPr>
        <w:lastRenderedPageBreak/>
        <w:t xml:space="preserve">Al respecto, si bien se comparte que el </w:t>
      </w:r>
      <w:r>
        <w:rPr>
          <w:rFonts w:ascii="Palatino Linotype" w:hAnsi="Palatino Linotype" w:cs="Arial"/>
          <w:sz w:val="24"/>
          <w:szCs w:val="24"/>
        </w:rPr>
        <w:t>sentido de l</w:t>
      </w:r>
      <w:r w:rsidR="004535D6">
        <w:rPr>
          <w:rFonts w:ascii="Palatino Linotype" w:hAnsi="Palatino Linotype" w:cs="Arial"/>
          <w:sz w:val="24"/>
          <w:szCs w:val="24"/>
        </w:rPr>
        <w:t>a resolución, no se comparte el hecho que se haya dado vista al Titular de la Contraloría Interna y Órgano de Control y Vigilancia, porque a consideración de la Ponencia Resolutora en la información entregada se omitieron testar datos, como lo son la firma del Titular en dos cédulas profesionales, ya que</w:t>
      </w:r>
      <w:r>
        <w:rPr>
          <w:rFonts w:ascii="Palatino Linotype" w:hAnsi="Palatino Linotype" w:cs="Arial"/>
          <w:sz w:val="24"/>
          <w:szCs w:val="24"/>
        </w:rPr>
        <w:t xml:space="preserve"> a consideración de un servidor </w:t>
      </w:r>
      <w:r w:rsidR="004535D6">
        <w:rPr>
          <w:rFonts w:ascii="Palatino Linotype" w:hAnsi="Palatino Linotype" w:cs="Arial"/>
          <w:sz w:val="24"/>
          <w:szCs w:val="24"/>
        </w:rPr>
        <w:t xml:space="preserve">dicho dato tiene carácter de </w:t>
      </w:r>
      <w:r>
        <w:rPr>
          <w:rFonts w:ascii="Palatino Linotype" w:hAnsi="Palatino Linotype" w:cs="Arial"/>
          <w:sz w:val="24"/>
          <w:szCs w:val="24"/>
        </w:rPr>
        <w:t xml:space="preserve">público por los siguientes argumentos. </w:t>
      </w:r>
    </w:p>
    <w:p w:rsidR="009718C1" w:rsidRPr="0001046D" w:rsidRDefault="009718C1" w:rsidP="009718C1">
      <w:pPr>
        <w:pStyle w:val="Ttulo1"/>
        <w:numPr>
          <w:ilvl w:val="0"/>
          <w:numId w:val="2"/>
        </w:numPr>
        <w:tabs>
          <w:tab w:val="left" w:pos="426"/>
        </w:tabs>
        <w:spacing w:line="360" w:lineRule="auto"/>
        <w:ind w:left="426" w:hanging="426"/>
        <w:jc w:val="both"/>
        <w:rPr>
          <w:rFonts w:ascii="Palatino Linotype" w:hAnsi="Palatino Linotype"/>
          <w:b/>
          <w:color w:val="auto"/>
          <w:sz w:val="24"/>
          <w:szCs w:val="24"/>
        </w:rPr>
      </w:pPr>
      <w:bookmarkStart w:id="5" w:name="_Toc11082723"/>
      <w:r>
        <w:rPr>
          <w:rFonts w:ascii="Palatino Linotype" w:hAnsi="Palatino Linotype"/>
          <w:b/>
          <w:color w:val="auto"/>
          <w:sz w:val="24"/>
          <w:szCs w:val="24"/>
        </w:rPr>
        <w:t>La naturaleza de la cédula profesional</w:t>
      </w:r>
      <w:bookmarkEnd w:id="5"/>
    </w:p>
    <w:p w:rsidR="009718C1" w:rsidRPr="00F3161F" w:rsidRDefault="009718C1" w:rsidP="009718C1">
      <w:pPr>
        <w:pStyle w:val="Prrafodelista"/>
        <w:spacing w:after="0" w:line="360" w:lineRule="auto"/>
        <w:ind w:left="1080"/>
        <w:jc w:val="both"/>
        <w:rPr>
          <w:rFonts w:ascii="Palatino Linotype" w:hAnsi="Palatino Linotype" w:cs="Arial"/>
          <w:b/>
          <w:sz w:val="20"/>
          <w:szCs w:val="24"/>
        </w:rPr>
      </w:pPr>
    </w:p>
    <w:p w:rsidR="009718C1" w:rsidRPr="006772F8" w:rsidRDefault="009718C1" w:rsidP="009718C1">
      <w:pPr>
        <w:pStyle w:val="Prrafodelista"/>
        <w:numPr>
          <w:ilvl w:val="0"/>
          <w:numId w:val="1"/>
        </w:numPr>
        <w:tabs>
          <w:tab w:val="left" w:pos="426"/>
        </w:tabs>
        <w:spacing w:after="0" w:line="360" w:lineRule="auto"/>
        <w:ind w:left="0" w:firstLine="0"/>
        <w:jc w:val="both"/>
        <w:rPr>
          <w:rFonts w:ascii="Palatino Linotype" w:hAnsi="Palatino Linotype" w:cs="Arial"/>
          <w:b/>
          <w:sz w:val="24"/>
        </w:rPr>
      </w:pPr>
      <w:r w:rsidRPr="006772F8">
        <w:rPr>
          <w:rFonts w:ascii="Palatino Linotype" w:hAnsi="Palatino Linotype" w:cs="Arial"/>
          <w:sz w:val="24"/>
        </w:rPr>
        <w:t xml:space="preserve">La Cédula Profesional es el documento por medio del cual se autoriza oficialmente a una persona </w:t>
      </w:r>
      <w:r>
        <w:rPr>
          <w:rFonts w:ascii="Palatino Linotype" w:hAnsi="Palatino Linotype" w:cs="Arial"/>
          <w:sz w:val="24"/>
        </w:rPr>
        <w:t xml:space="preserve">para </w:t>
      </w:r>
      <w:r w:rsidRPr="006772F8">
        <w:rPr>
          <w:rFonts w:ascii="Palatino Linotype" w:hAnsi="Palatino Linotype" w:cs="Arial"/>
          <w:sz w:val="24"/>
        </w:rPr>
        <w:t xml:space="preserve">ejercer su profesión, con lo que se atiende la disposición contenida en el segundo párrafo del artículo 5° de la Constitución Política de los Estados Unidos Mexicanos; en este orden de ideas, la Ley Reglamentaria antes señalada, en su artículo 2° amplía este supuesto jurídico a otras leyes que regulen campos de acción relacionados como alguna rama o especialidad profesional, mientras que el artículo 23, fracción IV, de la misma, faculta a la Dirección General de Profesiones para expedir la cédula profesional correspondiente, con efectos de patente para el ejercicio profesional y </w:t>
      </w:r>
      <w:r w:rsidRPr="006772F8">
        <w:rPr>
          <w:rFonts w:ascii="Palatino Linotype" w:hAnsi="Palatino Linotype" w:cs="Arial"/>
          <w:b/>
          <w:sz w:val="24"/>
        </w:rPr>
        <w:t>para la identidad de su titular en todas sus actividades profesionales.</w:t>
      </w:r>
    </w:p>
    <w:p w:rsidR="009718C1" w:rsidRPr="006772F8" w:rsidRDefault="009718C1" w:rsidP="009718C1">
      <w:pPr>
        <w:pStyle w:val="Prrafodelista"/>
        <w:tabs>
          <w:tab w:val="left" w:pos="426"/>
        </w:tabs>
        <w:spacing w:line="360" w:lineRule="auto"/>
        <w:ind w:left="0"/>
        <w:jc w:val="both"/>
        <w:rPr>
          <w:rFonts w:ascii="Palatino Linotype" w:hAnsi="Palatino Linotype" w:cs="Arial"/>
          <w:b/>
          <w:sz w:val="24"/>
        </w:rPr>
      </w:pPr>
    </w:p>
    <w:p w:rsidR="009718C1" w:rsidRPr="006772F8" w:rsidRDefault="009718C1" w:rsidP="009718C1">
      <w:pPr>
        <w:pStyle w:val="Prrafodelista"/>
        <w:numPr>
          <w:ilvl w:val="0"/>
          <w:numId w:val="1"/>
        </w:numPr>
        <w:tabs>
          <w:tab w:val="left" w:pos="426"/>
        </w:tabs>
        <w:spacing w:after="0" w:line="360" w:lineRule="auto"/>
        <w:ind w:left="0" w:firstLine="0"/>
        <w:jc w:val="both"/>
        <w:rPr>
          <w:rFonts w:ascii="Palatino Linotype" w:hAnsi="Palatino Linotype" w:cs="Arial"/>
          <w:sz w:val="24"/>
        </w:rPr>
      </w:pPr>
      <w:r w:rsidRPr="006772F8">
        <w:rPr>
          <w:rFonts w:ascii="Palatino Linotype" w:hAnsi="Palatino Linotype" w:cs="Arial"/>
          <w:sz w:val="24"/>
        </w:rPr>
        <w:t xml:space="preserve">El artículo 13, fracción III, de la Ley Reglamentaria multicitada,  prevé que el Ejecutivo Federal, por conducto de la Secretaría de Educación Pública, podrá celebrar convenios de coordinación con los gobiernos de los Estados para la </w:t>
      </w:r>
      <w:r w:rsidRPr="006772F8">
        <w:rPr>
          <w:rFonts w:ascii="Palatino Linotype" w:hAnsi="Palatino Linotype" w:cs="Arial"/>
          <w:sz w:val="24"/>
        </w:rPr>
        <w:lastRenderedPageBreak/>
        <w:t>unificación del registro profesional y establecer los requisitos necesarios para el reconocimiento de los títulos profesionales, así como los de forma y contenido que los mismos deberán satisfacer.</w:t>
      </w:r>
    </w:p>
    <w:p w:rsidR="009718C1" w:rsidRPr="006772F8" w:rsidRDefault="009718C1" w:rsidP="009718C1">
      <w:pPr>
        <w:pStyle w:val="Prrafodelista"/>
        <w:tabs>
          <w:tab w:val="left" w:pos="426"/>
        </w:tabs>
        <w:spacing w:after="0" w:line="360" w:lineRule="auto"/>
        <w:ind w:left="0"/>
        <w:jc w:val="both"/>
        <w:rPr>
          <w:rFonts w:ascii="Palatino Linotype" w:hAnsi="Palatino Linotype" w:cs="Arial"/>
          <w:sz w:val="24"/>
        </w:rPr>
      </w:pPr>
    </w:p>
    <w:p w:rsidR="009718C1" w:rsidRPr="006772F8" w:rsidRDefault="009718C1" w:rsidP="009718C1">
      <w:pPr>
        <w:pStyle w:val="Prrafodelista"/>
        <w:numPr>
          <w:ilvl w:val="0"/>
          <w:numId w:val="1"/>
        </w:numPr>
        <w:tabs>
          <w:tab w:val="left" w:pos="426"/>
        </w:tabs>
        <w:spacing w:after="0" w:line="360" w:lineRule="auto"/>
        <w:ind w:left="0" w:firstLine="0"/>
        <w:jc w:val="both"/>
        <w:rPr>
          <w:rFonts w:ascii="Palatino Linotype" w:hAnsi="Palatino Linotype" w:cs="Arial"/>
          <w:sz w:val="24"/>
        </w:rPr>
      </w:pPr>
      <w:r w:rsidRPr="006772F8">
        <w:rPr>
          <w:rFonts w:ascii="Palatino Linotype" w:hAnsi="Palatino Linotype" w:cs="Arial"/>
          <w:sz w:val="24"/>
        </w:rPr>
        <w:t xml:space="preserve">De ahí se advierte que la </w:t>
      </w:r>
      <w:r>
        <w:rPr>
          <w:rFonts w:ascii="Palatino Linotype" w:hAnsi="Palatino Linotype" w:cs="Arial"/>
          <w:sz w:val="24"/>
        </w:rPr>
        <w:t>firma</w:t>
      </w:r>
      <w:r w:rsidRPr="006772F8">
        <w:rPr>
          <w:rFonts w:ascii="Palatino Linotype" w:hAnsi="Palatino Linotype" w:cs="Arial"/>
          <w:sz w:val="24"/>
        </w:rPr>
        <w:t xml:space="preserve"> es un requisito común en </w:t>
      </w:r>
      <w:r>
        <w:rPr>
          <w:rFonts w:ascii="Palatino Linotype" w:hAnsi="Palatino Linotype" w:cs="Arial"/>
          <w:sz w:val="24"/>
        </w:rPr>
        <w:t>la expedición de la patente para la expedición del documento</w:t>
      </w:r>
      <w:r w:rsidRPr="006772F8">
        <w:rPr>
          <w:rFonts w:ascii="Palatino Linotype" w:hAnsi="Palatino Linotype" w:cs="Arial"/>
          <w:sz w:val="24"/>
        </w:rPr>
        <w:t xml:space="preserve"> con independencia de la institución pública y la Entidad en la que se </w:t>
      </w:r>
      <w:r>
        <w:rPr>
          <w:rFonts w:ascii="Palatino Linotype" w:hAnsi="Palatino Linotype" w:cs="Arial"/>
          <w:sz w:val="24"/>
        </w:rPr>
        <w:t>tramita</w:t>
      </w:r>
      <w:r w:rsidRPr="006772F8">
        <w:rPr>
          <w:rFonts w:ascii="Palatino Linotype" w:hAnsi="Palatino Linotype" w:cs="Arial"/>
          <w:sz w:val="24"/>
        </w:rPr>
        <w:t>.</w:t>
      </w:r>
    </w:p>
    <w:p w:rsidR="009718C1" w:rsidRPr="006772F8" w:rsidRDefault="009718C1" w:rsidP="009718C1">
      <w:pPr>
        <w:pStyle w:val="Prrafodelista"/>
        <w:tabs>
          <w:tab w:val="left" w:pos="426"/>
        </w:tabs>
        <w:spacing w:line="360" w:lineRule="auto"/>
        <w:ind w:left="0"/>
        <w:jc w:val="both"/>
        <w:rPr>
          <w:rFonts w:ascii="Palatino Linotype" w:hAnsi="Palatino Linotype" w:cs="Arial"/>
          <w:sz w:val="24"/>
        </w:rPr>
      </w:pPr>
    </w:p>
    <w:p w:rsidR="009718C1" w:rsidRPr="006772F8" w:rsidRDefault="009718C1" w:rsidP="009718C1">
      <w:pPr>
        <w:pStyle w:val="Prrafodelista"/>
        <w:numPr>
          <w:ilvl w:val="0"/>
          <w:numId w:val="1"/>
        </w:numPr>
        <w:tabs>
          <w:tab w:val="left" w:pos="426"/>
        </w:tabs>
        <w:spacing w:after="0" w:line="360" w:lineRule="auto"/>
        <w:ind w:left="0" w:firstLine="0"/>
        <w:jc w:val="both"/>
        <w:rPr>
          <w:rFonts w:ascii="Palatino Linotype" w:hAnsi="Palatino Linotype" w:cs="Arial"/>
          <w:sz w:val="24"/>
        </w:rPr>
      </w:pPr>
      <w:r w:rsidRPr="006772F8">
        <w:rPr>
          <w:rFonts w:ascii="Palatino Linotype" w:hAnsi="Palatino Linotype" w:cs="Arial"/>
          <w:sz w:val="24"/>
        </w:rPr>
        <w:t xml:space="preserve">En este sentido, el artículo 23, fracción IV de la Ley referida, establece que la cédula tiene “efectos de patente para el ejercicio profesional y para su identidad en actividades profesionales; por lo que constituye un documento de identidad frente a terceros, </w:t>
      </w:r>
      <w:r>
        <w:rPr>
          <w:rFonts w:ascii="Palatino Linotype" w:hAnsi="Palatino Linotype" w:cs="Arial"/>
          <w:sz w:val="24"/>
        </w:rPr>
        <w:t xml:space="preserve">ya que permite </w:t>
      </w:r>
      <w:r w:rsidRPr="006772F8">
        <w:rPr>
          <w:rFonts w:ascii="Palatino Linotype" w:hAnsi="Palatino Linotype" w:cs="Arial"/>
          <w:sz w:val="24"/>
        </w:rPr>
        <w:t>iden</w:t>
      </w:r>
      <w:r>
        <w:rPr>
          <w:rFonts w:ascii="Palatino Linotype" w:hAnsi="Palatino Linotype" w:cs="Arial"/>
          <w:sz w:val="24"/>
        </w:rPr>
        <w:t>tificar a la persona</w:t>
      </w:r>
      <w:r w:rsidRPr="006772F8">
        <w:rPr>
          <w:rFonts w:ascii="Palatino Linotype" w:hAnsi="Palatino Linotype" w:cs="Arial"/>
          <w:sz w:val="24"/>
        </w:rPr>
        <w:t xml:space="preserve"> y </w:t>
      </w:r>
      <w:r>
        <w:rPr>
          <w:rFonts w:ascii="Palatino Linotype" w:hAnsi="Palatino Linotype" w:cs="Arial"/>
          <w:sz w:val="24"/>
        </w:rPr>
        <w:t xml:space="preserve">su consentimiento para realizar el trámite del documento para ejercer su </w:t>
      </w:r>
      <w:r w:rsidRPr="006772F8">
        <w:rPr>
          <w:rFonts w:ascii="Palatino Linotype" w:hAnsi="Palatino Linotype" w:cs="Arial"/>
          <w:sz w:val="24"/>
        </w:rPr>
        <w:t>profesión.</w:t>
      </w:r>
    </w:p>
    <w:p w:rsidR="009718C1" w:rsidRPr="006664D8" w:rsidRDefault="009718C1" w:rsidP="009718C1">
      <w:pPr>
        <w:pStyle w:val="Ttulo1"/>
        <w:rPr>
          <w:rFonts w:ascii="Palatino Linotype" w:hAnsi="Palatino Linotype"/>
          <w:b/>
          <w:color w:val="000000" w:themeColor="text1"/>
          <w:sz w:val="24"/>
        </w:rPr>
      </w:pPr>
      <w:bookmarkStart w:id="6" w:name="_Toc8222820"/>
      <w:bookmarkStart w:id="7" w:name="_Toc11082724"/>
      <w:r w:rsidRPr="006664D8">
        <w:rPr>
          <w:rFonts w:ascii="Palatino Linotype" w:hAnsi="Palatino Linotype"/>
          <w:b/>
          <w:color w:val="000000" w:themeColor="text1"/>
          <w:sz w:val="24"/>
        </w:rPr>
        <w:t xml:space="preserve">IV. </w:t>
      </w:r>
      <w:bookmarkEnd w:id="6"/>
      <w:r>
        <w:rPr>
          <w:rFonts w:ascii="Palatino Linotype" w:hAnsi="Palatino Linotype"/>
          <w:b/>
          <w:color w:val="000000" w:themeColor="text1"/>
          <w:sz w:val="24"/>
        </w:rPr>
        <w:t>De la naturaleza de la función pública que se desempeña</w:t>
      </w:r>
      <w:bookmarkEnd w:id="7"/>
    </w:p>
    <w:p w:rsidR="009718C1" w:rsidRPr="006664D8" w:rsidRDefault="009718C1" w:rsidP="009718C1">
      <w:pPr>
        <w:pStyle w:val="Prrafodelista"/>
        <w:tabs>
          <w:tab w:val="left" w:pos="142"/>
          <w:tab w:val="left" w:pos="426"/>
        </w:tabs>
        <w:spacing w:after="0" w:line="360" w:lineRule="auto"/>
        <w:ind w:left="0" w:right="49"/>
        <w:jc w:val="both"/>
        <w:rPr>
          <w:rFonts w:ascii="Palatino Linotype" w:hAnsi="Palatino Linotype" w:cs="Arial"/>
          <w:b/>
          <w:sz w:val="24"/>
          <w:szCs w:val="24"/>
        </w:rPr>
      </w:pPr>
    </w:p>
    <w:p w:rsidR="009718C1"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En el caso concreto, el particular requirió información de servidores públicos como Directores de las diversas áreas de la administración pública municipal, Secretario del Ayuntamiento y el Presidente Municipal.</w:t>
      </w:r>
    </w:p>
    <w:p w:rsidR="009718C1" w:rsidRDefault="009718C1" w:rsidP="009718C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9718C1" w:rsidRPr="00001F2D"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8"/>
          <w:szCs w:val="24"/>
        </w:rPr>
      </w:pPr>
      <w:r w:rsidRPr="00001F2D">
        <w:rPr>
          <w:rFonts w:ascii="Palatino Linotype" w:hAnsi="Palatino Linotype" w:cs="Arial"/>
          <w:sz w:val="24"/>
        </w:rPr>
        <w:t xml:space="preserve">En este sentido, si bien el </w:t>
      </w:r>
      <w:r w:rsidRPr="00001F2D">
        <w:rPr>
          <w:rFonts w:ascii="Palatino Linotype" w:hAnsi="Palatino Linotype" w:cs="Arial"/>
          <w:b/>
          <w:sz w:val="24"/>
        </w:rPr>
        <w:t>SUJETO OBLIGADO</w:t>
      </w:r>
      <w:r w:rsidRPr="00001F2D">
        <w:rPr>
          <w:rFonts w:ascii="Palatino Linotype" w:hAnsi="Palatino Linotype" w:cs="Arial"/>
          <w:sz w:val="24"/>
        </w:rPr>
        <w:t xml:space="preserve"> </w:t>
      </w:r>
      <w:r w:rsidR="004535D6">
        <w:rPr>
          <w:rFonts w:ascii="Palatino Linotype" w:hAnsi="Palatino Linotype" w:cs="Arial"/>
          <w:sz w:val="24"/>
        </w:rPr>
        <w:t>envió la información de la mayoría de los servidores públicos</w:t>
      </w:r>
      <w:r w:rsidRPr="00001F2D">
        <w:rPr>
          <w:rFonts w:ascii="Palatino Linotype" w:hAnsi="Palatino Linotype" w:cs="Arial"/>
          <w:sz w:val="24"/>
        </w:rPr>
        <w:t xml:space="preserve">, a mi consideración </w:t>
      </w:r>
      <w:r w:rsidR="004535D6">
        <w:rPr>
          <w:rFonts w:ascii="Palatino Linotype" w:hAnsi="Palatino Linotype" w:cs="Arial"/>
          <w:sz w:val="24"/>
        </w:rPr>
        <w:t>la Ponencia Resolutora no debió girar oficio al Titular de la Contraloría Interna</w:t>
      </w:r>
      <w:r>
        <w:rPr>
          <w:rFonts w:ascii="Palatino Linotype" w:hAnsi="Palatino Linotype" w:cs="Arial"/>
          <w:sz w:val="24"/>
        </w:rPr>
        <w:t xml:space="preserve"> </w:t>
      </w:r>
      <w:r w:rsidR="004535D6">
        <w:rPr>
          <w:rFonts w:ascii="Palatino Linotype" w:hAnsi="Palatino Linotype" w:cs="Arial"/>
          <w:sz w:val="24"/>
        </w:rPr>
        <w:t xml:space="preserve">y Órgano de Control y </w:t>
      </w:r>
      <w:r w:rsidR="004535D6">
        <w:rPr>
          <w:rFonts w:ascii="Palatino Linotype" w:hAnsi="Palatino Linotype" w:cs="Arial"/>
          <w:sz w:val="24"/>
        </w:rPr>
        <w:lastRenderedPageBreak/>
        <w:t>Vigilancia de este Órgano Garante, por el hecho de que se dejara visible la firma en</w:t>
      </w:r>
      <w:r>
        <w:rPr>
          <w:rFonts w:ascii="Palatino Linotype" w:hAnsi="Palatino Linotype" w:cs="Arial"/>
          <w:sz w:val="24"/>
        </w:rPr>
        <w:t xml:space="preserve"> las cédulas profesionales</w:t>
      </w:r>
      <w:r w:rsidR="004535D6">
        <w:rPr>
          <w:rFonts w:ascii="Palatino Linotype" w:hAnsi="Palatino Linotype" w:cs="Arial"/>
          <w:sz w:val="24"/>
        </w:rPr>
        <w:t xml:space="preserve"> tanto del Tesorero Municipal como del Director de Desarrollo Urbano y Obra Pública</w:t>
      </w:r>
      <w:r>
        <w:rPr>
          <w:rFonts w:ascii="Palatino Linotype" w:hAnsi="Palatino Linotype" w:cs="Arial"/>
          <w:sz w:val="24"/>
        </w:rPr>
        <w:t>.</w:t>
      </w:r>
    </w:p>
    <w:p w:rsidR="009718C1" w:rsidRPr="00001F2D" w:rsidRDefault="009718C1" w:rsidP="009718C1">
      <w:pPr>
        <w:pStyle w:val="Prrafodelista"/>
        <w:tabs>
          <w:tab w:val="left" w:pos="142"/>
          <w:tab w:val="left" w:pos="426"/>
        </w:tabs>
        <w:spacing w:after="0" w:line="360" w:lineRule="auto"/>
        <w:ind w:left="0" w:right="49"/>
        <w:jc w:val="both"/>
        <w:rPr>
          <w:rFonts w:ascii="Palatino Linotype" w:hAnsi="Palatino Linotype" w:cs="Arial"/>
          <w:sz w:val="28"/>
          <w:szCs w:val="24"/>
        </w:rPr>
      </w:pPr>
    </w:p>
    <w:p w:rsidR="009718C1"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001F2D">
        <w:rPr>
          <w:rFonts w:ascii="Palatino Linotype" w:hAnsi="Palatino Linotype" w:cs="Arial"/>
          <w:sz w:val="24"/>
          <w:szCs w:val="24"/>
        </w:rPr>
        <w:t>Lo anterior, en razón de que al ser cargos de nivel medio o superior, la publicidad de la firma resulta de interés público</w:t>
      </w:r>
      <w:r>
        <w:rPr>
          <w:rFonts w:ascii="Palatino Linotype" w:hAnsi="Palatino Linotype" w:cs="Arial"/>
          <w:sz w:val="24"/>
          <w:szCs w:val="24"/>
        </w:rPr>
        <w:t>, dado que entre las atribuciones que tienen estos servidores públicos esta realizar actos de autoridad, los cuales por regla general se deben documentar, y por ende la firma en estos documentos se constituye como prueba del consentimiento de su titular al momento de ejercer las atribuciones que le son conferidas.</w:t>
      </w:r>
    </w:p>
    <w:p w:rsidR="009718C1" w:rsidRDefault="009718C1" w:rsidP="009718C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9718C1"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La firma, no puede ser testada en razón de las funciones que se desempeñan, toda vez que, como se ha mencionado, cualquier acto de autoridad que se emane, éste deberá constatar por escrito y a la vez firmado para su respectiva validez; de tal circunstancia se desprende que la firma plasmada en los documentos solicitados por el particular puede ser corroborada en aquellos documentos solicitados por el particular puede ser corroborada en aquellos documentos que haya suscrito el servidor público de acuerdo a sus funciones que desempeña, por lo tanto no se puede considerar como un dato personal confidencial, en razón de que se ejercen actos de autoridad.</w:t>
      </w:r>
    </w:p>
    <w:p w:rsidR="009718C1" w:rsidRDefault="009718C1" w:rsidP="009718C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9718C1" w:rsidRPr="00BA5503"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BA5503">
        <w:rPr>
          <w:rFonts w:ascii="Palatino Linotype" w:eastAsia="MS Mincho" w:hAnsi="Palatino Linotype" w:cstheme="majorBidi"/>
          <w:sz w:val="24"/>
          <w:szCs w:val="24"/>
          <w:lang w:eastAsia="es-ES"/>
        </w:rPr>
        <w:lastRenderedPageBreak/>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rsidR="009718C1" w:rsidRPr="00A96BA8" w:rsidRDefault="009718C1" w:rsidP="009718C1">
      <w:pPr>
        <w:spacing w:after="0" w:line="360" w:lineRule="auto"/>
        <w:ind w:left="567" w:right="616"/>
        <w:contextualSpacing/>
        <w:jc w:val="both"/>
        <w:rPr>
          <w:rFonts w:ascii="Palatino Linotype" w:eastAsia="MS Mincho" w:hAnsi="Palatino Linotype" w:cstheme="majorBidi"/>
          <w:lang w:eastAsia="es-ES"/>
        </w:rPr>
      </w:pPr>
    </w:p>
    <w:p w:rsidR="009718C1" w:rsidRPr="00A96BA8" w:rsidRDefault="009718C1" w:rsidP="009718C1">
      <w:pPr>
        <w:spacing w:after="0" w:line="240" w:lineRule="auto"/>
        <w:ind w:left="567" w:right="616"/>
        <w:contextualSpacing/>
        <w:jc w:val="both"/>
        <w:rPr>
          <w:rFonts w:ascii="Palatino Linotype" w:eastAsia="MS Mincho" w:hAnsi="Palatino Linotype" w:cstheme="majorBidi"/>
          <w:i/>
          <w:lang w:eastAsia="es-ES"/>
        </w:rPr>
      </w:pPr>
      <w:r w:rsidRPr="00A96BA8">
        <w:rPr>
          <w:rFonts w:ascii="Palatino Linotype" w:eastAsia="MS Mincho" w:hAnsi="Palatino Linotype" w:cstheme="majorBidi"/>
          <w:i/>
          <w:lang w:eastAsia="es-ES"/>
        </w:rPr>
        <w:t>“</w:t>
      </w:r>
      <w:r w:rsidRPr="00A96BA8">
        <w:rPr>
          <w:rFonts w:ascii="Palatino Linotype" w:eastAsia="MS Mincho" w:hAnsi="Palatino Linotype" w:cstheme="majorBidi"/>
          <w:b/>
          <w:i/>
          <w:lang w:eastAsia="es-ES"/>
        </w:rPr>
        <w:t>La firma de los servidores públicos es información de carácter público cuando ésta es utilizada en el ejercicio de las facultades conferidas para el desempeño del servicio público</w:t>
      </w:r>
      <w:r w:rsidRPr="00A96BA8">
        <w:rPr>
          <w:rFonts w:ascii="Palatino Linotype" w:eastAsia="MS Mincho" w:hAnsi="Palatino Linotype" w:cstheme="majorBidi"/>
          <w:i/>
          <w:lang w:eastAsia="es-ES"/>
        </w:rPr>
        <w:t>.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9718C1" w:rsidRPr="00A96BA8" w:rsidRDefault="009718C1" w:rsidP="009718C1">
      <w:pPr>
        <w:spacing w:after="0" w:line="360" w:lineRule="auto"/>
        <w:ind w:left="567" w:right="616"/>
        <w:contextualSpacing/>
        <w:jc w:val="both"/>
        <w:rPr>
          <w:rFonts w:ascii="Palatino Linotype" w:eastAsia="MS Mincho" w:hAnsi="Palatino Linotype" w:cstheme="majorBidi"/>
          <w:lang w:eastAsia="es-ES"/>
        </w:rPr>
      </w:pPr>
    </w:p>
    <w:p w:rsidR="009718C1" w:rsidRPr="00480668" w:rsidRDefault="009718C1" w:rsidP="009718C1">
      <w:pPr>
        <w:numPr>
          <w:ilvl w:val="0"/>
          <w:numId w:val="1"/>
        </w:numPr>
        <w:tabs>
          <w:tab w:val="left" w:pos="426"/>
        </w:tabs>
        <w:spacing w:after="0" w:line="360" w:lineRule="auto"/>
        <w:ind w:left="0" w:right="49" w:firstLine="0"/>
        <w:contextualSpacing/>
        <w:jc w:val="both"/>
        <w:rPr>
          <w:rFonts w:ascii="Palatino Linotype" w:eastAsia="MS Mincho" w:hAnsi="Palatino Linotype" w:cstheme="majorBidi"/>
          <w:sz w:val="24"/>
          <w:szCs w:val="24"/>
          <w:lang w:eastAsia="es-ES"/>
        </w:rPr>
      </w:pPr>
      <w:r w:rsidRPr="00552680">
        <w:rPr>
          <w:rFonts w:ascii="Palatino Linotype" w:eastAsia="MS Mincho" w:hAnsi="Palatino Linotype" w:cstheme="majorBidi"/>
          <w:sz w:val="24"/>
          <w:szCs w:val="24"/>
          <w:lang w:eastAsia="es-ES"/>
        </w:rPr>
        <w:t xml:space="preserve">Así, en un acto de autoridad </w:t>
      </w:r>
      <w:r>
        <w:rPr>
          <w:rFonts w:ascii="Palatino Linotype" w:eastAsia="MS Mincho" w:hAnsi="Palatino Linotype" w:cstheme="majorBidi"/>
          <w:sz w:val="24"/>
          <w:szCs w:val="24"/>
          <w:lang w:eastAsia="es-ES"/>
        </w:rPr>
        <w:t xml:space="preserve">además se debe cumplir con </w:t>
      </w:r>
      <w:r w:rsidRPr="00552680">
        <w:rPr>
          <w:rFonts w:ascii="Palatino Linotype" w:eastAsia="MS Mincho" w:hAnsi="Palatino Linotype" w:cstheme="majorBidi"/>
          <w:sz w:val="24"/>
          <w:szCs w:val="24"/>
          <w:lang w:eastAsia="es-ES"/>
        </w:rPr>
        <w:t>la debida fundamentación</w:t>
      </w:r>
      <w:r>
        <w:rPr>
          <w:rFonts w:ascii="Palatino Linotype" w:eastAsia="MS Mincho" w:hAnsi="Palatino Linotype" w:cstheme="majorBidi"/>
          <w:sz w:val="24"/>
          <w:szCs w:val="24"/>
          <w:lang w:eastAsia="es-ES"/>
        </w:rPr>
        <w:t xml:space="preserve">, es decir, </w:t>
      </w:r>
      <w:r w:rsidRPr="00552680">
        <w:rPr>
          <w:rFonts w:ascii="Palatino Linotype" w:eastAsia="MS Mincho" w:hAnsi="Palatino Linotype" w:cstheme="majorBidi"/>
          <w:sz w:val="24"/>
          <w:szCs w:val="24"/>
          <w:lang w:eastAsia="es-ES"/>
        </w:rPr>
        <w:t>cita</w:t>
      </w:r>
      <w:r>
        <w:rPr>
          <w:rFonts w:ascii="Palatino Linotype" w:eastAsia="MS Mincho" w:hAnsi="Palatino Linotype" w:cstheme="majorBidi"/>
          <w:sz w:val="24"/>
          <w:szCs w:val="24"/>
          <w:lang w:eastAsia="es-ES"/>
        </w:rPr>
        <w:t>r</w:t>
      </w:r>
      <w:r w:rsidRPr="00552680">
        <w:rPr>
          <w:rFonts w:ascii="Palatino Linotype" w:eastAsia="MS Mincho" w:hAnsi="Palatino Linotype" w:cstheme="majorBidi"/>
          <w:sz w:val="24"/>
          <w:szCs w:val="24"/>
          <w:lang w:eastAsia="es-ES"/>
        </w:rPr>
        <w:t xml:space="preserve"> el precepto legal aplicable al caso concreto y la debida motivación cuando se expresan las razones, motivos o circunstancias que tomó en cuenta la autoridad para adecuar el hec</w:t>
      </w:r>
      <w:r>
        <w:rPr>
          <w:rFonts w:ascii="Palatino Linotype" w:eastAsia="MS Mincho" w:hAnsi="Palatino Linotype" w:cstheme="majorBidi"/>
          <w:sz w:val="24"/>
          <w:szCs w:val="24"/>
          <w:lang w:eastAsia="es-ES"/>
        </w:rPr>
        <w:t>ho a los fundamentos de derecho; en consecuencia, el fundamento legal, la motivación, y la firma del servidor público que emite el acto de autoridad, dichos elementos en su conjunto, brindan certeza jurídica a los particulares, dado que rinde cuentas sobre el debido ejercicio de sus atribuciones con motivo del empleo, cargo o comisión que al servidor público le han sido encomendados.</w:t>
      </w:r>
    </w:p>
    <w:p w:rsidR="009718C1" w:rsidRDefault="009718C1" w:rsidP="009718C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9718C1"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lastRenderedPageBreak/>
        <w:t>En ese sentido, se considera que las personas que deciden incursionar al servicio público, más aun cuando se ostentan cargos con nivel superior, conlleva a permitir cierta intromisión en la vida privada de los mismos, es decir, la restricción a sus datos personales es menor a una persona que no realiza actos de autoridad, dado que cuando la información reviste relevancia por o para el ejercicio de sus funciones, se tiene que permitir la publicidad del dato personal como lo es la firma, máxime cuando derivado de las atribuciones son los responsables de autorizarlos o bien otorgar atención al público.</w:t>
      </w:r>
    </w:p>
    <w:p w:rsidR="009718C1" w:rsidRDefault="009718C1" w:rsidP="009718C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9718C1"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Considerar la firma como un dato personal confidencial, susceptible de clasificarse en documentos como la cédula profesional, porque este documento fue expedido al particular en su calidad de ciudadano como parte de un trámite personal y especifico, resulta un argumento restrictivo e inaplicable al caso concreto; ello en razón de que la persona a quien se le expide la patente para ejercer la profesión, tramita este documento con una finalidad, la cual es de acreditarse frente a terceros como la persona idónea que cuenta con los conocimientos para desempeñar el empleo, cargo o comisión al que pretende acceder. </w:t>
      </w:r>
    </w:p>
    <w:p w:rsidR="009718C1" w:rsidRDefault="009718C1" w:rsidP="009718C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9718C1"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Por lo anterior, no se considera procedente la clasificación de la firma de un servidor público, más aun cuando tenga nivel medio o superior, pues resulta mayor el beneficio de conocer que el dato que permite identificar que la persona a quien se </w:t>
      </w:r>
      <w:r>
        <w:rPr>
          <w:rFonts w:ascii="Palatino Linotype" w:hAnsi="Palatino Linotype" w:cs="Arial"/>
          <w:sz w:val="24"/>
          <w:szCs w:val="24"/>
        </w:rPr>
        <w:lastRenderedPageBreak/>
        <w:t>le expidió la patente para ejercer su profesión, es la misma que emitió el acto de autoridad.</w:t>
      </w:r>
    </w:p>
    <w:p w:rsidR="009718C1" w:rsidRPr="00DC49C1" w:rsidRDefault="009718C1" w:rsidP="009718C1">
      <w:pPr>
        <w:pStyle w:val="Prrafodelista"/>
        <w:rPr>
          <w:rFonts w:ascii="Palatino Linotype" w:hAnsi="Palatino Linotype" w:cs="Arial"/>
          <w:sz w:val="24"/>
          <w:szCs w:val="24"/>
        </w:rPr>
      </w:pPr>
    </w:p>
    <w:p w:rsidR="009718C1" w:rsidRPr="0046455F" w:rsidRDefault="009718C1" w:rsidP="009718C1">
      <w:pPr>
        <w:keepNext/>
        <w:keepLines/>
        <w:spacing w:after="0"/>
        <w:outlineLvl w:val="0"/>
        <w:rPr>
          <w:rFonts w:ascii="Palatino Linotype" w:eastAsiaTheme="majorEastAsia" w:hAnsi="Palatino Linotype" w:cstheme="majorBidi"/>
          <w:b/>
          <w:color w:val="000000" w:themeColor="text1"/>
          <w:sz w:val="24"/>
          <w:szCs w:val="24"/>
        </w:rPr>
      </w:pPr>
      <w:bookmarkStart w:id="8" w:name="_Toc447988882"/>
      <w:bookmarkStart w:id="9" w:name="_Toc477524841"/>
      <w:bookmarkStart w:id="10" w:name="_Toc8748207"/>
      <w:bookmarkStart w:id="11" w:name="_Toc11082725"/>
      <w:r>
        <w:rPr>
          <w:rFonts w:ascii="Palatino Linotype" w:eastAsiaTheme="majorEastAsia" w:hAnsi="Palatino Linotype" w:cstheme="majorBidi"/>
          <w:b/>
          <w:color w:val="000000" w:themeColor="text1"/>
          <w:sz w:val="24"/>
          <w:szCs w:val="24"/>
        </w:rPr>
        <w:t>V.</w:t>
      </w:r>
      <w:r w:rsidRPr="0046455F">
        <w:rPr>
          <w:rFonts w:ascii="Palatino Linotype" w:eastAsiaTheme="majorEastAsia" w:hAnsi="Palatino Linotype" w:cstheme="majorBidi"/>
          <w:b/>
          <w:color w:val="000000" w:themeColor="text1"/>
          <w:sz w:val="24"/>
          <w:szCs w:val="24"/>
        </w:rPr>
        <w:t xml:space="preserve"> Restricciones legítimas al derecho a la privacidad.</w:t>
      </w:r>
      <w:bookmarkEnd w:id="8"/>
      <w:bookmarkEnd w:id="9"/>
      <w:bookmarkEnd w:id="10"/>
      <w:bookmarkEnd w:id="11"/>
    </w:p>
    <w:p w:rsidR="009718C1" w:rsidRDefault="009718C1" w:rsidP="009718C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9718C1"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3B7E81">
        <w:rPr>
          <w:rFonts w:ascii="Palatino Linotype" w:hAnsi="Palatino Linotype" w:cs="Arial"/>
          <w:color w:val="000000" w:themeColor="text1"/>
          <w:sz w:val="24"/>
          <w:szCs w:val="24"/>
        </w:rPr>
        <w:t>Podría señalarse que el criterio que he sostenido constituye una restricción al derecho de protección de datos personales de las personas que desempeñan alguna función pública, lo cual es cierto ya que las mismas disposiciones señalan que ningún derecho es absoluto y es dable establecer límites, siempre y cuando se sujeten a procedimientos estrictos para la adecuada defensa de la dignidad humana y la propia viabilidad de la sociedad democrática, pero además, que exista un esfuerzo adecuado y proporcional de los titulares del derecho para propiciar su debido ejercicio.</w:t>
      </w:r>
    </w:p>
    <w:p w:rsidR="009718C1" w:rsidRDefault="009718C1" w:rsidP="009718C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9718C1"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3B7E81">
        <w:rPr>
          <w:rFonts w:ascii="Palatino Linotype" w:hAnsi="Palatino Linotype" w:cs="Arial"/>
          <w:color w:val="000000" w:themeColor="text1"/>
          <w:sz w:val="24"/>
          <w:szCs w:val="24"/>
        </w:rPr>
        <w:t>Para justificar el presente voto particular, vale la pena acudir a criterios de interpretación constitucional bajo el recurso del intérprete externo, según lo recomienda el Dr. Nestor Pedro Sagüés.</w:t>
      </w:r>
      <w:r w:rsidRPr="003C210B">
        <w:rPr>
          <w:sz w:val="24"/>
          <w:szCs w:val="24"/>
          <w:vertAlign w:val="superscript"/>
        </w:rPr>
        <w:footnoteReference w:id="1"/>
      </w:r>
      <w:r w:rsidRPr="003B7E81">
        <w:rPr>
          <w:rFonts w:ascii="Palatino Linotype" w:hAnsi="Palatino Linotype" w:cs="Arial"/>
          <w:color w:val="000000" w:themeColor="text1"/>
          <w:sz w:val="24"/>
          <w:szCs w:val="24"/>
        </w:rPr>
        <w:t xml:space="preserve"> Para ello se acude a la interpretación de las más Altas Cortes, en primer lugar el Tribunal Constitucional Alemán y en segundo término el Tribunal de Estrasburgo.</w:t>
      </w:r>
    </w:p>
    <w:p w:rsidR="009718C1" w:rsidRDefault="009718C1" w:rsidP="009718C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9718C1" w:rsidRPr="003B7E81"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3B7E81">
        <w:rPr>
          <w:rFonts w:ascii="Palatino Linotype" w:hAnsi="Palatino Linotype" w:cs="Arial"/>
          <w:color w:val="000000" w:themeColor="text1"/>
          <w:sz w:val="24"/>
          <w:szCs w:val="24"/>
        </w:rPr>
        <w:lastRenderedPageBreak/>
        <w:t>El Tribunal Constitucional Alemán en su sentencia sobre el espionaje acústico masivo, de 3 de marzo de 2004 (BVerfGE 190, 279) señala:</w:t>
      </w:r>
    </w:p>
    <w:p w:rsidR="009718C1" w:rsidRDefault="009718C1" w:rsidP="009718C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9718C1" w:rsidRPr="00F54208" w:rsidRDefault="009718C1" w:rsidP="009718C1">
      <w:pPr>
        <w:spacing w:after="0" w:line="360" w:lineRule="auto"/>
        <w:ind w:left="567" w:right="616"/>
        <w:contextualSpacing/>
        <w:jc w:val="both"/>
        <w:rPr>
          <w:rFonts w:ascii="Palatino Linotype" w:hAnsi="Palatino Linotype" w:cs="Arial"/>
          <w:i/>
          <w:color w:val="000000" w:themeColor="text1"/>
        </w:rPr>
      </w:pPr>
      <w:r w:rsidRPr="005C02A6">
        <w:rPr>
          <w:rFonts w:ascii="Palatino Linotype" w:hAnsi="Palatino Linotype" w:cs="Arial"/>
          <w:i/>
          <w:color w:val="000000" w:themeColor="text1"/>
        </w:rPr>
        <w:t>“a)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BVerfGE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BVerfGE 100, 313, 376; 107, 299, 320). Además, la situación también es diferente dependiendo de si las medidas de investigación tienen lugar en una vivienda privada o en espacios industriales o comerciales y de si se ven afectados terceros no sospechosos y del número de estos”.</w:t>
      </w:r>
      <w:r w:rsidRPr="005C02A6">
        <w:rPr>
          <w:rFonts w:ascii="Palatino Linotype" w:hAnsi="Palatino Linotype" w:cs="Arial"/>
          <w:i/>
          <w:color w:val="000000" w:themeColor="text1"/>
          <w:vertAlign w:val="superscript"/>
        </w:rPr>
        <w:footnoteReference w:id="2"/>
      </w:r>
    </w:p>
    <w:p w:rsidR="009718C1" w:rsidRPr="003B7E81" w:rsidRDefault="009718C1" w:rsidP="009718C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9718C1" w:rsidRPr="00ED626B"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3B7E81">
        <w:rPr>
          <w:rFonts w:ascii="Palatino Linotype" w:hAnsi="Palatino Linotype" w:cs="Arial"/>
          <w:color w:val="000000" w:themeColor="text1"/>
          <w:sz w:val="24"/>
          <w:szCs w:val="24"/>
        </w:rPr>
        <w:t xml:space="preserve">En el caso que nos ocupa se trata de personas que, al decidir incursionar en el ejercicio de responsabilidades públicas, han decidido, por sí mismas, someterse al escrutinio de una sociedad democrática. Además y como ya se ha señalado, </w:t>
      </w:r>
      <w:r>
        <w:rPr>
          <w:rFonts w:ascii="Palatino Linotype" w:hAnsi="Palatino Linotype" w:cs="Arial"/>
          <w:color w:val="000000" w:themeColor="text1"/>
          <w:sz w:val="24"/>
          <w:szCs w:val="24"/>
        </w:rPr>
        <w:t xml:space="preserve">tanto el título como </w:t>
      </w:r>
      <w:r w:rsidRPr="003B7E81">
        <w:rPr>
          <w:rFonts w:ascii="Palatino Linotype" w:hAnsi="Palatino Linotype" w:cs="Arial"/>
          <w:color w:val="000000" w:themeColor="text1"/>
          <w:sz w:val="24"/>
          <w:szCs w:val="24"/>
        </w:rPr>
        <w:t>la cédul</w:t>
      </w:r>
      <w:r>
        <w:rPr>
          <w:rFonts w:ascii="Palatino Linotype" w:hAnsi="Palatino Linotype" w:cs="Arial"/>
          <w:color w:val="000000" w:themeColor="text1"/>
          <w:sz w:val="24"/>
          <w:szCs w:val="24"/>
        </w:rPr>
        <w:t xml:space="preserve">a profesional </w:t>
      </w:r>
      <w:r w:rsidRPr="003B7E81">
        <w:rPr>
          <w:rFonts w:ascii="Palatino Linotype" w:hAnsi="Palatino Linotype" w:cs="Arial"/>
          <w:color w:val="000000" w:themeColor="text1"/>
          <w:sz w:val="24"/>
          <w:szCs w:val="24"/>
        </w:rPr>
        <w:t xml:space="preserve">son documentos en los </w:t>
      </w:r>
      <w:r>
        <w:rPr>
          <w:rFonts w:ascii="Palatino Linotype" w:hAnsi="Palatino Linotype" w:cs="Arial"/>
          <w:color w:val="000000" w:themeColor="text1"/>
          <w:sz w:val="24"/>
          <w:szCs w:val="24"/>
        </w:rPr>
        <w:t>en</w:t>
      </w:r>
      <w:r w:rsidRPr="003B7E81">
        <w:rPr>
          <w:rFonts w:ascii="Palatino Linotype" w:hAnsi="Palatino Linotype" w:cs="Arial"/>
          <w:color w:val="000000" w:themeColor="text1"/>
          <w:sz w:val="24"/>
          <w:szCs w:val="24"/>
        </w:rPr>
        <w:t xml:space="preserve"> ocasiones se ha sostenido que el dato personal contenido en ellos como lo es la </w:t>
      </w:r>
      <w:r>
        <w:rPr>
          <w:rFonts w:ascii="Palatino Linotype" w:hAnsi="Palatino Linotype" w:cs="Arial"/>
          <w:color w:val="000000" w:themeColor="text1"/>
          <w:sz w:val="24"/>
          <w:szCs w:val="24"/>
        </w:rPr>
        <w:t>firma</w:t>
      </w:r>
      <w:r w:rsidRPr="003B7E81">
        <w:rPr>
          <w:rFonts w:ascii="Palatino Linotype" w:hAnsi="Palatino Linotype" w:cs="Arial"/>
          <w:color w:val="000000" w:themeColor="text1"/>
          <w:sz w:val="24"/>
          <w:szCs w:val="24"/>
        </w:rPr>
        <w:t xml:space="preserve"> es información de interés público, que acredita que la persona </w:t>
      </w:r>
      <w:r>
        <w:rPr>
          <w:rFonts w:ascii="Palatino Linotype" w:hAnsi="Palatino Linotype" w:cs="Arial"/>
          <w:color w:val="000000" w:themeColor="text1"/>
          <w:sz w:val="24"/>
          <w:szCs w:val="24"/>
        </w:rPr>
        <w:t xml:space="preserve">a quien se le expidió dichos </w:t>
      </w:r>
      <w:r>
        <w:rPr>
          <w:rFonts w:ascii="Palatino Linotype" w:hAnsi="Palatino Linotype" w:cs="Arial"/>
          <w:color w:val="000000" w:themeColor="text1"/>
          <w:sz w:val="24"/>
          <w:szCs w:val="24"/>
        </w:rPr>
        <w:lastRenderedPageBreak/>
        <w:t>documentos, además de haber cumplido</w:t>
      </w:r>
      <w:r w:rsidRPr="003B7E81">
        <w:rPr>
          <w:rFonts w:ascii="Palatino Linotype" w:hAnsi="Palatino Linotype" w:cs="Arial"/>
          <w:color w:val="000000" w:themeColor="text1"/>
          <w:sz w:val="24"/>
          <w:szCs w:val="24"/>
        </w:rPr>
        <w:t xml:space="preserve"> con los requisitos para ser acreedora a los mismo</w:t>
      </w:r>
      <w:r>
        <w:rPr>
          <w:rFonts w:ascii="Palatino Linotype" w:hAnsi="Palatino Linotype" w:cs="Arial"/>
          <w:color w:val="000000" w:themeColor="text1"/>
          <w:sz w:val="24"/>
          <w:szCs w:val="24"/>
        </w:rPr>
        <w:t>s</w:t>
      </w:r>
      <w:r w:rsidRPr="003B7E81">
        <w:rPr>
          <w:rFonts w:ascii="Palatino Linotype" w:hAnsi="Palatino Linotype" w:cs="Arial"/>
          <w:color w:val="000000" w:themeColor="text1"/>
          <w:sz w:val="24"/>
          <w:szCs w:val="24"/>
        </w:rPr>
        <w:t>, se advierte que al obtenerlos cuenta con los c</w:t>
      </w:r>
      <w:r>
        <w:rPr>
          <w:rFonts w:ascii="Palatino Linotype" w:hAnsi="Palatino Linotype" w:cs="Arial"/>
          <w:color w:val="000000" w:themeColor="text1"/>
          <w:sz w:val="24"/>
          <w:szCs w:val="24"/>
        </w:rPr>
        <w:t>onocimientos que refiere tener; documentos que constituyen elementos de identidad frente a terceros, además que en el caso de servidores públicos contribuye a brindar certeza de que el servidor que ejerce actos de autoridad lo hace en ejercicio de sus funciones y a partir de los conocimientos con los que cuenta y para los cuales se le expidió la documental que lo avala.</w:t>
      </w:r>
    </w:p>
    <w:p w:rsidR="009718C1" w:rsidRPr="00ED626B" w:rsidRDefault="009718C1" w:rsidP="009718C1">
      <w:pPr>
        <w:keepNext/>
        <w:keepLines/>
        <w:spacing w:before="240" w:after="0"/>
        <w:outlineLvl w:val="0"/>
        <w:rPr>
          <w:rFonts w:ascii="Palatino Linotype" w:eastAsiaTheme="majorEastAsia" w:hAnsi="Palatino Linotype" w:cstheme="majorBidi"/>
          <w:b/>
          <w:sz w:val="24"/>
          <w:szCs w:val="24"/>
        </w:rPr>
      </w:pPr>
      <w:bookmarkStart w:id="12" w:name="_Toc8223280"/>
      <w:bookmarkStart w:id="13" w:name="_Toc8748208"/>
      <w:bookmarkStart w:id="14" w:name="_Toc11082726"/>
      <w:r w:rsidRPr="00ED626B">
        <w:rPr>
          <w:rFonts w:ascii="Palatino Linotype" w:eastAsiaTheme="majorEastAsia" w:hAnsi="Palatino Linotype" w:cstheme="majorBidi"/>
          <w:b/>
          <w:sz w:val="24"/>
          <w:szCs w:val="24"/>
        </w:rPr>
        <w:t>VI. Acceso a la información versus protección de datos personales.</w:t>
      </w:r>
      <w:bookmarkEnd w:id="12"/>
      <w:bookmarkEnd w:id="13"/>
      <w:bookmarkEnd w:id="14"/>
      <w:r w:rsidRPr="00ED626B">
        <w:rPr>
          <w:rFonts w:ascii="Palatino Linotype" w:eastAsiaTheme="majorEastAsia" w:hAnsi="Palatino Linotype" w:cstheme="majorBidi"/>
          <w:b/>
          <w:sz w:val="24"/>
          <w:szCs w:val="24"/>
        </w:rPr>
        <w:t xml:space="preserve"> </w:t>
      </w:r>
    </w:p>
    <w:p w:rsidR="009718C1" w:rsidRPr="00ED626B" w:rsidRDefault="009718C1" w:rsidP="009718C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9718C1" w:rsidRPr="00ED626B"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D626B">
        <w:rPr>
          <w:rFonts w:ascii="Palatino Linotype" w:hAnsi="Palatino Linotype"/>
          <w:sz w:val="24"/>
          <w:szCs w:val="24"/>
        </w:rPr>
        <w:t>Para que quienes se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w:t>
      </w:r>
    </w:p>
    <w:p w:rsidR="009718C1" w:rsidRPr="00ED626B" w:rsidRDefault="009718C1" w:rsidP="009718C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9718C1" w:rsidRPr="00DC49C1"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D626B">
        <w:rPr>
          <w:rFonts w:ascii="Palatino Linotype" w:hAnsi="Palatino Linotype"/>
          <w:sz w:val="24"/>
          <w:szCs w:val="24"/>
        </w:rPr>
        <w:t xml:space="preserve">El acceder a la </w:t>
      </w:r>
      <w:r>
        <w:rPr>
          <w:rFonts w:ascii="Palatino Linotype" w:hAnsi="Palatino Linotype"/>
          <w:sz w:val="24"/>
          <w:szCs w:val="24"/>
        </w:rPr>
        <w:t>foto</w:t>
      </w:r>
      <w:r w:rsidRPr="00ED626B">
        <w:rPr>
          <w:rFonts w:ascii="Palatino Linotype" w:hAnsi="Palatino Linotype"/>
          <w:sz w:val="24"/>
          <w:szCs w:val="24"/>
        </w:rPr>
        <w:t xml:space="preserve">copia del título </w:t>
      </w:r>
      <w:r>
        <w:rPr>
          <w:rFonts w:ascii="Palatino Linotype" w:hAnsi="Palatino Linotype"/>
          <w:sz w:val="24"/>
          <w:szCs w:val="24"/>
        </w:rPr>
        <w:t>o cédula profesional</w:t>
      </w:r>
      <w:r w:rsidRPr="00ED626B">
        <w:rPr>
          <w:rFonts w:ascii="Palatino Linotype" w:hAnsi="Palatino Linotype"/>
          <w:sz w:val="24"/>
          <w:szCs w:val="24"/>
        </w:rPr>
        <w:t xml:space="preserve">, </w:t>
      </w:r>
      <w:r>
        <w:rPr>
          <w:rFonts w:ascii="Palatino Linotype" w:hAnsi="Palatino Linotype"/>
          <w:sz w:val="24"/>
          <w:szCs w:val="24"/>
        </w:rPr>
        <w:t>como los documentos que acreditan</w:t>
      </w:r>
      <w:r w:rsidRPr="00ED626B">
        <w:rPr>
          <w:rFonts w:ascii="Palatino Linotype" w:hAnsi="Palatino Linotype"/>
          <w:sz w:val="24"/>
          <w:szCs w:val="24"/>
        </w:rPr>
        <w:t xml:space="preserve"> </w:t>
      </w:r>
      <w:r>
        <w:rPr>
          <w:rFonts w:ascii="Palatino Linotype" w:hAnsi="Palatino Linotype"/>
          <w:sz w:val="24"/>
          <w:szCs w:val="24"/>
        </w:rPr>
        <w:t>la experiencia académica</w:t>
      </w:r>
      <w:r w:rsidRPr="00ED626B">
        <w:rPr>
          <w:rFonts w:ascii="Palatino Linotype" w:hAnsi="Palatino Linotype"/>
          <w:sz w:val="24"/>
          <w:szCs w:val="24"/>
        </w:rPr>
        <w:t xml:space="preserve">, de quien ocupe cargos en la administración </w:t>
      </w:r>
      <w:r>
        <w:rPr>
          <w:rFonts w:ascii="Palatino Linotype" w:hAnsi="Palatino Linotype"/>
          <w:sz w:val="24"/>
          <w:szCs w:val="24"/>
        </w:rPr>
        <w:t xml:space="preserve">pública </w:t>
      </w:r>
      <w:r w:rsidRPr="00ED626B">
        <w:rPr>
          <w:rFonts w:ascii="Palatino Linotype" w:hAnsi="Palatino Linotype"/>
          <w:sz w:val="24"/>
          <w:szCs w:val="24"/>
        </w:rPr>
        <w:t xml:space="preserve">permitirá al particular conocer con toda certeza y de manera indudable si </w:t>
      </w:r>
      <w:r w:rsidRPr="00ED626B">
        <w:rPr>
          <w:rFonts w:ascii="Palatino Linotype" w:hAnsi="Palatino Linotype"/>
          <w:sz w:val="24"/>
          <w:szCs w:val="24"/>
        </w:rPr>
        <w:lastRenderedPageBreak/>
        <w:t>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w:t>
      </w:r>
      <w:r>
        <w:rPr>
          <w:rFonts w:ascii="Palatino Linotype" w:hAnsi="Palatino Linotype"/>
          <w:sz w:val="24"/>
          <w:szCs w:val="24"/>
        </w:rPr>
        <w:t xml:space="preserve"> documentos públicos requeridos.</w:t>
      </w:r>
    </w:p>
    <w:p w:rsidR="009718C1" w:rsidRPr="00ED626B" w:rsidRDefault="009718C1" w:rsidP="009718C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9718C1" w:rsidRPr="00E02E1E"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D626B">
        <w:rPr>
          <w:rFonts w:ascii="Palatino Linotype" w:hAnsi="Palatino Linotype"/>
          <w:sz w:val="24"/>
          <w:szCs w:val="24"/>
        </w:rPr>
        <w:t xml:space="preserve">Frente a esa situación, en ocasiones se ha coincidido en la necesidad de testar la firma como una medida de protección de la misma en su condición de dato personal, desde su punto de vista que señala que no es necesario que el ciudadano acceda a la firma para determinar la idoneidad del funcionario, y que está plasmada en documentos como el </w:t>
      </w:r>
      <w:r w:rsidR="004535D6" w:rsidRPr="00ED626B">
        <w:rPr>
          <w:rFonts w:ascii="Palatino Linotype" w:hAnsi="Palatino Linotype"/>
          <w:sz w:val="24"/>
          <w:szCs w:val="24"/>
        </w:rPr>
        <w:t>título</w:t>
      </w:r>
      <w:r w:rsidRPr="00ED626B">
        <w:rPr>
          <w:rFonts w:ascii="Palatino Linotype" w:hAnsi="Palatino Linotype"/>
          <w:sz w:val="24"/>
          <w:szCs w:val="24"/>
        </w:rPr>
        <w:t xml:space="preserve"> o la cédula profesional fue tramitada en </w:t>
      </w:r>
      <w:r w:rsidRPr="00ED626B">
        <w:rPr>
          <w:rFonts w:ascii="Palatino Linotype" w:hAnsi="Palatino Linotype" w:cs="Arial"/>
          <w:sz w:val="24"/>
          <w:szCs w:val="24"/>
        </w:rPr>
        <w:t>calidad de ciudadano como parte de un trámite personal y especifico, a lo cual d</w:t>
      </w:r>
      <w:r w:rsidRPr="00ED626B">
        <w:rPr>
          <w:rFonts w:ascii="Palatino Linotype" w:hAnsi="Palatino Linotype"/>
          <w:sz w:val="24"/>
          <w:szCs w:val="24"/>
        </w:rPr>
        <w:t>esde mi perspectiva la reflexión debe situarse en otro terreno ya que, en efecto, no es la firma la que permite determinar la respectiva idoneidad profesional, pero si la concurrencia de todos los elementos que integran la documental, lo que permite constatar la acreditación profesional, entre los cuales, la firma resulta esencial para determinar la identidad de quien obtiene un Título Profesional, una cédula profesional o bien cualquier otro documento análogo, en concatenación con el servidor público que emite actos de autoridad.</w:t>
      </w:r>
    </w:p>
    <w:p w:rsidR="009718C1" w:rsidRPr="00E02E1E" w:rsidRDefault="009718C1" w:rsidP="009718C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9718C1" w:rsidRPr="00E02E1E"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02E1E">
        <w:rPr>
          <w:rFonts w:ascii="Palatino Linotype" w:hAnsi="Palatino Linotype"/>
          <w:sz w:val="24"/>
          <w:szCs w:val="24"/>
        </w:rPr>
        <w:t>Por tanto</w:t>
      </w:r>
      <w:r w:rsidRPr="00E02E1E">
        <w:rPr>
          <w:rFonts w:ascii="Palatino Linotype" w:eastAsia="Times New Roman" w:hAnsi="Palatino Linotype" w:cs="Arial"/>
          <w:sz w:val="24"/>
          <w:szCs w:val="24"/>
          <w:lang w:val="es-ES" w:eastAsia="es-MX"/>
        </w:rPr>
        <w:t>, en esos casos, la f</w:t>
      </w:r>
      <w:r>
        <w:rPr>
          <w:rFonts w:ascii="Palatino Linotype" w:eastAsia="Times New Roman" w:hAnsi="Palatino Linotype" w:cs="Arial"/>
          <w:sz w:val="24"/>
          <w:szCs w:val="24"/>
          <w:lang w:val="es-ES" w:eastAsia="es-MX"/>
        </w:rPr>
        <w:t>irma</w:t>
      </w:r>
      <w:r w:rsidRPr="00E02E1E">
        <w:rPr>
          <w:rFonts w:ascii="Palatino Linotype" w:eastAsia="Times New Roman" w:hAnsi="Palatino Linotype" w:cs="Arial"/>
          <w:sz w:val="24"/>
          <w:szCs w:val="24"/>
          <w:lang w:val="es-ES" w:eastAsia="es-MX"/>
        </w:rPr>
        <w:t xml:space="preserve"> no puede constituir un dato personal que requiere del consentimiento del titular de la información para su difusión, pues constituye un elemento que permite reflejar que la persona que </w:t>
      </w:r>
      <w:r>
        <w:rPr>
          <w:rFonts w:ascii="Palatino Linotype" w:eastAsia="Times New Roman" w:hAnsi="Palatino Linotype" w:cs="Arial"/>
          <w:sz w:val="24"/>
          <w:szCs w:val="24"/>
          <w:lang w:val="es-ES" w:eastAsia="es-MX"/>
        </w:rPr>
        <w:t>emite un acto de autoridad es la misma a quien se le expidió el titulo o la patente para ejercer la profesión y por ende el cargo encomendado como servidor público.</w:t>
      </w:r>
    </w:p>
    <w:p w:rsidR="009718C1" w:rsidRPr="00E02E1E" w:rsidRDefault="009718C1" w:rsidP="009718C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9718C1" w:rsidRPr="00E02E1E"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02E1E">
        <w:rPr>
          <w:rFonts w:ascii="Palatino Linotype" w:hAnsi="Palatino Linotype"/>
          <w:sz w:val="24"/>
          <w:szCs w:val="24"/>
        </w:rPr>
        <w:t>Ahora bien, 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rsidR="009718C1" w:rsidRPr="00E02E1E" w:rsidRDefault="009718C1" w:rsidP="009718C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9718C1" w:rsidRPr="00E02E1E"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02E1E">
        <w:rPr>
          <w:rFonts w:ascii="Palatino Linotype" w:hAnsi="Palatino Linotype"/>
          <w:sz w:val="24"/>
          <w:szCs w:val="24"/>
        </w:rPr>
        <w:t xml:space="preserve">En estos casos, el intérprete externo y los ius publicistas recomiendan realizar un juicio de ponderación que se rige por la exigencia de observar tres juicios: el </w:t>
      </w:r>
      <w:r w:rsidRPr="00E02E1E">
        <w:rPr>
          <w:rFonts w:ascii="Palatino Linotype" w:hAnsi="Palatino Linotype"/>
          <w:sz w:val="24"/>
          <w:szCs w:val="24"/>
        </w:rPr>
        <w:lastRenderedPageBreak/>
        <w:t>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rsidR="009718C1" w:rsidRPr="00E02E1E" w:rsidRDefault="009718C1" w:rsidP="009718C1">
      <w:pPr>
        <w:pStyle w:val="Ttulo1"/>
        <w:rPr>
          <w:rFonts w:ascii="Palatino Linotype" w:hAnsi="Palatino Linotype" w:cs="Arial"/>
          <w:b/>
          <w:color w:val="000000" w:themeColor="text1"/>
          <w:sz w:val="24"/>
        </w:rPr>
      </w:pPr>
      <w:bookmarkStart w:id="15" w:name="_Toc11082727"/>
      <w:r w:rsidRPr="00E02E1E">
        <w:rPr>
          <w:rFonts w:ascii="Palatino Linotype" w:hAnsi="Palatino Linotype"/>
          <w:b/>
          <w:color w:val="000000" w:themeColor="text1"/>
          <w:sz w:val="24"/>
        </w:rPr>
        <w:t>A. Juicio de idoneidad.</w:t>
      </w:r>
      <w:bookmarkEnd w:id="15"/>
    </w:p>
    <w:p w:rsidR="009718C1" w:rsidRPr="00E02E1E" w:rsidRDefault="009718C1" w:rsidP="009718C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9718C1" w:rsidRPr="00E02E1E"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02E1E">
        <w:rPr>
          <w:rFonts w:ascii="Palatino Linotype" w:hAnsi="Palatino Linotype"/>
          <w:sz w:val="24"/>
          <w:szCs w:val="24"/>
        </w:rPr>
        <w:t xml:space="preserve">El derecho de acceso a la información se plantea a través de la solicitud del  particular para obtener el documento que acredite el último grado de estudios de los servidores  públicos, el título profesional o </w:t>
      </w:r>
      <w:r>
        <w:rPr>
          <w:rFonts w:ascii="Palatino Linotype" w:hAnsi="Palatino Linotype"/>
          <w:sz w:val="24"/>
          <w:szCs w:val="24"/>
        </w:rPr>
        <w:t>cédula profesional,</w:t>
      </w:r>
      <w:r w:rsidRPr="00E02E1E">
        <w:rPr>
          <w:rFonts w:ascii="Palatino Linotype" w:hAnsi="Palatino Linotype"/>
          <w:sz w:val="24"/>
          <w:szCs w:val="24"/>
        </w:rPr>
        <w:t xml:space="preserve"> relacionado</w:t>
      </w:r>
      <w:r>
        <w:rPr>
          <w:rFonts w:ascii="Palatino Linotype" w:hAnsi="Palatino Linotype"/>
          <w:sz w:val="24"/>
          <w:szCs w:val="24"/>
        </w:rPr>
        <w:t>s</w:t>
      </w:r>
      <w:r w:rsidRPr="00E02E1E">
        <w:rPr>
          <w:rFonts w:ascii="Palatino Linotype" w:hAnsi="Palatino Linotype"/>
          <w:sz w:val="24"/>
          <w:szCs w:val="24"/>
        </w:rPr>
        <w:t xml:space="preserve"> con su trayectoria académica</w:t>
      </w:r>
      <w:r>
        <w:rPr>
          <w:rFonts w:ascii="Palatino Linotype" w:hAnsi="Palatino Linotype"/>
          <w:sz w:val="24"/>
          <w:szCs w:val="24"/>
        </w:rPr>
        <w:t>,</w:t>
      </w:r>
      <w:r w:rsidRPr="00E02E1E">
        <w:rPr>
          <w:rFonts w:ascii="Palatino Linotype" w:hAnsi="Palatino Linotype"/>
          <w:sz w:val="24"/>
          <w:szCs w:val="24"/>
        </w:rPr>
        <w:t xml:space="preserve"> son los documentos idóneos para acreditar lo anterior. Dichos documentos se integran por una serie de elementos que se han descrito antes,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w:t>
      </w:r>
      <w:r>
        <w:rPr>
          <w:rFonts w:ascii="Palatino Linotype" w:hAnsi="Palatino Linotype"/>
          <w:sz w:val="24"/>
          <w:szCs w:val="24"/>
        </w:rPr>
        <w:t>, en el caso del título profesional y para el caso de la cédula profesional, en versión pública suprimiendo datos como lo son la Clave Única de Registro de Población,</w:t>
      </w:r>
      <w:r w:rsidRPr="00E02E1E">
        <w:rPr>
          <w:rFonts w:ascii="Palatino Linotype" w:hAnsi="Palatino Linotype"/>
          <w:sz w:val="24"/>
          <w:szCs w:val="24"/>
        </w:rPr>
        <w:t xml:space="preserve"> es la medida idónea para que el particular satisfaga su interés de verificar que las personas que desempeñan tales cargos cumplen con los requisitos señalados en la ley, lo cual permite asegurar el ejercicio del control popular sobre los actos de </w:t>
      </w:r>
      <w:r>
        <w:rPr>
          <w:rFonts w:ascii="Palatino Linotype" w:hAnsi="Palatino Linotype"/>
          <w:sz w:val="24"/>
          <w:szCs w:val="24"/>
        </w:rPr>
        <w:t xml:space="preserve">autoridad que estos realizan, fortaleciendo  </w:t>
      </w:r>
      <w:r w:rsidRPr="00E02E1E">
        <w:rPr>
          <w:rFonts w:ascii="Palatino Linotype" w:hAnsi="Palatino Linotype"/>
          <w:sz w:val="24"/>
          <w:szCs w:val="24"/>
        </w:rPr>
        <w:t xml:space="preserve">la cultura de la rendición de cuentas al acreditar que los funcionarios públicos cumplen con el perfil señalado en la ley para </w:t>
      </w:r>
      <w:r w:rsidRPr="00E02E1E">
        <w:rPr>
          <w:rFonts w:ascii="Palatino Linotype" w:hAnsi="Palatino Linotype"/>
          <w:sz w:val="24"/>
          <w:szCs w:val="24"/>
        </w:rPr>
        <w:lastRenderedPageBreak/>
        <w:t xml:space="preserve">desempeñarlo y </w:t>
      </w:r>
      <w:r>
        <w:rPr>
          <w:rFonts w:ascii="Palatino Linotype" w:hAnsi="Palatino Linotype"/>
          <w:sz w:val="24"/>
          <w:szCs w:val="24"/>
        </w:rPr>
        <w:t xml:space="preserve">que además en ejercicio de las atribuciones conferidas de derecho público toman decisiones las cuales </w:t>
      </w:r>
      <w:r w:rsidRPr="00E02E1E">
        <w:rPr>
          <w:rFonts w:ascii="Palatino Linotype" w:hAnsi="Palatino Linotype"/>
          <w:sz w:val="24"/>
          <w:szCs w:val="24"/>
        </w:rPr>
        <w:t>fortalecen el debate informado de la sociedad democrática. Restar elemento</w:t>
      </w:r>
      <w:r>
        <w:rPr>
          <w:rFonts w:ascii="Palatino Linotype" w:hAnsi="Palatino Linotype"/>
          <w:sz w:val="24"/>
          <w:szCs w:val="24"/>
        </w:rPr>
        <w:t>s a la documental como lo es la firma,</w:t>
      </w:r>
      <w:r w:rsidRPr="00E02E1E">
        <w:rPr>
          <w:rFonts w:ascii="Palatino Linotype" w:hAnsi="Palatino Linotype"/>
          <w:sz w:val="24"/>
          <w:szCs w:val="24"/>
        </w:rPr>
        <w:t xml:space="preserve"> reduce su valor y disminuye sensiblemente la información que aporta al debate público.</w:t>
      </w:r>
    </w:p>
    <w:p w:rsidR="009718C1" w:rsidRDefault="009718C1" w:rsidP="009718C1">
      <w:pPr>
        <w:pStyle w:val="Ttulo1"/>
      </w:pPr>
      <w:bookmarkStart w:id="16" w:name="_Toc4503794"/>
      <w:bookmarkStart w:id="17" w:name="_Toc7424618"/>
      <w:bookmarkStart w:id="18" w:name="_Toc7428789"/>
      <w:bookmarkStart w:id="19" w:name="_Toc11082728"/>
      <w:r w:rsidRPr="00414F77">
        <w:rPr>
          <w:rFonts w:ascii="Palatino Linotype" w:hAnsi="Palatino Linotype"/>
          <w:b/>
          <w:color w:val="auto"/>
          <w:sz w:val="24"/>
          <w:szCs w:val="24"/>
        </w:rPr>
        <w:t>B.  Juicio de Necesidad</w:t>
      </w:r>
      <w:r w:rsidRPr="00374DB7">
        <w:t>.</w:t>
      </w:r>
      <w:bookmarkEnd w:id="16"/>
      <w:bookmarkEnd w:id="17"/>
      <w:bookmarkEnd w:id="18"/>
      <w:bookmarkEnd w:id="19"/>
    </w:p>
    <w:p w:rsidR="009718C1" w:rsidRPr="00414F77" w:rsidRDefault="009718C1" w:rsidP="009718C1"/>
    <w:p w:rsidR="009718C1" w:rsidRPr="00060AD6"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060AD6">
        <w:rPr>
          <w:rFonts w:ascii="Palatino Linotype" w:hAnsi="Palatino Linotype"/>
          <w:sz w:val="24"/>
          <w:szCs w:val="24"/>
        </w:rPr>
        <w:t>Para que el particular vea satisfecha su pretensión y su derecho sea respetado, es necesario que acceda al documento que acredita el grado académico y, en este caso de la cédula profesional como patente, con los elementos que lo componen, incluidos la firma, que al ser contrastado dicho documento con cualquier otro documento que se realizó en ejercicio de las atribuciones conferidas al servidor público, el particular cuente con los elementos que le permitan identificar que se trate de la misma persona</w:t>
      </w:r>
      <w:r>
        <w:rPr>
          <w:rFonts w:ascii="Palatino Linotype" w:hAnsi="Palatino Linotype"/>
          <w:sz w:val="24"/>
          <w:szCs w:val="24"/>
        </w:rPr>
        <w:t xml:space="preserve"> quien mediante su firma </w:t>
      </w:r>
      <w:r w:rsidRPr="00060AD6">
        <w:rPr>
          <w:rFonts w:ascii="Palatino Linotype" w:hAnsi="Palatino Linotype"/>
          <w:sz w:val="24"/>
          <w:szCs w:val="24"/>
        </w:rPr>
        <w:t xml:space="preserve">le da validez a los actos que documenta de acuerdo a sus </w:t>
      </w:r>
      <w:r>
        <w:rPr>
          <w:rFonts w:ascii="Palatino Linotype" w:hAnsi="Palatino Linotype"/>
          <w:sz w:val="24"/>
          <w:szCs w:val="24"/>
        </w:rPr>
        <w:t>facultades, competencias y funciones en</w:t>
      </w:r>
      <w:r w:rsidRPr="00060AD6">
        <w:rPr>
          <w:rFonts w:ascii="Palatino Linotype" w:hAnsi="Palatino Linotype"/>
          <w:sz w:val="24"/>
          <w:szCs w:val="24"/>
        </w:rPr>
        <w:t>comendadas, por l</w:t>
      </w:r>
      <w:r>
        <w:rPr>
          <w:rFonts w:ascii="Palatino Linotype" w:hAnsi="Palatino Linotype"/>
          <w:sz w:val="24"/>
          <w:szCs w:val="24"/>
        </w:rPr>
        <w:t xml:space="preserve">o tanto, el impedir el acceso al dato en mérito </w:t>
      </w:r>
      <w:r w:rsidRPr="00060AD6">
        <w:rPr>
          <w:rFonts w:ascii="Palatino Linotype" w:hAnsi="Palatino Linotype"/>
          <w:sz w:val="24"/>
          <w:szCs w:val="24"/>
        </w:rPr>
        <w:t>resta todo su valor y utilidad para los propósitos legítimos del particular por lo que resulta necesario que se conserve en el documento que será entregado.</w:t>
      </w:r>
    </w:p>
    <w:p w:rsidR="009718C1" w:rsidRDefault="009718C1" w:rsidP="009718C1">
      <w:pPr>
        <w:pStyle w:val="Ttulo1"/>
        <w:rPr>
          <w:rFonts w:ascii="Palatino Linotype" w:hAnsi="Palatino Linotype"/>
          <w:b/>
          <w:color w:val="000000" w:themeColor="text1"/>
          <w:sz w:val="24"/>
        </w:rPr>
      </w:pPr>
      <w:bookmarkStart w:id="20" w:name="_Toc11082729"/>
      <w:r w:rsidRPr="00DC49C1">
        <w:rPr>
          <w:rFonts w:ascii="Palatino Linotype" w:hAnsi="Palatino Linotype"/>
          <w:b/>
          <w:color w:val="000000" w:themeColor="text1"/>
          <w:sz w:val="24"/>
        </w:rPr>
        <w:t xml:space="preserve">C. </w:t>
      </w:r>
      <w:bookmarkStart w:id="21" w:name="_Toc4503795"/>
      <w:bookmarkStart w:id="22" w:name="_Toc7424619"/>
      <w:bookmarkStart w:id="23" w:name="_Toc7428790"/>
      <w:r w:rsidRPr="00DC49C1">
        <w:rPr>
          <w:rFonts w:ascii="Palatino Linotype" w:hAnsi="Palatino Linotype"/>
          <w:b/>
          <w:color w:val="000000" w:themeColor="text1"/>
          <w:sz w:val="24"/>
        </w:rPr>
        <w:t>Juicio de estricta proporcionalidad.</w:t>
      </w:r>
      <w:bookmarkEnd w:id="20"/>
      <w:bookmarkEnd w:id="21"/>
      <w:bookmarkEnd w:id="22"/>
      <w:bookmarkEnd w:id="23"/>
    </w:p>
    <w:p w:rsidR="009718C1" w:rsidRPr="00867235" w:rsidRDefault="009718C1" w:rsidP="009718C1">
      <w:pPr>
        <w:tabs>
          <w:tab w:val="left" w:pos="2145"/>
        </w:tabs>
      </w:pPr>
      <w:r>
        <w:tab/>
      </w:r>
    </w:p>
    <w:p w:rsidR="009718C1" w:rsidRPr="00867235"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060AD6">
        <w:rPr>
          <w:rFonts w:ascii="Palatino Linotype" w:hAnsi="Palatino Linotype"/>
          <w:sz w:val="24"/>
          <w:szCs w:val="24"/>
        </w:rPr>
        <w:t xml:space="preserve">La medida propuesta debe ser estrictamente proporcional y constituir la mínima afectación posible al otro derecho involucrado, de tal forma que el de protección de datos personales retroceda en la estricta e indispensable proporción </w:t>
      </w:r>
      <w:r w:rsidRPr="00060AD6">
        <w:rPr>
          <w:rFonts w:ascii="Palatino Linotype" w:hAnsi="Palatino Linotype"/>
          <w:sz w:val="24"/>
          <w:szCs w:val="24"/>
        </w:rPr>
        <w:lastRenderedPageBreak/>
        <w:t>para que el de acceso a la información prevalezca, sin que, desde luego, desaparezca el primero. En este caso es evidente que para que el particular pueda acceder al título profesional, cédula profesional o cualquier documento análogo 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Por lo tanto, permitirle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rsidR="009718C1" w:rsidRPr="00867235" w:rsidRDefault="009718C1" w:rsidP="009718C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9718C1"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867235">
        <w:rPr>
          <w:rFonts w:ascii="Palatino Linotype" w:hAnsi="Palatino Linotype"/>
          <w:sz w:val="24"/>
          <w:szCs w:val="24"/>
        </w:rPr>
        <w:t xml:space="preserve">En sentido contrario, </w:t>
      </w:r>
      <w:r>
        <w:rPr>
          <w:rFonts w:ascii="Palatino Linotype" w:hAnsi="Palatino Linotype"/>
          <w:sz w:val="24"/>
          <w:szCs w:val="24"/>
        </w:rPr>
        <w:t>clasificar la firma</w:t>
      </w:r>
      <w:r w:rsidRPr="00867235">
        <w:rPr>
          <w:rFonts w:ascii="Palatino Linotype" w:hAnsi="Palatino Linotype"/>
          <w:sz w:val="24"/>
          <w:szCs w:val="24"/>
        </w:rPr>
        <w:t xml:space="preserve"> impide que el particular cuente con los elementos necesarios e indispensables </w:t>
      </w:r>
      <w:r>
        <w:rPr>
          <w:rFonts w:ascii="Palatino Linotype" w:hAnsi="Palatino Linotype" w:cs="Arial"/>
          <w:sz w:val="24"/>
          <w:szCs w:val="24"/>
        </w:rPr>
        <w:t>que permiten identificar que la persona a quien se le expidió la patente para ejercer su profesión, es la misma que emitió el acto de autoridad, y por ende la responsable de la decisión que tomo en ejercicio de sus atribuciones</w:t>
      </w:r>
      <w:r w:rsidRPr="003D4BEB">
        <w:rPr>
          <w:rFonts w:ascii="Palatino Linotype" w:hAnsi="Palatino Linotype"/>
          <w:sz w:val="24"/>
          <w:szCs w:val="24"/>
        </w:rPr>
        <w:t xml:space="preserve">. </w:t>
      </w:r>
    </w:p>
    <w:p w:rsidR="009718C1" w:rsidRDefault="009718C1" w:rsidP="009718C1">
      <w:pPr>
        <w:tabs>
          <w:tab w:val="left" w:pos="142"/>
          <w:tab w:val="left" w:pos="426"/>
        </w:tabs>
        <w:spacing w:after="0" w:line="360" w:lineRule="auto"/>
        <w:ind w:right="49"/>
        <w:jc w:val="both"/>
        <w:rPr>
          <w:rFonts w:ascii="Palatino Linotype" w:hAnsi="Palatino Linotype" w:cs="Arial"/>
          <w:sz w:val="24"/>
          <w:szCs w:val="24"/>
        </w:rPr>
      </w:pPr>
    </w:p>
    <w:p w:rsidR="009718C1" w:rsidRPr="00DC49C1" w:rsidRDefault="009718C1" w:rsidP="009718C1">
      <w:pPr>
        <w:tabs>
          <w:tab w:val="left" w:pos="142"/>
          <w:tab w:val="left" w:pos="426"/>
        </w:tabs>
        <w:spacing w:after="0" w:line="360" w:lineRule="auto"/>
        <w:ind w:right="49"/>
        <w:jc w:val="both"/>
        <w:rPr>
          <w:rFonts w:ascii="Palatino Linotype" w:hAnsi="Palatino Linotype" w:cs="Arial"/>
          <w:sz w:val="24"/>
          <w:szCs w:val="24"/>
        </w:rPr>
      </w:pPr>
    </w:p>
    <w:p w:rsidR="009718C1" w:rsidRPr="00CB1DE4" w:rsidRDefault="009718C1" w:rsidP="009718C1">
      <w:pPr>
        <w:pStyle w:val="Ttulo1"/>
        <w:rPr>
          <w:rFonts w:ascii="Palatino Linotype" w:hAnsi="Palatino Linotype"/>
          <w:b/>
          <w:color w:val="000000" w:themeColor="text1"/>
          <w:sz w:val="24"/>
        </w:rPr>
      </w:pPr>
      <w:bookmarkStart w:id="24" w:name="_Toc11082730"/>
      <w:r w:rsidRPr="00CB1DE4">
        <w:rPr>
          <w:rFonts w:ascii="Palatino Linotype" w:hAnsi="Palatino Linotype"/>
          <w:b/>
          <w:color w:val="000000" w:themeColor="text1"/>
          <w:sz w:val="24"/>
        </w:rPr>
        <w:lastRenderedPageBreak/>
        <w:t>VII. Conclusión</w:t>
      </w:r>
      <w:bookmarkEnd w:id="24"/>
    </w:p>
    <w:p w:rsidR="009718C1" w:rsidRPr="00867235" w:rsidRDefault="009718C1" w:rsidP="009718C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9718C1" w:rsidRPr="00534F0F" w:rsidRDefault="009718C1" w:rsidP="009718C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534F0F">
        <w:rPr>
          <w:rFonts w:ascii="Palatino Linotype" w:hAnsi="Palatino Linotype" w:cs="Arial"/>
          <w:sz w:val="24"/>
          <w:szCs w:val="24"/>
        </w:rPr>
        <w:t xml:space="preserve">En atención a las consideraciones antes señaladas </w:t>
      </w:r>
      <w:r w:rsidR="004535D6">
        <w:rPr>
          <w:rFonts w:ascii="Palatino Linotype" w:hAnsi="Palatino Linotype" w:cs="Arial"/>
          <w:color w:val="000000" w:themeColor="text1"/>
          <w:sz w:val="24"/>
          <w:szCs w:val="24"/>
        </w:rPr>
        <w:t>se debe considerar</w:t>
      </w:r>
      <w:r w:rsidRPr="00534F0F">
        <w:rPr>
          <w:rFonts w:ascii="Palatino Linotype" w:hAnsi="Palatino Linotype" w:cs="Arial"/>
          <w:color w:val="000000" w:themeColor="text1"/>
          <w:sz w:val="24"/>
          <w:szCs w:val="24"/>
        </w:rPr>
        <w:t xml:space="preserve"> legítimo entregar la información consistente </w:t>
      </w:r>
      <w:r>
        <w:rPr>
          <w:rFonts w:ascii="Palatino Linotype" w:hAnsi="Palatino Linotype" w:cs="Arial"/>
          <w:color w:val="000000" w:themeColor="text1"/>
          <w:sz w:val="24"/>
          <w:szCs w:val="24"/>
        </w:rPr>
        <w:t>la</w:t>
      </w:r>
      <w:r w:rsidRPr="00534F0F">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 xml:space="preserve">cédula profesional </w:t>
      </w:r>
      <w:r w:rsidRPr="00534F0F">
        <w:rPr>
          <w:rFonts w:ascii="Palatino Linotype" w:hAnsi="Palatino Linotype" w:cs="Arial"/>
          <w:b/>
          <w:color w:val="000000" w:themeColor="text1"/>
          <w:sz w:val="24"/>
          <w:szCs w:val="24"/>
        </w:rPr>
        <w:t>sin testar, eliminar o suprimir la f</w:t>
      </w:r>
      <w:r>
        <w:rPr>
          <w:rFonts w:ascii="Palatino Linotype" w:hAnsi="Palatino Linotype" w:cs="Arial"/>
          <w:b/>
          <w:color w:val="000000" w:themeColor="text1"/>
          <w:sz w:val="24"/>
          <w:szCs w:val="24"/>
        </w:rPr>
        <w:t>irma</w:t>
      </w:r>
      <w:r>
        <w:rPr>
          <w:rFonts w:ascii="Palatino Linotype" w:hAnsi="Palatino Linotype" w:cs="Arial"/>
          <w:color w:val="000000" w:themeColor="text1"/>
          <w:sz w:val="24"/>
          <w:szCs w:val="24"/>
        </w:rPr>
        <w:t xml:space="preserve">, ya que </w:t>
      </w:r>
      <w:r w:rsidRPr="00534F0F">
        <w:rPr>
          <w:rFonts w:ascii="Palatino Linotype" w:hAnsi="Palatino Linotype" w:cs="Arial"/>
          <w:color w:val="000000" w:themeColor="text1"/>
          <w:sz w:val="24"/>
          <w:szCs w:val="24"/>
        </w:rPr>
        <w:t xml:space="preserve">se trata de un documento </w:t>
      </w:r>
      <w:r>
        <w:rPr>
          <w:rFonts w:ascii="Palatino Linotype" w:hAnsi="Palatino Linotype" w:cs="Arial"/>
          <w:color w:val="000000" w:themeColor="text1"/>
          <w:sz w:val="24"/>
          <w:szCs w:val="24"/>
        </w:rPr>
        <w:t>que sirve para</w:t>
      </w:r>
      <w:r w:rsidRPr="00534F0F">
        <w:rPr>
          <w:rFonts w:ascii="Palatino Linotype" w:hAnsi="Palatino Linotype" w:cs="Arial"/>
          <w:color w:val="000000" w:themeColor="text1"/>
          <w:sz w:val="24"/>
          <w:szCs w:val="24"/>
        </w:rPr>
        <w:t xml:space="preserve"> acreditar la idoneidad o experiencia en el cargo público, porque los servidores públicos nos encontramos sujetos a un régimen de excepciones o de protección más limitado, restringido en razón de la naturaleza de la función pública en sí misma y del contenido de la propia información que se ha requerido y porque dicho documento se circunscribe directamente a la esfera de l</w:t>
      </w:r>
      <w:r>
        <w:rPr>
          <w:rFonts w:ascii="Palatino Linotype" w:hAnsi="Palatino Linotype" w:cs="Arial"/>
          <w:color w:val="000000" w:themeColor="text1"/>
          <w:sz w:val="24"/>
          <w:szCs w:val="24"/>
        </w:rPr>
        <w:t xml:space="preserve">as actividades públicas, en el caso concreto, en los actos de autoridad </w:t>
      </w:r>
      <w:r w:rsidRPr="00534F0F">
        <w:rPr>
          <w:rFonts w:ascii="Palatino Linotype" w:hAnsi="Palatino Linotype" w:cs="Arial"/>
          <w:color w:val="000000" w:themeColor="text1"/>
          <w:sz w:val="24"/>
          <w:szCs w:val="24"/>
        </w:rPr>
        <w:t>que realiza la persona</w:t>
      </w:r>
      <w:r>
        <w:rPr>
          <w:rFonts w:ascii="Palatino Linotype" w:hAnsi="Palatino Linotype" w:cs="Arial"/>
          <w:color w:val="000000" w:themeColor="text1"/>
          <w:sz w:val="24"/>
          <w:szCs w:val="24"/>
        </w:rPr>
        <w:t xml:space="preserve"> como servidor público,</w:t>
      </w:r>
      <w:r w:rsidRPr="00534F0F">
        <w:rPr>
          <w:rFonts w:ascii="Palatino Linotype" w:hAnsi="Palatino Linotype" w:cs="Arial"/>
          <w:color w:val="000000" w:themeColor="text1"/>
          <w:sz w:val="24"/>
          <w:szCs w:val="24"/>
        </w:rPr>
        <w:t xml:space="preserve"> y no en el terreno de su intimidad.</w:t>
      </w:r>
    </w:p>
    <w:p w:rsidR="009718C1" w:rsidRDefault="009718C1" w:rsidP="009718C1">
      <w:pPr>
        <w:tabs>
          <w:tab w:val="left" w:pos="426"/>
        </w:tabs>
        <w:spacing w:after="0" w:line="360" w:lineRule="auto"/>
        <w:ind w:right="49"/>
        <w:jc w:val="both"/>
        <w:rPr>
          <w:rFonts w:ascii="Palatino Linotype" w:hAnsi="Palatino Linotype" w:cs="Arial"/>
          <w:sz w:val="24"/>
          <w:szCs w:val="24"/>
        </w:rPr>
      </w:pPr>
    </w:p>
    <w:p w:rsidR="009718C1" w:rsidRPr="004D6630" w:rsidRDefault="009718C1" w:rsidP="009718C1">
      <w:pPr>
        <w:tabs>
          <w:tab w:val="left" w:pos="426"/>
        </w:tabs>
        <w:spacing w:after="0" w:line="360" w:lineRule="auto"/>
        <w:ind w:right="49"/>
        <w:jc w:val="both"/>
        <w:rPr>
          <w:rFonts w:ascii="Palatino Linotype" w:hAnsi="Palatino Linotype" w:cs="Arial"/>
          <w:sz w:val="24"/>
          <w:szCs w:val="24"/>
        </w:rPr>
      </w:pPr>
    </w:p>
    <w:p w:rsidR="009718C1" w:rsidRDefault="009718C1" w:rsidP="009718C1">
      <w:pPr>
        <w:pStyle w:val="Sinespaciado"/>
        <w:spacing w:line="360" w:lineRule="auto"/>
        <w:jc w:val="center"/>
        <w:rPr>
          <w:rFonts w:ascii="Palatino Linotype" w:hAnsi="Palatino Linotype"/>
          <w:b/>
          <w:sz w:val="24"/>
          <w:szCs w:val="24"/>
        </w:rPr>
      </w:pPr>
    </w:p>
    <w:p w:rsidR="009718C1" w:rsidRPr="0001046D" w:rsidRDefault="009718C1" w:rsidP="009718C1">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9718C1" w:rsidRPr="0001046D" w:rsidRDefault="009718C1" w:rsidP="009718C1">
      <w:pPr>
        <w:spacing w:line="360" w:lineRule="auto"/>
        <w:jc w:val="center"/>
        <w:rPr>
          <w:rFonts w:ascii="Palatino Linotype" w:hAnsi="Palatino Linotype"/>
        </w:rPr>
      </w:pPr>
      <w:r w:rsidRPr="0001046D">
        <w:rPr>
          <w:rFonts w:ascii="Palatino Linotype" w:hAnsi="Palatino Linotype"/>
          <w:b/>
          <w:sz w:val="24"/>
          <w:szCs w:val="24"/>
        </w:rPr>
        <w:t>COMISIONADO</w:t>
      </w:r>
    </w:p>
    <w:p w:rsidR="009718C1" w:rsidRDefault="009718C1" w:rsidP="009718C1">
      <w:pPr>
        <w:spacing w:line="360" w:lineRule="auto"/>
        <w:jc w:val="center"/>
        <w:rPr>
          <w:rFonts w:ascii="Palatino Linotype" w:hAnsi="Palatino Linotype"/>
          <w:b/>
          <w:sz w:val="24"/>
          <w:szCs w:val="24"/>
        </w:rPr>
      </w:pPr>
      <w:r>
        <w:rPr>
          <w:rFonts w:ascii="Palatino Linotype" w:hAnsi="Palatino Linotype"/>
          <w:b/>
          <w:sz w:val="24"/>
          <w:szCs w:val="24"/>
        </w:rPr>
        <w:t>(RÚBRICA)</w:t>
      </w:r>
    </w:p>
    <w:p w:rsidR="009718C1" w:rsidRDefault="009718C1" w:rsidP="009718C1">
      <w:pPr>
        <w:spacing w:line="360" w:lineRule="auto"/>
        <w:rPr>
          <w:rFonts w:ascii="Palatino Linotype" w:hAnsi="Palatino Linotype"/>
          <w:b/>
          <w:sz w:val="24"/>
          <w:szCs w:val="24"/>
        </w:rPr>
      </w:pPr>
    </w:p>
    <w:p w:rsidR="009718C1" w:rsidRDefault="009718C1" w:rsidP="009718C1">
      <w:pPr>
        <w:spacing w:line="360" w:lineRule="auto"/>
        <w:rPr>
          <w:rFonts w:ascii="Palatino Linotype" w:hAnsi="Palatino Linotype"/>
          <w:b/>
          <w:sz w:val="24"/>
          <w:szCs w:val="24"/>
        </w:rPr>
      </w:pPr>
    </w:p>
    <w:p w:rsidR="001E0897" w:rsidRDefault="009718C1" w:rsidP="004535D6">
      <w:pPr>
        <w:spacing w:line="360" w:lineRule="auto"/>
      </w:pPr>
      <w:r>
        <w:rPr>
          <w:rFonts w:ascii="Palatino Linotype" w:hAnsi="Palatino Linotype"/>
          <w:b/>
          <w:sz w:val="24"/>
          <w:szCs w:val="24"/>
        </w:rPr>
        <w:t>JGLH/DAG.</w:t>
      </w:r>
    </w:p>
    <w:sectPr w:rsidR="001E0897" w:rsidSect="00C06207">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718" w:rsidRDefault="000E5718" w:rsidP="009718C1">
      <w:pPr>
        <w:spacing w:after="0" w:line="240" w:lineRule="auto"/>
      </w:pPr>
      <w:r>
        <w:separator/>
      </w:r>
    </w:p>
  </w:endnote>
  <w:endnote w:type="continuationSeparator" w:id="0">
    <w:p w:rsidR="000E5718" w:rsidRDefault="000E5718" w:rsidP="0097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0E571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2124"/>
      <w:docPartObj>
        <w:docPartGallery w:val="Page Numbers (Bottom of Page)"/>
        <w:docPartUnique/>
      </w:docPartObj>
    </w:sdtPr>
    <w:sdtEndPr/>
    <w:sdtContent>
      <w:sdt>
        <w:sdtPr>
          <w:id w:val="-119919823"/>
          <w:docPartObj>
            <w:docPartGallery w:val="Page Numbers (Top of Page)"/>
            <w:docPartUnique/>
          </w:docPartObj>
        </w:sdtPr>
        <w:sdtEndPr/>
        <w:sdtContent>
          <w:p w:rsidR="0052203D" w:rsidRDefault="00594BF8">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5A394C">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5A394C">
              <w:rPr>
                <w:rFonts w:ascii="Palatino Linotype" w:hAnsi="Palatino Linotype"/>
                <w:b/>
                <w:bCs/>
                <w:noProof/>
                <w:sz w:val="20"/>
                <w:szCs w:val="20"/>
              </w:rPr>
              <w:t>19</w:t>
            </w:r>
            <w:r w:rsidRPr="0052203D">
              <w:rPr>
                <w:rFonts w:ascii="Palatino Linotype" w:hAnsi="Palatino Linotype"/>
                <w:b/>
                <w:bCs/>
                <w:sz w:val="20"/>
                <w:szCs w:val="20"/>
              </w:rPr>
              <w:fldChar w:fldCharType="end"/>
            </w:r>
          </w:p>
        </w:sdtContent>
      </w:sdt>
    </w:sdtContent>
  </w:sdt>
  <w:p w:rsidR="00951E8B" w:rsidRDefault="000E571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0E57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718" w:rsidRDefault="000E5718" w:rsidP="009718C1">
      <w:pPr>
        <w:spacing w:after="0" w:line="240" w:lineRule="auto"/>
      </w:pPr>
      <w:r>
        <w:separator/>
      </w:r>
    </w:p>
  </w:footnote>
  <w:footnote w:type="continuationSeparator" w:id="0">
    <w:p w:rsidR="000E5718" w:rsidRDefault="000E5718" w:rsidP="009718C1">
      <w:pPr>
        <w:spacing w:after="0" w:line="240" w:lineRule="auto"/>
      </w:pPr>
      <w:r>
        <w:continuationSeparator/>
      </w:r>
    </w:p>
  </w:footnote>
  <w:footnote w:id="1">
    <w:p w:rsidR="009718C1" w:rsidRPr="00250C8B" w:rsidRDefault="009718C1" w:rsidP="009718C1">
      <w:pPr>
        <w:pStyle w:val="Textonotapie"/>
        <w:jc w:val="both"/>
        <w:rPr>
          <w:rFonts w:ascii="Palatino Linotype" w:hAnsi="Palatino Linotype" w:cs="Arial"/>
          <w:sz w:val="18"/>
        </w:rPr>
      </w:pPr>
      <w:r w:rsidRPr="00250C8B">
        <w:rPr>
          <w:rStyle w:val="Refdenotaalpie"/>
          <w:rFonts w:ascii="Palatino Linotype" w:hAnsi="Palatino Linotype" w:cs="Arial"/>
          <w:sz w:val="18"/>
        </w:rPr>
        <w:footnoteRef/>
      </w:r>
      <w:r w:rsidRPr="00250C8B">
        <w:rPr>
          <w:rFonts w:ascii="Palatino Linotype" w:hAnsi="Palatino Linotype" w:cs="Arial"/>
          <w:sz w:val="18"/>
        </w:rPr>
        <w:t xml:space="preserve"> SAGÜÉS, Néstor Pedro. </w:t>
      </w:r>
      <w:r w:rsidRPr="00250C8B">
        <w:rPr>
          <w:rFonts w:ascii="Palatino Linotype" w:hAnsi="Palatino Linotype" w:cs="Arial"/>
          <w:i/>
          <w:sz w:val="18"/>
        </w:rPr>
        <w:t>La interpretación judicial de la Constitución. De la Constitución nacional a la Constitución convencionalizada.</w:t>
      </w:r>
      <w:r w:rsidRPr="00250C8B">
        <w:rPr>
          <w:rFonts w:ascii="Palatino Linotype" w:hAnsi="Palatino Linotype" w:cs="Arial"/>
          <w:sz w:val="18"/>
        </w:rPr>
        <w:t xml:space="preserve"> México, Coed. Porrúa e Instituto Mexicano de Derecho Procesal Constitucional. 2013. Págs. 263 y 264.</w:t>
      </w:r>
    </w:p>
  </w:footnote>
  <w:footnote w:id="2">
    <w:p w:rsidR="009718C1" w:rsidRPr="00250C8B" w:rsidRDefault="009718C1" w:rsidP="009718C1">
      <w:pPr>
        <w:pStyle w:val="Textonotapie"/>
        <w:jc w:val="both"/>
        <w:rPr>
          <w:rFonts w:ascii="Palatino Linotype" w:hAnsi="Palatino Linotype" w:cs="Arial"/>
          <w:sz w:val="18"/>
        </w:rPr>
      </w:pPr>
      <w:r w:rsidRPr="00250C8B">
        <w:rPr>
          <w:rStyle w:val="Refdenotaalpie"/>
          <w:rFonts w:ascii="Palatino Linotype" w:hAnsi="Palatino Linotype" w:cs="Arial"/>
          <w:sz w:val="18"/>
        </w:rPr>
        <w:footnoteRef/>
      </w:r>
      <w:r w:rsidRPr="00250C8B">
        <w:rPr>
          <w:rFonts w:ascii="Palatino Linotype" w:hAnsi="Palatino Linotype" w:cs="Arial"/>
          <w:sz w:val="18"/>
        </w:rPr>
        <w:t xml:space="preserve"> La versión en español de la resolución se obtiene de ALÁEZ CORRAL, Benito y ÁLVAREZ ÁLVAREZ, Leonardo. </w:t>
      </w:r>
      <w:r w:rsidRPr="00250C8B">
        <w:rPr>
          <w:rFonts w:ascii="Palatino Linotype" w:hAnsi="Palatino Linotype" w:cs="Arial"/>
          <w:i/>
          <w:sz w:val="18"/>
        </w:rPr>
        <w:t>Las decisiones básicas del Tribunal Constitucional Federal Alemán en las encrucijadas del cambio de milenio</w:t>
      </w:r>
      <w:r w:rsidRPr="00250C8B">
        <w:rPr>
          <w:rFonts w:ascii="Palatino Linotype" w:hAnsi="Palatino Linotype" w:cs="Arial"/>
          <w:sz w:val="18"/>
        </w:rPr>
        <w:t>. Madrid. Coed. Centro de Estudios Políticos y Constitucionales y Boletín Oficial Español. 2008. Págs. 179 y 180.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E571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E571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0E571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E571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EAC7AB3"/>
    <w:multiLevelType w:val="hybridMultilevel"/>
    <w:tmpl w:val="033EB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7202FA"/>
    <w:multiLevelType w:val="hybridMultilevel"/>
    <w:tmpl w:val="DF8E0E40"/>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start w:val="1"/>
      <w:numFmt w:val="lowerLetter"/>
      <w:lvlText w:val="%2."/>
      <w:lvlJc w:val="left"/>
      <w:pPr>
        <w:ind w:left="1440" w:hanging="360"/>
      </w:pPr>
    </w:lvl>
    <w:lvl w:ilvl="2" w:tplc="E3DAC860">
      <w:start w:val="1"/>
      <w:numFmt w:val="lowerLetter"/>
      <w:lvlText w:val="%3)"/>
      <w:lvlJc w:val="left"/>
      <w:pPr>
        <w:ind w:left="2670" w:hanging="69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8C1"/>
    <w:rsid w:val="000E5718"/>
    <w:rsid w:val="0010701D"/>
    <w:rsid w:val="001E0897"/>
    <w:rsid w:val="003F0F3E"/>
    <w:rsid w:val="004535D6"/>
    <w:rsid w:val="0045489C"/>
    <w:rsid w:val="00511C2B"/>
    <w:rsid w:val="00594BF8"/>
    <w:rsid w:val="005A394C"/>
    <w:rsid w:val="008E0AF3"/>
    <w:rsid w:val="009718C1"/>
    <w:rsid w:val="00DD7D82"/>
    <w:rsid w:val="00F51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EFF0576-71D1-423A-A1C3-1EB4C573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8C1"/>
  </w:style>
  <w:style w:type="paragraph" w:styleId="Ttulo1">
    <w:name w:val="heading 1"/>
    <w:basedOn w:val="Normal"/>
    <w:next w:val="Normal"/>
    <w:link w:val="Ttulo1Car"/>
    <w:uiPriority w:val="9"/>
    <w:qFormat/>
    <w:rsid w:val="009718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18C1"/>
    <w:rPr>
      <w:rFonts w:asciiTheme="majorHAnsi" w:eastAsiaTheme="majorEastAsia" w:hAnsiTheme="majorHAnsi" w:cstheme="majorBidi"/>
      <w:color w:val="2E74B5" w:themeColor="accent1" w:themeShade="BF"/>
      <w:sz w:val="32"/>
      <w:szCs w:val="32"/>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718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718C1"/>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9718C1"/>
    <w:rPr>
      <w:vertAlign w:val="superscript"/>
    </w:rPr>
  </w:style>
  <w:style w:type="paragraph" w:styleId="Piedepgina">
    <w:name w:val="footer"/>
    <w:basedOn w:val="Normal"/>
    <w:link w:val="PiedepginaCar"/>
    <w:uiPriority w:val="99"/>
    <w:unhideWhenUsed/>
    <w:rsid w:val="009718C1"/>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9718C1"/>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9718C1"/>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9718C1"/>
    <w:rPr>
      <w:rFonts w:ascii="Times New Roman" w:eastAsia="Arial Unicode MS" w:hAnsi="Times New Roman" w:cs="Times New Roman"/>
      <w:sz w:val="24"/>
      <w:szCs w:val="24"/>
      <w:bdr w:val="ni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718C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718C1"/>
  </w:style>
  <w:style w:type="paragraph" w:styleId="TtulodeTDC">
    <w:name w:val="TOC Heading"/>
    <w:basedOn w:val="Ttulo1"/>
    <w:next w:val="Normal"/>
    <w:uiPriority w:val="39"/>
    <w:unhideWhenUsed/>
    <w:qFormat/>
    <w:rsid w:val="009718C1"/>
    <w:pPr>
      <w:outlineLvl w:val="9"/>
    </w:pPr>
    <w:rPr>
      <w:lang w:eastAsia="es-MX"/>
    </w:rPr>
  </w:style>
  <w:style w:type="paragraph" w:styleId="TDC1">
    <w:name w:val="toc 1"/>
    <w:basedOn w:val="Normal"/>
    <w:next w:val="Normal"/>
    <w:autoRedefine/>
    <w:uiPriority w:val="39"/>
    <w:unhideWhenUsed/>
    <w:rsid w:val="009718C1"/>
    <w:pPr>
      <w:tabs>
        <w:tab w:val="left" w:pos="660"/>
        <w:tab w:val="right" w:leader="dot" w:pos="8828"/>
      </w:tabs>
      <w:spacing w:after="100"/>
      <w:ind w:left="426" w:hanging="426"/>
    </w:pPr>
  </w:style>
  <w:style w:type="character" w:styleId="Hipervnculo">
    <w:name w:val="Hyperlink"/>
    <w:basedOn w:val="Fuentedeprrafopredeter"/>
    <w:uiPriority w:val="99"/>
    <w:unhideWhenUsed/>
    <w:rsid w:val="009718C1"/>
    <w:rPr>
      <w:color w:val="0563C1" w:themeColor="hyperlink"/>
      <w:u w:val="single"/>
    </w:rPr>
  </w:style>
  <w:style w:type="paragraph" w:styleId="Sinespaciado">
    <w:name w:val="No Spacing"/>
    <w:aliases w:val="Francesa"/>
    <w:link w:val="SinespaciadoCar"/>
    <w:uiPriority w:val="1"/>
    <w:qFormat/>
    <w:rsid w:val="009718C1"/>
    <w:pPr>
      <w:spacing w:after="0" w:line="240" w:lineRule="auto"/>
    </w:pPr>
  </w:style>
  <w:style w:type="character" w:customStyle="1" w:styleId="SinespaciadoCar">
    <w:name w:val="Sin espaciado Car"/>
    <w:aliases w:val="Francesa Car"/>
    <w:link w:val="Sinespaciado"/>
    <w:uiPriority w:val="1"/>
    <w:locked/>
    <w:rsid w:val="009718C1"/>
  </w:style>
  <w:style w:type="paragraph" w:styleId="Textodeglobo">
    <w:name w:val="Balloon Text"/>
    <w:basedOn w:val="Normal"/>
    <w:link w:val="TextodegloboCar"/>
    <w:uiPriority w:val="99"/>
    <w:semiHidden/>
    <w:unhideWhenUsed/>
    <w:rsid w:val="003F0F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4113</Words>
  <Characters>22625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2</cp:revision>
  <cp:lastPrinted>2019-06-11T00:17:00Z</cp:lastPrinted>
  <dcterms:created xsi:type="dcterms:W3CDTF">2019-07-09T16:47:00Z</dcterms:created>
  <dcterms:modified xsi:type="dcterms:W3CDTF">2019-07-09T16:47:00Z</dcterms:modified>
</cp:coreProperties>
</file>