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F43" w:rsidRDefault="00933F43"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933F43">
        <w:rPr>
          <w:rFonts w:ascii="Palatino Linotype" w:hAnsi="Palatino Linotype"/>
          <w:sz w:val="24"/>
          <w:szCs w:val="24"/>
          <w:lang w:eastAsia="es-MX"/>
        </w:rPr>
        <w:t>dos de octubre</w:t>
      </w:r>
      <w:r w:rsidR="00DA1B7C">
        <w:rPr>
          <w:rFonts w:ascii="Palatino Linotype" w:hAnsi="Palatino Linotype"/>
          <w:sz w:val="24"/>
          <w:szCs w:val="24"/>
          <w:lang w:eastAsia="es-MX"/>
        </w:rPr>
        <w:t xml:space="preserve"> de dos mil diecinueve.</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933F43">
        <w:rPr>
          <w:rFonts w:ascii="Palatino Linotype" w:hAnsi="Palatino Linotype"/>
          <w:b/>
          <w:bCs/>
          <w:sz w:val="24"/>
          <w:szCs w:val="24"/>
          <w:lang w:eastAsia="es-MX"/>
        </w:rPr>
        <w:t>06430</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9151CF">
        <w:rPr>
          <w:rFonts w:ascii="Palatino Linotype" w:hAnsi="Palatino Linotype"/>
          <w:sz w:val="24"/>
          <w:szCs w:val="24"/>
        </w:rPr>
        <w:t>o por el</w:t>
      </w:r>
      <w:r w:rsidR="00D01B24">
        <w:rPr>
          <w:rFonts w:ascii="Palatino Linotype" w:hAnsi="Palatino Linotype"/>
          <w:sz w:val="24"/>
          <w:szCs w:val="24"/>
        </w:rPr>
        <w:t xml:space="preserve"> </w:t>
      </w:r>
      <w:r w:rsidR="00C2473C">
        <w:rPr>
          <w:rFonts w:ascii="Palatino Linotype" w:hAnsi="Palatino Linotype"/>
          <w:b/>
          <w:sz w:val="24"/>
          <w:szCs w:val="24"/>
        </w:rPr>
        <w:t xml:space="preserve">C. </w:t>
      </w:r>
      <w:r w:rsidR="00F22519">
        <w:rPr>
          <w:rFonts w:ascii="Palatino Linotype" w:hAnsi="Palatino Linotype"/>
          <w:b/>
          <w:sz w:val="24"/>
          <w:szCs w:val="24"/>
        </w:rPr>
        <w:t>xxxxxxxxxxxxxxxxxxxxxxx</w:t>
      </w:r>
      <w:bookmarkStart w:id="0" w:name="_GoBack"/>
      <w:bookmarkEnd w:id="0"/>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216B8D">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D310C4">
        <w:rPr>
          <w:rFonts w:ascii="Palatino Linotype" w:hAnsi="Palatino Linotype"/>
          <w:sz w:val="24"/>
          <w:szCs w:val="24"/>
        </w:rPr>
        <w:t>l</w:t>
      </w:r>
      <w:r w:rsidR="006110C1">
        <w:rPr>
          <w:rFonts w:ascii="Palatino Linotype" w:hAnsi="Palatino Linotype" w:cs="Arial"/>
          <w:b/>
          <w:sz w:val="24"/>
          <w:szCs w:val="24"/>
        </w:rPr>
        <w:t xml:space="preserve"> </w:t>
      </w:r>
      <w:r w:rsidR="00933F43">
        <w:rPr>
          <w:rFonts w:ascii="Palatino Linotype" w:hAnsi="Palatino Linotype" w:cs="Arial"/>
          <w:b/>
          <w:sz w:val="24"/>
          <w:szCs w:val="24"/>
        </w:rPr>
        <w:t>Ayuntamiento de Tezoyu</w:t>
      </w:r>
      <w:r w:rsidR="003938B0">
        <w:rPr>
          <w:rFonts w:ascii="Palatino Linotype" w:hAnsi="Palatino Linotype" w:cs="Arial"/>
          <w:b/>
          <w:sz w:val="24"/>
          <w:szCs w:val="24"/>
        </w:rPr>
        <w:t>ca</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933F43">
        <w:rPr>
          <w:rFonts w:ascii="Palatino Linotype" w:hAnsi="Palatino Linotype"/>
          <w:sz w:val="24"/>
          <w:szCs w:val="24"/>
        </w:rPr>
        <w:t>veintinueve de julio</w:t>
      </w:r>
      <w:r w:rsidR="007E39F7">
        <w:rPr>
          <w:rFonts w:ascii="Palatino Linotype" w:hAnsi="Palatino Linotype"/>
          <w:sz w:val="24"/>
          <w:szCs w:val="24"/>
        </w:rPr>
        <w:t xml:space="preserve"> de dos mil diecinueve</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933F43">
        <w:rPr>
          <w:rFonts w:ascii="Palatino Linotype" w:hAnsi="Palatino Linotype"/>
          <w:b/>
          <w:sz w:val="24"/>
          <w:szCs w:val="24"/>
        </w:rPr>
        <w:t xml:space="preserve"> 00215/TEZOYU</w:t>
      </w:r>
      <w:r w:rsidR="003938B0">
        <w:rPr>
          <w:rFonts w:ascii="Palatino Linotype" w:hAnsi="Palatino Linotype"/>
          <w:b/>
          <w:sz w:val="24"/>
          <w:szCs w:val="24"/>
        </w:rPr>
        <w:t>CA</w:t>
      </w:r>
      <w:r w:rsidR="008C0E72">
        <w:rPr>
          <w:rFonts w:ascii="Palatino Linotype" w:hAnsi="Palatino Linotype"/>
          <w:b/>
          <w:sz w:val="24"/>
          <w:szCs w:val="24"/>
        </w:rPr>
        <w:t>/IP/201</w:t>
      </w:r>
      <w:r w:rsidR="007E39F7">
        <w:rPr>
          <w:rFonts w:ascii="Palatino Linotype" w:hAnsi="Palatino Linotype"/>
          <w:b/>
          <w:sz w:val="24"/>
          <w:szCs w:val="24"/>
        </w:rPr>
        <w:t>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933F43" w:rsidRDefault="00C35F18" w:rsidP="0014447C">
      <w:pPr>
        <w:pStyle w:val="Sinespaciado"/>
        <w:spacing w:line="360" w:lineRule="auto"/>
        <w:jc w:val="both"/>
        <w:rPr>
          <w:rFonts w:ascii="Palatino Linotype" w:hAnsi="Palatino Linotype"/>
          <w:sz w:val="24"/>
          <w:szCs w:val="24"/>
        </w:rPr>
      </w:pPr>
    </w:p>
    <w:p w:rsidR="007E2E80"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933F43" w:rsidRPr="00933F43">
        <w:rPr>
          <w:rFonts w:ascii="Palatino Linotype" w:eastAsia="Times New Roman" w:hAnsi="Palatino Linotype" w:cs="Times New Roman"/>
          <w:i/>
          <w:lang w:eastAsia="es-ES"/>
        </w:rPr>
        <w:t>Solicito las versiones electrónicas de todas las Gacetas Municipales, en términos de la LEY ORGÁNICA MUNICIPAL DEL ESTADO DE MÉXICO, a partir del 1 de enero de 2016 al 17 de julio de 2019.</w:t>
      </w:r>
      <w:r w:rsidRPr="008C0E72">
        <w:rPr>
          <w:rFonts w:ascii="Palatino Linotype" w:eastAsia="Times New Roman" w:hAnsi="Palatino Linotype" w:cs="Times New Roman"/>
          <w:i/>
          <w:lang w:val="es-ES_tradnl" w:eastAsia="es-ES"/>
        </w:rPr>
        <w:t>” [Sic]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516BA8" w:rsidRDefault="00516BA8"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lastRenderedPageBreak/>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el Sujeto Obligado </w:t>
      </w:r>
      <w:r w:rsidR="007E2E80" w:rsidRPr="00C35F18">
        <w:rPr>
          <w:rFonts w:ascii="Palatino Linotype" w:hAnsi="Palatino Linotype"/>
          <w:sz w:val="24"/>
        </w:rPr>
        <w:t xml:space="preserve">dio respuesta a la solicitud de información en fecha </w:t>
      </w:r>
      <w:r w:rsidR="00300AAF">
        <w:rPr>
          <w:rFonts w:ascii="Palatino Linotype" w:hAnsi="Palatino Linotype"/>
          <w:sz w:val="24"/>
        </w:rPr>
        <w:t>treinta de julio</w:t>
      </w:r>
      <w:r>
        <w:rPr>
          <w:rFonts w:ascii="Palatino Linotype" w:hAnsi="Palatino Linotype"/>
          <w:sz w:val="24"/>
        </w:rPr>
        <w:t xml:space="preserve"> de dos mil diecinueve</w:t>
      </w:r>
      <w:r w:rsidR="007E2E80" w:rsidRPr="00C35F18">
        <w:rPr>
          <w:rFonts w:ascii="Palatino Linotype" w:hAnsi="Palatino Linotype"/>
          <w:sz w:val="24"/>
        </w:rPr>
        <w:t xml:space="preserve">,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933F43" w:rsidRPr="00B220AA" w:rsidRDefault="008C0E72" w:rsidP="00933F43">
      <w:pPr>
        <w:pStyle w:val="Sinespaciado"/>
        <w:ind w:left="567" w:right="567"/>
        <w:jc w:val="both"/>
        <w:rPr>
          <w:rFonts w:ascii="Palatino Linotype" w:hAnsi="Palatino Linotype"/>
          <w:i/>
          <w:sz w:val="24"/>
          <w:szCs w:val="24"/>
        </w:rPr>
      </w:pPr>
      <w:r w:rsidRPr="00B220AA">
        <w:rPr>
          <w:rFonts w:ascii="Palatino Linotype" w:hAnsi="Palatino Linotype"/>
          <w:sz w:val="24"/>
          <w:szCs w:val="24"/>
        </w:rPr>
        <w:t>“</w:t>
      </w:r>
      <w:r w:rsidR="00933F43" w:rsidRPr="00B220AA">
        <w:rPr>
          <w:rFonts w:ascii="Palatino Linotype" w:hAnsi="Palatino Linotype"/>
          <w:i/>
          <w:sz w:val="24"/>
          <w:szCs w:val="24"/>
        </w:rPr>
        <w:t>Buenas tardes, en respuesta a su solicitud 00215/TEZOYUCA/IP/2019 donde solicita las gacetas municipales le envio el link donde se encuentra lo solicitado. link: https://www.ipomex.org.mx/ipo3/lgt/indice/TEZOYUCA/art_94_ii_a2/1.web Sin más por el momento, quedo a sus ordenes.</w:t>
      </w:r>
    </w:p>
    <w:p w:rsidR="00933F43" w:rsidRPr="00B220AA" w:rsidRDefault="00933F43" w:rsidP="00933F43">
      <w:pPr>
        <w:pStyle w:val="Sinespaciado"/>
        <w:ind w:left="567" w:right="567"/>
        <w:jc w:val="both"/>
        <w:rPr>
          <w:rFonts w:ascii="Palatino Linotype" w:hAnsi="Palatino Linotype"/>
          <w:i/>
          <w:sz w:val="24"/>
          <w:szCs w:val="24"/>
        </w:rPr>
      </w:pPr>
    </w:p>
    <w:p w:rsidR="00933F43" w:rsidRPr="00B220AA" w:rsidRDefault="00933F43" w:rsidP="00933F43">
      <w:pPr>
        <w:pStyle w:val="Sinespaciado"/>
        <w:ind w:left="567" w:right="567"/>
        <w:jc w:val="both"/>
        <w:rPr>
          <w:rFonts w:ascii="Palatino Linotype" w:hAnsi="Palatino Linotype"/>
          <w:i/>
          <w:sz w:val="24"/>
          <w:szCs w:val="24"/>
        </w:rPr>
      </w:pPr>
      <w:r w:rsidRPr="00B220AA">
        <w:rPr>
          <w:rFonts w:ascii="Palatino Linotype" w:hAnsi="Palatino Linotype"/>
          <w:i/>
          <w:sz w:val="24"/>
          <w:szCs w:val="24"/>
        </w:rPr>
        <w:t>ATENTAMENTE</w:t>
      </w:r>
    </w:p>
    <w:p w:rsidR="008C0E72" w:rsidRPr="00B220AA" w:rsidRDefault="00933F43" w:rsidP="00933F43">
      <w:pPr>
        <w:pStyle w:val="Sinespaciado"/>
        <w:ind w:left="567" w:right="567"/>
        <w:jc w:val="both"/>
        <w:rPr>
          <w:rFonts w:ascii="Palatino Linotype" w:hAnsi="Palatino Linotype"/>
          <w:i/>
          <w:sz w:val="24"/>
          <w:szCs w:val="24"/>
        </w:rPr>
      </w:pPr>
      <w:r w:rsidRPr="00B220AA">
        <w:rPr>
          <w:rFonts w:ascii="Palatino Linotype" w:hAnsi="Palatino Linotype"/>
          <w:i/>
          <w:sz w:val="24"/>
          <w:szCs w:val="24"/>
        </w:rPr>
        <w:t>ADILENE MONSERRAT DURAN BOLIVAR</w:t>
      </w:r>
      <w:r w:rsidR="008C0E72" w:rsidRPr="00B220AA">
        <w:rPr>
          <w:rFonts w:ascii="Palatino Linotype" w:hAnsi="Palatino Linotype"/>
          <w:i/>
          <w:sz w:val="24"/>
          <w:szCs w:val="24"/>
        </w:rPr>
        <w:t>” (Sic)</w:t>
      </w:r>
    </w:p>
    <w:p w:rsidR="001E40B4" w:rsidRPr="00D04234" w:rsidRDefault="001E40B4" w:rsidP="0014447C">
      <w:pPr>
        <w:pStyle w:val="Sinespaciado"/>
        <w:spacing w:line="360" w:lineRule="auto"/>
        <w:jc w:val="both"/>
        <w:rPr>
          <w:rFonts w:ascii="Palatino Linotype" w:eastAsia="Times New Roman" w:hAnsi="Palatino Linotype"/>
          <w:sz w:val="24"/>
          <w:szCs w:val="24"/>
          <w:lang w:val="es-ES" w:eastAsia="es-ES"/>
        </w:rPr>
      </w:pPr>
    </w:p>
    <w:p w:rsidR="007E2E80" w:rsidRPr="00D04234" w:rsidRDefault="00D85C9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A4214D">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300AAF">
        <w:rPr>
          <w:rFonts w:ascii="Palatino Linotype" w:hAnsi="Palatino Linotype"/>
          <w:sz w:val="24"/>
          <w:szCs w:val="24"/>
        </w:rPr>
        <w:t>treinta de julio</w:t>
      </w:r>
      <w:r w:rsidR="0065519D">
        <w:rPr>
          <w:rFonts w:ascii="Palatino Linotype" w:hAnsi="Palatino Linotype"/>
          <w:sz w:val="24"/>
          <w:szCs w:val="24"/>
        </w:rPr>
        <w:t xml:space="preserve"> de dos mil diecinueve</w:t>
      </w:r>
      <w:r w:rsidRPr="00D04234">
        <w:rPr>
          <w:rFonts w:ascii="Palatino Linotype" w:hAnsi="Palatino Linotype"/>
          <w:sz w:val="24"/>
          <w:szCs w:val="24"/>
        </w:rPr>
        <w:t xml:space="preserve">, en el sistema electrónico con el expediente número </w:t>
      </w:r>
      <w:r w:rsidR="00300AAF">
        <w:rPr>
          <w:rFonts w:ascii="Palatino Linotype" w:hAnsi="Palatino Linotype"/>
          <w:b/>
          <w:bCs/>
          <w:sz w:val="24"/>
          <w:szCs w:val="24"/>
          <w:lang w:eastAsia="es-MX"/>
        </w:rPr>
        <w:t>06430</w:t>
      </w:r>
      <w:r w:rsidR="0065519D">
        <w:rPr>
          <w:rFonts w:ascii="Palatino Linotype" w:hAnsi="Palatino Linotype"/>
          <w:b/>
          <w:bCs/>
          <w:sz w:val="24"/>
          <w:szCs w:val="24"/>
          <w:lang w:eastAsia="es-MX"/>
        </w:rPr>
        <w:t>/INFOEM/IP/RR/2019</w:t>
      </w:r>
      <w:r w:rsidR="0060031A">
        <w:rPr>
          <w:rFonts w:ascii="Palatino Linotype" w:hAnsi="Palatino Linotype"/>
          <w:sz w:val="24"/>
          <w:szCs w:val="24"/>
        </w:rPr>
        <w:t>, en el cual realizó</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B220AA" w:rsidRDefault="007E2E80" w:rsidP="0014447C">
      <w:pPr>
        <w:spacing w:line="240" w:lineRule="auto"/>
        <w:ind w:left="851" w:right="850"/>
        <w:jc w:val="both"/>
        <w:rPr>
          <w:rFonts w:ascii="Palatino Linotype" w:hAnsi="Palatino Linotype" w:cs="Arial"/>
          <w:i/>
          <w:sz w:val="24"/>
          <w:szCs w:val="24"/>
        </w:rPr>
      </w:pPr>
      <w:r w:rsidRPr="00B220AA">
        <w:rPr>
          <w:rFonts w:ascii="Palatino Linotype" w:hAnsi="Palatino Linotype" w:cs="Arial"/>
          <w:i/>
          <w:sz w:val="24"/>
          <w:szCs w:val="24"/>
        </w:rPr>
        <w:t>“</w:t>
      </w:r>
      <w:r w:rsidR="00C201E3" w:rsidRPr="00B220AA">
        <w:rPr>
          <w:rFonts w:ascii="Palatino Linotype" w:hAnsi="Palatino Linotype" w:cs="Arial"/>
          <w:i/>
          <w:sz w:val="24"/>
          <w:szCs w:val="24"/>
        </w:rPr>
        <w:t>RESPUESTA EMITIDA POR EL SUJETO OBLIGADO</w:t>
      </w:r>
      <w:r w:rsidR="006A3A54" w:rsidRPr="00B220AA">
        <w:rPr>
          <w:rFonts w:ascii="Palatino Linotype" w:hAnsi="Palatino Linotype" w:cs="Arial"/>
          <w:i/>
          <w:sz w:val="24"/>
          <w:szCs w:val="24"/>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B220AA" w:rsidRDefault="007E2E80" w:rsidP="0014447C">
      <w:pPr>
        <w:spacing w:line="240" w:lineRule="auto"/>
        <w:ind w:left="851" w:right="850"/>
        <w:jc w:val="both"/>
        <w:rPr>
          <w:rFonts w:ascii="Palatino Linotype" w:hAnsi="Palatino Linotype" w:cs="Arial"/>
          <w:i/>
          <w:sz w:val="24"/>
          <w:szCs w:val="24"/>
        </w:rPr>
      </w:pPr>
      <w:r w:rsidRPr="00B220AA">
        <w:rPr>
          <w:rFonts w:ascii="Palatino Linotype" w:hAnsi="Palatino Linotype" w:cs="Arial"/>
          <w:i/>
          <w:sz w:val="24"/>
          <w:szCs w:val="24"/>
        </w:rPr>
        <w:t>“</w:t>
      </w:r>
      <w:r w:rsidR="00C201E3" w:rsidRPr="00B220AA">
        <w:rPr>
          <w:rFonts w:ascii="Palatino Linotype" w:hAnsi="Palatino Linotype" w:cs="Arial"/>
          <w:i/>
          <w:sz w:val="24"/>
          <w:szCs w:val="24"/>
        </w:rPr>
        <w:t xml:space="preserve">EL SUJETO OBLIGADO PROPORCIONA UN VÍNCULO ELECTRÓNICO QUE DIRIGE A LA PÁGINA DEL IPOMEX, EN LA QUE SOLAMENTE ESTÁN DISPONIBLES 7 GACETAS MUNICIPALES, SOLAMENTE DEL AÑO 2019, POR LO QUE LA RESPUESTA EMITIDA POR EL SUJETO OBLIGADO NO SATISFACE LO SOLICITADO. EN VISTA DE LA INDUDABLE MALA FE DEL </w:t>
      </w:r>
      <w:r w:rsidR="00C201E3" w:rsidRPr="00B220AA">
        <w:rPr>
          <w:rFonts w:ascii="Palatino Linotype" w:hAnsi="Palatino Linotype" w:cs="Arial"/>
          <w:i/>
          <w:sz w:val="24"/>
          <w:szCs w:val="24"/>
        </w:rPr>
        <w:lastRenderedPageBreak/>
        <w:t>SUJETO OBLIGADO, EN TODAS LAS SOLICITUDES A TRAVÉS DEL PORTAL SAIMEX, Y DE LA DOLOSA INTENCIÓN DE OCULTAR INFORMACIÓN PÚBLICA, SE SOLICITA A ESTE INSTITUTO QUE, HACIENDO USO DE SUS FACULTADES, INICIEN PROCEDIMIENTOS ADMINISTRATIVOS SANCIONADORES EN CONTRA DEL REPRESENTANTE LEGAL DEL SUJETO OBLIGADO, ASÍ COMO EN CONTRA DE TODOS LOS FUNCIONARIOS MUNICIPALES QUE DE FORMA INDIVIDUAL Y CONJUNTA CONTINÚAN VIOLANDO EL DERECHO HUMANO AL ACCESO DE LA INFORMACIÓN PÚBLICA; SIN QUE ELLO SIGNIFIQUE SE LE DEJE SIN REQUERIR TODA LA INFORMACIÓN PÚBLICA SOLICITADA A PARTIR DEL AÑO 2016, PUES ESA FUE LA SOLICITUD.</w:t>
      </w:r>
      <w:r w:rsidR="006A3A54" w:rsidRPr="00B220AA">
        <w:rPr>
          <w:rFonts w:ascii="Palatino Linotype" w:hAnsi="Palatino Linotype" w:cs="Arial"/>
          <w:i/>
          <w:sz w:val="24"/>
          <w:szCs w:val="24"/>
        </w:rPr>
        <w:t>” (Sic)</w:t>
      </w:r>
    </w:p>
    <w:p w:rsidR="00BE6D77" w:rsidRDefault="00BE6D77" w:rsidP="004657BE">
      <w:pPr>
        <w:pStyle w:val="Sinespaciado"/>
        <w:spacing w:line="360" w:lineRule="auto"/>
        <w:jc w:val="both"/>
        <w:rPr>
          <w:rFonts w:ascii="Palatino Linotype" w:hAnsi="Palatino Linotype"/>
          <w:sz w:val="24"/>
          <w:szCs w:val="24"/>
        </w:rPr>
      </w:pPr>
    </w:p>
    <w:p w:rsidR="007E2E80" w:rsidRPr="00B62C60" w:rsidRDefault="00EC63B8" w:rsidP="004657BE">
      <w:pPr>
        <w:pStyle w:val="Sinespaciado"/>
        <w:spacing w:line="360" w:lineRule="auto"/>
        <w:jc w:val="both"/>
        <w:rPr>
          <w:rFonts w:ascii="Palatino Linotype" w:hAnsi="Palatino Linotype"/>
          <w:b/>
          <w:sz w:val="26"/>
          <w:szCs w:val="26"/>
        </w:rPr>
      </w:pPr>
      <w:r w:rsidRPr="00B62C60">
        <w:rPr>
          <w:rFonts w:ascii="Palatino Linotype" w:hAnsi="Palatino Linotype"/>
          <w:b/>
          <w:sz w:val="26"/>
          <w:szCs w:val="26"/>
        </w:rPr>
        <w:t>CUAR</w:t>
      </w:r>
      <w:r w:rsidR="007E2E80" w:rsidRPr="00B62C60">
        <w:rPr>
          <w:rFonts w:ascii="Palatino Linotype" w:hAnsi="Palatino Linotype"/>
          <w:b/>
          <w:sz w:val="26"/>
          <w:szCs w:val="26"/>
        </w:rPr>
        <w:t xml:space="preserve">TO. Del turno </w:t>
      </w:r>
      <w:r w:rsidR="000E7C0A" w:rsidRPr="00B62C60">
        <w:rPr>
          <w:rFonts w:ascii="Palatino Linotype" w:hAnsi="Palatino Linotype"/>
          <w:b/>
          <w:sz w:val="26"/>
          <w:szCs w:val="26"/>
        </w:rPr>
        <w:t xml:space="preserve">y admisión </w:t>
      </w:r>
      <w:r w:rsidR="007E2E80" w:rsidRPr="00B62C60">
        <w:rPr>
          <w:rFonts w:ascii="Palatino Linotype" w:hAnsi="Palatino Linotype"/>
          <w:b/>
          <w:sz w:val="26"/>
          <w:szCs w:val="26"/>
        </w:rPr>
        <w:t>del recurso de revisión.</w:t>
      </w:r>
    </w:p>
    <w:p w:rsidR="007E2E80" w:rsidRPr="00B62C60" w:rsidRDefault="007E2E80" w:rsidP="004657BE">
      <w:pPr>
        <w:pStyle w:val="Sinespaciado"/>
        <w:spacing w:line="360" w:lineRule="auto"/>
        <w:jc w:val="both"/>
        <w:rPr>
          <w:rFonts w:ascii="Palatino Linotype" w:hAnsi="Palatino Linotype"/>
          <w:sz w:val="24"/>
          <w:szCs w:val="24"/>
        </w:rPr>
      </w:pPr>
      <w:r w:rsidRPr="00B62C60">
        <w:rPr>
          <w:rFonts w:ascii="Palatino Linotype" w:hAnsi="Palatino Linotype"/>
          <w:sz w:val="24"/>
          <w:szCs w:val="24"/>
        </w:rPr>
        <w:t xml:space="preserve">Medio de impugnación que le fue turnado a la </w:t>
      </w:r>
      <w:r w:rsidRPr="00B62C60">
        <w:rPr>
          <w:rFonts w:ascii="Palatino Linotype" w:hAnsi="Palatino Linotype"/>
          <w:b/>
          <w:sz w:val="24"/>
          <w:szCs w:val="24"/>
        </w:rPr>
        <w:t>Comisionada Zulema Martínez Sánchez</w:t>
      </w:r>
      <w:r w:rsidRPr="00B62C60">
        <w:rPr>
          <w:rFonts w:ascii="Palatino Linotype" w:hAnsi="Palatino Linotype"/>
          <w:sz w:val="24"/>
          <w:szCs w:val="24"/>
        </w:rPr>
        <w:t xml:space="preserve">, por medio del sistema electrónico en términos del </w:t>
      </w:r>
      <w:r w:rsidR="00BE6D77" w:rsidRPr="00B62C60">
        <w:rPr>
          <w:rFonts w:ascii="Palatino Linotype" w:hAnsi="Palatino Linotype"/>
          <w:sz w:val="24"/>
          <w:szCs w:val="24"/>
        </w:rPr>
        <w:t>numeral</w:t>
      </w:r>
      <w:r w:rsidRPr="00B62C60">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B62C60" w:rsidRPr="00B62C60">
        <w:rPr>
          <w:rFonts w:ascii="Palatino Linotype" w:hAnsi="Palatino Linotype"/>
          <w:sz w:val="24"/>
          <w:szCs w:val="24"/>
        </w:rPr>
        <w:t>cinco de agosto</w:t>
      </w:r>
      <w:r w:rsidR="0065519D" w:rsidRPr="00B62C60">
        <w:rPr>
          <w:rFonts w:ascii="Palatino Linotype" w:hAnsi="Palatino Linotype"/>
          <w:sz w:val="24"/>
          <w:szCs w:val="24"/>
        </w:rPr>
        <w:t xml:space="preserve"> de dos mil diecinueve</w:t>
      </w:r>
      <w:r w:rsidRPr="00B62C60">
        <w:rPr>
          <w:rFonts w:ascii="Palatino Linotype" w:hAnsi="Palatino Linotype"/>
          <w:sz w:val="24"/>
          <w:szCs w:val="24"/>
        </w:rPr>
        <w:t>, determinándose en él, un plazo de siete días para que las partes manifestaran lo que a su derecho corresponda en términos del numeral ya citado.</w:t>
      </w:r>
    </w:p>
    <w:p w:rsidR="00BE6D77" w:rsidRPr="00B62C60" w:rsidRDefault="00BE6D77" w:rsidP="004657BE">
      <w:pPr>
        <w:pStyle w:val="Sinespaciado"/>
        <w:spacing w:line="360" w:lineRule="auto"/>
        <w:jc w:val="both"/>
        <w:rPr>
          <w:rFonts w:ascii="Palatino Linotype" w:hAnsi="Palatino Linotype"/>
          <w:sz w:val="24"/>
          <w:szCs w:val="24"/>
        </w:rPr>
      </w:pPr>
    </w:p>
    <w:p w:rsidR="00B62C60" w:rsidRPr="0014447C" w:rsidRDefault="00B62C60" w:rsidP="00B62C60">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rsidR="00B62C60" w:rsidRPr="00B62C60" w:rsidRDefault="00B62C60" w:rsidP="00B62C60">
      <w:pPr>
        <w:pStyle w:val="Sinespaciado"/>
        <w:spacing w:line="360" w:lineRule="auto"/>
        <w:jc w:val="both"/>
        <w:rPr>
          <w:rFonts w:ascii="Palatino Linotype" w:hAnsi="Palatino Linotype"/>
          <w:sz w:val="24"/>
          <w:szCs w:val="24"/>
        </w:rPr>
      </w:pPr>
      <w:r w:rsidRPr="00B62C60">
        <w:rPr>
          <w:rFonts w:ascii="Palatino Linotype" w:hAnsi="Palatino Linotype"/>
          <w:sz w:val="24"/>
          <w:szCs w:val="24"/>
        </w:rPr>
        <w:t xml:space="preserve">Así, una vez abierta la etapa de instrucción, se destaca que el Recurrente no presentó sus manifestaciones y alegatos. Asimismo, el Sujeto Obligado omitió rendir su Informe Justificado como se observa en la siguiente imagen: </w:t>
      </w:r>
    </w:p>
    <w:p w:rsidR="00B62C60" w:rsidRPr="00B62C60" w:rsidRDefault="00B62C60" w:rsidP="00B62C60">
      <w:pPr>
        <w:pStyle w:val="Sinespaciado"/>
        <w:spacing w:line="360" w:lineRule="auto"/>
        <w:jc w:val="both"/>
        <w:rPr>
          <w:rFonts w:ascii="Palatino Linotype" w:hAnsi="Palatino Linotype"/>
          <w:sz w:val="24"/>
          <w:szCs w:val="24"/>
        </w:rPr>
      </w:pPr>
    </w:p>
    <w:p w:rsidR="00095218" w:rsidRPr="00B62C60" w:rsidRDefault="00EC5721" w:rsidP="0014447C">
      <w:pPr>
        <w:pStyle w:val="Sinespaciado"/>
        <w:spacing w:line="360" w:lineRule="auto"/>
        <w:jc w:val="both"/>
        <w:rPr>
          <w:rFonts w:ascii="Palatino Linotype" w:hAnsi="Palatino Linotype"/>
          <w:sz w:val="24"/>
          <w:szCs w:val="24"/>
        </w:rPr>
      </w:pPr>
      <w:r>
        <w:rPr>
          <w:noProof/>
          <w:lang w:eastAsia="es-MX"/>
        </w:rPr>
        <w:lastRenderedPageBreak/>
        <w:drawing>
          <wp:inline distT="0" distB="0" distL="0" distR="0" wp14:anchorId="66E4030A" wp14:editId="56042657">
            <wp:extent cx="5821136" cy="1771650"/>
            <wp:effectExtent l="0" t="0" r="825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101" t="18224" r="29067" b="59142"/>
                    <a:stretch/>
                  </pic:blipFill>
                  <pic:spPr bwMode="auto">
                    <a:xfrm>
                      <a:off x="0" y="0"/>
                      <a:ext cx="5834066" cy="1775585"/>
                    </a:xfrm>
                    <a:prstGeom prst="rect">
                      <a:avLst/>
                    </a:prstGeom>
                    <a:ln>
                      <a:noFill/>
                    </a:ln>
                    <a:extLst>
                      <a:ext uri="{53640926-AAD7-44D8-BBD7-CCE9431645EC}">
                        <a14:shadowObscured xmlns:a14="http://schemas.microsoft.com/office/drawing/2010/main"/>
                      </a:ext>
                    </a:extLst>
                  </pic:spPr>
                </pic:pic>
              </a:graphicData>
            </a:graphic>
          </wp:inline>
        </w:drawing>
      </w:r>
    </w:p>
    <w:p w:rsidR="008C0F70" w:rsidRPr="00B62C60" w:rsidRDefault="008C0F70" w:rsidP="0014447C">
      <w:pPr>
        <w:pStyle w:val="Sinespaciado"/>
        <w:spacing w:line="360" w:lineRule="auto"/>
        <w:jc w:val="both"/>
        <w:rPr>
          <w:rFonts w:ascii="Palatino Linotype" w:hAnsi="Palatino Linotype"/>
          <w:sz w:val="24"/>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B220AA">
        <w:rPr>
          <w:rFonts w:ascii="Palatino Linotype" w:hAnsi="Palatino Linotype"/>
          <w:sz w:val="24"/>
          <w:szCs w:val="24"/>
        </w:rPr>
        <w:t>quince de agosto</w:t>
      </w:r>
      <w:r w:rsidR="0065519D">
        <w:rPr>
          <w:rFonts w:ascii="Palatino Linotype" w:hAnsi="Palatino Linotype"/>
          <w:sz w:val="24"/>
          <w:szCs w:val="24"/>
        </w:rPr>
        <w:t xml:space="preserve"> de dos mil diecinueve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65519D" w:rsidRDefault="0065519D" w:rsidP="0014447C">
      <w:pPr>
        <w:pStyle w:val="Sinespaciado"/>
        <w:spacing w:line="360" w:lineRule="auto"/>
        <w:jc w:val="both"/>
        <w:rPr>
          <w:rFonts w:ascii="Palatino Linotype" w:hAnsi="Palatino Linotype"/>
          <w:sz w:val="24"/>
          <w:szCs w:val="24"/>
        </w:rPr>
      </w:pPr>
    </w:p>
    <w:p w:rsidR="0065519D" w:rsidRPr="0065519D" w:rsidRDefault="00037385" w:rsidP="00541B17">
      <w:pPr>
        <w:pStyle w:val="Sinespaciado"/>
        <w:spacing w:line="360" w:lineRule="auto"/>
        <w:rPr>
          <w:rFonts w:ascii="Palatino Linotype" w:hAnsi="Palatino Linotype"/>
          <w:b/>
          <w:sz w:val="26"/>
          <w:szCs w:val="26"/>
        </w:rPr>
      </w:pPr>
      <w:r>
        <w:rPr>
          <w:rFonts w:ascii="Palatino Linotype" w:hAnsi="Palatino Linotype"/>
          <w:b/>
          <w:sz w:val="26"/>
          <w:szCs w:val="26"/>
        </w:rPr>
        <w:t>SÉPTIMO</w:t>
      </w:r>
      <w:r w:rsidR="0065519D" w:rsidRPr="0065519D">
        <w:rPr>
          <w:rFonts w:ascii="Palatino Linotype" w:hAnsi="Palatino Linotype"/>
          <w:b/>
          <w:sz w:val="26"/>
          <w:szCs w:val="26"/>
        </w:rPr>
        <w:t>. De la ampliación del término para resolver.</w:t>
      </w:r>
    </w:p>
    <w:p w:rsidR="0065519D" w:rsidRPr="0014447C" w:rsidRDefault="00541B17" w:rsidP="00541B17">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fecha </w:t>
      </w:r>
      <w:r w:rsidR="00F03B7A">
        <w:rPr>
          <w:rFonts w:ascii="Palatino Linotype" w:hAnsi="Palatino Linotype"/>
          <w:sz w:val="24"/>
          <w:szCs w:val="24"/>
        </w:rPr>
        <w:t>dieciocho de septiembre</w:t>
      </w:r>
      <w:r w:rsidR="0065519D" w:rsidRPr="0065519D">
        <w:rPr>
          <w:rFonts w:ascii="Palatino Linotype" w:hAnsi="Palatino Linotype"/>
          <w:sz w:val="24"/>
          <w:szCs w:val="24"/>
        </w:rPr>
        <w:t xml:space="preserve"> de dos mil diecinueve, se amplió el término para resolver el recurso de revisión en términos del artículo 181 párrafo tercero de la Ley de Transparencia y Acceso a la Información Pública del Estado de México y Municipios por un plazo de quince días hábiles.</w:t>
      </w:r>
    </w:p>
    <w:p w:rsidR="00423C27" w:rsidRPr="0014447C" w:rsidRDefault="00B220AA" w:rsidP="00541B17">
      <w:pPr>
        <w:pStyle w:val="Sinespaciado"/>
        <w:spacing w:line="360" w:lineRule="auto"/>
        <w:jc w:val="both"/>
        <w:rPr>
          <w:rFonts w:ascii="Palatino Linotype" w:hAnsi="Palatino Linotype"/>
          <w:sz w:val="24"/>
          <w:szCs w:val="24"/>
        </w:rPr>
      </w:pPr>
      <w:r>
        <w:rPr>
          <w:rFonts w:ascii="Palatino Linotype" w:hAnsi="Palatino Linotype"/>
          <w:sz w:val="24"/>
          <w:szCs w:val="24"/>
        </w:rPr>
        <w:t>-------------------------------------------------------------------------------------------------------------------------------------------------------------------------------------------------------------------------------------------------------------------------------------------------------------------------------------------------------------------------------------------------------------------------------------------------------------------------------------------------------------------------------------------------------------------------------------</w:t>
      </w: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lastRenderedPageBreak/>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8A75B0">
        <w:rPr>
          <w:rFonts w:ascii="Palatino Linotype" w:hAnsi="Palatino Linotype"/>
          <w:sz w:val="24"/>
          <w:szCs w:val="24"/>
        </w:rPr>
        <w:t xml:space="preserve"> segundo, vigésimo tercero</w:t>
      </w:r>
      <w:r w:rsidRPr="0014447C">
        <w:rPr>
          <w:rFonts w:ascii="Palatino Linotype" w:hAnsi="Palatino Linotype"/>
          <w:sz w:val="24"/>
          <w:szCs w:val="24"/>
        </w:rPr>
        <w:t xml:space="preserve"> y vigésimo </w:t>
      </w:r>
      <w:r w:rsidR="008A75B0">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sidRPr="0014447C">
        <w:rPr>
          <w:rFonts w:ascii="Palatino Linotype" w:hAnsi="Palatino Linotype"/>
          <w:sz w:val="24"/>
          <w:szCs w:val="24"/>
        </w:rPr>
        <w:lastRenderedPageBreak/>
        <w:t>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705D1C" w:rsidRPr="0014447C" w:rsidRDefault="007E2E80" w:rsidP="00705D1C">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BC64D4"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14447C">
        <w:rPr>
          <w:rFonts w:ascii="Palatino Linotype" w:hAnsi="Palatino Linotype"/>
          <w:sz w:val="24"/>
          <w:szCs w:val="24"/>
        </w:rPr>
        <w:lastRenderedPageBreak/>
        <w:t>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1C145C" w:rsidRPr="00F03B7A" w:rsidRDefault="00A9172E" w:rsidP="00B220AA">
      <w:pPr>
        <w:pStyle w:val="Sinespaciado"/>
        <w:spacing w:line="360" w:lineRule="auto"/>
        <w:jc w:val="both"/>
        <w:rPr>
          <w:rFonts w:ascii="Palatino Linotype" w:hAnsi="Palatino Linotype"/>
          <w:sz w:val="24"/>
          <w:szCs w:val="24"/>
        </w:rPr>
      </w:pPr>
      <w:r w:rsidRPr="00F03B7A">
        <w:rPr>
          <w:rFonts w:ascii="Palatino Linotype" w:hAnsi="Palatino Linotype"/>
          <w:sz w:val="24"/>
          <w:szCs w:val="24"/>
        </w:rPr>
        <w:t>Por tanto, es conveniente recordar que</w:t>
      </w:r>
      <w:r w:rsidR="00336EDF" w:rsidRPr="00F03B7A">
        <w:rPr>
          <w:rFonts w:ascii="Palatino Linotype" w:hAnsi="Palatino Linotype"/>
          <w:sz w:val="24"/>
          <w:szCs w:val="24"/>
        </w:rPr>
        <w:t xml:space="preserve"> el hoy Recurrente requirió</w:t>
      </w:r>
      <w:r w:rsidR="00D033C3" w:rsidRPr="00F03B7A">
        <w:rPr>
          <w:rFonts w:ascii="Palatino Linotype" w:hAnsi="Palatino Linotype"/>
          <w:sz w:val="24"/>
          <w:szCs w:val="24"/>
        </w:rPr>
        <w:t xml:space="preserve"> </w:t>
      </w:r>
      <w:r w:rsidR="00117233" w:rsidRPr="00F03B7A">
        <w:rPr>
          <w:rFonts w:ascii="Palatino Linotype" w:hAnsi="Palatino Linotype"/>
          <w:sz w:val="24"/>
          <w:szCs w:val="24"/>
        </w:rPr>
        <w:t>las versiones electrónicas de todas las Gacetas Municipales, en términos de la Ley Orgánica Municipal del Estado de México, a partir del primero de enero de dos mil dieciséis al diecisiete de julio de dos mil diecinueve.</w:t>
      </w:r>
    </w:p>
    <w:p w:rsidR="00E36CCB" w:rsidRDefault="00E36CCB" w:rsidP="00B220AA">
      <w:pPr>
        <w:pStyle w:val="Sinespaciado"/>
        <w:spacing w:line="360" w:lineRule="auto"/>
        <w:jc w:val="both"/>
        <w:rPr>
          <w:rFonts w:ascii="Palatino Linotype" w:hAnsi="Palatino Linotype"/>
          <w:sz w:val="24"/>
          <w:szCs w:val="24"/>
        </w:rPr>
      </w:pPr>
    </w:p>
    <w:p w:rsidR="0058697B" w:rsidRDefault="009A5B08" w:rsidP="009A5B08">
      <w:pPr>
        <w:pStyle w:val="Sinespaciado"/>
        <w:spacing w:line="360" w:lineRule="auto"/>
        <w:jc w:val="both"/>
        <w:rPr>
          <w:rFonts w:ascii="Palatino Linotype" w:hAnsi="Palatino Linotype"/>
          <w:sz w:val="24"/>
          <w:szCs w:val="24"/>
        </w:rPr>
      </w:pPr>
      <w:r>
        <w:rPr>
          <w:rFonts w:ascii="Palatino Linotype" w:hAnsi="Palatino Linotype"/>
          <w:sz w:val="24"/>
          <w:szCs w:val="24"/>
        </w:rPr>
        <w:t>Por lo que</w:t>
      </w:r>
      <w:r w:rsidR="00FD7EE2">
        <w:rPr>
          <w:rFonts w:ascii="Palatino Linotype" w:hAnsi="Palatino Linotype"/>
          <w:sz w:val="24"/>
          <w:szCs w:val="24"/>
        </w:rPr>
        <w:t xml:space="preserve"> el Sujeto Obligado respondió </w:t>
      </w:r>
      <w:r w:rsidR="00117233">
        <w:rPr>
          <w:rFonts w:ascii="Palatino Linotype" w:hAnsi="Palatino Linotype"/>
          <w:sz w:val="24"/>
          <w:szCs w:val="24"/>
        </w:rPr>
        <w:t>que la información pod</w:t>
      </w:r>
      <w:r>
        <w:rPr>
          <w:rFonts w:ascii="Palatino Linotype" w:hAnsi="Palatino Linotype"/>
          <w:sz w:val="24"/>
          <w:szCs w:val="24"/>
        </w:rPr>
        <w:t>ía consultarse</w:t>
      </w:r>
      <w:r w:rsidR="00117233">
        <w:rPr>
          <w:rFonts w:ascii="Palatino Linotype" w:hAnsi="Palatino Linotype"/>
          <w:sz w:val="24"/>
          <w:szCs w:val="24"/>
        </w:rPr>
        <w:t xml:space="preserve"> en </w:t>
      </w:r>
      <w:r>
        <w:rPr>
          <w:rFonts w:ascii="Palatino Linotype" w:hAnsi="Palatino Linotype"/>
          <w:sz w:val="24"/>
          <w:szCs w:val="24"/>
        </w:rPr>
        <w:t xml:space="preserve">la </w:t>
      </w:r>
      <w:r w:rsidRPr="009A5B08">
        <w:rPr>
          <w:rFonts w:ascii="Palatino Linotype" w:hAnsi="Palatino Linotype"/>
          <w:sz w:val="24"/>
          <w:szCs w:val="24"/>
        </w:rPr>
        <w:t>página</w:t>
      </w:r>
      <w:r w:rsidR="00117233" w:rsidRPr="009A5B08">
        <w:rPr>
          <w:rFonts w:ascii="Palatino Linotype" w:hAnsi="Palatino Linotype"/>
          <w:sz w:val="24"/>
          <w:szCs w:val="24"/>
        </w:rPr>
        <w:t xml:space="preserve"> </w:t>
      </w:r>
      <w:hyperlink r:id="rId9" w:history="1">
        <w:r w:rsidR="00117233" w:rsidRPr="009A5B08">
          <w:rPr>
            <w:rStyle w:val="Hipervnculo"/>
            <w:rFonts w:ascii="Palatino Linotype" w:hAnsi="Palatino Linotype"/>
            <w:b/>
            <w:color w:val="auto"/>
            <w:sz w:val="24"/>
            <w:szCs w:val="24"/>
          </w:rPr>
          <w:t>https://www.ipomex.org.mx/ipo3/lgt/indice/TEZOYUCA/art_94_ii_a2/1.web</w:t>
        </w:r>
      </w:hyperlink>
      <w:r w:rsidRPr="009A5B08">
        <w:rPr>
          <w:rFonts w:ascii="Palatino Linotype" w:hAnsi="Palatino Linotype"/>
          <w:b/>
          <w:sz w:val="24"/>
          <w:szCs w:val="24"/>
        </w:rPr>
        <w:t xml:space="preserve">. </w:t>
      </w:r>
    </w:p>
    <w:p w:rsidR="006F2785" w:rsidRDefault="006F2785" w:rsidP="006F2785">
      <w:pPr>
        <w:pStyle w:val="Sinespaciado"/>
        <w:spacing w:line="360" w:lineRule="auto"/>
        <w:jc w:val="both"/>
        <w:rPr>
          <w:rFonts w:ascii="Palatino Linotype" w:hAnsi="Palatino Linotype"/>
          <w:sz w:val="24"/>
          <w:szCs w:val="24"/>
        </w:rPr>
      </w:pPr>
    </w:p>
    <w:p w:rsidR="006F2785" w:rsidRDefault="006F2785" w:rsidP="006F2785">
      <w:pPr>
        <w:pStyle w:val="Sinespaciado"/>
        <w:spacing w:line="360" w:lineRule="auto"/>
        <w:jc w:val="both"/>
        <w:rPr>
          <w:rFonts w:ascii="Palatino Linotype" w:hAnsi="Palatino Linotype"/>
          <w:sz w:val="24"/>
          <w:szCs w:val="24"/>
        </w:rPr>
      </w:pPr>
      <w:r>
        <w:rPr>
          <w:rFonts w:ascii="Palatino Linotype" w:hAnsi="Palatino Linotype"/>
          <w:sz w:val="24"/>
          <w:szCs w:val="24"/>
        </w:rPr>
        <w:t>Ante dicha respuesta, el Recurrente consideró que su derecho de acceso a la información había sido conculcado, por lo que interpuso el presente recurso de revisión</w:t>
      </w:r>
      <w:r w:rsidR="00592D52">
        <w:rPr>
          <w:rFonts w:ascii="Palatino Linotype" w:hAnsi="Palatino Linotype"/>
          <w:sz w:val="24"/>
          <w:szCs w:val="24"/>
        </w:rPr>
        <w:t xml:space="preserve">, impugnando la respuesta </w:t>
      </w:r>
      <w:r w:rsidR="003309E0">
        <w:rPr>
          <w:rFonts w:ascii="Palatino Linotype" w:hAnsi="Palatino Linotype"/>
          <w:sz w:val="24"/>
          <w:szCs w:val="24"/>
        </w:rPr>
        <w:t xml:space="preserve">emitida </w:t>
      </w:r>
      <w:r w:rsidR="00592D52">
        <w:rPr>
          <w:rFonts w:ascii="Palatino Linotype" w:hAnsi="Palatino Linotype"/>
          <w:sz w:val="24"/>
          <w:szCs w:val="24"/>
        </w:rPr>
        <w:t>del Sujeto Obligado, dando como razone</w:t>
      </w:r>
      <w:r w:rsidR="00647528">
        <w:rPr>
          <w:rFonts w:ascii="Palatino Linotype" w:hAnsi="Palatino Linotype"/>
          <w:sz w:val="24"/>
          <w:szCs w:val="24"/>
        </w:rPr>
        <w:t>s o motivos de inconformidad lo siguiente</w:t>
      </w:r>
      <w:r w:rsidR="00592D52">
        <w:rPr>
          <w:rFonts w:ascii="Palatino Linotype" w:hAnsi="Palatino Linotype"/>
          <w:sz w:val="24"/>
          <w:szCs w:val="24"/>
        </w:rPr>
        <w:t>:</w:t>
      </w:r>
    </w:p>
    <w:p w:rsidR="00592D52" w:rsidRDefault="00592D52" w:rsidP="006F2785">
      <w:pPr>
        <w:pStyle w:val="Sinespaciado"/>
        <w:spacing w:line="360" w:lineRule="auto"/>
        <w:jc w:val="both"/>
        <w:rPr>
          <w:rFonts w:ascii="Palatino Linotype" w:hAnsi="Palatino Linotype"/>
          <w:sz w:val="24"/>
          <w:szCs w:val="24"/>
        </w:rPr>
      </w:pPr>
    </w:p>
    <w:p w:rsidR="00592D52" w:rsidRPr="00592D52" w:rsidRDefault="00592D52" w:rsidP="00592D52">
      <w:pPr>
        <w:pStyle w:val="Sinespaciado"/>
        <w:ind w:left="567" w:right="567"/>
        <w:jc w:val="both"/>
        <w:rPr>
          <w:rFonts w:ascii="Palatino Linotype" w:hAnsi="Palatino Linotype"/>
          <w:i/>
        </w:rPr>
      </w:pPr>
      <w:r>
        <w:rPr>
          <w:rFonts w:ascii="Palatino Linotype" w:hAnsi="Palatino Linotype"/>
          <w:i/>
        </w:rPr>
        <w:t>“</w:t>
      </w:r>
      <w:r w:rsidR="00647528" w:rsidRPr="00647528">
        <w:rPr>
          <w:rFonts w:ascii="Palatino Linotype" w:hAnsi="Palatino Linotype"/>
          <w:i/>
        </w:rPr>
        <w:t xml:space="preserve">EL SUJETO OBLIGADO PROPORCIONA UN VÍNCULO ELECTRÓNICO QUE DIRIGE A LA PÁGINA DEL IPOMEX, EN LA QUE SOLAMENTE ESTÁN DISPONIBLES 7 GACETAS MUNICIPALES, SOLAMENTE DEL AÑO 2019, POR LO QUE LA RESPUESTA EMITIDA POR EL SUJETO OBLIGADO NO SATISFACE LO SOLICITADO. EN VISTA DE LA INDUDABLE MALA FE DEL SUJETO OBLIGADO, EN TODAS LAS SOLICITUDES A TRAVÉS DEL PORTAL SAIMEX, Y DE LA DOLOSA INTENCIÓN DE OCULTAR INFORMACIÓN PÚBLICA, SE SOLICITA A ESTE INSTITUTO QUE, HACIENDO USO DE SUS FACULTADES, INICIEN PROCEDIMIENTOS ADMINISTRATIVOS SANCIONADORES EN CONTRA DEL REPRESENTANTE LEGAL DEL SUJETO OBLIGADO, ASÍ COMO EN CONTRA DE TODOS LOS FUNCIONARIOS MUNICIPALES QUE DE FORMA INDIVIDUAL Y CONJUNTA CONTINÚAN VIOLANDO EL DERECHO HUMANO </w:t>
      </w:r>
      <w:r w:rsidR="00647528" w:rsidRPr="00647528">
        <w:rPr>
          <w:rFonts w:ascii="Palatino Linotype" w:hAnsi="Palatino Linotype"/>
          <w:i/>
        </w:rPr>
        <w:lastRenderedPageBreak/>
        <w:t>AL ACCESO DE LA INFORMACIÓN PÚBLICA; SIN QUE ELLO SIGNIFIQUE SE LE DEJE SIN REQUERIR TODA LA INFORMACIÓN PÚBLICA SOLICITADA A PARTIR DEL AÑO 2016, PUES ESA FUE LA SOLICITUD.</w:t>
      </w:r>
      <w:r>
        <w:rPr>
          <w:rFonts w:ascii="Palatino Linotype" w:hAnsi="Palatino Linotype"/>
          <w:i/>
        </w:rPr>
        <w:t>” (Sic)</w:t>
      </w:r>
    </w:p>
    <w:p w:rsidR="008C2971" w:rsidRDefault="008C2971" w:rsidP="0014447C">
      <w:pPr>
        <w:pStyle w:val="Sinespaciado"/>
        <w:spacing w:line="360" w:lineRule="auto"/>
        <w:jc w:val="both"/>
        <w:rPr>
          <w:rFonts w:ascii="Palatino Linotype" w:hAnsi="Palatino Linotype"/>
          <w:sz w:val="24"/>
          <w:szCs w:val="24"/>
        </w:rPr>
      </w:pPr>
    </w:p>
    <w:p w:rsidR="00647528" w:rsidRDefault="00647528"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Al recurso de revisión anexó un documento en formato pdf denominado “Portal IPOMEX.pdf”, en el que se observa el contenido de la página indicada por el </w:t>
      </w:r>
      <w:r w:rsidR="00E06A24">
        <w:rPr>
          <w:rFonts w:ascii="Palatino Linotype" w:hAnsi="Palatino Linotype"/>
          <w:sz w:val="24"/>
          <w:szCs w:val="24"/>
        </w:rPr>
        <w:t>Sujeto Obligado y que, a modo de ejemplo, se reproduce la primera página a continuación:</w:t>
      </w:r>
    </w:p>
    <w:p w:rsidR="00E06A24" w:rsidRDefault="00E06A24" w:rsidP="0014447C">
      <w:pPr>
        <w:pStyle w:val="Sinespaciado"/>
        <w:spacing w:line="360" w:lineRule="auto"/>
        <w:jc w:val="both"/>
        <w:rPr>
          <w:rFonts w:ascii="Palatino Linotype" w:hAnsi="Palatino Linotype"/>
          <w:sz w:val="24"/>
          <w:szCs w:val="24"/>
        </w:rPr>
      </w:pPr>
    </w:p>
    <w:p w:rsidR="00E06A24" w:rsidRDefault="00E06A24" w:rsidP="0014447C">
      <w:pPr>
        <w:pStyle w:val="Sinespaciado"/>
        <w:spacing w:line="360" w:lineRule="auto"/>
        <w:jc w:val="both"/>
        <w:rPr>
          <w:rFonts w:ascii="Palatino Linotype" w:hAnsi="Palatino Linotype"/>
          <w:sz w:val="24"/>
          <w:szCs w:val="24"/>
        </w:rPr>
      </w:pPr>
      <w:r>
        <w:rPr>
          <w:noProof/>
          <w:lang w:eastAsia="es-MX"/>
        </w:rPr>
        <w:drawing>
          <wp:inline distT="0" distB="0" distL="0" distR="0" wp14:anchorId="4EBDD8CF" wp14:editId="38B2C928">
            <wp:extent cx="5705018" cy="45339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2322" t="12345" r="21297" b="7996"/>
                    <a:stretch/>
                  </pic:blipFill>
                  <pic:spPr bwMode="auto">
                    <a:xfrm>
                      <a:off x="0" y="0"/>
                      <a:ext cx="5729316" cy="4553210"/>
                    </a:xfrm>
                    <a:prstGeom prst="rect">
                      <a:avLst/>
                    </a:prstGeom>
                    <a:ln>
                      <a:noFill/>
                    </a:ln>
                    <a:extLst>
                      <a:ext uri="{53640926-AAD7-44D8-BBD7-CCE9431645EC}">
                        <a14:shadowObscured xmlns:a14="http://schemas.microsoft.com/office/drawing/2010/main"/>
                      </a:ext>
                    </a:extLst>
                  </pic:spPr>
                </pic:pic>
              </a:graphicData>
            </a:graphic>
          </wp:inline>
        </w:drawing>
      </w:r>
    </w:p>
    <w:p w:rsidR="00647528" w:rsidRDefault="00647528" w:rsidP="0014447C">
      <w:pPr>
        <w:pStyle w:val="Sinespaciado"/>
        <w:spacing w:line="360" w:lineRule="auto"/>
        <w:jc w:val="both"/>
        <w:rPr>
          <w:rFonts w:ascii="Palatino Linotype" w:hAnsi="Palatino Linotype"/>
          <w:sz w:val="24"/>
          <w:szCs w:val="24"/>
        </w:rPr>
      </w:pPr>
    </w:p>
    <w:p w:rsidR="00E06A24" w:rsidRPr="00E06A24" w:rsidRDefault="00E06A24" w:rsidP="00E06A24">
      <w:pPr>
        <w:pStyle w:val="Sinespaciado"/>
        <w:spacing w:line="360" w:lineRule="auto"/>
        <w:jc w:val="both"/>
        <w:rPr>
          <w:rFonts w:ascii="Palatino Linotype" w:hAnsi="Palatino Linotype"/>
          <w:sz w:val="24"/>
          <w:szCs w:val="24"/>
        </w:rPr>
      </w:pPr>
      <w:r w:rsidRPr="00E06A24">
        <w:rPr>
          <w:rFonts w:ascii="Palatino Linotype" w:hAnsi="Palatino Linotype"/>
          <w:sz w:val="24"/>
          <w:szCs w:val="24"/>
        </w:rPr>
        <w:lastRenderedPageBreak/>
        <w:t>Es de resaltar que, durante la etapa de instrucción, ninguna de las partes emitió manifestación alguna; así, el Sujeto Obligado omitió rendir su Informe Justificado. En consecuencia, es necesario precisar que, toda vez que el Sujeto Obligado fue omiso de enviar el Informe Justificado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E06A24" w:rsidRPr="00E06A24" w:rsidRDefault="00E06A24" w:rsidP="00E06A24">
      <w:pPr>
        <w:pStyle w:val="Sinespaciado"/>
        <w:spacing w:line="360" w:lineRule="auto"/>
        <w:jc w:val="both"/>
        <w:rPr>
          <w:rFonts w:ascii="Palatino Linotype" w:hAnsi="Palatino Linotype"/>
          <w:sz w:val="24"/>
          <w:szCs w:val="24"/>
        </w:rPr>
      </w:pPr>
    </w:p>
    <w:p w:rsidR="00E06A24" w:rsidRPr="00AB00F7" w:rsidRDefault="00E06A24" w:rsidP="00E06A24">
      <w:pPr>
        <w:pStyle w:val="Sinespaciado"/>
        <w:ind w:left="567" w:right="567"/>
        <w:jc w:val="both"/>
        <w:rPr>
          <w:rFonts w:ascii="Palatino Linotype" w:hAnsi="Palatino Linotype"/>
          <w:i/>
        </w:rPr>
      </w:pPr>
      <w:r w:rsidRPr="00AB00F7">
        <w:rPr>
          <w:rFonts w:ascii="Palatino Linotype" w:hAnsi="Palatino Linotype"/>
          <w:b/>
          <w:i/>
        </w:rPr>
        <w:t>QUEJA, RECURSO DE. LA OMISION DE RENDIR EL INFORME RESPECTIVO NO IMPIDE QUE SE RESUELVA.</w:t>
      </w:r>
      <w:r w:rsidRPr="00AB00F7">
        <w:rPr>
          <w:rFonts w:ascii="Palatino Linotype" w:hAnsi="Palatino Linotype"/>
          <w:i/>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E06A24" w:rsidRPr="00E06A24" w:rsidRDefault="00E06A24" w:rsidP="00E06A24">
      <w:pPr>
        <w:pStyle w:val="Sinespaciado"/>
        <w:spacing w:line="360" w:lineRule="auto"/>
        <w:jc w:val="both"/>
        <w:rPr>
          <w:rFonts w:ascii="Palatino Linotype" w:hAnsi="Palatino Linotype"/>
          <w:sz w:val="24"/>
          <w:szCs w:val="24"/>
        </w:rPr>
      </w:pPr>
    </w:p>
    <w:p w:rsidR="00E06A24" w:rsidRPr="00E06A24" w:rsidRDefault="00E06A24" w:rsidP="00E06A24">
      <w:pPr>
        <w:pStyle w:val="Sinespaciado"/>
        <w:spacing w:line="360" w:lineRule="auto"/>
        <w:jc w:val="both"/>
        <w:rPr>
          <w:rFonts w:ascii="Palatino Linotype" w:hAnsi="Palatino Linotype" w:cs="Arial"/>
          <w:sz w:val="24"/>
          <w:szCs w:val="24"/>
        </w:rPr>
      </w:pPr>
      <w:r w:rsidRPr="00E06A24">
        <w:rPr>
          <w:rFonts w:ascii="Palatino Linotype" w:hAnsi="Palatino Linotype"/>
          <w:sz w:val="24"/>
          <w:szCs w:val="24"/>
        </w:rPr>
        <w:t xml:space="preserve">Por lo cual se reitera, que la falta de informe justificado no impide que este Órgano Garante conozca y resuelva el recurso de revisión, solo propicia que el Sujeto Obligado </w:t>
      </w:r>
      <w:r w:rsidRPr="00E06A24">
        <w:rPr>
          <w:rFonts w:ascii="Palatino Linotype" w:hAnsi="Palatino Linotype"/>
          <w:sz w:val="24"/>
          <w:szCs w:val="24"/>
        </w:rPr>
        <w:lastRenderedPageBreak/>
        <w:t>pierda la oportunidad de justificar su falta de respuesta y manifestar lo que a su derecho convenga.</w:t>
      </w:r>
    </w:p>
    <w:p w:rsidR="00E06A24" w:rsidRPr="00E06A24" w:rsidRDefault="00E06A24" w:rsidP="00E06A24">
      <w:pPr>
        <w:pStyle w:val="Sinespaciado"/>
        <w:spacing w:line="360" w:lineRule="auto"/>
        <w:jc w:val="both"/>
        <w:rPr>
          <w:rFonts w:ascii="Palatino Linotype" w:hAnsi="Palatino Linotype" w:cs="Arial"/>
          <w:sz w:val="24"/>
          <w:szCs w:val="24"/>
        </w:rPr>
      </w:pPr>
    </w:p>
    <w:p w:rsidR="00E50BBA" w:rsidRDefault="00E06A24" w:rsidP="00E06A24">
      <w:pPr>
        <w:pStyle w:val="Sinespaciado"/>
        <w:spacing w:line="360" w:lineRule="auto"/>
        <w:jc w:val="both"/>
        <w:rPr>
          <w:rFonts w:ascii="Palatino Linotype" w:hAnsi="Palatino Linotype" w:cs="Arial"/>
          <w:sz w:val="24"/>
          <w:szCs w:val="24"/>
        </w:rPr>
      </w:pPr>
      <w:r w:rsidRPr="00E06A24">
        <w:rPr>
          <w:rFonts w:ascii="Palatino Linotype" w:hAnsi="Palatino Linotype" w:cs="Arial"/>
          <w:sz w:val="24"/>
          <w:szCs w:val="24"/>
        </w:rPr>
        <w:t>Ahora bien, quedando establecido lo anterior, este Órgano Garante considera viable realizar el estudio en aras de establecer si el Sujeto Obligado cuenta con las atribuciones para generar, administrar o poseer la información solicitada en el ejercicios de sus atribuciones , funciones, facultades o competencia, y si dicha información se considera pública y susceptible de ser entregada al Recurrente.</w:t>
      </w:r>
    </w:p>
    <w:p w:rsidR="00E06A24" w:rsidRPr="00E06A24" w:rsidRDefault="00E06A24" w:rsidP="00E06A24">
      <w:pPr>
        <w:pStyle w:val="Sinespaciado"/>
        <w:spacing w:line="360" w:lineRule="auto"/>
        <w:jc w:val="both"/>
        <w:rPr>
          <w:rFonts w:ascii="Palatino Linotype" w:hAnsi="Palatino Linotype"/>
          <w:sz w:val="24"/>
          <w:szCs w:val="24"/>
        </w:rPr>
      </w:pPr>
    </w:p>
    <w:p w:rsidR="00E50BBA" w:rsidRPr="00E06A24" w:rsidRDefault="00E50BBA" w:rsidP="00E50BBA">
      <w:pPr>
        <w:pStyle w:val="Sinespaciado"/>
        <w:spacing w:line="360" w:lineRule="auto"/>
        <w:jc w:val="both"/>
        <w:rPr>
          <w:rFonts w:ascii="Palatino Linotype" w:hAnsi="Palatino Linotype"/>
          <w:color w:val="000000"/>
          <w:sz w:val="24"/>
          <w:szCs w:val="24"/>
        </w:rPr>
      </w:pPr>
      <w:r w:rsidRPr="00E06A24">
        <w:rPr>
          <w:rFonts w:ascii="Palatino Linotype" w:hAnsi="Palatino Linotype"/>
          <w:sz w:val="24"/>
          <w:szCs w:val="24"/>
        </w:rPr>
        <w:t xml:space="preserve">En primer lugar </w:t>
      </w:r>
      <w:r w:rsidRPr="00E06A24">
        <w:rPr>
          <w:rFonts w:ascii="Palatino Linotype" w:hAnsi="Palatino Linotype"/>
          <w:color w:val="000000"/>
          <w:sz w:val="24"/>
          <w:szCs w:val="24"/>
        </w:rPr>
        <w:t>es de advertirse que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E50BBA" w:rsidRPr="00893C7D" w:rsidRDefault="00E50BBA" w:rsidP="00E50BBA">
      <w:pPr>
        <w:pStyle w:val="Sinespaciado"/>
        <w:spacing w:line="360" w:lineRule="auto"/>
        <w:jc w:val="both"/>
        <w:rPr>
          <w:rFonts w:ascii="Palatino Linotype" w:hAnsi="Palatino Linotype"/>
          <w:color w:val="000000"/>
          <w:sz w:val="24"/>
          <w:szCs w:val="24"/>
        </w:rPr>
      </w:pPr>
    </w:p>
    <w:p w:rsidR="00E50BBA" w:rsidRPr="004E6B5B" w:rsidRDefault="00E50BBA" w:rsidP="00E50BBA">
      <w:pPr>
        <w:pStyle w:val="Sinespaciado"/>
        <w:ind w:left="567" w:right="567"/>
        <w:jc w:val="both"/>
        <w:rPr>
          <w:rFonts w:ascii="Palatino Linotype" w:hAnsi="Palatino Linotype"/>
          <w:b/>
          <w:i/>
        </w:rPr>
      </w:pPr>
      <w:r w:rsidRPr="004E6B5B">
        <w:rPr>
          <w:rFonts w:ascii="Palatino Linotype" w:hAnsi="Palatino Linotype"/>
          <w:b/>
          <w:i/>
        </w:rPr>
        <w:t>Artículo 6</w:t>
      </w:r>
    </w:p>
    <w:p w:rsidR="00E50BBA" w:rsidRPr="004E6B5B" w:rsidRDefault="00E50BBA" w:rsidP="00E50BBA">
      <w:pPr>
        <w:pStyle w:val="Sinespaciado"/>
        <w:ind w:left="567" w:right="567"/>
        <w:jc w:val="both"/>
        <w:rPr>
          <w:rFonts w:ascii="Palatino Linotype" w:hAnsi="Palatino Linotype"/>
          <w:i/>
        </w:rPr>
      </w:pPr>
      <w:r w:rsidRPr="004E6B5B">
        <w:rPr>
          <w:rFonts w:ascii="Palatino Linotype" w:hAnsi="Palatino Linotype"/>
          <w:i/>
        </w:rPr>
        <w:t>…</w:t>
      </w:r>
    </w:p>
    <w:p w:rsidR="00E50BBA" w:rsidRPr="004E6B5B" w:rsidRDefault="00E50BBA" w:rsidP="00E50BBA">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E50BBA" w:rsidRPr="004E6B5B" w:rsidRDefault="00E50BBA" w:rsidP="00E50BBA">
      <w:pPr>
        <w:pStyle w:val="Sinespaciado"/>
        <w:ind w:left="567" w:right="567"/>
        <w:jc w:val="both"/>
        <w:rPr>
          <w:rFonts w:ascii="Palatino Linotype" w:hAnsi="Palatino Linotype"/>
          <w:i/>
        </w:rPr>
      </w:pPr>
    </w:p>
    <w:p w:rsidR="00E50BBA" w:rsidRDefault="00E50BBA" w:rsidP="00E50BBA">
      <w:pPr>
        <w:pStyle w:val="Sinespaciado"/>
        <w:numPr>
          <w:ilvl w:val="0"/>
          <w:numId w:val="14"/>
        </w:numPr>
        <w:ind w:left="993" w:right="567"/>
        <w:jc w:val="both"/>
        <w:rPr>
          <w:rFonts w:ascii="Palatino Linotype" w:hAnsi="Palatino Linotype"/>
          <w:i/>
        </w:rPr>
      </w:pPr>
      <w:r w:rsidRPr="00820C21">
        <w:rPr>
          <w:rFonts w:ascii="Palatino Linotype" w:hAnsi="Palatino Linotype"/>
          <w:b/>
          <w:i/>
          <w:u w:val="single"/>
        </w:rPr>
        <w:lastRenderedPageBreak/>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4E6B5B">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50BBA" w:rsidRPr="00893C7D" w:rsidRDefault="00E50BBA" w:rsidP="00E50BBA">
      <w:pPr>
        <w:pStyle w:val="Sinespaciado"/>
        <w:spacing w:line="360" w:lineRule="auto"/>
        <w:jc w:val="both"/>
        <w:rPr>
          <w:rFonts w:ascii="Palatino Linotype" w:hAnsi="Palatino Linotype"/>
          <w:sz w:val="24"/>
          <w:szCs w:val="24"/>
        </w:rPr>
      </w:pPr>
    </w:p>
    <w:p w:rsidR="00E50BBA" w:rsidRPr="00893C7D" w:rsidRDefault="00E50BBA" w:rsidP="00E50BBA">
      <w:pPr>
        <w:pStyle w:val="Sinespaciado"/>
        <w:spacing w:line="360" w:lineRule="auto"/>
        <w:jc w:val="both"/>
        <w:rPr>
          <w:rFonts w:ascii="Palatino Linotype" w:hAnsi="Palatino Linotype" w:cs="Arial"/>
          <w:sz w:val="24"/>
          <w:szCs w:val="24"/>
        </w:rPr>
      </w:pPr>
      <w:r w:rsidRPr="00893C7D">
        <w:rPr>
          <w:rFonts w:ascii="Palatino Linotype" w:hAnsi="Palatino Linotype" w:cs="Arial"/>
          <w:sz w:val="24"/>
          <w:szCs w:val="24"/>
        </w:rPr>
        <w:t xml:space="preserve">Ahora bien, en atención a lo dispuesto por los artículos 3, fracción XI y 12 </w:t>
      </w:r>
      <w:r w:rsidRPr="00893C7D">
        <w:rPr>
          <w:rFonts w:ascii="Palatino Linotype" w:hAnsi="Palatino Linotype" w:cs="Arial"/>
          <w:bCs/>
          <w:sz w:val="24"/>
          <w:szCs w:val="24"/>
        </w:rPr>
        <w:t>de la Ley de Transparencia y Acceso a la Información Pública del Estado de México y Municipios</w:t>
      </w:r>
      <w:r w:rsidRPr="00893C7D">
        <w:rPr>
          <w:rFonts w:ascii="Palatino Linotype" w:hAnsi="Palatino Linotype" w:cs="Arial"/>
          <w:sz w:val="24"/>
          <w:szCs w:val="24"/>
        </w:rPr>
        <w:t>, los cuales son del tenor literal siguiente:</w:t>
      </w:r>
    </w:p>
    <w:p w:rsidR="00E50BBA" w:rsidRPr="00893C7D" w:rsidRDefault="00E50BBA" w:rsidP="00E50BBA">
      <w:pPr>
        <w:pStyle w:val="Sinespaciado"/>
        <w:ind w:left="567" w:right="567"/>
        <w:jc w:val="both"/>
        <w:rPr>
          <w:rFonts w:ascii="Palatino Linotype" w:hAnsi="Palatino Linotype"/>
          <w:sz w:val="24"/>
          <w:szCs w:val="24"/>
        </w:rPr>
      </w:pP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i/>
        </w:rPr>
        <w:t>…</w:t>
      </w: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w:t>
      </w:r>
      <w:r w:rsidRPr="00820C21">
        <w:rPr>
          <w:rFonts w:ascii="Palatino Linotype" w:hAnsi="Palatino Linotype"/>
          <w:i/>
        </w:rPr>
        <w:t xml:space="preserve">, </w:t>
      </w:r>
      <w:r w:rsidRPr="00820C21">
        <w:rPr>
          <w:rFonts w:ascii="Palatino Linotype" w:hAnsi="Palatino Linotype"/>
          <w:b/>
          <w:i/>
          <w:u w:val="single"/>
        </w:rPr>
        <w:t>oficios</w:t>
      </w:r>
      <w:r w:rsidRPr="006376FA">
        <w:rPr>
          <w:rFonts w:ascii="Palatino Linotype" w:hAnsi="Palatino Linotype"/>
          <w:i/>
        </w:rPr>
        <w:t xml:space="preserve">,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E50BBA" w:rsidRPr="006376FA" w:rsidRDefault="00E50BBA" w:rsidP="00E50BBA">
      <w:pPr>
        <w:pStyle w:val="Sinespaciado"/>
        <w:ind w:left="567" w:right="567"/>
        <w:jc w:val="both"/>
        <w:rPr>
          <w:rFonts w:ascii="Palatino Linotype" w:hAnsi="Palatino Linotype"/>
          <w:i/>
        </w:rPr>
      </w:pPr>
    </w:p>
    <w:p w:rsidR="00E50BBA" w:rsidRPr="006376FA" w:rsidRDefault="00E50BBA" w:rsidP="00E50BBA">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E50BBA" w:rsidRPr="006376FA" w:rsidRDefault="00E50BBA" w:rsidP="00E50BBA">
      <w:pPr>
        <w:pStyle w:val="Sinespaciado"/>
        <w:ind w:left="567" w:right="567"/>
        <w:jc w:val="both"/>
        <w:rPr>
          <w:rFonts w:ascii="Palatino Linotype" w:hAnsi="Palatino Linotype"/>
          <w:bCs/>
          <w:i/>
        </w:rPr>
      </w:pPr>
    </w:p>
    <w:p w:rsidR="00E50BBA" w:rsidRPr="006376FA" w:rsidRDefault="00E50BBA" w:rsidP="00E50BBA">
      <w:pPr>
        <w:pStyle w:val="Sinespaciado"/>
        <w:ind w:left="567" w:right="567"/>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6376FA">
        <w:rPr>
          <w:rFonts w:ascii="Palatino Linotype" w:hAnsi="Palatino Linotype"/>
          <w:bCs/>
          <w:i/>
        </w:rPr>
        <w:lastRenderedPageBreak/>
        <w:t>por razones de interés público, en los términos de las causas legítimas y estrictamente necesarias previstas por esta Ley.</w:t>
      </w:r>
    </w:p>
    <w:p w:rsidR="00E50BBA" w:rsidRPr="006376FA" w:rsidRDefault="00E50BBA" w:rsidP="00E50BBA">
      <w:pPr>
        <w:pStyle w:val="Sinespaciado"/>
        <w:ind w:left="567" w:right="567"/>
        <w:jc w:val="both"/>
        <w:rPr>
          <w:rFonts w:ascii="Palatino Linotype" w:hAnsi="Palatino Linotype"/>
          <w:bCs/>
          <w:i/>
        </w:rPr>
      </w:pPr>
    </w:p>
    <w:p w:rsidR="00E50BBA" w:rsidRPr="006376FA" w:rsidRDefault="00E50BBA" w:rsidP="00E50BBA">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E50BBA" w:rsidRPr="006376FA" w:rsidRDefault="00E50BBA" w:rsidP="00E50BBA">
      <w:pPr>
        <w:pStyle w:val="Sinespaciado"/>
        <w:ind w:left="567" w:right="567"/>
        <w:jc w:val="both"/>
        <w:rPr>
          <w:rFonts w:ascii="Palatino Linotype" w:hAnsi="Palatino Linotype"/>
          <w:i/>
        </w:rPr>
      </w:pP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E50BBA" w:rsidRPr="006376FA" w:rsidRDefault="00E50BBA" w:rsidP="00E50BBA">
      <w:pPr>
        <w:pStyle w:val="Sinespaciado"/>
        <w:ind w:left="567" w:right="567"/>
        <w:jc w:val="both"/>
        <w:rPr>
          <w:rFonts w:ascii="Palatino Linotype" w:hAnsi="Palatino Linotype"/>
          <w:i/>
        </w:rPr>
      </w:pPr>
    </w:p>
    <w:p w:rsidR="00E50BBA" w:rsidRPr="004E6B5B" w:rsidRDefault="00E50BBA" w:rsidP="00E50BBA">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E50BBA" w:rsidRPr="00893C7D" w:rsidRDefault="00E50BBA" w:rsidP="00E50BBA">
      <w:pPr>
        <w:pStyle w:val="Sinespaciado"/>
        <w:spacing w:line="360" w:lineRule="auto"/>
        <w:jc w:val="both"/>
        <w:rPr>
          <w:rFonts w:ascii="Palatino Linotype" w:hAnsi="Palatino Linotype"/>
          <w:sz w:val="24"/>
          <w:szCs w:val="24"/>
        </w:rPr>
      </w:pPr>
    </w:p>
    <w:p w:rsidR="00E50BBA" w:rsidRDefault="00E50BBA" w:rsidP="00E50BBA">
      <w:pPr>
        <w:pStyle w:val="Sinespaciado"/>
        <w:spacing w:line="360" w:lineRule="auto"/>
        <w:jc w:val="both"/>
        <w:rPr>
          <w:rFonts w:ascii="Palatino Linotype" w:hAnsi="Palatino Linotype"/>
          <w:sz w:val="24"/>
          <w:szCs w:val="24"/>
        </w:rPr>
      </w:pPr>
      <w:r w:rsidRPr="00893C7D">
        <w:rPr>
          <w:rFonts w:ascii="Palatino Linotype" w:hAnsi="Palatino Linotype" w:cs="Arial"/>
          <w:sz w:val="24"/>
          <w:szCs w:val="24"/>
        </w:rPr>
        <w:t>De la interpretación a los preceptos citados, se desprende que es información pública la contenida en los documentos, entre ellos los oficios, que los sujetos obligados generen, administren o se encuentren en su posesión en el ejercicio de sus atribuciones y que toda la información generada, obtenida, adquirida, transformada, administrada o en posesión de los sujetos obligados es pública y accesible de manera permanente a cualquier persona.</w:t>
      </w:r>
    </w:p>
    <w:p w:rsidR="00E50BBA" w:rsidRDefault="00E50BBA" w:rsidP="00E50BBA">
      <w:pPr>
        <w:pStyle w:val="Sinespaciado"/>
        <w:spacing w:line="360" w:lineRule="auto"/>
        <w:jc w:val="both"/>
        <w:rPr>
          <w:rFonts w:ascii="Palatino Linotype" w:hAnsi="Palatino Linotype" w:cs="Arial"/>
          <w:sz w:val="24"/>
          <w:szCs w:val="24"/>
        </w:rPr>
      </w:pPr>
    </w:p>
    <w:p w:rsidR="00623388" w:rsidRDefault="00E50BBA" w:rsidP="00E50BBA">
      <w:pPr>
        <w:pStyle w:val="Sinespaciado"/>
        <w:spacing w:line="360" w:lineRule="auto"/>
        <w:jc w:val="both"/>
        <w:rPr>
          <w:rFonts w:ascii="Palatino Linotype" w:hAnsi="Palatino Linotype"/>
          <w:sz w:val="24"/>
          <w:szCs w:val="24"/>
        </w:rPr>
      </w:pPr>
      <w:r w:rsidRPr="00745488">
        <w:rPr>
          <w:rFonts w:ascii="Palatino Linotype" w:hAnsi="Palatino Linotype"/>
          <w:sz w:val="24"/>
          <w:szCs w:val="24"/>
        </w:rPr>
        <w:t xml:space="preserve">En segundo término, </w:t>
      </w:r>
      <w:r w:rsidR="00623388">
        <w:rPr>
          <w:rFonts w:ascii="Palatino Linotype" w:hAnsi="Palatino Linotype"/>
          <w:sz w:val="24"/>
          <w:szCs w:val="24"/>
        </w:rPr>
        <w:t xml:space="preserve">se debe resaltar que el mismo Recurrente señaló que en la liga entregada por el Sujeto Obligado se observa lo referente a siete Gacetas Municipales </w:t>
      </w:r>
      <w:r w:rsidR="00D61E5A">
        <w:rPr>
          <w:rFonts w:ascii="Palatino Linotype" w:hAnsi="Palatino Linotype"/>
          <w:sz w:val="24"/>
          <w:szCs w:val="24"/>
        </w:rPr>
        <w:t xml:space="preserve">correspondientes al ejercicio 2019; por tanto, </w:t>
      </w:r>
      <w:r w:rsidR="00744AA8">
        <w:rPr>
          <w:rFonts w:ascii="Palatino Linotype" w:hAnsi="Palatino Linotype"/>
          <w:sz w:val="24"/>
          <w:szCs w:val="24"/>
        </w:rPr>
        <w:t>se colige que la información solicitada relativa presente ejercicio, ha qu</w:t>
      </w:r>
      <w:r w:rsidR="005E5683">
        <w:rPr>
          <w:rFonts w:ascii="Palatino Linotype" w:hAnsi="Palatino Linotype"/>
          <w:sz w:val="24"/>
          <w:szCs w:val="24"/>
        </w:rPr>
        <w:t>edado colmada, consecuentemente, únicamente es necesario establecer si el Sujeto Obligado cuenta con las atribuciones y facultades para generar, poseer o administrar la información de los años 2016, 2017 y 2018.</w:t>
      </w:r>
    </w:p>
    <w:p w:rsidR="005E5683" w:rsidRDefault="005E5683" w:rsidP="00E50BBA">
      <w:pPr>
        <w:pStyle w:val="Sinespaciado"/>
        <w:spacing w:line="360" w:lineRule="auto"/>
        <w:jc w:val="both"/>
        <w:rPr>
          <w:rFonts w:ascii="Palatino Linotype" w:hAnsi="Palatino Linotype"/>
          <w:sz w:val="24"/>
          <w:szCs w:val="24"/>
        </w:rPr>
      </w:pPr>
    </w:p>
    <w:p w:rsidR="005E5683" w:rsidRDefault="0048564C" w:rsidP="00E50BBA">
      <w:pPr>
        <w:pStyle w:val="Sinespaciado"/>
        <w:spacing w:line="360" w:lineRule="auto"/>
        <w:jc w:val="both"/>
        <w:rPr>
          <w:rFonts w:ascii="Palatino Linotype" w:hAnsi="Palatino Linotype"/>
          <w:sz w:val="24"/>
          <w:szCs w:val="24"/>
        </w:rPr>
      </w:pPr>
      <w:r>
        <w:rPr>
          <w:rFonts w:ascii="Palatino Linotype" w:hAnsi="Palatino Linotype"/>
          <w:sz w:val="24"/>
          <w:szCs w:val="24"/>
        </w:rPr>
        <w:t>De tal forma, es necesario remitirse a la Ley Orgánica Municipal del Estado de México, que en su artículo 31 fracción XXXVI establece lo siguiente:</w:t>
      </w:r>
    </w:p>
    <w:p w:rsidR="0048564C" w:rsidRDefault="0048564C" w:rsidP="00E50BBA">
      <w:pPr>
        <w:pStyle w:val="Sinespaciado"/>
        <w:spacing w:line="360" w:lineRule="auto"/>
        <w:jc w:val="both"/>
        <w:rPr>
          <w:rFonts w:ascii="Palatino Linotype" w:hAnsi="Palatino Linotype"/>
          <w:sz w:val="24"/>
          <w:szCs w:val="24"/>
        </w:rPr>
      </w:pPr>
    </w:p>
    <w:p w:rsidR="0048564C" w:rsidRPr="00E32CF8" w:rsidRDefault="0048564C" w:rsidP="00E32CF8">
      <w:pPr>
        <w:pStyle w:val="Sinespaciado"/>
        <w:ind w:left="567" w:right="567"/>
        <w:jc w:val="both"/>
        <w:rPr>
          <w:rFonts w:ascii="Palatino Linotype" w:hAnsi="Palatino Linotype"/>
          <w:i/>
        </w:rPr>
      </w:pPr>
      <w:r w:rsidRPr="00E32CF8">
        <w:rPr>
          <w:rFonts w:ascii="Palatino Linotype" w:hAnsi="Palatino Linotype"/>
          <w:b/>
          <w:bCs/>
          <w:i/>
        </w:rPr>
        <w:t xml:space="preserve">Artículo 31.- </w:t>
      </w:r>
      <w:r w:rsidRPr="00E32CF8">
        <w:rPr>
          <w:rFonts w:ascii="Palatino Linotype" w:hAnsi="Palatino Linotype"/>
          <w:i/>
        </w:rPr>
        <w:t>Son atribuciones de los ayuntamientos:</w:t>
      </w:r>
    </w:p>
    <w:p w:rsidR="00623388" w:rsidRPr="00E32CF8" w:rsidRDefault="00E32CF8" w:rsidP="00E32CF8">
      <w:pPr>
        <w:pStyle w:val="Sinespaciado"/>
        <w:ind w:left="567" w:right="567"/>
        <w:jc w:val="both"/>
        <w:rPr>
          <w:rFonts w:ascii="Palatino Linotype" w:hAnsi="Palatino Linotype"/>
          <w:i/>
        </w:rPr>
      </w:pPr>
      <w:r w:rsidRPr="00E32CF8">
        <w:rPr>
          <w:rFonts w:ascii="Palatino Linotype" w:hAnsi="Palatino Linotype"/>
          <w:i/>
        </w:rPr>
        <w:t>(…)</w:t>
      </w:r>
    </w:p>
    <w:p w:rsidR="00623388" w:rsidRPr="00E32CF8" w:rsidRDefault="00E32CF8" w:rsidP="00E32CF8">
      <w:pPr>
        <w:pStyle w:val="Sinespaciado"/>
        <w:ind w:left="567" w:right="567"/>
        <w:jc w:val="both"/>
        <w:rPr>
          <w:rFonts w:ascii="Palatino Linotype" w:hAnsi="Palatino Linotype"/>
          <w:i/>
        </w:rPr>
      </w:pPr>
      <w:r w:rsidRPr="00E32CF8">
        <w:rPr>
          <w:rFonts w:ascii="Palatino Linotype" w:hAnsi="Palatino Linotype"/>
          <w:i/>
        </w:rPr>
        <w:t>XXXVI. Editar, publicar y circular la Gaceta Municipal órgano oficial en formato físico o electrónico, cuando menos cada tres meses para la difusión de todos los acuerdos de Cabildo de las sesiones que no contengan información clasificada, los acuerdos de carácter general tomados por el ayuntamiento y de otros asuntos de interés público;</w:t>
      </w:r>
    </w:p>
    <w:p w:rsidR="00623388" w:rsidRPr="00E32CF8" w:rsidRDefault="00E32CF8" w:rsidP="00E32CF8">
      <w:pPr>
        <w:pStyle w:val="Sinespaciado"/>
        <w:ind w:left="567" w:right="567"/>
        <w:jc w:val="both"/>
        <w:rPr>
          <w:rFonts w:ascii="Palatino Linotype" w:hAnsi="Palatino Linotype"/>
          <w:i/>
        </w:rPr>
      </w:pPr>
      <w:r w:rsidRPr="00E32CF8">
        <w:rPr>
          <w:rFonts w:ascii="Palatino Linotype" w:hAnsi="Palatino Linotype"/>
          <w:i/>
        </w:rPr>
        <w:t>(…)</w:t>
      </w:r>
    </w:p>
    <w:p w:rsidR="00623388" w:rsidRDefault="00623388" w:rsidP="00E50BBA">
      <w:pPr>
        <w:pStyle w:val="Sinespaciado"/>
        <w:spacing w:line="360" w:lineRule="auto"/>
        <w:jc w:val="both"/>
        <w:rPr>
          <w:rFonts w:ascii="Palatino Linotype" w:hAnsi="Palatino Linotype"/>
          <w:sz w:val="24"/>
          <w:szCs w:val="24"/>
        </w:rPr>
      </w:pPr>
    </w:p>
    <w:p w:rsidR="00E32CF8" w:rsidRDefault="00E32CF8" w:rsidP="00E50BBA">
      <w:pPr>
        <w:pStyle w:val="Sinespaciado"/>
        <w:spacing w:line="360" w:lineRule="auto"/>
        <w:jc w:val="both"/>
        <w:rPr>
          <w:rFonts w:ascii="Palatino Linotype" w:hAnsi="Palatino Linotype"/>
          <w:sz w:val="24"/>
          <w:szCs w:val="24"/>
        </w:rPr>
      </w:pPr>
      <w:r>
        <w:rPr>
          <w:rFonts w:ascii="Palatino Linotype" w:hAnsi="Palatino Linotype"/>
          <w:sz w:val="24"/>
          <w:szCs w:val="24"/>
        </w:rPr>
        <w:t>En ese orden de ideas, la misma Ley</w:t>
      </w:r>
      <w:r w:rsidR="00F1563F">
        <w:rPr>
          <w:rFonts w:ascii="Palatino Linotype" w:hAnsi="Palatino Linotype"/>
          <w:sz w:val="24"/>
          <w:szCs w:val="24"/>
        </w:rPr>
        <w:t xml:space="preserve"> en su artículo 91, fracciones VI y XIII, </w:t>
      </w:r>
      <w:r>
        <w:rPr>
          <w:rFonts w:ascii="Palatino Linotype" w:hAnsi="Palatino Linotype"/>
          <w:sz w:val="24"/>
          <w:szCs w:val="24"/>
        </w:rPr>
        <w:t>establece lo siguiente:</w:t>
      </w:r>
    </w:p>
    <w:p w:rsidR="00E32CF8" w:rsidRDefault="00E32CF8" w:rsidP="00E50BBA">
      <w:pPr>
        <w:pStyle w:val="Sinespaciado"/>
        <w:spacing w:line="360" w:lineRule="auto"/>
        <w:jc w:val="both"/>
        <w:rPr>
          <w:rFonts w:ascii="Palatino Linotype" w:hAnsi="Palatino Linotype"/>
          <w:sz w:val="24"/>
          <w:szCs w:val="24"/>
        </w:rPr>
      </w:pPr>
    </w:p>
    <w:p w:rsidR="00E32CF8" w:rsidRPr="00F1563F" w:rsidRDefault="00F1563F" w:rsidP="00F1563F">
      <w:pPr>
        <w:pStyle w:val="Sinespaciado"/>
        <w:ind w:left="567" w:right="567"/>
        <w:jc w:val="both"/>
        <w:rPr>
          <w:rFonts w:ascii="Palatino Linotype" w:hAnsi="Palatino Linotype"/>
          <w:i/>
        </w:rPr>
      </w:pPr>
      <w:r w:rsidRPr="00F1563F">
        <w:rPr>
          <w:rFonts w:ascii="Palatino Linotype" w:hAnsi="Palatino Linotype"/>
          <w:b/>
          <w:bCs/>
          <w:i/>
        </w:rPr>
        <w:t xml:space="preserve">Artículo 91.- </w:t>
      </w:r>
      <w:r w:rsidRPr="00F1563F">
        <w:rPr>
          <w:rFonts w:ascii="Palatino Linotype" w:hAnsi="Palatino Linotype"/>
          <w:i/>
        </w:rPr>
        <w:t>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rsidR="00F1563F" w:rsidRPr="00F1563F" w:rsidRDefault="00F1563F" w:rsidP="00F1563F">
      <w:pPr>
        <w:pStyle w:val="Sinespaciado"/>
        <w:ind w:left="567" w:right="567"/>
        <w:jc w:val="both"/>
        <w:rPr>
          <w:rFonts w:ascii="Palatino Linotype" w:hAnsi="Palatino Linotype"/>
          <w:i/>
        </w:rPr>
      </w:pPr>
      <w:r w:rsidRPr="00F1563F">
        <w:rPr>
          <w:rFonts w:ascii="Palatino Linotype" w:hAnsi="Palatino Linotype"/>
          <w:i/>
        </w:rPr>
        <w:t>(…)</w:t>
      </w:r>
    </w:p>
    <w:p w:rsidR="00F1563F" w:rsidRPr="00F1563F" w:rsidRDefault="00F1563F" w:rsidP="00F1563F">
      <w:pPr>
        <w:pStyle w:val="Sinespaciado"/>
        <w:ind w:left="567" w:right="567"/>
        <w:jc w:val="both"/>
        <w:rPr>
          <w:rFonts w:ascii="Palatino Linotype" w:hAnsi="Palatino Linotype"/>
          <w:i/>
        </w:rPr>
      </w:pPr>
      <w:r w:rsidRPr="00F1563F">
        <w:rPr>
          <w:rFonts w:ascii="Palatino Linotype" w:hAnsi="Palatino Linotype"/>
          <w:i/>
        </w:rPr>
        <w:t>VI. Tener a su cargo el archivo general del ayuntamiento;</w:t>
      </w:r>
    </w:p>
    <w:p w:rsidR="00F1563F" w:rsidRPr="00F1563F" w:rsidRDefault="00F1563F" w:rsidP="00F1563F">
      <w:pPr>
        <w:pStyle w:val="Sinespaciado"/>
        <w:ind w:left="567" w:right="567"/>
        <w:jc w:val="both"/>
        <w:rPr>
          <w:rFonts w:ascii="Palatino Linotype" w:hAnsi="Palatino Linotype"/>
          <w:i/>
        </w:rPr>
      </w:pPr>
      <w:r w:rsidRPr="00F1563F">
        <w:rPr>
          <w:rFonts w:ascii="Palatino Linotype" w:hAnsi="Palatino Linotype"/>
          <w:i/>
        </w:rPr>
        <w:t>(…)</w:t>
      </w:r>
    </w:p>
    <w:p w:rsidR="00F1563F" w:rsidRPr="00F1563F" w:rsidRDefault="00F1563F" w:rsidP="00F1563F">
      <w:pPr>
        <w:pStyle w:val="Sinespaciado"/>
        <w:ind w:left="567" w:right="567"/>
        <w:jc w:val="both"/>
        <w:rPr>
          <w:rFonts w:ascii="Palatino Linotype" w:hAnsi="Palatino Linotype"/>
          <w:i/>
        </w:rPr>
      </w:pPr>
      <w:r w:rsidRPr="00F1563F">
        <w:rPr>
          <w:rFonts w:ascii="Palatino Linotype" w:hAnsi="Palatino Linotype"/>
          <w:i/>
        </w:rPr>
        <w:t>XIII. Ser responsable de la publicación de la Gaceta Municipal, así como de las publicaciones en los estrados de los Ayuntamientos; y</w:t>
      </w:r>
    </w:p>
    <w:p w:rsidR="00F1563F" w:rsidRPr="00F1563F" w:rsidRDefault="00F1563F" w:rsidP="00F1563F">
      <w:pPr>
        <w:pStyle w:val="Sinespaciado"/>
        <w:ind w:left="567" w:right="567"/>
        <w:jc w:val="both"/>
        <w:rPr>
          <w:rFonts w:ascii="Palatino Linotype" w:hAnsi="Palatino Linotype"/>
          <w:i/>
        </w:rPr>
      </w:pPr>
      <w:r w:rsidRPr="00F1563F">
        <w:rPr>
          <w:rFonts w:ascii="Palatino Linotype" w:hAnsi="Palatino Linotype"/>
          <w:i/>
        </w:rPr>
        <w:t>(…)</w:t>
      </w:r>
    </w:p>
    <w:p w:rsidR="00F1563F" w:rsidRDefault="00F1563F" w:rsidP="00E50BBA">
      <w:pPr>
        <w:pStyle w:val="Sinespaciado"/>
        <w:spacing w:line="360" w:lineRule="auto"/>
        <w:jc w:val="both"/>
        <w:rPr>
          <w:rFonts w:ascii="Palatino Linotype" w:hAnsi="Palatino Linotype"/>
          <w:sz w:val="24"/>
          <w:szCs w:val="24"/>
        </w:rPr>
      </w:pPr>
    </w:p>
    <w:p w:rsidR="00F1563F" w:rsidRDefault="006C6397" w:rsidP="00E50BBA">
      <w:pPr>
        <w:pStyle w:val="Sinespaciado"/>
        <w:spacing w:line="360" w:lineRule="auto"/>
        <w:jc w:val="both"/>
        <w:rPr>
          <w:rFonts w:ascii="Palatino Linotype" w:hAnsi="Palatino Linotype"/>
          <w:sz w:val="24"/>
          <w:szCs w:val="24"/>
        </w:rPr>
      </w:pPr>
      <w:r>
        <w:rPr>
          <w:rFonts w:ascii="Palatino Linotype" w:hAnsi="Palatino Linotype"/>
          <w:sz w:val="24"/>
          <w:szCs w:val="24"/>
        </w:rPr>
        <w:t>Así, de la interpretación de los artículos anteriores, se tiene que el Ayuntamiento de Tezoyuca tiene la obligación de editar, publicar y circular la Gaceta Municipal en formato físico y electrónico al menos cada tres meses</w:t>
      </w:r>
      <w:r w:rsidR="006B1A80">
        <w:rPr>
          <w:rFonts w:ascii="Palatino Linotype" w:hAnsi="Palatino Linotype"/>
          <w:sz w:val="24"/>
          <w:szCs w:val="24"/>
        </w:rPr>
        <w:t xml:space="preserve"> para la difusión de los acuerdos de Cabildo de las sesiones que no contengan información clasificada, acuerdos de </w:t>
      </w:r>
      <w:r w:rsidR="006B1A80">
        <w:rPr>
          <w:rFonts w:ascii="Palatino Linotype" w:hAnsi="Palatino Linotype"/>
          <w:sz w:val="24"/>
          <w:szCs w:val="24"/>
        </w:rPr>
        <w:lastRenderedPageBreak/>
        <w:t>carácter general tomados por el ayuntamiento y otros asuntos de interés públicos; de lo cual es responsable la Secretaría del Ayuntamiento, quien también tiene entre su atribuciones el funcionamiento del archivo general del ayuntamiento.</w:t>
      </w:r>
    </w:p>
    <w:p w:rsidR="006B1A80" w:rsidRDefault="006B1A80" w:rsidP="00E50BBA">
      <w:pPr>
        <w:pStyle w:val="Sinespaciado"/>
        <w:spacing w:line="360" w:lineRule="auto"/>
        <w:jc w:val="both"/>
        <w:rPr>
          <w:rFonts w:ascii="Palatino Linotype" w:hAnsi="Palatino Linotype"/>
          <w:sz w:val="24"/>
          <w:szCs w:val="24"/>
        </w:rPr>
      </w:pPr>
    </w:p>
    <w:p w:rsidR="006B1A80" w:rsidRDefault="006B1A80" w:rsidP="00E50BBA">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De tal forma que la obligación de publicar </w:t>
      </w:r>
      <w:r w:rsidR="00FA5870">
        <w:rPr>
          <w:rFonts w:ascii="Palatino Linotype" w:hAnsi="Palatino Linotype"/>
          <w:sz w:val="24"/>
          <w:szCs w:val="24"/>
        </w:rPr>
        <w:t>la Gaceta Municipal corresponde al Secretario del A</w:t>
      </w:r>
      <w:r w:rsidR="00A1088F">
        <w:rPr>
          <w:rFonts w:ascii="Palatino Linotype" w:hAnsi="Palatino Linotype"/>
          <w:sz w:val="24"/>
          <w:szCs w:val="24"/>
        </w:rPr>
        <w:t xml:space="preserve">yuntamiento, quien deberá publicar dicho documento cuando menos cada tres meses, lo cual no lo limita a que lo haga en más ocasiones. Adicionalmente, se advierte que la misma Secretaría del Ayuntamiento es la encargada del archivo general municipal, por lo que puede inferirse que cuenta con la información de los años anteriores al </w:t>
      </w:r>
      <w:r w:rsidR="003A7CB7">
        <w:rPr>
          <w:rFonts w:ascii="Palatino Linotype" w:hAnsi="Palatino Linotype"/>
          <w:sz w:val="24"/>
          <w:szCs w:val="24"/>
        </w:rPr>
        <w:t>ejercicio 2019.</w:t>
      </w:r>
    </w:p>
    <w:p w:rsidR="003A7CB7" w:rsidRDefault="003A7CB7" w:rsidP="00E50BBA">
      <w:pPr>
        <w:pStyle w:val="Sinespaciado"/>
        <w:spacing w:line="360" w:lineRule="auto"/>
        <w:jc w:val="both"/>
        <w:rPr>
          <w:rFonts w:ascii="Palatino Linotype" w:hAnsi="Palatino Linotype"/>
          <w:sz w:val="24"/>
          <w:szCs w:val="24"/>
        </w:rPr>
      </w:pPr>
    </w:p>
    <w:p w:rsidR="003A7CB7" w:rsidRDefault="003A7CB7" w:rsidP="00E50BBA">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No debe soslayarse el hecho de que el Sujeto Obligado también se encuentra constreñido a publicar el contenido de las Gacetas Municipales por ser esta una obligación específica de transparencia como se establece en el artículo 94 fracción II, inciso a), </w:t>
      </w:r>
      <w:r w:rsidR="00CD1DF0">
        <w:rPr>
          <w:rFonts w:ascii="Palatino Linotype" w:hAnsi="Palatino Linotype"/>
          <w:sz w:val="24"/>
          <w:szCs w:val="24"/>
        </w:rPr>
        <w:t xml:space="preserve">de la Ley de Transparencia y Acceso a la Información Pública del Estado de México y Municipios, </w:t>
      </w:r>
      <w:r>
        <w:rPr>
          <w:rFonts w:ascii="Palatino Linotype" w:hAnsi="Palatino Linotype"/>
          <w:sz w:val="24"/>
          <w:szCs w:val="24"/>
        </w:rPr>
        <w:t>que a la letra dispone lo siguiente:</w:t>
      </w:r>
    </w:p>
    <w:p w:rsidR="003A7CB7" w:rsidRDefault="003A7CB7" w:rsidP="00E50BBA">
      <w:pPr>
        <w:pStyle w:val="Sinespaciado"/>
        <w:spacing w:line="360" w:lineRule="auto"/>
        <w:jc w:val="both"/>
        <w:rPr>
          <w:rFonts w:ascii="Palatino Linotype" w:hAnsi="Palatino Linotype"/>
          <w:sz w:val="24"/>
          <w:szCs w:val="24"/>
        </w:rPr>
      </w:pPr>
    </w:p>
    <w:p w:rsidR="003A7CB7" w:rsidRPr="003A7CB7" w:rsidRDefault="003A7CB7" w:rsidP="00682FD7">
      <w:pPr>
        <w:pStyle w:val="Sinespaciado"/>
        <w:ind w:left="567" w:right="567"/>
        <w:jc w:val="both"/>
        <w:rPr>
          <w:rFonts w:ascii="Palatino Linotype" w:hAnsi="Palatino Linotype"/>
          <w:i/>
        </w:rPr>
      </w:pPr>
      <w:r w:rsidRPr="003A7CB7">
        <w:rPr>
          <w:rFonts w:ascii="Palatino Linotype" w:hAnsi="Palatino Linotype"/>
          <w:b/>
          <w:bCs/>
          <w:i/>
        </w:rPr>
        <w:t xml:space="preserve">Artículo 94. </w:t>
      </w:r>
      <w:r w:rsidRPr="00682FD7">
        <w:rPr>
          <w:rFonts w:ascii="Palatino Linotype" w:hAnsi="Palatino Linotype"/>
          <w:b/>
          <w:i/>
          <w:u w:val="single"/>
        </w:rPr>
        <w:t xml:space="preserve">Además de las obligaciones de transparencia común a que se refiere el Capítulo II de este Título, los sujetos obligados </w:t>
      </w:r>
      <w:r w:rsidRPr="003A7CB7">
        <w:rPr>
          <w:rFonts w:ascii="Palatino Linotype" w:hAnsi="Palatino Linotype"/>
          <w:i/>
        </w:rPr>
        <w:t xml:space="preserve">del Poder Ejecutivo Local y </w:t>
      </w:r>
      <w:r w:rsidRPr="00682FD7">
        <w:rPr>
          <w:rFonts w:ascii="Palatino Linotype" w:hAnsi="Palatino Linotype"/>
          <w:b/>
          <w:i/>
          <w:u w:val="single"/>
        </w:rPr>
        <w:t>municipales, deberán poner a disposición del público y actualizar la siguiente información</w:t>
      </w:r>
      <w:r w:rsidRPr="003A7CB7">
        <w:rPr>
          <w:rFonts w:ascii="Palatino Linotype" w:hAnsi="Palatino Linotype"/>
          <w:i/>
        </w:rPr>
        <w:t>:</w:t>
      </w:r>
    </w:p>
    <w:p w:rsidR="003A7CB7" w:rsidRPr="003A7CB7" w:rsidRDefault="003A7CB7" w:rsidP="00682FD7">
      <w:pPr>
        <w:pStyle w:val="Sinespaciado"/>
        <w:ind w:left="851" w:right="567"/>
        <w:jc w:val="both"/>
        <w:rPr>
          <w:rFonts w:ascii="Palatino Linotype" w:hAnsi="Palatino Linotype"/>
          <w:i/>
        </w:rPr>
      </w:pPr>
      <w:r w:rsidRPr="003A7CB7">
        <w:rPr>
          <w:rFonts w:ascii="Palatino Linotype" w:hAnsi="Palatino Linotype"/>
          <w:i/>
        </w:rPr>
        <w:t>(…)</w:t>
      </w:r>
    </w:p>
    <w:p w:rsidR="003A7CB7" w:rsidRPr="003A7CB7" w:rsidRDefault="003A7CB7" w:rsidP="00682FD7">
      <w:pPr>
        <w:pStyle w:val="Sinespaciado"/>
        <w:ind w:left="851" w:right="567"/>
        <w:jc w:val="both"/>
        <w:rPr>
          <w:rFonts w:ascii="Palatino Linotype" w:hAnsi="Palatino Linotype"/>
          <w:i/>
        </w:rPr>
      </w:pPr>
      <w:r w:rsidRPr="003A7CB7">
        <w:rPr>
          <w:rFonts w:ascii="Palatino Linotype" w:hAnsi="Palatino Linotype"/>
          <w:b/>
          <w:bCs/>
          <w:i/>
        </w:rPr>
        <w:t xml:space="preserve">II. </w:t>
      </w:r>
      <w:r w:rsidRPr="00682FD7">
        <w:rPr>
          <w:rFonts w:ascii="Palatino Linotype" w:hAnsi="Palatino Linotype"/>
          <w:b/>
          <w:i/>
          <w:u w:val="single"/>
        </w:rPr>
        <w:t>Adicionalmente en el caso de los municipios</w:t>
      </w:r>
      <w:r w:rsidRPr="003A7CB7">
        <w:rPr>
          <w:rFonts w:ascii="Palatino Linotype" w:hAnsi="Palatino Linotype"/>
          <w:i/>
        </w:rPr>
        <w:t xml:space="preserve">: </w:t>
      </w:r>
    </w:p>
    <w:p w:rsidR="003A7CB7" w:rsidRPr="003A7CB7" w:rsidRDefault="003A7CB7" w:rsidP="00682FD7">
      <w:pPr>
        <w:pStyle w:val="Sinespaciado"/>
        <w:ind w:left="1134" w:right="567"/>
        <w:jc w:val="both"/>
        <w:rPr>
          <w:rFonts w:ascii="Palatino Linotype" w:hAnsi="Palatino Linotype"/>
          <w:i/>
        </w:rPr>
      </w:pPr>
      <w:r w:rsidRPr="003A7CB7">
        <w:rPr>
          <w:rFonts w:ascii="Palatino Linotype" w:hAnsi="Palatino Linotype"/>
          <w:b/>
          <w:bCs/>
          <w:i/>
        </w:rPr>
        <w:t xml:space="preserve">a) </w:t>
      </w:r>
      <w:r w:rsidRPr="00682FD7">
        <w:rPr>
          <w:rFonts w:ascii="Palatino Linotype" w:hAnsi="Palatino Linotype"/>
          <w:b/>
          <w:i/>
          <w:u w:val="single"/>
        </w:rPr>
        <w:t>El contenido de las gacetas municipales</w:t>
      </w:r>
      <w:r w:rsidRPr="003A7CB7">
        <w:rPr>
          <w:rFonts w:ascii="Palatino Linotype" w:hAnsi="Palatino Linotype"/>
          <w:i/>
        </w:rPr>
        <w:t xml:space="preserve">, las cuales deberán comprender los resolutivos y acuerdos aprobados por los ayuntamientos; </w:t>
      </w:r>
    </w:p>
    <w:p w:rsidR="003A7CB7" w:rsidRPr="003A7CB7" w:rsidRDefault="003A7CB7" w:rsidP="00682FD7">
      <w:pPr>
        <w:pStyle w:val="Sinespaciado"/>
        <w:ind w:left="1134" w:right="567"/>
        <w:jc w:val="both"/>
        <w:rPr>
          <w:rFonts w:ascii="Palatino Linotype" w:hAnsi="Palatino Linotype"/>
          <w:i/>
        </w:rPr>
      </w:pPr>
      <w:r w:rsidRPr="003A7CB7">
        <w:rPr>
          <w:rFonts w:ascii="Palatino Linotype" w:hAnsi="Palatino Linotype"/>
          <w:i/>
        </w:rPr>
        <w:t>(…)</w:t>
      </w:r>
    </w:p>
    <w:p w:rsidR="003A7CB7" w:rsidRDefault="003A7CB7" w:rsidP="00E50BBA">
      <w:pPr>
        <w:pStyle w:val="Sinespaciado"/>
        <w:spacing w:line="360" w:lineRule="auto"/>
        <w:jc w:val="both"/>
        <w:rPr>
          <w:rFonts w:ascii="Palatino Linotype" w:hAnsi="Palatino Linotype"/>
          <w:sz w:val="24"/>
          <w:szCs w:val="24"/>
        </w:rPr>
      </w:pPr>
    </w:p>
    <w:p w:rsidR="003A7CB7" w:rsidRDefault="003758C4" w:rsidP="00E50BBA">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En consecuencia, resulta evidente que el Sujeto Obligado cuenta con la unidad administrativa con las atribuciones y facultades idóneas para generar, poseer o administrar la información solicitada por el particular</w:t>
      </w:r>
      <w:r w:rsidR="00CD1DF0">
        <w:rPr>
          <w:rFonts w:ascii="Palatino Linotype" w:hAnsi="Palatino Linotype"/>
          <w:sz w:val="24"/>
          <w:szCs w:val="24"/>
        </w:rPr>
        <w:t>,</w:t>
      </w:r>
      <w:r>
        <w:rPr>
          <w:rFonts w:ascii="Palatino Linotype" w:hAnsi="Palatino Linotype"/>
          <w:sz w:val="24"/>
          <w:szCs w:val="24"/>
        </w:rPr>
        <w:t xml:space="preserve"> </w:t>
      </w:r>
      <w:r w:rsidR="00A96BC2">
        <w:rPr>
          <w:rFonts w:ascii="Palatino Linotype" w:hAnsi="Palatino Linotype"/>
          <w:sz w:val="24"/>
          <w:szCs w:val="24"/>
        </w:rPr>
        <w:t>consistentes en las Gacetas Municipales</w:t>
      </w:r>
      <w:r w:rsidR="00CD1DF0">
        <w:rPr>
          <w:rFonts w:ascii="Palatino Linotype" w:hAnsi="Palatino Linotype"/>
          <w:sz w:val="24"/>
          <w:szCs w:val="24"/>
        </w:rPr>
        <w:t xml:space="preserve"> generadas en los años 2016, 2017 y 2018, además de que </w:t>
      </w:r>
      <w:r w:rsidR="00DB03E7">
        <w:rPr>
          <w:rFonts w:ascii="Palatino Linotype" w:hAnsi="Palatino Linotype"/>
          <w:sz w:val="24"/>
          <w:szCs w:val="24"/>
        </w:rPr>
        <w:t xml:space="preserve">es una obligación específica el publicarlas en el portal de Información Pública de Oficio Mexiquense (IPOMEX), por tanto, resultan parcialmente fundados </w:t>
      </w:r>
      <w:r w:rsidR="002E3F5B">
        <w:rPr>
          <w:rFonts w:ascii="Palatino Linotype" w:hAnsi="Palatino Linotype"/>
          <w:sz w:val="24"/>
          <w:szCs w:val="24"/>
        </w:rPr>
        <w:t>los motivos de inconformidad señalados por el Recurrente.</w:t>
      </w:r>
    </w:p>
    <w:p w:rsidR="002E3F5B" w:rsidRDefault="002E3F5B" w:rsidP="00E50BBA">
      <w:pPr>
        <w:pStyle w:val="Sinespaciado"/>
        <w:spacing w:line="360" w:lineRule="auto"/>
        <w:jc w:val="both"/>
        <w:rPr>
          <w:rFonts w:ascii="Palatino Linotype" w:hAnsi="Palatino Linotype"/>
          <w:sz w:val="24"/>
          <w:szCs w:val="24"/>
        </w:rPr>
      </w:pPr>
    </w:p>
    <w:p w:rsidR="002E3F5B" w:rsidRDefault="002E3F5B" w:rsidP="00E50BBA">
      <w:pPr>
        <w:pStyle w:val="Sinespaciado"/>
        <w:spacing w:line="360" w:lineRule="auto"/>
        <w:jc w:val="both"/>
        <w:rPr>
          <w:rFonts w:ascii="Palatino Linotype" w:hAnsi="Palatino Linotype"/>
          <w:sz w:val="24"/>
          <w:szCs w:val="24"/>
        </w:rPr>
      </w:pPr>
      <w:r>
        <w:rPr>
          <w:rFonts w:ascii="Palatino Linotype" w:hAnsi="Palatino Linotype"/>
          <w:sz w:val="24"/>
          <w:szCs w:val="24"/>
        </w:rPr>
        <w:t>Por último, respecto a lo manifestado por el particular en el sentido de someter al Sujeto Obligado a un procedimiento sancionador por la presu</w:t>
      </w:r>
      <w:r w:rsidR="00C14C00">
        <w:rPr>
          <w:rFonts w:ascii="Palatino Linotype" w:hAnsi="Palatino Linotype"/>
          <w:sz w:val="24"/>
          <w:szCs w:val="24"/>
        </w:rPr>
        <w:t>nta violación del derecho de acceso a la información pública</w:t>
      </w:r>
      <w:r>
        <w:rPr>
          <w:rFonts w:ascii="Palatino Linotype" w:hAnsi="Palatino Linotype"/>
          <w:sz w:val="24"/>
          <w:szCs w:val="24"/>
        </w:rPr>
        <w:t xml:space="preserve"> del perpetrante, este Órgano Garante no advierte que exista conducta alguna por parte del Sujeto Obligado para ser sancionado, toda vez que, si bien </w:t>
      </w:r>
      <w:r w:rsidR="00C14C00">
        <w:rPr>
          <w:rFonts w:ascii="Palatino Linotype" w:hAnsi="Palatino Linotype"/>
          <w:sz w:val="24"/>
          <w:szCs w:val="24"/>
        </w:rPr>
        <w:t xml:space="preserve">es cierto que </w:t>
      </w:r>
      <w:r>
        <w:rPr>
          <w:rFonts w:ascii="Palatino Linotype" w:hAnsi="Palatino Linotype"/>
          <w:sz w:val="24"/>
          <w:szCs w:val="24"/>
        </w:rPr>
        <w:t xml:space="preserve">entregó incompleta la información, </w:t>
      </w:r>
      <w:r w:rsidR="00C14C00">
        <w:rPr>
          <w:rFonts w:ascii="Palatino Linotype" w:hAnsi="Palatino Linotype"/>
          <w:sz w:val="24"/>
          <w:szCs w:val="24"/>
        </w:rPr>
        <w:t xml:space="preserve">también lo es que hizo entrega parcial de la información solicitada, por tanto, </w:t>
      </w:r>
      <w:r>
        <w:rPr>
          <w:rFonts w:ascii="Palatino Linotype" w:hAnsi="Palatino Linotype"/>
          <w:sz w:val="24"/>
          <w:szCs w:val="24"/>
        </w:rPr>
        <w:t>no se observa ninguna circunstancia que amerite sancionar la actuación de dicho Sujeto Obligado, por l</w:t>
      </w:r>
      <w:r w:rsidR="00C14C00">
        <w:rPr>
          <w:rFonts w:ascii="Palatino Linotype" w:hAnsi="Palatino Linotype"/>
          <w:sz w:val="24"/>
          <w:szCs w:val="24"/>
        </w:rPr>
        <w:t>o que la exigencia de la aplicación de sanciones planteada por el hoy Recurrente al momento de expresar sus motivos de inconformidad es inatendible e inoperante.</w:t>
      </w:r>
    </w:p>
    <w:p w:rsidR="00C14C00" w:rsidRDefault="00C14C00" w:rsidP="00E50BBA">
      <w:pPr>
        <w:pStyle w:val="Sinespaciado"/>
        <w:spacing w:line="360" w:lineRule="auto"/>
        <w:jc w:val="both"/>
        <w:rPr>
          <w:rFonts w:ascii="Palatino Linotype" w:hAnsi="Palatino Linotype"/>
          <w:sz w:val="24"/>
          <w:szCs w:val="24"/>
        </w:rPr>
      </w:pPr>
    </w:p>
    <w:p w:rsidR="002E4709" w:rsidRDefault="00C14C00" w:rsidP="00E50BBA">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los argumentos vertidos anteriormente, este Instituto considera que las razones o motivos de inconformidad del Recurrente son parcialmente fundados; en consecuencia, es conducente modificar la respuesta del Sujeto Obligado y ordenar la entrega </w:t>
      </w:r>
      <w:r w:rsidR="0057238B">
        <w:rPr>
          <w:rFonts w:ascii="Palatino Linotype" w:hAnsi="Palatino Linotype"/>
          <w:sz w:val="24"/>
          <w:szCs w:val="24"/>
        </w:rPr>
        <w:t xml:space="preserve">de las Gacetas Municipales generadas en el periodo comprendido desde el primero de enero de dos mil dieciséis hasta el treinta y uno de diciembre de dos mil dieciocho. </w:t>
      </w:r>
    </w:p>
    <w:p w:rsidR="002E4709" w:rsidRDefault="002E4709" w:rsidP="00E50BBA">
      <w:pPr>
        <w:pStyle w:val="Sinespaciado"/>
        <w:spacing w:line="360" w:lineRule="auto"/>
        <w:jc w:val="both"/>
        <w:rPr>
          <w:rFonts w:ascii="Palatino Linotype" w:hAnsi="Palatino Linotype"/>
          <w:sz w:val="24"/>
          <w:szCs w:val="24"/>
        </w:rPr>
      </w:pPr>
    </w:p>
    <w:p w:rsidR="0057238B" w:rsidRDefault="0057238B" w:rsidP="00E50BBA">
      <w:pPr>
        <w:pStyle w:val="Sinespaciado"/>
        <w:spacing w:line="360" w:lineRule="auto"/>
        <w:jc w:val="both"/>
        <w:rPr>
          <w:rFonts w:ascii="Palatino Linotype" w:hAnsi="Palatino Linotype"/>
          <w:sz w:val="24"/>
          <w:szCs w:val="24"/>
        </w:rPr>
      </w:pPr>
      <w:r>
        <w:rPr>
          <w:rFonts w:ascii="Palatino Linotype" w:hAnsi="Palatino Linotype"/>
          <w:sz w:val="24"/>
          <w:szCs w:val="24"/>
        </w:rPr>
        <w:t>No se omite señalar que el artículo 31 de la Ley Orgánica Municipal del Estado de México establece que en el contenido de las Gacetas Municipales se conforma de los acuerdos de Cabildo de las sesiones que no contengan información clasificada, los acuerdos de carácter general tomados por el ayuntamiento y otros asuntos de interés público; por tanto, la información deberá entregarse en su versión íntegra, al constatarse que en ella no se encuentran datos susceptibles de ser clasificados con carácter de confidenciales o reservados.</w:t>
      </w:r>
    </w:p>
    <w:p w:rsidR="003A7CB7" w:rsidRDefault="003A7CB7" w:rsidP="00E50BBA">
      <w:pPr>
        <w:pStyle w:val="Sinespaciado"/>
        <w:spacing w:line="360" w:lineRule="auto"/>
        <w:jc w:val="both"/>
        <w:rPr>
          <w:rFonts w:ascii="Palatino Linotype" w:hAnsi="Palatino Linotype"/>
          <w:sz w:val="24"/>
          <w:szCs w:val="24"/>
        </w:rPr>
      </w:pPr>
    </w:p>
    <w:p w:rsidR="00BF6904" w:rsidRPr="00B81C51" w:rsidRDefault="00BF6904" w:rsidP="00BF6904">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 xml:space="preserve">En mérito de lo expuesto en líneas anteriores, resultan </w:t>
      </w:r>
      <w:r w:rsidR="00B81C51">
        <w:rPr>
          <w:rFonts w:ascii="Palatino Linotype" w:hAnsi="Palatino Linotype"/>
          <w:sz w:val="24"/>
          <w:szCs w:val="24"/>
        </w:rPr>
        <w:t xml:space="preserve">parcialmente </w:t>
      </w:r>
      <w:r w:rsidRPr="00B81C51">
        <w:rPr>
          <w:rFonts w:ascii="Palatino Linotype" w:hAnsi="Palatino Linotype"/>
          <w:sz w:val="24"/>
          <w:szCs w:val="24"/>
        </w:rPr>
        <w:t xml:space="preserve">fundados los motivos de inconformidad que arguye el Recurrente en su medio de impugnación que fue materia de estudio, por ello </w:t>
      </w:r>
      <w:r w:rsidR="00B81C51">
        <w:rPr>
          <w:rFonts w:ascii="Palatino Linotype" w:hAnsi="Palatino Linotype" w:cs="Arial"/>
          <w:b/>
          <w:sz w:val="24"/>
          <w:szCs w:val="24"/>
        </w:rPr>
        <w:t>con fundamento en la segunda</w:t>
      </w:r>
      <w:r w:rsidRPr="00B81C51">
        <w:rPr>
          <w:rFonts w:ascii="Palatino Linotype" w:hAnsi="Palatino Linotype" w:cs="Arial"/>
          <w:b/>
          <w:sz w:val="24"/>
          <w:szCs w:val="24"/>
        </w:rPr>
        <w:t xml:space="preserve"> hipótesis de la fracción III del artículo 186, </w:t>
      </w:r>
      <w:r w:rsidRPr="00B81C51">
        <w:rPr>
          <w:rFonts w:ascii="Palatino Linotype" w:hAnsi="Palatino Linotype" w:cs="Arial"/>
          <w:sz w:val="24"/>
          <w:szCs w:val="24"/>
        </w:rPr>
        <w:t xml:space="preserve">de la Ley de Transparencia y Acceso a la Información Pública del Estado de México y Municipios, se </w:t>
      </w:r>
      <w:r w:rsidR="00B81C51">
        <w:rPr>
          <w:rFonts w:ascii="Palatino Linotype" w:hAnsi="Palatino Linotype" w:cs="Arial"/>
          <w:b/>
          <w:sz w:val="24"/>
          <w:szCs w:val="24"/>
        </w:rPr>
        <w:t>MODIFI</w:t>
      </w:r>
      <w:r w:rsidRPr="00B81C51">
        <w:rPr>
          <w:rFonts w:ascii="Palatino Linotype" w:hAnsi="Palatino Linotype" w:cs="Arial"/>
          <w:b/>
          <w:sz w:val="24"/>
          <w:szCs w:val="24"/>
        </w:rPr>
        <w:t xml:space="preserve">CA </w:t>
      </w:r>
      <w:r w:rsidRPr="00B81C51">
        <w:rPr>
          <w:rFonts w:ascii="Palatino Linotype" w:hAnsi="Palatino Linotype" w:cs="Arial"/>
          <w:sz w:val="24"/>
          <w:szCs w:val="24"/>
        </w:rPr>
        <w:t>la respuesta a la solicitud de información número</w:t>
      </w:r>
      <w:r w:rsidRPr="00B81C51">
        <w:rPr>
          <w:rFonts w:ascii="Palatino Linotype" w:hAnsi="Palatino Linotype"/>
          <w:b/>
          <w:sz w:val="24"/>
          <w:szCs w:val="24"/>
        </w:rPr>
        <w:t xml:space="preserve"> </w:t>
      </w:r>
      <w:r w:rsidR="002E4709">
        <w:rPr>
          <w:rFonts w:ascii="Palatino Linotype" w:hAnsi="Palatino Linotype"/>
          <w:b/>
          <w:sz w:val="24"/>
          <w:szCs w:val="24"/>
        </w:rPr>
        <w:t>00215/TEZOYUCA</w:t>
      </w:r>
      <w:r w:rsidRPr="00B81C51">
        <w:rPr>
          <w:rFonts w:ascii="Palatino Linotype" w:hAnsi="Palatino Linotype"/>
          <w:b/>
          <w:sz w:val="24"/>
          <w:szCs w:val="24"/>
        </w:rPr>
        <w:t>/IP/2019</w:t>
      </w:r>
      <w:r w:rsidR="00D073E4">
        <w:rPr>
          <w:rFonts w:ascii="Palatino Linotype" w:hAnsi="Palatino Linotype"/>
          <w:b/>
          <w:sz w:val="24"/>
          <w:szCs w:val="24"/>
        </w:rPr>
        <w:t xml:space="preserve"> </w:t>
      </w:r>
      <w:r w:rsidRPr="00B81C51">
        <w:rPr>
          <w:rFonts w:ascii="Palatino Linotype" w:hAnsi="Palatino Linotype"/>
          <w:sz w:val="24"/>
          <w:szCs w:val="24"/>
        </w:rPr>
        <w:t>que ha sido materia del presente fallo.</w:t>
      </w:r>
    </w:p>
    <w:p w:rsidR="00BF6904" w:rsidRPr="00B81C51" w:rsidRDefault="00BF6904" w:rsidP="00BF6904">
      <w:pPr>
        <w:pStyle w:val="Sinespaciado"/>
        <w:spacing w:line="360" w:lineRule="auto"/>
        <w:jc w:val="both"/>
        <w:rPr>
          <w:rFonts w:ascii="Palatino Linotype" w:hAnsi="Palatino Linotype"/>
          <w:sz w:val="24"/>
          <w:szCs w:val="24"/>
        </w:rPr>
      </w:pPr>
    </w:p>
    <w:p w:rsidR="00BF6904" w:rsidRPr="00B81C51" w:rsidRDefault="00BF6904" w:rsidP="00BF6904">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Por lo antes expuesto y fundado es de resolverse y,</w:t>
      </w:r>
    </w:p>
    <w:p w:rsidR="00BF6904" w:rsidRPr="00B81C51" w:rsidRDefault="00BF6904" w:rsidP="00BF6904">
      <w:pPr>
        <w:pStyle w:val="Sinespaciado"/>
        <w:spacing w:line="360" w:lineRule="auto"/>
        <w:jc w:val="center"/>
        <w:rPr>
          <w:rFonts w:ascii="Palatino Linotype" w:hAnsi="Palatino Linotype"/>
          <w:b/>
          <w:sz w:val="24"/>
          <w:szCs w:val="24"/>
        </w:rPr>
      </w:pPr>
    </w:p>
    <w:p w:rsidR="00BF6904" w:rsidRPr="0014447C" w:rsidRDefault="00BF6904" w:rsidP="00BF6904">
      <w:pPr>
        <w:pStyle w:val="Sinespaciado"/>
        <w:spacing w:line="276" w:lineRule="auto"/>
        <w:jc w:val="center"/>
        <w:rPr>
          <w:rFonts w:ascii="Palatino Linotype" w:hAnsi="Palatino Linotype"/>
          <w:b/>
          <w:sz w:val="28"/>
          <w:szCs w:val="28"/>
        </w:rPr>
      </w:pPr>
      <w:r w:rsidRPr="0014447C">
        <w:rPr>
          <w:rFonts w:ascii="Palatino Linotype" w:hAnsi="Palatino Linotype"/>
          <w:b/>
          <w:sz w:val="28"/>
          <w:szCs w:val="28"/>
        </w:rPr>
        <w:t>R E S U E L V E</w:t>
      </w:r>
    </w:p>
    <w:p w:rsidR="00BF6904" w:rsidRDefault="00BF6904" w:rsidP="00BF6904">
      <w:pPr>
        <w:pStyle w:val="Sinespaciado"/>
        <w:spacing w:line="360" w:lineRule="auto"/>
        <w:jc w:val="both"/>
        <w:rPr>
          <w:rFonts w:ascii="Palatino Linotype" w:hAnsi="Palatino Linotype"/>
          <w:b/>
          <w:bCs/>
          <w:spacing w:val="60"/>
          <w:lang w:val="es-ES_tradnl"/>
        </w:rPr>
      </w:pPr>
    </w:p>
    <w:p w:rsidR="00BF6904" w:rsidRPr="00B81C51" w:rsidRDefault="00BF6904" w:rsidP="00BF6904">
      <w:pPr>
        <w:pStyle w:val="Sinespaciado"/>
        <w:spacing w:line="360" w:lineRule="auto"/>
        <w:jc w:val="both"/>
        <w:rPr>
          <w:rFonts w:ascii="Palatino Linotype" w:hAnsi="Palatino Linotype" w:cs="Arial"/>
          <w:sz w:val="24"/>
          <w:szCs w:val="24"/>
        </w:rPr>
      </w:pPr>
      <w:r w:rsidRPr="00B81C51">
        <w:rPr>
          <w:rFonts w:ascii="Palatino Linotype" w:hAnsi="Palatino Linotype" w:cs="Arial"/>
          <w:b/>
          <w:sz w:val="24"/>
          <w:szCs w:val="24"/>
          <w:lang w:val="es-ES_tradnl"/>
        </w:rPr>
        <w:t>PRIMERO.</w:t>
      </w:r>
      <w:r w:rsidRPr="00B81C51">
        <w:rPr>
          <w:rFonts w:ascii="Palatino Linotype" w:hAnsi="Palatino Linotype" w:cs="Arial"/>
          <w:sz w:val="24"/>
          <w:szCs w:val="24"/>
          <w:lang w:val="es-ES_tradnl"/>
        </w:rPr>
        <w:t xml:space="preserve"> Se </w:t>
      </w:r>
      <w:r w:rsidR="00B81C51" w:rsidRPr="00B81C51">
        <w:rPr>
          <w:rFonts w:ascii="Palatino Linotype" w:hAnsi="Palatino Linotype" w:cs="Arial"/>
          <w:b/>
          <w:sz w:val="24"/>
          <w:szCs w:val="24"/>
          <w:lang w:val="es-ES_tradnl"/>
        </w:rPr>
        <w:t>MODIFI</w:t>
      </w:r>
      <w:r w:rsidRPr="00B81C51">
        <w:rPr>
          <w:rFonts w:ascii="Palatino Linotype" w:hAnsi="Palatino Linotype" w:cs="Arial"/>
          <w:b/>
          <w:sz w:val="24"/>
          <w:szCs w:val="24"/>
          <w:lang w:val="es-ES_tradnl"/>
        </w:rPr>
        <w:t>CA</w:t>
      </w:r>
      <w:r w:rsidRPr="00B81C51">
        <w:rPr>
          <w:rFonts w:ascii="Palatino Linotype" w:hAnsi="Palatino Linotype" w:cs="Arial"/>
          <w:sz w:val="24"/>
          <w:szCs w:val="24"/>
          <w:lang w:val="es-ES_tradnl"/>
        </w:rPr>
        <w:t xml:space="preserve"> </w:t>
      </w:r>
      <w:r w:rsidRPr="00B81C51">
        <w:rPr>
          <w:rFonts w:ascii="Palatino Linotype" w:eastAsia="Arial Unicode MS" w:hAnsi="Palatino Linotype" w:cs="Arial"/>
          <w:sz w:val="24"/>
          <w:szCs w:val="24"/>
        </w:rPr>
        <w:t>la respuesta entregada por el Sujeto Obligado</w:t>
      </w:r>
      <w:r w:rsidRPr="00B81C51">
        <w:rPr>
          <w:rFonts w:ascii="Palatino Linotype" w:eastAsia="Arial Unicode MS" w:hAnsi="Palatino Linotype" w:cs="Arial"/>
          <w:b/>
          <w:sz w:val="24"/>
          <w:szCs w:val="24"/>
        </w:rPr>
        <w:t xml:space="preserve"> </w:t>
      </w:r>
      <w:r w:rsidRPr="00B81C51">
        <w:rPr>
          <w:rFonts w:ascii="Palatino Linotype" w:eastAsia="Arial Unicode MS" w:hAnsi="Palatino Linotype" w:cs="Arial"/>
          <w:sz w:val="24"/>
          <w:szCs w:val="24"/>
        </w:rPr>
        <w:t xml:space="preserve">a la solicitud de información número </w:t>
      </w:r>
      <w:r w:rsidR="00D073E4">
        <w:rPr>
          <w:rFonts w:ascii="Palatino Linotype" w:hAnsi="Palatino Linotype"/>
          <w:b/>
          <w:sz w:val="24"/>
          <w:szCs w:val="24"/>
        </w:rPr>
        <w:t>00215/TEZOYUCA</w:t>
      </w:r>
      <w:r w:rsidR="00D073E4" w:rsidRPr="00B81C51">
        <w:rPr>
          <w:rFonts w:ascii="Palatino Linotype" w:hAnsi="Palatino Linotype"/>
          <w:b/>
          <w:sz w:val="24"/>
          <w:szCs w:val="24"/>
        </w:rPr>
        <w:t>/IP/2019</w:t>
      </w:r>
      <w:r w:rsidRPr="00B81C51">
        <w:rPr>
          <w:rFonts w:ascii="Palatino Linotype" w:eastAsia="Arial Unicode MS" w:hAnsi="Palatino Linotype" w:cs="Arial"/>
          <w:sz w:val="24"/>
          <w:szCs w:val="24"/>
        </w:rPr>
        <w:t xml:space="preserve">, por resultar </w:t>
      </w:r>
      <w:r w:rsidR="00A32F36">
        <w:rPr>
          <w:rFonts w:ascii="Palatino Linotype" w:eastAsia="Arial Unicode MS" w:hAnsi="Palatino Linotype" w:cs="Arial"/>
          <w:sz w:val="24"/>
          <w:szCs w:val="24"/>
        </w:rPr>
        <w:t xml:space="preserve">parcialmente </w:t>
      </w:r>
      <w:r w:rsidRPr="00B81C51">
        <w:rPr>
          <w:rFonts w:ascii="Palatino Linotype" w:eastAsia="Arial Unicode MS" w:hAnsi="Palatino Linotype" w:cs="Arial"/>
          <w:sz w:val="24"/>
          <w:szCs w:val="24"/>
        </w:rPr>
        <w:lastRenderedPageBreak/>
        <w:t xml:space="preserve">fundados los motivos de </w:t>
      </w:r>
      <w:r w:rsidR="00B81C51">
        <w:rPr>
          <w:rFonts w:ascii="Palatino Linotype" w:eastAsia="Arial Unicode MS" w:hAnsi="Palatino Linotype" w:cs="Arial"/>
          <w:sz w:val="24"/>
          <w:szCs w:val="24"/>
        </w:rPr>
        <w:t>inconformidad que arguye el</w:t>
      </w:r>
      <w:r w:rsidRPr="00B81C51">
        <w:rPr>
          <w:rFonts w:ascii="Palatino Linotype" w:eastAsia="Arial Unicode MS" w:hAnsi="Palatino Linotype" w:cs="Arial"/>
          <w:sz w:val="24"/>
          <w:szCs w:val="24"/>
        </w:rPr>
        <w:t xml:space="preserve"> Recurrente, en términos del</w:t>
      </w:r>
      <w:r w:rsidRPr="00B81C51">
        <w:rPr>
          <w:rFonts w:ascii="Palatino Linotype" w:eastAsia="Arial Unicode MS" w:hAnsi="Palatino Linotype" w:cs="Arial"/>
          <w:b/>
          <w:sz w:val="24"/>
          <w:szCs w:val="24"/>
        </w:rPr>
        <w:t xml:space="preserve"> </w:t>
      </w:r>
      <w:r w:rsidRPr="00B81C51">
        <w:rPr>
          <w:rFonts w:ascii="Palatino Linotype" w:hAnsi="Palatino Linotype" w:cs="Arial"/>
          <w:b/>
          <w:sz w:val="24"/>
          <w:szCs w:val="24"/>
        </w:rPr>
        <w:t xml:space="preserve">Considerando CUARTO </w:t>
      </w:r>
      <w:r w:rsidRPr="00B81C51">
        <w:rPr>
          <w:rFonts w:ascii="Palatino Linotype" w:hAnsi="Palatino Linotype" w:cs="Arial"/>
          <w:sz w:val="24"/>
          <w:szCs w:val="24"/>
        </w:rPr>
        <w:t>de la presente resolución.</w:t>
      </w:r>
    </w:p>
    <w:p w:rsidR="00BF6904" w:rsidRPr="00B81C51" w:rsidRDefault="00BF6904" w:rsidP="00BF6904">
      <w:pPr>
        <w:pStyle w:val="Sinespaciado"/>
        <w:spacing w:line="360" w:lineRule="auto"/>
        <w:jc w:val="both"/>
        <w:rPr>
          <w:rFonts w:ascii="Palatino Linotype" w:hAnsi="Palatino Linotype" w:cs="Arial"/>
          <w:sz w:val="24"/>
          <w:szCs w:val="24"/>
        </w:rPr>
      </w:pPr>
    </w:p>
    <w:p w:rsidR="00BF6904" w:rsidRPr="00B81C51" w:rsidRDefault="00BF6904" w:rsidP="00BF6904">
      <w:pPr>
        <w:pStyle w:val="Sinespaciado"/>
        <w:spacing w:line="360" w:lineRule="auto"/>
        <w:jc w:val="both"/>
        <w:rPr>
          <w:rFonts w:ascii="Palatino Linotype" w:hAnsi="Palatino Linotype" w:cs="Arial"/>
          <w:sz w:val="24"/>
          <w:szCs w:val="24"/>
        </w:rPr>
      </w:pPr>
      <w:r w:rsidRPr="00B81C51">
        <w:rPr>
          <w:rFonts w:ascii="Palatino Linotype" w:hAnsi="Palatino Linotype" w:cs="Arial"/>
          <w:b/>
          <w:sz w:val="24"/>
          <w:szCs w:val="24"/>
          <w:lang w:val="es-ES_tradnl"/>
        </w:rPr>
        <w:t>SEGUNDO.</w:t>
      </w:r>
      <w:r w:rsidRPr="00B81C51">
        <w:rPr>
          <w:rFonts w:ascii="Palatino Linotype" w:hAnsi="Palatino Linotype" w:cs="Arial"/>
          <w:sz w:val="24"/>
          <w:szCs w:val="24"/>
        </w:rPr>
        <w:t xml:space="preserve"> Se </w:t>
      </w:r>
      <w:r w:rsidRPr="00B81C51">
        <w:rPr>
          <w:rFonts w:ascii="Palatino Linotype" w:hAnsi="Palatino Linotype" w:cs="Arial"/>
          <w:b/>
          <w:sz w:val="24"/>
          <w:szCs w:val="24"/>
        </w:rPr>
        <w:t>ORDENA</w:t>
      </w:r>
      <w:r w:rsidRPr="00B81C51">
        <w:rPr>
          <w:rFonts w:ascii="Palatino Linotype" w:hAnsi="Palatino Linotype" w:cs="Arial"/>
          <w:sz w:val="24"/>
          <w:szCs w:val="24"/>
        </w:rPr>
        <w:t xml:space="preserve"> al Sujeto Obligado que haga entrega a</w:t>
      </w:r>
      <w:r w:rsidR="00A32F36">
        <w:rPr>
          <w:rFonts w:ascii="Palatino Linotype" w:hAnsi="Palatino Linotype" w:cs="Arial"/>
          <w:sz w:val="24"/>
          <w:szCs w:val="24"/>
        </w:rPr>
        <w:t>l</w:t>
      </w:r>
      <w:r w:rsidRPr="00B81C51">
        <w:rPr>
          <w:rFonts w:ascii="Palatino Linotype" w:hAnsi="Palatino Linotype" w:cs="Arial"/>
          <w:sz w:val="24"/>
          <w:szCs w:val="24"/>
        </w:rPr>
        <w:t xml:space="preserve"> Recurr</w:t>
      </w:r>
      <w:r w:rsidR="008A34F5">
        <w:rPr>
          <w:rFonts w:ascii="Palatino Linotype" w:hAnsi="Palatino Linotype" w:cs="Arial"/>
          <w:sz w:val="24"/>
          <w:szCs w:val="24"/>
        </w:rPr>
        <w:t xml:space="preserve">ente a través del SAIMEX </w:t>
      </w:r>
      <w:r w:rsidRPr="00B81C51">
        <w:rPr>
          <w:rFonts w:ascii="Palatino Linotype" w:hAnsi="Palatino Linotype" w:cs="Arial"/>
          <w:sz w:val="24"/>
          <w:szCs w:val="24"/>
        </w:rPr>
        <w:t>lo siguiente:</w:t>
      </w:r>
    </w:p>
    <w:p w:rsidR="00BF6904" w:rsidRPr="00B81C51" w:rsidRDefault="00BF6904" w:rsidP="00BF6904">
      <w:pPr>
        <w:pStyle w:val="Sinespaciado"/>
        <w:spacing w:line="360" w:lineRule="auto"/>
        <w:jc w:val="both"/>
        <w:rPr>
          <w:rFonts w:ascii="Palatino Linotype" w:hAnsi="Palatino Linotype" w:cs="Arial"/>
          <w:sz w:val="24"/>
          <w:szCs w:val="24"/>
        </w:rPr>
      </w:pPr>
    </w:p>
    <w:p w:rsidR="00BF6904" w:rsidRPr="00B81C51" w:rsidRDefault="008A34F5" w:rsidP="00BF6904">
      <w:pPr>
        <w:pStyle w:val="Sinespaciado"/>
        <w:numPr>
          <w:ilvl w:val="0"/>
          <w:numId w:val="19"/>
        </w:numPr>
        <w:spacing w:line="360" w:lineRule="auto"/>
        <w:jc w:val="both"/>
        <w:rPr>
          <w:rFonts w:ascii="Palatino Linotype" w:hAnsi="Palatino Linotype"/>
          <w:i/>
          <w:sz w:val="24"/>
          <w:szCs w:val="24"/>
        </w:rPr>
      </w:pPr>
      <w:r>
        <w:rPr>
          <w:rFonts w:ascii="Palatino Linotype" w:hAnsi="Palatino Linotype" w:cs="Arial"/>
          <w:i/>
          <w:sz w:val="24"/>
          <w:szCs w:val="24"/>
        </w:rPr>
        <w:t xml:space="preserve">Las Gacetas Municipales publicadas durante el periodo comprendido desde el primero de enero de dos mil dieciséis al treinta y uno de </w:t>
      </w:r>
      <w:r w:rsidR="00300AAF">
        <w:rPr>
          <w:rFonts w:ascii="Palatino Linotype" w:hAnsi="Palatino Linotype" w:cs="Arial"/>
          <w:i/>
          <w:sz w:val="24"/>
          <w:szCs w:val="24"/>
        </w:rPr>
        <w:t>diciembre de dos mil dieciocho</w:t>
      </w:r>
      <w:r w:rsidR="00347674">
        <w:rPr>
          <w:rFonts w:ascii="Palatino Linotype" w:hAnsi="Palatino Linotype" w:cs="Arial"/>
          <w:i/>
          <w:sz w:val="24"/>
          <w:szCs w:val="24"/>
        </w:rPr>
        <w:t>.</w:t>
      </w:r>
    </w:p>
    <w:p w:rsidR="00BF6904" w:rsidRDefault="00BF6904" w:rsidP="00BF6904">
      <w:pPr>
        <w:spacing w:after="0" w:line="360" w:lineRule="auto"/>
        <w:jc w:val="both"/>
        <w:rPr>
          <w:rFonts w:ascii="Palatino Linotype" w:hAnsi="Palatino Linotype"/>
          <w:sz w:val="24"/>
          <w:szCs w:val="24"/>
        </w:rPr>
      </w:pPr>
    </w:p>
    <w:p w:rsidR="00BF6904" w:rsidRPr="00B81C51" w:rsidRDefault="00BF6904" w:rsidP="00BF6904">
      <w:pPr>
        <w:pStyle w:val="Sinespaciado"/>
        <w:spacing w:line="360" w:lineRule="auto"/>
        <w:jc w:val="both"/>
        <w:rPr>
          <w:rFonts w:ascii="Palatino Linotype" w:hAnsi="Palatino Linotype" w:cs="Arial"/>
          <w:sz w:val="24"/>
          <w:szCs w:val="24"/>
        </w:rPr>
      </w:pPr>
      <w:r w:rsidRPr="00B81C51">
        <w:rPr>
          <w:rFonts w:ascii="Palatino Linotype" w:hAnsi="Palatino Linotype" w:cs="Arial"/>
          <w:b/>
          <w:sz w:val="24"/>
          <w:szCs w:val="24"/>
        </w:rPr>
        <w:t>TERCERO. Notifíquese</w:t>
      </w:r>
      <w:r w:rsidRPr="00B81C51">
        <w:rPr>
          <w:rFonts w:ascii="Palatino Linotype" w:hAnsi="Palatino Linotype" w:cs="Arial"/>
          <w:b/>
          <w:i/>
          <w:sz w:val="24"/>
          <w:szCs w:val="24"/>
        </w:rPr>
        <w:t xml:space="preserve"> </w:t>
      </w:r>
      <w:r w:rsidRPr="00B81C51">
        <w:rPr>
          <w:rFonts w:ascii="Palatino Linotype" w:hAnsi="Palatino Linotype" w:cs="Arial"/>
          <w:sz w:val="24"/>
          <w:szCs w:val="24"/>
        </w:rPr>
        <w:t>al Titular de la Unidad de Transparencia del</w:t>
      </w:r>
      <w:r w:rsidRPr="00B81C51">
        <w:rPr>
          <w:rFonts w:ascii="Palatino Linotype" w:hAnsi="Palatino Linotype" w:cs="Arial"/>
          <w:b/>
          <w:sz w:val="24"/>
          <w:szCs w:val="24"/>
        </w:rPr>
        <w:t xml:space="preserve"> </w:t>
      </w:r>
      <w:r w:rsidRPr="00B81C51">
        <w:rPr>
          <w:rFonts w:ascii="Palatino Linotype"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F6904" w:rsidRPr="00B81C51" w:rsidRDefault="00BF6904" w:rsidP="00BF6904">
      <w:pPr>
        <w:pStyle w:val="Sinespaciado"/>
        <w:spacing w:line="360" w:lineRule="auto"/>
        <w:jc w:val="both"/>
        <w:rPr>
          <w:rFonts w:ascii="Palatino Linotype" w:hAnsi="Palatino Linotype" w:cs="Arial"/>
          <w:sz w:val="24"/>
          <w:szCs w:val="24"/>
        </w:rPr>
      </w:pPr>
    </w:p>
    <w:p w:rsidR="00BF6904" w:rsidRPr="00B81C51" w:rsidRDefault="00BF6904" w:rsidP="00BF6904">
      <w:pPr>
        <w:pStyle w:val="Sinespaciado"/>
        <w:spacing w:line="360" w:lineRule="auto"/>
        <w:jc w:val="both"/>
        <w:rPr>
          <w:rFonts w:ascii="Palatino Linotype" w:hAnsi="Palatino Linotype"/>
          <w:color w:val="222222"/>
          <w:sz w:val="24"/>
          <w:szCs w:val="24"/>
          <w:shd w:val="clear" w:color="auto" w:fill="FFFFFF"/>
        </w:rPr>
      </w:pPr>
      <w:r w:rsidRPr="00B81C51">
        <w:rPr>
          <w:rFonts w:ascii="Palatino Linotype" w:hAnsi="Palatino Linotype" w:cs="Arial"/>
          <w:b/>
          <w:sz w:val="24"/>
          <w:szCs w:val="24"/>
        </w:rPr>
        <w:t xml:space="preserve">CUARTO. Notifíquese </w:t>
      </w:r>
      <w:r w:rsidRPr="00B81C51">
        <w:rPr>
          <w:rFonts w:ascii="Palatino Linotype" w:hAnsi="Palatino Linotype" w:cs="Arial"/>
          <w:sz w:val="24"/>
          <w:szCs w:val="24"/>
        </w:rPr>
        <w:t xml:space="preserve">la presente resolución a la Recurrente y hágase de su conocimiento que, </w:t>
      </w:r>
      <w:r w:rsidRPr="00B81C51">
        <w:rPr>
          <w:rFonts w:ascii="Palatino Linotype" w:hAnsi="Palatino Linotype"/>
          <w:color w:val="222222"/>
          <w:sz w:val="24"/>
          <w:szCs w:val="24"/>
          <w:shd w:val="clear" w:color="auto" w:fill="FFFFFF"/>
        </w:rPr>
        <w:t>de conformidad con lo establecido en el artículo 196 de la Ley de Transparencia y Acceso a la Información Pública del Estado de México y Municipios,</w:t>
      </w:r>
      <w:r w:rsidRPr="00B81C51">
        <w:rPr>
          <w:rStyle w:val="apple-converted-space"/>
          <w:rFonts w:ascii="Palatino Linotype" w:hAnsi="Palatino Linotype"/>
          <w:color w:val="222222"/>
          <w:sz w:val="24"/>
          <w:szCs w:val="24"/>
          <w:shd w:val="clear" w:color="auto" w:fill="FFFFFF"/>
        </w:rPr>
        <w:t xml:space="preserve"> </w:t>
      </w:r>
      <w:r w:rsidRPr="00B81C51">
        <w:rPr>
          <w:rFonts w:ascii="Palatino Linotype" w:hAnsi="Palatino Linotype"/>
          <w:color w:val="222222"/>
          <w:sz w:val="24"/>
          <w:szCs w:val="24"/>
          <w:shd w:val="clear" w:color="auto" w:fill="FFFFFF"/>
        </w:rPr>
        <w:t>podrá promover el Juicio de Amparo en los términos de las leyes aplicables.</w:t>
      </w:r>
    </w:p>
    <w:p w:rsidR="00EF4D17" w:rsidRPr="00B81C51" w:rsidRDefault="00EF4D17" w:rsidP="0014447C">
      <w:pPr>
        <w:pStyle w:val="Sinespaciado"/>
        <w:spacing w:line="360" w:lineRule="auto"/>
        <w:jc w:val="both"/>
        <w:rPr>
          <w:rFonts w:ascii="Palatino Linotype" w:hAnsi="Palatino Linotype"/>
          <w:sz w:val="24"/>
          <w:szCs w:val="24"/>
        </w:rPr>
      </w:pPr>
    </w:p>
    <w:p w:rsidR="006D254A" w:rsidRDefault="007E2E80" w:rsidP="00B34950">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LO RESUELVE, PO</w:t>
      </w:r>
      <w:r w:rsidR="00F1770B">
        <w:rPr>
          <w:rFonts w:ascii="Palatino Linotype" w:hAnsi="Palatino Linotype"/>
          <w:sz w:val="24"/>
          <w:szCs w:val="24"/>
        </w:rPr>
        <w:t>R UNANIMIDAD</w:t>
      </w:r>
      <w:r w:rsidRPr="0014447C">
        <w:rPr>
          <w:rFonts w:ascii="Palatino Linotype" w:hAnsi="Palatino Linotype"/>
          <w:sz w:val="24"/>
          <w:szCs w:val="24"/>
        </w:rPr>
        <w:t xml:space="preserve"> DE VOTOS EL PLENO DEL</w:t>
      </w:r>
      <w:r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14447C">
        <w:rPr>
          <w:rFonts w:ascii="Palatino Linotype" w:hAnsi="Palatino Linotype"/>
          <w:sz w:val="24"/>
          <w:szCs w:val="24"/>
        </w:rPr>
        <w:t xml:space="preserve">, </w:t>
      </w:r>
      <w:r w:rsidRPr="0014447C">
        <w:rPr>
          <w:rFonts w:ascii="Palatino Linotype" w:hAnsi="Palatino Linotype"/>
          <w:sz w:val="24"/>
          <w:szCs w:val="24"/>
        </w:rPr>
        <w:lastRenderedPageBreak/>
        <w:t xml:space="preserve">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MARTÍNEZ CRUZ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Pr="0014447C">
        <w:rPr>
          <w:rFonts w:ascii="Palatino Linotype" w:hAnsi="Palatino Linotype"/>
          <w:sz w:val="24"/>
          <w:szCs w:val="24"/>
        </w:rPr>
        <w:t xml:space="preserve">, EN LA </w:t>
      </w:r>
      <w:r w:rsidR="008A34F5">
        <w:rPr>
          <w:rFonts w:ascii="Palatino Linotype" w:hAnsi="Palatino Linotype"/>
          <w:sz w:val="24"/>
          <w:szCs w:val="24"/>
        </w:rPr>
        <w:t>TRIGÉSIMA SEXTA</w:t>
      </w:r>
      <w:r w:rsidR="003D2A1C">
        <w:rPr>
          <w:rFonts w:ascii="Palatino Linotype" w:hAnsi="Palatino Linotype"/>
          <w:sz w:val="24"/>
          <w:szCs w:val="24"/>
        </w:rPr>
        <w:t xml:space="preserve"> </w:t>
      </w:r>
      <w:r w:rsidRPr="0014447C">
        <w:rPr>
          <w:rFonts w:ascii="Palatino Linotype" w:hAnsi="Palatino Linotype"/>
          <w:sz w:val="24"/>
          <w:szCs w:val="24"/>
        </w:rPr>
        <w:t xml:space="preserve">SESIÓN ORDINARIA CELEBRADA EL </w:t>
      </w:r>
      <w:r w:rsidR="008A34F5">
        <w:rPr>
          <w:rFonts w:ascii="Palatino Linotype" w:hAnsi="Palatino Linotype"/>
          <w:sz w:val="24"/>
          <w:szCs w:val="24"/>
        </w:rPr>
        <w:t>DOS DE OCTUBRE</w:t>
      </w:r>
      <w:r w:rsidR="000A7188">
        <w:rPr>
          <w:rFonts w:ascii="Palatino Linotype" w:hAnsi="Palatino Linotype"/>
          <w:sz w:val="24"/>
          <w:szCs w:val="24"/>
        </w:rPr>
        <w:t xml:space="preserve"> </w:t>
      </w:r>
      <w:r w:rsidR="00216B8D">
        <w:rPr>
          <w:rFonts w:ascii="Palatino Linotype" w:hAnsi="Palatino Linotype"/>
          <w:sz w:val="24"/>
          <w:szCs w:val="24"/>
        </w:rPr>
        <w:t xml:space="preserve">DE </w:t>
      </w:r>
      <w:r w:rsidR="00DA1B7C">
        <w:rPr>
          <w:rFonts w:ascii="Palatino Linotype" w:hAnsi="Palatino Linotype"/>
          <w:sz w:val="24"/>
          <w:szCs w:val="24"/>
        </w:rPr>
        <w:t>DOS MIL DIECINUEVE</w:t>
      </w:r>
      <w:r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D5DC9">
        <w:rPr>
          <w:rFonts w:ascii="Palatino Linotype" w:hAnsi="Palatino Linotype"/>
          <w:sz w:val="24"/>
          <w:szCs w:val="24"/>
        </w:rPr>
        <w:t>.-----------</w:t>
      </w:r>
      <w:r w:rsidR="00CF27C6">
        <w:rPr>
          <w:rFonts w:ascii="Palatino Linotype" w:hAnsi="Palatino Linotype"/>
          <w:sz w:val="24"/>
          <w:szCs w:val="24"/>
        </w:rPr>
        <w:t>----------------------------------------------------------------------------------------------------------------------------------------------------------------------------------------</w:t>
      </w:r>
      <w:r w:rsidR="00F91340">
        <w:rPr>
          <w:rFonts w:ascii="Palatino Linotype" w:hAnsi="Palatino Linotype"/>
          <w:sz w:val="24"/>
          <w:szCs w:val="24"/>
        </w:rPr>
        <w:t>------</w:t>
      </w:r>
      <w:r w:rsidR="00C911DE">
        <w:rPr>
          <w:rFonts w:ascii="Palatino Linotype" w:hAnsi="Palatino Linotype"/>
          <w:sz w:val="24"/>
          <w:szCs w:val="24"/>
        </w:rPr>
        <w:t>-----------------------------------------------------------------------------------------------------------------------------------------------------------------------------------------------------------------------------------------------------------------------------------------------------------------------------------------------------------------------------------------------------------------------------------------------------------------------------------------------------------------------------------------------------------------------------</w:t>
      </w:r>
      <w:r w:rsidR="00106160">
        <w:rPr>
          <w:rFonts w:ascii="Palatino Linotype" w:hAnsi="Palatino Linotype"/>
          <w:sz w:val="24"/>
          <w:szCs w:val="24"/>
        </w:rPr>
        <w:t>------------------</w:t>
      </w:r>
      <w:r w:rsidR="00282690">
        <w:rPr>
          <w:rFonts w:ascii="Palatino Linotype" w:hAnsi="Palatino Linotype"/>
          <w:sz w:val="24"/>
          <w:szCs w:val="24"/>
        </w:rPr>
        <w:t>-----------------------------------------------------------------------------------------------------------------------------------------------------------------------------------------------------------------------------------------------------------------------------------</w:t>
      </w:r>
      <w:r w:rsidR="008A75B0">
        <w:rPr>
          <w:rFonts w:ascii="Palatino Linotype" w:hAnsi="Palatino Linotype"/>
          <w:sz w:val="24"/>
          <w:szCs w:val="24"/>
        </w:rPr>
        <w:t>-------------------------------</w:t>
      </w:r>
      <w:r w:rsidR="001367E5">
        <w:rPr>
          <w:rFonts w:ascii="Palatino Linotype" w:hAnsi="Palatino Linotype"/>
          <w:sz w:val="24"/>
          <w:szCs w:val="24"/>
        </w:rPr>
        <w:t>-----------------------</w:t>
      </w:r>
      <w:r w:rsidR="008A34F5">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6149F1" w:rsidTr="00F91340">
        <w:tc>
          <w:tcPr>
            <w:tcW w:w="9062" w:type="dxa"/>
            <w:gridSpan w:val="2"/>
          </w:tcPr>
          <w:p w:rsidR="00AA4F9A" w:rsidRDefault="00AA4F9A" w:rsidP="00C10AAE">
            <w:pPr>
              <w:pStyle w:val="Sinespaciado"/>
              <w:jc w:val="center"/>
              <w:rPr>
                <w:rFonts w:ascii="Palatino Linotype" w:hAnsi="Palatino Linotype"/>
                <w:b/>
                <w:sz w:val="24"/>
                <w:szCs w:val="24"/>
              </w:rPr>
            </w:pPr>
          </w:p>
          <w:p w:rsidR="001367E5" w:rsidRDefault="001367E5" w:rsidP="00C10AAE">
            <w:pPr>
              <w:pStyle w:val="Sinespaciado"/>
              <w:jc w:val="center"/>
              <w:rPr>
                <w:rFonts w:ascii="Palatino Linotype" w:hAnsi="Palatino Linotype"/>
                <w:b/>
                <w:sz w:val="24"/>
                <w:szCs w:val="24"/>
              </w:rPr>
            </w:pPr>
          </w:p>
          <w:p w:rsidR="00C10AAE" w:rsidRPr="006149F1" w:rsidRDefault="00C10AAE" w:rsidP="00C10AAE">
            <w:pPr>
              <w:pStyle w:val="Sinespaciado"/>
              <w:jc w:val="center"/>
              <w:rPr>
                <w:rFonts w:ascii="Palatino Linotype" w:hAnsi="Palatino Linotype"/>
                <w:b/>
                <w:sz w:val="24"/>
                <w:szCs w:val="24"/>
              </w:rPr>
            </w:pPr>
          </w:p>
          <w:p w:rsidR="00AA4F9A" w:rsidRDefault="00AA4F9A" w:rsidP="00C10AAE">
            <w:pPr>
              <w:pStyle w:val="Sinespaciado"/>
              <w:jc w:val="center"/>
              <w:rPr>
                <w:rFonts w:ascii="Palatino Linotype" w:hAnsi="Palatino Linotype"/>
                <w:b/>
                <w:sz w:val="24"/>
                <w:szCs w:val="24"/>
              </w:rPr>
            </w:pPr>
          </w:p>
          <w:p w:rsidR="00106160" w:rsidRPr="006149F1" w:rsidRDefault="00106160" w:rsidP="00C10AAE">
            <w:pPr>
              <w:pStyle w:val="Sinespaciado"/>
              <w:jc w:val="center"/>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Zulema Martínez Sánchez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 Presidenta</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6149F1" w:rsidRPr="006149F1" w:rsidTr="00F91340">
        <w:tc>
          <w:tcPr>
            <w:tcW w:w="4531" w:type="dxa"/>
          </w:tcPr>
          <w:p w:rsidR="00AA4F9A"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006849" w:rsidRPr="006149F1"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10AAE" w:rsidRPr="006149F1" w:rsidRDefault="00C10AAE" w:rsidP="00C10AAE">
            <w:pPr>
              <w:pStyle w:val="Sinespaciado"/>
              <w:jc w:val="both"/>
              <w:rPr>
                <w:rFonts w:ascii="Palatino Linotype" w:hAnsi="Palatino Linotype"/>
                <w:b/>
                <w:sz w:val="24"/>
                <w:szCs w:val="24"/>
              </w:rPr>
            </w:pPr>
          </w:p>
          <w:p w:rsidR="00D57072" w:rsidRPr="006149F1" w:rsidRDefault="00676C32" w:rsidP="00C10AAE">
            <w:pPr>
              <w:pStyle w:val="Sinespaciado"/>
              <w:jc w:val="center"/>
              <w:rPr>
                <w:rFonts w:ascii="Palatino Linotype" w:hAnsi="Palatino Linotype"/>
                <w:b/>
                <w:sz w:val="24"/>
                <w:szCs w:val="24"/>
              </w:rPr>
            </w:pPr>
            <w:r w:rsidRPr="006149F1">
              <w:rPr>
                <w:rFonts w:ascii="Palatino Linotype" w:hAnsi="Palatino Linotype"/>
                <w:b/>
                <w:sz w:val="24"/>
                <w:szCs w:val="24"/>
              </w:rPr>
              <w:t>Eva Ab</w:t>
            </w:r>
            <w:r w:rsidR="00D57072" w:rsidRPr="006149F1">
              <w:rPr>
                <w:rFonts w:ascii="Palatino Linotype" w:hAnsi="Palatino Linotype"/>
                <w:b/>
                <w:sz w:val="24"/>
                <w:szCs w:val="24"/>
              </w:rPr>
              <w:t>aid Yapur</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w:t>
            </w:r>
          </w:p>
          <w:p w:rsidR="00D57072" w:rsidRPr="006149F1" w:rsidRDefault="00557956" w:rsidP="00C10AAE">
            <w:pPr>
              <w:pStyle w:val="Sinespaciado"/>
              <w:jc w:val="center"/>
              <w:rPr>
                <w:rFonts w:ascii="Palatino Linotype" w:hAnsi="Palatino Linotype"/>
                <w:sz w:val="24"/>
                <w:szCs w:val="24"/>
              </w:rPr>
            </w:pPr>
            <w:r>
              <w:rPr>
                <w:rFonts w:ascii="Palatino Linotype" w:hAnsi="Palatino Linotype"/>
                <w:sz w:val="24"/>
                <w:szCs w:val="24"/>
              </w:rPr>
              <w:t>(Rúbrica</w:t>
            </w:r>
            <w:r w:rsidR="00D57072" w:rsidRPr="006149F1">
              <w:rPr>
                <w:rFonts w:ascii="Palatino Linotype" w:hAnsi="Palatino Linotype"/>
                <w:sz w:val="24"/>
                <w:szCs w:val="24"/>
              </w:rPr>
              <w:t>)</w:t>
            </w:r>
          </w:p>
        </w:tc>
        <w:tc>
          <w:tcPr>
            <w:tcW w:w="4531" w:type="dxa"/>
          </w:tcPr>
          <w:p w:rsidR="00AA4F9A" w:rsidRDefault="00AA4F9A" w:rsidP="00C10AAE">
            <w:pPr>
              <w:pStyle w:val="Sinespaciado"/>
              <w:jc w:val="both"/>
              <w:rPr>
                <w:rFonts w:ascii="Palatino Linotype" w:hAnsi="Palatino Linotype"/>
                <w:b/>
                <w:sz w:val="24"/>
                <w:szCs w:val="24"/>
              </w:rPr>
            </w:pPr>
          </w:p>
          <w:p w:rsidR="00006849" w:rsidRPr="006149F1"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10AAE" w:rsidRPr="006149F1" w:rsidRDefault="00C10AAE" w:rsidP="00C10AAE">
            <w:pPr>
              <w:pStyle w:val="Sinespaciado"/>
              <w:jc w:val="both"/>
              <w:rPr>
                <w:rFonts w:ascii="Palatino Linotype" w:hAnsi="Palatino Linotype"/>
                <w:b/>
                <w:sz w:val="24"/>
                <w:szCs w:val="24"/>
              </w:rPr>
            </w:pPr>
          </w:p>
          <w:p w:rsidR="00AA4F9A" w:rsidRPr="006149F1" w:rsidRDefault="00AA4F9A" w:rsidP="00C10AAE">
            <w:pPr>
              <w:pStyle w:val="Sinespaciado"/>
              <w:jc w:val="both"/>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José Guadalupe Luna Hernández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F91340" w:rsidRPr="006149F1" w:rsidTr="00F91340">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006849" w:rsidRDefault="00006849" w:rsidP="00F91340">
            <w:pPr>
              <w:pStyle w:val="Sinespaciado"/>
              <w:jc w:val="center"/>
              <w:rPr>
                <w:rFonts w:ascii="Palatino Linotype" w:hAnsi="Palatino Linotype"/>
                <w:b/>
                <w:sz w:val="24"/>
                <w:szCs w:val="24"/>
              </w:rPr>
            </w:pPr>
          </w:p>
          <w:p w:rsidR="00F91340" w:rsidRPr="006149F1" w:rsidRDefault="00F91340" w:rsidP="00F91340">
            <w:pPr>
              <w:pStyle w:val="Sinespaciado"/>
              <w:jc w:val="center"/>
              <w:rPr>
                <w:rFonts w:ascii="Palatino Linotype" w:hAnsi="Palatino Linotype"/>
                <w:b/>
                <w:sz w:val="24"/>
                <w:szCs w:val="24"/>
              </w:rPr>
            </w:pPr>
            <w:r w:rsidRPr="006149F1">
              <w:rPr>
                <w:rFonts w:ascii="Palatino Linotype" w:hAnsi="Palatino Linotype"/>
                <w:b/>
                <w:sz w:val="24"/>
                <w:szCs w:val="24"/>
              </w:rPr>
              <w:t>Javier Martínez Cruz</w:t>
            </w:r>
          </w:p>
          <w:p w:rsidR="00F91340" w:rsidRPr="006149F1" w:rsidRDefault="00F91340" w:rsidP="00F91340">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F91340" w:rsidRPr="006149F1" w:rsidRDefault="00F91340" w:rsidP="00F91340">
            <w:pPr>
              <w:pStyle w:val="Sinespaciado"/>
              <w:jc w:val="center"/>
              <w:rPr>
                <w:rFonts w:ascii="Palatino Linotype" w:hAnsi="Palatino Linotype"/>
                <w:b/>
                <w:sz w:val="24"/>
                <w:szCs w:val="24"/>
              </w:rPr>
            </w:pPr>
            <w:r w:rsidRPr="006149F1">
              <w:rPr>
                <w:rFonts w:ascii="Palatino Linotype" w:hAnsi="Palatino Linotype"/>
                <w:sz w:val="24"/>
                <w:szCs w:val="24"/>
              </w:rPr>
              <w:t>(Rúbrica)</w:t>
            </w:r>
          </w:p>
        </w:tc>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006849" w:rsidRDefault="00006849"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r>
              <w:rPr>
                <w:rFonts w:ascii="Palatino Linotype" w:hAnsi="Palatino Linotype"/>
                <w:b/>
                <w:sz w:val="24"/>
                <w:szCs w:val="24"/>
              </w:rPr>
              <w:t>Luis Gustavo Parra Noriega</w:t>
            </w:r>
          </w:p>
          <w:p w:rsid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Comisionado</w:t>
            </w:r>
          </w:p>
          <w:p w:rsidR="00F91340" w:rsidRP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(Rúbrica)</w:t>
            </w:r>
          </w:p>
        </w:tc>
      </w:tr>
      <w:tr w:rsidR="006149F1" w:rsidRPr="006149F1" w:rsidTr="00F91340">
        <w:tc>
          <w:tcPr>
            <w:tcW w:w="9062" w:type="dxa"/>
            <w:gridSpan w:val="2"/>
          </w:tcPr>
          <w:p w:rsidR="00AA4F9A" w:rsidRPr="006149F1"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006849" w:rsidRDefault="00006849" w:rsidP="00C10AAE">
            <w:pPr>
              <w:pStyle w:val="Sinespaciado"/>
              <w:jc w:val="both"/>
              <w:rPr>
                <w:rFonts w:ascii="Palatino Linotype" w:hAnsi="Palatino Linotype"/>
                <w:b/>
                <w:sz w:val="24"/>
                <w:szCs w:val="24"/>
              </w:rPr>
            </w:pPr>
          </w:p>
          <w:p w:rsidR="00C911DE" w:rsidRPr="006149F1" w:rsidRDefault="00C911DE"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D57072" w:rsidRPr="006149F1" w:rsidRDefault="00F2343A" w:rsidP="00C10AAE">
            <w:pPr>
              <w:pStyle w:val="Sinespaciado"/>
              <w:jc w:val="center"/>
              <w:rPr>
                <w:rFonts w:ascii="Palatino Linotype" w:hAnsi="Palatino Linotype"/>
                <w:b/>
                <w:sz w:val="24"/>
                <w:szCs w:val="24"/>
              </w:rPr>
            </w:pPr>
            <w:r w:rsidRPr="006149F1">
              <w:rPr>
                <w:rFonts w:ascii="Palatino Linotype" w:hAnsi="Palatino Linotype"/>
                <w:b/>
                <w:sz w:val="24"/>
                <w:szCs w:val="24"/>
              </w:rPr>
              <w:t>Alexis Tapia Ramírez</w:t>
            </w:r>
          </w:p>
          <w:p w:rsidR="00D57072" w:rsidRPr="006149F1" w:rsidRDefault="00F2343A" w:rsidP="00C10AAE">
            <w:pPr>
              <w:pStyle w:val="Sinespaciado"/>
              <w:jc w:val="center"/>
              <w:rPr>
                <w:rFonts w:ascii="Palatino Linotype" w:hAnsi="Palatino Linotype"/>
                <w:sz w:val="24"/>
                <w:szCs w:val="24"/>
              </w:rPr>
            </w:pPr>
            <w:r w:rsidRPr="006149F1">
              <w:rPr>
                <w:rFonts w:ascii="Palatino Linotype" w:hAnsi="Palatino Linotype"/>
                <w:sz w:val="24"/>
                <w:szCs w:val="24"/>
              </w:rPr>
              <w:t>Secretario Técnico</w:t>
            </w:r>
            <w:r w:rsidR="00D57072" w:rsidRPr="006149F1">
              <w:rPr>
                <w:rFonts w:ascii="Palatino Linotype" w:hAnsi="Palatino Linotype"/>
                <w:sz w:val="24"/>
                <w:szCs w:val="24"/>
              </w:rPr>
              <w:t xml:space="preserve"> del Pleno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bl>
    <w:p w:rsidR="00106160" w:rsidRPr="000A7188" w:rsidRDefault="00106160" w:rsidP="0014447C">
      <w:pPr>
        <w:pStyle w:val="Sinespaciado"/>
        <w:jc w:val="both"/>
        <w:rPr>
          <w:rFonts w:ascii="Palatino Linotype" w:hAnsi="Palatino Linotype"/>
          <w:sz w:val="36"/>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 xml:space="preserve">Esta hoja corresponde a la resolución de fecha </w:t>
      </w:r>
      <w:r w:rsidR="008A34F5">
        <w:rPr>
          <w:rFonts w:ascii="Palatino Linotype" w:hAnsi="Palatino Linotype"/>
          <w:sz w:val="16"/>
          <w:szCs w:val="16"/>
        </w:rPr>
        <w:t>dos de octubre</w:t>
      </w:r>
      <w:r w:rsidR="000A7188">
        <w:rPr>
          <w:rFonts w:ascii="Palatino Linotype" w:hAnsi="Palatino Linotype"/>
          <w:sz w:val="16"/>
          <w:szCs w:val="16"/>
        </w:rPr>
        <w:t xml:space="preserve"> </w:t>
      </w:r>
      <w:r w:rsidR="00DA1B7C">
        <w:rPr>
          <w:rFonts w:ascii="Palatino Linotype" w:hAnsi="Palatino Linotype"/>
          <w:sz w:val="16"/>
          <w:szCs w:val="16"/>
        </w:rPr>
        <w:t>de dos mil diecinueve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8A34F5">
        <w:rPr>
          <w:rFonts w:ascii="Palatino Linotype" w:hAnsi="Palatino Linotype"/>
          <w:bCs/>
          <w:sz w:val="16"/>
          <w:szCs w:val="16"/>
          <w:lang w:eastAsia="es-MX"/>
        </w:rPr>
        <w:t>06430</w:t>
      </w:r>
      <w:r w:rsidR="00DA1B7C">
        <w:rPr>
          <w:rFonts w:ascii="Palatino Linotype" w:hAnsi="Palatino Linotype"/>
          <w:bCs/>
          <w:sz w:val="16"/>
          <w:szCs w:val="16"/>
          <w:lang w:eastAsia="es-MX"/>
        </w:rPr>
        <w:t>/INFOEM/IP/RR/2019.</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FAD" w:rsidRDefault="00AC7FAD" w:rsidP="007E2E80">
      <w:pPr>
        <w:spacing w:after="0" w:line="240" w:lineRule="auto"/>
      </w:pPr>
      <w:r>
        <w:separator/>
      </w:r>
    </w:p>
  </w:endnote>
  <w:endnote w:type="continuationSeparator" w:id="0">
    <w:p w:rsidR="00AC7FAD" w:rsidRDefault="00AC7FAD"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F5B" w:rsidRPr="000B69FA" w:rsidRDefault="002E3F5B"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C23AB">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C23AB">
      <w:rPr>
        <w:rFonts w:ascii="Palatino Linotype" w:hAnsi="Palatino Linotype"/>
        <w:bCs/>
        <w:noProof/>
        <w:sz w:val="20"/>
      </w:rPr>
      <w:t>20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F5B" w:rsidRPr="000B69FA" w:rsidRDefault="002E3F5B"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2251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22519">
      <w:rPr>
        <w:rFonts w:ascii="Palatino Linotype" w:hAnsi="Palatino Linotype"/>
        <w:bCs/>
        <w:noProof/>
        <w:sz w:val="20"/>
      </w:rPr>
      <w:t>20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FAD" w:rsidRDefault="00AC7FAD" w:rsidP="007E2E80">
      <w:pPr>
        <w:spacing w:after="0" w:line="240" w:lineRule="auto"/>
      </w:pPr>
      <w:r>
        <w:separator/>
      </w:r>
    </w:p>
  </w:footnote>
  <w:footnote w:type="continuationSeparator" w:id="0">
    <w:p w:rsidR="00AC7FAD" w:rsidRDefault="00AC7FAD" w:rsidP="007E2E80">
      <w:pPr>
        <w:spacing w:after="0" w:line="240" w:lineRule="auto"/>
      </w:pPr>
      <w:r>
        <w:continuationSeparator/>
      </w:r>
    </w:p>
  </w:footnote>
  <w:footnote w:id="1">
    <w:p w:rsidR="002E3F5B" w:rsidRPr="00615B4B" w:rsidRDefault="002E3F5B"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2E3F5B" w:rsidRPr="00615B4B" w:rsidRDefault="002E3F5B"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F5B" w:rsidRDefault="002E3F5B">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2E3F5B" w:rsidTr="00182616">
      <w:trPr>
        <w:trHeight w:val="227"/>
      </w:trPr>
      <w:tc>
        <w:tcPr>
          <w:tcW w:w="5949" w:type="dxa"/>
          <w:hideMark/>
        </w:tcPr>
        <w:p w:rsidR="002E3F5B" w:rsidRDefault="002E3F5B"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2E3F5B" w:rsidRDefault="002E3F5B"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06430/INFOEM/IP/RR/2019</w:t>
          </w:r>
        </w:p>
      </w:tc>
    </w:tr>
    <w:tr w:rsidR="002E3F5B" w:rsidTr="00182616">
      <w:trPr>
        <w:trHeight w:val="242"/>
      </w:trPr>
      <w:tc>
        <w:tcPr>
          <w:tcW w:w="5949" w:type="dxa"/>
          <w:hideMark/>
        </w:tcPr>
        <w:p w:rsidR="002E3F5B" w:rsidRDefault="002E3F5B"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2E3F5B" w:rsidRDefault="002E3F5B" w:rsidP="00E35357">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Tezoyuca</w:t>
          </w:r>
        </w:p>
      </w:tc>
    </w:tr>
    <w:tr w:rsidR="002E3F5B" w:rsidTr="00182616">
      <w:trPr>
        <w:trHeight w:val="342"/>
      </w:trPr>
      <w:tc>
        <w:tcPr>
          <w:tcW w:w="5949" w:type="dxa"/>
          <w:hideMark/>
        </w:tcPr>
        <w:p w:rsidR="002E3F5B" w:rsidRDefault="002E3F5B"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2E3F5B" w:rsidRDefault="002E3F5B"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2E3F5B" w:rsidRDefault="002E3F5B">
    <w:pPr>
      <w:pStyle w:val="Encabezado"/>
    </w:pPr>
  </w:p>
  <w:p w:rsidR="002E3F5B" w:rsidRDefault="002E3F5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2E3F5B" w:rsidTr="00182616">
      <w:trPr>
        <w:trHeight w:val="227"/>
      </w:trPr>
      <w:tc>
        <w:tcPr>
          <w:tcW w:w="5103" w:type="dxa"/>
          <w:hideMark/>
        </w:tcPr>
        <w:p w:rsidR="002E3F5B" w:rsidRDefault="002E3F5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2E3F5B" w:rsidRPr="00B4142F" w:rsidRDefault="002E3F5B"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06430/INFOEM/IP/RR/2019</w:t>
          </w:r>
        </w:p>
      </w:tc>
    </w:tr>
    <w:tr w:rsidR="002E3F5B" w:rsidTr="00182616">
      <w:trPr>
        <w:trHeight w:val="196"/>
      </w:trPr>
      <w:tc>
        <w:tcPr>
          <w:tcW w:w="5103" w:type="dxa"/>
          <w:hideMark/>
        </w:tcPr>
        <w:p w:rsidR="002E3F5B" w:rsidRDefault="002E3F5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2E3F5B" w:rsidRPr="00F06FED" w:rsidRDefault="00F22519" w:rsidP="00212498">
          <w:pPr>
            <w:spacing w:after="120" w:line="256" w:lineRule="auto"/>
            <w:ind w:left="208" w:right="214"/>
            <w:jc w:val="right"/>
            <w:rPr>
              <w:rFonts w:ascii="Palatino Linotype" w:hAnsi="Palatino Linotype" w:cs="Arial"/>
            </w:rPr>
          </w:pPr>
          <w:r>
            <w:rPr>
              <w:rFonts w:ascii="Palatino Linotype" w:hAnsi="Palatino Linotype" w:cs="Arial"/>
            </w:rPr>
            <w:t>xxxxxxxxxxxxxxxxxxxxxx</w:t>
          </w:r>
        </w:p>
      </w:tc>
    </w:tr>
    <w:tr w:rsidR="002E3F5B" w:rsidTr="00182616">
      <w:trPr>
        <w:trHeight w:val="242"/>
      </w:trPr>
      <w:tc>
        <w:tcPr>
          <w:tcW w:w="5103" w:type="dxa"/>
          <w:hideMark/>
        </w:tcPr>
        <w:p w:rsidR="002E3F5B" w:rsidRDefault="002E3F5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2E3F5B" w:rsidRDefault="002E3F5B" w:rsidP="00E35357">
          <w:pPr>
            <w:spacing w:after="120" w:line="256" w:lineRule="auto"/>
            <w:ind w:left="208" w:right="214"/>
            <w:jc w:val="right"/>
            <w:rPr>
              <w:rFonts w:ascii="Palatino Linotype" w:hAnsi="Palatino Linotype" w:cs="Arial"/>
              <w:szCs w:val="20"/>
            </w:rPr>
          </w:pPr>
          <w:r>
            <w:rPr>
              <w:rFonts w:ascii="Palatino Linotype" w:hAnsi="Palatino Linotype" w:cs="Arial"/>
              <w:szCs w:val="20"/>
            </w:rPr>
            <w:t>Ayuntamiento de Tezoyuca</w:t>
          </w:r>
        </w:p>
      </w:tc>
    </w:tr>
    <w:tr w:rsidR="002E3F5B" w:rsidTr="00182616">
      <w:trPr>
        <w:trHeight w:val="342"/>
      </w:trPr>
      <w:tc>
        <w:tcPr>
          <w:tcW w:w="5103" w:type="dxa"/>
          <w:hideMark/>
        </w:tcPr>
        <w:p w:rsidR="002E3F5B" w:rsidRDefault="002E3F5B"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2E3F5B" w:rsidRDefault="002E3F5B"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2E3F5B" w:rsidRDefault="002E3F5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B942B3"/>
    <w:multiLevelType w:val="hybridMultilevel"/>
    <w:tmpl w:val="1C2AD4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D5398E"/>
    <w:multiLevelType w:val="hybridMultilevel"/>
    <w:tmpl w:val="55A4D4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36675296"/>
    <w:multiLevelType w:val="hybridMultilevel"/>
    <w:tmpl w:val="099052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22"/>
  </w:num>
  <w:num w:numId="5">
    <w:abstractNumId w:val="4"/>
  </w:num>
  <w:num w:numId="6">
    <w:abstractNumId w:val="3"/>
  </w:num>
  <w:num w:numId="7">
    <w:abstractNumId w:val="15"/>
  </w:num>
  <w:num w:numId="8">
    <w:abstractNumId w:val="14"/>
  </w:num>
  <w:num w:numId="9">
    <w:abstractNumId w:val="20"/>
  </w:num>
  <w:num w:numId="10">
    <w:abstractNumId w:val="5"/>
  </w:num>
  <w:num w:numId="11">
    <w:abstractNumId w:val="21"/>
  </w:num>
  <w:num w:numId="12">
    <w:abstractNumId w:val="17"/>
  </w:num>
  <w:num w:numId="13">
    <w:abstractNumId w:val="16"/>
  </w:num>
  <w:num w:numId="14">
    <w:abstractNumId w:val="10"/>
  </w:num>
  <w:num w:numId="15">
    <w:abstractNumId w:val="2"/>
  </w:num>
  <w:num w:numId="16">
    <w:abstractNumId w:val="7"/>
  </w:num>
  <w:num w:numId="17">
    <w:abstractNumId w:val="13"/>
  </w:num>
  <w:num w:numId="18">
    <w:abstractNumId w:val="19"/>
  </w:num>
  <w:num w:numId="19">
    <w:abstractNumId w:val="18"/>
  </w:num>
  <w:num w:numId="20">
    <w:abstractNumId w:val="11"/>
  </w:num>
  <w:num w:numId="21">
    <w:abstractNumId w:val="8"/>
  </w:num>
  <w:num w:numId="22">
    <w:abstractNumId w:val="1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6849"/>
    <w:rsid w:val="00011DF7"/>
    <w:rsid w:val="000146A2"/>
    <w:rsid w:val="00014D80"/>
    <w:rsid w:val="000158D7"/>
    <w:rsid w:val="00015A5D"/>
    <w:rsid w:val="00022E72"/>
    <w:rsid w:val="000276E0"/>
    <w:rsid w:val="00031486"/>
    <w:rsid w:val="00032DBD"/>
    <w:rsid w:val="00033949"/>
    <w:rsid w:val="00033A37"/>
    <w:rsid w:val="00037385"/>
    <w:rsid w:val="000402BD"/>
    <w:rsid w:val="00043018"/>
    <w:rsid w:val="00050A9C"/>
    <w:rsid w:val="00051311"/>
    <w:rsid w:val="00053C9B"/>
    <w:rsid w:val="00057570"/>
    <w:rsid w:val="000674FE"/>
    <w:rsid w:val="0007328F"/>
    <w:rsid w:val="000738E9"/>
    <w:rsid w:val="0008042E"/>
    <w:rsid w:val="0008795C"/>
    <w:rsid w:val="0009497C"/>
    <w:rsid w:val="00095218"/>
    <w:rsid w:val="000A27C1"/>
    <w:rsid w:val="000A7188"/>
    <w:rsid w:val="000C23AB"/>
    <w:rsid w:val="000D47AB"/>
    <w:rsid w:val="000D6982"/>
    <w:rsid w:val="000D756B"/>
    <w:rsid w:val="000E48EE"/>
    <w:rsid w:val="000E7C0A"/>
    <w:rsid w:val="000F199E"/>
    <w:rsid w:val="000F3722"/>
    <w:rsid w:val="001001E8"/>
    <w:rsid w:val="00106160"/>
    <w:rsid w:val="00114C3C"/>
    <w:rsid w:val="001160D3"/>
    <w:rsid w:val="00116B4C"/>
    <w:rsid w:val="00117233"/>
    <w:rsid w:val="00122CD0"/>
    <w:rsid w:val="0012508A"/>
    <w:rsid w:val="00132E9F"/>
    <w:rsid w:val="00135494"/>
    <w:rsid w:val="001367E5"/>
    <w:rsid w:val="00140AE4"/>
    <w:rsid w:val="00140C2F"/>
    <w:rsid w:val="0014191F"/>
    <w:rsid w:val="00143AC6"/>
    <w:rsid w:val="0014447C"/>
    <w:rsid w:val="00147DC5"/>
    <w:rsid w:val="001510E8"/>
    <w:rsid w:val="001552E9"/>
    <w:rsid w:val="00155A17"/>
    <w:rsid w:val="00162176"/>
    <w:rsid w:val="00165929"/>
    <w:rsid w:val="00166046"/>
    <w:rsid w:val="00166FB7"/>
    <w:rsid w:val="00180F6B"/>
    <w:rsid w:val="00182616"/>
    <w:rsid w:val="0018661B"/>
    <w:rsid w:val="001A17B9"/>
    <w:rsid w:val="001A4700"/>
    <w:rsid w:val="001C0CE9"/>
    <w:rsid w:val="001C145C"/>
    <w:rsid w:val="001D034F"/>
    <w:rsid w:val="001D6114"/>
    <w:rsid w:val="001D61D0"/>
    <w:rsid w:val="001E07AC"/>
    <w:rsid w:val="001E1E50"/>
    <w:rsid w:val="001E40B4"/>
    <w:rsid w:val="001E60B7"/>
    <w:rsid w:val="001E6163"/>
    <w:rsid w:val="001F021C"/>
    <w:rsid w:val="001F2BC9"/>
    <w:rsid w:val="001F50B1"/>
    <w:rsid w:val="001F5577"/>
    <w:rsid w:val="001F60B6"/>
    <w:rsid w:val="001F7259"/>
    <w:rsid w:val="00201358"/>
    <w:rsid w:val="00203FA5"/>
    <w:rsid w:val="002079AF"/>
    <w:rsid w:val="00207ACC"/>
    <w:rsid w:val="00207DA3"/>
    <w:rsid w:val="002108D8"/>
    <w:rsid w:val="00211473"/>
    <w:rsid w:val="00212498"/>
    <w:rsid w:val="00213EE6"/>
    <w:rsid w:val="00216B8D"/>
    <w:rsid w:val="002252AD"/>
    <w:rsid w:val="002450D9"/>
    <w:rsid w:val="00247E1F"/>
    <w:rsid w:val="00254523"/>
    <w:rsid w:val="002572CF"/>
    <w:rsid w:val="0026175D"/>
    <w:rsid w:val="0026191D"/>
    <w:rsid w:val="00271762"/>
    <w:rsid w:val="00280B7B"/>
    <w:rsid w:val="00282690"/>
    <w:rsid w:val="0028585E"/>
    <w:rsid w:val="00287072"/>
    <w:rsid w:val="00290397"/>
    <w:rsid w:val="00295503"/>
    <w:rsid w:val="00296F49"/>
    <w:rsid w:val="002A1927"/>
    <w:rsid w:val="002B1519"/>
    <w:rsid w:val="002B5B14"/>
    <w:rsid w:val="002C2A2E"/>
    <w:rsid w:val="002C2D19"/>
    <w:rsid w:val="002C529C"/>
    <w:rsid w:val="002C56B2"/>
    <w:rsid w:val="002D4991"/>
    <w:rsid w:val="002D6110"/>
    <w:rsid w:val="002E22D8"/>
    <w:rsid w:val="002E2D4C"/>
    <w:rsid w:val="002E3F5B"/>
    <w:rsid w:val="002E4709"/>
    <w:rsid w:val="002E6036"/>
    <w:rsid w:val="002F044A"/>
    <w:rsid w:val="002F0481"/>
    <w:rsid w:val="002F160B"/>
    <w:rsid w:val="002F17FB"/>
    <w:rsid w:val="00300AAF"/>
    <w:rsid w:val="00301A01"/>
    <w:rsid w:val="003021C1"/>
    <w:rsid w:val="00303FAF"/>
    <w:rsid w:val="00304C91"/>
    <w:rsid w:val="00307784"/>
    <w:rsid w:val="00310760"/>
    <w:rsid w:val="00311191"/>
    <w:rsid w:val="00312E7E"/>
    <w:rsid w:val="00315192"/>
    <w:rsid w:val="00326D4D"/>
    <w:rsid w:val="00327932"/>
    <w:rsid w:val="003309E0"/>
    <w:rsid w:val="00336EDF"/>
    <w:rsid w:val="00347674"/>
    <w:rsid w:val="00353E3E"/>
    <w:rsid w:val="00363308"/>
    <w:rsid w:val="00365ADF"/>
    <w:rsid w:val="00374450"/>
    <w:rsid w:val="003758C4"/>
    <w:rsid w:val="00375FF5"/>
    <w:rsid w:val="0038385D"/>
    <w:rsid w:val="003908F4"/>
    <w:rsid w:val="003919AC"/>
    <w:rsid w:val="003938B0"/>
    <w:rsid w:val="00395C1A"/>
    <w:rsid w:val="003A13D2"/>
    <w:rsid w:val="003A3096"/>
    <w:rsid w:val="003A7CB7"/>
    <w:rsid w:val="003B2BFE"/>
    <w:rsid w:val="003B5524"/>
    <w:rsid w:val="003C3124"/>
    <w:rsid w:val="003C6B46"/>
    <w:rsid w:val="003C74AF"/>
    <w:rsid w:val="003D2672"/>
    <w:rsid w:val="003D2A1C"/>
    <w:rsid w:val="003D3420"/>
    <w:rsid w:val="003E08B9"/>
    <w:rsid w:val="003E3FF6"/>
    <w:rsid w:val="003F046E"/>
    <w:rsid w:val="00400852"/>
    <w:rsid w:val="00404F9D"/>
    <w:rsid w:val="00405574"/>
    <w:rsid w:val="00406B61"/>
    <w:rsid w:val="00407282"/>
    <w:rsid w:val="00410A41"/>
    <w:rsid w:val="004132B8"/>
    <w:rsid w:val="00417EBD"/>
    <w:rsid w:val="00423C27"/>
    <w:rsid w:val="00424A8A"/>
    <w:rsid w:val="00425199"/>
    <w:rsid w:val="00432724"/>
    <w:rsid w:val="00443826"/>
    <w:rsid w:val="004440A9"/>
    <w:rsid w:val="0045270C"/>
    <w:rsid w:val="0045396C"/>
    <w:rsid w:val="004572BE"/>
    <w:rsid w:val="004617C7"/>
    <w:rsid w:val="004625C1"/>
    <w:rsid w:val="004657BE"/>
    <w:rsid w:val="004737E6"/>
    <w:rsid w:val="00473B0B"/>
    <w:rsid w:val="004807F7"/>
    <w:rsid w:val="00481A0C"/>
    <w:rsid w:val="004830B5"/>
    <w:rsid w:val="00484E47"/>
    <w:rsid w:val="0048564C"/>
    <w:rsid w:val="00485D00"/>
    <w:rsid w:val="00487B8B"/>
    <w:rsid w:val="00494047"/>
    <w:rsid w:val="00496755"/>
    <w:rsid w:val="00497B93"/>
    <w:rsid w:val="004A51FF"/>
    <w:rsid w:val="004B05FA"/>
    <w:rsid w:val="004B2C63"/>
    <w:rsid w:val="004B4721"/>
    <w:rsid w:val="004C7E18"/>
    <w:rsid w:val="004E3718"/>
    <w:rsid w:val="004F483E"/>
    <w:rsid w:val="004F4B8F"/>
    <w:rsid w:val="004F6535"/>
    <w:rsid w:val="0050104C"/>
    <w:rsid w:val="005023F4"/>
    <w:rsid w:val="005033CC"/>
    <w:rsid w:val="00516BA8"/>
    <w:rsid w:val="0052393E"/>
    <w:rsid w:val="00524986"/>
    <w:rsid w:val="005328FB"/>
    <w:rsid w:val="00537419"/>
    <w:rsid w:val="00537D90"/>
    <w:rsid w:val="00541B17"/>
    <w:rsid w:val="005421C7"/>
    <w:rsid w:val="005448FA"/>
    <w:rsid w:val="00557956"/>
    <w:rsid w:val="00566699"/>
    <w:rsid w:val="0057238B"/>
    <w:rsid w:val="00572DFB"/>
    <w:rsid w:val="005733EB"/>
    <w:rsid w:val="0057534D"/>
    <w:rsid w:val="0058697B"/>
    <w:rsid w:val="00590126"/>
    <w:rsid w:val="00591988"/>
    <w:rsid w:val="00592D52"/>
    <w:rsid w:val="00596856"/>
    <w:rsid w:val="005A117C"/>
    <w:rsid w:val="005A6F55"/>
    <w:rsid w:val="005B2A31"/>
    <w:rsid w:val="005B7E58"/>
    <w:rsid w:val="005C04BF"/>
    <w:rsid w:val="005C057C"/>
    <w:rsid w:val="005C76D5"/>
    <w:rsid w:val="005D02A8"/>
    <w:rsid w:val="005D5EEB"/>
    <w:rsid w:val="005E3F88"/>
    <w:rsid w:val="005E5683"/>
    <w:rsid w:val="005F0A37"/>
    <w:rsid w:val="0060031A"/>
    <w:rsid w:val="00600575"/>
    <w:rsid w:val="00600D67"/>
    <w:rsid w:val="0060633A"/>
    <w:rsid w:val="006110C1"/>
    <w:rsid w:val="006149F1"/>
    <w:rsid w:val="00620FA6"/>
    <w:rsid w:val="00623388"/>
    <w:rsid w:val="006246A5"/>
    <w:rsid w:val="0062686A"/>
    <w:rsid w:val="00627F9C"/>
    <w:rsid w:val="00631F1B"/>
    <w:rsid w:val="00631FF9"/>
    <w:rsid w:val="00633C3F"/>
    <w:rsid w:val="00634607"/>
    <w:rsid w:val="00640D07"/>
    <w:rsid w:val="00642541"/>
    <w:rsid w:val="00644363"/>
    <w:rsid w:val="006446F7"/>
    <w:rsid w:val="00647528"/>
    <w:rsid w:val="00647B4C"/>
    <w:rsid w:val="00650E10"/>
    <w:rsid w:val="00652906"/>
    <w:rsid w:val="0065519D"/>
    <w:rsid w:val="00661204"/>
    <w:rsid w:val="006621E2"/>
    <w:rsid w:val="0066610F"/>
    <w:rsid w:val="00673D7C"/>
    <w:rsid w:val="006749FD"/>
    <w:rsid w:val="00676C32"/>
    <w:rsid w:val="00680D39"/>
    <w:rsid w:val="00682FD7"/>
    <w:rsid w:val="00686046"/>
    <w:rsid w:val="0068613E"/>
    <w:rsid w:val="0069776E"/>
    <w:rsid w:val="006A0ADE"/>
    <w:rsid w:val="006A29C5"/>
    <w:rsid w:val="006A3A54"/>
    <w:rsid w:val="006A561E"/>
    <w:rsid w:val="006B1A80"/>
    <w:rsid w:val="006B4DFD"/>
    <w:rsid w:val="006C43CE"/>
    <w:rsid w:val="006C6176"/>
    <w:rsid w:val="006C6397"/>
    <w:rsid w:val="006D01DC"/>
    <w:rsid w:val="006D1136"/>
    <w:rsid w:val="006D254A"/>
    <w:rsid w:val="006D4AD4"/>
    <w:rsid w:val="006D780C"/>
    <w:rsid w:val="006E0601"/>
    <w:rsid w:val="006E2D42"/>
    <w:rsid w:val="006E6394"/>
    <w:rsid w:val="006E6C81"/>
    <w:rsid w:val="006F18FD"/>
    <w:rsid w:val="006F2785"/>
    <w:rsid w:val="006F4A35"/>
    <w:rsid w:val="00700170"/>
    <w:rsid w:val="00702DB6"/>
    <w:rsid w:val="00705D1C"/>
    <w:rsid w:val="00705EC4"/>
    <w:rsid w:val="00707021"/>
    <w:rsid w:val="0071210D"/>
    <w:rsid w:val="007158BB"/>
    <w:rsid w:val="007218F2"/>
    <w:rsid w:val="007256EA"/>
    <w:rsid w:val="00730DE0"/>
    <w:rsid w:val="0073345D"/>
    <w:rsid w:val="0073758D"/>
    <w:rsid w:val="0074093D"/>
    <w:rsid w:val="00744AA8"/>
    <w:rsid w:val="00751BBC"/>
    <w:rsid w:val="0075676A"/>
    <w:rsid w:val="0076120C"/>
    <w:rsid w:val="00763D73"/>
    <w:rsid w:val="007640C8"/>
    <w:rsid w:val="007676AF"/>
    <w:rsid w:val="00776087"/>
    <w:rsid w:val="00785145"/>
    <w:rsid w:val="00786497"/>
    <w:rsid w:val="00790289"/>
    <w:rsid w:val="0079496F"/>
    <w:rsid w:val="00794D57"/>
    <w:rsid w:val="00797BE3"/>
    <w:rsid w:val="007A0571"/>
    <w:rsid w:val="007A223B"/>
    <w:rsid w:val="007A4E13"/>
    <w:rsid w:val="007B0292"/>
    <w:rsid w:val="007B0E30"/>
    <w:rsid w:val="007B1050"/>
    <w:rsid w:val="007C11C3"/>
    <w:rsid w:val="007D0CFF"/>
    <w:rsid w:val="007E2E80"/>
    <w:rsid w:val="007E39F7"/>
    <w:rsid w:val="007F054B"/>
    <w:rsid w:val="007F1984"/>
    <w:rsid w:val="007F282E"/>
    <w:rsid w:val="007F7846"/>
    <w:rsid w:val="008041A7"/>
    <w:rsid w:val="008103B2"/>
    <w:rsid w:val="0081299A"/>
    <w:rsid w:val="00821898"/>
    <w:rsid w:val="00823454"/>
    <w:rsid w:val="00824894"/>
    <w:rsid w:val="00830360"/>
    <w:rsid w:val="008307E5"/>
    <w:rsid w:val="00836B75"/>
    <w:rsid w:val="0084469C"/>
    <w:rsid w:val="008455DC"/>
    <w:rsid w:val="00853CC3"/>
    <w:rsid w:val="008659E5"/>
    <w:rsid w:val="00867D56"/>
    <w:rsid w:val="00870064"/>
    <w:rsid w:val="008725EE"/>
    <w:rsid w:val="008731D1"/>
    <w:rsid w:val="00882E8A"/>
    <w:rsid w:val="00887AB7"/>
    <w:rsid w:val="00892543"/>
    <w:rsid w:val="008A1C19"/>
    <w:rsid w:val="008A34F5"/>
    <w:rsid w:val="008A46B7"/>
    <w:rsid w:val="008A75B0"/>
    <w:rsid w:val="008B2BCF"/>
    <w:rsid w:val="008C0E72"/>
    <w:rsid w:val="008C0F70"/>
    <w:rsid w:val="008C2971"/>
    <w:rsid w:val="008C651F"/>
    <w:rsid w:val="008C7CEB"/>
    <w:rsid w:val="008D17A8"/>
    <w:rsid w:val="008E572E"/>
    <w:rsid w:val="008E63C2"/>
    <w:rsid w:val="008F3BD7"/>
    <w:rsid w:val="00903599"/>
    <w:rsid w:val="00905CE1"/>
    <w:rsid w:val="009151CF"/>
    <w:rsid w:val="00925032"/>
    <w:rsid w:val="009272C6"/>
    <w:rsid w:val="00930F68"/>
    <w:rsid w:val="009339EC"/>
    <w:rsid w:val="00933F43"/>
    <w:rsid w:val="00936758"/>
    <w:rsid w:val="00936CE7"/>
    <w:rsid w:val="0093743A"/>
    <w:rsid w:val="00942349"/>
    <w:rsid w:val="00943B37"/>
    <w:rsid w:val="00950ABA"/>
    <w:rsid w:val="00954DC1"/>
    <w:rsid w:val="00960D8F"/>
    <w:rsid w:val="0096284F"/>
    <w:rsid w:val="0096359D"/>
    <w:rsid w:val="00967270"/>
    <w:rsid w:val="0097416D"/>
    <w:rsid w:val="009759F9"/>
    <w:rsid w:val="00984CA8"/>
    <w:rsid w:val="009859B8"/>
    <w:rsid w:val="0099000E"/>
    <w:rsid w:val="00992548"/>
    <w:rsid w:val="00994FE7"/>
    <w:rsid w:val="009962BD"/>
    <w:rsid w:val="009A5B08"/>
    <w:rsid w:val="009B205B"/>
    <w:rsid w:val="009B3592"/>
    <w:rsid w:val="009B70C3"/>
    <w:rsid w:val="009C1EA2"/>
    <w:rsid w:val="009C3FC7"/>
    <w:rsid w:val="009C67FA"/>
    <w:rsid w:val="009D1E63"/>
    <w:rsid w:val="009D34B0"/>
    <w:rsid w:val="009D56AA"/>
    <w:rsid w:val="009E0089"/>
    <w:rsid w:val="009E396D"/>
    <w:rsid w:val="009E7128"/>
    <w:rsid w:val="009F223E"/>
    <w:rsid w:val="009F7B22"/>
    <w:rsid w:val="00A01F59"/>
    <w:rsid w:val="00A06551"/>
    <w:rsid w:val="00A066AD"/>
    <w:rsid w:val="00A10000"/>
    <w:rsid w:val="00A10775"/>
    <w:rsid w:val="00A1088F"/>
    <w:rsid w:val="00A112EB"/>
    <w:rsid w:val="00A2199B"/>
    <w:rsid w:val="00A22469"/>
    <w:rsid w:val="00A25EBC"/>
    <w:rsid w:val="00A26AC5"/>
    <w:rsid w:val="00A3134D"/>
    <w:rsid w:val="00A32F36"/>
    <w:rsid w:val="00A33B3A"/>
    <w:rsid w:val="00A35B31"/>
    <w:rsid w:val="00A4214D"/>
    <w:rsid w:val="00A62727"/>
    <w:rsid w:val="00A65C29"/>
    <w:rsid w:val="00A666CE"/>
    <w:rsid w:val="00A80852"/>
    <w:rsid w:val="00A823B0"/>
    <w:rsid w:val="00A854D1"/>
    <w:rsid w:val="00A871F0"/>
    <w:rsid w:val="00A9172E"/>
    <w:rsid w:val="00A94BF6"/>
    <w:rsid w:val="00A96BC2"/>
    <w:rsid w:val="00AA4F9A"/>
    <w:rsid w:val="00AA5A0A"/>
    <w:rsid w:val="00AB1AF3"/>
    <w:rsid w:val="00AB481C"/>
    <w:rsid w:val="00AB6FE4"/>
    <w:rsid w:val="00AC3E5E"/>
    <w:rsid w:val="00AC7FAD"/>
    <w:rsid w:val="00AD0168"/>
    <w:rsid w:val="00AD3C94"/>
    <w:rsid w:val="00AD4AD8"/>
    <w:rsid w:val="00AD7189"/>
    <w:rsid w:val="00AE658B"/>
    <w:rsid w:val="00AF1F1C"/>
    <w:rsid w:val="00AF2D17"/>
    <w:rsid w:val="00B06F82"/>
    <w:rsid w:val="00B070F5"/>
    <w:rsid w:val="00B1064D"/>
    <w:rsid w:val="00B12CBA"/>
    <w:rsid w:val="00B16CAC"/>
    <w:rsid w:val="00B220AA"/>
    <w:rsid w:val="00B303EA"/>
    <w:rsid w:val="00B31ACE"/>
    <w:rsid w:val="00B31BB2"/>
    <w:rsid w:val="00B33A21"/>
    <w:rsid w:val="00B34950"/>
    <w:rsid w:val="00B36915"/>
    <w:rsid w:val="00B37304"/>
    <w:rsid w:val="00B40D19"/>
    <w:rsid w:val="00B501B2"/>
    <w:rsid w:val="00B50E01"/>
    <w:rsid w:val="00B51B2F"/>
    <w:rsid w:val="00B549E1"/>
    <w:rsid w:val="00B56587"/>
    <w:rsid w:val="00B62C60"/>
    <w:rsid w:val="00B649E6"/>
    <w:rsid w:val="00B75842"/>
    <w:rsid w:val="00B81C51"/>
    <w:rsid w:val="00B826F4"/>
    <w:rsid w:val="00B93C5C"/>
    <w:rsid w:val="00B97CAC"/>
    <w:rsid w:val="00BA11F9"/>
    <w:rsid w:val="00BA6922"/>
    <w:rsid w:val="00BA69A0"/>
    <w:rsid w:val="00BA79BA"/>
    <w:rsid w:val="00BB2359"/>
    <w:rsid w:val="00BC55DA"/>
    <w:rsid w:val="00BC64D4"/>
    <w:rsid w:val="00BD1DE7"/>
    <w:rsid w:val="00BD20DA"/>
    <w:rsid w:val="00BE100C"/>
    <w:rsid w:val="00BE48F3"/>
    <w:rsid w:val="00BE6D77"/>
    <w:rsid w:val="00BF0AEC"/>
    <w:rsid w:val="00BF123B"/>
    <w:rsid w:val="00BF123D"/>
    <w:rsid w:val="00BF3765"/>
    <w:rsid w:val="00BF5EE2"/>
    <w:rsid w:val="00BF6904"/>
    <w:rsid w:val="00BF69B1"/>
    <w:rsid w:val="00C01402"/>
    <w:rsid w:val="00C034B9"/>
    <w:rsid w:val="00C10AAE"/>
    <w:rsid w:val="00C115F4"/>
    <w:rsid w:val="00C14C00"/>
    <w:rsid w:val="00C201E3"/>
    <w:rsid w:val="00C2107B"/>
    <w:rsid w:val="00C2473C"/>
    <w:rsid w:val="00C25822"/>
    <w:rsid w:val="00C25B89"/>
    <w:rsid w:val="00C277F4"/>
    <w:rsid w:val="00C3407E"/>
    <w:rsid w:val="00C34B47"/>
    <w:rsid w:val="00C35F18"/>
    <w:rsid w:val="00C40345"/>
    <w:rsid w:val="00C40AF4"/>
    <w:rsid w:val="00C44F56"/>
    <w:rsid w:val="00C67A59"/>
    <w:rsid w:val="00C8573E"/>
    <w:rsid w:val="00C90CE9"/>
    <w:rsid w:val="00C911DE"/>
    <w:rsid w:val="00C921D5"/>
    <w:rsid w:val="00C95F13"/>
    <w:rsid w:val="00CA2ED9"/>
    <w:rsid w:val="00CA3DD3"/>
    <w:rsid w:val="00CA5EC1"/>
    <w:rsid w:val="00CD1DF0"/>
    <w:rsid w:val="00CD4230"/>
    <w:rsid w:val="00CD5D9E"/>
    <w:rsid w:val="00CE15C8"/>
    <w:rsid w:val="00CF27C6"/>
    <w:rsid w:val="00CF505E"/>
    <w:rsid w:val="00CF7E3D"/>
    <w:rsid w:val="00D01B24"/>
    <w:rsid w:val="00D020E2"/>
    <w:rsid w:val="00D033C3"/>
    <w:rsid w:val="00D04234"/>
    <w:rsid w:val="00D04E44"/>
    <w:rsid w:val="00D0540D"/>
    <w:rsid w:val="00D0673B"/>
    <w:rsid w:val="00D0685A"/>
    <w:rsid w:val="00D073E4"/>
    <w:rsid w:val="00D13B83"/>
    <w:rsid w:val="00D14D51"/>
    <w:rsid w:val="00D14E3B"/>
    <w:rsid w:val="00D23F11"/>
    <w:rsid w:val="00D310C4"/>
    <w:rsid w:val="00D32449"/>
    <w:rsid w:val="00D32E6F"/>
    <w:rsid w:val="00D37095"/>
    <w:rsid w:val="00D46D29"/>
    <w:rsid w:val="00D50CF7"/>
    <w:rsid w:val="00D5329C"/>
    <w:rsid w:val="00D54889"/>
    <w:rsid w:val="00D57072"/>
    <w:rsid w:val="00D57A8D"/>
    <w:rsid w:val="00D61A59"/>
    <w:rsid w:val="00D61E5A"/>
    <w:rsid w:val="00D633B6"/>
    <w:rsid w:val="00D64F6D"/>
    <w:rsid w:val="00D70758"/>
    <w:rsid w:val="00D72377"/>
    <w:rsid w:val="00D75DD0"/>
    <w:rsid w:val="00D760EF"/>
    <w:rsid w:val="00D77F62"/>
    <w:rsid w:val="00D80239"/>
    <w:rsid w:val="00D82C3F"/>
    <w:rsid w:val="00D84D1B"/>
    <w:rsid w:val="00D85C97"/>
    <w:rsid w:val="00D867E7"/>
    <w:rsid w:val="00DA0E70"/>
    <w:rsid w:val="00DA1B7C"/>
    <w:rsid w:val="00DA21DB"/>
    <w:rsid w:val="00DA5A00"/>
    <w:rsid w:val="00DA6917"/>
    <w:rsid w:val="00DB01B2"/>
    <w:rsid w:val="00DB03E7"/>
    <w:rsid w:val="00DB07E3"/>
    <w:rsid w:val="00DB5FF7"/>
    <w:rsid w:val="00DC0CB0"/>
    <w:rsid w:val="00DC46ED"/>
    <w:rsid w:val="00DC4E35"/>
    <w:rsid w:val="00DD0417"/>
    <w:rsid w:val="00DD13E2"/>
    <w:rsid w:val="00DD2781"/>
    <w:rsid w:val="00DD2D53"/>
    <w:rsid w:val="00DD5971"/>
    <w:rsid w:val="00DD5DC9"/>
    <w:rsid w:val="00DE0587"/>
    <w:rsid w:val="00DE16E2"/>
    <w:rsid w:val="00DE7F8B"/>
    <w:rsid w:val="00DF0AF9"/>
    <w:rsid w:val="00DF1527"/>
    <w:rsid w:val="00DF2F2C"/>
    <w:rsid w:val="00DF3485"/>
    <w:rsid w:val="00DF51C8"/>
    <w:rsid w:val="00DF5AC8"/>
    <w:rsid w:val="00DF5C1F"/>
    <w:rsid w:val="00DF641D"/>
    <w:rsid w:val="00E014FE"/>
    <w:rsid w:val="00E04409"/>
    <w:rsid w:val="00E06A24"/>
    <w:rsid w:val="00E1520C"/>
    <w:rsid w:val="00E23E06"/>
    <w:rsid w:val="00E25492"/>
    <w:rsid w:val="00E31685"/>
    <w:rsid w:val="00E32CF8"/>
    <w:rsid w:val="00E35357"/>
    <w:rsid w:val="00E36CCB"/>
    <w:rsid w:val="00E37AA1"/>
    <w:rsid w:val="00E426C9"/>
    <w:rsid w:val="00E50BBA"/>
    <w:rsid w:val="00E50EFF"/>
    <w:rsid w:val="00E50F4B"/>
    <w:rsid w:val="00E51947"/>
    <w:rsid w:val="00E52335"/>
    <w:rsid w:val="00E53096"/>
    <w:rsid w:val="00E55D39"/>
    <w:rsid w:val="00E56111"/>
    <w:rsid w:val="00E60476"/>
    <w:rsid w:val="00E61468"/>
    <w:rsid w:val="00E65AE8"/>
    <w:rsid w:val="00E70CAE"/>
    <w:rsid w:val="00E70CC2"/>
    <w:rsid w:val="00E70D08"/>
    <w:rsid w:val="00E726BA"/>
    <w:rsid w:val="00E72712"/>
    <w:rsid w:val="00E83DA0"/>
    <w:rsid w:val="00E93579"/>
    <w:rsid w:val="00EA0886"/>
    <w:rsid w:val="00EA2AAB"/>
    <w:rsid w:val="00EB2068"/>
    <w:rsid w:val="00EC1776"/>
    <w:rsid w:val="00EC4B6A"/>
    <w:rsid w:val="00EC5721"/>
    <w:rsid w:val="00EC63B8"/>
    <w:rsid w:val="00ED4829"/>
    <w:rsid w:val="00ED60C2"/>
    <w:rsid w:val="00ED634A"/>
    <w:rsid w:val="00ED78F3"/>
    <w:rsid w:val="00EE03F5"/>
    <w:rsid w:val="00EE08F5"/>
    <w:rsid w:val="00EE5CE9"/>
    <w:rsid w:val="00EF4D17"/>
    <w:rsid w:val="00EF6B28"/>
    <w:rsid w:val="00F03B7A"/>
    <w:rsid w:val="00F07676"/>
    <w:rsid w:val="00F07DC2"/>
    <w:rsid w:val="00F1563F"/>
    <w:rsid w:val="00F1657E"/>
    <w:rsid w:val="00F1770B"/>
    <w:rsid w:val="00F2178A"/>
    <w:rsid w:val="00F22519"/>
    <w:rsid w:val="00F2343A"/>
    <w:rsid w:val="00F44637"/>
    <w:rsid w:val="00F45389"/>
    <w:rsid w:val="00F46398"/>
    <w:rsid w:val="00F4708B"/>
    <w:rsid w:val="00F53B53"/>
    <w:rsid w:val="00F562AF"/>
    <w:rsid w:val="00F612DC"/>
    <w:rsid w:val="00F66A72"/>
    <w:rsid w:val="00F7667E"/>
    <w:rsid w:val="00F83F9F"/>
    <w:rsid w:val="00F8521C"/>
    <w:rsid w:val="00F86466"/>
    <w:rsid w:val="00F8666D"/>
    <w:rsid w:val="00F91340"/>
    <w:rsid w:val="00F92D09"/>
    <w:rsid w:val="00F96AD5"/>
    <w:rsid w:val="00FA0A04"/>
    <w:rsid w:val="00FA47E2"/>
    <w:rsid w:val="00FA5870"/>
    <w:rsid w:val="00FB2F77"/>
    <w:rsid w:val="00FB55E9"/>
    <w:rsid w:val="00FC716A"/>
    <w:rsid w:val="00FC7D8B"/>
    <w:rsid w:val="00FD3A3C"/>
    <w:rsid w:val="00FD4EB1"/>
    <w:rsid w:val="00FD7EE2"/>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character" w:styleId="Hipervnculovisitado">
    <w:name w:val="FollowedHyperlink"/>
    <w:basedOn w:val="Fuentedeprrafopredeter"/>
    <w:uiPriority w:val="99"/>
    <w:semiHidden/>
    <w:unhideWhenUsed/>
    <w:rsid w:val="009A5B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403566">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ipomex.org.mx/ipo3/lgt/indice/TEZOYUCA/art_94_ii_a2/1.web"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3B2BF-5916-44D9-87D0-744E90CA4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4499</Words>
  <Characters>24748</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2019-08-09T18:01:00Z</cp:lastPrinted>
  <dcterms:created xsi:type="dcterms:W3CDTF">2019-10-18T19:38:00Z</dcterms:created>
  <dcterms:modified xsi:type="dcterms:W3CDTF">2019-10-18T19:38:00Z</dcterms:modified>
</cp:coreProperties>
</file>