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380" w:rsidRPr="003E7669" w:rsidRDefault="00125380" w:rsidP="00125380">
      <w:pPr>
        <w:widowControl w:val="0"/>
        <w:spacing w:line="360" w:lineRule="auto"/>
        <w:ind w:right="-164"/>
        <w:contextualSpacing/>
        <w:jc w:val="both"/>
        <w:rPr>
          <w:rFonts w:ascii="Palatino Linotype" w:eastAsia="Calibri" w:hAnsi="Palatino Linotype" w:cs="Arial"/>
          <w:b/>
          <w:color w:val="000000"/>
        </w:rPr>
      </w:pPr>
      <w:r w:rsidRPr="003E766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443BB7">
        <w:rPr>
          <w:rFonts w:ascii="Palatino Linotype" w:hAnsi="Palatino Linotype" w:cs="Arial"/>
          <w:b/>
        </w:rPr>
        <w:t>TRIG</w:t>
      </w:r>
      <w:r w:rsidR="00443BB7" w:rsidRPr="003E7669">
        <w:rPr>
          <w:rFonts w:ascii="Palatino Linotype" w:hAnsi="Palatino Linotype" w:cs="Arial"/>
          <w:b/>
        </w:rPr>
        <w:t xml:space="preserve">ÉSIMA </w:t>
      </w:r>
      <w:r>
        <w:rPr>
          <w:rFonts w:ascii="Palatino Linotype" w:hAnsi="Palatino Linotype" w:cs="Arial"/>
          <w:b/>
        </w:rPr>
        <w:t>SEXTA</w:t>
      </w:r>
      <w:r w:rsidRPr="003E7669">
        <w:rPr>
          <w:rFonts w:ascii="Palatino Linotype" w:hAnsi="Palatino Linotype" w:cs="Arial"/>
          <w:b/>
        </w:rPr>
        <w:t xml:space="preserve"> SESIÓN ORDINARIA DEL </w:t>
      </w:r>
      <w:r>
        <w:rPr>
          <w:rFonts w:ascii="Palatino Linotype" w:hAnsi="Palatino Linotype" w:cs="Arial"/>
          <w:b/>
        </w:rPr>
        <w:t>DOS</w:t>
      </w:r>
      <w:r w:rsidRPr="003E7669">
        <w:rPr>
          <w:rFonts w:ascii="Palatino Linotype" w:hAnsi="Palatino Linotype" w:cs="Arial"/>
          <w:b/>
        </w:rPr>
        <w:t xml:space="preserve"> DE </w:t>
      </w:r>
      <w:r>
        <w:rPr>
          <w:rFonts w:ascii="Palatino Linotype" w:hAnsi="Palatino Linotype" w:cs="Arial"/>
          <w:b/>
        </w:rPr>
        <w:t>OCTUBRE</w:t>
      </w:r>
      <w:r w:rsidRPr="003E7669">
        <w:rPr>
          <w:rFonts w:ascii="Palatino Linotype" w:hAnsi="Palatino Linotype" w:cs="Arial"/>
          <w:b/>
        </w:rPr>
        <w:t xml:space="preserve"> DE DOS MIL DIECINUEVE, EN EL RECURSO DE REVISIÓN </w:t>
      </w:r>
      <w:r>
        <w:rPr>
          <w:rFonts w:ascii="Palatino Linotype" w:hAnsi="Palatino Linotype" w:cs="Arial"/>
          <w:b/>
          <w:bCs/>
          <w:lang w:eastAsia="es-MX"/>
        </w:rPr>
        <w:t>06368</w:t>
      </w:r>
      <w:r w:rsidRPr="003E7669">
        <w:rPr>
          <w:rFonts w:ascii="Palatino Linotype" w:hAnsi="Palatino Linotype" w:cs="Arial"/>
          <w:b/>
          <w:bCs/>
          <w:lang w:eastAsia="es-MX"/>
        </w:rPr>
        <w:t>/INFOEM/IP/RR/2019</w:t>
      </w:r>
      <w:r w:rsidRPr="003E7669">
        <w:rPr>
          <w:rFonts w:ascii="Palatino Linotype" w:eastAsia="Calibri" w:hAnsi="Palatino Linotype" w:cs="Arial"/>
          <w:b/>
          <w:color w:val="000000"/>
        </w:rPr>
        <w:t>.</w:t>
      </w:r>
    </w:p>
    <w:p w:rsidR="00125380" w:rsidRPr="003E7669" w:rsidRDefault="00125380" w:rsidP="00125380">
      <w:pPr>
        <w:widowControl w:val="0"/>
        <w:spacing w:line="360" w:lineRule="auto"/>
        <w:ind w:right="-164"/>
        <w:contextualSpacing/>
        <w:jc w:val="both"/>
        <w:rPr>
          <w:rFonts w:ascii="Palatino Linotype" w:eastAsia="Calibri" w:hAnsi="Palatino Linotype" w:cs="Arial"/>
          <w:b/>
          <w:color w:val="000000"/>
        </w:rPr>
      </w:pPr>
    </w:p>
    <w:p w:rsidR="00125380" w:rsidRPr="003E7669" w:rsidRDefault="00125380" w:rsidP="00125380">
      <w:pPr>
        <w:spacing w:line="360" w:lineRule="auto"/>
        <w:contextualSpacing/>
        <w:jc w:val="both"/>
        <w:rPr>
          <w:rFonts w:ascii="Palatino Linotype" w:hAnsi="Palatino Linotype" w:cs="Arial"/>
        </w:rPr>
      </w:pPr>
      <w:r w:rsidRPr="003E7669">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3E7669">
        <w:rPr>
          <w:rFonts w:ascii="Palatino Linotype" w:hAnsi="Palatino Linotype" w:cs="Arial"/>
          <w:b/>
          <w:lang w:val="es-ES_tradnl"/>
        </w:rPr>
        <w:t xml:space="preserve"> </w:t>
      </w:r>
      <w:r w:rsidRPr="003E7669">
        <w:rPr>
          <w:rFonts w:ascii="Palatino Linotype" w:hAnsi="Palatino Linotype" w:cs="Arial"/>
          <w:b/>
        </w:rPr>
        <w:t xml:space="preserve">EVA ABAID YAPUR </w:t>
      </w:r>
      <w:r w:rsidRPr="003E7669">
        <w:rPr>
          <w:rFonts w:ascii="Palatino Linotype" w:hAnsi="Palatino Linotype" w:cs="Arial"/>
        </w:rPr>
        <w:t xml:space="preserve">emite </w:t>
      </w:r>
      <w:r w:rsidRPr="003E7669">
        <w:rPr>
          <w:rFonts w:ascii="Palatino Linotype" w:hAnsi="Palatino Linotype" w:cs="Arial"/>
          <w:b/>
        </w:rPr>
        <w:t xml:space="preserve">VOTO PARTICULAR </w:t>
      </w:r>
      <w:r w:rsidRPr="003E7669">
        <w:rPr>
          <w:rFonts w:ascii="Palatino Linotype" w:hAnsi="Palatino Linotype" w:cs="Arial"/>
        </w:rPr>
        <w:t xml:space="preserve">respecto de la resolución dictada en el recurso de revisión </w:t>
      </w:r>
      <w:r>
        <w:rPr>
          <w:rFonts w:ascii="Palatino Linotype" w:hAnsi="Palatino Linotype" w:cs="Arial"/>
          <w:b/>
          <w:bCs/>
          <w:lang w:eastAsia="es-MX"/>
        </w:rPr>
        <w:t>0636</w:t>
      </w:r>
      <w:r w:rsidRPr="003E7669">
        <w:rPr>
          <w:rFonts w:ascii="Palatino Linotype" w:hAnsi="Palatino Linotype" w:cs="Arial"/>
          <w:b/>
          <w:bCs/>
          <w:lang w:eastAsia="es-MX"/>
        </w:rPr>
        <w:t>8</w:t>
      </w:r>
      <w:r>
        <w:rPr>
          <w:rFonts w:ascii="Palatino Linotype" w:hAnsi="Palatino Linotype" w:cs="Arial"/>
          <w:b/>
          <w:bCs/>
          <w:lang w:eastAsia="es-MX"/>
        </w:rPr>
        <w:t>/INFOEM/IP/RR/2019</w:t>
      </w:r>
      <w:r w:rsidRPr="003E7669">
        <w:rPr>
          <w:rFonts w:ascii="Palatino Linotype" w:hAnsi="Palatino Linotype" w:cs="Arial"/>
          <w:b/>
          <w:bCs/>
          <w:lang w:eastAsia="es-MX"/>
        </w:rPr>
        <w:t xml:space="preserve">, </w:t>
      </w:r>
      <w:r w:rsidRPr="003E7669">
        <w:rPr>
          <w:rFonts w:ascii="Palatino Linotype" w:hAnsi="Palatino Linotype" w:cs="Arial"/>
        </w:rPr>
        <w:t xml:space="preserve">pronunciada por el Pleno de este Instituto ante el proyecto presentado por el Comisionado </w:t>
      </w:r>
      <w:r w:rsidRPr="003E7669">
        <w:rPr>
          <w:rFonts w:ascii="Palatino Linotype" w:hAnsi="Palatino Linotype" w:cs="Arial"/>
          <w:b/>
        </w:rPr>
        <w:t>JOSÉ GUADALUPE LUNA HERNÁNDEZ</w:t>
      </w:r>
      <w:r w:rsidRPr="003E7669">
        <w:rPr>
          <w:rFonts w:ascii="Palatino Linotype" w:hAnsi="Palatino Linotype" w:cs="Arial"/>
        </w:rPr>
        <w:t>, que es del tenor siguiente.</w:t>
      </w:r>
    </w:p>
    <w:p w:rsidR="00125380" w:rsidRPr="003E7669" w:rsidRDefault="00125380" w:rsidP="00125380">
      <w:pPr>
        <w:spacing w:line="360" w:lineRule="auto"/>
        <w:contextualSpacing/>
        <w:jc w:val="both"/>
        <w:rPr>
          <w:rFonts w:ascii="Palatino Linotype" w:hAnsi="Palatino Linotype" w:cs="Arial"/>
        </w:rPr>
      </w:pPr>
    </w:p>
    <w:p w:rsidR="00125380" w:rsidRPr="003E7669" w:rsidRDefault="00125380" w:rsidP="00125380">
      <w:pPr>
        <w:spacing w:line="360" w:lineRule="auto"/>
        <w:contextualSpacing/>
        <w:jc w:val="both"/>
        <w:rPr>
          <w:rFonts w:ascii="Palatino Linotype" w:hAnsi="Palatino Linotype"/>
        </w:rPr>
      </w:pPr>
      <w:r w:rsidRPr="003E7669">
        <w:rPr>
          <w:rFonts w:ascii="Palatino Linotype" w:hAnsi="Palatino Linotype"/>
        </w:rPr>
        <w:t>Es de destacar, que la suscrita comparte esencialmente el estudio realizado en la resolución del recurso de revisión; empero, considero necesario precisar algunas cuestiones de hecho y de derecho.</w:t>
      </w:r>
    </w:p>
    <w:p w:rsidR="00125380" w:rsidRPr="003E7669" w:rsidRDefault="00125380" w:rsidP="00125380">
      <w:pPr>
        <w:spacing w:line="360" w:lineRule="auto"/>
        <w:contextualSpacing/>
        <w:jc w:val="both"/>
        <w:rPr>
          <w:rFonts w:ascii="Palatino Linotype" w:hAnsi="Palatino Linotype"/>
        </w:rPr>
      </w:pPr>
    </w:p>
    <w:p w:rsidR="00125380" w:rsidRDefault="00125380" w:rsidP="00125380">
      <w:pPr>
        <w:spacing w:line="360" w:lineRule="auto"/>
        <w:contextualSpacing/>
        <w:jc w:val="both"/>
        <w:rPr>
          <w:rFonts w:ascii="Palatino Linotype" w:hAnsi="Palatino Linotype"/>
        </w:rPr>
      </w:pPr>
      <w:r w:rsidRPr="003E7669">
        <w:rPr>
          <w:rFonts w:ascii="Palatino Linotype" w:hAnsi="Palatino Linotype"/>
        </w:rPr>
        <w:t xml:space="preserve">Al respecto, tal y como quedó debidamente asentado en la resolución materia del </w:t>
      </w:r>
      <w:proofErr w:type="gramStart"/>
      <w:r w:rsidRPr="003E7669">
        <w:rPr>
          <w:rFonts w:ascii="Palatino Linotype" w:hAnsi="Palatino Linotype"/>
        </w:rPr>
        <w:t>presente</w:t>
      </w:r>
      <w:proofErr w:type="gramEnd"/>
      <w:r w:rsidRPr="003E7669">
        <w:rPr>
          <w:rFonts w:ascii="Palatino Linotype" w:hAnsi="Palatino Linotype"/>
        </w:rPr>
        <w:t xml:space="preserve"> voto, la particular requirió de </w:t>
      </w:r>
      <w:r>
        <w:rPr>
          <w:rFonts w:ascii="Palatino Linotype" w:hAnsi="Palatino Linotype"/>
          <w:b/>
        </w:rPr>
        <w:t xml:space="preserve">Ayuntamiento de </w:t>
      </w:r>
      <w:proofErr w:type="spellStart"/>
      <w:r>
        <w:rPr>
          <w:rFonts w:ascii="Palatino Linotype" w:hAnsi="Palatino Linotype"/>
          <w:b/>
        </w:rPr>
        <w:t>Temascalcingo</w:t>
      </w:r>
      <w:proofErr w:type="spellEnd"/>
      <w:r w:rsidRPr="003E7669">
        <w:rPr>
          <w:rFonts w:ascii="Palatino Linotype" w:hAnsi="Palatino Linotype"/>
        </w:rPr>
        <w:t xml:space="preserve">, en lo </w:t>
      </w:r>
      <w:r w:rsidRPr="003E7669">
        <w:rPr>
          <w:rFonts w:ascii="Palatino Linotype" w:hAnsi="Palatino Linotype"/>
        </w:rPr>
        <w:lastRenderedPageBreak/>
        <w:t>subsecuente</w:t>
      </w:r>
      <w:r w:rsidRPr="003E7669">
        <w:rPr>
          <w:rFonts w:ascii="Palatino Linotype" w:hAnsi="Palatino Linotype"/>
          <w:b/>
        </w:rPr>
        <w:t xml:space="preserve"> EL SUJETO OBLIGADO,</w:t>
      </w:r>
      <w:r w:rsidRPr="003E7669">
        <w:rPr>
          <w:rFonts w:ascii="Palatino Linotype" w:hAnsi="Palatino Linotype"/>
        </w:rPr>
        <w:t xml:space="preserve"> vía SAIMEX, </w:t>
      </w:r>
      <w:r>
        <w:rPr>
          <w:rFonts w:ascii="Palatino Linotype" w:hAnsi="Palatino Linotype"/>
        </w:rPr>
        <w:t>la información que a continuación se desagrega</w:t>
      </w:r>
      <w:r w:rsidRPr="003E7669">
        <w:rPr>
          <w:rFonts w:ascii="Palatino Linotype" w:hAnsi="Palatino Linotype"/>
        </w:rPr>
        <w:t xml:space="preserve">: </w:t>
      </w:r>
    </w:p>
    <w:p w:rsidR="00125380" w:rsidRDefault="00125380" w:rsidP="00125380">
      <w:pPr>
        <w:spacing w:line="360" w:lineRule="auto"/>
        <w:contextualSpacing/>
        <w:jc w:val="both"/>
        <w:rPr>
          <w:rFonts w:ascii="Palatino Linotype" w:hAnsi="Palatino Linotype"/>
        </w:rPr>
      </w:pPr>
    </w:p>
    <w:p w:rsidR="00125380" w:rsidRPr="00882D5B" w:rsidRDefault="00125380" w:rsidP="00125380">
      <w:pPr>
        <w:spacing w:before="100" w:beforeAutospacing="1" w:after="100" w:afterAutospacing="1"/>
        <w:ind w:left="851" w:right="902"/>
        <w:contextualSpacing/>
        <w:jc w:val="both"/>
        <w:rPr>
          <w:rFonts w:ascii="Palatino Linotype" w:hAnsi="Palatino Linotype"/>
          <w:i/>
          <w:sz w:val="22"/>
          <w:szCs w:val="22"/>
        </w:rPr>
      </w:pPr>
      <w:r w:rsidRPr="00882D5B">
        <w:rPr>
          <w:rFonts w:ascii="Palatino Linotype" w:hAnsi="Palatino Linotype"/>
          <w:i/>
          <w:sz w:val="22"/>
          <w:szCs w:val="22"/>
        </w:rPr>
        <w:t>“copia del acuerdo de cabildo para emitir l</w:t>
      </w:r>
      <w:r>
        <w:rPr>
          <w:rFonts w:ascii="Palatino Linotype" w:hAnsi="Palatino Linotype"/>
          <w:i/>
          <w:sz w:val="22"/>
          <w:szCs w:val="22"/>
        </w:rPr>
        <w:t>a licencia de funcionamiento de un</w:t>
      </w:r>
      <w:r w:rsidRPr="00882D5B">
        <w:rPr>
          <w:rFonts w:ascii="Palatino Linotype" w:hAnsi="Palatino Linotype"/>
          <w:i/>
          <w:sz w:val="22"/>
          <w:szCs w:val="22"/>
        </w:rPr>
        <w:t xml:space="preserve"> centro </w:t>
      </w:r>
      <w:proofErr w:type="spellStart"/>
      <w:r w:rsidRPr="00882D5B">
        <w:rPr>
          <w:rFonts w:ascii="Palatino Linotype" w:hAnsi="Palatino Linotype"/>
          <w:i/>
          <w:sz w:val="22"/>
          <w:szCs w:val="22"/>
        </w:rPr>
        <w:t>botanero</w:t>
      </w:r>
      <w:proofErr w:type="spellEnd"/>
      <w:r>
        <w:rPr>
          <w:rFonts w:ascii="Palatino Linotype" w:hAnsi="Palatino Linotype"/>
          <w:i/>
          <w:sz w:val="22"/>
          <w:szCs w:val="22"/>
        </w:rPr>
        <w:t>;</w:t>
      </w:r>
      <w:r w:rsidRPr="00882D5B">
        <w:rPr>
          <w:rFonts w:ascii="Palatino Linotype" w:hAnsi="Palatino Linotype"/>
          <w:i/>
          <w:sz w:val="22"/>
          <w:szCs w:val="22"/>
        </w:rPr>
        <w:t xml:space="preserve"> así como</w:t>
      </w:r>
      <w:r>
        <w:rPr>
          <w:rFonts w:ascii="Palatino Linotype" w:hAnsi="Palatino Linotype"/>
          <w:i/>
          <w:sz w:val="22"/>
          <w:szCs w:val="22"/>
        </w:rPr>
        <w:t>,</w:t>
      </w:r>
      <w:r w:rsidRPr="00882D5B">
        <w:rPr>
          <w:rFonts w:ascii="Palatino Linotype" w:hAnsi="Palatino Linotype"/>
          <w:i/>
          <w:sz w:val="22"/>
          <w:szCs w:val="22"/>
        </w:rPr>
        <w:t xml:space="preserve"> copia del Dictamen Único de Factibilidad”</w:t>
      </w:r>
    </w:p>
    <w:p w:rsidR="00125380" w:rsidRDefault="00125380" w:rsidP="00125380">
      <w:pPr>
        <w:spacing w:line="360" w:lineRule="auto"/>
        <w:contextualSpacing/>
        <w:jc w:val="both"/>
        <w:rPr>
          <w:rFonts w:ascii="Palatino Linotype" w:hAnsi="Palatino Linotype"/>
        </w:rPr>
      </w:pPr>
    </w:p>
    <w:p w:rsidR="00125380" w:rsidRDefault="00125380" w:rsidP="00125380">
      <w:pPr>
        <w:spacing w:line="360" w:lineRule="auto"/>
        <w:contextualSpacing/>
        <w:jc w:val="both"/>
        <w:rPr>
          <w:rFonts w:ascii="Palatino Linotype" w:hAnsi="Palatino Linotype" w:cs="Arial"/>
        </w:rPr>
      </w:pPr>
      <w:r>
        <w:rPr>
          <w:rFonts w:ascii="Palatino Linotype" w:hAnsi="Palatino Linotype" w:cs="Arial"/>
        </w:rPr>
        <w:t xml:space="preserve">Así se puede apreciar dentro del expediente electrónico del Sistema de Acceso a la Información Mexiquense en lo subsecuente el </w:t>
      </w:r>
      <w:r w:rsidRPr="00674996">
        <w:rPr>
          <w:rFonts w:ascii="Palatino Linotype" w:hAnsi="Palatino Linotype" w:cs="Arial"/>
          <w:b/>
        </w:rPr>
        <w:t>SAIMEX</w:t>
      </w:r>
      <w:r>
        <w:rPr>
          <w:rFonts w:ascii="Palatino Linotype" w:hAnsi="Palatino Linotype" w:cs="Arial"/>
          <w:b/>
        </w:rPr>
        <w:t>,</w:t>
      </w:r>
      <w:r>
        <w:rPr>
          <w:rFonts w:ascii="Palatino Linotype" w:hAnsi="Palatino Linotype" w:cs="Arial"/>
        </w:rPr>
        <w:t xml:space="preserve"> que </w:t>
      </w:r>
      <w:r w:rsidRPr="00B57FE6">
        <w:rPr>
          <w:rFonts w:ascii="Palatino Linotype" w:hAnsi="Palatino Linotype" w:cs="Arial"/>
          <w:b/>
        </w:rPr>
        <w:t>EL SUJETO OBLIGADO</w:t>
      </w:r>
      <w:r>
        <w:rPr>
          <w:rFonts w:ascii="Palatino Linotype" w:hAnsi="Palatino Linotype" w:cs="Arial"/>
          <w:b/>
        </w:rPr>
        <w:t xml:space="preserve">, </w:t>
      </w:r>
      <w:r>
        <w:rPr>
          <w:rFonts w:ascii="Palatino Linotype" w:hAnsi="Palatino Linotype" w:cs="Arial"/>
        </w:rPr>
        <w:t>fue omiso en proporcionar la respuesta a la solicitud de información.</w:t>
      </w:r>
    </w:p>
    <w:p w:rsidR="00125380" w:rsidRPr="003E7669" w:rsidRDefault="00125380" w:rsidP="00125380">
      <w:pPr>
        <w:spacing w:line="360" w:lineRule="auto"/>
        <w:contextualSpacing/>
        <w:jc w:val="both"/>
        <w:rPr>
          <w:rFonts w:ascii="Palatino Linotype" w:hAnsi="Palatino Linotype" w:cs="Arial"/>
        </w:rPr>
      </w:pPr>
    </w:p>
    <w:p w:rsidR="00125380" w:rsidRDefault="00125380" w:rsidP="00125380">
      <w:pPr>
        <w:spacing w:line="360" w:lineRule="auto"/>
        <w:contextualSpacing/>
        <w:jc w:val="both"/>
        <w:rPr>
          <w:rFonts w:ascii="Palatino Linotype" w:hAnsi="Palatino Linotype"/>
        </w:rPr>
      </w:pPr>
      <w:r w:rsidRPr="003E7669">
        <w:rPr>
          <w:rFonts w:ascii="Palatino Linotype" w:hAnsi="Palatino Linotype"/>
        </w:rPr>
        <w:t xml:space="preserve">Ante la </w:t>
      </w:r>
      <w:r>
        <w:rPr>
          <w:rFonts w:ascii="Palatino Linotype" w:hAnsi="Palatino Linotype"/>
        </w:rPr>
        <w:t xml:space="preserve">falta de </w:t>
      </w:r>
      <w:r w:rsidRPr="003E7669">
        <w:rPr>
          <w:rFonts w:ascii="Palatino Linotype" w:hAnsi="Palatino Linotype"/>
        </w:rPr>
        <w:t xml:space="preserve">respuesta del </w:t>
      </w:r>
      <w:r w:rsidRPr="003E7669">
        <w:rPr>
          <w:rFonts w:ascii="Palatino Linotype" w:hAnsi="Palatino Linotype"/>
          <w:b/>
        </w:rPr>
        <w:t>SUJETO OBLIGADO</w:t>
      </w:r>
      <w:r w:rsidRPr="003E7669">
        <w:rPr>
          <w:rFonts w:ascii="Palatino Linotype" w:hAnsi="Palatino Linotype"/>
        </w:rPr>
        <w:t xml:space="preserve">, </w:t>
      </w:r>
      <w:r w:rsidRPr="003E7669">
        <w:rPr>
          <w:rFonts w:ascii="Palatino Linotype" w:hAnsi="Palatino Linotype"/>
          <w:b/>
        </w:rPr>
        <w:t>LA RECURRENTE</w:t>
      </w:r>
      <w:r w:rsidRPr="003E7669">
        <w:rPr>
          <w:rFonts w:ascii="Palatino Linotype" w:hAnsi="Palatino Linotype"/>
        </w:rPr>
        <w:t xml:space="preserve"> interpuso los medios de impugnación que dieron origen al presente voto, argumentando como</w:t>
      </w:r>
      <w:r>
        <w:rPr>
          <w:rFonts w:ascii="Palatino Linotype" w:hAnsi="Palatino Linotype"/>
        </w:rPr>
        <w:t xml:space="preserve"> acto impugnado:</w:t>
      </w:r>
    </w:p>
    <w:p w:rsidR="00125380" w:rsidRDefault="00125380" w:rsidP="00125380">
      <w:pPr>
        <w:spacing w:line="360" w:lineRule="auto"/>
        <w:contextualSpacing/>
        <w:jc w:val="both"/>
        <w:rPr>
          <w:rFonts w:ascii="Palatino Linotype" w:hAnsi="Palatino Linotype"/>
        </w:rPr>
      </w:pPr>
    </w:p>
    <w:p w:rsidR="00125380" w:rsidRPr="00882D5B" w:rsidRDefault="00125380" w:rsidP="00125380">
      <w:pPr>
        <w:spacing w:before="100" w:beforeAutospacing="1" w:after="100" w:afterAutospacing="1"/>
        <w:ind w:left="851" w:right="902"/>
        <w:contextualSpacing/>
        <w:jc w:val="both"/>
        <w:rPr>
          <w:rFonts w:ascii="Palatino Linotype" w:hAnsi="Palatino Linotype"/>
          <w:i/>
          <w:sz w:val="22"/>
          <w:szCs w:val="22"/>
        </w:rPr>
      </w:pPr>
      <w:r>
        <w:rPr>
          <w:rFonts w:ascii="Palatino Linotype" w:hAnsi="Palatino Linotype"/>
          <w:i/>
          <w:sz w:val="22"/>
          <w:szCs w:val="22"/>
        </w:rPr>
        <w:t>“</w:t>
      </w:r>
      <w:r w:rsidRPr="00882D5B">
        <w:rPr>
          <w:rFonts w:ascii="Palatino Linotype" w:hAnsi="Palatino Linotype"/>
          <w:i/>
          <w:sz w:val="22"/>
          <w:szCs w:val="22"/>
        </w:rPr>
        <w:t>Falta de respuesta a solicitud de información</w:t>
      </w:r>
      <w:r>
        <w:rPr>
          <w:rFonts w:ascii="Palatino Linotype" w:hAnsi="Palatino Linotype"/>
          <w:i/>
          <w:sz w:val="22"/>
          <w:szCs w:val="22"/>
        </w:rPr>
        <w:t>”</w:t>
      </w:r>
    </w:p>
    <w:p w:rsidR="00125380" w:rsidRDefault="00125380" w:rsidP="00125380">
      <w:pPr>
        <w:spacing w:line="360" w:lineRule="auto"/>
        <w:contextualSpacing/>
        <w:jc w:val="both"/>
        <w:rPr>
          <w:rFonts w:ascii="Palatino Linotype" w:hAnsi="Palatino Linotype"/>
        </w:rPr>
      </w:pPr>
    </w:p>
    <w:p w:rsidR="00125380" w:rsidRDefault="00125380" w:rsidP="00125380">
      <w:pPr>
        <w:spacing w:line="360" w:lineRule="auto"/>
        <w:contextualSpacing/>
        <w:jc w:val="both"/>
        <w:rPr>
          <w:rFonts w:ascii="Palatino Linotype" w:hAnsi="Palatino Linotype"/>
        </w:rPr>
      </w:pPr>
      <w:r>
        <w:rPr>
          <w:rFonts w:ascii="Palatino Linotype" w:hAnsi="Palatino Linotype"/>
        </w:rPr>
        <w:t xml:space="preserve">Asimismo, como </w:t>
      </w:r>
      <w:r w:rsidRPr="003E7669">
        <w:rPr>
          <w:rFonts w:ascii="Palatino Linotype" w:hAnsi="Palatino Linotype"/>
        </w:rPr>
        <w:t xml:space="preserve"> razones o motivos de inconformidad lo siguiente:</w:t>
      </w:r>
    </w:p>
    <w:p w:rsidR="00443BB7" w:rsidRDefault="00443BB7" w:rsidP="00125380">
      <w:pPr>
        <w:spacing w:line="360" w:lineRule="auto"/>
        <w:contextualSpacing/>
        <w:jc w:val="both"/>
        <w:rPr>
          <w:rFonts w:ascii="Palatino Linotype" w:hAnsi="Palatino Linotype"/>
        </w:rPr>
      </w:pPr>
    </w:p>
    <w:p w:rsidR="00125380" w:rsidRPr="005F5EBC" w:rsidRDefault="00125380" w:rsidP="00125380">
      <w:pPr>
        <w:ind w:left="851" w:right="902"/>
        <w:contextualSpacing/>
        <w:jc w:val="both"/>
        <w:rPr>
          <w:rFonts w:ascii="Palatino Linotype" w:hAnsi="Palatino Linotype"/>
        </w:rPr>
      </w:pPr>
      <w:r w:rsidRPr="003E7669">
        <w:rPr>
          <w:rFonts w:ascii="Palatino Linotype" w:hAnsi="Palatino Linotype"/>
          <w:i/>
          <w:sz w:val="22"/>
          <w:szCs w:val="22"/>
        </w:rPr>
        <w:t>“</w:t>
      </w:r>
      <w:r w:rsidRPr="00882D5B">
        <w:rPr>
          <w:rFonts w:ascii="Palatino Linotype" w:hAnsi="Palatino Linotype"/>
          <w:i/>
          <w:color w:val="000000"/>
          <w:sz w:val="22"/>
          <w:szCs w:val="22"/>
        </w:rPr>
        <w:t xml:space="preserve">No se dio respuesta a la solicitud en el plazo fijado por la ley de transparencia del estado. </w:t>
      </w:r>
      <w:r w:rsidRPr="003E7669">
        <w:rPr>
          <w:rFonts w:ascii="Palatino Linotype" w:hAnsi="Palatino Linotype"/>
          <w:i/>
          <w:sz w:val="22"/>
          <w:szCs w:val="22"/>
        </w:rPr>
        <w:t>(Sic).</w:t>
      </w:r>
    </w:p>
    <w:p w:rsidR="00125380" w:rsidRPr="003E7669" w:rsidRDefault="00125380" w:rsidP="00125380">
      <w:pPr>
        <w:pStyle w:val="Sinespaciado"/>
        <w:ind w:left="851" w:right="757"/>
        <w:contextualSpacing/>
        <w:jc w:val="both"/>
        <w:rPr>
          <w:rFonts w:ascii="Palatino Linotype" w:hAnsi="Palatino Linotype"/>
          <w:i/>
          <w:sz w:val="22"/>
          <w:szCs w:val="22"/>
        </w:rPr>
      </w:pPr>
    </w:p>
    <w:p w:rsidR="00125380" w:rsidRPr="003E7669" w:rsidRDefault="00125380" w:rsidP="00125380">
      <w:pPr>
        <w:spacing w:line="360" w:lineRule="auto"/>
        <w:contextualSpacing/>
        <w:jc w:val="both"/>
        <w:rPr>
          <w:rFonts w:ascii="Palatino Linotype" w:hAnsi="Palatino Linotype" w:cs="Arial"/>
        </w:rPr>
      </w:pPr>
      <w:r w:rsidRPr="003E7669">
        <w:rPr>
          <w:rFonts w:ascii="Palatino Linotype" w:hAnsi="Palatino Linotype" w:cs="Arial"/>
        </w:rPr>
        <w:t xml:space="preserve">Asimismo, se advierte dentro del expediente electrónico que </w:t>
      </w:r>
      <w:r w:rsidRPr="003E7669">
        <w:rPr>
          <w:rFonts w:ascii="Palatino Linotype" w:hAnsi="Palatino Linotype" w:cs="Arial"/>
          <w:b/>
        </w:rPr>
        <w:t xml:space="preserve">EL SUJETO OBLIGADO, </w:t>
      </w:r>
      <w:r w:rsidRPr="003E7669">
        <w:rPr>
          <w:rFonts w:ascii="Palatino Linotype" w:hAnsi="Palatino Linotype" w:cs="Arial"/>
        </w:rPr>
        <w:t xml:space="preserve">rindió su Informe Justificado, </w:t>
      </w:r>
      <w:r>
        <w:rPr>
          <w:rFonts w:ascii="Palatino Linotype" w:hAnsi="Palatino Linotype" w:cs="Arial"/>
        </w:rPr>
        <w:t>en el cual el Servidor público Habilitado en este caso Secretario del Ayuntamiento medularmente refirió que no se contaba con información dentro del libro de actas de cabildo para el ejercicio fiscal 2019.</w:t>
      </w:r>
    </w:p>
    <w:p w:rsidR="00125380" w:rsidRDefault="00125380" w:rsidP="00125380">
      <w:pPr>
        <w:spacing w:line="360" w:lineRule="auto"/>
        <w:contextualSpacing/>
        <w:jc w:val="both"/>
        <w:rPr>
          <w:rFonts w:ascii="Palatino Linotype" w:hAnsi="Palatino Linotype" w:cs="Arial"/>
        </w:rPr>
      </w:pPr>
      <w:r w:rsidRPr="00573C53">
        <w:rPr>
          <w:rFonts w:ascii="Palatino Linotype" w:hAnsi="Palatino Linotype" w:cs="Arial"/>
        </w:rPr>
        <w:lastRenderedPageBreak/>
        <w:t>Así, del estudio d</w:t>
      </w:r>
      <w:r w:rsidRPr="00573C53">
        <w:rPr>
          <w:rFonts w:ascii="Palatino Linotype" w:hAnsi="Palatino Linotype"/>
        </w:rPr>
        <w:t xml:space="preserve">el expediente electrónico del </w:t>
      </w:r>
      <w:r w:rsidRPr="00573C53">
        <w:rPr>
          <w:rFonts w:ascii="Palatino Linotype" w:hAnsi="Palatino Linotype"/>
          <w:b/>
        </w:rPr>
        <w:t>SAIMEX</w:t>
      </w:r>
      <w:r w:rsidRPr="00573C53">
        <w:rPr>
          <w:rFonts w:ascii="Palatino Linotype" w:hAnsi="Palatino Linotype" w:cs="Arial"/>
        </w:rPr>
        <w:t xml:space="preserve">, la Ponencia Resolutora determinó </w:t>
      </w:r>
      <w:r>
        <w:rPr>
          <w:rFonts w:ascii="Palatino Linotype" w:hAnsi="Palatino Linotype" w:cs="Arial"/>
          <w:b/>
        </w:rPr>
        <w:t xml:space="preserve">ORDENAR </w:t>
      </w:r>
      <w:r>
        <w:rPr>
          <w:rFonts w:ascii="Palatino Linotype" w:hAnsi="Palatino Linotype" w:cs="Arial"/>
        </w:rPr>
        <w:t>al</w:t>
      </w:r>
      <w:r w:rsidRPr="00573C53">
        <w:rPr>
          <w:rFonts w:ascii="Palatino Linotype" w:hAnsi="Palatino Linotype" w:cs="Arial"/>
        </w:rPr>
        <w:t xml:space="preserve"> </w:t>
      </w:r>
      <w:r w:rsidRPr="00573C53">
        <w:rPr>
          <w:rFonts w:ascii="Palatino Linotype" w:hAnsi="Palatino Linotype" w:cs="Arial"/>
          <w:b/>
        </w:rPr>
        <w:t xml:space="preserve">SUJETO OBLIGADO </w:t>
      </w:r>
      <w:r>
        <w:rPr>
          <w:rFonts w:ascii="Palatino Linotype" w:hAnsi="Palatino Linotype" w:cs="Arial"/>
        </w:rPr>
        <w:t xml:space="preserve">atender la solicitud de información y hacer la entrega al </w:t>
      </w:r>
      <w:r>
        <w:rPr>
          <w:rFonts w:ascii="Palatino Linotype" w:hAnsi="Palatino Linotype" w:cs="Arial"/>
          <w:b/>
        </w:rPr>
        <w:t xml:space="preserve">RECURRENTE </w:t>
      </w:r>
      <w:r>
        <w:rPr>
          <w:rFonts w:ascii="Palatino Linotype" w:hAnsi="Palatino Linotype" w:cs="Arial"/>
        </w:rPr>
        <w:t>de la siguiente información:</w:t>
      </w:r>
    </w:p>
    <w:p w:rsidR="00125380" w:rsidRDefault="00125380" w:rsidP="00125380">
      <w:pPr>
        <w:pStyle w:val="Prrafodelista"/>
        <w:tabs>
          <w:tab w:val="left" w:pos="426"/>
        </w:tabs>
        <w:spacing w:line="360" w:lineRule="auto"/>
        <w:ind w:left="0" w:right="49"/>
        <w:jc w:val="both"/>
        <w:rPr>
          <w:rFonts w:ascii="Palatino Linotype" w:hAnsi="Palatino Linotype" w:cs="Arial"/>
          <w:lang w:val="es-MX"/>
        </w:rPr>
      </w:pPr>
    </w:p>
    <w:p w:rsidR="00125380" w:rsidRPr="005F5EBC" w:rsidRDefault="00125380" w:rsidP="00125380">
      <w:pPr>
        <w:spacing w:before="100" w:beforeAutospacing="1" w:after="100" w:afterAutospacing="1"/>
        <w:ind w:left="851" w:right="902"/>
        <w:contextualSpacing/>
        <w:jc w:val="both"/>
        <w:rPr>
          <w:rFonts w:ascii="Palatino Linotype" w:eastAsia="MS Mincho" w:hAnsi="Palatino Linotype" w:cstheme="majorBidi"/>
          <w:i/>
        </w:rPr>
      </w:pPr>
      <w:r>
        <w:rPr>
          <w:rFonts w:ascii="Palatino Linotype" w:eastAsia="Calibri" w:hAnsi="Palatino Linotype" w:cs="Arial"/>
          <w:i/>
        </w:rPr>
        <w:t>“</w:t>
      </w:r>
      <w:r w:rsidRPr="005F5EBC">
        <w:rPr>
          <w:rFonts w:ascii="Palatino Linotype" w:eastAsia="Calibri" w:hAnsi="Palatino Linotype" w:cs="Arial"/>
          <w:i/>
        </w:rPr>
        <w:t>a). A</w:t>
      </w:r>
      <w:r w:rsidRPr="005F5EBC">
        <w:rPr>
          <w:rFonts w:ascii="Palatino Linotype" w:eastAsia="MS Mincho" w:hAnsi="Palatino Linotype" w:cstheme="majorBidi"/>
          <w:i/>
        </w:rPr>
        <w:t xml:space="preserve">cuerdo de cabildo en el que se aprobó emitir la licencia de funcionamiento del centro </w:t>
      </w:r>
      <w:proofErr w:type="spellStart"/>
      <w:r w:rsidRPr="005F5EBC">
        <w:rPr>
          <w:rFonts w:ascii="Palatino Linotype" w:eastAsia="MS Mincho" w:hAnsi="Palatino Linotype" w:cstheme="majorBidi"/>
          <w:i/>
        </w:rPr>
        <w:t>botanero</w:t>
      </w:r>
      <w:proofErr w:type="spellEnd"/>
      <w:r w:rsidRPr="005F5EBC">
        <w:rPr>
          <w:rFonts w:ascii="Palatino Linotype" w:eastAsia="MS Mincho" w:hAnsi="Palatino Linotype" w:cstheme="majorBidi"/>
          <w:i/>
        </w:rPr>
        <w:t xml:space="preserve"> EXPENDIO RAMIREZ a nombre de la persona referida en la solicitud de información, así como el dictamen único de factibilidad.</w:t>
      </w:r>
      <w:r>
        <w:rPr>
          <w:rFonts w:ascii="Palatino Linotype" w:eastAsia="MS Mincho" w:hAnsi="Palatino Linotype" w:cstheme="majorBidi"/>
          <w:i/>
        </w:rPr>
        <w:t>”</w:t>
      </w:r>
    </w:p>
    <w:p w:rsidR="00125380" w:rsidRDefault="00125380" w:rsidP="00125380">
      <w:pPr>
        <w:spacing w:line="360" w:lineRule="auto"/>
        <w:contextualSpacing/>
        <w:jc w:val="both"/>
        <w:rPr>
          <w:rFonts w:ascii="Palatino Linotype" w:hAnsi="Palatino Linotype"/>
          <w:color w:val="222222"/>
          <w:lang w:val="es-MX" w:eastAsia="es-MX"/>
        </w:rPr>
      </w:pPr>
    </w:p>
    <w:p w:rsidR="00125380" w:rsidRDefault="00125380" w:rsidP="00125380">
      <w:pPr>
        <w:spacing w:before="100" w:beforeAutospacing="1" w:after="100" w:afterAutospacing="1" w:line="360" w:lineRule="auto"/>
        <w:contextualSpacing/>
        <w:jc w:val="both"/>
        <w:rPr>
          <w:rFonts w:ascii="Palatino Linotype" w:hAnsi="Palatino Linotype"/>
        </w:rPr>
      </w:pPr>
      <w:r>
        <w:rPr>
          <w:rFonts w:ascii="Palatino Linotype" w:hAnsi="Palatino Linotype"/>
        </w:rPr>
        <w:t xml:space="preserve">En ese sentido, la que suscribe reitera, que si bien coincido en términos generales con el estudio de la resolución en comento, considero que la Ponencia Resolutora debió considerar tanto en estudio como en los resolutivos de la resolución de mérito, la salvedad de que para el caso de que </w:t>
      </w:r>
      <w:r>
        <w:rPr>
          <w:rFonts w:ascii="Palatino Linotype" w:hAnsi="Palatino Linotype"/>
          <w:b/>
        </w:rPr>
        <w:t xml:space="preserve">EL SUJETO OBLIGADO </w:t>
      </w:r>
      <w:r>
        <w:rPr>
          <w:rFonts w:ascii="Palatino Linotype" w:hAnsi="Palatino Linotype"/>
        </w:rPr>
        <w:t>no</w:t>
      </w:r>
      <w:r w:rsidR="00443BB7">
        <w:rPr>
          <w:rFonts w:ascii="Palatino Linotype" w:hAnsi="Palatino Linotype"/>
        </w:rPr>
        <w:t xml:space="preserve"> haya generado la información, </w:t>
      </w:r>
      <w:r>
        <w:rPr>
          <w:rFonts w:ascii="Palatino Linotype" w:hAnsi="Palatino Linotype"/>
        </w:rPr>
        <w:t>entonces bastaría con que así lo manifieste.</w:t>
      </w:r>
    </w:p>
    <w:p w:rsidR="00125380" w:rsidRDefault="00125380" w:rsidP="00125380">
      <w:pPr>
        <w:spacing w:before="100" w:beforeAutospacing="1" w:after="100" w:afterAutospacing="1" w:line="360" w:lineRule="auto"/>
        <w:contextualSpacing/>
        <w:jc w:val="both"/>
        <w:rPr>
          <w:rFonts w:ascii="Palatino Linotype" w:hAnsi="Palatino Linotype"/>
        </w:rPr>
      </w:pPr>
    </w:p>
    <w:p w:rsidR="00125380" w:rsidRDefault="00125380" w:rsidP="00125380">
      <w:pPr>
        <w:spacing w:before="100" w:beforeAutospacing="1" w:after="100" w:afterAutospacing="1" w:line="360" w:lineRule="auto"/>
        <w:contextualSpacing/>
        <w:jc w:val="both"/>
        <w:rPr>
          <w:rFonts w:ascii="Palatino Linotype" w:hAnsi="Palatino Linotype"/>
        </w:rPr>
      </w:pPr>
      <w:r>
        <w:rPr>
          <w:rFonts w:ascii="Palatino Linotype" w:hAnsi="Palatino Linotype"/>
        </w:rPr>
        <w:t>Lo anterior obedece a que del Informa Justificado se advierte que la Secretaría de Ayuntamiento ya se pronunció respecto de los documentos requeridos, manifestando que no se tenía constancia de que se hubiera expedido dicha licencia; y si bien es cierto, existen áreas como la Dirección de Gobernación a la que le fuera turnado el requerimiento sin que éste diera respuesta al mismo, ello no implica que por tal circunstancia se pueda afirmar que la multicitada licencia haya sido efectivamente emitida.</w:t>
      </w:r>
    </w:p>
    <w:p w:rsidR="00125380" w:rsidRDefault="00125380" w:rsidP="00125380">
      <w:pPr>
        <w:spacing w:before="100" w:beforeAutospacing="1" w:after="100" w:afterAutospacing="1" w:line="360" w:lineRule="auto"/>
        <w:contextualSpacing/>
        <w:jc w:val="both"/>
        <w:rPr>
          <w:rFonts w:ascii="Palatino Linotype" w:hAnsi="Palatino Linotype"/>
        </w:rPr>
      </w:pPr>
    </w:p>
    <w:p w:rsidR="00125380" w:rsidRPr="00F25A1A" w:rsidRDefault="00125380" w:rsidP="00125380">
      <w:pPr>
        <w:spacing w:before="100" w:beforeAutospacing="1" w:after="100" w:afterAutospacing="1" w:line="360" w:lineRule="auto"/>
        <w:contextualSpacing/>
        <w:jc w:val="both"/>
        <w:rPr>
          <w:rFonts w:ascii="Palatino Linotype" w:hAnsi="Palatino Linotype" w:cs="Arial"/>
        </w:rPr>
      </w:pPr>
      <w:r>
        <w:rPr>
          <w:rFonts w:ascii="Palatino Linotype" w:hAnsi="Palatino Linotype"/>
        </w:rPr>
        <w:lastRenderedPageBreak/>
        <w:t>Asimismo, es importante tomar en cuenta lo señalado por el artículo 162 de la Ley de la materia, que dicta:</w:t>
      </w:r>
    </w:p>
    <w:p w:rsidR="00125380" w:rsidRPr="003E7669" w:rsidRDefault="00125380" w:rsidP="00125380">
      <w:pPr>
        <w:spacing w:line="360" w:lineRule="auto"/>
        <w:contextualSpacing/>
        <w:jc w:val="both"/>
        <w:rPr>
          <w:rFonts w:ascii="Palatino Linotype" w:hAnsi="Palatino Linotype"/>
        </w:rPr>
      </w:pPr>
    </w:p>
    <w:p w:rsidR="00125380" w:rsidRDefault="00125380" w:rsidP="00125380">
      <w:pPr>
        <w:ind w:left="709" w:right="850"/>
        <w:contextualSpacing/>
        <w:jc w:val="both"/>
        <w:rPr>
          <w:rFonts w:ascii="Palatino Linotype" w:hAnsi="Palatino Linotype"/>
          <w:i/>
          <w:sz w:val="22"/>
        </w:rPr>
      </w:pPr>
      <w:r w:rsidRPr="003E7669">
        <w:rPr>
          <w:rFonts w:ascii="Palatino Linotype" w:hAnsi="Palatino Linotype"/>
          <w:b/>
          <w:i/>
          <w:sz w:val="22"/>
        </w:rPr>
        <w:t>Artículo 162.</w:t>
      </w:r>
      <w:r w:rsidRPr="003E7669">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125380" w:rsidRPr="003E7669" w:rsidRDefault="00125380" w:rsidP="00125380">
      <w:pPr>
        <w:spacing w:line="360" w:lineRule="auto"/>
        <w:ind w:left="709" w:right="850"/>
        <w:contextualSpacing/>
        <w:jc w:val="both"/>
        <w:rPr>
          <w:rFonts w:ascii="Palatino Linotype" w:hAnsi="Palatino Linotype"/>
          <w:i/>
          <w:sz w:val="22"/>
        </w:rPr>
      </w:pPr>
    </w:p>
    <w:p w:rsidR="00125380" w:rsidRPr="003E7669" w:rsidRDefault="00125380" w:rsidP="00125380">
      <w:pPr>
        <w:spacing w:line="360" w:lineRule="auto"/>
        <w:contextualSpacing/>
        <w:jc w:val="both"/>
        <w:rPr>
          <w:rFonts w:ascii="Palatino Linotype" w:hAnsi="Palatino Linotype"/>
        </w:rPr>
      </w:pPr>
      <w:r w:rsidRPr="003E7669">
        <w:rPr>
          <w:rFonts w:ascii="Palatino Linotype" w:hAnsi="Palatino Linotype"/>
        </w:rPr>
        <w:t xml:space="preserve">Conforme al numeral legal referido, las Unidades de Transparencia deben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rFonts w:ascii="Palatino Linotype" w:hAnsi="Palatino Linotype"/>
        </w:rPr>
        <w:t xml:space="preserve">por tanto, no basta con el simple pronunciamiento de la Dirección de Gobernación respecto de los documentos solicitados, sino que deberá garantizarse que todas aquellas áreas que conforme a sus funciones pudieran contar con la información, realicen una búsqueda en sus archivos a fin de </w:t>
      </w:r>
      <w:r w:rsidRPr="003E7669">
        <w:rPr>
          <w:rFonts w:ascii="Palatino Linotype" w:hAnsi="Palatino Linotype"/>
        </w:rPr>
        <w:t>otorga</w:t>
      </w:r>
      <w:r>
        <w:rPr>
          <w:rFonts w:ascii="Palatino Linotype" w:hAnsi="Palatino Linotype"/>
        </w:rPr>
        <w:t>r</w:t>
      </w:r>
      <w:r w:rsidRPr="003E7669">
        <w:rPr>
          <w:rFonts w:ascii="Palatino Linotype" w:hAnsi="Palatino Linotype"/>
        </w:rPr>
        <w:t xml:space="preserve"> certeza jurídica al particular, de conformidad con lo señalado en el artículo 9, fracción I de la Ley de Transparencia y Acceso a la Información Pública del Estado de Mexica y Municipios, que establece:</w:t>
      </w:r>
    </w:p>
    <w:p w:rsidR="00125380" w:rsidRPr="003E7669" w:rsidRDefault="00125380" w:rsidP="00125380">
      <w:pPr>
        <w:spacing w:line="360" w:lineRule="auto"/>
        <w:contextualSpacing/>
        <w:jc w:val="both"/>
        <w:rPr>
          <w:rFonts w:ascii="Palatino Linotype" w:hAnsi="Palatino Linotype"/>
        </w:rPr>
      </w:pPr>
    </w:p>
    <w:p w:rsidR="00125380" w:rsidRDefault="00125380" w:rsidP="00125380">
      <w:pPr>
        <w:ind w:left="709" w:right="850"/>
        <w:contextualSpacing/>
        <w:jc w:val="both"/>
        <w:rPr>
          <w:rFonts w:ascii="Palatino Linotype" w:hAnsi="Palatino Linotype"/>
          <w:i/>
          <w:sz w:val="22"/>
        </w:rPr>
      </w:pPr>
      <w:r w:rsidRPr="003E7669">
        <w:rPr>
          <w:rFonts w:ascii="Palatino Linotype" w:hAnsi="Palatino Linotype"/>
          <w:b/>
          <w:i/>
          <w:sz w:val="22"/>
        </w:rPr>
        <w:t>“Artículo 9.</w:t>
      </w:r>
      <w:r w:rsidRPr="003E7669">
        <w:rPr>
          <w:rFonts w:ascii="Palatino Linotype" w:hAnsi="Palatino Linotype"/>
          <w:i/>
          <w:sz w:val="22"/>
        </w:rPr>
        <w:t xml:space="preserve"> El Instituto deberá regir su funcionamiento de acuerdo a los siguientes principios:</w:t>
      </w:r>
    </w:p>
    <w:p w:rsidR="00125380" w:rsidRPr="003E7669" w:rsidRDefault="00125380" w:rsidP="00125380">
      <w:pPr>
        <w:ind w:left="709" w:right="850"/>
        <w:contextualSpacing/>
        <w:jc w:val="both"/>
        <w:rPr>
          <w:rFonts w:ascii="Palatino Linotype" w:hAnsi="Palatino Linotype"/>
          <w:i/>
          <w:sz w:val="22"/>
        </w:rPr>
      </w:pPr>
    </w:p>
    <w:p w:rsidR="00125380" w:rsidRPr="003E7669" w:rsidRDefault="00125380" w:rsidP="00125380">
      <w:pPr>
        <w:ind w:left="709" w:right="757"/>
        <w:contextualSpacing/>
        <w:jc w:val="both"/>
        <w:rPr>
          <w:rFonts w:ascii="Palatino Linotype" w:hAnsi="Palatino Linotype"/>
        </w:rPr>
      </w:pPr>
      <w:r w:rsidRPr="003E7669">
        <w:rPr>
          <w:rFonts w:ascii="Palatino Linotype" w:hAnsi="Palatino Linotype"/>
          <w:i/>
          <w:sz w:val="22"/>
        </w:rPr>
        <w:t>I.</w:t>
      </w:r>
      <w:r w:rsidRPr="003E7669">
        <w:rPr>
          <w:rFonts w:ascii="Palatino Linotype" w:hAnsi="Palatino Linotype"/>
          <w:i/>
          <w:sz w:val="22"/>
        </w:rPr>
        <w:tab/>
        <w:t>Certeza: Principio que otorga seguridad y certidumbre jurídica a los particulares, en virtud de que permite conocer si las acciones del Instituto son apegadas a derecho y garantiza que los procedimientos sean completamente verificables, fidedignos y confiables;</w:t>
      </w:r>
    </w:p>
    <w:p w:rsidR="00125380" w:rsidRPr="003E7669" w:rsidRDefault="00125380" w:rsidP="00125380">
      <w:pPr>
        <w:ind w:left="709" w:right="757"/>
        <w:contextualSpacing/>
        <w:jc w:val="both"/>
        <w:rPr>
          <w:rFonts w:ascii="Palatino Linotype" w:hAnsi="Palatino Linotype"/>
        </w:rPr>
      </w:pPr>
      <w:r w:rsidRPr="003E7669">
        <w:rPr>
          <w:rFonts w:ascii="Palatino Linotype" w:hAnsi="Palatino Linotype"/>
        </w:rPr>
        <w:t>…”</w:t>
      </w:r>
    </w:p>
    <w:p w:rsidR="00125380" w:rsidRDefault="00125380" w:rsidP="00125380">
      <w:pPr>
        <w:spacing w:line="360" w:lineRule="auto"/>
        <w:contextualSpacing/>
        <w:jc w:val="both"/>
        <w:rPr>
          <w:rFonts w:ascii="Palatino Linotype" w:hAnsi="Palatino Linotype" w:cs="Arial"/>
        </w:rPr>
      </w:pPr>
      <w:r w:rsidRPr="003E7669">
        <w:rPr>
          <w:rFonts w:ascii="Palatino Linotype" w:hAnsi="Palatino Linotype" w:cs="Arial"/>
        </w:rPr>
        <w:lastRenderedPageBreak/>
        <w:t xml:space="preserve">Por lo que, la que suscribe emite </w:t>
      </w:r>
      <w:r w:rsidRPr="003E7669">
        <w:rPr>
          <w:rFonts w:ascii="Palatino Linotype" w:hAnsi="Palatino Linotype" w:cs="Arial"/>
          <w:b/>
        </w:rPr>
        <w:t>VOTO PARTICULAR</w:t>
      </w:r>
      <w:r w:rsidRPr="003E7669">
        <w:rPr>
          <w:rFonts w:ascii="Palatino Linotype" w:hAnsi="Palatino Linotype" w:cs="Arial"/>
        </w:rPr>
        <w:t xml:space="preserve">, pues se insiste que </w:t>
      </w:r>
      <w:r>
        <w:rPr>
          <w:rFonts w:ascii="Palatino Linotype" w:hAnsi="Palatino Linotype" w:cs="Arial"/>
        </w:rPr>
        <w:t xml:space="preserve">se debió considerar que para el caso de que </w:t>
      </w:r>
      <w:r w:rsidRPr="003E7669">
        <w:rPr>
          <w:rFonts w:ascii="Palatino Linotype" w:hAnsi="Palatino Linotype" w:cs="Arial"/>
          <w:b/>
        </w:rPr>
        <w:t>EL SUJETO OBLIGADO</w:t>
      </w:r>
      <w:r w:rsidRPr="003E7669">
        <w:rPr>
          <w:rFonts w:ascii="Palatino Linotype" w:hAnsi="Palatino Linotype" w:cs="Arial"/>
        </w:rPr>
        <w:t xml:space="preserve"> </w:t>
      </w:r>
      <w:r>
        <w:rPr>
          <w:rFonts w:ascii="Palatino Linotype" w:hAnsi="Palatino Linotype" w:cs="Arial"/>
        </w:rPr>
        <w:t xml:space="preserve">no </w:t>
      </w:r>
      <w:r w:rsidRPr="003E7669">
        <w:rPr>
          <w:rFonts w:ascii="Palatino Linotype" w:hAnsi="Palatino Linotype" w:cs="Arial"/>
        </w:rPr>
        <w:t xml:space="preserve">cuente con la información solicitada por la particular; </w:t>
      </w:r>
      <w:r>
        <w:rPr>
          <w:rFonts w:ascii="Palatino Linotype" w:hAnsi="Palatino Linotype" w:cs="Arial"/>
        </w:rPr>
        <w:t>bastaría con hacerlo del conocimiento del particular, ya que de las constancias que integran el expediente electrónico del recurso de revisión, no se tiene evidencia ni indicios de que se haya emitido la Licencia referida por el ciudadano.</w:t>
      </w:r>
    </w:p>
    <w:p w:rsidR="00125380" w:rsidRDefault="00125380" w:rsidP="00125380">
      <w:pPr>
        <w:spacing w:line="360" w:lineRule="auto"/>
        <w:contextualSpacing/>
        <w:jc w:val="both"/>
        <w:rPr>
          <w:rFonts w:ascii="Palatino Linotype" w:hAnsi="Palatino Linotype" w:cs="Arial"/>
        </w:rPr>
      </w:pPr>
    </w:p>
    <w:p w:rsidR="00125380" w:rsidRDefault="00125380" w:rsidP="00125380">
      <w:pPr>
        <w:spacing w:line="360" w:lineRule="auto"/>
        <w:contextualSpacing/>
        <w:jc w:val="both"/>
        <w:rPr>
          <w:rFonts w:ascii="Palatino Linotype" w:hAnsi="Palatino Linotype" w:cs="Arial"/>
        </w:rPr>
      </w:pPr>
    </w:p>
    <w:p w:rsidR="00125380" w:rsidRDefault="00125380" w:rsidP="00125380">
      <w:pPr>
        <w:spacing w:line="360" w:lineRule="auto"/>
        <w:contextualSpacing/>
        <w:jc w:val="both"/>
        <w:rPr>
          <w:rFonts w:ascii="Palatino Linotype" w:hAnsi="Palatino Linotype" w:cs="Arial"/>
        </w:rPr>
      </w:pPr>
    </w:p>
    <w:p w:rsidR="00125380" w:rsidRDefault="00125380" w:rsidP="00125380">
      <w:pPr>
        <w:spacing w:line="360" w:lineRule="auto"/>
        <w:contextualSpacing/>
        <w:jc w:val="both"/>
        <w:rPr>
          <w:rFonts w:ascii="Palatino Linotype" w:hAnsi="Palatino Linotype" w:cs="Arial"/>
        </w:rPr>
      </w:pPr>
    </w:p>
    <w:p w:rsidR="00125380" w:rsidRDefault="00125380" w:rsidP="00125380">
      <w:pPr>
        <w:spacing w:line="360" w:lineRule="auto"/>
        <w:contextualSpacing/>
        <w:jc w:val="both"/>
        <w:rPr>
          <w:rFonts w:ascii="Palatino Linotype" w:hAnsi="Palatino Linotype" w:cs="Arial"/>
        </w:rPr>
      </w:pPr>
    </w:p>
    <w:p w:rsidR="00443BB7" w:rsidRDefault="00443BB7" w:rsidP="00125380">
      <w:pPr>
        <w:spacing w:line="360" w:lineRule="auto"/>
        <w:contextualSpacing/>
        <w:jc w:val="both"/>
        <w:rPr>
          <w:rFonts w:ascii="Palatino Linotype" w:hAnsi="Palatino Linotype" w:cs="Arial"/>
        </w:rPr>
      </w:pPr>
    </w:p>
    <w:p w:rsidR="00443BB7" w:rsidRDefault="00443BB7" w:rsidP="00125380">
      <w:pPr>
        <w:spacing w:line="360" w:lineRule="auto"/>
        <w:contextualSpacing/>
        <w:jc w:val="both"/>
        <w:rPr>
          <w:rFonts w:ascii="Palatino Linotype" w:hAnsi="Palatino Linotype" w:cs="Arial"/>
        </w:rPr>
      </w:pPr>
    </w:p>
    <w:p w:rsidR="00443BB7" w:rsidRDefault="00443BB7" w:rsidP="00125380">
      <w:pPr>
        <w:spacing w:line="360" w:lineRule="auto"/>
        <w:contextualSpacing/>
        <w:jc w:val="both"/>
        <w:rPr>
          <w:rFonts w:ascii="Palatino Linotype" w:hAnsi="Palatino Linotype" w:cs="Arial"/>
        </w:rPr>
      </w:pPr>
    </w:p>
    <w:p w:rsidR="00443BB7" w:rsidRPr="003E7669" w:rsidRDefault="00443BB7" w:rsidP="00125380">
      <w:pPr>
        <w:spacing w:line="360" w:lineRule="auto"/>
        <w:contextualSpacing/>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125380" w:rsidRPr="003E7669" w:rsidTr="003B5644">
        <w:trPr>
          <w:jc w:val="center"/>
        </w:trPr>
        <w:tc>
          <w:tcPr>
            <w:tcW w:w="4393" w:type="dxa"/>
          </w:tcPr>
          <w:p w:rsidR="00125380" w:rsidRPr="003E7669" w:rsidRDefault="00125380" w:rsidP="003B5644">
            <w:pPr>
              <w:contextualSpacing/>
              <w:jc w:val="center"/>
              <w:rPr>
                <w:rFonts w:ascii="Palatino Linotype" w:hAnsi="Palatino Linotype"/>
                <w:b/>
              </w:rPr>
            </w:pPr>
            <w:r w:rsidRPr="003E7669">
              <w:rPr>
                <w:rFonts w:ascii="Palatino Linotype" w:hAnsi="Palatino Linotype"/>
                <w:b/>
              </w:rPr>
              <w:t xml:space="preserve">EVA ABAID YAPUR </w:t>
            </w:r>
          </w:p>
          <w:p w:rsidR="00125380" w:rsidRPr="003E7669" w:rsidRDefault="00125380" w:rsidP="00443BB7">
            <w:pPr>
              <w:contextualSpacing/>
              <w:jc w:val="center"/>
              <w:rPr>
                <w:rFonts w:ascii="Palatino Linotype" w:hAnsi="Palatino Linotype"/>
                <w:b/>
              </w:rPr>
            </w:pPr>
            <w:r w:rsidRPr="003E7669">
              <w:rPr>
                <w:rFonts w:ascii="Palatino Linotype" w:hAnsi="Palatino Linotype"/>
                <w:b/>
              </w:rPr>
              <w:t>COMISIONADA</w:t>
            </w:r>
          </w:p>
        </w:tc>
      </w:tr>
    </w:tbl>
    <w:p w:rsidR="00441900" w:rsidRPr="00573C53" w:rsidRDefault="00441900" w:rsidP="00441900">
      <w:pPr>
        <w:jc w:val="center"/>
        <w:rPr>
          <w:rFonts w:ascii="Palatino Linotype" w:hAnsi="Palatino Linotype"/>
          <w:b/>
        </w:rPr>
      </w:pPr>
      <w:r>
        <w:rPr>
          <w:rFonts w:ascii="Palatino Linotype" w:hAnsi="Palatino Linotype"/>
          <w:b/>
        </w:rPr>
        <w:t>(RÚBRICA)</w:t>
      </w:r>
    </w:p>
    <w:p w:rsidR="00125380" w:rsidRPr="003E7669" w:rsidRDefault="00125380" w:rsidP="00125380">
      <w:pPr>
        <w:contextualSpacing/>
        <w:jc w:val="both"/>
        <w:rPr>
          <w:rFonts w:ascii="Palatino Linotype" w:eastAsia="Calibri" w:hAnsi="Palatino Linotype" w:cs="Arial"/>
          <w:color w:val="000000" w:themeColor="text1"/>
          <w:sz w:val="20"/>
        </w:rPr>
      </w:pPr>
      <w:bookmarkStart w:id="0" w:name="_GoBack"/>
      <w:bookmarkEnd w:id="0"/>
    </w:p>
    <w:p w:rsidR="00125380" w:rsidRDefault="00125380" w:rsidP="00125380">
      <w:pPr>
        <w:contextualSpacing/>
        <w:jc w:val="both"/>
        <w:rPr>
          <w:rFonts w:ascii="Palatino Linotype" w:eastAsia="Calibri" w:hAnsi="Palatino Linotype" w:cs="Arial"/>
          <w:color w:val="000000" w:themeColor="text1"/>
          <w:sz w:val="20"/>
        </w:rPr>
      </w:pPr>
    </w:p>
    <w:p w:rsidR="00125380" w:rsidRDefault="00125380" w:rsidP="00125380">
      <w:pPr>
        <w:contextualSpacing/>
        <w:jc w:val="both"/>
        <w:rPr>
          <w:rFonts w:ascii="Palatino Linotype" w:eastAsia="Calibri" w:hAnsi="Palatino Linotype" w:cs="Arial"/>
          <w:color w:val="000000" w:themeColor="text1"/>
          <w:sz w:val="20"/>
        </w:rPr>
      </w:pPr>
    </w:p>
    <w:p w:rsidR="00125380" w:rsidRDefault="00125380" w:rsidP="00125380">
      <w:pPr>
        <w:contextualSpacing/>
        <w:jc w:val="both"/>
        <w:rPr>
          <w:rFonts w:ascii="Palatino Linotype" w:eastAsia="Calibri" w:hAnsi="Palatino Linotype" w:cs="Arial"/>
          <w:color w:val="000000" w:themeColor="text1"/>
          <w:sz w:val="20"/>
        </w:rPr>
      </w:pPr>
    </w:p>
    <w:p w:rsidR="00125380" w:rsidRPr="003E7669" w:rsidRDefault="00125380" w:rsidP="00125380">
      <w:pPr>
        <w:contextualSpacing/>
        <w:jc w:val="both"/>
        <w:rPr>
          <w:rFonts w:ascii="Palatino Linotype" w:eastAsia="Calibri" w:hAnsi="Palatino Linotype" w:cs="Arial"/>
          <w:color w:val="000000" w:themeColor="text1"/>
          <w:sz w:val="20"/>
        </w:rPr>
      </w:pPr>
    </w:p>
    <w:p w:rsidR="00125380" w:rsidRPr="003E7669" w:rsidRDefault="00125380" w:rsidP="00125380">
      <w:pPr>
        <w:contextualSpacing/>
        <w:jc w:val="both"/>
        <w:rPr>
          <w:rFonts w:ascii="Palatino Linotype" w:eastAsia="Calibri" w:hAnsi="Palatino Linotype" w:cs="Arial"/>
          <w:color w:val="000000" w:themeColor="text1"/>
          <w:sz w:val="20"/>
        </w:rPr>
      </w:pPr>
    </w:p>
    <w:p w:rsidR="00125380" w:rsidRDefault="00125380" w:rsidP="00125380">
      <w:pPr>
        <w:contextualSpacing/>
        <w:jc w:val="both"/>
        <w:rPr>
          <w:rFonts w:ascii="Palatino Linotype" w:eastAsia="Calibri" w:hAnsi="Palatino Linotype" w:cs="Arial"/>
          <w:color w:val="000000" w:themeColor="text1"/>
          <w:sz w:val="20"/>
        </w:rPr>
      </w:pPr>
      <w:r w:rsidRPr="003E7669">
        <w:rPr>
          <w:rFonts w:ascii="Palatino Linotype" w:eastAsia="Calibri" w:hAnsi="Palatino Linotype" w:cs="Arial"/>
          <w:color w:val="000000" w:themeColor="text1"/>
          <w:sz w:val="20"/>
        </w:rPr>
        <w:t>Esta hoja corresponde al voto particular emitido en la resolución d</w:t>
      </w:r>
      <w:r>
        <w:rPr>
          <w:rFonts w:ascii="Palatino Linotype" w:eastAsia="Calibri" w:hAnsi="Palatino Linotype" w:cs="Arial"/>
          <w:color w:val="000000" w:themeColor="text1"/>
          <w:sz w:val="20"/>
        </w:rPr>
        <w:t xml:space="preserve">el </w:t>
      </w:r>
      <w:r w:rsidRPr="003E7669">
        <w:rPr>
          <w:rFonts w:ascii="Palatino Linotype" w:eastAsia="Calibri" w:hAnsi="Palatino Linotype" w:cs="Arial"/>
          <w:color w:val="000000" w:themeColor="text1"/>
          <w:sz w:val="20"/>
        </w:rPr>
        <w:t xml:space="preserve">recurso de revisión </w:t>
      </w:r>
      <w:r>
        <w:rPr>
          <w:rFonts w:ascii="Palatino Linotype" w:eastAsia="Calibri" w:hAnsi="Palatino Linotype" w:cs="Arial"/>
          <w:color w:val="000000" w:themeColor="text1"/>
          <w:sz w:val="20"/>
        </w:rPr>
        <w:t>06368</w:t>
      </w:r>
      <w:r w:rsidRPr="003E7669">
        <w:rPr>
          <w:rFonts w:ascii="Palatino Linotype" w:eastAsia="Calibri" w:hAnsi="Palatino Linotype" w:cs="Arial"/>
          <w:color w:val="000000" w:themeColor="text1"/>
          <w:sz w:val="20"/>
        </w:rPr>
        <w:t>/INFOEM/IP/RR/201</w:t>
      </w:r>
      <w:r>
        <w:rPr>
          <w:rFonts w:ascii="Palatino Linotype" w:eastAsia="Calibri" w:hAnsi="Palatino Linotype" w:cs="Arial"/>
          <w:color w:val="000000" w:themeColor="text1"/>
          <w:sz w:val="20"/>
        </w:rPr>
        <w:t>9</w:t>
      </w:r>
      <w:r w:rsidRPr="003E7669">
        <w:rPr>
          <w:rFonts w:ascii="Palatino Linotype" w:eastAsia="Calibri" w:hAnsi="Palatino Linotype" w:cs="Arial"/>
          <w:color w:val="000000" w:themeColor="text1"/>
          <w:sz w:val="20"/>
        </w:rPr>
        <w:t xml:space="preserve">, aprobada el </w:t>
      </w:r>
      <w:r>
        <w:rPr>
          <w:rFonts w:ascii="Palatino Linotype" w:eastAsia="Calibri" w:hAnsi="Palatino Linotype" w:cs="Arial"/>
          <w:color w:val="000000" w:themeColor="text1"/>
          <w:sz w:val="20"/>
        </w:rPr>
        <w:t>dos de octubre</w:t>
      </w:r>
      <w:r w:rsidRPr="003E7669">
        <w:rPr>
          <w:rFonts w:ascii="Palatino Linotype" w:eastAsia="Calibri" w:hAnsi="Palatino Linotype" w:cs="Arial"/>
          <w:color w:val="000000" w:themeColor="text1"/>
          <w:sz w:val="20"/>
        </w:rPr>
        <w:t xml:space="preserve"> de dos mil diecinueve. </w:t>
      </w:r>
    </w:p>
    <w:p w:rsidR="004509DA" w:rsidRPr="004509DA" w:rsidRDefault="004509DA" w:rsidP="00125380">
      <w:pPr>
        <w:contextualSpacing/>
        <w:jc w:val="both"/>
        <w:rPr>
          <w:rFonts w:ascii="Palatino Linotype" w:eastAsia="Calibri" w:hAnsi="Palatino Linotype" w:cs="Arial"/>
          <w:color w:val="000000" w:themeColor="text1"/>
          <w:sz w:val="8"/>
          <w:szCs w:val="8"/>
        </w:rPr>
      </w:pPr>
    </w:p>
    <w:p w:rsidR="00DC5C4E" w:rsidRPr="00125380" w:rsidRDefault="00125380" w:rsidP="00443BB7">
      <w:pPr>
        <w:contextualSpacing/>
        <w:jc w:val="both"/>
      </w:pPr>
      <w:r>
        <w:rPr>
          <w:rFonts w:ascii="Palatino Linotype" w:eastAsia="Calibri" w:hAnsi="Palatino Linotype" w:cs="Arial"/>
          <w:color w:val="000000" w:themeColor="text1"/>
          <w:sz w:val="20"/>
        </w:rPr>
        <w:t>YSM/ATU/LGMJ</w:t>
      </w:r>
    </w:p>
    <w:sectPr w:rsidR="00DC5C4E" w:rsidRPr="00125380"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14E" w:rsidRDefault="000A714E" w:rsidP="00E41B3B">
      <w:r>
        <w:separator/>
      </w:r>
    </w:p>
  </w:endnote>
  <w:endnote w:type="continuationSeparator" w:id="0">
    <w:p w:rsidR="000A714E" w:rsidRDefault="000A714E"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67C" w:rsidRDefault="0087467C" w:rsidP="00DC5C4E">
    <w:pPr>
      <w:pStyle w:val="Piedepgina"/>
      <w:tabs>
        <w:tab w:val="clear" w:pos="4252"/>
        <w:tab w:val="left" w:pos="4228"/>
      </w:tabs>
      <w:rPr>
        <w:rFonts w:ascii="Palatino Linotype" w:hAnsi="Palatino Linotype" w:cs="Arial"/>
        <w:b/>
        <w:bCs/>
        <w:sz w:val="20"/>
        <w:szCs w:val="20"/>
      </w:rPr>
    </w:pPr>
  </w:p>
  <w:p w:rsidR="0087467C" w:rsidRDefault="0087467C"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41900">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41900">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14E" w:rsidRDefault="000A714E" w:rsidP="00E41B3B">
      <w:r>
        <w:separator/>
      </w:r>
    </w:p>
  </w:footnote>
  <w:footnote w:type="continuationSeparator" w:id="0">
    <w:p w:rsidR="000A714E" w:rsidRDefault="000A714E"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4190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Pr="00FD762A" w:rsidRDefault="005C7C8F" w:rsidP="00DC5C4E">
    <w:pPr>
      <w:pStyle w:val="Encabezado"/>
      <w:tabs>
        <w:tab w:val="clear" w:pos="4252"/>
        <w:tab w:val="clear" w:pos="8504"/>
        <w:tab w:val="left" w:pos="2326"/>
      </w:tabs>
      <w:jc w:val="right"/>
      <w:rPr>
        <w:rFonts w:ascii="Palatino Linotype" w:hAnsi="Palatino Linotype"/>
        <w:sz w:val="22"/>
      </w:rPr>
    </w:pPr>
  </w:p>
  <w:p w:rsidR="005C7C8F" w:rsidRDefault="005C7C8F"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FD762A"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441900" w:rsidP="00FD762A">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92.5pt;margin-top:228.2pt;width:658.8pt;height:93.55pt;rotation:315;z-index:-251654144;mso-position-horizontal-relative:margin;mso-position-vertical-relative:margin" o:allowincell="f" fillcolor="#bfbfbf [2412]" stroked="f">
          <v:fill opacity=".5"/>
          <v:textpath style="font-family:&quot;Palatino Linotype&quot;;font-size:1pt" string="VOTO PARTICULAR"/>
          <w10:wrap anchorx="margin" anchory="margin"/>
        </v:shape>
      </w:pict>
    </w:r>
    <w:r w:rsidR="00FD762A" w:rsidRPr="00706042">
      <w:rPr>
        <w:rFonts w:ascii="Palatino Linotype" w:hAnsi="Palatino Linotype" w:cs="Arial"/>
        <w:sz w:val="20"/>
        <w:szCs w:val="20"/>
      </w:rPr>
      <w:t xml:space="preserve">RECURSO DE REVISIÓN </w:t>
    </w:r>
    <w:r w:rsidR="00443BB7">
      <w:rPr>
        <w:rFonts w:ascii="Palatino Linotype" w:hAnsi="Palatino Linotype" w:cs="Arial"/>
        <w:sz w:val="20"/>
        <w:szCs w:val="20"/>
      </w:rPr>
      <w:t>06368</w:t>
    </w:r>
    <w:r w:rsidR="00FD762A">
      <w:rPr>
        <w:rFonts w:ascii="Palatino Linotype" w:hAnsi="Palatino Linotype" w:cs="Arial"/>
        <w:sz w:val="20"/>
        <w:szCs w:val="20"/>
      </w:rPr>
      <w:t>/INFOEM/IP</w:t>
    </w:r>
    <w:r w:rsidR="00FD762A" w:rsidRPr="00706042">
      <w:rPr>
        <w:rFonts w:ascii="Palatino Linotype" w:hAnsi="Palatino Linotype" w:cs="Arial"/>
        <w:sz w:val="20"/>
        <w:szCs w:val="20"/>
      </w:rPr>
      <w:t>/RR/201</w:t>
    </w:r>
    <w:r w:rsidR="00FD762A">
      <w:rPr>
        <w:rFonts w:ascii="Palatino Linotype" w:hAnsi="Palatino Linotype" w:cs="Arial"/>
        <w:sz w:val="20"/>
        <w:szCs w:val="20"/>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44190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110D7"/>
    <w:multiLevelType w:val="hybridMultilevel"/>
    <w:tmpl w:val="4B0A3A74"/>
    <w:lvl w:ilvl="0" w:tplc="ED124AB2">
      <w:start w:val="1"/>
      <w:numFmt w:val="decimal"/>
      <w:lvlText w:val="%1."/>
      <w:lvlJc w:val="right"/>
      <w:pPr>
        <w:ind w:left="720" w:hanging="360"/>
      </w:pPr>
      <w:rPr>
        <w:rFonts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312741"/>
    <w:multiLevelType w:val="hybridMultilevel"/>
    <w:tmpl w:val="58DC57B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A6E3CC9"/>
    <w:multiLevelType w:val="hybridMultilevel"/>
    <w:tmpl w:val="39A6031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51E90FBC"/>
    <w:multiLevelType w:val="hybridMultilevel"/>
    <w:tmpl w:val="B32881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ED42EC"/>
    <w:multiLevelType w:val="hybridMultilevel"/>
    <w:tmpl w:val="FE2C9CD6"/>
    <w:lvl w:ilvl="0" w:tplc="080A000F">
      <w:start w:val="1"/>
      <w:numFmt w:val="decimal"/>
      <w:lvlText w:val="%1."/>
      <w:lvlJc w:val="left"/>
      <w:pPr>
        <w:ind w:left="786" w:hanging="360"/>
      </w:p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8" w15:restartNumberingAfterBreak="0">
    <w:nsid w:val="66EB0BDF"/>
    <w:multiLevelType w:val="hybridMultilevel"/>
    <w:tmpl w:val="B5FCFC60"/>
    <w:lvl w:ilvl="0" w:tplc="5CB646C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6EC13A13"/>
    <w:multiLevelType w:val="hybridMultilevel"/>
    <w:tmpl w:val="75A8470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8"/>
  </w:num>
  <w:num w:numId="5">
    <w:abstractNumId w:val="9"/>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17A8B"/>
    <w:rsid w:val="000308DD"/>
    <w:rsid w:val="00030D77"/>
    <w:rsid w:val="00036109"/>
    <w:rsid w:val="00040986"/>
    <w:rsid w:val="000450C7"/>
    <w:rsid w:val="00061245"/>
    <w:rsid w:val="000650C0"/>
    <w:rsid w:val="000764D8"/>
    <w:rsid w:val="0008364B"/>
    <w:rsid w:val="00090AAC"/>
    <w:rsid w:val="00093DB5"/>
    <w:rsid w:val="000A2370"/>
    <w:rsid w:val="000A6958"/>
    <w:rsid w:val="000A714E"/>
    <w:rsid w:val="000B62C3"/>
    <w:rsid w:val="000C21C4"/>
    <w:rsid w:val="000C4E8E"/>
    <w:rsid w:val="000D1E51"/>
    <w:rsid w:val="000D48C4"/>
    <w:rsid w:val="000F44F3"/>
    <w:rsid w:val="000F4B5B"/>
    <w:rsid w:val="00101AC9"/>
    <w:rsid w:val="00121EB2"/>
    <w:rsid w:val="00122242"/>
    <w:rsid w:val="00124EC1"/>
    <w:rsid w:val="00125380"/>
    <w:rsid w:val="0013375F"/>
    <w:rsid w:val="00134D93"/>
    <w:rsid w:val="00141D1C"/>
    <w:rsid w:val="00146755"/>
    <w:rsid w:val="0016404C"/>
    <w:rsid w:val="00164D8A"/>
    <w:rsid w:val="00186433"/>
    <w:rsid w:val="00186E5D"/>
    <w:rsid w:val="0019398B"/>
    <w:rsid w:val="001A75D6"/>
    <w:rsid w:val="001A7CEE"/>
    <w:rsid w:val="001C3DCD"/>
    <w:rsid w:val="001D3647"/>
    <w:rsid w:val="001D7135"/>
    <w:rsid w:val="001F2929"/>
    <w:rsid w:val="001F3E40"/>
    <w:rsid w:val="002019F2"/>
    <w:rsid w:val="00216380"/>
    <w:rsid w:val="00222B6A"/>
    <w:rsid w:val="00224166"/>
    <w:rsid w:val="0023402B"/>
    <w:rsid w:val="00270A69"/>
    <w:rsid w:val="002736FF"/>
    <w:rsid w:val="00276FEB"/>
    <w:rsid w:val="0028076C"/>
    <w:rsid w:val="00296C85"/>
    <w:rsid w:val="002C081A"/>
    <w:rsid w:val="002C638A"/>
    <w:rsid w:val="002C6BDE"/>
    <w:rsid w:val="002D6308"/>
    <w:rsid w:val="002F61B0"/>
    <w:rsid w:val="003026B4"/>
    <w:rsid w:val="0031149D"/>
    <w:rsid w:val="00324EBE"/>
    <w:rsid w:val="003556EC"/>
    <w:rsid w:val="0037342D"/>
    <w:rsid w:val="0038030E"/>
    <w:rsid w:val="003948FF"/>
    <w:rsid w:val="003B3C95"/>
    <w:rsid w:val="003C2F6A"/>
    <w:rsid w:val="003C4874"/>
    <w:rsid w:val="003C59DF"/>
    <w:rsid w:val="003C6346"/>
    <w:rsid w:val="00420511"/>
    <w:rsid w:val="00424B23"/>
    <w:rsid w:val="00437359"/>
    <w:rsid w:val="00440036"/>
    <w:rsid w:val="00441900"/>
    <w:rsid w:val="00443BB7"/>
    <w:rsid w:val="00446B28"/>
    <w:rsid w:val="00450798"/>
    <w:rsid w:val="004509DA"/>
    <w:rsid w:val="00463EE4"/>
    <w:rsid w:val="00477130"/>
    <w:rsid w:val="0048476A"/>
    <w:rsid w:val="004B091D"/>
    <w:rsid w:val="004B2FA5"/>
    <w:rsid w:val="004D742A"/>
    <w:rsid w:val="005214DA"/>
    <w:rsid w:val="0053148C"/>
    <w:rsid w:val="00561D1D"/>
    <w:rsid w:val="0058689F"/>
    <w:rsid w:val="005912F1"/>
    <w:rsid w:val="005A28E4"/>
    <w:rsid w:val="005A4D7F"/>
    <w:rsid w:val="005C7C8F"/>
    <w:rsid w:val="005F3E71"/>
    <w:rsid w:val="0063516A"/>
    <w:rsid w:val="00654FE9"/>
    <w:rsid w:val="006661F3"/>
    <w:rsid w:val="00672FC7"/>
    <w:rsid w:val="00674996"/>
    <w:rsid w:val="006801D4"/>
    <w:rsid w:val="00690DF8"/>
    <w:rsid w:val="00697966"/>
    <w:rsid w:val="006A1C64"/>
    <w:rsid w:val="006B109D"/>
    <w:rsid w:val="006B30CD"/>
    <w:rsid w:val="006F6B31"/>
    <w:rsid w:val="00700C49"/>
    <w:rsid w:val="00712C80"/>
    <w:rsid w:val="007170C1"/>
    <w:rsid w:val="00725B3B"/>
    <w:rsid w:val="0073571F"/>
    <w:rsid w:val="00746B10"/>
    <w:rsid w:val="0075431D"/>
    <w:rsid w:val="00756313"/>
    <w:rsid w:val="0075716F"/>
    <w:rsid w:val="007706AF"/>
    <w:rsid w:val="0079231B"/>
    <w:rsid w:val="007B2296"/>
    <w:rsid w:val="007B2574"/>
    <w:rsid w:val="007B2B69"/>
    <w:rsid w:val="007C40C3"/>
    <w:rsid w:val="007C7A0C"/>
    <w:rsid w:val="00804F36"/>
    <w:rsid w:val="0081020C"/>
    <w:rsid w:val="00811B0B"/>
    <w:rsid w:val="00820D1B"/>
    <w:rsid w:val="00842E34"/>
    <w:rsid w:val="008542C4"/>
    <w:rsid w:val="00864D3F"/>
    <w:rsid w:val="0087467C"/>
    <w:rsid w:val="00891373"/>
    <w:rsid w:val="008A35FA"/>
    <w:rsid w:val="008A3F00"/>
    <w:rsid w:val="008B0732"/>
    <w:rsid w:val="008C16DF"/>
    <w:rsid w:val="008E0C2E"/>
    <w:rsid w:val="008E5C82"/>
    <w:rsid w:val="00906F3A"/>
    <w:rsid w:val="009205B7"/>
    <w:rsid w:val="00921942"/>
    <w:rsid w:val="009648BA"/>
    <w:rsid w:val="009701AB"/>
    <w:rsid w:val="00990B93"/>
    <w:rsid w:val="009B3920"/>
    <w:rsid w:val="009B519C"/>
    <w:rsid w:val="009C0FF6"/>
    <w:rsid w:val="009D1CB5"/>
    <w:rsid w:val="009F03BA"/>
    <w:rsid w:val="00A0364A"/>
    <w:rsid w:val="00A04DA7"/>
    <w:rsid w:val="00A21534"/>
    <w:rsid w:val="00A32D0F"/>
    <w:rsid w:val="00A502D2"/>
    <w:rsid w:val="00A64922"/>
    <w:rsid w:val="00A6557D"/>
    <w:rsid w:val="00A66652"/>
    <w:rsid w:val="00A96975"/>
    <w:rsid w:val="00A97455"/>
    <w:rsid w:val="00AA7CAA"/>
    <w:rsid w:val="00AD7F4F"/>
    <w:rsid w:val="00AE18DA"/>
    <w:rsid w:val="00AE24EF"/>
    <w:rsid w:val="00AF5C44"/>
    <w:rsid w:val="00B058E5"/>
    <w:rsid w:val="00B3071D"/>
    <w:rsid w:val="00B31789"/>
    <w:rsid w:val="00B32F9D"/>
    <w:rsid w:val="00B34E90"/>
    <w:rsid w:val="00B53B13"/>
    <w:rsid w:val="00B63866"/>
    <w:rsid w:val="00B716F8"/>
    <w:rsid w:val="00B81345"/>
    <w:rsid w:val="00B851D8"/>
    <w:rsid w:val="00C07309"/>
    <w:rsid w:val="00C07CE2"/>
    <w:rsid w:val="00C07D30"/>
    <w:rsid w:val="00C225E5"/>
    <w:rsid w:val="00C246B7"/>
    <w:rsid w:val="00C34357"/>
    <w:rsid w:val="00C35879"/>
    <w:rsid w:val="00C53C13"/>
    <w:rsid w:val="00C569FA"/>
    <w:rsid w:val="00C60EC0"/>
    <w:rsid w:val="00C76527"/>
    <w:rsid w:val="00CB6159"/>
    <w:rsid w:val="00CB71BF"/>
    <w:rsid w:val="00CC4E44"/>
    <w:rsid w:val="00CD7154"/>
    <w:rsid w:val="00CE0D21"/>
    <w:rsid w:val="00CE1537"/>
    <w:rsid w:val="00CE70C8"/>
    <w:rsid w:val="00CF6A3A"/>
    <w:rsid w:val="00D16A89"/>
    <w:rsid w:val="00D22D52"/>
    <w:rsid w:val="00D3527A"/>
    <w:rsid w:val="00D47375"/>
    <w:rsid w:val="00D724F4"/>
    <w:rsid w:val="00D73545"/>
    <w:rsid w:val="00D81261"/>
    <w:rsid w:val="00D87598"/>
    <w:rsid w:val="00DC5C4E"/>
    <w:rsid w:val="00DC6C4E"/>
    <w:rsid w:val="00DD3947"/>
    <w:rsid w:val="00DF4164"/>
    <w:rsid w:val="00E20B21"/>
    <w:rsid w:val="00E2541D"/>
    <w:rsid w:val="00E415A4"/>
    <w:rsid w:val="00E41B3B"/>
    <w:rsid w:val="00E55769"/>
    <w:rsid w:val="00E77C64"/>
    <w:rsid w:val="00EB4B5E"/>
    <w:rsid w:val="00EC6C85"/>
    <w:rsid w:val="00ED3750"/>
    <w:rsid w:val="00ED4954"/>
    <w:rsid w:val="00ED78BB"/>
    <w:rsid w:val="00EE1DA7"/>
    <w:rsid w:val="00EF0A6E"/>
    <w:rsid w:val="00F109D1"/>
    <w:rsid w:val="00F11378"/>
    <w:rsid w:val="00F26150"/>
    <w:rsid w:val="00F331F8"/>
    <w:rsid w:val="00F4326E"/>
    <w:rsid w:val="00F50C10"/>
    <w:rsid w:val="00F64CC1"/>
    <w:rsid w:val="00F9070F"/>
    <w:rsid w:val="00FA0BF5"/>
    <w:rsid w:val="00FD762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7B2574"/>
    <w:rPr>
      <w:rFonts w:ascii="Segoe UI" w:hAnsi="Segoe UI" w:cs="Segoe UI"/>
      <w:sz w:val="18"/>
      <w:szCs w:val="18"/>
    </w:rPr>
  </w:style>
  <w:style w:type="character" w:customStyle="1" w:styleId="TextodegloboCar">
    <w:name w:val="Texto de globo Car"/>
    <w:basedOn w:val="Fuentedeprrafopredeter"/>
    <w:link w:val="Textodeglobo"/>
    <w:semiHidden/>
    <w:rsid w:val="007B2574"/>
    <w:rPr>
      <w:rFonts w:ascii="Segoe UI" w:eastAsia="Times New Roman" w:hAnsi="Segoe UI" w:cs="Segoe UI"/>
      <w:sz w:val="18"/>
      <w:szCs w:val="18"/>
      <w:lang w:val="es-ES" w:eastAsia="es-ES"/>
    </w:rPr>
  </w:style>
  <w:style w:type="paragraph" w:styleId="Sinespaciado">
    <w:name w:val="No Spacing"/>
    <w:aliases w:val="Francesa"/>
    <w:link w:val="SinespaciadoCar"/>
    <w:uiPriority w:val="1"/>
    <w:qFormat/>
    <w:rsid w:val="0012538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12538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11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5CB0B-DAFA-4614-AF45-F01458267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932</Words>
  <Characters>5131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INFOEM usuario 2019</cp:lastModifiedBy>
  <cp:revision>7</cp:revision>
  <cp:lastPrinted>2019-10-07T19:41:00Z</cp:lastPrinted>
  <dcterms:created xsi:type="dcterms:W3CDTF">2019-10-07T19:42:00Z</dcterms:created>
  <dcterms:modified xsi:type="dcterms:W3CDTF">2019-10-25T18:49:00Z</dcterms:modified>
</cp:coreProperties>
</file>