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B622D">
        <w:rPr>
          <w:rFonts w:ascii="Palatino Linotype" w:hAnsi="Palatino Linotype" w:cs="Arial"/>
          <w:b/>
          <w:sz w:val="24"/>
          <w:szCs w:val="24"/>
        </w:rPr>
        <w:t>CUADRAG</w:t>
      </w:r>
      <w:r w:rsidR="009A5EFD">
        <w:rPr>
          <w:rFonts w:ascii="Palatino Linotype" w:hAnsi="Palatino Linotype" w:cs="Arial"/>
          <w:b/>
          <w:sz w:val="24"/>
          <w:szCs w:val="24"/>
        </w:rPr>
        <w:t>ÉSIMA SEXTA</w:t>
      </w:r>
      <w:r w:rsidRPr="009F71D8">
        <w:rPr>
          <w:rFonts w:ascii="Palatino Linotype" w:hAnsi="Palatino Linotype" w:cs="Arial"/>
          <w:b/>
          <w:sz w:val="24"/>
          <w:szCs w:val="24"/>
        </w:rPr>
        <w:t xml:space="preserve"> SESIÓN ORDINARIA DE </w:t>
      </w:r>
      <w:r w:rsidR="009A5EFD">
        <w:rPr>
          <w:rFonts w:ascii="Palatino Linotype" w:hAnsi="Palatino Linotype" w:cs="Arial"/>
          <w:b/>
          <w:sz w:val="24"/>
          <w:szCs w:val="24"/>
        </w:rPr>
        <w:t>ONCE</w:t>
      </w:r>
      <w:r w:rsidR="004B622D">
        <w:rPr>
          <w:rFonts w:ascii="Palatino Linotype" w:hAnsi="Palatino Linotype" w:cs="Arial"/>
          <w:b/>
          <w:sz w:val="24"/>
          <w:szCs w:val="24"/>
        </w:rPr>
        <w:t xml:space="preserve"> DE DICIEMBRE</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9A5EFD">
        <w:rPr>
          <w:rFonts w:ascii="Palatino Linotype" w:hAnsi="Palatino Linotype" w:cs="Arial"/>
          <w:b/>
          <w:bCs/>
          <w:sz w:val="24"/>
          <w:szCs w:val="24"/>
        </w:rPr>
        <w:t>08005</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9A5EFD">
        <w:rPr>
          <w:rFonts w:ascii="Palatino Linotype" w:hAnsi="Palatino Linotype" w:cs="Arial"/>
          <w:b/>
          <w:bCs/>
          <w:sz w:val="24"/>
          <w:szCs w:val="24"/>
        </w:rPr>
        <w:t>08005</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9A5EFD">
        <w:rPr>
          <w:rFonts w:ascii="Palatino Linotype" w:hAnsi="Palatino Linotype" w:cs="Arial"/>
          <w:sz w:val="24"/>
          <w:szCs w:val="24"/>
        </w:rPr>
        <w:t>la Comisionada Presidenta</w:t>
      </w:r>
      <w:r w:rsidRPr="009F71D8">
        <w:rPr>
          <w:rFonts w:ascii="Palatino Linotype" w:hAnsi="Palatino Linotype" w:cs="Arial"/>
          <w:sz w:val="24"/>
          <w:szCs w:val="24"/>
        </w:rPr>
        <w:t xml:space="preserve"> </w:t>
      </w:r>
      <w:r w:rsidR="009A5EFD">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121F69" w:rsidRDefault="00222D15" w:rsidP="00121F69">
      <w:pPr>
        <w:spacing w:before="240"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9A5EFD" w:rsidRPr="00FC0D02">
        <w:rPr>
          <w:rFonts w:ascii="Palatino Linotype" w:hAnsi="Palatino Linotype" w:cs="Arial"/>
          <w:b/>
          <w:sz w:val="24"/>
          <w:szCs w:val="24"/>
        </w:rPr>
        <w:t xml:space="preserve">Ayuntamiento de </w:t>
      </w:r>
      <w:r w:rsidR="009A5EFD" w:rsidRPr="006107EF">
        <w:rPr>
          <w:rFonts w:ascii="Palatino Linotype" w:hAnsi="Palatino Linotype" w:cs="Arial"/>
          <w:b/>
          <w:sz w:val="24"/>
          <w:szCs w:val="24"/>
        </w:rPr>
        <w:t>Naucalpan de Juárez</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DD6808">
        <w:rPr>
          <w:rFonts w:ascii="Palatino Linotype" w:hAnsi="Palatino Linotype"/>
          <w:sz w:val="24"/>
          <w:szCs w:val="24"/>
        </w:rPr>
        <w:t>los siguiente:</w:t>
      </w:r>
    </w:p>
    <w:p w:rsidR="00DD6808" w:rsidRDefault="009A5EFD" w:rsidP="009A5EFD">
      <w:pPr>
        <w:spacing w:before="240" w:line="240" w:lineRule="auto"/>
        <w:ind w:left="851" w:right="757"/>
        <w:jc w:val="both"/>
        <w:rPr>
          <w:rFonts w:ascii="Palatino Linotype" w:eastAsia="Calibri" w:hAnsi="Palatino Linotype" w:cs="Tahoma"/>
          <w:bCs/>
          <w:i/>
        </w:rPr>
      </w:pPr>
      <w:r w:rsidRPr="00F726B9">
        <w:rPr>
          <w:rFonts w:ascii="Palatino Linotype" w:eastAsia="Times New Roman" w:hAnsi="Palatino Linotype" w:cs="Times New Roman"/>
          <w:i/>
          <w:lang w:eastAsia="es-MX"/>
        </w:rPr>
        <w:lastRenderedPageBreak/>
        <w:t xml:space="preserve">1. Solicito se me entregue de manera detallado artículo por artículo y fracción por fracción cual es la multa o un tabulador de las sanciones, infracciones o multa de todos y cada uno de los artículo que son castigados de acuerdo a su bando municipal 2019 y no que se refieran a los días mencionados en el mismo es detallado, porque eso ya los conozco lo generales marcados en el CAPÍTULO SEGUNDO DE LAS INFRACCIONES Y SANCIONES; quiero el detalle cuanto es por ejemplo por tirar basura, por estar mala estacionado, etc… muy detallado; además se fundamente y emita documentos donde se asevere que un oficial calificador </w:t>
      </w:r>
      <w:proofErr w:type="spellStart"/>
      <w:r w:rsidRPr="00F726B9">
        <w:rPr>
          <w:rFonts w:ascii="Palatino Linotype" w:eastAsia="Times New Roman" w:hAnsi="Palatino Linotype" w:cs="Times New Roman"/>
          <w:i/>
          <w:lang w:eastAsia="es-MX"/>
        </w:rPr>
        <w:t>o</w:t>
      </w:r>
      <w:proofErr w:type="spellEnd"/>
      <w:r w:rsidRPr="00F726B9">
        <w:rPr>
          <w:rFonts w:ascii="Palatino Linotype" w:eastAsia="Times New Roman" w:hAnsi="Palatino Linotype" w:cs="Times New Roman"/>
          <w:i/>
          <w:lang w:eastAsia="es-MX"/>
        </w:rPr>
        <w:t xml:space="preserve"> oficial conciliador puede sancionar por una inflación de tránsito, se puede llevar acabo esta acción y sino, hay infracciones por que se utiliza el bando municipal cuando por jerarquía normativa esta primero el reglamento. 2. se me funde y motive porque se puede sancionar a una personar por no asistir a un citatorio de un oficial conciliador, sino es una figura sancionadora, sino bien conciliadora y es a voluntad de partes, se me entrega el reglamento interior, manual de organización, manuela de procedimientos y toda la normatividad de los oficiales conciliadores y oficiales calificadores donde se establezcan sus funciones, y que acredite esta acción, asimismo se me entregue un reporte del inicio de la administración cuantos detenidos y cuanto se ha recaudado por mula y cual es criterio para que establezcan cada una de las sanciones, multas o infracciones, como es que se establecen a criterio o bien se me entregue la documentación o normatividad que asevere que multa se debe imponer a cada infracción, falta administrativa, </w:t>
      </w:r>
      <w:proofErr w:type="spellStart"/>
      <w:r w:rsidRPr="00F726B9">
        <w:rPr>
          <w:rFonts w:ascii="Palatino Linotype" w:eastAsia="Times New Roman" w:hAnsi="Palatino Linotype" w:cs="Times New Roman"/>
          <w:i/>
          <w:lang w:eastAsia="es-MX"/>
        </w:rPr>
        <w:t>etc</w:t>
      </w:r>
      <w:proofErr w:type="spellEnd"/>
      <w:r w:rsidRPr="00F726B9">
        <w:rPr>
          <w:rFonts w:ascii="Palatino Linotype" w:eastAsia="Times New Roman" w:hAnsi="Palatino Linotype" w:cs="Times New Roman"/>
          <w:i/>
          <w:lang w:eastAsia="es-MX"/>
        </w:rPr>
        <w:t xml:space="preserve">; por lo que solicito se me entrega la documentación que acredite que puede sancionar una persona por ese hecho fundado y motivado. 3. se me entrega copia simple de la autorización por parte de la autoridad correspondiente para que la gras Chavarría operen en el municipio de Naucalpan. 4. la autorización, domicilio y tarifas autorizadas del depósito de guarda custodia y salvamento que está operando en Naucalpan. 5. normatividad jurídica para enajenar un vehículo en el plazo de treinta días como lo marca el Bando municipal, a favor del ayuntamiento y en su caso de hacerlo cual es el fin del vehículo y los recursos obtenidos todo con documentos que lo acrediten. 6. fundamento legal y normatividad jurídica donde establezca que los oficiales o policías pueden fotografiar y evidenciar a una persona que llega al oficial calificador por una falta administrativa. 7. cual fue el costo de la elaboración del bando municipal y su plan de desarrollo de esta administración 2019-2021 y que empresa, despacho lo realizó, se hiso consultas ciudadana, y se me entrega la factura de dichos </w:t>
      </w:r>
      <w:proofErr w:type="gramStart"/>
      <w:r w:rsidRPr="00F726B9">
        <w:rPr>
          <w:rFonts w:ascii="Palatino Linotype" w:eastAsia="Times New Roman" w:hAnsi="Palatino Linotype" w:cs="Times New Roman"/>
          <w:i/>
          <w:lang w:eastAsia="es-MX"/>
        </w:rPr>
        <w:t>pagos</w:t>
      </w:r>
      <w:proofErr w:type="gramEnd"/>
      <w:r w:rsidRPr="00F726B9">
        <w:rPr>
          <w:rFonts w:ascii="Palatino Linotype" w:eastAsia="Times New Roman" w:hAnsi="Palatino Linotype" w:cs="Times New Roman"/>
          <w:i/>
          <w:lang w:eastAsia="es-MX"/>
        </w:rPr>
        <w:t xml:space="preserve"> a las empres</w:t>
      </w:r>
      <w:r>
        <w:rPr>
          <w:rFonts w:ascii="Palatino Linotype" w:eastAsia="Times New Roman" w:hAnsi="Palatino Linotype" w:cs="Times New Roman"/>
          <w:i/>
          <w:lang w:eastAsia="es-MX"/>
        </w:rPr>
        <w:t>as o despacho que lo elaboraron</w:t>
      </w:r>
      <w:r w:rsidR="00DD6808" w:rsidRPr="00DD6808">
        <w:rPr>
          <w:rFonts w:ascii="Palatino Linotype" w:eastAsia="Calibri" w:hAnsi="Palatino Linotype" w:cs="Tahoma"/>
          <w:bCs/>
          <w:i/>
        </w:rPr>
        <w:t>.</w:t>
      </w:r>
    </w:p>
    <w:p w:rsidR="00DD6808" w:rsidRDefault="00DD6808" w:rsidP="00DD6808">
      <w:pPr>
        <w:spacing w:before="240" w:line="240" w:lineRule="auto"/>
        <w:ind w:left="851" w:right="757"/>
        <w:jc w:val="both"/>
        <w:rPr>
          <w:rFonts w:ascii="Palatino Linotype" w:hAnsi="Palatino Linotype" w:cs="Arial"/>
          <w:sz w:val="24"/>
        </w:rPr>
      </w:pPr>
    </w:p>
    <w:p w:rsidR="008C3005" w:rsidRPr="00121F69" w:rsidRDefault="00222D15" w:rsidP="00121F69">
      <w:pPr>
        <w:spacing w:before="240" w:line="360" w:lineRule="auto"/>
        <w:jc w:val="both"/>
        <w:rPr>
          <w:rFonts w:ascii="Palatino Linotype" w:hAnsi="Palatino Linotype" w:cs="Arial"/>
          <w:sz w:val="24"/>
        </w:rPr>
      </w:pPr>
      <w:r>
        <w:rPr>
          <w:rFonts w:ascii="Palatino Linotype" w:hAnsi="Palatino Linotype" w:cs="Arial"/>
          <w:sz w:val="24"/>
          <w:szCs w:val="24"/>
        </w:rPr>
        <w:lastRenderedPageBreak/>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E56331">
        <w:rPr>
          <w:rFonts w:ascii="Palatino Linotype" w:hAnsi="Palatino Linotype" w:cs="Arial"/>
          <w:sz w:val="24"/>
          <w:szCs w:val="24"/>
        </w:rPr>
        <w:t>a través de su respuesta se pronunció respecto a lo requerido, colmando así algunos puntos</w:t>
      </w:r>
      <w:r w:rsidR="003A0433">
        <w:rPr>
          <w:rFonts w:ascii="Palatino Linotype" w:hAnsi="Palatino Linotype" w:cs="Arial"/>
          <w:sz w:val="24"/>
          <w:szCs w:val="24"/>
        </w:rPr>
        <w:t>.</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E56331">
        <w:rPr>
          <w:rFonts w:ascii="Palatino Linotype" w:hAnsi="Palatino Linotype" w:cs="Arial"/>
          <w:sz w:val="24"/>
          <w:szCs w:val="24"/>
        </w:rPr>
        <w:t xml:space="preserve">que no se hacía entrega de documentación que acreditara lo que manifestó </w:t>
      </w:r>
      <w:r w:rsidR="00E56331" w:rsidRPr="00E56331">
        <w:rPr>
          <w:rFonts w:ascii="Palatino Linotype" w:hAnsi="Palatino Linotype" w:cs="Arial"/>
          <w:b/>
          <w:sz w:val="24"/>
          <w:szCs w:val="24"/>
        </w:rPr>
        <w:t>EL SUJETO OBLIGADO</w:t>
      </w:r>
      <w:r w:rsidR="00E56331">
        <w:rPr>
          <w:rFonts w:ascii="Palatino Linotype" w:hAnsi="Palatino Linotype" w:cs="Arial"/>
          <w:sz w:val="24"/>
          <w:szCs w:val="24"/>
        </w:rPr>
        <w:t xml:space="preserve"> </w:t>
      </w:r>
      <w:r w:rsidR="00E56331" w:rsidRPr="00E56331">
        <w:rPr>
          <w:rFonts w:ascii="Palatino Linotype" w:hAnsi="Palatino Linotype" w:cs="Arial"/>
          <w:sz w:val="24"/>
          <w:szCs w:val="24"/>
        </w:rPr>
        <w:t>mediante respuesta</w:t>
      </w:r>
      <w:r w:rsidR="00D72673">
        <w:rPr>
          <w:rFonts w:ascii="Palatino Linotype" w:hAnsi="Palatino Linotype" w:cs="Arial"/>
          <w:sz w:val="24"/>
          <w:szCs w:val="24"/>
        </w:rPr>
        <w:t>.</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E56331">
        <w:rPr>
          <w:rFonts w:ascii="Palatino Linotype" w:hAnsi="Palatino Linotype"/>
          <w:b/>
          <w:sz w:val="24"/>
          <w:szCs w:val="24"/>
        </w:rPr>
        <w:t xml:space="preserve">MODIFICAR </w:t>
      </w:r>
      <w:r w:rsidR="00E56331">
        <w:rPr>
          <w:rFonts w:ascii="Palatino Linotype" w:hAnsi="Palatino Linotype"/>
          <w:sz w:val="24"/>
          <w:szCs w:val="24"/>
        </w:rPr>
        <w:t>la respuesta del</w:t>
      </w:r>
      <w:r w:rsidR="005F2664" w:rsidRPr="0022298C">
        <w:rPr>
          <w:rFonts w:ascii="Palatino Linotype" w:eastAsia="Calibri" w:hAnsi="Palatino Linotype" w:cs="Tahoma"/>
          <w:lang w:eastAsia="es-MX"/>
        </w:rPr>
        <w:t xml:space="preserve"> </w:t>
      </w:r>
      <w:r w:rsidR="005F2664" w:rsidRPr="005F2664">
        <w:rPr>
          <w:rFonts w:ascii="Palatino Linotype" w:eastAsia="Calibri" w:hAnsi="Palatino Linotype" w:cs="Tahoma"/>
          <w:b/>
          <w:lang w:eastAsia="es-MX"/>
        </w:rPr>
        <w:t>SUJETO OBLIGADO</w:t>
      </w:r>
      <w:r w:rsidR="005F2664" w:rsidRPr="0022298C">
        <w:rPr>
          <w:rFonts w:ascii="Palatino Linotype" w:eastAsia="Calibri" w:hAnsi="Palatino Linotype" w:cs="Tahoma"/>
          <w:lang w:eastAsia="es-MX"/>
        </w:rPr>
        <w:t>,</w:t>
      </w:r>
      <w:r w:rsidR="00E56331">
        <w:rPr>
          <w:rFonts w:ascii="Palatino Linotype" w:eastAsia="Calibri" w:hAnsi="Palatino Linotype" w:cs="Tahoma"/>
          <w:lang w:eastAsia="es-MX"/>
        </w:rPr>
        <w:t xml:space="preserve"> ordenando que</w:t>
      </w:r>
      <w:r w:rsidR="005F2664" w:rsidRPr="0022298C">
        <w:rPr>
          <w:rFonts w:ascii="Palatino Linotype" w:eastAsia="Calibri" w:hAnsi="Palatino Linotype" w:cs="Tahoma"/>
          <w:lang w:eastAsia="es-MX"/>
        </w:rPr>
        <w:t xml:space="preserve"> </w:t>
      </w:r>
      <w:r w:rsidR="00E56331">
        <w:rPr>
          <w:rFonts w:ascii="Palatino Linotype" w:hAnsi="Palatino Linotype" w:cs="Arial"/>
          <w:sz w:val="24"/>
          <w:szCs w:val="24"/>
        </w:rPr>
        <w:t>hiciera</w:t>
      </w:r>
      <w:r w:rsidR="00E56331" w:rsidRPr="00FC0D02">
        <w:rPr>
          <w:rFonts w:ascii="Palatino Linotype" w:hAnsi="Palatino Linotype" w:cs="Arial"/>
          <w:sz w:val="24"/>
          <w:szCs w:val="24"/>
        </w:rPr>
        <w:t xml:space="preserve"> entrega al </w:t>
      </w:r>
      <w:r w:rsidR="00E56331" w:rsidRPr="00FC0D02">
        <w:rPr>
          <w:rFonts w:ascii="Palatino Linotype" w:hAnsi="Palatino Linotype" w:cs="Arial"/>
          <w:b/>
          <w:sz w:val="24"/>
          <w:szCs w:val="24"/>
        </w:rPr>
        <w:t>RECURRENTE</w:t>
      </w:r>
      <w:r w:rsidR="00E56331" w:rsidRPr="00FC0D02">
        <w:rPr>
          <w:rFonts w:ascii="Palatino Linotype" w:hAnsi="Palatino Linotype" w:cs="Arial"/>
          <w:sz w:val="24"/>
          <w:szCs w:val="24"/>
        </w:rPr>
        <w:t xml:space="preserve"> a través del </w:t>
      </w:r>
      <w:r w:rsidR="00E56331" w:rsidRPr="00FC0D02">
        <w:rPr>
          <w:rFonts w:ascii="Palatino Linotype" w:hAnsi="Palatino Linotype" w:cs="Arial"/>
          <w:b/>
          <w:sz w:val="24"/>
          <w:szCs w:val="24"/>
        </w:rPr>
        <w:t>SAIMEX</w:t>
      </w:r>
      <w:r w:rsidR="00E56331" w:rsidRPr="00FC0D02">
        <w:rPr>
          <w:rFonts w:ascii="Palatino Linotype" w:hAnsi="Palatino Linotype" w:cs="Arial"/>
          <w:sz w:val="24"/>
          <w:szCs w:val="24"/>
        </w:rPr>
        <w:t xml:space="preserve">, </w:t>
      </w:r>
      <w:r w:rsidR="00E56331" w:rsidRPr="00D807C6">
        <w:rPr>
          <w:rFonts w:ascii="Palatino Linotype" w:hAnsi="Palatino Linotype" w:cs="Arial"/>
          <w:sz w:val="24"/>
          <w:szCs w:val="24"/>
        </w:rPr>
        <w:t xml:space="preserve">previa búsqueda exhaustiva y razonable, </w:t>
      </w:r>
      <w:r w:rsidR="00E56331" w:rsidRPr="00FC0D02">
        <w:rPr>
          <w:rFonts w:ascii="Palatino Linotype" w:hAnsi="Palatino Linotype" w:cs="Arial"/>
          <w:sz w:val="24"/>
          <w:szCs w:val="24"/>
        </w:rPr>
        <w:t>el o los documentos en donde conste la siguiente información:</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E56331" w:rsidRPr="00E56331" w:rsidRDefault="00E56331" w:rsidP="00E56331">
      <w:pPr>
        <w:pStyle w:val="Prrafodelista"/>
        <w:numPr>
          <w:ilvl w:val="0"/>
          <w:numId w:val="16"/>
        </w:numPr>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Los ingresos recaudados por concepto de multas de tránsito, del periodo comprendido del 01 de enero al 03 de septiembre de 2019.</w:t>
      </w:r>
    </w:p>
    <w:p w:rsidR="00E56331" w:rsidRPr="00E56331" w:rsidRDefault="00E56331" w:rsidP="00E56331">
      <w:pPr>
        <w:pStyle w:val="Prrafodelista"/>
        <w:numPr>
          <w:ilvl w:val="0"/>
          <w:numId w:val="16"/>
        </w:numPr>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De ser procedente, la versión pública del convenio regulatorio para la operación de las empresas prestadoras del servicio de grúas, de la Administración 2019-2021.</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 xml:space="preserve">La normatividad jurídica donde establezca que los oficiales o policías pueden fotografiar y evidenciar a una persona que llega al oficial calificador por una falta administrativa. </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De ser procedente, la versión pública del costo de la elaboración del Bando Municipal y el Plan de Desarrollo de la Administración 2019-2021.</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El nombre de la empresa y/o despacho, que elaboraron el Bando Municipal y el Plan de Desarrollo de la Administración 2019-2021.</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El resultado de la consulta ciudadana, para la expedición del Bando Municipal y el Plan de Desarrollo de la Administración 2019-2021.</w:t>
      </w:r>
    </w:p>
    <w:p w:rsidR="00E56331" w:rsidRDefault="00E56331" w:rsidP="00E56331">
      <w:pPr>
        <w:spacing w:after="0" w:line="240" w:lineRule="auto"/>
        <w:ind w:left="643" w:right="757"/>
        <w:jc w:val="both"/>
        <w:rPr>
          <w:rFonts w:ascii="Palatino Linotype" w:hAnsi="Palatino Linotype" w:cs="Arial"/>
          <w:i/>
        </w:rPr>
      </w:pPr>
      <w:r w:rsidRPr="00E56331">
        <w:rPr>
          <w:rFonts w:ascii="Palatino Linotype" w:hAnsi="Palatino Linotype" w:cs="Arial"/>
          <w:i/>
        </w:rPr>
        <w:t xml:space="preserve">En caso de proceder la entrega de la documentación en versión pública </w:t>
      </w:r>
      <w:r w:rsidRPr="00E56331">
        <w:rPr>
          <w:rFonts w:ascii="Palatino Linotype" w:hAnsi="Palatino Linotype"/>
          <w:i/>
          <w:iCs/>
          <w:color w:val="222222"/>
          <w:shd w:val="clear" w:color="auto" w:fill="FFFFFF"/>
        </w:rPr>
        <w:t xml:space="preserve">que se ordena en los incisos b) y d), del </w:t>
      </w:r>
      <w:r w:rsidRPr="00E56331">
        <w:rPr>
          <w:rFonts w:ascii="Palatino Linotype" w:hAnsi="Palatino Linotype"/>
          <w:b/>
          <w:i/>
          <w:iCs/>
          <w:color w:val="222222"/>
          <w:shd w:val="clear" w:color="auto" w:fill="FFFFFF"/>
        </w:rPr>
        <w:t>RESOLUTIVO SEGUNDO</w:t>
      </w:r>
      <w:r w:rsidRPr="00E56331">
        <w:rPr>
          <w:rFonts w:ascii="Palatino Linotype" w:hAnsi="Palatino Linotype" w:cs="Arial"/>
          <w:i/>
        </w:rPr>
        <w:t>,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E56331" w:rsidRPr="00E56331" w:rsidRDefault="00E56331" w:rsidP="00E56331">
      <w:pPr>
        <w:spacing w:after="0" w:line="240" w:lineRule="auto"/>
        <w:ind w:left="643" w:right="757"/>
        <w:jc w:val="both"/>
        <w:rPr>
          <w:rFonts w:ascii="Palatino Linotype" w:hAnsi="Palatino Linotype" w:cs="Arial"/>
          <w:i/>
        </w:rPr>
      </w:pPr>
    </w:p>
    <w:p w:rsidR="005E0746" w:rsidRPr="00E56331" w:rsidRDefault="00E56331" w:rsidP="00E56331">
      <w:pPr>
        <w:pStyle w:val="Sinespaciado"/>
        <w:ind w:left="709" w:right="757"/>
        <w:jc w:val="both"/>
        <w:rPr>
          <w:rFonts w:ascii="Palatino Linotype" w:hAnsi="Palatino Linotype"/>
          <w:i/>
          <w:lang w:val="es-ES_tradnl"/>
        </w:rPr>
      </w:pPr>
      <w:r w:rsidRPr="00E56331">
        <w:rPr>
          <w:rFonts w:ascii="Palatino Linotype" w:hAnsi="Palatino Linotype" w:cs="Arial"/>
          <w:i/>
        </w:rPr>
        <w:t xml:space="preserve">En el supuesto que el </w:t>
      </w:r>
      <w:r w:rsidRPr="00E56331">
        <w:rPr>
          <w:rFonts w:ascii="Palatino Linotype" w:hAnsi="Palatino Linotype" w:cs="Arial"/>
          <w:b/>
          <w:i/>
        </w:rPr>
        <w:t>Sujeto Obligado</w:t>
      </w:r>
      <w:r w:rsidRPr="00E56331">
        <w:rPr>
          <w:rFonts w:ascii="Palatino Linotype" w:hAnsi="Palatino Linotype" w:cs="Arial"/>
          <w:i/>
        </w:rPr>
        <w:t xml:space="preserve"> advierta que, no posee, administra o genera la información que se ordena su entrega señalada en los incisos b), c), d), e) y f), bastará con que lo haga del conocimiento del </w:t>
      </w:r>
      <w:r w:rsidRPr="00E56331">
        <w:rPr>
          <w:rFonts w:ascii="Palatino Linotype" w:hAnsi="Palatino Linotype" w:cs="Arial"/>
          <w:b/>
          <w:i/>
        </w:rPr>
        <w:t>Recurrente</w:t>
      </w:r>
      <w:r w:rsidRPr="00E56331">
        <w:rPr>
          <w:rFonts w:ascii="Palatino Linotype" w:hAnsi="Palatino Linotype" w:cs="Arial"/>
          <w:i/>
        </w:rPr>
        <w:t xml:space="preserve"> al momento en que dé cumplimiento a la presente resolución.</w:t>
      </w:r>
      <w:r w:rsidR="005E0746" w:rsidRPr="00E56331">
        <w:rPr>
          <w:rFonts w:ascii="Palatino Linotype" w:hAnsi="Palatino Linotype"/>
          <w:i/>
          <w:lang w:val="es-ES_tradnl"/>
        </w:rPr>
        <w:t xml:space="preserve"> </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w:t>
      </w:r>
      <w:r w:rsidR="00E56331">
        <w:rPr>
          <w:rFonts w:ascii="Palatino Linotype" w:hAnsi="Palatino Linotype" w:cs="Arial"/>
          <w:sz w:val="24"/>
          <w:szCs w:val="24"/>
        </w:rPr>
        <w:t>colmado lo correspondiente a la información requerida en los puntos 1 y 2.</w:t>
      </w:r>
    </w:p>
    <w:p w:rsidR="00432008" w:rsidRPr="007F36C7" w:rsidRDefault="006079F6" w:rsidP="000B643B">
      <w:p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t xml:space="preserve">Lo anterior en razón, de que </w:t>
      </w:r>
      <w:r w:rsidR="005848D9">
        <w:rPr>
          <w:rFonts w:ascii="Palatino Linotype" w:hAnsi="Palatino Linotype" w:cs="Arial"/>
          <w:sz w:val="24"/>
        </w:rPr>
        <w:t>tanto en el punto número 1 como en el 2</w:t>
      </w:r>
      <w:r w:rsidR="00E56331">
        <w:rPr>
          <w:rFonts w:ascii="Palatino Linotype" w:hAnsi="Palatino Linotype" w:cs="Arial"/>
          <w:sz w:val="24"/>
        </w:rPr>
        <w:t xml:space="preserve"> el particular está requiriendo </w:t>
      </w:r>
      <w:r w:rsidR="0008352F">
        <w:rPr>
          <w:rFonts w:ascii="Palatino Linotype" w:hAnsi="Palatino Linotype" w:cs="Arial"/>
          <w:sz w:val="24"/>
        </w:rPr>
        <w:t>la normatividad en la que se basa las sanciones, infracciones, multas, asimi</w:t>
      </w:r>
      <w:r w:rsidR="007F36C7">
        <w:rPr>
          <w:rFonts w:ascii="Palatino Linotype" w:hAnsi="Palatino Linotype" w:cs="Arial"/>
          <w:sz w:val="24"/>
        </w:rPr>
        <w:t xml:space="preserve">smo se advierte que requiere el reglamento interior, manual de organización y manual de procedimientos; a lo que </w:t>
      </w:r>
      <w:r w:rsidR="007F36C7" w:rsidRPr="007F36C7">
        <w:rPr>
          <w:rFonts w:ascii="Palatino Linotype" w:hAnsi="Palatino Linotype" w:cs="Arial"/>
          <w:b/>
          <w:sz w:val="24"/>
        </w:rPr>
        <w:t>EL SUJETO OBLIGADO</w:t>
      </w:r>
      <w:r w:rsidR="007F36C7">
        <w:rPr>
          <w:rFonts w:ascii="Palatino Linotype" w:hAnsi="Palatino Linotype" w:cs="Arial"/>
          <w:b/>
          <w:sz w:val="24"/>
        </w:rPr>
        <w:t xml:space="preserve">, </w:t>
      </w:r>
      <w:r w:rsidR="007F36C7">
        <w:rPr>
          <w:rFonts w:ascii="Palatino Linotype" w:hAnsi="Palatino Linotype" w:cs="Arial"/>
          <w:sz w:val="24"/>
        </w:rPr>
        <w:t>únicame</w:t>
      </w:r>
      <w:r w:rsidR="005848D9">
        <w:rPr>
          <w:rFonts w:ascii="Palatino Linotype" w:hAnsi="Palatino Linotype" w:cs="Arial"/>
          <w:sz w:val="24"/>
        </w:rPr>
        <w:t>nte se limitó a mencionar en qué</w:t>
      </w:r>
      <w:r w:rsidR="007F36C7">
        <w:rPr>
          <w:rFonts w:ascii="Palatino Linotype" w:hAnsi="Palatino Linotype" w:cs="Arial"/>
          <w:sz w:val="24"/>
        </w:rPr>
        <w:t xml:space="preserve"> </w:t>
      </w:r>
      <w:r w:rsidR="005848D9">
        <w:rPr>
          <w:rFonts w:ascii="Palatino Linotype" w:hAnsi="Palatino Linotype" w:cs="Arial"/>
          <w:sz w:val="24"/>
        </w:rPr>
        <w:t>su actuar estaba basado en los artículos 137 y 138 del Bando Municipal</w:t>
      </w:r>
      <w:r w:rsidR="007F36C7">
        <w:rPr>
          <w:rFonts w:ascii="Palatino Linotype" w:hAnsi="Palatino Linotype" w:cs="Arial"/>
          <w:sz w:val="24"/>
        </w:rPr>
        <w:t>.</w:t>
      </w:r>
    </w:p>
    <w:p w:rsidR="00C76FD9" w:rsidRPr="007F36C7" w:rsidRDefault="00CB35F6" w:rsidP="00432008">
      <w:pPr>
        <w:spacing w:before="100" w:beforeAutospacing="1" w:after="100" w:afterAutospacing="1" w:line="360" w:lineRule="auto"/>
        <w:ind w:right="49"/>
        <w:jc w:val="both"/>
        <w:rPr>
          <w:rFonts w:ascii="Palatino Linotype" w:eastAsia="Calibri" w:hAnsi="Palatino Linotype"/>
          <w:sz w:val="24"/>
          <w:szCs w:val="24"/>
        </w:rPr>
      </w:pPr>
      <w:r>
        <w:rPr>
          <w:rFonts w:ascii="Palatino Linotype" w:eastAsia="Calibri" w:hAnsi="Palatino Linotype"/>
          <w:sz w:val="24"/>
          <w:szCs w:val="24"/>
        </w:rPr>
        <w:t xml:space="preserve">Es por ello que </w:t>
      </w:r>
      <w:r w:rsidR="00AE1C6B">
        <w:rPr>
          <w:rFonts w:ascii="Palatino Linotype" w:eastAsia="Calibri" w:hAnsi="Palatino Linotype"/>
          <w:sz w:val="24"/>
          <w:szCs w:val="24"/>
        </w:rPr>
        <w:t xml:space="preserve">se considera que </w:t>
      </w:r>
      <w:r w:rsidR="00432008">
        <w:rPr>
          <w:rFonts w:ascii="Palatino Linotype" w:eastAsia="Calibri" w:hAnsi="Palatino Linotype"/>
          <w:sz w:val="24"/>
          <w:szCs w:val="24"/>
        </w:rPr>
        <w:t xml:space="preserve">en aras de privilegiar el derecho de acceso a la información pública accionado por el particular, se debió considerar el ordenar lo requerido </w:t>
      </w:r>
      <w:r w:rsidR="007F36C7">
        <w:rPr>
          <w:rFonts w:ascii="Palatino Linotype" w:eastAsia="Calibri" w:hAnsi="Palatino Linotype"/>
          <w:sz w:val="24"/>
          <w:szCs w:val="24"/>
        </w:rPr>
        <w:t>en el punto 1 y 2 que se encuentran dentro de la solicitud, toda vez que no se advierte dentro del expediente electrónico conformado dentro del SAIMEX</w:t>
      </w:r>
      <w:r w:rsidR="00432008">
        <w:rPr>
          <w:rFonts w:ascii="Palatino Linotype" w:eastAsia="Calibri" w:hAnsi="Palatino Linotype"/>
          <w:sz w:val="24"/>
          <w:szCs w:val="24"/>
        </w:rPr>
        <w:t xml:space="preserve"> </w:t>
      </w:r>
      <w:r w:rsidR="007F36C7">
        <w:rPr>
          <w:rFonts w:ascii="Palatino Linotype" w:eastAsia="Calibri" w:hAnsi="Palatino Linotype"/>
          <w:sz w:val="24"/>
          <w:szCs w:val="24"/>
        </w:rPr>
        <w:t xml:space="preserve">que se colme la pretensión del </w:t>
      </w:r>
      <w:r w:rsidR="007F36C7" w:rsidRPr="007F36C7">
        <w:rPr>
          <w:rFonts w:ascii="Palatino Linotype" w:eastAsia="Calibri" w:hAnsi="Palatino Linotype"/>
          <w:b/>
          <w:sz w:val="24"/>
          <w:szCs w:val="24"/>
        </w:rPr>
        <w:t>RECURRENTE</w:t>
      </w:r>
      <w:r w:rsidR="007F36C7">
        <w:rPr>
          <w:rFonts w:ascii="Palatino Linotype" w:eastAsia="Calibri" w:hAnsi="Palatino Linotype"/>
          <w:b/>
          <w:sz w:val="24"/>
          <w:szCs w:val="24"/>
        </w:rPr>
        <w:t xml:space="preserve">, </w:t>
      </w:r>
      <w:r w:rsidR="007F36C7">
        <w:rPr>
          <w:rFonts w:ascii="Palatino Linotype" w:eastAsia="Calibri" w:hAnsi="Palatino Linotype"/>
          <w:sz w:val="24"/>
          <w:szCs w:val="24"/>
        </w:rPr>
        <w:t>dejando de lado puntos controvertidos sin resolver, acción que contravine con los principios</w:t>
      </w:r>
      <w:r w:rsidR="00DE19BE">
        <w:rPr>
          <w:rFonts w:ascii="Palatino Linotype" w:eastAsia="Calibri" w:hAnsi="Palatino Linotype"/>
          <w:sz w:val="24"/>
          <w:szCs w:val="24"/>
        </w:rPr>
        <w:t xml:space="preserve"> en los que se debe basar al momento de emitir una resolución, tales como lo son el principio de exhaustividad y congruencia.</w:t>
      </w:r>
    </w:p>
    <w:p w:rsidR="00267DAC" w:rsidRPr="00C76FD9" w:rsidRDefault="00C76FD9" w:rsidP="00267DAC">
      <w:pPr>
        <w:autoSpaceDE w:val="0"/>
        <w:autoSpaceDN w:val="0"/>
        <w:adjustRightInd w:val="0"/>
        <w:spacing w:before="100" w:beforeAutospacing="1" w:after="100" w:afterAutospacing="1" w:line="360" w:lineRule="auto"/>
        <w:ind w:right="49"/>
        <w:jc w:val="both"/>
        <w:rPr>
          <w:rFonts w:ascii="Palatino Linotype" w:hAnsi="Palatino Linotype" w:cs="Arial"/>
          <w:sz w:val="24"/>
          <w:szCs w:val="24"/>
        </w:rPr>
      </w:pPr>
      <w:r w:rsidRPr="00C76FD9">
        <w:rPr>
          <w:rFonts w:ascii="Palatino Linotype" w:hAnsi="Palatino Linotype" w:cs="Arial"/>
          <w:sz w:val="24"/>
          <w:szCs w:val="24"/>
        </w:rPr>
        <w:t>Asimismo,</w:t>
      </w:r>
      <w:r w:rsidR="00267DAC" w:rsidRPr="00C76FD9">
        <w:rPr>
          <w:rFonts w:ascii="Palatino Linotype" w:hAnsi="Palatino Linotype" w:cs="Arial"/>
          <w:sz w:val="24"/>
          <w:szCs w:val="24"/>
        </w:rPr>
        <w:t xml:space="preserve"> se sustenta con el criterio jurisprudencial emitido por la Suprema Corte de Justicia de la nación, siguiente</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Época: Décima Época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Registro: 2005968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Instancia: Tribunales Colegiados de Circuito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Tipo de Tesis: Aislada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Fuente: Gaceta del Semanario Judicial de la Federación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Libro 4, Marzo de 2014, Tomo II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Materia(s): Constitucional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Tesis: I.4o.C.2 K (10a.)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Página: 1772 </w:t>
      </w:r>
    </w:p>
    <w:p w:rsidR="00267DAC" w:rsidRPr="00D53E35" w:rsidRDefault="00267DAC" w:rsidP="000D3E21">
      <w:pPr>
        <w:autoSpaceDE w:val="0"/>
        <w:autoSpaceDN w:val="0"/>
        <w:adjustRightInd w:val="0"/>
        <w:spacing w:before="100" w:beforeAutospacing="1" w:line="240" w:lineRule="auto"/>
        <w:ind w:left="709" w:right="757"/>
        <w:jc w:val="both"/>
        <w:rPr>
          <w:rFonts w:ascii="Palatino Linotype" w:hAnsi="Palatino Linotype" w:cs="Arial"/>
          <w:i/>
        </w:rPr>
      </w:pPr>
      <w:r w:rsidRPr="00D53E35">
        <w:rPr>
          <w:rFonts w:ascii="Palatino Linotype" w:hAnsi="Palatino Linotype" w:cs="Arial"/>
          <w:b/>
          <w:i/>
        </w:rPr>
        <w:t>EXHAUSTIVIDAD</w:t>
      </w:r>
      <w:r w:rsidRPr="00D53E35">
        <w:rPr>
          <w:rFonts w:ascii="Palatino Linotype" w:hAnsi="Palatino Linotype" w:cs="Arial"/>
          <w:i/>
        </w:rPr>
        <w:t>. SU EXIGENCIA IMPLICA LA MAYOR CALIDAD POSIBLE DE LAS SENTENCIAS, PARA CUMPLIR CON LA PLENITUD EXIGIDA POR EL ARTÍCULO 17 CONSTITUCIONAL.</w:t>
      </w:r>
    </w:p>
    <w:p w:rsidR="00267DAC" w:rsidRPr="00D53E35"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267DAC" w:rsidRPr="00D53E35"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CUARTO TRIBUNAL COLEGIADO EN MATERIA CIVIL DEL PRIMER CIRCUITO.</w:t>
      </w:r>
    </w:p>
    <w:p w:rsidR="00267DAC" w:rsidRPr="00D53E35"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Amparo directo 401/2013. Carlos Sánchez Castillo. 20 de septiembre de 2013. Unanimidad de votos. Ponente: Leonel Castillo González. Secretaria: Norma Leonor Morales González.</w:t>
      </w:r>
    </w:p>
    <w:p w:rsidR="00267DAC"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Esta tesis se publicó el viernes 21 de marzo de 2014 a las 11:03 horas en el Semanario Judicial de la Federación.</w:t>
      </w:r>
    </w:p>
    <w:p w:rsidR="00267DAC" w:rsidRPr="00C76FD9" w:rsidRDefault="00267DAC" w:rsidP="00267DAC">
      <w:pPr>
        <w:spacing w:before="100" w:beforeAutospacing="1" w:after="100" w:afterAutospacing="1" w:line="360" w:lineRule="auto"/>
        <w:jc w:val="both"/>
        <w:rPr>
          <w:rFonts w:ascii="Palatino Linotype" w:hAnsi="Palatino Linotype" w:cs="Arial"/>
          <w:sz w:val="24"/>
          <w:szCs w:val="24"/>
        </w:rPr>
      </w:pPr>
      <w:r w:rsidRPr="00C76FD9">
        <w:rPr>
          <w:rFonts w:ascii="Palatino Linotype" w:hAnsi="Palatino Linotype"/>
          <w:sz w:val="24"/>
          <w:szCs w:val="24"/>
        </w:rPr>
        <w:t xml:space="preserve">A fin de robustecer lo expuesto, conviene citar </w:t>
      </w:r>
      <w:r w:rsidRPr="00C76FD9">
        <w:rPr>
          <w:rFonts w:ascii="Palatino Linotype" w:hAnsi="Palatino Linotype" w:cs="Segoe UI"/>
          <w:sz w:val="24"/>
          <w:szCs w:val="24"/>
        </w:rPr>
        <w:t xml:space="preserve">el criterio orientador </w:t>
      </w:r>
      <w:r w:rsidRPr="00C76FD9">
        <w:rPr>
          <w:rFonts w:ascii="Palatino Linotype" w:hAnsi="Palatino Linotype"/>
          <w:sz w:val="24"/>
          <w:szCs w:val="24"/>
          <w:lang w:eastAsia="es-MX"/>
        </w:rPr>
        <w:t>002/2017 del Instituto Nacional de Acceso a la Información y Protección de Datos (INAI),</w:t>
      </w:r>
      <w:r w:rsidRPr="00C76FD9">
        <w:rPr>
          <w:rFonts w:ascii="Palatino Linotype" w:hAnsi="Palatino Linotype" w:cs="Arial"/>
          <w:sz w:val="24"/>
          <w:szCs w:val="24"/>
        </w:rPr>
        <w:t xml:space="preserve"> cuyo tenor es el siguiente:</w:t>
      </w:r>
    </w:p>
    <w:p w:rsidR="00267DAC" w:rsidRPr="00D621C2" w:rsidRDefault="00267DAC" w:rsidP="000D3E21">
      <w:pPr>
        <w:spacing w:before="100" w:beforeAutospacing="1" w:after="100" w:afterAutospacing="1" w:line="240" w:lineRule="auto"/>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267DAC" w:rsidRDefault="00267DAC" w:rsidP="000D3E21">
      <w:pPr>
        <w:spacing w:before="100" w:beforeAutospacing="1" w:after="100" w:afterAutospacing="1" w:line="240" w:lineRule="auto"/>
        <w:ind w:left="851" w:right="899"/>
        <w:jc w:val="both"/>
        <w:rPr>
          <w:rFonts w:ascii="Palatino Linotype" w:hAnsi="Palatino Linotype" w:cs="Arial"/>
        </w:rPr>
      </w:pPr>
      <w:r w:rsidRPr="006807DD">
        <w:rPr>
          <w:rFonts w:ascii="Palatino Linotype" w:hAnsi="Palatino Linotype" w:cs="Arial"/>
          <w:bCs/>
          <w:i/>
        </w:rPr>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w:t>
      </w:r>
      <w:proofErr w:type="spellStart"/>
      <w:r w:rsidRPr="006807DD">
        <w:rPr>
          <w:rFonts w:ascii="Palatino Linotype" w:hAnsi="Palatino Linotype" w:cs="Arial"/>
          <w:bCs/>
          <w:i/>
        </w:rPr>
        <w:t>Rosendoevgueni</w:t>
      </w:r>
      <w:proofErr w:type="spellEnd"/>
      <w:r w:rsidRPr="006807DD">
        <w:rPr>
          <w:rFonts w:ascii="Palatino Linotype" w:hAnsi="Palatino Linotype" w:cs="Arial"/>
          <w:bCs/>
          <w:i/>
        </w:rPr>
        <w:t xml:space="preserve"> Monterrey </w:t>
      </w:r>
      <w:proofErr w:type="spellStart"/>
      <w:r w:rsidRPr="006807DD">
        <w:rPr>
          <w:rFonts w:ascii="Palatino Linotype" w:hAnsi="Palatino Linotype" w:cs="Arial"/>
          <w:bCs/>
          <w:i/>
        </w:rPr>
        <w:t>Chepov</w:t>
      </w:r>
      <w:proofErr w:type="spellEnd"/>
      <w:r w:rsidRPr="007D2ED5">
        <w:rPr>
          <w:rFonts w:ascii="Palatino Linotype" w:hAnsi="Palatino Linotype" w:cs="Arial"/>
          <w:b/>
          <w:bCs/>
          <w:i/>
        </w:rPr>
        <w:t>.”</w:t>
      </w:r>
      <w:r>
        <w:rPr>
          <w:rFonts w:ascii="Palatino Linotype" w:hAnsi="Palatino Linotype" w:cs="Arial"/>
        </w:rPr>
        <w:t xml:space="preserve"> </w:t>
      </w:r>
      <w:r w:rsidR="00D05991">
        <w:rPr>
          <w:rFonts w:ascii="Palatino Linotype" w:hAnsi="Palatino Linotype" w:cs="Arial"/>
        </w:rPr>
        <w:t xml:space="preserve"> </w:t>
      </w:r>
    </w:p>
    <w:p w:rsidR="00E46F6B" w:rsidRPr="00E46F6B" w:rsidRDefault="00E46F6B" w:rsidP="00036E28">
      <w:pPr>
        <w:spacing w:before="100" w:beforeAutospacing="1" w:after="100" w:afterAutospacing="1" w:line="360" w:lineRule="auto"/>
        <w:jc w:val="both"/>
        <w:rPr>
          <w:rFonts w:ascii="Palatino Linotype" w:hAnsi="Palatino Linotype"/>
          <w:color w:val="000000"/>
          <w:sz w:val="6"/>
          <w:szCs w:val="24"/>
        </w:rPr>
      </w:pPr>
    </w:p>
    <w:p w:rsidR="00D67AAB" w:rsidRDefault="00D05991" w:rsidP="00036E28">
      <w:pPr>
        <w:spacing w:before="100" w:beforeAutospacing="1" w:after="100" w:afterAutospacing="1" w:line="360" w:lineRule="auto"/>
        <w:jc w:val="both"/>
        <w:rPr>
          <w:rFonts w:ascii="Palatino Linotype" w:hAnsi="Palatino Linotype" w:cs="Arial"/>
          <w:sz w:val="24"/>
          <w:szCs w:val="24"/>
        </w:rPr>
      </w:pPr>
      <w:r w:rsidRPr="00D05991">
        <w:rPr>
          <w:rFonts w:ascii="Palatino Linotype" w:hAnsi="Palatino Linotype"/>
          <w:color w:val="000000"/>
          <w:sz w:val="24"/>
          <w:szCs w:val="24"/>
        </w:rPr>
        <w:t>Por lo tanto,</w:t>
      </w:r>
      <w:r w:rsidRPr="00D05991">
        <w:rPr>
          <w:rFonts w:ascii="Palatino Linotype" w:hAnsi="Palatino Linotype" w:cs="Arial"/>
          <w:sz w:val="24"/>
          <w:szCs w:val="24"/>
        </w:rPr>
        <w:t xml:space="preserve"> la que suscribe emite </w:t>
      </w:r>
      <w:r w:rsidRPr="00D05991">
        <w:rPr>
          <w:rFonts w:ascii="Palatino Linotype" w:hAnsi="Palatino Linotype" w:cs="Arial"/>
          <w:b/>
          <w:sz w:val="24"/>
          <w:szCs w:val="24"/>
        </w:rPr>
        <w:t>VOTO PARTICULAR</w:t>
      </w:r>
      <w:r w:rsidRPr="00D05991">
        <w:rPr>
          <w:rFonts w:ascii="Palatino Linotype" w:hAnsi="Palatino Linotype" w:cs="Arial"/>
          <w:sz w:val="24"/>
          <w:szCs w:val="24"/>
        </w:rPr>
        <w:t xml:space="preserve"> a fin de precisar que se debió</w:t>
      </w:r>
      <w:r w:rsidR="000B643B">
        <w:rPr>
          <w:rFonts w:ascii="Palatino Linotype" w:hAnsi="Palatino Linotype" w:cs="Arial"/>
          <w:sz w:val="24"/>
          <w:szCs w:val="24"/>
        </w:rPr>
        <w:t xml:space="preserve"> ordenar </w:t>
      </w:r>
      <w:r w:rsidR="00432008">
        <w:rPr>
          <w:rFonts w:ascii="Palatino Linotype" w:hAnsi="Palatino Linotype" w:cs="Arial"/>
          <w:sz w:val="24"/>
          <w:szCs w:val="24"/>
        </w:rPr>
        <w:t>la entrega de la información</w:t>
      </w:r>
      <w:r w:rsidR="00DE19BE">
        <w:rPr>
          <w:rFonts w:ascii="Palatino Linotype" w:hAnsi="Palatino Linotype" w:cs="Arial"/>
          <w:sz w:val="24"/>
          <w:szCs w:val="24"/>
        </w:rPr>
        <w:t xml:space="preserve"> consagrada en los puntos 1 y 2 de la solicitud formulada por el particular</w:t>
      </w:r>
      <w:r w:rsidR="00432008">
        <w:rPr>
          <w:rFonts w:ascii="Palatino Linotype" w:hAnsi="Palatino Linotype" w:cs="Arial"/>
          <w:sz w:val="24"/>
          <w:szCs w:val="24"/>
        </w:rPr>
        <w:t>,</w:t>
      </w:r>
      <w:r w:rsidR="00DE19BE">
        <w:rPr>
          <w:rFonts w:ascii="Palatino Linotype" w:hAnsi="Palatino Linotype" w:cs="Arial"/>
          <w:sz w:val="24"/>
          <w:szCs w:val="24"/>
        </w:rPr>
        <w:t xml:space="preserve"> toda vez que no se advierte </w:t>
      </w:r>
      <w:r w:rsidR="00432008">
        <w:rPr>
          <w:rFonts w:ascii="Palatino Linotype" w:hAnsi="Palatino Linotype" w:cs="Arial"/>
          <w:sz w:val="24"/>
          <w:szCs w:val="24"/>
        </w:rPr>
        <w:t xml:space="preserve"> </w:t>
      </w:r>
      <w:r w:rsidR="00DE19BE">
        <w:rPr>
          <w:rFonts w:ascii="Palatino Linotype" w:hAnsi="Palatino Linotype" w:cs="Arial"/>
          <w:sz w:val="24"/>
          <w:szCs w:val="24"/>
        </w:rPr>
        <w:t xml:space="preserve">que </w:t>
      </w:r>
      <w:r w:rsidR="00DE19BE" w:rsidRPr="00DE19BE">
        <w:rPr>
          <w:rFonts w:ascii="Palatino Linotype" w:hAnsi="Palatino Linotype" w:cs="Arial"/>
          <w:b/>
          <w:sz w:val="24"/>
          <w:szCs w:val="24"/>
        </w:rPr>
        <w:t>EL SUJETO OBLIGADO</w:t>
      </w:r>
      <w:r w:rsidR="00DE19BE">
        <w:rPr>
          <w:rFonts w:ascii="Palatino Linotype" w:hAnsi="Palatino Linotype" w:cs="Arial"/>
          <w:sz w:val="24"/>
          <w:szCs w:val="24"/>
        </w:rPr>
        <w:t xml:space="preserve"> haya remitido ya sea mediante respuesta o al momento de Rendir su Informe Justificado la normatividad a la que se pretende tener acceso, contraviniendo así con</w:t>
      </w:r>
      <w:r w:rsidRPr="00D05991">
        <w:rPr>
          <w:rFonts w:ascii="Palatino Linotype" w:hAnsi="Palatino Linotype" w:cs="Arial"/>
          <w:sz w:val="24"/>
          <w:szCs w:val="24"/>
        </w:rPr>
        <w:t xml:space="preserve"> los principios</w:t>
      </w:r>
      <w:r w:rsidR="005848D9">
        <w:rPr>
          <w:rFonts w:ascii="Palatino Linotype" w:hAnsi="Palatino Linotype" w:cs="Arial"/>
          <w:sz w:val="24"/>
          <w:szCs w:val="24"/>
        </w:rPr>
        <w:t xml:space="preserve"> de exhaustividad y congruencia, aunado a que reitere dos artículos sin que los mismos correspondan a lo solicitado.</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Pr="002601BD" w:rsidRDefault="000D3E21"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E46F6B">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8060AF" w:rsidRPr="009F71D8" w:rsidRDefault="008060AF" w:rsidP="00E46F6B">
            <w:pPr>
              <w:spacing w:after="0"/>
              <w:ind w:right="51"/>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E46F6B" w:rsidRDefault="00E46F6B" w:rsidP="00222D15">
      <w:pPr>
        <w:widowControl w:val="0"/>
        <w:spacing w:after="0" w:line="240" w:lineRule="auto"/>
        <w:ind w:right="51"/>
        <w:jc w:val="both"/>
        <w:rPr>
          <w:rFonts w:ascii="Palatino Linotype" w:eastAsia="Calibri" w:hAnsi="Palatino Linotype" w:cs="Arial"/>
          <w:color w:val="000000" w:themeColor="text1"/>
          <w:sz w:val="20"/>
          <w:szCs w:val="20"/>
        </w:rPr>
      </w:pPr>
    </w:p>
    <w:p w:rsidR="00E46F6B" w:rsidRDefault="00E46F6B" w:rsidP="00222D15">
      <w:pPr>
        <w:widowControl w:val="0"/>
        <w:spacing w:after="0" w:line="240" w:lineRule="auto"/>
        <w:ind w:right="51"/>
        <w:jc w:val="both"/>
        <w:rPr>
          <w:rFonts w:ascii="Palatino Linotype" w:eastAsia="Calibri" w:hAnsi="Palatino Linotype" w:cs="Arial"/>
          <w:color w:val="000000" w:themeColor="text1"/>
          <w:sz w:val="20"/>
          <w:szCs w:val="20"/>
        </w:rPr>
      </w:pPr>
    </w:p>
    <w:p w:rsidR="00E46F6B" w:rsidRDefault="00E46F6B"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E46F6B" w:rsidRDefault="00E46F6B" w:rsidP="00222D15">
      <w:pPr>
        <w:widowControl w:val="0"/>
        <w:spacing w:after="0" w:line="240" w:lineRule="auto"/>
        <w:ind w:right="51"/>
        <w:jc w:val="both"/>
        <w:rPr>
          <w:rFonts w:ascii="Palatino Linotype" w:eastAsia="Calibri" w:hAnsi="Palatino Linotype" w:cs="Arial"/>
          <w:color w:val="000000" w:themeColor="text1"/>
          <w:sz w:val="20"/>
          <w:szCs w:val="20"/>
        </w:rPr>
      </w:pPr>
    </w:p>
    <w:p w:rsidR="00E46F6B" w:rsidRDefault="00E46F6B"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DE19BE">
        <w:rPr>
          <w:rFonts w:ascii="Palatino Linotype" w:hAnsi="Palatino Linotype" w:cs="Arial"/>
          <w:bCs/>
          <w:sz w:val="20"/>
          <w:szCs w:val="20"/>
        </w:rPr>
        <w:t>8005</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DE19BE">
        <w:rPr>
          <w:rFonts w:ascii="Palatino Linotype" w:hAnsi="Palatino Linotype" w:cs="Arial"/>
          <w:bCs/>
          <w:sz w:val="20"/>
          <w:szCs w:val="20"/>
        </w:rPr>
        <w:t>once de diciembre</w:t>
      </w:r>
      <w:r w:rsidR="00F860A0">
        <w:rPr>
          <w:rFonts w:ascii="Palatino Linotype" w:hAnsi="Palatino Linotype" w:cs="Arial"/>
          <w:bCs/>
          <w:sz w:val="20"/>
          <w:szCs w:val="20"/>
        </w:rPr>
        <w:t xml:space="preserve"> 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1EC" w:rsidRDefault="00C011EC" w:rsidP="00222D15">
      <w:pPr>
        <w:spacing w:after="0" w:line="240" w:lineRule="auto"/>
      </w:pPr>
      <w:r>
        <w:separator/>
      </w:r>
    </w:p>
  </w:endnote>
  <w:endnote w:type="continuationSeparator" w:id="0">
    <w:p w:rsidR="00C011EC" w:rsidRDefault="00C011EC"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060AF" w:rsidP="00DC5C4E">
    <w:pPr>
      <w:pStyle w:val="Piedepgina"/>
      <w:tabs>
        <w:tab w:val="clear" w:pos="4252"/>
        <w:tab w:val="left" w:pos="4228"/>
      </w:tabs>
      <w:rPr>
        <w:rFonts w:ascii="Palatino Linotype" w:hAnsi="Palatino Linotype" w:cs="Arial"/>
        <w:b/>
        <w:bCs/>
        <w:sz w:val="20"/>
        <w:szCs w:val="20"/>
      </w:rPr>
    </w:pPr>
  </w:p>
  <w:p w:rsidR="00E46F6B" w:rsidRDefault="00E46F6B" w:rsidP="00DC5C4E">
    <w:pPr>
      <w:pStyle w:val="Piedepgina"/>
      <w:tabs>
        <w:tab w:val="clear" w:pos="4252"/>
        <w:tab w:val="left" w:pos="4228"/>
      </w:tabs>
      <w:rPr>
        <w:rFonts w:ascii="Palatino Linotype" w:hAnsi="Palatino Linotype" w:cs="Arial"/>
        <w:b/>
        <w:bCs/>
        <w:sz w:val="20"/>
        <w:szCs w:val="20"/>
      </w:rPr>
    </w:pPr>
  </w:p>
  <w:p w:rsidR="005C7C8F" w:rsidRDefault="008060AF" w:rsidP="00DC5C4E">
    <w:pPr>
      <w:pStyle w:val="Piedepgina"/>
      <w:tabs>
        <w:tab w:val="clear" w:pos="4252"/>
        <w:tab w:val="left" w:pos="4228"/>
      </w:tabs>
      <w:rPr>
        <w:rFonts w:ascii="Palatino Linotype" w:hAnsi="Palatino Linotype" w:cs="Arial"/>
        <w:b/>
        <w:bCs/>
        <w:sz w:val="20"/>
        <w:szCs w:val="20"/>
      </w:rPr>
    </w:pPr>
  </w:p>
  <w:p w:rsidR="005C7C8F" w:rsidRDefault="008060AF" w:rsidP="00DC5C4E">
    <w:pPr>
      <w:pStyle w:val="Piedepgina"/>
      <w:tabs>
        <w:tab w:val="clear" w:pos="4252"/>
        <w:tab w:val="left" w:pos="4228"/>
      </w:tabs>
      <w:rPr>
        <w:rFonts w:ascii="Palatino Linotype" w:hAnsi="Palatino Linotype" w:cs="Arial"/>
        <w:b/>
        <w:bCs/>
        <w:sz w:val="20"/>
        <w:szCs w:val="20"/>
      </w:rPr>
    </w:pPr>
  </w:p>
  <w:p w:rsidR="005C7C8F" w:rsidRDefault="008060AF"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060A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060AF">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8060A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1EC" w:rsidRDefault="00C011EC" w:rsidP="00222D15">
      <w:pPr>
        <w:spacing w:after="0" w:line="240" w:lineRule="auto"/>
      </w:pPr>
      <w:r>
        <w:separator/>
      </w:r>
    </w:p>
  </w:footnote>
  <w:footnote w:type="continuationSeparator" w:id="0">
    <w:p w:rsidR="00C011EC" w:rsidRDefault="00C011EC"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060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8060AF"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8060A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9A5EFD">
      <w:rPr>
        <w:rFonts w:ascii="Palatino Linotype" w:hAnsi="Palatino Linotype" w:cs="Arial"/>
        <w:sz w:val="20"/>
        <w:szCs w:val="20"/>
      </w:rPr>
      <w:t>8005</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8060AF"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2.9pt;margin-top:242.8pt;width:623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060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5"/>
  </w:num>
  <w:num w:numId="9">
    <w:abstractNumId w:val="13"/>
  </w:num>
  <w:num w:numId="10">
    <w:abstractNumId w:val="1"/>
  </w:num>
  <w:num w:numId="11">
    <w:abstractNumId w:val="4"/>
  </w:num>
  <w:num w:numId="12">
    <w:abstractNumId w:val="5"/>
  </w:num>
  <w:num w:numId="13">
    <w:abstractNumId w:val="11"/>
  </w:num>
  <w:num w:numId="14">
    <w:abstractNumId w:val="8"/>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8352F"/>
    <w:rsid w:val="000B643B"/>
    <w:rsid w:val="000D3E21"/>
    <w:rsid w:val="00121F69"/>
    <w:rsid w:val="001354EB"/>
    <w:rsid w:val="001375AB"/>
    <w:rsid w:val="00142B10"/>
    <w:rsid w:val="00177DDB"/>
    <w:rsid w:val="001F5492"/>
    <w:rsid w:val="00222D15"/>
    <w:rsid w:val="002670F4"/>
    <w:rsid w:val="00267DAC"/>
    <w:rsid w:val="00280712"/>
    <w:rsid w:val="002B43B8"/>
    <w:rsid w:val="002F537D"/>
    <w:rsid w:val="00303FB7"/>
    <w:rsid w:val="0030441A"/>
    <w:rsid w:val="00333EEC"/>
    <w:rsid w:val="00334792"/>
    <w:rsid w:val="00352450"/>
    <w:rsid w:val="00352721"/>
    <w:rsid w:val="00363930"/>
    <w:rsid w:val="003A0433"/>
    <w:rsid w:val="003B2D2B"/>
    <w:rsid w:val="003E5AB1"/>
    <w:rsid w:val="003E6C2F"/>
    <w:rsid w:val="003F231C"/>
    <w:rsid w:val="00432008"/>
    <w:rsid w:val="00434F2D"/>
    <w:rsid w:val="0046713B"/>
    <w:rsid w:val="004773D0"/>
    <w:rsid w:val="004801C3"/>
    <w:rsid w:val="004A2D8C"/>
    <w:rsid w:val="004B607A"/>
    <w:rsid w:val="004B622D"/>
    <w:rsid w:val="004B7753"/>
    <w:rsid w:val="004E7395"/>
    <w:rsid w:val="004F1058"/>
    <w:rsid w:val="004F307F"/>
    <w:rsid w:val="0051785B"/>
    <w:rsid w:val="00517C66"/>
    <w:rsid w:val="00520810"/>
    <w:rsid w:val="00534C05"/>
    <w:rsid w:val="00541D04"/>
    <w:rsid w:val="00563884"/>
    <w:rsid w:val="00571F3C"/>
    <w:rsid w:val="005848D9"/>
    <w:rsid w:val="0059520B"/>
    <w:rsid w:val="005D1C17"/>
    <w:rsid w:val="005E0490"/>
    <w:rsid w:val="005E0746"/>
    <w:rsid w:val="005F2664"/>
    <w:rsid w:val="006079F6"/>
    <w:rsid w:val="00642D83"/>
    <w:rsid w:val="006537E7"/>
    <w:rsid w:val="00657587"/>
    <w:rsid w:val="00661074"/>
    <w:rsid w:val="00692DB6"/>
    <w:rsid w:val="006A112C"/>
    <w:rsid w:val="00702877"/>
    <w:rsid w:val="0075624F"/>
    <w:rsid w:val="00772859"/>
    <w:rsid w:val="00784D68"/>
    <w:rsid w:val="00787DD5"/>
    <w:rsid w:val="00792EC9"/>
    <w:rsid w:val="007A3711"/>
    <w:rsid w:val="007F36C7"/>
    <w:rsid w:val="008060AF"/>
    <w:rsid w:val="008C3005"/>
    <w:rsid w:val="008C3EA5"/>
    <w:rsid w:val="008C4B77"/>
    <w:rsid w:val="00920D70"/>
    <w:rsid w:val="009A5EFD"/>
    <w:rsid w:val="009C0562"/>
    <w:rsid w:val="009F1B96"/>
    <w:rsid w:val="00A55C30"/>
    <w:rsid w:val="00A85D7A"/>
    <w:rsid w:val="00AC0AFF"/>
    <w:rsid w:val="00AE1C6B"/>
    <w:rsid w:val="00AE4B1F"/>
    <w:rsid w:val="00AE56B4"/>
    <w:rsid w:val="00AF155E"/>
    <w:rsid w:val="00B26C8F"/>
    <w:rsid w:val="00B65E8A"/>
    <w:rsid w:val="00BA7978"/>
    <w:rsid w:val="00BB75BA"/>
    <w:rsid w:val="00BC647D"/>
    <w:rsid w:val="00C011EC"/>
    <w:rsid w:val="00C10C4B"/>
    <w:rsid w:val="00C10CE9"/>
    <w:rsid w:val="00C23B43"/>
    <w:rsid w:val="00C3408B"/>
    <w:rsid w:val="00C76FD9"/>
    <w:rsid w:val="00C83DFF"/>
    <w:rsid w:val="00C92D53"/>
    <w:rsid w:val="00C9714C"/>
    <w:rsid w:val="00CB35F6"/>
    <w:rsid w:val="00CB3EA9"/>
    <w:rsid w:val="00CD75F6"/>
    <w:rsid w:val="00CE3D7A"/>
    <w:rsid w:val="00D05991"/>
    <w:rsid w:val="00D34ECE"/>
    <w:rsid w:val="00D67AAB"/>
    <w:rsid w:val="00D72673"/>
    <w:rsid w:val="00D83EB3"/>
    <w:rsid w:val="00D9781B"/>
    <w:rsid w:val="00DB79F9"/>
    <w:rsid w:val="00DD6808"/>
    <w:rsid w:val="00DE19BE"/>
    <w:rsid w:val="00E02985"/>
    <w:rsid w:val="00E43478"/>
    <w:rsid w:val="00E45F71"/>
    <w:rsid w:val="00E46F6B"/>
    <w:rsid w:val="00E471A2"/>
    <w:rsid w:val="00E47517"/>
    <w:rsid w:val="00E56331"/>
    <w:rsid w:val="00E838CF"/>
    <w:rsid w:val="00E842B6"/>
    <w:rsid w:val="00E97C45"/>
    <w:rsid w:val="00EA3494"/>
    <w:rsid w:val="00EB3365"/>
    <w:rsid w:val="00EB621D"/>
    <w:rsid w:val="00EC447A"/>
    <w:rsid w:val="00ED22F1"/>
    <w:rsid w:val="00ED29D1"/>
    <w:rsid w:val="00EE0542"/>
    <w:rsid w:val="00EE67AD"/>
    <w:rsid w:val="00F3668C"/>
    <w:rsid w:val="00F367F5"/>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2CC61-91BA-4C37-969F-2C5BFC95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2148</Words>
  <Characters>11817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2019-12-13T20:50:00Z</cp:lastPrinted>
  <dcterms:created xsi:type="dcterms:W3CDTF">2019-12-13T20:51:00Z</dcterms:created>
  <dcterms:modified xsi:type="dcterms:W3CDTF">2020-01-31T19:05:00Z</dcterms:modified>
</cp:coreProperties>
</file>