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15B3" w:rsidRPr="00D634D6" w:rsidRDefault="008C15B3" w:rsidP="00D634D6">
      <w:pPr>
        <w:spacing w:line="360" w:lineRule="auto"/>
        <w:jc w:val="center"/>
        <w:rPr>
          <w:rFonts w:ascii="Palatino Linotype" w:hAnsi="Palatino Linotype"/>
          <w:b/>
          <w:sz w:val="24"/>
        </w:rPr>
      </w:pPr>
      <w:r w:rsidRPr="00D634D6">
        <w:rPr>
          <w:rFonts w:ascii="Palatino Linotype" w:hAnsi="Palatino Linotype"/>
          <w:b/>
          <w:sz w:val="24"/>
        </w:rPr>
        <w:t>LÍNEAS ARGUMENTATIVAS</w:t>
      </w:r>
    </w:p>
    <w:p w:rsidR="00D634D6" w:rsidRPr="00D634D6" w:rsidRDefault="00D634D6" w:rsidP="00D634D6">
      <w:pPr>
        <w:spacing w:line="360" w:lineRule="auto"/>
        <w:jc w:val="center"/>
        <w:rPr>
          <w:rFonts w:ascii="Palatino Linotype" w:hAnsi="Palatino Linotype"/>
          <w:b/>
          <w:sz w:val="24"/>
        </w:rPr>
      </w:pPr>
    </w:p>
    <w:p w:rsidR="009E06B0" w:rsidRPr="00D634D6" w:rsidRDefault="009E06B0" w:rsidP="00D634D6">
      <w:pPr>
        <w:tabs>
          <w:tab w:val="left" w:pos="0"/>
        </w:tabs>
        <w:spacing w:line="360" w:lineRule="auto"/>
        <w:jc w:val="both"/>
        <w:rPr>
          <w:rFonts w:ascii="Palatino Linotype" w:eastAsia="Calibri" w:hAnsi="Palatino Linotype" w:cs="Times New Roman"/>
          <w:sz w:val="24"/>
        </w:rPr>
      </w:pPr>
      <w:r w:rsidRPr="00D634D6">
        <w:rPr>
          <w:rFonts w:ascii="Palatino Linotype" w:eastAsia="Calibri" w:hAnsi="Palatino Linotype" w:cs="Times New Roman"/>
          <w:b/>
          <w:sz w:val="24"/>
        </w:rPr>
        <w:t>DE LA GARANTÍA DE PROPORCIONAR LA INFORMACIÓN PÚBLICA GUBERNAMENTAL.</w:t>
      </w:r>
      <w:r w:rsidRPr="00D634D6">
        <w:rPr>
          <w:rFonts w:ascii="Palatino Linotype" w:eastAsia="Calibri" w:hAnsi="Palatino Linotype" w:cs="Times New Roman"/>
          <w:sz w:val="24"/>
        </w:rPr>
        <w:t xml:space="preserve"> Los sujetos obligados tienen el deber de entregar la información solicitada en los términos en los que esta fue generada, poseída o administrada.</w:t>
      </w:r>
    </w:p>
    <w:p w:rsidR="009E06B0" w:rsidRPr="00D634D6" w:rsidRDefault="009E06B0" w:rsidP="00D634D6">
      <w:pPr>
        <w:spacing w:line="360" w:lineRule="auto"/>
        <w:jc w:val="both"/>
        <w:rPr>
          <w:rFonts w:ascii="Palatino Linotype" w:eastAsia="MS Mincho" w:hAnsi="Palatino Linotype" w:cs="Arial"/>
          <w:b/>
          <w:noProof/>
          <w:color w:val="000000" w:themeColor="text1"/>
          <w:sz w:val="14"/>
        </w:rPr>
      </w:pPr>
    </w:p>
    <w:p w:rsidR="009E06B0" w:rsidRPr="00D634D6" w:rsidRDefault="009E06B0" w:rsidP="00D634D6">
      <w:pPr>
        <w:spacing w:line="360" w:lineRule="auto"/>
        <w:jc w:val="both"/>
        <w:rPr>
          <w:rFonts w:ascii="Palatino Linotype" w:eastAsia="Times New Roman" w:hAnsi="Palatino Linotype" w:cs="Arial"/>
          <w:color w:val="000000"/>
          <w:sz w:val="24"/>
          <w:lang w:val="es-ES" w:eastAsia="es-MX"/>
        </w:rPr>
      </w:pPr>
      <w:r w:rsidRPr="00D634D6">
        <w:rPr>
          <w:rFonts w:ascii="Palatino Linotype" w:eastAsia="MS Mincho" w:hAnsi="Palatino Linotype"/>
          <w:b/>
          <w:sz w:val="24"/>
        </w:rPr>
        <w:t>NEGATIVA FICTA, NO EXISTE PLAZO PERENTORIO PARA INTERPONER EL RECURSO.</w:t>
      </w:r>
      <w:r w:rsidRPr="00D634D6">
        <w:rPr>
          <w:rFonts w:ascii="Palatino Linotype" w:eastAsia="MS Mincho" w:hAnsi="Palatino Linotype"/>
          <w:sz w:val="24"/>
        </w:rPr>
        <w:t xml:space="preserve"> </w:t>
      </w:r>
      <w:r w:rsidRPr="00D634D6">
        <w:rPr>
          <w:rFonts w:ascii="Palatino Linotype" w:eastAsia="Times New Roman" w:hAnsi="Palatino Linotype" w:cs="Arial"/>
          <w:color w:val="000000"/>
          <w:sz w:val="24"/>
          <w:lang w:val="es-ES" w:eastAsia="es-MX"/>
        </w:rPr>
        <w:t>Tratándose de negativa ficta no existe plazo para la interposición del recurso de revisión por tratarse de una afectación continua al Derecho de Acceso a la Información Pública.</w:t>
      </w:r>
    </w:p>
    <w:p w:rsidR="009E06B0" w:rsidRPr="00D634D6" w:rsidRDefault="009E06B0" w:rsidP="00D634D6">
      <w:pPr>
        <w:spacing w:line="360" w:lineRule="auto"/>
        <w:jc w:val="both"/>
        <w:rPr>
          <w:rFonts w:ascii="Palatino Linotype" w:eastAsia="Times New Roman" w:hAnsi="Palatino Linotype" w:cs="Arial"/>
          <w:color w:val="000000"/>
          <w:sz w:val="14"/>
          <w:lang w:val="es-ES" w:eastAsia="es-MX"/>
        </w:rPr>
      </w:pPr>
    </w:p>
    <w:p w:rsidR="009E06B0" w:rsidRPr="00D634D6" w:rsidRDefault="009E06B0" w:rsidP="00D634D6">
      <w:pPr>
        <w:tabs>
          <w:tab w:val="left" w:pos="0"/>
        </w:tabs>
        <w:spacing w:line="360" w:lineRule="auto"/>
        <w:jc w:val="both"/>
        <w:rPr>
          <w:rFonts w:ascii="Palatino Linotype" w:eastAsia="Calibri" w:hAnsi="Palatino Linotype" w:cs="Times New Roman"/>
          <w:sz w:val="24"/>
        </w:rPr>
      </w:pPr>
      <w:r w:rsidRPr="00D634D6">
        <w:rPr>
          <w:rFonts w:ascii="Palatino Linotype" w:eastAsia="Calibri" w:hAnsi="Palatino Linotype" w:cs="Times New Roman"/>
          <w:b/>
          <w:sz w:val="24"/>
        </w:rPr>
        <w:t xml:space="preserve">DE LA VISTA AL ÓRGANO DE CONTROL INTERNO. </w:t>
      </w:r>
      <w:r w:rsidRPr="00D634D6">
        <w:rPr>
          <w:rFonts w:ascii="Palatino Linotype" w:eastAsia="Calibri" w:hAnsi="Palatino Linotype" w:cs="Times New Roman"/>
          <w:sz w:val="24"/>
        </w:rPr>
        <w:t>Cuando este Órgano determine que durante la sustanciación del recurso de revisión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C75B8F" w:rsidRPr="00D634D6" w:rsidRDefault="00C75B8F" w:rsidP="00D634D6">
      <w:pPr>
        <w:spacing w:line="360" w:lineRule="auto"/>
        <w:rPr>
          <w:rFonts w:ascii="Palatino Linotype" w:hAnsi="Palatino Linotype"/>
          <w:b/>
        </w:rPr>
      </w:pPr>
      <w:r w:rsidRPr="00D634D6">
        <w:rPr>
          <w:rFonts w:ascii="Palatino Linotype" w:hAnsi="Palatino Linotype"/>
          <w:b/>
        </w:rPr>
        <w:br w:type="page"/>
      </w:r>
    </w:p>
    <w:p w:rsidR="00A55BA0" w:rsidRPr="00D634D6" w:rsidRDefault="008C54C1" w:rsidP="00D634D6">
      <w:pPr>
        <w:spacing w:line="360" w:lineRule="auto"/>
        <w:jc w:val="center"/>
        <w:rPr>
          <w:rFonts w:ascii="Palatino Linotype" w:hAnsi="Palatino Linotype"/>
        </w:rPr>
      </w:pPr>
      <w:r w:rsidRPr="00D634D6">
        <w:rPr>
          <w:rFonts w:ascii="Palatino Linotype" w:hAnsi="Palatino Linotype"/>
          <w:b/>
        </w:rPr>
        <w:lastRenderedPageBreak/>
        <w:t>ÍNDICE</w:t>
      </w:r>
      <w:r w:rsidR="00A55BA0" w:rsidRPr="00D634D6">
        <w:rPr>
          <w:rFonts w:ascii="Palatino Linotype" w:hAnsi="Palatino Linotype"/>
        </w:rPr>
        <w:t>.</w:t>
      </w:r>
    </w:p>
    <w:sdt>
      <w:sdtPr>
        <w:rPr>
          <w:rFonts w:eastAsiaTheme="minorEastAsia" w:cstheme="minorBidi"/>
          <w:b w:val="0"/>
          <w:noProof/>
          <w:sz w:val="24"/>
          <w:szCs w:val="24"/>
          <w:lang w:val="es-ES" w:eastAsia="es-ES"/>
        </w:rPr>
        <w:id w:val="1703668029"/>
        <w:docPartObj>
          <w:docPartGallery w:val="Table of Contents"/>
          <w:docPartUnique/>
        </w:docPartObj>
      </w:sdtPr>
      <w:sdtEndPr>
        <w:rPr>
          <w:rFonts w:eastAsiaTheme="minorHAnsi"/>
          <w:szCs w:val="22"/>
          <w:lang w:eastAsia="en-US"/>
        </w:rPr>
      </w:sdtEndPr>
      <w:sdtContent>
        <w:p w:rsidR="00A55BA0" w:rsidRPr="00D634D6" w:rsidRDefault="00A55BA0" w:rsidP="00D634D6">
          <w:pPr>
            <w:pStyle w:val="TtuloTDC"/>
            <w:spacing w:before="0" w:line="360" w:lineRule="auto"/>
          </w:pPr>
        </w:p>
        <w:p w:rsidR="00D634D6" w:rsidRPr="00B87500" w:rsidRDefault="00A55BA0" w:rsidP="00D634D6">
          <w:pPr>
            <w:pStyle w:val="TDC1"/>
            <w:rPr>
              <w:rFonts w:eastAsiaTheme="minorEastAsia"/>
              <w:b/>
              <w:lang w:val="es-MX" w:eastAsia="es-MX"/>
            </w:rPr>
          </w:pPr>
          <w:r w:rsidRPr="00D634D6">
            <w:rPr>
              <w:szCs w:val="24"/>
            </w:rPr>
            <w:fldChar w:fldCharType="begin"/>
          </w:r>
          <w:r w:rsidRPr="00D634D6">
            <w:rPr>
              <w:szCs w:val="24"/>
            </w:rPr>
            <w:instrText xml:space="preserve"> TOC \o "1-3" \h \z \u </w:instrText>
          </w:r>
          <w:r w:rsidRPr="00D634D6">
            <w:rPr>
              <w:szCs w:val="24"/>
            </w:rPr>
            <w:fldChar w:fldCharType="separate"/>
          </w:r>
          <w:hyperlink w:anchor="_Toc34923424" w:history="1">
            <w:r w:rsidR="00D634D6" w:rsidRPr="00B87500">
              <w:rPr>
                <w:rStyle w:val="Hipervnculo"/>
                <w:b/>
              </w:rPr>
              <w:t>ANTECEDENTES</w:t>
            </w:r>
            <w:r w:rsidR="00D634D6" w:rsidRPr="00B87500">
              <w:rPr>
                <w:b/>
                <w:webHidden/>
              </w:rPr>
              <w:tab/>
            </w:r>
            <w:r w:rsidR="00D634D6" w:rsidRPr="00B87500">
              <w:rPr>
                <w:b/>
                <w:webHidden/>
              </w:rPr>
              <w:fldChar w:fldCharType="begin"/>
            </w:r>
            <w:r w:rsidR="00D634D6" w:rsidRPr="00B87500">
              <w:rPr>
                <w:b/>
                <w:webHidden/>
              </w:rPr>
              <w:instrText xml:space="preserve"> PAGEREF _Toc34923424 \h </w:instrText>
            </w:r>
            <w:r w:rsidR="00D634D6" w:rsidRPr="00B87500">
              <w:rPr>
                <w:b/>
                <w:webHidden/>
              </w:rPr>
            </w:r>
            <w:r w:rsidR="00D634D6" w:rsidRPr="00B87500">
              <w:rPr>
                <w:b/>
                <w:webHidden/>
              </w:rPr>
              <w:fldChar w:fldCharType="separate"/>
            </w:r>
            <w:r w:rsidR="00B87500" w:rsidRPr="00B87500">
              <w:rPr>
                <w:b/>
                <w:webHidden/>
              </w:rPr>
              <w:t>3</w:t>
            </w:r>
            <w:r w:rsidR="00D634D6" w:rsidRPr="00B87500">
              <w:rPr>
                <w:b/>
                <w:webHidden/>
              </w:rPr>
              <w:fldChar w:fldCharType="end"/>
            </w:r>
          </w:hyperlink>
        </w:p>
        <w:p w:rsidR="00D634D6" w:rsidRPr="00B87500" w:rsidRDefault="000E428B" w:rsidP="00D634D6">
          <w:pPr>
            <w:pStyle w:val="TDC1"/>
            <w:rPr>
              <w:rFonts w:eastAsiaTheme="minorEastAsia"/>
              <w:b/>
              <w:lang w:val="es-MX" w:eastAsia="es-MX"/>
            </w:rPr>
          </w:pPr>
          <w:hyperlink w:anchor="_Toc34923425" w:history="1">
            <w:r w:rsidR="00D634D6" w:rsidRPr="00B87500">
              <w:rPr>
                <w:rStyle w:val="Hipervnculo"/>
                <w:b/>
              </w:rPr>
              <w:t>CONSIDERANDO</w:t>
            </w:r>
            <w:r w:rsidR="00D634D6" w:rsidRPr="00B87500">
              <w:rPr>
                <w:b/>
                <w:webHidden/>
              </w:rPr>
              <w:tab/>
            </w:r>
            <w:r w:rsidR="00D634D6" w:rsidRPr="00B87500">
              <w:rPr>
                <w:b/>
                <w:webHidden/>
              </w:rPr>
              <w:fldChar w:fldCharType="begin"/>
            </w:r>
            <w:r w:rsidR="00D634D6" w:rsidRPr="00B87500">
              <w:rPr>
                <w:b/>
                <w:webHidden/>
              </w:rPr>
              <w:instrText xml:space="preserve"> PAGEREF _Toc34923425 \h </w:instrText>
            </w:r>
            <w:r w:rsidR="00D634D6" w:rsidRPr="00B87500">
              <w:rPr>
                <w:b/>
                <w:webHidden/>
              </w:rPr>
            </w:r>
            <w:r w:rsidR="00D634D6" w:rsidRPr="00B87500">
              <w:rPr>
                <w:b/>
                <w:webHidden/>
              </w:rPr>
              <w:fldChar w:fldCharType="separate"/>
            </w:r>
            <w:r w:rsidR="00B87500" w:rsidRPr="00B87500">
              <w:rPr>
                <w:b/>
                <w:webHidden/>
              </w:rPr>
              <w:t>6</w:t>
            </w:r>
            <w:r w:rsidR="00D634D6" w:rsidRPr="00B87500">
              <w:rPr>
                <w:b/>
                <w:webHidden/>
              </w:rPr>
              <w:fldChar w:fldCharType="end"/>
            </w:r>
          </w:hyperlink>
        </w:p>
        <w:p w:rsidR="00D634D6" w:rsidRPr="00B87500" w:rsidRDefault="000E428B" w:rsidP="00D634D6">
          <w:pPr>
            <w:pStyle w:val="TDC2"/>
            <w:spacing w:line="360" w:lineRule="auto"/>
            <w:rPr>
              <w:rFonts w:ascii="Palatino Linotype" w:eastAsiaTheme="minorEastAsia" w:hAnsi="Palatino Linotype"/>
              <w:b/>
              <w:noProof/>
              <w:lang w:eastAsia="es-MX"/>
            </w:rPr>
          </w:pPr>
          <w:hyperlink w:anchor="_Toc34923426" w:history="1">
            <w:r w:rsidR="00D634D6" w:rsidRPr="00B87500">
              <w:rPr>
                <w:rStyle w:val="Hipervnculo"/>
                <w:rFonts w:ascii="Palatino Linotype" w:hAnsi="Palatino Linotype"/>
                <w:b/>
                <w:noProof/>
              </w:rPr>
              <w:t>PRIMERO. De la competencia</w:t>
            </w:r>
            <w:r w:rsidR="00D634D6" w:rsidRPr="00B87500">
              <w:rPr>
                <w:rFonts w:ascii="Palatino Linotype" w:hAnsi="Palatino Linotype"/>
                <w:b/>
                <w:noProof/>
                <w:webHidden/>
              </w:rPr>
              <w:tab/>
            </w:r>
            <w:r w:rsidR="00D634D6" w:rsidRPr="00B87500">
              <w:rPr>
                <w:rFonts w:ascii="Palatino Linotype" w:hAnsi="Palatino Linotype"/>
                <w:b/>
                <w:noProof/>
                <w:webHidden/>
              </w:rPr>
              <w:fldChar w:fldCharType="begin"/>
            </w:r>
            <w:r w:rsidR="00D634D6" w:rsidRPr="00B87500">
              <w:rPr>
                <w:rFonts w:ascii="Palatino Linotype" w:hAnsi="Palatino Linotype"/>
                <w:b/>
                <w:noProof/>
                <w:webHidden/>
              </w:rPr>
              <w:instrText xml:space="preserve"> PAGEREF _Toc34923426 \h </w:instrText>
            </w:r>
            <w:r w:rsidR="00D634D6" w:rsidRPr="00B87500">
              <w:rPr>
                <w:rFonts w:ascii="Palatino Linotype" w:hAnsi="Palatino Linotype"/>
                <w:b/>
                <w:noProof/>
                <w:webHidden/>
              </w:rPr>
            </w:r>
            <w:r w:rsidR="00D634D6" w:rsidRPr="00B87500">
              <w:rPr>
                <w:rFonts w:ascii="Palatino Linotype" w:hAnsi="Palatino Linotype"/>
                <w:b/>
                <w:noProof/>
                <w:webHidden/>
              </w:rPr>
              <w:fldChar w:fldCharType="separate"/>
            </w:r>
            <w:r w:rsidR="00B87500" w:rsidRPr="00B87500">
              <w:rPr>
                <w:rFonts w:ascii="Palatino Linotype" w:hAnsi="Palatino Linotype"/>
                <w:b/>
                <w:noProof/>
                <w:webHidden/>
              </w:rPr>
              <w:t>6</w:t>
            </w:r>
            <w:r w:rsidR="00D634D6" w:rsidRPr="00B87500">
              <w:rPr>
                <w:rFonts w:ascii="Palatino Linotype" w:hAnsi="Palatino Linotype"/>
                <w:b/>
                <w:noProof/>
                <w:webHidden/>
              </w:rPr>
              <w:fldChar w:fldCharType="end"/>
            </w:r>
          </w:hyperlink>
        </w:p>
        <w:p w:rsidR="00D634D6" w:rsidRPr="00B87500" w:rsidRDefault="000E428B" w:rsidP="00D634D6">
          <w:pPr>
            <w:pStyle w:val="TDC2"/>
            <w:spacing w:line="360" w:lineRule="auto"/>
            <w:rPr>
              <w:rFonts w:ascii="Palatino Linotype" w:eastAsiaTheme="minorEastAsia" w:hAnsi="Palatino Linotype"/>
              <w:b/>
              <w:noProof/>
              <w:lang w:eastAsia="es-MX"/>
            </w:rPr>
          </w:pPr>
          <w:hyperlink w:anchor="_Toc34923427" w:history="1">
            <w:r w:rsidR="00D634D6" w:rsidRPr="00B87500">
              <w:rPr>
                <w:rStyle w:val="Hipervnculo"/>
                <w:rFonts w:ascii="Palatino Linotype" w:hAnsi="Palatino Linotype"/>
                <w:b/>
                <w:noProof/>
              </w:rPr>
              <w:t>SEGUNDO. De la oportunidad y procedencia.</w:t>
            </w:r>
            <w:r w:rsidR="00D634D6" w:rsidRPr="00B87500">
              <w:rPr>
                <w:rFonts w:ascii="Palatino Linotype" w:hAnsi="Palatino Linotype"/>
                <w:b/>
                <w:noProof/>
                <w:webHidden/>
              </w:rPr>
              <w:tab/>
            </w:r>
            <w:r w:rsidR="00D634D6" w:rsidRPr="00B87500">
              <w:rPr>
                <w:rFonts w:ascii="Palatino Linotype" w:hAnsi="Palatino Linotype"/>
                <w:b/>
                <w:noProof/>
                <w:webHidden/>
              </w:rPr>
              <w:fldChar w:fldCharType="begin"/>
            </w:r>
            <w:r w:rsidR="00D634D6" w:rsidRPr="00B87500">
              <w:rPr>
                <w:rFonts w:ascii="Palatino Linotype" w:hAnsi="Palatino Linotype"/>
                <w:b/>
                <w:noProof/>
                <w:webHidden/>
              </w:rPr>
              <w:instrText xml:space="preserve"> PAGEREF _Toc34923427 \h </w:instrText>
            </w:r>
            <w:r w:rsidR="00D634D6" w:rsidRPr="00B87500">
              <w:rPr>
                <w:rFonts w:ascii="Palatino Linotype" w:hAnsi="Palatino Linotype"/>
                <w:b/>
                <w:noProof/>
                <w:webHidden/>
              </w:rPr>
            </w:r>
            <w:r w:rsidR="00D634D6" w:rsidRPr="00B87500">
              <w:rPr>
                <w:rFonts w:ascii="Palatino Linotype" w:hAnsi="Palatino Linotype"/>
                <w:b/>
                <w:noProof/>
                <w:webHidden/>
              </w:rPr>
              <w:fldChar w:fldCharType="separate"/>
            </w:r>
            <w:r w:rsidR="00B87500" w:rsidRPr="00B87500">
              <w:rPr>
                <w:rFonts w:ascii="Palatino Linotype" w:hAnsi="Palatino Linotype"/>
                <w:b/>
                <w:noProof/>
                <w:webHidden/>
              </w:rPr>
              <w:t>7</w:t>
            </w:r>
            <w:r w:rsidR="00D634D6" w:rsidRPr="00B87500">
              <w:rPr>
                <w:rFonts w:ascii="Palatino Linotype" w:hAnsi="Palatino Linotype"/>
                <w:b/>
                <w:noProof/>
                <w:webHidden/>
              </w:rPr>
              <w:fldChar w:fldCharType="end"/>
            </w:r>
          </w:hyperlink>
        </w:p>
        <w:p w:rsidR="00D634D6" w:rsidRPr="00B87500" w:rsidRDefault="000E428B" w:rsidP="00D634D6">
          <w:pPr>
            <w:pStyle w:val="TDC2"/>
            <w:spacing w:line="360" w:lineRule="auto"/>
            <w:rPr>
              <w:rFonts w:ascii="Palatino Linotype" w:eastAsiaTheme="minorEastAsia" w:hAnsi="Palatino Linotype"/>
              <w:b/>
              <w:noProof/>
              <w:lang w:eastAsia="es-MX"/>
            </w:rPr>
          </w:pPr>
          <w:hyperlink w:anchor="_Toc34923428" w:history="1">
            <w:r w:rsidR="00D634D6" w:rsidRPr="00B87500">
              <w:rPr>
                <w:rStyle w:val="Hipervnculo"/>
                <w:rFonts w:ascii="Palatino Linotype" w:eastAsia="Calibri" w:hAnsi="Palatino Linotype" w:cs="Times New Roman"/>
                <w:b/>
                <w:bCs/>
                <w:noProof/>
                <w:lang w:val="es-ES"/>
              </w:rPr>
              <w:t xml:space="preserve">TERCERO. Del planteamiento de la </w:t>
            </w:r>
            <w:r w:rsidR="00D634D6" w:rsidRPr="00B87500">
              <w:rPr>
                <w:rStyle w:val="Hipervnculo"/>
                <w:rFonts w:ascii="Palatino Linotype" w:eastAsia="Calibri" w:hAnsi="Palatino Linotype" w:cs="Times New Roman"/>
                <w:b/>
                <w:bCs/>
                <w:i/>
                <w:noProof/>
                <w:lang w:val="es-ES"/>
              </w:rPr>
              <w:t>Litis</w:t>
            </w:r>
            <w:r w:rsidR="00D634D6" w:rsidRPr="00B87500">
              <w:rPr>
                <w:rStyle w:val="Hipervnculo"/>
                <w:rFonts w:ascii="Palatino Linotype" w:eastAsia="Calibri" w:hAnsi="Palatino Linotype" w:cs="Times New Roman"/>
                <w:b/>
                <w:bCs/>
                <w:noProof/>
                <w:lang w:val="es-ES"/>
              </w:rPr>
              <w:t>.</w:t>
            </w:r>
            <w:r w:rsidR="00D634D6" w:rsidRPr="00B87500">
              <w:rPr>
                <w:rFonts w:ascii="Palatino Linotype" w:hAnsi="Palatino Linotype"/>
                <w:b/>
                <w:noProof/>
                <w:webHidden/>
              </w:rPr>
              <w:tab/>
            </w:r>
            <w:r w:rsidR="00D634D6" w:rsidRPr="00B87500">
              <w:rPr>
                <w:rFonts w:ascii="Palatino Linotype" w:hAnsi="Palatino Linotype"/>
                <w:b/>
                <w:noProof/>
                <w:webHidden/>
              </w:rPr>
              <w:fldChar w:fldCharType="begin"/>
            </w:r>
            <w:r w:rsidR="00D634D6" w:rsidRPr="00B87500">
              <w:rPr>
                <w:rFonts w:ascii="Palatino Linotype" w:hAnsi="Palatino Linotype"/>
                <w:b/>
                <w:noProof/>
                <w:webHidden/>
              </w:rPr>
              <w:instrText xml:space="preserve"> PAGEREF _Toc34923428 \h </w:instrText>
            </w:r>
            <w:r w:rsidR="00D634D6" w:rsidRPr="00B87500">
              <w:rPr>
                <w:rFonts w:ascii="Palatino Linotype" w:hAnsi="Palatino Linotype"/>
                <w:b/>
                <w:noProof/>
                <w:webHidden/>
              </w:rPr>
            </w:r>
            <w:r w:rsidR="00D634D6" w:rsidRPr="00B87500">
              <w:rPr>
                <w:rFonts w:ascii="Palatino Linotype" w:hAnsi="Palatino Linotype"/>
                <w:b/>
                <w:noProof/>
                <w:webHidden/>
              </w:rPr>
              <w:fldChar w:fldCharType="separate"/>
            </w:r>
            <w:r w:rsidR="00B87500" w:rsidRPr="00B87500">
              <w:rPr>
                <w:rFonts w:ascii="Palatino Linotype" w:hAnsi="Palatino Linotype"/>
                <w:b/>
                <w:noProof/>
                <w:webHidden/>
              </w:rPr>
              <w:t>11</w:t>
            </w:r>
            <w:r w:rsidR="00D634D6" w:rsidRPr="00B87500">
              <w:rPr>
                <w:rFonts w:ascii="Palatino Linotype" w:hAnsi="Palatino Linotype"/>
                <w:b/>
                <w:noProof/>
                <w:webHidden/>
              </w:rPr>
              <w:fldChar w:fldCharType="end"/>
            </w:r>
          </w:hyperlink>
        </w:p>
        <w:p w:rsidR="00D634D6" w:rsidRPr="00B87500" w:rsidRDefault="000E428B" w:rsidP="00D634D6">
          <w:pPr>
            <w:pStyle w:val="TDC2"/>
            <w:spacing w:line="360" w:lineRule="auto"/>
            <w:rPr>
              <w:rFonts w:ascii="Palatino Linotype" w:eastAsiaTheme="minorEastAsia" w:hAnsi="Palatino Linotype"/>
              <w:b/>
              <w:noProof/>
              <w:lang w:eastAsia="es-MX"/>
            </w:rPr>
          </w:pPr>
          <w:hyperlink w:anchor="_Toc34923429" w:history="1">
            <w:r w:rsidR="00D634D6" w:rsidRPr="00B87500">
              <w:rPr>
                <w:rStyle w:val="Hipervnculo"/>
                <w:rFonts w:ascii="Palatino Linotype" w:eastAsia="MS Gothic" w:hAnsi="Palatino Linotype" w:cs="Times New Roman"/>
                <w:b/>
                <w:noProof/>
              </w:rPr>
              <w:t>CUARTO. Del estudio y resolución del asunto</w:t>
            </w:r>
            <w:r w:rsidR="00D634D6" w:rsidRPr="00B87500">
              <w:rPr>
                <w:rFonts w:ascii="Palatino Linotype" w:hAnsi="Palatino Linotype"/>
                <w:b/>
                <w:noProof/>
                <w:webHidden/>
              </w:rPr>
              <w:tab/>
            </w:r>
            <w:r w:rsidR="00D634D6" w:rsidRPr="00B87500">
              <w:rPr>
                <w:rFonts w:ascii="Palatino Linotype" w:hAnsi="Palatino Linotype"/>
                <w:b/>
                <w:noProof/>
                <w:webHidden/>
              </w:rPr>
              <w:fldChar w:fldCharType="begin"/>
            </w:r>
            <w:r w:rsidR="00D634D6" w:rsidRPr="00B87500">
              <w:rPr>
                <w:rFonts w:ascii="Palatino Linotype" w:hAnsi="Palatino Linotype"/>
                <w:b/>
                <w:noProof/>
                <w:webHidden/>
              </w:rPr>
              <w:instrText xml:space="preserve"> PAGEREF _Toc34923429 \h </w:instrText>
            </w:r>
            <w:r w:rsidR="00D634D6" w:rsidRPr="00B87500">
              <w:rPr>
                <w:rFonts w:ascii="Palatino Linotype" w:hAnsi="Palatino Linotype"/>
                <w:b/>
                <w:noProof/>
                <w:webHidden/>
              </w:rPr>
            </w:r>
            <w:r w:rsidR="00D634D6" w:rsidRPr="00B87500">
              <w:rPr>
                <w:rFonts w:ascii="Palatino Linotype" w:hAnsi="Palatino Linotype"/>
                <w:b/>
                <w:noProof/>
                <w:webHidden/>
              </w:rPr>
              <w:fldChar w:fldCharType="separate"/>
            </w:r>
            <w:r w:rsidR="00B87500" w:rsidRPr="00B87500">
              <w:rPr>
                <w:rFonts w:ascii="Palatino Linotype" w:hAnsi="Palatino Linotype"/>
                <w:b/>
                <w:noProof/>
                <w:webHidden/>
              </w:rPr>
              <w:t>13</w:t>
            </w:r>
            <w:r w:rsidR="00D634D6" w:rsidRPr="00B87500">
              <w:rPr>
                <w:rFonts w:ascii="Palatino Linotype" w:hAnsi="Palatino Linotype"/>
                <w:b/>
                <w:noProof/>
                <w:webHidden/>
              </w:rPr>
              <w:fldChar w:fldCharType="end"/>
            </w:r>
          </w:hyperlink>
        </w:p>
        <w:p w:rsidR="00D634D6" w:rsidRPr="00B87500" w:rsidRDefault="000E428B" w:rsidP="00D634D6">
          <w:pPr>
            <w:pStyle w:val="TDC3"/>
            <w:rPr>
              <w:rFonts w:ascii="Palatino Linotype" w:eastAsiaTheme="minorEastAsia" w:hAnsi="Palatino Linotype"/>
              <w:b/>
              <w:noProof/>
              <w:lang w:eastAsia="es-MX"/>
            </w:rPr>
          </w:pPr>
          <w:hyperlink w:anchor="_Toc34923430" w:history="1">
            <w:r w:rsidR="00D634D6" w:rsidRPr="00B87500">
              <w:rPr>
                <w:rStyle w:val="Hipervnculo"/>
                <w:rFonts w:ascii="Palatino Linotype" w:eastAsia="MS Gothic" w:hAnsi="Palatino Linotype" w:cs="Times New Roman"/>
                <w:b/>
                <w:noProof/>
              </w:rPr>
              <w:t>I. Del deber de las autoridades de promover, respetar, proteger y garantizar el derecho de acceso a la información pública.</w:t>
            </w:r>
            <w:r w:rsidR="00D634D6" w:rsidRPr="00B87500">
              <w:rPr>
                <w:rFonts w:ascii="Palatino Linotype" w:hAnsi="Palatino Linotype"/>
                <w:b/>
                <w:noProof/>
                <w:webHidden/>
              </w:rPr>
              <w:tab/>
            </w:r>
            <w:r w:rsidR="00D634D6" w:rsidRPr="00B87500">
              <w:rPr>
                <w:rFonts w:ascii="Palatino Linotype" w:hAnsi="Palatino Linotype"/>
                <w:b/>
                <w:noProof/>
                <w:webHidden/>
              </w:rPr>
              <w:fldChar w:fldCharType="begin"/>
            </w:r>
            <w:r w:rsidR="00D634D6" w:rsidRPr="00B87500">
              <w:rPr>
                <w:rFonts w:ascii="Palatino Linotype" w:hAnsi="Palatino Linotype"/>
                <w:b/>
                <w:noProof/>
                <w:webHidden/>
              </w:rPr>
              <w:instrText xml:space="preserve"> PAGEREF _Toc34923430 \h </w:instrText>
            </w:r>
            <w:r w:rsidR="00D634D6" w:rsidRPr="00B87500">
              <w:rPr>
                <w:rFonts w:ascii="Palatino Linotype" w:hAnsi="Palatino Linotype"/>
                <w:b/>
                <w:noProof/>
                <w:webHidden/>
              </w:rPr>
            </w:r>
            <w:r w:rsidR="00D634D6" w:rsidRPr="00B87500">
              <w:rPr>
                <w:rFonts w:ascii="Palatino Linotype" w:hAnsi="Palatino Linotype"/>
                <w:b/>
                <w:noProof/>
                <w:webHidden/>
              </w:rPr>
              <w:fldChar w:fldCharType="separate"/>
            </w:r>
            <w:r w:rsidR="00B87500" w:rsidRPr="00B87500">
              <w:rPr>
                <w:rFonts w:ascii="Palatino Linotype" w:hAnsi="Palatino Linotype"/>
                <w:b/>
                <w:noProof/>
                <w:webHidden/>
              </w:rPr>
              <w:t>13</w:t>
            </w:r>
            <w:r w:rsidR="00D634D6" w:rsidRPr="00B87500">
              <w:rPr>
                <w:rFonts w:ascii="Palatino Linotype" w:hAnsi="Palatino Linotype"/>
                <w:b/>
                <w:noProof/>
                <w:webHidden/>
              </w:rPr>
              <w:fldChar w:fldCharType="end"/>
            </w:r>
          </w:hyperlink>
        </w:p>
        <w:p w:rsidR="00D634D6" w:rsidRPr="00B87500" w:rsidRDefault="000E428B" w:rsidP="00D634D6">
          <w:pPr>
            <w:pStyle w:val="TDC3"/>
            <w:rPr>
              <w:rFonts w:ascii="Palatino Linotype" w:eastAsiaTheme="minorEastAsia" w:hAnsi="Palatino Linotype"/>
              <w:b/>
              <w:noProof/>
              <w:lang w:eastAsia="es-MX"/>
            </w:rPr>
          </w:pPr>
          <w:hyperlink w:anchor="_Toc34923431" w:history="1">
            <w:r w:rsidR="00D634D6" w:rsidRPr="00B87500">
              <w:rPr>
                <w:rStyle w:val="Hipervnculo"/>
                <w:rFonts w:ascii="Palatino Linotype" w:eastAsia="Times New Roman" w:hAnsi="Palatino Linotype"/>
                <w:b/>
                <w:noProof/>
              </w:rPr>
              <w:t>II. Del derecho de acceso a la información pública.</w:t>
            </w:r>
            <w:r w:rsidR="00D634D6" w:rsidRPr="00B87500">
              <w:rPr>
                <w:rFonts w:ascii="Palatino Linotype" w:hAnsi="Palatino Linotype"/>
                <w:b/>
                <w:noProof/>
                <w:webHidden/>
              </w:rPr>
              <w:tab/>
            </w:r>
            <w:r w:rsidR="00D634D6" w:rsidRPr="00B87500">
              <w:rPr>
                <w:rFonts w:ascii="Palatino Linotype" w:hAnsi="Palatino Linotype"/>
                <w:b/>
                <w:noProof/>
                <w:webHidden/>
              </w:rPr>
              <w:fldChar w:fldCharType="begin"/>
            </w:r>
            <w:r w:rsidR="00D634D6" w:rsidRPr="00B87500">
              <w:rPr>
                <w:rFonts w:ascii="Palatino Linotype" w:hAnsi="Palatino Linotype"/>
                <w:b/>
                <w:noProof/>
                <w:webHidden/>
              </w:rPr>
              <w:instrText xml:space="preserve"> PAGEREF _Toc34923431 \h </w:instrText>
            </w:r>
            <w:r w:rsidR="00D634D6" w:rsidRPr="00B87500">
              <w:rPr>
                <w:rFonts w:ascii="Palatino Linotype" w:hAnsi="Palatino Linotype"/>
                <w:b/>
                <w:noProof/>
                <w:webHidden/>
              </w:rPr>
            </w:r>
            <w:r w:rsidR="00D634D6" w:rsidRPr="00B87500">
              <w:rPr>
                <w:rFonts w:ascii="Palatino Linotype" w:hAnsi="Palatino Linotype"/>
                <w:b/>
                <w:noProof/>
                <w:webHidden/>
              </w:rPr>
              <w:fldChar w:fldCharType="separate"/>
            </w:r>
            <w:r w:rsidR="00B87500" w:rsidRPr="00B87500">
              <w:rPr>
                <w:rFonts w:ascii="Palatino Linotype" w:hAnsi="Palatino Linotype"/>
                <w:b/>
                <w:noProof/>
                <w:webHidden/>
              </w:rPr>
              <w:t>16</w:t>
            </w:r>
            <w:r w:rsidR="00D634D6" w:rsidRPr="00B87500">
              <w:rPr>
                <w:rFonts w:ascii="Palatino Linotype" w:hAnsi="Palatino Linotype"/>
                <w:b/>
                <w:noProof/>
                <w:webHidden/>
              </w:rPr>
              <w:fldChar w:fldCharType="end"/>
            </w:r>
          </w:hyperlink>
        </w:p>
        <w:p w:rsidR="00D634D6" w:rsidRPr="00B87500" w:rsidRDefault="000E428B" w:rsidP="00D634D6">
          <w:pPr>
            <w:pStyle w:val="TDC3"/>
            <w:rPr>
              <w:rFonts w:ascii="Palatino Linotype" w:eastAsiaTheme="minorEastAsia" w:hAnsi="Palatino Linotype"/>
              <w:b/>
              <w:noProof/>
              <w:lang w:eastAsia="es-MX"/>
            </w:rPr>
          </w:pPr>
          <w:hyperlink w:anchor="_Toc34923432" w:history="1">
            <w:r w:rsidR="00D634D6" w:rsidRPr="00B87500">
              <w:rPr>
                <w:rStyle w:val="Hipervnculo"/>
                <w:rFonts w:ascii="Palatino Linotype" w:eastAsia="MS Gothic" w:hAnsi="Palatino Linotype" w:cs="Times New Roman"/>
                <w:b/>
                <w:noProof/>
              </w:rPr>
              <w:t>III. De los bienes adquiridos en materia de Seguridad Pública.</w:t>
            </w:r>
            <w:r w:rsidR="00D634D6" w:rsidRPr="00B87500">
              <w:rPr>
                <w:rFonts w:ascii="Palatino Linotype" w:hAnsi="Palatino Linotype"/>
                <w:b/>
                <w:noProof/>
                <w:webHidden/>
              </w:rPr>
              <w:tab/>
            </w:r>
            <w:r w:rsidR="00D634D6" w:rsidRPr="00B87500">
              <w:rPr>
                <w:rFonts w:ascii="Palatino Linotype" w:hAnsi="Palatino Linotype"/>
                <w:b/>
                <w:noProof/>
                <w:webHidden/>
              </w:rPr>
              <w:fldChar w:fldCharType="begin"/>
            </w:r>
            <w:r w:rsidR="00D634D6" w:rsidRPr="00B87500">
              <w:rPr>
                <w:rFonts w:ascii="Palatino Linotype" w:hAnsi="Palatino Linotype"/>
                <w:b/>
                <w:noProof/>
                <w:webHidden/>
              </w:rPr>
              <w:instrText xml:space="preserve"> PAGEREF _Toc34923432 \h </w:instrText>
            </w:r>
            <w:r w:rsidR="00D634D6" w:rsidRPr="00B87500">
              <w:rPr>
                <w:rFonts w:ascii="Palatino Linotype" w:hAnsi="Palatino Linotype"/>
                <w:b/>
                <w:noProof/>
                <w:webHidden/>
              </w:rPr>
            </w:r>
            <w:r w:rsidR="00D634D6" w:rsidRPr="00B87500">
              <w:rPr>
                <w:rFonts w:ascii="Palatino Linotype" w:hAnsi="Palatino Linotype"/>
                <w:b/>
                <w:noProof/>
                <w:webHidden/>
              </w:rPr>
              <w:fldChar w:fldCharType="separate"/>
            </w:r>
            <w:r w:rsidR="00B87500" w:rsidRPr="00B87500">
              <w:rPr>
                <w:rFonts w:ascii="Palatino Linotype" w:hAnsi="Palatino Linotype"/>
                <w:b/>
                <w:noProof/>
                <w:webHidden/>
              </w:rPr>
              <w:t>22</w:t>
            </w:r>
            <w:r w:rsidR="00D634D6" w:rsidRPr="00B87500">
              <w:rPr>
                <w:rFonts w:ascii="Palatino Linotype" w:hAnsi="Palatino Linotype"/>
                <w:b/>
                <w:noProof/>
                <w:webHidden/>
              </w:rPr>
              <w:fldChar w:fldCharType="end"/>
            </w:r>
          </w:hyperlink>
        </w:p>
        <w:p w:rsidR="00D634D6" w:rsidRPr="00B87500" w:rsidRDefault="000E428B" w:rsidP="00D634D6">
          <w:pPr>
            <w:pStyle w:val="TDC2"/>
            <w:spacing w:line="360" w:lineRule="auto"/>
            <w:rPr>
              <w:rFonts w:ascii="Palatino Linotype" w:eastAsiaTheme="minorEastAsia" w:hAnsi="Palatino Linotype"/>
              <w:b/>
              <w:noProof/>
              <w:lang w:eastAsia="es-MX"/>
            </w:rPr>
          </w:pPr>
          <w:hyperlink w:anchor="_Toc34923433" w:history="1">
            <w:r w:rsidR="00D634D6" w:rsidRPr="00B87500">
              <w:rPr>
                <w:rStyle w:val="Hipervnculo"/>
                <w:rFonts w:ascii="Palatino Linotype" w:hAnsi="Palatino Linotype" w:cs="Arial"/>
                <w:b/>
                <w:noProof/>
              </w:rPr>
              <w:t>QUINTO. De la Clasificación de la Información.</w:t>
            </w:r>
            <w:r w:rsidR="00D634D6" w:rsidRPr="00B87500">
              <w:rPr>
                <w:rFonts w:ascii="Palatino Linotype" w:hAnsi="Palatino Linotype"/>
                <w:b/>
                <w:noProof/>
                <w:webHidden/>
              </w:rPr>
              <w:tab/>
            </w:r>
            <w:r w:rsidR="00D634D6" w:rsidRPr="00B87500">
              <w:rPr>
                <w:rFonts w:ascii="Palatino Linotype" w:hAnsi="Palatino Linotype"/>
                <w:b/>
                <w:noProof/>
                <w:webHidden/>
              </w:rPr>
              <w:fldChar w:fldCharType="begin"/>
            </w:r>
            <w:r w:rsidR="00D634D6" w:rsidRPr="00B87500">
              <w:rPr>
                <w:rFonts w:ascii="Palatino Linotype" w:hAnsi="Palatino Linotype"/>
                <w:b/>
                <w:noProof/>
                <w:webHidden/>
              </w:rPr>
              <w:instrText xml:space="preserve"> PAGEREF _Toc34923433 \h </w:instrText>
            </w:r>
            <w:r w:rsidR="00D634D6" w:rsidRPr="00B87500">
              <w:rPr>
                <w:rFonts w:ascii="Palatino Linotype" w:hAnsi="Palatino Linotype"/>
                <w:b/>
                <w:noProof/>
                <w:webHidden/>
              </w:rPr>
            </w:r>
            <w:r w:rsidR="00D634D6" w:rsidRPr="00B87500">
              <w:rPr>
                <w:rFonts w:ascii="Palatino Linotype" w:hAnsi="Palatino Linotype"/>
                <w:b/>
                <w:noProof/>
                <w:webHidden/>
              </w:rPr>
              <w:fldChar w:fldCharType="separate"/>
            </w:r>
            <w:r w:rsidR="00B87500" w:rsidRPr="00B87500">
              <w:rPr>
                <w:rFonts w:ascii="Palatino Linotype" w:hAnsi="Palatino Linotype"/>
                <w:b/>
                <w:noProof/>
                <w:webHidden/>
              </w:rPr>
              <w:t>42</w:t>
            </w:r>
            <w:r w:rsidR="00D634D6" w:rsidRPr="00B87500">
              <w:rPr>
                <w:rFonts w:ascii="Palatino Linotype" w:hAnsi="Palatino Linotype"/>
                <w:b/>
                <w:noProof/>
                <w:webHidden/>
              </w:rPr>
              <w:fldChar w:fldCharType="end"/>
            </w:r>
          </w:hyperlink>
        </w:p>
        <w:p w:rsidR="00D634D6" w:rsidRPr="00B87500" w:rsidRDefault="000E428B" w:rsidP="00D634D6">
          <w:pPr>
            <w:pStyle w:val="TDC3"/>
            <w:rPr>
              <w:rFonts w:ascii="Palatino Linotype" w:eastAsiaTheme="minorEastAsia" w:hAnsi="Palatino Linotype"/>
              <w:b/>
              <w:noProof/>
              <w:lang w:eastAsia="es-MX"/>
            </w:rPr>
          </w:pPr>
          <w:hyperlink w:anchor="_Toc34923434" w:history="1">
            <w:r w:rsidR="00D634D6" w:rsidRPr="00B87500">
              <w:rPr>
                <w:rStyle w:val="Hipervnculo"/>
                <w:rFonts w:ascii="Palatino Linotype" w:hAnsi="Palatino Linotype" w:cs="Arial"/>
                <w:b/>
                <w:noProof/>
              </w:rPr>
              <w:t>I. Requisitos previos.</w:t>
            </w:r>
            <w:r w:rsidR="00D634D6" w:rsidRPr="00B87500">
              <w:rPr>
                <w:rFonts w:ascii="Palatino Linotype" w:hAnsi="Palatino Linotype"/>
                <w:b/>
                <w:noProof/>
                <w:webHidden/>
              </w:rPr>
              <w:tab/>
            </w:r>
            <w:r w:rsidR="00D634D6" w:rsidRPr="00B87500">
              <w:rPr>
                <w:rFonts w:ascii="Palatino Linotype" w:hAnsi="Palatino Linotype"/>
                <w:b/>
                <w:noProof/>
                <w:webHidden/>
              </w:rPr>
              <w:fldChar w:fldCharType="begin"/>
            </w:r>
            <w:r w:rsidR="00D634D6" w:rsidRPr="00B87500">
              <w:rPr>
                <w:rFonts w:ascii="Palatino Linotype" w:hAnsi="Palatino Linotype"/>
                <w:b/>
                <w:noProof/>
                <w:webHidden/>
              </w:rPr>
              <w:instrText xml:space="preserve"> PAGEREF _Toc34923434 \h </w:instrText>
            </w:r>
            <w:r w:rsidR="00D634D6" w:rsidRPr="00B87500">
              <w:rPr>
                <w:rFonts w:ascii="Palatino Linotype" w:hAnsi="Palatino Linotype"/>
                <w:b/>
                <w:noProof/>
                <w:webHidden/>
              </w:rPr>
            </w:r>
            <w:r w:rsidR="00D634D6" w:rsidRPr="00B87500">
              <w:rPr>
                <w:rFonts w:ascii="Palatino Linotype" w:hAnsi="Palatino Linotype"/>
                <w:b/>
                <w:noProof/>
                <w:webHidden/>
              </w:rPr>
              <w:fldChar w:fldCharType="separate"/>
            </w:r>
            <w:r w:rsidR="00B87500" w:rsidRPr="00B87500">
              <w:rPr>
                <w:rFonts w:ascii="Palatino Linotype" w:hAnsi="Palatino Linotype"/>
                <w:b/>
                <w:noProof/>
                <w:webHidden/>
              </w:rPr>
              <w:t>43</w:t>
            </w:r>
            <w:r w:rsidR="00D634D6" w:rsidRPr="00B87500">
              <w:rPr>
                <w:rFonts w:ascii="Palatino Linotype" w:hAnsi="Palatino Linotype"/>
                <w:b/>
                <w:noProof/>
                <w:webHidden/>
              </w:rPr>
              <w:fldChar w:fldCharType="end"/>
            </w:r>
          </w:hyperlink>
        </w:p>
        <w:p w:rsidR="00D634D6" w:rsidRPr="00B87500" w:rsidRDefault="000E428B" w:rsidP="00D634D6">
          <w:pPr>
            <w:pStyle w:val="TDC3"/>
            <w:rPr>
              <w:rFonts w:ascii="Palatino Linotype" w:eastAsiaTheme="minorEastAsia" w:hAnsi="Palatino Linotype"/>
              <w:b/>
              <w:noProof/>
              <w:lang w:eastAsia="es-MX"/>
            </w:rPr>
          </w:pPr>
          <w:hyperlink w:anchor="_Toc34923435" w:history="1">
            <w:r w:rsidR="00D634D6" w:rsidRPr="00B87500">
              <w:rPr>
                <w:rStyle w:val="Hipervnculo"/>
                <w:rFonts w:ascii="Palatino Linotype" w:hAnsi="Palatino Linotype" w:cs="Arial"/>
                <w:b/>
                <w:noProof/>
              </w:rPr>
              <w:t>II. Supuestos de clasificación.</w:t>
            </w:r>
            <w:r w:rsidR="00D634D6" w:rsidRPr="00B87500">
              <w:rPr>
                <w:rFonts w:ascii="Palatino Linotype" w:hAnsi="Palatino Linotype"/>
                <w:b/>
                <w:noProof/>
                <w:webHidden/>
              </w:rPr>
              <w:tab/>
            </w:r>
            <w:r w:rsidR="00D634D6" w:rsidRPr="00B87500">
              <w:rPr>
                <w:rFonts w:ascii="Palatino Linotype" w:hAnsi="Palatino Linotype"/>
                <w:b/>
                <w:noProof/>
                <w:webHidden/>
              </w:rPr>
              <w:fldChar w:fldCharType="begin"/>
            </w:r>
            <w:r w:rsidR="00D634D6" w:rsidRPr="00B87500">
              <w:rPr>
                <w:rFonts w:ascii="Palatino Linotype" w:hAnsi="Palatino Linotype"/>
                <w:b/>
                <w:noProof/>
                <w:webHidden/>
              </w:rPr>
              <w:instrText xml:space="preserve"> PAGEREF _Toc34923435 \h </w:instrText>
            </w:r>
            <w:r w:rsidR="00D634D6" w:rsidRPr="00B87500">
              <w:rPr>
                <w:rFonts w:ascii="Palatino Linotype" w:hAnsi="Palatino Linotype"/>
                <w:b/>
                <w:noProof/>
                <w:webHidden/>
              </w:rPr>
            </w:r>
            <w:r w:rsidR="00D634D6" w:rsidRPr="00B87500">
              <w:rPr>
                <w:rFonts w:ascii="Palatino Linotype" w:hAnsi="Palatino Linotype"/>
                <w:b/>
                <w:noProof/>
                <w:webHidden/>
              </w:rPr>
              <w:fldChar w:fldCharType="separate"/>
            </w:r>
            <w:r w:rsidR="00B87500" w:rsidRPr="00B87500">
              <w:rPr>
                <w:rFonts w:ascii="Palatino Linotype" w:hAnsi="Palatino Linotype"/>
                <w:b/>
                <w:noProof/>
                <w:webHidden/>
              </w:rPr>
              <w:t>45</w:t>
            </w:r>
            <w:r w:rsidR="00D634D6" w:rsidRPr="00B87500">
              <w:rPr>
                <w:rFonts w:ascii="Palatino Linotype" w:hAnsi="Palatino Linotype"/>
                <w:b/>
                <w:noProof/>
                <w:webHidden/>
              </w:rPr>
              <w:fldChar w:fldCharType="end"/>
            </w:r>
          </w:hyperlink>
        </w:p>
        <w:p w:rsidR="00D634D6" w:rsidRPr="00B87500" w:rsidRDefault="000E428B" w:rsidP="00D634D6">
          <w:pPr>
            <w:pStyle w:val="TDC3"/>
            <w:rPr>
              <w:rFonts w:ascii="Palatino Linotype" w:eastAsiaTheme="minorEastAsia" w:hAnsi="Palatino Linotype"/>
              <w:b/>
              <w:noProof/>
              <w:lang w:eastAsia="es-MX"/>
            </w:rPr>
          </w:pPr>
          <w:hyperlink w:anchor="_Toc34923436" w:history="1">
            <w:r w:rsidR="00D634D6" w:rsidRPr="00B87500">
              <w:rPr>
                <w:rStyle w:val="Hipervnculo"/>
                <w:rFonts w:ascii="Palatino Linotype" w:hAnsi="Palatino Linotype" w:cs="Arial"/>
                <w:b/>
                <w:noProof/>
              </w:rPr>
              <w:t>III. La intervención del Comité de Transparencia.</w:t>
            </w:r>
            <w:r w:rsidR="00D634D6" w:rsidRPr="00B87500">
              <w:rPr>
                <w:rFonts w:ascii="Palatino Linotype" w:hAnsi="Palatino Linotype"/>
                <w:b/>
                <w:noProof/>
                <w:webHidden/>
              </w:rPr>
              <w:tab/>
            </w:r>
            <w:r w:rsidR="00D634D6" w:rsidRPr="00B87500">
              <w:rPr>
                <w:rFonts w:ascii="Palatino Linotype" w:hAnsi="Palatino Linotype"/>
                <w:b/>
                <w:noProof/>
                <w:webHidden/>
              </w:rPr>
              <w:fldChar w:fldCharType="begin"/>
            </w:r>
            <w:r w:rsidR="00D634D6" w:rsidRPr="00B87500">
              <w:rPr>
                <w:rFonts w:ascii="Palatino Linotype" w:hAnsi="Palatino Linotype"/>
                <w:b/>
                <w:noProof/>
                <w:webHidden/>
              </w:rPr>
              <w:instrText xml:space="preserve"> PAGEREF _Toc34923436 \h </w:instrText>
            </w:r>
            <w:r w:rsidR="00D634D6" w:rsidRPr="00B87500">
              <w:rPr>
                <w:rFonts w:ascii="Palatino Linotype" w:hAnsi="Palatino Linotype"/>
                <w:b/>
                <w:noProof/>
                <w:webHidden/>
              </w:rPr>
            </w:r>
            <w:r w:rsidR="00D634D6" w:rsidRPr="00B87500">
              <w:rPr>
                <w:rFonts w:ascii="Palatino Linotype" w:hAnsi="Palatino Linotype"/>
                <w:b/>
                <w:noProof/>
                <w:webHidden/>
              </w:rPr>
              <w:fldChar w:fldCharType="separate"/>
            </w:r>
            <w:r w:rsidR="00B87500" w:rsidRPr="00B87500">
              <w:rPr>
                <w:rFonts w:ascii="Palatino Linotype" w:hAnsi="Palatino Linotype"/>
                <w:b/>
                <w:noProof/>
                <w:webHidden/>
              </w:rPr>
              <w:t>51</w:t>
            </w:r>
            <w:r w:rsidR="00D634D6" w:rsidRPr="00B87500">
              <w:rPr>
                <w:rFonts w:ascii="Palatino Linotype" w:hAnsi="Palatino Linotype"/>
                <w:b/>
                <w:noProof/>
                <w:webHidden/>
              </w:rPr>
              <w:fldChar w:fldCharType="end"/>
            </w:r>
          </w:hyperlink>
        </w:p>
        <w:p w:rsidR="00D634D6" w:rsidRPr="00B87500" w:rsidRDefault="000E428B" w:rsidP="00D634D6">
          <w:pPr>
            <w:pStyle w:val="TDC3"/>
            <w:rPr>
              <w:rFonts w:ascii="Palatino Linotype" w:eastAsiaTheme="minorEastAsia" w:hAnsi="Palatino Linotype"/>
              <w:b/>
              <w:noProof/>
              <w:lang w:eastAsia="es-MX"/>
            </w:rPr>
          </w:pPr>
          <w:hyperlink w:anchor="_Toc34923437" w:history="1">
            <w:r w:rsidR="00D634D6" w:rsidRPr="00B87500">
              <w:rPr>
                <w:rStyle w:val="Hipervnculo"/>
                <w:rFonts w:ascii="Palatino Linotype" w:eastAsia="MS Gothic" w:hAnsi="Palatino Linotype" w:cs="Times New Roman"/>
                <w:b/>
                <w:noProof/>
                <w:lang w:val="es-ES"/>
              </w:rPr>
              <w:t>IV. Condiciones especiales de la clasificación de la información como reservada.</w:t>
            </w:r>
            <w:r w:rsidR="00D634D6" w:rsidRPr="00B87500">
              <w:rPr>
                <w:rFonts w:ascii="Palatino Linotype" w:hAnsi="Palatino Linotype"/>
                <w:b/>
                <w:noProof/>
                <w:webHidden/>
              </w:rPr>
              <w:tab/>
            </w:r>
            <w:r w:rsidR="00D634D6" w:rsidRPr="00B87500">
              <w:rPr>
                <w:rFonts w:ascii="Palatino Linotype" w:hAnsi="Palatino Linotype"/>
                <w:b/>
                <w:noProof/>
                <w:webHidden/>
              </w:rPr>
              <w:fldChar w:fldCharType="begin"/>
            </w:r>
            <w:r w:rsidR="00D634D6" w:rsidRPr="00B87500">
              <w:rPr>
                <w:rFonts w:ascii="Palatino Linotype" w:hAnsi="Palatino Linotype"/>
                <w:b/>
                <w:noProof/>
                <w:webHidden/>
              </w:rPr>
              <w:instrText xml:space="preserve"> PAGEREF _Toc34923437 \h </w:instrText>
            </w:r>
            <w:r w:rsidR="00D634D6" w:rsidRPr="00B87500">
              <w:rPr>
                <w:rFonts w:ascii="Palatino Linotype" w:hAnsi="Palatino Linotype"/>
                <w:b/>
                <w:noProof/>
                <w:webHidden/>
              </w:rPr>
            </w:r>
            <w:r w:rsidR="00D634D6" w:rsidRPr="00B87500">
              <w:rPr>
                <w:rFonts w:ascii="Palatino Linotype" w:hAnsi="Palatino Linotype"/>
                <w:b/>
                <w:noProof/>
                <w:webHidden/>
              </w:rPr>
              <w:fldChar w:fldCharType="separate"/>
            </w:r>
            <w:r w:rsidR="00B87500" w:rsidRPr="00B87500">
              <w:rPr>
                <w:rFonts w:ascii="Palatino Linotype" w:hAnsi="Palatino Linotype"/>
                <w:b/>
                <w:noProof/>
                <w:webHidden/>
              </w:rPr>
              <w:t>56</w:t>
            </w:r>
            <w:r w:rsidR="00D634D6" w:rsidRPr="00B87500">
              <w:rPr>
                <w:rFonts w:ascii="Palatino Linotype" w:hAnsi="Palatino Linotype"/>
                <w:b/>
                <w:noProof/>
                <w:webHidden/>
              </w:rPr>
              <w:fldChar w:fldCharType="end"/>
            </w:r>
          </w:hyperlink>
        </w:p>
        <w:p w:rsidR="00D634D6" w:rsidRPr="00B87500" w:rsidRDefault="000E428B" w:rsidP="00D634D6">
          <w:pPr>
            <w:pStyle w:val="TDC3"/>
            <w:rPr>
              <w:rFonts w:ascii="Palatino Linotype" w:eastAsiaTheme="minorEastAsia" w:hAnsi="Palatino Linotype"/>
              <w:b/>
              <w:noProof/>
              <w:lang w:eastAsia="es-MX"/>
            </w:rPr>
          </w:pPr>
          <w:hyperlink w:anchor="_Toc34923438" w:history="1">
            <w:r w:rsidR="00D634D6" w:rsidRPr="00B87500">
              <w:rPr>
                <w:rStyle w:val="Hipervnculo"/>
                <w:rFonts w:ascii="Palatino Linotype" w:hAnsi="Palatino Linotype" w:cs="Arial"/>
                <w:b/>
                <w:noProof/>
              </w:rPr>
              <w:t>V. Condiciones especiales de la clasificación de la información como confidencial.</w:t>
            </w:r>
            <w:r w:rsidR="00D634D6" w:rsidRPr="00B87500">
              <w:rPr>
                <w:rFonts w:ascii="Palatino Linotype" w:hAnsi="Palatino Linotype"/>
                <w:b/>
                <w:noProof/>
                <w:webHidden/>
              </w:rPr>
              <w:tab/>
            </w:r>
            <w:r w:rsidR="00D634D6" w:rsidRPr="00B87500">
              <w:rPr>
                <w:rFonts w:ascii="Palatino Linotype" w:hAnsi="Palatino Linotype"/>
                <w:b/>
                <w:noProof/>
                <w:webHidden/>
              </w:rPr>
              <w:fldChar w:fldCharType="begin"/>
            </w:r>
            <w:r w:rsidR="00D634D6" w:rsidRPr="00B87500">
              <w:rPr>
                <w:rFonts w:ascii="Palatino Linotype" w:hAnsi="Palatino Linotype"/>
                <w:b/>
                <w:noProof/>
                <w:webHidden/>
              </w:rPr>
              <w:instrText xml:space="preserve"> PAGEREF _Toc34923438 \h </w:instrText>
            </w:r>
            <w:r w:rsidR="00D634D6" w:rsidRPr="00B87500">
              <w:rPr>
                <w:rFonts w:ascii="Palatino Linotype" w:hAnsi="Palatino Linotype"/>
                <w:b/>
                <w:noProof/>
                <w:webHidden/>
              </w:rPr>
            </w:r>
            <w:r w:rsidR="00D634D6" w:rsidRPr="00B87500">
              <w:rPr>
                <w:rFonts w:ascii="Palatino Linotype" w:hAnsi="Palatino Linotype"/>
                <w:b/>
                <w:noProof/>
                <w:webHidden/>
              </w:rPr>
              <w:fldChar w:fldCharType="separate"/>
            </w:r>
            <w:r w:rsidR="00B87500" w:rsidRPr="00B87500">
              <w:rPr>
                <w:rFonts w:ascii="Palatino Linotype" w:hAnsi="Palatino Linotype"/>
                <w:b/>
                <w:noProof/>
                <w:webHidden/>
              </w:rPr>
              <w:t>61</w:t>
            </w:r>
            <w:r w:rsidR="00D634D6" w:rsidRPr="00B87500">
              <w:rPr>
                <w:rFonts w:ascii="Palatino Linotype" w:hAnsi="Palatino Linotype"/>
                <w:b/>
                <w:noProof/>
                <w:webHidden/>
              </w:rPr>
              <w:fldChar w:fldCharType="end"/>
            </w:r>
          </w:hyperlink>
        </w:p>
        <w:p w:rsidR="00D634D6" w:rsidRPr="00B87500" w:rsidRDefault="000E428B" w:rsidP="00D634D6">
          <w:pPr>
            <w:pStyle w:val="TDC3"/>
            <w:rPr>
              <w:rFonts w:ascii="Palatino Linotype" w:eastAsiaTheme="minorEastAsia" w:hAnsi="Palatino Linotype"/>
              <w:b/>
              <w:noProof/>
              <w:lang w:eastAsia="es-MX"/>
            </w:rPr>
          </w:pPr>
          <w:hyperlink w:anchor="_Toc34923439" w:history="1">
            <w:r w:rsidR="00D634D6" w:rsidRPr="00B87500">
              <w:rPr>
                <w:rStyle w:val="Hipervnculo"/>
                <w:rFonts w:ascii="Palatino Linotype" w:hAnsi="Palatino Linotype" w:cs="Arial"/>
                <w:b/>
                <w:noProof/>
              </w:rPr>
              <w:t>VI. Desarrollo de la prueba de daño.</w:t>
            </w:r>
            <w:r w:rsidR="00D634D6" w:rsidRPr="00B87500">
              <w:rPr>
                <w:rFonts w:ascii="Palatino Linotype" w:hAnsi="Palatino Linotype"/>
                <w:b/>
                <w:noProof/>
                <w:webHidden/>
              </w:rPr>
              <w:tab/>
            </w:r>
            <w:r w:rsidR="00D634D6" w:rsidRPr="00B87500">
              <w:rPr>
                <w:rFonts w:ascii="Palatino Linotype" w:hAnsi="Palatino Linotype"/>
                <w:b/>
                <w:noProof/>
                <w:webHidden/>
              </w:rPr>
              <w:fldChar w:fldCharType="begin"/>
            </w:r>
            <w:r w:rsidR="00D634D6" w:rsidRPr="00B87500">
              <w:rPr>
                <w:rFonts w:ascii="Palatino Linotype" w:hAnsi="Palatino Linotype"/>
                <w:b/>
                <w:noProof/>
                <w:webHidden/>
              </w:rPr>
              <w:instrText xml:space="preserve"> PAGEREF _Toc34923439 \h </w:instrText>
            </w:r>
            <w:r w:rsidR="00D634D6" w:rsidRPr="00B87500">
              <w:rPr>
                <w:rFonts w:ascii="Palatino Linotype" w:hAnsi="Palatino Linotype"/>
                <w:b/>
                <w:noProof/>
                <w:webHidden/>
              </w:rPr>
            </w:r>
            <w:r w:rsidR="00D634D6" w:rsidRPr="00B87500">
              <w:rPr>
                <w:rFonts w:ascii="Palatino Linotype" w:hAnsi="Palatino Linotype"/>
                <w:b/>
                <w:noProof/>
                <w:webHidden/>
              </w:rPr>
              <w:fldChar w:fldCharType="separate"/>
            </w:r>
            <w:r w:rsidR="00B87500" w:rsidRPr="00B87500">
              <w:rPr>
                <w:rFonts w:ascii="Palatino Linotype" w:hAnsi="Palatino Linotype"/>
                <w:b/>
                <w:noProof/>
                <w:webHidden/>
              </w:rPr>
              <w:t>67</w:t>
            </w:r>
            <w:r w:rsidR="00D634D6" w:rsidRPr="00B87500">
              <w:rPr>
                <w:rFonts w:ascii="Palatino Linotype" w:hAnsi="Palatino Linotype"/>
                <w:b/>
                <w:noProof/>
                <w:webHidden/>
              </w:rPr>
              <w:fldChar w:fldCharType="end"/>
            </w:r>
          </w:hyperlink>
        </w:p>
        <w:p w:rsidR="00D634D6" w:rsidRPr="00B87500" w:rsidRDefault="000E428B" w:rsidP="00D634D6">
          <w:pPr>
            <w:pStyle w:val="TDC2"/>
            <w:spacing w:line="360" w:lineRule="auto"/>
            <w:rPr>
              <w:rFonts w:ascii="Palatino Linotype" w:eastAsiaTheme="minorEastAsia" w:hAnsi="Palatino Linotype"/>
              <w:b/>
              <w:noProof/>
              <w:lang w:eastAsia="es-MX"/>
            </w:rPr>
          </w:pPr>
          <w:hyperlink w:anchor="_Toc34923440" w:history="1">
            <w:r w:rsidR="00D634D6" w:rsidRPr="00B87500">
              <w:rPr>
                <w:rStyle w:val="Hipervnculo"/>
                <w:rFonts w:ascii="Palatino Linotype" w:eastAsia="MS Gothic" w:hAnsi="Palatino Linotype" w:cs="Times New Roman"/>
                <w:b/>
                <w:noProof/>
              </w:rPr>
              <w:t xml:space="preserve">SEXTO. </w:t>
            </w:r>
            <w:r w:rsidR="00D634D6" w:rsidRPr="00B87500">
              <w:rPr>
                <w:rStyle w:val="Hipervnculo"/>
                <w:rFonts w:ascii="Palatino Linotype" w:hAnsi="Palatino Linotype"/>
                <w:b/>
                <w:noProof/>
              </w:rPr>
              <w:t>Vista al Órgano de Control Interno.</w:t>
            </w:r>
            <w:r w:rsidR="00D634D6" w:rsidRPr="00B87500">
              <w:rPr>
                <w:rFonts w:ascii="Palatino Linotype" w:hAnsi="Palatino Linotype"/>
                <w:b/>
                <w:noProof/>
                <w:webHidden/>
              </w:rPr>
              <w:tab/>
            </w:r>
            <w:r w:rsidR="00D634D6" w:rsidRPr="00B87500">
              <w:rPr>
                <w:rFonts w:ascii="Palatino Linotype" w:hAnsi="Palatino Linotype"/>
                <w:b/>
                <w:noProof/>
                <w:webHidden/>
              </w:rPr>
              <w:fldChar w:fldCharType="begin"/>
            </w:r>
            <w:r w:rsidR="00D634D6" w:rsidRPr="00B87500">
              <w:rPr>
                <w:rFonts w:ascii="Palatino Linotype" w:hAnsi="Palatino Linotype"/>
                <w:b/>
                <w:noProof/>
                <w:webHidden/>
              </w:rPr>
              <w:instrText xml:space="preserve"> PAGEREF _Toc34923440 \h </w:instrText>
            </w:r>
            <w:r w:rsidR="00D634D6" w:rsidRPr="00B87500">
              <w:rPr>
                <w:rFonts w:ascii="Palatino Linotype" w:hAnsi="Palatino Linotype"/>
                <w:b/>
                <w:noProof/>
                <w:webHidden/>
              </w:rPr>
            </w:r>
            <w:r w:rsidR="00D634D6" w:rsidRPr="00B87500">
              <w:rPr>
                <w:rFonts w:ascii="Palatino Linotype" w:hAnsi="Palatino Linotype"/>
                <w:b/>
                <w:noProof/>
                <w:webHidden/>
              </w:rPr>
              <w:fldChar w:fldCharType="separate"/>
            </w:r>
            <w:r w:rsidR="00B87500" w:rsidRPr="00B87500">
              <w:rPr>
                <w:rFonts w:ascii="Palatino Linotype" w:hAnsi="Palatino Linotype"/>
                <w:b/>
                <w:noProof/>
                <w:webHidden/>
              </w:rPr>
              <w:t>76</w:t>
            </w:r>
            <w:r w:rsidR="00D634D6" w:rsidRPr="00B87500">
              <w:rPr>
                <w:rFonts w:ascii="Palatino Linotype" w:hAnsi="Palatino Linotype"/>
                <w:b/>
                <w:noProof/>
                <w:webHidden/>
              </w:rPr>
              <w:fldChar w:fldCharType="end"/>
            </w:r>
          </w:hyperlink>
        </w:p>
        <w:p w:rsidR="00D634D6" w:rsidRPr="00B87500" w:rsidRDefault="000E428B" w:rsidP="00D634D6">
          <w:pPr>
            <w:pStyle w:val="TDC1"/>
            <w:rPr>
              <w:rFonts w:eastAsiaTheme="minorEastAsia"/>
              <w:b/>
              <w:lang w:val="es-MX" w:eastAsia="es-MX"/>
            </w:rPr>
          </w:pPr>
          <w:hyperlink w:anchor="_Toc34923441" w:history="1">
            <w:r w:rsidR="00D634D6" w:rsidRPr="00B87500">
              <w:rPr>
                <w:rStyle w:val="Hipervnculo"/>
                <w:b/>
              </w:rPr>
              <w:t>R E S O L U T I V O S</w:t>
            </w:r>
            <w:r w:rsidR="00D634D6" w:rsidRPr="00B87500">
              <w:rPr>
                <w:b/>
                <w:webHidden/>
              </w:rPr>
              <w:tab/>
            </w:r>
            <w:r w:rsidR="00D634D6" w:rsidRPr="00B87500">
              <w:rPr>
                <w:b/>
                <w:webHidden/>
              </w:rPr>
              <w:fldChar w:fldCharType="begin"/>
            </w:r>
            <w:r w:rsidR="00D634D6" w:rsidRPr="00B87500">
              <w:rPr>
                <w:b/>
                <w:webHidden/>
              </w:rPr>
              <w:instrText xml:space="preserve"> PAGEREF _Toc34923441 \h </w:instrText>
            </w:r>
            <w:r w:rsidR="00D634D6" w:rsidRPr="00B87500">
              <w:rPr>
                <w:b/>
                <w:webHidden/>
              </w:rPr>
            </w:r>
            <w:r w:rsidR="00D634D6" w:rsidRPr="00B87500">
              <w:rPr>
                <w:b/>
                <w:webHidden/>
              </w:rPr>
              <w:fldChar w:fldCharType="separate"/>
            </w:r>
            <w:r w:rsidR="00B87500" w:rsidRPr="00B87500">
              <w:rPr>
                <w:b/>
                <w:webHidden/>
              </w:rPr>
              <w:t>81</w:t>
            </w:r>
            <w:r w:rsidR="00D634D6" w:rsidRPr="00B87500">
              <w:rPr>
                <w:b/>
                <w:webHidden/>
              </w:rPr>
              <w:fldChar w:fldCharType="end"/>
            </w:r>
          </w:hyperlink>
        </w:p>
        <w:p w:rsidR="00D634D6" w:rsidRPr="00D634D6" w:rsidRDefault="00A55BA0" w:rsidP="00D634D6">
          <w:pPr>
            <w:pStyle w:val="TDC1"/>
          </w:pPr>
          <w:r w:rsidRPr="00D634D6">
            <w:rPr>
              <w:b/>
              <w:szCs w:val="24"/>
            </w:rPr>
            <w:lastRenderedPageBreak/>
            <w:fldChar w:fldCharType="end"/>
          </w:r>
        </w:p>
      </w:sdtContent>
    </w:sdt>
    <w:p w:rsidR="00A55BA0" w:rsidRPr="00D634D6" w:rsidRDefault="00A55BA0" w:rsidP="00D634D6">
      <w:pPr>
        <w:pStyle w:val="TDC1"/>
      </w:pPr>
      <w:r w:rsidRPr="00D634D6">
        <w:t xml:space="preserve">Resolución del Pleno del Instituto de Transparencia, Acceso a la Información Pública y Protección de Datos Personales del Estado de México y Municipios, con domicilio en Metepec, Estado de México; de </w:t>
      </w:r>
      <w:r w:rsidR="009E06B0" w:rsidRPr="00D634D6">
        <w:t>once</w:t>
      </w:r>
      <w:r w:rsidR="00ED56BC" w:rsidRPr="00D634D6">
        <w:t xml:space="preserve"> (</w:t>
      </w:r>
      <w:r w:rsidR="009E06B0" w:rsidRPr="00D634D6">
        <w:t>11</w:t>
      </w:r>
      <w:r w:rsidR="00ED56BC" w:rsidRPr="00D634D6">
        <w:t xml:space="preserve">) de </w:t>
      </w:r>
      <w:r w:rsidR="009E06B0" w:rsidRPr="00D634D6">
        <w:t>marzo</w:t>
      </w:r>
      <w:r w:rsidR="00ED56BC" w:rsidRPr="00D634D6">
        <w:t xml:space="preserve"> </w:t>
      </w:r>
      <w:r w:rsidRPr="00D634D6">
        <w:t xml:space="preserve">de dos mil </w:t>
      </w:r>
      <w:r w:rsidR="001A17E5" w:rsidRPr="00D634D6">
        <w:t>veinte</w:t>
      </w:r>
      <w:r w:rsidRPr="00D634D6">
        <w:t>.</w:t>
      </w:r>
    </w:p>
    <w:p w:rsidR="00D634D6" w:rsidRPr="00D634D6" w:rsidRDefault="00D634D6" w:rsidP="00D634D6">
      <w:pPr>
        <w:rPr>
          <w:lang w:val="es-ES"/>
        </w:rPr>
      </w:pPr>
    </w:p>
    <w:p w:rsidR="00A55BA0" w:rsidRPr="00D634D6" w:rsidRDefault="00A55BA0" w:rsidP="00D634D6">
      <w:pPr>
        <w:spacing w:line="360" w:lineRule="auto"/>
        <w:jc w:val="both"/>
        <w:rPr>
          <w:rFonts w:ascii="Palatino Linotype" w:hAnsi="Palatino Linotype"/>
          <w:sz w:val="24"/>
        </w:rPr>
      </w:pPr>
      <w:r w:rsidRPr="00D634D6">
        <w:rPr>
          <w:rFonts w:ascii="Palatino Linotype" w:hAnsi="Palatino Linotype"/>
          <w:b/>
          <w:sz w:val="24"/>
        </w:rPr>
        <w:t>VISTO</w:t>
      </w:r>
      <w:r w:rsidRPr="00D634D6">
        <w:rPr>
          <w:rFonts w:ascii="Palatino Linotype" w:hAnsi="Palatino Linotype"/>
          <w:sz w:val="24"/>
        </w:rPr>
        <w:t xml:space="preserve"> el expediente electrónico formado con motivo del recurso de revisión </w:t>
      </w:r>
      <w:r w:rsidR="009E06B0" w:rsidRPr="00D634D6">
        <w:rPr>
          <w:rFonts w:ascii="Palatino Linotype" w:hAnsi="Palatino Linotype" w:cs="Arial"/>
          <w:b/>
          <w:bCs/>
          <w:sz w:val="24"/>
        </w:rPr>
        <w:t>10353</w:t>
      </w:r>
      <w:r w:rsidRPr="00D634D6">
        <w:rPr>
          <w:rFonts w:ascii="Palatino Linotype" w:hAnsi="Palatino Linotype" w:cs="Arial"/>
          <w:b/>
          <w:bCs/>
          <w:sz w:val="24"/>
        </w:rPr>
        <w:t>/INFOEM/IP/RR/</w:t>
      </w:r>
      <w:r w:rsidR="00E51B74" w:rsidRPr="00D634D6">
        <w:rPr>
          <w:rFonts w:ascii="Palatino Linotype" w:hAnsi="Palatino Linotype" w:cs="Arial"/>
          <w:b/>
          <w:bCs/>
          <w:sz w:val="24"/>
        </w:rPr>
        <w:t>2019</w:t>
      </w:r>
      <w:r w:rsidRPr="00D634D6">
        <w:rPr>
          <w:rFonts w:ascii="Palatino Linotype" w:hAnsi="Palatino Linotype" w:cs="Arial"/>
          <w:b/>
          <w:bCs/>
          <w:sz w:val="24"/>
        </w:rPr>
        <w:t xml:space="preserve">, </w:t>
      </w:r>
      <w:r w:rsidR="00ED56BC" w:rsidRPr="00D634D6">
        <w:rPr>
          <w:rFonts w:ascii="Palatino Linotype" w:hAnsi="Palatino Linotype"/>
          <w:sz w:val="24"/>
        </w:rPr>
        <w:t>promovido por</w:t>
      </w:r>
      <w:r w:rsidR="000E428B">
        <w:rPr>
          <w:rFonts w:ascii="Palatino Linotype" w:hAnsi="Palatino Linotype"/>
          <w:sz w:val="24"/>
        </w:rPr>
        <w:t xml:space="preserve"> </w:t>
      </w:r>
      <w:r w:rsidR="000E428B" w:rsidRPr="000E428B">
        <w:rPr>
          <w:rFonts w:ascii="Palatino Linotype" w:hAnsi="Palatino Linotype"/>
          <w:b/>
          <w:highlight w:val="black"/>
        </w:rPr>
        <w:t>------------</w:t>
      </w:r>
      <w:r w:rsidR="000E428B">
        <w:rPr>
          <w:rFonts w:ascii="Palatino Linotype" w:hAnsi="Palatino Linotype"/>
          <w:b/>
          <w:highlight w:val="black"/>
        </w:rPr>
        <w:t>-----</w:t>
      </w:r>
      <w:r w:rsidR="000E428B" w:rsidRPr="000E428B">
        <w:rPr>
          <w:rFonts w:ascii="Palatino Linotype" w:hAnsi="Palatino Linotype"/>
          <w:b/>
          <w:highlight w:val="black"/>
        </w:rPr>
        <w:t>---</w:t>
      </w:r>
      <w:r w:rsidR="000E428B">
        <w:rPr>
          <w:rFonts w:ascii="Palatino Linotype" w:hAnsi="Palatino Linotype"/>
          <w:b/>
        </w:rPr>
        <w:t xml:space="preserve"> </w:t>
      </w:r>
      <w:r w:rsidRPr="00D634D6">
        <w:rPr>
          <w:rFonts w:ascii="Palatino Linotype" w:hAnsi="Palatino Linotype"/>
          <w:b/>
          <w:sz w:val="24"/>
        </w:rPr>
        <w:t xml:space="preserve">, </w:t>
      </w:r>
      <w:r w:rsidRPr="00D634D6">
        <w:rPr>
          <w:rFonts w:ascii="Palatino Linotype" w:hAnsi="Palatino Linotype" w:cs="Arial"/>
          <w:sz w:val="24"/>
        </w:rPr>
        <w:t xml:space="preserve">en su calidad de </w:t>
      </w:r>
      <w:r w:rsidRPr="00D634D6">
        <w:rPr>
          <w:rFonts w:ascii="Palatino Linotype" w:hAnsi="Palatino Linotype" w:cs="Arial"/>
          <w:b/>
          <w:sz w:val="24"/>
        </w:rPr>
        <w:t>RECURRENTE</w:t>
      </w:r>
      <w:r w:rsidRPr="00D634D6">
        <w:rPr>
          <w:rFonts w:ascii="Palatino Linotype" w:hAnsi="Palatino Linotype" w:cs="Arial"/>
          <w:sz w:val="24"/>
        </w:rPr>
        <w:t>, en contra de la</w:t>
      </w:r>
      <w:r w:rsidR="00277C08" w:rsidRPr="00D634D6">
        <w:rPr>
          <w:rFonts w:ascii="Palatino Linotype" w:hAnsi="Palatino Linotype" w:cs="Arial"/>
          <w:sz w:val="24"/>
        </w:rPr>
        <w:t xml:space="preserve"> falta de</w:t>
      </w:r>
      <w:r w:rsidRPr="00D634D6">
        <w:rPr>
          <w:rFonts w:ascii="Palatino Linotype" w:hAnsi="Palatino Linotype" w:cs="Arial"/>
          <w:sz w:val="24"/>
        </w:rPr>
        <w:t xml:space="preserve"> respuesta del </w:t>
      </w:r>
      <w:r w:rsidR="004C7A84" w:rsidRPr="00D634D6">
        <w:rPr>
          <w:rFonts w:ascii="Palatino Linotype" w:hAnsi="Palatino Linotype" w:cs="Arial"/>
          <w:b/>
          <w:sz w:val="24"/>
        </w:rPr>
        <w:t xml:space="preserve">Ayuntamiento de </w:t>
      </w:r>
      <w:r w:rsidR="009E06B0" w:rsidRPr="00D634D6">
        <w:rPr>
          <w:rFonts w:ascii="Palatino Linotype" w:hAnsi="Palatino Linotype" w:cs="Arial"/>
          <w:b/>
          <w:sz w:val="24"/>
        </w:rPr>
        <w:t>Atizapán</w:t>
      </w:r>
      <w:r w:rsidR="00841EDF" w:rsidRPr="00D634D6">
        <w:rPr>
          <w:rFonts w:ascii="Palatino Linotype" w:hAnsi="Palatino Linotype" w:cs="Arial"/>
          <w:b/>
          <w:sz w:val="24"/>
        </w:rPr>
        <w:t xml:space="preserve">, </w:t>
      </w:r>
      <w:r w:rsidRPr="00D634D6">
        <w:rPr>
          <w:rFonts w:ascii="Palatino Linotype" w:hAnsi="Palatino Linotype"/>
          <w:sz w:val="24"/>
        </w:rPr>
        <w:t>en lo sucesivo el</w:t>
      </w:r>
      <w:r w:rsidRPr="00D634D6">
        <w:rPr>
          <w:rFonts w:ascii="Palatino Linotype" w:hAnsi="Palatino Linotype"/>
          <w:b/>
          <w:sz w:val="24"/>
        </w:rPr>
        <w:t xml:space="preserve"> SUJETO OBLIGADO, </w:t>
      </w:r>
      <w:r w:rsidRPr="00D634D6">
        <w:rPr>
          <w:rFonts w:ascii="Palatino Linotype" w:hAnsi="Palatino Linotype"/>
          <w:sz w:val="24"/>
        </w:rPr>
        <w:t xml:space="preserve">se procede a dictar la presente resolución, con base en los siguientes: </w:t>
      </w:r>
    </w:p>
    <w:p w:rsidR="00D634D6" w:rsidRPr="00D634D6" w:rsidRDefault="00D634D6" w:rsidP="00D634D6">
      <w:pPr>
        <w:spacing w:line="360" w:lineRule="auto"/>
        <w:jc w:val="both"/>
        <w:rPr>
          <w:rFonts w:ascii="Palatino Linotype" w:hAnsi="Palatino Linotype"/>
          <w:sz w:val="24"/>
        </w:rPr>
      </w:pPr>
    </w:p>
    <w:p w:rsidR="00A55BA0" w:rsidRPr="00D634D6" w:rsidRDefault="00A55BA0" w:rsidP="00D634D6">
      <w:pPr>
        <w:pStyle w:val="Ttulo1"/>
        <w:spacing w:before="0" w:line="360" w:lineRule="auto"/>
        <w:jc w:val="center"/>
        <w:rPr>
          <w:b w:val="0"/>
        </w:rPr>
      </w:pPr>
      <w:bookmarkStart w:id="0" w:name="_Toc34923424"/>
      <w:r w:rsidRPr="00D634D6">
        <w:t>ANTECEDENTES</w:t>
      </w:r>
      <w:bookmarkEnd w:id="0"/>
    </w:p>
    <w:p w:rsidR="006E5EF0" w:rsidRPr="00D634D6" w:rsidRDefault="006E5EF0" w:rsidP="00D634D6">
      <w:pPr>
        <w:pStyle w:val="Prrafodelista"/>
        <w:spacing w:line="360" w:lineRule="auto"/>
        <w:ind w:left="0"/>
        <w:jc w:val="both"/>
        <w:rPr>
          <w:rFonts w:ascii="Palatino Linotype" w:eastAsia="Calibri" w:hAnsi="Palatino Linotype" w:cs="Arial"/>
          <w:lang w:val="es-ES"/>
        </w:rPr>
      </w:pPr>
    </w:p>
    <w:p w:rsidR="00A55BA0" w:rsidRPr="00D634D6" w:rsidRDefault="006E5EF0" w:rsidP="00D634D6">
      <w:pPr>
        <w:pStyle w:val="Prrafodelista"/>
        <w:numPr>
          <w:ilvl w:val="0"/>
          <w:numId w:val="2"/>
        </w:numPr>
        <w:tabs>
          <w:tab w:val="left" w:pos="426"/>
        </w:tabs>
        <w:spacing w:line="360" w:lineRule="auto"/>
        <w:ind w:left="0" w:firstLine="0"/>
        <w:jc w:val="both"/>
        <w:rPr>
          <w:rFonts w:ascii="Palatino Linotype" w:eastAsia="Calibri" w:hAnsi="Palatino Linotype" w:cs="Arial"/>
          <w:sz w:val="24"/>
          <w:lang w:val="es-ES"/>
        </w:rPr>
      </w:pPr>
      <w:r w:rsidRPr="00D634D6">
        <w:rPr>
          <w:rFonts w:ascii="Palatino Linotype" w:eastAsia="Calibri" w:hAnsi="Palatino Linotype" w:cs="Arial"/>
          <w:sz w:val="24"/>
          <w:lang w:val="es-ES"/>
        </w:rPr>
        <w:t>E</w:t>
      </w:r>
      <w:r w:rsidR="00A55BA0" w:rsidRPr="00D634D6">
        <w:rPr>
          <w:rFonts w:ascii="Palatino Linotype" w:eastAsia="Calibri" w:hAnsi="Palatino Linotype" w:cs="Arial"/>
          <w:sz w:val="24"/>
          <w:lang w:val="es-ES"/>
        </w:rPr>
        <w:t xml:space="preserve">l </w:t>
      </w:r>
      <w:r w:rsidR="009E06B0" w:rsidRPr="00D634D6">
        <w:rPr>
          <w:rFonts w:ascii="Palatino Linotype" w:eastAsia="Calibri" w:hAnsi="Palatino Linotype" w:cs="Arial"/>
          <w:sz w:val="24"/>
          <w:lang w:val="es-ES"/>
        </w:rPr>
        <w:t>veintiuno</w:t>
      </w:r>
      <w:r w:rsidR="00A55BA0" w:rsidRPr="00D634D6">
        <w:rPr>
          <w:rFonts w:ascii="Palatino Linotype" w:eastAsia="Calibri" w:hAnsi="Palatino Linotype" w:cs="Arial"/>
          <w:sz w:val="24"/>
          <w:lang w:val="es-ES"/>
        </w:rPr>
        <w:t xml:space="preserve"> (</w:t>
      </w:r>
      <w:r w:rsidR="003C4827" w:rsidRPr="00D634D6">
        <w:rPr>
          <w:rFonts w:ascii="Palatino Linotype" w:eastAsia="Calibri" w:hAnsi="Palatino Linotype" w:cs="Arial"/>
          <w:sz w:val="24"/>
          <w:lang w:val="es-ES"/>
        </w:rPr>
        <w:t>2</w:t>
      </w:r>
      <w:r w:rsidR="009E06B0" w:rsidRPr="00D634D6">
        <w:rPr>
          <w:rFonts w:ascii="Palatino Linotype" w:eastAsia="Calibri" w:hAnsi="Palatino Linotype" w:cs="Arial"/>
          <w:sz w:val="24"/>
          <w:lang w:val="es-ES"/>
        </w:rPr>
        <w:t>1</w:t>
      </w:r>
      <w:r w:rsidR="00A55BA0" w:rsidRPr="00D634D6">
        <w:rPr>
          <w:rFonts w:ascii="Palatino Linotype" w:eastAsia="Calibri" w:hAnsi="Palatino Linotype" w:cs="Arial"/>
          <w:sz w:val="24"/>
          <w:lang w:val="es-ES"/>
        </w:rPr>
        <w:t xml:space="preserve">) de </w:t>
      </w:r>
      <w:r w:rsidR="009E06B0" w:rsidRPr="00D634D6">
        <w:rPr>
          <w:rFonts w:ascii="Palatino Linotype" w:eastAsia="Calibri" w:hAnsi="Palatino Linotype" w:cs="Arial"/>
          <w:sz w:val="24"/>
          <w:lang w:val="es-ES"/>
        </w:rPr>
        <w:t>octubre</w:t>
      </w:r>
      <w:r w:rsidR="0030660D" w:rsidRPr="00D634D6">
        <w:rPr>
          <w:rFonts w:ascii="Palatino Linotype" w:eastAsia="Calibri" w:hAnsi="Palatino Linotype" w:cs="Arial"/>
          <w:sz w:val="24"/>
          <w:lang w:val="es-ES"/>
        </w:rPr>
        <w:t xml:space="preserve"> d</w:t>
      </w:r>
      <w:r w:rsidR="00A55BA0" w:rsidRPr="00D634D6">
        <w:rPr>
          <w:rFonts w:ascii="Palatino Linotype" w:eastAsia="Calibri" w:hAnsi="Palatino Linotype" w:cs="Arial"/>
          <w:sz w:val="24"/>
          <w:lang w:val="es-ES"/>
        </w:rPr>
        <w:t>e</w:t>
      </w:r>
      <w:r w:rsidR="00DA0F00" w:rsidRPr="00D634D6">
        <w:rPr>
          <w:rFonts w:ascii="Palatino Linotype" w:eastAsia="Calibri" w:hAnsi="Palatino Linotype" w:cs="Arial"/>
          <w:sz w:val="24"/>
          <w:lang w:val="es-ES"/>
        </w:rPr>
        <w:t>l</w:t>
      </w:r>
      <w:r w:rsidR="00A55BA0" w:rsidRPr="00D634D6">
        <w:rPr>
          <w:rFonts w:ascii="Palatino Linotype" w:eastAsia="Calibri" w:hAnsi="Palatino Linotype" w:cs="Arial"/>
          <w:sz w:val="24"/>
          <w:lang w:val="es-ES"/>
        </w:rPr>
        <w:t xml:space="preserve"> dos mil </w:t>
      </w:r>
      <w:r w:rsidR="005D791C" w:rsidRPr="00D634D6">
        <w:rPr>
          <w:rFonts w:ascii="Palatino Linotype" w:eastAsia="Calibri" w:hAnsi="Palatino Linotype" w:cs="Arial"/>
          <w:sz w:val="24"/>
          <w:lang w:val="es-ES"/>
        </w:rPr>
        <w:t>diecinueve</w:t>
      </w:r>
      <w:r w:rsidR="00A55BA0" w:rsidRPr="00D634D6">
        <w:rPr>
          <w:rFonts w:ascii="Palatino Linotype" w:eastAsia="Calibri" w:hAnsi="Palatino Linotype" w:cs="Arial"/>
          <w:sz w:val="24"/>
          <w:lang w:val="es-ES"/>
        </w:rPr>
        <w:t>,</w:t>
      </w:r>
      <w:r w:rsidR="00A55BA0" w:rsidRPr="00D634D6">
        <w:rPr>
          <w:rFonts w:ascii="Palatino Linotype" w:eastAsia="Calibri" w:hAnsi="Palatino Linotype" w:cs="Times New Roman"/>
          <w:sz w:val="24"/>
          <w:lang w:val="es-ES"/>
        </w:rPr>
        <w:t xml:space="preserve"> </w:t>
      </w:r>
      <w:r w:rsidR="003C4827" w:rsidRPr="00D634D6">
        <w:rPr>
          <w:rFonts w:ascii="Palatino Linotype" w:eastAsia="Calibri" w:hAnsi="Palatino Linotype" w:cs="Times New Roman"/>
          <w:sz w:val="24"/>
          <w:lang w:val="es-ES"/>
        </w:rPr>
        <w:t>se</w:t>
      </w:r>
      <w:r w:rsidR="003C4827" w:rsidRPr="00D634D6">
        <w:rPr>
          <w:rFonts w:ascii="Palatino Linotype" w:eastAsia="Calibri" w:hAnsi="Palatino Linotype" w:cs="Times New Roman"/>
          <w:b/>
          <w:sz w:val="24"/>
          <w:lang w:val="es-ES_tradnl"/>
        </w:rPr>
        <w:t xml:space="preserve"> </w:t>
      </w:r>
      <w:r w:rsidR="003C4827" w:rsidRPr="00D634D6">
        <w:rPr>
          <w:rFonts w:ascii="Palatino Linotype" w:eastAsia="Calibri" w:hAnsi="Palatino Linotype" w:cs="Times New Roman"/>
          <w:sz w:val="24"/>
          <w:lang w:val="es-ES_tradnl"/>
        </w:rPr>
        <w:t xml:space="preserve">presentó </w:t>
      </w:r>
      <w:r w:rsidR="003C4827" w:rsidRPr="00D634D6">
        <w:rPr>
          <w:rFonts w:ascii="Palatino Linotype" w:eastAsia="Calibri" w:hAnsi="Palatino Linotype" w:cs="Times New Roman"/>
          <w:sz w:val="24"/>
          <w:lang w:val="es-ES"/>
        </w:rPr>
        <w:t xml:space="preserve">ante el </w:t>
      </w:r>
      <w:r w:rsidR="003C4827" w:rsidRPr="00D634D6">
        <w:rPr>
          <w:rFonts w:ascii="Palatino Linotype" w:eastAsia="Calibri" w:hAnsi="Palatino Linotype" w:cs="Times New Roman"/>
          <w:b/>
          <w:sz w:val="24"/>
          <w:lang w:val="es-ES"/>
        </w:rPr>
        <w:t>SUJETO OBLIGADO,</w:t>
      </w:r>
      <w:r w:rsidR="003C4827" w:rsidRPr="00D634D6">
        <w:rPr>
          <w:rFonts w:ascii="Palatino Linotype" w:eastAsia="Calibri" w:hAnsi="Palatino Linotype" w:cs="Times New Roman"/>
          <w:sz w:val="24"/>
          <w:lang w:val="es-ES_tradnl"/>
        </w:rPr>
        <w:t xml:space="preserve"> a través de la Plataforma Nacional de Transparencia vinculada al </w:t>
      </w:r>
      <w:r w:rsidR="003C4827" w:rsidRPr="00D634D6">
        <w:rPr>
          <w:rFonts w:ascii="Palatino Linotype" w:eastAsia="Calibri" w:hAnsi="Palatino Linotype" w:cs="Times New Roman"/>
          <w:sz w:val="24"/>
          <w:lang w:val="es-ES"/>
        </w:rPr>
        <w:t>Sistema de Acceso a la Información Mexiquense (</w:t>
      </w:r>
      <w:r w:rsidR="003C4827" w:rsidRPr="00D634D6">
        <w:rPr>
          <w:rFonts w:ascii="Palatino Linotype" w:eastAsia="Calibri" w:hAnsi="Palatino Linotype" w:cs="Times New Roman"/>
          <w:b/>
          <w:i/>
          <w:sz w:val="24"/>
          <w:lang w:val="es-ES"/>
        </w:rPr>
        <w:t>SAIMEX</w:t>
      </w:r>
      <w:r w:rsidR="003C4827" w:rsidRPr="00D634D6">
        <w:rPr>
          <w:rFonts w:ascii="Palatino Linotype" w:eastAsia="Calibri" w:hAnsi="Palatino Linotype" w:cs="Times New Roman"/>
          <w:sz w:val="24"/>
          <w:lang w:val="es-ES"/>
        </w:rPr>
        <w:t xml:space="preserve">), la solicitud de información pública registrada con el número </w:t>
      </w:r>
      <w:r w:rsidR="009E06B0" w:rsidRPr="00D634D6">
        <w:rPr>
          <w:rFonts w:ascii="Palatino Linotype" w:eastAsia="Calibri" w:hAnsi="Palatino Linotype" w:cs="Times New Roman"/>
          <w:b/>
          <w:sz w:val="24"/>
          <w:lang w:val="es-ES"/>
        </w:rPr>
        <w:t>00126/ATIZAPAN/IP/2019</w:t>
      </w:r>
      <w:r w:rsidR="003C4827" w:rsidRPr="00D634D6">
        <w:rPr>
          <w:rFonts w:ascii="Palatino Linotype" w:eastAsia="Calibri" w:hAnsi="Palatino Linotype" w:cs="Times New Roman"/>
          <w:sz w:val="24"/>
          <w:lang w:val="es-ES"/>
        </w:rPr>
        <w:t>, mediante la cual requirió lo siguiente:</w:t>
      </w:r>
    </w:p>
    <w:p w:rsidR="00D634D6" w:rsidRPr="00D634D6" w:rsidRDefault="00D634D6" w:rsidP="00D634D6">
      <w:pPr>
        <w:pStyle w:val="Prrafodelista"/>
        <w:tabs>
          <w:tab w:val="left" w:pos="426"/>
        </w:tabs>
        <w:spacing w:line="360" w:lineRule="auto"/>
        <w:ind w:left="0"/>
        <w:jc w:val="both"/>
        <w:rPr>
          <w:rFonts w:ascii="Palatino Linotype" w:eastAsia="Calibri" w:hAnsi="Palatino Linotype" w:cs="Arial"/>
          <w:sz w:val="24"/>
          <w:lang w:val="es-ES"/>
        </w:rPr>
      </w:pPr>
    </w:p>
    <w:p w:rsidR="00A55BA0" w:rsidRPr="00D634D6" w:rsidRDefault="00A55BA0" w:rsidP="00D634D6">
      <w:pPr>
        <w:spacing w:line="360" w:lineRule="auto"/>
        <w:ind w:left="567" w:right="567"/>
        <w:jc w:val="both"/>
        <w:rPr>
          <w:rFonts w:ascii="Palatino Linotype" w:hAnsi="Palatino Linotype"/>
        </w:rPr>
      </w:pPr>
      <w:r w:rsidRPr="00D634D6">
        <w:rPr>
          <w:rFonts w:ascii="Palatino Linotype" w:eastAsia="Calibri" w:hAnsi="Palatino Linotype" w:cs="Times New Roman"/>
          <w:i/>
          <w:color w:val="000000"/>
        </w:rPr>
        <w:t>“</w:t>
      </w:r>
      <w:r w:rsidR="009E06B0" w:rsidRPr="00D634D6">
        <w:rPr>
          <w:rFonts w:ascii="Palatino Linotype" w:eastAsia="Calibri" w:hAnsi="Palatino Linotype" w:cs="Times New Roman"/>
          <w:i/>
          <w:color w:val="000000"/>
        </w:rPr>
        <w:t>de los recursos federales recibidos este año se les solicita as facturas contratos de los bienes comprados rentados para seguridad incluidas patrullas radios uniformes , así como de recursos locales</w:t>
      </w:r>
      <w:r w:rsidRPr="00D634D6">
        <w:rPr>
          <w:rFonts w:ascii="Palatino Linotype" w:hAnsi="Palatino Linotype"/>
          <w:i/>
        </w:rPr>
        <w:t xml:space="preserve">” </w:t>
      </w:r>
      <w:r w:rsidRPr="00D634D6">
        <w:rPr>
          <w:rFonts w:ascii="Palatino Linotype" w:hAnsi="Palatino Linotype"/>
        </w:rPr>
        <w:t>(Sic)</w:t>
      </w:r>
      <w:r w:rsidR="00A46B18" w:rsidRPr="00D634D6">
        <w:rPr>
          <w:rFonts w:ascii="Palatino Linotype" w:hAnsi="Palatino Linotype"/>
        </w:rPr>
        <w:t>.</w:t>
      </w:r>
    </w:p>
    <w:p w:rsidR="00D634D6" w:rsidRPr="00D634D6" w:rsidRDefault="00D634D6" w:rsidP="00D634D6">
      <w:pPr>
        <w:spacing w:line="360" w:lineRule="auto"/>
        <w:ind w:right="567"/>
        <w:jc w:val="both"/>
        <w:rPr>
          <w:rFonts w:ascii="Palatino Linotype" w:hAnsi="Palatino Linotype"/>
          <w:i/>
        </w:rPr>
      </w:pPr>
    </w:p>
    <w:p w:rsidR="00763406" w:rsidRPr="00D634D6" w:rsidRDefault="00763406" w:rsidP="00D634D6">
      <w:pPr>
        <w:pStyle w:val="Prrafodelista"/>
        <w:numPr>
          <w:ilvl w:val="0"/>
          <w:numId w:val="2"/>
        </w:numPr>
        <w:tabs>
          <w:tab w:val="left" w:pos="142"/>
          <w:tab w:val="left" w:pos="284"/>
        </w:tabs>
        <w:spacing w:line="360" w:lineRule="auto"/>
        <w:ind w:left="0" w:firstLine="0"/>
        <w:jc w:val="both"/>
        <w:rPr>
          <w:rFonts w:ascii="Palatino Linotype" w:hAnsi="Palatino Linotype" w:cs="Arial"/>
          <w:i/>
          <w:sz w:val="24"/>
        </w:rPr>
      </w:pPr>
      <w:r w:rsidRPr="00D634D6">
        <w:rPr>
          <w:rFonts w:ascii="Palatino Linotype" w:eastAsia="Times New Roman" w:hAnsi="Palatino Linotype" w:cs="Arial"/>
          <w:sz w:val="24"/>
          <w:lang w:val="es-ES"/>
        </w:rPr>
        <w:lastRenderedPageBreak/>
        <w:t>Señaló como modalidad de entrega de la información</w:t>
      </w:r>
      <w:r w:rsidRPr="00D634D6">
        <w:rPr>
          <w:rFonts w:ascii="Palatino Linotype" w:eastAsia="Times New Roman" w:hAnsi="Palatino Linotype" w:cs="Arial"/>
          <w:b/>
          <w:sz w:val="24"/>
          <w:lang w:val="es-ES"/>
        </w:rPr>
        <w:t>:</w:t>
      </w:r>
      <w:r w:rsidRPr="00D634D6">
        <w:rPr>
          <w:rFonts w:ascii="Palatino Linotype" w:eastAsia="Times New Roman" w:hAnsi="Palatino Linotype" w:cs="Arial"/>
          <w:sz w:val="24"/>
          <w:lang w:val="es-ES"/>
        </w:rPr>
        <w:t xml:space="preserve"> </w:t>
      </w:r>
      <w:r w:rsidR="005D791C" w:rsidRPr="00D634D6">
        <w:rPr>
          <w:rFonts w:ascii="Palatino Linotype" w:eastAsia="Times New Roman" w:hAnsi="Palatino Linotype" w:cs="Arial"/>
          <w:sz w:val="24"/>
          <w:lang w:val="es-ES"/>
        </w:rPr>
        <w:t>“</w:t>
      </w:r>
      <w:r w:rsidR="009E06B0" w:rsidRPr="00D634D6">
        <w:rPr>
          <w:rFonts w:ascii="Palatino Linotype" w:eastAsia="Times New Roman" w:hAnsi="Palatino Linotype" w:cs="Arial"/>
          <w:b/>
          <w:i/>
          <w:sz w:val="24"/>
          <w:lang w:val="es-ES"/>
        </w:rPr>
        <w:t xml:space="preserve">A través de SAIMEX </w:t>
      </w:r>
      <w:r w:rsidR="009E06B0" w:rsidRPr="00D634D6">
        <w:rPr>
          <w:rFonts w:ascii="Palatino Linotype" w:eastAsia="Times New Roman" w:hAnsi="Palatino Linotype" w:cs="Arial"/>
          <w:sz w:val="24"/>
          <w:lang w:val="es-ES"/>
        </w:rPr>
        <w:t>y</w:t>
      </w:r>
      <w:r w:rsidR="009E06B0" w:rsidRPr="00D634D6">
        <w:rPr>
          <w:rFonts w:ascii="Palatino Linotype" w:eastAsia="Times New Roman" w:hAnsi="Palatino Linotype" w:cs="Arial"/>
          <w:b/>
          <w:i/>
          <w:sz w:val="24"/>
          <w:lang w:val="es-ES"/>
        </w:rPr>
        <w:t xml:space="preserve"> </w:t>
      </w:r>
      <w:r w:rsidR="003C4827" w:rsidRPr="00D634D6">
        <w:rPr>
          <w:rFonts w:ascii="Palatino Linotype" w:eastAsia="Times New Roman" w:hAnsi="Palatino Linotype" w:cs="Arial"/>
          <w:b/>
          <w:i/>
          <w:sz w:val="24"/>
          <w:lang w:val="es-ES"/>
        </w:rPr>
        <w:t>Correo electrónico</w:t>
      </w:r>
      <w:r w:rsidR="005D791C" w:rsidRPr="00D634D6">
        <w:rPr>
          <w:rFonts w:ascii="Palatino Linotype" w:eastAsia="Times New Roman" w:hAnsi="Palatino Linotype" w:cs="Arial"/>
          <w:sz w:val="24"/>
          <w:lang w:val="es-ES"/>
        </w:rPr>
        <w:t>”</w:t>
      </w:r>
      <w:r w:rsidR="003C4827" w:rsidRPr="00D634D6">
        <w:rPr>
          <w:rFonts w:ascii="Palatino Linotype" w:eastAsia="Times New Roman" w:hAnsi="Palatino Linotype" w:cs="Arial"/>
          <w:sz w:val="24"/>
          <w:lang w:val="es-ES"/>
        </w:rPr>
        <w:t>.</w:t>
      </w:r>
    </w:p>
    <w:p w:rsidR="00AB1286" w:rsidRPr="00D634D6" w:rsidRDefault="00AB1286" w:rsidP="00D634D6">
      <w:pPr>
        <w:pStyle w:val="Prrafodelista"/>
        <w:tabs>
          <w:tab w:val="left" w:pos="142"/>
          <w:tab w:val="left" w:pos="284"/>
        </w:tabs>
        <w:spacing w:line="360" w:lineRule="auto"/>
        <w:ind w:left="0"/>
        <w:rPr>
          <w:rFonts w:ascii="Palatino Linotype" w:hAnsi="Palatino Linotype" w:cs="Arial"/>
        </w:rPr>
      </w:pPr>
    </w:p>
    <w:p w:rsidR="00D369A5" w:rsidRPr="00D634D6" w:rsidRDefault="00E06960" w:rsidP="00D634D6">
      <w:pPr>
        <w:pStyle w:val="Prrafodelista"/>
        <w:numPr>
          <w:ilvl w:val="0"/>
          <w:numId w:val="2"/>
        </w:numPr>
        <w:tabs>
          <w:tab w:val="left" w:pos="142"/>
          <w:tab w:val="left" w:pos="284"/>
        </w:tabs>
        <w:spacing w:line="360" w:lineRule="auto"/>
        <w:ind w:left="0" w:firstLine="0"/>
        <w:jc w:val="both"/>
        <w:rPr>
          <w:rFonts w:ascii="Palatino Linotype" w:hAnsi="Palatino Linotype" w:cs="Arial"/>
          <w:i/>
          <w:sz w:val="24"/>
        </w:rPr>
      </w:pPr>
      <w:r w:rsidRPr="00D634D6">
        <w:rPr>
          <w:rFonts w:ascii="Palatino Linotype" w:hAnsi="Palatino Linotype" w:cs="Arial"/>
          <w:sz w:val="24"/>
        </w:rPr>
        <w:t>E</w:t>
      </w:r>
      <w:r w:rsidR="00D369A5" w:rsidRPr="00D634D6">
        <w:rPr>
          <w:rFonts w:ascii="Palatino Linotype" w:hAnsi="Palatino Linotype" w:cs="Arial"/>
          <w:sz w:val="24"/>
        </w:rPr>
        <w:t xml:space="preserve">l </w:t>
      </w:r>
      <w:r w:rsidR="0060674E" w:rsidRPr="00D634D6">
        <w:rPr>
          <w:rFonts w:ascii="Palatino Linotype" w:hAnsi="Palatino Linotype" w:cs="Arial"/>
          <w:b/>
          <w:sz w:val="24"/>
        </w:rPr>
        <w:t xml:space="preserve">SUJETO OBLIGADO </w:t>
      </w:r>
      <w:r w:rsidR="0060674E" w:rsidRPr="00D634D6">
        <w:rPr>
          <w:rFonts w:ascii="Palatino Linotype" w:hAnsi="Palatino Linotype" w:cs="Arial"/>
          <w:sz w:val="24"/>
        </w:rPr>
        <w:t>no dio</w:t>
      </w:r>
      <w:r w:rsidR="00D369A5" w:rsidRPr="00D634D6">
        <w:rPr>
          <w:rFonts w:ascii="Palatino Linotype" w:hAnsi="Palatino Linotype" w:cs="Arial"/>
          <w:sz w:val="24"/>
        </w:rPr>
        <w:t xml:space="preserve"> respuesta a la solicitud de información.</w:t>
      </w:r>
    </w:p>
    <w:p w:rsidR="00D369A5" w:rsidRPr="00D634D6" w:rsidRDefault="00D369A5" w:rsidP="00D634D6">
      <w:pPr>
        <w:pStyle w:val="Prrafodelista"/>
        <w:tabs>
          <w:tab w:val="left" w:pos="142"/>
          <w:tab w:val="left" w:pos="284"/>
        </w:tabs>
        <w:spacing w:line="360" w:lineRule="auto"/>
        <w:ind w:left="0"/>
        <w:jc w:val="both"/>
        <w:rPr>
          <w:rFonts w:ascii="Palatino Linotype" w:hAnsi="Palatino Linotype" w:cs="Arial"/>
          <w:i/>
          <w:sz w:val="24"/>
        </w:rPr>
      </w:pPr>
    </w:p>
    <w:p w:rsidR="00A55BA0" w:rsidRPr="00D634D6" w:rsidRDefault="00F44A85" w:rsidP="00D634D6">
      <w:pPr>
        <w:pStyle w:val="Prrafodelista"/>
        <w:numPr>
          <w:ilvl w:val="0"/>
          <w:numId w:val="2"/>
        </w:numPr>
        <w:tabs>
          <w:tab w:val="left" w:pos="142"/>
          <w:tab w:val="left" w:pos="284"/>
        </w:tabs>
        <w:spacing w:line="360" w:lineRule="auto"/>
        <w:ind w:left="0" w:firstLine="0"/>
        <w:jc w:val="both"/>
        <w:rPr>
          <w:rFonts w:ascii="Palatino Linotype" w:hAnsi="Palatino Linotype" w:cs="Arial"/>
          <w:i/>
          <w:sz w:val="24"/>
        </w:rPr>
      </w:pPr>
      <w:r w:rsidRPr="00D634D6">
        <w:rPr>
          <w:rFonts w:ascii="Palatino Linotype" w:eastAsia="Calibri" w:hAnsi="Palatino Linotype" w:cs="Arial"/>
          <w:sz w:val="24"/>
          <w:lang w:val="es-AR"/>
        </w:rPr>
        <w:t xml:space="preserve">Derivado de la falta de respuesta por parte del </w:t>
      </w:r>
      <w:r w:rsidRPr="00D634D6">
        <w:rPr>
          <w:rFonts w:ascii="Palatino Linotype" w:eastAsia="Calibri" w:hAnsi="Palatino Linotype" w:cs="Arial"/>
          <w:b/>
          <w:sz w:val="24"/>
          <w:lang w:val="es-AR"/>
        </w:rPr>
        <w:t>SUJETO OBLIGADO</w:t>
      </w:r>
      <w:r w:rsidRPr="00D634D6">
        <w:rPr>
          <w:rFonts w:ascii="Palatino Linotype" w:eastAsia="Calibri" w:hAnsi="Palatino Linotype" w:cs="Arial"/>
          <w:sz w:val="24"/>
          <w:lang w:val="es-AR"/>
        </w:rPr>
        <w:t>, el</w:t>
      </w:r>
      <w:r w:rsidR="00A55BA0" w:rsidRPr="00D634D6">
        <w:rPr>
          <w:rFonts w:ascii="Palatino Linotype" w:eastAsia="Times New Roman" w:hAnsi="Palatino Linotype" w:cs="Arial"/>
          <w:sz w:val="24"/>
          <w:lang w:val="es-ES"/>
        </w:rPr>
        <w:t xml:space="preserve"> </w:t>
      </w:r>
      <w:r w:rsidR="009E06B0" w:rsidRPr="00D634D6">
        <w:rPr>
          <w:rFonts w:ascii="Palatino Linotype" w:eastAsia="Times New Roman" w:hAnsi="Palatino Linotype" w:cs="Arial"/>
          <w:sz w:val="24"/>
          <w:lang w:val="es-ES"/>
        </w:rPr>
        <w:t>diecisiete</w:t>
      </w:r>
      <w:r w:rsidR="00A55BA0" w:rsidRPr="00D634D6">
        <w:rPr>
          <w:rFonts w:ascii="Palatino Linotype" w:eastAsia="Times New Roman" w:hAnsi="Palatino Linotype" w:cs="Arial"/>
          <w:sz w:val="24"/>
          <w:lang w:val="es-ES"/>
        </w:rPr>
        <w:t xml:space="preserve"> (</w:t>
      </w:r>
      <w:r w:rsidR="009E06B0" w:rsidRPr="00D634D6">
        <w:rPr>
          <w:rFonts w:ascii="Palatino Linotype" w:eastAsia="Times New Roman" w:hAnsi="Palatino Linotype" w:cs="Arial"/>
          <w:sz w:val="24"/>
          <w:lang w:val="es-ES"/>
        </w:rPr>
        <w:t>1</w:t>
      </w:r>
      <w:r w:rsidR="003C4827" w:rsidRPr="00D634D6">
        <w:rPr>
          <w:rFonts w:ascii="Palatino Linotype" w:eastAsia="Times New Roman" w:hAnsi="Palatino Linotype" w:cs="Arial"/>
          <w:sz w:val="24"/>
          <w:lang w:val="es-ES"/>
        </w:rPr>
        <w:t>7</w:t>
      </w:r>
      <w:r w:rsidR="00A55BA0" w:rsidRPr="00D634D6">
        <w:rPr>
          <w:rFonts w:ascii="Palatino Linotype" w:eastAsia="Times New Roman" w:hAnsi="Palatino Linotype" w:cs="Arial"/>
          <w:sz w:val="24"/>
          <w:lang w:val="es-ES"/>
        </w:rPr>
        <w:t xml:space="preserve">) de </w:t>
      </w:r>
      <w:r w:rsidR="009E06B0" w:rsidRPr="00D634D6">
        <w:rPr>
          <w:rFonts w:ascii="Palatino Linotype" w:eastAsia="Times New Roman" w:hAnsi="Palatino Linotype" w:cs="Arial"/>
          <w:sz w:val="24"/>
          <w:lang w:val="es-ES"/>
        </w:rPr>
        <w:t>diciembre</w:t>
      </w:r>
      <w:r w:rsidR="0030660D" w:rsidRPr="00D634D6">
        <w:rPr>
          <w:rFonts w:ascii="Palatino Linotype" w:eastAsia="Times New Roman" w:hAnsi="Palatino Linotype" w:cs="Arial"/>
          <w:sz w:val="24"/>
          <w:lang w:val="es-ES"/>
        </w:rPr>
        <w:t xml:space="preserve"> </w:t>
      </w:r>
      <w:r w:rsidR="00A55BA0" w:rsidRPr="00D634D6">
        <w:rPr>
          <w:rFonts w:ascii="Palatino Linotype" w:eastAsia="Times New Roman" w:hAnsi="Palatino Linotype" w:cs="Arial"/>
          <w:sz w:val="24"/>
          <w:lang w:val="es-ES"/>
        </w:rPr>
        <w:t>de</w:t>
      </w:r>
      <w:r w:rsidR="00DA0F00" w:rsidRPr="00D634D6">
        <w:rPr>
          <w:rFonts w:ascii="Palatino Linotype" w:eastAsia="Times New Roman" w:hAnsi="Palatino Linotype" w:cs="Arial"/>
          <w:sz w:val="24"/>
          <w:lang w:val="es-ES"/>
        </w:rPr>
        <w:t>l</w:t>
      </w:r>
      <w:r w:rsidR="00A55BA0" w:rsidRPr="00D634D6">
        <w:rPr>
          <w:rFonts w:ascii="Palatino Linotype" w:eastAsia="Times New Roman" w:hAnsi="Palatino Linotype" w:cs="Arial"/>
          <w:sz w:val="24"/>
          <w:lang w:val="es-ES"/>
        </w:rPr>
        <w:t xml:space="preserve"> dos mil </w:t>
      </w:r>
      <w:r w:rsidRPr="00D634D6">
        <w:rPr>
          <w:rFonts w:ascii="Palatino Linotype" w:eastAsia="Times New Roman" w:hAnsi="Palatino Linotype" w:cs="Arial"/>
          <w:sz w:val="24"/>
          <w:lang w:val="es-ES"/>
        </w:rPr>
        <w:t>diecinueve</w:t>
      </w:r>
      <w:r w:rsidR="00A55BA0" w:rsidRPr="00D634D6">
        <w:rPr>
          <w:rFonts w:ascii="Palatino Linotype" w:eastAsia="Times New Roman" w:hAnsi="Palatino Linotype" w:cs="Arial"/>
          <w:sz w:val="24"/>
          <w:lang w:val="es-ES"/>
        </w:rPr>
        <w:t xml:space="preserve">, </w:t>
      </w:r>
      <w:r w:rsidR="00841EDF" w:rsidRPr="00D634D6">
        <w:rPr>
          <w:rFonts w:ascii="Palatino Linotype" w:eastAsia="Times New Roman" w:hAnsi="Palatino Linotype" w:cs="Arial"/>
          <w:sz w:val="24"/>
          <w:lang w:val="es-ES"/>
        </w:rPr>
        <w:t>el</w:t>
      </w:r>
      <w:r w:rsidR="00A55BA0" w:rsidRPr="00D634D6">
        <w:rPr>
          <w:rFonts w:ascii="Palatino Linotype" w:eastAsia="Times New Roman" w:hAnsi="Palatino Linotype" w:cs="Arial"/>
          <w:sz w:val="24"/>
          <w:lang w:val="es-ES"/>
        </w:rPr>
        <w:t xml:space="preserve"> particular i</w:t>
      </w:r>
      <w:r w:rsidR="00A45C19" w:rsidRPr="00D634D6">
        <w:rPr>
          <w:rFonts w:ascii="Palatino Linotype" w:eastAsia="Times New Roman" w:hAnsi="Palatino Linotype" w:cs="Arial"/>
          <w:sz w:val="24"/>
          <w:lang w:val="es-ES"/>
        </w:rPr>
        <w:t>nterpuso el recurso de revisión</w:t>
      </w:r>
      <w:r w:rsidR="00A55BA0" w:rsidRPr="00D634D6">
        <w:rPr>
          <w:rFonts w:ascii="Palatino Linotype" w:eastAsia="Times New Roman" w:hAnsi="Palatino Linotype" w:cs="Arial"/>
          <w:sz w:val="24"/>
          <w:lang w:val="es-ES"/>
        </w:rPr>
        <w:t xml:space="preserve"> en contra de la</w:t>
      </w:r>
      <w:r w:rsidR="00A45C19" w:rsidRPr="00D634D6">
        <w:rPr>
          <w:rFonts w:ascii="Palatino Linotype" w:eastAsia="Times New Roman" w:hAnsi="Palatino Linotype" w:cs="Arial"/>
          <w:sz w:val="24"/>
          <w:lang w:val="es-ES"/>
        </w:rPr>
        <w:t xml:space="preserve"> omisión de atención a su solicitud de información</w:t>
      </w:r>
      <w:r w:rsidR="005D791C" w:rsidRPr="00D634D6">
        <w:rPr>
          <w:rFonts w:ascii="Palatino Linotype" w:eastAsia="Times New Roman" w:hAnsi="Palatino Linotype" w:cs="Arial"/>
          <w:sz w:val="24"/>
          <w:lang w:val="es-ES"/>
        </w:rPr>
        <w:t xml:space="preserve"> </w:t>
      </w:r>
      <w:r w:rsidR="00763406" w:rsidRPr="00D634D6">
        <w:rPr>
          <w:rFonts w:ascii="Palatino Linotype" w:eastAsia="Times New Roman" w:hAnsi="Palatino Linotype" w:cs="Arial"/>
          <w:sz w:val="24"/>
          <w:lang w:val="es-ES"/>
        </w:rPr>
        <w:t>y</w:t>
      </w:r>
      <w:r w:rsidR="005D791C" w:rsidRPr="00D634D6">
        <w:rPr>
          <w:rFonts w:ascii="Palatino Linotype" w:eastAsia="Times New Roman" w:hAnsi="Palatino Linotype" w:cs="Arial"/>
          <w:sz w:val="24"/>
          <w:lang w:val="es-ES"/>
        </w:rPr>
        <w:t>,</w:t>
      </w:r>
      <w:r w:rsidR="00763406" w:rsidRPr="00D634D6">
        <w:rPr>
          <w:rFonts w:ascii="Palatino Linotype" w:eastAsia="Times New Roman" w:hAnsi="Palatino Linotype" w:cs="Arial"/>
          <w:sz w:val="24"/>
          <w:lang w:val="es-ES"/>
        </w:rPr>
        <w:t xml:space="preserve"> </w:t>
      </w:r>
      <w:r w:rsidR="00A55BA0" w:rsidRPr="00D634D6">
        <w:rPr>
          <w:rFonts w:ascii="Palatino Linotype" w:eastAsia="Times New Roman" w:hAnsi="Palatino Linotype" w:cs="Arial"/>
          <w:sz w:val="24"/>
          <w:lang w:val="es-ES"/>
        </w:rPr>
        <w:t>señalando como:</w:t>
      </w:r>
      <w:bookmarkStart w:id="1" w:name="_Toc462307683"/>
      <w:bookmarkStart w:id="2" w:name="_Toc472427085"/>
      <w:bookmarkStart w:id="3" w:name="_Toc472500652"/>
    </w:p>
    <w:p w:rsidR="005D791C" w:rsidRPr="00D634D6" w:rsidRDefault="005D791C" w:rsidP="00D634D6">
      <w:pPr>
        <w:pStyle w:val="Prrafodelista"/>
        <w:tabs>
          <w:tab w:val="left" w:pos="142"/>
          <w:tab w:val="left" w:pos="284"/>
        </w:tabs>
        <w:spacing w:line="360" w:lineRule="auto"/>
        <w:ind w:left="0"/>
        <w:jc w:val="both"/>
        <w:rPr>
          <w:rFonts w:ascii="Palatino Linotype" w:hAnsi="Palatino Linotype" w:cs="Arial"/>
        </w:rPr>
      </w:pPr>
    </w:p>
    <w:bookmarkEnd w:id="1"/>
    <w:bookmarkEnd w:id="2"/>
    <w:bookmarkEnd w:id="3"/>
    <w:p w:rsidR="006E5EF0" w:rsidRPr="00D634D6" w:rsidRDefault="006E5EF0" w:rsidP="00D634D6">
      <w:pPr>
        <w:pStyle w:val="Prrafodelista"/>
        <w:tabs>
          <w:tab w:val="left" w:pos="142"/>
          <w:tab w:val="left" w:pos="284"/>
        </w:tabs>
        <w:spacing w:line="360" w:lineRule="auto"/>
        <w:ind w:left="567" w:right="567"/>
        <w:jc w:val="both"/>
        <w:rPr>
          <w:rFonts w:ascii="Palatino Linotype" w:hAnsi="Palatino Linotype" w:cs="Arial"/>
          <w:sz w:val="24"/>
          <w:szCs w:val="24"/>
        </w:rPr>
      </w:pPr>
      <w:r w:rsidRPr="00D634D6">
        <w:rPr>
          <w:rFonts w:ascii="Palatino Linotype" w:hAnsi="Palatino Linotype" w:cs="Arial"/>
          <w:b/>
          <w:sz w:val="24"/>
          <w:szCs w:val="24"/>
        </w:rPr>
        <w:t>Acto impugnado:</w:t>
      </w:r>
      <w:r w:rsidRPr="00D634D6">
        <w:rPr>
          <w:rFonts w:ascii="Palatino Linotype" w:hAnsi="Palatino Linotype" w:cs="Arial"/>
          <w:sz w:val="24"/>
          <w:szCs w:val="24"/>
        </w:rPr>
        <w:t xml:space="preserve"> “</w:t>
      </w:r>
      <w:r w:rsidR="009E06B0" w:rsidRPr="00D634D6">
        <w:rPr>
          <w:rFonts w:ascii="Palatino Linotype" w:hAnsi="Palatino Linotype" w:cs="Arial"/>
          <w:i/>
          <w:sz w:val="24"/>
          <w:szCs w:val="24"/>
        </w:rPr>
        <w:t>no entrego nada</w:t>
      </w:r>
      <w:r w:rsidRPr="00D634D6">
        <w:rPr>
          <w:rFonts w:ascii="Palatino Linotype" w:hAnsi="Palatino Linotype" w:cs="Arial"/>
          <w:i/>
          <w:sz w:val="24"/>
          <w:szCs w:val="24"/>
        </w:rPr>
        <w:t>”</w:t>
      </w:r>
      <w:r w:rsidR="005D791C" w:rsidRPr="00D634D6">
        <w:rPr>
          <w:rFonts w:ascii="Palatino Linotype" w:hAnsi="Palatino Linotype" w:cs="Arial"/>
          <w:sz w:val="24"/>
          <w:szCs w:val="24"/>
        </w:rPr>
        <w:t xml:space="preserve"> </w:t>
      </w:r>
      <w:r w:rsidRPr="00D634D6">
        <w:rPr>
          <w:rFonts w:ascii="Palatino Linotype" w:hAnsi="Palatino Linotype" w:cs="Arial"/>
          <w:sz w:val="24"/>
          <w:szCs w:val="24"/>
        </w:rPr>
        <w:t>(Sic).</w:t>
      </w:r>
    </w:p>
    <w:p w:rsidR="006E5EF0" w:rsidRPr="00D634D6" w:rsidRDefault="006E5EF0" w:rsidP="00D634D6">
      <w:pPr>
        <w:pStyle w:val="Prrafodelista"/>
        <w:tabs>
          <w:tab w:val="left" w:pos="142"/>
          <w:tab w:val="left" w:pos="284"/>
        </w:tabs>
        <w:spacing w:line="360" w:lineRule="auto"/>
        <w:ind w:left="567" w:right="567"/>
        <w:jc w:val="both"/>
        <w:rPr>
          <w:rFonts w:ascii="Palatino Linotype" w:hAnsi="Palatino Linotype" w:cs="Arial"/>
          <w:b/>
        </w:rPr>
      </w:pPr>
    </w:p>
    <w:p w:rsidR="006E5EF0" w:rsidRPr="00D634D6" w:rsidRDefault="006E5EF0" w:rsidP="00D634D6">
      <w:pPr>
        <w:pStyle w:val="Prrafodelista"/>
        <w:tabs>
          <w:tab w:val="left" w:pos="142"/>
          <w:tab w:val="left" w:pos="284"/>
        </w:tabs>
        <w:spacing w:line="360" w:lineRule="auto"/>
        <w:ind w:left="567" w:right="567"/>
        <w:jc w:val="both"/>
        <w:rPr>
          <w:rFonts w:ascii="Palatino Linotype" w:hAnsi="Palatino Linotype" w:cs="Arial"/>
          <w:sz w:val="24"/>
          <w:szCs w:val="24"/>
        </w:rPr>
      </w:pPr>
      <w:r w:rsidRPr="00D634D6">
        <w:rPr>
          <w:rFonts w:ascii="Palatino Linotype" w:hAnsi="Palatino Linotype" w:cs="Arial"/>
          <w:b/>
          <w:sz w:val="24"/>
          <w:szCs w:val="24"/>
        </w:rPr>
        <w:t>Razones o motivos de inconformidad:</w:t>
      </w:r>
      <w:r w:rsidRPr="00D634D6">
        <w:rPr>
          <w:rFonts w:ascii="Palatino Linotype" w:hAnsi="Palatino Linotype" w:cs="Arial"/>
          <w:sz w:val="24"/>
          <w:szCs w:val="24"/>
        </w:rPr>
        <w:t xml:space="preserve"> </w:t>
      </w:r>
      <w:r w:rsidRPr="00D634D6">
        <w:rPr>
          <w:rFonts w:ascii="Palatino Linotype" w:hAnsi="Palatino Linotype" w:cs="Arial"/>
          <w:i/>
          <w:sz w:val="24"/>
          <w:szCs w:val="24"/>
        </w:rPr>
        <w:t>“</w:t>
      </w:r>
      <w:r w:rsidR="009E06B0" w:rsidRPr="00D634D6">
        <w:rPr>
          <w:rFonts w:ascii="Palatino Linotype" w:hAnsi="Palatino Linotype" w:cs="Arial"/>
          <w:i/>
          <w:sz w:val="24"/>
          <w:szCs w:val="24"/>
        </w:rPr>
        <w:t>se solicita vista al oic</w:t>
      </w:r>
      <w:r w:rsidRPr="00D634D6">
        <w:rPr>
          <w:rFonts w:ascii="Palatino Linotype" w:hAnsi="Palatino Linotype" w:cs="Arial"/>
          <w:i/>
          <w:sz w:val="24"/>
          <w:szCs w:val="24"/>
        </w:rPr>
        <w:t>”</w:t>
      </w:r>
      <w:r w:rsidRPr="00D634D6">
        <w:rPr>
          <w:rFonts w:ascii="Palatino Linotype" w:hAnsi="Palatino Linotype" w:cs="Arial"/>
          <w:sz w:val="24"/>
          <w:szCs w:val="24"/>
        </w:rPr>
        <w:t xml:space="preserve"> (Sic).</w:t>
      </w:r>
    </w:p>
    <w:p w:rsidR="006E5EF0" w:rsidRPr="00D634D6" w:rsidRDefault="006E5EF0" w:rsidP="00D634D6">
      <w:pPr>
        <w:pStyle w:val="Prrafodelista"/>
        <w:tabs>
          <w:tab w:val="left" w:pos="142"/>
          <w:tab w:val="left" w:pos="284"/>
        </w:tabs>
        <w:spacing w:line="360" w:lineRule="auto"/>
        <w:ind w:left="0" w:right="567"/>
        <w:jc w:val="both"/>
        <w:rPr>
          <w:rFonts w:ascii="Palatino Linotype" w:hAnsi="Palatino Linotype" w:cs="Arial"/>
        </w:rPr>
      </w:pPr>
    </w:p>
    <w:p w:rsidR="00A55BA0" w:rsidRPr="00D634D6" w:rsidRDefault="00A55BA0" w:rsidP="00D634D6">
      <w:pPr>
        <w:pStyle w:val="Prrafodelista"/>
        <w:numPr>
          <w:ilvl w:val="0"/>
          <w:numId w:val="2"/>
        </w:numPr>
        <w:tabs>
          <w:tab w:val="left" w:pos="142"/>
          <w:tab w:val="left" w:pos="284"/>
        </w:tabs>
        <w:spacing w:line="360" w:lineRule="auto"/>
        <w:ind w:left="0" w:firstLine="0"/>
        <w:jc w:val="both"/>
        <w:rPr>
          <w:rFonts w:ascii="Palatino Linotype" w:hAnsi="Palatino Linotype"/>
          <w:i/>
          <w:color w:val="000000"/>
          <w:sz w:val="24"/>
        </w:rPr>
      </w:pPr>
      <w:r w:rsidRPr="00D634D6">
        <w:rPr>
          <w:rFonts w:ascii="Palatino Linotype" w:eastAsia="Times New Roman" w:hAnsi="Palatino Linotype" w:cs="Arial"/>
          <w:sz w:val="24"/>
          <w:lang w:val="es-ES"/>
        </w:rPr>
        <w:t xml:space="preserve">Se registró el recurso de revisión bajo el número de expediente </w:t>
      </w:r>
      <w:r w:rsidRPr="00D634D6">
        <w:rPr>
          <w:rFonts w:ascii="Palatino Linotype" w:hAnsi="Palatino Linotype" w:cs="Arial"/>
          <w:bCs/>
          <w:sz w:val="24"/>
        </w:rPr>
        <w:t>al rubro indicado, asimismo</w:t>
      </w:r>
      <w:r w:rsidR="00DA0F00" w:rsidRPr="00D634D6">
        <w:rPr>
          <w:rFonts w:ascii="Palatino Linotype" w:hAnsi="Palatino Linotype" w:cs="Arial"/>
          <w:bCs/>
          <w:sz w:val="24"/>
        </w:rPr>
        <w:t>,</w:t>
      </w:r>
      <w:r w:rsidRPr="00D634D6">
        <w:rPr>
          <w:rFonts w:ascii="Palatino Linotype" w:hAnsi="Palatino Linotype" w:cs="Arial"/>
          <w:bCs/>
          <w:sz w:val="24"/>
        </w:rPr>
        <w:t xml:space="preserve"> con fundamento en lo dispuesto por el </w:t>
      </w:r>
      <w:r w:rsidRPr="00D634D6">
        <w:rPr>
          <w:rFonts w:ascii="Palatino Linotype" w:eastAsia="Calibri" w:hAnsi="Palatino Linotype" w:cs="Arial"/>
          <w:sz w:val="24"/>
          <w:lang w:val="es-ES"/>
        </w:rPr>
        <w:t xml:space="preserve">artículo 185 fracción I de la </w:t>
      </w:r>
      <w:r w:rsidRPr="00D634D6">
        <w:rPr>
          <w:rFonts w:ascii="Palatino Linotype" w:eastAsia="Calibri" w:hAnsi="Palatino Linotype" w:cs="Arial"/>
          <w:b/>
          <w:sz w:val="24"/>
          <w:lang w:val="es-ES"/>
        </w:rPr>
        <w:t xml:space="preserve">Ley de Transparencia y Acceso a la Información Pública del Estado de México y Municipios </w:t>
      </w:r>
      <w:r w:rsidRPr="00D634D6">
        <w:rPr>
          <w:rFonts w:ascii="Palatino Linotype" w:eastAsia="Times New Roman" w:hAnsi="Palatino Linotype" w:cs="Arial"/>
          <w:sz w:val="24"/>
          <w:lang w:val="es-ES"/>
        </w:rPr>
        <w:t xml:space="preserve">se turnó al </w:t>
      </w:r>
      <w:r w:rsidRPr="00D634D6">
        <w:rPr>
          <w:rFonts w:ascii="Palatino Linotype" w:eastAsia="Times New Roman" w:hAnsi="Palatino Linotype" w:cs="Arial"/>
          <w:b/>
          <w:sz w:val="24"/>
          <w:lang w:val="es-ES"/>
        </w:rPr>
        <w:t xml:space="preserve">Comisionado José Guadalupe Luna Hernández, </w:t>
      </w:r>
      <w:r w:rsidRPr="00D634D6">
        <w:rPr>
          <w:rFonts w:ascii="Palatino Linotype" w:eastAsia="Times New Roman" w:hAnsi="Palatino Linotype" w:cs="Arial"/>
          <w:sz w:val="24"/>
          <w:lang w:val="es-ES"/>
        </w:rPr>
        <w:t xml:space="preserve">con el objeto de </w:t>
      </w:r>
      <w:r w:rsidRPr="00D634D6">
        <w:rPr>
          <w:rFonts w:ascii="Palatino Linotype" w:eastAsia="Times New Roman" w:hAnsi="Palatino Linotype" w:cs="Arial"/>
          <w:sz w:val="24"/>
        </w:rPr>
        <w:t>su análisis.</w:t>
      </w:r>
    </w:p>
    <w:p w:rsidR="00A55BA0" w:rsidRPr="00D634D6" w:rsidRDefault="00A55BA0" w:rsidP="00D634D6">
      <w:pPr>
        <w:pStyle w:val="Prrafodelista"/>
        <w:tabs>
          <w:tab w:val="left" w:pos="142"/>
          <w:tab w:val="left" w:pos="284"/>
        </w:tabs>
        <w:spacing w:line="360" w:lineRule="auto"/>
        <w:ind w:left="0"/>
        <w:rPr>
          <w:rFonts w:ascii="Palatino Linotype" w:hAnsi="Palatino Linotype"/>
          <w:i/>
          <w:color w:val="000000"/>
          <w:sz w:val="24"/>
        </w:rPr>
      </w:pPr>
    </w:p>
    <w:p w:rsidR="00A55BA0" w:rsidRPr="00D634D6" w:rsidRDefault="00A55BA0" w:rsidP="00D634D6">
      <w:pPr>
        <w:pStyle w:val="Prrafodelista"/>
        <w:numPr>
          <w:ilvl w:val="0"/>
          <w:numId w:val="2"/>
        </w:numPr>
        <w:tabs>
          <w:tab w:val="left" w:pos="142"/>
          <w:tab w:val="left" w:pos="284"/>
        </w:tabs>
        <w:spacing w:line="360" w:lineRule="auto"/>
        <w:ind w:left="0" w:firstLine="0"/>
        <w:jc w:val="both"/>
        <w:rPr>
          <w:rFonts w:ascii="Palatino Linotype" w:hAnsi="Palatino Linotype"/>
          <w:i/>
          <w:color w:val="000000"/>
          <w:sz w:val="24"/>
        </w:rPr>
      </w:pPr>
      <w:r w:rsidRPr="00D634D6">
        <w:rPr>
          <w:rFonts w:ascii="Palatino Linotype" w:eastAsia="Calibri" w:hAnsi="Palatino Linotype" w:cs="Arial"/>
          <w:sz w:val="24"/>
          <w:lang w:val="es-ES"/>
        </w:rPr>
        <w:t>El Comisionado Ponente</w:t>
      </w:r>
      <w:r w:rsidR="00AC4547" w:rsidRPr="00D634D6">
        <w:rPr>
          <w:rFonts w:ascii="Palatino Linotype" w:eastAsia="Calibri" w:hAnsi="Palatino Linotype" w:cs="Arial"/>
          <w:sz w:val="24"/>
          <w:lang w:val="es-ES"/>
        </w:rPr>
        <w:t>,</w:t>
      </w:r>
      <w:r w:rsidRPr="00D634D6">
        <w:rPr>
          <w:rFonts w:ascii="Palatino Linotype" w:eastAsia="Calibri" w:hAnsi="Palatino Linotype" w:cs="Arial"/>
          <w:sz w:val="24"/>
          <w:lang w:val="es-ES"/>
        </w:rPr>
        <w:t xml:space="preserve"> con fundamento en lo dispuesto por el artículo 185</w:t>
      </w:r>
      <w:r w:rsidR="00AC4547" w:rsidRPr="00D634D6">
        <w:rPr>
          <w:rFonts w:ascii="Palatino Linotype" w:eastAsia="Calibri" w:hAnsi="Palatino Linotype" w:cs="Arial"/>
          <w:sz w:val="24"/>
          <w:lang w:val="es-ES"/>
        </w:rPr>
        <w:t>,</w:t>
      </w:r>
      <w:r w:rsidRPr="00D634D6">
        <w:rPr>
          <w:rFonts w:ascii="Palatino Linotype" w:eastAsia="Calibri" w:hAnsi="Palatino Linotype" w:cs="Arial"/>
          <w:sz w:val="24"/>
          <w:lang w:val="es-ES"/>
        </w:rPr>
        <w:t xml:space="preserve"> fracción II</w:t>
      </w:r>
      <w:r w:rsidR="00AC4547" w:rsidRPr="00D634D6">
        <w:rPr>
          <w:rFonts w:ascii="Palatino Linotype" w:eastAsia="Calibri" w:hAnsi="Palatino Linotype" w:cs="Arial"/>
          <w:sz w:val="24"/>
          <w:lang w:val="es-ES"/>
        </w:rPr>
        <w:t>,</w:t>
      </w:r>
      <w:r w:rsidRPr="00D634D6">
        <w:rPr>
          <w:rFonts w:ascii="Palatino Linotype" w:eastAsia="Calibri" w:hAnsi="Palatino Linotype" w:cs="Arial"/>
          <w:sz w:val="24"/>
          <w:lang w:val="es-ES"/>
        </w:rPr>
        <w:t xml:space="preserve"> de la </w:t>
      </w:r>
      <w:r w:rsidR="00AC4547" w:rsidRPr="00D634D6">
        <w:rPr>
          <w:rFonts w:ascii="Palatino Linotype" w:eastAsia="Calibri" w:hAnsi="Palatino Linotype" w:cs="Arial"/>
          <w:sz w:val="24"/>
          <w:lang w:val="es-ES"/>
        </w:rPr>
        <w:t xml:space="preserve">Ley </w:t>
      </w:r>
      <w:r w:rsidRPr="00D634D6">
        <w:rPr>
          <w:rFonts w:ascii="Palatino Linotype" w:eastAsia="Calibri" w:hAnsi="Palatino Linotype" w:cs="Arial"/>
          <w:sz w:val="24"/>
          <w:lang w:val="es-ES"/>
        </w:rPr>
        <w:t xml:space="preserve">de la materia, a través del acuerdo de admisión de </w:t>
      </w:r>
      <w:r w:rsidR="009E06B0" w:rsidRPr="00D634D6">
        <w:rPr>
          <w:rFonts w:ascii="Palatino Linotype" w:eastAsia="Calibri" w:hAnsi="Palatino Linotype" w:cs="Arial"/>
          <w:sz w:val="24"/>
          <w:lang w:val="es-ES"/>
        </w:rPr>
        <w:t>ocho</w:t>
      </w:r>
      <w:r w:rsidRPr="00D634D6">
        <w:rPr>
          <w:rFonts w:ascii="Palatino Linotype" w:eastAsia="Calibri" w:hAnsi="Palatino Linotype" w:cs="Arial"/>
          <w:sz w:val="24"/>
          <w:lang w:val="es-ES"/>
        </w:rPr>
        <w:t xml:space="preserve"> (</w:t>
      </w:r>
      <w:r w:rsidR="009E06B0" w:rsidRPr="00D634D6">
        <w:rPr>
          <w:rFonts w:ascii="Palatino Linotype" w:eastAsia="Calibri" w:hAnsi="Palatino Linotype" w:cs="Arial"/>
          <w:sz w:val="24"/>
          <w:lang w:val="es-ES"/>
        </w:rPr>
        <w:t>08</w:t>
      </w:r>
      <w:r w:rsidR="00A45C19" w:rsidRPr="00D634D6">
        <w:rPr>
          <w:rFonts w:ascii="Palatino Linotype" w:eastAsia="Calibri" w:hAnsi="Palatino Linotype" w:cs="Arial"/>
          <w:sz w:val="24"/>
          <w:lang w:val="es-ES"/>
        </w:rPr>
        <w:t>)</w:t>
      </w:r>
      <w:r w:rsidR="00D004ED" w:rsidRPr="00D634D6">
        <w:rPr>
          <w:rFonts w:ascii="Palatino Linotype" w:eastAsia="Calibri" w:hAnsi="Palatino Linotype" w:cs="Arial"/>
          <w:sz w:val="24"/>
          <w:lang w:val="es-ES"/>
        </w:rPr>
        <w:t xml:space="preserve"> de </w:t>
      </w:r>
      <w:r w:rsidR="009E06B0" w:rsidRPr="00D634D6">
        <w:rPr>
          <w:rFonts w:ascii="Palatino Linotype" w:eastAsia="Calibri" w:hAnsi="Palatino Linotype" w:cs="Arial"/>
          <w:sz w:val="24"/>
          <w:lang w:val="es-ES"/>
        </w:rPr>
        <w:t>enero</w:t>
      </w:r>
      <w:r w:rsidR="00D004ED" w:rsidRPr="00D634D6">
        <w:rPr>
          <w:rFonts w:ascii="Palatino Linotype" w:eastAsia="Calibri" w:hAnsi="Palatino Linotype" w:cs="Arial"/>
          <w:sz w:val="24"/>
          <w:lang w:val="es-ES"/>
        </w:rPr>
        <w:t xml:space="preserve"> </w:t>
      </w:r>
      <w:r w:rsidR="00030E8B" w:rsidRPr="00D634D6">
        <w:rPr>
          <w:rFonts w:ascii="Palatino Linotype" w:eastAsia="Calibri" w:hAnsi="Palatino Linotype" w:cs="Arial"/>
          <w:sz w:val="24"/>
          <w:lang w:val="es-ES"/>
        </w:rPr>
        <w:t>de</w:t>
      </w:r>
      <w:r w:rsidR="00DA0F00" w:rsidRPr="00D634D6">
        <w:rPr>
          <w:rFonts w:ascii="Palatino Linotype" w:eastAsia="Calibri" w:hAnsi="Palatino Linotype" w:cs="Arial"/>
          <w:sz w:val="24"/>
          <w:lang w:val="es-ES"/>
        </w:rPr>
        <w:t>l</w:t>
      </w:r>
      <w:r w:rsidR="00030E8B" w:rsidRPr="00D634D6">
        <w:rPr>
          <w:rFonts w:ascii="Palatino Linotype" w:eastAsia="Calibri" w:hAnsi="Palatino Linotype" w:cs="Arial"/>
          <w:sz w:val="24"/>
          <w:lang w:val="es-ES"/>
        </w:rPr>
        <w:t xml:space="preserve"> </w:t>
      </w:r>
      <w:r w:rsidRPr="00D634D6">
        <w:rPr>
          <w:rFonts w:ascii="Palatino Linotype" w:eastAsia="Calibri" w:hAnsi="Palatino Linotype" w:cs="Arial"/>
          <w:sz w:val="24"/>
          <w:lang w:val="es-ES"/>
        </w:rPr>
        <w:t xml:space="preserve">dos mil </w:t>
      </w:r>
      <w:r w:rsidR="009E06B0" w:rsidRPr="00D634D6">
        <w:rPr>
          <w:rFonts w:ascii="Palatino Linotype" w:eastAsia="Calibri" w:hAnsi="Palatino Linotype" w:cs="Arial"/>
          <w:sz w:val="24"/>
          <w:lang w:val="es-ES"/>
        </w:rPr>
        <w:t>veinte</w:t>
      </w:r>
      <w:r w:rsidRPr="00D634D6">
        <w:rPr>
          <w:rFonts w:ascii="Palatino Linotype" w:eastAsia="Calibri" w:hAnsi="Palatino Linotype" w:cs="Arial"/>
          <w:sz w:val="24"/>
          <w:lang w:val="es-ES"/>
        </w:rPr>
        <w:t xml:space="preserve">, puso a disposición de las partes el expediente electrónico </w:t>
      </w:r>
      <w:r w:rsidRPr="00D634D6">
        <w:rPr>
          <w:rFonts w:ascii="Palatino Linotype" w:eastAsia="Calibri" w:hAnsi="Palatino Linotype" w:cs="Arial"/>
          <w:sz w:val="24"/>
        </w:rPr>
        <w:t xml:space="preserve">vía </w:t>
      </w:r>
      <w:r w:rsidRPr="00D634D6">
        <w:rPr>
          <w:rFonts w:ascii="Palatino Linotype" w:eastAsia="Calibri" w:hAnsi="Palatino Linotype" w:cs="Arial"/>
          <w:sz w:val="24"/>
          <w:lang w:val="es-ES"/>
        </w:rPr>
        <w:t xml:space="preserve">Sistema de Acceso a la Información Mexiquense </w:t>
      </w:r>
      <w:r w:rsidRPr="00D634D6">
        <w:rPr>
          <w:rFonts w:ascii="Palatino Linotype" w:eastAsia="Calibri" w:hAnsi="Palatino Linotype" w:cs="Arial"/>
          <w:b/>
          <w:i/>
          <w:sz w:val="24"/>
          <w:lang w:val="es-ES"/>
        </w:rPr>
        <w:t>SAIMEX</w:t>
      </w:r>
      <w:r w:rsidR="00AC4547" w:rsidRPr="00D634D6">
        <w:rPr>
          <w:rFonts w:ascii="Palatino Linotype" w:eastAsia="Calibri" w:hAnsi="Palatino Linotype" w:cs="Arial"/>
          <w:i/>
          <w:sz w:val="24"/>
          <w:lang w:val="es-ES"/>
        </w:rPr>
        <w:t>,</w:t>
      </w:r>
      <w:r w:rsidRPr="00D634D6">
        <w:rPr>
          <w:rFonts w:ascii="Palatino Linotype" w:eastAsia="Calibri" w:hAnsi="Palatino Linotype" w:cs="Arial"/>
          <w:b/>
          <w:sz w:val="24"/>
          <w:lang w:val="es-ES"/>
        </w:rPr>
        <w:t xml:space="preserve"> </w:t>
      </w:r>
      <w:r w:rsidRPr="00D634D6">
        <w:rPr>
          <w:rFonts w:ascii="Palatino Linotype" w:eastAsia="Calibri" w:hAnsi="Palatino Linotype" w:cs="Arial"/>
          <w:sz w:val="24"/>
          <w:lang w:val="es-ES"/>
        </w:rPr>
        <w:t xml:space="preserve">a efecto de que en un plazo máximo de siete días manifestaran lo </w:t>
      </w:r>
      <w:r w:rsidRPr="00D634D6">
        <w:rPr>
          <w:rFonts w:ascii="Palatino Linotype" w:eastAsia="Calibri" w:hAnsi="Palatino Linotype" w:cs="Arial"/>
          <w:sz w:val="24"/>
          <w:lang w:val="es-ES"/>
        </w:rPr>
        <w:lastRenderedPageBreak/>
        <w:t xml:space="preserve">que a </w:t>
      </w:r>
      <w:r w:rsidR="00AC4547" w:rsidRPr="00D634D6">
        <w:rPr>
          <w:rFonts w:ascii="Palatino Linotype" w:eastAsia="Calibri" w:hAnsi="Palatino Linotype" w:cs="Arial"/>
          <w:sz w:val="24"/>
          <w:lang w:val="es-ES"/>
        </w:rPr>
        <w:t xml:space="preserve">su </w:t>
      </w:r>
      <w:r w:rsidRPr="00D634D6">
        <w:rPr>
          <w:rFonts w:ascii="Palatino Linotype" w:eastAsia="Calibri" w:hAnsi="Palatino Linotype" w:cs="Arial"/>
          <w:sz w:val="24"/>
          <w:lang w:val="es-ES"/>
        </w:rPr>
        <w:t xml:space="preserve">derecho convinieran, ofrecieran pruebas y alegatos según corresponda al caso concreto, de esta forma para que el </w:t>
      </w:r>
      <w:r w:rsidRPr="00D634D6">
        <w:rPr>
          <w:rFonts w:ascii="Palatino Linotype" w:eastAsia="Calibri" w:hAnsi="Palatino Linotype" w:cs="Arial"/>
          <w:b/>
          <w:sz w:val="24"/>
          <w:lang w:val="es-ES"/>
        </w:rPr>
        <w:t>SUJETO OBLIGADO</w:t>
      </w:r>
      <w:r w:rsidRPr="00D634D6">
        <w:rPr>
          <w:rFonts w:ascii="Palatino Linotype" w:eastAsia="Calibri" w:hAnsi="Palatino Linotype" w:cs="Arial"/>
          <w:sz w:val="24"/>
          <w:lang w:val="es-ES"/>
        </w:rPr>
        <w:t xml:space="preserve"> presentar</w:t>
      </w:r>
      <w:r w:rsidR="00763406" w:rsidRPr="00D634D6">
        <w:rPr>
          <w:rFonts w:ascii="Palatino Linotype" w:eastAsia="Calibri" w:hAnsi="Palatino Linotype" w:cs="Arial"/>
          <w:sz w:val="24"/>
          <w:lang w:val="es-ES"/>
        </w:rPr>
        <w:t>a</w:t>
      </w:r>
      <w:r w:rsidRPr="00D634D6">
        <w:rPr>
          <w:rFonts w:ascii="Palatino Linotype" w:eastAsia="Calibri" w:hAnsi="Palatino Linotype" w:cs="Arial"/>
          <w:sz w:val="24"/>
          <w:lang w:val="es-ES"/>
        </w:rPr>
        <w:t xml:space="preserve"> el </w:t>
      </w:r>
      <w:r w:rsidR="00AC4547" w:rsidRPr="00D634D6">
        <w:rPr>
          <w:rFonts w:ascii="Palatino Linotype" w:eastAsia="Calibri" w:hAnsi="Palatino Linotype" w:cs="Arial"/>
          <w:sz w:val="24"/>
          <w:lang w:val="es-ES"/>
        </w:rPr>
        <w:t xml:space="preserve">informe justificado </w:t>
      </w:r>
      <w:r w:rsidR="00763406" w:rsidRPr="00D634D6">
        <w:rPr>
          <w:rFonts w:ascii="Palatino Linotype" w:eastAsia="Calibri" w:hAnsi="Palatino Linotype" w:cs="Arial"/>
          <w:sz w:val="24"/>
          <w:lang w:val="es-ES"/>
        </w:rPr>
        <w:t>procedente.</w:t>
      </w:r>
    </w:p>
    <w:p w:rsidR="0077177C" w:rsidRPr="00D634D6" w:rsidRDefault="0077177C" w:rsidP="00D634D6">
      <w:pPr>
        <w:pStyle w:val="Prrafodelista"/>
        <w:tabs>
          <w:tab w:val="left" w:pos="142"/>
          <w:tab w:val="left" w:pos="284"/>
        </w:tabs>
        <w:spacing w:line="360" w:lineRule="auto"/>
        <w:ind w:left="0"/>
        <w:jc w:val="both"/>
        <w:rPr>
          <w:rFonts w:ascii="Palatino Linotype" w:hAnsi="Palatino Linotype"/>
          <w:i/>
          <w:color w:val="000000"/>
          <w:sz w:val="24"/>
        </w:rPr>
      </w:pPr>
    </w:p>
    <w:p w:rsidR="00A66C2E" w:rsidRPr="00D634D6" w:rsidRDefault="00A66C2E" w:rsidP="00D634D6">
      <w:pPr>
        <w:pStyle w:val="Prrafodelista"/>
        <w:numPr>
          <w:ilvl w:val="0"/>
          <w:numId w:val="2"/>
        </w:numPr>
        <w:tabs>
          <w:tab w:val="left" w:pos="142"/>
          <w:tab w:val="left" w:pos="284"/>
        </w:tabs>
        <w:spacing w:line="360" w:lineRule="auto"/>
        <w:ind w:left="0" w:firstLine="0"/>
        <w:jc w:val="both"/>
        <w:rPr>
          <w:rFonts w:ascii="Palatino Linotype" w:hAnsi="Palatino Linotype"/>
          <w:color w:val="000000"/>
        </w:rPr>
      </w:pPr>
      <w:r w:rsidRPr="00D634D6">
        <w:rPr>
          <w:rFonts w:ascii="Palatino Linotype" w:eastAsia="Calibri" w:hAnsi="Palatino Linotype" w:cs="Arial"/>
          <w:sz w:val="24"/>
          <w:lang w:val="es-ES"/>
        </w:rPr>
        <w:t xml:space="preserve">De </w:t>
      </w:r>
      <w:r w:rsidRPr="00D634D6">
        <w:rPr>
          <w:rFonts w:ascii="Palatino Linotype" w:hAnsi="Palatino Linotype"/>
          <w:color w:val="000000"/>
          <w:sz w:val="24"/>
        </w:rPr>
        <w:t xml:space="preserve">las constancias que obran en el expediente electrónico del </w:t>
      </w:r>
      <w:r w:rsidRPr="00D634D6">
        <w:rPr>
          <w:rFonts w:ascii="Palatino Linotype" w:hAnsi="Palatino Linotype"/>
          <w:b/>
          <w:i/>
          <w:color w:val="000000"/>
          <w:sz w:val="24"/>
        </w:rPr>
        <w:t>SAIMEX</w:t>
      </w:r>
      <w:r w:rsidR="00304B59" w:rsidRPr="00D634D6">
        <w:rPr>
          <w:rFonts w:ascii="Palatino Linotype" w:hAnsi="Palatino Linotype"/>
          <w:color w:val="000000"/>
          <w:sz w:val="24"/>
        </w:rPr>
        <w:t xml:space="preserve">, se aprecia que el </w:t>
      </w:r>
      <w:r w:rsidR="00A74C7D" w:rsidRPr="00D634D6">
        <w:rPr>
          <w:rFonts w:ascii="Palatino Linotype" w:hAnsi="Palatino Linotype"/>
          <w:color w:val="000000"/>
          <w:sz w:val="24"/>
        </w:rPr>
        <w:t>diez</w:t>
      </w:r>
      <w:r w:rsidR="00304B59" w:rsidRPr="00D634D6">
        <w:rPr>
          <w:rFonts w:ascii="Palatino Linotype" w:hAnsi="Palatino Linotype"/>
          <w:color w:val="000000"/>
          <w:sz w:val="24"/>
        </w:rPr>
        <w:t xml:space="preserve"> (</w:t>
      </w:r>
      <w:r w:rsidR="00A74C7D" w:rsidRPr="00D634D6">
        <w:rPr>
          <w:rFonts w:ascii="Palatino Linotype" w:hAnsi="Palatino Linotype"/>
          <w:color w:val="000000"/>
          <w:sz w:val="24"/>
        </w:rPr>
        <w:t>10</w:t>
      </w:r>
      <w:r w:rsidR="00304B59" w:rsidRPr="00D634D6">
        <w:rPr>
          <w:rFonts w:ascii="Palatino Linotype" w:hAnsi="Palatino Linotype"/>
          <w:color w:val="000000"/>
          <w:sz w:val="24"/>
        </w:rPr>
        <w:t xml:space="preserve">) de </w:t>
      </w:r>
      <w:r w:rsidR="00A74C7D" w:rsidRPr="00D634D6">
        <w:rPr>
          <w:rFonts w:ascii="Palatino Linotype" w:hAnsi="Palatino Linotype"/>
          <w:color w:val="000000"/>
          <w:sz w:val="24"/>
        </w:rPr>
        <w:t>enero</w:t>
      </w:r>
      <w:r w:rsidR="00304B59" w:rsidRPr="00D634D6">
        <w:rPr>
          <w:rFonts w:ascii="Palatino Linotype" w:hAnsi="Palatino Linotype"/>
          <w:color w:val="000000"/>
          <w:sz w:val="24"/>
        </w:rPr>
        <w:t xml:space="preserve"> de dos mil </w:t>
      </w:r>
      <w:r w:rsidR="00A74C7D" w:rsidRPr="00D634D6">
        <w:rPr>
          <w:rFonts w:ascii="Palatino Linotype" w:hAnsi="Palatino Linotype"/>
          <w:color w:val="000000"/>
          <w:sz w:val="24"/>
        </w:rPr>
        <w:t>veinte</w:t>
      </w:r>
      <w:r w:rsidR="00304B59" w:rsidRPr="00D634D6">
        <w:rPr>
          <w:rFonts w:ascii="Palatino Linotype" w:hAnsi="Palatino Linotype"/>
          <w:color w:val="000000"/>
          <w:sz w:val="24"/>
        </w:rPr>
        <w:t xml:space="preserve">, el </w:t>
      </w:r>
      <w:r w:rsidR="00304B59" w:rsidRPr="00D634D6">
        <w:rPr>
          <w:rFonts w:ascii="Palatino Linotype" w:hAnsi="Palatino Linotype"/>
          <w:b/>
          <w:color w:val="000000"/>
          <w:sz w:val="24"/>
        </w:rPr>
        <w:t>SUJETO OBLIGADO</w:t>
      </w:r>
      <w:r w:rsidR="00304B59" w:rsidRPr="00D634D6">
        <w:rPr>
          <w:rFonts w:ascii="Palatino Linotype" w:hAnsi="Palatino Linotype"/>
          <w:color w:val="000000"/>
          <w:sz w:val="24"/>
        </w:rPr>
        <w:t xml:space="preserve"> subió al apartado de </w:t>
      </w:r>
      <w:r w:rsidR="00304B59" w:rsidRPr="00D634D6">
        <w:rPr>
          <w:rFonts w:ascii="Palatino Linotype" w:hAnsi="Palatino Linotype"/>
          <w:i/>
          <w:color w:val="000000"/>
          <w:sz w:val="24"/>
        </w:rPr>
        <w:t>Manifestaciones</w:t>
      </w:r>
      <w:r w:rsidR="00304B59" w:rsidRPr="00D634D6">
        <w:rPr>
          <w:rFonts w:ascii="Palatino Linotype" w:hAnsi="Palatino Linotype"/>
          <w:color w:val="000000"/>
          <w:sz w:val="24"/>
        </w:rPr>
        <w:t xml:space="preserve"> </w:t>
      </w:r>
      <w:r w:rsidR="00A74C7D" w:rsidRPr="00D634D6">
        <w:rPr>
          <w:rFonts w:ascii="Palatino Linotype" w:hAnsi="Palatino Linotype"/>
          <w:color w:val="000000"/>
          <w:sz w:val="24"/>
        </w:rPr>
        <w:t>el</w:t>
      </w:r>
      <w:r w:rsidR="00304B59" w:rsidRPr="00D634D6">
        <w:rPr>
          <w:rFonts w:ascii="Palatino Linotype" w:hAnsi="Palatino Linotype"/>
          <w:color w:val="000000"/>
          <w:sz w:val="24"/>
        </w:rPr>
        <w:t xml:space="preserve"> archivo electrónico que se describe a continuación:</w:t>
      </w:r>
    </w:p>
    <w:p w:rsidR="00304B59" w:rsidRPr="00D634D6" w:rsidRDefault="00304B59" w:rsidP="00D634D6">
      <w:pPr>
        <w:pStyle w:val="Prrafodelista"/>
        <w:tabs>
          <w:tab w:val="left" w:pos="142"/>
          <w:tab w:val="left" w:pos="851"/>
        </w:tabs>
        <w:spacing w:line="360" w:lineRule="auto"/>
        <w:ind w:left="567"/>
        <w:jc w:val="both"/>
        <w:rPr>
          <w:rFonts w:ascii="Palatino Linotype" w:hAnsi="Palatino Linotype"/>
          <w:color w:val="000000"/>
        </w:rPr>
      </w:pPr>
    </w:p>
    <w:p w:rsidR="00304B59" w:rsidRPr="00D634D6" w:rsidRDefault="00304B59" w:rsidP="00D634D6">
      <w:pPr>
        <w:pStyle w:val="Prrafodelista"/>
        <w:numPr>
          <w:ilvl w:val="1"/>
          <w:numId w:val="2"/>
        </w:numPr>
        <w:tabs>
          <w:tab w:val="left" w:pos="142"/>
          <w:tab w:val="left" w:pos="851"/>
        </w:tabs>
        <w:spacing w:line="360" w:lineRule="auto"/>
        <w:ind w:left="567" w:firstLine="0"/>
        <w:jc w:val="both"/>
        <w:rPr>
          <w:rFonts w:ascii="Palatino Linotype" w:hAnsi="Palatino Linotype"/>
          <w:color w:val="000000"/>
        </w:rPr>
      </w:pPr>
      <w:r w:rsidRPr="00D634D6">
        <w:rPr>
          <w:rFonts w:ascii="Palatino Linotype" w:hAnsi="Palatino Linotype"/>
          <w:b/>
          <w:i/>
          <w:color w:val="000000"/>
        </w:rPr>
        <w:t>“</w:t>
      </w:r>
      <w:r w:rsidR="00A74C7D" w:rsidRPr="00D634D6">
        <w:rPr>
          <w:rFonts w:ascii="Palatino Linotype" w:hAnsi="Palatino Linotype"/>
          <w:b/>
          <w:i/>
          <w:color w:val="000000"/>
        </w:rPr>
        <w:t>126 tesoreria adjuntar</w:t>
      </w:r>
      <w:r w:rsidRPr="00D634D6">
        <w:rPr>
          <w:rFonts w:ascii="Palatino Linotype" w:hAnsi="Palatino Linotype"/>
          <w:b/>
          <w:i/>
          <w:color w:val="000000"/>
        </w:rPr>
        <w:t>.pdf”</w:t>
      </w:r>
      <w:r w:rsidRPr="00D634D6">
        <w:rPr>
          <w:rFonts w:ascii="Palatino Linotype" w:hAnsi="Palatino Linotype"/>
          <w:color w:val="000000"/>
        </w:rPr>
        <w:t xml:space="preserve">: </w:t>
      </w:r>
      <w:r w:rsidR="00A74C7D" w:rsidRPr="00D634D6">
        <w:rPr>
          <w:rFonts w:ascii="Palatino Linotype" w:hAnsi="Palatino Linotype"/>
          <w:color w:val="000000"/>
        </w:rPr>
        <w:t>Documento constante de una foja que muestra</w:t>
      </w:r>
      <w:r w:rsidRPr="00D634D6">
        <w:rPr>
          <w:rFonts w:ascii="Palatino Linotype" w:hAnsi="Palatino Linotype"/>
          <w:color w:val="000000"/>
        </w:rPr>
        <w:t xml:space="preserve"> el oficio número </w:t>
      </w:r>
      <w:r w:rsidR="00A74C7D" w:rsidRPr="00D634D6">
        <w:rPr>
          <w:rFonts w:ascii="Palatino Linotype" w:hAnsi="Palatino Linotype"/>
          <w:color w:val="000000"/>
        </w:rPr>
        <w:t>MA/TM/444/2019</w:t>
      </w:r>
      <w:r w:rsidRPr="00D634D6">
        <w:rPr>
          <w:rFonts w:ascii="Palatino Linotype" w:hAnsi="Palatino Linotype"/>
          <w:color w:val="000000"/>
        </w:rPr>
        <w:t xml:space="preserve">, de </w:t>
      </w:r>
      <w:r w:rsidR="00A74C7D" w:rsidRPr="00D634D6">
        <w:rPr>
          <w:rFonts w:ascii="Palatino Linotype" w:hAnsi="Palatino Linotype"/>
          <w:color w:val="000000"/>
        </w:rPr>
        <w:t>trece</w:t>
      </w:r>
      <w:r w:rsidRPr="00D634D6">
        <w:rPr>
          <w:rFonts w:ascii="Palatino Linotype" w:hAnsi="Palatino Linotype"/>
          <w:color w:val="000000"/>
        </w:rPr>
        <w:t xml:space="preserve"> (</w:t>
      </w:r>
      <w:r w:rsidR="00A74C7D" w:rsidRPr="00D634D6">
        <w:rPr>
          <w:rFonts w:ascii="Palatino Linotype" w:hAnsi="Palatino Linotype"/>
          <w:color w:val="000000"/>
        </w:rPr>
        <w:t>13</w:t>
      </w:r>
      <w:r w:rsidRPr="00D634D6">
        <w:rPr>
          <w:rFonts w:ascii="Palatino Linotype" w:hAnsi="Palatino Linotype"/>
          <w:color w:val="000000"/>
        </w:rPr>
        <w:t xml:space="preserve">) de </w:t>
      </w:r>
      <w:r w:rsidR="00A74C7D" w:rsidRPr="00D634D6">
        <w:rPr>
          <w:rFonts w:ascii="Palatino Linotype" w:hAnsi="Palatino Linotype"/>
          <w:color w:val="000000"/>
        </w:rPr>
        <w:t>septiembre</w:t>
      </w:r>
      <w:r w:rsidRPr="00D634D6">
        <w:rPr>
          <w:rFonts w:ascii="Palatino Linotype" w:hAnsi="Palatino Linotype"/>
          <w:color w:val="000000"/>
        </w:rPr>
        <w:t xml:space="preserve"> de dos mil diecinueve,</w:t>
      </w:r>
      <w:r w:rsidR="00A74C7D" w:rsidRPr="00D634D6">
        <w:rPr>
          <w:rFonts w:ascii="Palatino Linotype" w:hAnsi="Palatino Linotype"/>
          <w:color w:val="000000"/>
        </w:rPr>
        <w:t xml:space="preserve"> emitido por el Tesorero Municipal y por medio del cual, remite una relación de cinco bienes adquiridos para seguridad pública.</w:t>
      </w:r>
    </w:p>
    <w:p w:rsidR="00A66C2E" w:rsidRPr="00D634D6" w:rsidRDefault="00A66C2E" w:rsidP="00D634D6">
      <w:pPr>
        <w:pStyle w:val="Prrafodelista"/>
        <w:tabs>
          <w:tab w:val="left" w:pos="142"/>
          <w:tab w:val="left" w:pos="284"/>
        </w:tabs>
        <w:spacing w:line="360" w:lineRule="auto"/>
        <w:ind w:left="0"/>
        <w:jc w:val="both"/>
        <w:rPr>
          <w:rFonts w:ascii="Palatino Linotype" w:eastAsia="Calibri" w:hAnsi="Palatino Linotype" w:cs="Arial"/>
          <w:lang w:val="es-ES"/>
        </w:rPr>
      </w:pPr>
    </w:p>
    <w:p w:rsidR="000A4F5D" w:rsidRPr="00D634D6" w:rsidRDefault="000A4F5D" w:rsidP="00D634D6">
      <w:pPr>
        <w:pStyle w:val="Prrafodelista"/>
        <w:numPr>
          <w:ilvl w:val="0"/>
          <w:numId w:val="2"/>
        </w:numPr>
        <w:tabs>
          <w:tab w:val="left" w:pos="142"/>
          <w:tab w:val="left" w:pos="284"/>
        </w:tabs>
        <w:spacing w:line="360" w:lineRule="auto"/>
        <w:ind w:left="0" w:firstLine="0"/>
        <w:jc w:val="both"/>
        <w:rPr>
          <w:rFonts w:ascii="Palatino Linotype" w:eastAsia="Calibri" w:hAnsi="Palatino Linotype" w:cs="Arial"/>
          <w:sz w:val="24"/>
          <w:szCs w:val="24"/>
          <w:lang w:val="es-ES"/>
        </w:rPr>
      </w:pPr>
      <w:r w:rsidRPr="00D634D6">
        <w:rPr>
          <w:rFonts w:ascii="Palatino Linotype" w:eastAsia="Calibri" w:hAnsi="Palatino Linotype" w:cs="Arial"/>
          <w:sz w:val="24"/>
          <w:szCs w:val="24"/>
          <w:lang w:val="es-ES"/>
        </w:rPr>
        <w:t xml:space="preserve">Así las cosas, al contener </w:t>
      </w:r>
      <w:r w:rsidR="00A74C7D" w:rsidRPr="00D634D6">
        <w:rPr>
          <w:rFonts w:ascii="Palatino Linotype" w:eastAsia="Calibri" w:hAnsi="Palatino Linotype" w:cs="Arial"/>
          <w:sz w:val="24"/>
          <w:szCs w:val="24"/>
          <w:lang w:val="es-ES"/>
        </w:rPr>
        <w:t>el</w:t>
      </w:r>
      <w:r w:rsidRPr="00D634D6">
        <w:rPr>
          <w:rFonts w:ascii="Palatino Linotype" w:eastAsia="Calibri" w:hAnsi="Palatino Linotype" w:cs="Arial"/>
          <w:sz w:val="24"/>
          <w:szCs w:val="24"/>
          <w:lang w:val="es-ES"/>
        </w:rPr>
        <w:t xml:space="preserve"> archivo</w:t>
      </w:r>
      <w:r w:rsidR="00A74C7D" w:rsidRPr="00D634D6">
        <w:rPr>
          <w:rFonts w:ascii="Palatino Linotype" w:eastAsia="Calibri" w:hAnsi="Palatino Linotype" w:cs="Arial"/>
          <w:sz w:val="24"/>
          <w:szCs w:val="24"/>
          <w:lang w:val="es-ES"/>
        </w:rPr>
        <w:t xml:space="preserve"> entregado</w:t>
      </w:r>
      <w:r w:rsidRPr="00D634D6">
        <w:rPr>
          <w:rFonts w:ascii="Palatino Linotype" w:eastAsia="Calibri" w:hAnsi="Palatino Linotype" w:cs="Arial"/>
          <w:sz w:val="24"/>
          <w:szCs w:val="24"/>
          <w:lang w:val="es-ES"/>
        </w:rPr>
        <w:t xml:space="preserve"> por el </w:t>
      </w:r>
      <w:r w:rsidRPr="00D634D6">
        <w:rPr>
          <w:rFonts w:ascii="Palatino Linotype" w:eastAsia="Calibri" w:hAnsi="Palatino Linotype" w:cs="Arial"/>
          <w:b/>
          <w:sz w:val="24"/>
          <w:szCs w:val="24"/>
          <w:lang w:val="es-ES"/>
        </w:rPr>
        <w:t>SUJETO OBLIGADO</w:t>
      </w:r>
      <w:r w:rsidRPr="00D634D6">
        <w:rPr>
          <w:rFonts w:ascii="Palatino Linotype" w:eastAsia="Calibri" w:hAnsi="Palatino Linotype" w:cs="Arial"/>
          <w:sz w:val="24"/>
          <w:szCs w:val="24"/>
          <w:lang w:val="es-ES"/>
        </w:rPr>
        <w:t xml:space="preserve"> información novedosa de interés para el particular, </w:t>
      </w:r>
      <w:r w:rsidR="00A74C7D" w:rsidRPr="00D634D6">
        <w:rPr>
          <w:rFonts w:ascii="Palatino Linotype" w:eastAsia="Calibri" w:hAnsi="Palatino Linotype" w:cs="Arial"/>
          <w:sz w:val="24"/>
          <w:szCs w:val="24"/>
          <w:lang w:val="es-ES"/>
        </w:rPr>
        <w:t>el</w:t>
      </w:r>
      <w:r w:rsidRPr="00D634D6">
        <w:rPr>
          <w:rFonts w:ascii="Palatino Linotype" w:eastAsia="Calibri" w:hAnsi="Palatino Linotype" w:cs="Arial"/>
          <w:sz w:val="24"/>
          <w:szCs w:val="24"/>
          <w:lang w:val="es-ES"/>
        </w:rPr>
        <w:t xml:space="preserve"> mismo</w:t>
      </w:r>
      <w:r w:rsidR="00A74C7D" w:rsidRPr="00D634D6">
        <w:rPr>
          <w:rFonts w:ascii="Palatino Linotype" w:eastAsia="Calibri" w:hAnsi="Palatino Linotype" w:cs="Arial"/>
          <w:sz w:val="24"/>
          <w:szCs w:val="24"/>
          <w:lang w:val="es-ES"/>
        </w:rPr>
        <w:t xml:space="preserve"> se pus</w:t>
      </w:r>
      <w:r w:rsidRPr="00D634D6">
        <w:rPr>
          <w:rFonts w:ascii="Palatino Linotype" w:eastAsia="Calibri" w:hAnsi="Palatino Linotype" w:cs="Arial"/>
          <w:sz w:val="24"/>
          <w:szCs w:val="24"/>
          <w:lang w:val="es-ES"/>
        </w:rPr>
        <w:t xml:space="preserve">o a la vista del </w:t>
      </w:r>
      <w:r w:rsidRPr="00D634D6">
        <w:rPr>
          <w:rFonts w:ascii="Palatino Linotype" w:eastAsia="Calibri" w:hAnsi="Palatino Linotype" w:cs="Arial"/>
          <w:b/>
          <w:sz w:val="24"/>
          <w:szCs w:val="24"/>
          <w:lang w:val="es-ES"/>
        </w:rPr>
        <w:t xml:space="preserve">RECURRENTE </w:t>
      </w:r>
      <w:r w:rsidRPr="00D634D6">
        <w:rPr>
          <w:rFonts w:ascii="Palatino Linotype" w:eastAsia="Calibri" w:hAnsi="Palatino Linotype" w:cs="Arial"/>
          <w:sz w:val="24"/>
          <w:szCs w:val="24"/>
          <w:lang w:val="es-ES"/>
        </w:rPr>
        <w:t xml:space="preserve">el </w:t>
      </w:r>
      <w:r w:rsidR="00A74C7D" w:rsidRPr="00D634D6">
        <w:rPr>
          <w:rFonts w:ascii="Palatino Linotype" w:eastAsia="Calibri" w:hAnsi="Palatino Linotype" w:cs="Arial"/>
          <w:sz w:val="24"/>
          <w:szCs w:val="24"/>
          <w:lang w:val="es-ES"/>
        </w:rPr>
        <w:t>veintisiete</w:t>
      </w:r>
      <w:r w:rsidRPr="00D634D6">
        <w:rPr>
          <w:rFonts w:ascii="Palatino Linotype" w:eastAsia="Calibri" w:hAnsi="Palatino Linotype" w:cs="Arial"/>
          <w:sz w:val="24"/>
          <w:szCs w:val="24"/>
          <w:lang w:val="es-ES"/>
        </w:rPr>
        <w:t xml:space="preserve"> (</w:t>
      </w:r>
      <w:r w:rsidR="00A74C7D" w:rsidRPr="00D634D6">
        <w:rPr>
          <w:rFonts w:ascii="Palatino Linotype" w:eastAsia="Calibri" w:hAnsi="Palatino Linotype" w:cs="Arial"/>
          <w:sz w:val="24"/>
          <w:szCs w:val="24"/>
          <w:lang w:val="es-ES"/>
        </w:rPr>
        <w:t>27</w:t>
      </w:r>
      <w:r w:rsidRPr="00D634D6">
        <w:rPr>
          <w:rFonts w:ascii="Palatino Linotype" w:eastAsia="Calibri" w:hAnsi="Palatino Linotype" w:cs="Arial"/>
          <w:sz w:val="24"/>
          <w:szCs w:val="24"/>
          <w:lang w:val="es-ES"/>
        </w:rPr>
        <w:t xml:space="preserve">) de </w:t>
      </w:r>
      <w:r w:rsidR="00A74C7D" w:rsidRPr="00D634D6">
        <w:rPr>
          <w:rFonts w:ascii="Palatino Linotype" w:eastAsia="Calibri" w:hAnsi="Palatino Linotype" w:cs="Arial"/>
          <w:sz w:val="24"/>
          <w:szCs w:val="24"/>
          <w:lang w:val="es-ES"/>
        </w:rPr>
        <w:t>febrero</w:t>
      </w:r>
      <w:r w:rsidRPr="00D634D6">
        <w:rPr>
          <w:rFonts w:ascii="Palatino Linotype" w:eastAsia="Calibri" w:hAnsi="Palatino Linotype" w:cs="Arial"/>
          <w:sz w:val="24"/>
          <w:szCs w:val="24"/>
          <w:lang w:val="es-ES"/>
        </w:rPr>
        <w:t xml:space="preserve"> del dos mil veinte, a efecto de que manifestar</w:t>
      </w:r>
      <w:r w:rsidR="00A74C7D" w:rsidRPr="00D634D6">
        <w:rPr>
          <w:rFonts w:ascii="Palatino Linotype" w:eastAsia="Calibri" w:hAnsi="Palatino Linotype" w:cs="Arial"/>
          <w:sz w:val="24"/>
          <w:szCs w:val="24"/>
          <w:lang w:val="es-ES"/>
        </w:rPr>
        <w:t>a</w:t>
      </w:r>
      <w:r w:rsidRPr="00D634D6">
        <w:rPr>
          <w:rFonts w:ascii="Palatino Linotype" w:eastAsia="Calibri" w:hAnsi="Palatino Linotype" w:cs="Arial"/>
          <w:sz w:val="24"/>
          <w:szCs w:val="24"/>
          <w:lang w:val="es-ES"/>
        </w:rPr>
        <w:t xml:space="preserve"> lo que a su interés conviniera, ofreciera pruebas en contra, o bien, promoviera alegatos. </w:t>
      </w:r>
      <w:r w:rsidR="00A74C7D" w:rsidRPr="00D634D6">
        <w:rPr>
          <w:rFonts w:ascii="Palatino Linotype" w:eastAsia="Calibri" w:hAnsi="Palatino Linotype" w:cs="Arial"/>
          <w:sz w:val="24"/>
          <w:szCs w:val="24"/>
          <w:lang w:val="es-ES"/>
        </w:rPr>
        <w:t>Empero</w:t>
      </w:r>
      <w:r w:rsidRPr="00D634D6">
        <w:rPr>
          <w:rFonts w:ascii="Palatino Linotype" w:eastAsia="Calibri" w:hAnsi="Palatino Linotype" w:cs="Arial"/>
          <w:sz w:val="24"/>
          <w:szCs w:val="24"/>
          <w:lang w:val="es-ES"/>
        </w:rPr>
        <w:t>, se hace constar que el particular no realizó ningún pronunciamiento al respecto.</w:t>
      </w:r>
    </w:p>
    <w:p w:rsidR="000A4F5D" w:rsidRPr="00D634D6" w:rsidRDefault="000A4F5D" w:rsidP="00D634D6">
      <w:pPr>
        <w:pStyle w:val="Prrafodelista"/>
        <w:tabs>
          <w:tab w:val="left" w:pos="142"/>
          <w:tab w:val="left" w:pos="284"/>
        </w:tabs>
        <w:spacing w:line="360" w:lineRule="auto"/>
        <w:ind w:left="0"/>
        <w:jc w:val="both"/>
        <w:rPr>
          <w:rFonts w:ascii="Palatino Linotype" w:eastAsia="Calibri" w:hAnsi="Palatino Linotype" w:cs="Arial"/>
          <w:sz w:val="24"/>
          <w:szCs w:val="24"/>
          <w:lang w:val="es-ES"/>
        </w:rPr>
      </w:pPr>
    </w:p>
    <w:p w:rsidR="006F01DB" w:rsidRPr="00D634D6" w:rsidRDefault="00D72066" w:rsidP="00D634D6">
      <w:pPr>
        <w:pStyle w:val="Prrafodelista"/>
        <w:numPr>
          <w:ilvl w:val="0"/>
          <w:numId w:val="2"/>
        </w:numPr>
        <w:tabs>
          <w:tab w:val="left" w:pos="142"/>
          <w:tab w:val="left" w:pos="284"/>
        </w:tabs>
        <w:spacing w:line="360" w:lineRule="auto"/>
        <w:ind w:left="0" w:firstLine="0"/>
        <w:jc w:val="both"/>
        <w:rPr>
          <w:rFonts w:ascii="Palatino Linotype" w:eastAsia="Calibri" w:hAnsi="Palatino Linotype" w:cs="Arial"/>
          <w:sz w:val="24"/>
          <w:szCs w:val="24"/>
          <w:lang w:val="es-ES"/>
        </w:rPr>
      </w:pPr>
      <w:r w:rsidRPr="00D634D6">
        <w:rPr>
          <w:rFonts w:ascii="Palatino Linotype" w:eastAsia="Calibri" w:hAnsi="Palatino Linotype" w:cs="Arial"/>
          <w:sz w:val="24"/>
          <w:szCs w:val="24"/>
          <w:lang w:val="es-ES"/>
        </w:rPr>
        <w:t xml:space="preserve">El </w:t>
      </w:r>
      <w:r w:rsidR="00A74C7D" w:rsidRPr="00D634D6">
        <w:rPr>
          <w:rFonts w:ascii="Palatino Linotype" w:eastAsia="Calibri" w:hAnsi="Palatino Linotype" w:cs="Arial"/>
          <w:sz w:val="24"/>
          <w:szCs w:val="24"/>
          <w:lang w:val="es-ES"/>
        </w:rPr>
        <w:t>veintisiete</w:t>
      </w:r>
      <w:r w:rsidR="00A45C19" w:rsidRPr="00D634D6">
        <w:rPr>
          <w:rFonts w:ascii="Palatino Linotype" w:eastAsia="Calibri" w:hAnsi="Palatino Linotype" w:cs="Arial"/>
          <w:sz w:val="24"/>
          <w:szCs w:val="24"/>
          <w:lang w:val="es-ES"/>
        </w:rPr>
        <w:t xml:space="preserve"> </w:t>
      </w:r>
      <w:r w:rsidRPr="00D634D6">
        <w:rPr>
          <w:rFonts w:ascii="Palatino Linotype" w:eastAsia="Calibri" w:hAnsi="Palatino Linotype" w:cs="Arial"/>
          <w:sz w:val="24"/>
          <w:szCs w:val="24"/>
        </w:rPr>
        <w:t>(</w:t>
      </w:r>
      <w:r w:rsidR="00A74C7D" w:rsidRPr="00D634D6">
        <w:rPr>
          <w:rFonts w:ascii="Palatino Linotype" w:eastAsia="Calibri" w:hAnsi="Palatino Linotype" w:cs="Arial"/>
          <w:sz w:val="24"/>
          <w:szCs w:val="24"/>
        </w:rPr>
        <w:t>27</w:t>
      </w:r>
      <w:r w:rsidRPr="00D634D6">
        <w:rPr>
          <w:rFonts w:ascii="Palatino Linotype" w:eastAsia="Calibri" w:hAnsi="Palatino Linotype" w:cs="Arial"/>
          <w:sz w:val="24"/>
          <w:szCs w:val="24"/>
        </w:rPr>
        <w:t xml:space="preserve">) de </w:t>
      </w:r>
      <w:r w:rsidR="00A74C7D" w:rsidRPr="00D634D6">
        <w:rPr>
          <w:rFonts w:ascii="Palatino Linotype" w:eastAsia="Calibri" w:hAnsi="Palatino Linotype" w:cs="Arial"/>
          <w:sz w:val="24"/>
          <w:szCs w:val="24"/>
        </w:rPr>
        <w:t>febrero</w:t>
      </w:r>
      <w:r w:rsidRPr="00D634D6">
        <w:rPr>
          <w:rFonts w:ascii="Palatino Linotype" w:eastAsia="Calibri" w:hAnsi="Palatino Linotype" w:cs="Arial"/>
          <w:sz w:val="24"/>
          <w:szCs w:val="24"/>
        </w:rPr>
        <w:t xml:space="preserve"> de dos mil </w:t>
      </w:r>
      <w:r w:rsidR="000A4F5D" w:rsidRPr="00D634D6">
        <w:rPr>
          <w:rFonts w:ascii="Palatino Linotype" w:eastAsia="Calibri" w:hAnsi="Palatino Linotype" w:cs="Arial"/>
          <w:sz w:val="24"/>
          <w:szCs w:val="24"/>
        </w:rPr>
        <w:t>veinte</w:t>
      </w:r>
      <w:r w:rsidRPr="00D634D6">
        <w:rPr>
          <w:rFonts w:ascii="Palatino Linotype" w:eastAsia="Calibri" w:hAnsi="Palatino Linotype" w:cs="Arial"/>
          <w:sz w:val="24"/>
          <w:szCs w:val="24"/>
        </w:rPr>
        <w:t xml:space="preserve">, </w:t>
      </w:r>
      <w:r w:rsidRPr="00D634D6">
        <w:rPr>
          <w:rFonts w:ascii="Palatino Linotype" w:eastAsia="Calibri" w:hAnsi="Palatino Linotype" w:cs="Arial"/>
          <w:sz w:val="24"/>
          <w:szCs w:val="24"/>
          <w:lang w:val="es-ES"/>
        </w:rPr>
        <w:t xml:space="preserve">con fundamento en el artículo 181 tercer párrafo de la </w:t>
      </w:r>
      <w:r w:rsidRPr="00D634D6">
        <w:rPr>
          <w:rFonts w:ascii="Palatino Linotype" w:eastAsia="Calibri" w:hAnsi="Palatino Linotype" w:cs="Arial"/>
          <w:bCs/>
          <w:sz w:val="24"/>
          <w:szCs w:val="24"/>
          <w:lang w:val="es-ES"/>
        </w:rPr>
        <w:t>Ley de Transparencia y Acceso a la Información Pública del Estado de México y Municipios</w:t>
      </w:r>
      <w:r w:rsidRPr="00D634D6">
        <w:rPr>
          <w:rFonts w:ascii="Palatino Linotype" w:eastAsia="Calibri" w:hAnsi="Palatino Linotype" w:cs="Arial"/>
          <w:b/>
          <w:bCs/>
          <w:sz w:val="24"/>
          <w:szCs w:val="24"/>
          <w:lang w:val="es-ES"/>
        </w:rPr>
        <w:t>,</w:t>
      </w:r>
      <w:r w:rsidRPr="00D634D6">
        <w:rPr>
          <w:rFonts w:ascii="Palatino Linotype" w:eastAsia="Calibri" w:hAnsi="Palatino Linotype" w:cs="Arial"/>
          <w:bCs/>
          <w:sz w:val="24"/>
          <w:szCs w:val="24"/>
          <w:lang w:val="es-ES"/>
        </w:rPr>
        <w:t xml:space="preserve"> </w:t>
      </w:r>
      <w:r w:rsidRPr="00D634D6">
        <w:rPr>
          <w:rFonts w:ascii="Palatino Linotype" w:eastAsia="Calibri" w:hAnsi="Palatino Linotype" w:cs="Arial"/>
          <w:sz w:val="24"/>
          <w:szCs w:val="24"/>
          <w:lang w:val="es-ES"/>
        </w:rPr>
        <w:t xml:space="preserve">se notificó que el </w:t>
      </w:r>
      <w:r w:rsidRPr="00D634D6">
        <w:rPr>
          <w:rFonts w:ascii="Palatino Linotype" w:eastAsia="Calibri" w:hAnsi="Palatino Linotype" w:cs="Arial"/>
          <w:sz w:val="24"/>
          <w:szCs w:val="24"/>
          <w:lang w:val="es-ES"/>
        </w:rPr>
        <w:lastRenderedPageBreak/>
        <w:t>plazo de treinta (30) días para resolver el recurso de revisión, sería ampliado por un periodo de quince (15) días hábiles adicionales</w:t>
      </w:r>
      <w:r w:rsidRPr="00D634D6">
        <w:rPr>
          <w:rFonts w:ascii="Palatino Linotype" w:eastAsia="Calibri" w:hAnsi="Palatino Linotype" w:cs="Arial"/>
          <w:sz w:val="24"/>
          <w:szCs w:val="24"/>
          <w:lang w:val="es-ES_tradnl"/>
        </w:rPr>
        <w:t>.</w:t>
      </w:r>
    </w:p>
    <w:p w:rsidR="00D72066" w:rsidRPr="00D634D6" w:rsidRDefault="00D72066" w:rsidP="00D634D6">
      <w:pPr>
        <w:pStyle w:val="Prrafodelista"/>
        <w:tabs>
          <w:tab w:val="left" w:pos="142"/>
          <w:tab w:val="left" w:pos="284"/>
        </w:tabs>
        <w:spacing w:line="360" w:lineRule="auto"/>
        <w:ind w:left="0"/>
        <w:jc w:val="both"/>
        <w:rPr>
          <w:rFonts w:ascii="Palatino Linotype" w:eastAsia="Calibri" w:hAnsi="Palatino Linotype" w:cs="Arial"/>
          <w:sz w:val="24"/>
          <w:szCs w:val="24"/>
          <w:lang w:val="es-ES"/>
        </w:rPr>
      </w:pPr>
    </w:p>
    <w:p w:rsidR="00D72066" w:rsidRPr="00D634D6" w:rsidRDefault="00D72066" w:rsidP="00D634D6">
      <w:pPr>
        <w:pStyle w:val="Prrafodelista"/>
        <w:numPr>
          <w:ilvl w:val="0"/>
          <w:numId w:val="2"/>
        </w:numPr>
        <w:tabs>
          <w:tab w:val="left" w:pos="142"/>
          <w:tab w:val="left" w:pos="284"/>
        </w:tabs>
        <w:spacing w:line="360" w:lineRule="auto"/>
        <w:ind w:left="0" w:firstLine="0"/>
        <w:jc w:val="both"/>
        <w:rPr>
          <w:rFonts w:ascii="Palatino Linotype" w:eastAsia="Calibri" w:hAnsi="Palatino Linotype" w:cs="Arial"/>
          <w:sz w:val="24"/>
          <w:szCs w:val="24"/>
          <w:lang w:val="es-ES"/>
        </w:rPr>
      </w:pPr>
      <w:r w:rsidRPr="00D634D6">
        <w:rPr>
          <w:rFonts w:ascii="Palatino Linotype" w:eastAsia="Calibri" w:hAnsi="Palatino Linotype" w:cs="Arial"/>
          <w:sz w:val="24"/>
          <w:szCs w:val="24"/>
          <w:lang w:val="es-ES_tradnl"/>
        </w:rPr>
        <w:t xml:space="preserve">Posteriormente, el </w:t>
      </w:r>
      <w:r w:rsidR="00A74C7D" w:rsidRPr="00D634D6">
        <w:rPr>
          <w:rFonts w:ascii="Palatino Linotype" w:eastAsia="Calibri" w:hAnsi="Palatino Linotype" w:cs="Arial"/>
          <w:sz w:val="24"/>
          <w:szCs w:val="24"/>
          <w:lang w:val="es-ES_tradnl"/>
        </w:rPr>
        <w:t>cinco</w:t>
      </w:r>
      <w:r w:rsidRPr="00D634D6">
        <w:rPr>
          <w:rFonts w:ascii="Palatino Linotype" w:eastAsia="Calibri" w:hAnsi="Palatino Linotype" w:cs="Arial"/>
          <w:sz w:val="24"/>
          <w:szCs w:val="24"/>
          <w:lang w:val="es-ES_tradnl"/>
        </w:rPr>
        <w:t xml:space="preserve"> (</w:t>
      </w:r>
      <w:r w:rsidR="00A74C7D" w:rsidRPr="00D634D6">
        <w:rPr>
          <w:rFonts w:ascii="Palatino Linotype" w:eastAsia="Calibri" w:hAnsi="Palatino Linotype" w:cs="Arial"/>
          <w:sz w:val="24"/>
          <w:szCs w:val="24"/>
          <w:lang w:val="es-ES_tradnl"/>
        </w:rPr>
        <w:t>05</w:t>
      </w:r>
      <w:r w:rsidRPr="00D634D6">
        <w:rPr>
          <w:rFonts w:ascii="Palatino Linotype" w:eastAsia="Calibri" w:hAnsi="Palatino Linotype" w:cs="Arial"/>
          <w:sz w:val="24"/>
          <w:szCs w:val="24"/>
          <w:lang w:val="es-ES_tradnl"/>
        </w:rPr>
        <w:t xml:space="preserve">) de </w:t>
      </w:r>
      <w:r w:rsidR="00A74C7D" w:rsidRPr="00D634D6">
        <w:rPr>
          <w:rFonts w:ascii="Palatino Linotype" w:eastAsia="Calibri" w:hAnsi="Palatino Linotype" w:cs="Arial"/>
          <w:sz w:val="24"/>
          <w:szCs w:val="24"/>
          <w:lang w:val="es-ES_tradnl"/>
        </w:rPr>
        <w:t>marzo</w:t>
      </w:r>
      <w:r w:rsidRPr="00D634D6">
        <w:rPr>
          <w:rFonts w:ascii="Palatino Linotype" w:eastAsia="Calibri" w:hAnsi="Palatino Linotype" w:cs="Arial"/>
          <w:sz w:val="24"/>
          <w:szCs w:val="24"/>
          <w:lang w:val="es-ES_tradnl"/>
        </w:rPr>
        <w:t xml:space="preserve"> del dos mil </w:t>
      </w:r>
      <w:r w:rsidR="00D47D76" w:rsidRPr="00D634D6">
        <w:rPr>
          <w:rFonts w:ascii="Palatino Linotype" w:eastAsia="Calibri" w:hAnsi="Palatino Linotype" w:cs="Arial"/>
          <w:sz w:val="24"/>
          <w:szCs w:val="24"/>
          <w:lang w:val="es-ES_tradnl"/>
        </w:rPr>
        <w:t>veinte</w:t>
      </w:r>
      <w:r w:rsidRPr="00D634D6">
        <w:rPr>
          <w:rFonts w:ascii="Palatino Linotype" w:eastAsia="Calibri" w:hAnsi="Palatino Linotype" w:cs="Arial"/>
          <w:sz w:val="24"/>
          <w:szCs w:val="24"/>
          <w:lang w:val="es-ES_tradnl"/>
        </w:rPr>
        <w:t>, el Comisionado Ponente decretó el cierre del periodo de instrucción, por lo que ordenó turnar el expediente para su resolución, misma que ahora se pronuncia, y ------------</w:t>
      </w:r>
      <w:r w:rsidR="008F03E6" w:rsidRPr="00D634D6">
        <w:rPr>
          <w:rFonts w:ascii="Palatino Linotype" w:eastAsia="Calibri" w:hAnsi="Palatino Linotype" w:cs="Arial"/>
          <w:sz w:val="24"/>
          <w:szCs w:val="24"/>
          <w:lang w:val="es-ES_tradnl"/>
        </w:rPr>
        <w:t>--</w:t>
      </w:r>
      <w:r w:rsidR="000A4F5D" w:rsidRPr="00D634D6">
        <w:rPr>
          <w:rFonts w:ascii="Palatino Linotype" w:eastAsia="Calibri" w:hAnsi="Palatino Linotype" w:cs="Arial"/>
          <w:sz w:val="24"/>
          <w:szCs w:val="24"/>
          <w:lang w:val="es-ES_tradnl"/>
        </w:rPr>
        <w:t>-----------------------------------------------------------------------</w:t>
      </w:r>
    </w:p>
    <w:p w:rsidR="008F03E6" w:rsidRPr="00D634D6" w:rsidRDefault="008F03E6" w:rsidP="00D634D6">
      <w:pPr>
        <w:pStyle w:val="Prrafodelista"/>
        <w:tabs>
          <w:tab w:val="left" w:pos="142"/>
          <w:tab w:val="left" w:pos="284"/>
        </w:tabs>
        <w:spacing w:line="360" w:lineRule="auto"/>
        <w:ind w:left="0"/>
        <w:jc w:val="both"/>
        <w:rPr>
          <w:rFonts w:ascii="Palatino Linotype" w:eastAsia="Calibri" w:hAnsi="Palatino Linotype" w:cs="Arial"/>
          <w:sz w:val="24"/>
          <w:szCs w:val="24"/>
          <w:lang w:val="es-ES"/>
        </w:rPr>
      </w:pPr>
    </w:p>
    <w:p w:rsidR="00A55BA0" w:rsidRPr="00D634D6" w:rsidRDefault="00A55BA0" w:rsidP="00D634D6">
      <w:pPr>
        <w:pStyle w:val="Ttulo1"/>
        <w:tabs>
          <w:tab w:val="left" w:pos="142"/>
          <w:tab w:val="left" w:pos="284"/>
        </w:tabs>
        <w:spacing w:before="0" w:line="360" w:lineRule="auto"/>
        <w:jc w:val="center"/>
        <w:rPr>
          <w:sz w:val="24"/>
          <w:szCs w:val="24"/>
        </w:rPr>
      </w:pPr>
      <w:bookmarkStart w:id="4" w:name="_Toc34923425"/>
      <w:r w:rsidRPr="00D634D6">
        <w:rPr>
          <w:sz w:val="24"/>
          <w:szCs w:val="24"/>
        </w:rPr>
        <w:t>CONSIDERANDO</w:t>
      </w:r>
      <w:bookmarkEnd w:id="4"/>
    </w:p>
    <w:p w:rsidR="00A55BA0" w:rsidRPr="00D634D6" w:rsidRDefault="00A55BA0" w:rsidP="00D634D6">
      <w:pPr>
        <w:tabs>
          <w:tab w:val="left" w:pos="142"/>
          <w:tab w:val="left" w:pos="284"/>
        </w:tabs>
        <w:spacing w:line="360" w:lineRule="auto"/>
        <w:rPr>
          <w:rFonts w:ascii="Palatino Linotype" w:hAnsi="Palatino Linotype"/>
          <w:sz w:val="24"/>
          <w:szCs w:val="24"/>
        </w:rPr>
      </w:pPr>
    </w:p>
    <w:p w:rsidR="00A55BA0" w:rsidRPr="00D634D6" w:rsidRDefault="00A55BA0" w:rsidP="00D634D6">
      <w:pPr>
        <w:pStyle w:val="Ttulo2"/>
        <w:tabs>
          <w:tab w:val="left" w:pos="142"/>
          <w:tab w:val="left" w:pos="284"/>
        </w:tabs>
        <w:spacing w:before="0" w:line="360" w:lineRule="auto"/>
        <w:rPr>
          <w:rFonts w:ascii="Palatino Linotype" w:hAnsi="Palatino Linotype"/>
          <w:b/>
          <w:color w:val="auto"/>
          <w:sz w:val="24"/>
          <w:szCs w:val="24"/>
        </w:rPr>
      </w:pPr>
      <w:bookmarkStart w:id="5" w:name="_Toc34923426"/>
      <w:r w:rsidRPr="00D634D6">
        <w:rPr>
          <w:rFonts w:ascii="Palatino Linotype" w:hAnsi="Palatino Linotype"/>
          <w:b/>
          <w:color w:val="auto"/>
          <w:sz w:val="24"/>
          <w:szCs w:val="24"/>
        </w:rPr>
        <w:t>PRIMERO. De la competencia</w:t>
      </w:r>
      <w:bookmarkEnd w:id="5"/>
    </w:p>
    <w:p w:rsidR="00A55BA0" w:rsidRPr="00D634D6" w:rsidRDefault="00A55BA0" w:rsidP="00D634D6">
      <w:pPr>
        <w:tabs>
          <w:tab w:val="left" w:pos="142"/>
          <w:tab w:val="left" w:pos="284"/>
        </w:tabs>
        <w:spacing w:line="360" w:lineRule="auto"/>
        <w:rPr>
          <w:rFonts w:ascii="Palatino Linotype" w:hAnsi="Palatino Linotype"/>
          <w:sz w:val="24"/>
          <w:szCs w:val="24"/>
        </w:rPr>
      </w:pPr>
    </w:p>
    <w:p w:rsidR="00F2176A" w:rsidRPr="00D634D6" w:rsidRDefault="00A55BA0" w:rsidP="00D634D6">
      <w:pPr>
        <w:pStyle w:val="Prrafodelista"/>
        <w:numPr>
          <w:ilvl w:val="0"/>
          <w:numId w:val="2"/>
        </w:numPr>
        <w:tabs>
          <w:tab w:val="left" w:pos="142"/>
          <w:tab w:val="left" w:pos="426"/>
        </w:tabs>
        <w:spacing w:line="360" w:lineRule="auto"/>
        <w:ind w:left="0" w:firstLine="0"/>
        <w:jc w:val="both"/>
        <w:rPr>
          <w:rFonts w:ascii="Palatino Linotype" w:hAnsi="Palatino Linotype"/>
          <w:sz w:val="24"/>
          <w:szCs w:val="24"/>
        </w:rPr>
      </w:pPr>
      <w:r w:rsidRPr="00D634D6">
        <w:rPr>
          <w:rFonts w:ascii="Palatino Linotype" w:eastAsia="Calibri" w:hAnsi="Palatino Linotype" w:cs="Times New Roman"/>
          <w:sz w:val="24"/>
          <w:szCs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634D6">
        <w:rPr>
          <w:rFonts w:ascii="Palatino Linotype" w:eastAsia="Calibri" w:hAnsi="Palatino Linotype" w:cs="Times New Roman"/>
          <w:b/>
          <w:sz w:val="24"/>
          <w:szCs w:val="24"/>
          <w:lang w:val="es-ES"/>
        </w:rPr>
        <w:t>Constitución Política de los Estados Unidos Mexicanos</w:t>
      </w:r>
      <w:r w:rsidRPr="00D634D6">
        <w:rPr>
          <w:rFonts w:ascii="Palatino Linotype" w:eastAsia="Calibri" w:hAnsi="Palatino Linotype" w:cs="Times New Roman"/>
          <w:sz w:val="24"/>
          <w:szCs w:val="24"/>
          <w:lang w:val="es-ES"/>
        </w:rPr>
        <w:t xml:space="preserve">; 5, párrafos </w:t>
      </w:r>
      <w:r w:rsidRPr="00D634D6">
        <w:rPr>
          <w:rFonts w:ascii="Palatino Linotype" w:hAnsi="Palatino Linotype" w:cs="Arial"/>
          <w:bCs/>
          <w:color w:val="222222"/>
          <w:sz w:val="24"/>
          <w:szCs w:val="24"/>
          <w:lang w:val="es-ES"/>
        </w:rPr>
        <w:t>vigésimo segundo</w:t>
      </w:r>
      <w:r w:rsidR="00E9019B" w:rsidRPr="00D634D6">
        <w:rPr>
          <w:rFonts w:ascii="Palatino Linotype" w:hAnsi="Palatino Linotype" w:cs="Arial"/>
          <w:bCs/>
          <w:color w:val="222222"/>
          <w:sz w:val="24"/>
          <w:szCs w:val="24"/>
          <w:lang w:val="es-ES"/>
        </w:rPr>
        <w:t>, vigésimo tercero y vigésimo cuarto,</w:t>
      </w:r>
      <w:r w:rsidRPr="00D634D6">
        <w:rPr>
          <w:rFonts w:ascii="Palatino Linotype" w:hAnsi="Palatino Linotype" w:cs="Arial"/>
          <w:bCs/>
          <w:color w:val="222222"/>
          <w:sz w:val="24"/>
          <w:szCs w:val="24"/>
          <w:lang w:val="es-ES"/>
        </w:rPr>
        <w:t xml:space="preserve"> </w:t>
      </w:r>
      <w:r w:rsidRPr="00D634D6">
        <w:rPr>
          <w:rFonts w:ascii="Palatino Linotype" w:eastAsia="Calibri" w:hAnsi="Palatino Linotype" w:cs="Times New Roman"/>
          <w:sz w:val="24"/>
          <w:szCs w:val="24"/>
          <w:lang w:val="es-ES"/>
        </w:rPr>
        <w:t>fracciones IV y V</w:t>
      </w:r>
      <w:r w:rsidR="00E9019B" w:rsidRPr="00D634D6">
        <w:rPr>
          <w:rFonts w:ascii="Palatino Linotype" w:eastAsia="Calibri" w:hAnsi="Palatino Linotype" w:cs="Times New Roman"/>
          <w:sz w:val="24"/>
          <w:szCs w:val="24"/>
          <w:lang w:val="es-ES"/>
        </w:rPr>
        <w:t>,</w:t>
      </w:r>
      <w:r w:rsidRPr="00D634D6">
        <w:rPr>
          <w:rFonts w:ascii="Palatino Linotype" w:eastAsia="Calibri" w:hAnsi="Palatino Linotype" w:cs="Times New Roman"/>
          <w:sz w:val="24"/>
          <w:szCs w:val="24"/>
          <w:lang w:val="es-ES"/>
        </w:rPr>
        <w:t xml:space="preserve"> de la </w:t>
      </w:r>
      <w:r w:rsidRPr="00D634D6">
        <w:rPr>
          <w:rFonts w:ascii="Palatino Linotype" w:eastAsia="Calibri" w:hAnsi="Palatino Linotype" w:cs="Times New Roman"/>
          <w:b/>
          <w:sz w:val="24"/>
          <w:szCs w:val="24"/>
          <w:lang w:val="es-ES"/>
        </w:rPr>
        <w:t>Constitución Política del Estado Libre y Soberano de México</w:t>
      </w:r>
      <w:r w:rsidRPr="00D634D6">
        <w:rPr>
          <w:rFonts w:ascii="Palatino Linotype" w:eastAsia="Calibri" w:hAnsi="Palatino Linotype" w:cs="Times New Roman"/>
          <w:sz w:val="24"/>
          <w:szCs w:val="24"/>
          <w:lang w:val="es-ES"/>
        </w:rPr>
        <w:t xml:space="preserve">; artículos 1, 2 fracción II, 13, 29, 36 fracciones I y II, 176, 178, 179, 181 párrafo tercero y 185 </w:t>
      </w:r>
      <w:r w:rsidRPr="00D634D6">
        <w:rPr>
          <w:rFonts w:ascii="Palatino Linotype" w:eastAsia="Calibri" w:hAnsi="Palatino Linotype" w:cs="Arial"/>
          <w:sz w:val="24"/>
          <w:szCs w:val="24"/>
          <w:lang w:val="es-ES"/>
        </w:rPr>
        <w:t xml:space="preserve">de la </w:t>
      </w:r>
      <w:r w:rsidRPr="00D634D6">
        <w:rPr>
          <w:rFonts w:ascii="Palatino Linotype" w:eastAsia="Calibri" w:hAnsi="Palatino Linotype" w:cs="Arial"/>
          <w:b/>
          <w:sz w:val="24"/>
          <w:szCs w:val="24"/>
          <w:lang w:val="es-ES"/>
        </w:rPr>
        <w:t>Ley de Transparencia y Acceso a la Información Pública del Estado de México y Municipios</w:t>
      </w:r>
      <w:r w:rsidRPr="00D634D6">
        <w:rPr>
          <w:rFonts w:ascii="Palatino Linotype" w:eastAsia="Calibri" w:hAnsi="Palatino Linotype" w:cs="Arial"/>
          <w:sz w:val="24"/>
          <w:szCs w:val="24"/>
          <w:lang w:val="es-ES"/>
        </w:rPr>
        <w:t xml:space="preserve">; y 7, 9 fracciones I y XXIV, y 11 del </w:t>
      </w:r>
      <w:r w:rsidRPr="00D634D6">
        <w:rPr>
          <w:rFonts w:ascii="Palatino Linotype" w:eastAsia="Calibri" w:hAnsi="Palatino Linotype" w:cs="Arial"/>
          <w:b/>
          <w:sz w:val="24"/>
          <w:szCs w:val="24"/>
          <w:lang w:val="es-ES"/>
        </w:rPr>
        <w:t>Reglamento Interior del Instituto de Transparencia, Acceso a la Información Pública y Protección de Datos Personales del Estado de México y Municipios</w:t>
      </w:r>
      <w:r w:rsidRPr="00D634D6">
        <w:rPr>
          <w:rFonts w:ascii="Palatino Linotype" w:hAnsi="Palatino Linotype"/>
          <w:sz w:val="24"/>
          <w:szCs w:val="24"/>
        </w:rPr>
        <w:t>.</w:t>
      </w:r>
    </w:p>
    <w:p w:rsidR="00A55BA0" w:rsidRPr="00D634D6" w:rsidRDefault="00A55BA0" w:rsidP="00D634D6">
      <w:pPr>
        <w:pStyle w:val="Ttulo2"/>
        <w:tabs>
          <w:tab w:val="left" w:pos="142"/>
          <w:tab w:val="left" w:pos="284"/>
        </w:tabs>
        <w:spacing w:before="0" w:line="360" w:lineRule="auto"/>
        <w:rPr>
          <w:rFonts w:ascii="Palatino Linotype" w:hAnsi="Palatino Linotype"/>
          <w:b/>
          <w:color w:val="auto"/>
          <w:sz w:val="24"/>
          <w:szCs w:val="24"/>
        </w:rPr>
      </w:pPr>
      <w:bookmarkStart w:id="6" w:name="_Toc34923427"/>
      <w:r w:rsidRPr="00D634D6">
        <w:rPr>
          <w:rFonts w:ascii="Palatino Linotype" w:hAnsi="Palatino Linotype"/>
          <w:b/>
          <w:color w:val="auto"/>
          <w:sz w:val="24"/>
          <w:szCs w:val="24"/>
        </w:rPr>
        <w:lastRenderedPageBreak/>
        <w:t>SEGUNDO. De la oportunidad y procedencia.</w:t>
      </w:r>
      <w:bookmarkEnd w:id="6"/>
    </w:p>
    <w:p w:rsidR="00AC4547" w:rsidRPr="00D634D6" w:rsidRDefault="00AC4547" w:rsidP="00D634D6">
      <w:pPr>
        <w:pStyle w:val="Prrafodelista"/>
        <w:tabs>
          <w:tab w:val="left" w:pos="142"/>
          <w:tab w:val="left" w:pos="284"/>
          <w:tab w:val="left" w:pos="426"/>
        </w:tabs>
        <w:spacing w:line="360" w:lineRule="auto"/>
        <w:ind w:left="0"/>
        <w:jc w:val="both"/>
        <w:rPr>
          <w:rFonts w:ascii="Palatino Linotype" w:eastAsia="Times New Roman" w:hAnsi="Palatino Linotype" w:cs="Arial"/>
          <w:color w:val="000000"/>
          <w:sz w:val="24"/>
          <w:szCs w:val="24"/>
        </w:rPr>
      </w:pPr>
    </w:p>
    <w:p w:rsidR="001A4CD6" w:rsidRPr="00D634D6" w:rsidRDefault="00AC4547" w:rsidP="00D634D6">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cs="Arial"/>
          <w:color w:val="000000"/>
          <w:sz w:val="24"/>
          <w:szCs w:val="24"/>
        </w:rPr>
      </w:pPr>
      <w:r w:rsidRPr="00D634D6">
        <w:rPr>
          <w:rFonts w:ascii="Palatino Linotype" w:eastAsia="Calibri" w:hAnsi="Palatino Linotype" w:cs="Arial"/>
          <w:sz w:val="24"/>
          <w:szCs w:val="24"/>
          <w:lang w:val="es-ES"/>
        </w:rPr>
        <w:t>E</w:t>
      </w:r>
      <w:r w:rsidR="001C17C4" w:rsidRPr="00D634D6">
        <w:rPr>
          <w:rFonts w:ascii="Palatino Linotype" w:eastAsia="Calibri" w:hAnsi="Palatino Linotype" w:cs="Arial"/>
          <w:sz w:val="24"/>
          <w:szCs w:val="24"/>
          <w:lang w:val="es-ES"/>
        </w:rPr>
        <w:t xml:space="preserve">s de precisar </w:t>
      </w:r>
      <w:r w:rsidR="001A4CD6" w:rsidRPr="00D634D6">
        <w:rPr>
          <w:rFonts w:ascii="Palatino Linotype" w:eastAsia="Calibri" w:hAnsi="Palatino Linotype" w:cs="Arial"/>
          <w:sz w:val="24"/>
          <w:szCs w:val="24"/>
          <w:lang w:val="es-ES"/>
        </w:rPr>
        <w:t>que la Ley de Transparencia y Acceso a la Información Pública del Estado de México y Municipios, en el artículo 178 describe la procedencia del recurso de revisión, asimismo</w:t>
      </w:r>
      <w:r w:rsidR="009318AF" w:rsidRPr="00D634D6">
        <w:rPr>
          <w:rFonts w:ascii="Palatino Linotype" w:eastAsia="Calibri" w:hAnsi="Palatino Linotype" w:cs="Arial"/>
          <w:sz w:val="24"/>
          <w:szCs w:val="24"/>
          <w:lang w:val="es-ES"/>
        </w:rPr>
        <w:t>,</w:t>
      </w:r>
      <w:r w:rsidR="001A4CD6" w:rsidRPr="00D634D6">
        <w:rPr>
          <w:rFonts w:ascii="Palatino Linotype" w:eastAsia="Calibri" w:hAnsi="Palatino Linotype" w:cs="Arial"/>
          <w:sz w:val="24"/>
          <w:szCs w:val="24"/>
          <w:lang w:val="es-ES"/>
        </w:rPr>
        <w:t xml:space="preserve"> señala que el plazo del </w:t>
      </w:r>
      <w:r w:rsidR="001A4CD6" w:rsidRPr="00D634D6">
        <w:rPr>
          <w:rFonts w:ascii="Palatino Linotype" w:eastAsia="Calibri" w:hAnsi="Palatino Linotype" w:cs="Arial"/>
          <w:b/>
          <w:sz w:val="24"/>
          <w:szCs w:val="24"/>
          <w:lang w:val="es-ES"/>
        </w:rPr>
        <w:t>SUJETO OBLIGADO</w:t>
      </w:r>
      <w:r w:rsidR="001A4CD6" w:rsidRPr="00D634D6">
        <w:rPr>
          <w:rFonts w:ascii="Palatino Linotype" w:eastAsia="Calibri" w:hAnsi="Palatino Linotype" w:cs="Arial"/>
          <w:sz w:val="24"/>
          <w:szCs w:val="24"/>
          <w:lang w:val="es-ES"/>
        </w:rPr>
        <w:t xml:space="preserve"> para entregar la respuesta a una solicitud de información pública, es de quince</w:t>
      </w:r>
      <w:r w:rsidR="001C17C4" w:rsidRPr="00D634D6">
        <w:rPr>
          <w:rFonts w:ascii="Palatino Linotype" w:eastAsia="Calibri" w:hAnsi="Palatino Linotype" w:cs="Arial"/>
          <w:sz w:val="24"/>
          <w:szCs w:val="24"/>
          <w:lang w:val="es-ES"/>
        </w:rPr>
        <w:t xml:space="preserve"> (15)</w:t>
      </w:r>
      <w:r w:rsidR="001A4CD6" w:rsidRPr="00D634D6">
        <w:rPr>
          <w:rFonts w:ascii="Palatino Linotype" w:eastAsia="Calibri" w:hAnsi="Palatino Linotype" w:cs="Arial"/>
          <w:sz w:val="24"/>
          <w:szCs w:val="24"/>
          <w:lang w:val="es-ES"/>
        </w:rPr>
        <w:t xml:space="preserve"> días hábiles posteriores a la presentación de ésta; por lo</w:t>
      </w:r>
      <w:r w:rsidR="000A4F5D" w:rsidRPr="00D634D6">
        <w:rPr>
          <w:rFonts w:ascii="Palatino Linotype" w:eastAsia="Calibri" w:hAnsi="Palatino Linotype" w:cs="Arial"/>
          <w:sz w:val="24"/>
          <w:szCs w:val="24"/>
          <w:lang w:val="es-ES"/>
        </w:rPr>
        <w:t xml:space="preserve"> que</w:t>
      </w:r>
      <w:r w:rsidR="001A4CD6" w:rsidRPr="00D634D6">
        <w:rPr>
          <w:rFonts w:ascii="Palatino Linotype" w:eastAsia="Calibri" w:hAnsi="Palatino Linotype" w:cs="Arial"/>
          <w:sz w:val="24"/>
          <w:szCs w:val="24"/>
          <w:lang w:val="es-ES"/>
        </w:rPr>
        <w:t xml:space="preserve"> transcurrido este término, cuando </w:t>
      </w:r>
      <w:r w:rsidR="009318AF" w:rsidRPr="00D634D6">
        <w:rPr>
          <w:rFonts w:ascii="Palatino Linotype" w:eastAsia="Calibri" w:hAnsi="Palatino Linotype" w:cs="Arial"/>
          <w:sz w:val="24"/>
          <w:szCs w:val="24"/>
          <w:lang w:val="es-ES"/>
        </w:rPr>
        <w:t xml:space="preserve">el </w:t>
      </w:r>
      <w:r w:rsidR="009318AF" w:rsidRPr="00D634D6">
        <w:rPr>
          <w:rFonts w:ascii="Palatino Linotype" w:eastAsia="Calibri" w:hAnsi="Palatino Linotype" w:cs="Arial"/>
          <w:b/>
          <w:sz w:val="24"/>
          <w:szCs w:val="24"/>
          <w:lang w:val="es-ES"/>
        </w:rPr>
        <w:t xml:space="preserve">SUJETO OBLIGADO </w:t>
      </w:r>
      <w:r w:rsidR="001A4CD6" w:rsidRPr="00D634D6">
        <w:rPr>
          <w:rFonts w:ascii="Palatino Linotype" w:eastAsia="Calibri" w:hAnsi="Palatino Linotype" w:cs="Arial"/>
          <w:sz w:val="24"/>
          <w:szCs w:val="24"/>
          <w:lang w:val="es-ES"/>
        </w:rPr>
        <w:t xml:space="preserve">no entregue la respuesta a la solicitud dentro del plazo previsto en la Ley, la solicitud se entenderá negada y el </w:t>
      </w:r>
      <w:r w:rsidR="001B537C" w:rsidRPr="00D634D6">
        <w:rPr>
          <w:rFonts w:ascii="Palatino Linotype" w:eastAsia="Calibri" w:hAnsi="Palatino Linotype" w:cs="Arial"/>
          <w:b/>
          <w:sz w:val="24"/>
          <w:szCs w:val="24"/>
          <w:lang w:val="es-ES"/>
        </w:rPr>
        <w:t>SOLICITANTE</w:t>
      </w:r>
      <w:r w:rsidR="001B537C" w:rsidRPr="00D634D6">
        <w:rPr>
          <w:rFonts w:ascii="Palatino Linotype" w:eastAsia="Calibri" w:hAnsi="Palatino Linotype" w:cs="Arial"/>
          <w:sz w:val="24"/>
          <w:szCs w:val="24"/>
          <w:lang w:val="es-ES"/>
        </w:rPr>
        <w:t xml:space="preserve"> </w:t>
      </w:r>
      <w:r w:rsidR="001A4CD6" w:rsidRPr="00D634D6">
        <w:rPr>
          <w:rFonts w:ascii="Palatino Linotype" w:eastAsia="Calibri" w:hAnsi="Palatino Linotype" w:cs="Arial"/>
          <w:sz w:val="24"/>
          <w:szCs w:val="24"/>
          <w:lang w:val="es-ES"/>
        </w:rPr>
        <w:t>podrá interponer el recurso de revisión previs</w:t>
      </w:r>
      <w:r w:rsidR="0077177C" w:rsidRPr="00D634D6">
        <w:rPr>
          <w:rFonts w:ascii="Palatino Linotype" w:eastAsia="Calibri" w:hAnsi="Palatino Linotype" w:cs="Arial"/>
          <w:sz w:val="24"/>
          <w:szCs w:val="24"/>
          <w:lang w:val="es-ES"/>
        </w:rPr>
        <w:t>to en el ordenamiento en cita.</w:t>
      </w:r>
    </w:p>
    <w:p w:rsidR="001A4CD6" w:rsidRPr="00D634D6" w:rsidRDefault="001A4CD6" w:rsidP="00D634D6">
      <w:pPr>
        <w:pStyle w:val="Prrafodelista"/>
        <w:tabs>
          <w:tab w:val="left" w:pos="142"/>
          <w:tab w:val="left" w:pos="284"/>
        </w:tabs>
        <w:spacing w:line="360" w:lineRule="auto"/>
        <w:ind w:left="0"/>
        <w:jc w:val="both"/>
        <w:rPr>
          <w:rFonts w:ascii="Palatino Linotype" w:eastAsia="Times New Roman" w:hAnsi="Palatino Linotype" w:cs="Arial"/>
          <w:color w:val="000000"/>
          <w:sz w:val="24"/>
          <w:szCs w:val="24"/>
        </w:rPr>
      </w:pPr>
    </w:p>
    <w:p w:rsidR="001A4CD6" w:rsidRPr="00D634D6" w:rsidRDefault="001A4CD6" w:rsidP="00D634D6">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cs="Arial"/>
          <w:color w:val="000000"/>
          <w:sz w:val="24"/>
          <w:szCs w:val="24"/>
        </w:rPr>
      </w:pPr>
      <w:r w:rsidRPr="00D634D6">
        <w:rPr>
          <w:rFonts w:ascii="Palatino Linotype" w:eastAsia="Calibri" w:hAnsi="Palatino Linotype" w:cs="Arial"/>
          <w:sz w:val="24"/>
          <w:szCs w:val="24"/>
          <w:lang w:val="es-ES"/>
        </w:rPr>
        <w:t xml:space="preserve">Por ende, se constituye la figura jurídica de la </w:t>
      </w:r>
      <w:r w:rsidRPr="00D634D6">
        <w:rPr>
          <w:rFonts w:ascii="Palatino Linotype" w:eastAsia="Calibri" w:hAnsi="Palatino Linotype" w:cs="Arial"/>
          <w:i/>
          <w:sz w:val="24"/>
          <w:szCs w:val="24"/>
          <w:lang w:val="es-ES"/>
        </w:rPr>
        <w:t>negativa ficta</w:t>
      </w:r>
      <w:r w:rsidRPr="00D634D6">
        <w:rPr>
          <w:rFonts w:ascii="Palatino Linotype" w:eastAsia="Calibri" w:hAnsi="Palatino Linotype" w:cs="Arial"/>
          <w:sz w:val="24"/>
          <w:szCs w:val="24"/>
          <w:lang w:val="es-ES"/>
        </w:rPr>
        <w:t>, cuya esencia es atribuir un efecto negativo al silencio de la autoridad administrativa frente a las instancias y solicitudes que hagan los particulares, lo cual encuentra sustento en lo que establece el artículo 178 segundo párrafo de</w:t>
      </w:r>
      <w:r w:rsidR="00B16B7C" w:rsidRPr="00D634D6">
        <w:rPr>
          <w:rFonts w:ascii="Palatino Linotype" w:eastAsia="Calibri" w:hAnsi="Palatino Linotype" w:cs="Arial"/>
          <w:sz w:val="24"/>
          <w:szCs w:val="24"/>
          <w:lang w:val="es-ES"/>
        </w:rPr>
        <w:t xml:space="preserve"> la </w:t>
      </w:r>
      <w:r w:rsidRPr="00D634D6">
        <w:rPr>
          <w:rFonts w:ascii="Palatino Linotype" w:eastAsia="Calibri" w:hAnsi="Palatino Linotype" w:cs="Arial"/>
          <w:sz w:val="24"/>
          <w:szCs w:val="24"/>
          <w:lang w:val="es-ES"/>
        </w:rPr>
        <w:t>Ley de Transparencia y Acceso a la Información Pública del Estado de México y Municipios</w:t>
      </w:r>
      <w:r w:rsidRPr="00D634D6">
        <w:rPr>
          <w:rFonts w:ascii="Palatino Linotype" w:eastAsia="Calibri" w:hAnsi="Palatino Linotype" w:cs="Times New Roman"/>
          <w:color w:val="000000"/>
          <w:sz w:val="24"/>
          <w:szCs w:val="24"/>
          <w:shd w:val="clear" w:color="auto" w:fill="FFFFFF"/>
        </w:rPr>
        <w:t xml:space="preserve">, que dispone; ante la falta de respuesta del </w:t>
      </w:r>
      <w:r w:rsidRPr="00D634D6">
        <w:rPr>
          <w:rFonts w:ascii="Palatino Linotype" w:eastAsia="Calibri" w:hAnsi="Palatino Linotype" w:cs="Times New Roman"/>
          <w:b/>
          <w:color w:val="000000"/>
          <w:sz w:val="24"/>
          <w:szCs w:val="24"/>
          <w:shd w:val="clear" w:color="auto" w:fill="FFFFFF"/>
        </w:rPr>
        <w:t>SUJETO OBLIGADO,</w:t>
      </w:r>
      <w:r w:rsidRPr="00D634D6">
        <w:rPr>
          <w:rFonts w:ascii="Palatino Linotype" w:eastAsia="Calibri" w:hAnsi="Palatino Linotype" w:cs="Times New Roman"/>
          <w:color w:val="000000"/>
          <w:sz w:val="24"/>
          <w:szCs w:val="24"/>
          <w:shd w:val="clear" w:color="auto" w:fill="FFFFFF"/>
        </w:rPr>
        <w:t xml:space="preserve"> dentro de los plazos establecidos en esta Ley, a una solicitud de acceso a la información pública, el recurso </w:t>
      </w:r>
      <w:r w:rsidRPr="00D634D6">
        <w:rPr>
          <w:rFonts w:ascii="Palatino Linotype" w:eastAsia="Calibri" w:hAnsi="Palatino Linotype" w:cs="Times New Roman"/>
          <w:b/>
          <w:color w:val="000000"/>
          <w:sz w:val="24"/>
          <w:szCs w:val="24"/>
          <w:shd w:val="clear" w:color="auto" w:fill="FFFFFF"/>
        </w:rPr>
        <w:t xml:space="preserve">podrá ser interpuesto en cualquier momento. </w:t>
      </w:r>
    </w:p>
    <w:p w:rsidR="001A4CD6" w:rsidRPr="00D634D6" w:rsidRDefault="001A4CD6" w:rsidP="00D634D6">
      <w:pPr>
        <w:pStyle w:val="Prrafodelista"/>
        <w:tabs>
          <w:tab w:val="left" w:pos="142"/>
          <w:tab w:val="left" w:pos="284"/>
        </w:tabs>
        <w:spacing w:line="360" w:lineRule="auto"/>
        <w:ind w:left="0"/>
        <w:rPr>
          <w:rFonts w:ascii="Palatino Linotype" w:eastAsia="Times New Roman" w:hAnsi="Palatino Linotype" w:cs="Arial"/>
          <w:color w:val="000000"/>
        </w:rPr>
      </w:pPr>
    </w:p>
    <w:p w:rsidR="001A4CD6" w:rsidRPr="00D634D6" w:rsidRDefault="001A4CD6" w:rsidP="00D634D6">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cs="Arial"/>
          <w:color w:val="000000"/>
          <w:sz w:val="24"/>
        </w:rPr>
      </w:pPr>
      <w:r w:rsidRPr="00D634D6">
        <w:rPr>
          <w:rFonts w:ascii="Palatino Linotype" w:eastAsia="Calibri" w:hAnsi="Palatino Linotype" w:cs="Arial"/>
          <w:sz w:val="24"/>
          <w:lang w:val="es-ES"/>
        </w:rPr>
        <w:t xml:space="preserve">Por lo que tratándose de la </w:t>
      </w:r>
      <w:r w:rsidRPr="00D634D6">
        <w:rPr>
          <w:rFonts w:ascii="Palatino Linotype" w:eastAsia="Calibri" w:hAnsi="Palatino Linotype" w:cs="Arial"/>
          <w:i/>
          <w:sz w:val="24"/>
          <w:lang w:val="es-ES"/>
        </w:rPr>
        <w:t>negativa ficta</w:t>
      </w:r>
      <w:r w:rsidR="001B537C" w:rsidRPr="00D634D6">
        <w:rPr>
          <w:rFonts w:ascii="Palatino Linotype" w:eastAsia="Calibri" w:hAnsi="Palatino Linotype" w:cs="Arial"/>
          <w:i/>
          <w:sz w:val="24"/>
          <w:lang w:val="es-ES"/>
        </w:rPr>
        <w:t>,</w:t>
      </w:r>
      <w:r w:rsidRPr="00D634D6">
        <w:rPr>
          <w:rFonts w:ascii="Palatino Linotype" w:eastAsia="Calibri" w:hAnsi="Palatino Linotype" w:cs="Arial"/>
          <w:sz w:val="24"/>
          <w:lang w:val="es-ES"/>
        </w:rPr>
        <w:t xml:space="preserve"> no existe respuesta que se haga del conocimiento a</w:t>
      </w:r>
      <w:r w:rsidR="001C17C4" w:rsidRPr="00D634D6">
        <w:rPr>
          <w:rFonts w:ascii="Palatino Linotype" w:eastAsia="Calibri" w:hAnsi="Palatino Linotype" w:cs="Arial"/>
          <w:sz w:val="24"/>
          <w:lang w:val="es-ES"/>
        </w:rPr>
        <w:t>l</w:t>
      </w:r>
      <w:r w:rsidR="00B16B7C" w:rsidRPr="00D634D6">
        <w:rPr>
          <w:rFonts w:ascii="Palatino Linotype" w:eastAsia="Calibri" w:hAnsi="Palatino Linotype" w:cs="Arial"/>
          <w:sz w:val="24"/>
          <w:lang w:val="es-ES"/>
        </w:rPr>
        <w:t xml:space="preserve"> </w:t>
      </w:r>
      <w:r w:rsidR="001B537C" w:rsidRPr="00D634D6">
        <w:rPr>
          <w:rFonts w:ascii="Palatino Linotype" w:eastAsia="Calibri" w:hAnsi="Palatino Linotype" w:cs="Arial"/>
          <w:b/>
          <w:sz w:val="24"/>
          <w:lang w:val="es-ES"/>
        </w:rPr>
        <w:t>SOLICITANTE</w:t>
      </w:r>
      <w:r w:rsidRPr="00D634D6">
        <w:rPr>
          <w:rFonts w:ascii="Palatino Linotype" w:eastAsia="Calibri" w:hAnsi="Palatino Linotype" w:cs="Arial"/>
          <w:sz w:val="24"/>
          <w:lang w:val="es-ES"/>
        </w:rPr>
        <w:t xml:space="preserve">, a partir de la cual pueda computarse el plazo legal establecido, por tal motivo es pertinente señalar que no existe plazo </w:t>
      </w:r>
      <w:r w:rsidRPr="00D634D6">
        <w:rPr>
          <w:rFonts w:ascii="Palatino Linotype" w:eastAsia="Calibri" w:hAnsi="Palatino Linotype" w:cs="Arial"/>
          <w:sz w:val="24"/>
          <w:lang w:val="es-ES"/>
        </w:rPr>
        <w:lastRenderedPageBreak/>
        <w:t xml:space="preserve">para la interposición del recurso de revisión, sirviendo de apoyo a lo anterior lo que dispone el Criterio de Interpretación en el orden administrativo número </w:t>
      </w:r>
      <w:r w:rsidRPr="00D634D6">
        <w:rPr>
          <w:rFonts w:ascii="Palatino Linotype" w:eastAsia="Calibri" w:hAnsi="Palatino Linotype" w:cs="Arial"/>
          <w:b/>
          <w:sz w:val="24"/>
          <w:lang w:val="es-ES"/>
        </w:rPr>
        <w:t>001-15</w:t>
      </w:r>
      <w:r w:rsidRPr="00D634D6">
        <w:rPr>
          <w:rFonts w:ascii="Palatino Linotype" w:eastAsia="Calibri" w:hAnsi="Palatino Linotype" w:cs="Arial"/>
          <w:sz w:val="24"/>
          <w:lang w:val="es-ES"/>
        </w:rPr>
        <w:t xml:space="preserve">,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D634D6">
        <w:rPr>
          <w:rFonts w:ascii="Palatino Linotype" w:eastAsia="Calibri" w:hAnsi="Palatino Linotype" w:cs="Arial"/>
          <w:i/>
          <w:sz w:val="24"/>
          <w:lang w:val="es-ES"/>
        </w:rPr>
        <w:t>negativa ficta</w:t>
      </w:r>
      <w:r w:rsidRPr="00D634D6">
        <w:rPr>
          <w:rFonts w:ascii="Palatino Linotype" w:eastAsia="Calibri" w:hAnsi="Palatino Linotype" w:cs="Arial"/>
          <w:sz w:val="24"/>
          <w:lang w:val="es-ES"/>
        </w:rPr>
        <w:t>, que señala:</w:t>
      </w:r>
    </w:p>
    <w:p w:rsidR="00D634D6" w:rsidRPr="00D634D6" w:rsidRDefault="00D634D6" w:rsidP="00D634D6">
      <w:pPr>
        <w:pStyle w:val="Prrafodelista"/>
        <w:tabs>
          <w:tab w:val="left" w:pos="142"/>
          <w:tab w:val="left" w:pos="284"/>
          <w:tab w:val="left" w:pos="426"/>
        </w:tabs>
        <w:spacing w:line="360" w:lineRule="auto"/>
        <w:ind w:left="0"/>
        <w:jc w:val="both"/>
        <w:rPr>
          <w:rFonts w:ascii="Palatino Linotype" w:eastAsia="Times New Roman" w:hAnsi="Palatino Linotype" w:cs="Arial"/>
          <w:color w:val="000000"/>
          <w:sz w:val="24"/>
        </w:rPr>
      </w:pPr>
    </w:p>
    <w:p w:rsidR="001A4CD6" w:rsidRPr="00D634D6" w:rsidRDefault="001A4CD6" w:rsidP="00D634D6">
      <w:pPr>
        <w:pStyle w:val="Sinespaciado"/>
        <w:spacing w:line="360" w:lineRule="auto"/>
        <w:ind w:left="851" w:right="567"/>
        <w:jc w:val="both"/>
        <w:rPr>
          <w:rFonts w:ascii="Palatino Linotype" w:eastAsia="Calibri" w:hAnsi="Palatino Linotype"/>
          <w:i/>
          <w:sz w:val="22"/>
          <w:lang w:val="es-ES"/>
        </w:rPr>
      </w:pPr>
      <w:r w:rsidRPr="00D634D6">
        <w:rPr>
          <w:rFonts w:ascii="Palatino Linotype" w:eastAsia="Calibri" w:hAnsi="Palatino Linotype"/>
          <w:b/>
          <w:i/>
          <w:sz w:val="22"/>
          <w:lang w:val="es-ES"/>
        </w:rPr>
        <w:t>NEGATIVA FICTA. PLAZO PARA INTERPONER EL RECURSO DE REVISIÓN TRATÁNDOSE DE.</w:t>
      </w:r>
      <w:r w:rsidRPr="00D634D6">
        <w:rPr>
          <w:rFonts w:ascii="Palatino Linotype" w:eastAsia="Calibri" w:hAnsi="Palatino Linotype"/>
          <w:i/>
          <w:sz w:val="22"/>
          <w:lang w:val="es-ES"/>
        </w:rPr>
        <w:t xml:space="preserve"> </w:t>
      </w:r>
      <w:r w:rsidR="00E40A30" w:rsidRPr="00D634D6">
        <w:rPr>
          <w:rFonts w:ascii="Palatino Linotype" w:eastAsia="Calibri" w:hAnsi="Palatino Linotype"/>
          <w:i/>
          <w:sz w:val="22"/>
          <w:lang w:val="es-ES"/>
        </w:rPr>
        <w:t>“</w:t>
      </w:r>
      <w:r w:rsidRPr="00D634D6">
        <w:rPr>
          <w:rFonts w:ascii="Palatino Linotype" w:eastAsia="Calibri" w:hAnsi="Palatino Linotype"/>
          <w:i/>
          <w:sz w:val="22"/>
          <w:lang w:val="es-ES"/>
        </w:rPr>
        <w:t>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00E40A30" w:rsidRPr="00D634D6">
        <w:rPr>
          <w:rFonts w:ascii="Palatino Linotype" w:eastAsia="Calibri" w:hAnsi="Palatino Linotype"/>
          <w:i/>
          <w:sz w:val="22"/>
          <w:lang w:val="es-ES"/>
        </w:rPr>
        <w:t>”</w:t>
      </w:r>
    </w:p>
    <w:p w:rsidR="00E40A30" w:rsidRPr="00D634D6" w:rsidRDefault="00E40A30" w:rsidP="00D634D6">
      <w:pPr>
        <w:pStyle w:val="Sinespaciado"/>
        <w:spacing w:line="360" w:lineRule="auto"/>
        <w:ind w:left="851" w:right="567"/>
        <w:jc w:val="both"/>
        <w:rPr>
          <w:rFonts w:ascii="Palatino Linotype" w:eastAsia="Calibri" w:hAnsi="Palatino Linotype"/>
          <w:b/>
          <w:i/>
          <w:sz w:val="22"/>
          <w:lang w:val="es-ES"/>
        </w:rPr>
      </w:pPr>
    </w:p>
    <w:p w:rsidR="001A4CD6" w:rsidRPr="00D634D6" w:rsidRDefault="00E40A30" w:rsidP="00D634D6">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cs="Arial"/>
          <w:color w:val="000000" w:themeColor="text1"/>
          <w:sz w:val="24"/>
          <w:szCs w:val="24"/>
          <w:lang w:val="es-ES" w:eastAsia="es-MX"/>
        </w:rPr>
      </w:pPr>
      <w:r w:rsidRPr="00D634D6">
        <w:rPr>
          <w:rFonts w:ascii="Palatino Linotype" w:eastAsia="Times New Roman" w:hAnsi="Palatino Linotype" w:cs="Arial"/>
          <w:color w:val="000000" w:themeColor="text1"/>
          <w:sz w:val="24"/>
          <w:szCs w:val="24"/>
          <w:lang w:val="es-ES" w:eastAsia="es-MX"/>
        </w:rPr>
        <w:lastRenderedPageBreak/>
        <w:t>Lo anterior</w:t>
      </w:r>
      <w:r w:rsidR="001A4CD6" w:rsidRPr="00D634D6">
        <w:rPr>
          <w:rFonts w:ascii="Palatino Linotype" w:eastAsia="Times New Roman" w:hAnsi="Palatino Linotype" w:cs="Arial"/>
          <w:color w:val="000000" w:themeColor="text1"/>
          <w:sz w:val="24"/>
          <w:szCs w:val="24"/>
          <w:lang w:val="es-ES" w:eastAsia="es-MX"/>
        </w:rPr>
        <w:t xml:space="preserve"> se explica porque la ausencia de una respuesta </w:t>
      </w:r>
      <w:r w:rsidR="001B537C" w:rsidRPr="00D634D6">
        <w:rPr>
          <w:rFonts w:ascii="Palatino Linotype" w:eastAsia="Times New Roman" w:hAnsi="Palatino Linotype" w:cs="Arial"/>
          <w:color w:val="000000" w:themeColor="text1"/>
          <w:sz w:val="24"/>
          <w:szCs w:val="24"/>
          <w:lang w:val="es-ES" w:eastAsia="es-MX"/>
        </w:rPr>
        <w:t>a</w:t>
      </w:r>
      <w:r w:rsidR="001A4CD6" w:rsidRPr="00D634D6">
        <w:rPr>
          <w:rFonts w:ascii="Palatino Linotype" w:eastAsia="Times New Roman" w:hAnsi="Palatino Linotype" w:cs="Arial"/>
          <w:color w:val="000000" w:themeColor="text1"/>
          <w:sz w:val="24"/>
          <w:szCs w:val="24"/>
          <w:lang w:val="es-ES" w:eastAsia="es-MX"/>
        </w:rPr>
        <w:t xml:space="preserve"> la solicitud constituye un acto que vulnera el derecho de manera continua y</w:t>
      </w:r>
      <w:r w:rsidRPr="00D634D6">
        <w:rPr>
          <w:rFonts w:ascii="Palatino Linotype" w:eastAsia="Times New Roman" w:hAnsi="Palatino Linotype" w:cs="Arial"/>
          <w:color w:val="000000" w:themeColor="text1"/>
          <w:sz w:val="24"/>
          <w:szCs w:val="24"/>
          <w:lang w:val="es-ES" w:eastAsia="es-MX"/>
        </w:rPr>
        <w:t xml:space="preserve"> actualizable cada día en tanto </w:t>
      </w:r>
      <w:r w:rsidR="001A4CD6" w:rsidRPr="00D634D6">
        <w:rPr>
          <w:rFonts w:ascii="Palatino Linotype" w:eastAsia="Times New Roman" w:hAnsi="Palatino Linotype" w:cs="Arial"/>
          <w:color w:val="000000" w:themeColor="text1"/>
          <w:sz w:val="24"/>
          <w:szCs w:val="24"/>
          <w:lang w:val="es-ES" w:eastAsia="es-MX"/>
        </w:rPr>
        <w:t xml:space="preserve">no se emita la respuesta a la que esté impuesto el </w:t>
      </w:r>
      <w:r w:rsidR="001A4CD6" w:rsidRPr="00D634D6">
        <w:rPr>
          <w:rFonts w:ascii="Palatino Linotype" w:eastAsia="Times New Roman" w:hAnsi="Palatino Linotype" w:cs="Arial"/>
          <w:b/>
          <w:color w:val="000000" w:themeColor="text1"/>
          <w:sz w:val="24"/>
          <w:szCs w:val="24"/>
          <w:lang w:val="es-ES" w:eastAsia="es-MX"/>
        </w:rPr>
        <w:t>SUJETO OBLIGADO</w:t>
      </w:r>
      <w:r w:rsidR="001A4CD6" w:rsidRPr="00D634D6">
        <w:rPr>
          <w:rFonts w:ascii="Palatino Linotype" w:eastAsia="Times New Roman" w:hAnsi="Palatino Linotype" w:cs="Arial"/>
          <w:color w:val="000000" w:themeColor="text1"/>
          <w:sz w:val="24"/>
          <w:szCs w:val="24"/>
          <w:lang w:val="es-ES" w:eastAsia="es-MX"/>
        </w:rPr>
        <w:t>.</w:t>
      </w:r>
    </w:p>
    <w:p w:rsidR="00D004ED" w:rsidRPr="00D634D6" w:rsidRDefault="00D004ED" w:rsidP="00D634D6">
      <w:pPr>
        <w:pStyle w:val="Prrafodelista"/>
        <w:tabs>
          <w:tab w:val="left" w:pos="142"/>
          <w:tab w:val="left" w:pos="284"/>
          <w:tab w:val="left" w:pos="426"/>
        </w:tabs>
        <w:spacing w:line="360" w:lineRule="auto"/>
        <w:ind w:left="0"/>
        <w:jc w:val="both"/>
        <w:rPr>
          <w:rFonts w:ascii="Palatino Linotype" w:eastAsia="Times New Roman" w:hAnsi="Palatino Linotype" w:cs="Arial"/>
          <w:color w:val="000000" w:themeColor="text1"/>
          <w:sz w:val="24"/>
          <w:szCs w:val="24"/>
          <w:lang w:val="es-ES" w:eastAsia="es-MX"/>
        </w:rPr>
      </w:pPr>
    </w:p>
    <w:p w:rsidR="001A4CD6" w:rsidRPr="00D634D6" w:rsidRDefault="00E9019B" w:rsidP="00D634D6">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cs="Arial"/>
          <w:color w:val="000000" w:themeColor="text1"/>
          <w:sz w:val="24"/>
          <w:szCs w:val="24"/>
          <w:lang w:val="es-ES" w:eastAsia="es-MX"/>
        </w:rPr>
      </w:pPr>
      <w:r w:rsidRPr="00D634D6">
        <w:rPr>
          <w:rFonts w:ascii="Palatino Linotype" w:hAnsi="Palatino Linotype"/>
          <w:sz w:val="24"/>
          <w:szCs w:val="24"/>
        </w:rPr>
        <w:t>Así las cosas</w:t>
      </w:r>
      <w:r w:rsidR="001A4CD6" w:rsidRPr="00D634D6">
        <w:rPr>
          <w:rFonts w:ascii="Palatino Linotype" w:hAnsi="Palatino Linotype"/>
          <w:sz w:val="24"/>
          <w:szCs w:val="24"/>
        </w:rPr>
        <w:t>, tratándose</w:t>
      </w:r>
      <w:r w:rsidR="001A4CD6" w:rsidRPr="00D634D6">
        <w:rPr>
          <w:rFonts w:ascii="Palatino Linotype" w:eastAsia="Times New Roman" w:hAnsi="Palatino Linotype" w:cs="Arial"/>
          <w:color w:val="000000" w:themeColor="text1"/>
          <w:sz w:val="24"/>
          <w:szCs w:val="24"/>
          <w:lang w:val="es-ES" w:eastAsia="es-MX"/>
        </w:rPr>
        <w:t xml:space="preserve"> de </w:t>
      </w:r>
      <w:r w:rsidR="001A4CD6" w:rsidRPr="00D634D6">
        <w:rPr>
          <w:rFonts w:ascii="Palatino Linotype" w:eastAsia="Times New Roman" w:hAnsi="Palatino Linotype" w:cs="Arial"/>
          <w:i/>
          <w:color w:val="000000" w:themeColor="text1"/>
          <w:sz w:val="24"/>
          <w:szCs w:val="24"/>
          <w:lang w:val="es-ES" w:eastAsia="es-MX"/>
        </w:rPr>
        <w:t>negativa ficta</w:t>
      </w:r>
      <w:r w:rsidR="001A4CD6" w:rsidRPr="00D634D6">
        <w:rPr>
          <w:rFonts w:ascii="Palatino Linotype" w:eastAsia="Times New Roman" w:hAnsi="Palatino Linotype" w:cs="Arial"/>
          <w:color w:val="000000" w:themeColor="text1"/>
          <w:sz w:val="24"/>
          <w:szCs w:val="24"/>
          <w:lang w:val="es-ES" w:eastAsia="es-MX"/>
        </w:rPr>
        <w:t xml:space="preserve"> no existe plazo para la interposición del recurso de revisión por tratarse de una afectación continua al Derecho de Acceso a la Información Pública.</w:t>
      </w:r>
    </w:p>
    <w:p w:rsidR="00F43C60" w:rsidRPr="00D634D6" w:rsidRDefault="00F43C60" w:rsidP="00D634D6">
      <w:pPr>
        <w:pStyle w:val="Prrafodelista"/>
        <w:tabs>
          <w:tab w:val="left" w:pos="142"/>
          <w:tab w:val="left" w:pos="284"/>
          <w:tab w:val="left" w:pos="426"/>
        </w:tabs>
        <w:spacing w:line="360" w:lineRule="auto"/>
        <w:ind w:left="0"/>
        <w:jc w:val="both"/>
        <w:rPr>
          <w:rFonts w:ascii="Palatino Linotype" w:eastAsia="Times New Roman" w:hAnsi="Palatino Linotype" w:cs="Arial"/>
          <w:color w:val="000000" w:themeColor="text1"/>
          <w:sz w:val="24"/>
          <w:szCs w:val="24"/>
          <w:lang w:val="es-ES" w:eastAsia="es-MX"/>
        </w:rPr>
      </w:pPr>
    </w:p>
    <w:p w:rsidR="00F43C60" w:rsidRPr="00D634D6" w:rsidRDefault="00F43C60" w:rsidP="00D634D6">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cs="Arial"/>
          <w:color w:val="000000" w:themeColor="text1"/>
          <w:sz w:val="24"/>
          <w:szCs w:val="24"/>
          <w:lang w:val="es-ES" w:eastAsia="es-MX"/>
        </w:rPr>
      </w:pPr>
      <w:r w:rsidRPr="00D634D6">
        <w:rPr>
          <w:rFonts w:ascii="Palatino Linotype" w:eastAsia="Times New Roman" w:hAnsi="Palatino Linotype" w:cs="Arial"/>
          <w:color w:val="000000" w:themeColor="text1"/>
          <w:sz w:val="24"/>
          <w:szCs w:val="24"/>
          <w:lang w:val="es-ES" w:eastAsia="es-MX"/>
        </w:rPr>
        <w:t xml:space="preserve">Por otro lado, de la revisión al expediente electrónico del </w:t>
      </w:r>
      <w:r w:rsidRPr="00D634D6">
        <w:rPr>
          <w:rFonts w:ascii="Palatino Linotype" w:eastAsia="Times New Roman" w:hAnsi="Palatino Linotype" w:cs="Arial"/>
          <w:b/>
          <w:i/>
          <w:color w:val="000000" w:themeColor="text1"/>
          <w:sz w:val="24"/>
          <w:szCs w:val="24"/>
          <w:lang w:val="es-ES" w:eastAsia="es-MX"/>
        </w:rPr>
        <w:t>SAIMEX</w:t>
      </w:r>
      <w:r w:rsidRPr="00D634D6">
        <w:rPr>
          <w:rFonts w:ascii="Palatino Linotype" w:eastAsia="Times New Roman" w:hAnsi="Palatino Linotype" w:cs="Arial"/>
          <w:color w:val="000000" w:themeColor="text1"/>
          <w:sz w:val="24"/>
          <w:szCs w:val="24"/>
          <w:lang w:val="es-ES" w:eastAsia="es-MX"/>
        </w:rPr>
        <w:t xml:space="preserve"> se desprende que la parte </w:t>
      </w:r>
      <w:r w:rsidRPr="00D634D6">
        <w:rPr>
          <w:rFonts w:ascii="Palatino Linotype" w:eastAsia="Times New Roman" w:hAnsi="Palatino Linotype" w:cs="Arial"/>
          <w:b/>
          <w:color w:val="000000" w:themeColor="text1"/>
          <w:sz w:val="24"/>
          <w:szCs w:val="24"/>
          <w:lang w:val="es-ES" w:eastAsia="es-MX"/>
        </w:rPr>
        <w:t>SOLICITANTE</w:t>
      </w:r>
      <w:r w:rsidRPr="00D634D6">
        <w:rPr>
          <w:rFonts w:ascii="Palatino Linotype" w:eastAsia="Times New Roman" w:hAnsi="Palatino Linotype" w:cs="Arial"/>
          <w:color w:val="000000" w:themeColor="text1"/>
          <w:sz w:val="24"/>
          <w:szCs w:val="24"/>
          <w:lang w:val="es-ES" w:eastAsia="es-MX"/>
        </w:rPr>
        <w:t xml:space="preserve">, en ejercicio de su derecho de acceso a la información pública en el expediente que se revisa, tanto en la solicitud de información como en el recurso de revisión </w:t>
      </w:r>
      <w:r w:rsidRPr="00D634D6">
        <w:rPr>
          <w:rFonts w:ascii="Palatino Linotype" w:eastAsia="Times New Roman" w:hAnsi="Palatino Linotype" w:cs="Arial"/>
          <w:b/>
          <w:color w:val="000000" w:themeColor="text1"/>
          <w:sz w:val="24"/>
          <w:szCs w:val="24"/>
          <w:lang w:val="es-ES" w:eastAsia="es-MX"/>
        </w:rPr>
        <w:t xml:space="preserve">no proporcionó su nombre completo para que sea </w:t>
      </w:r>
      <w:r w:rsidRPr="00D634D6">
        <w:rPr>
          <w:rFonts w:ascii="Palatino Linotype" w:eastAsia="Times New Roman" w:hAnsi="Palatino Linotype" w:cs="Arial"/>
          <w:b/>
          <w:color w:val="000000" w:themeColor="text1"/>
          <w:sz w:val="24"/>
          <w:szCs w:val="24"/>
          <w:u w:val="single"/>
          <w:lang w:val="es-ES" w:eastAsia="es-MX"/>
        </w:rPr>
        <w:t>identificado</w:t>
      </w:r>
      <w:r w:rsidRPr="00D634D6">
        <w:rPr>
          <w:rFonts w:ascii="Palatino Linotype" w:eastAsia="Times New Roman" w:hAnsi="Palatino Linotype" w:cs="Arial"/>
          <w:b/>
          <w:color w:val="000000" w:themeColor="text1"/>
          <w:sz w:val="24"/>
          <w:szCs w:val="24"/>
          <w:lang w:val="es-ES" w:eastAsia="es-MX"/>
        </w:rPr>
        <w:t>,</w:t>
      </w:r>
      <w:r w:rsidRPr="00D634D6">
        <w:rPr>
          <w:rFonts w:ascii="Palatino Linotype" w:eastAsia="Times New Roman" w:hAnsi="Palatino Linotype" w:cs="Arial"/>
          <w:color w:val="000000" w:themeColor="text1"/>
          <w:sz w:val="24"/>
          <w:szCs w:val="24"/>
          <w:lang w:val="es-ES" w:eastAsia="es-MX"/>
        </w:rPr>
        <w:t xml:space="preserve"> ni se tiene la certeza sobre su identidad, sin embargo, es importante señalar también que </w:t>
      </w:r>
      <w:r w:rsidRPr="00D634D6">
        <w:rPr>
          <w:rFonts w:ascii="Palatino Linotype" w:eastAsia="Times New Roman" w:hAnsi="Palatino Linotype" w:cs="Arial"/>
          <w:color w:val="000000" w:themeColor="text1"/>
          <w:sz w:val="24"/>
          <w:szCs w:val="24"/>
          <w:lang w:val="es-ES_tradnl" w:eastAsia="es-MX"/>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F43C60" w:rsidRPr="00D634D6" w:rsidRDefault="00F43C60" w:rsidP="00D634D6">
      <w:pPr>
        <w:pStyle w:val="Prrafodelista"/>
        <w:tabs>
          <w:tab w:val="left" w:pos="142"/>
          <w:tab w:val="left" w:pos="284"/>
          <w:tab w:val="left" w:pos="426"/>
        </w:tabs>
        <w:spacing w:line="360" w:lineRule="auto"/>
        <w:ind w:left="0"/>
        <w:jc w:val="both"/>
        <w:rPr>
          <w:rFonts w:ascii="Palatino Linotype" w:eastAsia="Times New Roman" w:hAnsi="Palatino Linotype" w:cs="Arial"/>
          <w:color w:val="000000" w:themeColor="text1"/>
          <w:sz w:val="24"/>
          <w:szCs w:val="24"/>
          <w:lang w:val="es-ES" w:eastAsia="es-MX"/>
        </w:rPr>
      </w:pPr>
    </w:p>
    <w:p w:rsidR="00F43C60" w:rsidRPr="00D634D6" w:rsidRDefault="00F43C60" w:rsidP="00D634D6">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cs="Arial"/>
          <w:color w:val="000000" w:themeColor="text1"/>
          <w:sz w:val="24"/>
          <w:szCs w:val="24"/>
          <w:lang w:val="es-ES" w:eastAsia="es-MX"/>
        </w:rPr>
      </w:pPr>
      <w:r w:rsidRPr="00D634D6">
        <w:rPr>
          <w:rFonts w:ascii="Palatino Linotype" w:eastAsia="Times New Roman" w:hAnsi="Palatino Linotype" w:cs="Arial"/>
          <w:color w:val="000000" w:themeColor="text1"/>
          <w:sz w:val="24"/>
          <w:szCs w:val="24"/>
          <w:lang w:val="es-ES" w:eastAsia="es-MX"/>
        </w:rPr>
        <w:t xml:space="preserve">Esto es así, ya que de conformidad con los artículos 6, apartado A, fracciones III y IV de la </w:t>
      </w:r>
      <w:r w:rsidRPr="00D634D6">
        <w:rPr>
          <w:rFonts w:ascii="Palatino Linotype" w:eastAsia="Times New Roman" w:hAnsi="Palatino Linotype" w:cs="Arial"/>
          <w:b/>
          <w:color w:val="000000" w:themeColor="text1"/>
          <w:sz w:val="24"/>
          <w:szCs w:val="24"/>
          <w:lang w:val="es-ES" w:eastAsia="es-MX"/>
        </w:rPr>
        <w:t>Constitución Política de los Estados Unidos Mexicanos</w:t>
      </w:r>
      <w:r w:rsidRPr="00D634D6">
        <w:rPr>
          <w:rFonts w:ascii="Palatino Linotype" w:eastAsia="Times New Roman" w:hAnsi="Palatino Linotype" w:cs="Arial"/>
          <w:color w:val="000000" w:themeColor="text1"/>
          <w:sz w:val="24"/>
          <w:szCs w:val="24"/>
          <w:lang w:val="es-ES" w:eastAsia="es-MX"/>
        </w:rPr>
        <w:t xml:space="preserve">; 5, párrafos vigésimo segundo, vigésimo tercero y vigésimo cuarto, fracciones III, IV y V, de la </w:t>
      </w:r>
      <w:r w:rsidRPr="00D634D6">
        <w:rPr>
          <w:rFonts w:ascii="Palatino Linotype" w:eastAsia="Times New Roman" w:hAnsi="Palatino Linotype" w:cs="Arial"/>
          <w:b/>
          <w:color w:val="000000" w:themeColor="text1"/>
          <w:sz w:val="24"/>
          <w:szCs w:val="24"/>
          <w:lang w:val="es-ES" w:eastAsia="es-MX"/>
        </w:rPr>
        <w:t xml:space="preserve">Constitución Política del Estado Libre y Soberano </w:t>
      </w:r>
      <w:r w:rsidRPr="00D634D6">
        <w:rPr>
          <w:rFonts w:ascii="Palatino Linotype" w:eastAsia="Times New Roman" w:hAnsi="Palatino Linotype" w:cs="Arial"/>
          <w:b/>
          <w:color w:val="000000" w:themeColor="text1"/>
          <w:sz w:val="24"/>
          <w:szCs w:val="24"/>
          <w:lang w:val="es-ES" w:eastAsia="es-MX"/>
        </w:rPr>
        <w:lastRenderedPageBreak/>
        <w:t>de México</w:t>
      </w:r>
      <w:r w:rsidRPr="00D634D6">
        <w:rPr>
          <w:rFonts w:ascii="Palatino Linotype" w:eastAsia="Times New Roman" w:hAnsi="Palatino Linotype" w:cs="Arial"/>
          <w:color w:val="000000" w:themeColor="text1"/>
          <w:sz w:val="24"/>
          <w:szCs w:val="24"/>
          <w:lang w:val="es-ES" w:eastAsia="es-MX"/>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F43C60" w:rsidRPr="00D634D6" w:rsidRDefault="00F43C60" w:rsidP="00D634D6">
      <w:pPr>
        <w:pStyle w:val="Prrafodelista"/>
        <w:tabs>
          <w:tab w:val="left" w:pos="142"/>
          <w:tab w:val="left" w:pos="284"/>
          <w:tab w:val="left" w:pos="426"/>
        </w:tabs>
        <w:spacing w:line="360" w:lineRule="auto"/>
        <w:ind w:left="0"/>
        <w:jc w:val="both"/>
        <w:rPr>
          <w:rFonts w:ascii="Palatino Linotype" w:eastAsia="Times New Roman" w:hAnsi="Palatino Linotype" w:cs="Arial"/>
          <w:color w:val="000000" w:themeColor="text1"/>
          <w:sz w:val="24"/>
          <w:szCs w:val="24"/>
          <w:lang w:val="es-ES" w:eastAsia="es-MX"/>
        </w:rPr>
      </w:pPr>
    </w:p>
    <w:p w:rsidR="00F43C60" w:rsidRPr="00D634D6" w:rsidRDefault="00F43C60" w:rsidP="00D634D6">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cs="Arial"/>
          <w:color w:val="000000" w:themeColor="text1"/>
          <w:sz w:val="24"/>
          <w:szCs w:val="24"/>
          <w:lang w:val="es-ES" w:eastAsia="es-MX"/>
        </w:rPr>
      </w:pPr>
      <w:r w:rsidRPr="00D634D6">
        <w:rPr>
          <w:rFonts w:ascii="Palatino Linotype" w:eastAsia="Times New Roman" w:hAnsi="Palatino Linotype" w:cs="Arial"/>
          <w:color w:val="000000" w:themeColor="text1"/>
          <w:sz w:val="24"/>
          <w:szCs w:val="24"/>
          <w:lang w:val="es-ES" w:eastAsia="es-MX"/>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F43C60" w:rsidRPr="00D634D6" w:rsidRDefault="00F43C60" w:rsidP="00D634D6">
      <w:pPr>
        <w:pStyle w:val="Prrafodelista"/>
        <w:tabs>
          <w:tab w:val="left" w:pos="142"/>
          <w:tab w:val="left" w:pos="284"/>
          <w:tab w:val="left" w:pos="426"/>
        </w:tabs>
        <w:spacing w:line="360" w:lineRule="auto"/>
        <w:ind w:left="0"/>
        <w:jc w:val="both"/>
        <w:rPr>
          <w:rFonts w:ascii="Palatino Linotype" w:eastAsia="Times New Roman" w:hAnsi="Palatino Linotype" w:cs="Arial"/>
          <w:color w:val="000000" w:themeColor="text1"/>
          <w:sz w:val="24"/>
          <w:szCs w:val="24"/>
          <w:lang w:val="es-ES" w:eastAsia="es-MX"/>
        </w:rPr>
      </w:pPr>
    </w:p>
    <w:p w:rsidR="00F43C60" w:rsidRPr="00D634D6" w:rsidRDefault="00F43C60" w:rsidP="00D634D6">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cs="Arial"/>
          <w:color w:val="000000" w:themeColor="text1"/>
          <w:sz w:val="24"/>
          <w:szCs w:val="24"/>
          <w:lang w:val="es-ES" w:eastAsia="es-MX"/>
        </w:rPr>
      </w:pPr>
      <w:r w:rsidRPr="00D634D6">
        <w:rPr>
          <w:rFonts w:ascii="Palatino Linotype" w:eastAsia="Times New Roman" w:hAnsi="Palatino Linotype" w:cs="Arial"/>
          <w:color w:val="000000" w:themeColor="text1"/>
          <w:sz w:val="24"/>
          <w:szCs w:val="24"/>
          <w:lang w:val="es-ES" w:eastAsia="es-MX"/>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F43C60" w:rsidRPr="00D634D6" w:rsidRDefault="00F43C60" w:rsidP="00D634D6">
      <w:pPr>
        <w:pStyle w:val="Prrafodelista"/>
        <w:tabs>
          <w:tab w:val="left" w:pos="142"/>
          <w:tab w:val="left" w:pos="284"/>
          <w:tab w:val="left" w:pos="426"/>
        </w:tabs>
        <w:spacing w:line="360" w:lineRule="auto"/>
        <w:ind w:left="0"/>
        <w:jc w:val="both"/>
        <w:rPr>
          <w:rFonts w:ascii="Palatino Linotype" w:eastAsia="Times New Roman" w:hAnsi="Palatino Linotype" w:cs="Arial"/>
          <w:color w:val="000000" w:themeColor="text1"/>
          <w:sz w:val="24"/>
          <w:szCs w:val="24"/>
          <w:lang w:val="es-ES" w:eastAsia="es-MX"/>
        </w:rPr>
      </w:pPr>
    </w:p>
    <w:p w:rsidR="00F43C60" w:rsidRPr="00D634D6" w:rsidRDefault="00F43C60" w:rsidP="00D634D6">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cs="Arial"/>
          <w:color w:val="000000" w:themeColor="text1"/>
          <w:sz w:val="24"/>
          <w:szCs w:val="24"/>
          <w:lang w:val="es-ES" w:eastAsia="es-MX"/>
        </w:rPr>
      </w:pPr>
      <w:r w:rsidRPr="00D634D6">
        <w:rPr>
          <w:rFonts w:ascii="Palatino Linotype" w:eastAsia="Times New Roman" w:hAnsi="Palatino Linotype" w:cs="Arial"/>
          <w:color w:val="000000" w:themeColor="text1"/>
          <w:sz w:val="24"/>
          <w:szCs w:val="24"/>
          <w:lang w:val="es-ES" w:eastAsia="es-MX"/>
        </w:rPr>
        <w:t xml:space="preserve">Por lo que el nombre del </w:t>
      </w:r>
      <w:r w:rsidRPr="00D634D6">
        <w:rPr>
          <w:rFonts w:ascii="Palatino Linotype" w:eastAsia="Times New Roman" w:hAnsi="Palatino Linotype" w:cs="Arial"/>
          <w:b/>
          <w:color w:val="000000" w:themeColor="text1"/>
          <w:sz w:val="24"/>
          <w:szCs w:val="24"/>
          <w:lang w:val="es-ES" w:eastAsia="es-MX"/>
        </w:rPr>
        <w:t>SOLICITANTE</w:t>
      </w:r>
      <w:r w:rsidRPr="00D634D6">
        <w:rPr>
          <w:rFonts w:ascii="Palatino Linotype" w:eastAsia="Times New Roman" w:hAnsi="Palatino Linotype" w:cs="Arial"/>
          <w:color w:val="000000" w:themeColor="text1"/>
          <w:sz w:val="24"/>
          <w:szCs w:val="24"/>
          <w:lang w:val="es-ES" w:eastAsia="es-MX"/>
        </w:rPr>
        <w:t xml:space="preserve"> y subsecuente </w:t>
      </w:r>
      <w:r w:rsidRPr="00D634D6">
        <w:rPr>
          <w:rFonts w:ascii="Palatino Linotype" w:eastAsia="Times New Roman" w:hAnsi="Palatino Linotype" w:cs="Arial"/>
          <w:b/>
          <w:color w:val="000000" w:themeColor="text1"/>
          <w:sz w:val="24"/>
          <w:szCs w:val="24"/>
          <w:lang w:val="es-ES" w:eastAsia="es-MX"/>
        </w:rPr>
        <w:t>RECURRENTE</w:t>
      </w:r>
      <w:r w:rsidRPr="00D634D6">
        <w:rPr>
          <w:rFonts w:ascii="Palatino Linotype" w:eastAsia="Times New Roman" w:hAnsi="Palatino Linotype" w:cs="Arial"/>
          <w:color w:val="000000" w:themeColor="text1"/>
          <w:sz w:val="24"/>
          <w:szCs w:val="24"/>
          <w:lang w:val="es-ES" w:eastAsia="es-MX"/>
        </w:rPr>
        <w:t xml:space="preserve"> no puede ser considerado un requisito indispensable de procedencia del </w:t>
      </w:r>
      <w:r w:rsidRPr="00D634D6">
        <w:rPr>
          <w:rFonts w:ascii="Palatino Linotype" w:eastAsia="Times New Roman" w:hAnsi="Palatino Linotype" w:cs="Arial"/>
          <w:color w:val="000000" w:themeColor="text1"/>
          <w:sz w:val="24"/>
          <w:szCs w:val="24"/>
          <w:lang w:val="es-ES" w:eastAsia="es-MX"/>
        </w:rPr>
        <w:lastRenderedPageBreak/>
        <w:t xml:space="preserve">recurso de revisión que nos ocupa, ya que el acceso a la información no está condicionado a acreditar algún interés ya sea jurídico o legítimo, máxime que es un elemento subsanable por este Órgano </w:t>
      </w:r>
      <w:proofErr w:type="spellStart"/>
      <w:r w:rsidRPr="00D634D6">
        <w:rPr>
          <w:rFonts w:ascii="Palatino Linotype" w:eastAsia="Times New Roman" w:hAnsi="Palatino Linotype" w:cs="Arial"/>
          <w:color w:val="000000" w:themeColor="text1"/>
          <w:sz w:val="24"/>
          <w:szCs w:val="24"/>
          <w:lang w:val="es-ES" w:eastAsia="es-MX"/>
        </w:rPr>
        <w:t>Resolutor</w:t>
      </w:r>
      <w:proofErr w:type="spellEnd"/>
      <w:r w:rsidRPr="00D634D6">
        <w:rPr>
          <w:rFonts w:ascii="Palatino Linotype" w:eastAsia="Times New Roman" w:hAnsi="Palatino Linotype" w:cs="Arial"/>
          <w:color w:val="000000" w:themeColor="text1"/>
          <w:sz w:val="24"/>
          <w:szCs w:val="24"/>
          <w:lang w:val="es-ES" w:eastAsia="es-MX"/>
        </w:rPr>
        <w:t>.</w:t>
      </w:r>
    </w:p>
    <w:p w:rsidR="00E9019B" w:rsidRPr="00D634D6" w:rsidRDefault="00E9019B" w:rsidP="00D634D6">
      <w:pPr>
        <w:pStyle w:val="Prrafodelista"/>
        <w:tabs>
          <w:tab w:val="left" w:pos="142"/>
          <w:tab w:val="left" w:pos="284"/>
          <w:tab w:val="left" w:pos="426"/>
        </w:tabs>
        <w:spacing w:line="360" w:lineRule="auto"/>
        <w:ind w:left="0"/>
        <w:jc w:val="both"/>
        <w:rPr>
          <w:rFonts w:ascii="Palatino Linotype" w:eastAsia="Times New Roman" w:hAnsi="Palatino Linotype" w:cs="Arial"/>
          <w:color w:val="000000" w:themeColor="text1"/>
          <w:sz w:val="24"/>
          <w:szCs w:val="24"/>
          <w:lang w:val="es-ES" w:eastAsia="es-MX"/>
        </w:rPr>
      </w:pPr>
    </w:p>
    <w:p w:rsidR="008F03E6" w:rsidRPr="00D634D6" w:rsidRDefault="00A45C19"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sz w:val="24"/>
          <w:szCs w:val="24"/>
        </w:rPr>
      </w:pPr>
      <w:r w:rsidRPr="00D634D6">
        <w:rPr>
          <w:rFonts w:ascii="Palatino Linotype" w:eastAsia="Calibri" w:hAnsi="Palatino Linotype" w:cs="Arial"/>
          <w:sz w:val="24"/>
          <w:szCs w:val="24"/>
          <w:lang w:val="es-ES_tradnl"/>
        </w:rPr>
        <w:t>B</w:t>
      </w:r>
      <w:r w:rsidR="008F03E6" w:rsidRPr="00D634D6">
        <w:rPr>
          <w:rFonts w:ascii="Palatino Linotype" w:eastAsia="Calibri" w:hAnsi="Palatino Linotype" w:cs="Arial"/>
          <w:sz w:val="24"/>
          <w:szCs w:val="24"/>
          <w:lang w:val="es-ES_tradnl"/>
        </w:rPr>
        <w:t>ajo ese orden de ideas,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00D89" w:rsidRPr="00D634D6" w:rsidRDefault="00F00D89" w:rsidP="00D634D6">
      <w:pPr>
        <w:pStyle w:val="Prrafodelista"/>
        <w:tabs>
          <w:tab w:val="left" w:pos="142"/>
          <w:tab w:val="left" w:pos="284"/>
        </w:tabs>
        <w:spacing w:line="360" w:lineRule="auto"/>
        <w:ind w:left="0"/>
        <w:jc w:val="both"/>
        <w:rPr>
          <w:rFonts w:ascii="Palatino Linotype" w:hAnsi="Palatino Linotype"/>
          <w:sz w:val="24"/>
          <w:szCs w:val="24"/>
        </w:rPr>
      </w:pPr>
    </w:p>
    <w:p w:rsidR="00E40A30" w:rsidRPr="00D634D6" w:rsidRDefault="0054193B" w:rsidP="00D634D6">
      <w:pPr>
        <w:pStyle w:val="Ttulo2"/>
        <w:spacing w:before="0" w:line="360" w:lineRule="auto"/>
        <w:rPr>
          <w:rFonts w:ascii="Palatino Linotype" w:eastAsia="Calibri" w:hAnsi="Palatino Linotype" w:cs="Times New Roman"/>
          <w:b/>
          <w:bCs/>
          <w:color w:val="auto"/>
          <w:sz w:val="24"/>
          <w:szCs w:val="24"/>
          <w:lang w:val="es-ES"/>
        </w:rPr>
      </w:pPr>
      <w:bookmarkStart w:id="7" w:name="_Toc34923428"/>
      <w:bookmarkStart w:id="8" w:name="_Toc445745137"/>
      <w:bookmarkStart w:id="9" w:name="_Toc447699318"/>
      <w:bookmarkStart w:id="10" w:name="_Toc452379730"/>
      <w:bookmarkStart w:id="11" w:name="_Toc459195482"/>
      <w:bookmarkStart w:id="12" w:name="_Toc461555892"/>
      <w:bookmarkStart w:id="13" w:name="_Toc462307689"/>
      <w:bookmarkStart w:id="14" w:name="_Toc473628138"/>
      <w:r w:rsidRPr="00D634D6">
        <w:rPr>
          <w:rFonts w:ascii="Palatino Linotype" w:eastAsia="Calibri" w:hAnsi="Palatino Linotype" w:cs="Times New Roman"/>
          <w:b/>
          <w:bCs/>
          <w:color w:val="auto"/>
          <w:sz w:val="24"/>
          <w:szCs w:val="24"/>
          <w:lang w:val="es-ES"/>
        </w:rPr>
        <w:t>TERCERO</w:t>
      </w:r>
      <w:r w:rsidR="00B549FD" w:rsidRPr="00D634D6">
        <w:rPr>
          <w:rFonts w:ascii="Palatino Linotype" w:eastAsia="Calibri" w:hAnsi="Palatino Linotype" w:cs="Times New Roman"/>
          <w:b/>
          <w:bCs/>
          <w:color w:val="auto"/>
          <w:sz w:val="24"/>
          <w:szCs w:val="24"/>
          <w:lang w:val="es-ES"/>
        </w:rPr>
        <w:t xml:space="preserve">. </w:t>
      </w:r>
      <w:r w:rsidR="00A55BA0" w:rsidRPr="00D634D6">
        <w:rPr>
          <w:rFonts w:ascii="Palatino Linotype" w:eastAsia="Calibri" w:hAnsi="Palatino Linotype" w:cs="Times New Roman"/>
          <w:b/>
          <w:bCs/>
          <w:color w:val="auto"/>
          <w:sz w:val="24"/>
          <w:szCs w:val="24"/>
          <w:lang w:val="es-ES"/>
        </w:rPr>
        <w:t xml:space="preserve">Del planteamiento de la </w:t>
      </w:r>
      <w:r w:rsidR="00E40A30" w:rsidRPr="00D634D6">
        <w:rPr>
          <w:rFonts w:ascii="Palatino Linotype" w:eastAsia="Calibri" w:hAnsi="Palatino Linotype" w:cs="Times New Roman"/>
          <w:b/>
          <w:bCs/>
          <w:i/>
          <w:color w:val="auto"/>
          <w:sz w:val="24"/>
          <w:szCs w:val="24"/>
          <w:lang w:val="es-ES"/>
        </w:rPr>
        <w:t>L</w:t>
      </w:r>
      <w:r w:rsidR="00A55BA0" w:rsidRPr="00D634D6">
        <w:rPr>
          <w:rFonts w:ascii="Palatino Linotype" w:eastAsia="Calibri" w:hAnsi="Palatino Linotype" w:cs="Times New Roman"/>
          <w:b/>
          <w:bCs/>
          <w:i/>
          <w:color w:val="auto"/>
          <w:sz w:val="24"/>
          <w:szCs w:val="24"/>
          <w:lang w:val="es-ES"/>
        </w:rPr>
        <w:t>itis</w:t>
      </w:r>
      <w:r w:rsidR="00A55BA0" w:rsidRPr="00D634D6">
        <w:rPr>
          <w:rFonts w:ascii="Palatino Linotype" w:eastAsia="Calibri" w:hAnsi="Palatino Linotype" w:cs="Times New Roman"/>
          <w:b/>
          <w:bCs/>
          <w:color w:val="auto"/>
          <w:sz w:val="24"/>
          <w:szCs w:val="24"/>
          <w:lang w:val="es-ES"/>
        </w:rPr>
        <w:t>.</w:t>
      </w:r>
      <w:bookmarkEnd w:id="7"/>
    </w:p>
    <w:bookmarkEnd w:id="8"/>
    <w:bookmarkEnd w:id="9"/>
    <w:bookmarkEnd w:id="10"/>
    <w:bookmarkEnd w:id="11"/>
    <w:bookmarkEnd w:id="12"/>
    <w:bookmarkEnd w:id="13"/>
    <w:bookmarkEnd w:id="14"/>
    <w:p w:rsidR="00093440" w:rsidRPr="00D634D6" w:rsidRDefault="00093440" w:rsidP="00D634D6">
      <w:pPr>
        <w:pStyle w:val="Prrafodelista"/>
        <w:tabs>
          <w:tab w:val="left" w:pos="142"/>
          <w:tab w:val="left" w:pos="284"/>
        </w:tabs>
        <w:spacing w:line="360" w:lineRule="auto"/>
        <w:ind w:left="0"/>
        <w:jc w:val="both"/>
        <w:rPr>
          <w:rFonts w:ascii="Palatino Linotype" w:hAnsi="Palatino Linotype"/>
          <w:sz w:val="24"/>
          <w:szCs w:val="24"/>
        </w:rPr>
      </w:pPr>
    </w:p>
    <w:p w:rsidR="00A55BA0" w:rsidRPr="00D634D6" w:rsidRDefault="00093440" w:rsidP="00D634D6">
      <w:pPr>
        <w:pStyle w:val="Prrafodelista"/>
        <w:numPr>
          <w:ilvl w:val="0"/>
          <w:numId w:val="2"/>
        </w:numPr>
        <w:tabs>
          <w:tab w:val="left" w:pos="142"/>
          <w:tab w:val="left" w:pos="426"/>
        </w:tabs>
        <w:spacing w:line="360" w:lineRule="auto"/>
        <w:ind w:left="0" w:firstLine="0"/>
        <w:jc w:val="both"/>
        <w:rPr>
          <w:rFonts w:ascii="Palatino Linotype" w:hAnsi="Palatino Linotype"/>
          <w:sz w:val="24"/>
          <w:szCs w:val="24"/>
        </w:rPr>
      </w:pPr>
      <w:r w:rsidRPr="00D634D6">
        <w:rPr>
          <w:rFonts w:ascii="Palatino Linotype" w:hAnsi="Palatino Linotype" w:cs="Arial"/>
          <w:sz w:val="24"/>
          <w:szCs w:val="24"/>
        </w:rPr>
        <w:t>E</w:t>
      </w:r>
      <w:r w:rsidR="00A55BA0" w:rsidRPr="00D634D6">
        <w:rPr>
          <w:rFonts w:ascii="Palatino Linotype" w:hAnsi="Palatino Linotype" w:cs="Arial"/>
          <w:sz w:val="24"/>
          <w:szCs w:val="24"/>
        </w:rPr>
        <w:t xml:space="preserve">l Recurso Revisión tiene como finalidad reparar cualquier posible afectación al derecho de acceso a la información pública en términos del Título Octavo de la </w:t>
      </w:r>
      <w:r w:rsidR="00A55BA0" w:rsidRPr="00D634D6">
        <w:rPr>
          <w:rFonts w:ascii="Palatino Linotype" w:eastAsia="Calibri" w:hAnsi="Palatino Linotype" w:cs="Arial"/>
          <w:b/>
          <w:sz w:val="24"/>
          <w:szCs w:val="24"/>
          <w:lang w:val="es-ES"/>
        </w:rPr>
        <w:t>Ley de Transparencia y Acceso a la Información Pública del Estado de México y Municipios</w:t>
      </w:r>
      <w:r w:rsidR="00A55BA0" w:rsidRPr="00D634D6">
        <w:rPr>
          <w:rFonts w:ascii="Palatino Linotype" w:hAnsi="Palatino Linotype" w:cs="Arial"/>
          <w:sz w:val="24"/>
          <w:szCs w:val="24"/>
        </w:rPr>
        <w:t xml:space="preserve"> y</w:t>
      </w:r>
      <w:r w:rsidR="00BC544B" w:rsidRPr="00D634D6">
        <w:rPr>
          <w:rFonts w:ascii="Palatino Linotype" w:hAnsi="Palatino Linotype" w:cs="Arial"/>
          <w:sz w:val="24"/>
          <w:szCs w:val="24"/>
        </w:rPr>
        <w:t>,</w:t>
      </w:r>
      <w:r w:rsidR="00A55BA0" w:rsidRPr="00D634D6">
        <w:rPr>
          <w:rFonts w:ascii="Palatino Linotype" w:hAnsi="Palatino Linotype" w:cs="Arial"/>
          <w:sz w:val="24"/>
          <w:szCs w:val="24"/>
        </w:rPr>
        <w:t xml:space="preserve"> determinar la confirmación; revocación o modificación; desechamiento o sobreseimiento; y en su caso ordenar la entrega de la información, respecto a las respuestas o falta de ellas de los Sujetos Obligados. </w:t>
      </w:r>
    </w:p>
    <w:p w:rsidR="00A55BA0" w:rsidRPr="00D634D6" w:rsidRDefault="00A55BA0" w:rsidP="00D634D6">
      <w:pPr>
        <w:pStyle w:val="Prrafodelista"/>
        <w:tabs>
          <w:tab w:val="left" w:pos="142"/>
          <w:tab w:val="left" w:pos="284"/>
        </w:tabs>
        <w:spacing w:line="360" w:lineRule="auto"/>
        <w:ind w:left="0"/>
        <w:jc w:val="both"/>
        <w:rPr>
          <w:rFonts w:ascii="Palatino Linotype" w:hAnsi="Palatino Linotype"/>
          <w:sz w:val="24"/>
          <w:szCs w:val="24"/>
        </w:rPr>
      </w:pPr>
    </w:p>
    <w:p w:rsidR="002572AE" w:rsidRPr="00D634D6" w:rsidRDefault="00093440"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i/>
          <w:sz w:val="24"/>
          <w:szCs w:val="24"/>
        </w:rPr>
      </w:pPr>
      <w:bookmarkStart w:id="15" w:name="_Toc454968928"/>
      <w:bookmarkStart w:id="16" w:name="_Toc455743517"/>
      <w:bookmarkStart w:id="17" w:name="_Toc458016386"/>
      <w:bookmarkStart w:id="18" w:name="_Toc461555893"/>
      <w:bookmarkStart w:id="19" w:name="_Toc462307690"/>
      <w:bookmarkStart w:id="20" w:name="_Toc475005143"/>
      <w:r w:rsidRPr="00D634D6">
        <w:rPr>
          <w:rFonts w:ascii="Palatino Linotype" w:hAnsi="Palatino Linotype" w:cs="Arial"/>
          <w:sz w:val="24"/>
          <w:szCs w:val="24"/>
        </w:rPr>
        <w:t xml:space="preserve">Dicho lo anterior, es de toral importancia manifestar que </w:t>
      </w:r>
      <w:r w:rsidR="004521B4" w:rsidRPr="00D634D6">
        <w:rPr>
          <w:rFonts w:ascii="Palatino Linotype" w:hAnsi="Palatino Linotype" w:cs="Arial"/>
          <w:sz w:val="24"/>
          <w:szCs w:val="24"/>
        </w:rPr>
        <w:t>el</w:t>
      </w:r>
      <w:r w:rsidR="00E40A30" w:rsidRPr="00D634D6">
        <w:rPr>
          <w:rFonts w:ascii="Palatino Linotype" w:hAnsi="Palatino Linotype" w:cs="Arial"/>
          <w:sz w:val="24"/>
          <w:szCs w:val="24"/>
        </w:rPr>
        <w:t xml:space="preserve"> particular, mediante la solicitud de información </w:t>
      </w:r>
      <w:r w:rsidR="00F43C60" w:rsidRPr="00D634D6">
        <w:rPr>
          <w:rFonts w:ascii="Palatino Linotype" w:hAnsi="Palatino Linotype" w:cs="Arial"/>
          <w:b/>
          <w:sz w:val="24"/>
          <w:szCs w:val="24"/>
        </w:rPr>
        <w:t>00126</w:t>
      </w:r>
      <w:r w:rsidR="00E40A30" w:rsidRPr="00D634D6">
        <w:rPr>
          <w:rFonts w:ascii="Palatino Linotype" w:hAnsi="Palatino Linotype" w:cs="Arial"/>
          <w:b/>
          <w:sz w:val="24"/>
          <w:szCs w:val="24"/>
        </w:rPr>
        <w:t>/</w:t>
      </w:r>
      <w:r w:rsidR="00F43C60" w:rsidRPr="00D634D6">
        <w:rPr>
          <w:rFonts w:ascii="Palatino Linotype" w:hAnsi="Palatino Linotype" w:cs="Arial"/>
          <w:b/>
          <w:sz w:val="24"/>
          <w:szCs w:val="24"/>
        </w:rPr>
        <w:t>ATIZAPAN/IP/</w:t>
      </w:r>
      <w:r w:rsidR="001B537C" w:rsidRPr="00D634D6">
        <w:rPr>
          <w:rFonts w:ascii="Palatino Linotype" w:hAnsi="Palatino Linotype" w:cs="Arial"/>
          <w:b/>
          <w:sz w:val="24"/>
          <w:szCs w:val="24"/>
        </w:rPr>
        <w:t>2019</w:t>
      </w:r>
      <w:r w:rsidRPr="00D634D6">
        <w:rPr>
          <w:rFonts w:ascii="Palatino Linotype" w:hAnsi="Palatino Linotype" w:cs="Arial"/>
          <w:b/>
          <w:sz w:val="24"/>
          <w:szCs w:val="24"/>
        </w:rPr>
        <w:t>,</w:t>
      </w:r>
      <w:r w:rsidRPr="00D634D6">
        <w:rPr>
          <w:rFonts w:ascii="Palatino Linotype" w:hAnsi="Palatino Linotype" w:cs="Arial"/>
          <w:sz w:val="24"/>
          <w:szCs w:val="24"/>
        </w:rPr>
        <w:t xml:space="preserve"> requirió</w:t>
      </w:r>
      <w:r w:rsidR="004521B4" w:rsidRPr="00D634D6">
        <w:rPr>
          <w:rFonts w:ascii="Palatino Linotype" w:hAnsi="Palatino Linotype" w:cs="Arial"/>
          <w:sz w:val="24"/>
          <w:szCs w:val="24"/>
        </w:rPr>
        <w:t xml:space="preserve"> </w:t>
      </w:r>
      <w:r w:rsidRPr="00D634D6">
        <w:rPr>
          <w:rFonts w:ascii="Palatino Linotype" w:hAnsi="Palatino Linotype" w:cs="Arial"/>
          <w:sz w:val="24"/>
          <w:szCs w:val="24"/>
        </w:rPr>
        <w:t xml:space="preserve">al </w:t>
      </w:r>
      <w:r w:rsidR="008877D5" w:rsidRPr="00D634D6">
        <w:rPr>
          <w:rFonts w:ascii="Palatino Linotype" w:hAnsi="Palatino Linotype" w:cs="Arial"/>
          <w:sz w:val="24"/>
          <w:szCs w:val="24"/>
        </w:rPr>
        <w:t xml:space="preserve">Ayuntamiento de </w:t>
      </w:r>
      <w:r w:rsidR="009E06B0" w:rsidRPr="00D634D6">
        <w:rPr>
          <w:rFonts w:ascii="Palatino Linotype" w:hAnsi="Palatino Linotype" w:cs="Arial"/>
          <w:sz w:val="24"/>
          <w:szCs w:val="24"/>
        </w:rPr>
        <w:t>Atizapán</w:t>
      </w:r>
      <w:r w:rsidR="008877D5" w:rsidRPr="00D634D6">
        <w:rPr>
          <w:rFonts w:ascii="Palatino Linotype" w:hAnsi="Palatino Linotype" w:cs="Arial"/>
          <w:sz w:val="24"/>
          <w:szCs w:val="24"/>
        </w:rPr>
        <w:t>, la siguiente información:</w:t>
      </w:r>
    </w:p>
    <w:p w:rsidR="008877D5" w:rsidRPr="00D634D6" w:rsidRDefault="008877D5" w:rsidP="00D634D6">
      <w:pPr>
        <w:pStyle w:val="Prrafodelista"/>
        <w:tabs>
          <w:tab w:val="left" w:pos="142"/>
          <w:tab w:val="left" w:pos="5084"/>
        </w:tabs>
        <w:spacing w:line="360" w:lineRule="auto"/>
        <w:ind w:left="0"/>
        <w:jc w:val="both"/>
        <w:rPr>
          <w:rFonts w:ascii="Palatino Linotype" w:hAnsi="Palatino Linotype"/>
          <w:sz w:val="24"/>
          <w:szCs w:val="24"/>
        </w:rPr>
      </w:pPr>
    </w:p>
    <w:p w:rsidR="00E9768E" w:rsidRPr="00D634D6" w:rsidRDefault="00082316" w:rsidP="00D634D6">
      <w:pPr>
        <w:pStyle w:val="Prrafodelista"/>
        <w:numPr>
          <w:ilvl w:val="1"/>
          <w:numId w:val="2"/>
        </w:numPr>
        <w:tabs>
          <w:tab w:val="left" w:pos="142"/>
          <w:tab w:val="left" w:pos="851"/>
        </w:tabs>
        <w:spacing w:line="360" w:lineRule="auto"/>
        <w:ind w:left="567" w:right="567" w:firstLine="0"/>
        <w:jc w:val="both"/>
        <w:rPr>
          <w:rFonts w:ascii="Palatino Linotype" w:hAnsi="Palatino Linotype"/>
          <w:sz w:val="24"/>
          <w:szCs w:val="24"/>
        </w:rPr>
      </w:pPr>
      <w:r w:rsidRPr="00D634D6">
        <w:rPr>
          <w:rFonts w:ascii="Palatino Linotype" w:hAnsi="Palatino Linotype"/>
          <w:sz w:val="24"/>
          <w:szCs w:val="24"/>
        </w:rPr>
        <w:lastRenderedPageBreak/>
        <w:t>Facturas y contratos derivados de los bienes comprados o rentados con recursos federales y locales para seguridad, incluyendo patrullas, radios y uniformes.</w:t>
      </w:r>
    </w:p>
    <w:p w:rsidR="00082316" w:rsidRPr="00D634D6" w:rsidRDefault="00082316" w:rsidP="00D634D6">
      <w:pPr>
        <w:pStyle w:val="Prrafodelista"/>
        <w:tabs>
          <w:tab w:val="left" w:pos="142"/>
          <w:tab w:val="left" w:pos="851"/>
        </w:tabs>
        <w:spacing w:line="360" w:lineRule="auto"/>
        <w:ind w:left="567" w:right="567"/>
        <w:jc w:val="both"/>
        <w:rPr>
          <w:rFonts w:ascii="Palatino Linotype" w:hAnsi="Palatino Linotype"/>
          <w:sz w:val="18"/>
          <w:szCs w:val="24"/>
        </w:rPr>
      </w:pPr>
    </w:p>
    <w:p w:rsidR="00093440" w:rsidRPr="00D634D6" w:rsidRDefault="00093440"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sz w:val="24"/>
          <w:szCs w:val="24"/>
        </w:rPr>
      </w:pPr>
      <w:r w:rsidRPr="00D634D6">
        <w:rPr>
          <w:rFonts w:ascii="Palatino Linotype" w:eastAsia="Times New Roman" w:hAnsi="Palatino Linotype" w:cs="Arial"/>
          <w:color w:val="222222"/>
          <w:sz w:val="24"/>
          <w:szCs w:val="24"/>
          <w:lang w:val="es-ES" w:eastAsia="es-MX"/>
        </w:rPr>
        <w:t xml:space="preserve">Posteriormente, y en razón de que el </w:t>
      </w:r>
      <w:r w:rsidRPr="00D634D6">
        <w:rPr>
          <w:rFonts w:ascii="Palatino Linotype" w:eastAsia="Times New Roman" w:hAnsi="Palatino Linotype" w:cs="Arial"/>
          <w:b/>
          <w:color w:val="222222"/>
          <w:sz w:val="24"/>
          <w:szCs w:val="24"/>
          <w:lang w:val="es-ES" w:eastAsia="es-MX"/>
        </w:rPr>
        <w:t>SUJETO OBLIGADO</w:t>
      </w:r>
      <w:r w:rsidRPr="00D634D6">
        <w:rPr>
          <w:rFonts w:ascii="Palatino Linotype" w:eastAsia="Times New Roman" w:hAnsi="Palatino Linotype" w:cs="Arial"/>
          <w:color w:val="222222"/>
          <w:sz w:val="24"/>
          <w:szCs w:val="24"/>
          <w:lang w:val="es-ES" w:eastAsia="es-MX"/>
        </w:rPr>
        <w:t xml:space="preserve"> no pronunció respuesta alguna a la solicitud de información, el </w:t>
      </w:r>
      <w:r w:rsidR="00082316" w:rsidRPr="00D634D6">
        <w:rPr>
          <w:rFonts w:ascii="Palatino Linotype" w:eastAsia="Times New Roman" w:hAnsi="Palatino Linotype" w:cs="Arial"/>
          <w:color w:val="222222"/>
          <w:sz w:val="24"/>
          <w:szCs w:val="24"/>
          <w:lang w:val="es-ES" w:eastAsia="es-MX"/>
        </w:rPr>
        <w:t>diecisiete</w:t>
      </w:r>
      <w:r w:rsidR="0052144D" w:rsidRPr="00D634D6">
        <w:rPr>
          <w:rFonts w:ascii="Palatino Linotype" w:eastAsia="Times New Roman" w:hAnsi="Palatino Linotype" w:cs="Arial"/>
          <w:color w:val="222222"/>
          <w:sz w:val="24"/>
          <w:szCs w:val="24"/>
          <w:lang w:val="es-ES" w:eastAsia="es-MX"/>
        </w:rPr>
        <w:t xml:space="preserve"> (</w:t>
      </w:r>
      <w:r w:rsidR="00082316" w:rsidRPr="00D634D6">
        <w:rPr>
          <w:rFonts w:ascii="Palatino Linotype" w:eastAsia="Times New Roman" w:hAnsi="Palatino Linotype" w:cs="Arial"/>
          <w:color w:val="222222"/>
          <w:sz w:val="24"/>
          <w:szCs w:val="24"/>
          <w:lang w:val="es-ES" w:eastAsia="es-MX"/>
        </w:rPr>
        <w:t>1</w:t>
      </w:r>
      <w:r w:rsidR="00E9768E" w:rsidRPr="00D634D6">
        <w:rPr>
          <w:rFonts w:ascii="Palatino Linotype" w:eastAsia="Times New Roman" w:hAnsi="Palatino Linotype" w:cs="Arial"/>
          <w:color w:val="222222"/>
          <w:sz w:val="24"/>
          <w:szCs w:val="24"/>
          <w:lang w:val="es-ES" w:eastAsia="es-MX"/>
        </w:rPr>
        <w:t>7</w:t>
      </w:r>
      <w:r w:rsidR="0052144D" w:rsidRPr="00D634D6">
        <w:rPr>
          <w:rFonts w:ascii="Palatino Linotype" w:eastAsia="Times New Roman" w:hAnsi="Palatino Linotype" w:cs="Arial"/>
          <w:color w:val="222222"/>
          <w:sz w:val="24"/>
          <w:szCs w:val="24"/>
          <w:lang w:val="es-ES" w:eastAsia="es-MX"/>
        </w:rPr>
        <w:t xml:space="preserve">) de </w:t>
      </w:r>
      <w:r w:rsidR="00082316" w:rsidRPr="00D634D6">
        <w:rPr>
          <w:rFonts w:ascii="Palatino Linotype" w:eastAsia="Times New Roman" w:hAnsi="Palatino Linotype" w:cs="Arial"/>
          <w:color w:val="222222"/>
          <w:sz w:val="24"/>
          <w:szCs w:val="24"/>
          <w:lang w:val="es-ES" w:eastAsia="es-MX"/>
        </w:rPr>
        <w:t>diciembre</w:t>
      </w:r>
      <w:r w:rsidR="0052144D" w:rsidRPr="00D634D6">
        <w:rPr>
          <w:rFonts w:ascii="Palatino Linotype" w:eastAsia="Times New Roman" w:hAnsi="Palatino Linotype" w:cs="Arial"/>
          <w:color w:val="222222"/>
          <w:sz w:val="24"/>
          <w:szCs w:val="24"/>
          <w:lang w:val="es-ES" w:eastAsia="es-MX"/>
        </w:rPr>
        <w:t xml:space="preserve"> de dos mil </w:t>
      </w:r>
      <w:r w:rsidR="002C4B4C" w:rsidRPr="00D634D6">
        <w:rPr>
          <w:rFonts w:ascii="Palatino Linotype" w:eastAsia="Times New Roman" w:hAnsi="Palatino Linotype" w:cs="Arial"/>
          <w:color w:val="222222"/>
          <w:sz w:val="24"/>
          <w:szCs w:val="24"/>
          <w:lang w:val="es-ES" w:eastAsia="es-MX"/>
        </w:rPr>
        <w:t>diecinueve</w:t>
      </w:r>
      <w:r w:rsidR="0052144D" w:rsidRPr="00D634D6">
        <w:rPr>
          <w:rFonts w:ascii="Palatino Linotype" w:eastAsia="Times New Roman" w:hAnsi="Palatino Linotype" w:cs="Arial"/>
          <w:color w:val="222222"/>
          <w:sz w:val="24"/>
          <w:szCs w:val="24"/>
          <w:lang w:val="es-ES" w:eastAsia="es-MX"/>
        </w:rPr>
        <w:t xml:space="preserve">, </w:t>
      </w:r>
      <w:r w:rsidR="004521B4" w:rsidRPr="00D634D6">
        <w:rPr>
          <w:rFonts w:ascii="Palatino Linotype" w:eastAsia="Times New Roman" w:hAnsi="Palatino Linotype" w:cs="Arial"/>
          <w:color w:val="222222"/>
          <w:sz w:val="24"/>
          <w:szCs w:val="24"/>
          <w:lang w:val="es-ES" w:eastAsia="es-MX"/>
        </w:rPr>
        <w:t>el</w:t>
      </w:r>
      <w:r w:rsidR="0052144D" w:rsidRPr="00D634D6">
        <w:rPr>
          <w:rFonts w:ascii="Palatino Linotype" w:eastAsia="Times New Roman" w:hAnsi="Palatino Linotype" w:cs="Arial"/>
          <w:color w:val="222222"/>
          <w:sz w:val="24"/>
          <w:szCs w:val="24"/>
          <w:lang w:val="es-ES" w:eastAsia="es-MX"/>
        </w:rPr>
        <w:t xml:space="preserve"> ahora </w:t>
      </w:r>
      <w:r w:rsidR="0052144D" w:rsidRPr="00D634D6">
        <w:rPr>
          <w:rFonts w:ascii="Palatino Linotype" w:eastAsia="Times New Roman" w:hAnsi="Palatino Linotype" w:cs="Arial"/>
          <w:b/>
          <w:color w:val="222222"/>
          <w:sz w:val="24"/>
          <w:szCs w:val="24"/>
          <w:lang w:val="es-ES" w:eastAsia="es-MX"/>
        </w:rPr>
        <w:t>RECURRENTE</w:t>
      </w:r>
      <w:r w:rsidR="0052144D" w:rsidRPr="00D634D6">
        <w:rPr>
          <w:rFonts w:ascii="Palatino Linotype" w:eastAsia="Times New Roman" w:hAnsi="Palatino Linotype" w:cs="Arial"/>
          <w:color w:val="222222"/>
          <w:sz w:val="24"/>
          <w:szCs w:val="24"/>
          <w:lang w:val="es-ES" w:eastAsia="es-MX"/>
        </w:rPr>
        <w:t xml:space="preserve"> promovió el recurso de revisión in</w:t>
      </w:r>
      <w:r w:rsidR="00DF0A74" w:rsidRPr="00D634D6">
        <w:rPr>
          <w:rFonts w:ascii="Palatino Linotype" w:eastAsia="Times New Roman" w:hAnsi="Palatino Linotype" w:cs="Arial"/>
          <w:color w:val="222222"/>
          <w:sz w:val="24"/>
          <w:szCs w:val="24"/>
          <w:lang w:val="es-ES" w:eastAsia="es-MX"/>
        </w:rPr>
        <w:t>dicado al rubro y, señalan</w:t>
      </w:r>
      <w:r w:rsidR="00127757" w:rsidRPr="00D634D6">
        <w:rPr>
          <w:rFonts w:ascii="Palatino Linotype" w:eastAsia="Times New Roman" w:hAnsi="Palatino Linotype" w:cs="Arial"/>
          <w:color w:val="222222"/>
          <w:sz w:val="24"/>
          <w:szCs w:val="24"/>
          <w:lang w:val="es-ES" w:eastAsia="es-MX"/>
        </w:rPr>
        <w:t xml:space="preserve">do por </w:t>
      </w:r>
      <w:r w:rsidR="00082316" w:rsidRPr="00D634D6">
        <w:rPr>
          <w:rFonts w:ascii="Palatino Linotype" w:eastAsia="Times New Roman" w:hAnsi="Palatino Linotype" w:cs="Arial"/>
          <w:color w:val="222222"/>
          <w:sz w:val="24"/>
          <w:szCs w:val="24"/>
          <w:lang w:val="es-ES" w:eastAsia="es-MX"/>
        </w:rPr>
        <w:t>acto impugnado la falta de respuesta.</w:t>
      </w:r>
    </w:p>
    <w:p w:rsidR="00BE67EA" w:rsidRPr="00D634D6" w:rsidRDefault="00BE67EA" w:rsidP="00D634D6">
      <w:pPr>
        <w:pStyle w:val="Prrafodelista"/>
        <w:tabs>
          <w:tab w:val="left" w:pos="142"/>
          <w:tab w:val="left" w:pos="284"/>
          <w:tab w:val="left" w:pos="426"/>
        </w:tabs>
        <w:spacing w:line="360" w:lineRule="auto"/>
        <w:ind w:left="0"/>
        <w:jc w:val="both"/>
        <w:rPr>
          <w:rFonts w:ascii="Palatino Linotype" w:hAnsi="Palatino Linotype"/>
          <w:sz w:val="20"/>
          <w:szCs w:val="24"/>
        </w:rPr>
      </w:pPr>
    </w:p>
    <w:p w:rsidR="00093440" w:rsidRPr="00D634D6" w:rsidRDefault="002C4B4C"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sz w:val="24"/>
          <w:szCs w:val="24"/>
        </w:rPr>
      </w:pPr>
      <w:r w:rsidRPr="00D634D6">
        <w:rPr>
          <w:rFonts w:ascii="Palatino Linotype" w:eastAsia="Times New Roman" w:hAnsi="Palatino Linotype" w:cs="Arial"/>
          <w:color w:val="222222"/>
          <w:sz w:val="24"/>
          <w:szCs w:val="24"/>
          <w:lang w:val="es-ES" w:eastAsia="es-MX"/>
        </w:rPr>
        <w:t xml:space="preserve">Luego, una vez abierto el periodo de instrucción, como quedó de manifiesto en el párrafo </w:t>
      </w:r>
      <w:r w:rsidR="006E6357" w:rsidRPr="00D634D6">
        <w:rPr>
          <w:rFonts w:ascii="Palatino Linotype" w:eastAsia="Times New Roman" w:hAnsi="Palatino Linotype" w:cs="Arial"/>
          <w:b/>
          <w:color w:val="222222"/>
          <w:sz w:val="24"/>
          <w:szCs w:val="24"/>
          <w:lang w:val="es-ES" w:eastAsia="es-MX"/>
        </w:rPr>
        <w:t>07</w:t>
      </w:r>
      <w:r w:rsidRPr="00D634D6">
        <w:rPr>
          <w:rFonts w:ascii="Palatino Linotype" w:eastAsia="Times New Roman" w:hAnsi="Palatino Linotype" w:cs="Arial"/>
          <w:color w:val="222222"/>
          <w:sz w:val="24"/>
          <w:szCs w:val="24"/>
          <w:lang w:val="es-ES" w:eastAsia="es-MX"/>
        </w:rPr>
        <w:t xml:space="preserve"> de la presente resolución, el </w:t>
      </w:r>
      <w:r w:rsidRPr="00D634D6">
        <w:rPr>
          <w:rFonts w:ascii="Palatino Linotype" w:eastAsia="Times New Roman" w:hAnsi="Palatino Linotype" w:cs="Arial"/>
          <w:b/>
          <w:color w:val="222222"/>
          <w:sz w:val="24"/>
          <w:szCs w:val="24"/>
          <w:lang w:val="es-ES" w:eastAsia="es-MX"/>
        </w:rPr>
        <w:t>SUJETO OBLIGADO</w:t>
      </w:r>
      <w:r w:rsidR="00900D44" w:rsidRPr="00D634D6">
        <w:rPr>
          <w:rFonts w:ascii="Palatino Linotype" w:eastAsia="Times New Roman" w:hAnsi="Palatino Linotype" w:cs="Arial"/>
          <w:color w:val="222222"/>
          <w:sz w:val="24"/>
          <w:szCs w:val="24"/>
          <w:lang w:val="es-ES" w:eastAsia="es-MX"/>
        </w:rPr>
        <w:t xml:space="preserve"> entregó</w:t>
      </w:r>
      <w:r w:rsidR="00082316" w:rsidRPr="00D634D6">
        <w:rPr>
          <w:rFonts w:ascii="Palatino Linotype" w:eastAsia="Times New Roman" w:hAnsi="Palatino Linotype" w:cs="Arial"/>
          <w:color w:val="222222"/>
          <w:sz w:val="24"/>
          <w:szCs w:val="24"/>
          <w:lang w:val="es-ES" w:eastAsia="es-MX"/>
        </w:rPr>
        <w:t xml:space="preserve"> una relación de bienes adquiridos con recursos federales para seguridad pública.</w:t>
      </w:r>
    </w:p>
    <w:p w:rsidR="00093440" w:rsidRPr="00D634D6" w:rsidRDefault="00093440" w:rsidP="00D634D6">
      <w:pPr>
        <w:pStyle w:val="Prrafodelista"/>
        <w:tabs>
          <w:tab w:val="left" w:pos="142"/>
          <w:tab w:val="left" w:pos="284"/>
          <w:tab w:val="left" w:pos="426"/>
        </w:tabs>
        <w:spacing w:line="360" w:lineRule="auto"/>
        <w:ind w:left="0"/>
        <w:jc w:val="both"/>
        <w:rPr>
          <w:rFonts w:ascii="Palatino Linotype" w:hAnsi="Palatino Linotype"/>
          <w:sz w:val="20"/>
          <w:szCs w:val="24"/>
        </w:rPr>
      </w:pPr>
    </w:p>
    <w:p w:rsidR="00D634D6" w:rsidRPr="00D634D6" w:rsidRDefault="00BE67EA"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sz w:val="24"/>
          <w:szCs w:val="24"/>
        </w:rPr>
      </w:pPr>
      <w:r w:rsidRPr="00D634D6">
        <w:rPr>
          <w:rFonts w:ascii="Palatino Linotype" w:eastAsia="Times New Roman" w:hAnsi="Palatino Linotype" w:cs="Arial"/>
          <w:color w:val="222222"/>
          <w:sz w:val="24"/>
          <w:szCs w:val="24"/>
          <w:lang w:val="es-ES" w:eastAsia="es-MX"/>
        </w:rPr>
        <w:t xml:space="preserve">Por lo anterior, </w:t>
      </w:r>
      <w:r w:rsidR="0052144D" w:rsidRPr="00D634D6">
        <w:rPr>
          <w:rFonts w:ascii="Palatino Linotype" w:hAnsi="Palatino Linotype" w:cs="Bookman Old Style"/>
          <w:sz w:val="24"/>
          <w:szCs w:val="24"/>
        </w:rPr>
        <w:t>se actualiza la causal de procedencia del recurso de revisión establecida</w:t>
      </w:r>
      <w:r w:rsidR="002C4B4C" w:rsidRPr="00D634D6">
        <w:rPr>
          <w:rFonts w:ascii="Palatino Linotype" w:hAnsi="Palatino Linotype" w:cs="Bookman Old Style"/>
          <w:sz w:val="24"/>
          <w:szCs w:val="24"/>
        </w:rPr>
        <w:t xml:space="preserve"> en el artículo 179 fracción</w:t>
      </w:r>
      <w:r w:rsidR="0052144D" w:rsidRPr="00D634D6">
        <w:rPr>
          <w:rFonts w:ascii="Palatino Linotype" w:hAnsi="Palatino Linotype" w:cs="Bookman Old Style"/>
          <w:sz w:val="24"/>
          <w:szCs w:val="24"/>
        </w:rPr>
        <w:t xml:space="preserve"> VII de la Ley de Transparencia y Acceso a la Información Pública del </w:t>
      </w:r>
      <w:r w:rsidR="002C4B4C" w:rsidRPr="00D634D6">
        <w:rPr>
          <w:rFonts w:ascii="Palatino Linotype" w:hAnsi="Palatino Linotype" w:cs="Bookman Old Style"/>
          <w:sz w:val="24"/>
          <w:szCs w:val="24"/>
        </w:rPr>
        <w:t>Estado de México y Municipios, la</w:t>
      </w:r>
      <w:r w:rsidR="0052144D" w:rsidRPr="00D634D6">
        <w:rPr>
          <w:rFonts w:ascii="Palatino Linotype" w:hAnsi="Palatino Linotype" w:cs="Bookman Old Style"/>
          <w:sz w:val="24"/>
          <w:szCs w:val="24"/>
        </w:rPr>
        <w:t xml:space="preserve"> cual dicta lo siguiente:</w:t>
      </w:r>
    </w:p>
    <w:p w:rsidR="00D634D6" w:rsidRPr="00D634D6" w:rsidRDefault="00D634D6" w:rsidP="00D634D6">
      <w:pPr>
        <w:pStyle w:val="Prrafodelista"/>
        <w:tabs>
          <w:tab w:val="left" w:pos="142"/>
          <w:tab w:val="left" w:pos="284"/>
          <w:tab w:val="left" w:pos="426"/>
        </w:tabs>
        <w:spacing w:line="360" w:lineRule="auto"/>
        <w:ind w:left="0"/>
        <w:jc w:val="both"/>
        <w:rPr>
          <w:rFonts w:ascii="Palatino Linotype" w:hAnsi="Palatino Linotype"/>
          <w:sz w:val="20"/>
          <w:szCs w:val="24"/>
        </w:rPr>
      </w:pPr>
    </w:p>
    <w:p w:rsidR="0052144D" w:rsidRPr="00D634D6" w:rsidRDefault="0052144D" w:rsidP="00D634D6">
      <w:pPr>
        <w:pStyle w:val="Sinespaciado"/>
        <w:spacing w:line="360" w:lineRule="auto"/>
        <w:ind w:left="851" w:right="567"/>
        <w:jc w:val="both"/>
        <w:rPr>
          <w:rFonts w:ascii="Palatino Linotype" w:hAnsi="Palatino Linotype"/>
          <w:i/>
          <w:sz w:val="22"/>
        </w:rPr>
      </w:pPr>
      <w:r w:rsidRPr="00D634D6">
        <w:rPr>
          <w:rFonts w:ascii="Palatino Linotype" w:hAnsi="Palatino Linotype"/>
          <w:i/>
          <w:sz w:val="22"/>
        </w:rPr>
        <w:t>“</w:t>
      </w:r>
      <w:r w:rsidRPr="00D634D6">
        <w:rPr>
          <w:rFonts w:ascii="Palatino Linotype" w:hAnsi="Palatino Linotype"/>
          <w:b/>
          <w:i/>
          <w:sz w:val="22"/>
        </w:rPr>
        <w:t>Artículo 179.</w:t>
      </w:r>
      <w:r w:rsidRPr="00D634D6">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 </w:t>
      </w:r>
    </w:p>
    <w:p w:rsidR="0052144D" w:rsidRPr="00D634D6" w:rsidRDefault="0052144D" w:rsidP="00D634D6">
      <w:pPr>
        <w:pStyle w:val="Sinespaciado"/>
        <w:spacing w:line="360" w:lineRule="auto"/>
        <w:ind w:left="851" w:right="567"/>
        <w:jc w:val="both"/>
        <w:rPr>
          <w:rFonts w:ascii="Palatino Linotype" w:hAnsi="Palatino Linotype"/>
          <w:i/>
          <w:sz w:val="22"/>
        </w:rPr>
      </w:pPr>
      <w:r w:rsidRPr="00D634D6">
        <w:rPr>
          <w:rFonts w:ascii="Palatino Linotype" w:hAnsi="Palatino Linotype"/>
          <w:i/>
          <w:sz w:val="22"/>
        </w:rPr>
        <w:t>(…)</w:t>
      </w:r>
    </w:p>
    <w:p w:rsidR="0052144D" w:rsidRPr="00D634D6" w:rsidRDefault="0052144D" w:rsidP="00D634D6">
      <w:pPr>
        <w:pStyle w:val="Sinespaciado"/>
        <w:spacing w:line="360" w:lineRule="auto"/>
        <w:ind w:left="851" w:right="567"/>
        <w:jc w:val="both"/>
        <w:rPr>
          <w:rFonts w:ascii="Palatino Linotype" w:hAnsi="Palatino Linotype"/>
          <w:i/>
          <w:sz w:val="22"/>
        </w:rPr>
      </w:pPr>
      <w:r w:rsidRPr="00D634D6">
        <w:rPr>
          <w:rFonts w:ascii="Palatino Linotype" w:hAnsi="Palatino Linotype"/>
          <w:b/>
          <w:i/>
          <w:sz w:val="22"/>
        </w:rPr>
        <w:t>VII.</w:t>
      </w:r>
      <w:r w:rsidRPr="00D634D6">
        <w:rPr>
          <w:rFonts w:ascii="Palatino Linotype" w:hAnsi="Palatino Linotype"/>
          <w:i/>
          <w:sz w:val="22"/>
        </w:rPr>
        <w:t xml:space="preserve"> La falta de respuesta a una solicitud de acceso a la información;</w:t>
      </w:r>
    </w:p>
    <w:p w:rsidR="0052144D" w:rsidRPr="00D634D6" w:rsidRDefault="0052144D" w:rsidP="00D634D6">
      <w:pPr>
        <w:pStyle w:val="Sinespaciado"/>
        <w:spacing w:line="360" w:lineRule="auto"/>
        <w:ind w:left="851" w:right="567"/>
        <w:jc w:val="both"/>
        <w:rPr>
          <w:rFonts w:ascii="Palatino Linotype" w:hAnsi="Palatino Linotype" w:cs="Arial"/>
          <w:i/>
          <w:sz w:val="22"/>
        </w:rPr>
      </w:pPr>
      <w:r w:rsidRPr="00D634D6">
        <w:rPr>
          <w:rFonts w:ascii="Palatino Linotype" w:hAnsi="Palatino Linotype"/>
          <w:i/>
          <w:sz w:val="22"/>
        </w:rPr>
        <w:t>(…)”</w:t>
      </w:r>
    </w:p>
    <w:p w:rsidR="00A55BA0" w:rsidRPr="00D634D6" w:rsidRDefault="00082316"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sz w:val="24"/>
          <w:szCs w:val="18"/>
        </w:rPr>
      </w:pPr>
      <w:r w:rsidRPr="00D634D6">
        <w:rPr>
          <w:rFonts w:ascii="Palatino Linotype" w:hAnsi="Palatino Linotype" w:cs="Arial"/>
          <w:sz w:val="24"/>
          <w:szCs w:val="23"/>
        </w:rPr>
        <w:lastRenderedPageBreak/>
        <w:t>Así las cosas</w:t>
      </w:r>
      <w:r w:rsidR="00A55BA0" w:rsidRPr="00D634D6">
        <w:rPr>
          <w:rFonts w:ascii="Palatino Linotype" w:hAnsi="Palatino Linotype" w:cs="Arial"/>
          <w:sz w:val="24"/>
          <w:szCs w:val="23"/>
        </w:rPr>
        <w:t xml:space="preserve">, el presente recurso de revisión se circunscribe en determinar si el </w:t>
      </w:r>
      <w:r w:rsidR="00A55BA0" w:rsidRPr="00D634D6">
        <w:rPr>
          <w:rFonts w:ascii="Palatino Linotype" w:hAnsi="Palatino Linotype" w:cs="Arial"/>
          <w:b/>
          <w:sz w:val="24"/>
          <w:szCs w:val="23"/>
        </w:rPr>
        <w:t>SUJETO</w:t>
      </w:r>
      <w:r w:rsidR="00A55BA0" w:rsidRPr="00D634D6">
        <w:rPr>
          <w:rFonts w:ascii="Palatino Linotype" w:hAnsi="Palatino Linotype" w:cs="Arial"/>
          <w:sz w:val="24"/>
          <w:szCs w:val="23"/>
        </w:rPr>
        <w:t xml:space="preserve"> </w:t>
      </w:r>
      <w:r w:rsidR="00A55BA0" w:rsidRPr="00D634D6">
        <w:rPr>
          <w:rFonts w:ascii="Palatino Linotype" w:hAnsi="Palatino Linotype" w:cs="Arial"/>
          <w:b/>
          <w:sz w:val="24"/>
          <w:szCs w:val="23"/>
        </w:rPr>
        <w:t>OBLIGADO</w:t>
      </w:r>
      <w:r w:rsidRPr="00D634D6">
        <w:rPr>
          <w:rFonts w:ascii="Palatino Linotype" w:eastAsia="Times New Roman" w:hAnsi="Palatino Linotype" w:cs="Arial"/>
          <w:sz w:val="24"/>
          <w:lang w:val="es-ES" w:eastAsia="es-MX"/>
        </w:rPr>
        <w:t xml:space="preserve">, con la información entregada mediante informe justificado, colma el derecho de acceso a la información del </w:t>
      </w:r>
      <w:r w:rsidRPr="00D634D6">
        <w:rPr>
          <w:rFonts w:ascii="Palatino Linotype" w:eastAsia="Times New Roman" w:hAnsi="Palatino Linotype" w:cs="Arial"/>
          <w:b/>
          <w:sz w:val="24"/>
          <w:lang w:val="es-ES" w:eastAsia="es-MX"/>
        </w:rPr>
        <w:t>RECURRENTE</w:t>
      </w:r>
      <w:r w:rsidRPr="00D634D6">
        <w:rPr>
          <w:rFonts w:ascii="Palatino Linotype" w:eastAsia="Times New Roman" w:hAnsi="Palatino Linotype" w:cs="Arial"/>
          <w:sz w:val="24"/>
          <w:lang w:val="es-ES" w:eastAsia="es-MX"/>
        </w:rPr>
        <w:t>.</w:t>
      </w:r>
    </w:p>
    <w:p w:rsidR="00BE67EA" w:rsidRPr="00D634D6" w:rsidRDefault="00BE67EA" w:rsidP="00D634D6">
      <w:pPr>
        <w:pStyle w:val="Prrafodelista"/>
        <w:tabs>
          <w:tab w:val="left" w:pos="142"/>
          <w:tab w:val="left" w:pos="284"/>
          <w:tab w:val="left" w:pos="426"/>
        </w:tabs>
        <w:spacing w:line="360" w:lineRule="auto"/>
        <w:ind w:left="0"/>
        <w:jc w:val="both"/>
        <w:rPr>
          <w:rFonts w:ascii="Palatino Linotype" w:hAnsi="Palatino Linotype"/>
          <w:sz w:val="24"/>
          <w:szCs w:val="18"/>
        </w:rPr>
      </w:pPr>
    </w:p>
    <w:p w:rsidR="00973046" w:rsidRPr="00D634D6" w:rsidRDefault="00973046" w:rsidP="00D634D6">
      <w:pPr>
        <w:keepNext/>
        <w:keepLines/>
        <w:tabs>
          <w:tab w:val="left" w:pos="142"/>
          <w:tab w:val="left" w:pos="284"/>
        </w:tabs>
        <w:spacing w:line="360" w:lineRule="auto"/>
        <w:outlineLvl w:val="1"/>
        <w:rPr>
          <w:rFonts w:ascii="Palatino Linotype" w:eastAsia="MS Gothic" w:hAnsi="Palatino Linotype" w:cs="Times New Roman"/>
          <w:b/>
          <w:sz w:val="24"/>
          <w:szCs w:val="26"/>
        </w:rPr>
      </w:pPr>
      <w:bookmarkStart w:id="21" w:name="_Toc34923429"/>
      <w:bookmarkStart w:id="22" w:name="_Toc499659080"/>
      <w:r w:rsidRPr="00D634D6">
        <w:rPr>
          <w:rFonts w:ascii="Palatino Linotype" w:eastAsia="MS Gothic" w:hAnsi="Palatino Linotype" w:cs="Times New Roman"/>
          <w:b/>
          <w:sz w:val="24"/>
          <w:szCs w:val="26"/>
        </w:rPr>
        <w:t>CUARTO</w:t>
      </w:r>
      <w:r w:rsidR="001E4669" w:rsidRPr="00D634D6">
        <w:rPr>
          <w:rFonts w:ascii="Palatino Linotype" w:eastAsia="MS Gothic" w:hAnsi="Palatino Linotype" w:cs="Times New Roman"/>
          <w:b/>
          <w:sz w:val="24"/>
          <w:szCs w:val="26"/>
        </w:rPr>
        <w:t xml:space="preserve">. </w:t>
      </w:r>
      <w:r w:rsidR="00390C2D" w:rsidRPr="00D634D6">
        <w:rPr>
          <w:rFonts w:ascii="Palatino Linotype" w:eastAsia="MS Gothic" w:hAnsi="Palatino Linotype" w:cs="Times New Roman"/>
          <w:b/>
          <w:sz w:val="24"/>
          <w:szCs w:val="26"/>
        </w:rPr>
        <w:t>Del estudio y resolución del asunto</w:t>
      </w:r>
      <w:bookmarkEnd w:id="21"/>
    </w:p>
    <w:p w:rsidR="00973046" w:rsidRPr="00D634D6" w:rsidRDefault="00973046" w:rsidP="00D634D6">
      <w:pPr>
        <w:spacing w:line="360" w:lineRule="auto"/>
        <w:rPr>
          <w:rFonts w:ascii="Palatino Linotype" w:eastAsia="MS Gothic" w:hAnsi="Palatino Linotype" w:cs="Times New Roman"/>
          <w:b/>
          <w:sz w:val="24"/>
          <w:szCs w:val="26"/>
        </w:rPr>
      </w:pPr>
    </w:p>
    <w:p w:rsidR="00390C2D" w:rsidRPr="00D634D6" w:rsidRDefault="006E5EF0" w:rsidP="00D634D6">
      <w:pPr>
        <w:pStyle w:val="Prrafodelista"/>
        <w:keepNext/>
        <w:keepLines/>
        <w:tabs>
          <w:tab w:val="left" w:pos="142"/>
          <w:tab w:val="left" w:pos="284"/>
        </w:tabs>
        <w:spacing w:line="360" w:lineRule="auto"/>
        <w:ind w:left="0"/>
        <w:outlineLvl w:val="2"/>
        <w:rPr>
          <w:rFonts w:ascii="Palatino Linotype" w:eastAsia="MS Gothic" w:hAnsi="Palatino Linotype" w:cs="Times New Roman"/>
          <w:b/>
          <w:sz w:val="24"/>
          <w:szCs w:val="26"/>
        </w:rPr>
      </w:pPr>
      <w:bookmarkStart w:id="23" w:name="_Toc498528948"/>
      <w:bookmarkStart w:id="24" w:name="_Toc34923430"/>
      <w:r w:rsidRPr="00D634D6">
        <w:rPr>
          <w:rFonts w:ascii="Palatino Linotype" w:eastAsia="MS Gothic" w:hAnsi="Palatino Linotype" w:cs="Times New Roman"/>
          <w:b/>
          <w:sz w:val="24"/>
          <w:szCs w:val="26"/>
        </w:rPr>
        <w:t xml:space="preserve">I. </w:t>
      </w:r>
      <w:r w:rsidR="00390C2D" w:rsidRPr="00D634D6">
        <w:rPr>
          <w:rFonts w:ascii="Palatino Linotype" w:eastAsia="MS Gothic" w:hAnsi="Palatino Linotype" w:cs="Times New Roman"/>
          <w:b/>
          <w:sz w:val="24"/>
          <w:szCs w:val="26"/>
        </w:rPr>
        <w:t>Del deber de las autoridades de promover, respetar, proteger y garantizar el derecho de acceso a la información pública.</w:t>
      </w:r>
      <w:bookmarkEnd w:id="23"/>
      <w:bookmarkEnd w:id="24"/>
      <w:r w:rsidR="00390C2D" w:rsidRPr="00D634D6">
        <w:rPr>
          <w:rFonts w:ascii="Palatino Linotype" w:eastAsia="MS Gothic" w:hAnsi="Palatino Linotype" w:cs="Times New Roman"/>
          <w:b/>
          <w:sz w:val="24"/>
          <w:szCs w:val="26"/>
        </w:rPr>
        <w:t xml:space="preserve"> </w:t>
      </w:r>
    </w:p>
    <w:p w:rsidR="008877D5" w:rsidRPr="00D634D6" w:rsidRDefault="008877D5" w:rsidP="00D634D6">
      <w:pPr>
        <w:pStyle w:val="Prrafodelista"/>
        <w:tabs>
          <w:tab w:val="left" w:pos="142"/>
          <w:tab w:val="left" w:pos="284"/>
          <w:tab w:val="left" w:pos="426"/>
        </w:tabs>
        <w:spacing w:line="360" w:lineRule="auto"/>
        <w:ind w:left="0"/>
        <w:jc w:val="both"/>
        <w:rPr>
          <w:rFonts w:ascii="Palatino Linotype" w:eastAsia="MS Mincho" w:hAnsi="Palatino Linotype" w:cs="Times New Roman"/>
          <w:color w:val="000000"/>
          <w:sz w:val="24"/>
        </w:rPr>
      </w:pPr>
    </w:p>
    <w:p w:rsidR="00390C2D" w:rsidRPr="00D634D6" w:rsidRDefault="008877D5"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Mincho" w:hAnsi="Palatino Linotype" w:cs="Times New Roman"/>
          <w:color w:val="000000"/>
          <w:sz w:val="24"/>
        </w:rPr>
      </w:pPr>
      <w:r w:rsidRPr="00D634D6">
        <w:rPr>
          <w:rFonts w:ascii="Palatino Linotype" w:hAnsi="Palatino Linotype"/>
          <w:sz w:val="24"/>
        </w:rPr>
        <w:t>E</w:t>
      </w:r>
      <w:r w:rsidR="00390C2D" w:rsidRPr="00D634D6">
        <w:rPr>
          <w:rFonts w:ascii="Palatino Linotype" w:hAnsi="Palatino Linotype"/>
          <w:sz w:val="24"/>
        </w:rPr>
        <w:t xml:space="preserve">s menester precisar que este </w:t>
      </w:r>
      <w:r w:rsidR="00390C2D" w:rsidRPr="00D634D6">
        <w:rPr>
          <w:rFonts w:ascii="Palatino Linotype" w:eastAsia="MS Mincho" w:hAnsi="Palatino Linotype" w:cs="Times New Roman"/>
          <w:color w:val="000000"/>
          <w:sz w:val="24"/>
        </w:rPr>
        <w:t xml:space="preserve">Órgano Garante parte de que </w:t>
      </w:r>
      <w:r w:rsidR="00390C2D" w:rsidRPr="00D634D6">
        <w:rPr>
          <w:rFonts w:ascii="Palatino Linotype" w:eastAsia="Times New Roman" w:hAnsi="Palatino Linotype" w:cs="Arial"/>
          <w:color w:val="000000"/>
          <w:sz w:val="24"/>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w:t>
      </w:r>
      <w:r w:rsidR="00C73AB8" w:rsidRPr="00D634D6">
        <w:rPr>
          <w:rFonts w:ascii="Palatino Linotype" w:eastAsia="Times New Roman" w:hAnsi="Palatino Linotype" w:cs="Arial"/>
          <w:color w:val="000000"/>
          <w:sz w:val="24"/>
          <w:lang w:eastAsia="es-MX"/>
        </w:rPr>
        <w:t>,</w:t>
      </w:r>
      <w:r w:rsidR="00390C2D" w:rsidRPr="00D634D6">
        <w:rPr>
          <w:rFonts w:ascii="Palatino Linotype" w:eastAsia="Times New Roman" w:hAnsi="Palatino Linotype" w:cs="Arial"/>
          <w:color w:val="000000"/>
          <w:sz w:val="24"/>
          <w:lang w:eastAsia="es-MX"/>
        </w:rPr>
        <w:t xml:space="preserve"> el</w:t>
      </w:r>
      <w:r w:rsidR="00390C2D" w:rsidRPr="00D634D6">
        <w:rPr>
          <w:rFonts w:ascii="Palatino Linotype" w:eastAsia="Times New Roman" w:hAnsi="Palatino Linotype" w:cs="Arial"/>
          <w:color w:val="000000"/>
          <w:sz w:val="24"/>
        </w:rPr>
        <w:t xml:space="preserve"> </w:t>
      </w:r>
      <w:r w:rsidR="00390C2D" w:rsidRPr="00D634D6">
        <w:rPr>
          <w:rFonts w:ascii="Palatino Linotype" w:eastAsia="Times New Roman" w:hAnsi="Palatino Linotype" w:cs="Arial"/>
          <w:b/>
          <w:color w:val="000000"/>
          <w:sz w:val="24"/>
        </w:rPr>
        <w:t>SUJETO OBLIGADO</w:t>
      </w:r>
      <w:r w:rsidR="00390C2D" w:rsidRPr="00D634D6">
        <w:rPr>
          <w:rFonts w:ascii="Palatino Linotype" w:eastAsia="Times New Roman" w:hAnsi="Palatino Linotype" w:cs="Arial"/>
          <w:color w:val="000000"/>
          <w:sz w:val="24"/>
        </w:rPr>
        <w:t xml:space="preserve"> debe ser cuidadoso del debido cumplimiento de las obligaciones constitucionales que se le imponen</w:t>
      </w:r>
      <w:r w:rsidR="002C4B4C" w:rsidRPr="00D634D6">
        <w:rPr>
          <w:rFonts w:ascii="Palatino Linotype" w:eastAsia="Times New Roman" w:hAnsi="Palatino Linotype" w:cs="Arial"/>
          <w:color w:val="000000"/>
          <w:sz w:val="24"/>
        </w:rPr>
        <w:t>,</w:t>
      </w:r>
      <w:r w:rsidR="00390C2D" w:rsidRPr="00D634D6">
        <w:rPr>
          <w:rFonts w:ascii="Palatino Linotype" w:eastAsia="Times New Roman" w:hAnsi="Palatino Linotype" w:cs="Arial"/>
          <w:color w:val="000000"/>
          <w:sz w:val="24"/>
        </w:rPr>
        <w:t xml:space="preserve"> en consecuencia a todas las autoridades, en el ámbito de su competencia, según lo dispone el tercer párrafo del artículo primero de la </w:t>
      </w:r>
      <w:r w:rsidR="00390C2D" w:rsidRPr="00D634D6">
        <w:rPr>
          <w:rFonts w:ascii="Palatino Linotype" w:eastAsia="Times New Roman" w:hAnsi="Palatino Linotype" w:cs="Arial"/>
          <w:b/>
          <w:color w:val="000000"/>
          <w:sz w:val="24"/>
        </w:rPr>
        <w:t xml:space="preserve">Constitución Política de los Estados Unidos Mexicanos </w:t>
      </w:r>
      <w:r w:rsidR="00390C2D" w:rsidRPr="00D634D6">
        <w:rPr>
          <w:rFonts w:ascii="Palatino Linotype" w:eastAsia="Times New Roman" w:hAnsi="Palatino Linotype" w:cs="Arial"/>
          <w:color w:val="000000"/>
          <w:sz w:val="24"/>
        </w:rPr>
        <w:t xml:space="preserve">al señalar la obligación de “promover, </w:t>
      </w:r>
      <w:r w:rsidR="00390C2D" w:rsidRPr="00D634D6">
        <w:rPr>
          <w:rFonts w:ascii="Palatino Linotype" w:eastAsia="Times New Roman" w:hAnsi="Palatino Linotype" w:cs="Arial"/>
          <w:b/>
          <w:color w:val="000000"/>
          <w:sz w:val="24"/>
        </w:rPr>
        <w:t>respetar</w:t>
      </w:r>
      <w:r w:rsidR="00390C2D" w:rsidRPr="00D634D6">
        <w:rPr>
          <w:rFonts w:ascii="Palatino Linotype" w:eastAsia="Times New Roman" w:hAnsi="Palatino Linotype" w:cs="Arial"/>
          <w:color w:val="000000"/>
          <w:sz w:val="24"/>
        </w:rPr>
        <w:t xml:space="preserve">, proteger y </w:t>
      </w:r>
      <w:r w:rsidR="00390C2D" w:rsidRPr="00D634D6">
        <w:rPr>
          <w:rFonts w:ascii="Palatino Linotype" w:eastAsia="Times New Roman" w:hAnsi="Palatino Linotype" w:cs="Arial"/>
          <w:b/>
          <w:color w:val="000000"/>
          <w:sz w:val="24"/>
          <w:u w:val="single"/>
        </w:rPr>
        <w:t>garantizar</w:t>
      </w:r>
      <w:r w:rsidR="00390C2D" w:rsidRPr="00D634D6">
        <w:rPr>
          <w:rFonts w:ascii="Palatino Linotype" w:eastAsia="Times New Roman" w:hAnsi="Palatino Linotype" w:cs="Arial"/>
          <w:color w:val="000000"/>
          <w:sz w:val="24"/>
        </w:rPr>
        <w:t xml:space="preserve"> los derechos humanos”, entre los cuales se encuentra dicho derecho. </w:t>
      </w:r>
    </w:p>
    <w:p w:rsidR="00390C2D" w:rsidRPr="00D634D6" w:rsidRDefault="00390C2D" w:rsidP="00D634D6">
      <w:pPr>
        <w:pStyle w:val="Prrafodelista"/>
        <w:tabs>
          <w:tab w:val="left" w:pos="142"/>
          <w:tab w:val="left" w:pos="284"/>
          <w:tab w:val="left" w:pos="426"/>
        </w:tabs>
        <w:spacing w:line="360" w:lineRule="auto"/>
        <w:ind w:left="0" w:right="49"/>
        <w:jc w:val="both"/>
        <w:rPr>
          <w:rFonts w:ascii="Palatino Linotype" w:eastAsia="MS Mincho" w:hAnsi="Palatino Linotype" w:cs="Times New Roman"/>
          <w:color w:val="000000"/>
          <w:sz w:val="24"/>
        </w:rPr>
      </w:pPr>
    </w:p>
    <w:p w:rsidR="00390C2D" w:rsidRPr="00D634D6" w:rsidRDefault="00390C2D" w:rsidP="00D634D6">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634D6">
        <w:rPr>
          <w:rFonts w:ascii="Palatino Linotype" w:eastAsia="Times New Roman" w:hAnsi="Palatino Linotype"/>
          <w:sz w:val="24"/>
        </w:rPr>
        <w:lastRenderedPageBreak/>
        <w:t xml:space="preserve">Definiendo el Derecho de Acceso a la Información Pública como: </w:t>
      </w:r>
      <w:r w:rsidRPr="00D634D6">
        <w:rPr>
          <w:rFonts w:ascii="Palatino Linotype" w:hAnsi="Palatino Linotype"/>
          <w:i/>
          <w:color w:val="000000"/>
          <w:sz w:val="24"/>
        </w:rPr>
        <w:t>La igualdad de oportunidades para recibir, buscar e impartir información</w:t>
      </w:r>
      <w:r w:rsidRPr="00D634D6">
        <w:rPr>
          <w:rStyle w:val="Refdenotaalpie"/>
          <w:rFonts w:ascii="Palatino Linotype" w:hAnsi="Palatino Linotype"/>
          <w:i/>
          <w:color w:val="000000"/>
          <w:sz w:val="24"/>
        </w:rPr>
        <w:footnoteReference w:id="1"/>
      </w:r>
      <w:r w:rsidRPr="00D634D6">
        <w:rPr>
          <w:rFonts w:ascii="Palatino Linotype" w:hAnsi="Palatino Linotype"/>
          <w:i/>
          <w:color w:val="000000"/>
          <w:sz w:val="24"/>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634D6">
        <w:rPr>
          <w:rStyle w:val="Refdenotaalpie"/>
          <w:rFonts w:ascii="Palatino Linotype" w:hAnsi="Palatino Linotype"/>
          <w:i/>
          <w:color w:val="000000"/>
          <w:sz w:val="24"/>
        </w:rPr>
        <w:footnoteReference w:id="2"/>
      </w:r>
      <w:r w:rsidRPr="00D634D6">
        <w:rPr>
          <w:rFonts w:ascii="Palatino Linotype" w:hAnsi="Palatino Linotype"/>
          <w:color w:val="000000"/>
          <w:sz w:val="24"/>
        </w:rPr>
        <w:t>que se constituye como una herramienta fundamental para ejercer</w:t>
      </w:r>
      <w:r w:rsidRPr="00D634D6">
        <w:rPr>
          <w:rFonts w:ascii="Palatino Linotype" w:hAnsi="Palatino Linotype"/>
          <w:i/>
          <w:color w:val="000000"/>
          <w:sz w:val="24"/>
        </w:rPr>
        <w:t xml:space="preserve"> el control democrático de las gestiones estatales, de forma tal que puedan cuestionar, indagar y considerar si se está dando un adecuado cumplimiento a las funciones públicas,</w:t>
      </w:r>
      <w:r w:rsidRPr="00D634D6">
        <w:rPr>
          <w:rStyle w:val="Refdenotaalpie"/>
          <w:rFonts w:ascii="Palatino Linotype" w:hAnsi="Palatino Linotype"/>
          <w:i/>
          <w:color w:val="000000"/>
          <w:sz w:val="24"/>
        </w:rPr>
        <w:footnoteReference w:id="3"/>
      </w:r>
      <w:r w:rsidRPr="00D634D6">
        <w:rPr>
          <w:rFonts w:ascii="Palatino Linotype" w:hAnsi="Palatino Linotype"/>
          <w:color w:val="000000"/>
          <w:sz w:val="24"/>
        </w:rPr>
        <w:t>fomentando</w:t>
      </w:r>
      <w:r w:rsidRPr="00D634D6">
        <w:rPr>
          <w:rFonts w:ascii="Palatino Linotype" w:hAnsi="Palatino Linotype"/>
          <w:i/>
          <w:color w:val="000000"/>
          <w:sz w:val="24"/>
        </w:rPr>
        <w:t xml:space="preserve"> la transparencia de las actividades estatales y </w:t>
      </w:r>
      <w:r w:rsidRPr="00D634D6">
        <w:rPr>
          <w:rFonts w:ascii="Palatino Linotype" w:hAnsi="Palatino Linotype"/>
          <w:color w:val="000000"/>
          <w:sz w:val="24"/>
        </w:rPr>
        <w:t>promoviendo</w:t>
      </w:r>
      <w:r w:rsidRPr="00D634D6">
        <w:rPr>
          <w:rFonts w:ascii="Palatino Linotype" w:hAnsi="Palatino Linotype"/>
          <w:i/>
          <w:color w:val="000000"/>
          <w:sz w:val="24"/>
        </w:rPr>
        <w:t xml:space="preserve"> la responsabilidad de los funcionarios sobre su gestión pública,</w:t>
      </w:r>
      <w:r w:rsidRPr="00D634D6">
        <w:rPr>
          <w:rStyle w:val="Refdenotaalpie"/>
          <w:rFonts w:ascii="Palatino Linotype" w:hAnsi="Palatino Linotype"/>
          <w:i/>
          <w:color w:val="000000"/>
          <w:sz w:val="24"/>
        </w:rPr>
        <w:footnoteReference w:id="4"/>
      </w:r>
      <w:r w:rsidRPr="00D634D6">
        <w:rPr>
          <w:rFonts w:ascii="Palatino Linotype" w:hAnsi="Palatino Linotype"/>
          <w:color w:val="000000"/>
          <w:sz w:val="24"/>
        </w:rPr>
        <w:t>que permite</w:t>
      </w:r>
      <w:r w:rsidRPr="00D634D6">
        <w:rPr>
          <w:rFonts w:ascii="Palatino Linotype" w:hAnsi="Palatino Linotype"/>
          <w:i/>
          <w:color w:val="000000"/>
          <w:sz w:val="24"/>
        </w:rPr>
        <w:t xml:space="preserve"> saber qué están haciendo los gobiernos por sus pueblos, sin lo cual la verdad languidecería y la participación en el gobierno permanecería fragmentada.</w:t>
      </w:r>
    </w:p>
    <w:p w:rsidR="00390C2D" w:rsidRPr="00D634D6" w:rsidRDefault="00390C2D" w:rsidP="00D634D6">
      <w:pPr>
        <w:pStyle w:val="Prrafodelista"/>
        <w:tabs>
          <w:tab w:val="left" w:pos="142"/>
          <w:tab w:val="left" w:pos="284"/>
          <w:tab w:val="left" w:pos="426"/>
        </w:tabs>
        <w:spacing w:line="360" w:lineRule="auto"/>
        <w:ind w:left="0"/>
        <w:rPr>
          <w:rFonts w:ascii="Palatino Linotype" w:eastAsia="Times New Roman" w:hAnsi="Palatino Linotype"/>
          <w:sz w:val="24"/>
        </w:rPr>
      </w:pPr>
    </w:p>
    <w:p w:rsidR="00390C2D" w:rsidRPr="00D634D6" w:rsidRDefault="00390C2D" w:rsidP="00D634D6">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634D6">
        <w:rPr>
          <w:rFonts w:ascii="Palatino Linotype" w:eastAsia="Times New Roman" w:hAnsi="Palatino Linotype"/>
          <w:sz w:val="24"/>
        </w:rPr>
        <w:t>Por lo anterior, se deduce que el derecho de acceso a la información pública es un derecho humano constitucionalmente reconocido</w:t>
      </w:r>
      <w:r w:rsidR="00C73AB8" w:rsidRPr="00D634D6">
        <w:rPr>
          <w:rFonts w:ascii="Palatino Linotype" w:eastAsia="Times New Roman" w:hAnsi="Palatino Linotype"/>
          <w:sz w:val="24"/>
        </w:rPr>
        <w:t xml:space="preserve"> y</w:t>
      </w:r>
      <w:r w:rsidR="002C4B4C" w:rsidRPr="00D634D6">
        <w:rPr>
          <w:rFonts w:ascii="Palatino Linotype" w:eastAsia="Times New Roman" w:hAnsi="Palatino Linotype"/>
          <w:sz w:val="24"/>
        </w:rPr>
        <w:t>,</w:t>
      </w:r>
      <w:r w:rsidR="00C73AB8" w:rsidRPr="00D634D6">
        <w:rPr>
          <w:rFonts w:ascii="Palatino Linotype" w:eastAsia="Times New Roman" w:hAnsi="Palatino Linotype"/>
          <w:sz w:val="24"/>
        </w:rPr>
        <w:t xml:space="preserve"> a</w:t>
      </w:r>
      <w:r w:rsidRPr="00D634D6">
        <w:rPr>
          <w:rFonts w:ascii="Palatino Linotype" w:eastAsia="Times New Roman" w:hAnsi="Palatino Linotype"/>
          <w:sz w:val="24"/>
        </w:rPr>
        <w:t xml:space="preserve"> consecuencia</w:t>
      </w:r>
      <w:r w:rsidR="00C73AB8" w:rsidRPr="00D634D6">
        <w:rPr>
          <w:rFonts w:ascii="Palatino Linotype" w:eastAsia="Times New Roman" w:hAnsi="Palatino Linotype"/>
          <w:sz w:val="24"/>
        </w:rPr>
        <w:t xml:space="preserve"> de ello,</w:t>
      </w:r>
      <w:r w:rsidRPr="00D634D6">
        <w:rPr>
          <w:rFonts w:ascii="Palatino Linotype" w:eastAsia="Times New Roman" w:hAnsi="Palatino Linotype"/>
          <w:sz w:val="24"/>
        </w:rPr>
        <w:t xml:space="preserve"> todas las autoridades en el ámbito de sus competencias, funciones y atribuciones tienen la obligación de respetarlo, protegerlo y garantizarlo</w:t>
      </w:r>
      <w:r w:rsidR="000E2E37" w:rsidRPr="00D634D6">
        <w:rPr>
          <w:rFonts w:ascii="Palatino Linotype" w:eastAsia="Times New Roman" w:hAnsi="Palatino Linotype"/>
          <w:sz w:val="24"/>
        </w:rPr>
        <w:t>.</w:t>
      </w:r>
    </w:p>
    <w:p w:rsidR="00390C2D" w:rsidRPr="00D634D6" w:rsidRDefault="00390C2D" w:rsidP="00D634D6">
      <w:pPr>
        <w:pStyle w:val="Prrafodelista"/>
        <w:tabs>
          <w:tab w:val="left" w:pos="142"/>
          <w:tab w:val="left" w:pos="284"/>
          <w:tab w:val="left" w:pos="426"/>
        </w:tabs>
        <w:spacing w:line="360" w:lineRule="auto"/>
        <w:ind w:left="0"/>
        <w:rPr>
          <w:rFonts w:ascii="Palatino Linotype" w:eastAsia="Times New Roman" w:hAnsi="Palatino Linotype"/>
          <w:sz w:val="24"/>
        </w:rPr>
      </w:pPr>
    </w:p>
    <w:p w:rsidR="00390C2D" w:rsidRPr="00D634D6" w:rsidRDefault="00390C2D"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i/>
          <w:sz w:val="24"/>
        </w:rPr>
      </w:pPr>
      <w:r w:rsidRPr="00D634D6">
        <w:rPr>
          <w:rFonts w:ascii="Palatino Linotype" w:eastAsia="Times New Roman" w:hAnsi="Palatino Linotype"/>
          <w:sz w:val="24"/>
        </w:rPr>
        <w:lastRenderedPageBreak/>
        <w:t>En el caso co</w:t>
      </w:r>
      <w:r w:rsidR="00C73AB8" w:rsidRPr="00D634D6">
        <w:rPr>
          <w:rFonts w:ascii="Palatino Linotype" w:eastAsia="Times New Roman" w:hAnsi="Palatino Linotype"/>
          <w:sz w:val="24"/>
        </w:rPr>
        <w:t xml:space="preserve">ncreto que nos ocupa, </w:t>
      </w:r>
      <w:r w:rsidR="00762DE6" w:rsidRPr="00D634D6">
        <w:rPr>
          <w:rFonts w:ascii="Palatino Linotype" w:eastAsia="Times New Roman" w:hAnsi="Palatino Linotype"/>
          <w:sz w:val="24"/>
        </w:rPr>
        <w:t>el</w:t>
      </w:r>
      <w:r w:rsidRPr="00D634D6">
        <w:rPr>
          <w:rFonts w:ascii="Palatino Linotype" w:eastAsia="Times New Roman" w:hAnsi="Palatino Linotype"/>
          <w:sz w:val="24"/>
        </w:rPr>
        <w:t xml:space="preserve"> particular</w:t>
      </w:r>
      <w:r w:rsidR="002F5CDE" w:rsidRPr="00D634D6">
        <w:rPr>
          <w:rFonts w:ascii="Palatino Linotype" w:eastAsia="Times New Roman" w:hAnsi="Palatino Linotype"/>
          <w:sz w:val="24"/>
        </w:rPr>
        <w:t xml:space="preserve"> solicitó</w:t>
      </w:r>
      <w:r w:rsidR="000E2E37" w:rsidRPr="00D634D6">
        <w:rPr>
          <w:rFonts w:ascii="Palatino Linotype" w:eastAsia="Times New Roman" w:hAnsi="Palatino Linotype"/>
          <w:sz w:val="24"/>
        </w:rPr>
        <w:t xml:space="preserve"> </w:t>
      </w:r>
      <w:r w:rsidR="00306144" w:rsidRPr="00D634D6">
        <w:rPr>
          <w:rFonts w:ascii="Palatino Linotype" w:eastAsia="Times New Roman" w:hAnsi="Palatino Linotype"/>
          <w:sz w:val="24"/>
        </w:rPr>
        <w:t>las facturas y contratos de los bienes comprados o rentados para seguridad mediante recursos federales o locales</w:t>
      </w:r>
      <w:r w:rsidR="00762DE6" w:rsidRPr="00D634D6">
        <w:rPr>
          <w:rFonts w:ascii="Palatino Linotype" w:hAnsi="Palatino Linotype" w:cs="Arial"/>
          <w:sz w:val="24"/>
          <w:szCs w:val="23"/>
        </w:rPr>
        <w:t xml:space="preserve">; </w:t>
      </w:r>
      <w:r w:rsidR="0040727D" w:rsidRPr="00D634D6">
        <w:rPr>
          <w:rFonts w:ascii="Palatino Linotype" w:eastAsia="Times New Roman" w:hAnsi="Palatino Linotype"/>
          <w:sz w:val="24"/>
        </w:rPr>
        <w:t>requerimiento</w:t>
      </w:r>
      <w:r w:rsidRPr="00D634D6">
        <w:rPr>
          <w:rFonts w:ascii="Palatino Linotype" w:eastAsia="Times New Roman" w:hAnsi="Palatino Linotype"/>
          <w:sz w:val="24"/>
        </w:rPr>
        <w:t xml:space="preserve"> que de acuerdo a las constancias que obran en el Sistema de Acceso a la Información Mexiquense (</w:t>
      </w:r>
      <w:r w:rsidRPr="00D634D6">
        <w:rPr>
          <w:rFonts w:ascii="Palatino Linotype" w:eastAsia="Times New Roman" w:hAnsi="Palatino Linotype"/>
          <w:i/>
          <w:sz w:val="24"/>
        </w:rPr>
        <w:t>SAIMEX</w:t>
      </w:r>
      <w:r w:rsidRPr="00D634D6">
        <w:rPr>
          <w:rFonts w:ascii="Palatino Linotype" w:eastAsia="Times New Roman" w:hAnsi="Palatino Linotype"/>
          <w:sz w:val="24"/>
        </w:rPr>
        <w:t>), no fue atendid</w:t>
      </w:r>
      <w:r w:rsidR="0040727D" w:rsidRPr="00D634D6">
        <w:rPr>
          <w:rFonts w:ascii="Palatino Linotype" w:eastAsia="Times New Roman" w:hAnsi="Palatino Linotype"/>
          <w:sz w:val="24"/>
        </w:rPr>
        <w:t>o</w:t>
      </w:r>
      <w:r w:rsidRPr="00D634D6">
        <w:rPr>
          <w:rFonts w:ascii="Palatino Linotype" w:eastAsia="Times New Roman" w:hAnsi="Palatino Linotype"/>
          <w:sz w:val="24"/>
        </w:rPr>
        <w:t xml:space="preserve"> por el </w:t>
      </w:r>
      <w:r w:rsidRPr="00D634D6">
        <w:rPr>
          <w:rFonts w:ascii="Palatino Linotype" w:eastAsia="Times New Roman" w:hAnsi="Palatino Linotype"/>
          <w:b/>
          <w:sz w:val="24"/>
        </w:rPr>
        <w:t>SUJETO OBLIGADO</w:t>
      </w:r>
      <w:r w:rsidRPr="00D634D6">
        <w:rPr>
          <w:rFonts w:ascii="Palatino Linotype" w:eastAsia="Times New Roman" w:hAnsi="Palatino Linotype"/>
          <w:sz w:val="24"/>
        </w:rPr>
        <w:t xml:space="preserve">, razón por la que </w:t>
      </w:r>
      <w:r w:rsidR="00762DE6" w:rsidRPr="00D634D6">
        <w:rPr>
          <w:rFonts w:ascii="Palatino Linotype" w:eastAsia="Times New Roman" w:hAnsi="Palatino Linotype"/>
          <w:sz w:val="24"/>
        </w:rPr>
        <w:t>e</w:t>
      </w:r>
      <w:r w:rsidR="003425A6" w:rsidRPr="00D634D6">
        <w:rPr>
          <w:rFonts w:ascii="Palatino Linotype" w:eastAsia="Times New Roman" w:hAnsi="Palatino Linotype"/>
          <w:sz w:val="24"/>
        </w:rPr>
        <w:t>l</w:t>
      </w:r>
      <w:r w:rsidRPr="00D634D6">
        <w:rPr>
          <w:rFonts w:ascii="Palatino Linotype" w:eastAsia="Times New Roman" w:hAnsi="Palatino Linotype"/>
          <w:sz w:val="24"/>
        </w:rPr>
        <w:t xml:space="preserve"> </w:t>
      </w:r>
      <w:r w:rsidR="00F56F46" w:rsidRPr="00D634D6">
        <w:rPr>
          <w:rFonts w:ascii="Palatino Linotype" w:eastAsia="Times New Roman" w:hAnsi="Palatino Linotype"/>
          <w:b/>
          <w:sz w:val="24"/>
        </w:rPr>
        <w:t>RECURRENTE</w:t>
      </w:r>
      <w:r w:rsidRPr="00D634D6">
        <w:rPr>
          <w:rFonts w:ascii="Palatino Linotype" w:eastAsia="Times New Roman" w:hAnsi="Palatino Linotype"/>
          <w:b/>
          <w:sz w:val="24"/>
        </w:rPr>
        <w:t xml:space="preserve"> </w:t>
      </w:r>
      <w:r w:rsidR="00F56F46" w:rsidRPr="00D634D6">
        <w:rPr>
          <w:rFonts w:ascii="Palatino Linotype" w:eastAsia="Times New Roman" w:hAnsi="Palatino Linotype"/>
          <w:sz w:val="24"/>
        </w:rPr>
        <w:t xml:space="preserve">se inconformó y refirió como </w:t>
      </w:r>
      <w:r w:rsidR="00306144" w:rsidRPr="00D634D6">
        <w:rPr>
          <w:rFonts w:ascii="Palatino Linotype" w:eastAsia="Times New Roman" w:hAnsi="Palatino Linotype"/>
          <w:sz w:val="24"/>
        </w:rPr>
        <w:t>acto impugnado</w:t>
      </w:r>
      <w:r w:rsidR="00F56F46" w:rsidRPr="00D634D6">
        <w:rPr>
          <w:rFonts w:ascii="Palatino Linotype" w:eastAsia="Times New Roman" w:hAnsi="Palatino Linotype"/>
          <w:sz w:val="24"/>
        </w:rPr>
        <w:t xml:space="preserve"> </w:t>
      </w:r>
      <w:r w:rsidR="00306144" w:rsidRPr="00D634D6">
        <w:rPr>
          <w:rFonts w:ascii="Palatino Linotype" w:eastAsia="Times New Roman" w:hAnsi="Palatino Linotype"/>
          <w:sz w:val="24"/>
        </w:rPr>
        <w:t xml:space="preserve">la </w:t>
      </w:r>
      <w:r w:rsidR="00134A06" w:rsidRPr="00D634D6">
        <w:rPr>
          <w:rFonts w:ascii="Palatino Linotype" w:eastAsia="Times New Roman" w:hAnsi="Palatino Linotype"/>
          <w:sz w:val="24"/>
        </w:rPr>
        <w:t>falta entrega de información.</w:t>
      </w:r>
    </w:p>
    <w:p w:rsidR="000E2E37" w:rsidRPr="00D634D6" w:rsidRDefault="000E2E37" w:rsidP="00D634D6">
      <w:pPr>
        <w:pStyle w:val="Prrafodelista"/>
        <w:tabs>
          <w:tab w:val="left" w:pos="142"/>
          <w:tab w:val="left" w:pos="284"/>
          <w:tab w:val="left" w:pos="426"/>
        </w:tabs>
        <w:spacing w:line="360" w:lineRule="auto"/>
        <w:ind w:left="0"/>
        <w:rPr>
          <w:rFonts w:ascii="Palatino Linotype" w:hAnsi="Palatino Linotype"/>
          <w:i/>
          <w:sz w:val="24"/>
        </w:rPr>
      </w:pPr>
    </w:p>
    <w:p w:rsidR="00390C2D" w:rsidRPr="00D634D6" w:rsidRDefault="00390C2D"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szCs w:val="23"/>
        </w:rPr>
      </w:pPr>
      <w:r w:rsidRPr="00D634D6">
        <w:rPr>
          <w:rFonts w:ascii="Palatino Linotype" w:eastAsia="Times New Roman" w:hAnsi="Palatino Linotype"/>
          <w:sz w:val="24"/>
        </w:rPr>
        <w:t>Por lo tanto, derivado de lo señalado en la interposición del recurso de revisión</w:t>
      </w:r>
      <w:r w:rsidR="00762DE6" w:rsidRPr="00D634D6">
        <w:rPr>
          <w:rFonts w:ascii="Palatino Linotype" w:eastAsia="Times New Roman" w:hAnsi="Palatino Linotype"/>
          <w:sz w:val="24"/>
        </w:rPr>
        <w:t>,</w:t>
      </w:r>
      <w:r w:rsidRPr="00D634D6">
        <w:rPr>
          <w:rFonts w:ascii="Palatino Linotype" w:eastAsia="Times New Roman" w:hAnsi="Palatino Linotype"/>
          <w:sz w:val="24"/>
        </w:rPr>
        <w:t xml:space="preserve"> </w:t>
      </w:r>
      <w:r w:rsidRPr="00D634D6">
        <w:rPr>
          <w:rFonts w:ascii="Palatino Linotype" w:eastAsia="Times New Roman" w:hAnsi="Palatino Linotype"/>
          <w:b/>
          <w:sz w:val="24"/>
        </w:rPr>
        <w:t xml:space="preserve">la actuación del </w:t>
      </w:r>
      <w:r w:rsidR="0049442C" w:rsidRPr="00D634D6">
        <w:rPr>
          <w:rFonts w:ascii="Palatino Linotype" w:hAnsi="Palatino Linotype" w:cs="Arial"/>
          <w:b/>
          <w:sz w:val="24"/>
          <w:szCs w:val="23"/>
        </w:rPr>
        <w:t xml:space="preserve">Ayuntamiento de </w:t>
      </w:r>
      <w:r w:rsidR="009E06B0" w:rsidRPr="00D634D6">
        <w:rPr>
          <w:rFonts w:ascii="Palatino Linotype" w:hAnsi="Palatino Linotype" w:cs="Arial"/>
          <w:b/>
          <w:sz w:val="24"/>
          <w:szCs w:val="23"/>
        </w:rPr>
        <w:t>Atizapán</w:t>
      </w:r>
      <w:r w:rsidR="00762DE6" w:rsidRPr="00D634D6">
        <w:rPr>
          <w:rFonts w:ascii="Palatino Linotype" w:hAnsi="Palatino Linotype" w:cs="Arial"/>
          <w:sz w:val="24"/>
          <w:szCs w:val="23"/>
        </w:rPr>
        <w:t xml:space="preserve"> </w:t>
      </w:r>
      <w:r w:rsidRPr="00D634D6">
        <w:rPr>
          <w:rFonts w:ascii="Palatino Linotype" w:hAnsi="Palatino Linotype" w:cs="Arial"/>
          <w:sz w:val="24"/>
          <w:szCs w:val="23"/>
        </w:rPr>
        <w:t xml:space="preserve">constituye una afectación al derecho humano de acceso a la información pública del particular, </w:t>
      </w:r>
      <w:r w:rsidR="0049442C" w:rsidRPr="00D634D6">
        <w:rPr>
          <w:rFonts w:ascii="Palatino Linotype" w:hAnsi="Palatino Linotype" w:cs="Arial"/>
          <w:sz w:val="24"/>
          <w:szCs w:val="23"/>
        </w:rPr>
        <w:t xml:space="preserve">en virtud de que éste se encuentra incumpliendo de manera continua </w:t>
      </w:r>
      <w:r w:rsidR="00130074" w:rsidRPr="00D634D6">
        <w:rPr>
          <w:rFonts w:ascii="Palatino Linotype" w:hAnsi="Palatino Linotype" w:cs="Arial"/>
          <w:sz w:val="24"/>
          <w:szCs w:val="23"/>
        </w:rPr>
        <w:t xml:space="preserve">con sus obligaciones de transparencia </w:t>
      </w:r>
      <w:r w:rsidRPr="00D634D6">
        <w:rPr>
          <w:rFonts w:ascii="Palatino Linotype" w:hAnsi="Palatino Linotype" w:cs="Arial"/>
          <w:sz w:val="24"/>
          <w:szCs w:val="23"/>
        </w:rPr>
        <w:t>al no entregar la información.</w:t>
      </w:r>
    </w:p>
    <w:p w:rsidR="00390C2D" w:rsidRPr="00D634D6" w:rsidRDefault="00390C2D" w:rsidP="00D634D6">
      <w:pPr>
        <w:pStyle w:val="Prrafodelista"/>
        <w:tabs>
          <w:tab w:val="left" w:pos="142"/>
          <w:tab w:val="left" w:pos="284"/>
          <w:tab w:val="left" w:pos="426"/>
        </w:tabs>
        <w:spacing w:line="360" w:lineRule="auto"/>
        <w:ind w:left="0"/>
        <w:rPr>
          <w:rFonts w:ascii="Palatino Linotype" w:hAnsi="Palatino Linotype" w:cs="Arial"/>
          <w:sz w:val="24"/>
          <w:szCs w:val="23"/>
        </w:rPr>
      </w:pPr>
    </w:p>
    <w:p w:rsidR="00390C2D" w:rsidRPr="00D634D6" w:rsidRDefault="00390C2D" w:rsidP="00D634D6">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634D6">
        <w:rPr>
          <w:rFonts w:ascii="Palatino Linotype" w:hAnsi="Palatino Linotype" w:cs="Arial"/>
          <w:sz w:val="24"/>
          <w:szCs w:val="23"/>
        </w:rPr>
        <w:t>Ante tal afectación, el artículo primero Constitucional</w:t>
      </w:r>
      <w:r w:rsidR="00A53F8B" w:rsidRPr="00D634D6">
        <w:rPr>
          <w:rFonts w:ascii="Palatino Linotype" w:hAnsi="Palatino Linotype" w:cs="Arial"/>
          <w:sz w:val="24"/>
          <w:szCs w:val="23"/>
        </w:rPr>
        <w:t>,</w:t>
      </w:r>
      <w:r w:rsidRPr="00D634D6">
        <w:rPr>
          <w:rFonts w:ascii="Palatino Linotype" w:hAnsi="Palatino Linotype" w:cs="Arial"/>
          <w:sz w:val="24"/>
          <w:szCs w:val="23"/>
        </w:rPr>
        <w:t xml:space="preserve"> dispone que como consecuencia de la obligación que tienen las autoridades de promover, respetar, proteger y garantizar el derecho humano; el Estado deberá </w:t>
      </w:r>
      <w:r w:rsidRPr="00D634D6">
        <w:rPr>
          <w:rFonts w:ascii="Palatino Linotype" w:hAnsi="Palatino Linotype" w:cs="Arial"/>
          <w:sz w:val="24"/>
          <w:szCs w:val="23"/>
          <w:u w:val="single"/>
        </w:rPr>
        <w:t>prevenir, investigar, sancionar y reparar las violaciones a los derechos humanos</w:t>
      </w:r>
      <w:r w:rsidR="006228CD" w:rsidRPr="00D634D6">
        <w:rPr>
          <w:rFonts w:ascii="Palatino Linotype" w:hAnsi="Palatino Linotype" w:cs="Arial"/>
          <w:sz w:val="24"/>
          <w:szCs w:val="23"/>
        </w:rPr>
        <w:t>.</w:t>
      </w:r>
    </w:p>
    <w:p w:rsidR="00390C2D" w:rsidRPr="00D634D6" w:rsidRDefault="00390C2D" w:rsidP="00D634D6">
      <w:pPr>
        <w:pStyle w:val="Prrafodelista"/>
        <w:tabs>
          <w:tab w:val="left" w:pos="142"/>
          <w:tab w:val="left" w:pos="284"/>
          <w:tab w:val="left" w:pos="426"/>
        </w:tabs>
        <w:spacing w:line="360" w:lineRule="auto"/>
        <w:ind w:left="0"/>
        <w:rPr>
          <w:rFonts w:ascii="Palatino Linotype" w:eastAsia="Times New Roman" w:hAnsi="Palatino Linotype"/>
        </w:rPr>
      </w:pPr>
    </w:p>
    <w:p w:rsidR="00390C2D" w:rsidRPr="00D634D6" w:rsidRDefault="00390C2D" w:rsidP="00D634D6">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634D6">
        <w:rPr>
          <w:rFonts w:ascii="Palatino Linotype" w:eastAsia="Times New Roman" w:hAnsi="Palatino Linotype"/>
          <w:sz w:val="24"/>
        </w:rPr>
        <w:t xml:space="preserve">Es así que la </w:t>
      </w:r>
      <w:r w:rsidRPr="00D634D6">
        <w:rPr>
          <w:rFonts w:ascii="Palatino Linotype" w:eastAsia="Times New Roman" w:hAnsi="Palatino Linotype"/>
          <w:b/>
          <w:sz w:val="24"/>
        </w:rPr>
        <w:t xml:space="preserve">Ley de Transparencia y Acceso a la Información Pública del Estado de México y Municipios, </w:t>
      </w:r>
      <w:r w:rsidRPr="00D634D6">
        <w:rPr>
          <w:rFonts w:ascii="Palatino Linotype" w:eastAsia="Times New Roman" w:hAnsi="Palatino Linotype"/>
          <w:sz w:val="24"/>
        </w:rPr>
        <w:t>cuyo objeto es establecer principios, bases generales y procedimientos para tutelar y garantizar la transparencia y el derecho humano de acceso a la información pública en posesión de los sujetos obligados; en su artículo 176</w:t>
      </w:r>
      <w:r w:rsidRPr="00D634D6">
        <w:rPr>
          <w:rFonts w:ascii="Palatino Linotype" w:eastAsia="Times New Roman" w:hAnsi="Palatino Linotype"/>
          <w:b/>
          <w:sz w:val="24"/>
        </w:rPr>
        <w:t xml:space="preserve"> </w:t>
      </w:r>
      <w:r w:rsidRPr="00D634D6">
        <w:rPr>
          <w:rFonts w:ascii="Palatino Linotype" w:eastAsia="Times New Roman" w:hAnsi="Palatino Linotype"/>
          <w:sz w:val="24"/>
        </w:rPr>
        <w:t xml:space="preserve">establece que </w:t>
      </w:r>
      <w:r w:rsidRPr="00D634D6">
        <w:rPr>
          <w:rFonts w:ascii="Palatino Linotype" w:eastAsia="Times New Roman" w:hAnsi="Palatino Linotype"/>
          <w:i/>
          <w:sz w:val="24"/>
        </w:rPr>
        <w:t xml:space="preserve">el </w:t>
      </w:r>
      <w:r w:rsidRPr="00D634D6">
        <w:rPr>
          <w:rFonts w:ascii="Palatino Linotype" w:eastAsia="Times New Roman" w:hAnsi="Palatino Linotype"/>
          <w:i/>
          <w:sz w:val="24"/>
          <w:u w:val="single"/>
        </w:rPr>
        <w:t>recurso de revisión</w:t>
      </w:r>
      <w:r w:rsidRPr="00D634D6">
        <w:rPr>
          <w:rFonts w:ascii="Palatino Linotype" w:eastAsia="Times New Roman" w:hAnsi="Palatino Linotype"/>
          <w:i/>
          <w:sz w:val="24"/>
        </w:rPr>
        <w:t xml:space="preserve"> es la garantía secundaria mediante la cual se pretende reparar cualquier posible afectación al derecho </w:t>
      </w:r>
      <w:r w:rsidRPr="00D634D6">
        <w:rPr>
          <w:rFonts w:ascii="Palatino Linotype" w:eastAsia="Times New Roman" w:hAnsi="Palatino Linotype"/>
          <w:i/>
          <w:sz w:val="24"/>
        </w:rPr>
        <w:lastRenderedPageBreak/>
        <w:t>de acceso a la información pública</w:t>
      </w:r>
      <w:r w:rsidRPr="00D634D6">
        <w:rPr>
          <w:rFonts w:ascii="Palatino Linotype" w:eastAsia="Times New Roman" w:hAnsi="Palatino Linotype"/>
          <w:sz w:val="24"/>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6B30E5" w:rsidRPr="00D634D6" w:rsidRDefault="006B30E5" w:rsidP="00D634D6">
      <w:pPr>
        <w:pStyle w:val="Prrafodelista"/>
        <w:tabs>
          <w:tab w:val="left" w:pos="142"/>
          <w:tab w:val="left" w:pos="284"/>
          <w:tab w:val="left" w:pos="426"/>
        </w:tabs>
        <w:spacing w:line="360" w:lineRule="auto"/>
        <w:ind w:left="0"/>
        <w:jc w:val="both"/>
        <w:rPr>
          <w:rFonts w:ascii="Palatino Linotype" w:eastAsia="Times New Roman" w:hAnsi="Palatino Linotype"/>
          <w:sz w:val="24"/>
        </w:rPr>
      </w:pPr>
    </w:p>
    <w:p w:rsidR="006B30E5" w:rsidRPr="00D634D6" w:rsidRDefault="006B30E5" w:rsidP="00D634D6">
      <w:pPr>
        <w:pStyle w:val="Prrafodelista"/>
        <w:tabs>
          <w:tab w:val="left" w:pos="142"/>
          <w:tab w:val="left" w:pos="284"/>
          <w:tab w:val="left" w:pos="426"/>
        </w:tabs>
        <w:spacing w:line="360" w:lineRule="auto"/>
        <w:ind w:left="0"/>
        <w:jc w:val="both"/>
        <w:outlineLvl w:val="2"/>
        <w:rPr>
          <w:rFonts w:ascii="Palatino Linotype" w:eastAsia="Times New Roman" w:hAnsi="Palatino Linotype"/>
          <w:b/>
          <w:sz w:val="24"/>
        </w:rPr>
      </w:pPr>
      <w:bookmarkStart w:id="25" w:name="_Toc34923431"/>
      <w:r w:rsidRPr="00D634D6">
        <w:rPr>
          <w:rFonts w:ascii="Palatino Linotype" w:eastAsia="Times New Roman" w:hAnsi="Palatino Linotype"/>
          <w:b/>
          <w:sz w:val="24"/>
        </w:rPr>
        <w:t>II. Del derecho de acceso a la información pública.</w:t>
      </w:r>
      <w:bookmarkEnd w:id="25"/>
    </w:p>
    <w:p w:rsidR="006B30E5" w:rsidRPr="00D634D6" w:rsidRDefault="006B30E5" w:rsidP="00D634D6">
      <w:pPr>
        <w:pStyle w:val="Prrafodelista"/>
        <w:tabs>
          <w:tab w:val="left" w:pos="142"/>
          <w:tab w:val="left" w:pos="284"/>
          <w:tab w:val="left" w:pos="426"/>
        </w:tabs>
        <w:spacing w:line="360" w:lineRule="auto"/>
        <w:ind w:left="0"/>
        <w:jc w:val="both"/>
        <w:rPr>
          <w:rFonts w:ascii="Palatino Linotype" w:eastAsia="Times New Roman" w:hAnsi="Palatino Linotype"/>
          <w:sz w:val="24"/>
        </w:rPr>
      </w:pPr>
    </w:p>
    <w:p w:rsidR="006B30E5" w:rsidRPr="00D634D6" w:rsidRDefault="006B30E5" w:rsidP="00D634D6">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634D6">
        <w:rPr>
          <w:rFonts w:ascii="Palatino Linotype" w:eastAsia="Times New Roman" w:hAnsi="Palatino Linotype"/>
          <w:sz w:val="24"/>
        </w:rPr>
        <w:t xml:space="preserve">A </w:t>
      </w:r>
      <w:r w:rsidRPr="00D634D6">
        <w:rPr>
          <w:rFonts w:ascii="Palatino Linotype" w:eastAsia="Times New Roman" w:hAnsi="Palatino Linotype"/>
          <w:sz w:val="24"/>
          <w:lang w:val="es-ES_tradnl"/>
        </w:rPr>
        <w:t xml:space="preserve">efecto de entender los alcances de la información pública se considera importante citar el criterio </w:t>
      </w:r>
      <w:r w:rsidRPr="00D634D6">
        <w:rPr>
          <w:rFonts w:ascii="Palatino Linotype" w:eastAsia="Times New Roman" w:hAnsi="Palatino Linotype"/>
          <w:bCs/>
          <w:sz w:val="24"/>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634D6">
        <w:rPr>
          <w:rFonts w:ascii="Palatino Linotype" w:eastAsia="Times New Roman" w:hAnsi="Palatino Linotype"/>
          <w:sz w:val="24"/>
          <w:lang w:val="es-ES_tradnl"/>
        </w:rPr>
        <w:t>cuyo rubro y texto dispone:</w:t>
      </w:r>
    </w:p>
    <w:p w:rsidR="006B30E5" w:rsidRPr="00D634D6" w:rsidRDefault="006B30E5" w:rsidP="00D634D6">
      <w:pPr>
        <w:pStyle w:val="Prrafodelista"/>
        <w:tabs>
          <w:tab w:val="left" w:pos="142"/>
          <w:tab w:val="left" w:pos="284"/>
          <w:tab w:val="left" w:pos="426"/>
        </w:tabs>
        <w:spacing w:line="360" w:lineRule="auto"/>
        <w:ind w:left="0"/>
        <w:jc w:val="both"/>
        <w:rPr>
          <w:rFonts w:ascii="Palatino Linotype" w:eastAsia="Times New Roman" w:hAnsi="Palatino Linotype"/>
          <w:sz w:val="24"/>
        </w:rPr>
      </w:pPr>
    </w:p>
    <w:p w:rsidR="006B30E5" w:rsidRPr="00D634D6" w:rsidRDefault="006B30E5" w:rsidP="00D634D6">
      <w:pPr>
        <w:autoSpaceDE w:val="0"/>
        <w:autoSpaceDN w:val="0"/>
        <w:adjustRightInd w:val="0"/>
        <w:spacing w:line="360" w:lineRule="auto"/>
        <w:ind w:left="567" w:right="567"/>
        <w:jc w:val="both"/>
        <w:rPr>
          <w:rFonts w:ascii="Palatino Linotype" w:hAnsi="Palatino Linotype" w:cs="Arial"/>
          <w:b/>
          <w:i/>
          <w:lang w:eastAsia="es-MX"/>
        </w:rPr>
      </w:pPr>
      <w:r w:rsidRPr="00D634D6">
        <w:rPr>
          <w:rFonts w:ascii="Palatino Linotype" w:hAnsi="Palatino Linotype" w:cs="Arial"/>
          <w:b/>
          <w:i/>
          <w:lang w:eastAsia="es-MX"/>
        </w:rPr>
        <w:t>“CRITERIO 0002-11</w:t>
      </w:r>
    </w:p>
    <w:p w:rsidR="006B30E5" w:rsidRPr="00D634D6" w:rsidRDefault="006B30E5" w:rsidP="00D634D6">
      <w:pPr>
        <w:autoSpaceDE w:val="0"/>
        <w:autoSpaceDN w:val="0"/>
        <w:adjustRightInd w:val="0"/>
        <w:spacing w:line="360" w:lineRule="auto"/>
        <w:ind w:left="567" w:right="567"/>
        <w:jc w:val="both"/>
        <w:rPr>
          <w:rFonts w:ascii="Palatino Linotype" w:hAnsi="Palatino Linotype" w:cs="Arial"/>
          <w:i/>
          <w:lang w:eastAsia="es-MX"/>
        </w:rPr>
      </w:pPr>
      <w:r w:rsidRPr="00D634D6">
        <w:rPr>
          <w:rFonts w:ascii="Palatino Linotype" w:hAnsi="Palatino Linotype" w:cs="Arial"/>
          <w:b/>
          <w:i/>
          <w:lang w:eastAsia="es-MX"/>
        </w:rPr>
        <w:t xml:space="preserve">INFORMACIÓN PÚBLICA, CONCEPTO DE, EN MATERIA DE TRANSPARENCIA. INTERPRETACIÓN TEMÁTICA DE LOS ARTÍCULOS 2, FRACCIÓN </w:t>
      </w:r>
      <w:r w:rsidRPr="00D634D6">
        <w:rPr>
          <w:rFonts w:ascii="Palatino Linotype" w:hAnsi="Palatino Linotype" w:cs="Arial"/>
          <w:b/>
          <w:bCs/>
          <w:i/>
          <w:lang w:eastAsia="es-MX"/>
        </w:rPr>
        <w:t xml:space="preserve">V, XV, Y XVI, </w:t>
      </w:r>
      <w:r w:rsidRPr="00D634D6">
        <w:rPr>
          <w:rFonts w:ascii="Palatino Linotype" w:hAnsi="Palatino Linotype" w:cs="Arial"/>
          <w:b/>
          <w:i/>
          <w:lang w:eastAsia="es-MX"/>
        </w:rPr>
        <w:t>3, 4,11 Y 41.</w:t>
      </w:r>
      <w:r w:rsidRPr="00D634D6">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B30E5" w:rsidRPr="00D634D6" w:rsidRDefault="006B30E5" w:rsidP="00D634D6">
      <w:pPr>
        <w:autoSpaceDE w:val="0"/>
        <w:autoSpaceDN w:val="0"/>
        <w:adjustRightInd w:val="0"/>
        <w:spacing w:line="360" w:lineRule="auto"/>
        <w:ind w:left="567" w:right="567"/>
        <w:jc w:val="both"/>
        <w:rPr>
          <w:rFonts w:ascii="Palatino Linotype" w:hAnsi="Palatino Linotype" w:cs="Arial"/>
          <w:i/>
          <w:lang w:eastAsia="es-MX"/>
        </w:rPr>
      </w:pPr>
      <w:r w:rsidRPr="00D634D6">
        <w:rPr>
          <w:rFonts w:ascii="Palatino Linotype" w:hAnsi="Palatino Linotype" w:cs="Arial"/>
          <w:i/>
          <w:lang w:eastAsia="es-MX"/>
        </w:rPr>
        <w:lastRenderedPageBreak/>
        <w:t>En consecuencia el acceso a la información se refiere a que se cumplan cualquiera de los siguientes tres supuestos:</w:t>
      </w:r>
    </w:p>
    <w:p w:rsidR="006B30E5" w:rsidRPr="00D634D6" w:rsidRDefault="006B30E5" w:rsidP="00D634D6">
      <w:pPr>
        <w:autoSpaceDE w:val="0"/>
        <w:autoSpaceDN w:val="0"/>
        <w:adjustRightInd w:val="0"/>
        <w:spacing w:line="360" w:lineRule="auto"/>
        <w:ind w:left="567" w:right="567"/>
        <w:jc w:val="both"/>
        <w:rPr>
          <w:rFonts w:ascii="Palatino Linotype" w:hAnsi="Palatino Linotype" w:cs="Arial"/>
          <w:i/>
          <w:lang w:eastAsia="es-MX"/>
        </w:rPr>
      </w:pPr>
      <w:r w:rsidRPr="00D634D6">
        <w:rPr>
          <w:rFonts w:ascii="Palatino Linotype" w:hAnsi="Palatino Linotype" w:cs="Arial"/>
          <w:i/>
          <w:lang w:eastAsia="es-MX"/>
        </w:rPr>
        <w:t>Que se trate de información registrada en cualquier soporte documental, que en ejercicio de las atribuciones conferidas, sea generada por los Sujetos Obligados;</w:t>
      </w:r>
    </w:p>
    <w:p w:rsidR="006B30E5" w:rsidRPr="00D634D6" w:rsidRDefault="006B30E5" w:rsidP="00D634D6">
      <w:pPr>
        <w:autoSpaceDE w:val="0"/>
        <w:autoSpaceDN w:val="0"/>
        <w:adjustRightInd w:val="0"/>
        <w:spacing w:line="360" w:lineRule="auto"/>
        <w:ind w:left="567" w:right="567"/>
        <w:jc w:val="both"/>
        <w:rPr>
          <w:rFonts w:ascii="Palatino Linotype" w:hAnsi="Palatino Linotype" w:cs="Arial"/>
          <w:i/>
          <w:lang w:eastAsia="es-MX"/>
        </w:rPr>
      </w:pPr>
      <w:r w:rsidRPr="00D634D6">
        <w:rPr>
          <w:rFonts w:ascii="Palatino Linotype" w:hAnsi="Palatino Linotype" w:cs="Arial"/>
          <w:i/>
          <w:lang w:eastAsia="es-MX"/>
        </w:rPr>
        <w:t>Que se trate de información registrada en cualquier soporte documental, que en ejercicio de las atribuciones conferidas, sea administrada por los Sujetos Obligados, y</w:t>
      </w:r>
    </w:p>
    <w:p w:rsidR="006B30E5" w:rsidRPr="00D634D6" w:rsidRDefault="006B30E5" w:rsidP="00D634D6">
      <w:pPr>
        <w:autoSpaceDE w:val="0"/>
        <w:autoSpaceDN w:val="0"/>
        <w:adjustRightInd w:val="0"/>
        <w:spacing w:line="360" w:lineRule="auto"/>
        <w:ind w:left="567" w:right="567"/>
        <w:jc w:val="both"/>
        <w:rPr>
          <w:rFonts w:ascii="Palatino Linotype" w:hAnsi="Palatino Linotype"/>
        </w:rPr>
      </w:pPr>
      <w:r w:rsidRPr="00D634D6">
        <w:rPr>
          <w:rFonts w:ascii="Palatino Linotype" w:hAnsi="Palatino Linotype" w:cs="Arial"/>
          <w:i/>
          <w:lang w:eastAsia="es-MX"/>
        </w:rPr>
        <w:t>Que se trate de información registrada en cualquier soporte documental, que en ejercicio de las atribuciones conferidas, se encuentre en posesión de los Sujetos Obligados.”</w:t>
      </w:r>
    </w:p>
    <w:p w:rsidR="006B30E5" w:rsidRPr="00D634D6" w:rsidRDefault="006B30E5" w:rsidP="00D634D6">
      <w:pPr>
        <w:pStyle w:val="Prrafodelista"/>
        <w:tabs>
          <w:tab w:val="left" w:pos="142"/>
          <w:tab w:val="left" w:pos="284"/>
          <w:tab w:val="left" w:pos="426"/>
        </w:tabs>
        <w:spacing w:line="360" w:lineRule="auto"/>
        <w:ind w:left="0"/>
        <w:jc w:val="both"/>
        <w:rPr>
          <w:rFonts w:ascii="Palatino Linotype" w:eastAsia="Times New Roman" w:hAnsi="Palatino Linotype"/>
          <w:sz w:val="24"/>
        </w:rPr>
      </w:pPr>
    </w:p>
    <w:p w:rsidR="006B30E5" w:rsidRPr="00D634D6" w:rsidRDefault="006B30E5" w:rsidP="00D634D6">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634D6">
        <w:rPr>
          <w:rFonts w:ascii="Palatino Linotype" w:eastAsia="Times New Roman" w:hAnsi="Palatino Linotype"/>
          <w:sz w:val="24"/>
        </w:rPr>
        <w:t xml:space="preserve">El </w:t>
      </w:r>
      <w:r w:rsidRPr="00D634D6">
        <w:rPr>
          <w:rFonts w:ascii="Palatino Linotype" w:eastAsia="Times New Roman" w:hAnsi="Palatino Linotype"/>
          <w:sz w:val="24"/>
          <w:lang w:val="es-ES"/>
        </w:rPr>
        <w:t>derecho de acceso a la información encuentra su materia elemental en los documentos, y la Ley de Transparencia local nos brinda el siguiente concepto, para darnos un mejor panorama:</w:t>
      </w:r>
    </w:p>
    <w:p w:rsidR="006B30E5" w:rsidRPr="00D634D6" w:rsidRDefault="006B30E5" w:rsidP="00D634D6">
      <w:pPr>
        <w:pStyle w:val="Prrafodelista"/>
        <w:tabs>
          <w:tab w:val="left" w:pos="142"/>
          <w:tab w:val="left" w:pos="284"/>
          <w:tab w:val="left" w:pos="426"/>
        </w:tabs>
        <w:spacing w:line="360" w:lineRule="auto"/>
        <w:ind w:left="0"/>
        <w:jc w:val="both"/>
        <w:rPr>
          <w:rFonts w:ascii="Palatino Linotype" w:eastAsia="Times New Roman" w:hAnsi="Palatino Linotype"/>
          <w:sz w:val="24"/>
        </w:rPr>
      </w:pPr>
    </w:p>
    <w:p w:rsidR="006B30E5" w:rsidRPr="00D634D6" w:rsidRDefault="006B30E5" w:rsidP="00D634D6">
      <w:pPr>
        <w:autoSpaceDE w:val="0"/>
        <w:autoSpaceDN w:val="0"/>
        <w:adjustRightInd w:val="0"/>
        <w:spacing w:line="360" w:lineRule="auto"/>
        <w:ind w:left="567" w:right="567"/>
        <w:jc w:val="both"/>
        <w:rPr>
          <w:rFonts w:ascii="Palatino Linotype" w:hAnsi="Palatino Linotype"/>
          <w:i/>
          <w:sz w:val="28"/>
          <w:lang w:val="es-ES"/>
        </w:rPr>
      </w:pPr>
      <w:r w:rsidRPr="00D634D6">
        <w:rPr>
          <w:rFonts w:ascii="Palatino Linotype" w:hAnsi="Palatino Linotype" w:cs="Bookman Old Style,Bold"/>
          <w:b/>
          <w:bCs/>
          <w:i/>
          <w:szCs w:val="20"/>
        </w:rPr>
        <w:t xml:space="preserve">XI. Documento: </w:t>
      </w:r>
      <w:r w:rsidRPr="00D634D6">
        <w:rPr>
          <w:rFonts w:ascii="Palatino Linotype" w:hAnsi="Palatino Linotype" w:cs="Bookman Old Style"/>
          <w:i/>
          <w:szCs w:val="20"/>
        </w:rPr>
        <w:t xml:space="preserve">Los expedientes, reportes, estudios, actas, resoluciones, oficios, correspondencia, acuerdos, directivas, directrices, circulares, contratos, convenios, instructivos, notas, memorandos, estadísticas o bien, </w:t>
      </w:r>
      <w:r w:rsidRPr="00D634D6">
        <w:rPr>
          <w:rFonts w:ascii="Palatino Linotype" w:hAnsi="Palatino Linotype" w:cs="Bookman Old Style"/>
          <w:b/>
          <w:i/>
          <w:szCs w:val="20"/>
        </w:rPr>
        <w:t>cualquier otro registro</w:t>
      </w:r>
      <w:r w:rsidRPr="00D634D6">
        <w:rPr>
          <w:rFonts w:ascii="Palatino Linotype" w:hAnsi="Palatino Linotype" w:cs="Bookman Old Style"/>
          <w:i/>
          <w:szCs w:val="20"/>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6B30E5" w:rsidRPr="00D634D6" w:rsidRDefault="006B30E5" w:rsidP="00D634D6">
      <w:pPr>
        <w:pStyle w:val="Prrafodelista"/>
        <w:tabs>
          <w:tab w:val="left" w:pos="142"/>
          <w:tab w:val="left" w:pos="284"/>
          <w:tab w:val="left" w:pos="426"/>
        </w:tabs>
        <w:spacing w:line="360" w:lineRule="auto"/>
        <w:ind w:left="0"/>
        <w:jc w:val="both"/>
        <w:rPr>
          <w:rFonts w:ascii="Palatino Linotype" w:eastAsia="Times New Roman" w:hAnsi="Palatino Linotype"/>
          <w:sz w:val="24"/>
        </w:rPr>
      </w:pPr>
    </w:p>
    <w:p w:rsidR="006B30E5" w:rsidRPr="00D634D6" w:rsidRDefault="006B30E5" w:rsidP="00D634D6">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634D6">
        <w:rPr>
          <w:rFonts w:ascii="Palatino Linotype" w:eastAsia="Times New Roman" w:hAnsi="Palatino Linotype"/>
          <w:sz w:val="24"/>
        </w:rPr>
        <w:t xml:space="preserve">Es </w:t>
      </w:r>
      <w:r w:rsidRPr="00D634D6">
        <w:rPr>
          <w:rFonts w:ascii="Palatino Linotype" w:eastAsia="Times New Roman" w:hAnsi="Palatino Linotype"/>
          <w:sz w:val="24"/>
          <w:lang w:val="es-ES"/>
        </w:rPr>
        <w:t xml:space="preserve">así que, todos los actos de autoridad que realicen los Sujetos Obligados deben estar documentados y, bajo el más alto estándar de transparencia </w:t>
      </w:r>
      <w:r w:rsidRPr="00D634D6">
        <w:rPr>
          <w:rFonts w:ascii="Palatino Linotype" w:eastAsia="Times New Roman" w:hAnsi="Palatino Linotype"/>
          <w:sz w:val="24"/>
          <w:lang w:val="es-ES"/>
        </w:rPr>
        <w:lastRenderedPageBreak/>
        <w:t>deberán poner toda la información que se encuentre en su posesión, a disposición de los particulares que la soliciten.</w:t>
      </w:r>
    </w:p>
    <w:p w:rsidR="006B30E5" w:rsidRPr="00D634D6" w:rsidRDefault="006B30E5" w:rsidP="00D634D6">
      <w:pPr>
        <w:pStyle w:val="Prrafodelista"/>
        <w:tabs>
          <w:tab w:val="left" w:pos="142"/>
          <w:tab w:val="left" w:pos="284"/>
          <w:tab w:val="left" w:pos="426"/>
        </w:tabs>
        <w:spacing w:line="360" w:lineRule="auto"/>
        <w:ind w:left="0"/>
        <w:jc w:val="both"/>
        <w:rPr>
          <w:rFonts w:ascii="Palatino Linotype" w:eastAsia="Times New Roman" w:hAnsi="Palatino Linotype"/>
          <w:sz w:val="24"/>
        </w:rPr>
      </w:pPr>
    </w:p>
    <w:p w:rsidR="006B30E5" w:rsidRPr="00D634D6" w:rsidRDefault="006B30E5" w:rsidP="00D634D6">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634D6">
        <w:rPr>
          <w:rFonts w:ascii="Palatino Linotype" w:eastAsia="Times New Roman" w:hAnsi="Palatino Linotype"/>
          <w:sz w:val="24"/>
        </w:rPr>
        <w:t xml:space="preserve">El </w:t>
      </w:r>
      <w:r w:rsidRPr="00D634D6">
        <w:rPr>
          <w:rFonts w:ascii="Palatino Linotype" w:eastAsia="Times New Roman" w:hAnsi="Palatino Linotype"/>
          <w:sz w:val="24"/>
          <w:lang w:val="es-ES_tradnl"/>
        </w:rPr>
        <w:t xml:space="preserve">acceso a la información es un derecho humano constitucional y convencionalmente reconocido y para tal efecto </w:t>
      </w:r>
      <w:r w:rsidRPr="00D634D6">
        <w:rPr>
          <w:rFonts w:ascii="Palatino Linotype" w:eastAsia="Times New Roman" w:hAnsi="Palatino Linotype"/>
          <w:sz w:val="24"/>
          <w:lang w:val="es-ES"/>
        </w:rPr>
        <w:t xml:space="preserve">el párrafo tercero del artículo primero de la Constitución Política de los Estados Unidos Mexicanos establece el deber de todas las autoridades, </w:t>
      </w:r>
      <w:r w:rsidRPr="00D634D6">
        <w:rPr>
          <w:rFonts w:ascii="Palatino Linotype" w:eastAsia="Times New Roman" w:hAnsi="Palatino Linotype"/>
          <w:i/>
          <w:sz w:val="24"/>
          <w:lang w:val="es-ES"/>
        </w:rPr>
        <w:t xml:space="preserve">en el ámbito de sus atribuciones, de promover, respetar, proteger y </w:t>
      </w:r>
      <w:r w:rsidRPr="00D634D6">
        <w:rPr>
          <w:rFonts w:ascii="Palatino Linotype" w:eastAsia="Times New Roman" w:hAnsi="Palatino Linotype"/>
          <w:b/>
          <w:i/>
          <w:sz w:val="24"/>
          <w:lang w:val="es-ES"/>
        </w:rPr>
        <w:t>garantizar</w:t>
      </w:r>
      <w:r w:rsidRPr="00D634D6">
        <w:rPr>
          <w:rFonts w:ascii="Palatino Linotype" w:eastAsia="Times New Roman" w:hAnsi="Palatino Linotype"/>
          <w:i/>
          <w:sz w:val="24"/>
          <w:lang w:val="es-ES"/>
        </w:rPr>
        <w:t xml:space="preserve"> los derechos humanos. </w:t>
      </w:r>
      <w:r w:rsidRPr="00D634D6">
        <w:rPr>
          <w:rFonts w:ascii="Palatino Linotype" w:eastAsia="Times New Roman" w:hAnsi="Palatino Linotype"/>
          <w:sz w:val="24"/>
          <w:lang w:val="es-ES"/>
        </w:rPr>
        <w:t>En cuanto al derecho de acceso a la información, la Ley de Transparencia y Acceso a la Información Pública del Estado de México y Municipios prevé establece que</w:t>
      </w:r>
      <w:r w:rsidRPr="00D634D6">
        <w:rPr>
          <w:rFonts w:ascii="Palatino Linotype" w:eastAsia="Times New Roman" w:hAnsi="Palatino Linotype"/>
          <w:b/>
          <w:i/>
          <w:sz w:val="24"/>
          <w:lang w:val="es-ES"/>
        </w:rPr>
        <w:t xml:space="preserve"> e</w:t>
      </w:r>
      <w:r w:rsidRPr="00D634D6">
        <w:rPr>
          <w:rFonts w:ascii="Palatino Linotype" w:eastAsia="Times New Roman" w:hAnsi="Palatino Linotype"/>
          <w:i/>
          <w:sz w:val="24"/>
          <w:lang w:val="es-ES_tradnl"/>
        </w:rPr>
        <w:t>l procedimiento de acceso a la información es la garantía primaria del derecho en cuestión y se rige por los principios de simplicidad, rapidez y gratuidad del procedimiento, auxilio y orientación a los particulares</w:t>
      </w:r>
      <w:r w:rsidRPr="00D634D6">
        <w:rPr>
          <w:rFonts w:ascii="Palatino Linotype" w:eastAsia="Times New Roman" w:hAnsi="Palatino Linotype"/>
          <w:i/>
          <w:sz w:val="24"/>
          <w:vertAlign w:val="superscript"/>
          <w:lang w:val="es-ES_tradnl"/>
        </w:rPr>
        <w:footnoteReference w:id="5"/>
      </w:r>
      <w:r w:rsidRPr="00D634D6">
        <w:rPr>
          <w:rFonts w:ascii="Palatino Linotype" w:eastAsia="Times New Roman" w:hAnsi="Palatino Linotype"/>
          <w:i/>
          <w:sz w:val="24"/>
          <w:lang w:val="es-ES_tradnl"/>
        </w:rPr>
        <w:t xml:space="preserve">, </w:t>
      </w:r>
      <w:r w:rsidRPr="00D634D6">
        <w:rPr>
          <w:rFonts w:ascii="Palatino Linotype" w:eastAsia="Times New Roman" w:hAnsi="Palatino Linotype"/>
          <w:sz w:val="24"/>
          <w:lang w:val="es-ES_tradnl"/>
        </w:rPr>
        <w:t>asimismo establece</w:t>
      </w:r>
      <w:r w:rsidRPr="00D634D6">
        <w:rPr>
          <w:rFonts w:ascii="Palatino Linotype" w:eastAsia="Times New Roman" w:hAnsi="Palatino Linotype"/>
          <w:i/>
          <w:sz w:val="24"/>
          <w:lang w:val="es-ES_tradnl"/>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rsidR="006B30E5" w:rsidRPr="00D634D6" w:rsidRDefault="006B30E5" w:rsidP="00D634D6">
      <w:pPr>
        <w:pStyle w:val="Prrafodelista"/>
        <w:tabs>
          <w:tab w:val="left" w:pos="142"/>
          <w:tab w:val="left" w:pos="284"/>
          <w:tab w:val="left" w:pos="426"/>
        </w:tabs>
        <w:spacing w:line="360" w:lineRule="auto"/>
        <w:ind w:left="0"/>
        <w:jc w:val="both"/>
        <w:rPr>
          <w:rFonts w:ascii="Palatino Linotype" w:eastAsia="Times New Roman" w:hAnsi="Palatino Linotype"/>
          <w:sz w:val="24"/>
        </w:rPr>
      </w:pPr>
    </w:p>
    <w:p w:rsidR="006B30E5" w:rsidRPr="00D634D6" w:rsidRDefault="006B30E5" w:rsidP="00D634D6">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634D6">
        <w:rPr>
          <w:rFonts w:ascii="Palatino Linotype" w:eastAsia="Times New Roman" w:hAnsi="Palatino Linotype"/>
          <w:sz w:val="24"/>
        </w:rPr>
        <w:t xml:space="preserve">El </w:t>
      </w:r>
      <w:r w:rsidRPr="00D634D6">
        <w:rPr>
          <w:rFonts w:ascii="Palatino Linotype" w:eastAsia="Times New Roman" w:hAnsi="Palatino Linotype"/>
          <w:sz w:val="24"/>
          <w:lang w:val="es-ES_tradn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w:t>
      </w:r>
      <w:r w:rsidRPr="00D634D6">
        <w:rPr>
          <w:rFonts w:ascii="Palatino Linotype" w:eastAsia="Times New Roman" w:hAnsi="Palatino Linotype"/>
          <w:sz w:val="24"/>
          <w:lang w:val="es-ES_tradnl"/>
        </w:rPr>
        <w:lastRenderedPageBreak/>
        <w:t xml:space="preserve">una estrecha relación, puesto que los ordenamientos citados concurren refiriendo que </w:t>
      </w:r>
      <w:r w:rsidRPr="00D634D6">
        <w:rPr>
          <w:rFonts w:ascii="Palatino Linotype" w:eastAsia="Times New Roman" w:hAnsi="Palatino Linotype"/>
          <w:b/>
          <w:sz w:val="24"/>
          <w:lang w:val="es-ES_tradnl"/>
        </w:rPr>
        <w:t>los Sujetos Obligados deberán documentar todo acto que se derive del ejercicio de sus facultades, competencias o funciones,</w:t>
      </w:r>
      <w:r w:rsidRPr="00D634D6">
        <w:rPr>
          <w:rFonts w:ascii="Palatino Linotype" w:eastAsia="Times New Roman" w:hAnsi="Palatino Linotype"/>
          <w:sz w:val="24"/>
          <w:lang w:val="es-ES_tradnl"/>
        </w:rPr>
        <w:t xml:space="preserve"> considerando desde su origen la eventual publicidad y reutilización de la información que generen, posean o administren.</w:t>
      </w:r>
    </w:p>
    <w:p w:rsidR="006B30E5" w:rsidRPr="00D634D6" w:rsidRDefault="006B30E5" w:rsidP="00D634D6">
      <w:pPr>
        <w:pStyle w:val="Prrafodelista"/>
        <w:tabs>
          <w:tab w:val="left" w:pos="142"/>
          <w:tab w:val="left" w:pos="284"/>
          <w:tab w:val="left" w:pos="426"/>
        </w:tabs>
        <w:spacing w:line="360" w:lineRule="auto"/>
        <w:ind w:left="0"/>
        <w:jc w:val="both"/>
        <w:rPr>
          <w:rFonts w:ascii="Palatino Linotype" w:eastAsia="Times New Roman" w:hAnsi="Palatino Linotype"/>
          <w:sz w:val="24"/>
        </w:rPr>
      </w:pPr>
    </w:p>
    <w:p w:rsidR="006B30E5" w:rsidRPr="00D634D6" w:rsidRDefault="006B30E5" w:rsidP="00D634D6">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634D6">
        <w:rPr>
          <w:rFonts w:ascii="Palatino Linotype" w:eastAsia="Times New Roman" w:hAnsi="Palatino Linotype"/>
          <w:sz w:val="24"/>
        </w:rPr>
        <w:t xml:space="preserve">Además, </w:t>
      </w:r>
      <w:r w:rsidRPr="00D634D6">
        <w:rPr>
          <w:rFonts w:ascii="Palatino Linotype" w:eastAsia="Times New Roman" w:hAnsi="Palatino Linotype"/>
          <w:sz w:val="24"/>
          <w:lang w:val="es-ES_tradnl"/>
        </w:rPr>
        <w:t xml:space="preserve">debemos tomar en cuenta </w:t>
      </w:r>
      <w:r w:rsidR="00E57D88" w:rsidRPr="00D634D6">
        <w:rPr>
          <w:rFonts w:ascii="Palatino Linotype" w:eastAsia="Times New Roman" w:hAnsi="Palatino Linotype"/>
          <w:sz w:val="24"/>
          <w:lang w:val="es-ES_tradnl"/>
        </w:rPr>
        <w:t>el contenido del</w:t>
      </w:r>
      <w:r w:rsidRPr="00D634D6">
        <w:rPr>
          <w:rFonts w:ascii="Palatino Linotype" w:eastAsia="Times New Roman" w:hAnsi="Palatino Linotype"/>
          <w:sz w:val="24"/>
          <w:lang w:val="es-ES_tradnl"/>
        </w:rPr>
        <w:t xml:space="preserve"> artículo 4 de la Ley de Transparencia y Acceso a la Información Pública del Estado de México y Municipios, </w:t>
      </w:r>
      <w:r w:rsidR="00E57D88" w:rsidRPr="00D634D6">
        <w:rPr>
          <w:rFonts w:ascii="Palatino Linotype" w:eastAsia="Times New Roman" w:hAnsi="Palatino Linotype"/>
          <w:sz w:val="24"/>
          <w:lang w:val="es-ES_tradnl"/>
        </w:rPr>
        <w:t>el</w:t>
      </w:r>
      <w:r w:rsidRPr="00D634D6">
        <w:rPr>
          <w:rFonts w:ascii="Palatino Linotype" w:eastAsia="Times New Roman" w:hAnsi="Palatino Linotype"/>
          <w:sz w:val="24"/>
          <w:lang w:val="es-ES_tradnl"/>
        </w:rPr>
        <w:t xml:space="preserve"> cual establece lo siguiente:</w:t>
      </w:r>
    </w:p>
    <w:p w:rsidR="006B30E5" w:rsidRPr="00D634D6" w:rsidRDefault="006B30E5" w:rsidP="00D634D6">
      <w:pPr>
        <w:pStyle w:val="Prrafodelista"/>
        <w:tabs>
          <w:tab w:val="left" w:pos="142"/>
          <w:tab w:val="left" w:pos="284"/>
          <w:tab w:val="left" w:pos="426"/>
        </w:tabs>
        <w:spacing w:line="360" w:lineRule="auto"/>
        <w:ind w:left="0"/>
        <w:jc w:val="both"/>
        <w:rPr>
          <w:rFonts w:ascii="Palatino Linotype" w:eastAsia="Times New Roman" w:hAnsi="Palatino Linotype"/>
          <w:sz w:val="24"/>
        </w:rPr>
      </w:pPr>
    </w:p>
    <w:p w:rsidR="006B30E5" w:rsidRPr="00D634D6" w:rsidRDefault="006B30E5" w:rsidP="00D634D6">
      <w:pPr>
        <w:autoSpaceDE w:val="0"/>
        <w:autoSpaceDN w:val="0"/>
        <w:adjustRightInd w:val="0"/>
        <w:spacing w:line="360" w:lineRule="auto"/>
        <w:ind w:left="567" w:right="567"/>
        <w:jc w:val="both"/>
        <w:rPr>
          <w:rFonts w:ascii="Palatino Linotype" w:hAnsi="Palatino Linotype" w:cs="Bookman Old Style"/>
          <w:i/>
          <w:szCs w:val="20"/>
        </w:rPr>
      </w:pPr>
      <w:r w:rsidRPr="00D634D6">
        <w:rPr>
          <w:rFonts w:ascii="Palatino Linotype" w:hAnsi="Palatino Linotype" w:cs="Bookman Old Style,Bold"/>
          <w:b/>
          <w:bCs/>
          <w:i/>
          <w:szCs w:val="20"/>
        </w:rPr>
        <w:t xml:space="preserve">“Artículo 4. </w:t>
      </w:r>
      <w:r w:rsidRPr="00D634D6">
        <w:rPr>
          <w:rFonts w:ascii="Palatino Linotype" w:hAnsi="Palatino Linotype" w:cs="Bookman Old Style"/>
          <w:i/>
          <w:szCs w:val="20"/>
        </w:rPr>
        <w:t>El derecho humano de acceso a la información pública es la prerrogativa de las personas para buscar, difundir, investigar, recabar, recibir y solicitar información pública, sin necesidad de acreditar personalidad ni interés jurídico.</w:t>
      </w:r>
    </w:p>
    <w:p w:rsidR="006B30E5" w:rsidRPr="00D634D6" w:rsidRDefault="006B30E5" w:rsidP="00D634D6">
      <w:pPr>
        <w:autoSpaceDE w:val="0"/>
        <w:autoSpaceDN w:val="0"/>
        <w:adjustRightInd w:val="0"/>
        <w:spacing w:line="360" w:lineRule="auto"/>
        <w:ind w:left="567" w:right="567"/>
        <w:jc w:val="both"/>
        <w:rPr>
          <w:rFonts w:ascii="Palatino Linotype" w:hAnsi="Palatino Linotype" w:cs="Bookman Old Style"/>
          <w:i/>
          <w:szCs w:val="20"/>
        </w:rPr>
      </w:pPr>
    </w:p>
    <w:p w:rsidR="006B30E5" w:rsidRPr="00D634D6" w:rsidRDefault="006B30E5" w:rsidP="00D634D6">
      <w:pPr>
        <w:autoSpaceDE w:val="0"/>
        <w:autoSpaceDN w:val="0"/>
        <w:adjustRightInd w:val="0"/>
        <w:spacing w:line="360" w:lineRule="auto"/>
        <w:ind w:left="567" w:right="567"/>
        <w:jc w:val="both"/>
        <w:rPr>
          <w:rFonts w:ascii="Palatino Linotype" w:hAnsi="Palatino Linotype" w:cs="Bookman Old Style"/>
          <w:i/>
          <w:szCs w:val="20"/>
        </w:rPr>
      </w:pPr>
      <w:r w:rsidRPr="00D634D6">
        <w:rPr>
          <w:rFonts w:ascii="Palatino Linotype" w:hAnsi="Palatino Linotype" w:cs="Bookman Old Style"/>
          <w:i/>
          <w:szCs w:val="20"/>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6B30E5" w:rsidRPr="00D634D6" w:rsidRDefault="006B30E5" w:rsidP="00D634D6">
      <w:pPr>
        <w:autoSpaceDE w:val="0"/>
        <w:autoSpaceDN w:val="0"/>
        <w:adjustRightInd w:val="0"/>
        <w:spacing w:line="360" w:lineRule="auto"/>
        <w:ind w:left="567" w:right="567"/>
        <w:jc w:val="both"/>
        <w:rPr>
          <w:rFonts w:ascii="Palatino Linotype" w:hAnsi="Palatino Linotype" w:cs="Bookman Old Style"/>
          <w:i/>
          <w:szCs w:val="20"/>
        </w:rPr>
      </w:pPr>
    </w:p>
    <w:p w:rsidR="006B30E5" w:rsidRPr="00D634D6" w:rsidRDefault="006B30E5" w:rsidP="00D634D6">
      <w:pPr>
        <w:autoSpaceDE w:val="0"/>
        <w:autoSpaceDN w:val="0"/>
        <w:adjustRightInd w:val="0"/>
        <w:spacing w:line="360" w:lineRule="auto"/>
        <w:ind w:left="567" w:right="567"/>
        <w:jc w:val="both"/>
        <w:rPr>
          <w:rFonts w:ascii="Palatino Linotype" w:hAnsi="Palatino Linotype" w:cs="Bookman Old Style"/>
          <w:i/>
          <w:szCs w:val="20"/>
        </w:rPr>
      </w:pPr>
      <w:r w:rsidRPr="00D634D6">
        <w:rPr>
          <w:rFonts w:ascii="Palatino Linotype" w:hAnsi="Palatino Linotype" w:cs="Bookman Old Style"/>
          <w:i/>
          <w:szCs w:val="20"/>
        </w:rPr>
        <w:lastRenderedPageBreak/>
        <w:t>Los sujetos obligados deben poner en práctica, políticas y programas de acceso a la información que se apeguen a criterios de publicidad, veracidad, oportunidad, precisión y suficiencia en beneficio de los solicitantes.</w:t>
      </w:r>
    </w:p>
    <w:p w:rsidR="006B30E5" w:rsidRPr="00D634D6" w:rsidRDefault="006B30E5" w:rsidP="00D634D6">
      <w:pPr>
        <w:autoSpaceDE w:val="0"/>
        <w:autoSpaceDN w:val="0"/>
        <w:adjustRightInd w:val="0"/>
        <w:spacing w:line="360" w:lineRule="auto"/>
        <w:ind w:right="567"/>
        <w:jc w:val="both"/>
        <w:rPr>
          <w:rFonts w:ascii="Palatino Linotype" w:eastAsia="Times New Roman" w:hAnsi="Palatino Linotype" w:cs="Arial"/>
          <w:i/>
          <w:color w:val="000000"/>
          <w:sz w:val="28"/>
        </w:rPr>
      </w:pPr>
    </w:p>
    <w:p w:rsidR="006B30E5" w:rsidRPr="00D634D6" w:rsidRDefault="006B30E5" w:rsidP="00D634D6">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634D6">
        <w:rPr>
          <w:rFonts w:ascii="Palatino Linotype" w:eastAsia="Times New Roman" w:hAnsi="Palatino Linotype"/>
          <w:sz w:val="24"/>
        </w:rPr>
        <w:t xml:space="preserve">Es </w:t>
      </w:r>
      <w:r w:rsidRPr="00D634D6">
        <w:rPr>
          <w:rFonts w:ascii="Palatino Linotype" w:eastAsia="Times New Roman" w:hAnsi="Palatino Linotype"/>
          <w:sz w:val="24"/>
          <w:lang w:val="es-ES"/>
        </w:rPr>
        <w:t>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D634D6">
        <w:rPr>
          <w:rFonts w:ascii="Palatino Linotype" w:eastAsia="Times New Roman" w:hAnsi="Palatino Linotype"/>
          <w:sz w:val="24"/>
          <w:vertAlign w:val="superscript"/>
          <w:lang w:val="es-ES"/>
        </w:rPr>
        <w:footnoteReference w:id="6"/>
      </w:r>
      <w:r w:rsidRPr="00D634D6">
        <w:rPr>
          <w:rFonts w:ascii="Palatino Linotype" w:eastAsia="Times New Roman" w:hAnsi="Palatino Linotype"/>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6B30E5" w:rsidRPr="00D634D6" w:rsidRDefault="006B30E5" w:rsidP="00D634D6">
      <w:pPr>
        <w:pStyle w:val="Prrafodelista"/>
        <w:tabs>
          <w:tab w:val="left" w:pos="142"/>
          <w:tab w:val="left" w:pos="284"/>
          <w:tab w:val="left" w:pos="426"/>
        </w:tabs>
        <w:spacing w:line="360" w:lineRule="auto"/>
        <w:ind w:left="0"/>
        <w:jc w:val="both"/>
        <w:rPr>
          <w:rFonts w:ascii="Palatino Linotype" w:eastAsia="Times New Roman" w:hAnsi="Palatino Linotype"/>
          <w:sz w:val="24"/>
        </w:rPr>
      </w:pPr>
    </w:p>
    <w:p w:rsidR="006B30E5" w:rsidRPr="00D634D6" w:rsidRDefault="006B30E5" w:rsidP="00D634D6">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634D6">
        <w:rPr>
          <w:rFonts w:ascii="Palatino Linotype" w:eastAsia="Times New Roman" w:hAnsi="Palatino Linotype"/>
          <w:sz w:val="24"/>
        </w:rPr>
        <w:t xml:space="preserve">Robustece </w:t>
      </w:r>
      <w:r w:rsidRPr="00D634D6">
        <w:rPr>
          <w:rFonts w:ascii="Palatino Linotype" w:eastAsia="Times New Roman" w:hAnsi="Palatino Linotype"/>
          <w:sz w:val="24"/>
          <w:lang w:val="es-ES"/>
        </w:rPr>
        <w:t>lo anterior la Tesis aislada identificada con la clave I.4º.A.40 A del Cuarto Tribunal colegiado en Materia Administrativa del Primer Circuito, publicada en el Seminario Judicial de la Federación y su Gaceta en el libro XVIII, Marzo 2013, Página 1899.</w:t>
      </w:r>
    </w:p>
    <w:p w:rsidR="006B30E5" w:rsidRPr="00D634D6" w:rsidRDefault="006B30E5" w:rsidP="00D634D6">
      <w:pPr>
        <w:pStyle w:val="Prrafodelista"/>
        <w:tabs>
          <w:tab w:val="left" w:pos="142"/>
          <w:tab w:val="left" w:pos="284"/>
          <w:tab w:val="left" w:pos="426"/>
        </w:tabs>
        <w:spacing w:line="360" w:lineRule="auto"/>
        <w:ind w:left="0"/>
        <w:jc w:val="both"/>
        <w:rPr>
          <w:rFonts w:ascii="Palatino Linotype" w:eastAsia="Times New Roman" w:hAnsi="Palatino Linotype"/>
          <w:sz w:val="24"/>
          <w:lang w:val="es-ES"/>
        </w:rPr>
      </w:pPr>
    </w:p>
    <w:p w:rsidR="006B30E5" w:rsidRPr="00D634D6" w:rsidRDefault="006B30E5" w:rsidP="00D634D6">
      <w:pPr>
        <w:pStyle w:val="Prrafodelista"/>
        <w:tabs>
          <w:tab w:val="left" w:pos="142"/>
          <w:tab w:val="left" w:pos="284"/>
          <w:tab w:val="left" w:pos="426"/>
        </w:tabs>
        <w:spacing w:line="360" w:lineRule="auto"/>
        <w:ind w:left="567" w:right="567"/>
        <w:jc w:val="both"/>
        <w:rPr>
          <w:rFonts w:ascii="Palatino Linotype" w:eastAsia="MS Gothic" w:hAnsi="Palatino Linotype" w:cs="Times New Roman"/>
          <w:szCs w:val="26"/>
        </w:rPr>
      </w:pPr>
      <w:r w:rsidRPr="00D634D6">
        <w:rPr>
          <w:rFonts w:ascii="Palatino Linotype" w:hAnsi="Palatino Linotype"/>
          <w:b/>
          <w:i/>
        </w:rPr>
        <w:t xml:space="preserve">ACCESO A LA INFORMACIÓN. IMPLICACIÓN DEL PRINCIPIO DE MÁXIMA PUBLICIDAD EN EL DERECHO FUNDAMENTAL </w:t>
      </w:r>
      <w:r w:rsidRPr="00D634D6">
        <w:rPr>
          <w:rFonts w:ascii="Palatino Linotype" w:hAnsi="Palatino Linotype"/>
          <w:b/>
          <w:i/>
        </w:rPr>
        <w:lastRenderedPageBreak/>
        <w:t>RELATIVO.</w:t>
      </w:r>
      <w:r w:rsidRPr="00D634D6">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6B30E5" w:rsidRPr="00D634D6" w:rsidRDefault="006B30E5" w:rsidP="00D634D6">
      <w:pPr>
        <w:pStyle w:val="Prrafodelista"/>
        <w:tabs>
          <w:tab w:val="left" w:pos="142"/>
          <w:tab w:val="left" w:pos="284"/>
          <w:tab w:val="left" w:pos="426"/>
        </w:tabs>
        <w:spacing w:line="360" w:lineRule="auto"/>
        <w:ind w:left="0"/>
        <w:jc w:val="both"/>
        <w:rPr>
          <w:rFonts w:ascii="Palatino Linotype" w:eastAsia="Times New Roman" w:hAnsi="Palatino Linotype"/>
          <w:sz w:val="24"/>
        </w:rPr>
      </w:pPr>
    </w:p>
    <w:p w:rsidR="006B30E5" w:rsidRPr="00D634D6" w:rsidRDefault="006B30E5" w:rsidP="00D634D6">
      <w:pPr>
        <w:pStyle w:val="Prrafodelista"/>
        <w:numPr>
          <w:ilvl w:val="0"/>
          <w:numId w:val="2"/>
        </w:numPr>
        <w:tabs>
          <w:tab w:val="left" w:pos="142"/>
          <w:tab w:val="left" w:pos="284"/>
          <w:tab w:val="left" w:pos="426"/>
        </w:tabs>
        <w:spacing w:line="360" w:lineRule="auto"/>
        <w:ind w:left="0" w:firstLine="0"/>
        <w:jc w:val="both"/>
        <w:rPr>
          <w:rFonts w:ascii="Palatino Linotype" w:eastAsia="Times New Roman" w:hAnsi="Palatino Linotype"/>
          <w:sz w:val="24"/>
        </w:rPr>
      </w:pPr>
      <w:r w:rsidRPr="00D634D6">
        <w:rPr>
          <w:rFonts w:ascii="Palatino Linotype" w:eastAsia="Times New Roman" w:hAnsi="Palatino Linotype"/>
          <w:sz w:val="24"/>
          <w:lang w:val="es-ES"/>
        </w:rPr>
        <w:lastRenderedPageBreak/>
        <w:t>Tal y como se ha señalado, el derecho de acceso a la información se basa en permitir que la ciudadanía conozca de primera mano toda aquella información que se encuentra en posesión de los Sujetos Obligados, ya sea porque la genera, posee o administra, toda vez que, a través de dicha acción permite que las personas ejerzan un medio de control sobre las acciones que se están ejerciendo y evaluar su desempeño.</w:t>
      </w:r>
    </w:p>
    <w:p w:rsidR="00390C2D" w:rsidRPr="00D634D6" w:rsidRDefault="00390C2D" w:rsidP="00D634D6">
      <w:pPr>
        <w:pStyle w:val="Prrafodelista"/>
        <w:tabs>
          <w:tab w:val="left" w:pos="142"/>
          <w:tab w:val="left" w:pos="284"/>
        </w:tabs>
        <w:spacing w:line="360" w:lineRule="auto"/>
        <w:ind w:left="0"/>
        <w:jc w:val="both"/>
        <w:rPr>
          <w:rFonts w:ascii="Palatino Linotype" w:eastAsia="Times New Roman" w:hAnsi="Palatino Linotype"/>
        </w:rPr>
      </w:pPr>
    </w:p>
    <w:p w:rsidR="00390C2D" w:rsidRPr="00D634D6" w:rsidRDefault="00973046" w:rsidP="00D634D6">
      <w:pPr>
        <w:pStyle w:val="Prrafodelista"/>
        <w:keepNext/>
        <w:keepLines/>
        <w:tabs>
          <w:tab w:val="left" w:pos="142"/>
          <w:tab w:val="left" w:pos="284"/>
        </w:tabs>
        <w:spacing w:line="360" w:lineRule="auto"/>
        <w:ind w:left="0"/>
        <w:jc w:val="both"/>
        <w:outlineLvl w:val="2"/>
        <w:rPr>
          <w:rFonts w:ascii="Palatino Linotype" w:eastAsia="MS Gothic" w:hAnsi="Palatino Linotype" w:cs="Times New Roman"/>
          <w:b/>
          <w:szCs w:val="26"/>
        </w:rPr>
      </w:pPr>
      <w:bookmarkStart w:id="26" w:name="_Toc34923432"/>
      <w:r w:rsidRPr="00D634D6">
        <w:rPr>
          <w:rFonts w:ascii="Palatino Linotype" w:eastAsia="MS Gothic" w:hAnsi="Palatino Linotype" w:cs="Times New Roman"/>
          <w:b/>
          <w:szCs w:val="26"/>
        </w:rPr>
        <w:t>I</w:t>
      </w:r>
      <w:r w:rsidR="006B30E5" w:rsidRPr="00D634D6">
        <w:rPr>
          <w:rFonts w:ascii="Palatino Linotype" w:eastAsia="MS Gothic" w:hAnsi="Palatino Linotype" w:cs="Times New Roman"/>
          <w:b/>
          <w:szCs w:val="26"/>
        </w:rPr>
        <w:t>I</w:t>
      </w:r>
      <w:r w:rsidR="006E5EF0" w:rsidRPr="00D634D6">
        <w:rPr>
          <w:rFonts w:ascii="Palatino Linotype" w:eastAsia="MS Gothic" w:hAnsi="Palatino Linotype" w:cs="Times New Roman"/>
          <w:b/>
          <w:szCs w:val="26"/>
        </w:rPr>
        <w:t xml:space="preserve">I. </w:t>
      </w:r>
      <w:r w:rsidR="00390C2D" w:rsidRPr="00D634D6">
        <w:rPr>
          <w:rFonts w:ascii="Palatino Linotype" w:eastAsia="MS Gothic" w:hAnsi="Palatino Linotype" w:cs="Times New Roman"/>
          <w:b/>
          <w:szCs w:val="26"/>
        </w:rPr>
        <w:t xml:space="preserve">De </w:t>
      </w:r>
      <w:r w:rsidR="00C520A8" w:rsidRPr="00D634D6">
        <w:rPr>
          <w:rFonts w:ascii="Palatino Linotype" w:eastAsia="MS Gothic" w:hAnsi="Palatino Linotype" w:cs="Times New Roman"/>
          <w:b/>
          <w:szCs w:val="26"/>
        </w:rPr>
        <w:t>los bienes adquiridos en materia de Seguridad Pública</w:t>
      </w:r>
      <w:r w:rsidR="006E5EF0" w:rsidRPr="00D634D6">
        <w:rPr>
          <w:rFonts w:ascii="Palatino Linotype" w:eastAsia="MS Gothic" w:hAnsi="Palatino Linotype" w:cs="Times New Roman"/>
          <w:b/>
          <w:szCs w:val="26"/>
        </w:rPr>
        <w:t>.</w:t>
      </w:r>
      <w:bookmarkEnd w:id="26"/>
    </w:p>
    <w:p w:rsidR="00390C2D" w:rsidRPr="00D634D6" w:rsidRDefault="00390C2D" w:rsidP="00D634D6">
      <w:pPr>
        <w:pStyle w:val="Prrafodelista"/>
        <w:tabs>
          <w:tab w:val="left" w:pos="142"/>
          <w:tab w:val="left" w:pos="284"/>
        </w:tabs>
        <w:spacing w:line="360" w:lineRule="auto"/>
        <w:ind w:left="0"/>
        <w:rPr>
          <w:rFonts w:ascii="Palatino Linotype" w:eastAsia="MS Mincho" w:hAnsi="Palatino Linotype" w:cs="Arial"/>
        </w:rPr>
      </w:pPr>
    </w:p>
    <w:p w:rsidR="00390C2D" w:rsidRPr="00D634D6" w:rsidRDefault="00F56F46" w:rsidP="00D634D6">
      <w:pPr>
        <w:pStyle w:val="Prrafodelista"/>
        <w:numPr>
          <w:ilvl w:val="0"/>
          <w:numId w:val="2"/>
        </w:numPr>
        <w:tabs>
          <w:tab w:val="left" w:pos="142"/>
          <w:tab w:val="left" w:pos="284"/>
          <w:tab w:val="left" w:pos="426"/>
        </w:tabs>
        <w:spacing w:line="360" w:lineRule="auto"/>
        <w:ind w:left="0" w:firstLine="0"/>
        <w:jc w:val="both"/>
        <w:rPr>
          <w:rFonts w:ascii="Palatino Linotype" w:eastAsia="Calibri" w:hAnsi="Palatino Linotype" w:cs="Times New Roman"/>
          <w:sz w:val="24"/>
        </w:rPr>
      </w:pPr>
      <w:r w:rsidRPr="00D634D6">
        <w:rPr>
          <w:rFonts w:ascii="Palatino Linotype" w:eastAsia="Calibri" w:hAnsi="Palatino Linotype" w:cs="Times New Roman"/>
          <w:sz w:val="24"/>
        </w:rPr>
        <w:t>Como ha sido reiterado en el presente escrito de resolución,</w:t>
      </w:r>
      <w:r w:rsidR="00390C2D" w:rsidRPr="00D634D6">
        <w:rPr>
          <w:rFonts w:ascii="Palatino Linotype" w:eastAsia="Calibri" w:hAnsi="Palatino Linotype" w:cs="Times New Roman"/>
          <w:sz w:val="24"/>
        </w:rPr>
        <w:t xml:space="preserve"> el Sistema de Acceso a la In</w:t>
      </w:r>
      <w:r w:rsidR="00130074" w:rsidRPr="00D634D6">
        <w:rPr>
          <w:rFonts w:ascii="Palatino Linotype" w:eastAsia="Calibri" w:hAnsi="Palatino Linotype" w:cs="Times New Roman"/>
          <w:sz w:val="24"/>
        </w:rPr>
        <w:t>formación Mexiquense (</w:t>
      </w:r>
      <w:r w:rsidR="00130074" w:rsidRPr="00D634D6">
        <w:rPr>
          <w:rFonts w:ascii="Palatino Linotype" w:eastAsia="Calibri" w:hAnsi="Palatino Linotype" w:cs="Times New Roman"/>
          <w:b/>
          <w:i/>
          <w:sz w:val="24"/>
        </w:rPr>
        <w:t>SAIMEX</w:t>
      </w:r>
      <w:r w:rsidRPr="00D634D6">
        <w:rPr>
          <w:rFonts w:ascii="Palatino Linotype" w:eastAsia="Calibri" w:hAnsi="Palatino Linotype" w:cs="Times New Roman"/>
          <w:sz w:val="24"/>
        </w:rPr>
        <w:t xml:space="preserve">) registró </w:t>
      </w:r>
      <w:r w:rsidR="00390C2D" w:rsidRPr="00D634D6">
        <w:rPr>
          <w:rFonts w:ascii="Palatino Linotype" w:eastAsia="Calibri" w:hAnsi="Palatino Linotype" w:cs="Times New Roman"/>
          <w:sz w:val="24"/>
        </w:rPr>
        <w:t xml:space="preserve">la solicitud de información </w:t>
      </w:r>
      <w:r w:rsidR="009E06B0" w:rsidRPr="00D634D6">
        <w:rPr>
          <w:rFonts w:ascii="Palatino Linotype" w:eastAsia="Calibri" w:hAnsi="Palatino Linotype" w:cs="Times New Roman"/>
          <w:b/>
          <w:sz w:val="24"/>
        </w:rPr>
        <w:t>00126/ATIZAPAN/IP/2019</w:t>
      </w:r>
      <w:r w:rsidR="00390C2D" w:rsidRPr="00D634D6">
        <w:rPr>
          <w:rFonts w:ascii="Palatino Linotype" w:eastAsia="Calibri" w:hAnsi="Palatino Linotype" w:cs="Times New Roman"/>
          <w:b/>
          <w:sz w:val="24"/>
        </w:rPr>
        <w:t xml:space="preserve"> </w:t>
      </w:r>
      <w:r w:rsidR="00390C2D" w:rsidRPr="00D634D6">
        <w:rPr>
          <w:rFonts w:ascii="Palatino Linotype" w:eastAsia="Calibri" w:hAnsi="Palatino Linotype" w:cs="Times New Roman"/>
          <w:sz w:val="24"/>
        </w:rPr>
        <w:t>mediante la cual</w:t>
      </w:r>
      <w:r w:rsidR="00DD33EF" w:rsidRPr="00D634D6">
        <w:rPr>
          <w:rFonts w:ascii="Palatino Linotype" w:eastAsia="Calibri" w:hAnsi="Palatino Linotype" w:cs="Times New Roman"/>
          <w:sz w:val="24"/>
        </w:rPr>
        <w:t>,</w:t>
      </w:r>
      <w:r w:rsidR="00390C2D" w:rsidRPr="00D634D6">
        <w:rPr>
          <w:rFonts w:ascii="Palatino Linotype" w:eastAsia="Calibri" w:hAnsi="Palatino Linotype" w:cs="Times New Roman"/>
          <w:sz w:val="24"/>
        </w:rPr>
        <w:t xml:space="preserve"> </w:t>
      </w:r>
      <w:r w:rsidR="00762DE6" w:rsidRPr="00D634D6">
        <w:rPr>
          <w:rFonts w:ascii="Palatino Linotype" w:eastAsia="Calibri" w:hAnsi="Palatino Linotype" w:cs="Times New Roman"/>
          <w:sz w:val="24"/>
        </w:rPr>
        <w:t>el</w:t>
      </w:r>
      <w:r w:rsidR="00DD33EF" w:rsidRPr="00D634D6">
        <w:rPr>
          <w:rFonts w:ascii="Palatino Linotype" w:eastAsia="Calibri" w:hAnsi="Palatino Linotype" w:cs="Times New Roman"/>
          <w:sz w:val="24"/>
        </w:rPr>
        <w:t xml:space="preserve"> entonces</w:t>
      </w:r>
      <w:r w:rsidR="00390C2D" w:rsidRPr="00D634D6">
        <w:rPr>
          <w:rFonts w:ascii="Palatino Linotype" w:eastAsia="Calibri" w:hAnsi="Palatino Linotype" w:cs="Times New Roman"/>
          <w:sz w:val="24"/>
        </w:rPr>
        <w:t xml:space="preserve"> </w:t>
      </w:r>
      <w:r w:rsidRPr="00D634D6">
        <w:rPr>
          <w:rFonts w:ascii="Palatino Linotype" w:eastAsia="Calibri" w:hAnsi="Palatino Linotype" w:cs="Times New Roman"/>
          <w:b/>
          <w:sz w:val="24"/>
        </w:rPr>
        <w:t>SOLICITANTE</w:t>
      </w:r>
      <w:r w:rsidRPr="00D634D6">
        <w:rPr>
          <w:rFonts w:ascii="Palatino Linotype" w:eastAsia="Calibri" w:hAnsi="Palatino Linotype" w:cs="Times New Roman"/>
          <w:sz w:val="24"/>
        </w:rPr>
        <w:t xml:space="preserve"> </w:t>
      </w:r>
      <w:r w:rsidR="00390C2D" w:rsidRPr="00D634D6">
        <w:rPr>
          <w:rFonts w:ascii="Palatino Linotype" w:eastAsia="Calibri" w:hAnsi="Palatino Linotype" w:cs="Times New Roman"/>
          <w:sz w:val="24"/>
        </w:rPr>
        <w:t xml:space="preserve">requirió del </w:t>
      </w:r>
      <w:r w:rsidR="0049442C" w:rsidRPr="00D634D6">
        <w:rPr>
          <w:rFonts w:ascii="Palatino Linotype" w:hAnsi="Palatino Linotype" w:cs="Arial"/>
          <w:sz w:val="24"/>
          <w:szCs w:val="23"/>
        </w:rPr>
        <w:t xml:space="preserve">Ayuntamiento de </w:t>
      </w:r>
      <w:r w:rsidR="009E06B0" w:rsidRPr="00D634D6">
        <w:rPr>
          <w:rFonts w:ascii="Palatino Linotype" w:hAnsi="Palatino Linotype" w:cs="Arial"/>
          <w:sz w:val="24"/>
          <w:szCs w:val="23"/>
        </w:rPr>
        <w:t>Atizapán</w:t>
      </w:r>
      <w:r w:rsidR="00390C2D" w:rsidRPr="00D634D6">
        <w:rPr>
          <w:rFonts w:ascii="Palatino Linotype" w:eastAsia="Calibri" w:hAnsi="Palatino Linotype" w:cs="Times New Roman"/>
          <w:sz w:val="24"/>
        </w:rPr>
        <w:t xml:space="preserve"> lo siguiente: </w:t>
      </w:r>
    </w:p>
    <w:p w:rsidR="0049442C" w:rsidRPr="00D634D6" w:rsidRDefault="0049442C" w:rsidP="00D634D6">
      <w:pPr>
        <w:pStyle w:val="Prrafodelista"/>
        <w:tabs>
          <w:tab w:val="left" w:pos="142"/>
          <w:tab w:val="left" w:pos="284"/>
          <w:tab w:val="left" w:pos="426"/>
        </w:tabs>
        <w:spacing w:line="360" w:lineRule="auto"/>
        <w:ind w:left="0"/>
        <w:jc w:val="both"/>
        <w:rPr>
          <w:rFonts w:ascii="Palatino Linotype" w:eastAsia="Calibri" w:hAnsi="Palatino Linotype" w:cs="Times New Roman"/>
        </w:rPr>
      </w:pPr>
    </w:p>
    <w:p w:rsidR="006831D4" w:rsidRPr="00D634D6" w:rsidRDefault="00134A06" w:rsidP="00D634D6">
      <w:pPr>
        <w:pStyle w:val="Prrafodelista"/>
        <w:numPr>
          <w:ilvl w:val="1"/>
          <w:numId w:val="2"/>
        </w:numPr>
        <w:tabs>
          <w:tab w:val="left" w:pos="142"/>
          <w:tab w:val="left" w:pos="851"/>
        </w:tabs>
        <w:spacing w:line="360" w:lineRule="auto"/>
        <w:ind w:left="567" w:right="567" w:firstLine="0"/>
        <w:jc w:val="both"/>
        <w:rPr>
          <w:rFonts w:ascii="Palatino Linotype" w:eastAsia="Calibri" w:hAnsi="Palatino Linotype" w:cs="Times New Roman"/>
        </w:rPr>
      </w:pPr>
      <w:r w:rsidRPr="00D634D6">
        <w:rPr>
          <w:rFonts w:ascii="Palatino Linotype" w:hAnsi="Palatino Linotype"/>
          <w:sz w:val="24"/>
          <w:szCs w:val="24"/>
        </w:rPr>
        <w:t>Facturas y contratos de los bienes comprados o rentados para seguridad con recursos federales y locales.</w:t>
      </w:r>
    </w:p>
    <w:p w:rsidR="00134A06" w:rsidRPr="00D634D6" w:rsidRDefault="00134A06" w:rsidP="00D634D6">
      <w:pPr>
        <w:pStyle w:val="Prrafodelista"/>
        <w:tabs>
          <w:tab w:val="left" w:pos="142"/>
          <w:tab w:val="left" w:pos="851"/>
        </w:tabs>
        <w:spacing w:line="360" w:lineRule="auto"/>
        <w:ind w:left="567" w:right="567"/>
        <w:jc w:val="both"/>
        <w:rPr>
          <w:rFonts w:ascii="Palatino Linotype" w:eastAsia="Calibri" w:hAnsi="Palatino Linotype" w:cs="Times New Roman"/>
        </w:rPr>
      </w:pPr>
    </w:p>
    <w:p w:rsidR="00557FCA" w:rsidRPr="00D634D6" w:rsidRDefault="005C10FF"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Mincho" w:hAnsi="Palatino Linotype" w:cs="Times New Roman"/>
          <w:color w:val="000000"/>
          <w:sz w:val="24"/>
        </w:rPr>
      </w:pPr>
      <w:r w:rsidRPr="00D634D6">
        <w:rPr>
          <w:rFonts w:ascii="Palatino Linotype" w:hAnsi="Palatino Linotype"/>
          <w:sz w:val="24"/>
        </w:rPr>
        <w:t xml:space="preserve">El </w:t>
      </w:r>
      <w:r w:rsidRPr="00D634D6">
        <w:rPr>
          <w:rFonts w:ascii="Palatino Linotype" w:hAnsi="Palatino Linotype"/>
          <w:b/>
          <w:sz w:val="24"/>
        </w:rPr>
        <w:t>SUJETO OBLIGADO</w:t>
      </w:r>
      <w:r w:rsidRPr="00D634D6">
        <w:rPr>
          <w:rFonts w:ascii="Palatino Linotype" w:hAnsi="Palatino Linotype"/>
          <w:sz w:val="24"/>
        </w:rPr>
        <w:t xml:space="preserve"> no </w:t>
      </w:r>
      <w:r w:rsidR="001935FE" w:rsidRPr="00D634D6">
        <w:rPr>
          <w:rFonts w:ascii="Palatino Linotype" w:hAnsi="Palatino Linotype"/>
          <w:sz w:val="24"/>
        </w:rPr>
        <w:t>respondió a la solicitud de información</w:t>
      </w:r>
      <w:r w:rsidRPr="00D634D6">
        <w:rPr>
          <w:rFonts w:ascii="Palatino Linotype" w:hAnsi="Palatino Linotype"/>
          <w:sz w:val="24"/>
        </w:rPr>
        <w:t xml:space="preserve"> sino hasta una vez admitido el recurso de revisión, donde a manera de informe justificado entregó el oficio número MA/TM/444/2019, mismo que se comparte a continuación para efectos referenciativos:</w:t>
      </w:r>
    </w:p>
    <w:p w:rsidR="005C10FF" w:rsidRPr="00D634D6" w:rsidRDefault="005C10FF" w:rsidP="00D634D6">
      <w:pPr>
        <w:pStyle w:val="Prrafodelista"/>
        <w:tabs>
          <w:tab w:val="left" w:pos="142"/>
          <w:tab w:val="left" w:pos="284"/>
          <w:tab w:val="left" w:pos="426"/>
        </w:tabs>
        <w:spacing w:line="360" w:lineRule="auto"/>
        <w:ind w:left="0"/>
        <w:jc w:val="both"/>
        <w:rPr>
          <w:rFonts w:ascii="Palatino Linotype" w:eastAsia="MS Mincho" w:hAnsi="Palatino Linotype" w:cs="Times New Roman"/>
          <w:color w:val="000000"/>
          <w:sz w:val="24"/>
        </w:rPr>
      </w:pPr>
    </w:p>
    <w:p w:rsidR="005C10FF" w:rsidRPr="00D634D6" w:rsidRDefault="005C10FF" w:rsidP="00D634D6">
      <w:pPr>
        <w:pStyle w:val="Prrafodelista"/>
        <w:tabs>
          <w:tab w:val="left" w:pos="142"/>
          <w:tab w:val="left" w:pos="284"/>
          <w:tab w:val="left" w:pos="426"/>
        </w:tabs>
        <w:spacing w:line="360" w:lineRule="auto"/>
        <w:ind w:left="0"/>
        <w:jc w:val="center"/>
        <w:rPr>
          <w:rFonts w:ascii="Palatino Linotype" w:eastAsia="MS Mincho" w:hAnsi="Palatino Linotype" w:cs="Times New Roman"/>
          <w:color w:val="000000"/>
          <w:sz w:val="24"/>
        </w:rPr>
      </w:pPr>
      <w:r w:rsidRPr="00D634D6">
        <w:rPr>
          <w:rFonts w:ascii="Palatino Linotype" w:eastAsia="MS Mincho" w:hAnsi="Palatino Linotype" w:cs="Times New Roman"/>
          <w:noProof/>
          <w:color w:val="000000"/>
          <w:sz w:val="24"/>
          <w:lang w:eastAsia="es-MX"/>
        </w:rPr>
        <w:lastRenderedPageBreak/>
        <w:drawing>
          <wp:inline distT="0" distB="0" distL="0" distR="0" wp14:anchorId="6A7BAA24" wp14:editId="253B0D95">
            <wp:extent cx="4078605" cy="5008813"/>
            <wp:effectExtent l="57150" t="57150" r="112395" b="1162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85253" cy="501697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C10FF" w:rsidRPr="00D634D6" w:rsidRDefault="005C10FF" w:rsidP="00D634D6">
      <w:pPr>
        <w:pStyle w:val="Prrafodelista"/>
        <w:tabs>
          <w:tab w:val="left" w:pos="142"/>
          <w:tab w:val="left" w:pos="284"/>
          <w:tab w:val="left" w:pos="426"/>
        </w:tabs>
        <w:spacing w:line="360" w:lineRule="auto"/>
        <w:ind w:left="0"/>
        <w:jc w:val="both"/>
        <w:rPr>
          <w:rFonts w:ascii="Palatino Linotype" w:eastAsia="MS Mincho" w:hAnsi="Palatino Linotype" w:cs="Times New Roman"/>
          <w:color w:val="000000"/>
          <w:sz w:val="24"/>
        </w:rPr>
      </w:pPr>
    </w:p>
    <w:p w:rsidR="005C10FF" w:rsidRPr="00D634D6" w:rsidRDefault="001935FE"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Mincho" w:hAnsi="Palatino Linotype" w:cs="Times New Roman"/>
          <w:color w:val="000000"/>
          <w:sz w:val="24"/>
        </w:rPr>
      </w:pPr>
      <w:r w:rsidRPr="00D634D6">
        <w:rPr>
          <w:rFonts w:ascii="Palatino Linotype" w:hAnsi="Palatino Linotype"/>
          <w:sz w:val="24"/>
        </w:rPr>
        <w:t xml:space="preserve">Del análisis al contenido del documento anterior, se aprecia que el </w:t>
      </w:r>
      <w:r w:rsidRPr="00D634D6">
        <w:rPr>
          <w:rFonts w:ascii="Palatino Linotype" w:hAnsi="Palatino Linotype"/>
          <w:b/>
          <w:sz w:val="24"/>
        </w:rPr>
        <w:t>SUJETO OBLIGADO</w:t>
      </w:r>
      <w:r w:rsidRPr="00D634D6">
        <w:rPr>
          <w:rFonts w:ascii="Palatino Linotype" w:hAnsi="Palatino Linotype"/>
          <w:sz w:val="24"/>
        </w:rPr>
        <w:t xml:space="preserve"> entregó una lista con cuatro registros relativos a </w:t>
      </w:r>
      <w:r w:rsidR="00597B5B" w:rsidRPr="00D634D6">
        <w:rPr>
          <w:rFonts w:ascii="Palatino Linotype" w:eastAsia="MS Gothic" w:hAnsi="Palatino Linotype" w:cs="Times New Roman"/>
          <w:sz w:val="24"/>
          <w:szCs w:val="26"/>
        </w:rPr>
        <w:t xml:space="preserve">la adquisición de bienes y servicios encuadrados en cinco conceptos a través del Programa </w:t>
      </w:r>
      <w:r w:rsidR="00597B5B" w:rsidRPr="00D634D6">
        <w:rPr>
          <w:rFonts w:ascii="Palatino Linotype" w:eastAsia="MS Gothic" w:hAnsi="Palatino Linotype" w:cs="Times New Roman"/>
          <w:i/>
          <w:sz w:val="24"/>
          <w:szCs w:val="26"/>
        </w:rPr>
        <w:t>FASP-2019,</w:t>
      </w:r>
      <w:r w:rsidR="00597B5B" w:rsidRPr="00D634D6">
        <w:rPr>
          <w:rFonts w:ascii="Palatino Linotype" w:eastAsia="MS Gothic" w:hAnsi="Palatino Linotype" w:cs="Times New Roman"/>
          <w:sz w:val="24"/>
          <w:szCs w:val="26"/>
        </w:rPr>
        <w:t>a saber:</w:t>
      </w:r>
    </w:p>
    <w:p w:rsidR="005C10FF" w:rsidRPr="00D634D6" w:rsidRDefault="005C10FF" w:rsidP="00D634D6">
      <w:pPr>
        <w:pStyle w:val="Prrafodelista"/>
        <w:tabs>
          <w:tab w:val="left" w:pos="142"/>
          <w:tab w:val="left" w:pos="284"/>
          <w:tab w:val="left" w:pos="426"/>
        </w:tabs>
        <w:spacing w:line="360" w:lineRule="auto"/>
        <w:ind w:left="0"/>
        <w:jc w:val="both"/>
        <w:rPr>
          <w:rFonts w:ascii="Palatino Linotype" w:eastAsia="MS Mincho" w:hAnsi="Palatino Linotype" w:cs="Times New Roman"/>
          <w:color w:val="000000"/>
          <w:sz w:val="24"/>
        </w:rPr>
      </w:pPr>
    </w:p>
    <w:p w:rsidR="00597B5B" w:rsidRPr="00D634D6" w:rsidRDefault="00597B5B" w:rsidP="00D634D6">
      <w:pPr>
        <w:pStyle w:val="Prrafodelista"/>
        <w:numPr>
          <w:ilvl w:val="1"/>
          <w:numId w:val="2"/>
        </w:numPr>
        <w:tabs>
          <w:tab w:val="left" w:pos="142"/>
          <w:tab w:val="left" w:pos="284"/>
          <w:tab w:val="left" w:pos="567"/>
          <w:tab w:val="left" w:pos="993"/>
        </w:tabs>
        <w:spacing w:line="360" w:lineRule="auto"/>
        <w:ind w:left="567"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lastRenderedPageBreak/>
        <w:t>Vestuario y uniformes por $183,602.00 (CIENTO OCHENTA Y TRES MIL SEISCIENTOS DOS PESOS 00/100 M.N.).</w:t>
      </w:r>
    </w:p>
    <w:p w:rsidR="00597B5B" w:rsidRPr="00D634D6" w:rsidRDefault="00597B5B" w:rsidP="00D634D6">
      <w:pPr>
        <w:pStyle w:val="Prrafodelista"/>
        <w:numPr>
          <w:ilvl w:val="1"/>
          <w:numId w:val="2"/>
        </w:numPr>
        <w:tabs>
          <w:tab w:val="left" w:pos="142"/>
          <w:tab w:val="left" w:pos="284"/>
          <w:tab w:val="left" w:pos="567"/>
          <w:tab w:val="left" w:pos="993"/>
        </w:tabs>
        <w:spacing w:line="360" w:lineRule="auto"/>
        <w:ind w:left="567"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t>Becas y programas de capacitación por $54,540.00 (CINCUENTA Y CUATRO MIL QUINIENTOS CUARENTA PESOS 00/100 M.N.).</w:t>
      </w:r>
    </w:p>
    <w:p w:rsidR="00597B5B" w:rsidRPr="00D634D6" w:rsidRDefault="00597B5B" w:rsidP="00D634D6">
      <w:pPr>
        <w:pStyle w:val="Prrafodelista"/>
        <w:numPr>
          <w:ilvl w:val="1"/>
          <w:numId w:val="2"/>
        </w:numPr>
        <w:tabs>
          <w:tab w:val="left" w:pos="142"/>
          <w:tab w:val="left" w:pos="284"/>
          <w:tab w:val="left" w:pos="567"/>
          <w:tab w:val="left" w:pos="993"/>
        </w:tabs>
        <w:spacing w:line="360" w:lineRule="auto"/>
        <w:ind w:left="567"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t>Servicios profesionales y científicos por $48,000.00 (CUARENTA Y OCHO MIL PESOS 00/100 M.N.).</w:t>
      </w:r>
    </w:p>
    <w:p w:rsidR="00597B5B" w:rsidRPr="00D634D6" w:rsidRDefault="00597B5B" w:rsidP="00D634D6">
      <w:pPr>
        <w:pStyle w:val="Prrafodelista"/>
        <w:numPr>
          <w:ilvl w:val="1"/>
          <w:numId w:val="2"/>
        </w:numPr>
        <w:tabs>
          <w:tab w:val="left" w:pos="142"/>
          <w:tab w:val="left" w:pos="284"/>
          <w:tab w:val="left" w:pos="567"/>
          <w:tab w:val="left" w:pos="993"/>
        </w:tabs>
        <w:spacing w:line="360" w:lineRule="auto"/>
        <w:ind w:left="567"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t>Servicios de capacitación por $38,000.00 (TREINTA Y OCHO MIL PESOS 00/100 M.N.).</w:t>
      </w:r>
    </w:p>
    <w:p w:rsidR="00597B5B" w:rsidRPr="00D634D6" w:rsidRDefault="00597B5B" w:rsidP="00D634D6">
      <w:pPr>
        <w:pStyle w:val="Prrafodelista"/>
        <w:tabs>
          <w:tab w:val="left" w:pos="142"/>
          <w:tab w:val="left" w:pos="284"/>
          <w:tab w:val="left" w:pos="426"/>
        </w:tabs>
        <w:spacing w:line="360" w:lineRule="auto"/>
        <w:ind w:left="0"/>
        <w:jc w:val="both"/>
        <w:rPr>
          <w:rFonts w:ascii="Palatino Linotype" w:eastAsia="MS Mincho" w:hAnsi="Palatino Linotype" w:cs="Times New Roman"/>
          <w:color w:val="000000"/>
          <w:sz w:val="24"/>
        </w:rPr>
      </w:pPr>
    </w:p>
    <w:p w:rsidR="005C10FF" w:rsidRPr="00D634D6" w:rsidRDefault="001935FE"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Mincho" w:hAnsi="Palatino Linotype" w:cs="Times New Roman"/>
          <w:color w:val="000000"/>
          <w:sz w:val="24"/>
        </w:rPr>
      </w:pPr>
      <w:r w:rsidRPr="00D634D6">
        <w:rPr>
          <w:rFonts w:ascii="Palatino Linotype" w:hAnsi="Palatino Linotype"/>
          <w:sz w:val="24"/>
        </w:rPr>
        <w:t xml:space="preserve">En </w:t>
      </w:r>
      <w:r w:rsidRPr="00D634D6">
        <w:rPr>
          <w:rFonts w:ascii="Palatino Linotype" w:hAnsi="Palatino Linotype"/>
          <w:sz w:val="24"/>
          <w:lang w:val="es-ES_tradnl"/>
        </w:rPr>
        <w:t xml:space="preserve">consecuencia, toda vez que el </w:t>
      </w:r>
      <w:r w:rsidRPr="00D634D6">
        <w:rPr>
          <w:rFonts w:ascii="Palatino Linotype" w:hAnsi="Palatino Linotype"/>
          <w:b/>
          <w:sz w:val="24"/>
          <w:lang w:val="es-ES_tradnl"/>
        </w:rPr>
        <w:t>SUJETO OBLIGADO</w:t>
      </w:r>
      <w:r w:rsidRPr="00D634D6">
        <w:rPr>
          <w:rFonts w:ascii="Palatino Linotype" w:hAnsi="Palatino Linotype"/>
          <w:sz w:val="24"/>
          <w:lang w:val="es-ES_tradnl"/>
        </w:rPr>
        <w:t xml:space="preserve"> se pronunció respecto de la información solicitada, es conveniente obviar el análisis de competencia del </w:t>
      </w:r>
      <w:r w:rsidRPr="00D634D6">
        <w:rPr>
          <w:rFonts w:ascii="Palatino Linotype" w:hAnsi="Palatino Linotype"/>
          <w:b/>
          <w:sz w:val="24"/>
          <w:lang w:val="es-ES_tradnl"/>
        </w:rPr>
        <w:t>SUJETO OBLIGADO</w:t>
      </w:r>
      <w:r w:rsidRPr="00D634D6">
        <w:rPr>
          <w:rFonts w:ascii="Palatino Linotype" w:hAnsi="Palatino Linotype"/>
          <w:sz w:val="24"/>
          <w:lang w:val="es-ES_tradnl"/>
        </w:rPr>
        <w:t xml:space="preserve"> para generar, administrar o poseer la misma, dado que éste asumió la misma mediante su respuesta a la solicitud de información.</w:t>
      </w:r>
    </w:p>
    <w:p w:rsidR="005C10FF" w:rsidRPr="00D634D6" w:rsidRDefault="005C10FF" w:rsidP="00D634D6">
      <w:pPr>
        <w:pStyle w:val="Prrafodelista"/>
        <w:tabs>
          <w:tab w:val="left" w:pos="142"/>
          <w:tab w:val="left" w:pos="284"/>
          <w:tab w:val="left" w:pos="426"/>
        </w:tabs>
        <w:spacing w:line="360" w:lineRule="auto"/>
        <w:ind w:left="0"/>
        <w:jc w:val="both"/>
        <w:rPr>
          <w:rFonts w:ascii="Palatino Linotype" w:eastAsia="MS Mincho" w:hAnsi="Palatino Linotype" w:cs="Times New Roman"/>
          <w:color w:val="000000"/>
          <w:sz w:val="24"/>
        </w:rPr>
      </w:pPr>
    </w:p>
    <w:p w:rsidR="005C10FF" w:rsidRPr="00D634D6" w:rsidRDefault="009002B2"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Mincho" w:hAnsi="Palatino Linotype" w:cs="Times New Roman"/>
          <w:color w:val="000000"/>
          <w:sz w:val="24"/>
        </w:rPr>
      </w:pPr>
      <w:r w:rsidRPr="00D634D6">
        <w:rPr>
          <w:rFonts w:ascii="Palatino Linotype" w:hAnsi="Palatino Linotype"/>
          <w:sz w:val="24"/>
        </w:rPr>
        <w:t xml:space="preserve">Lo </w:t>
      </w:r>
      <w:r w:rsidRPr="00D634D6">
        <w:rPr>
          <w:rFonts w:ascii="Palatino Linotype" w:hAnsi="Palatino Linotype"/>
          <w:sz w:val="24"/>
          <w:lang w:val="es-ES_tradnl"/>
        </w:rPr>
        <w:t xml:space="preserve">anterior encuentra lógica toda vez que el estudio de la naturaleza jurídica de la información pública solicitada, tiene por objeto determinar si ésta la genera, posee o administra el </w:t>
      </w:r>
      <w:r w:rsidRPr="00D634D6">
        <w:rPr>
          <w:rFonts w:ascii="Palatino Linotype" w:hAnsi="Palatino Linotype"/>
          <w:b/>
          <w:sz w:val="24"/>
          <w:lang w:val="es-ES_tradnl"/>
        </w:rPr>
        <w:t>SUJETO OBLIGADO</w:t>
      </w:r>
      <w:r w:rsidRPr="00D634D6">
        <w:rPr>
          <w:rFonts w:ascii="Palatino Linotype" w:hAnsi="Palatino Linotype"/>
          <w:sz w:val="24"/>
          <w:lang w:val="es-ES_tradnl"/>
        </w:rPr>
        <w:t xml:space="preserve">; empero, en aquellos casos en que éste la asume, implica </w:t>
      </w:r>
      <w:r w:rsidRPr="00D634D6">
        <w:rPr>
          <w:rFonts w:ascii="Palatino Linotype" w:hAnsi="Palatino Linotype"/>
          <w:i/>
          <w:sz w:val="24"/>
          <w:lang w:val="es-ES_tradnl"/>
        </w:rPr>
        <w:t>de facto</w:t>
      </w:r>
      <w:r w:rsidRPr="00D634D6">
        <w:rPr>
          <w:rFonts w:ascii="Palatino Linotype" w:hAnsi="Palatino Linotype"/>
          <w:sz w:val="24"/>
          <w:lang w:val="es-ES_tradnl"/>
        </w:rPr>
        <w:t xml:space="preserve"> que la genera, posee o administra. Por consiguiente, a nada práctico nos conduciría su estudio, ya que, se insiste, la información pública solicitada, consistente en información relativa a la compra o renta de bienes destinados a seguridad pública, ha sido asumida por el </w:t>
      </w:r>
      <w:r w:rsidRPr="00D634D6">
        <w:rPr>
          <w:rFonts w:ascii="Palatino Linotype" w:hAnsi="Palatino Linotype"/>
          <w:b/>
          <w:sz w:val="24"/>
          <w:lang w:val="es-ES_tradnl"/>
        </w:rPr>
        <w:t>SUJETO OBLIGADO</w:t>
      </w:r>
      <w:r w:rsidRPr="00D634D6">
        <w:rPr>
          <w:rFonts w:ascii="Palatino Linotype" w:hAnsi="Palatino Linotype"/>
          <w:sz w:val="24"/>
          <w:lang w:val="es-ES_tradnl"/>
        </w:rPr>
        <w:t>.</w:t>
      </w:r>
    </w:p>
    <w:p w:rsidR="003E40C1" w:rsidRPr="00D634D6" w:rsidRDefault="003E40C1" w:rsidP="00D634D6">
      <w:pPr>
        <w:pStyle w:val="Prrafodelista"/>
        <w:tabs>
          <w:tab w:val="left" w:pos="142"/>
          <w:tab w:val="left" w:pos="284"/>
          <w:tab w:val="left" w:pos="426"/>
        </w:tabs>
        <w:spacing w:line="360" w:lineRule="auto"/>
        <w:ind w:left="0"/>
        <w:jc w:val="both"/>
        <w:rPr>
          <w:rFonts w:ascii="Palatino Linotype" w:eastAsia="MS Mincho" w:hAnsi="Palatino Linotype" w:cs="Times New Roman"/>
          <w:color w:val="000000"/>
          <w:sz w:val="24"/>
        </w:rPr>
      </w:pPr>
    </w:p>
    <w:p w:rsidR="002B1F46" w:rsidRPr="00D634D6" w:rsidRDefault="00597B5B"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lastRenderedPageBreak/>
        <w:t xml:space="preserve">Es importante señalar que el </w:t>
      </w:r>
      <w:r w:rsidRPr="00D634D6">
        <w:rPr>
          <w:rFonts w:ascii="Palatino Linotype" w:eastAsia="MS Gothic" w:hAnsi="Palatino Linotype" w:cs="Times New Roman"/>
          <w:b/>
          <w:sz w:val="24"/>
          <w:szCs w:val="26"/>
        </w:rPr>
        <w:t>SUJETO OBLIGADO</w:t>
      </w:r>
      <w:r w:rsidRPr="00D634D6">
        <w:rPr>
          <w:rFonts w:ascii="Palatino Linotype" w:eastAsia="MS Gothic" w:hAnsi="Palatino Linotype" w:cs="Times New Roman"/>
          <w:sz w:val="24"/>
          <w:szCs w:val="26"/>
        </w:rPr>
        <w:t xml:space="preserve"> enlistó la adquisición de diversos bienes y servicios derivados de los recursos obtenidos mediante el Fondo de Aportaciones para la Seguridad Pública (</w:t>
      </w:r>
      <w:r w:rsidRPr="00D634D6">
        <w:rPr>
          <w:rFonts w:ascii="Palatino Linotype" w:eastAsia="MS Gothic" w:hAnsi="Palatino Linotype" w:cs="Times New Roman"/>
          <w:i/>
          <w:sz w:val="24"/>
          <w:szCs w:val="26"/>
        </w:rPr>
        <w:t>FASP</w:t>
      </w:r>
      <w:r w:rsidRPr="00D634D6">
        <w:rPr>
          <w:rFonts w:ascii="Palatino Linotype" w:eastAsia="MS Gothic" w:hAnsi="Palatino Linotype" w:cs="Times New Roman"/>
          <w:sz w:val="24"/>
          <w:szCs w:val="26"/>
        </w:rPr>
        <w:t>), es cual consiste en un fondo presupuestal previsto en la Ley de coordinación Fiscal a través del cual se trasfieren recursos a las entidades federativas para dar cumplimiento a estrategias nacionales en materia de seguridad pública</w:t>
      </w:r>
      <w:r w:rsidRPr="00D634D6">
        <w:rPr>
          <w:rStyle w:val="Refdenotaalpie"/>
          <w:rFonts w:ascii="Palatino Linotype" w:eastAsia="MS Gothic" w:hAnsi="Palatino Linotype" w:cs="Times New Roman"/>
          <w:sz w:val="24"/>
          <w:szCs w:val="26"/>
        </w:rPr>
        <w:footnoteReference w:id="7"/>
      </w:r>
      <w:r w:rsidR="009674D6" w:rsidRPr="00D634D6">
        <w:rPr>
          <w:rFonts w:ascii="Palatino Linotype" w:eastAsia="MS Gothic" w:hAnsi="Palatino Linotype" w:cs="Times New Roman"/>
          <w:sz w:val="24"/>
          <w:szCs w:val="26"/>
        </w:rPr>
        <w:t>; ergo, la adquisición de los bienes y servicios expuestos provienen de recursos federales, como fuera referido en el mismo oficio MA/TM/444/2019.</w:t>
      </w:r>
    </w:p>
    <w:p w:rsidR="002B1F46" w:rsidRPr="00D634D6" w:rsidRDefault="002B1F46"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2B1F46" w:rsidRPr="00D634D6" w:rsidRDefault="009674D6"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t xml:space="preserve">Sin embargo, es necesario señalar que el </w:t>
      </w:r>
      <w:r w:rsidRPr="00D634D6">
        <w:rPr>
          <w:rFonts w:ascii="Palatino Linotype" w:eastAsia="MS Gothic" w:hAnsi="Palatino Linotype" w:cs="Times New Roman"/>
          <w:b/>
          <w:sz w:val="24"/>
          <w:szCs w:val="26"/>
        </w:rPr>
        <w:t>RECURRENTE</w:t>
      </w:r>
      <w:r w:rsidRPr="00D634D6">
        <w:rPr>
          <w:rFonts w:ascii="Palatino Linotype" w:eastAsia="MS Gothic" w:hAnsi="Palatino Linotype" w:cs="Times New Roman"/>
          <w:sz w:val="24"/>
          <w:szCs w:val="26"/>
        </w:rPr>
        <w:t xml:space="preserve"> no solo solicitó conocer de la adquisición de bienes dirigidos a la seguridad pública a través de recursos federales, </w:t>
      </w:r>
      <w:r w:rsidRPr="00D634D6">
        <w:rPr>
          <w:rFonts w:ascii="Palatino Linotype" w:eastAsia="MS Gothic" w:hAnsi="Palatino Linotype" w:cs="Times New Roman"/>
          <w:b/>
          <w:sz w:val="24"/>
          <w:szCs w:val="26"/>
        </w:rPr>
        <w:t>sino también por medio de recursos locales</w:t>
      </w:r>
      <w:r w:rsidRPr="00D634D6">
        <w:rPr>
          <w:rFonts w:ascii="Palatino Linotype" w:eastAsia="MS Gothic" w:hAnsi="Palatino Linotype" w:cs="Times New Roman"/>
          <w:sz w:val="24"/>
          <w:szCs w:val="26"/>
        </w:rPr>
        <w:t>, de los cuales el Ayuntamiento de Atizapán no se pronunció al respecto.</w:t>
      </w:r>
    </w:p>
    <w:p w:rsidR="002B1F46" w:rsidRPr="00D634D6" w:rsidRDefault="002B1F46"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2B1F46" w:rsidRPr="00D634D6" w:rsidRDefault="009674D6"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t xml:space="preserve">Por otro lado, es esencial señalar que </w:t>
      </w:r>
      <w:r w:rsidRPr="00D634D6">
        <w:rPr>
          <w:rFonts w:ascii="Palatino Linotype" w:eastAsia="MS Gothic" w:hAnsi="Palatino Linotype" w:cs="Times New Roman"/>
          <w:b/>
          <w:sz w:val="24"/>
          <w:szCs w:val="26"/>
        </w:rPr>
        <w:t>el particular solicitó</w:t>
      </w:r>
      <w:r w:rsidRPr="00D634D6">
        <w:rPr>
          <w:rFonts w:ascii="Palatino Linotype" w:eastAsia="MS Gothic" w:hAnsi="Palatino Linotype" w:cs="Times New Roman"/>
          <w:sz w:val="24"/>
          <w:szCs w:val="26"/>
        </w:rPr>
        <w:t xml:space="preserve">, textualmente, </w:t>
      </w:r>
      <w:r w:rsidRPr="00D634D6">
        <w:rPr>
          <w:rFonts w:ascii="Palatino Linotype" w:eastAsia="MS Gothic" w:hAnsi="Palatino Linotype" w:cs="Times New Roman"/>
          <w:b/>
          <w:sz w:val="24"/>
          <w:szCs w:val="26"/>
        </w:rPr>
        <w:t>las facturas y contratos</w:t>
      </w:r>
      <w:r w:rsidRPr="00D634D6">
        <w:rPr>
          <w:rFonts w:ascii="Palatino Linotype" w:eastAsia="MS Gothic" w:hAnsi="Palatino Linotype" w:cs="Times New Roman"/>
          <w:sz w:val="24"/>
          <w:szCs w:val="26"/>
        </w:rPr>
        <w:t xml:space="preserve"> de los bienes adquiridos para seguridad, incluyendo las patrullas, radios y uniformes, de los cuales, únicamente se aprecia la adquisición de uniformes a través de la información remitida como informe justificado, mas no factura o contrato alguno al respecto.</w:t>
      </w:r>
    </w:p>
    <w:p w:rsidR="002B1F46" w:rsidRPr="00D634D6" w:rsidRDefault="002B1F46"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2B1F46" w:rsidRPr="00D634D6" w:rsidRDefault="00A9441A"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t xml:space="preserve">En ese sentido, </w:t>
      </w:r>
      <w:r w:rsidRPr="00D634D6">
        <w:rPr>
          <w:rFonts w:ascii="Palatino Linotype" w:eastAsia="MS Gothic" w:hAnsi="Palatino Linotype" w:cs="Times New Roman"/>
          <w:sz w:val="24"/>
          <w:szCs w:val="26"/>
          <w:lang w:val="es-ES_tradnl"/>
        </w:rPr>
        <w:t xml:space="preserve">la naturaleza de la información solicitada encuadra perfectamente como </w:t>
      </w:r>
      <w:r w:rsidRPr="00D634D6">
        <w:rPr>
          <w:rFonts w:ascii="Palatino Linotype" w:eastAsia="MS Gothic" w:hAnsi="Palatino Linotype" w:cs="Times New Roman"/>
          <w:b/>
          <w:sz w:val="24"/>
          <w:szCs w:val="26"/>
          <w:lang w:val="es-ES_tradnl"/>
        </w:rPr>
        <w:t>información pública de oficio</w:t>
      </w:r>
      <w:r w:rsidRPr="00D634D6">
        <w:rPr>
          <w:rFonts w:ascii="Palatino Linotype" w:eastAsia="MS Gothic" w:hAnsi="Palatino Linotype" w:cs="Times New Roman"/>
          <w:sz w:val="24"/>
          <w:szCs w:val="26"/>
          <w:lang w:val="es-ES_tradnl"/>
        </w:rPr>
        <w:t xml:space="preserve"> que el </w:t>
      </w:r>
      <w:r w:rsidRPr="00D634D6">
        <w:rPr>
          <w:rFonts w:ascii="Palatino Linotype" w:eastAsia="MS Gothic" w:hAnsi="Palatino Linotype" w:cs="Times New Roman"/>
          <w:b/>
          <w:sz w:val="24"/>
          <w:szCs w:val="26"/>
          <w:lang w:val="es-ES_tradnl"/>
        </w:rPr>
        <w:t>SUJETO OBLIGADO</w:t>
      </w:r>
      <w:r w:rsidRPr="00D634D6">
        <w:rPr>
          <w:rFonts w:ascii="Palatino Linotype" w:eastAsia="MS Gothic" w:hAnsi="Palatino Linotype" w:cs="Times New Roman"/>
          <w:sz w:val="24"/>
          <w:szCs w:val="26"/>
          <w:lang w:val="es-ES_tradnl"/>
        </w:rPr>
        <w:t xml:space="preserve"> está impuesto a poner a disposición de los particulares, de </w:t>
      </w:r>
      <w:r w:rsidRPr="00D634D6">
        <w:rPr>
          <w:rFonts w:ascii="Palatino Linotype" w:eastAsia="MS Gothic" w:hAnsi="Palatino Linotype" w:cs="Times New Roman"/>
          <w:sz w:val="24"/>
          <w:szCs w:val="26"/>
          <w:lang w:val="es-ES_tradnl"/>
        </w:rPr>
        <w:lastRenderedPageBreak/>
        <w:t>conformidad con la fracción XXXII del artículo 92 de la Ley de Transparencia y Acceso a la Información Pública del Estado de México y Municipios, así como la fracción XXVII del numeral 70 de su homóloga Ley General, las cuales refieren lo siguiente:</w:t>
      </w:r>
    </w:p>
    <w:p w:rsidR="002B1F46" w:rsidRPr="00D634D6" w:rsidRDefault="002B1F46"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A9441A" w:rsidRPr="00D634D6" w:rsidRDefault="00A9441A" w:rsidP="00D634D6">
      <w:pPr>
        <w:pStyle w:val="Prrafodelista"/>
        <w:tabs>
          <w:tab w:val="left" w:pos="142"/>
          <w:tab w:val="left" w:pos="284"/>
          <w:tab w:val="left" w:pos="426"/>
        </w:tabs>
        <w:spacing w:line="360" w:lineRule="auto"/>
        <w:ind w:left="567" w:right="567"/>
        <w:jc w:val="center"/>
        <w:rPr>
          <w:rFonts w:ascii="Palatino Linotype" w:eastAsia="MS Gothic" w:hAnsi="Palatino Linotype" w:cs="Times New Roman"/>
          <w:b/>
          <w:i/>
          <w:szCs w:val="26"/>
        </w:rPr>
      </w:pPr>
      <w:r w:rsidRPr="00D634D6">
        <w:rPr>
          <w:rFonts w:ascii="Palatino Linotype" w:hAnsi="Palatino Linotype"/>
          <w:b/>
          <w:i/>
        </w:rPr>
        <w:t>LEY DE TRANSPARENCIA Y ACCESO A LA INFORMACIÓN PÚBLICA DEL ESTADO DE MÉXICO Y MUNICIPIOS</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i/>
        </w:rPr>
      </w:pPr>
      <w:r w:rsidRPr="00D634D6">
        <w:rPr>
          <w:rFonts w:ascii="Palatino Linotype" w:hAnsi="Palatino Linotype"/>
          <w:i/>
        </w:rPr>
        <w:t>“</w:t>
      </w:r>
      <w:r w:rsidRPr="00D634D6">
        <w:rPr>
          <w:rFonts w:ascii="Palatino Linotype" w:hAnsi="Palatino Linotype"/>
          <w:b/>
          <w:i/>
        </w:rPr>
        <w:t>Artículo 92.</w:t>
      </w:r>
      <w:r w:rsidRPr="00D634D6">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i/>
        </w:rPr>
      </w:pPr>
      <w:r w:rsidRPr="00D634D6">
        <w:rPr>
          <w:rFonts w:ascii="Palatino Linotype" w:hAnsi="Palatino Linotype"/>
          <w:i/>
        </w:rPr>
        <w:t>(…)</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i/>
        </w:rPr>
      </w:pPr>
      <w:r w:rsidRPr="00D634D6">
        <w:rPr>
          <w:rFonts w:ascii="Palatino Linotype" w:hAnsi="Palatino Linotype"/>
          <w:b/>
          <w:i/>
        </w:rPr>
        <w:t>XXIX.</w:t>
      </w:r>
      <w:r w:rsidRPr="00D634D6">
        <w:rPr>
          <w:rFonts w:ascii="Palatino Linotype" w:hAnsi="Palatino Linotype"/>
          <w:i/>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A9441A" w:rsidRPr="00D634D6" w:rsidRDefault="00A9441A" w:rsidP="00D634D6">
      <w:pPr>
        <w:pStyle w:val="Prrafodelista"/>
        <w:tabs>
          <w:tab w:val="left" w:pos="142"/>
          <w:tab w:val="left" w:pos="284"/>
          <w:tab w:val="left" w:pos="851"/>
        </w:tabs>
        <w:spacing w:line="360" w:lineRule="auto"/>
        <w:ind w:left="709" w:right="567"/>
        <w:jc w:val="both"/>
        <w:rPr>
          <w:rFonts w:ascii="Palatino Linotype" w:hAnsi="Palatino Linotype"/>
          <w:b/>
          <w:i/>
        </w:rPr>
      </w:pPr>
      <w:r w:rsidRPr="00D634D6">
        <w:rPr>
          <w:rFonts w:ascii="Palatino Linotype" w:hAnsi="Palatino Linotype"/>
          <w:b/>
          <w:i/>
        </w:rPr>
        <w:t>a) De licitaciones públicas o procedimientos de invitación restringida:</w:t>
      </w:r>
    </w:p>
    <w:p w:rsidR="00A9441A" w:rsidRPr="00D634D6" w:rsidRDefault="00A9441A" w:rsidP="00D634D6">
      <w:pPr>
        <w:pStyle w:val="Prrafodelista"/>
        <w:tabs>
          <w:tab w:val="left" w:pos="142"/>
          <w:tab w:val="left" w:pos="284"/>
          <w:tab w:val="left" w:pos="709"/>
        </w:tabs>
        <w:spacing w:line="360" w:lineRule="auto"/>
        <w:ind w:left="851" w:right="567"/>
        <w:jc w:val="both"/>
        <w:rPr>
          <w:rFonts w:ascii="Palatino Linotype" w:hAnsi="Palatino Linotype"/>
          <w:i/>
        </w:rPr>
      </w:pPr>
      <w:r w:rsidRPr="00D634D6">
        <w:rPr>
          <w:rFonts w:ascii="Palatino Linotype" w:hAnsi="Palatino Linotype"/>
          <w:i/>
        </w:rPr>
        <w:t>1) La convocatoria o invitación emitida, así como los fundamentos legales aplicados para llevarla a cabo;</w:t>
      </w:r>
    </w:p>
    <w:p w:rsidR="00A9441A" w:rsidRPr="00D634D6" w:rsidRDefault="00A9441A" w:rsidP="00D634D6">
      <w:pPr>
        <w:pStyle w:val="Prrafodelista"/>
        <w:tabs>
          <w:tab w:val="left" w:pos="142"/>
          <w:tab w:val="left" w:pos="284"/>
          <w:tab w:val="left" w:pos="709"/>
        </w:tabs>
        <w:spacing w:line="360" w:lineRule="auto"/>
        <w:ind w:left="851" w:right="567"/>
        <w:jc w:val="both"/>
        <w:rPr>
          <w:rFonts w:ascii="Palatino Linotype" w:hAnsi="Palatino Linotype"/>
          <w:i/>
        </w:rPr>
      </w:pPr>
      <w:r w:rsidRPr="00D634D6">
        <w:rPr>
          <w:rFonts w:ascii="Palatino Linotype" w:hAnsi="Palatino Linotype"/>
          <w:i/>
        </w:rPr>
        <w:t>2) Los nombres de los participantes o invitados;</w:t>
      </w:r>
    </w:p>
    <w:p w:rsidR="00A9441A" w:rsidRPr="00D634D6" w:rsidRDefault="00A9441A" w:rsidP="00D634D6">
      <w:pPr>
        <w:pStyle w:val="Prrafodelista"/>
        <w:tabs>
          <w:tab w:val="left" w:pos="142"/>
          <w:tab w:val="left" w:pos="284"/>
          <w:tab w:val="left" w:pos="709"/>
        </w:tabs>
        <w:spacing w:line="360" w:lineRule="auto"/>
        <w:ind w:left="851" w:right="567"/>
        <w:jc w:val="both"/>
        <w:rPr>
          <w:rFonts w:ascii="Palatino Linotype" w:hAnsi="Palatino Linotype"/>
          <w:i/>
        </w:rPr>
      </w:pPr>
      <w:r w:rsidRPr="00D634D6">
        <w:rPr>
          <w:rFonts w:ascii="Palatino Linotype" w:hAnsi="Palatino Linotype"/>
          <w:i/>
        </w:rPr>
        <w:t>3) El nombre del ganador y las razones que lo justifican;</w:t>
      </w:r>
    </w:p>
    <w:p w:rsidR="00A9441A" w:rsidRPr="00D634D6" w:rsidRDefault="00A9441A" w:rsidP="00D634D6">
      <w:pPr>
        <w:pStyle w:val="Prrafodelista"/>
        <w:tabs>
          <w:tab w:val="left" w:pos="142"/>
          <w:tab w:val="left" w:pos="284"/>
          <w:tab w:val="left" w:pos="709"/>
        </w:tabs>
        <w:spacing w:line="360" w:lineRule="auto"/>
        <w:ind w:left="851" w:right="567"/>
        <w:jc w:val="both"/>
        <w:rPr>
          <w:rFonts w:ascii="Palatino Linotype" w:hAnsi="Palatino Linotype"/>
          <w:i/>
        </w:rPr>
      </w:pPr>
      <w:r w:rsidRPr="00D634D6">
        <w:rPr>
          <w:rFonts w:ascii="Palatino Linotype" w:hAnsi="Palatino Linotype"/>
          <w:i/>
        </w:rPr>
        <w:t>4) El área solicitante y la responsable de su ejecución;</w:t>
      </w:r>
    </w:p>
    <w:p w:rsidR="00A9441A" w:rsidRPr="00D634D6" w:rsidRDefault="00A9441A" w:rsidP="00D634D6">
      <w:pPr>
        <w:pStyle w:val="Prrafodelista"/>
        <w:tabs>
          <w:tab w:val="left" w:pos="142"/>
          <w:tab w:val="left" w:pos="284"/>
          <w:tab w:val="left" w:pos="709"/>
        </w:tabs>
        <w:spacing w:line="360" w:lineRule="auto"/>
        <w:ind w:left="851" w:right="567"/>
        <w:jc w:val="both"/>
        <w:rPr>
          <w:rFonts w:ascii="Palatino Linotype" w:hAnsi="Palatino Linotype"/>
          <w:i/>
        </w:rPr>
      </w:pPr>
      <w:r w:rsidRPr="00D634D6">
        <w:rPr>
          <w:rFonts w:ascii="Palatino Linotype" w:hAnsi="Palatino Linotype"/>
          <w:i/>
        </w:rPr>
        <w:t>5) Las convocatorias e invitaciones emitidas;</w:t>
      </w:r>
    </w:p>
    <w:p w:rsidR="00A9441A" w:rsidRPr="00D634D6" w:rsidRDefault="00A9441A" w:rsidP="00D634D6">
      <w:pPr>
        <w:pStyle w:val="Prrafodelista"/>
        <w:tabs>
          <w:tab w:val="left" w:pos="142"/>
          <w:tab w:val="left" w:pos="284"/>
          <w:tab w:val="left" w:pos="709"/>
        </w:tabs>
        <w:spacing w:line="360" w:lineRule="auto"/>
        <w:ind w:left="851" w:right="567"/>
        <w:jc w:val="both"/>
        <w:rPr>
          <w:rFonts w:ascii="Palatino Linotype" w:hAnsi="Palatino Linotype"/>
          <w:i/>
        </w:rPr>
      </w:pPr>
      <w:r w:rsidRPr="00D634D6">
        <w:rPr>
          <w:rFonts w:ascii="Palatino Linotype" w:hAnsi="Palatino Linotype"/>
          <w:i/>
        </w:rPr>
        <w:t>6) Los dictámenes y fallo de adjudicación;</w:t>
      </w:r>
    </w:p>
    <w:p w:rsidR="00A9441A" w:rsidRPr="00D634D6" w:rsidRDefault="00A9441A" w:rsidP="00D634D6">
      <w:pPr>
        <w:pStyle w:val="Prrafodelista"/>
        <w:tabs>
          <w:tab w:val="left" w:pos="142"/>
          <w:tab w:val="left" w:pos="284"/>
          <w:tab w:val="left" w:pos="709"/>
        </w:tabs>
        <w:spacing w:line="360" w:lineRule="auto"/>
        <w:ind w:left="851" w:right="567"/>
        <w:jc w:val="both"/>
        <w:rPr>
          <w:rFonts w:ascii="Palatino Linotype" w:hAnsi="Palatino Linotype"/>
          <w:b/>
          <w:i/>
          <w:u w:val="single"/>
        </w:rPr>
      </w:pPr>
      <w:r w:rsidRPr="00D634D6">
        <w:rPr>
          <w:rFonts w:ascii="Palatino Linotype" w:hAnsi="Palatino Linotype"/>
          <w:b/>
          <w:i/>
          <w:u w:val="single"/>
        </w:rPr>
        <w:t>7) El contrato y, en su caso, sus anexos;</w:t>
      </w:r>
    </w:p>
    <w:p w:rsidR="00A9441A" w:rsidRPr="00D634D6" w:rsidRDefault="00A9441A" w:rsidP="00D634D6">
      <w:pPr>
        <w:pStyle w:val="Prrafodelista"/>
        <w:tabs>
          <w:tab w:val="left" w:pos="142"/>
          <w:tab w:val="left" w:pos="284"/>
          <w:tab w:val="left" w:pos="709"/>
        </w:tabs>
        <w:spacing w:line="360" w:lineRule="auto"/>
        <w:ind w:left="851" w:right="567"/>
        <w:jc w:val="both"/>
        <w:rPr>
          <w:rFonts w:ascii="Palatino Linotype" w:hAnsi="Palatino Linotype"/>
          <w:i/>
        </w:rPr>
      </w:pPr>
      <w:r w:rsidRPr="00D634D6">
        <w:rPr>
          <w:rFonts w:ascii="Palatino Linotype" w:hAnsi="Palatino Linotype"/>
          <w:i/>
        </w:rPr>
        <w:lastRenderedPageBreak/>
        <w:t>8) Los mecanismos de vigilancia y supervisión, incluyendo en su caso, los estudios de impacto urbano y ambiental, según corresponda;</w:t>
      </w:r>
    </w:p>
    <w:p w:rsidR="00A9441A" w:rsidRPr="00D634D6" w:rsidRDefault="00A9441A" w:rsidP="00D634D6">
      <w:pPr>
        <w:pStyle w:val="Prrafodelista"/>
        <w:tabs>
          <w:tab w:val="left" w:pos="142"/>
          <w:tab w:val="left" w:pos="284"/>
          <w:tab w:val="left" w:pos="709"/>
        </w:tabs>
        <w:spacing w:line="360" w:lineRule="auto"/>
        <w:ind w:left="851" w:right="567"/>
        <w:jc w:val="both"/>
        <w:rPr>
          <w:rFonts w:ascii="Palatino Linotype" w:hAnsi="Palatino Linotype"/>
          <w:i/>
        </w:rPr>
      </w:pPr>
      <w:r w:rsidRPr="00D634D6">
        <w:rPr>
          <w:rFonts w:ascii="Palatino Linotype" w:hAnsi="Palatino Linotype"/>
          <w:i/>
        </w:rPr>
        <w:t>9) La partida presupuestal, de conformidad con el clasificador por objeto del gasto, en el caso de ser aplicable;</w:t>
      </w:r>
    </w:p>
    <w:p w:rsidR="00A9441A" w:rsidRPr="00D634D6" w:rsidRDefault="00A9441A" w:rsidP="00D634D6">
      <w:pPr>
        <w:pStyle w:val="Prrafodelista"/>
        <w:tabs>
          <w:tab w:val="left" w:pos="142"/>
          <w:tab w:val="left" w:pos="284"/>
          <w:tab w:val="left" w:pos="709"/>
        </w:tabs>
        <w:spacing w:line="360" w:lineRule="auto"/>
        <w:ind w:left="851" w:right="567"/>
        <w:jc w:val="both"/>
        <w:rPr>
          <w:rFonts w:ascii="Palatino Linotype" w:hAnsi="Palatino Linotype"/>
          <w:b/>
          <w:i/>
          <w:u w:val="single"/>
        </w:rPr>
      </w:pPr>
      <w:r w:rsidRPr="00D634D6">
        <w:rPr>
          <w:rFonts w:ascii="Palatino Linotype" w:hAnsi="Palatino Linotype"/>
          <w:b/>
          <w:i/>
          <w:u w:val="single"/>
        </w:rPr>
        <w:t>10) Origen de los recursos especificando si son federales, estatales o municipales, así como el tipo de fondo de participación o aportación respectiva;</w:t>
      </w:r>
    </w:p>
    <w:p w:rsidR="00A9441A" w:rsidRPr="00D634D6" w:rsidRDefault="00A9441A" w:rsidP="00D634D6">
      <w:pPr>
        <w:pStyle w:val="Prrafodelista"/>
        <w:tabs>
          <w:tab w:val="left" w:pos="142"/>
          <w:tab w:val="left" w:pos="284"/>
          <w:tab w:val="left" w:pos="709"/>
        </w:tabs>
        <w:spacing w:line="360" w:lineRule="auto"/>
        <w:ind w:left="851" w:right="567"/>
        <w:jc w:val="both"/>
        <w:rPr>
          <w:rFonts w:ascii="Palatino Linotype" w:hAnsi="Palatino Linotype"/>
          <w:i/>
        </w:rPr>
      </w:pPr>
      <w:r w:rsidRPr="00D634D6">
        <w:rPr>
          <w:rFonts w:ascii="Palatino Linotype" w:hAnsi="Palatino Linotype"/>
          <w:i/>
        </w:rPr>
        <w:t>11) Los convenios modificatorios que, en su caso, sean firmados, precisando el objeto y la fecha de celebración;</w:t>
      </w:r>
    </w:p>
    <w:p w:rsidR="00A9441A" w:rsidRPr="00D634D6" w:rsidRDefault="00A9441A" w:rsidP="00D634D6">
      <w:pPr>
        <w:pStyle w:val="Prrafodelista"/>
        <w:tabs>
          <w:tab w:val="left" w:pos="142"/>
          <w:tab w:val="left" w:pos="284"/>
          <w:tab w:val="left" w:pos="709"/>
        </w:tabs>
        <w:spacing w:line="360" w:lineRule="auto"/>
        <w:ind w:left="851" w:right="567"/>
        <w:jc w:val="both"/>
        <w:rPr>
          <w:rFonts w:ascii="Palatino Linotype" w:hAnsi="Palatino Linotype"/>
          <w:i/>
        </w:rPr>
      </w:pPr>
      <w:r w:rsidRPr="00D634D6">
        <w:rPr>
          <w:rFonts w:ascii="Palatino Linotype" w:hAnsi="Palatino Linotype"/>
          <w:i/>
        </w:rPr>
        <w:t>12) Los informes de avance físico y financiero sobre las obras o servicios contratados;</w:t>
      </w:r>
    </w:p>
    <w:p w:rsidR="00A9441A" w:rsidRPr="00D634D6" w:rsidRDefault="00A9441A" w:rsidP="00D634D6">
      <w:pPr>
        <w:pStyle w:val="Prrafodelista"/>
        <w:tabs>
          <w:tab w:val="left" w:pos="142"/>
          <w:tab w:val="left" w:pos="284"/>
          <w:tab w:val="left" w:pos="709"/>
        </w:tabs>
        <w:spacing w:line="360" w:lineRule="auto"/>
        <w:ind w:left="851" w:right="567"/>
        <w:jc w:val="both"/>
        <w:rPr>
          <w:rFonts w:ascii="Palatino Linotype" w:hAnsi="Palatino Linotype"/>
          <w:i/>
        </w:rPr>
      </w:pPr>
      <w:r w:rsidRPr="00D634D6">
        <w:rPr>
          <w:rFonts w:ascii="Palatino Linotype" w:hAnsi="Palatino Linotype"/>
          <w:i/>
        </w:rPr>
        <w:t>13) El convenio de terminación; y</w:t>
      </w:r>
    </w:p>
    <w:p w:rsidR="00A9441A" w:rsidRPr="00D634D6" w:rsidRDefault="00A9441A" w:rsidP="00D634D6">
      <w:pPr>
        <w:pStyle w:val="Prrafodelista"/>
        <w:tabs>
          <w:tab w:val="left" w:pos="142"/>
          <w:tab w:val="left" w:pos="284"/>
          <w:tab w:val="left" w:pos="709"/>
        </w:tabs>
        <w:spacing w:line="360" w:lineRule="auto"/>
        <w:ind w:left="851" w:right="567"/>
        <w:jc w:val="both"/>
        <w:rPr>
          <w:rFonts w:ascii="Palatino Linotype" w:hAnsi="Palatino Linotype"/>
          <w:i/>
        </w:rPr>
      </w:pPr>
      <w:r w:rsidRPr="00D634D6">
        <w:rPr>
          <w:rFonts w:ascii="Palatino Linotype" w:hAnsi="Palatino Linotype"/>
          <w:i/>
        </w:rPr>
        <w:t>14) El finiquito.</w:t>
      </w:r>
      <w:r w:rsidRPr="00D634D6">
        <w:rPr>
          <w:rFonts w:ascii="Palatino Linotype" w:hAnsi="Palatino Linotype"/>
          <w:i/>
        </w:rPr>
        <w:cr/>
        <w:t>(…)”</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i/>
        </w:rPr>
      </w:pPr>
    </w:p>
    <w:p w:rsidR="00A9441A" w:rsidRPr="00D634D6" w:rsidRDefault="00A9441A" w:rsidP="00D634D6">
      <w:pPr>
        <w:pStyle w:val="Prrafodelista"/>
        <w:tabs>
          <w:tab w:val="left" w:pos="142"/>
          <w:tab w:val="left" w:pos="284"/>
          <w:tab w:val="left" w:pos="426"/>
        </w:tabs>
        <w:spacing w:line="360" w:lineRule="auto"/>
        <w:ind w:left="567" w:right="567"/>
        <w:jc w:val="center"/>
        <w:rPr>
          <w:rFonts w:ascii="Palatino Linotype" w:hAnsi="Palatino Linotype"/>
          <w:b/>
          <w:i/>
        </w:rPr>
      </w:pPr>
      <w:r w:rsidRPr="00D634D6">
        <w:rPr>
          <w:rFonts w:ascii="Palatino Linotype" w:hAnsi="Palatino Linotype"/>
          <w:b/>
          <w:i/>
        </w:rPr>
        <w:t>LEY GENERAL DE TRANSPARENCIA Y ACCESO A LA INFORMAICÓN PÚBLICA</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i/>
        </w:rPr>
      </w:pPr>
      <w:r w:rsidRPr="00D634D6">
        <w:rPr>
          <w:rFonts w:ascii="Palatino Linotype" w:hAnsi="Palatino Linotype"/>
          <w:b/>
          <w:i/>
        </w:rPr>
        <w:t>“Artículo 70.</w:t>
      </w:r>
      <w:r w:rsidRPr="00D634D6">
        <w:rPr>
          <w:rFonts w:ascii="Palatino Linotype" w:hAnsi="Palatino Linotype"/>
          <w:i/>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i/>
        </w:rPr>
      </w:pPr>
      <w:r w:rsidRPr="00D634D6">
        <w:rPr>
          <w:rFonts w:ascii="Palatino Linotype" w:hAnsi="Palatino Linotype"/>
          <w:i/>
        </w:rPr>
        <w:t>(…)</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i/>
        </w:rPr>
      </w:pPr>
      <w:r w:rsidRPr="00D634D6">
        <w:rPr>
          <w:rFonts w:ascii="Palatino Linotype" w:hAnsi="Palatino Linotype"/>
          <w:b/>
          <w:i/>
        </w:rPr>
        <w:t>XXVIII.</w:t>
      </w:r>
      <w:r w:rsidRPr="00D634D6">
        <w:rPr>
          <w:rFonts w:ascii="Palatino Linotype" w:hAnsi="Palatino Linotype"/>
          <w:i/>
        </w:rPr>
        <w:t xml:space="preserve">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p>
    <w:p w:rsidR="00A9441A" w:rsidRPr="00D634D6" w:rsidRDefault="00A9441A" w:rsidP="00D634D6">
      <w:pPr>
        <w:pStyle w:val="Prrafodelista"/>
        <w:tabs>
          <w:tab w:val="left" w:pos="142"/>
          <w:tab w:val="left" w:pos="284"/>
          <w:tab w:val="left" w:pos="993"/>
        </w:tabs>
        <w:spacing w:line="360" w:lineRule="auto"/>
        <w:ind w:left="709" w:right="567"/>
        <w:jc w:val="both"/>
        <w:rPr>
          <w:rFonts w:ascii="Palatino Linotype" w:hAnsi="Palatino Linotype"/>
          <w:b/>
          <w:i/>
        </w:rPr>
      </w:pPr>
      <w:r w:rsidRPr="00D634D6">
        <w:rPr>
          <w:rFonts w:ascii="Palatino Linotype" w:hAnsi="Palatino Linotype"/>
          <w:b/>
          <w:i/>
        </w:rPr>
        <w:lastRenderedPageBreak/>
        <w:t>a) De licitaciones públicas o procedimientos de invitación restringida:</w:t>
      </w:r>
    </w:p>
    <w:p w:rsidR="00A9441A" w:rsidRPr="00D634D6" w:rsidRDefault="00A9441A" w:rsidP="00D634D6">
      <w:pPr>
        <w:pStyle w:val="Prrafodelista"/>
        <w:tabs>
          <w:tab w:val="left" w:pos="142"/>
          <w:tab w:val="left" w:pos="284"/>
        </w:tabs>
        <w:spacing w:line="360" w:lineRule="auto"/>
        <w:ind w:left="851" w:right="567"/>
        <w:jc w:val="both"/>
        <w:rPr>
          <w:rFonts w:ascii="Palatino Linotype" w:hAnsi="Palatino Linotype"/>
          <w:i/>
        </w:rPr>
      </w:pPr>
      <w:r w:rsidRPr="00D634D6">
        <w:rPr>
          <w:rFonts w:ascii="Palatino Linotype" w:hAnsi="Palatino Linotype"/>
          <w:i/>
        </w:rPr>
        <w:t>1. La convocatoria o invitación emitida, así como los fundamentos legales aplicados para llevarla a cabo;</w:t>
      </w:r>
    </w:p>
    <w:p w:rsidR="00A9441A" w:rsidRPr="00D634D6" w:rsidRDefault="00A9441A" w:rsidP="00D634D6">
      <w:pPr>
        <w:pStyle w:val="Prrafodelista"/>
        <w:tabs>
          <w:tab w:val="left" w:pos="142"/>
          <w:tab w:val="left" w:pos="284"/>
        </w:tabs>
        <w:spacing w:line="360" w:lineRule="auto"/>
        <w:ind w:left="851" w:right="567"/>
        <w:jc w:val="both"/>
        <w:rPr>
          <w:rFonts w:ascii="Palatino Linotype" w:hAnsi="Palatino Linotype"/>
          <w:i/>
        </w:rPr>
      </w:pPr>
      <w:r w:rsidRPr="00D634D6">
        <w:rPr>
          <w:rFonts w:ascii="Palatino Linotype" w:hAnsi="Palatino Linotype"/>
          <w:i/>
        </w:rPr>
        <w:t>2. Los nombres de los participantes o invitados;</w:t>
      </w:r>
    </w:p>
    <w:p w:rsidR="00A9441A" w:rsidRPr="00D634D6" w:rsidRDefault="00A9441A" w:rsidP="00D634D6">
      <w:pPr>
        <w:pStyle w:val="Prrafodelista"/>
        <w:tabs>
          <w:tab w:val="left" w:pos="142"/>
          <w:tab w:val="left" w:pos="284"/>
        </w:tabs>
        <w:spacing w:line="360" w:lineRule="auto"/>
        <w:ind w:left="851" w:right="567"/>
        <w:jc w:val="both"/>
        <w:rPr>
          <w:rFonts w:ascii="Palatino Linotype" w:hAnsi="Palatino Linotype"/>
          <w:i/>
        </w:rPr>
      </w:pPr>
      <w:r w:rsidRPr="00D634D6">
        <w:rPr>
          <w:rFonts w:ascii="Palatino Linotype" w:hAnsi="Palatino Linotype"/>
          <w:i/>
        </w:rPr>
        <w:t>3. El nombre del ganador y las razones que lo justifican;</w:t>
      </w:r>
    </w:p>
    <w:p w:rsidR="00A9441A" w:rsidRPr="00D634D6" w:rsidRDefault="00A9441A" w:rsidP="00D634D6">
      <w:pPr>
        <w:pStyle w:val="Prrafodelista"/>
        <w:tabs>
          <w:tab w:val="left" w:pos="142"/>
          <w:tab w:val="left" w:pos="284"/>
        </w:tabs>
        <w:spacing w:line="360" w:lineRule="auto"/>
        <w:ind w:left="851" w:right="567"/>
        <w:jc w:val="both"/>
        <w:rPr>
          <w:rFonts w:ascii="Palatino Linotype" w:hAnsi="Palatino Linotype"/>
          <w:i/>
        </w:rPr>
      </w:pPr>
      <w:r w:rsidRPr="00D634D6">
        <w:rPr>
          <w:rFonts w:ascii="Palatino Linotype" w:hAnsi="Palatino Linotype"/>
          <w:i/>
        </w:rPr>
        <w:t>4. El Área solicitante y la responsable de su ejecución;</w:t>
      </w:r>
    </w:p>
    <w:p w:rsidR="00A9441A" w:rsidRPr="00D634D6" w:rsidRDefault="00A9441A" w:rsidP="00D634D6">
      <w:pPr>
        <w:pStyle w:val="Prrafodelista"/>
        <w:tabs>
          <w:tab w:val="left" w:pos="142"/>
          <w:tab w:val="left" w:pos="284"/>
        </w:tabs>
        <w:spacing w:line="360" w:lineRule="auto"/>
        <w:ind w:left="851" w:right="567"/>
        <w:jc w:val="both"/>
        <w:rPr>
          <w:rFonts w:ascii="Palatino Linotype" w:hAnsi="Palatino Linotype"/>
          <w:i/>
        </w:rPr>
      </w:pPr>
      <w:r w:rsidRPr="00D634D6">
        <w:rPr>
          <w:rFonts w:ascii="Palatino Linotype" w:hAnsi="Palatino Linotype"/>
          <w:i/>
        </w:rPr>
        <w:t>5. Las convocatorias e invitaciones emitidas;</w:t>
      </w:r>
    </w:p>
    <w:p w:rsidR="00A9441A" w:rsidRPr="00D634D6" w:rsidRDefault="00A9441A" w:rsidP="00D634D6">
      <w:pPr>
        <w:pStyle w:val="Prrafodelista"/>
        <w:tabs>
          <w:tab w:val="left" w:pos="142"/>
          <w:tab w:val="left" w:pos="284"/>
        </w:tabs>
        <w:spacing w:line="360" w:lineRule="auto"/>
        <w:ind w:left="851" w:right="567"/>
        <w:jc w:val="both"/>
        <w:rPr>
          <w:rFonts w:ascii="Palatino Linotype" w:hAnsi="Palatino Linotype"/>
          <w:i/>
        </w:rPr>
      </w:pPr>
      <w:r w:rsidRPr="00D634D6">
        <w:rPr>
          <w:rFonts w:ascii="Palatino Linotype" w:hAnsi="Palatino Linotype"/>
          <w:i/>
        </w:rPr>
        <w:t>6. Los dictámenes y fallo de adjudicación;</w:t>
      </w:r>
    </w:p>
    <w:p w:rsidR="00A9441A" w:rsidRPr="00D634D6" w:rsidRDefault="00A9441A" w:rsidP="00D634D6">
      <w:pPr>
        <w:pStyle w:val="Prrafodelista"/>
        <w:tabs>
          <w:tab w:val="left" w:pos="142"/>
          <w:tab w:val="left" w:pos="284"/>
        </w:tabs>
        <w:spacing w:line="360" w:lineRule="auto"/>
        <w:ind w:left="851" w:right="567"/>
        <w:jc w:val="both"/>
        <w:rPr>
          <w:rFonts w:ascii="Palatino Linotype" w:hAnsi="Palatino Linotype"/>
          <w:b/>
          <w:i/>
          <w:u w:val="single"/>
        </w:rPr>
      </w:pPr>
      <w:r w:rsidRPr="00D634D6">
        <w:rPr>
          <w:rFonts w:ascii="Palatino Linotype" w:hAnsi="Palatino Linotype"/>
          <w:b/>
          <w:i/>
          <w:u w:val="single"/>
        </w:rPr>
        <w:t>7. El contrato y, en su caso, sus anexos;</w:t>
      </w:r>
    </w:p>
    <w:p w:rsidR="00A9441A" w:rsidRPr="00D634D6" w:rsidRDefault="00A9441A" w:rsidP="00D634D6">
      <w:pPr>
        <w:pStyle w:val="Prrafodelista"/>
        <w:tabs>
          <w:tab w:val="left" w:pos="142"/>
          <w:tab w:val="left" w:pos="284"/>
        </w:tabs>
        <w:spacing w:line="360" w:lineRule="auto"/>
        <w:ind w:left="851" w:right="567"/>
        <w:jc w:val="both"/>
        <w:rPr>
          <w:rFonts w:ascii="Palatino Linotype" w:hAnsi="Palatino Linotype"/>
          <w:i/>
        </w:rPr>
      </w:pPr>
      <w:r w:rsidRPr="00D634D6">
        <w:rPr>
          <w:rFonts w:ascii="Palatino Linotype" w:hAnsi="Palatino Linotype"/>
          <w:i/>
        </w:rPr>
        <w:t>8. Los mecanismos de vigilancia y supervisión, incluyendo, en su caso, los estudios de impacto urbano y ambiental, según corresponda;</w:t>
      </w:r>
    </w:p>
    <w:p w:rsidR="00A9441A" w:rsidRPr="00D634D6" w:rsidRDefault="00A9441A" w:rsidP="00D634D6">
      <w:pPr>
        <w:pStyle w:val="Prrafodelista"/>
        <w:tabs>
          <w:tab w:val="left" w:pos="142"/>
          <w:tab w:val="left" w:pos="284"/>
        </w:tabs>
        <w:spacing w:line="360" w:lineRule="auto"/>
        <w:ind w:left="851" w:right="567"/>
        <w:jc w:val="both"/>
        <w:rPr>
          <w:rFonts w:ascii="Palatino Linotype" w:hAnsi="Palatino Linotype"/>
          <w:i/>
        </w:rPr>
      </w:pPr>
      <w:r w:rsidRPr="00D634D6">
        <w:rPr>
          <w:rFonts w:ascii="Palatino Linotype" w:hAnsi="Palatino Linotype"/>
          <w:i/>
        </w:rPr>
        <w:t>9. La partida presupuestal, de conformidad con el clasificador por objeto del gasto, en el caso de ser aplicable;</w:t>
      </w:r>
    </w:p>
    <w:p w:rsidR="00A9441A" w:rsidRPr="00D634D6" w:rsidRDefault="00A9441A" w:rsidP="00D634D6">
      <w:pPr>
        <w:pStyle w:val="Prrafodelista"/>
        <w:tabs>
          <w:tab w:val="left" w:pos="142"/>
          <w:tab w:val="left" w:pos="284"/>
        </w:tabs>
        <w:spacing w:line="360" w:lineRule="auto"/>
        <w:ind w:left="851" w:right="567"/>
        <w:jc w:val="both"/>
        <w:rPr>
          <w:rFonts w:ascii="Palatino Linotype" w:hAnsi="Palatino Linotype"/>
          <w:b/>
          <w:i/>
          <w:u w:val="single"/>
        </w:rPr>
      </w:pPr>
      <w:r w:rsidRPr="00D634D6">
        <w:rPr>
          <w:rFonts w:ascii="Palatino Linotype" w:hAnsi="Palatino Linotype"/>
          <w:b/>
          <w:i/>
          <w:u w:val="single"/>
        </w:rPr>
        <w:t>10. Origen de los recursos especificando si son federales, estatales o municipales, así como el tipo de fondo de participación o aportación respectiva;</w:t>
      </w:r>
    </w:p>
    <w:p w:rsidR="00A9441A" w:rsidRPr="00D634D6" w:rsidRDefault="00A9441A" w:rsidP="00D634D6">
      <w:pPr>
        <w:pStyle w:val="Prrafodelista"/>
        <w:tabs>
          <w:tab w:val="left" w:pos="142"/>
          <w:tab w:val="left" w:pos="284"/>
        </w:tabs>
        <w:spacing w:line="360" w:lineRule="auto"/>
        <w:ind w:left="851" w:right="567"/>
        <w:jc w:val="both"/>
        <w:rPr>
          <w:rFonts w:ascii="Palatino Linotype" w:hAnsi="Palatino Linotype"/>
          <w:i/>
        </w:rPr>
      </w:pPr>
      <w:r w:rsidRPr="00D634D6">
        <w:rPr>
          <w:rFonts w:ascii="Palatino Linotype" w:hAnsi="Palatino Linotype"/>
          <w:i/>
        </w:rPr>
        <w:t>11. Los convenios modificatorios que, en su caso, sean firmados, precisando el objeto y la fecha de celebración;</w:t>
      </w:r>
    </w:p>
    <w:p w:rsidR="00A9441A" w:rsidRPr="00D634D6" w:rsidRDefault="00A9441A" w:rsidP="00D634D6">
      <w:pPr>
        <w:pStyle w:val="Prrafodelista"/>
        <w:tabs>
          <w:tab w:val="left" w:pos="142"/>
          <w:tab w:val="left" w:pos="284"/>
        </w:tabs>
        <w:spacing w:line="360" w:lineRule="auto"/>
        <w:ind w:left="851" w:right="567"/>
        <w:jc w:val="both"/>
        <w:rPr>
          <w:rFonts w:ascii="Palatino Linotype" w:hAnsi="Palatino Linotype"/>
          <w:i/>
        </w:rPr>
      </w:pPr>
      <w:r w:rsidRPr="00D634D6">
        <w:rPr>
          <w:rFonts w:ascii="Palatino Linotype" w:hAnsi="Palatino Linotype"/>
          <w:i/>
        </w:rPr>
        <w:t>12. Los informes de avance físico y financiero sobre las obras o servicios contratados;</w:t>
      </w:r>
    </w:p>
    <w:p w:rsidR="00A9441A" w:rsidRPr="00D634D6" w:rsidRDefault="00A9441A" w:rsidP="00D634D6">
      <w:pPr>
        <w:pStyle w:val="Prrafodelista"/>
        <w:tabs>
          <w:tab w:val="left" w:pos="142"/>
          <w:tab w:val="left" w:pos="284"/>
        </w:tabs>
        <w:spacing w:line="360" w:lineRule="auto"/>
        <w:ind w:left="851" w:right="567"/>
        <w:jc w:val="both"/>
        <w:rPr>
          <w:rFonts w:ascii="Palatino Linotype" w:hAnsi="Palatino Linotype"/>
          <w:i/>
        </w:rPr>
      </w:pPr>
      <w:r w:rsidRPr="00D634D6">
        <w:rPr>
          <w:rFonts w:ascii="Palatino Linotype" w:hAnsi="Palatino Linotype"/>
          <w:i/>
        </w:rPr>
        <w:t>13. El convenio de terminación, y</w:t>
      </w:r>
    </w:p>
    <w:p w:rsidR="00A9441A" w:rsidRPr="00D634D6" w:rsidRDefault="00A9441A" w:rsidP="00D634D6">
      <w:pPr>
        <w:pStyle w:val="Prrafodelista"/>
        <w:tabs>
          <w:tab w:val="left" w:pos="142"/>
          <w:tab w:val="left" w:pos="284"/>
        </w:tabs>
        <w:spacing w:line="360" w:lineRule="auto"/>
        <w:ind w:left="851" w:right="567"/>
        <w:jc w:val="both"/>
        <w:rPr>
          <w:rFonts w:ascii="Palatino Linotype" w:hAnsi="Palatino Linotype"/>
          <w:i/>
        </w:rPr>
      </w:pPr>
      <w:r w:rsidRPr="00D634D6">
        <w:rPr>
          <w:rFonts w:ascii="Palatino Linotype" w:hAnsi="Palatino Linotype"/>
          <w:i/>
        </w:rPr>
        <w:t>14. El finiquito;</w:t>
      </w:r>
    </w:p>
    <w:p w:rsidR="00A9441A" w:rsidRPr="00D634D6" w:rsidRDefault="00A9441A" w:rsidP="00D634D6">
      <w:pPr>
        <w:pStyle w:val="Prrafodelista"/>
        <w:tabs>
          <w:tab w:val="left" w:pos="142"/>
          <w:tab w:val="left" w:pos="284"/>
        </w:tabs>
        <w:spacing w:line="360" w:lineRule="auto"/>
        <w:ind w:left="851" w:right="567"/>
        <w:jc w:val="both"/>
        <w:rPr>
          <w:rFonts w:ascii="Palatino Linotype" w:hAnsi="Palatino Linotype"/>
          <w:i/>
        </w:rPr>
      </w:pPr>
      <w:r w:rsidRPr="00D634D6">
        <w:rPr>
          <w:rFonts w:ascii="Palatino Linotype" w:hAnsi="Palatino Linotype"/>
          <w:i/>
        </w:rPr>
        <w:t>(…)”</w:t>
      </w:r>
    </w:p>
    <w:p w:rsidR="00A9441A" w:rsidRPr="00D634D6" w:rsidRDefault="00A9441A" w:rsidP="00D634D6">
      <w:pPr>
        <w:pStyle w:val="Prrafodelista"/>
        <w:tabs>
          <w:tab w:val="left" w:pos="142"/>
          <w:tab w:val="left" w:pos="284"/>
        </w:tabs>
        <w:spacing w:line="360" w:lineRule="auto"/>
        <w:ind w:left="851" w:right="567"/>
        <w:jc w:val="both"/>
        <w:rPr>
          <w:rFonts w:ascii="Palatino Linotype" w:hAnsi="Palatino Linotype"/>
        </w:rPr>
      </w:pPr>
      <w:r w:rsidRPr="00D634D6">
        <w:rPr>
          <w:rFonts w:ascii="Palatino Linotype" w:hAnsi="Palatino Linotype"/>
        </w:rPr>
        <w:t>(Énfasis añadido)</w:t>
      </w:r>
    </w:p>
    <w:p w:rsidR="00A9441A" w:rsidRPr="00D634D6" w:rsidRDefault="00A9441A"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2B1F46" w:rsidRPr="00D634D6" w:rsidRDefault="00A9441A"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lastRenderedPageBreak/>
        <w:t xml:space="preserve">En ese entendido, los </w:t>
      </w:r>
      <w:r w:rsidRPr="00D634D6">
        <w:rPr>
          <w:rFonts w:ascii="Palatino Linotype" w:eastAsia="MS Gothic" w:hAnsi="Palatino Linotype" w:cs="Times New Roman"/>
          <w:b/>
          <w:sz w:val="24"/>
          <w:szCs w:val="26"/>
        </w:rPr>
        <w:t>SUJETO OBLIGADOS</w:t>
      </w:r>
      <w:r w:rsidRPr="00D634D6">
        <w:rPr>
          <w:rFonts w:ascii="Palatino Linotype" w:eastAsia="MS Gothic" w:hAnsi="Palatino Linotype" w:cs="Times New Roman"/>
          <w:sz w:val="24"/>
          <w:szCs w:val="26"/>
        </w:rPr>
        <w:t xml:space="preserve"> están impuestos a poner a disposición de la ciudadanía toda la información relativa a las licitaciones y adjudicaciones que realicen para la adquisición de bienes y servicios, y de cada negocio deberán integrar un expediente que contará, entre otros elementos, con el </w:t>
      </w:r>
      <w:r w:rsidRPr="00D634D6">
        <w:rPr>
          <w:rFonts w:ascii="Palatino Linotype" w:eastAsia="MS Gothic" w:hAnsi="Palatino Linotype" w:cs="Times New Roman"/>
          <w:b/>
          <w:sz w:val="24"/>
          <w:szCs w:val="26"/>
        </w:rPr>
        <w:t>contrato</w:t>
      </w:r>
      <w:r w:rsidRPr="00D634D6">
        <w:rPr>
          <w:rFonts w:ascii="Palatino Linotype" w:eastAsia="MS Gothic" w:hAnsi="Palatino Linotype" w:cs="Times New Roman"/>
          <w:sz w:val="24"/>
          <w:szCs w:val="26"/>
        </w:rPr>
        <w:t xml:space="preserve"> derivado por la adquisición del bien o servicio, así como el </w:t>
      </w:r>
      <w:r w:rsidRPr="00D634D6">
        <w:rPr>
          <w:rFonts w:ascii="Palatino Linotype" w:eastAsia="MS Gothic" w:hAnsi="Palatino Linotype" w:cs="Times New Roman"/>
          <w:b/>
          <w:sz w:val="24"/>
          <w:szCs w:val="26"/>
        </w:rPr>
        <w:t>origen de los recursos</w:t>
      </w:r>
      <w:r w:rsidRPr="00D634D6">
        <w:rPr>
          <w:rFonts w:ascii="Palatino Linotype" w:eastAsia="MS Gothic" w:hAnsi="Palatino Linotype" w:cs="Times New Roman"/>
          <w:sz w:val="24"/>
          <w:szCs w:val="26"/>
        </w:rPr>
        <w:t>.</w:t>
      </w:r>
    </w:p>
    <w:p w:rsidR="002B1F46" w:rsidRPr="00D634D6" w:rsidRDefault="002B1F46"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2B1F46" w:rsidRPr="00D634D6" w:rsidRDefault="00A9441A"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t xml:space="preserve">Dicho </w:t>
      </w:r>
      <w:r w:rsidRPr="00D634D6">
        <w:rPr>
          <w:rFonts w:ascii="Palatino Linotype" w:eastAsia="MS Gothic" w:hAnsi="Palatino Linotype" w:cs="Times New Roman"/>
          <w:sz w:val="24"/>
          <w:szCs w:val="26"/>
          <w:lang w:val="es-ES_tradnl"/>
        </w:rPr>
        <w:t xml:space="preserve">lo anterior es necesario señalar que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son de observancia obligatoria para los Sujetos Obligados de todo el país, y tienen como propósito el definir los formatos que deberán utilizarse para publica la información en el Título Quinto de la Ley General de Transparencia y Acceso a la Información Pública y asegurar que ésta sea veraz, </w:t>
      </w:r>
      <w:r w:rsidRPr="00D634D6">
        <w:rPr>
          <w:rFonts w:ascii="Palatino Linotype" w:eastAsia="MS Gothic" w:hAnsi="Palatino Linotype" w:cs="Times New Roman"/>
          <w:b/>
          <w:sz w:val="24"/>
          <w:szCs w:val="26"/>
          <w:lang w:val="es-ES_tradnl"/>
        </w:rPr>
        <w:t>confiable</w:t>
      </w:r>
      <w:r w:rsidRPr="00D634D6">
        <w:rPr>
          <w:rFonts w:ascii="Palatino Linotype" w:eastAsia="MS Gothic" w:hAnsi="Palatino Linotype" w:cs="Times New Roman"/>
          <w:sz w:val="24"/>
          <w:szCs w:val="26"/>
          <w:lang w:val="es-ES_tradnl"/>
        </w:rPr>
        <w:t xml:space="preserve">, oportuna, congruente, </w:t>
      </w:r>
      <w:r w:rsidRPr="00D634D6">
        <w:rPr>
          <w:rFonts w:ascii="Palatino Linotype" w:eastAsia="MS Gothic" w:hAnsi="Palatino Linotype" w:cs="Times New Roman"/>
          <w:b/>
          <w:sz w:val="24"/>
          <w:szCs w:val="26"/>
          <w:lang w:val="es-ES_tradnl"/>
        </w:rPr>
        <w:t>integral</w:t>
      </w:r>
      <w:r w:rsidRPr="00D634D6">
        <w:rPr>
          <w:rFonts w:ascii="Palatino Linotype" w:eastAsia="MS Gothic" w:hAnsi="Palatino Linotype" w:cs="Times New Roman"/>
          <w:sz w:val="24"/>
          <w:szCs w:val="26"/>
          <w:lang w:val="es-ES_tradnl"/>
        </w:rPr>
        <w:t xml:space="preserve">, actualizada, accesible, </w:t>
      </w:r>
      <w:r w:rsidRPr="00D634D6">
        <w:rPr>
          <w:rFonts w:ascii="Palatino Linotype" w:eastAsia="MS Gothic" w:hAnsi="Palatino Linotype" w:cs="Times New Roman"/>
          <w:b/>
          <w:sz w:val="24"/>
          <w:szCs w:val="26"/>
          <w:lang w:val="es-ES_tradnl"/>
        </w:rPr>
        <w:t>comprensible</w:t>
      </w:r>
      <w:r w:rsidRPr="00D634D6">
        <w:rPr>
          <w:rFonts w:ascii="Palatino Linotype" w:eastAsia="MS Gothic" w:hAnsi="Palatino Linotype" w:cs="Times New Roman"/>
          <w:sz w:val="24"/>
          <w:szCs w:val="26"/>
          <w:lang w:val="es-ES_tradnl"/>
        </w:rPr>
        <w:t xml:space="preserve"> y verificable.</w:t>
      </w:r>
    </w:p>
    <w:p w:rsidR="002B1F46" w:rsidRPr="00D634D6" w:rsidRDefault="002B1F46"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2B1F46" w:rsidRPr="00D634D6" w:rsidRDefault="00A9441A"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t xml:space="preserve">Luego </w:t>
      </w:r>
      <w:r w:rsidRPr="00D634D6">
        <w:rPr>
          <w:rFonts w:ascii="Palatino Linotype" w:eastAsia="MS Gothic" w:hAnsi="Palatino Linotype" w:cs="Times New Roman"/>
          <w:sz w:val="24"/>
          <w:szCs w:val="26"/>
          <w:lang w:val="es-ES_tradnl"/>
        </w:rPr>
        <w:t xml:space="preserve">entonces, por cuanto hace a la fracción XXVIII del artículo 70 de la Ley General,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w:t>
      </w:r>
      <w:r w:rsidRPr="00D634D6">
        <w:rPr>
          <w:rFonts w:ascii="Palatino Linotype" w:eastAsia="MS Gothic" w:hAnsi="Palatino Linotype" w:cs="Times New Roman"/>
          <w:sz w:val="24"/>
          <w:szCs w:val="26"/>
          <w:lang w:val="es-ES_tradnl"/>
        </w:rPr>
        <w:lastRenderedPageBreak/>
        <w:t>Difundir los Sujetos Obligados en los Portales De Internet y en la Plataforma Nacional de Transparencia refieren que la información deberá ponerse a disposición de la ciudadanía de la siguiente manera:</w:t>
      </w:r>
    </w:p>
    <w:p w:rsidR="002B1F46" w:rsidRPr="00D634D6" w:rsidRDefault="002B1F46"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i/>
        </w:rPr>
      </w:pPr>
      <w:r w:rsidRPr="00D634D6">
        <w:rPr>
          <w:rFonts w:ascii="Palatino Linotype" w:hAnsi="Palatino Linotype"/>
          <w:i/>
        </w:rPr>
        <w:t xml:space="preserve">“En este apartado se </w:t>
      </w:r>
      <w:r w:rsidRPr="00D634D6">
        <w:rPr>
          <w:rFonts w:ascii="Palatino Linotype" w:hAnsi="Palatino Linotype"/>
          <w:b/>
          <w:i/>
        </w:rPr>
        <w:t>dispone cuáles son los contenidos y la forma en que los sujetos obligados deberán publicar y actualizar la información</w:t>
      </w:r>
      <w:r w:rsidRPr="00D634D6">
        <w:rPr>
          <w:rFonts w:ascii="Palatino Linotype" w:hAnsi="Palatino Linotype"/>
          <w:i/>
        </w:rPr>
        <w:t xml:space="preserve"> que generen, </w:t>
      </w:r>
      <w:r w:rsidRPr="00D634D6">
        <w:rPr>
          <w:rFonts w:ascii="Palatino Linotype" w:hAnsi="Palatino Linotype"/>
          <w:b/>
          <w:i/>
        </w:rPr>
        <w:t>relativa a los resultados de los procedimientos de licitación pública</w:t>
      </w:r>
      <w:r w:rsidRPr="00D634D6">
        <w:rPr>
          <w:rFonts w:ascii="Palatino Linotype" w:hAnsi="Palatino Linotype"/>
          <w:i/>
        </w:rPr>
        <w:t xml:space="preserve">, invitación restringida y adjudicación directa, así como los equivalentes que realizan en términos de la Ley de Adquisiciones, Arrendamientos y Servicios del Sector Público y la Ley de Obras Públicas y Servicios Relacionados con las Mismas –ambas reglamentarias del artículo 134 de la Constitución Política de los Estados Unidos Mexicanos–; las que resulten aplicables en materia de adquisiciones, arrendamiento de bienes muebles, prestación de servicios y contrataciones de obras públicas, y los servicios relacionados con las mismas de las entidades federativas; los ordenamientos legales que regulen a los poderes Legislativo y Judicial y a los organismos autónomos; así como la Ley Federal de Presupuesto y Responsabilidad Hacendaria. </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i/>
        </w:rPr>
      </w:pPr>
      <w:r w:rsidRPr="00D634D6">
        <w:rPr>
          <w:rFonts w:ascii="Palatino Linotype" w:hAnsi="Palatino Linotype"/>
          <w:i/>
        </w:rPr>
        <w:t xml:space="preserve">La información sobre los actos, contratos y convenios celebrados se presentará en una base de datos en la que cada registro se hará por tipo de procedimiento: </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b/>
          <w:i/>
        </w:rPr>
      </w:pPr>
      <w:r w:rsidRPr="00D634D6">
        <w:rPr>
          <w:rFonts w:ascii="Palatino Linotype" w:hAnsi="Palatino Linotype"/>
          <w:b/>
          <w:i/>
        </w:rPr>
        <w:t xml:space="preserve">Licitación pública </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b/>
          <w:i/>
        </w:rPr>
      </w:pPr>
      <w:r w:rsidRPr="00D634D6">
        <w:rPr>
          <w:rFonts w:ascii="Palatino Linotype" w:hAnsi="Palatino Linotype"/>
          <w:b/>
          <w:i/>
        </w:rPr>
        <w:t xml:space="preserve">Invitación a cuando menos tres personas (restringida) </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b/>
          <w:i/>
        </w:rPr>
      </w:pPr>
      <w:r w:rsidRPr="00D634D6">
        <w:rPr>
          <w:rFonts w:ascii="Palatino Linotype" w:hAnsi="Palatino Linotype"/>
          <w:b/>
          <w:i/>
        </w:rPr>
        <w:t>Adjudicación directa</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i/>
        </w:rPr>
      </w:pP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i/>
        </w:rPr>
      </w:pPr>
      <w:r w:rsidRPr="00D634D6">
        <w:rPr>
          <w:rFonts w:ascii="Palatino Linotype" w:hAnsi="Palatino Linotype"/>
          <w:i/>
        </w:rPr>
        <w:t xml:space="preserve">Para cada tipo de procedimiento se deberá especificar la materia: </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i/>
        </w:rPr>
      </w:pPr>
      <w:r w:rsidRPr="00D634D6">
        <w:rPr>
          <w:rFonts w:ascii="Palatino Linotype" w:hAnsi="Palatino Linotype"/>
          <w:i/>
        </w:rPr>
        <w:t xml:space="preserve">Obra pública </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i/>
        </w:rPr>
      </w:pPr>
      <w:r w:rsidRPr="00D634D6">
        <w:rPr>
          <w:rFonts w:ascii="Palatino Linotype" w:hAnsi="Palatino Linotype"/>
          <w:i/>
        </w:rPr>
        <w:t xml:space="preserve">Servicios relacionados con obra pública </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b/>
          <w:i/>
        </w:rPr>
      </w:pPr>
      <w:r w:rsidRPr="00D634D6">
        <w:rPr>
          <w:rFonts w:ascii="Palatino Linotype" w:hAnsi="Palatino Linotype"/>
          <w:b/>
          <w:i/>
        </w:rPr>
        <w:lastRenderedPageBreak/>
        <w:t xml:space="preserve">Arrendamiento </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b/>
          <w:i/>
        </w:rPr>
      </w:pPr>
      <w:r w:rsidRPr="00D634D6">
        <w:rPr>
          <w:rFonts w:ascii="Palatino Linotype" w:hAnsi="Palatino Linotype"/>
          <w:b/>
          <w:i/>
        </w:rPr>
        <w:t xml:space="preserve">Adquisición o </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b/>
          <w:i/>
        </w:rPr>
      </w:pPr>
      <w:r w:rsidRPr="00D634D6">
        <w:rPr>
          <w:rFonts w:ascii="Palatino Linotype" w:hAnsi="Palatino Linotype"/>
          <w:b/>
          <w:i/>
        </w:rPr>
        <w:t xml:space="preserve">Servicios </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i/>
        </w:rPr>
      </w:pP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i/>
        </w:rPr>
      </w:pPr>
      <w:r w:rsidRPr="00D634D6">
        <w:rPr>
          <w:rFonts w:ascii="Palatino Linotype" w:hAnsi="Palatino Linotype"/>
          <w:i/>
        </w:rPr>
        <w:t xml:space="preserve">Y el carácter: </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i/>
        </w:rPr>
      </w:pPr>
      <w:r w:rsidRPr="00D634D6">
        <w:rPr>
          <w:rFonts w:ascii="Palatino Linotype" w:hAnsi="Palatino Linotype"/>
          <w:i/>
        </w:rPr>
        <w:t xml:space="preserve">Nacional </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i/>
        </w:rPr>
      </w:pPr>
      <w:r w:rsidRPr="00D634D6">
        <w:rPr>
          <w:rFonts w:ascii="Palatino Linotype" w:hAnsi="Palatino Linotype"/>
          <w:i/>
        </w:rPr>
        <w:t xml:space="preserve">Internacional (en cualquier modalidad específica) </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i/>
        </w:rPr>
      </w:pP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i/>
        </w:rPr>
      </w:pPr>
      <w:r w:rsidRPr="00D634D6">
        <w:rPr>
          <w:rFonts w:ascii="Palatino Linotype" w:hAnsi="Palatino Linotype"/>
          <w:b/>
          <w:i/>
        </w:rPr>
        <w:t>Respecto de los documentos fuente</w:t>
      </w:r>
      <w:r w:rsidRPr="00D634D6">
        <w:rPr>
          <w:rFonts w:ascii="Palatino Linotype" w:hAnsi="Palatino Linotype"/>
          <w:i/>
        </w:rPr>
        <w:t xml:space="preserve"> solicitados en los criterios sustantivos que deban ser publicados, tales como </w:t>
      </w:r>
      <w:r w:rsidRPr="00D634D6">
        <w:rPr>
          <w:rFonts w:ascii="Palatino Linotype" w:hAnsi="Palatino Linotype"/>
          <w:b/>
          <w:i/>
        </w:rPr>
        <w:t>contratos, convenios</w:t>
      </w:r>
      <w:r w:rsidRPr="00D634D6">
        <w:rPr>
          <w:rFonts w:ascii="Palatino Linotype" w:hAnsi="Palatino Linotype"/>
          <w:i/>
        </w:rPr>
        <w:t xml:space="preserve">, actas, dictámenes, fallos, convenios modificatorios, informes, entre otros, incluyendo sus anexos correspondientes, exceptuando aquellos que sean demasiado extensos, </w:t>
      </w:r>
      <w:r w:rsidRPr="00D634D6">
        <w:rPr>
          <w:rFonts w:ascii="Palatino Linotype" w:hAnsi="Palatino Linotype"/>
          <w:b/>
          <w:i/>
        </w:rPr>
        <w:t>se deberá elaborar versión pública de los mismos</w:t>
      </w:r>
      <w:r w:rsidRPr="00D634D6">
        <w:rPr>
          <w:rFonts w:ascii="Palatino Linotype" w:hAnsi="Palatino Linotype"/>
          <w:i/>
        </w:rPr>
        <w:t xml:space="preserve">. </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i/>
        </w:rPr>
      </w:pPr>
      <w:r w:rsidRPr="00D634D6">
        <w:rPr>
          <w:rFonts w:ascii="Palatino Linotype" w:hAnsi="Palatino Linotype"/>
          <w:i/>
        </w:rPr>
        <w:t>Los sujetos obligados deberán asegurarse de que la información publicada en esta sección mantenga correspondencia y coherencia, en su caso, con lo publicado en las fracciones fracción XXIII (comunicación social) y XXXII (padrón de proveedores y contratistas) del artículo 70 de la Ley General, así como con lo publicado en el sistema electrónico de información pública gubernamental sobre contrataciones, concursos, licitaciones, adquisiciones, arrendamientos y servicios, que en su caso cada entidad federativa desarrolle y administre.</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i/>
        </w:rPr>
      </w:pPr>
      <w:r w:rsidRPr="00D634D6">
        <w:rPr>
          <w:rFonts w:ascii="Palatino Linotype" w:hAnsi="Palatino Linotype"/>
          <w:i/>
        </w:rPr>
        <w:t xml:space="preserve">Periodo de actualización: trimestral </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i/>
        </w:rPr>
      </w:pPr>
      <w:r w:rsidRPr="00D634D6">
        <w:rPr>
          <w:rFonts w:ascii="Palatino Linotype" w:hAnsi="Palatino Linotype"/>
          <w:i/>
        </w:rPr>
        <w:t xml:space="preserve">Conservar en el sitio de Internet: información vigente; la generada en el ejercicio en curso y la correspondiente a dos ejercicios anteriores </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hAnsi="Palatino Linotype"/>
        </w:rPr>
      </w:pPr>
      <w:r w:rsidRPr="00D634D6">
        <w:rPr>
          <w:rFonts w:ascii="Palatino Linotype" w:hAnsi="Palatino Linotype"/>
          <w:i/>
        </w:rPr>
        <w:t>Aplica a: todos los sujetos obligados”</w:t>
      </w:r>
    </w:p>
    <w:p w:rsidR="00A9441A" w:rsidRPr="00D634D6" w:rsidRDefault="00A9441A" w:rsidP="00D634D6">
      <w:pPr>
        <w:pStyle w:val="Prrafodelista"/>
        <w:tabs>
          <w:tab w:val="left" w:pos="142"/>
          <w:tab w:val="left" w:pos="284"/>
          <w:tab w:val="left" w:pos="426"/>
        </w:tabs>
        <w:spacing w:line="360" w:lineRule="auto"/>
        <w:ind w:left="567" w:right="567"/>
        <w:jc w:val="both"/>
        <w:rPr>
          <w:rFonts w:ascii="Palatino Linotype" w:eastAsia="MS Gothic" w:hAnsi="Palatino Linotype" w:cs="Times New Roman"/>
          <w:szCs w:val="26"/>
        </w:rPr>
      </w:pPr>
      <w:r w:rsidRPr="00D634D6">
        <w:rPr>
          <w:rFonts w:ascii="Palatino Linotype" w:hAnsi="Palatino Linotype"/>
        </w:rPr>
        <w:t>(Énfasis añadido)</w:t>
      </w:r>
    </w:p>
    <w:p w:rsidR="00A9441A" w:rsidRPr="00D634D6" w:rsidRDefault="00A9441A"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2B1F46" w:rsidRPr="00D634D6" w:rsidRDefault="00A9441A"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lastRenderedPageBreak/>
        <w:t xml:space="preserve">Por otro lado, por cuanto hace a las facturas derivadas </w:t>
      </w:r>
      <w:r w:rsidR="00637660" w:rsidRPr="00D634D6">
        <w:rPr>
          <w:rFonts w:ascii="Palatino Linotype" w:eastAsia="MS Gothic" w:hAnsi="Palatino Linotype" w:cs="Times New Roman"/>
          <w:sz w:val="24"/>
          <w:szCs w:val="26"/>
        </w:rPr>
        <w:t>de los contratos de los bienes comprados o rentados para seguridad pública, es conveniente traer a estudio el contenido de</w:t>
      </w:r>
      <w:r w:rsidR="00637660" w:rsidRPr="00D634D6">
        <w:rPr>
          <w:rFonts w:ascii="Palatino Linotype" w:eastAsia="MS Gothic" w:hAnsi="Palatino Linotype" w:cs="Times New Roman"/>
          <w:sz w:val="24"/>
          <w:szCs w:val="26"/>
          <w:lang w:val="es-ES_tradnl"/>
        </w:rPr>
        <w:t xml:space="preserve"> las fracciones XI y XXV del artículo 92 de la Ley de Transparencia y Acceso a la Información Pública del Estado de México y Municipios, así como las fracciones XI y XXI del numeral 70 de su homóloga Ley General, las cuales refieren lo siguiente:</w:t>
      </w:r>
    </w:p>
    <w:p w:rsidR="002B1F46" w:rsidRPr="00D634D6" w:rsidRDefault="002B1F46"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637660" w:rsidRPr="00D634D6" w:rsidRDefault="00637660" w:rsidP="00D634D6">
      <w:pPr>
        <w:pStyle w:val="Prrafodelista"/>
        <w:tabs>
          <w:tab w:val="left" w:pos="142"/>
          <w:tab w:val="left" w:pos="284"/>
          <w:tab w:val="left" w:pos="426"/>
        </w:tabs>
        <w:spacing w:line="360" w:lineRule="auto"/>
        <w:ind w:left="567" w:right="567"/>
        <w:jc w:val="center"/>
        <w:rPr>
          <w:rFonts w:ascii="Palatino Linotype" w:eastAsia="MS Gothic" w:hAnsi="Palatino Linotype" w:cs="Times New Roman"/>
          <w:b/>
          <w:i/>
          <w:szCs w:val="26"/>
        </w:rPr>
      </w:pPr>
      <w:r w:rsidRPr="00D634D6">
        <w:rPr>
          <w:rFonts w:ascii="Palatino Linotype" w:hAnsi="Palatino Linotype"/>
          <w:b/>
          <w:i/>
        </w:rPr>
        <w:t>LEY DE TRANSPARENCIA Y ACCESO A LA INFORMACIÓN PÚBLICA DEL ESTADO DE MÉXICO Y MUNICIPIOS</w:t>
      </w:r>
    </w:p>
    <w:p w:rsidR="00637660" w:rsidRPr="00D634D6" w:rsidRDefault="00637660" w:rsidP="00D634D6">
      <w:pPr>
        <w:pStyle w:val="Prrafodelista"/>
        <w:tabs>
          <w:tab w:val="left" w:pos="142"/>
          <w:tab w:val="left" w:pos="284"/>
          <w:tab w:val="left" w:pos="426"/>
        </w:tabs>
        <w:spacing w:line="360" w:lineRule="auto"/>
        <w:ind w:left="567" w:right="567"/>
        <w:jc w:val="both"/>
        <w:rPr>
          <w:rFonts w:ascii="Palatino Linotype" w:hAnsi="Palatino Linotype"/>
          <w:i/>
        </w:rPr>
      </w:pPr>
      <w:r w:rsidRPr="00D634D6">
        <w:rPr>
          <w:rFonts w:ascii="Palatino Linotype" w:hAnsi="Palatino Linotype"/>
          <w:i/>
        </w:rPr>
        <w:t>“</w:t>
      </w:r>
      <w:r w:rsidRPr="00D634D6">
        <w:rPr>
          <w:rFonts w:ascii="Palatino Linotype" w:hAnsi="Palatino Linotype"/>
          <w:b/>
          <w:i/>
        </w:rPr>
        <w:t>Artículo 92.</w:t>
      </w:r>
      <w:r w:rsidRPr="00D634D6">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637660" w:rsidRPr="00D634D6" w:rsidRDefault="00637660" w:rsidP="00D634D6">
      <w:pPr>
        <w:pStyle w:val="Prrafodelista"/>
        <w:tabs>
          <w:tab w:val="left" w:pos="142"/>
          <w:tab w:val="left" w:pos="284"/>
          <w:tab w:val="left" w:pos="426"/>
        </w:tabs>
        <w:spacing w:line="360" w:lineRule="auto"/>
        <w:ind w:left="567" w:right="567"/>
        <w:jc w:val="both"/>
        <w:rPr>
          <w:rFonts w:ascii="Palatino Linotype" w:hAnsi="Palatino Linotype"/>
          <w:i/>
        </w:rPr>
      </w:pPr>
      <w:r w:rsidRPr="00D634D6">
        <w:rPr>
          <w:rFonts w:ascii="Palatino Linotype" w:hAnsi="Palatino Linotype"/>
          <w:i/>
        </w:rPr>
        <w:t>(…)</w:t>
      </w:r>
    </w:p>
    <w:p w:rsidR="00637660" w:rsidRPr="00D634D6" w:rsidRDefault="00637660" w:rsidP="00D634D6">
      <w:pPr>
        <w:pStyle w:val="Prrafodelista"/>
        <w:tabs>
          <w:tab w:val="left" w:pos="142"/>
          <w:tab w:val="left" w:pos="284"/>
          <w:tab w:val="left" w:pos="426"/>
        </w:tabs>
        <w:spacing w:line="360" w:lineRule="auto"/>
        <w:ind w:left="567" w:right="567"/>
        <w:jc w:val="both"/>
        <w:rPr>
          <w:rFonts w:ascii="Palatino Linotype" w:hAnsi="Palatino Linotype"/>
          <w:i/>
        </w:rPr>
      </w:pPr>
      <w:r w:rsidRPr="00D634D6">
        <w:rPr>
          <w:rFonts w:ascii="Palatino Linotype" w:hAnsi="Palatino Linotype"/>
          <w:b/>
          <w:i/>
        </w:rPr>
        <w:t>XI.</w:t>
      </w:r>
      <w:r w:rsidRPr="00D634D6">
        <w:rPr>
          <w:rFonts w:ascii="Palatino Linotype" w:hAnsi="Palatino Linotype"/>
          <w:i/>
        </w:rPr>
        <w:t xml:space="preserve"> Las contrataciones de servicios profesionales por honorarios, señalando los nombres de los prestadores de servicios, los servicios contratados, el monto de los honorarios y el periodo de contratación;</w:t>
      </w:r>
    </w:p>
    <w:p w:rsidR="00637660" w:rsidRPr="00D634D6" w:rsidRDefault="00637660" w:rsidP="00D634D6">
      <w:pPr>
        <w:pStyle w:val="Prrafodelista"/>
        <w:tabs>
          <w:tab w:val="left" w:pos="142"/>
          <w:tab w:val="left" w:pos="284"/>
          <w:tab w:val="left" w:pos="709"/>
        </w:tabs>
        <w:spacing w:line="360" w:lineRule="auto"/>
        <w:ind w:left="567" w:right="567"/>
        <w:jc w:val="both"/>
        <w:rPr>
          <w:rFonts w:ascii="Palatino Linotype" w:hAnsi="Palatino Linotype"/>
          <w:i/>
        </w:rPr>
      </w:pPr>
      <w:r w:rsidRPr="00D634D6">
        <w:rPr>
          <w:rFonts w:ascii="Palatino Linotype" w:hAnsi="Palatino Linotype"/>
          <w:i/>
        </w:rPr>
        <w:t>(…)</w:t>
      </w:r>
    </w:p>
    <w:p w:rsidR="00637660" w:rsidRPr="00D634D6" w:rsidRDefault="00637660" w:rsidP="00D634D6">
      <w:pPr>
        <w:pStyle w:val="Prrafodelista"/>
        <w:tabs>
          <w:tab w:val="left" w:pos="142"/>
          <w:tab w:val="left" w:pos="284"/>
          <w:tab w:val="left" w:pos="709"/>
        </w:tabs>
        <w:spacing w:line="360" w:lineRule="auto"/>
        <w:ind w:left="567" w:right="567"/>
        <w:jc w:val="both"/>
        <w:rPr>
          <w:rFonts w:ascii="Palatino Linotype" w:hAnsi="Palatino Linotype"/>
          <w:i/>
        </w:rPr>
      </w:pPr>
      <w:r w:rsidRPr="00D634D6">
        <w:rPr>
          <w:rFonts w:ascii="Palatino Linotype" w:hAnsi="Palatino Linotype"/>
          <w:b/>
          <w:i/>
        </w:rPr>
        <w:t>XXV.</w:t>
      </w:r>
      <w:r w:rsidRPr="00D634D6">
        <w:rPr>
          <w:rFonts w:ascii="Palatino Linotype" w:hAnsi="Palatino Linotype"/>
          <w:i/>
        </w:rPr>
        <w:t xml:space="preserve"> La información financiera sobre el presupuesto asignado, así como los informes del ejercicio trimestral del gasto, en términos de la Ley General de Contabilidad Gubernamental y demás disposiciones jurídicas aplicables;”</w:t>
      </w:r>
    </w:p>
    <w:p w:rsidR="00637660" w:rsidRPr="00D634D6" w:rsidRDefault="00637660" w:rsidP="00D634D6">
      <w:pPr>
        <w:pStyle w:val="Prrafodelista"/>
        <w:tabs>
          <w:tab w:val="left" w:pos="142"/>
          <w:tab w:val="left" w:pos="284"/>
          <w:tab w:val="left" w:pos="426"/>
        </w:tabs>
        <w:spacing w:line="360" w:lineRule="auto"/>
        <w:ind w:left="567" w:right="567"/>
        <w:jc w:val="both"/>
        <w:rPr>
          <w:rFonts w:ascii="Palatino Linotype" w:hAnsi="Palatino Linotype"/>
          <w:i/>
        </w:rPr>
      </w:pPr>
    </w:p>
    <w:p w:rsidR="00637660" w:rsidRPr="00D634D6" w:rsidRDefault="00637660" w:rsidP="00D634D6">
      <w:pPr>
        <w:pStyle w:val="Prrafodelista"/>
        <w:tabs>
          <w:tab w:val="left" w:pos="142"/>
          <w:tab w:val="left" w:pos="284"/>
          <w:tab w:val="left" w:pos="426"/>
        </w:tabs>
        <w:spacing w:line="360" w:lineRule="auto"/>
        <w:ind w:left="567" w:right="567"/>
        <w:jc w:val="center"/>
        <w:rPr>
          <w:rFonts w:ascii="Palatino Linotype" w:hAnsi="Palatino Linotype"/>
          <w:b/>
          <w:i/>
        </w:rPr>
      </w:pPr>
      <w:r w:rsidRPr="00D634D6">
        <w:rPr>
          <w:rFonts w:ascii="Palatino Linotype" w:hAnsi="Palatino Linotype"/>
          <w:b/>
          <w:i/>
        </w:rPr>
        <w:t>LEY GENERAL DE TRANSPARENCIA Y ACCESO A LA INFORMAICÓN PÚBLICA</w:t>
      </w:r>
    </w:p>
    <w:p w:rsidR="00637660" w:rsidRPr="00D634D6" w:rsidRDefault="00637660" w:rsidP="00D634D6">
      <w:pPr>
        <w:pStyle w:val="Prrafodelista"/>
        <w:tabs>
          <w:tab w:val="left" w:pos="142"/>
          <w:tab w:val="left" w:pos="284"/>
          <w:tab w:val="left" w:pos="426"/>
        </w:tabs>
        <w:spacing w:line="360" w:lineRule="auto"/>
        <w:ind w:left="567" w:right="567"/>
        <w:jc w:val="both"/>
        <w:rPr>
          <w:rFonts w:ascii="Palatino Linotype" w:hAnsi="Palatino Linotype"/>
          <w:i/>
        </w:rPr>
      </w:pPr>
      <w:r w:rsidRPr="00D634D6">
        <w:rPr>
          <w:rFonts w:ascii="Palatino Linotype" w:hAnsi="Palatino Linotype"/>
          <w:b/>
          <w:i/>
        </w:rPr>
        <w:lastRenderedPageBreak/>
        <w:t>“Artículo 70.</w:t>
      </w:r>
      <w:r w:rsidRPr="00D634D6">
        <w:rPr>
          <w:rFonts w:ascii="Palatino Linotype" w:hAnsi="Palatino Linotype"/>
          <w:i/>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637660" w:rsidRPr="00D634D6" w:rsidRDefault="00637660" w:rsidP="00D634D6">
      <w:pPr>
        <w:pStyle w:val="Prrafodelista"/>
        <w:tabs>
          <w:tab w:val="left" w:pos="142"/>
          <w:tab w:val="left" w:pos="284"/>
          <w:tab w:val="left" w:pos="426"/>
        </w:tabs>
        <w:spacing w:line="360" w:lineRule="auto"/>
        <w:ind w:left="567" w:right="567"/>
        <w:jc w:val="both"/>
        <w:rPr>
          <w:rFonts w:ascii="Palatino Linotype" w:hAnsi="Palatino Linotype"/>
          <w:i/>
        </w:rPr>
      </w:pPr>
      <w:r w:rsidRPr="00D634D6">
        <w:rPr>
          <w:rFonts w:ascii="Palatino Linotype" w:hAnsi="Palatino Linotype"/>
          <w:i/>
        </w:rPr>
        <w:t>(…)</w:t>
      </w:r>
    </w:p>
    <w:p w:rsidR="00637660" w:rsidRPr="00D634D6" w:rsidRDefault="00637660" w:rsidP="00D634D6">
      <w:pPr>
        <w:pStyle w:val="Prrafodelista"/>
        <w:tabs>
          <w:tab w:val="left" w:pos="142"/>
          <w:tab w:val="left" w:pos="284"/>
        </w:tabs>
        <w:spacing w:line="360" w:lineRule="auto"/>
        <w:ind w:left="567" w:right="567"/>
        <w:jc w:val="both"/>
        <w:rPr>
          <w:rFonts w:ascii="Palatino Linotype" w:hAnsi="Palatino Linotype"/>
          <w:i/>
        </w:rPr>
      </w:pPr>
      <w:r w:rsidRPr="00D634D6">
        <w:rPr>
          <w:rFonts w:ascii="Palatino Linotype" w:hAnsi="Palatino Linotype"/>
          <w:b/>
          <w:i/>
        </w:rPr>
        <w:t>XI.</w:t>
      </w:r>
      <w:r w:rsidRPr="00D634D6">
        <w:rPr>
          <w:rFonts w:ascii="Palatino Linotype" w:hAnsi="Palatino Linotype"/>
          <w:i/>
        </w:rPr>
        <w:t xml:space="preserve"> Las contrataciones de servicios profesionales por honorarios, señalando los nombres de los prestadores de servicios, los servicios contratados, el monto de los honorarios y el periodo de contratación;</w:t>
      </w:r>
    </w:p>
    <w:p w:rsidR="00637660" w:rsidRPr="00D634D6" w:rsidRDefault="00637660" w:rsidP="00D634D6">
      <w:pPr>
        <w:pStyle w:val="Prrafodelista"/>
        <w:tabs>
          <w:tab w:val="left" w:pos="142"/>
          <w:tab w:val="left" w:pos="284"/>
        </w:tabs>
        <w:spacing w:line="360" w:lineRule="auto"/>
        <w:ind w:left="567" w:right="567"/>
        <w:jc w:val="both"/>
        <w:rPr>
          <w:rFonts w:ascii="Palatino Linotype" w:hAnsi="Palatino Linotype"/>
          <w:i/>
        </w:rPr>
      </w:pPr>
      <w:r w:rsidRPr="00D634D6">
        <w:rPr>
          <w:rFonts w:ascii="Palatino Linotype" w:hAnsi="Palatino Linotype"/>
          <w:i/>
        </w:rPr>
        <w:t>(…)</w:t>
      </w:r>
    </w:p>
    <w:p w:rsidR="00637660" w:rsidRPr="00D634D6" w:rsidRDefault="00637660" w:rsidP="00D634D6">
      <w:pPr>
        <w:pStyle w:val="Prrafodelista"/>
        <w:tabs>
          <w:tab w:val="left" w:pos="142"/>
          <w:tab w:val="left" w:pos="284"/>
        </w:tabs>
        <w:spacing w:line="360" w:lineRule="auto"/>
        <w:ind w:left="567" w:right="567"/>
        <w:jc w:val="both"/>
        <w:rPr>
          <w:rFonts w:ascii="Palatino Linotype" w:hAnsi="Palatino Linotype"/>
          <w:i/>
        </w:rPr>
      </w:pPr>
      <w:r w:rsidRPr="00D634D6">
        <w:rPr>
          <w:rFonts w:ascii="Palatino Linotype" w:hAnsi="Palatino Linotype"/>
          <w:b/>
          <w:i/>
        </w:rPr>
        <w:t>XXI.</w:t>
      </w:r>
      <w:r w:rsidRPr="00D634D6">
        <w:rPr>
          <w:rFonts w:ascii="Palatino Linotype" w:hAnsi="Palatino Linotype"/>
          <w:i/>
        </w:rPr>
        <w:t xml:space="preserve"> La información financiera sobre el presupuesto asignado, así como los informes del ejercicio trimestral del gasto, en términos de la Ley General de Contabilidad Gubernamental y demás normatividad aplicable;</w:t>
      </w:r>
    </w:p>
    <w:p w:rsidR="00637660" w:rsidRPr="00D634D6" w:rsidRDefault="00637660" w:rsidP="00D634D6">
      <w:pPr>
        <w:pStyle w:val="Prrafodelista"/>
        <w:tabs>
          <w:tab w:val="left" w:pos="142"/>
          <w:tab w:val="left" w:pos="284"/>
        </w:tabs>
        <w:spacing w:line="360" w:lineRule="auto"/>
        <w:ind w:left="567" w:right="567"/>
        <w:jc w:val="both"/>
        <w:rPr>
          <w:rFonts w:ascii="Palatino Linotype" w:hAnsi="Palatino Linotype"/>
          <w:i/>
        </w:rPr>
      </w:pPr>
      <w:r w:rsidRPr="00D634D6">
        <w:rPr>
          <w:rFonts w:ascii="Palatino Linotype" w:hAnsi="Palatino Linotype"/>
          <w:i/>
        </w:rPr>
        <w:t>(…)”</w:t>
      </w:r>
    </w:p>
    <w:p w:rsidR="00637660" w:rsidRPr="00D634D6" w:rsidRDefault="00637660" w:rsidP="00D634D6">
      <w:pPr>
        <w:pStyle w:val="Prrafodelista"/>
        <w:tabs>
          <w:tab w:val="left" w:pos="142"/>
          <w:tab w:val="left" w:pos="284"/>
        </w:tabs>
        <w:spacing w:line="360" w:lineRule="auto"/>
        <w:ind w:left="567" w:right="567"/>
        <w:jc w:val="both"/>
        <w:rPr>
          <w:rFonts w:ascii="Palatino Linotype" w:hAnsi="Palatino Linotype"/>
        </w:rPr>
      </w:pPr>
      <w:r w:rsidRPr="00D634D6">
        <w:rPr>
          <w:rFonts w:ascii="Palatino Linotype" w:hAnsi="Palatino Linotype"/>
        </w:rPr>
        <w:t>(Énfasis añadido)</w:t>
      </w:r>
    </w:p>
    <w:p w:rsidR="00637660" w:rsidRPr="00D634D6" w:rsidRDefault="00637660"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2B1F46" w:rsidRPr="00D634D6" w:rsidRDefault="00637660"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t xml:space="preserve">De lo anterior se coligue que los Sujetos Obligados deberán publicar la información relacionada con </w:t>
      </w:r>
      <w:r w:rsidR="007A5CE2" w:rsidRPr="00D634D6">
        <w:rPr>
          <w:rFonts w:ascii="Palatino Linotype" w:eastAsia="MS Gothic" w:hAnsi="Palatino Linotype" w:cs="Times New Roman"/>
          <w:sz w:val="24"/>
          <w:szCs w:val="26"/>
        </w:rPr>
        <w:t>su actividad financiera, esto es, que su ejercicio contable y fiscal se encuentra abierto al escrutinio público a razón de que la ciudadanía tenga certeza de la forma y administración que los entes públicos tienen con los recursos públicos, lo cual está íntimamente vinculado con el correcto ejercicio de la cultura de la transparencia y rendición de cuentas.</w:t>
      </w:r>
    </w:p>
    <w:p w:rsidR="002B1F46" w:rsidRPr="00D634D6" w:rsidRDefault="002B1F46"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2B1F46" w:rsidRPr="00D634D6" w:rsidRDefault="007A5CE2"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t xml:space="preserve">Así las cosas, </w:t>
      </w:r>
      <w:r w:rsidRPr="00D634D6">
        <w:rPr>
          <w:rFonts w:ascii="Palatino Linotype" w:eastAsia="MS Gothic" w:hAnsi="Palatino Linotype" w:cs="Times New Roman"/>
          <w:sz w:val="24"/>
          <w:szCs w:val="26"/>
          <w:lang w:val="es-ES_tradnl"/>
        </w:rPr>
        <w:t xml:space="preserve">la Ley de Fiscalización Superior del Estado de México, tiene por objeto establecer disposiciones encaminadas a fiscalizar, auditar y revisar las cuentas y actos relativos a la aplicación de los recursos públicos del Estado </w:t>
      </w:r>
      <w:r w:rsidRPr="00D634D6">
        <w:rPr>
          <w:rFonts w:ascii="Palatino Linotype" w:eastAsia="MS Gothic" w:hAnsi="Palatino Linotype" w:cs="Times New Roman"/>
          <w:sz w:val="24"/>
          <w:szCs w:val="26"/>
          <w:lang w:val="es-ES_tradnl"/>
        </w:rPr>
        <w:lastRenderedPageBreak/>
        <w:t xml:space="preserve">de México y de los municipios; y en este sentido, se aprecia que el </w:t>
      </w:r>
      <w:r w:rsidRPr="00D634D6">
        <w:rPr>
          <w:rFonts w:ascii="Palatino Linotype" w:eastAsia="MS Gothic" w:hAnsi="Palatino Linotype" w:cs="Times New Roman"/>
          <w:b/>
          <w:sz w:val="24"/>
          <w:szCs w:val="26"/>
          <w:lang w:val="es-ES_tradnl"/>
        </w:rPr>
        <w:t>SUJETO OBLIGADO</w:t>
      </w:r>
      <w:r w:rsidRPr="00D634D6">
        <w:rPr>
          <w:rFonts w:ascii="Palatino Linotype" w:eastAsia="MS Gothic" w:hAnsi="Palatino Linotype" w:cs="Times New Roman"/>
          <w:sz w:val="24"/>
          <w:szCs w:val="26"/>
          <w:lang w:val="es-ES_tradnl"/>
        </w:rPr>
        <w:t xml:space="preserve"> se halla reconocido como un Sujeto de Fiscalización con base en los artículos 2, fracción II, y 4, fracción II:</w:t>
      </w:r>
    </w:p>
    <w:p w:rsidR="002B1F46" w:rsidRPr="00D634D6" w:rsidRDefault="002B1F46"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7A5CE2" w:rsidRPr="00D634D6" w:rsidRDefault="007A5CE2" w:rsidP="00D634D6">
      <w:pPr>
        <w:spacing w:line="360" w:lineRule="auto"/>
        <w:ind w:left="567" w:right="567"/>
        <w:contextualSpacing/>
        <w:jc w:val="both"/>
        <w:rPr>
          <w:rFonts w:ascii="Palatino Linotype" w:hAnsi="Palatino Linotype"/>
          <w:i/>
        </w:rPr>
      </w:pPr>
      <w:r w:rsidRPr="00D634D6">
        <w:rPr>
          <w:rFonts w:ascii="Palatino Linotype" w:hAnsi="Palatino Linotype"/>
          <w:i/>
        </w:rPr>
        <w:t>“</w:t>
      </w:r>
      <w:r w:rsidRPr="00D634D6">
        <w:rPr>
          <w:rFonts w:ascii="Palatino Linotype" w:hAnsi="Palatino Linotype"/>
          <w:b/>
          <w:i/>
        </w:rPr>
        <w:t>Artículo 2.</w:t>
      </w:r>
      <w:r w:rsidRPr="00D634D6">
        <w:rPr>
          <w:rFonts w:ascii="Palatino Linotype" w:hAnsi="Palatino Linotype"/>
          <w:i/>
        </w:rPr>
        <w:t xml:space="preserve"> Para los efectos de la presente Ley, se entenderá por:</w:t>
      </w:r>
    </w:p>
    <w:p w:rsidR="007A5CE2" w:rsidRPr="00D634D6" w:rsidRDefault="007A5CE2" w:rsidP="00D634D6">
      <w:pPr>
        <w:spacing w:line="360" w:lineRule="auto"/>
        <w:ind w:left="567" w:right="567"/>
        <w:contextualSpacing/>
        <w:jc w:val="both"/>
        <w:rPr>
          <w:rFonts w:ascii="Palatino Linotype" w:hAnsi="Palatino Linotype"/>
          <w:i/>
        </w:rPr>
      </w:pPr>
      <w:r w:rsidRPr="00D634D6">
        <w:rPr>
          <w:rFonts w:ascii="Palatino Linotype" w:hAnsi="Palatino Linotype"/>
          <w:i/>
        </w:rPr>
        <w:t>(…)</w:t>
      </w:r>
    </w:p>
    <w:p w:rsidR="007A5CE2" w:rsidRPr="00D634D6" w:rsidRDefault="007A5CE2" w:rsidP="00D634D6">
      <w:pPr>
        <w:spacing w:line="360" w:lineRule="auto"/>
        <w:ind w:left="567" w:right="567"/>
        <w:contextualSpacing/>
        <w:jc w:val="both"/>
        <w:rPr>
          <w:rFonts w:ascii="Palatino Linotype" w:hAnsi="Palatino Linotype"/>
          <w:i/>
        </w:rPr>
      </w:pPr>
      <w:r w:rsidRPr="00D634D6">
        <w:rPr>
          <w:rFonts w:ascii="Palatino Linotype" w:hAnsi="Palatino Linotype"/>
          <w:b/>
          <w:i/>
        </w:rPr>
        <w:t>II.</w:t>
      </w:r>
      <w:r w:rsidRPr="00D634D6">
        <w:rPr>
          <w:rFonts w:ascii="Palatino Linotype" w:hAnsi="Palatino Linotype"/>
          <w:i/>
        </w:rPr>
        <w:t xml:space="preserve"> Municipios: A los Municipios del Estado;</w:t>
      </w:r>
    </w:p>
    <w:p w:rsidR="007A5CE2" w:rsidRPr="00D634D6" w:rsidRDefault="007A5CE2" w:rsidP="00D634D6">
      <w:pPr>
        <w:spacing w:line="360" w:lineRule="auto"/>
        <w:ind w:left="567" w:right="567"/>
        <w:contextualSpacing/>
        <w:jc w:val="both"/>
        <w:rPr>
          <w:rFonts w:ascii="Palatino Linotype" w:hAnsi="Palatino Linotype"/>
          <w:i/>
        </w:rPr>
      </w:pPr>
      <w:r w:rsidRPr="00D634D6">
        <w:rPr>
          <w:rFonts w:ascii="Palatino Linotype" w:hAnsi="Palatino Linotype"/>
          <w:i/>
        </w:rPr>
        <w:t>(…)</w:t>
      </w:r>
    </w:p>
    <w:p w:rsidR="007A5CE2" w:rsidRPr="00D634D6" w:rsidRDefault="007A5CE2" w:rsidP="00D634D6">
      <w:pPr>
        <w:spacing w:line="360" w:lineRule="auto"/>
        <w:ind w:left="567" w:right="567"/>
        <w:contextualSpacing/>
        <w:jc w:val="both"/>
        <w:rPr>
          <w:rFonts w:ascii="Palatino Linotype" w:hAnsi="Palatino Linotype"/>
          <w:i/>
        </w:rPr>
      </w:pPr>
    </w:p>
    <w:p w:rsidR="007A5CE2" w:rsidRPr="00D634D6" w:rsidRDefault="007A5CE2" w:rsidP="00D634D6">
      <w:pPr>
        <w:spacing w:line="360" w:lineRule="auto"/>
        <w:ind w:left="567" w:right="567"/>
        <w:contextualSpacing/>
        <w:jc w:val="both"/>
        <w:rPr>
          <w:rFonts w:ascii="Palatino Linotype" w:hAnsi="Palatino Linotype"/>
          <w:i/>
        </w:rPr>
      </w:pPr>
      <w:r w:rsidRPr="00D634D6">
        <w:rPr>
          <w:rFonts w:ascii="Palatino Linotype" w:hAnsi="Palatino Linotype"/>
          <w:b/>
          <w:i/>
        </w:rPr>
        <w:t>Artículo 4.-</w:t>
      </w:r>
      <w:r w:rsidRPr="00D634D6">
        <w:rPr>
          <w:rFonts w:ascii="Palatino Linotype" w:hAnsi="Palatino Linotype"/>
          <w:i/>
        </w:rPr>
        <w:t xml:space="preserve"> Son sujetos de fiscalización:</w:t>
      </w:r>
    </w:p>
    <w:p w:rsidR="007A5CE2" w:rsidRPr="00D634D6" w:rsidRDefault="007A5CE2" w:rsidP="00D634D6">
      <w:pPr>
        <w:spacing w:line="360" w:lineRule="auto"/>
        <w:ind w:left="567" w:right="567"/>
        <w:contextualSpacing/>
        <w:jc w:val="both"/>
        <w:rPr>
          <w:rFonts w:ascii="Palatino Linotype" w:hAnsi="Palatino Linotype"/>
          <w:i/>
        </w:rPr>
      </w:pPr>
      <w:r w:rsidRPr="00D634D6">
        <w:rPr>
          <w:rFonts w:ascii="Palatino Linotype" w:hAnsi="Palatino Linotype"/>
          <w:i/>
        </w:rPr>
        <w:t>(…)</w:t>
      </w:r>
    </w:p>
    <w:p w:rsidR="007A5CE2" w:rsidRPr="00D634D6" w:rsidRDefault="007A5CE2" w:rsidP="00D634D6">
      <w:pPr>
        <w:spacing w:line="360" w:lineRule="auto"/>
        <w:ind w:left="567" w:right="567"/>
        <w:contextualSpacing/>
        <w:jc w:val="both"/>
        <w:rPr>
          <w:rFonts w:ascii="Palatino Linotype" w:hAnsi="Palatino Linotype"/>
          <w:i/>
        </w:rPr>
      </w:pPr>
      <w:r w:rsidRPr="00D634D6">
        <w:rPr>
          <w:rFonts w:ascii="Palatino Linotype" w:hAnsi="Palatino Linotype"/>
          <w:b/>
          <w:i/>
        </w:rPr>
        <w:t>II.</w:t>
      </w:r>
      <w:r w:rsidRPr="00D634D6">
        <w:rPr>
          <w:rFonts w:ascii="Palatino Linotype" w:hAnsi="Palatino Linotype"/>
          <w:i/>
        </w:rPr>
        <w:t xml:space="preserve"> Los municipios del Estado de México; </w:t>
      </w:r>
    </w:p>
    <w:p w:rsidR="007A5CE2" w:rsidRPr="00D634D6" w:rsidRDefault="007A5CE2" w:rsidP="00D634D6">
      <w:pPr>
        <w:spacing w:line="360" w:lineRule="auto"/>
        <w:ind w:left="567" w:right="567"/>
        <w:contextualSpacing/>
        <w:jc w:val="both"/>
        <w:rPr>
          <w:rFonts w:ascii="Palatino Linotype" w:hAnsi="Palatino Linotype"/>
          <w:i/>
        </w:rPr>
      </w:pPr>
      <w:r w:rsidRPr="00D634D6">
        <w:rPr>
          <w:rFonts w:ascii="Palatino Linotype" w:hAnsi="Palatino Linotype"/>
          <w:i/>
        </w:rPr>
        <w:t>(…)</w:t>
      </w:r>
    </w:p>
    <w:p w:rsidR="007A5CE2" w:rsidRPr="00D634D6" w:rsidRDefault="007A5CE2"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2B1F46" w:rsidRPr="00D634D6" w:rsidRDefault="007A5CE2"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t xml:space="preserve">Establecido </w:t>
      </w:r>
      <w:r w:rsidRPr="00D634D6">
        <w:rPr>
          <w:rFonts w:ascii="Palatino Linotype" w:eastAsia="MS Gothic" w:hAnsi="Palatino Linotype" w:cs="Times New Roman"/>
          <w:sz w:val="24"/>
          <w:szCs w:val="26"/>
          <w:lang w:val="es-ES_tradnl"/>
        </w:rPr>
        <w:t xml:space="preserve">lo anterior, el Órgano Superior de Fiscalización del Estado de México (OSFEM), emite anualmente una herramienta para elaborar y presentar los informes mensuales, denominado </w:t>
      </w:r>
      <w:r w:rsidRPr="00D634D6">
        <w:rPr>
          <w:rFonts w:ascii="Palatino Linotype" w:eastAsia="MS Gothic" w:hAnsi="Palatino Linotype" w:cs="Times New Roman"/>
          <w:b/>
          <w:bCs/>
          <w:sz w:val="24"/>
          <w:szCs w:val="26"/>
          <w:lang w:val="es-ES_tradnl"/>
        </w:rPr>
        <w:t>“Lineamientos para la Entrega del Informe Mensual Municipal”</w:t>
      </w:r>
      <w:r w:rsidRPr="00D634D6">
        <w:rPr>
          <w:rFonts w:ascii="Palatino Linotype" w:eastAsia="MS Gothic" w:hAnsi="Palatino Linotype" w:cs="Times New Roman"/>
          <w:sz w:val="24"/>
          <w:szCs w:val="26"/>
          <w:lang w:val="es-ES_tradnl"/>
        </w:rPr>
        <w:t>, cuyo objetivo es establecer las especificaciones necesarias para que las entidades fiscales elaboren y presentes los referidos informes.</w:t>
      </w:r>
    </w:p>
    <w:p w:rsidR="002B1F46" w:rsidRPr="00D634D6" w:rsidRDefault="002B1F46"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2B1F46" w:rsidRPr="00D634D6" w:rsidRDefault="007A5CE2"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t xml:space="preserve">Los </w:t>
      </w:r>
      <w:r w:rsidRPr="00D634D6">
        <w:rPr>
          <w:rFonts w:ascii="Palatino Linotype" w:eastAsia="MS Gothic" w:hAnsi="Palatino Linotype" w:cs="Times New Roman"/>
          <w:sz w:val="24"/>
          <w:szCs w:val="26"/>
          <w:lang w:val="es-ES_tradnl"/>
        </w:rPr>
        <w:t xml:space="preserve">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w:t>
      </w:r>
      <w:r w:rsidRPr="00D634D6">
        <w:rPr>
          <w:rFonts w:ascii="Palatino Linotype" w:eastAsia="MS Gothic" w:hAnsi="Palatino Linotype" w:cs="Times New Roman"/>
          <w:sz w:val="24"/>
          <w:szCs w:val="26"/>
          <w:lang w:val="es-ES_tradnl"/>
        </w:rPr>
        <w:lastRenderedPageBreak/>
        <w:t>Órgano Superior de Fiscalización dentro de los veinte (20) días hábiles posteriores al mes correspondiente.</w:t>
      </w:r>
    </w:p>
    <w:p w:rsidR="002B1F46" w:rsidRPr="00D634D6" w:rsidRDefault="002B1F46"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2B1F46" w:rsidRPr="00D634D6" w:rsidRDefault="007A5CE2"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t xml:space="preserve">La </w:t>
      </w:r>
      <w:r w:rsidRPr="00D634D6">
        <w:rPr>
          <w:rFonts w:ascii="Palatino Linotype" w:eastAsia="MS Gothic" w:hAnsi="Palatino Linotype" w:cs="Times New Roman"/>
          <w:sz w:val="24"/>
          <w:szCs w:val="26"/>
          <w:lang w:val="es-ES_tradnl"/>
        </w:rPr>
        <w:t>integración del Informe Mensual se entregará de manera física al Órgano Superior de Fiscalización del Estado de México, y estará compuesto de la siguiente manera:</w:t>
      </w:r>
    </w:p>
    <w:p w:rsidR="002B1F46" w:rsidRPr="00D634D6" w:rsidRDefault="002B1F46"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7A5CE2" w:rsidRPr="00D634D6" w:rsidRDefault="007A5CE2" w:rsidP="00D634D6">
      <w:pPr>
        <w:pStyle w:val="Prrafodelista"/>
        <w:autoSpaceDE w:val="0"/>
        <w:autoSpaceDN w:val="0"/>
        <w:adjustRightInd w:val="0"/>
        <w:spacing w:line="360" w:lineRule="auto"/>
        <w:ind w:left="567" w:right="616"/>
        <w:jc w:val="both"/>
        <w:rPr>
          <w:rFonts w:ascii="Palatino Linotype" w:hAnsi="Palatino Linotype" w:cs="Arial"/>
          <w:i/>
          <w:iCs/>
        </w:rPr>
      </w:pPr>
      <w:r w:rsidRPr="00D634D6">
        <w:rPr>
          <w:rFonts w:ascii="Palatino Linotype" w:hAnsi="Palatino Linotype" w:cs="Arial"/>
          <w:b/>
          <w:i/>
          <w:iCs/>
        </w:rPr>
        <w:t>a)</w:t>
      </w:r>
      <w:r w:rsidRPr="00D634D6">
        <w:rPr>
          <w:rFonts w:ascii="Palatino Linotype" w:hAnsi="Palatino Linotype" w:cs="Arial"/>
          <w:i/>
          <w:iCs/>
        </w:rPr>
        <w:t xml:space="preserve"> Información impresa.</w:t>
      </w:r>
    </w:p>
    <w:p w:rsidR="007A5CE2" w:rsidRPr="00D634D6" w:rsidRDefault="007A5CE2" w:rsidP="00D634D6">
      <w:pPr>
        <w:pStyle w:val="Prrafodelista"/>
        <w:autoSpaceDE w:val="0"/>
        <w:autoSpaceDN w:val="0"/>
        <w:adjustRightInd w:val="0"/>
        <w:spacing w:line="360" w:lineRule="auto"/>
        <w:ind w:left="567" w:right="616"/>
        <w:jc w:val="both"/>
        <w:rPr>
          <w:rFonts w:ascii="Palatino Linotype" w:eastAsia="Arial" w:hAnsi="Palatino Linotype" w:cs="Arial"/>
          <w:sz w:val="20"/>
        </w:rPr>
      </w:pPr>
      <w:r w:rsidRPr="00D634D6">
        <w:rPr>
          <w:rFonts w:ascii="Palatino Linotype" w:hAnsi="Palatino Linotype" w:cs="Arial"/>
          <w:b/>
          <w:i/>
          <w:iCs/>
        </w:rPr>
        <w:t>b)</w:t>
      </w:r>
      <w:r w:rsidRPr="00D634D6">
        <w:rPr>
          <w:rFonts w:ascii="Palatino Linotype" w:hAnsi="Palatino Linotype" w:cs="Arial"/>
          <w:i/>
          <w:iCs/>
        </w:rPr>
        <w:t xml:space="preserve"> Información en medio de almacenamiento electrónico, discos compactos (CD).</w:t>
      </w:r>
    </w:p>
    <w:p w:rsidR="007A5CE2" w:rsidRPr="00D634D6" w:rsidRDefault="007A5CE2"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2B1F46" w:rsidRPr="00D634D6" w:rsidRDefault="007A5CE2"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t xml:space="preserve">Por </w:t>
      </w:r>
      <w:r w:rsidRPr="00D634D6">
        <w:rPr>
          <w:rFonts w:ascii="Palatino Linotype" w:eastAsia="MS Gothic" w:hAnsi="Palatino Linotype" w:cs="Times New Roman"/>
          <w:sz w:val="24"/>
          <w:szCs w:val="26"/>
          <w:lang w:val="es-ES_tradnl"/>
        </w:rPr>
        <w:t xml:space="preserve">cuanto hace a la información en medio de almacenamiento electrónico, los Lineamientos para la Entrega del Informe Mensual Municipal 2019, refieren que comprenderá documentos digitalizados y en formato PDF, XLS, XML, así como TXT, la cual se integrará en seis (06) discos compactos o </w:t>
      </w:r>
      <w:proofErr w:type="spellStart"/>
      <w:r w:rsidRPr="00D634D6">
        <w:rPr>
          <w:rFonts w:ascii="Palatino Linotype" w:eastAsia="MS Gothic" w:hAnsi="Palatino Linotype" w:cs="Times New Roman"/>
          <w:i/>
          <w:sz w:val="24"/>
          <w:szCs w:val="26"/>
          <w:lang w:val="es-ES_tradnl"/>
        </w:rPr>
        <w:t>CD’s</w:t>
      </w:r>
      <w:proofErr w:type="spellEnd"/>
      <w:r w:rsidRPr="00D634D6">
        <w:rPr>
          <w:rFonts w:ascii="Palatino Linotype" w:eastAsia="MS Gothic" w:hAnsi="Palatino Linotype" w:cs="Times New Roman"/>
          <w:sz w:val="24"/>
          <w:szCs w:val="26"/>
          <w:lang w:val="es-ES_tradnl"/>
        </w:rPr>
        <w:t>, de la siguiente manera:</w:t>
      </w:r>
    </w:p>
    <w:p w:rsidR="002B1F46" w:rsidRPr="00D634D6" w:rsidRDefault="002B1F46"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7A5CE2" w:rsidRPr="00D634D6" w:rsidRDefault="007A5CE2" w:rsidP="00D634D6">
      <w:pPr>
        <w:tabs>
          <w:tab w:val="left" w:pos="426"/>
        </w:tabs>
        <w:spacing w:line="360" w:lineRule="auto"/>
        <w:ind w:left="567" w:right="567"/>
        <w:contextualSpacing/>
        <w:jc w:val="center"/>
        <w:rPr>
          <w:rFonts w:ascii="Palatino Linotype" w:eastAsia="MS Mincho" w:hAnsi="Palatino Linotype" w:cs="Times New Roman"/>
          <w:b/>
          <w:i/>
        </w:rPr>
      </w:pPr>
      <w:r w:rsidRPr="00D634D6">
        <w:rPr>
          <w:rFonts w:ascii="Palatino Linotype" w:eastAsia="MS Mincho" w:hAnsi="Palatino Linotype" w:cs="Times New Roman"/>
          <w:b/>
          <w:i/>
        </w:rPr>
        <w:t>Informe Mensual Municipal en CD’s:</w:t>
      </w:r>
    </w:p>
    <w:p w:rsidR="007A5CE2" w:rsidRPr="00D634D6" w:rsidRDefault="007A5CE2" w:rsidP="00D634D6">
      <w:pPr>
        <w:tabs>
          <w:tab w:val="left" w:pos="426"/>
        </w:tabs>
        <w:spacing w:line="360" w:lineRule="auto"/>
        <w:ind w:left="567" w:right="567"/>
        <w:contextualSpacing/>
        <w:jc w:val="center"/>
        <w:rPr>
          <w:rFonts w:ascii="Palatino Linotype" w:eastAsia="MS Mincho" w:hAnsi="Palatino Linotype" w:cs="Times New Roman"/>
          <w:b/>
          <w:i/>
        </w:rPr>
      </w:pPr>
    </w:p>
    <w:p w:rsidR="007A5CE2" w:rsidRPr="00D634D6" w:rsidRDefault="007A5CE2" w:rsidP="00D634D6">
      <w:pPr>
        <w:tabs>
          <w:tab w:val="left" w:pos="426"/>
        </w:tabs>
        <w:spacing w:line="360" w:lineRule="auto"/>
        <w:ind w:left="567" w:right="567"/>
        <w:contextualSpacing/>
        <w:jc w:val="both"/>
        <w:rPr>
          <w:rFonts w:ascii="Palatino Linotype" w:eastAsia="MS Mincho" w:hAnsi="Palatino Linotype" w:cs="Times New Roman"/>
          <w:i/>
        </w:rPr>
      </w:pPr>
      <w:r w:rsidRPr="00D634D6">
        <w:rPr>
          <w:rFonts w:ascii="Palatino Linotype" w:eastAsia="MS Mincho" w:hAnsi="Palatino Linotype" w:cs="Times New Roman"/>
          <w:b/>
          <w:i/>
        </w:rPr>
        <w:t>Disco 1.-</w:t>
      </w:r>
      <w:r w:rsidRPr="00D634D6">
        <w:rPr>
          <w:rFonts w:ascii="Palatino Linotype" w:eastAsia="MS Mincho" w:hAnsi="Palatino Linotype" w:cs="Times New Roman"/>
          <w:i/>
        </w:rPr>
        <w:t xml:space="preserve"> Información Patrimonial (Contable y Administrativa).</w:t>
      </w:r>
    </w:p>
    <w:p w:rsidR="007A5CE2" w:rsidRPr="00D634D6" w:rsidRDefault="007A5CE2" w:rsidP="00D634D6">
      <w:pPr>
        <w:tabs>
          <w:tab w:val="left" w:pos="426"/>
        </w:tabs>
        <w:spacing w:line="360" w:lineRule="auto"/>
        <w:ind w:left="567" w:right="567"/>
        <w:contextualSpacing/>
        <w:jc w:val="both"/>
        <w:rPr>
          <w:rFonts w:ascii="Palatino Linotype" w:eastAsia="MS Mincho" w:hAnsi="Palatino Linotype" w:cs="Times New Roman"/>
          <w:i/>
        </w:rPr>
      </w:pPr>
      <w:r w:rsidRPr="00D634D6">
        <w:rPr>
          <w:rFonts w:ascii="Palatino Linotype" w:eastAsia="MS Mincho" w:hAnsi="Palatino Linotype" w:cs="Times New Roman"/>
          <w:b/>
          <w:i/>
        </w:rPr>
        <w:t>Disco 2.-</w:t>
      </w:r>
      <w:r w:rsidRPr="00D634D6">
        <w:rPr>
          <w:rFonts w:ascii="Palatino Linotype" w:eastAsia="MS Mincho" w:hAnsi="Palatino Linotype" w:cs="Times New Roman"/>
          <w:i/>
        </w:rPr>
        <w:t xml:space="preserve"> Información Presupuestal, de Bienes Muebles e Inmuebles y de Recaudación del Impuesto Predial y Derechos de Agua.</w:t>
      </w:r>
    </w:p>
    <w:p w:rsidR="007A5CE2" w:rsidRPr="00D634D6" w:rsidRDefault="007A5CE2" w:rsidP="00D634D6">
      <w:pPr>
        <w:tabs>
          <w:tab w:val="left" w:pos="426"/>
        </w:tabs>
        <w:spacing w:line="360" w:lineRule="auto"/>
        <w:ind w:left="567" w:right="567"/>
        <w:contextualSpacing/>
        <w:jc w:val="both"/>
        <w:rPr>
          <w:rFonts w:ascii="Palatino Linotype" w:eastAsia="MS Mincho" w:hAnsi="Palatino Linotype" w:cs="Times New Roman"/>
          <w:i/>
        </w:rPr>
      </w:pPr>
      <w:r w:rsidRPr="00D634D6">
        <w:rPr>
          <w:rFonts w:ascii="Palatino Linotype" w:eastAsia="MS Mincho" w:hAnsi="Palatino Linotype" w:cs="Times New Roman"/>
          <w:b/>
          <w:i/>
        </w:rPr>
        <w:t>Disco 3.-</w:t>
      </w:r>
      <w:r w:rsidRPr="00D634D6">
        <w:rPr>
          <w:rFonts w:ascii="Palatino Linotype" w:eastAsia="MS Mincho" w:hAnsi="Palatino Linotype" w:cs="Times New Roman"/>
          <w:i/>
        </w:rPr>
        <w:t xml:space="preserve"> Información de Obra.</w:t>
      </w:r>
    </w:p>
    <w:p w:rsidR="007A5CE2" w:rsidRPr="00D634D6" w:rsidRDefault="007A5CE2" w:rsidP="00D634D6">
      <w:pPr>
        <w:tabs>
          <w:tab w:val="left" w:pos="426"/>
        </w:tabs>
        <w:spacing w:line="360" w:lineRule="auto"/>
        <w:ind w:left="567" w:right="567"/>
        <w:contextualSpacing/>
        <w:jc w:val="both"/>
        <w:rPr>
          <w:rFonts w:ascii="Palatino Linotype" w:eastAsia="MS Mincho" w:hAnsi="Palatino Linotype" w:cs="Times New Roman"/>
          <w:i/>
        </w:rPr>
      </w:pPr>
      <w:r w:rsidRPr="00D634D6">
        <w:rPr>
          <w:rFonts w:ascii="Palatino Linotype" w:eastAsia="MS Mincho" w:hAnsi="Palatino Linotype" w:cs="Times New Roman"/>
          <w:b/>
          <w:i/>
        </w:rPr>
        <w:t>Disco 4.-</w:t>
      </w:r>
      <w:r w:rsidRPr="00D634D6">
        <w:rPr>
          <w:rFonts w:ascii="Palatino Linotype" w:eastAsia="MS Mincho" w:hAnsi="Palatino Linotype" w:cs="Times New Roman"/>
          <w:i/>
        </w:rPr>
        <w:t xml:space="preserve"> Información de Nómina.</w:t>
      </w:r>
    </w:p>
    <w:p w:rsidR="007A5CE2" w:rsidRPr="00D634D6" w:rsidRDefault="007A5CE2" w:rsidP="00D634D6">
      <w:pPr>
        <w:tabs>
          <w:tab w:val="left" w:pos="426"/>
        </w:tabs>
        <w:spacing w:line="360" w:lineRule="auto"/>
        <w:ind w:left="567" w:right="567"/>
        <w:contextualSpacing/>
        <w:jc w:val="both"/>
        <w:rPr>
          <w:rFonts w:ascii="Palatino Linotype" w:eastAsia="MS Mincho" w:hAnsi="Palatino Linotype" w:cs="Times New Roman"/>
          <w:i/>
        </w:rPr>
      </w:pPr>
      <w:r w:rsidRPr="00D634D6">
        <w:rPr>
          <w:rFonts w:ascii="Palatino Linotype" w:eastAsia="MS Mincho" w:hAnsi="Palatino Linotype" w:cs="Times New Roman"/>
          <w:b/>
          <w:i/>
        </w:rPr>
        <w:t>Disco 5.-</w:t>
      </w:r>
      <w:r w:rsidRPr="00D634D6">
        <w:rPr>
          <w:rFonts w:ascii="Palatino Linotype" w:eastAsia="MS Mincho" w:hAnsi="Palatino Linotype" w:cs="Times New Roman"/>
          <w:i/>
        </w:rPr>
        <w:t xml:space="preserve"> Imágenes Digitalizadas.</w:t>
      </w:r>
    </w:p>
    <w:p w:rsidR="007A5CE2" w:rsidRPr="00D634D6" w:rsidRDefault="007A5CE2" w:rsidP="00D634D6">
      <w:pPr>
        <w:tabs>
          <w:tab w:val="left" w:pos="426"/>
        </w:tabs>
        <w:spacing w:line="360" w:lineRule="auto"/>
        <w:ind w:left="567" w:right="567"/>
        <w:contextualSpacing/>
        <w:jc w:val="both"/>
        <w:rPr>
          <w:rFonts w:ascii="Palatino Linotype" w:eastAsia="MS Mincho" w:hAnsi="Palatino Linotype" w:cs="Times New Roman"/>
          <w:i/>
        </w:rPr>
      </w:pPr>
      <w:r w:rsidRPr="00D634D6">
        <w:rPr>
          <w:rFonts w:ascii="Palatino Linotype" w:eastAsia="MS Mincho" w:hAnsi="Palatino Linotype" w:cs="Times New Roman"/>
          <w:b/>
          <w:i/>
        </w:rPr>
        <w:lastRenderedPageBreak/>
        <w:t>Disco 6.-</w:t>
      </w:r>
      <w:r w:rsidRPr="00D634D6">
        <w:rPr>
          <w:rFonts w:ascii="Palatino Linotype" w:eastAsia="MS Mincho" w:hAnsi="Palatino Linotype" w:cs="Times New Roman"/>
          <w:i/>
        </w:rPr>
        <w:t xml:space="preserve"> Información de evaluación Programática (archivo de texto plano  TXT y PDF)*</w:t>
      </w:r>
    </w:p>
    <w:p w:rsidR="007A5CE2" w:rsidRPr="00D634D6" w:rsidRDefault="007A5CE2" w:rsidP="00D634D6">
      <w:pPr>
        <w:tabs>
          <w:tab w:val="left" w:pos="426"/>
        </w:tabs>
        <w:spacing w:line="360" w:lineRule="auto"/>
        <w:ind w:left="567" w:right="567"/>
        <w:contextualSpacing/>
        <w:jc w:val="both"/>
        <w:rPr>
          <w:rFonts w:ascii="Palatino Linotype" w:eastAsia="MS Mincho" w:hAnsi="Palatino Linotype" w:cs="Times New Roman"/>
          <w:i/>
        </w:rPr>
      </w:pPr>
    </w:p>
    <w:p w:rsidR="007A5CE2" w:rsidRPr="00D634D6" w:rsidRDefault="007A5CE2" w:rsidP="00D634D6">
      <w:pPr>
        <w:tabs>
          <w:tab w:val="left" w:pos="426"/>
        </w:tabs>
        <w:spacing w:line="360" w:lineRule="auto"/>
        <w:ind w:left="567" w:right="567"/>
        <w:contextualSpacing/>
        <w:jc w:val="both"/>
        <w:rPr>
          <w:rFonts w:ascii="Palatino Linotype" w:eastAsia="MS Mincho" w:hAnsi="Palatino Linotype" w:cs="Times New Roman"/>
          <w:i/>
        </w:rPr>
      </w:pPr>
      <w:r w:rsidRPr="00D634D6">
        <w:rPr>
          <w:rFonts w:ascii="Palatino Linotype" w:eastAsia="MS Mincho" w:hAnsi="Palatino Linotype" w:cs="Times New Roman"/>
          <w:b/>
          <w:i/>
        </w:rPr>
        <w:t>*Nota 1:</w:t>
      </w:r>
      <w:r w:rsidRPr="00D634D6">
        <w:rPr>
          <w:rFonts w:ascii="Palatino Linotype" w:eastAsia="MS Mincho" w:hAnsi="Palatino Linotype" w:cs="Times New Roman"/>
          <w:i/>
        </w:rPr>
        <w:t xml:space="preserve"> En la periodicidad que corresponda de acuerdo a los requerimientos establecidos en el apartado del Disco 6.</w:t>
      </w:r>
    </w:p>
    <w:p w:rsidR="007A5CE2" w:rsidRPr="00D634D6" w:rsidRDefault="007A5CE2"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2B1F46" w:rsidRPr="00D634D6" w:rsidRDefault="007A5CE2"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t xml:space="preserve">De </w:t>
      </w:r>
      <w:r w:rsidRPr="00D634D6">
        <w:rPr>
          <w:rFonts w:ascii="Palatino Linotype" w:eastAsia="MS Gothic" w:hAnsi="Palatino Linotype" w:cs="Times New Roman"/>
          <w:sz w:val="24"/>
          <w:szCs w:val="26"/>
          <w:lang w:val="es-ES_tradnl"/>
        </w:rPr>
        <w:t xml:space="preserve">lo anterior, se advierte que el análisis que nos ocupa estudiar es específicamente lo relativo al </w:t>
      </w:r>
      <w:r w:rsidRPr="00D634D6">
        <w:rPr>
          <w:rFonts w:ascii="Palatino Linotype" w:eastAsia="MS Gothic" w:hAnsi="Palatino Linotype" w:cs="Times New Roman"/>
          <w:bCs/>
          <w:i/>
          <w:sz w:val="24"/>
          <w:szCs w:val="26"/>
          <w:lang w:val="es-ES_tradnl"/>
        </w:rPr>
        <w:t>Disco 5.- Imágenes Digitalizadas</w:t>
      </w:r>
      <w:r w:rsidRPr="00D634D6">
        <w:rPr>
          <w:rFonts w:ascii="Palatino Linotype" w:eastAsia="MS Gothic" w:hAnsi="Palatino Linotype" w:cs="Times New Roman"/>
          <w:sz w:val="24"/>
          <w:szCs w:val="26"/>
          <w:lang w:val="es-ES_tradnl"/>
        </w:rPr>
        <w:t>, cuya matriz de clasificación</w:t>
      </w:r>
      <w:r w:rsidRPr="00D634D6">
        <w:rPr>
          <w:rFonts w:ascii="Palatino Linotype" w:eastAsia="MS Gothic" w:hAnsi="Palatino Linotype" w:cs="Times New Roman"/>
          <w:sz w:val="24"/>
          <w:szCs w:val="26"/>
          <w:vertAlign w:val="superscript"/>
          <w:lang w:val="es-ES_tradnl"/>
        </w:rPr>
        <w:footnoteReference w:id="8"/>
      </w:r>
      <w:r w:rsidRPr="00D634D6">
        <w:rPr>
          <w:rFonts w:ascii="Palatino Linotype" w:eastAsia="MS Gothic" w:hAnsi="Palatino Linotype" w:cs="Times New Roman"/>
          <w:sz w:val="24"/>
          <w:szCs w:val="26"/>
          <w:lang w:val="es-ES_tradnl"/>
        </w:rPr>
        <w:t xml:space="preserve"> describe cómo debe llevarse a cabo la integración y presentación de la información de la misma:</w:t>
      </w:r>
    </w:p>
    <w:p w:rsidR="002B1F46" w:rsidRPr="00D634D6" w:rsidRDefault="002B1F46"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7A5CE2" w:rsidRPr="00D634D6" w:rsidRDefault="007A5CE2" w:rsidP="00D634D6">
      <w:pPr>
        <w:pStyle w:val="Prrafodelista"/>
        <w:tabs>
          <w:tab w:val="left" w:pos="142"/>
          <w:tab w:val="left" w:pos="284"/>
          <w:tab w:val="left" w:pos="426"/>
        </w:tabs>
        <w:spacing w:line="360" w:lineRule="auto"/>
        <w:ind w:left="0"/>
        <w:jc w:val="center"/>
        <w:rPr>
          <w:rFonts w:ascii="Palatino Linotype" w:eastAsia="MS Gothic" w:hAnsi="Palatino Linotype" w:cs="Times New Roman"/>
          <w:b/>
          <w:sz w:val="24"/>
          <w:szCs w:val="26"/>
        </w:rPr>
      </w:pPr>
      <w:r w:rsidRPr="00D634D6">
        <w:rPr>
          <w:rFonts w:ascii="Palatino Linotype" w:hAnsi="Palatino Linotype"/>
          <w:noProof/>
          <w:lang w:eastAsia="es-MX"/>
        </w:rPr>
        <w:drawing>
          <wp:inline distT="0" distB="0" distL="0" distR="0" wp14:anchorId="6584D32F" wp14:editId="33A6ABE9">
            <wp:extent cx="4335395" cy="2047875"/>
            <wp:effectExtent l="57150" t="57150" r="122555" b="1047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55" t="38919" r="58040" b="30594"/>
                    <a:stretch/>
                  </pic:blipFill>
                  <pic:spPr bwMode="auto">
                    <a:xfrm>
                      <a:off x="0" y="0"/>
                      <a:ext cx="4350360" cy="205494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7A5CE2" w:rsidRPr="00D634D6" w:rsidRDefault="007A5CE2"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2B1F46" w:rsidRPr="00D634D6" w:rsidRDefault="007A5CE2"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t xml:space="preserve">De la </w:t>
      </w:r>
      <w:r w:rsidRPr="00D634D6">
        <w:rPr>
          <w:rFonts w:ascii="Palatino Linotype" w:eastAsia="MS Gothic" w:hAnsi="Palatino Linotype" w:cs="Times New Roman"/>
          <w:sz w:val="24"/>
          <w:szCs w:val="26"/>
          <w:lang w:val="es-ES_tradnl"/>
        </w:rPr>
        <w:t xml:space="preserve">imagen anterior, se desprende que el </w:t>
      </w:r>
      <w:r w:rsidRPr="00D634D6">
        <w:rPr>
          <w:rFonts w:ascii="Palatino Linotype" w:eastAsia="MS Gothic" w:hAnsi="Palatino Linotype" w:cs="Times New Roman"/>
          <w:b/>
          <w:sz w:val="24"/>
          <w:szCs w:val="26"/>
          <w:lang w:val="es-ES_tradnl"/>
        </w:rPr>
        <w:t>SUJETO OBLIGADO</w:t>
      </w:r>
      <w:r w:rsidRPr="00D634D6">
        <w:rPr>
          <w:rFonts w:ascii="Palatino Linotype" w:eastAsia="MS Gothic" w:hAnsi="Palatino Linotype" w:cs="Times New Roman"/>
          <w:sz w:val="24"/>
          <w:szCs w:val="26"/>
          <w:lang w:val="es-ES_tradnl"/>
        </w:rPr>
        <w:t xml:space="preserve"> tiene la obligación de entregar mensualmente al Órgano Superior de Fiscalización del Estado de México el soporte documental de las pólizas de diario y de egresos, con los documentos comprobatorios pertinentes, que se generen por la </w:t>
      </w:r>
      <w:r w:rsidRPr="00D634D6">
        <w:rPr>
          <w:rFonts w:ascii="Palatino Linotype" w:eastAsia="MS Gothic" w:hAnsi="Palatino Linotype" w:cs="Times New Roman"/>
          <w:sz w:val="24"/>
          <w:szCs w:val="26"/>
          <w:lang w:val="es-ES_tradnl"/>
        </w:rPr>
        <w:lastRenderedPageBreak/>
        <w:t>erogación de recursos públicos; documentos que se traducen en la información solicitada, toda vez que los Lineamientos en estudio reconocen a los Comprobantes fiscales por Internet (facturas) como documentos soporte de cada una de las pólizas. Se adjunta captura de pantalla como mera referencia:</w:t>
      </w:r>
    </w:p>
    <w:p w:rsidR="002B1F46" w:rsidRPr="00D634D6" w:rsidRDefault="002B1F46"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7A5CE2" w:rsidRPr="00D634D6" w:rsidRDefault="007A5CE2" w:rsidP="00D634D6">
      <w:pPr>
        <w:pStyle w:val="Prrafodelista"/>
        <w:tabs>
          <w:tab w:val="left" w:pos="142"/>
          <w:tab w:val="left" w:pos="284"/>
          <w:tab w:val="left" w:pos="426"/>
        </w:tabs>
        <w:spacing w:line="360" w:lineRule="auto"/>
        <w:ind w:left="0"/>
        <w:jc w:val="center"/>
        <w:rPr>
          <w:rFonts w:ascii="Palatino Linotype" w:eastAsia="MS Gothic" w:hAnsi="Palatino Linotype" w:cs="Times New Roman"/>
          <w:b/>
          <w:sz w:val="24"/>
          <w:szCs w:val="26"/>
        </w:rPr>
      </w:pPr>
      <w:r w:rsidRPr="00D634D6">
        <w:rPr>
          <w:rFonts w:ascii="Palatino Linotype" w:eastAsia="MS Gothic" w:hAnsi="Palatino Linotype" w:cs="Times New Roman"/>
          <w:b/>
          <w:noProof/>
          <w:sz w:val="24"/>
          <w:szCs w:val="26"/>
          <w:lang w:eastAsia="es-MX"/>
        </w:rPr>
        <w:drawing>
          <wp:inline distT="0" distB="0" distL="0" distR="0" wp14:anchorId="1C1DCA76" wp14:editId="3DECC8EA">
            <wp:extent cx="4352925" cy="3614199"/>
            <wp:effectExtent l="57150" t="57150" r="104775" b="1200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6489" cy="361715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A5CE2" w:rsidRPr="00D634D6" w:rsidRDefault="007A5CE2"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2B1F46" w:rsidRPr="00D634D6" w:rsidRDefault="007A5CE2"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t xml:space="preserve">En ese sentido, </w:t>
      </w:r>
      <w:r w:rsidRPr="00D634D6">
        <w:rPr>
          <w:rFonts w:ascii="Palatino Linotype" w:eastAsia="MS Gothic" w:hAnsi="Palatino Linotype" w:cs="Times New Roman"/>
          <w:sz w:val="24"/>
          <w:szCs w:val="26"/>
          <w:lang w:val="es-ES_tradnl"/>
        </w:rPr>
        <w:t xml:space="preserve">se concluye que el </w:t>
      </w:r>
      <w:r w:rsidRPr="00D634D6">
        <w:rPr>
          <w:rFonts w:ascii="Palatino Linotype" w:eastAsia="MS Gothic" w:hAnsi="Palatino Linotype" w:cs="Times New Roman"/>
          <w:b/>
          <w:sz w:val="24"/>
          <w:szCs w:val="26"/>
          <w:lang w:val="es-ES_tradnl"/>
        </w:rPr>
        <w:t>SUJETO OBLIGADO</w:t>
      </w:r>
      <w:r w:rsidRPr="00D634D6">
        <w:rPr>
          <w:rFonts w:ascii="Palatino Linotype" w:eastAsia="MS Gothic" w:hAnsi="Palatino Linotype" w:cs="Times New Roman"/>
          <w:sz w:val="24"/>
          <w:szCs w:val="26"/>
          <w:lang w:val="es-ES_tradnl"/>
        </w:rPr>
        <w:t xml:space="preserve"> cuenta con las atribuciones suficientes para que en el ejercicio de las mismas hubiere generado los documentos mediante los cuales el derecho de acceso a la información de la parte </w:t>
      </w:r>
      <w:r w:rsidRPr="00D634D6">
        <w:rPr>
          <w:rFonts w:ascii="Palatino Linotype" w:eastAsia="MS Gothic" w:hAnsi="Palatino Linotype" w:cs="Times New Roman"/>
          <w:b/>
          <w:sz w:val="24"/>
          <w:szCs w:val="26"/>
          <w:lang w:val="es-ES_tradnl"/>
        </w:rPr>
        <w:t>RECURRENTE</w:t>
      </w:r>
      <w:r w:rsidRPr="00D634D6">
        <w:rPr>
          <w:rFonts w:ascii="Palatino Linotype" w:eastAsia="MS Gothic" w:hAnsi="Palatino Linotype" w:cs="Times New Roman"/>
          <w:sz w:val="24"/>
          <w:szCs w:val="26"/>
          <w:lang w:val="es-ES_tradnl"/>
        </w:rPr>
        <w:t xml:space="preserve"> pueda atenderse, concretamente mediante los comprobantes fiscales digitales por internet derivados de la contratación o adquisición de bienes y servicios relacionados con la seguridad </w:t>
      </w:r>
      <w:r w:rsidRPr="00D634D6">
        <w:rPr>
          <w:rFonts w:ascii="Palatino Linotype" w:eastAsia="MS Gothic" w:hAnsi="Palatino Linotype" w:cs="Times New Roman"/>
          <w:sz w:val="24"/>
          <w:szCs w:val="26"/>
          <w:lang w:val="es-ES_tradnl"/>
        </w:rPr>
        <w:lastRenderedPageBreak/>
        <w:t>pública, los cuales debe poseer y administrar como parte del cumplimiento de sus obligaciones fiscales.</w:t>
      </w:r>
    </w:p>
    <w:p w:rsidR="002B1F46" w:rsidRPr="00D634D6" w:rsidRDefault="002B1F46"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2B1F46" w:rsidRPr="00D634D6" w:rsidRDefault="007A5CE2"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t xml:space="preserve">No es ocioso </w:t>
      </w:r>
      <w:r w:rsidRPr="00D634D6">
        <w:rPr>
          <w:rFonts w:ascii="Palatino Linotype" w:eastAsia="MS Gothic" w:hAnsi="Palatino Linotype" w:cs="Times New Roman"/>
          <w:sz w:val="24"/>
          <w:szCs w:val="26"/>
          <w:lang w:val="es-ES_tradnl"/>
        </w:rPr>
        <w:t>mencionar que este Órgano Garante realizó una búsqueda en la página del Órgano Superior de Fiscalización del Estado de México, en el apartado denominado “Cumplimiento de Obligaciones Periódicas de Entidades Fiscalizables”</w:t>
      </w:r>
      <w:r w:rsidRPr="00D634D6">
        <w:rPr>
          <w:rFonts w:ascii="Palatino Linotype" w:eastAsia="MS Gothic" w:hAnsi="Palatino Linotype" w:cs="Times New Roman"/>
          <w:sz w:val="24"/>
          <w:szCs w:val="26"/>
          <w:vertAlign w:val="superscript"/>
          <w:lang w:val="es-ES_tradnl"/>
        </w:rPr>
        <w:footnoteReference w:id="9"/>
      </w:r>
      <w:r w:rsidRPr="00D634D6">
        <w:rPr>
          <w:rFonts w:ascii="Palatino Linotype" w:eastAsia="MS Gothic" w:hAnsi="Palatino Linotype" w:cs="Times New Roman"/>
          <w:sz w:val="24"/>
          <w:szCs w:val="26"/>
          <w:lang w:val="es-ES_tradnl"/>
        </w:rPr>
        <w:t xml:space="preserve">, donde se vislumbró que el </w:t>
      </w:r>
      <w:r w:rsidRPr="00D634D6">
        <w:rPr>
          <w:rFonts w:ascii="Palatino Linotype" w:eastAsia="MS Gothic" w:hAnsi="Palatino Linotype" w:cs="Times New Roman"/>
          <w:b/>
          <w:bCs/>
          <w:sz w:val="24"/>
          <w:szCs w:val="26"/>
          <w:lang w:val="es-ES_tradnl"/>
        </w:rPr>
        <w:t xml:space="preserve">SUJETO OBLIGADO </w:t>
      </w:r>
      <w:r w:rsidRPr="00D634D6">
        <w:rPr>
          <w:rFonts w:ascii="Palatino Linotype" w:eastAsia="MS Gothic" w:hAnsi="Palatino Linotype" w:cs="Times New Roman"/>
          <w:sz w:val="24"/>
          <w:szCs w:val="26"/>
          <w:lang w:val="es-ES_tradnl"/>
        </w:rPr>
        <w:t>entregó en tiempo y forma los informes de los siguientes meses:</w:t>
      </w:r>
    </w:p>
    <w:p w:rsidR="002B1F46" w:rsidRPr="00D634D6" w:rsidRDefault="002B1F46"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7A5CE2" w:rsidRPr="00D634D6" w:rsidRDefault="00296474" w:rsidP="00D634D6">
      <w:pPr>
        <w:pStyle w:val="Prrafodelista"/>
        <w:tabs>
          <w:tab w:val="left" w:pos="142"/>
          <w:tab w:val="left" w:pos="284"/>
          <w:tab w:val="left" w:pos="426"/>
        </w:tabs>
        <w:spacing w:line="360" w:lineRule="auto"/>
        <w:ind w:left="0"/>
        <w:jc w:val="center"/>
        <w:rPr>
          <w:rFonts w:ascii="Palatino Linotype" w:eastAsia="MS Gothic" w:hAnsi="Palatino Linotype" w:cs="Times New Roman"/>
          <w:b/>
          <w:sz w:val="24"/>
          <w:szCs w:val="26"/>
        </w:rPr>
      </w:pPr>
      <w:r w:rsidRPr="00D634D6">
        <w:rPr>
          <w:rFonts w:ascii="Palatino Linotype" w:eastAsia="MS Gothic" w:hAnsi="Palatino Linotype" w:cs="Times New Roman"/>
          <w:b/>
          <w:noProof/>
          <w:sz w:val="24"/>
          <w:szCs w:val="26"/>
          <w:lang w:eastAsia="es-MX"/>
        </w:rPr>
        <w:drawing>
          <wp:inline distT="0" distB="0" distL="0" distR="0" wp14:anchorId="3FE48DC1" wp14:editId="3E1EE94C">
            <wp:extent cx="4383405" cy="2230153"/>
            <wp:effectExtent l="57150" t="57150" r="112395" b="11303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8561" cy="223277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A5CE2" w:rsidRPr="00D634D6" w:rsidRDefault="007A5CE2"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CF6E37" w:rsidRPr="00D634D6" w:rsidRDefault="00296474"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t xml:space="preserve">Así </w:t>
      </w:r>
      <w:r w:rsidRPr="00D634D6">
        <w:rPr>
          <w:rFonts w:ascii="Palatino Linotype" w:eastAsia="MS Gothic" w:hAnsi="Palatino Linotype" w:cs="Times New Roman"/>
          <w:sz w:val="24"/>
          <w:szCs w:val="26"/>
          <w:lang w:val="es-ES_tradnl"/>
        </w:rPr>
        <w:t xml:space="preserve">las cosas, ya no cabe la menor duda de que el </w:t>
      </w:r>
      <w:r w:rsidRPr="00D634D6">
        <w:rPr>
          <w:rFonts w:ascii="Palatino Linotype" w:eastAsia="MS Gothic" w:hAnsi="Palatino Linotype" w:cs="Times New Roman"/>
          <w:b/>
          <w:sz w:val="24"/>
          <w:szCs w:val="26"/>
          <w:lang w:val="es-ES_tradnl"/>
        </w:rPr>
        <w:t>SUJETO OBLIGADO</w:t>
      </w:r>
      <w:r w:rsidRPr="00D634D6">
        <w:rPr>
          <w:rFonts w:ascii="Palatino Linotype" w:eastAsia="MS Gothic" w:hAnsi="Palatino Linotype" w:cs="Times New Roman"/>
          <w:sz w:val="24"/>
          <w:szCs w:val="26"/>
          <w:lang w:val="es-ES_tradnl"/>
        </w:rPr>
        <w:t xml:space="preserve"> efectivamente posee, generó y administra la información solicitada referente a su información fiscal, toda vez que de la imagen anteriormente inserta se muestra que el </w:t>
      </w:r>
      <w:r w:rsidRPr="00D634D6">
        <w:rPr>
          <w:rFonts w:ascii="Palatino Linotype" w:eastAsia="MS Gothic" w:hAnsi="Palatino Linotype" w:cs="Times New Roman"/>
          <w:b/>
          <w:sz w:val="24"/>
          <w:szCs w:val="26"/>
          <w:lang w:val="es-ES_tradnl"/>
        </w:rPr>
        <w:t>SUJETO OBLIGADO</w:t>
      </w:r>
      <w:r w:rsidRPr="00D634D6">
        <w:rPr>
          <w:rFonts w:ascii="Palatino Linotype" w:eastAsia="MS Gothic" w:hAnsi="Palatino Linotype" w:cs="Times New Roman"/>
          <w:sz w:val="24"/>
          <w:szCs w:val="26"/>
          <w:lang w:val="es-ES_tradnl"/>
        </w:rPr>
        <w:t xml:space="preserve"> ha entregado los informes mensuales pertinentes hasta el mes de diciembre del dos mil diecinueve</w:t>
      </w:r>
      <w:r w:rsidRPr="00D634D6">
        <w:rPr>
          <w:rFonts w:ascii="Palatino Linotype" w:eastAsia="MS Gothic" w:hAnsi="Palatino Linotype" w:cs="Times New Roman"/>
          <w:b/>
          <w:sz w:val="24"/>
          <w:szCs w:val="26"/>
          <w:lang w:val="es-ES_tradnl"/>
        </w:rPr>
        <w:t>.</w:t>
      </w:r>
    </w:p>
    <w:p w:rsidR="00CF6E37" w:rsidRPr="00D634D6" w:rsidRDefault="00CF6E37"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lang w:val="es-ES_tradnl"/>
        </w:rPr>
        <w:lastRenderedPageBreak/>
        <w:t xml:space="preserve">Por otro lado, no se ignora que el entonces </w:t>
      </w:r>
      <w:r w:rsidRPr="00D634D6">
        <w:rPr>
          <w:rFonts w:ascii="Palatino Linotype" w:eastAsia="MS Gothic" w:hAnsi="Palatino Linotype" w:cs="Times New Roman"/>
          <w:b/>
          <w:sz w:val="24"/>
          <w:szCs w:val="26"/>
          <w:lang w:val="es-ES_tradnl"/>
        </w:rPr>
        <w:t>SOLITANTE,</w:t>
      </w:r>
      <w:r w:rsidRPr="00D634D6">
        <w:rPr>
          <w:rFonts w:ascii="Palatino Linotype" w:eastAsia="MS Gothic" w:hAnsi="Palatino Linotype" w:cs="Times New Roman"/>
          <w:sz w:val="24"/>
          <w:szCs w:val="26"/>
          <w:lang w:val="es-ES_tradnl"/>
        </w:rPr>
        <w:t xml:space="preserve"> en su ejercicio del derecho de acceso a la información no determinó un periodo temporal por el cual requiriera la información; por ello, se debe determinar que el periodo de búsqueda de la información a la que el particular pretende acceder consiste del veintiuno (21) de octubre del dos mil dieciocho al veintiuno (21) de octubre del dos mil diecinueve, esto es, al año inmediato anterior a partir de la fecha de promoción de su solicitud de información.</w:t>
      </w:r>
    </w:p>
    <w:p w:rsidR="00CF6E37" w:rsidRPr="00D634D6" w:rsidRDefault="00CF6E37"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CF6E37" w:rsidRPr="00D634D6" w:rsidRDefault="00CF6E37"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lang w:val="es-ES_tradnl"/>
        </w:rPr>
        <w:t>Lo anterior encuentra sustento mediante el Criterio 03/19 emitido por el Instituto Nacional de Transparencia, Acceso a la Información y Protección de Datos Personales, el cual es de la literalidad siguiente:</w:t>
      </w:r>
    </w:p>
    <w:p w:rsidR="00CF6E37" w:rsidRPr="00D634D6" w:rsidRDefault="00CF6E37"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CF6E37" w:rsidRPr="00D634D6" w:rsidRDefault="00CF6E37" w:rsidP="00D634D6">
      <w:pPr>
        <w:spacing w:line="360" w:lineRule="auto"/>
        <w:ind w:left="567" w:right="567"/>
        <w:jc w:val="both"/>
        <w:rPr>
          <w:rFonts w:ascii="Palatino Linotype" w:eastAsia="Arial" w:hAnsi="Palatino Linotype" w:cs="Arial"/>
          <w:i/>
        </w:rPr>
      </w:pPr>
      <w:r w:rsidRPr="00D634D6">
        <w:rPr>
          <w:rFonts w:ascii="Palatino Linotype" w:eastAsia="Arial" w:hAnsi="Palatino Linotype" w:cs="Arial"/>
          <w:b/>
          <w:i/>
        </w:rPr>
        <w:t>Periodo de búsqueda de la información. “</w:t>
      </w:r>
      <w:r w:rsidRPr="00D634D6">
        <w:rPr>
          <w:rFonts w:ascii="Palatino Linotype" w:eastAsia="Arial" w:hAnsi="Palatino Linotype" w:cs="Arial"/>
          <w:i/>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CF6E37" w:rsidRPr="00D634D6" w:rsidRDefault="00CF6E37"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2B1F46" w:rsidRPr="00D634D6" w:rsidRDefault="00CF6E37"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t xml:space="preserve">En </w:t>
      </w:r>
      <w:r w:rsidRPr="00D634D6">
        <w:rPr>
          <w:rFonts w:ascii="Palatino Linotype" w:eastAsia="MS Gothic" w:hAnsi="Palatino Linotype" w:cs="Times New Roman"/>
          <w:sz w:val="24"/>
          <w:szCs w:val="26"/>
          <w:lang w:val="es-ES"/>
        </w:rPr>
        <w:t xml:space="preserve">consecuencia, esta Ponencia </w:t>
      </w:r>
      <w:proofErr w:type="spellStart"/>
      <w:r w:rsidRPr="00D634D6">
        <w:rPr>
          <w:rFonts w:ascii="Palatino Linotype" w:eastAsia="MS Gothic" w:hAnsi="Palatino Linotype" w:cs="Times New Roman"/>
          <w:sz w:val="24"/>
          <w:szCs w:val="26"/>
          <w:lang w:val="es-ES"/>
        </w:rPr>
        <w:t>Resolutora</w:t>
      </w:r>
      <w:proofErr w:type="spellEnd"/>
      <w:r w:rsidRPr="00D634D6">
        <w:rPr>
          <w:rFonts w:ascii="Palatino Linotype" w:eastAsia="MS Gothic" w:hAnsi="Palatino Linotype" w:cs="Times New Roman"/>
          <w:sz w:val="24"/>
          <w:szCs w:val="26"/>
          <w:lang w:val="es-ES"/>
        </w:rPr>
        <w:t xml:space="preserve"> encuentra conforme a derecho </w:t>
      </w:r>
      <w:r w:rsidRPr="00D634D6">
        <w:rPr>
          <w:rFonts w:ascii="Palatino Linotype" w:eastAsia="MS Gothic" w:hAnsi="Palatino Linotype" w:cs="Times New Roman"/>
          <w:b/>
          <w:sz w:val="24"/>
          <w:szCs w:val="26"/>
          <w:lang w:val="es-ES"/>
        </w:rPr>
        <w:t>ordenar</w:t>
      </w:r>
      <w:r w:rsidRPr="00D634D6">
        <w:rPr>
          <w:rFonts w:ascii="Palatino Linotype" w:eastAsia="MS Gothic" w:hAnsi="Palatino Linotype" w:cs="Times New Roman"/>
          <w:sz w:val="24"/>
          <w:szCs w:val="26"/>
          <w:lang w:val="es-ES"/>
        </w:rPr>
        <w:t xml:space="preserve"> al </w:t>
      </w:r>
      <w:r w:rsidRPr="00D634D6">
        <w:rPr>
          <w:rFonts w:ascii="Palatino Linotype" w:eastAsia="MS Gothic" w:hAnsi="Palatino Linotype" w:cs="Times New Roman"/>
          <w:b/>
          <w:sz w:val="24"/>
          <w:szCs w:val="26"/>
          <w:lang w:val="es-ES"/>
        </w:rPr>
        <w:t>SUJETO OBLIGADO</w:t>
      </w:r>
      <w:r w:rsidRPr="00D634D6">
        <w:rPr>
          <w:rFonts w:ascii="Palatino Linotype" w:eastAsia="MS Gothic" w:hAnsi="Palatino Linotype" w:cs="Times New Roman"/>
          <w:sz w:val="24"/>
          <w:szCs w:val="26"/>
          <w:lang w:val="es-ES"/>
        </w:rPr>
        <w:t xml:space="preserve"> realice una búsqueda exhaustiva y razonable en sus archivos con la finalidad de entregar al particular, </w:t>
      </w:r>
      <w:r w:rsidR="00847F6E" w:rsidRPr="00D634D6">
        <w:rPr>
          <w:rFonts w:ascii="Palatino Linotype" w:eastAsia="MS Gothic" w:hAnsi="Palatino Linotype" w:cs="Times New Roman"/>
          <w:sz w:val="24"/>
          <w:szCs w:val="26"/>
          <w:lang w:val="es-ES"/>
        </w:rPr>
        <w:t xml:space="preserve">las facturas y contratos derivados de la compra y arrendamiento de bienes en materia de seguridad pública mediante el uso de recursos federales y locales, en versión </w:t>
      </w:r>
      <w:r w:rsidR="00847F6E" w:rsidRPr="00D634D6">
        <w:rPr>
          <w:rFonts w:ascii="Palatino Linotype" w:eastAsia="MS Gothic" w:hAnsi="Palatino Linotype" w:cs="Times New Roman"/>
          <w:sz w:val="24"/>
          <w:szCs w:val="26"/>
          <w:lang w:val="es-ES"/>
        </w:rPr>
        <w:lastRenderedPageBreak/>
        <w:t>pública, atendiendo las observaciones contenidas en el Considerando QUINTO de la presente resolución.</w:t>
      </w:r>
    </w:p>
    <w:p w:rsidR="00847F6E" w:rsidRPr="00D634D6" w:rsidRDefault="00847F6E"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2B1F46" w:rsidRPr="00D634D6" w:rsidRDefault="00CF6E37"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t xml:space="preserve">Por último es oportuno señalar que si una vez realizada la nueva búsqueda de la información en todas las áreas donde pudiera obrar la información, no se encontrase ninguna documental en la que conste información relacionada con la erogación de recursos locales derivado de que no se haya generado la misma y, que como consecuencia de ello no se haya ejercido la facultad por parte del </w:t>
      </w:r>
      <w:r w:rsidRPr="00D634D6">
        <w:rPr>
          <w:rFonts w:ascii="Palatino Linotype" w:eastAsia="MS Gothic" w:hAnsi="Palatino Linotype" w:cs="Times New Roman"/>
          <w:b/>
          <w:sz w:val="24"/>
          <w:szCs w:val="26"/>
        </w:rPr>
        <w:t>SUJETO OBLIGADO</w:t>
      </w:r>
      <w:r w:rsidRPr="00D634D6">
        <w:rPr>
          <w:rFonts w:ascii="Palatino Linotype" w:eastAsia="MS Gothic" w:hAnsi="Palatino Linotype" w:cs="Times New Roman"/>
          <w:sz w:val="24"/>
          <w:szCs w:val="26"/>
        </w:rPr>
        <w:t xml:space="preserve"> de poseer, generar o administrar información relacionada con la adquisición de bienes comprados o rentados en materia de seguridad pública mediante recursos locales; deberá de manifestar, de manera precisa y clara</w:t>
      </w:r>
      <w:r w:rsidRPr="00D634D6">
        <w:rPr>
          <w:rFonts w:ascii="Palatino Linotype" w:eastAsia="MS Gothic" w:hAnsi="Palatino Linotype" w:cs="Times New Roman"/>
          <w:b/>
          <w:sz w:val="24"/>
          <w:szCs w:val="26"/>
        </w:rPr>
        <w:t>, las razones que expliquen las causas por las que no se haya generado</w:t>
      </w:r>
      <w:r w:rsidRPr="00D634D6">
        <w:rPr>
          <w:rFonts w:ascii="Palatino Linotype" w:eastAsia="MS Gothic" w:hAnsi="Palatino Linotype" w:cs="Times New Roman"/>
          <w:sz w:val="24"/>
          <w:szCs w:val="26"/>
        </w:rPr>
        <w:t xml:space="preserve"> la información requerida en el presente asunto.</w:t>
      </w:r>
    </w:p>
    <w:p w:rsidR="002B1F46" w:rsidRPr="00D634D6" w:rsidRDefault="002B1F46"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2B1F46" w:rsidRPr="00D634D6" w:rsidRDefault="00CF6E37"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t>Lo anterior será necesario toda vez que la Ley de Transparencia y acceso a la Información Pública del Estado de México y Municipios, reconoce en su artículo 18 que los Sujetos Obligados deberán documentar todo acto que derive del ejercicio de sus facultades, competencias o funciones, considerando desde su origen la eventual publicidad y reutilización de la información que generen, sin embargó también es de señalar lo que dispone el artículo 19 que a la letra dice:</w:t>
      </w:r>
    </w:p>
    <w:p w:rsidR="002B1F46" w:rsidRPr="00D634D6" w:rsidRDefault="002B1F46"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CF6E37" w:rsidRPr="00D634D6" w:rsidRDefault="00CF6E37" w:rsidP="00D634D6">
      <w:pPr>
        <w:autoSpaceDE w:val="0"/>
        <w:autoSpaceDN w:val="0"/>
        <w:adjustRightInd w:val="0"/>
        <w:spacing w:line="360" w:lineRule="auto"/>
        <w:ind w:left="567" w:right="567"/>
        <w:jc w:val="both"/>
        <w:rPr>
          <w:rFonts w:ascii="Palatino Linotype" w:hAnsi="Palatino Linotype" w:cs="Arial"/>
          <w:i/>
        </w:rPr>
      </w:pPr>
      <w:r w:rsidRPr="00D634D6">
        <w:rPr>
          <w:rFonts w:ascii="Palatino Linotype" w:hAnsi="Palatino Linotype" w:cs="Arial"/>
          <w:bCs/>
          <w:i/>
        </w:rPr>
        <w:t>“</w:t>
      </w:r>
      <w:r w:rsidRPr="00D634D6">
        <w:rPr>
          <w:rFonts w:ascii="Palatino Linotype" w:hAnsi="Palatino Linotype" w:cs="Arial"/>
          <w:b/>
          <w:bCs/>
          <w:i/>
        </w:rPr>
        <w:t xml:space="preserve">Artículo 19. </w:t>
      </w:r>
      <w:r w:rsidRPr="00D634D6">
        <w:rPr>
          <w:rFonts w:ascii="Palatino Linotype" w:hAnsi="Palatino Linotype" w:cs="Arial"/>
          <w:i/>
        </w:rPr>
        <w:t>Se presume que la información debe existir si se refiere a las facultades, competencias y funciones que los ordenamientos jurídicos aplicables otorgan a los sujetos obligados.</w:t>
      </w:r>
    </w:p>
    <w:p w:rsidR="00CF6E37" w:rsidRPr="00D634D6" w:rsidRDefault="00CF6E37" w:rsidP="00D634D6">
      <w:pPr>
        <w:autoSpaceDE w:val="0"/>
        <w:autoSpaceDN w:val="0"/>
        <w:adjustRightInd w:val="0"/>
        <w:spacing w:line="360" w:lineRule="auto"/>
        <w:ind w:left="567" w:right="567"/>
        <w:jc w:val="both"/>
        <w:rPr>
          <w:rFonts w:ascii="Palatino Linotype" w:hAnsi="Palatino Linotype" w:cs="Arial"/>
          <w:b/>
          <w:i/>
          <w:u w:val="single"/>
        </w:rPr>
      </w:pPr>
      <w:r w:rsidRPr="00D634D6">
        <w:rPr>
          <w:rFonts w:ascii="Palatino Linotype" w:hAnsi="Palatino Linotype" w:cs="Arial"/>
          <w:b/>
          <w:i/>
          <w:u w:val="single"/>
        </w:rPr>
        <w:lastRenderedPageBreak/>
        <w:t>En los casos en que ciertas facultades, competencias o funciones no se hayan ejercido, se debe motivar la respuesta en función de las causas que motiven tal circunstancia.</w:t>
      </w:r>
    </w:p>
    <w:p w:rsidR="00CF6E37" w:rsidRPr="00D634D6" w:rsidRDefault="00CF6E37" w:rsidP="00D634D6">
      <w:pPr>
        <w:autoSpaceDE w:val="0"/>
        <w:autoSpaceDN w:val="0"/>
        <w:adjustRightInd w:val="0"/>
        <w:spacing w:line="360" w:lineRule="auto"/>
        <w:ind w:left="567" w:right="567"/>
        <w:jc w:val="both"/>
        <w:rPr>
          <w:rFonts w:ascii="Palatino Linotype" w:hAnsi="Palatino Linotype" w:cs="Arial"/>
        </w:rPr>
      </w:pPr>
      <w:r w:rsidRPr="00D634D6">
        <w:rPr>
          <w:rFonts w:ascii="Palatino Linotype" w:hAnsi="Palatino Linotype" w:cs="Arial"/>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CF6E37" w:rsidRPr="00D634D6" w:rsidRDefault="00CF6E37" w:rsidP="00D634D6">
      <w:pPr>
        <w:autoSpaceDE w:val="0"/>
        <w:autoSpaceDN w:val="0"/>
        <w:adjustRightInd w:val="0"/>
        <w:spacing w:line="360" w:lineRule="auto"/>
        <w:ind w:left="567" w:right="567"/>
        <w:jc w:val="both"/>
        <w:rPr>
          <w:rFonts w:ascii="Palatino Linotype" w:hAnsi="Palatino Linotype" w:cs="Arial"/>
        </w:rPr>
      </w:pPr>
      <w:r w:rsidRPr="00D634D6">
        <w:rPr>
          <w:rFonts w:ascii="Palatino Linotype" w:hAnsi="Palatino Linotype" w:cs="Arial"/>
        </w:rPr>
        <w:t>(Énfasis añadido)</w:t>
      </w:r>
    </w:p>
    <w:p w:rsidR="00CF6E37" w:rsidRPr="00D634D6" w:rsidRDefault="00CF6E37"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2B1F46" w:rsidRPr="00D634D6" w:rsidRDefault="00CF6E37"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t xml:space="preserve">Para lo cual, es de resaltar que para el presente asunto resulta aplicable el segundo párrafo del artículo en comento, toda vez que dispone que si el </w:t>
      </w:r>
      <w:r w:rsidRPr="00D634D6">
        <w:rPr>
          <w:rFonts w:ascii="Palatino Linotype" w:eastAsia="MS Gothic" w:hAnsi="Palatino Linotype" w:cs="Times New Roman"/>
          <w:b/>
          <w:sz w:val="24"/>
          <w:szCs w:val="26"/>
        </w:rPr>
        <w:t>SUJETO OBLIGADO</w:t>
      </w:r>
      <w:r w:rsidRPr="00D634D6">
        <w:rPr>
          <w:rFonts w:ascii="Palatino Linotype" w:eastAsia="MS Gothic" w:hAnsi="Palatino Linotype" w:cs="Times New Roman"/>
          <w:sz w:val="24"/>
          <w:szCs w:val="26"/>
        </w:rPr>
        <w:t xml:space="preserve"> cuenta con facultades, competencias o funciones para generar, poseer o administrar lo solicitado, pero no se hayan ejercido, se debe motivar la respuesta en función de las causas que motiven tal circunstancia, es decir, el </w:t>
      </w:r>
      <w:r w:rsidRPr="00D634D6">
        <w:rPr>
          <w:rFonts w:ascii="Palatino Linotype" w:eastAsia="MS Gothic" w:hAnsi="Palatino Linotype" w:cs="Times New Roman"/>
          <w:b/>
          <w:sz w:val="24"/>
          <w:szCs w:val="26"/>
        </w:rPr>
        <w:t>SUJETO OBLIGADO</w:t>
      </w:r>
      <w:r w:rsidRPr="00D634D6">
        <w:rPr>
          <w:rFonts w:ascii="Palatino Linotype" w:eastAsia="MS Gothic" w:hAnsi="Palatino Linotype" w:cs="Times New Roman"/>
          <w:sz w:val="24"/>
          <w:szCs w:val="26"/>
        </w:rPr>
        <w:t xml:space="preserve"> en el presente asuntó deberá manifestar de manera clara concreta, precisa y motivada las causas de por qué no se generó la información.</w:t>
      </w:r>
    </w:p>
    <w:p w:rsidR="002B1F46" w:rsidRPr="00D634D6" w:rsidRDefault="002B1F46"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2B1F46" w:rsidRPr="00D634D6" w:rsidRDefault="00CF6E37"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Gothic" w:hAnsi="Palatino Linotype" w:cs="Times New Roman"/>
          <w:b/>
          <w:sz w:val="24"/>
          <w:szCs w:val="26"/>
        </w:rPr>
      </w:pPr>
      <w:r w:rsidRPr="00D634D6">
        <w:rPr>
          <w:rFonts w:ascii="Palatino Linotype" w:eastAsia="MS Gothic" w:hAnsi="Palatino Linotype" w:cs="Times New Roman"/>
          <w:sz w:val="24"/>
          <w:szCs w:val="26"/>
        </w:rPr>
        <w:t xml:space="preserve">Por lo que para el presente asunto es innecesaria una declaratoria de inexistencia, porque, para que sea procedente se declare la inexistencia de la información, debió haber existencia previa de la documentación y la falta posterior de la misma en los archivos del </w:t>
      </w:r>
      <w:r w:rsidRPr="00D634D6">
        <w:rPr>
          <w:rFonts w:ascii="Palatino Linotype" w:eastAsia="MS Gothic" w:hAnsi="Palatino Linotype" w:cs="Times New Roman"/>
          <w:b/>
          <w:sz w:val="24"/>
          <w:szCs w:val="26"/>
        </w:rPr>
        <w:t>SUJETO OBLIGADO</w:t>
      </w:r>
      <w:r w:rsidRPr="00D634D6">
        <w:rPr>
          <w:rFonts w:ascii="Palatino Linotype" w:eastAsia="MS Gothic" w:hAnsi="Palatino Linotype" w:cs="Times New Roman"/>
          <w:sz w:val="24"/>
          <w:szCs w:val="26"/>
        </w:rPr>
        <w:t xml:space="preserve">, esto es que la información se generó, poseyó o administró en el marco de las atribuciones conferidas a la Secretaría de Obra Pública, pero no la conserva por diversas </w:t>
      </w:r>
      <w:r w:rsidRPr="00D634D6">
        <w:rPr>
          <w:rFonts w:ascii="Palatino Linotype" w:eastAsia="MS Gothic" w:hAnsi="Palatino Linotype" w:cs="Times New Roman"/>
          <w:sz w:val="24"/>
          <w:szCs w:val="26"/>
        </w:rPr>
        <w:lastRenderedPageBreak/>
        <w:t>razones (destrucción física, desaparición física, sustracción ilícita, baja documental, etcétera).</w:t>
      </w:r>
    </w:p>
    <w:p w:rsidR="00863963" w:rsidRPr="00D634D6" w:rsidRDefault="00863963"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b/>
          <w:sz w:val="24"/>
          <w:szCs w:val="26"/>
        </w:rPr>
      </w:pPr>
    </w:p>
    <w:p w:rsidR="00862AB1" w:rsidRPr="00D634D6" w:rsidRDefault="00862AB1" w:rsidP="00D634D6">
      <w:pPr>
        <w:pStyle w:val="Prrafodelista"/>
        <w:tabs>
          <w:tab w:val="left" w:pos="142"/>
          <w:tab w:val="left" w:pos="284"/>
          <w:tab w:val="left" w:pos="426"/>
        </w:tabs>
        <w:spacing w:line="360" w:lineRule="auto"/>
        <w:ind w:left="0"/>
        <w:jc w:val="both"/>
        <w:outlineLvl w:val="1"/>
        <w:rPr>
          <w:rFonts w:ascii="Palatino Linotype" w:hAnsi="Palatino Linotype" w:cs="Arial"/>
          <w:b/>
          <w:sz w:val="24"/>
        </w:rPr>
      </w:pPr>
      <w:bookmarkStart w:id="27" w:name="_Toc34923433"/>
      <w:bookmarkEnd w:id="22"/>
      <w:r w:rsidRPr="00D634D6">
        <w:rPr>
          <w:rFonts w:ascii="Palatino Linotype" w:hAnsi="Palatino Linotype" w:cs="Arial"/>
          <w:b/>
          <w:sz w:val="24"/>
        </w:rPr>
        <w:t xml:space="preserve">QUINTO. De la </w:t>
      </w:r>
      <w:r w:rsidR="00236198" w:rsidRPr="00D634D6">
        <w:rPr>
          <w:rFonts w:ascii="Palatino Linotype" w:hAnsi="Palatino Linotype" w:cs="Arial"/>
          <w:b/>
          <w:sz w:val="24"/>
        </w:rPr>
        <w:t>Clasificación de la Información</w:t>
      </w:r>
      <w:r w:rsidRPr="00D634D6">
        <w:rPr>
          <w:rFonts w:ascii="Palatino Linotype" w:hAnsi="Palatino Linotype" w:cs="Arial"/>
          <w:b/>
          <w:sz w:val="24"/>
        </w:rPr>
        <w:t>.</w:t>
      </w:r>
      <w:bookmarkEnd w:id="27"/>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rPr>
        <w:t>Debe destacarse que, debido a la naturaleza de la información solicitada</w:t>
      </w:r>
      <w:r w:rsidRPr="00D634D6">
        <w:rPr>
          <w:rFonts w:ascii="Palatino Linotype" w:eastAsia="MS Gothic" w:hAnsi="Palatino Linotype" w:cs="Times New Roman"/>
          <w:b/>
          <w:sz w:val="24"/>
          <w:szCs w:val="26"/>
        </w:rPr>
        <w:t xml:space="preserve">, </w:t>
      </w:r>
      <w:r w:rsidRPr="00D634D6">
        <w:rPr>
          <w:rFonts w:ascii="Palatino Linotype" w:eastAsia="MS Gothic" w:hAnsi="Palatino Linotype" w:cs="Times New Roman"/>
          <w:sz w:val="24"/>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D634D6">
        <w:rPr>
          <w:rFonts w:ascii="Palatino Linotype" w:eastAsia="MS Gothic" w:hAnsi="Palatino Linotype" w:cs="Times New Roman"/>
          <w:b/>
          <w:sz w:val="24"/>
          <w:szCs w:val="26"/>
          <w:u w:val="single"/>
        </w:rPr>
        <w:t>versión pública</w:t>
      </w:r>
      <w:r w:rsidRPr="00D634D6">
        <w:rPr>
          <w:rFonts w:ascii="Palatino Linotype" w:eastAsia="MS Gothic" w:hAnsi="Palatino Linotype" w:cs="Times New Roman"/>
          <w:sz w:val="24"/>
          <w:szCs w:val="26"/>
        </w:rPr>
        <w:t xml:space="preserve"> de los documentos por las consideraciones que se estimen pertinentes.</w:t>
      </w:r>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rPr>
        <w:t xml:space="preserve">La </w:t>
      </w:r>
      <w:r w:rsidRPr="00D634D6">
        <w:rPr>
          <w:rFonts w:ascii="Palatino Linotype" w:eastAsia="MS Gothic" w:hAnsi="Palatino Linotype" w:cs="Times New Roman"/>
          <w:sz w:val="24"/>
          <w:szCs w:val="26"/>
          <w:lang w:val="es-ES_tradnl"/>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D634D6">
        <w:rPr>
          <w:rFonts w:ascii="Palatino Linotype" w:eastAsia="MS Gothic" w:hAnsi="Palatino Linotype" w:cs="Times New Roman"/>
          <w:sz w:val="24"/>
          <w:szCs w:val="26"/>
          <w:vertAlign w:val="superscript"/>
          <w:lang w:val="es-ES_tradnl"/>
        </w:rPr>
        <w:footnoteReference w:id="10"/>
      </w:r>
      <w:r w:rsidRPr="00D634D6">
        <w:rPr>
          <w:rFonts w:ascii="Palatino Linotype" w:eastAsia="MS Gothic" w:hAnsi="Palatino Linotype" w:cs="Times New Roman"/>
          <w:sz w:val="24"/>
          <w:szCs w:val="26"/>
          <w:lang w:val="es-ES_tradnl"/>
        </w:rPr>
        <w:t xml:space="preserve"> aunque </w:t>
      </w:r>
      <w:r w:rsidRPr="00D634D6">
        <w:rPr>
          <w:rFonts w:ascii="Palatino Linotype" w:eastAsia="MS Gothic" w:hAnsi="Palatino Linotype" w:cs="Times New Roman"/>
          <w:sz w:val="24"/>
          <w:szCs w:val="26"/>
          <w:lang w:val="es-ES_tradnl"/>
        </w:rPr>
        <w:lastRenderedPageBreak/>
        <w:t>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D634D6">
        <w:rPr>
          <w:rFonts w:ascii="Palatino Linotype" w:eastAsia="MS Gothic" w:hAnsi="Palatino Linotype" w:cs="Times New Roman"/>
          <w:sz w:val="24"/>
          <w:szCs w:val="26"/>
          <w:vertAlign w:val="superscript"/>
          <w:lang w:val="es-ES_tradnl"/>
        </w:rPr>
        <w:footnoteReference w:id="11"/>
      </w:r>
      <w:r w:rsidRPr="00D634D6">
        <w:rPr>
          <w:rFonts w:ascii="Palatino Linotype" w:eastAsia="MS Gothic" w:hAnsi="Palatino Linotype" w:cs="Times New Roman"/>
          <w:sz w:val="24"/>
          <w:szCs w:val="26"/>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rPr>
        <w:t xml:space="preserve">El </w:t>
      </w:r>
      <w:r w:rsidRPr="00D634D6">
        <w:rPr>
          <w:rFonts w:ascii="Palatino Linotype" w:eastAsia="MS Gothic" w:hAnsi="Palatino Linotype" w:cs="Times New Roman"/>
          <w:sz w:val="24"/>
          <w:szCs w:val="26"/>
          <w:lang w:val="es-ES_tradnl"/>
        </w:rPr>
        <w:t>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28" w:name="_Toc34923434"/>
      <w:r w:rsidRPr="00D634D6">
        <w:rPr>
          <w:rFonts w:ascii="Palatino Linotype" w:hAnsi="Palatino Linotype" w:cs="Arial"/>
          <w:b/>
          <w:sz w:val="24"/>
        </w:rPr>
        <w:t>I. Requisitos previos.</w:t>
      </w:r>
      <w:bookmarkEnd w:id="28"/>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rPr>
        <w:t xml:space="preserve">Los </w:t>
      </w:r>
      <w:r w:rsidRPr="00D634D6">
        <w:rPr>
          <w:rFonts w:ascii="Palatino Linotype" w:eastAsia="MS Gothic" w:hAnsi="Palatino Linotype" w:cs="Times New Roman"/>
          <w:sz w:val="24"/>
          <w:szCs w:val="26"/>
          <w:lang w:val="es-ES_tradnl"/>
        </w:rPr>
        <w:t xml:space="preserve">artículos 122 y 100 de la Ley Estatal y de la Ley General, respectivamente, señalan que los sujetos obligados determinan que la </w:t>
      </w:r>
      <w:r w:rsidRPr="00D634D6">
        <w:rPr>
          <w:rFonts w:ascii="Palatino Linotype" w:eastAsia="MS Gothic" w:hAnsi="Palatino Linotype" w:cs="Times New Roman"/>
          <w:sz w:val="24"/>
          <w:szCs w:val="26"/>
          <w:lang w:val="es-ES_tradnl"/>
        </w:rPr>
        <w:lastRenderedPageBreak/>
        <w:t>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rPr>
        <w:t xml:space="preserve">Además, </w:t>
      </w:r>
      <w:r w:rsidRPr="00D634D6">
        <w:rPr>
          <w:rFonts w:ascii="Palatino Linotype" w:eastAsia="MS Gothic" w:hAnsi="Palatino Linotype" w:cs="Times New Roman"/>
          <w:sz w:val="24"/>
          <w:szCs w:val="26"/>
          <w:lang w:val="es-ES_tradnl"/>
        </w:rPr>
        <w:t>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rPr>
        <w:t xml:space="preserve">El </w:t>
      </w:r>
      <w:r w:rsidRPr="00D634D6">
        <w:rPr>
          <w:rFonts w:ascii="Palatino Linotype" w:eastAsia="MS Gothic" w:hAnsi="Palatino Linotype" w:cs="Times New Roman"/>
          <w:sz w:val="24"/>
          <w:szCs w:val="26"/>
          <w:lang w:val="es-ES_tradnl"/>
        </w:rPr>
        <w:t xml:space="preserve">último de estos requisitos previos consiste en que no se pueden emitir acuerdos de carácter general ni particular, según lo disponen los artículos 134 y 108 de la Ley Estatal y de la Ley General, respectivamente, esto es, </w:t>
      </w:r>
      <w:r w:rsidRPr="00D634D6">
        <w:rPr>
          <w:rFonts w:ascii="Palatino Linotype" w:eastAsia="MS Gothic" w:hAnsi="Palatino Linotype" w:cs="Times New Roman"/>
          <w:b/>
          <w:sz w:val="24"/>
          <w:szCs w:val="26"/>
          <w:u w:val="single"/>
          <w:lang w:val="es-ES_tradnl"/>
        </w:rPr>
        <w:t xml:space="preserve">no se puede hacer un acuerdo para clasificar de manera general todos los documentos de un expediente o área,  </w:t>
      </w:r>
      <w:r w:rsidRPr="00D634D6">
        <w:rPr>
          <w:rFonts w:ascii="Palatino Linotype" w:eastAsia="MS Gothic" w:hAnsi="Palatino Linotype" w:cs="Times New Roman"/>
          <w:sz w:val="24"/>
          <w:szCs w:val="26"/>
          <w:lang w:val="es-ES_tradnl"/>
        </w:rPr>
        <w:t>sin individualizar su análisis y tampoco se puede hacer un acuerdo por cada dato que se vaya a clasificar dentro de un documento con diez datos, por ejemplo, susceptibles de ser clasificados.</w:t>
      </w:r>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29" w:name="_Toc34923435"/>
      <w:r w:rsidRPr="00D634D6">
        <w:rPr>
          <w:rFonts w:ascii="Palatino Linotype" w:hAnsi="Palatino Linotype" w:cs="Arial"/>
          <w:b/>
          <w:sz w:val="24"/>
        </w:rPr>
        <w:lastRenderedPageBreak/>
        <w:t>II. Supuestos de clasificación.</w:t>
      </w:r>
      <w:bookmarkEnd w:id="29"/>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rPr>
        <w:t xml:space="preserve">Las </w:t>
      </w:r>
      <w:r w:rsidRPr="00D634D6">
        <w:rPr>
          <w:rFonts w:ascii="Palatino Linotype" w:eastAsia="MS Gothic" w:hAnsi="Palatino Linotype" w:cs="Times New Roman"/>
          <w:sz w:val="24"/>
          <w:szCs w:val="26"/>
          <w:lang w:val="es-ES_tradnl"/>
        </w:rPr>
        <w:t>disposiciones constitucionales y legales en la materia establecen los dos supuestos generales para clasificar la información: por reserva y por confidencialidad.</w:t>
      </w:r>
    </w:p>
    <w:p w:rsidR="001769AA" w:rsidRPr="00D634D6" w:rsidRDefault="001769AA"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1769AA" w:rsidRPr="00D634D6" w:rsidRDefault="001769AA"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Los artículos 140 y 113 de la Ley Estatal y de la Ley General, respectivamente, señalan los supuestos para que una información pueda considerarse como reservada, que son los siguientes:</w:t>
      </w:r>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tbl>
      <w:tblPr>
        <w:tblStyle w:val="Tablanormal11"/>
        <w:tblW w:w="8647" w:type="dxa"/>
        <w:tblInd w:w="-5" w:type="dxa"/>
        <w:tblLook w:val="04A0" w:firstRow="1" w:lastRow="0" w:firstColumn="1" w:lastColumn="0" w:noHBand="0" w:noVBand="1"/>
      </w:tblPr>
      <w:tblGrid>
        <w:gridCol w:w="4536"/>
        <w:gridCol w:w="4111"/>
      </w:tblGrid>
      <w:tr w:rsidR="001769AA" w:rsidRPr="00D634D6" w:rsidTr="00176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1769AA" w:rsidRPr="00D634D6" w:rsidRDefault="001769AA" w:rsidP="00D634D6">
            <w:pPr>
              <w:autoSpaceDE w:val="0"/>
              <w:autoSpaceDN w:val="0"/>
              <w:adjustRightInd w:val="0"/>
              <w:spacing w:line="360" w:lineRule="auto"/>
              <w:jc w:val="center"/>
              <w:rPr>
                <w:rFonts w:ascii="Palatino Linotype" w:hAnsi="Palatino Linotype"/>
                <w:color w:val="000000" w:themeColor="text1"/>
                <w:sz w:val="16"/>
                <w:szCs w:val="16"/>
              </w:rPr>
            </w:pPr>
            <w:r w:rsidRPr="00D634D6">
              <w:rPr>
                <w:rFonts w:ascii="Palatino Linotype" w:hAnsi="Palatino Linotype" w:cs="Gill Sans,Bold"/>
                <w:color w:val="000000" w:themeColor="text1"/>
                <w:sz w:val="16"/>
                <w:szCs w:val="16"/>
              </w:rPr>
              <w:t>LEY ESTATAL</w:t>
            </w:r>
          </w:p>
        </w:tc>
        <w:tc>
          <w:tcPr>
            <w:tcW w:w="4111" w:type="dxa"/>
          </w:tcPr>
          <w:p w:rsidR="001769AA" w:rsidRPr="00D634D6" w:rsidRDefault="001769AA" w:rsidP="00D634D6">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rPr>
            </w:pPr>
            <w:r w:rsidRPr="00D634D6">
              <w:rPr>
                <w:rFonts w:ascii="Palatino Linotype" w:hAnsi="Palatino Linotype"/>
                <w:color w:val="000000" w:themeColor="text1"/>
                <w:sz w:val="16"/>
                <w:szCs w:val="16"/>
              </w:rPr>
              <w:t>LEY GENERAL</w:t>
            </w:r>
          </w:p>
        </w:tc>
      </w:tr>
      <w:tr w:rsidR="001769AA" w:rsidRPr="00D634D6" w:rsidTr="0017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1769AA" w:rsidRPr="00D634D6" w:rsidRDefault="001769AA" w:rsidP="00D634D6">
            <w:pPr>
              <w:autoSpaceDE w:val="0"/>
              <w:autoSpaceDN w:val="0"/>
              <w:adjustRightInd w:val="0"/>
              <w:spacing w:line="360" w:lineRule="auto"/>
              <w:jc w:val="both"/>
              <w:rPr>
                <w:rFonts w:ascii="Palatino Linotype" w:hAnsi="Palatino Linotype" w:cs="Arial"/>
                <w:color w:val="000000" w:themeColor="text1"/>
                <w:sz w:val="16"/>
                <w:szCs w:val="16"/>
              </w:rPr>
            </w:pPr>
            <w:r w:rsidRPr="00D634D6">
              <w:rPr>
                <w:rFonts w:ascii="Palatino Linotype" w:hAnsi="Palatino Linotype" w:cs="Arial"/>
                <w:color w:val="000000" w:themeColor="text1"/>
                <w:sz w:val="16"/>
                <w:szCs w:val="16"/>
              </w:rPr>
              <w:t>I. Comprometa la seguridad pública y cuente con un propósito genuino y un efecto demostrable;</w:t>
            </w:r>
          </w:p>
          <w:p w:rsidR="001769AA" w:rsidRPr="00D634D6" w:rsidRDefault="001769AA" w:rsidP="00D634D6">
            <w:pPr>
              <w:spacing w:line="360" w:lineRule="auto"/>
              <w:jc w:val="both"/>
              <w:rPr>
                <w:rFonts w:ascii="Palatino Linotype" w:hAnsi="Palatino Linotype"/>
                <w:color w:val="000000" w:themeColor="text1"/>
                <w:sz w:val="16"/>
                <w:szCs w:val="16"/>
              </w:rPr>
            </w:pPr>
          </w:p>
        </w:tc>
        <w:tc>
          <w:tcPr>
            <w:tcW w:w="4111" w:type="dxa"/>
          </w:tcPr>
          <w:p w:rsidR="001769AA" w:rsidRPr="00D634D6" w:rsidRDefault="001769AA" w:rsidP="00D634D6">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D634D6">
              <w:rPr>
                <w:rFonts w:ascii="Palatino Linotype" w:hAnsi="Palatino Linotype"/>
                <w:color w:val="000000" w:themeColor="text1"/>
                <w:sz w:val="16"/>
                <w:szCs w:val="16"/>
                <w:lang w:val="es-ES"/>
              </w:rPr>
              <w:t>I.</w:t>
            </w:r>
            <w:r w:rsidRPr="00D634D6">
              <w:rPr>
                <w:rFonts w:ascii="Palatino Linotype" w:hAnsi="Palatino Linotype"/>
                <w:color w:val="000000" w:themeColor="text1"/>
                <w:sz w:val="16"/>
                <w:szCs w:val="16"/>
                <w:lang w:val="es-ES"/>
              </w:rPr>
              <w:tab/>
              <w:t>Comprometa la seguridad nacional, la seguridad pública o la defensa nacional y cuente con un propósito genuino y un efecto demostrable;</w:t>
            </w:r>
          </w:p>
        </w:tc>
      </w:tr>
      <w:tr w:rsidR="001769AA" w:rsidRPr="00D634D6" w:rsidTr="001769AA">
        <w:tc>
          <w:tcPr>
            <w:cnfStyle w:val="001000000000" w:firstRow="0" w:lastRow="0" w:firstColumn="1" w:lastColumn="0" w:oddVBand="0" w:evenVBand="0" w:oddHBand="0" w:evenHBand="0" w:firstRowFirstColumn="0" w:firstRowLastColumn="0" w:lastRowFirstColumn="0" w:lastRowLastColumn="0"/>
            <w:tcW w:w="4536" w:type="dxa"/>
          </w:tcPr>
          <w:p w:rsidR="001769AA" w:rsidRPr="00D634D6" w:rsidRDefault="001769AA" w:rsidP="00D634D6">
            <w:pPr>
              <w:autoSpaceDE w:val="0"/>
              <w:autoSpaceDN w:val="0"/>
              <w:adjustRightInd w:val="0"/>
              <w:spacing w:line="360" w:lineRule="auto"/>
              <w:jc w:val="both"/>
              <w:rPr>
                <w:rFonts w:ascii="Palatino Linotype" w:hAnsi="Palatino Linotype" w:cs="Arial"/>
                <w:color w:val="000000" w:themeColor="text1"/>
                <w:sz w:val="16"/>
                <w:szCs w:val="16"/>
              </w:rPr>
            </w:pPr>
            <w:r w:rsidRPr="00D634D6">
              <w:rPr>
                <w:rFonts w:ascii="Palatino Linotype" w:hAnsi="Palatino Linotype" w:cs="Arial"/>
                <w:color w:val="000000" w:themeColor="text1"/>
                <w:sz w:val="16"/>
                <w:szCs w:val="16"/>
              </w:rPr>
              <w:t>II. Pueda menoscabar la conducción de las negociaciones y relaciones internacionales;</w:t>
            </w:r>
          </w:p>
        </w:tc>
        <w:tc>
          <w:tcPr>
            <w:tcW w:w="4111" w:type="dxa"/>
          </w:tcPr>
          <w:p w:rsidR="001769AA" w:rsidRPr="00D634D6" w:rsidRDefault="001769AA" w:rsidP="00D634D6">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D634D6">
              <w:rPr>
                <w:rFonts w:ascii="Palatino Linotype" w:hAnsi="Palatino Linotype"/>
                <w:color w:val="000000" w:themeColor="text1"/>
                <w:sz w:val="16"/>
                <w:szCs w:val="16"/>
                <w:lang w:val="es-ES"/>
              </w:rPr>
              <w:t>II.</w:t>
            </w:r>
            <w:r w:rsidRPr="00D634D6">
              <w:rPr>
                <w:rFonts w:ascii="Palatino Linotype" w:hAnsi="Palatino Linotype"/>
                <w:color w:val="000000" w:themeColor="text1"/>
                <w:sz w:val="16"/>
                <w:szCs w:val="16"/>
                <w:lang w:val="es-ES"/>
              </w:rPr>
              <w:tab/>
              <w:t>Pueda menoscabar la conducción de las negociaciones y relaciones internacionales;</w:t>
            </w:r>
          </w:p>
        </w:tc>
      </w:tr>
      <w:tr w:rsidR="001769AA" w:rsidRPr="00D634D6" w:rsidTr="0017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1769AA" w:rsidRPr="00D634D6" w:rsidRDefault="001769AA" w:rsidP="00D634D6">
            <w:pPr>
              <w:autoSpaceDE w:val="0"/>
              <w:autoSpaceDN w:val="0"/>
              <w:adjustRightInd w:val="0"/>
              <w:spacing w:line="360" w:lineRule="auto"/>
              <w:jc w:val="both"/>
              <w:rPr>
                <w:rFonts w:ascii="Palatino Linotype" w:hAnsi="Palatino Linotype" w:cs="Arial"/>
                <w:color w:val="000000" w:themeColor="text1"/>
                <w:sz w:val="16"/>
                <w:szCs w:val="16"/>
              </w:rPr>
            </w:pPr>
            <w:r w:rsidRPr="00D634D6">
              <w:rPr>
                <w:rFonts w:ascii="Palatino Linotype" w:hAnsi="Palatino Linotype" w:cs="Arial"/>
                <w:color w:val="000000" w:themeColor="text1"/>
                <w:sz w:val="16"/>
                <w:szCs w:val="16"/>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4111" w:type="dxa"/>
          </w:tcPr>
          <w:p w:rsidR="001769AA" w:rsidRPr="00D634D6" w:rsidRDefault="001769AA" w:rsidP="00D634D6">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D634D6">
              <w:rPr>
                <w:rFonts w:ascii="Palatino Linotype" w:hAnsi="Palatino Linotype"/>
                <w:color w:val="000000" w:themeColor="text1"/>
                <w:sz w:val="16"/>
                <w:szCs w:val="16"/>
                <w:lang w:val="es-ES"/>
              </w:rPr>
              <w:t>III.</w:t>
            </w:r>
            <w:r w:rsidRPr="00D634D6">
              <w:rPr>
                <w:rFonts w:ascii="Palatino Linotype" w:hAnsi="Palatino Linotype"/>
                <w:color w:val="000000" w:themeColor="text1"/>
                <w:sz w:val="16"/>
                <w:szCs w:val="16"/>
                <w:lang w:val="es-E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1769AA" w:rsidRPr="00D634D6" w:rsidTr="001769AA">
        <w:tc>
          <w:tcPr>
            <w:cnfStyle w:val="001000000000" w:firstRow="0" w:lastRow="0" w:firstColumn="1" w:lastColumn="0" w:oddVBand="0" w:evenVBand="0" w:oddHBand="0" w:evenHBand="0" w:firstRowFirstColumn="0" w:firstRowLastColumn="0" w:lastRowFirstColumn="0" w:lastRowLastColumn="0"/>
            <w:tcW w:w="4536" w:type="dxa"/>
          </w:tcPr>
          <w:p w:rsidR="001769AA" w:rsidRPr="00D634D6" w:rsidRDefault="001769AA" w:rsidP="00D634D6">
            <w:pPr>
              <w:autoSpaceDE w:val="0"/>
              <w:autoSpaceDN w:val="0"/>
              <w:adjustRightInd w:val="0"/>
              <w:spacing w:line="360" w:lineRule="auto"/>
              <w:jc w:val="both"/>
              <w:rPr>
                <w:rFonts w:ascii="Palatino Linotype" w:hAnsi="Palatino Linotype" w:cs="Arial"/>
                <w:color w:val="000000" w:themeColor="text1"/>
                <w:sz w:val="16"/>
                <w:szCs w:val="16"/>
              </w:rPr>
            </w:pPr>
          </w:p>
        </w:tc>
        <w:tc>
          <w:tcPr>
            <w:tcW w:w="4111" w:type="dxa"/>
          </w:tcPr>
          <w:p w:rsidR="001769AA" w:rsidRPr="00D634D6" w:rsidRDefault="001769AA" w:rsidP="00D634D6">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D634D6">
              <w:rPr>
                <w:rFonts w:ascii="Palatino Linotype" w:hAnsi="Palatino Linotype"/>
                <w:color w:val="000000" w:themeColor="text1"/>
                <w:sz w:val="16"/>
                <w:szCs w:val="16"/>
                <w:lang w:val="es-ES"/>
              </w:rPr>
              <w:t>IV.</w:t>
            </w:r>
            <w:r w:rsidRPr="00D634D6">
              <w:rPr>
                <w:rFonts w:ascii="Palatino Linotype" w:hAnsi="Palatino Linotype"/>
                <w:color w:val="000000" w:themeColor="text1"/>
                <w:sz w:val="16"/>
                <w:szCs w:val="16"/>
                <w:lang w:val="es-ES"/>
              </w:rPr>
              <w:tab/>
              <w:t xml:space="preserve">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w:t>
            </w:r>
            <w:r w:rsidRPr="00D634D6">
              <w:rPr>
                <w:rFonts w:ascii="Palatino Linotype" w:hAnsi="Palatino Linotype"/>
                <w:color w:val="000000" w:themeColor="text1"/>
                <w:sz w:val="16"/>
                <w:szCs w:val="16"/>
                <w:lang w:val="es-ES"/>
              </w:rPr>
              <w:lastRenderedPageBreak/>
              <w:t>operaciones financieras que realicen los sujetos obligados del sector público federal;</w:t>
            </w:r>
          </w:p>
        </w:tc>
      </w:tr>
      <w:tr w:rsidR="001769AA" w:rsidRPr="00D634D6" w:rsidTr="0017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1769AA" w:rsidRPr="00D634D6" w:rsidRDefault="001769AA" w:rsidP="00D634D6">
            <w:pPr>
              <w:autoSpaceDE w:val="0"/>
              <w:autoSpaceDN w:val="0"/>
              <w:adjustRightInd w:val="0"/>
              <w:spacing w:line="360" w:lineRule="auto"/>
              <w:jc w:val="both"/>
              <w:rPr>
                <w:rFonts w:ascii="Palatino Linotype" w:hAnsi="Palatino Linotype" w:cs="Arial"/>
                <w:color w:val="000000" w:themeColor="text1"/>
                <w:sz w:val="16"/>
                <w:szCs w:val="16"/>
              </w:rPr>
            </w:pPr>
            <w:r w:rsidRPr="00D634D6">
              <w:rPr>
                <w:rFonts w:ascii="Palatino Linotype" w:hAnsi="Palatino Linotype" w:cs="Arial"/>
                <w:color w:val="000000" w:themeColor="text1"/>
                <w:sz w:val="16"/>
                <w:szCs w:val="16"/>
              </w:rPr>
              <w:lastRenderedPageBreak/>
              <w:t>IV. Ponga en riesgo la vida, la seguridad o la salud de una persona física;</w:t>
            </w:r>
          </w:p>
        </w:tc>
        <w:tc>
          <w:tcPr>
            <w:tcW w:w="4111" w:type="dxa"/>
          </w:tcPr>
          <w:p w:rsidR="001769AA" w:rsidRPr="00D634D6" w:rsidRDefault="001769AA" w:rsidP="00D634D6">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D634D6">
              <w:rPr>
                <w:rFonts w:ascii="Palatino Linotype" w:hAnsi="Palatino Linotype"/>
                <w:color w:val="000000" w:themeColor="text1"/>
                <w:sz w:val="16"/>
                <w:szCs w:val="16"/>
                <w:lang w:val="es-ES"/>
              </w:rPr>
              <w:t>V.</w:t>
            </w:r>
            <w:r w:rsidRPr="00D634D6">
              <w:rPr>
                <w:rFonts w:ascii="Palatino Linotype" w:hAnsi="Palatino Linotype"/>
                <w:color w:val="000000" w:themeColor="text1"/>
                <w:sz w:val="16"/>
                <w:szCs w:val="16"/>
                <w:lang w:val="es-ES"/>
              </w:rPr>
              <w:tab/>
              <w:t>Pueda poner en riesgo la vida, seguridad o salud de una persona física;</w:t>
            </w:r>
          </w:p>
        </w:tc>
      </w:tr>
      <w:tr w:rsidR="001769AA" w:rsidRPr="00D634D6" w:rsidTr="001769AA">
        <w:tc>
          <w:tcPr>
            <w:cnfStyle w:val="001000000000" w:firstRow="0" w:lastRow="0" w:firstColumn="1" w:lastColumn="0" w:oddVBand="0" w:evenVBand="0" w:oddHBand="0" w:evenHBand="0" w:firstRowFirstColumn="0" w:firstRowLastColumn="0" w:lastRowFirstColumn="0" w:lastRowLastColumn="0"/>
            <w:tcW w:w="4536" w:type="dxa"/>
          </w:tcPr>
          <w:p w:rsidR="001769AA" w:rsidRPr="00D634D6" w:rsidRDefault="001769AA" w:rsidP="00D634D6">
            <w:pPr>
              <w:autoSpaceDE w:val="0"/>
              <w:autoSpaceDN w:val="0"/>
              <w:adjustRightInd w:val="0"/>
              <w:spacing w:line="360" w:lineRule="auto"/>
              <w:jc w:val="both"/>
              <w:rPr>
                <w:rFonts w:ascii="Palatino Linotype" w:hAnsi="Palatino Linotype" w:cs="Arial"/>
                <w:color w:val="000000" w:themeColor="text1"/>
                <w:sz w:val="16"/>
                <w:szCs w:val="16"/>
              </w:rPr>
            </w:pPr>
            <w:r w:rsidRPr="00D634D6">
              <w:rPr>
                <w:rFonts w:ascii="Palatino Linotype" w:hAnsi="Palatino Linotype" w:cs="Arial"/>
                <w:color w:val="000000" w:themeColor="text1"/>
                <w:sz w:val="16"/>
                <w:szCs w:val="16"/>
              </w:rPr>
              <w:t>V. Aquella cuya divulgación obstruya o pueda causar un serio perjuicio a:</w:t>
            </w:r>
          </w:p>
          <w:p w:rsidR="001769AA" w:rsidRPr="00D634D6" w:rsidRDefault="001769AA" w:rsidP="00D634D6">
            <w:pPr>
              <w:autoSpaceDE w:val="0"/>
              <w:autoSpaceDN w:val="0"/>
              <w:adjustRightInd w:val="0"/>
              <w:spacing w:line="360" w:lineRule="auto"/>
              <w:jc w:val="both"/>
              <w:rPr>
                <w:rFonts w:ascii="Palatino Linotype" w:hAnsi="Palatino Linotype" w:cs="Arial"/>
                <w:color w:val="000000" w:themeColor="text1"/>
                <w:sz w:val="16"/>
                <w:szCs w:val="16"/>
              </w:rPr>
            </w:pPr>
          </w:p>
          <w:p w:rsidR="001769AA" w:rsidRPr="00D634D6" w:rsidRDefault="001769AA" w:rsidP="00D634D6">
            <w:pPr>
              <w:autoSpaceDE w:val="0"/>
              <w:autoSpaceDN w:val="0"/>
              <w:adjustRightInd w:val="0"/>
              <w:spacing w:line="360" w:lineRule="auto"/>
              <w:jc w:val="both"/>
              <w:rPr>
                <w:rFonts w:ascii="Palatino Linotype" w:hAnsi="Palatino Linotype" w:cs="Arial"/>
                <w:color w:val="000000" w:themeColor="text1"/>
                <w:sz w:val="16"/>
                <w:szCs w:val="16"/>
              </w:rPr>
            </w:pPr>
            <w:r w:rsidRPr="00D634D6">
              <w:rPr>
                <w:rFonts w:ascii="Palatino Linotype" w:hAnsi="Palatino Linotype" w:cs="Arial"/>
                <w:color w:val="000000" w:themeColor="text1"/>
                <w:sz w:val="16"/>
                <w:szCs w:val="16"/>
              </w:rPr>
              <w:t>1. Las actividades de fiscalización, verificación, inspección, comprobación y auditoría sobre el cumplimiento de las Leyes; o</w:t>
            </w:r>
          </w:p>
          <w:p w:rsidR="001769AA" w:rsidRPr="00D634D6" w:rsidRDefault="001769AA" w:rsidP="00D634D6">
            <w:pPr>
              <w:autoSpaceDE w:val="0"/>
              <w:autoSpaceDN w:val="0"/>
              <w:adjustRightInd w:val="0"/>
              <w:spacing w:line="360" w:lineRule="auto"/>
              <w:jc w:val="both"/>
              <w:rPr>
                <w:rFonts w:ascii="Palatino Linotype" w:hAnsi="Palatino Linotype" w:cs="Arial"/>
                <w:color w:val="000000" w:themeColor="text1"/>
                <w:sz w:val="16"/>
                <w:szCs w:val="16"/>
              </w:rPr>
            </w:pPr>
          </w:p>
          <w:p w:rsidR="001769AA" w:rsidRPr="00D634D6" w:rsidRDefault="001769AA" w:rsidP="00D634D6">
            <w:pPr>
              <w:autoSpaceDE w:val="0"/>
              <w:autoSpaceDN w:val="0"/>
              <w:adjustRightInd w:val="0"/>
              <w:spacing w:line="360" w:lineRule="auto"/>
              <w:jc w:val="both"/>
              <w:rPr>
                <w:rFonts w:ascii="Palatino Linotype" w:hAnsi="Palatino Linotype" w:cs="Arial"/>
                <w:color w:val="000000" w:themeColor="text1"/>
                <w:sz w:val="16"/>
                <w:szCs w:val="16"/>
              </w:rPr>
            </w:pPr>
            <w:r w:rsidRPr="00D634D6">
              <w:rPr>
                <w:rFonts w:ascii="Palatino Linotype" w:hAnsi="Palatino Linotype" w:cs="Arial"/>
                <w:color w:val="000000" w:themeColor="text1"/>
                <w:sz w:val="16"/>
                <w:szCs w:val="16"/>
              </w:rPr>
              <w:t>2. La recaudación de las contribuciones.</w:t>
            </w:r>
          </w:p>
        </w:tc>
        <w:tc>
          <w:tcPr>
            <w:tcW w:w="4111" w:type="dxa"/>
          </w:tcPr>
          <w:p w:rsidR="001769AA" w:rsidRPr="00D634D6" w:rsidRDefault="001769AA" w:rsidP="00D634D6">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D634D6">
              <w:rPr>
                <w:rFonts w:ascii="Palatino Linotype" w:hAnsi="Palatino Linotype"/>
                <w:color w:val="000000" w:themeColor="text1"/>
                <w:sz w:val="16"/>
                <w:szCs w:val="16"/>
                <w:lang w:val="es-ES"/>
              </w:rPr>
              <w:t>VI.</w:t>
            </w:r>
            <w:r w:rsidRPr="00D634D6">
              <w:rPr>
                <w:rFonts w:ascii="Palatino Linotype" w:hAnsi="Palatino Linotype"/>
                <w:color w:val="000000" w:themeColor="text1"/>
                <w:sz w:val="16"/>
                <w:szCs w:val="16"/>
                <w:lang w:val="es-ES"/>
              </w:rPr>
              <w:tab/>
              <w:t>Obstruya las actividades de verificación, inspección y auditoría relativas al cumplimiento de las leyes o afecte la recaudación de contribuciones;</w:t>
            </w:r>
          </w:p>
          <w:p w:rsidR="001769AA" w:rsidRPr="00D634D6" w:rsidRDefault="001769AA" w:rsidP="00D634D6">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p>
          <w:p w:rsidR="001769AA" w:rsidRPr="00D634D6" w:rsidRDefault="001769AA" w:rsidP="00D634D6">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rPr>
            </w:pPr>
          </w:p>
        </w:tc>
      </w:tr>
      <w:tr w:rsidR="001769AA" w:rsidRPr="00D634D6" w:rsidTr="0017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1769AA" w:rsidRPr="00D634D6" w:rsidRDefault="001769AA" w:rsidP="00D634D6">
            <w:pPr>
              <w:autoSpaceDE w:val="0"/>
              <w:autoSpaceDN w:val="0"/>
              <w:adjustRightInd w:val="0"/>
              <w:spacing w:line="360" w:lineRule="auto"/>
              <w:jc w:val="both"/>
              <w:rPr>
                <w:rFonts w:ascii="Palatino Linotype" w:hAnsi="Palatino Linotype" w:cs="Arial"/>
                <w:color w:val="000000" w:themeColor="text1"/>
                <w:sz w:val="16"/>
                <w:szCs w:val="16"/>
              </w:rPr>
            </w:pPr>
            <w:r w:rsidRPr="00D634D6">
              <w:rPr>
                <w:rFonts w:ascii="Palatino Linotype" w:hAnsi="Palatino Linotype" w:cs="Arial"/>
                <w:color w:val="000000" w:themeColor="text1"/>
                <w:sz w:val="16"/>
                <w:szCs w:val="16"/>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4111" w:type="dxa"/>
          </w:tcPr>
          <w:p w:rsidR="001769AA" w:rsidRPr="00D634D6" w:rsidRDefault="001769AA" w:rsidP="00D634D6">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D634D6">
              <w:rPr>
                <w:rFonts w:ascii="Palatino Linotype" w:hAnsi="Palatino Linotype"/>
                <w:color w:val="000000" w:themeColor="text1"/>
                <w:sz w:val="16"/>
                <w:szCs w:val="16"/>
                <w:lang w:val="es-ES"/>
              </w:rPr>
              <w:t>VII.</w:t>
            </w:r>
            <w:r w:rsidRPr="00D634D6">
              <w:rPr>
                <w:rFonts w:ascii="Palatino Linotype" w:hAnsi="Palatino Linotype"/>
                <w:color w:val="000000" w:themeColor="text1"/>
                <w:sz w:val="16"/>
                <w:szCs w:val="16"/>
                <w:lang w:val="es-ES"/>
              </w:rPr>
              <w:tab/>
              <w:t>Obstruya la prevención o persecución de los delitos;</w:t>
            </w:r>
          </w:p>
          <w:p w:rsidR="001769AA" w:rsidRPr="00D634D6" w:rsidRDefault="001769AA" w:rsidP="00D634D6">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p>
          <w:p w:rsidR="001769AA" w:rsidRPr="00D634D6" w:rsidRDefault="001769AA" w:rsidP="00D634D6">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rPr>
            </w:pPr>
          </w:p>
        </w:tc>
      </w:tr>
      <w:tr w:rsidR="001769AA" w:rsidRPr="00D634D6" w:rsidTr="001769AA">
        <w:tc>
          <w:tcPr>
            <w:cnfStyle w:val="001000000000" w:firstRow="0" w:lastRow="0" w:firstColumn="1" w:lastColumn="0" w:oddVBand="0" w:evenVBand="0" w:oddHBand="0" w:evenHBand="0" w:firstRowFirstColumn="0" w:firstRowLastColumn="0" w:lastRowFirstColumn="0" w:lastRowLastColumn="0"/>
            <w:tcW w:w="4536" w:type="dxa"/>
          </w:tcPr>
          <w:p w:rsidR="001769AA" w:rsidRPr="00D634D6" w:rsidRDefault="001769AA" w:rsidP="00D634D6">
            <w:pPr>
              <w:autoSpaceDE w:val="0"/>
              <w:autoSpaceDN w:val="0"/>
              <w:adjustRightInd w:val="0"/>
              <w:spacing w:line="360" w:lineRule="auto"/>
              <w:jc w:val="both"/>
              <w:rPr>
                <w:rFonts w:ascii="Palatino Linotype" w:hAnsi="Palatino Linotype" w:cs="Arial"/>
                <w:color w:val="000000" w:themeColor="text1"/>
                <w:sz w:val="16"/>
                <w:szCs w:val="16"/>
              </w:rPr>
            </w:pPr>
            <w:r w:rsidRPr="00D634D6">
              <w:rPr>
                <w:rFonts w:ascii="Palatino Linotype" w:hAnsi="Palatino Linotype" w:cs="Arial"/>
                <w:color w:val="000000" w:themeColor="text1"/>
                <w:sz w:val="16"/>
                <w:szCs w:val="16"/>
              </w:rPr>
              <w:t>VII. La que contengan las opiniones, recomendaciones o puntos de vista que formen parte del proceso deliberativo de los servidores públicos, hasta en tanto sea adoptada la decisión definitiva, la cual deberá estar documentada;</w:t>
            </w:r>
          </w:p>
        </w:tc>
        <w:tc>
          <w:tcPr>
            <w:tcW w:w="4111" w:type="dxa"/>
          </w:tcPr>
          <w:p w:rsidR="001769AA" w:rsidRPr="00D634D6" w:rsidRDefault="001769AA" w:rsidP="00D634D6">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D634D6">
              <w:rPr>
                <w:rFonts w:ascii="Palatino Linotype" w:hAnsi="Palatino Linotype"/>
                <w:color w:val="000000" w:themeColor="text1"/>
                <w:sz w:val="16"/>
                <w:szCs w:val="16"/>
                <w:lang w:val="es-ES"/>
              </w:rPr>
              <w:t>VIII.</w:t>
            </w:r>
            <w:r w:rsidRPr="00D634D6">
              <w:rPr>
                <w:rFonts w:ascii="Palatino Linotype" w:hAnsi="Palatino Linotype"/>
                <w:color w:val="000000" w:themeColor="text1"/>
                <w:sz w:val="16"/>
                <w:szCs w:val="16"/>
                <w:lang w:val="es-ES"/>
              </w:rPr>
              <w:tab/>
              <w:t>La que contenga las opiniones, recomendaciones o puntos de vista que formen parte del proceso deliberativo de los servidores públicos, hasta en tanto no sea adoptada la decisión definitiva, la cual deberá estar documentada;</w:t>
            </w:r>
          </w:p>
        </w:tc>
      </w:tr>
      <w:tr w:rsidR="001769AA" w:rsidRPr="00D634D6" w:rsidTr="0017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1769AA" w:rsidRPr="00D634D6" w:rsidRDefault="001769AA" w:rsidP="00D634D6">
            <w:pPr>
              <w:autoSpaceDE w:val="0"/>
              <w:autoSpaceDN w:val="0"/>
              <w:adjustRightInd w:val="0"/>
              <w:spacing w:line="360" w:lineRule="auto"/>
              <w:jc w:val="both"/>
              <w:rPr>
                <w:rFonts w:ascii="Palatino Linotype" w:hAnsi="Palatino Linotype" w:cs="Arial"/>
                <w:color w:val="000000" w:themeColor="text1"/>
                <w:sz w:val="16"/>
                <w:szCs w:val="16"/>
              </w:rPr>
            </w:pPr>
          </w:p>
        </w:tc>
        <w:tc>
          <w:tcPr>
            <w:tcW w:w="4111" w:type="dxa"/>
          </w:tcPr>
          <w:p w:rsidR="001769AA" w:rsidRPr="00D634D6" w:rsidRDefault="001769AA" w:rsidP="00D634D6">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D634D6">
              <w:rPr>
                <w:rFonts w:ascii="Palatino Linotype" w:hAnsi="Palatino Linotype"/>
                <w:color w:val="000000" w:themeColor="text1"/>
                <w:sz w:val="16"/>
                <w:szCs w:val="16"/>
                <w:lang w:val="es-ES"/>
              </w:rPr>
              <w:t>IX.</w:t>
            </w:r>
            <w:r w:rsidRPr="00D634D6">
              <w:rPr>
                <w:rFonts w:ascii="Palatino Linotype" w:hAnsi="Palatino Linotype"/>
                <w:color w:val="000000" w:themeColor="text1"/>
                <w:sz w:val="16"/>
                <w:szCs w:val="16"/>
                <w:lang w:val="es-ES"/>
              </w:rPr>
              <w:tab/>
              <w:t>Obstruya los procedimientos para fincar responsabilidad a los Servidores Públicos, en tanto no se haya dictado la resolución administrativa;</w:t>
            </w:r>
          </w:p>
        </w:tc>
      </w:tr>
      <w:tr w:rsidR="001769AA" w:rsidRPr="00D634D6" w:rsidTr="001769AA">
        <w:tc>
          <w:tcPr>
            <w:cnfStyle w:val="001000000000" w:firstRow="0" w:lastRow="0" w:firstColumn="1" w:lastColumn="0" w:oddVBand="0" w:evenVBand="0" w:oddHBand="0" w:evenHBand="0" w:firstRowFirstColumn="0" w:firstRowLastColumn="0" w:lastRowFirstColumn="0" w:lastRowLastColumn="0"/>
            <w:tcW w:w="4536" w:type="dxa"/>
          </w:tcPr>
          <w:p w:rsidR="001769AA" w:rsidRPr="00D634D6" w:rsidRDefault="001769AA" w:rsidP="00D634D6">
            <w:pPr>
              <w:autoSpaceDE w:val="0"/>
              <w:autoSpaceDN w:val="0"/>
              <w:adjustRightInd w:val="0"/>
              <w:spacing w:line="360" w:lineRule="auto"/>
              <w:jc w:val="both"/>
              <w:rPr>
                <w:rFonts w:ascii="Palatino Linotype" w:hAnsi="Palatino Linotype" w:cs="Arial"/>
                <w:color w:val="000000" w:themeColor="text1"/>
                <w:sz w:val="16"/>
                <w:szCs w:val="16"/>
              </w:rPr>
            </w:pPr>
          </w:p>
        </w:tc>
        <w:tc>
          <w:tcPr>
            <w:tcW w:w="4111" w:type="dxa"/>
          </w:tcPr>
          <w:p w:rsidR="001769AA" w:rsidRPr="00D634D6" w:rsidRDefault="001769AA" w:rsidP="00D634D6">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D634D6">
              <w:rPr>
                <w:rFonts w:ascii="Palatino Linotype" w:hAnsi="Palatino Linotype"/>
                <w:color w:val="000000" w:themeColor="text1"/>
                <w:sz w:val="16"/>
                <w:szCs w:val="16"/>
                <w:lang w:val="es-ES"/>
              </w:rPr>
              <w:t>X.</w:t>
            </w:r>
            <w:r w:rsidRPr="00D634D6">
              <w:rPr>
                <w:rFonts w:ascii="Palatino Linotype" w:hAnsi="Palatino Linotype"/>
                <w:color w:val="000000" w:themeColor="text1"/>
                <w:sz w:val="16"/>
                <w:szCs w:val="16"/>
                <w:lang w:val="es-ES"/>
              </w:rPr>
              <w:tab/>
              <w:t>Afecte los derechos del debido proceso;</w:t>
            </w:r>
          </w:p>
        </w:tc>
      </w:tr>
      <w:tr w:rsidR="001769AA" w:rsidRPr="00D634D6" w:rsidTr="0017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1769AA" w:rsidRPr="00D634D6" w:rsidRDefault="001769AA" w:rsidP="00D634D6">
            <w:pPr>
              <w:autoSpaceDE w:val="0"/>
              <w:autoSpaceDN w:val="0"/>
              <w:adjustRightInd w:val="0"/>
              <w:spacing w:line="360" w:lineRule="auto"/>
              <w:jc w:val="both"/>
              <w:rPr>
                <w:rFonts w:ascii="Palatino Linotype" w:hAnsi="Palatino Linotype" w:cs="Arial"/>
                <w:color w:val="000000" w:themeColor="text1"/>
                <w:sz w:val="16"/>
                <w:szCs w:val="16"/>
              </w:rPr>
            </w:pPr>
            <w:r w:rsidRPr="00D634D6">
              <w:rPr>
                <w:rFonts w:ascii="Palatino Linotype" w:hAnsi="Palatino Linotype" w:cs="Arial"/>
                <w:color w:val="000000" w:themeColor="text1"/>
                <w:sz w:val="16"/>
                <w:szCs w:val="16"/>
              </w:rPr>
              <w:t>VIII. Vulnere la conducción de los expedientes judiciales o de los procedimientos administrativos seguidos en forma de juicio, en tanto no hayan quedado firmes;</w:t>
            </w:r>
          </w:p>
        </w:tc>
        <w:tc>
          <w:tcPr>
            <w:tcW w:w="4111" w:type="dxa"/>
          </w:tcPr>
          <w:p w:rsidR="001769AA" w:rsidRPr="00D634D6" w:rsidRDefault="001769AA" w:rsidP="00D634D6">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lang w:val="es-ES"/>
              </w:rPr>
            </w:pPr>
            <w:r w:rsidRPr="00D634D6">
              <w:rPr>
                <w:rFonts w:ascii="Palatino Linotype" w:hAnsi="Palatino Linotype"/>
                <w:color w:val="000000" w:themeColor="text1"/>
                <w:sz w:val="16"/>
                <w:szCs w:val="16"/>
                <w:lang w:val="es-ES"/>
              </w:rPr>
              <w:t>XI.</w:t>
            </w:r>
            <w:r w:rsidRPr="00D634D6">
              <w:rPr>
                <w:rFonts w:ascii="Palatino Linotype" w:hAnsi="Palatino Linotype"/>
                <w:color w:val="000000" w:themeColor="text1"/>
                <w:sz w:val="16"/>
                <w:szCs w:val="16"/>
                <w:lang w:val="es-ES"/>
              </w:rPr>
              <w:tab/>
              <w:t>Vulnere la conducción de los Expedientes judiciales o de los procedimientos administrativos seguidos en forma de juicio, en tanto no hayan causado estado;</w:t>
            </w:r>
          </w:p>
        </w:tc>
      </w:tr>
      <w:tr w:rsidR="001769AA" w:rsidRPr="00D634D6" w:rsidTr="001769AA">
        <w:tc>
          <w:tcPr>
            <w:cnfStyle w:val="001000000000" w:firstRow="0" w:lastRow="0" w:firstColumn="1" w:lastColumn="0" w:oddVBand="0" w:evenVBand="0" w:oddHBand="0" w:evenHBand="0" w:firstRowFirstColumn="0" w:firstRowLastColumn="0" w:lastRowFirstColumn="0" w:lastRowLastColumn="0"/>
            <w:tcW w:w="4536" w:type="dxa"/>
          </w:tcPr>
          <w:p w:rsidR="001769AA" w:rsidRPr="00D634D6" w:rsidRDefault="001769AA" w:rsidP="00D634D6">
            <w:pPr>
              <w:autoSpaceDE w:val="0"/>
              <w:autoSpaceDN w:val="0"/>
              <w:adjustRightInd w:val="0"/>
              <w:spacing w:line="360" w:lineRule="auto"/>
              <w:jc w:val="both"/>
              <w:rPr>
                <w:rFonts w:ascii="Palatino Linotype" w:hAnsi="Palatino Linotype" w:cs="Arial"/>
                <w:color w:val="000000" w:themeColor="text1"/>
                <w:sz w:val="16"/>
                <w:szCs w:val="16"/>
              </w:rPr>
            </w:pPr>
            <w:r w:rsidRPr="00D634D6">
              <w:rPr>
                <w:rFonts w:ascii="Palatino Linotype" w:hAnsi="Palatino Linotype" w:cs="Arial"/>
                <w:color w:val="000000" w:themeColor="text1"/>
                <w:sz w:val="16"/>
                <w:szCs w:val="16"/>
              </w:rPr>
              <w:lastRenderedPageBreak/>
              <w:t>IX. Se encuentre contenida dentro de las investigaciones de hechos que la Ley señale como delitos y se tramiten ante el Ministerio Público;</w:t>
            </w:r>
          </w:p>
        </w:tc>
        <w:tc>
          <w:tcPr>
            <w:tcW w:w="4111" w:type="dxa"/>
          </w:tcPr>
          <w:p w:rsidR="001769AA" w:rsidRPr="00D634D6" w:rsidRDefault="001769AA" w:rsidP="00D634D6">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D634D6">
              <w:rPr>
                <w:rFonts w:ascii="Palatino Linotype" w:hAnsi="Palatino Linotype"/>
                <w:color w:val="000000" w:themeColor="text1"/>
                <w:sz w:val="16"/>
                <w:szCs w:val="16"/>
                <w:lang w:val="es-ES"/>
              </w:rPr>
              <w:t>XII.</w:t>
            </w:r>
            <w:r w:rsidRPr="00D634D6">
              <w:rPr>
                <w:rFonts w:ascii="Palatino Linotype" w:hAnsi="Palatino Linotype"/>
                <w:color w:val="000000" w:themeColor="text1"/>
                <w:sz w:val="16"/>
                <w:szCs w:val="16"/>
                <w:lang w:val="es-ES"/>
              </w:rPr>
              <w:tab/>
              <w:t>Se encuentre contenida dentro de las investigaciones de hechos que la ley señale como delitos y se tramiten ante el Ministerio Público, y</w:t>
            </w:r>
          </w:p>
        </w:tc>
      </w:tr>
      <w:tr w:rsidR="001769AA" w:rsidRPr="00D634D6" w:rsidTr="0017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rsidR="001769AA" w:rsidRPr="00D634D6" w:rsidRDefault="001769AA" w:rsidP="00D634D6">
            <w:pPr>
              <w:autoSpaceDE w:val="0"/>
              <w:autoSpaceDN w:val="0"/>
              <w:adjustRightInd w:val="0"/>
              <w:spacing w:line="360" w:lineRule="auto"/>
              <w:ind w:left="-108"/>
              <w:jc w:val="both"/>
              <w:rPr>
                <w:rFonts w:ascii="Palatino Linotype" w:hAnsi="Palatino Linotype" w:cs="Arial"/>
                <w:color w:val="000000" w:themeColor="text1"/>
                <w:sz w:val="16"/>
                <w:szCs w:val="16"/>
              </w:rPr>
            </w:pPr>
            <w:r w:rsidRPr="00D634D6">
              <w:rPr>
                <w:rFonts w:ascii="Palatino Linotype" w:hAnsi="Palatino Linotype" w:cs="Arial"/>
                <w:color w:val="000000" w:themeColor="text1"/>
                <w:sz w:val="16"/>
                <w:szCs w:val="16"/>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001769AA" w:rsidRPr="00D634D6" w:rsidRDefault="001769AA" w:rsidP="00D634D6">
            <w:pPr>
              <w:autoSpaceDE w:val="0"/>
              <w:autoSpaceDN w:val="0"/>
              <w:adjustRightInd w:val="0"/>
              <w:spacing w:line="360" w:lineRule="auto"/>
              <w:jc w:val="both"/>
              <w:rPr>
                <w:rFonts w:ascii="Palatino Linotype" w:hAnsi="Palatino Linotype" w:cs="Arial"/>
                <w:color w:val="000000" w:themeColor="text1"/>
                <w:sz w:val="16"/>
                <w:szCs w:val="16"/>
              </w:rPr>
            </w:pPr>
            <w:r w:rsidRPr="00D634D6">
              <w:rPr>
                <w:rFonts w:ascii="Palatino Linotype" w:hAnsi="Palatino Linotype" w:cs="Arial"/>
                <w:color w:val="000000" w:themeColor="text1"/>
                <w:sz w:val="16"/>
                <w:szCs w:val="16"/>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4111" w:type="dxa"/>
          </w:tcPr>
          <w:p w:rsidR="001769AA" w:rsidRPr="00D634D6" w:rsidRDefault="001769AA" w:rsidP="00D634D6">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16"/>
                <w:szCs w:val="16"/>
              </w:rPr>
            </w:pPr>
          </w:p>
        </w:tc>
      </w:tr>
      <w:tr w:rsidR="001769AA" w:rsidRPr="00D634D6" w:rsidTr="001769AA">
        <w:tc>
          <w:tcPr>
            <w:cnfStyle w:val="001000000000" w:firstRow="0" w:lastRow="0" w:firstColumn="1" w:lastColumn="0" w:oddVBand="0" w:evenVBand="0" w:oddHBand="0" w:evenHBand="0" w:firstRowFirstColumn="0" w:firstRowLastColumn="0" w:lastRowFirstColumn="0" w:lastRowLastColumn="0"/>
            <w:tcW w:w="4536" w:type="dxa"/>
          </w:tcPr>
          <w:p w:rsidR="001769AA" w:rsidRPr="00D634D6" w:rsidRDefault="001769AA" w:rsidP="00D634D6">
            <w:pPr>
              <w:spacing w:line="360" w:lineRule="auto"/>
              <w:jc w:val="both"/>
              <w:rPr>
                <w:rFonts w:ascii="Palatino Linotype" w:hAnsi="Palatino Linotype"/>
                <w:color w:val="000000" w:themeColor="text1"/>
                <w:sz w:val="16"/>
                <w:szCs w:val="16"/>
              </w:rPr>
            </w:pPr>
            <w:r w:rsidRPr="00D634D6">
              <w:rPr>
                <w:rFonts w:ascii="Palatino Linotype" w:hAnsi="Palatino Linotype" w:cs="Arial"/>
                <w:color w:val="000000" w:themeColor="text1"/>
                <w:sz w:val="16"/>
                <w:szCs w:val="16"/>
              </w:rPr>
              <w:t>XI. Las que por disposición expresa de una ley tengan tal carácter, siempre que sean acordes con las bases, principios y disposiciones establecidos en esta Ley y no la contravengan; así como las previstas en tratados internacionales.</w:t>
            </w:r>
          </w:p>
        </w:tc>
        <w:tc>
          <w:tcPr>
            <w:tcW w:w="4111" w:type="dxa"/>
          </w:tcPr>
          <w:p w:rsidR="001769AA" w:rsidRPr="00D634D6" w:rsidRDefault="001769AA" w:rsidP="00D634D6">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16"/>
                <w:szCs w:val="16"/>
                <w:lang w:val="es-ES"/>
              </w:rPr>
            </w:pPr>
            <w:r w:rsidRPr="00D634D6">
              <w:rPr>
                <w:rFonts w:ascii="Palatino Linotype" w:hAnsi="Palatino Linotype"/>
                <w:color w:val="000000" w:themeColor="text1"/>
                <w:sz w:val="16"/>
                <w:szCs w:val="16"/>
                <w:lang w:val="es-ES"/>
              </w:rPr>
              <w:t>XIII.</w:t>
            </w:r>
            <w:r w:rsidRPr="00D634D6">
              <w:rPr>
                <w:rFonts w:ascii="Palatino Linotype" w:hAnsi="Palatino Linotype"/>
                <w:color w:val="000000" w:themeColor="text1"/>
                <w:sz w:val="16"/>
                <w:szCs w:val="16"/>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rsidR="001769AA" w:rsidRPr="00D634D6" w:rsidRDefault="001769AA"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1769AA"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rPr>
        <w:t>Mientras que los</w:t>
      </w:r>
      <w:r w:rsidR="00862AB1" w:rsidRPr="00D634D6">
        <w:rPr>
          <w:rFonts w:ascii="Palatino Linotype" w:eastAsia="MS Gothic" w:hAnsi="Palatino Linotype" w:cs="Times New Roman"/>
          <w:sz w:val="24"/>
          <w:szCs w:val="26"/>
        </w:rPr>
        <w:t xml:space="preserve"> </w:t>
      </w:r>
      <w:r w:rsidR="00862AB1" w:rsidRPr="00D634D6">
        <w:rPr>
          <w:rFonts w:ascii="Palatino Linotype" w:eastAsia="MS Gothic" w:hAnsi="Palatino Linotype" w:cs="Times New Roman"/>
          <w:sz w:val="24"/>
          <w:szCs w:val="26"/>
          <w:lang w:val="es-ES_tradnl"/>
        </w:rPr>
        <w:t>artículos 143 y 116 de la Ley Estatal y de la Ley General, respectivamente, señalan los supuestos para que la información pueda ser clasificada como confidencial:</w:t>
      </w:r>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D634D6">
        <w:rPr>
          <w:rFonts w:ascii="Palatino Linotype" w:hAnsi="Palatino Linotype" w:cs="Bookman Old Style"/>
          <w:bCs/>
          <w:i/>
          <w:color w:val="000000"/>
        </w:rPr>
        <w:t xml:space="preserve">“I. </w:t>
      </w:r>
      <w:r w:rsidRPr="00D634D6">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862AB1" w:rsidRPr="00D634D6" w:rsidRDefault="00862AB1" w:rsidP="00D634D6">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D634D6">
        <w:rPr>
          <w:rFonts w:ascii="Palatino Linotype" w:hAnsi="Palatino Linotype" w:cs="Bookman Old Style"/>
          <w:bCs/>
          <w:i/>
          <w:color w:val="000000"/>
        </w:rPr>
        <w:t xml:space="preserve">II. </w:t>
      </w:r>
      <w:r w:rsidRPr="00D634D6">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862AB1" w:rsidRPr="00D634D6" w:rsidRDefault="00862AB1" w:rsidP="00D634D6">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D634D6">
        <w:rPr>
          <w:rFonts w:ascii="Palatino Linotype" w:hAnsi="Palatino Linotype" w:cs="Bookman Old Style"/>
          <w:bCs/>
          <w:i/>
          <w:color w:val="000000"/>
        </w:rPr>
        <w:t xml:space="preserve">III. </w:t>
      </w:r>
      <w:r w:rsidRPr="00D634D6">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862AB1" w:rsidRPr="00D634D6" w:rsidRDefault="00862AB1" w:rsidP="00D634D6">
      <w:pPr>
        <w:widowControl w:val="0"/>
        <w:tabs>
          <w:tab w:val="left" w:pos="8222"/>
        </w:tabs>
        <w:autoSpaceDE w:val="0"/>
        <w:autoSpaceDN w:val="0"/>
        <w:adjustRightInd w:val="0"/>
        <w:spacing w:line="360" w:lineRule="auto"/>
        <w:ind w:left="567" w:right="567"/>
        <w:jc w:val="both"/>
        <w:rPr>
          <w:rFonts w:ascii="Palatino Linotype" w:hAnsi="Palatino Linotype" w:cs="Times"/>
          <w:i/>
          <w:color w:val="000000"/>
        </w:rPr>
      </w:pPr>
      <w:r w:rsidRPr="00D634D6">
        <w:rPr>
          <w:rFonts w:ascii="Palatino Linotype" w:hAnsi="Palatino Linotype" w:cs="Bookman Old Style"/>
          <w:i/>
          <w:color w:val="000000"/>
        </w:rPr>
        <w:lastRenderedPageBreak/>
        <w:t xml:space="preserve">La información confidencial no estará sujeta a temporalidad alguna y sólo podrán tener acceso a ella los titulares de la misma, sus representantes y los servidores públicos facultados para ello. </w:t>
      </w:r>
    </w:p>
    <w:p w:rsidR="00862AB1" w:rsidRPr="00D634D6" w:rsidRDefault="00862AB1" w:rsidP="00D634D6">
      <w:pPr>
        <w:widowControl w:val="0"/>
        <w:tabs>
          <w:tab w:val="left" w:pos="8222"/>
        </w:tabs>
        <w:autoSpaceDE w:val="0"/>
        <w:autoSpaceDN w:val="0"/>
        <w:adjustRightInd w:val="0"/>
        <w:spacing w:line="360" w:lineRule="auto"/>
        <w:ind w:left="567" w:right="567"/>
        <w:jc w:val="both"/>
        <w:rPr>
          <w:rFonts w:ascii="Palatino Linotype" w:hAnsi="Palatino Linotype" w:cs="Bookman Old Style"/>
          <w:i/>
          <w:color w:val="000000"/>
        </w:rPr>
      </w:pPr>
      <w:r w:rsidRPr="00D634D6">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1769AA"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rPr>
        <w:t>Por otro lado,</w:t>
      </w:r>
      <w:r w:rsidR="00862AB1" w:rsidRPr="00D634D6">
        <w:rPr>
          <w:rFonts w:ascii="Palatino Linotype" w:eastAsia="MS Gothic" w:hAnsi="Palatino Linotype" w:cs="Times New Roman"/>
          <w:sz w:val="24"/>
          <w:szCs w:val="26"/>
          <w:lang w:val="es-ES_tradnl"/>
        </w:rPr>
        <w:t xml:space="preserv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rPr>
        <w:t xml:space="preserve">Como </w:t>
      </w:r>
      <w:r w:rsidRPr="00D634D6">
        <w:rPr>
          <w:rFonts w:ascii="Palatino Linotype" w:eastAsia="MS Gothic" w:hAnsi="Palatino Linotype" w:cs="Times New Roman"/>
          <w:sz w:val="24"/>
          <w:szCs w:val="26"/>
          <w:lang w:val="es-ES_tradnl"/>
        </w:rPr>
        <w:t xml:space="preserve">consecuencia de lo anterior, el </w:t>
      </w:r>
      <w:r w:rsidRPr="00D634D6">
        <w:rPr>
          <w:rFonts w:ascii="Palatino Linotype" w:eastAsia="MS Gothic" w:hAnsi="Palatino Linotype" w:cs="Times New Roman"/>
          <w:b/>
          <w:sz w:val="24"/>
          <w:szCs w:val="26"/>
          <w:lang w:val="es-ES_tradnl"/>
        </w:rPr>
        <w:t>SUJETO OBLIGADO</w:t>
      </w:r>
      <w:r w:rsidRPr="00D634D6">
        <w:rPr>
          <w:rFonts w:ascii="Palatino Linotype" w:eastAsia="MS Gothic" w:hAnsi="Palatino Linotype" w:cs="Times New Roman"/>
          <w:sz w:val="24"/>
          <w:szCs w:val="26"/>
          <w:lang w:val="es-ES_tradnl"/>
        </w:rPr>
        <w:t xml:space="preserve"> debe identificar claramente el tipo de información y hacer un juicio de subsunción o encaje</w:t>
      </w:r>
      <w:r w:rsidRPr="00D634D6">
        <w:rPr>
          <w:rFonts w:ascii="Palatino Linotype" w:eastAsia="MS Gothic" w:hAnsi="Palatino Linotype" w:cs="Times New Roman"/>
          <w:sz w:val="24"/>
          <w:szCs w:val="26"/>
          <w:vertAlign w:val="superscript"/>
          <w:lang w:val="es-ES_tradnl"/>
        </w:rPr>
        <w:footnoteReference w:id="12"/>
      </w:r>
      <w:r w:rsidRPr="00D634D6">
        <w:rPr>
          <w:rFonts w:ascii="Palatino Linotype" w:eastAsia="MS Gothic" w:hAnsi="Palatino Linotype" w:cs="Times New Roman"/>
          <w:sz w:val="24"/>
          <w:szCs w:val="26"/>
          <w:lang w:val="es-ES_tradnl"/>
        </w:rPr>
        <w:t xml:space="preserve"> para acreditar que el supuesto de hecho corresponde estrictamente </w:t>
      </w:r>
      <w:r w:rsidRPr="00D634D6">
        <w:rPr>
          <w:rFonts w:ascii="Palatino Linotype" w:eastAsia="MS Gothic" w:hAnsi="Palatino Linotype" w:cs="Times New Roman"/>
          <w:sz w:val="24"/>
          <w:szCs w:val="26"/>
          <w:lang w:val="es-ES_tradnl"/>
        </w:rPr>
        <w:lastRenderedPageBreak/>
        <w:t>con la hipótesis jurídica. Esto también lo debe de realizar el servidor público habilitado y el titular del área que administra la información.</w:t>
      </w:r>
    </w:p>
    <w:p w:rsidR="00F27351" w:rsidRPr="00D634D6" w:rsidRDefault="00F2735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F27351" w:rsidRPr="00D634D6" w:rsidRDefault="00F2735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Al respecto, los Lineamientos Generales en Materia de Clasificación y Desclasificación de la Información, así Como para la Elaboración de Versiones Públicas, por cuanto hace a la clasificación de la información, señalan lo siguiente:</w:t>
      </w:r>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F27351" w:rsidRPr="00D634D6" w:rsidRDefault="00F27351" w:rsidP="00D634D6">
      <w:pPr>
        <w:pStyle w:val="Prrafodelista"/>
        <w:tabs>
          <w:tab w:val="left" w:pos="142"/>
          <w:tab w:val="left" w:pos="284"/>
          <w:tab w:val="left" w:pos="426"/>
        </w:tabs>
        <w:spacing w:line="360" w:lineRule="auto"/>
        <w:ind w:left="567" w:right="567"/>
        <w:jc w:val="both"/>
        <w:rPr>
          <w:rFonts w:ascii="Palatino Linotype" w:hAnsi="Palatino Linotype" w:cs="Arial"/>
          <w:i/>
        </w:rPr>
      </w:pPr>
      <w:r w:rsidRPr="00D634D6">
        <w:rPr>
          <w:rFonts w:ascii="Palatino Linotype" w:hAnsi="Palatino Linotype" w:cs="Arial"/>
          <w:i/>
        </w:rPr>
        <w:t>“</w:t>
      </w:r>
      <w:r w:rsidRPr="00D634D6">
        <w:rPr>
          <w:rFonts w:ascii="Palatino Linotype" w:hAnsi="Palatino Linotype" w:cs="Arial"/>
          <w:b/>
          <w:i/>
        </w:rPr>
        <w:t>Quincuagésimo.</w:t>
      </w:r>
      <w:r w:rsidRPr="00D634D6">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F27351" w:rsidRPr="00D634D6" w:rsidRDefault="00F27351" w:rsidP="00D634D6">
      <w:pPr>
        <w:pStyle w:val="Prrafodelista"/>
        <w:tabs>
          <w:tab w:val="left" w:pos="142"/>
          <w:tab w:val="left" w:pos="284"/>
          <w:tab w:val="left" w:pos="426"/>
        </w:tabs>
        <w:spacing w:line="360" w:lineRule="auto"/>
        <w:ind w:left="567" w:right="567"/>
        <w:jc w:val="both"/>
        <w:rPr>
          <w:rFonts w:ascii="Palatino Linotype" w:hAnsi="Palatino Linotype" w:cs="Arial"/>
          <w:i/>
        </w:rPr>
      </w:pPr>
    </w:p>
    <w:p w:rsidR="00F27351" w:rsidRPr="00D634D6" w:rsidRDefault="00F27351" w:rsidP="00D634D6">
      <w:pPr>
        <w:pStyle w:val="Prrafodelista"/>
        <w:tabs>
          <w:tab w:val="left" w:pos="142"/>
          <w:tab w:val="left" w:pos="284"/>
          <w:tab w:val="left" w:pos="426"/>
        </w:tabs>
        <w:spacing w:line="360" w:lineRule="auto"/>
        <w:ind w:left="567" w:right="567"/>
        <w:jc w:val="both"/>
        <w:rPr>
          <w:rFonts w:ascii="Palatino Linotype" w:hAnsi="Palatino Linotype" w:cs="Arial"/>
          <w:i/>
        </w:rPr>
      </w:pPr>
      <w:r w:rsidRPr="00D634D6">
        <w:rPr>
          <w:rFonts w:ascii="Palatino Linotype" w:hAnsi="Palatino Linotype" w:cs="Arial"/>
          <w:b/>
          <w:i/>
        </w:rPr>
        <w:t>Quincuagésimo primero.</w:t>
      </w:r>
      <w:r w:rsidRPr="00D634D6">
        <w:rPr>
          <w:rFonts w:ascii="Palatino Linotype" w:hAnsi="Palatino Linotype" w:cs="Arial"/>
          <w:i/>
        </w:rPr>
        <w:t xml:space="preserve"> La leyenda en los documentos clasificados indicará:</w:t>
      </w:r>
    </w:p>
    <w:p w:rsidR="00F27351" w:rsidRPr="00D634D6" w:rsidRDefault="00F27351" w:rsidP="00D634D6">
      <w:pPr>
        <w:pStyle w:val="Prrafodelista"/>
        <w:tabs>
          <w:tab w:val="left" w:pos="142"/>
          <w:tab w:val="left" w:pos="284"/>
          <w:tab w:val="left" w:pos="426"/>
        </w:tabs>
        <w:spacing w:line="360" w:lineRule="auto"/>
        <w:ind w:left="567" w:right="567"/>
        <w:jc w:val="both"/>
        <w:rPr>
          <w:rFonts w:ascii="Palatino Linotype" w:hAnsi="Palatino Linotype" w:cs="Arial"/>
          <w:i/>
        </w:rPr>
      </w:pPr>
      <w:r w:rsidRPr="00D634D6">
        <w:rPr>
          <w:rFonts w:ascii="Palatino Linotype" w:hAnsi="Palatino Linotype" w:cs="Arial"/>
          <w:i/>
        </w:rPr>
        <w:t>I. La fecha de sesión del Comité de Transparencia en donde se confirmó la clasificación, en su caso;</w:t>
      </w:r>
    </w:p>
    <w:p w:rsidR="00F27351" w:rsidRPr="00D634D6" w:rsidRDefault="00F27351" w:rsidP="00D634D6">
      <w:pPr>
        <w:pStyle w:val="Prrafodelista"/>
        <w:tabs>
          <w:tab w:val="left" w:pos="142"/>
          <w:tab w:val="left" w:pos="284"/>
          <w:tab w:val="left" w:pos="426"/>
        </w:tabs>
        <w:spacing w:line="360" w:lineRule="auto"/>
        <w:ind w:left="567" w:right="567"/>
        <w:jc w:val="both"/>
        <w:rPr>
          <w:rFonts w:ascii="Palatino Linotype" w:hAnsi="Palatino Linotype" w:cs="Arial"/>
          <w:i/>
        </w:rPr>
      </w:pPr>
      <w:r w:rsidRPr="00D634D6">
        <w:rPr>
          <w:rFonts w:ascii="Palatino Linotype" w:hAnsi="Palatino Linotype" w:cs="Arial"/>
          <w:i/>
        </w:rPr>
        <w:t>II. El nombre del área;</w:t>
      </w:r>
    </w:p>
    <w:p w:rsidR="00F27351" w:rsidRPr="00D634D6" w:rsidRDefault="00F27351" w:rsidP="00D634D6">
      <w:pPr>
        <w:pStyle w:val="Prrafodelista"/>
        <w:tabs>
          <w:tab w:val="left" w:pos="142"/>
          <w:tab w:val="left" w:pos="284"/>
          <w:tab w:val="left" w:pos="426"/>
        </w:tabs>
        <w:spacing w:line="360" w:lineRule="auto"/>
        <w:ind w:left="567" w:right="567"/>
        <w:jc w:val="both"/>
        <w:rPr>
          <w:rFonts w:ascii="Palatino Linotype" w:hAnsi="Palatino Linotype" w:cs="Arial"/>
          <w:i/>
        </w:rPr>
      </w:pPr>
      <w:r w:rsidRPr="00D634D6">
        <w:rPr>
          <w:rFonts w:ascii="Palatino Linotype" w:hAnsi="Palatino Linotype" w:cs="Arial"/>
          <w:i/>
        </w:rPr>
        <w:t>III. La palabra reservado o confidencial;</w:t>
      </w:r>
    </w:p>
    <w:p w:rsidR="00F27351" w:rsidRPr="00D634D6" w:rsidRDefault="00F27351" w:rsidP="00D634D6">
      <w:pPr>
        <w:pStyle w:val="Prrafodelista"/>
        <w:tabs>
          <w:tab w:val="left" w:pos="142"/>
          <w:tab w:val="left" w:pos="284"/>
          <w:tab w:val="left" w:pos="426"/>
        </w:tabs>
        <w:spacing w:line="360" w:lineRule="auto"/>
        <w:ind w:left="567" w:right="567"/>
        <w:jc w:val="both"/>
        <w:rPr>
          <w:rFonts w:ascii="Palatino Linotype" w:hAnsi="Palatino Linotype" w:cs="Arial"/>
          <w:i/>
        </w:rPr>
      </w:pPr>
      <w:r w:rsidRPr="00D634D6">
        <w:rPr>
          <w:rFonts w:ascii="Palatino Linotype" w:hAnsi="Palatino Linotype" w:cs="Arial"/>
          <w:i/>
        </w:rPr>
        <w:t>IV. Las partes o secciones reservadas o confidenciales, en su caso;</w:t>
      </w:r>
    </w:p>
    <w:p w:rsidR="00F27351" w:rsidRPr="00D634D6" w:rsidRDefault="00F27351" w:rsidP="00D634D6">
      <w:pPr>
        <w:pStyle w:val="Prrafodelista"/>
        <w:tabs>
          <w:tab w:val="left" w:pos="142"/>
          <w:tab w:val="left" w:pos="284"/>
          <w:tab w:val="left" w:pos="426"/>
        </w:tabs>
        <w:spacing w:line="360" w:lineRule="auto"/>
        <w:ind w:left="567" w:right="567"/>
        <w:jc w:val="both"/>
        <w:rPr>
          <w:rFonts w:ascii="Palatino Linotype" w:hAnsi="Palatino Linotype" w:cs="Arial"/>
          <w:i/>
        </w:rPr>
      </w:pPr>
      <w:r w:rsidRPr="00D634D6">
        <w:rPr>
          <w:rFonts w:ascii="Palatino Linotype" w:hAnsi="Palatino Linotype" w:cs="Arial"/>
          <w:i/>
        </w:rPr>
        <w:t>V. El fundamento legal;</w:t>
      </w:r>
    </w:p>
    <w:p w:rsidR="00F27351" w:rsidRPr="00D634D6" w:rsidRDefault="00F27351" w:rsidP="00D634D6">
      <w:pPr>
        <w:pStyle w:val="Prrafodelista"/>
        <w:tabs>
          <w:tab w:val="left" w:pos="142"/>
          <w:tab w:val="left" w:pos="284"/>
          <w:tab w:val="left" w:pos="426"/>
        </w:tabs>
        <w:spacing w:line="360" w:lineRule="auto"/>
        <w:ind w:left="567" w:right="567"/>
        <w:jc w:val="both"/>
        <w:rPr>
          <w:rFonts w:ascii="Palatino Linotype" w:hAnsi="Palatino Linotype" w:cs="Arial"/>
          <w:i/>
        </w:rPr>
      </w:pPr>
      <w:r w:rsidRPr="00D634D6">
        <w:rPr>
          <w:rFonts w:ascii="Palatino Linotype" w:hAnsi="Palatino Linotype" w:cs="Arial"/>
          <w:i/>
        </w:rPr>
        <w:t>VI. El periodo de reserva, y</w:t>
      </w:r>
    </w:p>
    <w:p w:rsidR="00F27351" w:rsidRPr="00D634D6" w:rsidRDefault="00F27351" w:rsidP="00D634D6">
      <w:pPr>
        <w:pStyle w:val="Prrafodelista"/>
        <w:tabs>
          <w:tab w:val="left" w:pos="142"/>
          <w:tab w:val="left" w:pos="284"/>
          <w:tab w:val="left" w:pos="426"/>
        </w:tabs>
        <w:spacing w:line="360" w:lineRule="auto"/>
        <w:ind w:left="567" w:right="567"/>
        <w:jc w:val="both"/>
        <w:rPr>
          <w:rFonts w:ascii="Palatino Linotype" w:hAnsi="Palatino Linotype" w:cs="Arial"/>
          <w:i/>
        </w:rPr>
      </w:pPr>
      <w:r w:rsidRPr="00D634D6">
        <w:rPr>
          <w:rFonts w:ascii="Palatino Linotype" w:hAnsi="Palatino Linotype" w:cs="Arial"/>
          <w:i/>
        </w:rPr>
        <w:t>VII. La rúbrica del titular del área.</w:t>
      </w:r>
    </w:p>
    <w:p w:rsidR="00F27351" w:rsidRPr="00D634D6" w:rsidRDefault="00F27351" w:rsidP="00D634D6">
      <w:pPr>
        <w:pStyle w:val="Prrafodelista"/>
        <w:tabs>
          <w:tab w:val="left" w:pos="142"/>
          <w:tab w:val="left" w:pos="284"/>
          <w:tab w:val="left" w:pos="426"/>
        </w:tabs>
        <w:spacing w:line="360" w:lineRule="auto"/>
        <w:ind w:left="567" w:right="567"/>
        <w:jc w:val="both"/>
        <w:rPr>
          <w:rFonts w:ascii="Palatino Linotype" w:hAnsi="Palatino Linotype" w:cs="Arial"/>
          <w:i/>
        </w:rPr>
      </w:pPr>
    </w:p>
    <w:p w:rsidR="00F27351" w:rsidRPr="00D634D6" w:rsidRDefault="00F27351" w:rsidP="00D634D6">
      <w:pPr>
        <w:pStyle w:val="Prrafodelista"/>
        <w:tabs>
          <w:tab w:val="left" w:pos="142"/>
          <w:tab w:val="left" w:pos="284"/>
          <w:tab w:val="left" w:pos="426"/>
        </w:tabs>
        <w:spacing w:line="360" w:lineRule="auto"/>
        <w:ind w:left="567" w:right="567"/>
        <w:jc w:val="both"/>
        <w:rPr>
          <w:rFonts w:ascii="Palatino Linotype" w:hAnsi="Palatino Linotype" w:cs="Arial"/>
          <w:i/>
        </w:rPr>
      </w:pPr>
      <w:r w:rsidRPr="00D634D6">
        <w:rPr>
          <w:rFonts w:ascii="Palatino Linotype" w:hAnsi="Palatino Linotype" w:cs="Arial"/>
          <w:b/>
          <w:i/>
        </w:rPr>
        <w:t>Quincuagésimo segundo.</w:t>
      </w:r>
      <w:r w:rsidRPr="00D634D6">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F27351" w:rsidRPr="00D634D6" w:rsidRDefault="00F27351" w:rsidP="00D634D6">
      <w:pPr>
        <w:pStyle w:val="Prrafodelista"/>
        <w:tabs>
          <w:tab w:val="left" w:pos="142"/>
          <w:tab w:val="left" w:pos="284"/>
          <w:tab w:val="left" w:pos="426"/>
        </w:tabs>
        <w:spacing w:line="360" w:lineRule="auto"/>
        <w:ind w:left="567" w:right="567"/>
        <w:jc w:val="both"/>
        <w:rPr>
          <w:rFonts w:ascii="Palatino Linotype" w:hAnsi="Palatino Linotype" w:cs="Arial"/>
          <w:i/>
        </w:rPr>
      </w:pPr>
      <w:r w:rsidRPr="00D634D6">
        <w:rPr>
          <w:rFonts w:ascii="Palatino Linotype" w:hAnsi="Palatino Linotype" w:cs="Arial"/>
          <w:i/>
        </w:rPr>
        <w:lastRenderedPageBreak/>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F27351" w:rsidRPr="00D634D6" w:rsidRDefault="00F27351" w:rsidP="00D634D6">
      <w:pPr>
        <w:pStyle w:val="Prrafodelista"/>
        <w:tabs>
          <w:tab w:val="left" w:pos="142"/>
          <w:tab w:val="left" w:pos="284"/>
          <w:tab w:val="left" w:pos="426"/>
        </w:tabs>
        <w:spacing w:line="360" w:lineRule="auto"/>
        <w:ind w:left="567" w:right="567"/>
        <w:jc w:val="both"/>
        <w:rPr>
          <w:rFonts w:ascii="Palatino Linotype" w:hAnsi="Palatino Linotype" w:cs="Arial"/>
          <w:i/>
        </w:rPr>
      </w:pPr>
    </w:p>
    <w:p w:rsidR="00F27351" w:rsidRPr="00D634D6" w:rsidRDefault="00F27351" w:rsidP="00D634D6">
      <w:pPr>
        <w:pStyle w:val="Prrafodelista"/>
        <w:tabs>
          <w:tab w:val="left" w:pos="142"/>
          <w:tab w:val="left" w:pos="284"/>
          <w:tab w:val="left" w:pos="426"/>
        </w:tabs>
        <w:spacing w:line="360" w:lineRule="auto"/>
        <w:ind w:left="567" w:right="567"/>
        <w:jc w:val="both"/>
        <w:rPr>
          <w:rFonts w:ascii="Palatino Linotype" w:hAnsi="Palatino Linotype" w:cs="Arial"/>
          <w:i/>
        </w:rPr>
      </w:pPr>
      <w:r w:rsidRPr="00D634D6">
        <w:rPr>
          <w:rFonts w:ascii="Palatino Linotype" w:hAnsi="Palatino Linotype" w:cs="Arial"/>
          <w:b/>
          <w:i/>
        </w:rPr>
        <w:t>Quincuagésimo tercero.</w:t>
      </w:r>
      <w:r w:rsidRPr="00D634D6">
        <w:rPr>
          <w:rFonts w:ascii="Palatino Linotype" w:hAnsi="Palatino Linotype" w:cs="Arial"/>
          <w:i/>
        </w:rPr>
        <w:t xml:space="preserve"> El formato para señalar la clasificación parcial de un documento, es el siguiente:</w:t>
      </w:r>
    </w:p>
    <w:p w:rsidR="00F27351" w:rsidRPr="00D634D6" w:rsidRDefault="00F27351" w:rsidP="00D634D6">
      <w:pPr>
        <w:pStyle w:val="Prrafodelista"/>
        <w:tabs>
          <w:tab w:val="left" w:pos="142"/>
          <w:tab w:val="left" w:pos="284"/>
          <w:tab w:val="left" w:pos="426"/>
        </w:tabs>
        <w:spacing w:line="360" w:lineRule="auto"/>
        <w:ind w:left="0"/>
        <w:jc w:val="center"/>
        <w:rPr>
          <w:rFonts w:ascii="Palatino Linotype" w:hAnsi="Palatino Linotype" w:cs="Arial"/>
          <w:sz w:val="24"/>
        </w:rPr>
      </w:pPr>
      <w:r w:rsidRPr="00D634D6">
        <w:rPr>
          <w:rFonts w:ascii="Palatino Linotype" w:hAnsi="Palatino Linotype" w:cs="Arial"/>
          <w:i/>
          <w:noProof/>
          <w:lang w:eastAsia="es-MX"/>
        </w:rPr>
        <w:drawing>
          <wp:inline distT="0" distB="0" distL="0" distR="0" wp14:anchorId="42E8EDB0" wp14:editId="7CF3540C">
            <wp:extent cx="4374807" cy="3590925"/>
            <wp:effectExtent l="57150" t="57150" r="121285" b="1047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9181" cy="361093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7351" w:rsidRPr="00D634D6" w:rsidRDefault="00F2735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rPr>
        <w:t xml:space="preserve">Una </w:t>
      </w:r>
      <w:r w:rsidRPr="00D634D6">
        <w:rPr>
          <w:rFonts w:ascii="Palatino Linotype" w:eastAsia="MS Gothic" w:hAnsi="Palatino Linotype" w:cs="Times New Roman"/>
          <w:sz w:val="24"/>
          <w:szCs w:val="26"/>
          <w:lang w:val="es-ES_tradnl"/>
        </w:rPr>
        <w:t>vez hecho lo anterior, se remite la información al Titular de la Unidad de Transparencia, con el acuerdo de clasificación correspondiente, para que sea sometido al conocimiento del Comité de Transparencia.</w:t>
      </w:r>
    </w:p>
    <w:p w:rsidR="00862AB1"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D634D6" w:rsidRPr="00D634D6" w:rsidRDefault="00D634D6"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30" w:name="_Toc34923436"/>
      <w:r w:rsidRPr="00D634D6">
        <w:rPr>
          <w:rFonts w:ascii="Palatino Linotype" w:hAnsi="Palatino Linotype" w:cs="Arial"/>
          <w:b/>
          <w:sz w:val="24"/>
        </w:rPr>
        <w:lastRenderedPageBreak/>
        <w:t>III. La intervención del Comité de Transparencia.</w:t>
      </w:r>
      <w:bookmarkEnd w:id="30"/>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b/>
          <w:sz w:val="24"/>
        </w:rPr>
      </w:pPr>
      <w:r w:rsidRPr="00D634D6">
        <w:rPr>
          <w:rFonts w:ascii="Palatino Linotype" w:hAnsi="Palatino Linotype" w:cs="Arial"/>
          <w:b/>
          <w:sz w:val="24"/>
        </w:rPr>
        <w:t>a) Formalidades para emitir el Acuerdo de Clasificación.</w:t>
      </w:r>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rPr>
        <w:t xml:space="preserve">El </w:t>
      </w:r>
      <w:r w:rsidRPr="00D634D6">
        <w:rPr>
          <w:rFonts w:ascii="Palatino Linotype" w:eastAsia="MS Gothic" w:hAnsi="Palatino Linotype" w:cs="Times New Roman"/>
          <w:sz w:val="24"/>
          <w:szCs w:val="26"/>
          <w:lang w:val="es-ES_tradnl"/>
        </w:rPr>
        <w:t xml:space="preserve">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D634D6">
        <w:rPr>
          <w:rFonts w:ascii="Palatino Linotype" w:eastAsia="MS Gothic" w:hAnsi="Palatino Linotype" w:cs="Times New Roman"/>
          <w:b/>
          <w:sz w:val="24"/>
          <w:szCs w:val="26"/>
          <w:u w:val="single"/>
          <w:lang w:val="es-ES_tradnl"/>
        </w:rPr>
        <w:t>confirmar, modificar o revocar</w:t>
      </w:r>
      <w:r w:rsidRPr="00D634D6">
        <w:rPr>
          <w:rFonts w:ascii="Palatino Linotype" w:eastAsia="MS Gothic" w:hAnsi="Palatino Linotype" w:cs="Times New Roman"/>
          <w:sz w:val="24"/>
          <w:szCs w:val="26"/>
          <w:lang w:val="es-ES_tradnl"/>
        </w:rPr>
        <w:t xml:space="preserve"> la clasificación de la información que ha hecho el titular del área que administra la información. Por lo tanto, el Comité </w:t>
      </w:r>
      <w:r w:rsidRPr="00D634D6">
        <w:rPr>
          <w:rFonts w:ascii="Palatino Linotype" w:eastAsia="MS Gothic" w:hAnsi="Palatino Linotype" w:cs="Times New Roman"/>
          <w:b/>
          <w:sz w:val="24"/>
          <w:szCs w:val="26"/>
          <w:u w:val="single"/>
          <w:lang w:val="es-ES_tradnl"/>
        </w:rPr>
        <w:t>no aprueba</w:t>
      </w:r>
      <w:r w:rsidRPr="00D634D6">
        <w:rPr>
          <w:rFonts w:ascii="Palatino Linotype" w:eastAsia="MS Gothic" w:hAnsi="Palatino Linotype" w:cs="Times New Roman"/>
          <w:sz w:val="24"/>
          <w:szCs w:val="26"/>
          <w:lang w:val="es-ES_tradnl"/>
        </w:rPr>
        <w:t xml:space="preserve"> la clasificación, sino que revisa lo que ha hecho el titular del área y confirma, modifica o revoca la decisión a través de un acuerdo.</w:t>
      </w:r>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rPr>
        <w:t xml:space="preserve">Evidentemente, </w:t>
      </w:r>
      <w:r w:rsidRPr="00D634D6">
        <w:rPr>
          <w:rFonts w:ascii="Palatino Linotype" w:eastAsia="MS Gothic" w:hAnsi="Palatino Linotype" w:cs="Times New Roman"/>
          <w:sz w:val="24"/>
          <w:szCs w:val="26"/>
          <w:lang w:val="es-ES_tradnl"/>
        </w:rPr>
        <w:t xml:space="preserve">esta decisión implica una restricción a un derecho humano, por lo tanto, puede generar un agravio al particular y, en consecuencia, es necesario que </w:t>
      </w:r>
      <w:r w:rsidRPr="00D634D6">
        <w:rPr>
          <w:rFonts w:ascii="Palatino Linotype" w:eastAsia="MS Gothic" w:hAnsi="Palatino Linotype" w:cs="Times New Roman"/>
          <w:b/>
          <w:sz w:val="24"/>
          <w:szCs w:val="26"/>
          <w:u w:val="single"/>
          <w:lang w:val="es-ES_tradnl"/>
        </w:rPr>
        <w:t>el acto reúna con los requisitos elementales</w:t>
      </w:r>
      <w:r w:rsidRPr="00D634D6">
        <w:rPr>
          <w:rFonts w:ascii="Palatino Linotype" w:eastAsia="MS Gothic" w:hAnsi="Palatino Linotype" w:cs="Times New Roman"/>
          <w:sz w:val="24"/>
          <w:szCs w:val="26"/>
          <w:lang w:val="es-ES_tradnl"/>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w:t>
      </w:r>
      <w:r w:rsidRPr="00D634D6">
        <w:rPr>
          <w:rFonts w:ascii="Palatino Linotype" w:eastAsia="MS Gothic" w:hAnsi="Palatino Linotype" w:cs="Times New Roman"/>
          <w:sz w:val="24"/>
          <w:szCs w:val="26"/>
          <w:lang w:val="es-ES_tradnl"/>
        </w:rPr>
        <w:lastRenderedPageBreak/>
        <w:t>no debe de existir dependencia jerárquica entre sus integrantes. Cualquier otra composición del Comité puede generar vicios de legalidad de origen en el acto que restringe un derecho humano.</w:t>
      </w:r>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rPr>
        <w:t xml:space="preserve">La </w:t>
      </w:r>
      <w:r w:rsidRPr="00D634D6">
        <w:rPr>
          <w:rFonts w:ascii="Palatino Linotype" w:eastAsia="MS Gothic" w:hAnsi="Palatino Linotype" w:cs="Times New Roman"/>
          <w:sz w:val="24"/>
          <w:szCs w:val="26"/>
          <w:lang w:val="es-ES_tradnl"/>
        </w:rPr>
        <w:t>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b/>
          <w:sz w:val="24"/>
        </w:rPr>
      </w:pPr>
      <w:r w:rsidRPr="00D634D6">
        <w:rPr>
          <w:rFonts w:ascii="Palatino Linotype" w:hAnsi="Palatino Linotype" w:cs="Arial"/>
          <w:b/>
          <w:sz w:val="24"/>
        </w:rPr>
        <w:t>b) Requisitos de fondo del Acuerdo de Clasificación.</w:t>
      </w:r>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rPr>
        <w:t xml:space="preserve">Como </w:t>
      </w:r>
      <w:r w:rsidRPr="00D634D6">
        <w:rPr>
          <w:rFonts w:ascii="Palatino Linotype" w:eastAsia="MS Gothic" w:hAnsi="Palatino Linotype" w:cs="Times New Roman"/>
          <w:sz w:val="24"/>
          <w:szCs w:val="26"/>
          <w:lang w:val="es-ES_tradnl"/>
        </w:rPr>
        <w:t>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862AB1" w:rsidRPr="00D634D6" w:rsidRDefault="00862AB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rPr>
        <w:lastRenderedPageBreak/>
        <w:t xml:space="preserve">De </w:t>
      </w:r>
      <w:r w:rsidRPr="00D634D6">
        <w:rPr>
          <w:rFonts w:ascii="Palatino Linotype" w:eastAsia="MS Gothic" w:hAnsi="Palatino Linotype" w:cs="Times New Roman"/>
          <w:sz w:val="24"/>
          <w:szCs w:val="26"/>
          <w:lang w:val="es-ES_tradnl"/>
        </w:rPr>
        <w:t>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Default="00862AB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rPr>
        <w:t xml:space="preserve">Han </w:t>
      </w:r>
      <w:r w:rsidRPr="00D634D6">
        <w:rPr>
          <w:rFonts w:ascii="Palatino Linotype" w:eastAsia="MS Gothic" w:hAnsi="Palatino Linotype" w:cs="Times New Roman"/>
          <w:sz w:val="24"/>
          <w:szCs w:val="26"/>
          <w:lang w:val="es-ES_tradnl"/>
        </w:rPr>
        <w:t>sido vastos los estudios doctrinarios relativos a estos derechos fundamentales y al principio de legalidad en ellos contenidos; como ejemplo, el procesalista José Ovalle Fabela, en su obra “Garantías Constitucionales del Proceso”, refiere que “...</w:t>
      </w:r>
      <w:r w:rsidRPr="00D634D6">
        <w:rPr>
          <w:rFonts w:ascii="Palatino Linotype" w:eastAsia="MS Gothic" w:hAnsi="Palatino Linotype" w:cs="Times New Roman"/>
          <w:i/>
          <w:sz w:val="24"/>
          <w:szCs w:val="26"/>
          <w:lang w:val="es-ES_tradnl"/>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D634D6">
        <w:rPr>
          <w:rFonts w:ascii="Palatino Linotype" w:eastAsia="MS Gothic" w:hAnsi="Palatino Linotype" w:cs="Times New Roman"/>
          <w:sz w:val="24"/>
          <w:szCs w:val="26"/>
          <w:lang w:val="es-ES_tradnl"/>
        </w:rPr>
        <w:t>....”</w:t>
      </w:r>
      <w:r w:rsidRPr="00D634D6">
        <w:rPr>
          <w:rFonts w:ascii="Palatino Linotype" w:eastAsia="MS Gothic" w:hAnsi="Palatino Linotype" w:cs="Times New Roman"/>
          <w:sz w:val="24"/>
          <w:szCs w:val="26"/>
          <w:vertAlign w:val="superscript"/>
          <w:lang w:val="es-ES_tradnl"/>
        </w:rPr>
        <w:footnoteReference w:id="13"/>
      </w:r>
    </w:p>
    <w:p w:rsidR="00D634D6" w:rsidRPr="00D634D6" w:rsidRDefault="00D634D6" w:rsidP="00D634D6">
      <w:pPr>
        <w:pStyle w:val="Prrafodelista"/>
        <w:rPr>
          <w:rFonts w:ascii="Palatino Linotype" w:hAnsi="Palatino Linotype" w:cs="Arial"/>
          <w:sz w:val="24"/>
        </w:rPr>
      </w:pPr>
    </w:p>
    <w:p w:rsidR="00D634D6" w:rsidRPr="00D634D6" w:rsidRDefault="00D634D6"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hAnsi="Palatino Linotype" w:cs="Arial"/>
          <w:sz w:val="24"/>
        </w:rPr>
        <w:lastRenderedPageBreak/>
        <w:t xml:space="preserve">Por </w:t>
      </w:r>
      <w:r w:rsidRPr="00D634D6">
        <w:rPr>
          <w:rFonts w:ascii="Palatino Linotype" w:hAnsi="Palatino Linotype" w:cs="Arial"/>
          <w:sz w:val="24"/>
          <w:lang w:val="es-ES_tradnl"/>
        </w:rPr>
        <w:t>su parte, el intérprete judicial del país ha establecido una jurisprudencia respecto a qué debe entenderse por fundamentación y motivación, en los siguientes términos:</w:t>
      </w:r>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spacing w:line="360" w:lineRule="auto"/>
        <w:ind w:left="851" w:right="618"/>
        <w:contextualSpacing/>
        <w:jc w:val="both"/>
        <w:rPr>
          <w:rFonts w:ascii="Palatino Linotype" w:hAnsi="Palatino Linotype" w:cs="Arial"/>
          <w:i/>
          <w:color w:val="000000"/>
        </w:rPr>
      </w:pPr>
      <w:r w:rsidRPr="00D634D6">
        <w:rPr>
          <w:rFonts w:ascii="Palatino Linotype" w:hAnsi="Palatino Linotype" w:cs="Arial"/>
          <w:b/>
          <w:i/>
          <w:color w:val="000000"/>
        </w:rPr>
        <w:t>FUNDAMENTACIÓN Y MOTIVACIÓN.</w:t>
      </w:r>
      <w:r w:rsidRPr="00D634D6">
        <w:rPr>
          <w:rFonts w:ascii="Palatino Linotype" w:hAnsi="Palatino Linotype" w:cs="Arial"/>
          <w:i/>
          <w:color w:val="000000"/>
        </w:rPr>
        <w:t xml:space="preserve"> “La </w:t>
      </w:r>
      <w:r w:rsidRPr="00D634D6">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634D6">
        <w:rPr>
          <w:rFonts w:ascii="Palatino Linotype" w:hAnsi="Palatino Linotype" w:cs="Arial"/>
          <w:i/>
          <w:color w:val="000000"/>
        </w:rPr>
        <w:t>.”</w:t>
      </w:r>
    </w:p>
    <w:p w:rsidR="00862AB1" w:rsidRPr="00D634D6" w:rsidRDefault="00862AB1" w:rsidP="00D634D6">
      <w:pPr>
        <w:spacing w:line="360" w:lineRule="auto"/>
        <w:ind w:left="851" w:right="618"/>
        <w:contextualSpacing/>
        <w:jc w:val="both"/>
        <w:rPr>
          <w:rFonts w:ascii="Palatino Linotype" w:hAnsi="Palatino Linotype" w:cs="Arial"/>
          <w:i/>
          <w:color w:val="000000"/>
        </w:rPr>
      </w:pPr>
      <w:r w:rsidRPr="00D634D6">
        <w:rPr>
          <w:rFonts w:ascii="Palatino Linotype" w:hAnsi="Palatino Linotype" w:cs="Arial"/>
          <w:i/>
          <w:color w:val="000000"/>
        </w:rPr>
        <w:t>SEGUNDO TRIBUNAL COLEGIADO DEL SEXTO CIRCUITO.</w:t>
      </w:r>
    </w:p>
    <w:p w:rsidR="00862AB1" w:rsidRPr="00D634D6" w:rsidRDefault="00862AB1" w:rsidP="00D634D6">
      <w:pPr>
        <w:spacing w:line="360" w:lineRule="auto"/>
        <w:ind w:left="851" w:right="618"/>
        <w:contextualSpacing/>
        <w:jc w:val="both"/>
        <w:rPr>
          <w:rFonts w:ascii="Palatino Linotype" w:hAnsi="Palatino Linotype" w:cs="Arial"/>
          <w:i/>
          <w:color w:val="000000"/>
        </w:rPr>
      </w:pPr>
      <w:r w:rsidRPr="00D634D6">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862AB1" w:rsidRPr="00D634D6" w:rsidRDefault="00862AB1" w:rsidP="00D634D6">
      <w:pPr>
        <w:spacing w:line="360" w:lineRule="auto"/>
        <w:ind w:left="851" w:right="618"/>
        <w:contextualSpacing/>
        <w:jc w:val="both"/>
        <w:rPr>
          <w:rFonts w:ascii="Palatino Linotype" w:hAnsi="Palatino Linotype" w:cs="Arial"/>
          <w:i/>
          <w:color w:val="000000"/>
        </w:rPr>
      </w:pPr>
      <w:r w:rsidRPr="00D634D6">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rsidR="00862AB1" w:rsidRPr="00D634D6" w:rsidRDefault="00862AB1" w:rsidP="00D634D6">
      <w:pPr>
        <w:spacing w:line="360" w:lineRule="auto"/>
        <w:ind w:left="851" w:right="618"/>
        <w:contextualSpacing/>
        <w:jc w:val="both"/>
        <w:rPr>
          <w:rFonts w:ascii="Palatino Linotype" w:hAnsi="Palatino Linotype" w:cs="Arial"/>
          <w:i/>
          <w:color w:val="000000"/>
        </w:rPr>
      </w:pPr>
      <w:r w:rsidRPr="00D634D6">
        <w:rPr>
          <w:rFonts w:ascii="Palatino Linotype" w:hAnsi="Palatino Linotype" w:cs="Arial"/>
          <w:i/>
          <w:color w:val="000000"/>
        </w:rPr>
        <w:t>Amparo en revisión 333/88. Adilia Romero. 26 de octubre de 1988. Unanimidad de votos. Ponente: Arnoldo Nájera Virgen. Secretario: Enrique Crispín Campos Ramírez.</w:t>
      </w:r>
    </w:p>
    <w:p w:rsidR="00862AB1" w:rsidRPr="00D634D6" w:rsidRDefault="00862AB1" w:rsidP="00D634D6">
      <w:pPr>
        <w:spacing w:line="360" w:lineRule="auto"/>
        <w:ind w:left="851" w:right="618"/>
        <w:contextualSpacing/>
        <w:jc w:val="both"/>
        <w:rPr>
          <w:rFonts w:ascii="Palatino Linotype" w:hAnsi="Palatino Linotype" w:cs="Arial"/>
          <w:i/>
          <w:color w:val="000000"/>
        </w:rPr>
      </w:pPr>
      <w:r w:rsidRPr="00D634D6">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862AB1" w:rsidRPr="00D634D6" w:rsidRDefault="00862AB1" w:rsidP="00D634D6">
      <w:pPr>
        <w:spacing w:line="360" w:lineRule="auto"/>
        <w:ind w:left="851" w:right="618"/>
        <w:contextualSpacing/>
        <w:jc w:val="both"/>
        <w:rPr>
          <w:rFonts w:ascii="Palatino Linotype" w:hAnsi="Palatino Linotype" w:cs="Arial"/>
          <w:i/>
          <w:color w:val="000000"/>
        </w:rPr>
      </w:pPr>
      <w:r w:rsidRPr="00D634D6">
        <w:rPr>
          <w:rFonts w:ascii="Palatino Linotype" w:hAnsi="Palatino Linotype" w:cs="Arial"/>
          <w:i/>
          <w:color w:val="000000"/>
        </w:rPr>
        <w:t>Amparo directo 7/96. Pedro Vicente López Miro. 21 de febrero de 1996. Unanimidad de votos. Ponente: María Eugenia Estela Martínez Cardiel. Secretario: Enrique Baigts Muñoz.</w:t>
      </w:r>
    </w:p>
    <w:p w:rsidR="00862AB1" w:rsidRPr="00D634D6" w:rsidRDefault="00862AB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En ese mismo sentido, el numeral trigésimo tercero fracción V de los Lineamientos Generales, precisa que para motivar la clasificación se deben acreditar las circunstancias de tiempo, modo y lugar.</w:t>
      </w:r>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 xml:space="preserve">Ahora bien, </w:t>
      </w:r>
      <w:r w:rsidRPr="00D634D6">
        <w:rPr>
          <w:rFonts w:ascii="Palatino Linotype" w:eastAsia="MS Gothic" w:hAnsi="Palatino Linotype" w:cs="Times New Roman"/>
          <w:b/>
          <w:sz w:val="24"/>
          <w:szCs w:val="26"/>
          <w:u w:val="single"/>
          <w:lang w:val="es-ES_tradnl"/>
        </w:rPr>
        <w:t>para cada caso además de fundar y motivar</w:t>
      </w:r>
      <w:r w:rsidRPr="00D634D6">
        <w:rPr>
          <w:rFonts w:ascii="Palatino Linotype" w:eastAsia="MS Gothic" w:hAnsi="Palatino Linotype" w:cs="Times New Roman"/>
          <w:sz w:val="24"/>
          <w:szCs w:val="26"/>
          <w:lang w:val="es-ES_tradnl"/>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D634D6">
        <w:rPr>
          <w:rFonts w:ascii="Palatino Linotype" w:eastAsia="MS Gothic" w:hAnsi="Palatino Linotype" w:cs="Times New Roman"/>
          <w:sz w:val="24"/>
          <w:szCs w:val="26"/>
          <w:vertAlign w:val="superscript"/>
          <w:lang w:val="es-ES_tradnl"/>
        </w:rPr>
        <w:footnoteReference w:id="14"/>
      </w:r>
      <w:r w:rsidRPr="00D634D6">
        <w:rPr>
          <w:rFonts w:ascii="Palatino Linotype" w:eastAsia="MS Gothic" w:hAnsi="Palatino Linotype" w:cs="Times New Roman"/>
          <w:sz w:val="24"/>
          <w:szCs w:val="26"/>
          <w:lang w:val="es-ES_tradnl"/>
        </w:rPr>
        <w:t xml:space="preserve"> del servidor público que no tienen ninguna injerencia en el tema de la transparencia y la rendición de cuentas, por ejemplo, </w:t>
      </w:r>
      <w:r w:rsidRPr="00D634D6">
        <w:rPr>
          <w:rFonts w:ascii="Palatino Linotype" w:eastAsia="MS Gothic" w:hAnsi="Palatino Linotype" w:cs="Times New Roman"/>
          <w:sz w:val="24"/>
          <w:szCs w:val="26"/>
          <w:lang w:val="es-ES"/>
        </w:rPr>
        <w:lastRenderedPageBreak/>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862AB1" w:rsidRPr="00D634D6" w:rsidRDefault="00862AB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862AB1" w:rsidRPr="00D634D6" w:rsidRDefault="00862AB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 xml:space="preserve">Otro </w:t>
      </w:r>
      <w:r w:rsidRPr="00D634D6">
        <w:rPr>
          <w:rFonts w:ascii="Palatino Linotype" w:eastAsia="MS Gothic" w:hAnsi="Palatino Linotype" w:cs="Times New Roman"/>
          <w:sz w:val="24"/>
          <w:szCs w:val="26"/>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eastAsia="MS Gothic" w:hAnsi="Palatino Linotype" w:cs="Times New Roman"/>
          <w:sz w:val="24"/>
          <w:szCs w:val="26"/>
          <w:lang w:val="es-ES"/>
        </w:rPr>
      </w:pPr>
    </w:p>
    <w:p w:rsidR="00346FC9" w:rsidRPr="00D634D6" w:rsidRDefault="00346FC9" w:rsidP="00D634D6">
      <w:pPr>
        <w:pStyle w:val="Prrafodelista"/>
        <w:tabs>
          <w:tab w:val="left" w:pos="142"/>
          <w:tab w:val="left" w:pos="284"/>
          <w:tab w:val="left" w:pos="426"/>
        </w:tabs>
        <w:spacing w:line="360" w:lineRule="auto"/>
        <w:ind w:left="0"/>
        <w:jc w:val="both"/>
        <w:outlineLvl w:val="2"/>
        <w:rPr>
          <w:rFonts w:ascii="Palatino Linotype" w:eastAsia="MS Gothic" w:hAnsi="Palatino Linotype" w:cs="Times New Roman"/>
          <w:b/>
          <w:sz w:val="24"/>
          <w:szCs w:val="26"/>
          <w:lang w:val="es-ES"/>
        </w:rPr>
      </w:pPr>
      <w:bookmarkStart w:id="31" w:name="_Toc34923437"/>
      <w:r w:rsidRPr="00D634D6">
        <w:rPr>
          <w:rFonts w:ascii="Palatino Linotype" w:eastAsia="MS Gothic" w:hAnsi="Palatino Linotype" w:cs="Times New Roman"/>
          <w:b/>
          <w:sz w:val="24"/>
          <w:szCs w:val="26"/>
          <w:lang w:val="es-ES"/>
        </w:rPr>
        <w:t>IV. Condiciones especiales de la clasificación de la información como reservada.</w:t>
      </w:r>
      <w:bookmarkEnd w:id="31"/>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b/>
          <w:sz w:val="24"/>
        </w:rPr>
      </w:pPr>
      <w:r w:rsidRPr="00D634D6">
        <w:rPr>
          <w:rFonts w:ascii="Palatino Linotype" w:hAnsi="Palatino Linotype" w:cs="Arial"/>
          <w:b/>
          <w:sz w:val="24"/>
        </w:rPr>
        <w:t>a) La fundamentación específica.</w:t>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346FC9"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
        </w:rPr>
        <w:t xml:space="preserve">Ahora bien, </w:t>
      </w:r>
      <w:r w:rsidRPr="00D634D6">
        <w:rPr>
          <w:rFonts w:ascii="Palatino Linotype" w:eastAsia="MS Gothic" w:hAnsi="Palatino Linotype" w:cs="Times New Roman"/>
          <w:sz w:val="24"/>
          <w:szCs w:val="26"/>
          <w:lang w:val="es-ES_tradnl"/>
        </w:rPr>
        <w:t xml:space="preserve">los artículos 128, segundo párrafo, y 103, segundo párrafo, de las Leyes Estatal y General, respectivamente, señalan que en el caso de la información reservada, se deben de señalar las razones, motivos o circunstancias especiales que llevan al </w:t>
      </w:r>
      <w:r w:rsidRPr="00D634D6">
        <w:rPr>
          <w:rFonts w:ascii="Palatino Linotype" w:eastAsia="MS Gothic" w:hAnsi="Palatino Linotype" w:cs="Times New Roman"/>
          <w:b/>
          <w:sz w:val="24"/>
          <w:szCs w:val="26"/>
          <w:lang w:val="es-ES_tradnl"/>
        </w:rPr>
        <w:t>SUJETO OBLIGADO</w:t>
      </w:r>
      <w:r w:rsidRPr="00D634D6">
        <w:rPr>
          <w:rFonts w:ascii="Palatino Linotype" w:eastAsia="MS Gothic" w:hAnsi="Palatino Linotype" w:cs="Times New Roman"/>
          <w:sz w:val="24"/>
          <w:szCs w:val="26"/>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w:t>
      </w:r>
      <w:r w:rsidRPr="00D634D6">
        <w:rPr>
          <w:rFonts w:ascii="Palatino Linotype" w:eastAsia="MS Gothic" w:hAnsi="Palatino Linotype" w:cs="Times New Roman"/>
          <w:sz w:val="24"/>
          <w:szCs w:val="26"/>
          <w:lang w:val="es-ES_tradnl"/>
        </w:rPr>
        <w:lastRenderedPageBreak/>
        <w:t>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b/>
          <w:sz w:val="24"/>
        </w:rPr>
      </w:pPr>
      <w:r w:rsidRPr="00D634D6">
        <w:rPr>
          <w:rFonts w:ascii="Palatino Linotype" w:hAnsi="Palatino Linotype" w:cs="Arial"/>
          <w:b/>
          <w:sz w:val="24"/>
        </w:rPr>
        <w:t>b) La prueba de daño.</w:t>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346FC9"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
        </w:rPr>
        <w:t xml:space="preserve">Las </w:t>
      </w:r>
      <w:r w:rsidRPr="00D634D6">
        <w:rPr>
          <w:rFonts w:ascii="Palatino Linotype" w:eastAsia="MS Gothic" w:hAnsi="Palatino Linotype" w:cs="Times New Roman"/>
          <w:sz w:val="24"/>
          <w:szCs w:val="26"/>
          <w:lang w:val="es-ES_tradnl"/>
        </w:rPr>
        <w:t>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346FC9"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
        </w:rPr>
        <w:t xml:space="preserve">Para </w:t>
      </w:r>
      <w:r w:rsidRPr="00D634D6">
        <w:rPr>
          <w:rFonts w:ascii="Palatino Linotype" w:eastAsia="MS Gothic" w:hAnsi="Palatino Linotype" w:cs="Times New Roman"/>
          <w:sz w:val="24"/>
          <w:szCs w:val="26"/>
          <w:lang w:val="es-ES_tradnl"/>
        </w:rPr>
        <w:t>aplicar la prueba de daño, se deberán de precisar la razones objetivas por las que la apertura genera una afectación, acreditando que:</w:t>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346FC9" w:rsidP="00D634D6">
      <w:pPr>
        <w:widowControl w:val="0"/>
        <w:autoSpaceDE w:val="0"/>
        <w:autoSpaceDN w:val="0"/>
        <w:adjustRightInd w:val="0"/>
        <w:spacing w:line="360" w:lineRule="auto"/>
        <w:ind w:left="567" w:right="567"/>
        <w:jc w:val="both"/>
        <w:rPr>
          <w:rFonts w:ascii="Palatino Linotype" w:hAnsi="Palatino Linotype" w:cs="Times"/>
          <w:i/>
          <w:color w:val="000000" w:themeColor="text1"/>
        </w:rPr>
      </w:pPr>
      <w:r w:rsidRPr="00D634D6">
        <w:rPr>
          <w:rFonts w:ascii="Palatino Linotype" w:hAnsi="Palatino Linotype" w:cs="Bookman Old Style"/>
          <w:bCs/>
          <w:i/>
          <w:color w:val="000000" w:themeColor="text1"/>
        </w:rPr>
        <w:t xml:space="preserve">I. </w:t>
      </w:r>
      <w:r w:rsidRPr="00D634D6">
        <w:rPr>
          <w:rFonts w:ascii="Palatino Linotype" w:hAnsi="Palatino Linotype" w:cs="Bookman Old Style"/>
          <w:i/>
          <w:color w:val="000000" w:themeColor="text1"/>
        </w:rPr>
        <w:t xml:space="preserve">La divulgación de la información representa un riesgo real, demostrable e identificable del perjuicio significativo al interés público o a la seguridad pública; </w:t>
      </w:r>
    </w:p>
    <w:p w:rsidR="00346FC9" w:rsidRPr="00D634D6" w:rsidRDefault="00346FC9" w:rsidP="00D634D6">
      <w:pPr>
        <w:widowControl w:val="0"/>
        <w:autoSpaceDE w:val="0"/>
        <w:autoSpaceDN w:val="0"/>
        <w:adjustRightInd w:val="0"/>
        <w:spacing w:line="360" w:lineRule="auto"/>
        <w:ind w:left="567" w:right="567"/>
        <w:jc w:val="both"/>
        <w:rPr>
          <w:rFonts w:ascii="Palatino Linotype" w:hAnsi="Palatino Linotype" w:cs="Times"/>
          <w:i/>
          <w:color w:val="000000" w:themeColor="text1"/>
        </w:rPr>
      </w:pPr>
      <w:r w:rsidRPr="00D634D6">
        <w:rPr>
          <w:rFonts w:ascii="Palatino Linotype" w:hAnsi="Palatino Linotype" w:cs="Bookman Old Style"/>
          <w:bCs/>
          <w:i/>
          <w:color w:val="000000" w:themeColor="text1"/>
        </w:rPr>
        <w:lastRenderedPageBreak/>
        <w:t xml:space="preserve">II. </w:t>
      </w:r>
      <w:r w:rsidRPr="00D634D6">
        <w:rPr>
          <w:rFonts w:ascii="Palatino Linotype" w:hAnsi="Palatino Linotype" w:cs="Bookman Old Style"/>
          <w:i/>
          <w:color w:val="000000" w:themeColor="text1"/>
        </w:rPr>
        <w:t xml:space="preserve">El riesgo de perjuicio que supondría la divulgación supera el interés público general de que se difunda; y </w:t>
      </w:r>
    </w:p>
    <w:p w:rsidR="00346FC9" w:rsidRPr="00D634D6" w:rsidRDefault="00346FC9" w:rsidP="00D634D6">
      <w:pPr>
        <w:widowControl w:val="0"/>
        <w:autoSpaceDE w:val="0"/>
        <w:autoSpaceDN w:val="0"/>
        <w:adjustRightInd w:val="0"/>
        <w:spacing w:line="360" w:lineRule="auto"/>
        <w:ind w:left="567" w:right="567"/>
        <w:jc w:val="both"/>
        <w:rPr>
          <w:rFonts w:ascii="Palatino Linotype" w:hAnsi="Palatino Linotype" w:cs="Times"/>
          <w:i/>
          <w:color w:val="000000" w:themeColor="text1"/>
        </w:rPr>
      </w:pPr>
      <w:r w:rsidRPr="00D634D6">
        <w:rPr>
          <w:rFonts w:ascii="Palatino Linotype" w:hAnsi="Palatino Linotype" w:cs="Bookman Old Style"/>
          <w:bCs/>
          <w:i/>
          <w:color w:val="000000" w:themeColor="text1"/>
        </w:rPr>
        <w:t xml:space="preserve">III. </w:t>
      </w:r>
      <w:r w:rsidRPr="00D634D6">
        <w:rPr>
          <w:rFonts w:ascii="Palatino Linotype" w:hAnsi="Palatino Linotype" w:cs="Bookman Old Style"/>
          <w:i/>
          <w:color w:val="000000" w:themeColor="text1"/>
        </w:rPr>
        <w:t xml:space="preserve">La limitación se adecua al principio de proporcionalidad y representa el medio menos restrictivo disponible para evitar el perjuicio. </w:t>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346FC9"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
        </w:rPr>
        <w:t xml:space="preserve">Sobre </w:t>
      </w:r>
      <w:r w:rsidRPr="00D634D6">
        <w:rPr>
          <w:rFonts w:ascii="Palatino Linotype" w:eastAsia="MS Gothic" w:hAnsi="Palatino Linotype" w:cs="Times New Roman"/>
          <w:sz w:val="24"/>
          <w:szCs w:val="26"/>
          <w:lang w:val="es-ES_tradnl"/>
        </w:rPr>
        <w:t>el primer supuesto consideremos que según el diccionario del español jurídico, por riesgo podemos entender “la contingencia o proximidad de un daño”,</w:t>
      </w:r>
      <w:r w:rsidRPr="00D634D6">
        <w:rPr>
          <w:rFonts w:ascii="Palatino Linotype" w:eastAsia="MS Gothic" w:hAnsi="Palatino Linotype" w:cs="Times New Roman"/>
          <w:sz w:val="24"/>
          <w:szCs w:val="26"/>
          <w:vertAlign w:val="superscript"/>
          <w:lang w:val="es-ES_tradnl"/>
        </w:rPr>
        <w:footnoteReference w:id="15"/>
      </w:r>
      <w:r w:rsidRPr="00D634D6">
        <w:rPr>
          <w:rFonts w:ascii="Palatino Linotype" w:eastAsia="MS Gothic" w:hAnsi="Palatino Linotype" w:cs="Times New Roman"/>
          <w:sz w:val="24"/>
          <w:szCs w:val="26"/>
          <w:lang w:val="es-ES_tradnl"/>
        </w:rPr>
        <w:t xml:space="preserve"> mientras que el daño es considerado como un “perjuicio o lesión”</w:t>
      </w:r>
      <w:r w:rsidRPr="00D634D6">
        <w:rPr>
          <w:rFonts w:ascii="Palatino Linotype" w:eastAsia="MS Gothic" w:hAnsi="Palatino Linotype" w:cs="Times New Roman"/>
          <w:sz w:val="24"/>
          <w:szCs w:val="26"/>
          <w:vertAlign w:val="superscript"/>
          <w:lang w:val="es-ES_tradnl"/>
        </w:rPr>
        <w:footnoteReference w:id="16"/>
      </w:r>
      <w:r w:rsidRPr="00D634D6">
        <w:rPr>
          <w:rFonts w:ascii="Palatino Linotype" w:eastAsia="MS Gothic" w:hAnsi="Palatino Linotype" w:cs="Times New Roman"/>
          <w:sz w:val="24"/>
          <w:szCs w:val="26"/>
          <w:lang w:val="es-ES_tradnl"/>
        </w:rPr>
        <w:t>, mientras que según el Diccionario de la Lengua Española, lo real es lo “(que tiene existencia objetiva”,</w:t>
      </w:r>
      <w:r w:rsidRPr="00D634D6">
        <w:rPr>
          <w:rFonts w:ascii="Palatino Linotype" w:eastAsia="MS Gothic" w:hAnsi="Palatino Linotype" w:cs="Times New Roman"/>
          <w:sz w:val="24"/>
          <w:szCs w:val="26"/>
          <w:vertAlign w:val="superscript"/>
          <w:lang w:val="es-ES_tradnl"/>
        </w:rPr>
        <w:footnoteReference w:id="17"/>
      </w:r>
      <w:r w:rsidRPr="00D634D6">
        <w:rPr>
          <w:rFonts w:ascii="Palatino Linotype" w:eastAsia="MS Gothic" w:hAnsi="Palatino Linotype" w:cs="Times New Roman"/>
          <w:sz w:val="24"/>
          <w:szCs w:val="26"/>
          <w:lang w:val="es-ES_tradnl"/>
        </w:rPr>
        <w:t xml:space="preserve"> mientras que lo demostrables es, según la misma fuente, aquello que se puede demostrar,</w:t>
      </w:r>
      <w:r w:rsidRPr="00D634D6">
        <w:rPr>
          <w:rFonts w:ascii="Palatino Linotype" w:eastAsia="MS Gothic" w:hAnsi="Palatino Linotype" w:cs="Times New Roman"/>
          <w:sz w:val="24"/>
          <w:szCs w:val="26"/>
          <w:vertAlign w:val="superscript"/>
          <w:lang w:val="es-ES_tradnl"/>
        </w:rPr>
        <w:footnoteReference w:id="18"/>
      </w:r>
      <w:r w:rsidRPr="00D634D6">
        <w:rPr>
          <w:rFonts w:ascii="Palatino Linotype" w:eastAsia="MS Gothic" w:hAnsi="Palatino Linotype" w:cs="Times New Roman"/>
          <w:sz w:val="24"/>
          <w:szCs w:val="26"/>
          <w:lang w:val="es-ES_tradnl"/>
        </w:rPr>
        <w:t xml:space="preserve"> es decir, “(manifestar, declarar. Probar, sirviéndose de cualquier género de demostración, </w:t>
      </w:r>
      <w:hyperlink r:id="rId13" w:anchor="6nAyKjE" w:history="1">
        <w:r w:rsidRPr="00D634D6">
          <w:rPr>
            <w:rStyle w:val="Hipervnculo"/>
            <w:rFonts w:ascii="Palatino Linotype" w:eastAsia="MS Gothic" w:hAnsi="Palatino Linotype" w:cs="Times New Roman"/>
            <w:sz w:val="24"/>
            <w:szCs w:val="26"/>
            <w:lang w:val="es-ES_tradnl"/>
          </w:rPr>
          <w:t>enseñar</w:t>
        </w:r>
      </w:hyperlink>
      <w:r w:rsidRPr="00D634D6">
        <w:rPr>
          <w:rFonts w:ascii="Palatino Linotype" w:eastAsia="MS Gothic" w:hAnsi="Palatino Linotype" w:cs="Times New Roman"/>
          <w:sz w:val="24"/>
          <w:szCs w:val="26"/>
          <w:lang w:val="es-ES_tradnl"/>
        </w:rPr>
        <w:t xml:space="preserve"> mostrar o exponer algo)”.</w:t>
      </w:r>
      <w:r w:rsidRPr="00D634D6">
        <w:rPr>
          <w:rFonts w:ascii="Palatino Linotype" w:eastAsia="MS Gothic" w:hAnsi="Palatino Linotype" w:cs="Times New Roman"/>
          <w:sz w:val="24"/>
          <w:szCs w:val="26"/>
          <w:vertAlign w:val="superscript"/>
          <w:lang w:val="es-ES_tradnl"/>
        </w:rPr>
        <w:footnoteReference w:id="19"/>
      </w:r>
      <w:r w:rsidRPr="00D634D6">
        <w:rPr>
          <w:rFonts w:ascii="Palatino Linotype" w:eastAsia="MS Gothic" w:hAnsi="Palatino Linotype" w:cs="Times New Roman"/>
          <w:sz w:val="24"/>
          <w:szCs w:val="26"/>
          <w:lang w:val="es-ES_tradnl"/>
        </w:rPr>
        <w:t xml:space="preserve"> Mientras que lo identificable es lo que puede ser identificado,</w:t>
      </w:r>
      <w:r w:rsidRPr="00D634D6">
        <w:rPr>
          <w:rFonts w:ascii="Palatino Linotype" w:eastAsia="MS Gothic" w:hAnsi="Palatino Linotype" w:cs="Times New Roman"/>
          <w:sz w:val="24"/>
          <w:szCs w:val="26"/>
          <w:vertAlign w:val="superscript"/>
          <w:lang w:val="es-ES_tradnl"/>
        </w:rPr>
        <w:footnoteReference w:id="20"/>
      </w:r>
      <w:r w:rsidRPr="00D634D6">
        <w:rPr>
          <w:rFonts w:ascii="Palatino Linotype" w:eastAsia="MS Gothic" w:hAnsi="Palatino Linotype" w:cs="Times New Roman"/>
          <w:sz w:val="24"/>
          <w:szCs w:val="26"/>
          <w:lang w:val="es-ES_tradnl"/>
        </w:rPr>
        <w:t xml:space="preserve"> esto es, “(dar los datos necesarios para ser reconocido”.</w:t>
      </w:r>
      <w:r w:rsidRPr="00D634D6">
        <w:rPr>
          <w:rFonts w:ascii="Palatino Linotype" w:eastAsia="MS Gothic" w:hAnsi="Palatino Linotype" w:cs="Times New Roman"/>
          <w:sz w:val="24"/>
          <w:szCs w:val="26"/>
          <w:vertAlign w:val="superscript"/>
          <w:lang w:val="es-ES_tradnl"/>
        </w:rPr>
        <w:footnoteReference w:id="21"/>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346FC9"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
        </w:rPr>
        <w:t xml:space="preserve">Por </w:t>
      </w:r>
      <w:r w:rsidRPr="00D634D6">
        <w:rPr>
          <w:rFonts w:ascii="Palatino Linotype" w:eastAsia="MS Gothic" w:hAnsi="Palatino Linotype" w:cs="Times New Roman"/>
          <w:sz w:val="24"/>
          <w:szCs w:val="26"/>
          <w:lang w:val="es-ES_tradnl"/>
        </w:rPr>
        <w:t xml:space="preserve">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w:t>
      </w:r>
      <w:r w:rsidRPr="00D634D6">
        <w:rPr>
          <w:rFonts w:ascii="Palatino Linotype" w:eastAsia="MS Gothic" w:hAnsi="Palatino Linotype" w:cs="Times New Roman"/>
          <w:sz w:val="24"/>
          <w:szCs w:val="26"/>
          <w:lang w:val="es-ES_tradnl"/>
        </w:rPr>
        <w:lastRenderedPageBreak/>
        <w:t>para reconocer el daño, perjuicio o lesión que provocaría a un interés público o a la seguridad pública.</w:t>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346FC9"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
        </w:rPr>
        <w:t xml:space="preserve">Identificando </w:t>
      </w:r>
      <w:r w:rsidRPr="00D634D6">
        <w:rPr>
          <w:rFonts w:ascii="Palatino Linotype" w:eastAsia="MS Gothic" w:hAnsi="Palatino Linotype" w:cs="Times New Roman"/>
          <w:sz w:val="24"/>
          <w:szCs w:val="26"/>
          <w:lang w:val="es-ES_tradnl"/>
        </w:rPr>
        <w:t>ese riesgo, se debe demostrar que el mismo supera el interés público general porque se difunda dicha información.</w:t>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346FC9"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
        </w:rPr>
        <w:t xml:space="preserve">Y, </w:t>
      </w:r>
      <w:r w:rsidRPr="00D634D6">
        <w:rPr>
          <w:rFonts w:ascii="Palatino Linotype" w:eastAsia="MS Gothic" w:hAnsi="Palatino Linotype" w:cs="Times New Roman"/>
          <w:sz w:val="24"/>
          <w:szCs w:val="26"/>
          <w:lang w:val="es-ES_tradnl"/>
        </w:rPr>
        <w:t>por último,  que la limitación es acorde con el principio de proporcionalidad, para ello, se sugiere emplear los tres juicios propuestos por la Corte Constitucional Colombiana</w:t>
      </w:r>
      <w:r w:rsidRPr="00D634D6">
        <w:rPr>
          <w:rFonts w:ascii="Palatino Linotype" w:eastAsia="MS Gothic" w:hAnsi="Palatino Linotype" w:cs="Times New Roman"/>
          <w:sz w:val="24"/>
          <w:szCs w:val="26"/>
          <w:vertAlign w:val="superscript"/>
          <w:lang w:val="es-ES_tradnl"/>
        </w:rPr>
        <w:footnoteReference w:id="22"/>
      </w:r>
      <w:r w:rsidRPr="00D634D6">
        <w:rPr>
          <w:rFonts w:ascii="Palatino Linotype" w:eastAsia="MS Gothic" w:hAnsi="Palatino Linotype" w:cs="Times New Roman"/>
          <w:sz w:val="24"/>
          <w:szCs w:val="26"/>
          <w:lang w:val="es-ES_tradnl"/>
        </w:rPr>
        <w:t>, siguiendo el principio de ponderación propuesto por el Tribunal Constitucional Alemán,</w:t>
      </w:r>
      <w:r w:rsidRPr="00D634D6">
        <w:rPr>
          <w:rFonts w:ascii="Palatino Linotype" w:eastAsia="MS Gothic" w:hAnsi="Palatino Linotype" w:cs="Times New Roman"/>
          <w:sz w:val="24"/>
          <w:szCs w:val="26"/>
          <w:vertAlign w:val="superscript"/>
          <w:lang w:val="es-ES_tradnl"/>
        </w:rPr>
        <w:footnoteReference w:id="23"/>
      </w:r>
      <w:r w:rsidRPr="00D634D6">
        <w:rPr>
          <w:rFonts w:ascii="Palatino Linotype" w:eastAsia="MS Gothic" w:hAnsi="Palatino Linotype" w:cs="Times New Roman"/>
          <w:sz w:val="24"/>
          <w:szCs w:val="26"/>
          <w:lang w:val="es-ES_tradnl"/>
        </w:rPr>
        <w:t xml:space="preserve"> el juicio de idoneidad, que </w:t>
      </w:r>
      <w:r w:rsidRPr="00D634D6">
        <w:rPr>
          <w:rFonts w:ascii="Palatino Linotype" w:eastAsia="MS Gothic" w:hAnsi="Palatino Linotype" w:cs="Times New Roman"/>
          <w:sz w:val="24"/>
          <w:szCs w:val="26"/>
          <w:lang w:val="es-ES_tradnl"/>
        </w:rPr>
        <w:lastRenderedPageBreak/>
        <w:t>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9D3278" w:rsidP="00D634D6">
      <w:pPr>
        <w:pStyle w:val="Prrafodelista"/>
        <w:tabs>
          <w:tab w:val="left" w:pos="142"/>
          <w:tab w:val="left" w:pos="284"/>
          <w:tab w:val="left" w:pos="426"/>
        </w:tabs>
        <w:spacing w:line="360" w:lineRule="auto"/>
        <w:ind w:left="0"/>
        <w:jc w:val="both"/>
        <w:rPr>
          <w:rFonts w:ascii="Palatino Linotype" w:hAnsi="Palatino Linotype" w:cs="Arial"/>
          <w:b/>
          <w:sz w:val="24"/>
        </w:rPr>
      </w:pPr>
      <w:r w:rsidRPr="00D634D6">
        <w:rPr>
          <w:rFonts w:ascii="Palatino Linotype" w:hAnsi="Palatino Linotype" w:cs="Arial"/>
          <w:b/>
          <w:sz w:val="24"/>
        </w:rPr>
        <w:t>c</w:t>
      </w:r>
      <w:r w:rsidR="00346FC9" w:rsidRPr="00D634D6">
        <w:rPr>
          <w:rFonts w:ascii="Palatino Linotype" w:hAnsi="Palatino Linotype" w:cs="Arial"/>
          <w:b/>
          <w:sz w:val="24"/>
        </w:rPr>
        <w:t>) La clasificación de la información reservada debe ser de manera temporal.</w:t>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346FC9"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
        </w:rPr>
        <w:t xml:space="preserve">La </w:t>
      </w:r>
      <w:r w:rsidRPr="00D634D6">
        <w:rPr>
          <w:rFonts w:ascii="Palatino Linotype" w:eastAsia="MS Gothic" w:hAnsi="Palatino Linotype" w:cs="Times New Roman"/>
          <w:sz w:val="24"/>
          <w:szCs w:val="26"/>
          <w:lang w:val="es-ES_tradnl"/>
        </w:rPr>
        <w:t>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346FC9"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
        </w:rPr>
        <w:t xml:space="preserve">La </w:t>
      </w:r>
      <w:r w:rsidRPr="00D634D6">
        <w:rPr>
          <w:rFonts w:ascii="Palatino Linotype" w:eastAsia="MS Gothic" w:hAnsi="Palatino Linotype" w:cs="Times New Roman"/>
          <w:sz w:val="24"/>
          <w:szCs w:val="26"/>
          <w:lang w:val="es-ES_tradnl"/>
        </w:rPr>
        <w:t>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w:t>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346FC9"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
        </w:rPr>
        <w:t xml:space="preserve">Ahora </w:t>
      </w:r>
      <w:r w:rsidRPr="00D634D6">
        <w:rPr>
          <w:rFonts w:ascii="Palatino Linotype" w:eastAsia="MS Gothic" w:hAnsi="Palatino Linotype" w:cs="Times New Roman"/>
          <w:sz w:val="24"/>
          <w:szCs w:val="26"/>
          <w:lang w:val="es-ES_tradnl"/>
        </w:rPr>
        <w:t>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rsidR="00346FC9" w:rsidRPr="00D634D6" w:rsidRDefault="00346FC9"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lastRenderedPageBreak/>
        <w:t>De 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346FC9"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346FC9" w:rsidP="00D634D6">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32" w:name="_Toc34923438"/>
      <w:r w:rsidRPr="00D634D6">
        <w:rPr>
          <w:rFonts w:ascii="Palatino Linotype" w:hAnsi="Palatino Linotype" w:cs="Arial"/>
          <w:b/>
          <w:sz w:val="24"/>
        </w:rPr>
        <w:t>V. Condiciones especiales de la clasificación de la información como confidencial.</w:t>
      </w:r>
      <w:bookmarkEnd w:id="32"/>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346FC9"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Los artículos 148 y 120 de la Ley Estatal y de la Ley General, respectivamente, establecen que aun tratándose de datos personales, se podrán proporcionar, incluso sin solicitar el consentimiento de su titular, cuando dichos datos correspondan a los siguientes supuestos:</w:t>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346FC9" w:rsidP="00D634D6">
      <w:pPr>
        <w:spacing w:line="360" w:lineRule="auto"/>
        <w:ind w:left="567" w:right="616"/>
        <w:jc w:val="both"/>
        <w:rPr>
          <w:rFonts w:ascii="Palatino Linotype" w:eastAsia="Times New Roman" w:hAnsi="Palatino Linotype" w:cs="Times New Roman"/>
          <w:bCs/>
          <w:i/>
          <w:color w:val="000000" w:themeColor="text1"/>
          <w:lang w:val="es-ES"/>
        </w:rPr>
      </w:pPr>
      <w:r w:rsidRPr="00D634D6">
        <w:rPr>
          <w:rFonts w:ascii="Palatino Linotype" w:eastAsia="Times New Roman" w:hAnsi="Palatino Linotype" w:cs="Times New Roman"/>
          <w:bCs/>
          <w:i/>
          <w:color w:val="000000" w:themeColor="text1"/>
          <w:lang w:val="es-ES"/>
        </w:rPr>
        <w:t>I.</w:t>
      </w:r>
      <w:r w:rsidRPr="00D634D6">
        <w:rPr>
          <w:rFonts w:ascii="Palatino Linotype" w:eastAsia="Times New Roman" w:hAnsi="Palatino Linotype" w:cs="Times New Roman"/>
          <w:i/>
          <w:color w:val="000000" w:themeColor="text1"/>
          <w:lang w:val="es-ES"/>
        </w:rPr>
        <w:t xml:space="preserve"> La información se encuentre en registros públicos o fuentes de acceso público;</w:t>
      </w:r>
    </w:p>
    <w:p w:rsidR="00346FC9" w:rsidRPr="00D634D6" w:rsidRDefault="00346FC9" w:rsidP="00D634D6">
      <w:pPr>
        <w:spacing w:line="360" w:lineRule="auto"/>
        <w:ind w:left="567" w:right="616"/>
        <w:jc w:val="both"/>
        <w:rPr>
          <w:rFonts w:ascii="Palatino Linotype" w:eastAsia="Times New Roman" w:hAnsi="Palatino Linotype" w:cs="Times New Roman"/>
          <w:bCs/>
          <w:i/>
          <w:color w:val="000000" w:themeColor="text1"/>
          <w:lang w:val="es-ES"/>
        </w:rPr>
      </w:pPr>
      <w:r w:rsidRPr="00D634D6">
        <w:rPr>
          <w:rFonts w:ascii="Palatino Linotype" w:eastAsia="Times New Roman" w:hAnsi="Palatino Linotype" w:cs="Times New Roman"/>
          <w:bCs/>
          <w:i/>
          <w:color w:val="000000" w:themeColor="text1"/>
          <w:lang w:val="es-ES"/>
        </w:rPr>
        <w:t xml:space="preserve">II. </w:t>
      </w:r>
      <w:r w:rsidRPr="00D634D6">
        <w:rPr>
          <w:rFonts w:ascii="Palatino Linotype" w:eastAsia="Times New Roman" w:hAnsi="Palatino Linotype" w:cs="Times New Roman"/>
          <w:i/>
          <w:color w:val="000000" w:themeColor="text1"/>
          <w:lang w:val="es-ES"/>
        </w:rPr>
        <w:t>Por Ley tenga el carácter de pública;</w:t>
      </w:r>
    </w:p>
    <w:p w:rsidR="00346FC9" w:rsidRPr="00D634D6" w:rsidRDefault="00346FC9" w:rsidP="00D634D6">
      <w:pPr>
        <w:spacing w:line="360" w:lineRule="auto"/>
        <w:ind w:left="567" w:right="616"/>
        <w:jc w:val="both"/>
        <w:rPr>
          <w:rFonts w:ascii="Palatino Linotype" w:eastAsia="Times New Roman" w:hAnsi="Palatino Linotype" w:cs="Times New Roman"/>
          <w:i/>
          <w:color w:val="000000" w:themeColor="text1"/>
          <w:lang w:val="es-ES"/>
        </w:rPr>
      </w:pPr>
      <w:r w:rsidRPr="00D634D6">
        <w:rPr>
          <w:rFonts w:ascii="Palatino Linotype" w:eastAsia="Times New Roman" w:hAnsi="Palatino Linotype" w:cs="Times New Roman"/>
          <w:bCs/>
          <w:i/>
          <w:color w:val="000000" w:themeColor="text1"/>
          <w:lang w:val="es-ES"/>
        </w:rPr>
        <w:lastRenderedPageBreak/>
        <w:t xml:space="preserve">III. </w:t>
      </w:r>
      <w:r w:rsidRPr="00D634D6">
        <w:rPr>
          <w:rFonts w:ascii="Palatino Linotype" w:eastAsia="Times New Roman" w:hAnsi="Palatino Linotype" w:cs="Times New Roman"/>
          <w:i/>
          <w:color w:val="000000" w:themeColor="text1"/>
          <w:lang w:val="es-ES"/>
        </w:rPr>
        <w:t xml:space="preserve">Exista una orden judicial; </w:t>
      </w:r>
    </w:p>
    <w:p w:rsidR="00346FC9" w:rsidRPr="00D634D6" w:rsidRDefault="00346FC9" w:rsidP="00D634D6">
      <w:pPr>
        <w:spacing w:line="360" w:lineRule="auto"/>
        <w:ind w:left="567" w:right="616"/>
        <w:jc w:val="both"/>
        <w:rPr>
          <w:rFonts w:ascii="Palatino Linotype" w:eastAsia="Times New Roman" w:hAnsi="Palatino Linotype" w:cs="Times New Roman"/>
          <w:i/>
          <w:color w:val="000000" w:themeColor="text1"/>
          <w:lang w:val="es-ES"/>
        </w:rPr>
      </w:pPr>
      <w:r w:rsidRPr="00D634D6">
        <w:rPr>
          <w:rFonts w:ascii="Palatino Linotype" w:eastAsia="Times New Roman" w:hAnsi="Palatino Linotype" w:cs="Times New Roman"/>
          <w:bCs/>
          <w:i/>
          <w:color w:val="000000" w:themeColor="text1"/>
          <w:lang w:val="es-ES"/>
        </w:rPr>
        <w:t xml:space="preserve">IV. </w:t>
      </w:r>
      <w:r w:rsidRPr="00D634D6">
        <w:rPr>
          <w:rFonts w:ascii="Palatino Linotype" w:eastAsia="Times New Roman" w:hAnsi="Palatino Linotype" w:cs="Times New Roman"/>
          <w:i/>
          <w:color w:val="000000" w:themeColor="text1"/>
          <w:lang w:val="es-ES"/>
        </w:rPr>
        <w:t xml:space="preserve">Por razones de seguridad pública, o para proteger los derechos de terceros, se requiera su publicación; o </w:t>
      </w:r>
    </w:p>
    <w:p w:rsidR="00346FC9" w:rsidRPr="00D634D6" w:rsidRDefault="00346FC9" w:rsidP="00D634D6">
      <w:pPr>
        <w:spacing w:line="360" w:lineRule="auto"/>
        <w:ind w:left="567" w:right="616"/>
        <w:jc w:val="both"/>
        <w:rPr>
          <w:rFonts w:ascii="Palatino Linotype" w:eastAsia="Times New Roman" w:hAnsi="Palatino Linotype" w:cs="Times New Roman"/>
          <w:i/>
          <w:color w:val="000000" w:themeColor="text1"/>
          <w:lang w:val="es-ES"/>
        </w:rPr>
      </w:pPr>
      <w:r w:rsidRPr="00D634D6">
        <w:rPr>
          <w:rFonts w:ascii="Palatino Linotype" w:eastAsia="Times New Roman" w:hAnsi="Palatino Linotype" w:cs="Times New Roman"/>
          <w:bCs/>
          <w:i/>
          <w:color w:val="000000" w:themeColor="text1"/>
          <w:lang w:val="es-ES"/>
        </w:rPr>
        <w:t xml:space="preserve">V. </w:t>
      </w:r>
      <w:r w:rsidRPr="00D634D6">
        <w:rPr>
          <w:rFonts w:ascii="Palatino Linotype" w:eastAsia="Times New Roman" w:hAnsi="Palatino Linotype" w:cs="Times New Roman"/>
          <w:i/>
          <w:color w:val="000000" w:themeColor="text1"/>
          <w:lang w:val="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346FC9"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346FC9"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346FC9"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 xml:space="preserve">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w:t>
      </w:r>
      <w:r w:rsidRPr="00D634D6">
        <w:rPr>
          <w:rFonts w:ascii="Palatino Linotype" w:eastAsia="MS Gothic" w:hAnsi="Palatino Linotype" w:cs="Times New Roman"/>
          <w:sz w:val="24"/>
          <w:szCs w:val="26"/>
          <w:lang w:val="es-ES_tradnl"/>
        </w:rPr>
        <w:lastRenderedPageBreak/>
        <w:t>formalidades, es decir, por vicios de legalidad o a la reposición del acto.  Para tratar de ser, aún más gráficos y propiciar el mejor entendimiento de esta materia, se anexa a la presente opinión particular, la siguiente tabla.</w:t>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tbl>
      <w:tblPr>
        <w:tblStyle w:val="Tablaconcuadrcula2"/>
        <w:tblW w:w="8807" w:type="dxa"/>
        <w:tblLook w:val="04A0" w:firstRow="1" w:lastRow="0" w:firstColumn="1" w:lastColumn="0" w:noHBand="0" w:noVBand="1"/>
      </w:tblPr>
      <w:tblGrid>
        <w:gridCol w:w="2142"/>
        <w:gridCol w:w="2106"/>
        <w:gridCol w:w="2305"/>
        <w:gridCol w:w="2254"/>
      </w:tblGrid>
      <w:tr w:rsidR="00077EF1" w:rsidRPr="00D634D6" w:rsidTr="00D634D6">
        <w:tc>
          <w:tcPr>
            <w:tcW w:w="2142" w:type="dxa"/>
            <w:vMerge w:val="restart"/>
            <w:shd w:val="clear" w:color="auto" w:fill="D5DCE4" w:themeFill="text2" w:themeFillTint="33"/>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Requisitos previos</w:t>
            </w:r>
          </w:p>
        </w:tc>
        <w:tc>
          <w:tcPr>
            <w:tcW w:w="2106" w:type="dxa"/>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Los sujetos obligados determinan que la información actualiza alguno de los supuestos de clasificación:</w:t>
            </w:r>
          </w:p>
        </w:tc>
        <w:tc>
          <w:tcPr>
            <w:tcW w:w="2305" w:type="dxa"/>
          </w:tcPr>
          <w:p w:rsidR="00077EF1" w:rsidRPr="00D634D6" w:rsidRDefault="00077EF1" w:rsidP="00D634D6">
            <w:pPr>
              <w:spacing w:line="360" w:lineRule="auto"/>
              <w:jc w:val="both"/>
              <w:rPr>
                <w:rFonts w:ascii="Palatino Linotype" w:hAnsi="Palatino Linotype"/>
                <w:color w:val="000000" w:themeColor="text1"/>
                <w:sz w:val="18"/>
                <w:szCs w:val="18"/>
              </w:rPr>
            </w:pPr>
          </w:p>
          <w:p w:rsidR="00077EF1" w:rsidRPr="00D634D6" w:rsidRDefault="00077EF1" w:rsidP="00D634D6">
            <w:pPr>
              <w:spacing w:line="360" w:lineRule="auto"/>
              <w:jc w:val="both"/>
              <w:rPr>
                <w:rFonts w:ascii="Palatino Linotype" w:hAnsi="Palatino Linotype"/>
                <w:color w:val="000000" w:themeColor="text1"/>
                <w:sz w:val="18"/>
                <w:szCs w:val="18"/>
              </w:rPr>
            </w:pPr>
          </w:p>
          <w:p w:rsidR="00077EF1" w:rsidRPr="00D634D6" w:rsidRDefault="00077EF1" w:rsidP="00D634D6">
            <w:pPr>
              <w:spacing w:line="360" w:lineRule="auto"/>
              <w:jc w:val="both"/>
              <w:rPr>
                <w:rFonts w:ascii="Palatino Linotype" w:hAnsi="Palatino Linotype"/>
                <w:color w:val="000000" w:themeColor="text1"/>
                <w:sz w:val="18"/>
                <w:szCs w:val="18"/>
              </w:rPr>
            </w:pPr>
          </w:p>
          <w:p w:rsidR="00077EF1" w:rsidRPr="00D634D6" w:rsidRDefault="00077EF1" w:rsidP="00D634D6">
            <w:pPr>
              <w:numPr>
                <w:ilvl w:val="0"/>
                <w:numId w:val="28"/>
              </w:numPr>
              <w:spacing w:line="360" w:lineRule="auto"/>
              <w:ind w:left="0" w:firstLine="0"/>
              <w:contextualSpacing/>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 xml:space="preserve">Confidencialidad </w:t>
            </w:r>
          </w:p>
          <w:p w:rsidR="00077EF1" w:rsidRPr="00D634D6" w:rsidRDefault="00077EF1" w:rsidP="00D634D6">
            <w:pPr>
              <w:numPr>
                <w:ilvl w:val="0"/>
                <w:numId w:val="28"/>
              </w:numPr>
              <w:spacing w:line="360" w:lineRule="auto"/>
              <w:ind w:left="0" w:firstLine="0"/>
              <w:contextualSpacing/>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Reserva</w:t>
            </w:r>
          </w:p>
        </w:tc>
        <w:tc>
          <w:tcPr>
            <w:tcW w:w="2254" w:type="dxa"/>
          </w:tcPr>
          <w:p w:rsidR="00077EF1" w:rsidRPr="00D634D6" w:rsidRDefault="00077EF1" w:rsidP="00D634D6">
            <w:pPr>
              <w:spacing w:line="360" w:lineRule="auto"/>
              <w:jc w:val="both"/>
              <w:rPr>
                <w:rFonts w:ascii="Palatino Linotype" w:hAnsi="Palatino Linotype"/>
                <w:color w:val="000000" w:themeColor="text1"/>
                <w:sz w:val="18"/>
                <w:szCs w:val="18"/>
              </w:rPr>
            </w:pPr>
          </w:p>
        </w:tc>
      </w:tr>
      <w:tr w:rsidR="00077EF1" w:rsidRPr="00D634D6" w:rsidTr="00D634D6">
        <w:tc>
          <w:tcPr>
            <w:tcW w:w="2142" w:type="dxa"/>
            <w:vMerge/>
            <w:shd w:val="clear" w:color="auto" w:fill="D5DCE4" w:themeFill="text2" w:themeFillTint="33"/>
          </w:tcPr>
          <w:p w:rsidR="00077EF1" w:rsidRPr="00D634D6" w:rsidRDefault="00077EF1" w:rsidP="00D634D6">
            <w:pPr>
              <w:spacing w:line="360" w:lineRule="auto"/>
              <w:jc w:val="both"/>
              <w:rPr>
                <w:rFonts w:ascii="Palatino Linotype" w:hAnsi="Palatino Linotype"/>
                <w:color w:val="000000" w:themeColor="text1"/>
                <w:sz w:val="18"/>
                <w:szCs w:val="18"/>
              </w:rPr>
            </w:pPr>
          </w:p>
        </w:tc>
        <w:tc>
          <w:tcPr>
            <w:tcW w:w="2106" w:type="dxa"/>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 xml:space="preserve">Los titulares de las áreas que administran la información son los que aprueban la clasificación </w:t>
            </w:r>
          </w:p>
        </w:tc>
        <w:tc>
          <w:tcPr>
            <w:tcW w:w="2305" w:type="dxa"/>
          </w:tcPr>
          <w:p w:rsidR="00077EF1" w:rsidRPr="00D634D6" w:rsidRDefault="00077EF1" w:rsidP="00D634D6">
            <w:pPr>
              <w:spacing w:line="360" w:lineRule="auto"/>
              <w:jc w:val="both"/>
              <w:rPr>
                <w:rFonts w:ascii="Palatino Linotype" w:hAnsi="Palatino Linotype"/>
                <w:color w:val="000000" w:themeColor="text1"/>
                <w:sz w:val="18"/>
                <w:szCs w:val="18"/>
              </w:rPr>
            </w:pPr>
          </w:p>
        </w:tc>
        <w:tc>
          <w:tcPr>
            <w:tcW w:w="2254" w:type="dxa"/>
          </w:tcPr>
          <w:p w:rsidR="00077EF1" w:rsidRPr="00D634D6" w:rsidRDefault="00077EF1" w:rsidP="00D634D6">
            <w:pPr>
              <w:spacing w:line="360" w:lineRule="auto"/>
              <w:jc w:val="both"/>
              <w:rPr>
                <w:rFonts w:ascii="Palatino Linotype" w:hAnsi="Palatino Linotype"/>
                <w:color w:val="000000" w:themeColor="text1"/>
                <w:sz w:val="18"/>
                <w:szCs w:val="18"/>
              </w:rPr>
            </w:pPr>
          </w:p>
        </w:tc>
      </w:tr>
      <w:tr w:rsidR="00077EF1" w:rsidRPr="00D634D6" w:rsidTr="00D634D6">
        <w:tc>
          <w:tcPr>
            <w:tcW w:w="2142" w:type="dxa"/>
            <w:vMerge/>
            <w:shd w:val="clear" w:color="auto" w:fill="D5DCE4" w:themeFill="text2" w:themeFillTint="33"/>
          </w:tcPr>
          <w:p w:rsidR="00077EF1" w:rsidRPr="00D634D6" w:rsidRDefault="00077EF1" w:rsidP="00D634D6">
            <w:pPr>
              <w:spacing w:line="360" w:lineRule="auto"/>
              <w:jc w:val="both"/>
              <w:rPr>
                <w:rFonts w:ascii="Palatino Linotype" w:hAnsi="Palatino Linotype"/>
                <w:color w:val="000000" w:themeColor="text1"/>
                <w:sz w:val="18"/>
                <w:szCs w:val="18"/>
              </w:rPr>
            </w:pPr>
          </w:p>
        </w:tc>
        <w:tc>
          <w:tcPr>
            <w:tcW w:w="2106" w:type="dxa"/>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La clasificación de la información se realiza al momento de:</w:t>
            </w:r>
          </w:p>
        </w:tc>
        <w:tc>
          <w:tcPr>
            <w:tcW w:w="2305" w:type="dxa"/>
          </w:tcPr>
          <w:p w:rsidR="00077EF1" w:rsidRPr="00D634D6" w:rsidRDefault="00077EF1" w:rsidP="00D634D6">
            <w:pPr>
              <w:numPr>
                <w:ilvl w:val="0"/>
                <w:numId w:val="27"/>
              </w:numPr>
              <w:spacing w:line="360" w:lineRule="auto"/>
              <w:ind w:left="0" w:firstLine="0"/>
              <w:contextualSpacing/>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Atender una solicitud</w:t>
            </w:r>
          </w:p>
          <w:p w:rsidR="00077EF1" w:rsidRPr="00D634D6" w:rsidRDefault="00077EF1" w:rsidP="00D634D6">
            <w:pPr>
              <w:numPr>
                <w:ilvl w:val="0"/>
                <w:numId w:val="27"/>
              </w:numPr>
              <w:spacing w:line="360" w:lineRule="auto"/>
              <w:ind w:left="0" w:firstLine="0"/>
              <w:contextualSpacing/>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Por mandato de una autoridad competente</w:t>
            </w:r>
          </w:p>
          <w:p w:rsidR="00077EF1" w:rsidRPr="00D634D6" w:rsidRDefault="00077EF1" w:rsidP="00D634D6">
            <w:pPr>
              <w:numPr>
                <w:ilvl w:val="0"/>
                <w:numId w:val="27"/>
              </w:numPr>
              <w:spacing w:line="360" w:lineRule="auto"/>
              <w:ind w:left="0" w:firstLine="0"/>
              <w:contextualSpacing/>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Para elaborar una versión pública y cumplir una obligación de transparencia</w:t>
            </w:r>
          </w:p>
        </w:tc>
        <w:tc>
          <w:tcPr>
            <w:tcW w:w="2254" w:type="dxa"/>
          </w:tcPr>
          <w:p w:rsidR="00077EF1" w:rsidRPr="00D634D6" w:rsidRDefault="00077EF1" w:rsidP="00D634D6">
            <w:pPr>
              <w:spacing w:line="360" w:lineRule="auto"/>
              <w:jc w:val="both"/>
              <w:rPr>
                <w:rFonts w:ascii="Palatino Linotype" w:hAnsi="Palatino Linotype"/>
                <w:color w:val="000000" w:themeColor="text1"/>
                <w:sz w:val="18"/>
                <w:szCs w:val="18"/>
              </w:rPr>
            </w:pPr>
          </w:p>
        </w:tc>
      </w:tr>
      <w:tr w:rsidR="00077EF1" w:rsidRPr="00D634D6" w:rsidTr="00D634D6">
        <w:tc>
          <w:tcPr>
            <w:tcW w:w="2142" w:type="dxa"/>
            <w:vMerge/>
            <w:shd w:val="clear" w:color="auto" w:fill="D5DCE4" w:themeFill="text2" w:themeFillTint="33"/>
          </w:tcPr>
          <w:p w:rsidR="00077EF1" w:rsidRPr="00D634D6" w:rsidRDefault="00077EF1" w:rsidP="00D634D6">
            <w:pPr>
              <w:spacing w:line="360" w:lineRule="auto"/>
              <w:jc w:val="both"/>
              <w:rPr>
                <w:rFonts w:ascii="Palatino Linotype" w:hAnsi="Palatino Linotype"/>
                <w:color w:val="000000" w:themeColor="text1"/>
                <w:sz w:val="18"/>
                <w:szCs w:val="18"/>
              </w:rPr>
            </w:pPr>
          </w:p>
        </w:tc>
        <w:tc>
          <w:tcPr>
            <w:tcW w:w="2106" w:type="dxa"/>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No se pueden emitir acuerdos de carácter general ni particular</w:t>
            </w:r>
          </w:p>
        </w:tc>
        <w:tc>
          <w:tcPr>
            <w:tcW w:w="2305" w:type="dxa"/>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 xml:space="preserve">El sujeto obligado debe emitir un acuerdo describiendo y analizando cada documento de un expediente y todos los datos incluidos en un documento </w:t>
            </w:r>
          </w:p>
        </w:tc>
        <w:tc>
          <w:tcPr>
            <w:tcW w:w="2254" w:type="dxa"/>
          </w:tcPr>
          <w:p w:rsidR="00077EF1" w:rsidRPr="00D634D6" w:rsidRDefault="00077EF1" w:rsidP="00D634D6">
            <w:pPr>
              <w:spacing w:line="360" w:lineRule="auto"/>
              <w:jc w:val="both"/>
              <w:rPr>
                <w:rFonts w:ascii="Palatino Linotype" w:hAnsi="Palatino Linotype"/>
                <w:color w:val="000000" w:themeColor="text1"/>
                <w:sz w:val="18"/>
                <w:szCs w:val="18"/>
              </w:rPr>
            </w:pPr>
          </w:p>
        </w:tc>
      </w:tr>
      <w:tr w:rsidR="00077EF1" w:rsidRPr="00D634D6" w:rsidTr="00D634D6">
        <w:tc>
          <w:tcPr>
            <w:tcW w:w="2142" w:type="dxa"/>
            <w:vMerge w:val="restart"/>
            <w:shd w:val="clear" w:color="auto" w:fill="D5DCE4" w:themeFill="text2" w:themeFillTint="33"/>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lastRenderedPageBreak/>
              <w:t>Supuestos de clasificación</w:t>
            </w:r>
          </w:p>
        </w:tc>
        <w:tc>
          <w:tcPr>
            <w:tcW w:w="2106" w:type="dxa"/>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Para clasificar la información como reservada hay</w:t>
            </w:r>
          </w:p>
        </w:tc>
        <w:tc>
          <w:tcPr>
            <w:tcW w:w="2305" w:type="dxa"/>
          </w:tcPr>
          <w:p w:rsidR="00077EF1" w:rsidRPr="00D634D6" w:rsidRDefault="00077EF1" w:rsidP="00D634D6">
            <w:pPr>
              <w:numPr>
                <w:ilvl w:val="0"/>
                <w:numId w:val="29"/>
              </w:numPr>
              <w:spacing w:line="360" w:lineRule="auto"/>
              <w:ind w:left="0" w:firstLine="0"/>
              <w:contextualSpacing/>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11 supuestos en la Ley Estatal</w:t>
            </w:r>
          </w:p>
          <w:p w:rsidR="00077EF1" w:rsidRPr="00D634D6" w:rsidRDefault="00077EF1" w:rsidP="00D634D6">
            <w:pPr>
              <w:numPr>
                <w:ilvl w:val="0"/>
                <w:numId w:val="29"/>
              </w:numPr>
              <w:spacing w:line="360" w:lineRule="auto"/>
              <w:ind w:left="0" w:firstLine="0"/>
              <w:contextualSpacing/>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13 supuestos en la Ley General</w:t>
            </w:r>
          </w:p>
        </w:tc>
        <w:tc>
          <w:tcPr>
            <w:tcW w:w="2254" w:type="dxa"/>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El sujeto obligado debe identificar claramente la información que se pretende clasificar y realizar un juicio de subsunción o encaje</w:t>
            </w:r>
          </w:p>
        </w:tc>
      </w:tr>
      <w:tr w:rsidR="00077EF1" w:rsidRPr="00D634D6" w:rsidTr="00D634D6">
        <w:tc>
          <w:tcPr>
            <w:tcW w:w="2142" w:type="dxa"/>
            <w:vMerge/>
            <w:shd w:val="clear" w:color="auto" w:fill="D5DCE4" w:themeFill="text2" w:themeFillTint="33"/>
          </w:tcPr>
          <w:p w:rsidR="00077EF1" w:rsidRPr="00D634D6" w:rsidRDefault="00077EF1" w:rsidP="00D634D6">
            <w:pPr>
              <w:spacing w:line="360" w:lineRule="auto"/>
              <w:jc w:val="both"/>
              <w:rPr>
                <w:rFonts w:ascii="Palatino Linotype" w:hAnsi="Palatino Linotype"/>
                <w:color w:val="000000" w:themeColor="text1"/>
                <w:sz w:val="18"/>
                <w:szCs w:val="18"/>
              </w:rPr>
            </w:pPr>
          </w:p>
        </w:tc>
        <w:tc>
          <w:tcPr>
            <w:tcW w:w="2106" w:type="dxa"/>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Para clasificar la información como confidencial hay</w:t>
            </w:r>
          </w:p>
        </w:tc>
        <w:tc>
          <w:tcPr>
            <w:tcW w:w="2305" w:type="dxa"/>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que considerar la definición de dato personal</w:t>
            </w:r>
          </w:p>
        </w:tc>
        <w:tc>
          <w:tcPr>
            <w:tcW w:w="2254" w:type="dxa"/>
          </w:tcPr>
          <w:p w:rsidR="00077EF1" w:rsidRPr="00D634D6" w:rsidRDefault="00077EF1" w:rsidP="00D634D6">
            <w:pPr>
              <w:spacing w:line="360" w:lineRule="auto"/>
              <w:jc w:val="both"/>
              <w:rPr>
                <w:rFonts w:ascii="Palatino Linotype" w:hAnsi="Palatino Linotype"/>
                <w:color w:val="000000" w:themeColor="text1"/>
                <w:sz w:val="18"/>
                <w:szCs w:val="18"/>
              </w:rPr>
            </w:pPr>
          </w:p>
        </w:tc>
      </w:tr>
      <w:tr w:rsidR="00077EF1" w:rsidRPr="00D634D6" w:rsidTr="00D634D6">
        <w:tc>
          <w:tcPr>
            <w:tcW w:w="2142" w:type="dxa"/>
            <w:vMerge/>
            <w:shd w:val="clear" w:color="auto" w:fill="D5DCE4" w:themeFill="text2" w:themeFillTint="33"/>
          </w:tcPr>
          <w:p w:rsidR="00077EF1" w:rsidRPr="00D634D6" w:rsidRDefault="00077EF1" w:rsidP="00D634D6">
            <w:pPr>
              <w:spacing w:line="360" w:lineRule="auto"/>
              <w:jc w:val="both"/>
              <w:rPr>
                <w:rFonts w:ascii="Palatino Linotype" w:hAnsi="Palatino Linotype"/>
                <w:color w:val="000000" w:themeColor="text1"/>
                <w:sz w:val="18"/>
                <w:szCs w:val="18"/>
              </w:rPr>
            </w:pPr>
          </w:p>
        </w:tc>
        <w:tc>
          <w:tcPr>
            <w:tcW w:w="2106" w:type="dxa"/>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Estos supuestos se aplican de manera restrictiva y estricta, no pueden ampliarse</w:t>
            </w:r>
          </w:p>
        </w:tc>
        <w:tc>
          <w:tcPr>
            <w:tcW w:w="2305" w:type="dxa"/>
          </w:tcPr>
          <w:p w:rsidR="00077EF1" w:rsidRPr="00D634D6" w:rsidRDefault="00077EF1" w:rsidP="00D634D6">
            <w:pPr>
              <w:spacing w:line="360" w:lineRule="auto"/>
              <w:jc w:val="both"/>
              <w:rPr>
                <w:rFonts w:ascii="Palatino Linotype" w:hAnsi="Palatino Linotype"/>
                <w:color w:val="000000" w:themeColor="text1"/>
                <w:sz w:val="18"/>
                <w:szCs w:val="18"/>
              </w:rPr>
            </w:pPr>
          </w:p>
        </w:tc>
        <w:tc>
          <w:tcPr>
            <w:tcW w:w="2254" w:type="dxa"/>
          </w:tcPr>
          <w:p w:rsidR="00077EF1" w:rsidRPr="00D634D6" w:rsidRDefault="00077EF1" w:rsidP="00D634D6">
            <w:pPr>
              <w:spacing w:line="360" w:lineRule="auto"/>
              <w:jc w:val="both"/>
              <w:rPr>
                <w:rFonts w:ascii="Palatino Linotype" w:hAnsi="Palatino Linotype"/>
                <w:color w:val="000000" w:themeColor="text1"/>
                <w:sz w:val="18"/>
                <w:szCs w:val="18"/>
              </w:rPr>
            </w:pPr>
          </w:p>
        </w:tc>
      </w:tr>
      <w:tr w:rsidR="00077EF1" w:rsidRPr="00D634D6" w:rsidTr="00D634D6">
        <w:tc>
          <w:tcPr>
            <w:tcW w:w="2142" w:type="dxa"/>
            <w:vMerge w:val="restart"/>
            <w:shd w:val="clear" w:color="auto" w:fill="D5DCE4" w:themeFill="text2" w:themeFillTint="33"/>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Excepciones a la clasificación de reserva</w:t>
            </w:r>
          </w:p>
        </w:tc>
        <w:tc>
          <w:tcPr>
            <w:tcW w:w="2106" w:type="dxa"/>
            <w:vMerge w:val="restart"/>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No puede clasificarse como información reservada la concerniente a:</w:t>
            </w:r>
          </w:p>
        </w:tc>
        <w:tc>
          <w:tcPr>
            <w:tcW w:w="2305" w:type="dxa"/>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Actos (probados o en investigación) graves de violaciones a derechos humanos</w:t>
            </w:r>
          </w:p>
        </w:tc>
        <w:tc>
          <w:tcPr>
            <w:tcW w:w="2254" w:type="dxa"/>
          </w:tcPr>
          <w:p w:rsidR="00077EF1" w:rsidRPr="00D634D6" w:rsidRDefault="00077EF1" w:rsidP="00D634D6">
            <w:pPr>
              <w:spacing w:line="360" w:lineRule="auto"/>
              <w:jc w:val="both"/>
              <w:rPr>
                <w:rFonts w:ascii="Palatino Linotype" w:hAnsi="Palatino Linotype"/>
                <w:color w:val="000000" w:themeColor="text1"/>
                <w:sz w:val="18"/>
                <w:szCs w:val="18"/>
              </w:rPr>
            </w:pPr>
          </w:p>
        </w:tc>
      </w:tr>
      <w:tr w:rsidR="00077EF1" w:rsidRPr="00D634D6" w:rsidTr="00D634D6">
        <w:tc>
          <w:tcPr>
            <w:tcW w:w="2142" w:type="dxa"/>
            <w:vMerge/>
            <w:shd w:val="clear" w:color="auto" w:fill="D5DCE4" w:themeFill="text2" w:themeFillTint="33"/>
          </w:tcPr>
          <w:p w:rsidR="00077EF1" w:rsidRPr="00D634D6" w:rsidRDefault="00077EF1" w:rsidP="00D634D6">
            <w:pPr>
              <w:spacing w:line="360" w:lineRule="auto"/>
              <w:jc w:val="both"/>
              <w:rPr>
                <w:rFonts w:ascii="Palatino Linotype" w:hAnsi="Palatino Linotype"/>
                <w:color w:val="000000" w:themeColor="text1"/>
                <w:sz w:val="18"/>
                <w:szCs w:val="18"/>
              </w:rPr>
            </w:pPr>
          </w:p>
        </w:tc>
        <w:tc>
          <w:tcPr>
            <w:tcW w:w="2106" w:type="dxa"/>
            <w:vMerge/>
          </w:tcPr>
          <w:p w:rsidR="00077EF1" w:rsidRPr="00D634D6" w:rsidRDefault="00077EF1" w:rsidP="00D634D6">
            <w:pPr>
              <w:spacing w:line="360" w:lineRule="auto"/>
              <w:jc w:val="both"/>
              <w:rPr>
                <w:rFonts w:ascii="Palatino Linotype" w:hAnsi="Palatino Linotype"/>
                <w:color w:val="000000" w:themeColor="text1"/>
                <w:sz w:val="18"/>
                <w:szCs w:val="18"/>
              </w:rPr>
            </w:pPr>
          </w:p>
        </w:tc>
        <w:tc>
          <w:tcPr>
            <w:tcW w:w="2305" w:type="dxa"/>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 xml:space="preserve">Delitos de </w:t>
            </w:r>
            <w:proofErr w:type="spellStart"/>
            <w:r w:rsidRPr="00D634D6">
              <w:rPr>
                <w:rFonts w:ascii="Palatino Linotype" w:hAnsi="Palatino Linotype"/>
                <w:color w:val="000000" w:themeColor="text1"/>
                <w:sz w:val="18"/>
                <w:szCs w:val="18"/>
              </w:rPr>
              <w:t>lessa</w:t>
            </w:r>
            <w:proofErr w:type="spellEnd"/>
            <w:r w:rsidRPr="00D634D6">
              <w:rPr>
                <w:rFonts w:ascii="Palatino Linotype" w:hAnsi="Palatino Linotype"/>
                <w:color w:val="000000" w:themeColor="text1"/>
                <w:sz w:val="18"/>
                <w:szCs w:val="18"/>
              </w:rPr>
              <w:t xml:space="preserve"> humanidad</w:t>
            </w:r>
          </w:p>
        </w:tc>
        <w:tc>
          <w:tcPr>
            <w:tcW w:w="2254" w:type="dxa"/>
          </w:tcPr>
          <w:p w:rsidR="00077EF1" w:rsidRPr="00D634D6" w:rsidRDefault="00077EF1" w:rsidP="00D634D6">
            <w:pPr>
              <w:spacing w:line="360" w:lineRule="auto"/>
              <w:jc w:val="both"/>
              <w:rPr>
                <w:rFonts w:ascii="Palatino Linotype" w:hAnsi="Palatino Linotype"/>
                <w:color w:val="000000" w:themeColor="text1"/>
                <w:sz w:val="18"/>
                <w:szCs w:val="18"/>
              </w:rPr>
            </w:pPr>
          </w:p>
        </w:tc>
      </w:tr>
      <w:tr w:rsidR="00077EF1" w:rsidRPr="00D634D6" w:rsidTr="00D634D6">
        <w:tc>
          <w:tcPr>
            <w:tcW w:w="2142" w:type="dxa"/>
            <w:vMerge/>
            <w:shd w:val="clear" w:color="auto" w:fill="D5DCE4" w:themeFill="text2" w:themeFillTint="33"/>
          </w:tcPr>
          <w:p w:rsidR="00077EF1" w:rsidRPr="00D634D6" w:rsidRDefault="00077EF1" w:rsidP="00D634D6">
            <w:pPr>
              <w:spacing w:line="360" w:lineRule="auto"/>
              <w:jc w:val="both"/>
              <w:rPr>
                <w:rFonts w:ascii="Palatino Linotype" w:hAnsi="Palatino Linotype"/>
                <w:color w:val="000000" w:themeColor="text1"/>
                <w:sz w:val="18"/>
                <w:szCs w:val="18"/>
              </w:rPr>
            </w:pPr>
          </w:p>
        </w:tc>
        <w:tc>
          <w:tcPr>
            <w:tcW w:w="2106" w:type="dxa"/>
            <w:vMerge/>
          </w:tcPr>
          <w:p w:rsidR="00077EF1" w:rsidRPr="00D634D6" w:rsidRDefault="00077EF1" w:rsidP="00D634D6">
            <w:pPr>
              <w:spacing w:line="360" w:lineRule="auto"/>
              <w:jc w:val="both"/>
              <w:rPr>
                <w:rFonts w:ascii="Palatino Linotype" w:hAnsi="Palatino Linotype"/>
                <w:color w:val="000000" w:themeColor="text1"/>
                <w:sz w:val="18"/>
                <w:szCs w:val="18"/>
              </w:rPr>
            </w:pPr>
          </w:p>
        </w:tc>
        <w:tc>
          <w:tcPr>
            <w:tcW w:w="2305" w:type="dxa"/>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Actos de Corrupción</w:t>
            </w:r>
          </w:p>
        </w:tc>
        <w:tc>
          <w:tcPr>
            <w:tcW w:w="2254" w:type="dxa"/>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Los comprendidos en el Título Sexto del Código Penal del Estado</w:t>
            </w:r>
          </w:p>
        </w:tc>
      </w:tr>
      <w:tr w:rsidR="00077EF1" w:rsidRPr="00D634D6" w:rsidTr="00D634D6">
        <w:tc>
          <w:tcPr>
            <w:tcW w:w="2142" w:type="dxa"/>
            <w:vMerge w:val="restart"/>
            <w:shd w:val="clear" w:color="auto" w:fill="D5DCE4" w:themeFill="text2" w:themeFillTint="33"/>
          </w:tcPr>
          <w:p w:rsidR="00077EF1" w:rsidRPr="00D634D6" w:rsidRDefault="00077EF1" w:rsidP="00D634D6">
            <w:pPr>
              <w:shd w:val="clear" w:color="auto" w:fill="AADAF8"/>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Participación del Comité de Transparencia</w:t>
            </w:r>
          </w:p>
          <w:p w:rsidR="00077EF1" w:rsidRPr="00D634D6" w:rsidRDefault="00077EF1" w:rsidP="00D634D6">
            <w:pPr>
              <w:spacing w:line="360" w:lineRule="auto"/>
              <w:rPr>
                <w:rFonts w:ascii="Palatino Linotype" w:hAnsi="Palatino Linotype"/>
                <w:sz w:val="18"/>
                <w:szCs w:val="18"/>
              </w:rPr>
            </w:pPr>
          </w:p>
          <w:p w:rsidR="00077EF1" w:rsidRPr="00D634D6" w:rsidRDefault="00077EF1" w:rsidP="00D634D6">
            <w:pPr>
              <w:spacing w:line="360" w:lineRule="auto"/>
              <w:jc w:val="center"/>
              <w:rPr>
                <w:rFonts w:ascii="Palatino Linotype" w:hAnsi="Palatino Linotype"/>
                <w:sz w:val="18"/>
                <w:szCs w:val="18"/>
              </w:rPr>
            </w:pPr>
          </w:p>
        </w:tc>
        <w:tc>
          <w:tcPr>
            <w:tcW w:w="2106" w:type="dxa"/>
            <w:vMerge w:val="restart"/>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Formalidades</w:t>
            </w:r>
          </w:p>
        </w:tc>
        <w:tc>
          <w:tcPr>
            <w:tcW w:w="2305" w:type="dxa"/>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El Comité debe de estar debidamente integrado</w:t>
            </w:r>
          </w:p>
        </w:tc>
        <w:tc>
          <w:tcPr>
            <w:tcW w:w="2254" w:type="dxa"/>
          </w:tcPr>
          <w:p w:rsidR="00077EF1" w:rsidRPr="00D634D6" w:rsidRDefault="00077EF1" w:rsidP="00D634D6">
            <w:pPr>
              <w:spacing w:line="360" w:lineRule="auto"/>
              <w:jc w:val="both"/>
              <w:rPr>
                <w:rFonts w:ascii="Palatino Linotype" w:hAnsi="Palatino Linotype"/>
                <w:color w:val="000000" w:themeColor="text1"/>
                <w:sz w:val="18"/>
                <w:szCs w:val="18"/>
              </w:rPr>
            </w:pPr>
          </w:p>
        </w:tc>
      </w:tr>
      <w:tr w:rsidR="00077EF1" w:rsidRPr="00D634D6" w:rsidTr="00D634D6">
        <w:tc>
          <w:tcPr>
            <w:tcW w:w="2142" w:type="dxa"/>
            <w:vMerge/>
            <w:shd w:val="clear" w:color="auto" w:fill="D5DCE4" w:themeFill="text2" w:themeFillTint="33"/>
          </w:tcPr>
          <w:p w:rsidR="00077EF1" w:rsidRPr="00D634D6" w:rsidRDefault="00077EF1" w:rsidP="00D634D6">
            <w:pPr>
              <w:spacing w:line="360" w:lineRule="auto"/>
              <w:jc w:val="both"/>
              <w:rPr>
                <w:rFonts w:ascii="Palatino Linotype" w:hAnsi="Palatino Linotype"/>
                <w:color w:val="000000" w:themeColor="text1"/>
                <w:sz w:val="18"/>
                <w:szCs w:val="18"/>
              </w:rPr>
            </w:pPr>
          </w:p>
        </w:tc>
        <w:tc>
          <w:tcPr>
            <w:tcW w:w="2106" w:type="dxa"/>
            <w:vMerge/>
          </w:tcPr>
          <w:p w:rsidR="00077EF1" w:rsidRPr="00D634D6" w:rsidRDefault="00077EF1" w:rsidP="00D634D6">
            <w:pPr>
              <w:spacing w:line="360" w:lineRule="auto"/>
              <w:jc w:val="both"/>
              <w:rPr>
                <w:rFonts w:ascii="Palatino Linotype" w:hAnsi="Palatino Linotype"/>
                <w:color w:val="000000" w:themeColor="text1"/>
                <w:sz w:val="18"/>
                <w:szCs w:val="18"/>
              </w:rPr>
            </w:pPr>
          </w:p>
        </w:tc>
        <w:tc>
          <w:tcPr>
            <w:tcW w:w="2305" w:type="dxa"/>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 xml:space="preserve">El Comité no aprueba la clasificación, sólo: confirma, modifica o revoca la decisión de las áreas </w:t>
            </w:r>
          </w:p>
        </w:tc>
        <w:tc>
          <w:tcPr>
            <w:tcW w:w="2254" w:type="dxa"/>
          </w:tcPr>
          <w:p w:rsidR="00077EF1" w:rsidRPr="00D634D6" w:rsidRDefault="00077EF1" w:rsidP="00D634D6">
            <w:pPr>
              <w:spacing w:line="360" w:lineRule="auto"/>
              <w:jc w:val="both"/>
              <w:rPr>
                <w:rFonts w:ascii="Palatino Linotype" w:hAnsi="Palatino Linotype"/>
                <w:color w:val="000000" w:themeColor="text1"/>
                <w:sz w:val="18"/>
                <w:szCs w:val="18"/>
              </w:rPr>
            </w:pPr>
          </w:p>
        </w:tc>
      </w:tr>
      <w:tr w:rsidR="00077EF1" w:rsidRPr="00D634D6" w:rsidTr="00D634D6">
        <w:tc>
          <w:tcPr>
            <w:tcW w:w="2142" w:type="dxa"/>
            <w:shd w:val="clear" w:color="auto" w:fill="D5DCE4" w:themeFill="text2" w:themeFillTint="33"/>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Fondo del acuerdo de clasificación</w:t>
            </w:r>
          </w:p>
        </w:tc>
        <w:tc>
          <w:tcPr>
            <w:tcW w:w="2106" w:type="dxa"/>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 xml:space="preserve">La carga de la prueba para justificar la </w:t>
            </w:r>
            <w:r w:rsidRPr="00D634D6">
              <w:rPr>
                <w:rFonts w:ascii="Palatino Linotype" w:hAnsi="Palatino Linotype"/>
                <w:color w:val="000000" w:themeColor="text1"/>
                <w:sz w:val="18"/>
                <w:szCs w:val="18"/>
              </w:rPr>
              <w:lastRenderedPageBreak/>
              <w:t>restricción corresponde al sujeto obligado</w:t>
            </w:r>
          </w:p>
        </w:tc>
        <w:tc>
          <w:tcPr>
            <w:tcW w:w="2305" w:type="dxa"/>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lastRenderedPageBreak/>
              <w:t>Deber de fundar y motivar</w:t>
            </w:r>
          </w:p>
        </w:tc>
        <w:tc>
          <w:tcPr>
            <w:tcW w:w="2254" w:type="dxa"/>
          </w:tcPr>
          <w:p w:rsidR="00077EF1" w:rsidRPr="00D634D6" w:rsidRDefault="00077EF1" w:rsidP="00D634D6">
            <w:pPr>
              <w:spacing w:line="360" w:lineRule="auto"/>
              <w:jc w:val="both"/>
              <w:rPr>
                <w:rFonts w:ascii="Palatino Linotype" w:hAnsi="Palatino Linotype"/>
                <w:color w:val="000000" w:themeColor="text1"/>
                <w:sz w:val="18"/>
                <w:szCs w:val="18"/>
              </w:rPr>
            </w:pPr>
          </w:p>
        </w:tc>
      </w:tr>
      <w:tr w:rsidR="00077EF1" w:rsidRPr="00D634D6" w:rsidTr="00D634D6">
        <w:trPr>
          <w:trHeight w:val="486"/>
        </w:trPr>
        <w:tc>
          <w:tcPr>
            <w:tcW w:w="2142" w:type="dxa"/>
            <w:vMerge w:val="restart"/>
            <w:shd w:val="clear" w:color="auto" w:fill="D5DCE4" w:themeFill="text2" w:themeFillTint="33"/>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Condiciones especiales de la reserva</w:t>
            </w:r>
          </w:p>
        </w:tc>
        <w:tc>
          <w:tcPr>
            <w:tcW w:w="2106" w:type="dxa"/>
            <w:vMerge w:val="restart"/>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Motivar implica</w:t>
            </w:r>
          </w:p>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Además se debe aplicar, caso por caso, una prueba de daño.</w:t>
            </w:r>
          </w:p>
        </w:tc>
        <w:tc>
          <w:tcPr>
            <w:tcW w:w="2305" w:type="dxa"/>
            <w:vMerge w:val="restart"/>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Señalar las razones, motivos o circunstancias.</w:t>
            </w:r>
          </w:p>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Se deben señalar las razones objetivas y acreditar.</w:t>
            </w:r>
          </w:p>
          <w:p w:rsidR="00077EF1" w:rsidRPr="00D634D6" w:rsidRDefault="00077EF1" w:rsidP="00D634D6">
            <w:pPr>
              <w:spacing w:line="360" w:lineRule="auto"/>
              <w:jc w:val="both"/>
              <w:rPr>
                <w:rFonts w:ascii="Palatino Linotype" w:hAnsi="Palatino Linotype"/>
                <w:color w:val="000000" w:themeColor="text1"/>
                <w:sz w:val="18"/>
                <w:szCs w:val="18"/>
              </w:rPr>
            </w:pPr>
          </w:p>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*Adquiere la condición especial de ser temporal por un periodo de 5 años con la posibilidad de ampliarse por un periodo igual.</w:t>
            </w:r>
          </w:p>
        </w:tc>
        <w:tc>
          <w:tcPr>
            <w:tcW w:w="2254" w:type="dxa"/>
            <w:vMerge w:val="restart"/>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Que entregar la información provoca un riesgo real, demostrable e identificable al interés público o a la seguridad pública</w:t>
            </w:r>
          </w:p>
        </w:tc>
      </w:tr>
      <w:tr w:rsidR="00077EF1" w:rsidRPr="00D634D6" w:rsidTr="00D634D6">
        <w:trPr>
          <w:trHeight w:val="486"/>
        </w:trPr>
        <w:tc>
          <w:tcPr>
            <w:tcW w:w="2142" w:type="dxa"/>
            <w:vMerge/>
            <w:shd w:val="clear" w:color="auto" w:fill="D5DCE4" w:themeFill="text2" w:themeFillTint="33"/>
          </w:tcPr>
          <w:p w:rsidR="00077EF1" w:rsidRPr="00D634D6" w:rsidRDefault="00077EF1" w:rsidP="00D634D6">
            <w:pPr>
              <w:spacing w:line="360" w:lineRule="auto"/>
              <w:jc w:val="both"/>
              <w:rPr>
                <w:rFonts w:ascii="Palatino Linotype" w:hAnsi="Palatino Linotype"/>
                <w:color w:val="000000" w:themeColor="text1"/>
                <w:sz w:val="18"/>
                <w:szCs w:val="18"/>
              </w:rPr>
            </w:pPr>
          </w:p>
        </w:tc>
        <w:tc>
          <w:tcPr>
            <w:tcW w:w="2106" w:type="dxa"/>
            <w:vMerge/>
          </w:tcPr>
          <w:p w:rsidR="00077EF1" w:rsidRPr="00D634D6" w:rsidRDefault="00077EF1" w:rsidP="00D634D6">
            <w:pPr>
              <w:spacing w:line="360" w:lineRule="auto"/>
              <w:jc w:val="both"/>
              <w:rPr>
                <w:rFonts w:ascii="Palatino Linotype" w:hAnsi="Palatino Linotype"/>
                <w:color w:val="000000" w:themeColor="text1"/>
                <w:sz w:val="18"/>
                <w:szCs w:val="18"/>
              </w:rPr>
            </w:pPr>
          </w:p>
        </w:tc>
        <w:tc>
          <w:tcPr>
            <w:tcW w:w="2305" w:type="dxa"/>
            <w:vMerge/>
          </w:tcPr>
          <w:p w:rsidR="00077EF1" w:rsidRPr="00D634D6" w:rsidRDefault="00077EF1" w:rsidP="00D634D6">
            <w:pPr>
              <w:spacing w:line="360" w:lineRule="auto"/>
              <w:jc w:val="both"/>
              <w:rPr>
                <w:rFonts w:ascii="Palatino Linotype" w:hAnsi="Palatino Linotype"/>
                <w:color w:val="000000" w:themeColor="text1"/>
                <w:sz w:val="18"/>
                <w:szCs w:val="18"/>
              </w:rPr>
            </w:pPr>
          </w:p>
        </w:tc>
        <w:tc>
          <w:tcPr>
            <w:tcW w:w="2254" w:type="dxa"/>
            <w:vMerge/>
          </w:tcPr>
          <w:p w:rsidR="00077EF1" w:rsidRPr="00D634D6" w:rsidRDefault="00077EF1" w:rsidP="00D634D6">
            <w:pPr>
              <w:spacing w:line="360" w:lineRule="auto"/>
              <w:jc w:val="both"/>
              <w:rPr>
                <w:rFonts w:ascii="Palatino Linotype" w:hAnsi="Palatino Linotype"/>
                <w:color w:val="000000" w:themeColor="text1"/>
                <w:sz w:val="18"/>
                <w:szCs w:val="18"/>
              </w:rPr>
            </w:pPr>
          </w:p>
        </w:tc>
      </w:tr>
      <w:tr w:rsidR="00077EF1" w:rsidRPr="00D634D6" w:rsidTr="00D634D6">
        <w:tc>
          <w:tcPr>
            <w:tcW w:w="2142" w:type="dxa"/>
            <w:vMerge/>
            <w:shd w:val="clear" w:color="auto" w:fill="D5DCE4" w:themeFill="text2" w:themeFillTint="33"/>
          </w:tcPr>
          <w:p w:rsidR="00077EF1" w:rsidRPr="00D634D6" w:rsidRDefault="00077EF1" w:rsidP="00D634D6">
            <w:pPr>
              <w:spacing w:line="360" w:lineRule="auto"/>
              <w:jc w:val="both"/>
              <w:rPr>
                <w:rFonts w:ascii="Palatino Linotype" w:hAnsi="Palatino Linotype"/>
                <w:color w:val="000000" w:themeColor="text1"/>
                <w:sz w:val="18"/>
                <w:szCs w:val="18"/>
              </w:rPr>
            </w:pPr>
          </w:p>
        </w:tc>
        <w:tc>
          <w:tcPr>
            <w:tcW w:w="2106" w:type="dxa"/>
            <w:vMerge/>
          </w:tcPr>
          <w:p w:rsidR="00077EF1" w:rsidRPr="00D634D6" w:rsidRDefault="00077EF1" w:rsidP="00D634D6">
            <w:pPr>
              <w:spacing w:line="360" w:lineRule="auto"/>
              <w:jc w:val="both"/>
              <w:rPr>
                <w:rFonts w:ascii="Palatino Linotype" w:hAnsi="Palatino Linotype"/>
                <w:color w:val="000000" w:themeColor="text1"/>
                <w:sz w:val="18"/>
                <w:szCs w:val="18"/>
              </w:rPr>
            </w:pPr>
          </w:p>
        </w:tc>
        <w:tc>
          <w:tcPr>
            <w:tcW w:w="2305" w:type="dxa"/>
            <w:vMerge/>
          </w:tcPr>
          <w:p w:rsidR="00077EF1" w:rsidRPr="00D634D6" w:rsidRDefault="00077EF1" w:rsidP="00D634D6">
            <w:pPr>
              <w:spacing w:line="360" w:lineRule="auto"/>
              <w:jc w:val="both"/>
              <w:rPr>
                <w:rFonts w:ascii="Palatino Linotype" w:hAnsi="Palatino Linotype"/>
                <w:color w:val="000000" w:themeColor="text1"/>
                <w:sz w:val="18"/>
                <w:szCs w:val="18"/>
              </w:rPr>
            </w:pPr>
          </w:p>
        </w:tc>
        <w:tc>
          <w:tcPr>
            <w:tcW w:w="2254" w:type="dxa"/>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 xml:space="preserve">El riesgo por divulgar es mayor que el interés público de que se difunda  </w:t>
            </w:r>
          </w:p>
        </w:tc>
      </w:tr>
      <w:tr w:rsidR="00077EF1" w:rsidRPr="00D634D6" w:rsidTr="00D634D6">
        <w:trPr>
          <w:trHeight w:val="1454"/>
        </w:trPr>
        <w:tc>
          <w:tcPr>
            <w:tcW w:w="2142" w:type="dxa"/>
            <w:vMerge/>
            <w:shd w:val="clear" w:color="auto" w:fill="D5DCE4" w:themeFill="text2" w:themeFillTint="33"/>
          </w:tcPr>
          <w:p w:rsidR="00077EF1" w:rsidRPr="00D634D6" w:rsidRDefault="00077EF1" w:rsidP="00D634D6">
            <w:pPr>
              <w:spacing w:line="360" w:lineRule="auto"/>
              <w:jc w:val="both"/>
              <w:rPr>
                <w:rFonts w:ascii="Palatino Linotype" w:hAnsi="Palatino Linotype"/>
                <w:color w:val="000000" w:themeColor="text1"/>
                <w:sz w:val="18"/>
                <w:szCs w:val="18"/>
              </w:rPr>
            </w:pPr>
          </w:p>
        </w:tc>
        <w:tc>
          <w:tcPr>
            <w:tcW w:w="2106" w:type="dxa"/>
            <w:vMerge/>
          </w:tcPr>
          <w:p w:rsidR="00077EF1" w:rsidRPr="00D634D6" w:rsidRDefault="00077EF1" w:rsidP="00D634D6">
            <w:pPr>
              <w:spacing w:line="360" w:lineRule="auto"/>
              <w:jc w:val="both"/>
              <w:rPr>
                <w:rFonts w:ascii="Palatino Linotype" w:hAnsi="Palatino Linotype"/>
                <w:color w:val="000000" w:themeColor="text1"/>
                <w:sz w:val="18"/>
                <w:szCs w:val="18"/>
              </w:rPr>
            </w:pPr>
          </w:p>
        </w:tc>
        <w:tc>
          <w:tcPr>
            <w:tcW w:w="2305" w:type="dxa"/>
            <w:vMerge/>
          </w:tcPr>
          <w:p w:rsidR="00077EF1" w:rsidRPr="00D634D6" w:rsidRDefault="00077EF1" w:rsidP="00D634D6">
            <w:pPr>
              <w:spacing w:line="360" w:lineRule="auto"/>
              <w:jc w:val="both"/>
              <w:rPr>
                <w:rFonts w:ascii="Palatino Linotype" w:hAnsi="Palatino Linotype"/>
                <w:color w:val="000000" w:themeColor="text1"/>
                <w:sz w:val="18"/>
                <w:szCs w:val="18"/>
              </w:rPr>
            </w:pPr>
          </w:p>
        </w:tc>
        <w:tc>
          <w:tcPr>
            <w:tcW w:w="2254" w:type="dxa"/>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El principio de proporcionalidad</w:t>
            </w:r>
          </w:p>
        </w:tc>
      </w:tr>
      <w:tr w:rsidR="00077EF1" w:rsidRPr="00D634D6" w:rsidTr="00D634D6">
        <w:tc>
          <w:tcPr>
            <w:tcW w:w="2142" w:type="dxa"/>
            <w:vMerge w:val="restart"/>
            <w:shd w:val="clear" w:color="auto" w:fill="D5DCE4" w:themeFill="text2" w:themeFillTint="33"/>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Condiciones especiales de la confidencialidad</w:t>
            </w:r>
          </w:p>
        </w:tc>
        <w:tc>
          <w:tcPr>
            <w:tcW w:w="2106" w:type="dxa"/>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 xml:space="preserve">Para clasificar se debe verificar que no se encuentre en los supuestos del artículo 148 de la ley Estatal </w:t>
            </w:r>
          </w:p>
        </w:tc>
        <w:tc>
          <w:tcPr>
            <w:tcW w:w="2305" w:type="dxa"/>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 xml:space="preserve">Si se encuentra en los supuestos de dicho artículo se entrega aún sin consentimiento del titular del dato personal </w:t>
            </w:r>
          </w:p>
        </w:tc>
        <w:tc>
          <w:tcPr>
            <w:tcW w:w="2254" w:type="dxa"/>
          </w:tcPr>
          <w:p w:rsidR="00077EF1" w:rsidRPr="00D634D6" w:rsidRDefault="00077EF1" w:rsidP="00D634D6">
            <w:pPr>
              <w:spacing w:line="360" w:lineRule="auto"/>
              <w:jc w:val="both"/>
              <w:rPr>
                <w:rFonts w:ascii="Palatino Linotype" w:hAnsi="Palatino Linotype"/>
                <w:color w:val="000000" w:themeColor="text1"/>
                <w:sz w:val="18"/>
                <w:szCs w:val="18"/>
              </w:rPr>
            </w:pPr>
          </w:p>
        </w:tc>
      </w:tr>
      <w:tr w:rsidR="00077EF1" w:rsidRPr="00D634D6" w:rsidTr="00D634D6">
        <w:trPr>
          <w:trHeight w:val="3404"/>
        </w:trPr>
        <w:tc>
          <w:tcPr>
            <w:tcW w:w="2142" w:type="dxa"/>
            <w:vMerge/>
            <w:shd w:val="clear" w:color="auto" w:fill="D5DCE4" w:themeFill="text2" w:themeFillTint="33"/>
          </w:tcPr>
          <w:p w:rsidR="00077EF1" w:rsidRPr="00D634D6" w:rsidRDefault="00077EF1" w:rsidP="00D634D6">
            <w:pPr>
              <w:spacing w:line="360" w:lineRule="auto"/>
              <w:jc w:val="both"/>
              <w:rPr>
                <w:rFonts w:ascii="Palatino Linotype" w:hAnsi="Palatino Linotype"/>
                <w:color w:val="000000" w:themeColor="text1"/>
                <w:sz w:val="18"/>
                <w:szCs w:val="18"/>
              </w:rPr>
            </w:pPr>
          </w:p>
        </w:tc>
        <w:tc>
          <w:tcPr>
            <w:tcW w:w="2106" w:type="dxa"/>
          </w:tcPr>
          <w:p w:rsidR="00077EF1" w:rsidRPr="00D634D6" w:rsidRDefault="00077EF1" w:rsidP="00D634D6">
            <w:pPr>
              <w:spacing w:line="360" w:lineRule="auto"/>
              <w:jc w:val="both"/>
              <w:rPr>
                <w:rFonts w:ascii="Palatino Linotype" w:hAnsi="Palatino Linotype"/>
                <w:color w:val="000000" w:themeColor="text1"/>
                <w:sz w:val="18"/>
                <w:szCs w:val="18"/>
              </w:rPr>
            </w:pPr>
            <w:r w:rsidRPr="00D634D6">
              <w:rPr>
                <w:rFonts w:ascii="Palatino Linotype" w:hAnsi="Palatino Linotype"/>
                <w:color w:val="000000" w:themeColor="text1"/>
                <w:sz w:val="18"/>
                <w:szCs w:val="18"/>
              </w:rPr>
              <w:t>Si es posible, se debe consultar al titular de los datos para requerir su autorización para entregarlo</w:t>
            </w:r>
          </w:p>
        </w:tc>
        <w:tc>
          <w:tcPr>
            <w:tcW w:w="2305" w:type="dxa"/>
          </w:tcPr>
          <w:p w:rsidR="00077EF1" w:rsidRPr="00D634D6" w:rsidRDefault="00077EF1" w:rsidP="00D634D6">
            <w:pPr>
              <w:spacing w:line="360" w:lineRule="auto"/>
              <w:jc w:val="both"/>
              <w:rPr>
                <w:rFonts w:ascii="Palatino Linotype" w:hAnsi="Palatino Linotype"/>
                <w:color w:val="000000" w:themeColor="text1"/>
                <w:sz w:val="18"/>
                <w:szCs w:val="18"/>
              </w:rPr>
            </w:pPr>
          </w:p>
        </w:tc>
        <w:tc>
          <w:tcPr>
            <w:tcW w:w="2254" w:type="dxa"/>
          </w:tcPr>
          <w:p w:rsidR="00077EF1" w:rsidRPr="00D634D6" w:rsidRDefault="00077EF1" w:rsidP="00D634D6">
            <w:pPr>
              <w:spacing w:line="360" w:lineRule="auto"/>
              <w:jc w:val="both"/>
              <w:rPr>
                <w:rFonts w:ascii="Palatino Linotype" w:hAnsi="Palatino Linotype"/>
                <w:color w:val="000000" w:themeColor="text1"/>
                <w:sz w:val="18"/>
                <w:szCs w:val="18"/>
              </w:rPr>
            </w:pPr>
          </w:p>
        </w:tc>
      </w:tr>
    </w:tbl>
    <w:p w:rsidR="00077EF1" w:rsidRPr="00D634D6" w:rsidRDefault="00077EF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077EF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lastRenderedPageBreak/>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077EF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077EF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 xml:space="preserve">Si </w:t>
      </w:r>
      <w:r w:rsidRPr="00D634D6">
        <w:rPr>
          <w:rFonts w:ascii="Palatino Linotype" w:eastAsia="MS Gothic" w:hAnsi="Palatino Linotype" w:cs="Times New Roman"/>
          <w:bCs/>
          <w:sz w:val="24"/>
          <w:szCs w:val="26"/>
          <w:lang w:val="es-ES_tradnl"/>
        </w:rPr>
        <w:t>el servidor público incumple con estas formalidades y entrega la información sin proteger datos personales o información reversada incumple con lo que estipula las disposiciones legales establecidas, asimismo que si entrega un documento testado sin el debido acuerdo de clasificación.</w:t>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077EF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Derivado de la naturaleza de la información que contienen los documentos solicitados, es necesario acotar el siguiente apartado.</w:t>
      </w:r>
    </w:p>
    <w:p w:rsidR="00346FC9"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D634D6" w:rsidRDefault="00D634D6"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D634D6" w:rsidRDefault="00D634D6"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D634D6" w:rsidRPr="00D634D6" w:rsidRDefault="00D634D6"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077EF1" w:rsidRPr="00D634D6" w:rsidRDefault="00077EF1" w:rsidP="00D634D6">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33" w:name="_Toc34923439"/>
      <w:r w:rsidRPr="00D634D6">
        <w:rPr>
          <w:rFonts w:ascii="Palatino Linotype" w:hAnsi="Palatino Linotype" w:cs="Arial"/>
          <w:b/>
          <w:sz w:val="24"/>
        </w:rPr>
        <w:lastRenderedPageBreak/>
        <w:t>VI. Desarrollo de la prueba de daño.</w:t>
      </w:r>
      <w:bookmarkEnd w:id="33"/>
    </w:p>
    <w:p w:rsidR="00077EF1" w:rsidRPr="00D634D6" w:rsidRDefault="00077EF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077EF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 xml:space="preserve">Es necesario </w:t>
      </w:r>
      <w:r w:rsidR="00455923" w:rsidRPr="00D634D6">
        <w:rPr>
          <w:rFonts w:ascii="Palatino Linotype" w:eastAsia="MS Gothic" w:hAnsi="Palatino Linotype" w:cs="Times New Roman"/>
          <w:sz w:val="24"/>
          <w:szCs w:val="26"/>
          <w:lang w:val="es-ES_tradnl"/>
        </w:rPr>
        <w:t xml:space="preserve">reiterar que mediante la solicitud de información número </w:t>
      </w:r>
      <w:r w:rsidR="00455923" w:rsidRPr="00D634D6">
        <w:rPr>
          <w:rFonts w:ascii="Palatino Linotype" w:eastAsia="MS Gothic" w:hAnsi="Palatino Linotype" w:cs="Times New Roman"/>
          <w:b/>
          <w:sz w:val="24"/>
          <w:szCs w:val="26"/>
          <w:lang w:val="es-ES_tradnl"/>
        </w:rPr>
        <w:t>00126/ATIZAPAN/IP/2019</w:t>
      </w:r>
      <w:r w:rsidR="00455923" w:rsidRPr="00D634D6">
        <w:rPr>
          <w:rFonts w:ascii="Palatino Linotype" w:eastAsia="MS Gothic" w:hAnsi="Palatino Linotype" w:cs="Times New Roman"/>
          <w:sz w:val="24"/>
          <w:szCs w:val="26"/>
          <w:lang w:val="es-ES_tradnl"/>
        </w:rPr>
        <w:t>, se requirieron las facturas y contratos de los bienes, comprados y rentados, para seguridad mediante recursos federales y locales.</w:t>
      </w:r>
      <w:r w:rsidRPr="00D634D6">
        <w:rPr>
          <w:rFonts w:ascii="Palatino Linotype" w:eastAsia="MS Gothic" w:hAnsi="Palatino Linotype" w:cs="Times New Roman"/>
          <w:sz w:val="24"/>
          <w:szCs w:val="26"/>
          <w:lang w:val="es-ES_tradnl"/>
        </w:rPr>
        <w:t xml:space="preserve"> </w:t>
      </w:r>
      <w:r w:rsidR="00455923" w:rsidRPr="00D634D6">
        <w:rPr>
          <w:rFonts w:ascii="Palatino Linotype" w:eastAsia="MS Gothic" w:hAnsi="Palatino Linotype" w:cs="Times New Roman"/>
          <w:sz w:val="24"/>
          <w:szCs w:val="26"/>
          <w:lang w:val="es-ES_tradnl"/>
        </w:rPr>
        <w:t>Por ello,</w:t>
      </w:r>
      <w:r w:rsidRPr="00D634D6">
        <w:rPr>
          <w:rFonts w:ascii="Palatino Linotype" w:eastAsia="MS Gothic" w:hAnsi="Palatino Linotype" w:cs="Times New Roman"/>
          <w:sz w:val="24"/>
          <w:szCs w:val="26"/>
          <w:lang w:val="es-ES_tradnl"/>
        </w:rPr>
        <w:t xml:space="preserve"> se aprecia</w:t>
      </w:r>
      <w:r w:rsidR="00455923" w:rsidRPr="00D634D6">
        <w:rPr>
          <w:rFonts w:ascii="Palatino Linotype" w:eastAsia="MS Gothic" w:hAnsi="Palatino Linotype" w:cs="Times New Roman"/>
          <w:sz w:val="24"/>
          <w:szCs w:val="26"/>
          <w:lang w:val="es-ES_tradnl"/>
        </w:rPr>
        <w:t xml:space="preserve"> que el </w:t>
      </w:r>
      <w:r w:rsidR="00455923" w:rsidRPr="00D634D6">
        <w:rPr>
          <w:rFonts w:ascii="Palatino Linotype" w:eastAsia="MS Gothic" w:hAnsi="Palatino Linotype" w:cs="Times New Roman"/>
          <w:b/>
          <w:sz w:val="24"/>
          <w:szCs w:val="26"/>
          <w:lang w:val="es-ES_tradnl"/>
        </w:rPr>
        <w:t>SUJETO OBLIGADO</w:t>
      </w:r>
      <w:r w:rsidR="00455923" w:rsidRPr="00D634D6">
        <w:rPr>
          <w:rFonts w:ascii="Palatino Linotype" w:eastAsia="MS Gothic" w:hAnsi="Palatino Linotype" w:cs="Times New Roman"/>
          <w:sz w:val="24"/>
          <w:szCs w:val="26"/>
          <w:lang w:val="es-ES_tradnl"/>
        </w:rPr>
        <w:t xml:space="preserve"> deberá entregar</w:t>
      </w:r>
      <w:r w:rsidRPr="00D634D6">
        <w:rPr>
          <w:rFonts w:ascii="Palatino Linotype" w:eastAsia="MS Gothic" w:hAnsi="Palatino Linotype" w:cs="Times New Roman"/>
          <w:sz w:val="24"/>
          <w:szCs w:val="26"/>
          <w:lang w:val="es-ES_tradnl"/>
        </w:rPr>
        <w:t xml:space="preserve"> in</w:t>
      </w:r>
      <w:r w:rsidR="00455923" w:rsidRPr="00D634D6">
        <w:rPr>
          <w:rFonts w:ascii="Palatino Linotype" w:eastAsia="MS Gothic" w:hAnsi="Palatino Linotype" w:cs="Times New Roman"/>
          <w:sz w:val="24"/>
          <w:szCs w:val="26"/>
          <w:lang w:val="es-ES_tradnl"/>
        </w:rPr>
        <w:t>formación que se relaciona con su</w:t>
      </w:r>
      <w:r w:rsidRPr="00D634D6">
        <w:rPr>
          <w:rFonts w:ascii="Palatino Linotype" w:eastAsia="MS Gothic" w:hAnsi="Palatino Linotype" w:cs="Times New Roman"/>
          <w:sz w:val="24"/>
          <w:szCs w:val="26"/>
          <w:lang w:val="es-ES_tradnl"/>
        </w:rPr>
        <w:t xml:space="preserve"> estado de fuerza, tal y como lo es el equipamiento de las patrullas adquiridas y las caracte</w:t>
      </w:r>
      <w:r w:rsidR="00455923" w:rsidRPr="00D634D6">
        <w:rPr>
          <w:rFonts w:ascii="Palatino Linotype" w:eastAsia="MS Gothic" w:hAnsi="Palatino Linotype" w:cs="Times New Roman"/>
          <w:sz w:val="24"/>
          <w:szCs w:val="26"/>
          <w:lang w:val="es-ES_tradnl"/>
        </w:rPr>
        <w:t>rísticas técnicas de los radios de comunicación o especificaciones de diseño de los uniformes</w:t>
      </w:r>
      <w:r w:rsidRPr="00D634D6">
        <w:rPr>
          <w:rFonts w:ascii="Palatino Linotype" w:eastAsia="MS Gothic" w:hAnsi="Palatino Linotype" w:cs="Times New Roman"/>
          <w:sz w:val="24"/>
          <w:szCs w:val="26"/>
          <w:lang w:val="es-ES_tradnl"/>
        </w:rPr>
        <w:t xml:space="preserve"> adquiridos.</w:t>
      </w:r>
    </w:p>
    <w:p w:rsidR="00346FC9" w:rsidRPr="00D634D6" w:rsidRDefault="00346FC9"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346FC9" w:rsidRPr="00D634D6" w:rsidRDefault="00455923"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Divulgar la información donde se contengan estas especificaciones compromete la seguridad del Municipio, así como también pone en riesgo la vida e integridad de los elementos de policías. Toda vez que su divulgación pudiera dar lugar a que grupos criminales obtengan armamento y vehículos con mejores características para superar la capacidad de reacción de los elementos de policía.</w:t>
      </w:r>
    </w:p>
    <w:p w:rsidR="00077EF1" w:rsidRPr="00D634D6" w:rsidRDefault="00077EF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077EF1" w:rsidRPr="00D634D6" w:rsidRDefault="00455923"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Es por ello que, la información relacionada con las características técnicas del equipamiento de los policías y las patrullas, y los equipos de seguridad como lo son los chalecos antibalas, debe ser considerada como información reservada.</w:t>
      </w:r>
    </w:p>
    <w:p w:rsidR="00077EF1" w:rsidRPr="00D634D6" w:rsidRDefault="00077EF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077EF1" w:rsidRPr="00D634D6" w:rsidRDefault="00F3339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lastRenderedPageBreak/>
        <w:t xml:space="preserve">Los artículos 129 y 134 último párrafo de la Ley Estatal y 104 y 108 último párrafo de la Ley General, respectivamente, determinan que </w:t>
      </w:r>
      <w:r w:rsidRPr="00D634D6">
        <w:rPr>
          <w:rFonts w:ascii="Palatino Linotype" w:eastAsia="MS Gothic" w:hAnsi="Palatino Linotype" w:cs="Times New Roman"/>
          <w:b/>
          <w:sz w:val="24"/>
          <w:szCs w:val="26"/>
          <w:lang w:val="es-ES_tradnl"/>
        </w:rPr>
        <w:t>se debe realizar un análisis caso por caso</w:t>
      </w:r>
      <w:r w:rsidRPr="00D634D6">
        <w:rPr>
          <w:rFonts w:ascii="Palatino Linotype" w:eastAsia="MS Gothic" w:hAnsi="Palatino Linotype" w:cs="Times New Roman"/>
          <w:sz w:val="24"/>
          <w:szCs w:val="26"/>
          <w:lang w:val="es-ES_tradnl"/>
        </w:rPr>
        <w:t xml:space="preserve">,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misma que, se insiste, debe aplicarse caso por caso, esto es, </w:t>
      </w:r>
      <w:r w:rsidRPr="00D634D6">
        <w:rPr>
          <w:rFonts w:ascii="Palatino Linotype" w:eastAsia="MS Gothic" w:hAnsi="Palatino Linotype" w:cs="Times New Roman"/>
          <w:b/>
          <w:sz w:val="24"/>
          <w:szCs w:val="26"/>
          <w:lang w:val="es-ES_tradnl"/>
        </w:rPr>
        <w:t>no se puede hacer una prueba de daño de un expediente completo,</w:t>
      </w:r>
      <w:r w:rsidRPr="00D634D6">
        <w:rPr>
          <w:rFonts w:ascii="Palatino Linotype" w:eastAsia="MS Gothic" w:hAnsi="Palatino Linotype" w:cs="Times New Roman"/>
          <w:sz w:val="24"/>
          <w:szCs w:val="26"/>
          <w:lang w:val="es-ES_tradnl"/>
        </w:rPr>
        <w:t xml:space="preserve"> </w:t>
      </w:r>
      <w:r w:rsidRPr="00D634D6">
        <w:rPr>
          <w:rFonts w:ascii="Palatino Linotype" w:eastAsia="MS Gothic" w:hAnsi="Palatino Linotype" w:cs="Times New Roman"/>
          <w:b/>
          <w:sz w:val="24"/>
          <w:szCs w:val="26"/>
          <w:u w:val="single"/>
          <w:lang w:val="es-ES_tradnl"/>
        </w:rPr>
        <w:t>sino de cada uno de los documentos que lo integran</w:t>
      </w:r>
      <w:r w:rsidRPr="00D634D6">
        <w:rPr>
          <w:rFonts w:ascii="Palatino Linotype" w:eastAsia="MS Gothic" w:hAnsi="Palatino Linotype" w:cs="Times New Roman"/>
          <w:sz w:val="24"/>
          <w:szCs w:val="26"/>
          <w:lang w:val="es-ES_tradnl"/>
        </w:rPr>
        <w:t>.</w:t>
      </w:r>
    </w:p>
    <w:p w:rsidR="00077EF1" w:rsidRPr="00D634D6" w:rsidRDefault="00077EF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077EF1" w:rsidRPr="00D634D6" w:rsidRDefault="00F33391"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Primeramente debemos referir que la información que se contiene en las especificaciones técnicas de los bienes adquiridos, actualiza la causal de reserva de la información contenida en la fracción I y IV del artículo 140 de la Ley de Transparencia Local y fracciones I y V de la Ley General de Transparencia, se inserta su contenido:</w:t>
      </w:r>
    </w:p>
    <w:p w:rsidR="00077EF1" w:rsidRPr="00D634D6" w:rsidRDefault="00077EF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F33391" w:rsidRPr="00D634D6" w:rsidRDefault="00F33391" w:rsidP="00D634D6">
      <w:pPr>
        <w:autoSpaceDE w:val="0"/>
        <w:autoSpaceDN w:val="0"/>
        <w:adjustRightInd w:val="0"/>
        <w:spacing w:line="360" w:lineRule="auto"/>
        <w:ind w:left="567" w:right="567"/>
        <w:jc w:val="both"/>
        <w:rPr>
          <w:rFonts w:ascii="Palatino Linotype" w:hAnsi="Palatino Linotype" w:cs="Bookman Old Style"/>
          <w:i/>
        </w:rPr>
      </w:pPr>
      <w:r w:rsidRPr="00D634D6">
        <w:rPr>
          <w:rFonts w:ascii="Palatino Linotype" w:hAnsi="Palatino Linotype" w:cs="Bookman Old Style,Bold"/>
          <w:b/>
          <w:bCs/>
          <w:i/>
        </w:rPr>
        <w:t xml:space="preserve">“Artículo 140. </w:t>
      </w:r>
      <w:r w:rsidRPr="00D634D6">
        <w:rPr>
          <w:rFonts w:ascii="Palatino Linotype" w:hAnsi="Palatino Linotype" w:cs="Bookman Old Style"/>
          <w:i/>
        </w:rPr>
        <w:t>El acceso a la información pública será restringido excepcionalmente, cuando por razones de interés público, ésta sea clasificada como reservada, conforme a los criterios siguientes:</w:t>
      </w:r>
    </w:p>
    <w:p w:rsidR="00F33391" w:rsidRPr="00D634D6" w:rsidRDefault="00F33391" w:rsidP="00D634D6">
      <w:pPr>
        <w:pStyle w:val="Prrafodelista"/>
        <w:spacing w:line="360" w:lineRule="auto"/>
        <w:ind w:left="567" w:right="567"/>
        <w:jc w:val="both"/>
        <w:rPr>
          <w:rFonts w:ascii="Palatino Linotype" w:hAnsi="Palatino Linotype" w:cs="Bookman Old Style"/>
          <w:i/>
        </w:rPr>
      </w:pPr>
      <w:r w:rsidRPr="00D634D6">
        <w:rPr>
          <w:rFonts w:ascii="Palatino Linotype" w:hAnsi="Palatino Linotype" w:cs="Bookman Old Style,Bold"/>
          <w:b/>
          <w:bCs/>
          <w:i/>
        </w:rPr>
        <w:t xml:space="preserve">I. </w:t>
      </w:r>
      <w:r w:rsidRPr="00D634D6">
        <w:rPr>
          <w:rFonts w:ascii="Palatino Linotype" w:hAnsi="Palatino Linotype" w:cs="Bookman Old Style"/>
          <w:i/>
        </w:rPr>
        <w:t>Comprometa la seguridad pública y cuente con un propósito genuino y un efecto demostrable;</w:t>
      </w:r>
    </w:p>
    <w:p w:rsidR="00F33391" w:rsidRPr="00D634D6" w:rsidRDefault="00F33391" w:rsidP="00D634D6">
      <w:pPr>
        <w:pStyle w:val="Prrafodelista"/>
        <w:spacing w:line="360" w:lineRule="auto"/>
        <w:ind w:left="567" w:right="567"/>
        <w:jc w:val="both"/>
        <w:rPr>
          <w:rFonts w:ascii="Palatino Linotype" w:hAnsi="Palatino Linotype" w:cs="Arial"/>
          <w:i/>
        </w:rPr>
      </w:pPr>
      <w:r w:rsidRPr="00D634D6">
        <w:rPr>
          <w:rFonts w:ascii="Palatino Linotype" w:hAnsi="Palatino Linotype" w:cs="Arial"/>
          <w:i/>
        </w:rPr>
        <w:t>(…)</w:t>
      </w:r>
    </w:p>
    <w:p w:rsidR="00F33391" w:rsidRPr="00D634D6" w:rsidRDefault="00F33391" w:rsidP="00D634D6">
      <w:pPr>
        <w:pStyle w:val="Prrafodelista"/>
        <w:spacing w:line="360" w:lineRule="auto"/>
        <w:ind w:left="567" w:right="567"/>
        <w:jc w:val="both"/>
        <w:rPr>
          <w:rFonts w:ascii="Palatino Linotype" w:hAnsi="Palatino Linotype" w:cs="Bookman Old Style"/>
          <w:i/>
        </w:rPr>
      </w:pPr>
      <w:r w:rsidRPr="00D634D6">
        <w:rPr>
          <w:rFonts w:ascii="Palatino Linotype" w:hAnsi="Palatino Linotype" w:cs="Bookman Old Style,Bold"/>
          <w:b/>
          <w:bCs/>
          <w:i/>
        </w:rPr>
        <w:t xml:space="preserve">IV. </w:t>
      </w:r>
      <w:r w:rsidRPr="00D634D6">
        <w:rPr>
          <w:rFonts w:ascii="Palatino Linotype" w:hAnsi="Palatino Linotype" w:cs="Bookman Old Style"/>
          <w:i/>
        </w:rPr>
        <w:t>Ponga en riesgo la vida, la seguridad o la salud de una persona física;</w:t>
      </w:r>
    </w:p>
    <w:p w:rsidR="00F33391" w:rsidRPr="00D634D6" w:rsidRDefault="00F33391" w:rsidP="00D634D6">
      <w:pPr>
        <w:pStyle w:val="Prrafodelista"/>
        <w:spacing w:line="360" w:lineRule="auto"/>
        <w:ind w:left="567" w:right="567"/>
        <w:jc w:val="both"/>
        <w:rPr>
          <w:rFonts w:ascii="Palatino Linotype" w:hAnsi="Palatino Linotype" w:cs="Arial"/>
          <w:i/>
        </w:rPr>
      </w:pPr>
      <w:r w:rsidRPr="00D634D6">
        <w:rPr>
          <w:rFonts w:ascii="Palatino Linotype" w:hAnsi="Palatino Linotype" w:cs="Bookman Old Style"/>
          <w:i/>
        </w:rPr>
        <w:t>(…)”</w:t>
      </w:r>
    </w:p>
    <w:p w:rsidR="00F33391" w:rsidRPr="00D634D6" w:rsidRDefault="00F33391" w:rsidP="00D634D6">
      <w:pPr>
        <w:pStyle w:val="Prrafodelista"/>
        <w:spacing w:line="360" w:lineRule="auto"/>
        <w:ind w:left="567" w:right="567"/>
        <w:jc w:val="both"/>
        <w:rPr>
          <w:rFonts w:ascii="Palatino Linotype" w:hAnsi="Palatino Linotype" w:cs="Arial"/>
          <w:i/>
        </w:rPr>
      </w:pPr>
    </w:p>
    <w:p w:rsidR="00F33391" w:rsidRPr="00D634D6" w:rsidRDefault="00F33391" w:rsidP="00D634D6">
      <w:pPr>
        <w:autoSpaceDE w:val="0"/>
        <w:autoSpaceDN w:val="0"/>
        <w:adjustRightInd w:val="0"/>
        <w:spacing w:line="360" w:lineRule="auto"/>
        <w:ind w:left="567" w:right="567"/>
        <w:jc w:val="both"/>
        <w:rPr>
          <w:rFonts w:ascii="Palatino Linotype" w:hAnsi="Palatino Linotype" w:cs="Arial"/>
          <w:i/>
          <w:color w:val="000000"/>
        </w:rPr>
      </w:pPr>
      <w:r w:rsidRPr="00D634D6">
        <w:rPr>
          <w:rFonts w:ascii="Palatino Linotype" w:hAnsi="Palatino Linotype" w:cs="Arial"/>
          <w:b/>
          <w:bCs/>
          <w:i/>
          <w:color w:val="000000"/>
        </w:rPr>
        <w:lastRenderedPageBreak/>
        <w:t xml:space="preserve">“Artículo 113. </w:t>
      </w:r>
      <w:r w:rsidRPr="00D634D6">
        <w:rPr>
          <w:rFonts w:ascii="Palatino Linotype" w:hAnsi="Palatino Linotype" w:cs="Arial"/>
          <w:i/>
          <w:color w:val="000000"/>
        </w:rPr>
        <w:t xml:space="preserve">Como información reservada podrá clasificarse aquella cuya publicación: </w:t>
      </w:r>
    </w:p>
    <w:p w:rsidR="00F33391" w:rsidRPr="00D634D6" w:rsidRDefault="00F33391" w:rsidP="00D634D6">
      <w:pPr>
        <w:pStyle w:val="Prrafodelista"/>
        <w:spacing w:line="360" w:lineRule="auto"/>
        <w:ind w:left="567" w:right="567"/>
        <w:jc w:val="both"/>
        <w:rPr>
          <w:rFonts w:ascii="Palatino Linotype" w:hAnsi="Palatino Linotype" w:cs="Arial"/>
          <w:i/>
        </w:rPr>
      </w:pPr>
      <w:r w:rsidRPr="00D634D6">
        <w:rPr>
          <w:rFonts w:ascii="Palatino Linotype" w:hAnsi="Palatino Linotype" w:cs="Arial"/>
          <w:i/>
          <w:color w:val="000000"/>
        </w:rPr>
        <w:t>I. Comprometa la seguridad nacional, la seguridad pública o la defensa nacional y cuente con un propósito genuino y un efecto demostrable;</w:t>
      </w:r>
    </w:p>
    <w:p w:rsidR="00F33391" w:rsidRPr="00D634D6" w:rsidRDefault="00F33391" w:rsidP="00D634D6">
      <w:pPr>
        <w:spacing w:line="360" w:lineRule="auto"/>
        <w:ind w:left="567" w:right="567"/>
        <w:jc w:val="both"/>
        <w:rPr>
          <w:rFonts w:ascii="Palatino Linotype" w:hAnsi="Palatino Linotype" w:cs="Arial"/>
          <w:i/>
        </w:rPr>
      </w:pPr>
      <w:r w:rsidRPr="00D634D6">
        <w:rPr>
          <w:rFonts w:ascii="Palatino Linotype" w:hAnsi="Palatino Linotype" w:cs="Arial"/>
          <w:i/>
        </w:rPr>
        <w:t>(…)</w:t>
      </w:r>
    </w:p>
    <w:p w:rsidR="00F33391" w:rsidRPr="00D634D6" w:rsidRDefault="00F33391" w:rsidP="00D634D6">
      <w:pPr>
        <w:spacing w:line="360" w:lineRule="auto"/>
        <w:ind w:left="567" w:right="567"/>
        <w:jc w:val="both"/>
        <w:rPr>
          <w:rFonts w:ascii="Palatino Linotype" w:hAnsi="Palatino Linotype"/>
          <w:i/>
        </w:rPr>
      </w:pPr>
      <w:r w:rsidRPr="00D634D6">
        <w:rPr>
          <w:rFonts w:ascii="Palatino Linotype" w:hAnsi="Palatino Linotype"/>
          <w:i/>
        </w:rPr>
        <w:t>V. Pueda poner en riesgo la vida, seguridad o salud de una persona física;</w:t>
      </w:r>
    </w:p>
    <w:p w:rsidR="00F33391" w:rsidRPr="00D634D6" w:rsidRDefault="00F33391" w:rsidP="00D634D6">
      <w:pPr>
        <w:spacing w:line="360" w:lineRule="auto"/>
        <w:ind w:left="567" w:right="567"/>
        <w:jc w:val="both"/>
        <w:rPr>
          <w:rFonts w:ascii="Palatino Linotype" w:hAnsi="Palatino Linotype"/>
          <w:i/>
        </w:rPr>
      </w:pPr>
      <w:r w:rsidRPr="00D634D6">
        <w:rPr>
          <w:rFonts w:ascii="Palatino Linotype" w:hAnsi="Palatino Linotype"/>
          <w:i/>
        </w:rPr>
        <w:t>(…)</w:t>
      </w:r>
    </w:p>
    <w:p w:rsidR="00F33391" w:rsidRPr="00D634D6" w:rsidRDefault="00F3339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077EF1" w:rsidRPr="00D634D6" w:rsidRDefault="007C4247"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 xml:space="preserve">En ese sentido, los </w:t>
      </w:r>
      <w:r w:rsidRPr="00D634D6">
        <w:rPr>
          <w:rFonts w:ascii="Palatino Linotype" w:eastAsia="MS Gothic" w:hAnsi="Palatino Linotype" w:cs="Times New Roman"/>
          <w:b/>
          <w:sz w:val="24"/>
          <w:szCs w:val="26"/>
          <w:lang w:val="es-ES_tradnl"/>
        </w:rPr>
        <w:t>Lineamientos generales en materia de clasificación y desclasificación de la información, así como para la elaboración de versiones públicas,</w:t>
      </w:r>
      <w:r w:rsidRPr="00D634D6">
        <w:rPr>
          <w:rFonts w:ascii="Palatino Linotype" w:eastAsia="MS Gothic" w:hAnsi="Palatino Linotype" w:cs="Times New Roman"/>
          <w:sz w:val="24"/>
          <w:szCs w:val="26"/>
          <w:vertAlign w:val="superscript"/>
          <w:lang w:val="es-ES_tradnl"/>
        </w:rPr>
        <w:footnoteReference w:id="24"/>
      </w:r>
      <w:r w:rsidRPr="00D634D6">
        <w:rPr>
          <w:rFonts w:ascii="Palatino Linotype" w:eastAsia="MS Gothic" w:hAnsi="Palatino Linotype" w:cs="Times New Roman"/>
          <w:b/>
          <w:sz w:val="24"/>
          <w:szCs w:val="26"/>
          <w:lang w:val="es-ES_tradnl"/>
        </w:rPr>
        <w:t xml:space="preserve"> </w:t>
      </w:r>
      <w:r w:rsidRPr="00D634D6">
        <w:rPr>
          <w:rFonts w:ascii="Palatino Linotype" w:eastAsia="MS Gothic" w:hAnsi="Palatino Linotype" w:cs="Times New Roman"/>
          <w:sz w:val="24"/>
          <w:szCs w:val="26"/>
          <w:lang w:val="es-ES_tradnl"/>
        </w:rPr>
        <w:t>al respecto refieren lo siguiente:</w:t>
      </w:r>
    </w:p>
    <w:p w:rsidR="00077EF1" w:rsidRPr="00D634D6" w:rsidRDefault="00077EF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7C4247" w:rsidRPr="00D634D6" w:rsidRDefault="007C4247" w:rsidP="00D634D6">
      <w:pPr>
        <w:shd w:val="clear" w:color="auto" w:fill="FFFFFF"/>
        <w:spacing w:line="360" w:lineRule="auto"/>
        <w:ind w:left="567" w:right="567"/>
        <w:jc w:val="both"/>
        <w:rPr>
          <w:rFonts w:ascii="Palatino Linotype" w:eastAsia="Times New Roman" w:hAnsi="Palatino Linotype" w:cs="Arial"/>
          <w:i/>
          <w:color w:val="2F2F2F"/>
          <w:szCs w:val="18"/>
          <w:lang w:eastAsia="es-MX"/>
        </w:rPr>
      </w:pPr>
      <w:r w:rsidRPr="00D634D6">
        <w:rPr>
          <w:rFonts w:ascii="Palatino Linotype" w:eastAsia="Times New Roman" w:hAnsi="Palatino Linotype" w:cs="Arial"/>
          <w:b/>
          <w:bCs/>
          <w:i/>
          <w:color w:val="2F2F2F"/>
          <w:szCs w:val="18"/>
          <w:lang w:eastAsia="es-MX"/>
        </w:rPr>
        <w:t>Décimo octavo. </w:t>
      </w:r>
      <w:r w:rsidRPr="00D634D6">
        <w:rPr>
          <w:rFonts w:ascii="Palatino Linotype" w:eastAsia="Times New Roman" w:hAnsi="Palatino Linotype" w:cs="Arial"/>
          <w:i/>
          <w:color w:val="2F2F2F"/>
          <w:szCs w:val="18"/>
          <w:lang w:eastAsia="es-MX"/>
        </w:rPr>
        <w:t>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7C4247" w:rsidRPr="00D634D6" w:rsidRDefault="007C4247" w:rsidP="00D634D6">
      <w:pPr>
        <w:shd w:val="clear" w:color="auto" w:fill="FFFFFF"/>
        <w:spacing w:line="360" w:lineRule="auto"/>
        <w:ind w:left="567" w:right="567"/>
        <w:jc w:val="both"/>
        <w:rPr>
          <w:rFonts w:ascii="Palatino Linotype" w:eastAsia="Times New Roman" w:hAnsi="Palatino Linotype" w:cs="Arial"/>
          <w:i/>
          <w:color w:val="2F2F2F"/>
          <w:szCs w:val="18"/>
          <w:lang w:eastAsia="es-MX"/>
        </w:rPr>
      </w:pPr>
    </w:p>
    <w:p w:rsidR="007C4247" w:rsidRPr="00D634D6" w:rsidRDefault="007C4247" w:rsidP="00D634D6">
      <w:pPr>
        <w:shd w:val="clear" w:color="auto" w:fill="FFFFFF"/>
        <w:spacing w:line="360" w:lineRule="auto"/>
        <w:ind w:left="567" w:right="567"/>
        <w:jc w:val="both"/>
        <w:rPr>
          <w:rFonts w:ascii="Palatino Linotype" w:eastAsia="Times New Roman" w:hAnsi="Palatino Linotype" w:cs="Arial"/>
          <w:i/>
          <w:color w:val="2F2F2F"/>
          <w:szCs w:val="18"/>
          <w:lang w:eastAsia="es-MX"/>
        </w:rPr>
      </w:pPr>
      <w:r w:rsidRPr="00D634D6">
        <w:rPr>
          <w:rFonts w:ascii="Palatino Linotype" w:eastAsia="Times New Roman" w:hAnsi="Palatino Linotype" w:cs="Arial"/>
          <w:i/>
          <w:color w:val="2F2F2F"/>
          <w:szCs w:val="18"/>
          <w:lang w:eastAsia="es-MX"/>
        </w:rPr>
        <w:t>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w:t>
      </w:r>
    </w:p>
    <w:p w:rsidR="007C4247" w:rsidRPr="00D634D6" w:rsidRDefault="007C4247" w:rsidP="00D634D6">
      <w:pPr>
        <w:shd w:val="clear" w:color="auto" w:fill="FFFFFF"/>
        <w:spacing w:line="360" w:lineRule="auto"/>
        <w:ind w:left="567" w:right="567"/>
        <w:jc w:val="both"/>
        <w:rPr>
          <w:rFonts w:ascii="Palatino Linotype" w:eastAsia="Times New Roman" w:hAnsi="Palatino Linotype" w:cs="Arial"/>
          <w:i/>
          <w:color w:val="2F2F2F"/>
          <w:szCs w:val="18"/>
          <w:lang w:eastAsia="es-MX"/>
        </w:rPr>
      </w:pPr>
      <w:r w:rsidRPr="00D634D6">
        <w:rPr>
          <w:rFonts w:ascii="Palatino Linotype" w:eastAsia="Times New Roman" w:hAnsi="Palatino Linotype" w:cs="Arial"/>
          <w:i/>
          <w:color w:val="2F2F2F"/>
          <w:szCs w:val="18"/>
          <w:lang w:eastAsia="es-MX"/>
        </w:rPr>
        <w:lastRenderedPageBreak/>
        <w:t>Asimismo, podrá considerarse como reservada aquella que revele datos que pudieran ser aprovechados para conocer la capacidad de reacción de las instituciones encargadas de la seguridad pública, sus planes, estrategias, tecnología, información, sistemas de comunicaciones.</w:t>
      </w:r>
    </w:p>
    <w:p w:rsidR="007C4247" w:rsidRPr="00D634D6" w:rsidRDefault="007C4247" w:rsidP="00D634D6">
      <w:pPr>
        <w:shd w:val="clear" w:color="auto" w:fill="FFFFFF"/>
        <w:spacing w:line="360" w:lineRule="auto"/>
        <w:ind w:left="567" w:right="567"/>
        <w:jc w:val="both"/>
        <w:rPr>
          <w:rFonts w:ascii="Palatino Linotype" w:eastAsia="Times New Roman" w:hAnsi="Palatino Linotype" w:cs="Arial"/>
          <w:i/>
          <w:color w:val="2F2F2F"/>
          <w:szCs w:val="18"/>
          <w:lang w:eastAsia="es-MX"/>
        </w:rPr>
      </w:pPr>
      <w:r w:rsidRPr="00D634D6">
        <w:rPr>
          <w:rFonts w:ascii="Palatino Linotype" w:eastAsia="Times New Roman" w:hAnsi="Palatino Linotype" w:cs="Arial"/>
          <w:i/>
          <w:color w:val="2F2F2F"/>
          <w:szCs w:val="18"/>
          <w:lang w:eastAsia="es-MX"/>
        </w:rPr>
        <w:t>Asimismo, podrá considerarse como reservada aquella que revele datos que pudieran ser aprovechados para conocer la capacidad de reacción del Estado, sus planes, o uso de tecnología, información y producción de los sistemas de armamento y otros sistemas militares incluidos los sistemas de comunicaciones.</w:t>
      </w:r>
    </w:p>
    <w:p w:rsidR="007C4247" w:rsidRPr="00D634D6" w:rsidRDefault="007C4247" w:rsidP="00D634D6">
      <w:pPr>
        <w:shd w:val="clear" w:color="auto" w:fill="FFFFFF"/>
        <w:spacing w:line="360" w:lineRule="auto"/>
        <w:ind w:left="567" w:right="567"/>
        <w:jc w:val="both"/>
        <w:rPr>
          <w:rFonts w:ascii="Palatino Linotype" w:eastAsia="Times New Roman" w:hAnsi="Palatino Linotype" w:cs="Arial"/>
          <w:i/>
          <w:color w:val="2F2F2F"/>
          <w:lang w:eastAsia="es-MX"/>
        </w:rPr>
      </w:pPr>
      <w:r w:rsidRPr="00D634D6">
        <w:rPr>
          <w:rFonts w:ascii="Palatino Linotype" w:eastAsia="Times New Roman" w:hAnsi="Palatino Linotype" w:cs="Arial"/>
          <w:i/>
          <w:color w:val="2F2F2F"/>
          <w:lang w:eastAsia="es-MX"/>
        </w:rPr>
        <w:t xml:space="preserve">… </w:t>
      </w:r>
    </w:p>
    <w:p w:rsidR="007C4247" w:rsidRPr="00D634D6" w:rsidRDefault="007C4247" w:rsidP="00D634D6">
      <w:pPr>
        <w:shd w:val="clear" w:color="auto" w:fill="FFFFFF"/>
        <w:spacing w:line="360" w:lineRule="auto"/>
        <w:ind w:left="567" w:right="567"/>
        <w:jc w:val="both"/>
        <w:rPr>
          <w:rFonts w:ascii="Palatino Linotype" w:eastAsia="Times New Roman" w:hAnsi="Palatino Linotype" w:cs="Arial"/>
          <w:i/>
          <w:color w:val="2F2F2F"/>
          <w:lang w:eastAsia="es-MX"/>
        </w:rPr>
      </w:pPr>
      <w:r w:rsidRPr="00D634D6">
        <w:rPr>
          <w:rFonts w:ascii="Palatino Linotype" w:hAnsi="Palatino Linotype" w:cs="Helvetica"/>
          <w:b/>
          <w:bCs/>
          <w:i/>
          <w:color w:val="2F2F2F"/>
          <w:shd w:val="clear" w:color="auto" w:fill="FFFFFF"/>
        </w:rPr>
        <w:t>Vigésimo tercero.</w:t>
      </w:r>
      <w:r w:rsidRPr="00D634D6">
        <w:rPr>
          <w:rFonts w:ascii="Palatino Linotype" w:hAnsi="Palatino Linotype" w:cs="Helvetica"/>
          <w:i/>
          <w:color w:val="2F2F2F"/>
          <w:shd w:val="clear" w:color="auto" w:fill="FFFFFF"/>
        </w:rPr>
        <w:t> Para clasificar la información como reservada, de conformidad con el artículo 113, fracción V de la Ley General, será necesario acreditar un vínculo, entre la persona física y la información que pueda poner en riesgo su vida, seguridad o salud.</w:t>
      </w:r>
    </w:p>
    <w:p w:rsidR="007C4247" w:rsidRPr="00D634D6" w:rsidRDefault="007C4247"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077EF1" w:rsidRPr="00D634D6" w:rsidRDefault="007C4247"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Como fuera referido en líneas anteriores, para aplicar la prueba de daño, se deberán de precisar las razones objetivas por las que la apertura de la información genera una afectación, acreditando que:</w:t>
      </w:r>
    </w:p>
    <w:p w:rsidR="00077EF1" w:rsidRPr="00D634D6" w:rsidRDefault="00077EF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7C4247" w:rsidRPr="00D634D6" w:rsidRDefault="007C4247" w:rsidP="00D634D6">
      <w:pPr>
        <w:widowControl w:val="0"/>
        <w:autoSpaceDE w:val="0"/>
        <w:autoSpaceDN w:val="0"/>
        <w:adjustRightInd w:val="0"/>
        <w:spacing w:line="360" w:lineRule="auto"/>
        <w:ind w:left="851" w:right="333"/>
        <w:jc w:val="both"/>
        <w:rPr>
          <w:rFonts w:ascii="Palatino Linotype" w:hAnsi="Palatino Linotype" w:cs="Times"/>
          <w:i/>
          <w:color w:val="000000" w:themeColor="text1"/>
        </w:rPr>
      </w:pPr>
      <w:r w:rsidRPr="00D634D6">
        <w:rPr>
          <w:rFonts w:ascii="Palatino Linotype" w:hAnsi="Palatino Linotype" w:cs="Bookman Old Style"/>
          <w:bCs/>
          <w:i/>
          <w:color w:val="000000" w:themeColor="text1"/>
        </w:rPr>
        <w:t xml:space="preserve">I. </w:t>
      </w:r>
      <w:r w:rsidRPr="00D634D6">
        <w:rPr>
          <w:rFonts w:ascii="Palatino Linotype" w:hAnsi="Palatino Linotype" w:cs="Bookman Old Style"/>
          <w:i/>
          <w:color w:val="000000" w:themeColor="text1"/>
        </w:rPr>
        <w:t xml:space="preserve">La divulgación de la información representa un riesgo real, demostrable e identificable del perjuicio significativo al interés público o a la seguridad pública; </w:t>
      </w:r>
    </w:p>
    <w:p w:rsidR="007C4247" w:rsidRPr="00D634D6" w:rsidRDefault="007C4247" w:rsidP="00D634D6">
      <w:pPr>
        <w:widowControl w:val="0"/>
        <w:autoSpaceDE w:val="0"/>
        <w:autoSpaceDN w:val="0"/>
        <w:adjustRightInd w:val="0"/>
        <w:spacing w:line="360" w:lineRule="auto"/>
        <w:ind w:left="851" w:right="333"/>
        <w:jc w:val="both"/>
        <w:rPr>
          <w:rFonts w:ascii="Palatino Linotype" w:hAnsi="Palatino Linotype" w:cs="Times"/>
          <w:i/>
          <w:color w:val="000000" w:themeColor="text1"/>
        </w:rPr>
      </w:pPr>
      <w:r w:rsidRPr="00D634D6">
        <w:rPr>
          <w:rFonts w:ascii="Palatino Linotype" w:hAnsi="Palatino Linotype" w:cs="Bookman Old Style"/>
          <w:bCs/>
          <w:i/>
          <w:color w:val="000000" w:themeColor="text1"/>
        </w:rPr>
        <w:t xml:space="preserve">II. </w:t>
      </w:r>
      <w:r w:rsidRPr="00D634D6">
        <w:rPr>
          <w:rFonts w:ascii="Palatino Linotype" w:hAnsi="Palatino Linotype" w:cs="Bookman Old Style"/>
          <w:i/>
          <w:color w:val="000000" w:themeColor="text1"/>
        </w:rPr>
        <w:t xml:space="preserve">El riesgo de perjuicio que supondría la divulgación supera el interés público general de que se difunda; y </w:t>
      </w:r>
    </w:p>
    <w:p w:rsidR="007C4247" w:rsidRPr="00D634D6" w:rsidRDefault="007C4247" w:rsidP="00D634D6">
      <w:pPr>
        <w:widowControl w:val="0"/>
        <w:autoSpaceDE w:val="0"/>
        <w:autoSpaceDN w:val="0"/>
        <w:adjustRightInd w:val="0"/>
        <w:spacing w:line="360" w:lineRule="auto"/>
        <w:ind w:left="851" w:right="333"/>
        <w:jc w:val="both"/>
        <w:rPr>
          <w:rFonts w:ascii="Palatino Linotype" w:hAnsi="Palatino Linotype" w:cs="Times"/>
          <w:i/>
          <w:color w:val="000000" w:themeColor="text1"/>
        </w:rPr>
      </w:pPr>
      <w:r w:rsidRPr="00D634D6">
        <w:rPr>
          <w:rFonts w:ascii="Palatino Linotype" w:hAnsi="Palatino Linotype" w:cs="Bookman Old Style"/>
          <w:bCs/>
          <w:i/>
          <w:color w:val="000000" w:themeColor="text1"/>
        </w:rPr>
        <w:t xml:space="preserve">III. </w:t>
      </w:r>
      <w:r w:rsidRPr="00D634D6">
        <w:rPr>
          <w:rFonts w:ascii="Palatino Linotype" w:hAnsi="Palatino Linotype" w:cs="Bookman Old Style"/>
          <w:i/>
          <w:color w:val="000000" w:themeColor="text1"/>
        </w:rPr>
        <w:t xml:space="preserve">La limitación se adecua al principio de proporcionalidad y representa el medio menos restrictivo disponible para evitar el perjuicio. </w:t>
      </w:r>
    </w:p>
    <w:p w:rsidR="007C4247" w:rsidRPr="00D634D6" w:rsidRDefault="007C4247"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077EF1" w:rsidRPr="00D634D6" w:rsidRDefault="007C4247"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lastRenderedPageBreak/>
        <w:t>Sobre el primer supuesto consideremos que según el diccionario del español jurídico, por riesgo podemos entender “la contingencia o proximidad de un daño”,</w:t>
      </w:r>
      <w:r w:rsidRPr="00D634D6">
        <w:rPr>
          <w:rFonts w:ascii="Palatino Linotype" w:eastAsia="MS Gothic" w:hAnsi="Palatino Linotype" w:cs="Times New Roman"/>
          <w:sz w:val="24"/>
          <w:szCs w:val="26"/>
          <w:vertAlign w:val="superscript"/>
          <w:lang w:val="es-ES_tradnl"/>
        </w:rPr>
        <w:footnoteReference w:id="25"/>
      </w:r>
      <w:r w:rsidRPr="00D634D6">
        <w:rPr>
          <w:rFonts w:ascii="Palatino Linotype" w:eastAsia="MS Gothic" w:hAnsi="Palatino Linotype" w:cs="Times New Roman"/>
          <w:sz w:val="24"/>
          <w:szCs w:val="26"/>
          <w:lang w:val="es-ES_tradnl"/>
        </w:rPr>
        <w:t xml:space="preserve"> mientras que el daño es considerado como un “perjuicio o lesión”</w:t>
      </w:r>
      <w:r w:rsidRPr="00D634D6">
        <w:rPr>
          <w:rFonts w:ascii="Palatino Linotype" w:eastAsia="MS Gothic" w:hAnsi="Palatino Linotype" w:cs="Times New Roman"/>
          <w:sz w:val="24"/>
          <w:szCs w:val="26"/>
          <w:vertAlign w:val="superscript"/>
          <w:lang w:val="es-ES_tradnl"/>
        </w:rPr>
        <w:footnoteReference w:id="26"/>
      </w:r>
      <w:r w:rsidRPr="00D634D6">
        <w:rPr>
          <w:rFonts w:ascii="Palatino Linotype" w:eastAsia="MS Gothic" w:hAnsi="Palatino Linotype" w:cs="Times New Roman"/>
          <w:sz w:val="24"/>
          <w:szCs w:val="26"/>
          <w:lang w:val="es-ES_tradnl"/>
        </w:rPr>
        <w:t>; por su parte, según el Diccionario de la Lengua Española, lo real es lo “(q)</w:t>
      </w:r>
      <w:proofErr w:type="spellStart"/>
      <w:r w:rsidRPr="00D634D6">
        <w:rPr>
          <w:rFonts w:ascii="Palatino Linotype" w:eastAsia="MS Gothic" w:hAnsi="Palatino Linotype" w:cs="Times New Roman"/>
          <w:sz w:val="24"/>
          <w:szCs w:val="26"/>
          <w:lang w:val="es-ES_tradnl"/>
        </w:rPr>
        <w:t>ue</w:t>
      </w:r>
      <w:proofErr w:type="spellEnd"/>
      <w:r w:rsidRPr="00D634D6">
        <w:rPr>
          <w:rFonts w:ascii="Palatino Linotype" w:eastAsia="MS Gothic" w:hAnsi="Palatino Linotype" w:cs="Times New Roman"/>
          <w:sz w:val="24"/>
          <w:szCs w:val="26"/>
          <w:lang w:val="es-ES_tradnl"/>
        </w:rPr>
        <w:t> tiene existencia objetiva”,</w:t>
      </w:r>
      <w:r w:rsidRPr="00D634D6">
        <w:rPr>
          <w:rFonts w:ascii="Palatino Linotype" w:eastAsia="MS Gothic" w:hAnsi="Palatino Linotype" w:cs="Times New Roman"/>
          <w:sz w:val="24"/>
          <w:szCs w:val="26"/>
          <w:vertAlign w:val="superscript"/>
          <w:lang w:val="es-ES_tradnl"/>
        </w:rPr>
        <w:footnoteReference w:id="27"/>
      </w:r>
      <w:r w:rsidRPr="00D634D6">
        <w:rPr>
          <w:rFonts w:ascii="Palatino Linotype" w:eastAsia="MS Gothic" w:hAnsi="Palatino Linotype" w:cs="Times New Roman"/>
          <w:sz w:val="24"/>
          <w:szCs w:val="26"/>
          <w:lang w:val="es-ES_tradnl"/>
        </w:rPr>
        <w:t xml:space="preserve"> mientras que lo demostrables es, según la misma fuente, aquello que se puede demostrar,</w:t>
      </w:r>
      <w:r w:rsidRPr="00D634D6">
        <w:rPr>
          <w:rFonts w:ascii="Palatino Linotype" w:eastAsia="MS Gothic" w:hAnsi="Palatino Linotype" w:cs="Times New Roman"/>
          <w:sz w:val="24"/>
          <w:szCs w:val="26"/>
          <w:vertAlign w:val="superscript"/>
          <w:lang w:val="es-ES_tradnl"/>
        </w:rPr>
        <w:footnoteReference w:id="28"/>
      </w:r>
      <w:r w:rsidRPr="00D634D6">
        <w:rPr>
          <w:rFonts w:ascii="Palatino Linotype" w:eastAsia="MS Gothic" w:hAnsi="Palatino Linotype" w:cs="Times New Roman"/>
          <w:sz w:val="24"/>
          <w:szCs w:val="26"/>
          <w:lang w:val="es-ES_tradnl"/>
        </w:rPr>
        <w:t xml:space="preserve"> es decir, </w:t>
      </w:r>
      <w:r w:rsidRPr="00D634D6">
        <w:rPr>
          <w:rFonts w:ascii="Palatino Linotype" w:eastAsia="MS Gothic" w:hAnsi="Palatino Linotype" w:cs="Times New Roman"/>
          <w:sz w:val="24"/>
          <w:szCs w:val="26"/>
        </w:rPr>
        <w:t xml:space="preserve">“(m)anifestar, declarar. Probar, sirviéndose de cualquier género de demostración, </w:t>
      </w:r>
      <w:r w:rsidR="000E428B">
        <w:fldChar w:fldCharType="begin"/>
      </w:r>
      <w:r w:rsidR="000E428B">
        <w:instrText xml:space="preserve"> HYPERLINK "http://dle.rae.es/?id=FdI00Or" \l "6nAyKjE" </w:instrText>
      </w:r>
      <w:r w:rsidR="000E428B">
        <w:fldChar w:fldCharType="separate"/>
      </w:r>
      <w:r w:rsidRPr="00D634D6">
        <w:rPr>
          <w:rStyle w:val="Hipervnculo"/>
          <w:rFonts w:ascii="Palatino Linotype" w:eastAsia="MS Gothic" w:hAnsi="Palatino Linotype" w:cs="Times New Roman"/>
          <w:sz w:val="24"/>
          <w:szCs w:val="26"/>
        </w:rPr>
        <w:t>enseñar</w:t>
      </w:r>
      <w:r w:rsidR="000E428B">
        <w:rPr>
          <w:rStyle w:val="Hipervnculo"/>
          <w:rFonts w:ascii="Palatino Linotype" w:eastAsia="MS Gothic" w:hAnsi="Palatino Linotype" w:cs="Times New Roman"/>
          <w:sz w:val="24"/>
          <w:szCs w:val="26"/>
        </w:rPr>
        <w:fldChar w:fldCharType="end"/>
      </w:r>
      <w:r w:rsidRPr="00D634D6">
        <w:rPr>
          <w:rFonts w:ascii="Palatino Linotype" w:eastAsia="MS Gothic" w:hAnsi="Palatino Linotype" w:cs="Times New Roman"/>
          <w:sz w:val="24"/>
          <w:szCs w:val="26"/>
          <w:lang w:val="es-ES_tradnl"/>
        </w:rPr>
        <w:t xml:space="preserve"> </w:t>
      </w:r>
      <w:r w:rsidRPr="00D634D6">
        <w:rPr>
          <w:rFonts w:ascii="Palatino Linotype" w:eastAsia="MS Gothic" w:hAnsi="Palatino Linotype" w:cs="Times New Roman"/>
          <w:sz w:val="24"/>
          <w:szCs w:val="26"/>
        </w:rPr>
        <w:t>mostrar o exponer algo)”.</w:t>
      </w:r>
      <w:r w:rsidRPr="00D634D6">
        <w:rPr>
          <w:rFonts w:ascii="Palatino Linotype" w:eastAsia="MS Gothic" w:hAnsi="Palatino Linotype" w:cs="Times New Roman"/>
          <w:sz w:val="24"/>
          <w:szCs w:val="26"/>
          <w:vertAlign w:val="superscript"/>
        </w:rPr>
        <w:footnoteReference w:id="29"/>
      </w:r>
      <w:r w:rsidRPr="00D634D6">
        <w:rPr>
          <w:rFonts w:ascii="Palatino Linotype" w:eastAsia="MS Gothic" w:hAnsi="Palatino Linotype" w:cs="Times New Roman"/>
          <w:sz w:val="24"/>
          <w:szCs w:val="26"/>
        </w:rPr>
        <w:t xml:space="preserve"> Lo identificable es lo que puede ser identificado,</w:t>
      </w:r>
      <w:r w:rsidRPr="00D634D6">
        <w:rPr>
          <w:rFonts w:ascii="Palatino Linotype" w:eastAsia="MS Gothic" w:hAnsi="Palatino Linotype" w:cs="Times New Roman"/>
          <w:sz w:val="24"/>
          <w:szCs w:val="26"/>
          <w:vertAlign w:val="superscript"/>
        </w:rPr>
        <w:footnoteReference w:id="30"/>
      </w:r>
      <w:r w:rsidRPr="00D634D6">
        <w:rPr>
          <w:rFonts w:ascii="Palatino Linotype" w:eastAsia="MS Gothic" w:hAnsi="Palatino Linotype" w:cs="Times New Roman"/>
          <w:sz w:val="24"/>
          <w:szCs w:val="26"/>
        </w:rPr>
        <w:t xml:space="preserve"> esto es,</w:t>
      </w:r>
      <w:r w:rsidRPr="00D634D6">
        <w:rPr>
          <w:rFonts w:ascii="Palatino Linotype" w:eastAsia="MS Gothic" w:hAnsi="Palatino Linotype" w:cs="Times New Roman"/>
          <w:sz w:val="24"/>
          <w:szCs w:val="26"/>
          <w:lang w:val="es-ES_tradnl"/>
        </w:rPr>
        <w:t xml:space="preserve"> “(d)</w:t>
      </w:r>
      <w:proofErr w:type="spellStart"/>
      <w:r w:rsidRPr="00D634D6">
        <w:rPr>
          <w:rFonts w:ascii="Palatino Linotype" w:eastAsia="MS Gothic" w:hAnsi="Palatino Linotype" w:cs="Times New Roman"/>
          <w:sz w:val="24"/>
          <w:szCs w:val="26"/>
          <w:lang w:val="es-ES_tradnl"/>
        </w:rPr>
        <w:t>ar</w:t>
      </w:r>
      <w:proofErr w:type="spellEnd"/>
      <w:r w:rsidRPr="00D634D6">
        <w:rPr>
          <w:rFonts w:ascii="Palatino Linotype" w:eastAsia="MS Gothic" w:hAnsi="Palatino Linotype" w:cs="Times New Roman"/>
          <w:sz w:val="24"/>
          <w:szCs w:val="26"/>
          <w:lang w:val="es-ES_tradnl"/>
        </w:rPr>
        <w:t xml:space="preserve"> los datos necesarios para ser reconocido”.</w:t>
      </w:r>
      <w:r w:rsidRPr="00D634D6">
        <w:rPr>
          <w:rFonts w:ascii="Palatino Linotype" w:eastAsia="MS Gothic" w:hAnsi="Palatino Linotype" w:cs="Times New Roman"/>
          <w:sz w:val="24"/>
          <w:szCs w:val="26"/>
          <w:vertAlign w:val="superscript"/>
          <w:lang w:val="es-ES_tradnl"/>
        </w:rPr>
        <w:footnoteReference w:id="31"/>
      </w:r>
    </w:p>
    <w:p w:rsidR="00077EF1" w:rsidRPr="00D634D6" w:rsidRDefault="00077EF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077EF1" w:rsidRPr="00D634D6" w:rsidRDefault="007C4247"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que compromete la seguridad pública y/o ponga en riesgo la vida, la seguridad o la salud de una persona física.</w:t>
      </w:r>
    </w:p>
    <w:p w:rsidR="00077EF1" w:rsidRPr="00D634D6" w:rsidRDefault="00077EF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7C4247" w:rsidRPr="00D634D6" w:rsidRDefault="007C4247" w:rsidP="00D634D6">
      <w:pPr>
        <w:pStyle w:val="Prrafodelista"/>
        <w:tabs>
          <w:tab w:val="left" w:pos="142"/>
          <w:tab w:val="left" w:pos="284"/>
          <w:tab w:val="left" w:pos="426"/>
        </w:tabs>
        <w:spacing w:line="360" w:lineRule="auto"/>
        <w:ind w:left="0"/>
        <w:jc w:val="both"/>
        <w:rPr>
          <w:rFonts w:ascii="Palatino Linotype" w:hAnsi="Palatino Linotype" w:cs="Arial"/>
          <w:b/>
          <w:sz w:val="24"/>
        </w:rPr>
      </w:pPr>
      <w:r w:rsidRPr="00D634D6">
        <w:rPr>
          <w:rFonts w:ascii="Palatino Linotype" w:hAnsi="Palatino Linotype" w:cs="Arial"/>
          <w:b/>
          <w:sz w:val="24"/>
        </w:rPr>
        <w:lastRenderedPageBreak/>
        <w:t>a) La divulgación de la información representa un riesgo real, demostrable e identificable del perjuicio significativo al interés público o a la seguridad pública.</w:t>
      </w:r>
    </w:p>
    <w:p w:rsidR="007C4247" w:rsidRPr="00D634D6" w:rsidRDefault="007C4247"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077EF1" w:rsidRPr="00D634D6" w:rsidRDefault="007C4247"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Atento a lo anterior tenemos que:</w:t>
      </w:r>
    </w:p>
    <w:p w:rsidR="00077EF1" w:rsidRPr="00D634D6" w:rsidRDefault="00077EF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7C4247" w:rsidRPr="00D634D6" w:rsidRDefault="007C4247" w:rsidP="00D634D6">
      <w:pPr>
        <w:pStyle w:val="Prrafodelista"/>
        <w:spacing w:line="360" w:lineRule="auto"/>
        <w:ind w:left="567" w:right="567"/>
        <w:jc w:val="both"/>
        <w:rPr>
          <w:rFonts w:ascii="Palatino Linotype" w:hAnsi="Palatino Linotype"/>
          <w:color w:val="000000" w:themeColor="text1"/>
          <w:sz w:val="24"/>
        </w:rPr>
      </w:pPr>
      <w:r w:rsidRPr="00D634D6">
        <w:rPr>
          <w:rFonts w:ascii="Palatino Linotype" w:hAnsi="Palatino Linotype"/>
          <w:b/>
          <w:color w:val="000000" w:themeColor="text1"/>
          <w:sz w:val="24"/>
        </w:rPr>
        <w:t>Riesgo real:</w:t>
      </w:r>
      <w:r w:rsidRPr="00D634D6">
        <w:rPr>
          <w:rFonts w:ascii="Palatino Linotype" w:hAnsi="Palatino Linotype"/>
          <w:color w:val="000000" w:themeColor="text1"/>
          <w:sz w:val="24"/>
        </w:rPr>
        <w:t xml:space="preserve"> La función de los elementos de policía se enlaza directamente con los hechos </w:t>
      </w:r>
      <w:r w:rsidRPr="00D634D6">
        <w:rPr>
          <w:rFonts w:ascii="Palatino Linotype" w:hAnsi="Palatino Linotype"/>
          <w:sz w:val="24"/>
        </w:rPr>
        <w:t>constitutivos de delito, además, realizan trabajo de localización, persecución,  y salva guardan la integridad de la ciudadanía. Por lo que deben contar con elementos para su debida protección y armamento para combatir el crimen. El equipo con el que cuentan los policías, en estricto sentido debe superar cualquier armamento que sea adquirido por grupos criminales.</w:t>
      </w:r>
      <w:r w:rsidRPr="00D634D6">
        <w:rPr>
          <w:rFonts w:ascii="Palatino Linotype" w:hAnsi="Palatino Linotype"/>
          <w:color w:val="000000" w:themeColor="text1"/>
          <w:sz w:val="24"/>
        </w:rPr>
        <w:t xml:space="preserve"> En México, la situación es muy diferente, pues es un hecho notorio que los grupos criminales cuentan con mejor armamento, mejores vehículos y mejor equipo de seguridad que los propios elementos policiacos, lo cual en principio de cuentas ya representa un riesgo real.</w:t>
      </w:r>
    </w:p>
    <w:p w:rsidR="007C4247" w:rsidRPr="00D634D6" w:rsidRDefault="007C4247" w:rsidP="00D634D6">
      <w:pPr>
        <w:pStyle w:val="Prrafodelista"/>
        <w:spacing w:line="360" w:lineRule="auto"/>
        <w:ind w:left="567" w:right="567"/>
        <w:jc w:val="both"/>
        <w:rPr>
          <w:rFonts w:ascii="Palatino Linotype" w:hAnsi="Palatino Linotype"/>
          <w:color w:val="000000" w:themeColor="text1"/>
          <w:sz w:val="24"/>
        </w:rPr>
      </w:pPr>
    </w:p>
    <w:p w:rsidR="007C4247" w:rsidRPr="00D634D6" w:rsidRDefault="007C4247" w:rsidP="00D634D6">
      <w:pPr>
        <w:pStyle w:val="Prrafodelista"/>
        <w:spacing w:line="360" w:lineRule="auto"/>
        <w:ind w:left="567" w:right="567"/>
        <w:jc w:val="both"/>
        <w:rPr>
          <w:rFonts w:ascii="Palatino Linotype" w:hAnsi="Palatino Linotype"/>
          <w:color w:val="000000" w:themeColor="text1"/>
          <w:sz w:val="24"/>
        </w:rPr>
      </w:pPr>
      <w:r w:rsidRPr="00D634D6">
        <w:rPr>
          <w:rFonts w:ascii="Palatino Linotype" w:hAnsi="Palatino Linotype"/>
          <w:b/>
          <w:color w:val="000000" w:themeColor="text1"/>
          <w:sz w:val="24"/>
        </w:rPr>
        <w:t>Riesgo demostrable</w:t>
      </w:r>
      <w:r w:rsidRPr="00D634D6">
        <w:rPr>
          <w:rFonts w:ascii="Palatino Linotype" w:hAnsi="Palatino Linotype"/>
          <w:color w:val="000000" w:themeColor="text1"/>
          <w:sz w:val="24"/>
        </w:rPr>
        <w:t xml:space="preserve">: Dar a conocer la información referente a las características técnicas de los vehículos equipados para patrullas o las características del equipo de radiocomunicación, permite que las organizaciones delictivas conozcan y puedan adquirir, plenamente y con toda certeza, mejor equipamiento que impidan la eficacia en </w:t>
      </w:r>
      <w:r w:rsidRPr="00D634D6">
        <w:rPr>
          <w:rFonts w:ascii="Palatino Linotype" w:hAnsi="Palatino Linotype"/>
          <w:color w:val="000000" w:themeColor="text1"/>
          <w:sz w:val="24"/>
        </w:rPr>
        <w:lastRenderedPageBreak/>
        <w:t>el desarrollo de sus funciones inherentes al cargo. Teniendo como consecuencia el aumento de la inseguridad.</w:t>
      </w:r>
    </w:p>
    <w:p w:rsidR="007C4247" w:rsidRPr="00D634D6" w:rsidRDefault="007C4247" w:rsidP="00D634D6">
      <w:pPr>
        <w:pStyle w:val="Prrafodelista"/>
        <w:spacing w:line="360" w:lineRule="auto"/>
        <w:ind w:left="567" w:right="567"/>
        <w:jc w:val="both"/>
        <w:rPr>
          <w:rFonts w:ascii="Palatino Linotype" w:hAnsi="Palatino Linotype"/>
          <w:color w:val="000000" w:themeColor="text1"/>
          <w:sz w:val="24"/>
        </w:rPr>
      </w:pPr>
    </w:p>
    <w:p w:rsidR="007C4247" w:rsidRPr="00D634D6" w:rsidRDefault="007C4247" w:rsidP="00D634D6">
      <w:pPr>
        <w:pStyle w:val="Prrafodelista"/>
        <w:spacing w:line="360" w:lineRule="auto"/>
        <w:ind w:left="567" w:right="567"/>
        <w:jc w:val="both"/>
        <w:rPr>
          <w:rFonts w:ascii="Palatino Linotype" w:hAnsi="Palatino Linotype"/>
          <w:color w:val="000000" w:themeColor="text1"/>
          <w:sz w:val="24"/>
        </w:rPr>
      </w:pPr>
      <w:r w:rsidRPr="00D634D6">
        <w:rPr>
          <w:rFonts w:ascii="Palatino Linotype" w:hAnsi="Palatino Linotype"/>
          <w:b/>
          <w:color w:val="000000" w:themeColor="text1"/>
          <w:sz w:val="24"/>
        </w:rPr>
        <w:t>Riesgo identificable</w:t>
      </w:r>
      <w:r w:rsidRPr="00D634D6">
        <w:rPr>
          <w:rFonts w:ascii="Palatino Linotype" w:hAnsi="Palatino Linotype"/>
          <w:color w:val="000000" w:themeColor="text1"/>
          <w:sz w:val="24"/>
        </w:rPr>
        <w:t>, La publicidad de este tipo de información, comprometería la capacidad de reacción de los elementos de policía, en consecuencia, incrementaría la inseguridad del Municipio. Al estar en desventaja con los grupos criminales. Asimismo, conocer las características técnicas de los vehículos policiales, sin duda pone en total riesgo la vida e integridad de los elementos y de la ciudadanía en general, pues se brinda la oportunidad de que se manufacturen vehículos operados por células criminales idénticos a los oficiales.</w:t>
      </w:r>
    </w:p>
    <w:p w:rsidR="007C4247" w:rsidRPr="00D634D6" w:rsidRDefault="007C4247"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7C4247" w:rsidRPr="00D634D6" w:rsidRDefault="007C4247" w:rsidP="00D634D6">
      <w:pPr>
        <w:pStyle w:val="Prrafodelista"/>
        <w:tabs>
          <w:tab w:val="left" w:pos="142"/>
          <w:tab w:val="left" w:pos="284"/>
          <w:tab w:val="left" w:pos="426"/>
        </w:tabs>
        <w:spacing w:line="360" w:lineRule="auto"/>
        <w:ind w:left="0"/>
        <w:jc w:val="both"/>
        <w:rPr>
          <w:rFonts w:ascii="Palatino Linotype" w:hAnsi="Palatino Linotype" w:cs="Arial"/>
          <w:b/>
          <w:sz w:val="24"/>
        </w:rPr>
      </w:pPr>
      <w:r w:rsidRPr="00D634D6">
        <w:rPr>
          <w:rFonts w:ascii="Palatino Linotype" w:hAnsi="Palatino Linotype" w:cs="Arial"/>
          <w:b/>
          <w:sz w:val="24"/>
        </w:rPr>
        <w:t>II. El riesgo de perjuicio que supondría la divulgación supera el interés público general de que se difunda:</w:t>
      </w:r>
    </w:p>
    <w:p w:rsidR="007C4247" w:rsidRPr="00D634D6" w:rsidRDefault="007C4247"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077EF1" w:rsidRPr="00D634D6" w:rsidRDefault="007C4247"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Identificado el riesgo, se debe demostrar que el mismo supera el interés público general porque se difunda dicha información.</w:t>
      </w:r>
    </w:p>
    <w:p w:rsidR="00077EF1" w:rsidRPr="00D634D6" w:rsidRDefault="00077EF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077EF1" w:rsidRPr="00D634D6" w:rsidRDefault="007C4247"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 xml:space="preserve">El derecho de acceso a la información encuentra su excepción en la clasificación de la información, cuando se actualice una hipótesis jurídica ya sea por confidencialidad o reserva. Los recurrentes ejercen su derecho de acceder a la información en posesión de los Sujetos Obligados para promover </w:t>
      </w:r>
      <w:r w:rsidRPr="00D634D6">
        <w:rPr>
          <w:rFonts w:ascii="Palatino Linotype" w:eastAsia="MS Gothic" w:hAnsi="Palatino Linotype" w:cs="Times New Roman"/>
          <w:sz w:val="24"/>
          <w:szCs w:val="26"/>
          <w:lang w:val="es-ES_tradnl"/>
        </w:rPr>
        <w:lastRenderedPageBreak/>
        <w:t>la transparencia y rendición de cuentas; no obstante, en cada caso es necesario verificar si la información puede ser proporcionada.</w:t>
      </w:r>
    </w:p>
    <w:p w:rsidR="00077EF1" w:rsidRPr="00D634D6" w:rsidRDefault="00077EF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077EF1" w:rsidRPr="00D634D6" w:rsidRDefault="007C4247"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 xml:space="preserve">En el caso en particular, el derecho del </w:t>
      </w:r>
      <w:r w:rsidRPr="00D634D6">
        <w:rPr>
          <w:rFonts w:ascii="Palatino Linotype" w:eastAsia="MS Gothic" w:hAnsi="Palatino Linotype" w:cs="Times New Roman"/>
          <w:b/>
          <w:sz w:val="24"/>
          <w:szCs w:val="26"/>
          <w:lang w:val="es-ES_tradnl"/>
        </w:rPr>
        <w:t>RECURRENTE</w:t>
      </w:r>
      <w:r w:rsidRPr="00D634D6">
        <w:rPr>
          <w:rFonts w:ascii="Palatino Linotype" w:eastAsia="MS Gothic" w:hAnsi="Palatino Linotype" w:cs="Times New Roman"/>
          <w:sz w:val="24"/>
          <w:szCs w:val="26"/>
          <w:lang w:val="es-ES_tradnl"/>
        </w:rPr>
        <w:t xml:space="preserve"> se basa primordialmente en conocer el uso y destino de los recursos públicos, es decir, conocer los bienes adquiridos, mediante la compra o renta, con recursos federales y locales y conocer a las personas, ya sea físicas o morales a las que se les entregaron los recursos.</w:t>
      </w:r>
    </w:p>
    <w:p w:rsidR="00077EF1" w:rsidRPr="00D634D6" w:rsidRDefault="00077EF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077EF1" w:rsidRPr="00D634D6" w:rsidRDefault="002A7A7D"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Entonces, la información que es susceptible de proporcionarse, son los conceptos y cantidades de los bienes adquiridos; personas físicas o morales adjudicadas; contratos, fechas de contratación, fechas de entrega de bienes, cuentas y claves, entre otra información, toda vez que esta información permite dilucidar a la perfección los actos de autoridad ejercidos por los Sujetos Obligados para la adquisición de bienes, así como para determinar los recursos que fueron asignados y ejercidos, así como también, permite conocer las personas físicas y/o morales que recibieron los recursos. Esto, en su conjunto, da cuenta de la transparencia y rendición de cuentas a la que están sujetos todos los sujetos obligados.</w:t>
      </w:r>
    </w:p>
    <w:p w:rsidR="00077EF1" w:rsidRPr="00D634D6" w:rsidRDefault="00077EF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077EF1" w:rsidRPr="00D634D6" w:rsidRDefault="002A7A7D"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 xml:space="preserve">No obstante, entre los documentos que se ordena entregar, puede existir información que cuente con características que superen el interés público de conocerse; tales como las características técnicas y especiales como puede ser, de manera enunciativa mas no limitativa, las características especiales de las </w:t>
      </w:r>
      <w:r w:rsidRPr="00D634D6">
        <w:rPr>
          <w:rFonts w:ascii="Palatino Linotype" w:eastAsia="MS Gothic" w:hAnsi="Palatino Linotype" w:cs="Times New Roman"/>
          <w:sz w:val="24"/>
          <w:szCs w:val="26"/>
          <w:lang w:val="es-ES_tradnl"/>
        </w:rPr>
        <w:lastRenderedPageBreak/>
        <w:t>patrullas y de los radios de comunicación, especificaciones de diseño de uniformes, tipo de armamento, calibre, y municiones, así como el nivel de blindaje de los chalecos antibalas y cualquier otra información que permita dar cuenta de la capacidad de reacción del área de seguridad y la protección de los policías.</w:t>
      </w:r>
    </w:p>
    <w:p w:rsidR="00077EF1" w:rsidRPr="00D634D6" w:rsidRDefault="00077EF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2A7A7D" w:rsidRPr="00D634D6" w:rsidRDefault="002A7A7D" w:rsidP="00D634D6">
      <w:pPr>
        <w:pStyle w:val="Prrafodelista"/>
        <w:tabs>
          <w:tab w:val="left" w:pos="142"/>
          <w:tab w:val="left" w:pos="284"/>
          <w:tab w:val="left" w:pos="426"/>
        </w:tabs>
        <w:spacing w:line="360" w:lineRule="auto"/>
        <w:ind w:left="0"/>
        <w:jc w:val="both"/>
        <w:rPr>
          <w:rFonts w:ascii="Palatino Linotype" w:hAnsi="Palatino Linotype" w:cs="Arial"/>
          <w:b/>
          <w:sz w:val="24"/>
        </w:rPr>
      </w:pPr>
      <w:r w:rsidRPr="00D634D6">
        <w:rPr>
          <w:rFonts w:ascii="Palatino Linotype" w:hAnsi="Palatino Linotype" w:cs="Arial"/>
          <w:b/>
          <w:sz w:val="24"/>
        </w:rPr>
        <w:t>III. La protección se adecua al principio de proporcionalidad y representa el medio menos restrictivo disponible para evitar el perjuicio.</w:t>
      </w:r>
    </w:p>
    <w:p w:rsidR="002A7A7D" w:rsidRPr="00D634D6" w:rsidRDefault="002A7A7D"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077EF1" w:rsidRPr="00D634D6" w:rsidRDefault="002A7A7D"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La limitación que se propone se adecua al principio de proporcionalidad, en tanto que la restricción ejercida al derecho del recurrente no es total ni excedente, toda vez que, como se ha dicho, el interés principal del derecho de acceso a la información se basa en conocer el uso y destino de los recursos públicos y los actos de autoridad que se realizan.</w:t>
      </w:r>
    </w:p>
    <w:p w:rsidR="00077EF1" w:rsidRPr="00D634D6" w:rsidRDefault="00077EF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077EF1" w:rsidRPr="00D634D6" w:rsidRDefault="002A7A7D"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La propuesta que se plantea es una versión pública, puesto que se adecua al principio de proporcionalidad y representa el medio menos restrictivo, pues deja a la vista la información de interés a la ciudadanía y no representa ningún riesgo a la seguridad pública, ni pone en riesgo la vida o integridad de los elementos de policía, sino por el contrario, beneficia a la transparencia y la rendición de cuentas.</w:t>
      </w:r>
    </w:p>
    <w:p w:rsidR="00077EF1" w:rsidRPr="00D634D6" w:rsidRDefault="00077EF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077EF1" w:rsidRPr="00D634D6" w:rsidRDefault="002A7A7D"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 xml:space="preserve">Con la versión pública se protegen dos bienes jurídicos, que son la seguridad pública y la vida e integridad de los policías. Además, la restricción </w:t>
      </w:r>
      <w:r w:rsidRPr="00D634D6">
        <w:rPr>
          <w:rFonts w:ascii="Palatino Linotype" w:eastAsia="MS Gothic" w:hAnsi="Palatino Linotype" w:cs="Times New Roman"/>
          <w:sz w:val="24"/>
          <w:szCs w:val="26"/>
          <w:lang w:val="es-ES_tradnl"/>
        </w:rPr>
        <w:lastRenderedPageBreak/>
        <w:t>encuentra su justificación en la tutela de dos bienes jurídicos que resultan relevantes y superan el interés de su publicidad.</w:t>
      </w:r>
    </w:p>
    <w:p w:rsidR="00077EF1" w:rsidRPr="00D634D6" w:rsidRDefault="00077EF1"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077EF1" w:rsidRPr="00D634D6" w:rsidRDefault="002A7A7D"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cs="Arial"/>
          <w:sz w:val="24"/>
        </w:rPr>
      </w:pPr>
      <w:r w:rsidRPr="00D634D6">
        <w:rPr>
          <w:rFonts w:ascii="Palatino Linotype" w:eastAsia="MS Gothic" w:hAnsi="Palatino Linotype" w:cs="Times New Roman"/>
          <w:sz w:val="24"/>
          <w:szCs w:val="26"/>
          <w:lang w:val="es-ES_tradnl"/>
        </w:rPr>
        <w:t xml:space="preserve">Entonces, una vez analizado lo anterior, el </w:t>
      </w:r>
      <w:r w:rsidRPr="00D634D6">
        <w:rPr>
          <w:rFonts w:ascii="Palatino Linotype" w:eastAsia="MS Gothic" w:hAnsi="Palatino Linotype" w:cs="Times New Roman"/>
          <w:b/>
          <w:sz w:val="24"/>
          <w:szCs w:val="26"/>
          <w:lang w:val="es-ES_tradnl"/>
        </w:rPr>
        <w:t>SUJETO OBLIGADO</w:t>
      </w:r>
      <w:r w:rsidRPr="00D634D6">
        <w:rPr>
          <w:rFonts w:ascii="Palatino Linotype" w:eastAsia="MS Gothic" w:hAnsi="Palatino Linotype" w:cs="Times New Roman"/>
          <w:sz w:val="24"/>
          <w:szCs w:val="26"/>
          <w:lang w:val="es-ES_tradnl"/>
        </w:rPr>
        <w:t xml:space="preserve"> deberá realizar las versiones públicas correspondientes, clasificando como reservada la información relativa a las especificaciones técnicas de los bienes adquiridos, como son las características especiales de las patrullas y de los radios de comunicación, detalles de diseño de uniformes, tipo de armamento, calibre, y municiones, así como el nivel de blindaje de los chalecos antibalas y cualquier otra información que permita dar cuenta de la capacidad de reacción del área de seguridad y la protección de los policías, dejando a la vista la demás información que es de interés al particular.</w:t>
      </w:r>
    </w:p>
    <w:p w:rsidR="005D5F67" w:rsidRPr="00D634D6" w:rsidRDefault="005D5F67" w:rsidP="00D634D6">
      <w:pPr>
        <w:pStyle w:val="Prrafodelista"/>
        <w:tabs>
          <w:tab w:val="left" w:pos="142"/>
          <w:tab w:val="left" w:pos="284"/>
          <w:tab w:val="left" w:pos="426"/>
        </w:tabs>
        <w:spacing w:line="360" w:lineRule="auto"/>
        <w:ind w:left="0"/>
        <w:jc w:val="both"/>
        <w:rPr>
          <w:rFonts w:ascii="Palatino Linotype" w:hAnsi="Palatino Linotype" w:cs="Arial"/>
          <w:sz w:val="24"/>
        </w:rPr>
      </w:pPr>
    </w:p>
    <w:p w:rsidR="00BE2C94" w:rsidRPr="00D634D6" w:rsidRDefault="00862AB1" w:rsidP="00D634D6">
      <w:pPr>
        <w:keepNext/>
        <w:keepLines/>
        <w:tabs>
          <w:tab w:val="left" w:pos="142"/>
          <w:tab w:val="left" w:pos="284"/>
        </w:tabs>
        <w:spacing w:line="360" w:lineRule="auto"/>
        <w:outlineLvl w:val="1"/>
        <w:rPr>
          <w:rFonts w:ascii="Palatino Linotype" w:hAnsi="Palatino Linotype"/>
          <w:b/>
          <w:sz w:val="24"/>
        </w:rPr>
      </w:pPr>
      <w:bookmarkStart w:id="34" w:name="_Toc34923440"/>
      <w:r w:rsidRPr="00D634D6">
        <w:rPr>
          <w:rFonts w:ascii="Palatino Linotype" w:eastAsia="MS Gothic" w:hAnsi="Palatino Linotype" w:cs="Times New Roman"/>
          <w:b/>
          <w:sz w:val="24"/>
          <w:szCs w:val="26"/>
        </w:rPr>
        <w:t>SEXTO</w:t>
      </w:r>
      <w:r w:rsidR="00390C2D" w:rsidRPr="00D634D6">
        <w:rPr>
          <w:rFonts w:ascii="Palatino Linotype" w:eastAsia="MS Gothic" w:hAnsi="Palatino Linotype" w:cs="Times New Roman"/>
          <w:b/>
          <w:sz w:val="24"/>
          <w:szCs w:val="26"/>
        </w:rPr>
        <w:t xml:space="preserve">. </w:t>
      </w:r>
      <w:bookmarkStart w:id="35" w:name="_Toc447183492"/>
      <w:bookmarkStart w:id="36" w:name="_Toc450120667"/>
      <w:bookmarkStart w:id="37" w:name="_Toc461555895"/>
      <w:bookmarkEnd w:id="15"/>
      <w:bookmarkEnd w:id="16"/>
      <w:bookmarkEnd w:id="17"/>
      <w:bookmarkEnd w:id="18"/>
      <w:bookmarkEnd w:id="19"/>
      <w:bookmarkEnd w:id="20"/>
      <w:r w:rsidR="00BE2C94" w:rsidRPr="00D634D6">
        <w:rPr>
          <w:rFonts w:ascii="Palatino Linotype" w:hAnsi="Palatino Linotype"/>
          <w:b/>
          <w:sz w:val="24"/>
        </w:rPr>
        <w:t>Vista al Órgano de Control Interno.</w:t>
      </w:r>
      <w:bookmarkEnd w:id="34"/>
    </w:p>
    <w:p w:rsidR="00BE2C94" w:rsidRPr="00D634D6" w:rsidRDefault="00BE2C94" w:rsidP="00D634D6">
      <w:pPr>
        <w:pStyle w:val="Prrafodelista"/>
        <w:tabs>
          <w:tab w:val="left" w:pos="142"/>
          <w:tab w:val="left" w:pos="284"/>
          <w:tab w:val="left" w:pos="426"/>
        </w:tabs>
        <w:spacing w:line="360" w:lineRule="auto"/>
        <w:ind w:left="0"/>
        <w:jc w:val="both"/>
        <w:rPr>
          <w:rFonts w:ascii="Palatino Linotype" w:hAnsi="Palatino Linotype"/>
          <w:sz w:val="24"/>
        </w:rPr>
      </w:pPr>
    </w:p>
    <w:p w:rsidR="002B4574" w:rsidRPr="00D634D6" w:rsidRDefault="00BE2C94"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sz w:val="24"/>
        </w:rPr>
      </w:pPr>
      <w:r w:rsidRPr="00D634D6">
        <w:rPr>
          <w:rFonts w:ascii="Palatino Linotype" w:hAnsi="Palatino Linotype"/>
          <w:sz w:val="24"/>
        </w:rPr>
        <w:t>E</w:t>
      </w:r>
      <w:r w:rsidR="002B4574" w:rsidRPr="00D634D6">
        <w:rPr>
          <w:rFonts w:ascii="Palatino Linotype" w:hAnsi="Palatino Linotype"/>
          <w:sz w:val="24"/>
        </w:rPr>
        <w:t xml:space="preserve">s </w:t>
      </w:r>
      <w:r w:rsidR="00AA2B54" w:rsidRPr="00D634D6">
        <w:rPr>
          <w:rFonts w:ascii="Palatino Linotype" w:eastAsia="MS Mincho" w:hAnsi="Palatino Linotype" w:cs="Times New Roman"/>
          <w:sz w:val="24"/>
        </w:rPr>
        <w:t xml:space="preserve">necesario resaltar que el recurso de revisión previsto en la Ley de la materia no es el medio para investigar y en su caso, sancionar a servidores públicos </w:t>
      </w:r>
      <w:r w:rsidR="00AA2B54" w:rsidRPr="00D634D6">
        <w:rPr>
          <w:rFonts w:ascii="Palatino Linotype" w:eastAsia="MS Mincho" w:hAnsi="Palatino Linotype" w:cs="Times New Roman"/>
          <w:b/>
          <w:sz w:val="24"/>
          <w:u w:val="single"/>
        </w:rPr>
        <w:t>por la omisión de la entrega de información pública y en la omisión de atención a la solicitud de información;</w:t>
      </w:r>
      <w:r w:rsidR="00AA2B54" w:rsidRPr="00D634D6">
        <w:rPr>
          <w:rFonts w:ascii="Palatino Linotype" w:eastAsia="MS Mincho" w:hAnsi="Palatino Linotype" w:cs="Times New Roman"/>
          <w:sz w:val="24"/>
        </w:rPr>
        <w:t xml:space="preserve"> sin embargo, dados los planteamientos </w:t>
      </w:r>
      <w:r w:rsidR="00F2176A" w:rsidRPr="00D634D6">
        <w:rPr>
          <w:rFonts w:ascii="Palatino Linotype" w:eastAsia="MS Mincho" w:hAnsi="Palatino Linotype" w:cs="Times New Roman"/>
          <w:sz w:val="24"/>
        </w:rPr>
        <w:t>expuestos a lo largo de la presente resolución</w:t>
      </w:r>
      <w:r w:rsidR="00CF6E37" w:rsidRPr="00D634D6">
        <w:rPr>
          <w:rFonts w:ascii="Palatino Linotype" w:eastAsia="MS Mincho" w:hAnsi="Palatino Linotype" w:cs="Times New Roman"/>
          <w:sz w:val="24"/>
        </w:rPr>
        <w:t xml:space="preserve"> y a través del recurso de revisión</w:t>
      </w:r>
      <w:r w:rsidR="00AA2B54" w:rsidRPr="00D634D6">
        <w:rPr>
          <w:rFonts w:ascii="Palatino Linotype" w:eastAsia="MS Mincho" w:hAnsi="Palatino Linotype" w:cs="Times New Roman"/>
          <w:sz w:val="24"/>
        </w:rPr>
        <w:t xml:space="preserve">, se dará vista al área competente para que en ejercicio de sus atribuciones realice las investigaciones pertinentes por las omisiones detectadas atribuibles al </w:t>
      </w:r>
      <w:r w:rsidR="00AA2B54" w:rsidRPr="00D634D6">
        <w:rPr>
          <w:rFonts w:ascii="Palatino Linotype" w:eastAsia="MS Mincho" w:hAnsi="Palatino Linotype" w:cs="Times New Roman"/>
          <w:b/>
          <w:sz w:val="24"/>
        </w:rPr>
        <w:t>SUJETO OBLIGADO</w:t>
      </w:r>
      <w:r w:rsidR="00AA2B54" w:rsidRPr="00D634D6">
        <w:rPr>
          <w:rFonts w:ascii="Palatino Linotype" w:eastAsia="MS Mincho" w:hAnsi="Palatino Linotype" w:cs="Times New Roman"/>
          <w:sz w:val="24"/>
        </w:rPr>
        <w:t>.</w:t>
      </w:r>
    </w:p>
    <w:p w:rsidR="00E30553" w:rsidRPr="00D634D6" w:rsidRDefault="00E30553" w:rsidP="00D634D6">
      <w:pPr>
        <w:pStyle w:val="Prrafodelista"/>
        <w:tabs>
          <w:tab w:val="left" w:pos="142"/>
          <w:tab w:val="left" w:pos="284"/>
          <w:tab w:val="left" w:pos="426"/>
        </w:tabs>
        <w:spacing w:line="360" w:lineRule="auto"/>
        <w:ind w:left="0"/>
        <w:jc w:val="both"/>
        <w:rPr>
          <w:rFonts w:ascii="Palatino Linotype" w:hAnsi="Palatino Linotype"/>
          <w:sz w:val="24"/>
        </w:rPr>
      </w:pPr>
    </w:p>
    <w:p w:rsidR="00277D13" w:rsidRDefault="002B4574"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Mincho" w:hAnsi="Palatino Linotype" w:cs="Times New Roman"/>
          <w:sz w:val="24"/>
        </w:rPr>
      </w:pPr>
      <w:r w:rsidRPr="00D634D6">
        <w:rPr>
          <w:rFonts w:ascii="Palatino Linotype" w:eastAsia="MS Mincho" w:hAnsi="Palatino Linotype" w:cs="Times New Roman"/>
          <w:sz w:val="24"/>
        </w:rPr>
        <w:lastRenderedPageBreak/>
        <w:t>Por ello</w:t>
      </w:r>
      <w:r w:rsidR="00277D13" w:rsidRPr="00D634D6">
        <w:rPr>
          <w:rFonts w:ascii="Palatino Linotype" w:eastAsia="MS Mincho" w:hAnsi="Palatino Linotype" w:cs="Times New Roman"/>
          <w:sz w:val="24"/>
        </w:rPr>
        <w:t>, es conveniente señalar la fracción X, del artículo 36, de la Ley de Transparencia y Acceso a la Información Pública del Estado de México y Municipios, que establece:</w:t>
      </w:r>
    </w:p>
    <w:p w:rsidR="00D634D6" w:rsidRPr="00D634D6" w:rsidRDefault="00D634D6" w:rsidP="00D634D6">
      <w:pPr>
        <w:pStyle w:val="Prrafodelista"/>
        <w:tabs>
          <w:tab w:val="left" w:pos="142"/>
          <w:tab w:val="left" w:pos="284"/>
          <w:tab w:val="left" w:pos="426"/>
        </w:tabs>
        <w:spacing w:line="360" w:lineRule="auto"/>
        <w:ind w:left="0"/>
        <w:jc w:val="both"/>
        <w:rPr>
          <w:rFonts w:ascii="Palatino Linotype" w:eastAsia="MS Mincho" w:hAnsi="Palatino Linotype" w:cs="Times New Roman"/>
          <w:sz w:val="24"/>
        </w:rPr>
      </w:pPr>
    </w:p>
    <w:p w:rsidR="00277D13" w:rsidRPr="00D634D6" w:rsidRDefault="00BE1A6D" w:rsidP="00D634D6">
      <w:pPr>
        <w:pStyle w:val="Sinespaciado"/>
        <w:spacing w:line="360" w:lineRule="auto"/>
        <w:ind w:left="567" w:right="567"/>
        <w:jc w:val="both"/>
        <w:rPr>
          <w:rFonts w:ascii="Palatino Linotype" w:eastAsia="MS Mincho" w:hAnsi="Palatino Linotype"/>
          <w:i/>
          <w:sz w:val="22"/>
        </w:rPr>
      </w:pPr>
      <w:r w:rsidRPr="00D634D6">
        <w:rPr>
          <w:rFonts w:ascii="Palatino Linotype" w:eastAsia="MS Mincho" w:hAnsi="Palatino Linotype"/>
          <w:i/>
          <w:sz w:val="22"/>
        </w:rPr>
        <w:t>“</w:t>
      </w:r>
      <w:r w:rsidR="00277D13" w:rsidRPr="00D634D6">
        <w:rPr>
          <w:rFonts w:ascii="Palatino Linotype" w:eastAsia="MS Mincho" w:hAnsi="Palatino Linotype"/>
          <w:b/>
          <w:i/>
          <w:sz w:val="22"/>
        </w:rPr>
        <w:t>Artículo 36.</w:t>
      </w:r>
      <w:r w:rsidR="00277D13" w:rsidRPr="00D634D6">
        <w:rPr>
          <w:rFonts w:ascii="Palatino Linotype" w:eastAsia="MS Mincho" w:hAnsi="Palatino Linotype"/>
          <w:i/>
          <w:sz w:val="22"/>
        </w:rPr>
        <w:t xml:space="preserve"> El Instituto tendrá, en el ámbito de su competencia, las siguientes atribuciones:</w:t>
      </w:r>
    </w:p>
    <w:p w:rsidR="00277D13" w:rsidRPr="00D634D6" w:rsidRDefault="00277D13" w:rsidP="00D634D6">
      <w:pPr>
        <w:pStyle w:val="Sinespaciado"/>
        <w:spacing w:line="360" w:lineRule="auto"/>
        <w:ind w:left="567" w:right="567"/>
        <w:jc w:val="both"/>
        <w:rPr>
          <w:rFonts w:ascii="Palatino Linotype" w:eastAsia="MS Mincho" w:hAnsi="Palatino Linotype"/>
          <w:i/>
          <w:sz w:val="22"/>
        </w:rPr>
      </w:pPr>
      <w:r w:rsidRPr="00D634D6">
        <w:rPr>
          <w:rFonts w:ascii="Palatino Linotype" w:eastAsia="MS Mincho" w:hAnsi="Palatino Linotype"/>
          <w:i/>
          <w:sz w:val="22"/>
        </w:rPr>
        <w:t>(…)</w:t>
      </w:r>
    </w:p>
    <w:p w:rsidR="00277D13" w:rsidRPr="00D634D6" w:rsidRDefault="00277D13" w:rsidP="00D634D6">
      <w:pPr>
        <w:pStyle w:val="Sinespaciado"/>
        <w:spacing w:line="360" w:lineRule="auto"/>
        <w:ind w:left="567" w:right="567"/>
        <w:jc w:val="both"/>
        <w:rPr>
          <w:rFonts w:ascii="Palatino Linotype" w:eastAsia="MS Mincho" w:hAnsi="Palatino Linotype"/>
          <w:i/>
          <w:sz w:val="22"/>
        </w:rPr>
      </w:pPr>
      <w:r w:rsidRPr="00D634D6">
        <w:rPr>
          <w:rFonts w:ascii="Palatino Linotype" w:eastAsia="MS Mincho" w:hAnsi="Palatino Linotype"/>
          <w:b/>
          <w:i/>
          <w:sz w:val="22"/>
        </w:rPr>
        <w:t>X.</w:t>
      </w:r>
      <w:r w:rsidRPr="00D634D6">
        <w:rPr>
          <w:rFonts w:ascii="Palatino Linotype" w:eastAsia="MS Mincho" w:hAnsi="Palatino Linotype"/>
          <w:i/>
          <w:sz w:val="22"/>
        </w:rPr>
        <w:t xml:space="preserve"> Hacer del conocimiento del órgano de control interno o equivalente de cada Sujeto Obligado las infracciones a esta Ley; </w:t>
      </w:r>
    </w:p>
    <w:p w:rsidR="00277D13" w:rsidRPr="00D634D6" w:rsidRDefault="00277D13" w:rsidP="00D634D6">
      <w:pPr>
        <w:pStyle w:val="Sinespaciado"/>
        <w:spacing w:line="360" w:lineRule="auto"/>
        <w:ind w:left="567" w:right="567"/>
        <w:jc w:val="both"/>
        <w:rPr>
          <w:rFonts w:ascii="Palatino Linotype" w:eastAsia="MS Mincho" w:hAnsi="Palatino Linotype"/>
          <w:i/>
          <w:sz w:val="22"/>
        </w:rPr>
      </w:pPr>
      <w:r w:rsidRPr="00D634D6">
        <w:rPr>
          <w:rFonts w:ascii="Palatino Linotype" w:eastAsia="MS Mincho" w:hAnsi="Palatino Linotype"/>
          <w:i/>
          <w:sz w:val="22"/>
        </w:rPr>
        <w:t>(…)</w:t>
      </w:r>
      <w:r w:rsidR="00BE1A6D" w:rsidRPr="00D634D6">
        <w:rPr>
          <w:rFonts w:ascii="Palatino Linotype" w:eastAsia="MS Mincho" w:hAnsi="Palatino Linotype"/>
          <w:i/>
          <w:sz w:val="22"/>
        </w:rPr>
        <w:t>”</w:t>
      </w:r>
    </w:p>
    <w:p w:rsidR="009B4FC2" w:rsidRPr="00D634D6" w:rsidRDefault="009B4FC2" w:rsidP="00D634D6">
      <w:pPr>
        <w:pStyle w:val="Sinespaciado"/>
        <w:spacing w:line="360" w:lineRule="auto"/>
        <w:ind w:left="567" w:right="567"/>
        <w:jc w:val="both"/>
        <w:rPr>
          <w:rFonts w:ascii="Palatino Linotype" w:eastAsia="MS Mincho" w:hAnsi="Palatino Linotype"/>
          <w:i/>
          <w:sz w:val="22"/>
        </w:rPr>
      </w:pPr>
    </w:p>
    <w:p w:rsidR="00277D13" w:rsidRPr="00D634D6" w:rsidRDefault="00277D13"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Mincho" w:hAnsi="Palatino Linotype" w:cs="Arial"/>
          <w:sz w:val="24"/>
        </w:rPr>
      </w:pPr>
      <w:r w:rsidRPr="00D634D6">
        <w:rPr>
          <w:rFonts w:ascii="Palatino Linotype" w:eastAsia="MS Mincho" w:hAnsi="Palatino Linotype" w:cs="Times New Roman"/>
          <w:sz w:val="24"/>
        </w:rPr>
        <w:t xml:space="preserve">Asimismo, </w:t>
      </w:r>
      <w:r w:rsidR="00AA2B54" w:rsidRPr="00D634D6">
        <w:rPr>
          <w:rFonts w:ascii="Palatino Linotype" w:eastAsia="MS Mincho" w:hAnsi="Palatino Linotype" w:cs="Times New Roman"/>
          <w:sz w:val="24"/>
        </w:rPr>
        <w:t xml:space="preserve">este Pleno hará del conocimiento del </w:t>
      </w:r>
      <w:r w:rsidR="00F2176A" w:rsidRPr="00D634D6">
        <w:rPr>
          <w:rFonts w:ascii="Palatino Linotype" w:eastAsia="MS Mincho" w:hAnsi="Palatino Linotype" w:cs="Times New Roman"/>
          <w:sz w:val="24"/>
        </w:rPr>
        <w:t xml:space="preserve">Órgano </w:t>
      </w:r>
      <w:r w:rsidR="00AA2B54" w:rsidRPr="00D634D6">
        <w:rPr>
          <w:rFonts w:ascii="Palatino Linotype" w:eastAsia="MS Mincho" w:hAnsi="Palatino Linotype" w:cs="Times New Roman"/>
          <w:sz w:val="24"/>
        </w:rPr>
        <w:t xml:space="preserve">de </w:t>
      </w:r>
      <w:r w:rsidR="00F2176A" w:rsidRPr="00D634D6">
        <w:rPr>
          <w:rFonts w:ascii="Palatino Linotype" w:eastAsia="MS Mincho" w:hAnsi="Palatino Linotype" w:cs="Times New Roman"/>
          <w:sz w:val="24"/>
        </w:rPr>
        <w:t xml:space="preserve">Control </w:t>
      </w:r>
      <w:r w:rsidR="00AA2B54" w:rsidRPr="00D634D6">
        <w:rPr>
          <w:rFonts w:ascii="Palatino Linotype" w:eastAsia="MS Mincho" w:hAnsi="Palatino Linotype" w:cs="Times New Roman"/>
          <w:sz w:val="24"/>
        </w:rPr>
        <w:t xml:space="preserve">de este Instituto de las infracciones en que el </w:t>
      </w:r>
      <w:r w:rsidR="00F2176A" w:rsidRPr="00D634D6">
        <w:rPr>
          <w:rFonts w:ascii="Palatino Linotype" w:eastAsia="MS Mincho" w:hAnsi="Palatino Linotype" w:cs="Times New Roman"/>
          <w:b/>
          <w:sz w:val="24"/>
        </w:rPr>
        <w:t>SUJETO OBLIGADO</w:t>
      </w:r>
      <w:r w:rsidR="00F2176A" w:rsidRPr="00D634D6">
        <w:rPr>
          <w:rFonts w:ascii="Palatino Linotype" w:eastAsia="MS Mincho" w:hAnsi="Palatino Linotype" w:cs="Times New Roman"/>
          <w:sz w:val="24"/>
        </w:rPr>
        <w:t xml:space="preserve"> </w:t>
      </w:r>
      <w:r w:rsidR="00AA2B54" w:rsidRPr="00D634D6">
        <w:rPr>
          <w:rFonts w:ascii="Palatino Linotype" w:eastAsia="MS Mincho" w:hAnsi="Palatino Linotype" w:cs="Times New Roman"/>
          <w:sz w:val="24"/>
        </w:rPr>
        <w:t>incurrió, toda vez que la naturaleza de investigar y sancionar corresponde a un ente distinto a éste</w:t>
      </w:r>
      <w:r w:rsidR="00F2176A" w:rsidRPr="00D634D6">
        <w:rPr>
          <w:rFonts w:ascii="Palatino Linotype" w:eastAsia="MS Mincho" w:hAnsi="Palatino Linotype" w:cs="Times New Roman"/>
          <w:sz w:val="24"/>
        </w:rPr>
        <w:t>,</w:t>
      </w:r>
      <w:r w:rsidR="00AA2B54" w:rsidRPr="00D634D6">
        <w:rPr>
          <w:rFonts w:ascii="Palatino Linotype" w:eastAsia="MS Mincho" w:hAnsi="Palatino Linotype" w:cs="Times New Roman"/>
          <w:sz w:val="24"/>
        </w:rPr>
        <w:t xml:space="preserve"> a través de un procedimiento diferente al recurso de revisión, lo cual se encuentra previsto en la Ley de Transparencia Acceso a la Información Pública del Estado de México y Municipios específicamente en sus artículos 190, 222 y 223 que señalan lo siguiente:</w:t>
      </w:r>
    </w:p>
    <w:p w:rsidR="00D634D6" w:rsidRPr="00D634D6" w:rsidRDefault="00D634D6" w:rsidP="00D634D6">
      <w:pPr>
        <w:pStyle w:val="Prrafodelista"/>
        <w:tabs>
          <w:tab w:val="left" w:pos="142"/>
          <w:tab w:val="left" w:pos="284"/>
          <w:tab w:val="left" w:pos="426"/>
        </w:tabs>
        <w:spacing w:line="360" w:lineRule="auto"/>
        <w:ind w:left="0"/>
        <w:jc w:val="both"/>
        <w:rPr>
          <w:rFonts w:ascii="Palatino Linotype" w:eastAsia="MS Mincho" w:hAnsi="Palatino Linotype" w:cs="Arial"/>
          <w:sz w:val="24"/>
        </w:rPr>
      </w:pPr>
    </w:p>
    <w:p w:rsidR="00AA2B54" w:rsidRPr="00D634D6" w:rsidRDefault="00B22768" w:rsidP="00D634D6">
      <w:pPr>
        <w:pStyle w:val="Sinespaciado"/>
        <w:spacing w:line="360" w:lineRule="auto"/>
        <w:ind w:left="567" w:right="567"/>
        <w:jc w:val="both"/>
        <w:rPr>
          <w:rFonts w:ascii="Palatino Linotype" w:eastAsia="MS Mincho" w:hAnsi="Palatino Linotype"/>
          <w:b/>
          <w:i/>
          <w:sz w:val="22"/>
          <w:szCs w:val="22"/>
        </w:rPr>
      </w:pPr>
      <w:r w:rsidRPr="00D634D6">
        <w:rPr>
          <w:rFonts w:ascii="Palatino Linotype" w:eastAsia="MS Mincho" w:hAnsi="Palatino Linotype"/>
          <w:i/>
          <w:sz w:val="22"/>
          <w:szCs w:val="22"/>
        </w:rPr>
        <w:t>“</w:t>
      </w:r>
      <w:r w:rsidR="00AA2B54" w:rsidRPr="00D634D6">
        <w:rPr>
          <w:rFonts w:ascii="Palatino Linotype" w:eastAsia="MS Mincho" w:hAnsi="Palatino Linotype" w:cs="Times New Roman"/>
          <w:b/>
          <w:i/>
          <w:sz w:val="22"/>
          <w:szCs w:val="22"/>
        </w:rPr>
        <w:t>Artículo 190.</w:t>
      </w:r>
      <w:r w:rsidR="00AA2B54" w:rsidRPr="00D634D6">
        <w:rPr>
          <w:rFonts w:ascii="Palatino Linotype" w:eastAsia="MS Mincho" w:hAnsi="Palatino Linotype" w:cs="Times New Roman"/>
          <w:i/>
          <w:sz w:val="22"/>
          <w:szCs w:val="22"/>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77D13" w:rsidRPr="00D634D6" w:rsidRDefault="00277D13" w:rsidP="00D634D6">
      <w:pPr>
        <w:pStyle w:val="Sinespaciado"/>
        <w:spacing w:line="360" w:lineRule="auto"/>
        <w:ind w:left="567" w:right="567"/>
        <w:jc w:val="both"/>
        <w:rPr>
          <w:rFonts w:ascii="Palatino Linotype" w:eastAsia="MS Mincho" w:hAnsi="Palatino Linotype"/>
          <w:i/>
          <w:sz w:val="22"/>
          <w:szCs w:val="22"/>
        </w:rPr>
      </w:pPr>
      <w:r w:rsidRPr="00D634D6">
        <w:rPr>
          <w:rFonts w:ascii="Palatino Linotype" w:eastAsia="MS Mincho" w:hAnsi="Palatino Linotype"/>
          <w:b/>
          <w:i/>
          <w:sz w:val="22"/>
          <w:szCs w:val="22"/>
        </w:rPr>
        <w:lastRenderedPageBreak/>
        <w:t>Artículo 222.</w:t>
      </w:r>
      <w:r w:rsidRPr="00D634D6">
        <w:rPr>
          <w:rFonts w:ascii="Palatino Linotype" w:eastAsia="MS Mincho" w:hAnsi="Palatino Linotype"/>
          <w:i/>
          <w:sz w:val="22"/>
          <w:szCs w:val="22"/>
        </w:rPr>
        <w:t xml:space="preserve"> Son causas de responsabilidad administrativa de los servidores públicos de los sujetos obligados, por incumplimiento de las obligaciones establecidas en la materia de la presente Ley, las siguientes:</w:t>
      </w:r>
    </w:p>
    <w:p w:rsidR="00277D13" w:rsidRPr="00D634D6" w:rsidRDefault="00B22768" w:rsidP="00D634D6">
      <w:pPr>
        <w:pStyle w:val="Sinespaciado"/>
        <w:spacing w:line="360" w:lineRule="auto"/>
        <w:ind w:left="567" w:right="567"/>
        <w:jc w:val="both"/>
        <w:rPr>
          <w:rFonts w:ascii="Palatino Linotype" w:eastAsia="MS Mincho" w:hAnsi="Palatino Linotype"/>
          <w:i/>
          <w:sz w:val="22"/>
          <w:szCs w:val="22"/>
        </w:rPr>
      </w:pPr>
      <w:r w:rsidRPr="00D634D6">
        <w:rPr>
          <w:rFonts w:ascii="Palatino Linotype" w:eastAsia="MS Mincho" w:hAnsi="Palatino Linotype"/>
          <w:i/>
          <w:sz w:val="22"/>
          <w:szCs w:val="22"/>
        </w:rPr>
        <w:t>(</w:t>
      </w:r>
      <w:r w:rsidR="00277D13" w:rsidRPr="00D634D6">
        <w:rPr>
          <w:rFonts w:ascii="Palatino Linotype" w:eastAsia="MS Mincho" w:hAnsi="Palatino Linotype"/>
          <w:i/>
          <w:sz w:val="22"/>
          <w:szCs w:val="22"/>
        </w:rPr>
        <w:t>…</w:t>
      </w:r>
      <w:r w:rsidRPr="00D634D6">
        <w:rPr>
          <w:rFonts w:ascii="Palatino Linotype" w:eastAsia="MS Mincho" w:hAnsi="Palatino Linotype"/>
          <w:i/>
          <w:sz w:val="22"/>
          <w:szCs w:val="22"/>
        </w:rPr>
        <w:t>(</w:t>
      </w:r>
    </w:p>
    <w:p w:rsidR="00277D13" w:rsidRPr="00D634D6" w:rsidRDefault="00277D13" w:rsidP="00D634D6">
      <w:pPr>
        <w:pStyle w:val="Sinespaciado"/>
        <w:spacing w:line="360" w:lineRule="auto"/>
        <w:ind w:left="567" w:right="567"/>
        <w:jc w:val="both"/>
        <w:rPr>
          <w:rFonts w:ascii="Palatino Linotype" w:eastAsia="MS Mincho" w:hAnsi="Palatino Linotype"/>
          <w:b/>
          <w:i/>
          <w:sz w:val="22"/>
          <w:szCs w:val="22"/>
        </w:rPr>
      </w:pPr>
      <w:r w:rsidRPr="00D634D6">
        <w:rPr>
          <w:rFonts w:ascii="Palatino Linotype" w:eastAsia="MS Mincho" w:hAnsi="Palatino Linotype"/>
          <w:b/>
          <w:i/>
          <w:sz w:val="22"/>
          <w:szCs w:val="22"/>
        </w:rPr>
        <w:t xml:space="preserve">I. Cualquier acto u </w:t>
      </w:r>
      <w:r w:rsidRPr="00D634D6">
        <w:rPr>
          <w:rFonts w:ascii="Palatino Linotype" w:eastAsia="MS Mincho" w:hAnsi="Palatino Linotype"/>
          <w:b/>
          <w:i/>
          <w:sz w:val="22"/>
          <w:szCs w:val="22"/>
          <w:u w:val="single"/>
        </w:rPr>
        <w:t>omisión</w:t>
      </w:r>
      <w:r w:rsidRPr="00D634D6">
        <w:rPr>
          <w:rFonts w:ascii="Palatino Linotype" w:eastAsia="MS Mincho" w:hAnsi="Palatino Linotype"/>
          <w:b/>
          <w:i/>
          <w:sz w:val="22"/>
          <w:szCs w:val="22"/>
        </w:rPr>
        <w:t xml:space="preserve"> que provoque la suspensión o deficiencia en la atención de las solicitudes de información;</w:t>
      </w:r>
    </w:p>
    <w:p w:rsidR="00277D13" w:rsidRPr="00D634D6" w:rsidRDefault="00277D13" w:rsidP="00D634D6">
      <w:pPr>
        <w:pStyle w:val="Sinespaciado"/>
        <w:spacing w:line="360" w:lineRule="auto"/>
        <w:ind w:left="567" w:right="567"/>
        <w:jc w:val="both"/>
        <w:rPr>
          <w:rFonts w:ascii="Palatino Linotype" w:eastAsia="MS Mincho" w:hAnsi="Palatino Linotype"/>
          <w:i/>
          <w:sz w:val="22"/>
          <w:szCs w:val="22"/>
        </w:rPr>
      </w:pPr>
      <w:r w:rsidRPr="00D634D6">
        <w:rPr>
          <w:rFonts w:ascii="Palatino Linotype" w:eastAsia="MS Mincho" w:hAnsi="Palatino Linotype"/>
          <w:b/>
          <w:i/>
          <w:sz w:val="22"/>
          <w:szCs w:val="22"/>
          <w:u w:val="single"/>
        </w:rPr>
        <w:t>II. La falta de respuesta a las solicitudes de información en los plazos señalados en la normatividad aplicable</w:t>
      </w:r>
      <w:r w:rsidRPr="00D634D6">
        <w:rPr>
          <w:rFonts w:ascii="Palatino Linotype" w:eastAsia="MS Mincho" w:hAnsi="Palatino Linotype"/>
          <w:i/>
          <w:sz w:val="22"/>
          <w:szCs w:val="22"/>
        </w:rPr>
        <w:t>;</w:t>
      </w:r>
    </w:p>
    <w:p w:rsidR="00277D13" w:rsidRPr="00D634D6" w:rsidRDefault="00B22768" w:rsidP="00D634D6">
      <w:pPr>
        <w:pStyle w:val="Sinespaciado"/>
        <w:spacing w:line="360" w:lineRule="auto"/>
        <w:ind w:left="567" w:right="567"/>
        <w:jc w:val="both"/>
        <w:rPr>
          <w:rFonts w:ascii="Palatino Linotype" w:eastAsia="MS Mincho" w:hAnsi="Palatino Linotype"/>
          <w:i/>
          <w:sz w:val="22"/>
          <w:szCs w:val="22"/>
        </w:rPr>
      </w:pPr>
      <w:r w:rsidRPr="00D634D6">
        <w:rPr>
          <w:rFonts w:ascii="Palatino Linotype" w:eastAsia="MS Mincho" w:hAnsi="Palatino Linotype"/>
          <w:i/>
          <w:sz w:val="22"/>
          <w:szCs w:val="22"/>
        </w:rPr>
        <w:t>(</w:t>
      </w:r>
      <w:r w:rsidR="00277D13" w:rsidRPr="00D634D6">
        <w:rPr>
          <w:rFonts w:ascii="Palatino Linotype" w:eastAsia="MS Mincho" w:hAnsi="Palatino Linotype"/>
          <w:i/>
          <w:sz w:val="22"/>
          <w:szCs w:val="22"/>
        </w:rPr>
        <w:t>…</w:t>
      </w:r>
      <w:r w:rsidRPr="00D634D6">
        <w:rPr>
          <w:rFonts w:ascii="Palatino Linotype" w:eastAsia="MS Mincho" w:hAnsi="Palatino Linotype"/>
          <w:i/>
          <w:sz w:val="22"/>
          <w:szCs w:val="22"/>
        </w:rPr>
        <w:t>)</w:t>
      </w:r>
    </w:p>
    <w:p w:rsidR="00B22768" w:rsidRPr="00D634D6" w:rsidRDefault="00B22768" w:rsidP="00D634D6">
      <w:pPr>
        <w:pStyle w:val="Sinespaciado"/>
        <w:spacing w:line="360" w:lineRule="auto"/>
        <w:ind w:left="567" w:right="567"/>
        <w:jc w:val="both"/>
        <w:rPr>
          <w:rFonts w:ascii="Palatino Linotype" w:eastAsia="MS Mincho" w:hAnsi="Palatino Linotype"/>
          <w:i/>
          <w:sz w:val="22"/>
          <w:szCs w:val="22"/>
        </w:rPr>
      </w:pPr>
    </w:p>
    <w:p w:rsidR="00277D13" w:rsidRPr="00D634D6" w:rsidRDefault="00277D13" w:rsidP="00D634D6">
      <w:pPr>
        <w:pStyle w:val="Sinespaciado"/>
        <w:spacing w:line="360" w:lineRule="auto"/>
        <w:ind w:left="567" w:right="567"/>
        <w:jc w:val="both"/>
        <w:rPr>
          <w:rFonts w:ascii="Palatino Linotype" w:eastAsia="MS Mincho" w:hAnsi="Palatino Linotype"/>
          <w:i/>
          <w:sz w:val="22"/>
          <w:szCs w:val="22"/>
        </w:rPr>
      </w:pPr>
      <w:r w:rsidRPr="00D634D6">
        <w:rPr>
          <w:rFonts w:ascii="Palatino Linotype" w:eastAsia="MS Mincho" w:hAnsi="Palatino Linotype"/>
          <w:b/>
          <w:i/>
          <w:sz w:val="22"/>
          <w:szCs w:val="22"/>
        </w:rPr>
        <w:t>Artículo 223.</w:t>
      </w:r>
      <w:r w:rsidRPr="00D634D6">
        <w:rPr>
          <w:rFonts w:ascii="Palatino Linotype" w:eastAsia="MS Mincho" w:hAnsi="Palatino Linotype"/>
          <w:i/>
          <w:sz w:val="22"/>
          <w:szCs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277D13" w:rsidRPr="00D634D6" w:rsidRDefault="00B22768" w:rsidP="00D634D6">
      <w:pPr>
        <w:pStyle w:val="Sinespaciado"/>
        <w:spacing w:line="360" w:lineRule="auto"/>
        <w:ind w:left="567" w:right="567"/>
        <w:jc w:val="both"/>
        <w:rPr>
          <w:rFonts w:ascii="Palatino Linotype" w:eastAsia="MS Mincho" w:hAnsi="Palatino Linotype"/>
          <w:i/>
          <w:sz w:val="22"/>
          <w:szCs w:val="22"/>
        </w:rPr>
      </w:pPr>
      <w:r w:rsidRPr="00D634D6">
        <w:rPr>
          <w:rFonts w:ascii="Palatino Linotype" w:eastAsia="MS Mincho" w:hAnsi="Palatino Linotype"/>
          <w:i/>
          <w:sz w:val="22"/>
          <w:szCs w:val="22"/>
        </w:rPr>
        <w:t>(</w:t>
      </w:r>
      <w:r w:rsidR="00277D13" w:rsidRPr="00D634D6">
        <w:rPr>
          <w:rFonts w:ascii="Palatino Linotype" w:eastAsia="MS Mincho" w:hAnsi="Palatino Linotype"/>
          <w:i/>
          <w:sz w:val="22"/>
          <w:szCs w:val="22"/>
        </w:rPr>
        <w:t>…</w:t>
      </w:r>
      <w:r w:rsidRPr="00D634D6">
        <w:rPr>
          <w:rFonts w:ascii="Palatino Linotype" w:eastAsia="MS Mincho" w:hAnsi="Palatino Linotype"/>
          <w:i/>
          <w:sz w:val="22"/>
          <w:szCs w:val="22"/>
        </w:rPr>
        <w:t>)”</w:t>
      </w:r>
    </w:p>
    <w:p w:rsidR="009B4FC2" w:rsidRPr="00D634D6" w:rsidRDefault="009B4FC2" w:rsidP="00D634D6">
      <w:pPr>
        <w:pStyle w:val="Sinespaciado"/>
        <w:spacing w:line="360" w:lineRule="auto"/>
        <w:ind w:left="567" w:right="567"/>
        <w:jc w:val="both"/>
        <w:rPr>
          <w:rFonts w:ascii="Palatino Linotype" w:eastAsia="MS Mincho" w:hAnsi="Palatino Linotype"/>
          <w:sz w:val="22"/>
          <w:szCs w:val="22"/>
        </w:rPr>
      </w:pPr>
      <w:r w:rsidRPr="00D634D6">
        <w:rPr>
          <w:rFonts w:ascii="Palatino Linotype" w:eastAsia="MS Mincho" w:hAnsi="Palatino Linotype"/>
          <w:sz w:val="22"/>
          <w:szCs w:val="22"/>
        </w:rPr>
        <w:t>(Énfasis añadido)</w:t>
      </w:r>
    </w:p>
    <w:p w:rsidR="009B4FC2" w:rsidRPr="00D634D6" w:rsidRDefault="009B4FC2" w:rsidP="00D634D6">
      <w:pPr>
        <w:pStyle w:val="Sinespaciado"/>
        <w:spacing w:line="360" w:lineRule="auto"/>
        <w:ind w:left="851" w:right="567"/>
        <w:jc w:val="both"/>
        <w:rPr>
          <w:rFonts w:ascii="Palatino Linotype" w:eastAsia="MS Mincho" w:hAnsi="Palatino Linotype"/>
          <w:sz w:val="22"/>
        </w:rPr>
      </w:pPr>
    </w:p>
    <w:p w:rsidR="00277D13" w:rsidRPr="00D634D6" w:rsidRDefault="001F48F8"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sz w:val="24"/>
          <w:szCs w:val="24"/>
        </w:rPr>
      </w:pPr>
      <w:r w:rsidRPr="00D634D6">
        <w:rPr>
          <w:rFonts w:ascii="Palatino Linotype" w:eastAsia="Calibri" w:hAnsi="Palatino Linotype" w:cs="Arial"/>
          <w:color w:val="000000"/>
          <w:sz w:val="24"/>
          <w:szCs w:val="24"/>
          <w:lang w:val="es-ES" w:eastAsia="es-MX"/>
        </w:rPr>
        <w:t xml:space="preserve">Así las cosas, del análisis realizado a las constancias de autos que obran en el expediente digital del recurso de revisión indicado al rubro, se aprecia que la Unidad de Transparencia del </w:t>
      </w:r>
      <w:r w:rsidRPr="00D634D6">
        <w:rPr>
          <w:rFonts w:ascii="Palatino Linotype" w:eastAsia="Calibri" w:hAnsi="Palatino Linotype" w:cs="Arial"/>
          <w:b/>
          <w:color w:val="000000"/>
          <w:sz w:val="24"/>
          <w:szCs w:val="24"/>
          <w:lang w:val="es-ES" w:eastAsia="es-MX"/>
        </w:rPr>
        <w:t>SUJETO OBLIGADO</w:t>
      </w:r>
      <w:r w:rsidRPr="00D634D6">
        <w:rPr>
          <w:rFonts w:ascii="Palatino Linotype" w:eastAsia="Calibri" w:hAnsi="Palatino Linotype" w:cs="Arial"/>
          <w:color w:val="000000"/>
          <w:sz w:val="24"/>
          <w:szCs w:val="24"/>
          <w:lang w:val="es-ES" w:eastAsia="es-MX"/>
        </w:rPr>
        <w:t xml:space="preserve"> recibió y turnó la solicitud de información, empero, no hubo respuesta posterior ni de la Unidad de Transparencia ni del área administrativa competente, como muestran las siguientes capturas de pantalla:</w:t>
      </w:r>
    </w:p>
    <w:p w:rsidR="001F48F8" w:rsidRPr="00D634D6" w:rsidRDefault="001F48F8" w:rsidP="00D634D6">
      <w:pPr>
        <w:pStyle w:val="Prrafodelista"/>
        <w:tabs>
          <w:tab w:val="left" w:pos="142"/>
          <w:tab w:val="left" w:pos="284"/>
          <w:tab w:val="left" w:pos="426"/>
        </w:tabs>
        <w:spacing w:line="360" w:lineRule="auto"/>
        <w:ind w:left="0"/>
        <w:jc w:val="both"/>
        <w:rPr>
          <w:rFonts w:ascii="Palatino Linotype" w:hAnsi="Palatino Linotype"/>
          <w:sz w:val="24"/>
          <w:szCs w:val="24"/>
        </w:rPr>
      </w:pPr>
    </w:p>
    <w:p w:rsidR="002B1DA8" w:rsidRPr="00D634D6" w:rsidRDefault="0073388B" w:rsidP="00D634D6">
      <w:pPr>
        <w:pStyle w:val="Prrafodelista"/>
        <w:tabs>
          <w:tab w:val="left" w:pos="142"/>
          <w:tab w:val="left" w:pos="284"/>
          <w:tab w:val="left" w:pos="426"/>
        </w:tabs>
        <w:spacing w:line="360" w:lineRule="auto"/>
        <w:ind w:left="0"/>
        <w:jc w:val="center"/>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extent cx="4489517" cy="2052008"/>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0-05-10 a la(s) 0.19.45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68878" cy="2133988"/>
                    </a:xfrm>
                    <a:prstGeom prst="rect">
                      <a:avLst/>
                    </a:prstGeom>
                  </pic:spPr>
                </pic:pic>
              </a:graphicData>
            </a:graphic>
          </wp:inline>
        </w:drawing>
      </w:r>
    </w:p>
    <w:p w:rsidR="00CF6E37" w:rsidRPr="00D634D6" w:rsidRDefault="00CF6E37" w:rsidP="00D634D6">
      <w:pPr>
        <w:pStyle w:val="Prrafodelista"/>
        <w:tabs>
          <w:tab w:val="left" w:pos="142"/>
          <w:tab w:val="left" w:pos="284"/>
          <w:tab w:val="left" w:pos="426"/>
        </w:tabs>
        <w:spacing w:line="360" w:lineRule="auto"/>
        <w:ind w:left="0"/>
        <w:jc w:val="center"/>
        <w:rPr>
          <w:rFonts w:ascii="Palatino Linotype" w:hAnsi="Palatino Linotype"/>
          <w:sz w:val="24"/>
          <w:szCs w:val="24"/>
        </w:rPr>
      </w:pPr>
      <w:r w:rsidRPr="00D634D6">
        <w:rPr>
          <w:rFonts w:ascii="Palatino Linotype" w:hAnsi="Palatino Linotype"/>
          <w:noProof/>
          <w:sz w:val="24"/>
          <w:szCs w:val="24"/>
          <w:lang w:eastAsia="es-MX"/>
        </w:rPr>
        <w:drawing>
          <wp:inline distT="0" distB="0" distL="0" distR="0" wp14:anchorId="25B284CE" wp14:editId="4C9DAB53">
            <wp:extent cx="4419600" cy="913007"/>
            <wp:effectExtent l="57150" t="57150" r="114300" b="1162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2740" cy="92191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F48F8" w:rsidRPr="00D634D6" w:rsidRDefault="001F48F8" w:rsidP="00D634D6">
      <w:pPr>
        <w:pStyle w:val="Prrafodelista"/>
        <w:tabs>
          <w:tab w:val="left" w:pos="142"/>
          <w:tab w:val="left" w:pos="284"/>
          <w:tab w:val="left" w:pos="426"/>
        </w:tabs>
        <w:spacing w:line="360" w:lineRule="auto"/>
        <w:ind w:left="0"/>
        <w:jc w:val="both"/>
        <w:rPr>
          <w:rFonts w:ascii="Palatino Linotype" w:hAnsi="Palatino Linotype"/>
          <w:sz w:val="24"/>
          <w:szCs w:val="24"/>
        </w:rPr>
      </w:pPr>
    </w:p>
    <w:p w:rsidR="001F48F8" w:rsidRPr="00D634D6" w:rsidRDefault="001F48F8"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sz w:val="24"/>
          <w:szCs w:val="24"/>
        </w:rPr>
      </w:pPr>
      <w:r w:rsidRPr="00D634D6">
        <w:rPr>
          <w:rFonts w:ascii="Palatino Linotype" w:eastAsia="Calibri" w:hAnsi="Palatino Linotype" w:cs="Arial"/>
          <w:color w:val="000000"/>
          <w:sz w:val="24"/>
          <w:szCs w:val="24"/>
          <w:lang w:val="es-ES" w:eastAsia="es-MX"/>
        </w:rPr>
        <w:t>Por lo que es menester en este asunto, 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451617" w:rsidRPr="00D634D6" w:rsidRDefault="00451617" w:rsidP="00D634D6">
      <w:pPr>
        <w:pStyle w:val="Prrafodelista"/>
        <w:tabs>
          <w:tab w:val="left" w:pos="142"/>
          <w:tab w:val="left" w:pos="284"/>
        </w:tabs>
        <w:spacing w:line="360" w:lineRule="auto"/>
        <w:ind w:left="0"/>
        <w:rPr>
          <w:rFonts w:ascii="Palatino Linotype" w:hAnsi="Palatino Linotype"/>
          <w:sz w:val="24"/>
          <w:szCs w:val="24"/>
          <w:lang w:val="es-ES"/>
        </w:rPr>
      </w:pPr>
    </w:p>
    <w:p w:rsidR="003A6589" w:rsidRPr="00D634D6" w:rsidRDefault="00AA2B54" w:rsidP="00D634D6">
      <w:pPr>
        <w:pStyle w:val="Prrafodelista"/>
        <w:numPr>
          <w:ilvl w:val="0"/>
          <w:numId w:val="2"/>
        </w:numPr>
        <w:tabs>
          <w:tab w:val="left" w:pos="142"/>
          <w:tab w:val="left" w:pos="284"/>
          <w:tab w:val="left" w:pos="426"/>
        </w:tabs>
        <w:spacing w:line="360" w:lineRule="auto"/>
        <w:ind w:left="0" w:firstLine="0"/>
        <w:jc w:val="both"/>
        <w:rPr>
          <w:rFonts w:ascii="Palatino Linotype" w:hAnsi="Palatino Linotype"/>
          <w:sz w:val="24"/>
          <w:szCs w:val="24"/>
        </w:rPr>
      </w:pPr>
      <w:r w:rsidRPr="00D634D6">
        <w:rPr>
          <w:rFonts w:ascii="Palatino Linotype" w:eastAsia="MS Mincho" w:hAnsi="Palatino Linotype" w:cs="Times New Roman"/>
          <w:sz w:val="24"/>
          <w:szCs w:val="24"/>
        </w:rPr>
        <w:lastRenderedPageBreak/>
        <w:t>Consecuentemente</w:t>
      </w:r>
      <w:r w:rsidRPr="00D634D6">
        <w:rPr>
          <w:rFonts w:ascii="Palatino Linotype" w:eastAsia="MS Mincho" w:hAnsi="Palatino Linotype" w:cs="Arial"/>
          <w:color w:val="000000"/>
          <w:sz w:val="24"/>
          <w:szCs w:val="24"/>
        </w:rPr>
        <w:t>, en términos del artículo 179 fracción VII</w:t>
      </w:r>
      <w:r w:rsidR="001F48F8" w:rsidRPr="00D634D6">
        <w:rPr>
          <w:rFonts w:ascii="Palatino Linotype" w:eastAsia="MS Mincho" w:hAnsi="Palatino Linotype" w:cs="Arial"/>
          <w:color w:val="000000"/>
          <w:sz w:val="24"/>
          <w:szCs w:val="24"/>
        </w:rPr>
        <w:t>,</w:t>
      </w:r>
      <w:r w:rsidRPr="00D634D6">
        <w:rPr>
          <w:rFonts w:ascii="Palatino Linotype" w:eastAsia="MS Mincho" w:hAnsi="Palatino Linotype" w:cs="Arial"/>
          <w:color w:val="000000"/>
          <w:sz w:val="24"/>
          <w:szCs w:val="24"/>
        </w:rPr>
        <w:t xml:space="preserve"> </w:t>
      </w:r>
      <w:r w:rsidRPr="00D634D6">
        <w:rPr>
          <w:rFonts w:ascii="Palatino Linotype" w:eastAsia="MS Mincho" w:hAnsi="Palatino Linotype" w:cs="Times New Roman"/>
          <w:sz w:val="24"/>
          <w:szCs w:val="24"/>
        </w:rPr>
        <w:t xml:space="preserve">resultan </w:t>
      </w:r>
      <w:r w:rsidRPr="00D634D6">
        <w:rPr>
          <w:rFonts w:ascii="Palatino Linotype" w:eastAsia="Times New Roman" w:hAnsi="Palatino Linotype" w:cs="Arial"/>
          <w:sz w:val="24"/>
          <w:szCs w:val="24"/>
        </w:rPr>
        <w:t>fundadas las</w:t>
      </w:r>
      <w:r w:rsidRPr="00D634D6">
        <w:rPr>
          <w:rFonts w:ascii="Palatino Linotype" w:eastAsia="Times New Roman" w:hAnsi="Palatino Linotype" w:cs="Arial"/>
          <w:b/>
          <w:sz w:val="24"/>
          <w:szCs w:val="24"/>
        </w:rPr>
        <w:t xml:space="preserve"> </w:t>
      </w:r>
      <w:r w:rsidRPr="00D634D6">
        <w:rPr>
          <w:rFonts w:ascii="Palatino Linotype" w:eastAsia="Times New Roman" w:hAnsi="Palatino Linotype" w:cs="Arial"/>
          <w:sz w:val="24"/>
          <w:szCs w:val="24"/>
        </w:rPr>
        <w:t xml:space="preserve">razones o motivos de inconformidad hechos valer por el </w:t>
      </w:r>
      <w:r w:rsidRPr="00D634D6">
        <w:rPr>
          <w:rFonts w:ascii="Palatino Linotype" w:eastAsia="Times New Roman" w:hAnsi="Palatino Linotype" w:cs="Arial"/>
          <w:b/>
          <w:sz w:val="24"/>
          <w:szCs w:val="24"/>
        </w:rPr>
        <w:t>RECURRENTE</w:t>
      </w:r>
      <w:r w:rsidRPr="00D634D6">
        <w:rPr>
          <w:rFonts w:ascii="Palatino Linotype" w:eastAsia="Times New Roman" w:hAnsi="Palatino Linotype" w:cs="Arial"/>
          <w:sz w:val="24"/>
          <w:szCs w:val="24"/>
        </w:rPr>
        <w:t xml:space="preserve"> </w:t>
      </w:r>
      <w:r w:rsidRPr="00D634D6">
        <w:rPr>
          <w:rFonts w:ascii="Palatino Linotype" w:eastAsia="Calibri" w:hAnsi="Palatino Linotype" w:cs="Arial"/>
          <w:sz w:val="24"/>
          <w:szCs w:val="24"/>
        </w:rPr>
        <w:t xml:space="preserve">en el </w:t>
      </w:r>
      <w:r w:rsidR="00E25E0C" w:rsidRPr="00D634D6">
        <w:rPr>
          <w:rFonts w:ascii="Palatino Linotype" w:eastAsia="Calibri" w:hAnsi="Palatino Linotype" w:cs="Arial"/>
          <w:sz w:val="24"/>
          <w:szCs w:val="24"/>
        </w:rPr>
        <w:t xml:space="preserve">presente </w:t>
      </w:r>
      <w:r w:rsidRPr="00D634D6">
        <w:rPr>
          <w:rFonts w:ascii="Palatino Linotype" w:eastAsia="Calibri" w:hAnsi="Palatino Linotype" w:cs="Arial"/>
          <w:sz w:val="24"/>
          <w:szCs w:val="24"/>
        </w:rPr>
        <w:t xml:space="preserve">recurso de revisión, </w:t>
      </w:r>
      <w:r w:rsidRPr="00D634D6">
        <w:rPr>
          <w:rFonts w:ascii="Palatino Linotype" w:eastAsia="Calibri" w:hAnsi="Palatino Linotype" w:cs="Arial"/>
          <w:b/>
          <w:sz w:val="24"/>
          <w:szCs w:val="24"/>
        </w:rPr>
        <w:t>en razón de la negativa de la información solicitada.</w:t>
      </w:r>
    </w:p>
    <w:p w:rsidR="00AA2B54" w:rsidRPr="00D634D6" w:rsidRDefault="00AA2B54" w:rsidP="00D634D6">
      <w:pPr>
        <w:pStyle w:val="Prrafodelista"/>
        <w:tabs>
          <w:tab w:val="left" w:pos="142"/>
          <w:tab w:val="left" w:pos="284"/>
          <w:tab w:val="left" w:pos="426"/>
        </w:tabs>
        <w:spacing w:line="360" w:lineRule="auto"/>
        <w:ind w:left="0"/>
        <w:jc w:val="both"/>
        <w:rPr>
          <w:rFonts w:ascii="Palatino Linotype" w:hAnsi="Palatino Linotype"/>
          <w:sz w:val="24"/>
          <w:szCs w:val="24"/>
        </w:rPr>
      </w:pPr>
    </w:p>
    <w:p w:rsidR="00F2176A" w:rsidRDefault="00D634D6" w:rsidP="00D634D6">
      <w:pPr>
        <w:pStyle w:val="Prrafodelista"/>
        <w:numPr>
          <w:ilvl w:val="0"/>
          <w:numId w:val="2"/>
        </w:numPr>
        <w:tabs>
          <w:tab w:val="left" w:pos="142"/>
          <w:tab w:val="left" w:pos="284"/>
          <w:tab w:val="left" w:pos="426"/>
        </w:tabs>
        <w:spacing w:line="360" w:lineRule="auto"/>
        <w:ind w:left="0" w:firstLine="0"/>
        <w:jc w:val="both"/>
        <w:rPr>
          <w:rFonts w:ascii="Palatino Linotype" w:eastAsia="MS Mincho" w:hAnsi="Palatino Linotype" w:cs="Times New Roman"/>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57C27CD9" wp14:editId="5B3C67AC">
                <wp:simplePos x="0" y="0"/>
                <wp:positionH relativeFrom="column">
                  <wp:posOffset>24764</wp:posOffset>
                </wp:positionH>
                <wp:positionV relativeFrom="paragraph">
                  <wp:posOffset>1195069</wp:posOffset>
                </wp:positionV>
                <wp:extent cx="5229225" cy="4848225"/>
                <wp:effectExtent l="19050" t="19050" r="28575" b="28575"/>
                <wp:wrapNone/>
                <wp:docPr id="1" name="Conector recto 1"/>
                <wp:cNvGraphicFramePr/>
                <a:graphic xmlns:a="http://schemas.openxmlformats.org/drawingml/2006/main">
                  <a:graphicData uri="http://schemas.microsoft.com/office/word/2010/wordprocessingShape">
                    <wps:wsp>
                      <wps:cNvCnPr/>
                      <wps:spPr>
                        <a:xfrm>
                          <a:off x="0" y="0"/>
                          <a:ext cx="5229225" cy="48482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E6E727"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94.1pt" to="413.7pt,4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" strokecolor="#5b9bd5 [3204]" strokeweight="3pt">
                <v:stroke joinstyle="miter"/>
              </v:line>
            </w:pict>
          </mc:Fallback>
        </mc:AlternateContent>
      </w:r>
      <w:r w:rsidR="00AA2B54" w:rsidRPr="00D634D6">
        <w:rPr>
          <w:rFonts w:ascii="Palatino Linotype" w:hAnsi="Palatino Linotype"/>
          <w:sz w:val="24"/>
          <w:szCs w:val="24"/>
        </w:rPr>
        <w:t xml:space="preserve">Finalmente, </w:t>
      </w:r>
      <w:r w:rsidR="00AA2B54" w:rsidRPr="00D634D6">
        <w:rPr>
          <w:rFonts w:ascii="Palatino Linotype" w:eastAsia="MS Mincho" w:hAnsi="Palatino Linotype" w:cs="Times New Roman"/>
          <w:sz w:val="24"/>
          <w:szCs w:val="24"/>
        </w:rPr>
        <w:t xml:space="preserve">en términos del artículo 186 fracción IV este Pleno determina </w:t>
      </w:r>
      <w:r w:rsidR="00AA2B54" w:rsidRPr="00D634D6">
        <w:rPr>
          <w:rFonts w:ascii="Palatino Linotype" w:eastAsia="MS Mincho" w:hAnsi="Palatino Linotype" w:cs="Times New Roman"/>
          <w:b/>
          <w:sz w:val="24"/>
          <w:szCs w:val="24"/>
        </w:rPr>
        <w:t xml:space="preserve">ORDENAR </w:t>
      </w:r>
      <w:r w:rsidR="00AA2B54" w:rsidRPr="00D634D6">
        <w:rPr>
          <w:rFonts w:ascii="Palatino Linotype" w:eastAsia="MS Mincho" w:hAnsi="Palatino Linotype" w:cs="Times New Roman"/>
          <w:sz w:val="24"/>
          <w:szCs w:val="24"/>
        </w:rPr>
        <w:t>la entrega de la información que fue requerida en la solicitud, toda vez que hubo</w:t>
      </w:r>
      <w:r w:rsidR="001F48F8" w:rsidRPr="00D634D6">
        <w:rPr>
          <w:rFonts w:ascii="Palatino Linotype" w:eastAsia="MS Mincho" w:hAnsi="Palatino Linotype" w:cs="Times New Roman"/>
          <w:sz w:val="24"/>
          <w:szCs w:val="24"/>
        </w:rPr>
        <w:t xml:space="preserve"> una</w:t>
      </w:r>
      <w:r w:rsidR="00AA2B54" w:rsidRPr="00D634D6">
        <w:rPr>
          <w:rFonts w:ascii="Palatino Linotype" w:eastAsia="MS Mincho" w:hAnsi="Palatino Linotype" w:cs="Times New Roman"/>
          <w:sz w:val="24"/>
          <w:szCs w:val="24"/>
        </w:rPr>
        <w:t xml:space="preserve"> afectación al derecho de acceso a la información pública establecido constitucionalmente a favor del particular.</w:t>
      </w:r>
    </w:p>
    <w:p w:rsidR="00D634D6" w:rsidRPr="00D634D6" w:rsidRDefault="00D634D6" w:rsidP="00D634D6">
      <w:pPr>
        <w:pStyle w:val="Prrafodelista"/>
        <w:rPr>
          <w:rFonts w:ascii="Palatino Linotype" w:eastAsia="MS Mincho" w:hAnsi="Palatino Linotype" w:cs="Times New Roman"/>
          <w:sz w:val="24"/>
          <w:szCs w:val="24"/>
        </w:rPr>
      </w:pPr>
    </w:p>
    <w:p w:rsidR="00D634D6" w:rsidRDefault="00D634D6" w:rsidP="00D634D6">
      <w:pPr>
        <w:tabs>
          <w:tab w:val="left" w:pos="142"/>
          <w:tab w:val="left" w:pos="284"/>
          <w:tab w:val="left" w:pos="426"/>
        </w:tabs>
        <w:spacing w:line="360" w:lineRule="auto"/>
        <w:jc w:val="both"/>
        <w:rPr>
          <w:rFonts w:ascii="Palatino Linotype" w:eastAsia="MS Mincho" w:hAnsi="Palatino Linotype" w:cs="Times New Roman"/>
          <w:sz w:val="24"/>
          <w:szCs w:val="24"/>
        </w:rPr>
      </w:pPr>
    </w:p>
    <w:p w:rsidR="00D634D6" w:rsidRDefault="00D634D6" w:rsidP="00D634D6">
      <w:pPr>
        <w:tabs>
          <w:tab w:val="left" w:pos="142"/>
          <w:tab w:val="left" w:pos="284"/>
          <w:tab w:val="left" w:pos="426"/>
        </w:tabs>
        <w:spacing w:line="360" w:lineRule="auto"/>
        <w:jc w:val="both"/>
        <w:rPr>
          <w:rFonts w:ascii="Palatino Linotype" w:eastAsia="MS Mincho" w:hAnsi="Palatino Linotype" w:cs="Times New Roman"/>
          <w:sz w:val="24"/>
          <w:szCs w:val="24"/>
        </w:rPr>
      </w:pPr>
    </w:p>
    <w:p w:rsidR="00D634D6" w:rsidRDefault="00D634D6" w:rsidP="00D634D6">
      <w:pPr>
        <w:tabs>
          <w:tab w:val="left" w:pos="142"/>
          <w:tab w:val="left" w:pos="284"/>
          <w:tab w:val="left" w:pos="426"/>
        </w:tabs>
        <w:spacing w:line="360" w:lineRule="auto"/>
        <w:jc w:val="both"/>
        <w:rPr>
          <w:rFonts w:ascii="Palatino Linotype" w:eastAsia="MS Mincho" w:hAnsi="Palatino Linotype" w:cs="Times New Roman"/>
          <w:sz w:val="24"/>
          <w:szCs w:val="24"/>
        </w:rPr>
      </w:pPr>
    </w:p>
    <w:p w:rsidR="00D634D6" w:rsidRDefault="00D634D6" w:rsidP="00D634D6">
      <w:pPr>
        <w:tabs>
          <w:tab w:val="left" w:pos="142"/>
          <w:tab w:val="left" w:pos="284"/>
          <w:tab w:val="left" w:pos="426"/>
        </w:tabs>
        <w:spacing w:line="360" w:lineRule="auto"/>
        <w:jc w:val="both"/>
        <w:rPr>
          <w:rFonts w:ascii="Palatino Linotype" w:eastAsia="MS Mincho" w:hAnsi="Palatino Linotype" w:cs="Times New Roman"/>
          <w:sz w:val="24"/>
          <w:szCs w:val="24"/>
        </w:rPr>
      </w:pPr>
    </w:p>
    <w:p w:rsidR="00D634D6" w:rsidRDefault="00D634D6" w:rsidP="00D634D6">
      <w:pPr>
        <w:tabs>
          <w:tab w:val="left" w:pos="142"/>
          <w:tab w:val="left" w:pos="284"/>
          <w:tab w:val="left" w:pos="426"/>
        </w:tabs>
        <w:spacing w:line="360" w:lineRule="auto"/>
        <w:jc w:val="both"/>
        <w:rPr>
          <w:rFonts w:ascii="Palatino Linotype" w:eastAsia="MS Mincho" w:hAnsi="Palatino Linotype" w:cs="Times New Roman"/>
          <w:sz w:val="24"/>
          <w:szCs w:val="24"/>
        </w:rPr>
      </w:pPr>
    </w:p>
    <w:p w:rsidR="00D634D6" w:rsidRDefault="00D634D6" w:rsidP="00D634D6">
      <w:pPr>
        <w:tabs>
          <w:tab w:val="left" w:pos="142"/>
          <w:tab w:val="left" w:pos="284"/>
          <w:tab w:val="left" w:pos="426"/>
        </w:tabs>
        <w:spacing w:line="360" w:lineRule="auto"/>
        <w:jc w:val="both"/>
        <w:rPr>
          <w:rFonts w:ascii="Palatino Linotype" w:eastAsia="MS Mincho" w:hAnsi="Palatino Linotype" w:cs="Times New Roman"/>
          <w:sz w:val="24"/>
          <w:szCs w:val="24"/>
        </w:rPr>
      </w:pPr>
    </w:p>
    <w:p w:rsidR="00D634D6" w:rsidRDefault="00D634D6" w:rsidP="00D634D6">
      <w:pPr>
        <w:tabs>
          <w:tab w:val="left" w:pos="142"/>
          <w:tab w:val="left" w:pos="284"/>
          <w:tab w:val="left" w:pos="426"/>
        </w:tabs>
        <w:spacing w:line="360" w:lineRule="auto"/>
        <w:jc w:val="both"/>
        <w:rPr>
          <w:rFonts w:ascii="Palatino Linotype" w:eastAsia="MS Mincho" w:hAnsi="Palatino Linotype" w:cs="Times New Roman"/>
          <w:sz w:val="24"/>
          <w:szCs w:val="24"/>
        </w:rPr>
      </w:pPr>
    </w:p>
    <w:p w:rsidR="00D634D6" w:rsidRDefault="00D634D6" w:rsidP="00D634D6">
      <w:pPr>
        <w:tabs>
          <w:tab w:val="left" w:pos="142"/>
          <w:tab w:val="left" w:pos="284"/>
          <w:tab w:val="left" w:pos="426"/>
        </w:tabs>
        <w:spacing w:line="360" w:lineRule="auto"/>
        <w:jc w:val="both"/>
        <w:rPr>
          <w:rFonts w:ascii="Palatino Linotype" w:eastAsia="MS Mincho" w:hAnsi="Palatino Linotype" w:cs="Times New Roman"/>
          <w:sz w:val="24"/>
          <w:szCs w:val="24"/>
        </w:rPr>
      </w:pPr>
    </w:p>
    <w:p w:rsidR="00D634D6" w:rsidRDefault="00D634D6" w:rsidP="00D634D6">
      <w:pPr>
        <w:tabs>
          <w:tab w:val="left" w:pos="142"/>
          <w:tab w:val="left" w:pos="284"/>
          <w:tab w:val="left" w:pos="426"/>
        </w:tabs>
        <w:spacing w:line="360" w:lineRule="auto"/>
        <w:jc w:val="both"/>
        <w:rPr>
          <w:rFonts w:ascii="Palatino Linotype" w:eastAsia="MS Mincho" w:hAnsi="Palatino Linotype" w:cs="Times New Roman"/>
          <w:sz w:val="24"/>
          <w:szCs w:val="24"/>
        </w:rPr>
      </w:pPr>
    </w:p>
    <w:p w:rsidR="00D634D6" w:rsidRDefault="00D634D6" w:rsidP="00D634D6">
      <w:pPr>
        <w:tabs>
          <w:tab w:val="left" w:pos="142"/>
          <w:tab w:val="left" w:pos="284"/>
          <w:tab w:val="left" w:pos="426"/>
        </w:tabs>
        <w:spacing w:line="360" w:lineRule="auto"/>
        <w:jc w:val="both"/>
        <w:rPr>
          <w:rFonts w:ascii="Palatino Linotype" w:eastAsia="MS Mincho" w:hAnsi="Palatino Linotype" w:cs="Times New Roman"/>
          <w:sz w:val="24"/>
          <w:szCs w:val="24"/>
        </w:rPr>
      </w:pPr>
    </w:p>
    <w:p w:rsidR="00D634D6" w:rsidRDefault="00D634D6" w:rsidP="00D634D6">
      <w:pPr>
        <w:tabs>
          <w:tab w:val="left" w:pos="142"/>
          <w:tab w:val="left" w:pos="284"/>
          <w:tab w:val="left" w:pos="426"/>
        </w:tabs>
        <w:spacing w:line="360" w:lineRule="auto"/>
        <w:jc w:val="both"/>
        <w:rPr>
          <w:rFonts w:ascii="Palatino Linotype" w:eastAsia="MS Mincho" w:hAnsi="Palatino Linotype" w:cs="Times New Roman"/>
          <w:sz w:val="24"/>
          <w:szCs w:val="24"/>
        </w:rPr>
      </w:pPr>
    </w:p>
    <w:p w:rsidR="00D634D6" w:rsidRPr="00D634D6" w:rsidRDefault="00D634D6" w:rsidP="00D634D6">
      <w:pPr>
        <w:tabs>
          <w:tab w:val="left" w:pos="142"/>
          <w:tab w:val="left" w:pos="284"/>
          <w:tab w:val="left" w:pos="426"/>
        </w:tabs>
        <w:spacing w:line="360" w:lineRule="auto"/>
        <w:jc w:val="both"/>
        <w:rPr>
          <w:rFonts w:ascii="Palatino Linotype" w:eastAsia="MS Mincho" w:hAnsi="Palatino Linotype" w:cs="Times New Roman"/>
          <w:sz w:val="24"/>
          <w:szCs w:val="24"/>
        </w:rPr>
      </w:pPr>
    </w:p>
    <w:p w:rsidR="00F2176A" w:rsidRDefault="00F2176A" w:rsidP="00D634D6">
      <w:pPr>
        <w:spacing w:line="360" w:lineRule="auto"/>
        <w:rPr>
          <w:rFonts w:ascii="Palatino Linotype" w:eastAsia="MS Mincho" w:hAnsi="Palatino Linotype" w:cs="Times New Roman"/>
          <w:sz w:val="24"/>
          <w:szCs w:val="24"/>
        </w:rPr>
      </w:pPr>
    </w:p>
    <w:p w:rsidR="00D634D6" w:rsidRPr="00D634D6" w:rsidRDefault="00D634D6" w:rsidP="00D634D6">
      <w:pPr>
        <w:spacing w:line="360" w:lineRule="auto"/>
        <w:rPr>
          <w:rFonts w:ascii="Palatino Linotype" w:eastAsia="MS Mincho" w:hAnsi="Palatino Linotype" w:cs="Times New Roman"/>
          <w:sz w:val="24"/>
          <w:szCs w:val="24"/>
        </w:rPr>
      </w:pPr>
    </w:p>
    <w:p w:rsidR="006E5EF0" w:rsidRDefault="006E5EF0" w:rsidP="00D634D6">
      <w:pPr>
        <w:pStyle w:val="Ttulo1"/>
        <w:spacing w:before="0" w:line="360" w:lineRule="auto"/>
        <w:jc w:val="center"/>
        <w:rPr>
          <w:sz w:val="24"/>
          <w:szCs w:val="24"/>
          <w:lang w:val="es-ES"/>
        </w:rPr>
      </w:pPr>
      <w:bookmarkStart w:id="38" w:name="_Toc34923441"/>
      <w:bookmarkEnd w:id="35"/>
      <w:bookmarkEnd w:id="36"/>
      <w:bookmarkEnd w:id="37"/>
      <w:r w:rsidRPr="00D634D6">
        <w:rPr>
          <w:sz w:val="24"/>
          <w:szCs w:val="24"/>
          <w:lang w:val="es-ES"/>
        </w:rPr>
        <w:lastRenderedPageBreak/>
        <w:t>R E S O L U T I V O S</w:t>
      </w:r>
      <w:bookmarkEnd w:id="38"/>
    </w:p>
    <w:p w:rsidR="00D634D6" w:rsidRPr="00D634D6" w:rsidRDefault="00D634D6" w:rsidP="00D634D6">
      <w:pPr>
        <w:rPr>
          <w:lang w:val="es-ES"/>
        </w:rPr>
      </w:pPr>
    </w:p>
    <w:p w:rsidR="003D50AD" w:rsidRPr="00D634D6" w:rsidRDefault="003D50AD" w:rsidP="00D634D6">
      <w:pPr>
        <w:spacing w:line="360" w:lineRule="auto"/>
        <w:jc w:val="both"/>
        <w:rPr>
          <w:rFonts w:ascii="Palatino Linotype" w:eastAsia="Calibri" w:hAnsi="Palatino Linotype" w:cs="Arial"/>
          <w:sz w:val="24"/>
          <w:szCs w:val="24"/>
          <w:lang w:val="es-ES"/>
        </w:rPr>
      </w:pPr>
      <w:r w:rsidRPr="00D634D6">
        <w:rPr>
          <w:rFonts w:ascii="Palatino Linotype" w:eastAsia="Times New Roman" w:hAnsi="Palatino Linotype" w:cs="Arial"/>
          <w:b/>
          <w:sz w:val="24"/>
          <w:szCs w:val="24"/>
        </w:rPr>
        <w:t>PRIMERO</w:t>
      </w:r>
      <w:r w:rsidRPr="00D634D6">
        <w:rPr>
          <w:rFonts w:ascii="Palatino Linotype" w:eastAsia="Times New Roman" w:hAnsi="Palatino Linotype" w:cs="Arial"/>
          <w:sz w:val="24"/>
          <w:szCs w:val="24"/>
          <w:lang w:val="es-ES"/>
        </w:rPr>
        <w:t>.</w:t>
      </w:r>
      <w:r w:rsidR="00087EFD" w:rsidRPr="00D634D6">
        <w:rPr>
          <w:rFonts w:ascii="Palatino Linotype" w:eastAsia="Times New Roman" w:hAnsi="Palatino Linotype" w:cs="Arial"/>
          <w:sz w:val="24"/>
          <w:szCs w:val="24"/>
          <w:lang w:val="es-ES"/>
        </w:rPr>
        <w:t xml:space="preserve"> Resultan fundadas las razones o</w:t>
      </w:r>
      <w:r w:rsidRPr="00D634D6">
        <w:rPr>
          <w:rFonts w:ascii="Palatino Linotype" w:eastAsia="Times New Roman" w:hAnsi="Palatino Linotype" w:cs="Arial"/>
          <w:sz w:val="24"/>
          <w:szCs w:val="24"/>
          <w:lang w:val="es-ES"/>
        </w:rPr>
        <w:t xml:space="preserve"> motivo</w:t>
      </w:r>
      <w:r w:rsidR="00614478" w:rsidRPr="00D634D6">
        <w:rPr>
          <w:rFonts w:ascii="Palatino Linotype" w:eastAsia="Times New Roman" w:hAnsi="Palatino Linotype" w:cs="Arial"/>
          <w:sz w:val="24"/>
          <w:szCs w:val="24"/>
          <w:lang w:val="es-ES"/>
        </w:rPr>
        <w:t>s de inconformidad hechos valer e</w:t>
      </w:r>
      <w:r w:rsidRPr="00D634D6">
        <w:rPr>
          <w:rFonts w:ascii="Palatino Linotype" w:eastAsia="Calibri" w:hAnsi="Palatino Linotype" w:cs="Arial"/>
          <w:sz w:val="24"/>
          <w:szCs w:val="24"/>
          <w:lang w:val="es-ES"/>
        </w:rPr>
        <w:t xml:space="preserve">n el recurso de revisión </w:t>
      </w:r>
      <w:r w:rsidR="009E06B0" w:rsidRPr="00D634D6">
        <w:rPr>
          <w:rFonts w:ascii="Palatino Linotype" w:eastAsia="Times New Roman" w:hAnsi="Palatino Linotype" w:cs="Times New Roman"/>
          <w:b/>
          <w:sz w:val="24"/>
          <w:szCs w:val="24"/>
        </w:rPr>
        <w:t>10353</w:t>
      </w:r>
      <w:r w:rsidR="00096913" w:rsidRPr="00D634D6">
        <w:rPr>
          <w:rFonts w:ascii="Palatino Linotype" w:eastAsia="Times New Roman" w:hAnsi="Palatino Linotype" w:cs="Times New Roman"/>
          <w:b/>
          <w:sz w:val="24"/>
          <w:szCs w:val="24"/>
        </w:rPr>
        <w:t>/INFOEM/IP/RR/</w:t>
      </w:r>
      <w:r w:rsidR="009B4FC2" w:rsidRPr="00D634D6">
        <w:rPr>
          <w:rFonts w:ascii="Palatino Linotype" w:eastAsia="Times New Roman" w:hAnsi="Palatino Linotype" w:cs="Times New Roman"/>
          <w:b/>
          <w:sz w:val="24"/>
          <w:szCs w:val="24"/>
        </w:rPr>
        <w:t>2019</w:t>
      </w:r>
      <w:r w:rsidR="00096913" w:rsidRPr="00D634D6">
        <w:rPr>
          <w:rFonts w:ascii="Palatino Linotype" w:eastAsia="Times New Roman" w:hAnsi="Palatino Linotype" w:cs="Times New Roman"/>
          <w:b/>
          <w:sz w:val="24"/>
          <w:szCs w:val="24"/>
        </w:rPr>
        <w:t xml:space="preserve"> </w:t>
      </w:r>
      <w:r w:rsidR="00B96B07" w:rsidRPr="00D634D6">
        <w:rPr>
          <w:rFonts w:ascii="Palatino Linotype" w:eastAsia="Times New Roman" w:hAnsi="Palatino Linotype" w:cs="Times New Roman"/>
          <w:sz w:val="24"/>
          <w:szCs w:val="24"/>
        </w:rPr>
        <w:t>en términos de</w:t>
      </w:r>
      <w:r w:rsidR="001F48F8" w:rsidRPr="00D634D6">
        <w:rPr>
          <w:rFonts w:ascii="Palatino Linotype" w:eastAsia="Times New Roman" w:hAnsi="Palatino Linotype" w:cs="Times New Roman"/>
          <w:sz w:val="24"/>
          <w:szCs w:val="24"/>
        </w:rPr>
        <w:t xml:space="preserve"> </w:t>
      </w:r>
      <w:r w:rsidR="00B05E35" w:rsidRPr="00D634D6">
        <w:rPr>
          <w:rFonts w:ascii="Palatino Linotype" w:eastAsia="Times New Roman" w:hAnsi="Palatino Linotype" w:cs="Times New Roman"/>
          <w:sz w:val="24"/>
          <w:szCs w:val="24"/>
        </w:rPr>
        <w:t>l</w:t>
      </w:r>
      <w:r w:rsidR="001F48F8" w:rsidRPr="00D634D6">
        <w:rPr>
          <w:rFonts w:ascii="Palatino Linotype" w:eastAsia="Times New Roman" w:hAnsi="Palatino Linotype" w:cs="Times New Roman"/>
          <w:sz w:val="24"/>
          <w:szCs w:val="24"/>
        </w:rPr>
        <w:t>os</w:t>
      </w:r>
      <w:r w:rsidR="00B96B07" w:rsidRPr="00D634D6">
        <w:rPr>
          <w:rFonts w:ascii="Palatino Linotype" w:eastAsia="Times New Roman" w:hAnsi="Palatino Linotype" w:cs="Times New Roman"/>
          <w:sz w:val="24"/>
          <w:szCs w:val="24"/>
        </w:rPr>
        <w:t xml:space="preserve"> </w:t>
      </w:r>
      <w:r w:rsidR="007034F5" w:rsidRPr="00D634D6">
        <w:rPr>
          <w:rFonts w:ascii="Palatino Linotype" w:eastAsia="Times New Roman" w:hAnsi="Palatino Linotype" w:cs="Times New Roman"/>
          <w:b/>
          <w:sz w:val="24"/>
          <w:szCs w:val="24"/>
        </w:rPr>
        <w:t>C</w:t>
      </w:r>
      <w:r w:rsidR="00B96B07" w:rsidRPr="00D634D6">
        <w:rPr>
          <w:rFonts w:ascii="Palatino Linotype" w:eastAsia="Times New Roman" w:hAnsi="Palatino Linotype" w:cs="Times New Roman"/>
          <w:b/>
          <w:sz w:val="24"/>
          <w:szCs w:val="24"/>
        </w:rPr>
        <w:t>onsiderando</w:t>
      </w:r>
      <w:r w:rsidR="001F48F8" w:rsidRPr="00D634D6">
        <w:rPr>
          <w:rFonts w:ascii="Palatino Linotype" w:eastAsia="Times New Roman" w:hAnsi="Palatino Linotype" w:cs="Times New Roman"/>
          <w:b/>
          <w:sz w:val="24"/>
          <w:szCs w:val="24"/>
        </w:rPr>
        <w:t>s</w:t>
      </w:r>
      <w:r w:rsidRPr="00D634D6">
        <w:rPr>
          <w:rFonts w:ascii="Palatino Linotype" w:eastAsia="Times New Roman" w:hAnsi="Palatino Linotype" w:cs="Times New Roman"/>
          <w:b/>
          <w:sz w:val="24"/>
          <w:szCs w:val="24"/>
        </w:rPr>
        <w:t xml:space="preserve"> </w:t>
      </w:r>
      <w:r w:rsidR="00652C72" w:rsidRPr="00D634D6">
        <w:rPr>
          <w:rFonts w:ascii="Palatino Linotype" w:eastAsia="Times New Roman" w:hAnsi="Palatino Linotype" w:cs="Times New Roman"/>
          <w:b/>
          <w:sz w:val="24"/>
          <w:szCs w:val="24"/>
        </w:rPr>
        <w:t>CUARTO</w:t>
      </w:r>
      <w:r w:rsidR="001F48F8" w:rsidRPr="00D634D6">
        <w:rPr>
          <w:rFonts w:ascii="Palatino Linotype" w:eastAsia="Times New Roman" w:hAnsi="Palatino Linotype" w:cs="Times New Roman"/>
          <w:b/>
          <w:sz w:val="24"/>
          <w:szCs w:val="24"/>
        </w:rPr>
        <w:t xml:space="preserve"> </w:t>
      </w:r>
      <w:r w:rsidR="001F48F8" w:rsidRPr="00D634D6">
        <w:rPr>
          <w:rFonts w:ascii="Palatino Linotype" w:eastAsia="Times New Roman" w:hAnsi="Palatino Linotype" w:cs="Times New Roman"/>
          <w:sz w:val="24"/>
          <w:szCs w:val="24"/>
        </w:rPr>
        <w:t>y</w:t>
      </w:r>
      <w:r w:rsidR="001F48F8" w:rsidRPr="00D634D6">
        <w:rPr>
          <w:rFonts w:ascii="Palatino Linotype" w:eastAsia="Times New Roman" w:hAnsi="Palatino Linotype" w:cs="Times New Roman"/>
          <w:b/>
          <w:sz w:val="24"/>
          <w:szCs w:val="24"/>
        </w:rPr>
        <w:t xml:space="preserve"> QUINTO</w:t>
      </w:r>
      <w:r w:rsidR="009B189B" w:rsidRPr="00D634D6">
        <w:rPr>
          <w:rFonts w:ascii="Palatino Linotype" w:eastAsia="Times New Roman" w:hAnsi="Palatino Linotype" w:cs="Times New Roman"/>
          <w:sz w:val="24"/>
          <w:szCs w:val="24"/>
        </w:rPr>
        <w:t xml:space="preserve"> </w:t>
      </w:r>
      <w:r w:rsidR="00BA5158" w:rsidRPr="00D634D6">
        <w:rPr>
          <w:rFonts w:ascii="Palatino Linotype" w:eastAsia="Times New Roman" w:hAnsi="Palatino Linotype" w:cs="Times New Roman"/>
          <w:sz w:val="24"/>
          <w:szCs w:val="24"/>
        </w:rPr>
        <w:t>d</w:t>
      </w:r>
      <w:r w:rsidRPr="00D634D6">
        <w:rPr>
          <w:rFonts w:ascii="Palatino Linotype" w:eastAsia="Times New Roman" w:hAnsi="Palatino Linotype" w:cs="Times New Roman"/>
          <w:sz w:val="24"/>
          <w:szCs w:val="24"/>
        </w:rPr>
        <w:t>e la presente resolución.</w:t>
      </w:r>
      <w:r w:rsidRPr="00D634D6">
        <w:rPr>
          <w:rFonts w:ascii="Palatino Linotype" w:eastAsia="Calibri" w:hAnsi="Palatino Linotype" w:cs="Arial"/>
          <w:sz w:val="24"/>
          <w:szCs w:val="24"/>
          <w:lang w:val="es-ES"/>
        </w:rPr>
        <w:t xml:space="preserve"> </w:t>
      </w:r>
    </w:p>
    <w:p w:rsidR="008C54C1" w:rsidRPr="00D634D6" w:rsidRDefault="008C54C1" w:rsidP="00D634D6">
      <w:pPr>
        <w:spacing w:line="360" w:lineRule="auto"/>
        <w:jc w:val="both"/>
        <w:rPr>
          <w:rFonts w:ascii="Palatino Linotype" w:eastAsia="Calibri" w:hAnsi="Palatino Linotype" w:cs="Arial"/>
          <w:bCs/>
          <w:sz w:val="24"/>
          <w:szCs w:val="24"/>
          <w:lang w:val="es-ES"/>
        </w:rPr>
      </w:pPr>
    </w:p>
    <w:p w:rsidR="00BA5158" w:rsidRDefault="008C54C1" w:rsidP="00D634D6">
      <w:pPr>
        <w:spacing w:line="360" w:lineRule="auto"/>
        <w:jc w:val="both"/>
        <w:rPr>
          <w:rFonts w:ascii="Palatino Linotype" w:eastAsia="Calibri" w:hAnsi="Palatino Linotype" w:cs="Arial"/>
          <w:sz w:val="24"/>
          <w:szCs w:val="24"/>
          <w:lang w:val="es-ES"/>
        </w:rPr>
      </w:pPr>
      <w:r w:rsidRPr="00D634D6">
        <w:rPr>
          <w:rFonts w:ascii="Palatino Linotype" w:eastAsia="Calibri" w:hAnsi="Palatino Linotype" w:cs="Arial"/>
          <w:b/>
          <w:sz w:val="24"/>
          <w:szCs w:val="24"/>
          <w:lang w:val="es-ES"/>
        </w:rPr>
        <w:t xml:space="preserve">SEGUNDO. </w:t>
      </w:r>
      <w:r w:rsidRPr="00D634D6">
        <w:rPr>
          <w:rFonts w:ascii="Palatino Linotype" w:eastAsia="Calibri" w:hAnsi="Palatino Linotype" w:cs="Arial"/>
          <w:sz w:val="24"/>
          <w:szCs w:val="24"/>
          <w:lang w:val="es-ES"/>
        </w:rPr>
        <w:t>Se</w:t>
      </w:r>
      <w:r w:rsidR="003D50AD" w:rsidRPr="00D634D6">
        <w:rPr>
          <w:rFonts w:ascii="Palatino Linotype" w:eastAsia="Calibri" w:hAnsi="Palatino Linotype" w:cs="Arial"/>
          <w:b/>
          <w:sz w:val="24"/>
          <w:szCs w:val="24"/>
          <w:lang w:val="es-ES"/>
        </w:rPr>
        <w:t xml:space="preserve"> ORDENA </w:t>
      </w:r>
      <w:r w:rsidR="003D50AD" w:rsidRPr="00D634D6">
        <w:rPr>
          <w:rFonts w:ascii="Palatino Linotype" w:eastAsia="Calibri" w:hAnsi="Palatino Linotype" w:cs="Arial"/>
          <w:sz w:val="24"/>
          <w:szCs w:val="24"/>
          <w:lang w:val="es-ES"/>
        </w:rPr>
        <w:t>al</w:t>
      </w:r>
      <w:r w:rsidR="00BA5158" w:rsidRPr="00D634D6">
        <w:rPr>
          <w:rFonts w:ascii="Palatino Linotype" w:eastAsia="Calibri" w:hAnsi="Palatino Linotype" w:cs="Arial"/>
          <w:b/>
          <w:sz w:val="24"/>
          <w:szCs w:val="24"/>
          <w:lang w:val="es-ES"/>
        </w:rPr>
        <w:t xml:space="preserve"> </w:t>
      </w:r>
      <w:r w:rsidR="0093797D" w:rsidRPr="00D634D6">
        <w:rPr>
          <w:rFonts w:ascii="Palatino Linotype" w:eastAsia="Calibri" w:hAnsi="Palatino Linotype" w:cs="Arial"/>
          <w:b/>
          <w:sz w:val="24"/>
          <w:szCs w:val="24"/>
          <w:lang w:val="es-ES"/>
        </w:rPr>
        <w:t xml:space="preserve">Ayuntamiento de </w:t>
      </w:r>
      <w:r w:rsidR="009E06B0" w:rsidRPr="00D634D6">
        <w:rPr>
          <w:rFonts w:ascii="Palatino Linotype" w:eastAsia="Calibri" w:hAnsi="Palatino Linotype" w:cs="Arial"/>
          <w:b/>
          <w:sz w:val="24"/>
          <w:szCs w:val="24"/>
          <w:lang w:val="es-ES"/>
        </w:rPr>
        <w:t>Atizapán</w:t>
      </w:r>
      <w:r w:rsidR="00C23AC2" w:rsidRPr="00D634D6">
        <w:rPr>
          <w:rFonts w:ascii="Palatino Linotype" w:eastAsia="Calibri" w:hAnsi="Palatino Linotype" w:cs="Arial"/>
          <w:b/>
          <w:sz w:val="24"/>
          <w:szCs w:val="24"/>
          <w:lang w:val="es-ES"/>
        </w:rPr>
        <w:t xml:space="preserve">, </w:t>
      </w:r>
      <w:r w:rsidR="00096913" w:rsidRPr="00D634D6">
        <w:rPr>
          <w:rFonts w:ascii="Palatino Linotype" w:eastAsia="Calibri" w:hAnsi="Palatino Linotype" w:cs="Arial"/>
          <w:sz w:val="24"/>
          <w:szCs w:val="24"/>
          <w:lang w:val="es-ES"/>
        </w:rPr>
        <w:t>e</w:t>
      </w:r>
      <w:r w:rsidR="003D50AD" w:rsidRPr="00D634D6">
        <w:rPr>
          <w:rFonts w:ascii="Palatino Linotype" w:eastAsia="Times New Roman" w:hAnsi="Palatino Linotype" w:cs="Arial"/>
          <w:sz w:val="24"/>
          <w:szCs w:val="24"/>
          <w:lang w:val="es-ES"/>
        </w:rPr>
        <w:t xml:space="preserve">ntregar vía </w:t>
      </w:r>
      <w:r w:rsidR="003D50AD" w:rsidRPr="00D634D6">
        <w:rPr>
          <w:rFonts w:ascii="Palatino Linotype" w:eastAsia="Times New Roman" w:hAnsi="Palatino Linotype" w:cs="Arial"/>
          <w:sz w:val="24"/>
          <w:szCs w:val="24"/>
        </w:rPr>
        <w:t>Sistema de Acceso a Información Mexiquense (</w:t>
      </w:r>
      <w:r w:rsidR="003D50AD" w:rsidRPr="00D634D6">
        <w:rPr>
          <w:rFonts w:ascii="Palatino Linotype" w:eastAsia="Times New Roman" w:hAnsi="Palatino Linotype" w:cs="Arial"/>
          <w:i/>
          <w:sz w:val="24"/>
          <w:szCs w:val="24"/>
        </w:rPr>
        <w:t>SAIMEX</w:t>
      </w:r>
      <w:r w:rsidR="003D50AD" w:rsidRPr="00D634D6">
        <w:rPr>
          <w:rFonts w:ascii="Palatino Linotype" w:eastAsia="Times New Roman" w:hAnsi="Palatino Linotype" w:cs="Arial"/>
          <w:sz w:val="24"/>
          <w:szCs w:val="24"/>
        </w:rPr>
        <w:t>)</w:t>
      </w:r>
      <w:r w:rsidR="001F48F8" w:rsidRPr="00D634D6">
        <w:rPr>
          <w:rFonts w:ascii="Palatino Linotype" w:eastAsia="Times New Roman" w:hAnsi="Palatino Linotype" w:cs="Arial"/>
          <w:sz w:val="24"/>
          <w:szCs w:val="24"/>
          <w:lang w:val="es-ES"/>
        </w:rPr>
        <w:t xml:space="preserve">, </w:t>
      </w:r>
      <w:r w:rsidR="002759AB" w:rsidRPr="00D634D6">
        <w:rPr>
          <w:rFonts w:ascii="Palatino Linotype" w:eastAsia="Times New Roman" w:hAnsi="Palatino Linotype" w:cs="Arial"/>
          <w:sz w:val="24"/>
          <w:szCs w:val="24"/>
          <w:lang w:val="es-ES"/>
        </w:rPr>
        <w:t xml:space="preserve">en versión pública, </w:t>
      </w:r>
      <w:r w:rsidR="002A64D7" w:rsidRPr="00D634D6">
        <w:rPr>
          <w:rFonts w:ascii="Palatino Linotype" w:eastAsia="Times New Roman" w:hAnsi="Palatino Linotype" w:cs="Arial"/>
          <w:sz w:val="24"/>
          <w:szCs w:val="24"/>
          <w:lang w:val="es-ES"/>
        </w:rPr>
        <w:t xml:space="preserve">previa búsqueda exhaustiva y razonable, </w:t>
      </w:r>
      <w:r w:rsidR="002759AB" w:rsidRPr="00D634D6">
        <w:rPr>
          <w:rFonts w:ascii="Palatino Linotype" w:eastAsia="Times New Roman" w:hAnsi="Palatino Linotype" w:cs="Arial"/>
          <w:sz w:val="24"/>
          <w:szCs w:val="24"/>
          <w:lang w:val="es-ES"/>
        </w:rPr>
        <w:t>el soporte documental siguiente, del veintiuno (21) de octubre del dos mil dieciocho al veintiuno (21) de octubre del dos mil diecinueve</w:t>
      </w:r>
      <w:r w:rsidR="003D50AD" w:rsidRPr="00D634D6">
        <w:rPr>
          <w:rFonts w:ascii="Palatino Linotype" w:eastAsia="Calibri" w:hAnsi="Palatino Linotype" w:cs="Arial"/>
          <w:sz w:val="24"/>
          <w:szCs w:val="24"/>
          <w:lang w:val="es-ES"/>
        </w:rPr>
        <w:t>:</w:t>
      </w:r>
    </w:p>
    <w:p w:rsidR="00D634D6" w:rsidRPr="00D634D6" w:rsidRDefault="00D634D6" w:rsidP="00D634D6">
      <w:pPr>
        <w:spacing w:line="360" w:lineRule="auto"/>
        <w:jc w:val="both"/>
        <w:rPr>
          <w:rFonts w:ascii="Palatino Linotype" w:eastAsia="Calibri" w:hAnsi="Palatino Linotype" w:cs="Arial"/>
          <w:sz w:val="24"/>
          <w:szCs w:val="24"/>
          <w:lang w:val="es-ES"/>
        </w:rPr>
      </w:pPr>
    </w:p>
    <w:p w:rsidR="007C57E0" w:rsidRPr="00D634D6" w:rsidRDefault="007C57E0" w:rsidP="00D634D6">
      <w:pPr>
        <w:pStyle w:val="Prrafodelista"/>
        <w:numPr>
          <w:ilvl w:val="1"/>
          <w:numId w:val="26"/>
        </w:numPr>
        <w:tabs>
          <w:tab w:val="left" w:pos="142"/>
          <w:tab w:val="left" w:pos="851"/>
        </w:tabs>
        <w:spacing w:line="360" w:lineRule="auto"/>
        <w:ind w:left="567" w:right="567" w:firstLine="0"/>
        <w:jc w:val="both"/>
        <w:rPr>
          <w:rFonts w:ascii="Palatino Linotype" w:eastAsia="Calibri" w:hAnsi="Palatino Linotype" w:cs="Times New Roman"/>
          <w:b/>
          <w:sz w:val="24"/>
          <w:szCs w:val="24"/>
        </w:rPr>
      </w:pPr>
      <w:r w:rsidRPr="00D634D6">
        <w:rPr>
          <w:rFonts w:ascii="Palatino Linotype" w:eastAsia="Calibri" w:hAnsi="Palatino Linotype" w:cs="Times New Roman"/>
          <w:sz w:val="24"/>
          <w:szCs w:val="24"/>
        </w:rPr>
        <w:t xml:space="preserve">Facturas y contratos </w:t>
      </w:r>
      <w:r w:rsidR="002759AB" w:rsidRPr="00D634D6">
        <w:rPr>
          <w:rFonts w:ascii="Palatino Linotype" w:eastAsia="Calibri" w:hAnsi="Palatino Linotype" w:cs="Times New Roman"/>
          <w:sz w:val="24"/>
          <w:szCs w:val="24"/>
        </w:rPr>
        <w:t>de bienes comprados o rentados para seguridad pública, con recursos federales; y,</w:t>
      </w:r>
    </w:p>
    <w:p w:rsidR="002759AB" w:rsidRPr="00D634D6" w:rsidRDefault="002759AB" w:rsidP="00D634D6">
      <w:pPr>
        <w:pStyle w:val="Prrafodelista"/>
        <w:tabs>
          <w:tab w:val="left" w:pos="142"/>
          <w:tab w:val="left" w:pos="851"/>
        </w:tabs>
        <w:spacing w:line="360" w:lineRule="auto"/>
        <w:ind w:left="567" w:right="567"/>
        <w:jc w:val="both"/>
        <w:rPr>
          <w:rFonts w:ascii="Palatino Linotype" w:eastAsia="Calibri" w:hAnsi="Palatino Linotype" w:cs="Times New Roman"/>
          <w:b/>
          <w:sz w:val="24"/>
          <w:szCs w:val="24"/>
        </w:rPr>
      </w:pPr>
    </w:p>
    <w:p w:rsidR="007C57E0" w:rsidRPr="00D634D6" w:rsidRDefault="007C57E0" w:rsidP="00D634D6">
      <w:pPr>
        <w:pStyle w:val="Prrafodelista"/>
        <w:numPr>
          <w:ilvl w:val="1"/>
          <w:numId w:val="26"/>
        </w:numPr>
        <w:tabs>
          <w:tab w:val="left" w:pos="142"/>
          <w:tab w:val="left" w:pos="851"/>
        </w:tabs>
        <w:spacing w:line="360" w:lineRule="auto"/>
        <w:ind w:left="567" w:right="567" w:firstLine="0"/>
        <w:jc w:val="both"/>
        <w:rPr>
          <w:rFonts w:ascii="Palatino Linotype" w:eastAsia="Calibri" w:hAnsi="Palatino Linotype" w:cs="Times New Roman"/>
          <w:b/>
          <w:sz w:val="24"/>
          <w:szCs w:val="24"/>
        </w:rPr>
      </w:pPr>
      <w:r w:rsidRPr="00D634D6">
        <w:rPr>
          <w:rFonts w:ascii="Palatino Linotype" w:eastAsia="Calibri" w:hAnsi="Palatino Linotype" w:cs="Times New Roman"/>
          <w:sz w:val="24"/>
          <w:szCs w:val="24"/>
        </w:rPr>
        <w:t xml:space="preserve">Facturas y contratos </w:t>
      </w:r>
      <w:r w:rsidR="002759AB" w:rsidRPr="00D634D6">
        <w:rPr>
          <w:rFonts w:ascii="Palatino Linotype" w:eastAsia="Calibri" w:hAnsi="Palatino Linotype" w:cs="Times New Roman"/>
          <w:sz w:val="24"/>
          <w:szCs w:val="24"/>
        </w:rPr>
        <w:t>de bienes comprados o</w:t>
      </w:r>
      <w:r w:rsidRPr="00D634D6">
        <w:rPr>
          <w:rFonts w:ascii="Palatino Linotype" w:eastAsia="Calibri" w:hAnsi="Palatino Linotype" w:cs="Times New Roman"/>
          <w:sz w:val="24"/>
          <w:szCs w:val="24"/>
        </w:rPr>
        <w:t xml:space="preserve"> </w:t>
      </w:r>
      <w:r w:rsidR="002759AB" w:rsidRPr="00D634D6">
        <w:rPr>
          <w:rFonts w:ascii="Palatino Linotype" w:eastAsia="Calibri" w:hAnsi="Palatino Linotype" w:cs="Times New Roman"/>
          <w:sz w:val="24"/>
          <w:szCs w:val="24"/>
        </w:rPr>
        <w:t>rentados para seguridad pública, con recursos locales.</w:t>
      </w:r>
    </w:p>
    <w:p w:rsidR="00D634D6" w:rsidRPr="00D634D6" w:rsidRDefault="00D634D6" w:rsidP="00D634D6">
      <w:pPr>
        <w:tabs>
          <w:tab w:val="left" w:pos="142"/>
          <w:tab w:val="left" w:pos="851"/>
        </w:tabs>
        <w:spacing w:line="360" w:lineRule="auto"/>
        <w:ind w:right="567"/>
        <w:jc w:val="both"/>
        <w:rPr>
          <w:rFonts w:ascii="Palatino Linotype" w:eastAsia="Calibri" w:hAnsi="Palatino Linotype" w:cs="Times New Roman"/>
          <w:b/>
          <w:sz w:val="24"/>
          <w:szCs w:val="24"/>
        </w:rPr>
      </w:pPr>
    </w:p>
    <w:p w:rsidR="001F48F8" w:rsidRPr="00D634D6" w:rsidRDefault="001F48F8" w:rsidP="00D634D6">
      <w:pPr>
        <w:spacing w:line="360" w:lineRule="auto"/>
        <w:jc w:val="both"/>
        <w:rPr>
          <w:rFonts w:ascii="Palatino Linotype" w:eastAsia="Palatino Linotype" w:hAnsi="Palatino Linotype" w:cs="Palatino Linotype"/>
          <w:sz w:val="24"/>
          <w:szCs w:val="24"/>
          <w:lang w:val="es-ES_tradnl"/>
        </w:rPr>
      </w:pPr>
      <w:r w:rsidRPr="00D634D6">
        <w:rPr>
          <w:rFonts w:ascii="Palatino Linotype" w:eastAsia="Palatino Linotype" w:hAnsi="Palatino Linotype" w:cs="Palatino Linotype"/>
          <w:sz w:val="24"/>
          <w:szCs w:val="24"/>
          <w:lang w:val="es-ES_tradn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rsidR="00A6564C" w:rsidRPr="00D634D6" w:rsidRDefault="00A6564C" w:rsidP="00D634D6">
      <w:pPr>
        <w:spacing w:line="360" w:lineRule="auto"/>
        <w:jc w:val="both"/>
        <w:rPr>
          <w:rFonts w:ascii="Palatino Linotype" w:eastAsia="Palatino Linotype" w:hAnsi="Palatino Linotype" w:cs="Palatino Linotype"/>
        </w:rPr>
      </w:pPr>
    </w:p>
    <w:p w:rsidR="007C57E0" w:rsidRPr="00D634D6" w:rsidRDefault="007C57E0" w:rsidP="00D634D6">
      <w:pPr>
        <w:spacing w:line="360" w:lineRule="auto"/>
        <w:jc w:val="both"/>
        <w:rPr>
          <w:rFonts w:ascii="Palatino Linotype" w:eastAsia="Palatino Linotype" w:hAnsi="Palatino Linotype" w:cs="Palatino Linotype"/>
          <w:sz w:val="24"/>
          <w:szCs w:val="24"/>
          <w:lang w:val="es-ES_tradnl"/>
        </w:rPr>
      </w:pPr>
      <w:r w:rsidRPr="00D634D6">
        <w:rPr>
          <w:rFonts w:ascii="Palatino Linotype" w:eastAsia="Palatino Linotype" w:hAnsi="Palatino Linotype" w:cs="Palatino Linotype"/>
          <w:sz w:val="24"/>
          <w:szCs w:val="24"/>
          <w:lang w:val="es-ES_tradnl"/>
        </w:rPr>
        <w:lastRenderedPageBreak/>
        <w:t xml:space="preserve">Para el caso de que la información </w:t>
      </w:r>
      <w:r w:rsidR="002759AB" w:rsidRPr="00D634D6">
        <w:rPr>
          <w:rFonts w:ascii="Palatino Linotype" w:eastAsia="Palatino Linotype" w:hAnsi="Palatino Linotype" w:cs="Palatino Linotype"/>
          <w:sz w:val="24"/>
          <w:szCs w:val="24"/>
          <w:lang w:val="es-ES_tradnl"/>
        </w:rPr>
        <w:t xml:space="preserve">que se ordena en el </w:t>
      </w:r>
      <w:r w:rsidRPr="00D634D6">
        <w:rPr>
          <w:rFonts w:ascii="Palatino Linotype" w:eastAsia="Palatino Linotype" w:hAnsi="Palatino Linotype" w:cs="Palatino Linotype"/>
          <w:sz w:val="24"/>
          <w:szCs w:val="24"/>
          <w:lang w:val="es-ES_tradnl"/>
        </w:rPr>
        <w:t>inciso</w:t>
      </w:r>
      <w:r w:rsidR="00DD62DC" w:rsidRPr="00D634D6">
        <w:rPr>
          <w:rFonts w:ascii="Palatino Linotype" w:eastAsia="Palatino Linotype" w:hAnsi="Palatino Linotype" w:cs="Palatino Linotype"/>
          <w:sz w:val="24"/>
          <w:szCs w:val="24"/>
          <w:lang w:val="es-ES_tradnl"/>
        </w:rPr>
        <w:t xml:space="preserve"> </w:t>
      </w:r>
      <w:r w:rsidR="00DD62DC" w:rsidRPr="00D634D6">
        <w:rPr>
          <w:rFonts w:ascii="Palatino Linotype" w:eastAsia="Palatino Linotype" w:hAnsi="Palatino Linotype" w:cs="Palatino Linotype"/>
          <w:b/>
          <w:i/>
          <w:sz w:val="24"/>
          <w:szCs w:val="24"/>
          <w:lang w:val="es-ES_tradnl"/>
        </w:rPr>
        <w:t>b)</w:t>
      </w:r>
      <w:r w:rsidRPr="00D634D6">
        <w:rPr>
          <w:rFonts w:ascii="Palatino Linotype" w:eastAsia="Palatino Linotype" w:hAnsi="Palatino Linotype" w:cs="Palatino Linotype"/>
          <w:sz w:val="24"/>
          <w:szCs w:val="24"/>
          <w:lang w:val="es-ES_tradnl"/>
        </w:rPr>
        <w:t xml:space="preserve"> no haya sido generada, poseída o administrada, el </w:t>
      </w:r>
      <w:r w:rsidRPr="00D634D6">
        <w:rPr>
          <w:rFonts w:ascii="Palatino Linotype" w:eastAsia="Palatino Linotype" w:hAnsi="Palatino Linotype" w:cs="Palatino Linotype"/>
          <w:b/>
          <w:bCs/>
          <w:sz w:val="24"/>
          <w:szCs w:val="24"/>
          <w:lang w:val="es-ES_tradnl"/>
        </w:rPr>
        <w:t>SUJETO OBLIGADO</w:t>
      </w:r>
      <w:r w:rsidRPr="00D634D6">
        <w:rPr>
          <w:rFonts w:ascii="Palatino Linotype" w:eastAsia="Palatino Linotype" w:hAnsi="Palatino Linotype" w:cs="Palatino Linotype"/>
          <w:sz w:val="24"/>
          <w:szCs w:val="24"/>
          <w:lang w:val="es-ES_tradnl"/>
        </w:rPr>
        <w:t xml:space="preserve"> deberá </w:t>
      </w:r>
      <w:r w:rsidR="00992AE6" w:rsidRPr="00D634D6">
        <w:rPr>
          <w:rFonts w:ascii="Palatino Linotype" w:eastAsia="Palatino Linotype" w:hAnsi="Palatino Linotype" w:cs="Palatino Linotype"/>
          <w:sz w:val="24"/>
          <w:szCs w:val="24"/>
          <w:lang w:val="es-ES_tradnl"/>
        </w:rPr>
        <w:t xml:space="preserve">manifestar de manera clara y precisa </w:t>
      </w:r>
      <w:r w:rsidRPr="00D634D6">
        <w:rPr>
          <w:rFonts w:ascii="Palatino Linotype" w:eastAsia="Palatino Linotype" w:hAnsi="Palatino Linotype" w:cs="Palatino Linotype"/>
          <w:sz w:val="24"/>
          <w:szCs w:val="24"/>
          <w:lang w:val="es-ES_tradnl"/>
        </w:rPr>
        <w:t xml:space="preserve">las </w:t>
      </w:r>
      <w:r w:rsidR="00992AE6" w:rsidRPr="00D634D6">
        <w:rPr>
          <w:rFonts w:ascii="Palatino Linotype" w:eastAsia="Palatino Linotype" w:hAnsi="Palatino Linotype" w:cs="Palatino Linotype"/>
          <w:sz w:val="24"/>
          <w:szCs w:val="24"/>
          <w:lang w:val="es-ES_tradnl"/>
        </w:rPr>
        <w:t>razones que expliquen las causas</w:t>
      </w:r>
      <w:r w:rsidRPr="00D634D6">
        <w:rPr>
          <w:rFonts w:ascii="Palatino Linotype" w:eastAsia="Palatino Linotype" w:hAnsi="Palatino Linotype" w:cs="Palatino Linotype"/>
          <w:sz w:val="24"/>
          <w:szCs w:val="24"/>
          <w:lang w:val="es-ES_tradnl"/>
        </w:rPr>
        <w:t xml:space="preserve"> por las </w:t>
      </w:r>
      <w:r w:rsidR="00992AE6" w:rsidRPr="00D634D6">
        <w:rPr>
          <w:rFonts w:ascii="Palatino Linotype" w:eastAsia="Palatino Linotype" w:hAnsi="Palatino Linotype" w:cs="Palatino Linotype"/>
          <w:sz w:val="24"/>
          <w:szCs w:val="24"/>
          <w:lang w:val="es-ES_tradnl"/>
        </w:rPr>
        <w:t xml:space="preserve">cuales </w:t>
      </w:r>
      <w:r w:rsidRPr="00D634D6">
        <w:rPr>
          <w:rFonts w:ascii="Palatino Linotype" w:eastAsia="Palatino Linotype" w:hAnsi="Palatino Linotype" w:cs="Palatino Linotype"/>
          <w:sz w:val="24"/>
          <w:szCs w:val="24"/>
          <w:lang w:val="es-ES_tradnl"/>
        </w:rPr>
        <w:t xml:space="preserve">no se </w:t>
      </w:r>
      <w:r w:rsidR="00992AE6" w:rsidRPr="00D634D6">
        <w:rPr>
          <w:rFonts w:ascii="Palatino Linotype" w:eastAsia="Palatino Linotype" w:hAnsi="Palatino Linotype" w:cs="Palatino Linotype"/>
          <w:sz w:val="24"/>
          <w:szCs w:val="24"/>
          <w:lang w:val="es-ES_tradnl"/>
        </w:rPr>
        <w:t>haya generado, poseído o administrado</w:t>
      </w:r>
      <w:r w:rsidRPr="00D634D6">
        <w:rPr>
          <w:rFonts w:ascii="Palatino Linotype" w:eastAsia="Palatino Linotype" w:hAnsi="Palatino Linotype" w:cs="Palatino Linotype"/>
          <w:sz w:val="24"/>
          <w:szCs w:val="24"/>
          <w:lang w:val="es-ES_tradnl"/>
        </w:rPr>
        <w:t>.</w:t>
      </w:r>
    </w:p>
    <w:p w:rsidR="007C57E0" w:rsidRPr="00D634D6" w:rsidRDefault="007C57E0" w:rsidP="00D634D6">
      <w:pPr>
        <w:spacing w:line="360" w:lineRule="auto"/>
        <w:jc w:val="both"/>
        <w:rPr>
          <w:rFonts w:ascii="Palatino Linotype" w:eastAsia="Palatino Linotype" w:hAnsi="Palatino Linotype" w:cs="Palatino Linotype"/>
          <w:sz w:val="24"/>
          <w:szCs w:val="24"/>
          <w:lang w:val="es-ES_tradnl"/>
        </w:rPr>
      </w:pPr>
    </w:p>
    <w:p w:rsidR="003D50AD" w:rsidRPr="00D634D6" w:rsidRDefault="008C54C1" w:rsidP="00D634D6">
      <w:pPr>
        <w:spacing w:line="360" w:lineRule="auto"/>
        <w:jc w:val="both"/>
        <w:rPr>
          <w:rFonts w:ascii="Palatino Linotype" w:hAnsi="Palatino Linotype"/>
          <w:sz w:val="24"/>
          <w:szCs w:val="24"/>
          <w:shd w:val="clear" w:color="auto" w:fill="FFFFFF"/>
        </w:rPr>
      </w:pPr>
      <w:r w:rsidRPr="00D634D6">
        <w:rPr>
          <w:rFonts w:ascii="Palatino Linotype" w:eastAsia="Palatino Linotype" w:hAnsi="Palatino Linotype" w:cs="Palatino Linotype"/>
          <w:b/>
          <w:sz w:val="24"/>
          <w:szCs w:val="24"/>
        </w:rPr>
        <w:t>TERCERO. Notifíquese</w:t>
      </w:r>
      <w:r w:rsidRPr="00D634D6">
        <w:rPr>
          <w:rFonts w:ascii="Palatino Linotype" w:eastAsia="Palatino Linotype" w:hAnsi="Palatino Linotype" w:cs="Palatino Linotype"/>
          <w:sz w:val="24"/>
          <w:szCs w:val="24"/>
        </w:rPr>
        <w:t xml:space="preserve"> </w:t>
      </w:r>
      <w:r w:rsidR="003D50AD" w:rsidRPr="00D634D6">
        <w:rPr>
          <w:rFonts w:ascii="Palatino Linotype" w:eastAsia="Palatino Linotype" w:hAnsi="Palatino Linotype" w:cs="Palatino Linotype"/>
          <w:sz w:val="24"/>
          <w:szCs w:val="24"/>
        </w:rPr>
        <w:t xml:space="preserve">al Titular de la Unidad de Transparencia del </w:t>
      </w:r>
      <w:r w:rsidR="003D50AD" w:rsidRPr="00D634D6">
        <w:rPr>
          <w:rFonts w:ascii="Palatino Linotype" w:eastAsia="Palatino Linotype" w:hAnsi="Palatino Linotype" w:cs="Palatino Linotype"/>
          <w:b/>
          <w:sz w:val="24"/>
          <w:szCs w:val="24"/>
        </w:rPr>
        <w:t>SUJETO OBLIGADO</w:t>
      </w:r>
      <w:r w:rsidR="003D50AD" w:rsidRPr="00D634D6">
        <w:rPr>
          <w:rFonts w:ascii="Palatino Linotype" w:eastAsia="Palatino Linotype" w:hAnsi="Palatino Linotype" w:cs="Palatino Linotype"/>
          <w:sz w:val="24"/>
          <w:szCs w:val="24"/>
        </w:rPr>
        <w:t xml:space="preserve">, para que conforme a los artículos 186 último párrafo, 189 párrafo segundo y 199 de la Ley de Transparencia y Acceso a la Información Pública del Estado de México y Municipios, </w:t>
      </w:r>
      <w:r w:rsidR="003D50AD" w:rsidRPr="00D634D6">
        <w:rPr>
          <w:rFonts w:ascii="Palatino Linotype" w:hAnsi="Palatino Linotype"/>
          <w:sz w:val="24"/>
          <w:szCs w:val="24"/>
          <w:shd w:val="clear" w:color="auto" w:fill="FFFFFF"/>
        </w:rPr>
        <w:t>vigente, dé cumplimiento a lo ordenado dentro del plazo de diez días hábiles, debiendo rendir a este Instituto el informe de cumplimiento de la resolución en un plazo de tres días hábiles posteriores.</w:t>
      </w:r>
    </w:p>
    <w:p w:rsidR="008C54C1" w:rsidRPr="00D634D6" w:rsidRDefault="008C54C1" w:rsidP="00D634D6">
      <w:pPr>
        <w:spacing w:line="360" w:lineRule="auto"/>
        <w:jc w:val="both"/>
        <w:rPr>
          <w:rFonts w:ascii="Palatino Linotype" w:hAnsi="Palatino Linotype"/>
          <w:sz w:val="24"/>
          <w:szCs w:val="24"/>
          <w:shd w:val="clear" w:color="auto" w:fill="FFFFFF"/>
        </w:rPr>
      </w:pPr>
    </w:p>
    <w:p w:rsidR="003D50AD" w:rsidRPr="00D634D6" w:rsidRDefault="008C54C1" w:rsidP="00D634D6">
      <w:pPr>
        <w:spacing w:line="360" w:lineRule="auto"/>
        <w:jc w:val="both"/>
        <w:rPr>
          <w:rFonts w:ascii="Palatino Linotype" w:eastAsia="Times New Roman" w:hAnsi="Palatino Linotype" w:cs="Times New Roman"/>
          <w:sz w:val="24"/>
          <w:szCs w:val="24"/>
          <w:lang w:val="es-ES" w:eastAsia="es-MX"/>
        </w:rPr>
      </w:pPr>
      <w:r w:rsidRPr="00D634D6">
        <w:rPr>
          <w:rFonts w:ascii="Palatino Linotype" w:eastAsia="Times New Roman" w:hAnsi="Palatino Linotype" w:cs="Arial"/>
          <w:b/>
          <w:sz w:val="24"/>
          <w:szCs w:val="24"/>
          <w:lang w:val="es-ES"/>
        </w:rPr>
        <w:t>CUARTO.</w:t>
      </w:r>
      <w:r w:rsidRPr="00D634D6">
        <w:rPr>
          <w:rFonts w:ascii="Palatino Linotype" w:eastAsia="Times New Roman" w:hAnsi="Palatino Linotype" w:cs="Arial"/>
          <w:sz w:val="24"/>
          <w:szCs w:val="24"/>
          <w:lang w:val="es-ES"/>
        </w:rPr>
        <w:t xml:space="preserve"> Notifíquese a </w:t>
      </w:r>
      <w:r w:rsidR="00D522C4" w:rsidRPr="000E428B">
        <w:rPr>
          <w:rFonts w:ascii="Palatino Linotype" w:hAnsi="Palatino Linotype"/>
          <w:b/>
          <w:highlight w:val="black"/>
        </w:rPr>
        <w:t>------------</w:t>
      </w:r>
      <w:r w:rsidR="00D522C4">
        <w:rPr>
          <w:rFonts w:ascii="Palatino Linotype" w:hAnsi="Palatino Linotype"/>
          <w:b/>
          <w:highlight w:val="black"/>
        </w:rPr>
        <w:t>-----</w:t>
      </w:r>
      <w:r w:rsidR="00D522C4" w:rsidRPr="000E428B">
        <w:rPr>
          <w:rFonts w:ascii="Palatino Linotype" w:hAnsi="Palatino Linotype"/>
          <w:b/>
          <w:highlight w:val="black"/>
        </w:rPr>
        <w:t>---</w:t>
      </w:r>
      <w:r w:rsidR="00D522C4">
        <w:rPr>
          <w:rFonts w:ascii="Palatino Linotype" w:hAnsi="Palatino Linotype"/>
          <w:b/>
        </w:rPr>
        <w:t xml:space="preserve"> </w:t>
      </w:r>
      <w:r w:rsidR="003D50AD" w:rsidRPr="00D634D6">
        <w:rPr>
          <w:rStyle w:val="Ttulo2Car"/>
          <w:rFonts w:ascii="Palatino Linotype" w:hAnsi="Palatino Linotype"/>
          <w:color w:val="auto"/>
          <w:sz w:val="24"/>
          <w:szCs w:val="24"/>
        </w:rPr>
        <w:t>la presente</w:t>
      </w:r>
      <w:r w:rsidR="003D50AD" w:rsidRPr="00D634D6">
        <w:rPr>
          <w:rFonts w:ascii="Palatino Linotype" w:eastAsia="Times New Roman" w:hAnsi="Palatino Linotype" w:cs="Times New Roman"/>
          <w:sz w:val="24"/>
          <w:szCs w:val="24"/>
          <w:lang w:val="es-ES" w:eastAsia="es-MX"/>
        </w:rPr>
        <w:t xml:space="preserve"> resolución.</w:t>
      </w:r>
    </w:p>
    <w:p w:rsidR="008C54C1" w:rsidRPr="00D634D6" w:rsidRDefault="008C54C1" w:rsidP="00D634D6">
      <w:pPr>
        <w:spacing w:line="360" w:lineRule="auto"/>
        <w:jc w:val="both"/>
        <w:rPr>
          <w:rFonts w:ascii="Palatino Linotype" w:eastAsia="Times New Roman" w:hAnsi="Palatino Linotype" w:cs="Arial"/>
          <w:b/>
          <w:sz w:val="24"/>
          <w:szCs w:val="24"/>
          <w:lang w:val="es-ES"/>
        </w:rPr>
      </w:pPr>
    </w:p>
    <w:p w:rsidR="003D50AD" w:rsidRPr="00D634D6" w:rsidRDefault="003D50AD" w:rsidP="00D634D6">
      <w:pPr>
        <w:spacing w:line="360" w:lineRule="auto"/>
        <w:jc w:val="both"/>
        <w:rPr>
          <w:rFonts w:ascii="Palatino Linotype" w:eastAsia="Times New Roman" w:hAnsi="Palatino Linotype" w:cs="Times New Roman"/>
          <w:sz w:val="24"/>
          <w:szCs w:val="24"/>
          <w:lang w:val="es-ES" w:eastAsia="es-MX"/>
        </w:rPr>
      </w:pPr>
      <w:r w:rsidRPr="00D634D6">
        <w:rPr>
          <w:rFonts w:ascii="Palatino Linotype" w:eastAsia="Calibri" w:hAnsi="Palatino Linotype" w:cs="Times New Roman"/>
          <w:b/>
          <w:sz w:val="24"/>
          <w:szCs w:val="24"/>
        </w:rPr>
        <w:t>QUINTO.</w:t>
      </w:r>
      <w:r w:rsidRPr="00D634D6">
        <w:rPr>
          <w:rFonts w:ascii="Palatino Linotype" w:eastAsia="Calibri" w:hAnsi="Palatino Linotype" w:cs="Times New Roman"/>
          <w:sz w:val="24"/>
          <w:szCs w:val="24"/>
        </w:rPr>
        <w:t xml:space="preserve"> </w:t>
      </w:r>
      <w:r w:rsidRPr="00D634D6">
        <w:rPr>
          <w:rFonts w:ascii="Palatino Linotype" w:eastAsia="Times New Roman" w:hAnsi="Palatino Linotype" w:cs="Times New Roman"/>
          <w:sz w:val="24"/>
          <w:szCs w:val="24"/>
          <w:lang w:val="es-ES" w:eastAsia="es-MX"/>
        </w:rPr>
        <w:t xml:space="preserve">Se hace del conocimiento de </w:t>
      </w:r>
      <w:r w:rsidR="00D522C4" w:rsidRPr="000E428B">
        <w:rPr>
          <w:rFonts w:ascii="Palatino Linotype" w:hAnsi="Palatino Linotype"/>
          <w:b/>
          <w:highlight w:val="black"/>
        </w:rPr>
        <w:t>------------</w:t>
      </w:r>
      <w:r w:rsidR="00D522C4">
        <w:rPr>
          <w:rFonts w:ascii="Palatino Linotype" w:hAnsi="Palatino Linotype"/>
          <w:b/>
          <w:highlight w:val="black"/>
        </w:rPr>
        <w:t>-----</w:t>
      </w:r>
      <w:r w:rsidR="00D522C4" w:rsidRPr="000E428B">
        <w:rPr>
          <w:rFonts w:ascii="Palatino Linotype" w:hAnsi="Palatino Linotype"/>
          <w:b/>
          <w:highlight w:val="black"/>
        </w:rPr>
        <w:t>---</w:t>
      </w:r>
      <w:r w:rsidR="00D522C4">
        <w:rPr>
          <w:rFonts w:ascii="Palatino Linotype" w:hAnsi="Palatino Linotype"/>
          <w:b/>
        </w:rPr>
        <w:t xml:space="preserve"> </w:t>
      </w:r>
      <w:bookmarkStart w:id="39" w:name="_GoBack"/>
      <w:bookmarkEnd w:id="39"/>
      <w:r w:rsidRPr="00D634D6">
        <w:rPr>
          <w:rFonts w:ascii="Palatino Linotype" w:eastAsia="Times New Roman" w:hAnsi="Palatino Linotype" w:cs="Times New Roman"/>
          <w:sz w:val="24"/>
          <w:szCs w:val="24"/>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w:t>
      </w:r>
      <w:r w:rsidR="00110244" w:rsidRPr="00D634D6">
        <w:rPr>
          <w:rFonts w:ascii="Palatino Linotype" w:eastAsia="Times New Roman" w:hAnsi="Palatino Linotype" w:cs="Times New Roman"/>
          <w:sz w:val="24"/>
          <w:szCs w:val="24"/>
          <w:lang w:val="es-ES" w:eastAsia="es-MX"/>
        </w:rPr>
        <w:t xml:space="preserve"> </w:t>
      </w:r>
      <w:r w:rsidRPr="00D634D6">
        <w:rPr>
          <w:rFonts w:ascii="Palatino Linotype" w:eastAsia="Times New Roman" w:hAnsi="Palatino Linotype" w:cs="Times New Roman"/>
          <w:bCs/>
          <w:sz w:val="24"/>
          <w:szCs w:val="24"/>
          <w:lang w:val="es-ES" w:eastAsia="es-MX"/>
        </w:rPr>
        <w:t>vía juicio de amparo</w:t>
      </w:r>
      <w:r w:rsidR="00110244" w:rsidRPr="00D634D6">
        <w:rPr>
          <w:rFonts w:ascii="Palatino Linotype" w:eastAsia="Times New Roman" w:hAnsi="Palatino Linotype" w:cs="Times New Roman"/>
          <w:bCs/>
          <w:sz w:val="24"/>
          <w:szCs w:val="24"/>
          <w:lang w:val="es-ES" w:eastAsia="es-MX"/>
        </w:rPr>
        <w:t xml:space="preserve"> </w:t>
      </w:r>
      <w:r w:rsidRPr="00D634D6">
        <w:rPr>
          <w:rFonts w:ascii="Palatino Linotype" w:eastAsia="Times New Roman" w:hAnsi="Palatino Linotype" w:cs="Times New Roman"/>
          <w:sz w:val="24"/>
          <w:szCs w:val="24"/>
          <w:lang w:val="es-ES" w:eastAsia="es-MX"/>
        </w:rPr>
        <w:t>en los términos de las leyes aplicables.</w:t>
      </w:r>
    </w:p>
    <w:p w:rsidR="008C54C1" w:rsidRPr="00D634D6" w:rsidRDefault="008C54C1" w:rsidP="00D634D6">
      <w:pPr>
        <w:spacing w:line="360" w:lineRule="auto"/>
        <w:jc w:val="both"/>
        <w:rPr>
          <w:rFonts w:ascii="Palatino Linotype" w:eastAsia="Times New Roman" w:hAnsi="Palatino Linotype" w:cs="Times New Roman"/>
          <w:sz w:val="24"/>
          <w:szCs w:val="24"/>
          <w:lang w:val="es-ES" w:eastAsia="es-MX"/>
        </w:rPr>
      </w:pPr>
    </w:p>
    <w:p w:rsidR="003D50AD" w:rsidRDefault="003D50AD" w:rsidP="00D634D6">
      <w:pPr>
        <w:spacing w:line="360" w:lineRule="auto"/>
        <w:jc w:val="both"/>
        <w:rPr>
          <w:rFonts w:ascii="Palatino Linotype" w:eastAsia="MS Mincho" w:hAnsi="Palatino Linotype" w:cs="Times New Roman"/>
          <w:sz w:val="24"/>
          <w:szCs w:val="24"/>
        </w:rPr>
      </w:pPr>
      <w:r w:rsidRPr="00D634D6">
        <w:rPr>
          <w:rFonts w:ascii="Palatino Linotype" w:eastAsia="Calibri" w:hAnsi="Palatino Linotype" w:cs="Times New Roman"/>
          <w:b/>
          <w:sz w:val="24"/>
          <w:szCs w:val="24"/>
        </w:rPr>
        <w:t>SEXTO.</w:t>
      </w:r>
      <w:r w:rsidRPr="00D634D6">
        <w:rPr>
          <w:rFonts w:ascii="Palatino Linotype" w:eastAsia="MS Mincho" w:hAnsi="Palatino Linotype" w:cs="Times New Roman"/>
          <w:sz w:val="24"/>
          <w:szCs w:val="24"/>
        </w:rPr>
        <w:t xml:space="preserve"> Gírese oficio al Contralor Interno y Órgano de Control y Vigilancia de este Instituto para hacer de su conocimiento la presente resolución, a fin de que en ejercicio de sus atribuciones y de conformidad al artículo 190 de la Ley </w:t>
      </w:r>
      <w:r w:rsidRPr="00D634D6">
        <w:rPr>
          <w:rFonts w:ascii="Palatino Linotype" w:eastAsia="MS Mincho" w:hAnsi="Palatino Linotype" w:cs="Times New Roman"/>
          <w:sz w:val="24"/>
          <w:szCs w:val="24"/>
        </w:rPr>
        <w:lastRenderedPageBreak/>
        <w:t>de Transparencia y Acceso a la Información Pública del Estado de México y Municipios, determine lo conducente, e</w:t>
      </w:r>
      <w:r w:rsidR="00110244" w:rsidRPr="00D634D6">
        <w:rPr>
          <w:rFonts w:ascii="Palatino Linotype" w:eastAsia="MS Mincho" w:hAnsi="Palatino Linotype" w:cs="Times New Roman"/>
          <w:sz w:val="24"/>
          <w:szCs w:val="24"/>
        </w:rPr>
        <w:t>n términos del</w:t>
      </w:r>
      <w:r w:rsidR="003B5933" w:rsidRPr="00D634D6">
        <w:rPr>
          <w:rFonts w:ascii="Palatino Linotype" w:eastAsia="MS Mincho" w:hAnsi="Palatino Linotype" w:cs="Times New Roman"/>
          <w:sz w:val="24"/>
          <w:szCs w:val="24"/>
        </w:rPr>
        <w:t xml:space="preserve"> </w:t>
      </w:r>
      <w:r w:rsidR="00110244" w:rsidRPr="00D634D6">
        <w:rPr>
          <w:rFonts w:ascii="Palatino Linotype" w:eastAsia="MS Mincho" w:hAnsi="Palatino Linotype" w:cs="Times New Roman"/>
          <w:b/>
          <w:sz w:val="24"/>
          <w:szCs w:val="24"/>
        </w:rPr>
        <w:t>C</w:t>
      </w:r>
      <w:r w:rsidR="003B5933" w:rsidRPr="00D634D6">
        <w:rPr>
          <w:rFonts w:ascii="Palatino Linotype" w:eastAsia="MS Mincho" w:hAnsi="Palatino Linotype" w:cs="Times New Roman"/>
          <w:b/>
          <w:sz w:val="24"/>
          <w:szCs w:val="24"/>
        </w:rPr>
        <w:t xml:space="preserve">onsiderando </w:t>
      </w:r>
      <w:r w:rsidR="001F48F8" w:rsidRPr="00D634D6">
        <w:rPr>
          <w:rFonts w:ascii="Palatino Linotype" w:eastAsia="MS Mincho" w:hAnsi="Palatino Linotype" w:cs="Times New Roman"/>
          <w:b/>
          <w:sz w:val="24"/>
          <w:szCs w:val="24"/>
        </w:rPr>
        <w:t>SEXTO</w:t>
      </w:r>
      <w:r w:rsidR="00110244" w:rsidRPr="00D634D6">
        <w:rPr>
          <w:rFonts w:ascii="Palatino Linotype" w:eastAsia="MS Mincho" w:hAnsi="Palatino Linotype" w:cs="Times New Roman"/>
          <w:sz w:val="24"/>
          <w:szCs w:val="24"/>
        </w:rPr>
        <w:t>.</w:t>
      </w:r>
      <w:r w:rsidR="003B5933" w:rsidRPr="00D634D6">
        <w:rPr>
          <w:rFonts w:ascii="Palatino Linotype" w:eastAsia="MS Mincho" w:hAnsi="Palatino Linotype" w:cs="Times New Roman"/>
          <w:sz w:val="24"/>
          <w:szCs w:val="24"/>
        </w:rPr>
        <w:t xml:space="preserve"> </w:t>
      </w:r>
    </w:p>
    <w:p w:rsidR="00B87500" w:rsidRPr="00D634D6" w:rsidRDefault="00B87500" w:rsidP="00D634D6">
      <w:pPr>
        <w:spacing w:line="360" w:lineRule="auto"/>
        <w:jc w:val="both"/>
        <w:rPr>
          <w:rFonts w:ascii="Palatino Linotype" w:eastAsia="MS Mincho" w:hAnsi="Palatino Linotype" w:cs="Times New Roman"/>
          <w:sz w:val="24"/>
          <w:szCs w:val="24"/>
        </w:rPr>
      </w:pPr>
    </w:p>
    <w:p w:rsidR="00B87500" w:rsidRPr="00B87500" w:rsidRDefault="00B87500" w:rsidP="00B87500">
      <w:pPr>
        <w:tabs>
          <w:tab w:val="left" w:pos="0"/>
        </w:tabs>
        <w:spacing w:line="360" w:lineRule="auto"/>
        <w:ind w:firstLine="1"/>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34289</wp:posOffset>
                </wp:positionH>
                <wp:positionV relativeFrom="paragraph">
                  <wp:posOffset>2754629</wp:posOffset>
                </wp:positionV>
                <wp:extent cx="5153025" cy="3914775"/>
                <wp:effectExtent l="19050" t="19050" r="28575" b="28575"/>
                <wp:wrapNone/>
                <wp:docPr id="6" name="Conector recto 6"/>
                <wp:cNvGraphicFramePr/>
                <a:graphic xmlns:a="http://schemas.openxmlformats.org/drawingml/2006/main">
                  <a:graphicData uri="http://schemas.microsoft.com/office/word/2010/wordprocessingShape">
                    <wps:wsp>
                      <wps:cNvCnPr/>
                      <wps:spPr>
                        <a:xfrm>
                          <a:off x="0" y="0"/>
                          <a:ext cx="5153025" cy="39147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179717"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pt,216.9pt" to="408.45pt,5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" strokecolor="#5b9bd5 [3204]" strokeweight="3pt">
                <v:stroke joinstyle="miter"/>
              </v:line>
            </w:pict>
          </mc:Fallback>
        </mc:AlternateContent>
      </w:r>
      <w:r w:rsidRPr="00B87500">
        <w:rPr>
          <w:rFonts w:ascii="Palatino Linotype" w:hAnsi="Palatino Linotype"/>
          <w:sz w:val="24"/>
          <w:szCs w:val="24"/>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NOVENA SESIÓN ORDINARIA CELEBRADA EL DÍA ONCE DE MARZO DE DOS MIL VEINTE, ANTE EL SECRETARIO TÉCNICO DEL PLENO, ALEXIS TAPIA RAMÍREZ.</w:t>
      </w:r>
    </w:p>
    <w:p w:rsidR="00847F6E" w:rsidRPr="00D634D6" w:rsidRDefault="00847F6E" w:rsidP="00D634D6">
      <w:pPr>
        <w:spacing w:line="360" w:lineRule="auto"/>
        <w:rPr>
          <w:rFonts w:ascii="Palatino Linotype" w:hAnsi="Palatino Linotype"/>
          <w:sz w:val="24"/>
          <w:szCs w:val="24"/>
        </w:rPr>
      </w:pPr>
      <w:r w:rsidRPr="00D634D6">
        <w:rPr>
          <w:rFonts w:ascii="Palatino Linotype" w:hAnsi="Palatino Linotype"/>
          <w:sz w:val="24"/>
          <w:szCs w:val="24"/>
        </w:rPr>
        <w:br w:type="page"/>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111"/>
      </w:tblGrid>
      <w:tr w:rsidR="00A55BA0" w:rsidRPr="00D634D6" w:rsidTr="00F2176A">
        <w:trPr>
          <w:trHeight w:val="1168"/>
        </w:trPr>
        <w:tc>
          <w:tcPr>
            <w:tcW w:w="8222" w:type="dxa"/>
            <w:gridSpan w:val="2"/>
            <w:vAlign w:val="center"/>
          </w:tcPr>
          <w:p w:rsidR="00110244" w:rsidRPr="00D634D6" w:rsidRDefault="00110244" w:rsidP="00B87500">
            <w:pPr>
              <w:spacing w:line="276" w:lineRule="auto"/>
              <w:jc w:val="center"/>
              <w:rPr>
                <w:rFonts w:ascii="Palatino Linotype" w:hAnsi="Palatino Linotype" w:cs="Times New Roman"/>
                <w:b/>
              </w:rPr>
            </w:pPr>
          </w:p>
          <w:p w:rsidR="00110244" w:rsidRDefault="00110244" w:rsidP="00B87500">
            <w:pPr>
              <w:spacing w:line="276" w:lineRule="auto"/>
              <w:jc w:val="center"/>
              <w:rPr>
                <w:rFonts w:ascii="Palatino Linotype" w:hAnsi="Palatino Linotype" w:cs="Times New Roman"/>
                <w:b/>
              </w:rPr>
            </w:pPr>
          </w:p>
          <w:p w:rsidR="00B87500" w:rsidRPr="00D634D6" w:rsidRDefault="00B87500" w:rsidP="00B87500">
            <w:pPr>
              <w:spacing w:line="276" w:lineRule="auto"/>
              <w:jc w:val="center"/>
              <w:rPr>
                <w:rFonts w:ascii="Palatino Linotype" w:hAnsi="Palatino Linotype" w:cs="Times New Roman"/>
                <w:b/>
              </w:rPr>
            </w:pPr>
          </w:p>
          <w:p w:rsidR="00A55BA0" w:rsidRPr="00D634D6" w:rsidRDefault="00A55BA0" w:rsidP="00B87500">
            <w:pPr>
              <w:spacing w:line="276" w:lineRule="auto"/>
              <w:jc w:val="center"/>
              <w:rPr>
                <w:rFonts w:ascii="Palatino Linotype" w:hAnsi="Palatino Linotype" w:cs="Times New Roman"/>
                <w:b/>
              </w:rPr>
            </w:pPr>
            <w:r w:rsidRPr="00D634D6">
              <w:rPr>
                <w:rFonts w:ascii="Palatino Linotype" w:hAnsi="Palatino Linotype" w:cs="Times New Roman"/>
                <w:b/>
              </w:rPr>
              <w:t>Zulema Martínez Sánchez</w:t>
            </w:r>
          </w:p>
          <w:p w:rsidR="00A55BA0" w:rsidRPr="00D634D6" w:rsidRDefault="00A55BA0" w:rsidP="00B87500">
            <w:pPr>
              <w:spacing w:line="276" w:lineRule="auto"/>
              <w:jc w:val="center"/>
              <w:rPr>
                <w:rFonts w:ascii="Palatino Linotype" w:hAnsi="Palatino Linotype" w:cs="Times New Roman"/>
              </w:rPr>
            </w:pPr>
            <w:r w:rsidRPr="00D634D6">
              <w:rPr>
                <w:rFonts w:ascii="Palatino Linotype" w:hAnsi="Palatino Linotype" w:cs="Times New Roman"/>
              </w:rPr>
              <w:t>Comisionada Presidenta</w:t>
            </w:r>
          </w:p>
          <w:p w:rsidR="00A55BA0" w:rsidRPr="00D634D6" w:rsidRDefault="00A55BA0" w:rsidP="00B87500">
            <w:pPr>
              <w:spacing w:line="276" w:lineRule="auto"/>
              <w:jc w:val="center"/>
              <w:rPr>
                <w:rFonts w:ascii="Palatino Linotype" w:hAnsi="Palatino Linotype" w:cs="Times New Roman"/>
              </w:rPr>
            </w:pPr>
            <w:r w:rsidRPr="00D634D6">
              <w:rPr>
                <w:rFonts w:ascii="Palatino Linotype" w:hAnsi="Palatino Linotype" w:cs="Times New Roman"/>
              </w:rPr>
              <w:t>(Rúbrica)</w:t>
            </w:r>
          </w:p>
        </w:tc>
      </w:tr>
      <w:tr w:rsidR="00A55BA0" w:rsidRPr="00D634D6" w:rsidTr="00F2176A">
        <w:trPr>
          <w:trHeight w:val="1395"/>
        </w:trPr>
        <w:tc>
          <w:tcPr>
            <w:tcW w:w="4111" w:type="dxa"/>
            <w:vAlign w:val="center"/>
          </w:tcPr>
          <w:p w:rsidR="00F86D0F" w:rsidRDefault="00F86D0F" w:rsidP="00B87500">
            <w:pPr>
              <w:spacing w:line="276" w:lineRule="auto"/>
              <w:rPr>
                <w:rFonts w:ascii="Palatino Linotype" w:hAnsi="Palatino Linotype" w:cs="Times New Roman"/>
                <w:b/>
              </w:rPr>
            </w:pPr>
          </w:p>
          <w:p w:rsidR="00B87500" w:rsidRDefault="00B87500" w:rsidP="00B87500">
            <w:pPr>
              <w:spacing w:line="276" w:lineRule="auto"/>
              <w:jc w:val="center"/>
              <w:rPr>
                <w:rFonts w:ascii="Palatino Linotype" w:hAnsi="Palatino Linotype" w:cs="Times New Roman"/>
                <w:b/>
              </w:rPr>
            </w:pPr>
          </w:p>
          <w:p w:rsidR="00B87500" w:rsidRDefault="00B87500" w:rsidP="00B87500">
            <w:pPr>
              <w:spacing w:line="276" w:lineRule="auto"/>
              <w:jc w:val="center"/>
              <w:rPr>
                <w:rFonts w:ascii="Palatino Linotype" w:hAnsi="Palatino Linotype" w:cs="Times New Roman"/>
                <w:b/>
              </w:rPr>
            </w:pPr>
          </w:p>
          <w:p w:rsidR="00B87500" w:rsidRPr="00D634D6" w:rsidRDefault="00B87500" w:rsidP="00B87500">
            <w:pPr>
              <w:spacing w:line="276" w:lineRule="auto"/>
              <w:jc w:val="center"/>
              <w:rPr>
                <w:rFonts w:ascii="Palatino Linotype" w:hAnsi="Palatino Linotype" w:cs="Times New Roman"/>
                <w:b/>
              </w:rPr>
            </w:pPr>
          </w:p>
          <w:p w:rsidR="00A55BA0" w:rsidRPr="00D634D6" w:rsidRDefault="00A55BA0" w:rsidP="00B87500">
            <w:pPr>
              <w:spacing w:line="276" w:lineRule="auto"/>
              <w:jc w:val="center"/>
              <w:rPr>
                <w:rFonts w:ascii="Palatino Linotype" w:hAnsi="Palatino Linotype" w:cs="Times New Roman"/>
                <w:b/>
              </w:rPr>
            </w:pPr>
            <w:r w:rsidRPr="00D634D6">
              <w:rPr>
                <w:rFonts w:ascii="Palatino Linotype" w:hAnsi="Palatino Linotype" w:cs="Times New Roman"/>
                <w:b/>
              </w:rPr>
              <w:t xml:space="preserve">Eva </w:t>
            </w:r>
            <w:proofErr w:type="spellStart"/>
            <w:r w:rsidRPr="00D634D6">
              <w:rPr>
                <w:rFonts w:ascii="Palatino Linotype" w:hAnsi="Palatino Linotype" w:cs="Times New Roman"/>
                <w:b/>
              </w:rPr>
              <w:t>Abaid</w:t>
            </w:r>
            <w:proofErr w:type="spellEnd"/>
            <w:r w:rsidRPr="00D634D6">
              <w:rPr>
                <w:rFonts w:ascii="Palatino Linotype" w:hAnsi="Palatino Linotype" w:cs="Times New Roman"/>
                <w:b/>
              </w:rPr>
              <w:t xml:space="preserve"> </w:t>
            </w:r>
            <w:proofErr w:type="spellStart"/>
            <w:r w:rsidRPr="00D634D6">
              <w:rPr>
                <w:rFonts w:ascii="Palatino Linotype" w:hAnsi="Palatino Linotype" w:cs="Times New Roman"/>
                <w:b/>
              </w:rPr>
              <w:t>Yapur</w:t>
            </w:r>
            <w:proofErr w:type="spellEnd"/>
          </w:p>
          <w:p w:rsidR="00A55BA0" w:rsidRPr="00D634D6" w:rsidRDefault="00A55BA0" w:rsidP="00B87500">
            <w:pPr>
              <w:spacing w:line="276" w:lineRule="auto"/>
              <w:jc w:val="center"/>
              <w:rPr>
                <w:rFonts w:ascii="Palatino Linotype" w:hAnsi="Palatino Linotype" w:cs="Times New Roman"/>
              </w:rPr>
            </w:pPr>
            <w:r w:rsidRPr="00D634D6">
              <w:rPr>
                <w:rFonts w:ascii="Palatino Linotype" w:hAnsi="Palatino Linotype" w:cs="Times New Roman"/>
              </w:rPr>
              <w:t>Comisionada</w:t>
            </w:r>
          </w:p>
          <w:p w:rsidR="00A55BA0" w:rsidRPr="00D634D6" w:rsidRDefault="00A55BA0" w:rsidP="00B87500">
            <w:pPr>
              <w:spacing w:line="276" w:lineRule="auto"/>
              <w:jc w:val="center"/>
              <w:rPr>
                <w:rFonts w:ascii="Palatino Linotype" w:hAnsi="Palatino Linotype" w:cs="Times New Roman"/>
              </w:rPr>
            </w:pPr>
            <w:r w:rsidRPr="00D634D6">
              <w:rPr>
                <w:rFonts w:ascii="Palatino Linotype" w:hAnsi="Palatino Linotype" w:cs="Times New Roman"/>
              </w:rPr>
              <w:t>(Rúbrica)</w:t>
            </w:r>
          </w:p>
        </w:tc>
        <w:tc>
          <w:tcPr>
            <w:tcW w:w="4111" w:type="dxa"/>
            <w:vAlign w:val="center"/>
          </w:tcPr>
          <w:p w:rsidR="00B87500" w:rsidRPr="00D634D6" w:rsidRDefault="00B87500" w:rsidP="00B87500">
            <w:pPr>
              <w:spacing w:line="276" w:lineRule="auto"/>
              <w:rPr>
                <w:rFonts w:ascii="Palatino Linotype" w:hAnsi="Palatino Linotype" w:cs="Times New Roman"/>
                <w:b/>
              </w:rPr>
            </w:pPr>
          </w:p>
          <w:p w:rsidR="00F86D0F" w:rsidRDefault="00F86D0F" w:rsidP="00B87500">
            <w:pPr>
              <w:spacing w:line="276" w:lineRule="auto"/>
              <w:jc w:val="center"/>
              <w:rPr>
                <w:rFonts w:ascii="Palatino Linotype" w:hAnsi="Palatino Linotype" w:cs="Times New Roman"/>
                <w:b/>
              </w:rPr>
            </w:pPr>
          </w:p>
          <w:p w:rsidR="00B87500" w:rsidRDefault="00B87500" w:rsidP="00B87500">
            <w:pPr>
              <w:spacing w:line="276" w:lineRule="auto"/>
              <w:jc w:val="center"/>
              <w:rPr>
                <w:rFonts w:ascii="Palatino Linotype" w:hAnsi="Palatino Linotype" w:cs="Times New Roman"/>
                <w:b/>
              </w:rPr>
            </w:pPr>
          </w:p>
          <w:p w:rsidR="00B87500" w:rsidRPr="00D634D6" w:rsidRDefault="00B87500" w:rsidP="00B87500">
            <w:pPr>
              <w:spacing w:line="276" w:lineRule="auto"/>
              <w:jc w:val="center"/>
              <w:rPr>
                <w:rFonts w:ascii="Palatino Linotype" w:hAnsi="Palatino Linotype" w:cs="Times New Roman"/>
                <w:b/>
              </w:rPr>
            </w:pPr>
          </w:p>
          <w:p w:rsidR="00A55BA0" w:rsidRPr="00D634D6" w:rsidRDefault="00A55BA0" w:rsidP="00B87500">
            <w:pPr>
              <w:spacing w:line="276" w:lineRule="auto"/>
              <w:jc w:val="center"/>
              <w:rPr>
                <w:rFonts w:ascii="Palatino Linotype" w:hAnsi="Palatino Linotype" w:cs="Times New Roman"/>
                <w:b/>
              </w:rPr>
            </w:pPr>
            <w:r w:rsidRPr="00D634D6">
              <w:rPr>
                <w:rFonts w:ascii="Palatino Linotype" w:hAnsi="Palatino Linotype" w:cs="Times New Roman"/>
                <w:b/>
              </w:rPr>
              <w:t>José Guadalupe Luna Hernández</w:t>
            </w:r>
          </w:p>
          <w:p w:rsidR="00A55BA0" w:rsidRPr="00D634D6" w:rsidRDefault="00A55BA0" w:rsidP="00B87500">
            <w:pPr>
              <w:spacing w:line="276" w:lineRule="auto"/>
              <w:jc w:val="center"/>
              <w:rPr>
                <w:rFonts w:ascii="Palatino Linotype" w:hAnsi="Palatino Linotype" w:cs="Times New Roman"/>
              </w:rPr>
            </w:pPr>
            <w:r w:rsidRPr="00D634D6">
              <w:rPr>
                <w:rFonts w:ascii="Palatino Linotype" w:hAnsi="Palatino Linotype" w:cs="Times New Roman"/>
              </w:rPr>
              <w:t>Comisionado</w:t>
            </w:r>
          </w:p>
          <w:p w:rsidR="00A55BA0" w:rsidRPr="00D634D6" w:rsidRDefault="00A55BA0" w:rsidP="00B87500">
            <w:pPr>
              <w:spacing w:line="276" w:lineRule="auto"/>
              <w:jc w:val="center"/>
              <w:rPr>
                <w:rFonts w:ascii="Palatino Linotype" w:hAnsi="Palatino Linotype" w:cs="Times New Roman"/>
              </w:rPr>
            </w:pPr>
            <w:r w:rsidRPr="00D634D6">
              <w:rPr>
                <w:rFonts w:ascii="Palatino Linotype" w:hAnsi="Palatino Linotype" w:cs="Times New Roman"/>
              </w:rPr>
              <w:t>(Rúbrica)</w:t>
            </w:r>
          </w:p>
        </w:tc>
      </w:tr>
      <w:tr w:rsidR="00A55BA0" w:rsidRPr="00D634D6" w:rsidTr="00F2176A">
        <w:trPr>
          <w:trHeight w:val="1451"/>
        </w:trPr>
        <w:tc>
          <w:tcPr>
            <w:tcW w:w="4111" w:type="dxa"/>
            <w:vAlign w:val="center"/>
          </w:tcPr>
          <w:p w:rsidR="00110244" w:rsidRPr="00D634D6" w:rsidRDefault="00110244" w:rsidP="00B87500">
            <w:pPr>
              <w:spacing w:line="276" w:lineRule="auto"/>
              <w:jc w:val="center"/>
              <w:rPr>
                <w:rFonts w:ascii="Palatino Linotype" w:hAnsi="Palatino Linotype" w:cs="Times New Roman"/>
                <w:b/>
              </w:rPr>
            </w:pPr>
          </w:p>
          <w:p w:rsidR="00F86D0F" w:rsidRDefault="00F86D0F" w:rsidP="00B87500">
            <w:pPr>
              <w:spacing w:line="276" w:lineRule="auto"/>
              <w:jc w:val="center"/>
              <w:rPr>
                <w:rFonts w:ascii="Palatino Linotype" w:hAnsi="Palatino Linotype" w:cs="Times New Roman"/>
                <w:b/>
              </w:rPr>
            </w:pPr>
          </w:p>
          <w:p w:rsidR="00B87500" w:rsidRPr="00D634D6" w:rsidRDefault="00B87500" w:rsidP="00B87500">
            <w:pPr>
              <w:spacing w:line="276" w:lineRule="auto"/>
              <w:jc w:val="center"/>
              <w:rPr>
                <w:rFonts w:ascii="Palatino Linotype" w:hAnsi="Palatino Linotype" w:cs="Times New Roman"/>
                <w:b/>
              </w:rPr>
            </w:pPr>
          </w:p>
          <w:p w:rsidR="00A55BA0" w:rsidRPr="00D634D6" w:rsidRDefault="00A55BA0" w:rsidP="00B87500">
            <w:pPr>
              <w:spacing w:line="276" w:lineRule="auto"/>
              <w:jc w:val="center"/>
              <w:rPr>
                <w:rFonts w:ascii="Palatino Linotype" w:hAnsi="Palatino Linotype" w:cs="Times New Roman"/>
                <w:b/>
              </w:rPr>
            </w:pPr>
            <w:r w:rsidRPr="00D634D6">
              <w:rPr>
                <w:rFonts w:ascii="Palatino Linotype" w:hAnsi="Palatino Linotype" w:cs="Times New Roman"/>
                <w:b/>
              </w:rPr>
              <w:t>Javier Martínez Cruz</w:t>
            </w:r>
          </w:p>
          <w:p w:rsidR="00A55BA0" w:rsidRPr="00D634D6" w:rsidRDefault="00A55BA0" w:rsidP="00B87500">
            <w:pPr>
              <w:spacing w:line="276" w:lineRule="auto"/>
              <w:jc w:val="center"/>
              <w:rPr>
                <w:rFonts w:ascii="Palatino Linotype" w:hAnsi="Palatino Linotype" w:cs="Times New Roman"/>
              </w:rPr>
            </w:pPr>
            <w:r w:rsidRPr="00D634D6">
              <w:rPr>
                <w:rFonts w:ascii="Palatino Linotype" w:hAnsi="Palatino Linotype" w:cs="Times New Roman"/>
              </w:rPr>
              <w:t>Comisionado</w:t>
            </w:r>
          </w:p>
          <w:p w:rsidR="00A55BA0" w:rsidRPr="00D634D6" w:rsidRDefault="00A55BA0" w:rsidP="00B87500">
            <w:pPr>
              <w:spacing w:line="276" w:lineRule="auto"/>
              <w:jc w:val="center"/>
              <w:rPr>
                <w:rFonts w:ascii="Palatino Linotype" w:hAnsi="Palatino Linotype" w:cs="Times New Roman"/>
              </w:rPr>
            </w:pPr>
            <w:r w:rsidRPr="00D634D6">
              <w:rPr>
                <w:rFonts w:ascii="Palatino Linotype" w:hAnsi="Palatino Linotype" w:cs="Times New Roman"/>
              </w:rPr>
              <w:t>(Rúbrica)</w:t>
            </w:r>
          </w:p>
        </w:tc>
        <w:tc>
          <w:tcPr>
            <w:tcW w:w="4111" w:type="dxa"/>
            <w:vAlign w:val="center"/>
          </w:tcPr>
          <w:p w:rsidR="007034F5" w:rsidRDefault="007034F5" w:rsidP="00B87500">
            <w:pPr>
              <w:spacing w:line="276" w:lineRule="auto"/>
              <w:jc w:val="center"/>
              <w:rPr>
                <w:rFonts w:ascii="Palatino Linotype" w:hAnsi="Palatino Linotype" w:cs="Times New Roman"/>
                <w:b/>
              </w:rPr>
            </w:pPr>
          </w:p>
          <w:p w:rsidR="00B87500" w:rsidRPr="00D634D6" w:rsidRDefault="00B87500" w:rsidP="00B87500">
            <w:pPr>
              <w:spacing w:line="276" w:lineRule="auto"/>
              <w:jc w:val="center"/>
              <w:rPr>
                <w:rFonts w:ascii="Palatino Linotype" w:hAnsi="Palatino Linotype" w:cs="Times New Roman"/>
                <w:b/>
              </w:rPr>
            </w:pPr>
          </w:p>
          <w:p w:rsidR="00F86D0F" w:rsidRDefault="00F86D0F" w:rsidP="00B87500">
            <w:pPr>
              <w:spacing w:line="276" w:lineRule="auto"/>
              <w:jc w:val="center"/>
              <w:rPr>
                <w:rFonts w:ascii="Palatino Linotype" w:hAnsi="Palatino Linotype" w:cs="Times New Roman"/>
                <w:b/>
              </w:rPr>
            </w:pPr>
          </w:p>
          <w:p w:rsidR="00B87500" w:rsidRDefault="00B87500" w:rsidP="00B87500">
            <w:pPr>
              <w:spacing w:line="276" w:lineRule="auto"/>
              <w:jc w:val="center"/>
              <w:rPr>
                <w:rFonts w:ascii="Palatino Linotype" w:hAnsi="Palatino Linotype" w:cs="Times New Roman"/>
                <w:b/>
              </w:rPr>
            </w:pPr>
          </w:p>
          <w:p w:rsidR="00B87500" w:rsidRPr="00D634D6" w:rsidRDefault="00B87500" w:rsidP="00B87500">
            <w:pPr>
              <w:spacing w:line="276" w:lineRule="auto"/>
              <w:jc w:val="center"/>
              <w:rPr>
                <w:rFonts w:ascii="Palatino Linotype" w:hAnsi="Palatino Linotype" w:cs="Times New Roman"/>
                <w:b/>
              </w:rPr>
            </w:pPr>
          </w:p>
          <w:p w:rsidR="007034F5" w:rsidRPr="00D634D6" w:rsidRDefault="007034F5" w:rsidP="00B87500">
            <w:pPr>
              <w:spacing w:line="276" w:lineRule="auto"/>
              <w:jc w:val="center"/>
              <w:rPr>
                <w:rFonts w:ascii="Palatino Linotype" w:hAnsi="Palatino Linotype" w:cs="Times New Roman"/>
              </w:rPr>
            </w:pPr>
            <w:r w:rsidRPr="00D634D6">
              <w:rPr>
                <w:rFonts w:ascii="Palatino Linotype" w:hAnsi="Palatino Linotype" w:cs="Times New Roman"/>
                <w:b/>
              </w:rPr>
              <w:t>Luis Gustavo Parra Noriega</w:t>
            </w:r>
          </w:p>
          <w:p w:rsidR="007034F5" w:rsidRPr="00D634D6" w:rsidRDefault="007034F5" w:rsidP="00B87500">
            <w:pPr>
              <w:spacing w:line="276" w:lineRule="auto"/>
              <w:jc w:val="center"/>
              <w:rPr>
                <w:rFonts w:ascii="Palatino Linotype" w:hAnsi="Palatino Linotype" w:cs="Times New Roman"/>
              </w:rPr>
            </w:pPr>
            <w:r w:rsidRPr="00D634D6">
              <w:rPr>
                <w:rFonts w:ascii="Palatino Linotype" w:hAnsi="Palatino Linotype" w:cs="Times New Roman"/>
              </w:rPr>
              <w:t>Comisionado</w:t>
            </w:r>
          </w:p>
          <w:p w:rsidR="007034F5" w:rsidRPr="00D634D6" w:rsidRDefault="007034F5" w:rsidP="00B87500">
            <w:pPr>
              <w:spacing w:line="276" w:lineRule="auto"/>
              <w:jc w:val="center"/>
              <w:rPr>
                <w:rFonts w:ascii="Palatino Linotype" w:hAnsi="Palatino Linotype" w:cs="Times New Roman"/>
              </w:rPr>
            </w:pPr>
            <w:r w:rsidRPr="00D634D6">
              <w:rPr>
                <w:rFonts w:ascii="Palatino Linotype" w:hAnsi="Palatino Linotype" w:cs="Times New Roman"/>
              </w:rPr>
              <w:t>(Rúbrica)</w:t>
            </w:r>
          </w:p>
          <w:p w:rsidR="00A55BA0" w:rsidRDefault="00A55BA0" w:rsidP="00B87500">
            <w:pPr>
              <w:spacing w:line="276" w:lineRule="auto"/>
              <w:jc w:val="center"/>
              <w:rPr>
                <w:rFonts w:ascii="Palatino Linotype" w:hAnsi="Palatino Linotype" w:cs="Times New Roman"/>
              </w:rPr>
            </w:pPr>
          </w:p>
          <w:p w:rsidR="00B87500" w:rsidRPr="00D634D6" w:rsidRDefault="00B87500" w:rsidP="00B87500">
            <w:pPr>
              <w:spacing w:line="276" w:lineRule="auto"/>
              <w:jc w:val="center"/>
              <w:rPr>
                <w:rFonts w:ascii="Palatino Linotype" w:hAnsi="Palatino Linotype" w:cs="Times New Roman"/>
              </w:rPr>
            </w:pPr>
          </w:p>
        </w:tc>
      </w:tr>
      <w:tr w:rsidR="00A55BA0" w:rsidRPr="00D634D6" w:rsidTr="00F2176A">
        <w:trPr>
          <w:trHeight w:val="1263"/>
        </w:trPr>
        <w:tc>
          <w:tcPr>
            <w:tcW w:w="8222" w:type="dxa"/>
            <w:gridSpan w:val="2"/>
            <w:vAlign w:val="center"/>
          </w:tcPr>
          <w:p w:rsidR="00F86D0F" w:rsidRDefault="00F86D0F" w:rsidP="00B87500">
            <w:pPr>
              <w:spacing w:line="276" w:lineRule="auto"/>
              <w:rPr>
                <w:rFonts w:ascii="Palatino Linotype" w:hAnsi="Palatino Linotype" w:cs="Times New Roman"/>
                <w:b/>
              </w:rPr>
            </w:pPr>
          </w:p>
          <w:p w:rsidR="00B87500" w:rsidRPr="00D634D6" w:rsidRDefault="00B87500" w:rsidP="00B87500">
            <w:pPr>
              <w:spacing w:line="276" w:lineRule="auto"/>
              <w:rPr>
                <w:rFonts w:ascii="Palatino Linotype" w:hAnsi="Palatino Linotype" w:cs="Times New Roman"/>
                <w:b/>
              </w:rPr>
            </w:pPr>
          </w:p>
          <w:p w:rsidR="00A55BA0" w:rsidRPr="00D634D6" w:rsidRDefault="00A55BA0" w:rsidP="00B87500">
            <w:pPr>
              <w:spacing w:line="276" w:lineRule="auto"/>
              <w:jc w:val="center"/>
              <w:rPr>
                <w:rFonts w:ascii="Palatino Linotype" w:hAnsi="Palatino Linotype" w:cs="Times New Roman"/>
                <w:b/>
              </w:rPr>
            </w:pPr>
            <w:r w:rsidRPr="00D634D6">
              <w:rPr>
                <w:rFonts w:ascii="Palatino Linotype" w:hAnsi="Palatino Linotype" w:cs="Times New Roman"/>
                <w:b/>
              </w:rPr>
              <w:t>Alexis Tapia Ramírez</w:t>
            </w:r>
          </w:p>
          <w:p w:rsidR="00A55BA0" w:rsidRPr="00D634D6" w:rsidRDefault="00A55BA0" w:rsidP="00B87500">
            <w:pPr>
              <w:spacing w:line="276" w:lineRule="auto"/>
              <w:jc w:val="center"/>
              <w:rPr>
                <w:rFonts w:ascii="Palatino Linotype" w:hAnsi="Palatino Linotype" w:cs="Times New Roman"/>
              </w:rPr>
            </w:pPr>
            <w:r w:rsidRPr="00D634D6">
              <w:rPr>
                <w:rFonts w:ascii="Palatino Linotype" w:hAnsi="Palatino Linotype" w:cs="Times New Roman"/>
              </w:rPr>
              <w:t>Secretario Técnico del Pleno</w:t>
            </w:r>
          </w:p>
          <w:p w:rsidR="00A55BA0" w:rsidRPr="00D634D6" w:rsidRDefault="00A55BA0" w:rsidP="00B87500">
            <w:pPr>
              <w:spacing w:line="276" w:lineRule="auto"/>
              <w:jc w:val="center"/>
              <w:rPr>
                <w:rFonts w:ascii="Palatino Linotype" w:hAnsi="Palatino Linotype" w:cs="Times New Roman"/>
              </w:rPr>
            </w:pPr>
            <w:r w:rsidRPr="00D634D6">
              <w:rPr>
                <w:rFonts w:ascii="Palatino Linotype" w:hAnsi="Palatino Linotype" w:cs="Times New Roman"/>
              </w:rPr>
              <w:t>(Rúbrica)</w:t>
            </w:r>
          </w:p>
        </w:tc>
      </w:tr>
    </w:tbl>
    <w:p w:rsidR="007F288E" w:rsidRPr="00D634D6" w:rsidRDefault="007F288E" w:rsidP="00D634D6">
      <w:pPr>
        <w:spacing w:line="360" w:lineRule="auto"/>
        <w:jc w:val="both"/>
        <w:rPr>
          <w:rFonts w:ascii="Palatino Linotype" w:eastAsia="Times New Roman" w:hAnsi="Palatino Linotype" w:cs="Arial"/>
          <w:sz w:val="20"/>
        </w:rPr>
      </w:pPr>
    </w:p>
    <w:p w:rsidR="00780382" w:rsidRPr="00B87500" w:rsidRDefault="00A55BA0" w:rsidP="00D634D6">
      <w:pPr>
        <w:spacing w:line="360" w:lineRule="auto"/>
        <w:jc w:val="both"/>
        <w:rPr>
          <w:rFonts w:ascii="Palatino Linotype" w:hAnsi="Palatino Linotype"/>
          <w:sz w:val="24"/>
        </w:rPr>
      </w:pPr>
      <w:r w:rsidRPr="00B87500">
        <w:rPr>
          <w:rFonts w:ascii="Palatino Linotype" w:eastAsia="Times New Roman" w:hAnsi="Palatino Linotype" w:cs="Arial"/>
          <w:sz w:val="24"/>
        </w:rPr>
        <w:t xml:space="preserve">Esta hoja corresponde a la resolución de </w:t>
      </w:r>
      <w:r w:rsidR="006E5427" w:rsidRPr="00B87500">
        <w:rPr>
          <w:rFonts w:ascii="Palatino Linotype" w:eastAsia="Times New Roman" w:hAnsi="Palatino Linotype" w:cs="Arial"/>
          <w:sz w:val="24"/>
        </w:rPr>
        <w:t xml:space="preserve">fecha </w:t>
      </w:r>
      <w:r w:rsidR="00847F6E" w:rsidRPr="00B87500">
        <w:rPr>
          <w:rFonts w:ascii="Palatino Linotype" w:eastAsia="Times New Roman" w:hAnsi="Palatino Linotype" w:cs="Arial"/>
          <w:sz w:val="24"/>
        </w:rPr>
        <w:t>once</w:t>
      </w:r>
      <w:r w:rsidR="00F60843" w:rsidRPr="00B87500">
        <w:rPr>
          <w:rFonts w:ascii="Palatino Linotype" w:eastAsia="Times New Roman" w:hAnsi="Palatino Linotype" w:cs="Arial"/>
          <w:sz w:val="24"/>
        </w:rPr>
        <w:t xml:space="preserve"> </w:t>
      </w:r>
      <w:r w:rsidRPr="00B87500">
        <w:rPr>
          <w:rFonts w:ascii="Palatino Linotype" w:eastAsia="Times New Roman" w:hAnsi="Palatino Linotype" w:cs="Arial"/>
          <w:sz w:val="24"/>
        </w:rPr>
        <w:t>(</w:t>
      </w:r>
      <w:r w:rsidR="00847F6E" w:rsidRPr="00B87500">
        <w:rPr>
          <w:rFonts w:ascii="Palatino Linotype" w:eastAsia="Times New Roman" w:hAnsi="Palatino Linotype" w:cs="Arial"/>
          <w:sz w:val="24"/>
        </w:rPr>
        <w:t>11</w:t>
      </w:r>
      <w:r w:rsidRPr="00B87500">
        <w:rPr>
          <w:rFonts w:ascii="Palatino Linotype" w:eastAsia="Times New Roman" w:hAnsi="Palatino Linotype" w:cs="Arial"/>
          <w:sz w:val="24"/>
        </w:rPr>
        <w:t xml:space="preserve">) de </w:t>
      </w:r>
      <w:r w:rsidR="00847F6E" w:rsidRPr="00B87500">
        <w:rPr>
          <w:rFonts w:ascii="Palatino Linotype" w:eastAsia="Times New Roman" w:hAnsi="Palatino Linotype" w:cs="Arial"/>
          <w:sz w:val="24"/>
        </w:rPr>
        <w:t>marzo</w:t>
      </w:r>
      <w:r w:rsidR="006E5427" w:rsidRPr="00B87500">
        <w:rPr>
          <w:rFonts w:ascii="Palatino Linotype" w:eastAsia="Times New Roman" w:hAnsi="Palatino Linotype" w:cs="Arial"/>
          <w:sz w:val="24"/>
        </w:rPr>
        <w:t xml:space="preserve"> </w:t>
      </w:r>
      <w:r w:rsidRPr="00B87500">
        <w:rPr>
          <w:rFonts w:ascii="Palatino Linotype" w:eastAsia="Times New Roman" w:hAnsi="Palatino Linotype" w:cs="Arial"/>
          <w:sz w:val="24"/>
        </w:rPr>
        <w:t xml:space="preserve">de dos mil </w:t>
      </w:r>
      <w:r w:rsidR="00E25E0C" w:rsidRPr="00B87500">
        <w:rPr>
          <w:rFonts w:ascii="Palatino Linotype" w:eastAsia="Times New Roman" w:hAnsi="Palatino Linotype" w:cs="Arial"/>
          <w:sz w:val="24"/>
        </w:rPr>
        <w:t>veinte</w:t>
      </w:r>
      <w:r w:rsidRPr="00B87500">
        <w:rPr>
          <w:rFonts w:ascii="Palatino Linotype" w:eastAsia="Times New Roman" w:hAnsi="Palatino Linotype" w:cs="Arial"/>
          <w:sz w:val="24"/>
        </w:rPr>
        <w:t xml:space="preserve">, emitida en el recurso de revisión </w:t>
      </w:r>
      <w:r w:rsidR="009E06B0" w:rsidRPr="00B87500">
        <w:rPr>
          <w:rFonts w:ascii="Palatino Linotype" w:eastAsia="Times New Roman" w:hAnsi="Palatino Linotype" w:cs="Arial"/>
          <w:b/>
          <w:sz w:val="24"/>
        </w:rPr>
        <w:t>10353</w:t>
      </w:r>
      <w:r w:rsidRPr="00B87500">
        <w:rPr>
          <w:rFonts w:ascii="Palatino Linotype" w:eastAsia="Times New Roman" w:hAnsi="Palatino Linotype" w:cs="Arial"/>
          <w:b/>
          <w:sz w:val="24"/>
        </w:rPr>
        <w:t>/INFOEM/IP/RR/</w:t>
      </w:r>
      <w:r w:rsidR="00F44A85" w:rsidRPr="00B87500">
        <w:rPr>
          <w:rFonts w:ascii="Palatino Linotype" w:eastAsia="Times New Roman" w:hAnsi="Palatino Linotype" w:cs="Arial"/>
          <w:b/>
          <w:sz w:val="24"/>
        </w:rPr>
        <w:t>2019</w:t>
      </w:r>
      <w:r w:rsidRPr="00B87500">
        <w:rPr>
          <w:rFonts w:ascii="Palatino Linotype" w:eastAsia="Times New Roman" w:hAnsi="Palatino Linotype" w:cs="Arial"/>
          <w:sz w:val="24"/>
        </w:rPr>
        <w:t>.</w:t>
      </w:r>
    </w:p>
    <w:sectPr w:rsidR="00780382" w:rsidRPr="00B87500" w:rsidSect="00BE67EA">
      <w:headerReference w:type="default" r:id="rId16"/>
      <w:footerReference w:type="default" r:id="rId17"/>
      <w:headerReference w:type="first" r:id="rId18"/>
      <w:footerReference w:type="first" r:id="rId19"/>
      <w:pgSz w:w="12240" w:h="15840"/>
      <w:pgMar w:top="1417" w:right="231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5B57" w:rsidRDefault="007C5B57">
      <w:r>
        <w:separator/>
      </w:r>
    </w:p>
  </w:endnote>
  <w:endnote w:type="continuationSeparator" w:id="0">
    <w:p w:rsidR="007C5B57" w:rsidRDefault="007C5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20B0604020202020204"/>
    <w:charset w:val="00"/>
    <w:family w:val="swiss"/>
    <w:notTrueType/>
    <w:pitch w:val="default"/>
    <w:sig w:usb0="00000003" w:usb1="00000000" w:usb2="00000000" w:usb3="00000000" w:csb0="00000001" w:csb1="00000000"/>
  </w:font>
  <w:font w:name="Gill Sans,Bold">
    <w:panose1 w:val="020B0604020202020204"/>
    <w:charset w:val="00"/>
    <w:family w:val="swiss"/>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Content>
      <w:sdt>
        <w:sdtPr>
          <w:rPr>
            <w:rFonts w:ascii="Palatino Linotype" w:hAnsi="Palatino Linotype"/>
            <w:sz w:val="28"/>
          </w:rPr>
          <w:id w:val="2028050644"/>
          <w:docPartObj>
            <w:docPartGallery w:val="Page Numbers (Top of Page)"/>
            <w:docPartUnique/>
          </w:docPartObj>
        </w:sdtPr>
        <w:sdtContent>
          <w:p w:rsidR="000E428B" w:rsidRPr="00883450" w:rsidRDefault="000E428B">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Pr>
                <w:rFonts w:ascii="Palatino Linotype" w:hAnsi="Palatino Linotype"/>
                <w:b/>
                <w:bCs/>
                <w:noProof/>
                <w:szCs w:val="20"/>
              </w:rPr>
              <w:t>21</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Pr>
                <w:rFonts w:ascii="Palatino Linotype" w:hAnsi="Palatino Linotype"/>
                <w:b/>
                <w:bCs/>
                <w:noProof/>
                <w:szCs w:val="20"/>
              </w:rPr>
              <w:t>84</w:t>
            </w:r>
            <w:r w:rsidRPr="00883450">
              <w:rPr>
                <w:rFonts w:ascii="Palatino Linotype" w:hAnsi="Palatino Linotype"/>
                <w:b/>
                <w:bCs/>
                <w:szCs w:val="20"/>
              </w:rPr>
              <w:fldChar w:fldCharType="end"/>
            </w:r>
          </w:p>
        </w:sdtContent>
      </w:sdt>
    </w:sdtContent>
  </w:sdt>
  <w:p w:rsidR="000E428B" w:rsidRDefault="000E428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28B" w:rsidRPr="00883450" w:rsidRDefault="000E428B" w:rsidP="001A4CD6">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Pr="00B87500">
      <w:rPr>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Pr="00B87500">
      <w:rPr>
        <w:noProof/>
        <w:lang w:val="es-ES"/>
      </w:rPr>
      <w:t>84</w:t>
    </w:r>
    <w:r w:rsidRPr="00883450">
      <w:rPr>
        <w:rFonts w:ascii="Palatino Linotype" w:hAnsi="Palatino Linotyp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5B57" w:rsidRDefault="007C5B57">
      <w:r>
        <w:separator/>
      </w:r>
    </w:p>
  </w:footnote>
  <w:footnote w:type="continuationSeparator" w:id="0">
    <w:p w:rsidR="007C5B57" w:rsidRDefault="007C5B57">
      <w:r>
        <w:continuationSeparator/>
      </w:r>
    </w:p>
  </w:footnote>
  <w:footnote w:id="1">
    <w:p w:rsidR="000E428B" w:rsidRPr="00762DE6" w:rsidRDefault="000E428B" w:rsidP="00390C2D">
      <w:pPr>
        <w:pStyle w:val="Textonotapie"/>
        <w:rPr>
          <w:rFonts w:ascii="Palatino Linotype" w:hAnsi="Palatino Linotype"/>
          <w:sz w:val="18"/>
        </w:rPr>
      </w:pPr>
      <w:r>
        <w:rPr>
          <w:rStyle w:val="Refdenotaalpie"/>
        </w:rPr>
        <w:footnoteRef/>
      </w:r>
      <w:r>
        <w:t xml:space="preserve"> </w:t>
      </w:r>
      <w:r w:rsidRPr="00762DE6">
        <w:rPr>
          <w:rFonts w:ascii="Palatino Linotype" w:hAnsi="Palatino Linotype"/>
          <w:sz w:val="18"/>
        </w:rPr>
        <w:t>Convención Americana sobre Derechos Humanos. Artículo 13.</w:t>
      </w:r>
    </w:p>
  </w:footnote>
  <w:footnote w:id="2">
    <w:p w:rsidR="000E428B" w:rsidRPr="00762DE6" w:rsidRDefault="000E428B" w:rsidP="00390C2D">
      <w:pPr>
        <w:pStyle w:val="Textonotapie"/>
        <w:rPr>
          <w:rFonts w:ascii="Palatino Linotype" w:hAnsi="Palatino Linotype"/>
          <w:sz w:val="18"/>
        </w:rPr>
      </w:pPr>
      <w:r w:rsidRPr="00762DE6">
        <w:rPr>
          <w:rStyle w:val="Refdenotaalpie"/>
          <w:rFonts w:ascii="Palatino Linotype" w:hAnsi="Palatino Linotype"/>
          <w:sz w:val="18"/>
        </w:rPr>
        <w:footnoteRef/>
      </w:r>
      <w:r w:rsidRPr="00762DE6">
        <w:rPr>
          <w:rFonts w:ascii="Palatino Linotype" w:hAnsi="Palatino Linotype"/>
          <w:sz w:val="18"/>
        </w:rPr>
        <w:t xml:space="preserve"> Constitución Política de los Estados Unidos Mexicanos. Artículo sexto, sección A, fracción I.</w:t>
      </w:r>
    </w:p>
  </w:footnote>
  <w:footnote w:id="3">
    <w:p w:rsidR="000E428B" w:rsidRPr="00762DE6" w:rsidRDefault="000E428B" w:rsidP="00390C2D">
      <w:pPr>
        <w:pStyle w:val="Textonotapie"/>
        <w:rPr>
          <w:rFonts w:ascii="Palatino Linotype" w:hAnsi="Palatino Linotype"/>
          <w:sz w:val="18"/>
        </w:rPr>
      </w:pPr>
      <w:r w:rsidRPr="00762DE6">
        <w:rPr>
          <w:rStyle w:val="Refdenotaalpie"/>
          <w:rFonts w:ascii="Palatino Linotype" w:hAnsi="Palatino Linotype"/>
          <w:sz w:val="18"/>
        </w:rPr>
        <w:footnoteRef/>
      </w:r>
      <w:r w:rsidRPr="00762DE6">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0E428B" w:rsidRDefault="000E428B" w:rsidP="00390C2D">
      <w:pPr>
        <w:pStyle w:val="Textonotapie"/>
      </w:pPr>
      <w:r w:rsidRPr="00762DE6">
        <w:rPr>
          <w:rStyle w:val="Refdenotaalpie"/>
          <w:rFonts w:ascii="Palatino Linotype" w:hAnsi="Palatino Linotype"/>
          <w:sz w:val="18"/>
        </w:rPr>
        <w:footnoteRef/>
      </w:r>
      <w:r w:rsidRPr="00762DE6">
        <w:rPr>
          <w:rFonts w:ascii="Palatino Linotype" w:hAnsi="Palatino Linotype"/>
          <w:sz w:val="18"/>
        </w:rPr>
        <w:t xml:space="preserve"> Ibídem. </w:t>
      </w:r>
      <w:r w:rsidRPr="00762DE6">
        <w:rPr>
          <w:rFonts w:ascii="Palatino Linotype" w:hAnsi="Palatino Linotype"/>
          <w:sz w:val="18"/>
        </w:rPr>
        <w:t>Parr. 87.</w:t>
      </w:r>
    </w:p>
  </w:footnote>
  <w:footnote w:id="5">
    <w:p w:rsidR="000E428B" w:rsidRDefault="000E428B" w:rsidP="006B30E5">
      <w:pPr>
        <w:pStyle w:val="Textonotapie"/>
      </w:pPr>
      <w:r>
        <w:rPr>
          <w:rStyle w:val="Refdenotaalpie"/>
        </w:rPr>
        <w:footnoteRef/>
      </w:r>
      <w:r>
        <w:t xml:space="preserve"> </w:t>
      </w:r>
      <w:r>
        <w:t>Artículo 150. Ley de Transparencia y Acceso a la Información Pública del Estado de México y Municipios.</w:t>
      </w:r>
    </w:p>
    <w:p w:rsidR="000E428B" w:rsidRDefault="000E428B" w:rsidP="006B30E5">
      <w:pPr>
        <w:pStyle w:val="Textonotapie"/>
      </w:pPr>
      <w:r>
        <w:t>Artículo 151. Ibídem.</w:t>
      </w:r>
    </w:p>
  </w:footnote>
  <w:footnote w:id="6">
    <w:p w:rsidR="000E428B" w:rsidRDefault="000E428B" w:rsidP="006B30E5">
      <w:pPr>
        <w:pStyle w:val="Textonotapie"/>
      </w:pPr>
      <w:r>
        <w:rPr>
          <w:rStyle w:val="Refdenotaalpie"/>
        </w:rPr>
        <w:footnoteRef/>
      </w:r>
      <w:r>
        <w:t xml:space="preserve"> Ley de Transparencia y Acceso a la Información Pública del Estado de México y Municipios. Artículo 9. …</w:t>
      </w:r>
    </w:p>
    <w:p w:rsidR="000E428B" w:rsidRDefault="000E428B" w:rsidP="006B30E5">
      <w:pPr>
        <w:pStyle w:val="Textonotapie"/>
      </w:pPr>
      <w:r>
        <w:t>II. Eficacia: Obligación del Instituto para tutelar, de manera efectiva, el derecho de acceso a la información;</w:t>
      </w:r>
    </w:p>
    <w:p w:rsidR="000E428B" w:rsidRDefault="000E428B" w:rsidP="006B30E5">
      <w:pPr>
        <w:pStyle w:val="Textonotapie"/>
      </w:pPr>
      <w:r>
        <w:t xml:space="preserve">… </w:t>
      </w:r>
    </w:p>
  </w:footnote>
  <w:footnote w:id="7">
    <w:p w:rsidR="000E428B" w:rsidRPr="00597B5B" w:rsidRDefault="000E428B">
      <w:pPr>
        <w:pStyle w:val="Textonotapie"/>
        <w:rPr>
          <w:rFonts w:ascii="Palatino Linotype" w:hAnsi="Palatino Linotype"/>
        </w:rPr>
      </w:pPr>
      <w:r w:rsidRPr="00597B5B">
        <w:rPr>
          <w:rStyle w:val="Refdenotaalpie"/>
          <w:rFonts w:ascii="Palatino Linotype" w:hAnsi="Palatino Linotype"/>
          <w:sz w:val="18"/>
        </w:rPr>
        <w:footnoteRef/>
      </w:r>
      <w:r w:rsidRPr="00597B5B">
        <w:rPr>
          <w:rFonts w:ascii="Palatino Linotype" w:hAnsi="Palatino Linotype"/>
          <w:sz w:val="18"/>
        </w:rPr>
        <w:t xml:space="preserve"> Portal del Fondo de Aportaciones para la Seguridad Pública</w:t>
      </w:r>
      <w:r>
        <w:rPr>
          <w:rFonts w:ascii="Palatino Linotype" w:hAnsi="Palatino Linotype"/>
          <w:sz w:val="18"/>
        </w:rPr>
        <w:t>.</w:t>
      </w:r>
      <w:r w:rsidRPr="00597B5B">
        <w:rPr>
          <w:rFonts w:ascii="Palatino Linotype" w:hAnsi="Palatino Linotype"/>
          <w:sz w:val="18"/>
        </w:rPr>
        <w:t xml:space="preserve"> https://www.gob.mx/sesnsp/acciones-y-programas/fondo-de-aportaciones-para-la-seguridad-publica-fasp</w:t>
      </w:r>
    </w:p>
  </w:footnote>
  <w:footnote w:id="8">
    <w:p w:rsidR="000E428B" w:rsidRPr="004372FF" w:rsidRDefault="000E428B" w:rsidP="007A5CE2">
      <w:pPr>
        <w:pStyle w:val="Textonotapie"/>
        <w:rPr>
          <w:rFonts w:ascii="Palatino Linotype" w:hAnsi="Palatino Linotype"/>
          <w:i/>
          <w:sz w:val="18"/>
        </w:rPr>
      </w:pPr>
      <w:r w:rsidRPr="004372FF">
        <w:rPr>
          <w:rStyle w:val="Refdenotaalpie"/>
          <w:rFonts w:ascii="Palatino Linotype" w:hAnsi="Palatino Linotype"/>
          <w:sz w:val="18"/>
        </w:rPr>
        <w:footnoteRef/>
      </w:r>
      <w:r w:rsidRPr="004372FF">
        <w:rPr>
          <w:rFonts w:ascii="Palatino Linotype" w:hAnsi="Palatino Linotype"/>
          <w:sz w:val="18"/>
        </w:rPr>
        <w:t xml:space="preserve"> </w:t>
      </w:r>
      <w:r w:rsidRPr="004372FF">
        <w:rPr>
          <w:rFonts w:ascii="Palatino Linotype" w:hAnsi="Palatino Linotype"/>
          <w:sz w:val="18"/>
        </w:rPr>
        <w:t xml:space="preserve">Consultable en la foja </w:t>
      </w:r>
      <w:r>
        <w:rPr>
          <w:rFonts w:ascii="Palatino Linotype" w:hAnsi="Palatino Linotype"/>
          <w:sz w:val="18"/>
        </w:rPr>
        <w:t>256</w:t>
      </w:r>
      <w:r w:rsidRPr="004372FF">
        <w:rPr>
          <w:rFonts w:ascii="Palatino Linotype" w:hAnsi="Palatino Linotype"/>
          <w:sz w:val="18"/>
        </w:rPr>
        <w:t xml:space="preserve"> de los </w:t>
      </w:r>
      <w:r w:rsidRPr="004372FF">
        <w:rPr>
          <w:rFonts w:ascii="Palatino Linotype" w:hAnsi="Palatino Linotype"/>
          <w:i/>
          <w:sz w:val="18"/>
        </w:rPr>
        <w:t>Lineamientos para la Entrega del Informe Mensual Municipal 2019.</w:t>
      </w:r>
    </w:p>
  </w:footnote>
  <w:footnote w:id="9">
    <w:p w:rsidR="000E428B" w:rsidRPr="00696E5D" w:rsidRDefault="000E428B" w:rsidP="007A5CE2">
      <w:pPr>
        <w:pStyle w:val="Textonotapie"/>
        <w:rPr>
          <w:rFonts w:ascii="Palatino Linotype" w:hAnsi="Palatino Linotype"/>
          <w:sz w:val="16"/>
        </w:rPr>
      </w:pPr>
      <w:r w:rsidRPr="00696E5D">
        <w:rPr>
          <w:rStyle w:val="Refdenotaalpie"/>
          <w:rFonts w:ascii="Palatino Linotype" w:hAnsi="Palatino Linotype"/>
          <w:sz w:val="16"/>
        </w:rPr>
        <w:footnoteRef/>
      </w:r>
      <w:r w:rsidRPr="00696E5D">
        <w:rPr>
          <w:rFonts w:ascii="Palatino Linotype" w:hAnsi="Palatino Linotype"/>
          <w:sz w:val="16"/>
        </w:rPr>
        <w:t xml:space="preserve"> Consultable en: https://www.osfem.gob.mx/09_Iconografia/Cumplimiento/Aytto/Aytto_19.html</w:t>
      </w:r>
    </w:p>
  </w:footnote>
  <w:footnote w:id="10">
    <w:p w:rsidR="000E428B" w:rsidRPr="00034B44" w:rsidRDefault="000E428B" w:rsidP="00862AB1">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0E428B" w:rsidRPr="00034B44" w:rsidRDefault="000E428B" w:rsidP="00862AB1">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11">
    <w:p w:rsidR="000E428B" w:rsidRPr="00034B44" w:rsidRDefault="000E428B" w:rsidP="00862AB1">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2">
    <w:p w:rsidR="000E428B" w:rsidRPr="00034B44" w:rsidRDefault="000E428B" w:rsidP="00862AB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0E428B" w:rsidRPr="00034B44" w:rsidRDefault="000E428B" w:rsidP="00862AB1">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0E428B" w:rsidRPr="00034B44" w:rsidRDefault="000E428B" w:rsidP="00862AB1">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13">
    <w:p w:rsidR="000E428B" w:rsidRPr="00034B44" w:rsidRDefault="000E428B" w:rsidP="00862AB1">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14">
    <w:p w:rsidR="000E428B" w:rsidRPr="00034B44" w:rsidRDefault="000E428B" w:rsidP="00862AB1">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0E428B" w:rsidRPr="00034B44" w:rsidRDefault="000E428B" w:rsidP="00862AB1">
      <w:pPr>
        <w:pStyle w:val="Textonotapie"/>
        <w:jc w:val="both"/>
        <w:rPr>
          <w:rFonts w:ascii="Palatino Linotype" w:hAnsi="Palatino Linotype"/>
          <w:sz w:val="18"/>
        </w:rPr>
      </w:pPr>
      <w:r w:rsidRPr="00034B44">
        <w:rPr>
          <w:rFonts w:ascii="Palatino Linotype" w:hAnsi="Palatino Linotype"/>
          <w:sz w:val="18"/>
        </w:rPr>
        <w:t xml:space="preserve"> (…)</w:t>
      </w:r>
    </w:p>
    <w:p w:rsidR="000E428B" w:rsidRPr="00034B44" w:rsidRDefault="000E428B" w:rsidP="00862AB1">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 w:id="15">
    <w:p w:rsidR="000E428B" w:rsidRPr="00ED2A04" w:rsidRDefault="000E428B" w:rsidP="00346FC9">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6">
    <w:p w:rsidR="000E428B" w:rsidRPr="00ED2A04" w:rsidRDefault="000E428B" w:rsidP="00346FC9">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7">
    <w:p w:rsidR="000E428B" w:rsidRPr="000406A4" w:rsidRDefault="000E428B" w:rsidP="00346FC9">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8">
    <w:p w:rsidR="000E428B" w:rsidRPr="000406A4" w:rsidRDefault="000E428B" w:rsidP="00346FC9">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9">
    <w:p w:rsidR="000E428B" w:rsidRPr="000406A4" w:rsidRDefault="000E428B" w:rsidP="00346FC9">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20">
    <w:p w:rsidR="000E428B" w:rsidRPr="000406A4" w:rsidRDefault="000E428B" w:rsidP="00346FC9">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21">
    <w:p w:rsidR="000E428B" w:rsidRPr="000406A4" w:rsidRDefault="000E428B" w:rsidP="00346FC9">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22">
    <w:p w:rsidR="000E428B" w:rsidRPr="00042E67" w:rsidRDefault="000E428B" w:rsidP="00346FC9">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w:t>
      </w:r>
      <w:r w:rsidRPr="00042E67">
        <w:rPr>
          <w:rFonts w:eastAsia="Times New Roman"/>
          <w:color w:val="000000" w:themeColor="text1"/>
          <w:sz w:val="20"/>
          <w:szCs w:val="20"/>
          <w:lang w:eastAsia="es-ES_tradnl"/>
        </w:rPr>
        <w:t xml:space="preserve">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w:t>
      </w:r>
      <w:r w:rsidRPr="00716066">
        <w:rPr>
          <w:rFonts w:eastAsia="Times New Roman"/>
          <w:color w:val="000000" w:themeColor="text1"/>
          <w:sz w:val="20"/>
          <w:szCs w:val="20"/>
          <w:lang w:eastAsia="es-ES_tradnl"/>
        </w:rPr>
        <w:t>Caso</w:t>
      </w:r>
      <w:r w:rsidRPr="00042E67">
        <w:rPr>
          <w:rFonts w:eastAsia="Times New Roman"/>
          <w:color w:val="000000" w:themeColor="text1"/>
          <w:sz w:val="20"/>
          <w:szCs w:val="20"/>
          <w:lang w:eastAsia="es-ES_tradnl"/>
        </w:rPr>
        <w:t xml:space="preserve"> Gonzales Lluy y otros contra Ecuador. Excepciones preliminares, fondo, reparaciones y costas. Sentencia del 01 de septiembre de 2015. Párr. 256. </w:t>
      </w:r>
    </w:p>
  </w:footnote>
  <w:footnote w:id="23">
    <w:p w:rsidR="000E428B" w:rsidRPr="00A4142C" w:rsidRDefault="000E428B" w:rsidP="00346FC9">
      <w:pPr>
        <w:pStyle w:val="Textonotapie"/>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 w:id="24">
    <w:p w:rsidR="000E428B" w:rsidRPr="00022D7E" w:rsidRDefault="000E428B" w:rsidP="007C4247">
      <w:pPr>
        <w:pStyle w:val="Textonotapie"/>
      </w:pPr>
      <w:r>
        <w:rPr>
          <w:rStyle w:val="Refdenotaalpie"/>
        </w:rPr>
        <w:footnoteRef/>
      </w:r>
      <w:r>
        <w:t xml:space="preserve">Disponible para su consulta en  </w:t>
      </w:r>
      <w:hyperlink r:id="rId8" w:history="1">
        <w:r>
          <w:rPr>
            <w:rStyle w:val="Hipervnculo"/>
          </w:rPr>
          <w:t>http://www.dof.gob.mx/nota_detalle.php?codigo=5433280&amp;fecha=15/04/2016</w:t>
        </w:r>
      </w:hyperlink>
    </w:p>
  </w:footnote>
  <w:footnote w:id="25">
    <w:p w:rsidR="000E428B" w:rsidRPr="000553F9" w:rsidRDefault="000E428B" w:rsidP="007C4247">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9" w:anchor="/entry-id/E216930" w:history="1">
        <w:r w:rsidRPr="000553F9">
          <w:rPr>
            <w:rStyle w:val="Hipervnculo"/>
            <w:color w:val="000000" w:themeColor="text1"/>
          </w:rPr>
          <w:t>http://dej.rae.es/#/entry-id/E216930</w:t>
        </w:r>
      </w:hyperlink>
      <w:r w:rsidRPr="000553F9">
        <w:rPr>
          <w:color w:val="000000" w:themeColor="text1"/>
        </w:rPr>
        <w:t xml:space="preserve"> </w:t>
      </w:r>
    </w:p>
  </w:footnote>
  <w:footnote w:id="26">
    <w:p w:rsidR="000E428B" w:rsidRPr="000553F9" w:rsidRDefault="000E428B" w:rsidP="007C4247">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10" w:anchor="/entry-id/E87450" w:history="1">
        <w:r w:rsidRPr="000553F9">
          <w:rPr>
            <w:rStyle w:val="Hipervnculo"/>
            <w:color w:val="000000" w:themeColor="text1"/>
          </w:rPr>
          <w:t>http://dej.rae.es/#/entry-id/E87450</w:t>
        </w:r>
      </w:hyperlink>
      <w:r w:rsidRPr="000553F9">
        <w:rPr>
          <w:color w:val="000000" w:themeColor="text1"/>
        </w:rPr>
        <w:t xml:space="preserve"> </w:t>
      </w:r>
    </w:p>
  </w:footnote>
  <w:footnote w:id="27">
    <w:p w:rsidR="000E428B" w:rsidRPr="000553F9" w:rsidRDefault="000E428B" w:rsidP="007C4247">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11" w:history="1">
        <w:r w:rsidRPr="000553F9">
          <w:rPr>
            <w:rStyle w:val="Hipervnculo"/>
            <w:color w:val="000000" w:themeColor="text1"/>
          </w:rPr>
          <w:t>http://dle.rae.es/?id=VGqyuLj|VGtxgAo|VGuc9Wg</w:t>
        </w:r>
      </w:hyperlink>
      <w:r w:rsidRPr="000553F9">
        <w:rPr>
          <w:color w:val="000000" w:themeColor="text1"/>
        </w:rPr>
        <w:t xml:space="preserve"> </w:t>
      </w:r>
    </w:p>
  </w:footnote>
  <w:footnote w:id="28">
    <w:p w:rsidR="000E428B" w:rsidRPr="000553F9" w:rsidRDefault="000E428B" w:rsidP="007C4247">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12" w:history="1">
        <w:r w:rsidRPr="000553F9">
          <w:rPr>
            <w:rStyle w:val="Hipervnculo"/>
            <w:color w:val="000000" w:themeColor="text1"/>
          </w:rPr>
          <w:t>http://dle.rae.es/?id=CAjNzMR</w:t>
        </w:r>
      </w:hyperlink>
      <w:r w:rsidRPr="000553F9">
        <w:rPr>
          <w:color w:val="000000" w:themeColor="text1"/>
        </w:rPr>
        <w:t xml:space="preserve"> </w:t>
      </w:r>
    </w:p>
  </w:footnote>
  <w:footnote w:id="29">
    <w:p w:rsidR="000E428B" w:rsidRPr="000553F9" w:rsidRDefault="000E428B" w:rsidP="007C4247">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13" w:history="1">
        <w:r w:rsidRPr="000553F9">
          <w:rPr>
            <w:rStyle w:val="Hipervnculo"/>
            <w:color w:val="000000" w:themeColor="text1"/>
          </w:rPr>
          <w:t>http://dle.rae.es/?id=CAqWkEB</w:t>
        </w:r>
      </w:hyperlink>
      <w:r w:rsidRPr="000553F9">
        <w:rPr>
          <w:color w:val="000000" w:themeColor="text1"/>
        </w:rPr>
        <w:t xml:space="preserve"> </w:t>
      </w:r>
    </w:p>
  </w:footnote>
  <w:footnote w:id="30">
    <w:p w:rsidR="000E428B" w:rsidRPr="000553F9" w:rsidRDefault="000E428B" w:rsidP="007C4247">
      <w:pPr>
        <w:pStyle w:val="Textonotapie"/>
        <w:jc w:val="both"/>
        <w:rPr>
          <w:color w:val="000000" w:themeColor="text1"/>
          <w:lang w:val="es-ES"/>
        </w:rPr>
      </w:pPr>
      <w:r w:rsidRPr="000553F9">
        <w:rPr>
          <w:rStyle w:val="Refdenotaalpie"/>
          <w:color w:val="000000" w:themeColor="text1"/>
        </w:rPr>
        <w:footnoteRef/>
      </w:r>
      <w:r w:rsidRPr="000553F9">
        <w:rPr>
          <w:color w:val="000000" w:themeColor="text1"/>
        </w:rPr>
        <w:t xml:space="preserve"> </w:t>
      </w:r>
      <w:hyperlink r:id="rId14" w:history="1">
        <w:r w:rsidRPr="000553F9">
          <w:rPr>
            <w:rStyle w:val="Hipervnculo"/>
            <w:color w:val="000000" w:themeColor="text1"/>
          </w:rPr>
          <w:t>http://dle.rae.es/?id=KtnHLLd</w:t>
        </w:r>
      </w:hyperlink>
      <w:r w:rsidRPr="000553F9">
        <w:rPr>
          <w:color w:val="000000" w:themeColor="text1"/>
        </w:rPr>
        <w:t xml:space="preserve"> </w:t>
      </w:r>
    </w:p>
  </w:footnote>
  <w:footnote w:id="31">
    <w:p w:rsidR="000E428B" w:rsidRPr="000406A4" w:rsidRDefault="000E428B" w:rsidP="007C4247">
      <w:pPr>
        <w:pStyle w:val="Textonotapie"/>
        <w:jc w:val="both"/>
        <w:rPr>
          <w:lang w:val="es-ES"/>
        </w:rPr>
      </w:pPr>
      <w:r w:rsidRPr="000553F9">
        <w:rPr>
          <w:rStyle w:val="Refdenotaalpie"/>
          <w:color w:val="000000" w:themeColor="text1"/>
        </w:rPr>
        <w:footnoteRef/>
      </w:r>
      <w:r w:rsidRPr="000553F9">
        <w:rPr>
          <w:color w:val="000000" w:themeColor="text1"/>
        </w:rPr>
        <w:t xml:space="preserve"> </w:t>
      </w:r>
      <w:hyperlink r:id="rId15" w:history="1">
        <w:r w:rsidRPr="000553F9">
          <w:rPr>
            <w:rStyle w:val="Hipervnculo"/>
            <w:color w:val="000000" w:themeColor="text1"/>
          </w:rPr>
          <w:t>http://dle.rae.es/?id=KtpfgjV</w:t>
        </w:r>
      </w:hyperlink>
      <w:r w:rsidRPr="000553F9">
        <w:rPr>
          <w:color w:val="000000" w:themeColor="text1"/>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28B" w:rsidRDefault="000E428B">
    <w:pPr>
      <w:pStyle w:val="Encabezado"/>
    </w:pPr>
  </w:p>
  <w:p w:rsidR="000E428B" w:rsidRDefault="000E428B">
    <w:pPr>
      <w:pStyle w:val="Encabezado"/>
    </w:pPr>
  </w:p>
  <w:tbl>
    <w:tblPr>
      <w:tblStyle w:val="Tablaconcuadrcula"/>
      <w:tblW w:w="6804"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0E428B" w:rsidRPr="00EF13C1" w:rsidTr="00262B20">
      <w:trPr>
        <w:trHeight w:val="138"/>
      </w:trPr>
      <w:tc>
        <w:tcPr>
          <w:tcW w:w="2835" w:type="dxa"/>
          <w:vAlign w:val="center"/>
        </w:tcPr>
        <w:p w:rsidR="000E428B" w:rsidRPr="00EF13C1" w:rsidRDefault="000E428B" w:rsidP="001A4CD6">
          <w:pPr>
            <w:rPr>
              <w:rFonts w:ascii="Palatino Linotype" w:hAnsi="Palatino Linotype"/>
              <w:b/>
            </w:rPr>
          </w:pPr>
          <w:r w:rsidRPr="00EF13C1">
            <w:rPr>
              <w:rFonts w:ascii="Palatino Linotype" w:hAnsi="Palatino Linotype"/>
              <w:b/>
            </w:rPr>
            <w:t>Recurso de revisión:</w:t>
          </w:r>
        </w:p>
      </w:tc>
      <w:tc>
        <w:tcPr>
          <w:tcW w:w="3969" w:type="dxa"/>
          <w:vAlign w:val="center"/>
        </w:tcPr>
        <w:p w:rsidR="000E428B" w:rsidRPr="00EF13C1" w:rsidRDefault="000E428B" w:rsidP="00E51B74">
          <w:pPr>
            <w:pStyle w:val="Encabezado"/>
            <w:rPr>
              <w:rFonts w:ascii="Palatino Linotype" w:hAnsi="Palatino Linotype"/>
              <w:b/>
            </w:rPr>
          </w:pPr>
          <w:r>
            <w:rPr>
              <w:rFonts w:ascii="Palatino Linotype" w:hAnsi="Palatino Linotype" w:cs="Arial"/>
              <w:b/>
              <w:bCs/>
              <w:lang w:eastAsia="es-MX"/>
            </w:rPr>
            <w:t>10353/INFOEM/IP/RR/2019</w:t>
          </w:r>
        </w:p>
      </w:tc>
    </w:tr>
    <w:tr w:rsidR="000E428B" w:rsidRPr="00EF13C1" w:rsidTr="00262B20">
      <w:trPr>
        <w:trHeight w:val="321"/>
      </w:trPr>
      <w:tc>
        <w:tcPr>
          <w:tcW w:w="2835" w:type="dxa"/>
          <w:vAlign w:val="center"/>
        </w:tcPr>
        <w:p w:rsidR="000E428B" w:rsidRPr="00EF13C1" w:rsidRDefault="000E428B" w:rsidP="004C7A84">
          <w:pPr>
            <w:rPr>
              <w:rFonts w:ascii="Palatino Linotype" w:hAnsi="Palatino Linotype"/>
              <w:b/>
            </w:rPr>
          </w:pPr>
          <w:r w:rsidRPr="00EF13C1">
            <w:rPr>
              <w:rFonts w:ascii="Palatino Linotype" w:hAnsi="Palatino Linotype"/>
              <w:b/>
            </w:rPr>
            <w:t>Sujeto obligado:</w:t>
          </w:r>
        </w:p>
      </w:tc>
      <w:tc>
        <w:tcPr>
          <w:tcW w:w="3969" w:type="dxa"/>
          <w:vAlign w:val="center"/>
        </w:tcPr>
        <w:p w:rsidR="000E428B" w:rsidRPr="00182113" w:rsidRDefault="000E428B" w:rsidP="009E06B0">
          <w:pPr>
            <w:pStyle w:val="Encabezado"/>
            <w:rPr>
              <w:rFonts w:ascii="Palatino Linotype" w:hAnsi="Palatino Linotype"/>
              <w:b/>
            </w:rPr>
          </w:pPr>
          <w:r>
            <w:rPr>
              <w:rFonts w:ascii="Palatino Linotype" w:hAnsi="Palatino Linotype"/>
              <w:b/>
            </w:rPr>
            <w:t>Ayuntamiento de Atizapán</w:t>
          </w:r>
        </w:p>
      </w:tc>
    </w:tr>
    <w:tr w:rsidR="000E428B" w:rsidRPr="00EF13C1" w:rsidTr="00262B20">
      <w:trPr>
        <w:trHeight w:val="321"/>
      </w:trPr>
      <w:tc>
        <w:tcPr>
          <w:tcW w:w="2835" w:type="dxa"/>
          <w:vAlign w:val="center"/>
        </w:tcPr>
        <w:p w:rsidR="000E428B" w:rsidRPr="00EF13C1" w:rsidRDefault="000E428B" w:rsidP="001A4CD6">
          <w:pPr>
            <w:rPr>
              <w:rFonts w:ascii="Palatino Linotype" w:hAnsi="Palatino Linotype"/>
              <w:b/>
            </w:rPr>
          </w:pPr>
          <w:r w:rsidRPr="00EF13C1">
            <w:rPr>
              <w:rFonts w:ascii="Palatino Linotype" w:hAnsi="Palatino Linotype"/>
              <w:b/>
            </w:rPr>
            <w:t>Comisionado ponente:</w:t>
          </w:r>
        </w:p>
      </w:tc>
      <w:tc>
        <w:tcPr>
          <w:tcW w:w="3969" w:type="dxa"/>
          <w:vAlign w:val="center"/>
        </w:tcPr>
        <w:p w:rsidR="000E428B" w:rsidRPr="00EF13C1" w:rsidRDefault="000E428B" w:rsidP="001A4CD6">
          <w:pPr>
            <w:pStyle w:val="Encabezado"/>
            <w:rPr>
              <w:rFonts w:ascii="Palatino Linotype" w:hAnsi="Palatino Linotype"/>
              <w:b/>
            </w:rPr>
          </w:pPr>
          <w:r w:rsidRPr="00EF13C1">
            <w:rPr>
              <w:rFonts w:ascii="Palatino Linotype" w:hAnsi="Palatino Linotype"/>
              <w:b/>
            </w:rPr>
            <w:t>José Guadalupe Luna Hernández</w:t>
          </w:r>
        </w:p>
      </w:tc>
    </w:tr>
  </w:tbl>
  <w:p w:rsidR="000E428B" w:rsidRDefault="000E428B" w:rsidP="001A4CD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428B" w:rsidRDefault="000E428B" w:rsidP="001A4CD6">
    <w:pPr>
      <w:pStyle w:val="Encabezado"/>
      <w:tabs>
        <w:tab w:val="clear" w:pos="4252"/>
        <w:tab w:val="clear" w:pos="8504"/>
        <w:tab w:val="left" w:pos="3103"/>
      </w:tabs>
    </w:pPr>
    <w:r>
      <w:tab/>
    </w:r>
    <w:r>
      <w:tab/>
    </w:r>
  </w:p>
  <w:tbl>
    <w:tblPr>
      <w:tblStyle w:val="Tablaconcuadrcula"/>
      <w:tblW w:w="6681" w:type="dxa"/>
      <w:tblInd w:w="252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3827"/>
    </w:tblGrid>
    <w:tr w:rsidR="000E428B" w:rsidRPr="000D6A1D" w:rsidTr="00262B20">
      <w:trPr>
        <w:trHeight w:val="138"/>
      </w:trPr>
      <w:tc>
        <w:tcPr>
          <w:tcW w:w="2532" w:type="dxa"/>
          <w:vAlign w:val="center"/>
        </w:tcPr>
        <w:p w:rsidR="000E428B" w:rsidRPr="000D6A1D" w:rsidRDefault="000E428B" w:rsidP="001A4CD6">
          <w:pPr>
            <w:ind w:right="-572"/>
            <w:rPr>
              <w:rFonts w:ascii="Palatino Linotype" w:hAnsi="Palatino Linotype"/>
              <w:b/>
            </w:rPr>
          </w:pPr>
          <w:r w:rsidRPr="000D6A1D">
            <w:rPr>
              <w:rFonts w:ascii="Palatino Linotype" w:hAnsi="Palatino Linotype"/>
              <w:b/>
            </w:rPr>
            <w:t>Recurso de revisión:</w:t>
          </w:r>
        </w:p>
      </w:tc>
      <w:tc>
        <w:tcPr>
          <w:tcW w:w="322" w:type="dxa"/>
          <w:vAlign w:val="center"/>
        </w:tcPr>
        <w:p w:rsidR="000E428B" w:rsidRPr="000D6A1D" w:rsidRDefault="000E428B" w:rsidP="001A4CD6">
          <w:pPr>
            <w:pStyle w:val="Encabezado"/>
            <w:jc w:val="center"/>
            <w:rPr>
              <w:rFonts w:ascii="Palatino Linotype" w:hAnsi="Palatino Linotype"/>
              <w:b/>
            </w:rPr>
          </w:pPr>
        </w:p>
      </w:tc>
      <w:tc>
        <w:tcPr>
          <w:tcW w:w="3827" w:type="dxa"/>
          <w:vAlign w:val="center"/>
        </w:tcPr>
        <w:p w:rsidR="000E428B" w:rsidRPr="000D6A1D" w:rsidRDefault="000E428B" w:rsidP="00E51B74">
          <w:pPr>
            <w:pStyle w:val="Encabezado"/>
            <w:rPr>
              <w:rFonts w:ascii="Palatino Linotype" w:hAnsi="Palatino Linotype" w:cs="Arial"/>
              <w:b/>
              <w:bCs/>
              <w:lang w:eastAsia="es-MX"/>
            </w:rPr>
          </w:pPr>
          <w:r>
            <w:rPr>
              <w:rFonts w:ascii="Palatino Linotype" w:hAnsi="Palatino Linotype" w:cs="Arial"/>
              <w:b/>
              <w:bCs/>
              <w:lang w:eastAsia="es-MX"/>
            </w:rPr>
            <w:t>10353</w:t>
          </w:r>
          <w:r w:rsidRPr="000D6A1D">
            <w:rPr>
              <w:rFonts w:ascii="Palatino Linotype" w:hAnsi="Palatino Linotype" w:cs="Arial"/>
              <w:b/>
              <w:bCs/>
              <w:lang w:eastAsia="es-MX"/>
            </w:rPr>
            <w:t>/INFOEM/IP/RR/2019</w:t>
          </w:r>
        </w:p>
      </w:tc>
    </w:tr>
    <w:tr w:rsidR="000E428B" w:rsidRPr="000D6A1D" w:rsidTr="00262B20">
      <w:trPr>
        <w:trHeight w:val="227"/>
      </w:trPr>
      <w:tc>
        <w:tcPr>
          <w:tcW w:w="2532" w:type="dxa"/>
          <w:vAlign w:val="center"/>
        </w:tcPr>
        <w:p w:rsidR="000E428B" w:rsidRPr="000D6A1D" w:rsidRDefault="000E428B" w:rsidP="001A4CD6">
          <w:pPr>
            <w:rPr>
              <w:rFonts w:ascii="Palatino Linotype" w:hAnsi="Palatino Linotype"/>
              <w:b/>
            </w:rPr>
          </w:pPr>
          <w:r w:rsidRPr="000D6A1D">
            <w:rPr>
              <w:rFonts w:ascii="Palatino Linotype" w:hAnsi="Palatino Linotype"/>
              <w:b/>
            </w:rPr>
            <w:t>Recurrente:</w:t>
          </w:r>
        </w:p>
      </w:tc>
      <w:tc>
        <w:tcPr>
          <w:tcW w:w="322" w:type="dxa"/>
          <w:vAlign w:val="center"/>
        </w:tcPr>
        <w:p w:rsidR="000E428B" w:rsidRPr="000D6A1D" w:rsidRDefault="000E428B" w:rsidP="001A4CD6">
          <w:pPr>
            <w:pStyle w:val="Encabezado"/>
            <w:jc w:val="center"/>
            <w:rPr>
              <w:rFonts w:ascii="Palatino Linotype" w:hAnsi="Palatino Linotype"/>
              <w:b/>
            </w:rPr>
          </w:pPr>
        </w:p>
      </w:tc>
      <w:tc>
        <w:tcPr>
          <w:tcW w:w="3827" w:type="dxa"/>
          <w:vAlign w:val="center"/>
        </w:tcPr>
        <w:p w:rsidR="000E428B" w:rsidRPr="000D6A1D" w:rsidRDefault="000E428B" w:rsidP="000D6A1D">
          <w:pPr>
            <w:pStyle w:val="Encabezado"/>
            <w:tabs>
              <w:tab w:val="clear" w:pos="4252"/>
            </w:tabs>
            <w:ind w:right="-250"/>
            <w:rPr>
              <w:rFonts w:ascii="Palatino Linotype" w:hAnsi="Palatino Linotype"/>
              <w:b/>
            </w:rPr>
          </w:pPr>
          <w:r w:rsidRPr="000E428B">
            <w:rPr>
              <w:rFonts w:ascii="Palatino Linotype" w:hAnsi="Palatino Linotype"/>
              <w:b/>
              <w:highlight w:val="black"/>
            </w:rPr>
            <w:t>-----------------</w:t>
          </w:r>
        </w:p>
      </w:tc>
    </w:tr>
    <w:tr w:rsidR="000E428B" w:rsidRPr="000D6A1D" w:rsidTr="00262B20">
      <w:trPr>
        <w:trHeight w:val="232"/>
      </w:trPr>
      <w:tc>
        <w:tcPr>
          <w:tcW w:w="2532" w:type="dxa"/>
          <w:vAlign w:val="center"/>
        </w:tcPr>
        <w:p w:rsidR="000E428B" w:rsidRPr="000D6A1D" w:rsidRDefault="000E428B" w:rsidP="001A4CD6">
          <w:pPr>
            <w:rPr>
              <w:rFonts w:ascii="Palatino Linotype" w:hAnsi="Palatino Linotype"/>
              <w:b/>
            </w:rPr>
          </w:pPr>
          <w:r w:rsidRPr="000D6A1D">
            <w:rPr>
              <w:rFonts w:ascii="Palatino Linotype" w:hAnsi="Palatino Linotype"/>
              <w:b/>
            </w:rPr>
            <w:t>Sujeto obligado:</w:t>
          </w:r>
        </w:p>
      </w:tc>
      <w:tc>
        <w:tcPr>
          <w:tcW w:w="322" w:type="dxa"/>
          <w:vAlign w:val="center"/>
        </w:tcPr>
        <w:p w:rsidR="000E428B" w:rsidRPr="000D6A1D" w:rsidRDefault="000E428B" w:rsidP="001A4CD6">
          <w:pPr>
            <w:pStyle w:val="Encabezado"/>
            <w:jc w:val="center"/>
            <w:rPr>
              <w:rFonts w:ascii="Palatino Linotype" w:hAnsi="Palatino Linotype"/>
              <w:b/>
            </w:rPr>
          </w:pPr>
        </w:p>
      </w:tc>
      <w:tc>
        <w:tcPr>
          <w:tcW w:w="3827" w:type="dxa"/>
          <w:vAlign w:val="center"/>
        </w:tcPr>
        <w:p w:rsidR="000E428B" w:rsidRPr="000D6A1D" w:rsidRDefault="000E428B" w:rsidP="009E06B0">
          <w:pPr>
            <w:pStyle w:val="Encabezado"/>
            <w:rPr>
              <w:rFonts w:ascii="Palatino Linotype" w:hAnsi="Palatino Linotype"/>
              <w:b/>
            </w:rPr>
          </w:pPr>
          <w:r w:rsidRPr="000D6A1D">
            <w:rPr>
              <w:rFonts w:ascii="Palatino Linotype" w:hAnsi="Palatino Linotype"/>
              <w:b/>
            </w:rPr>
            <w:t xml:space="preserve">Ayuntamiento de </w:t>
          </w:r>
          <w:r>
            <w:rPr>
              <w:rFonts w:ascii="Palatino Linotype" w:hAnsi="Palatino Linotype"/>
              <w:b/>
            </w:rPr>
            <w:t>Atizapán</w:t>
          </w:r>
        </w:p>
      </w:tc>
    </w:tr>
    <w:tr w:rsidR="000E428B" w:rsidRPr="000D6A1D" w:rsidTr="00262B20">
      <w:trPr>
        <w:trHeight w:val="320"/>
      </w:trPr>
      <w:tc>
        <w:tcPr>
          <w:tcW w:w="2532" w:type="dxa"/>
          <w:vAlign w:val="center"/>
        </w:tcPr>
        <w:p w:rsidR="000E428B" w:rsidRPr="000D6A1D" w:rsidRDefault="000E428B" w:rsidP="001A4CD6">
          <w:pPr>
            <w:rPr>
              <w:rFonts w:ascii="Palatino Linotype" w:hAnsi="Palatino Linotype"/>
              <w:b/>
            </w:rPr>
          </w:pPr>
          <w:r w:rsidRPr="000D6A1D">
            <w:rPr>
              <w:rFonts w:ascii="Palatino Linotype" w:hAnsi="Palatino Linotype"/>
              <w:b/>
            </w:rPr>
            <w:t>Comisionado ponente:</w:t>
          </w:r>
        </w:p>
      </w:tc>
      <w:tc>
        <w:tcPr>
          <w:tcW w:w="322" w:type="dxa"/>
          <w:vAlign w:val="center"/>
        </w:tcPr>
        <w:p w:rsidR="000E428B" w:rsidRPr="000D6A1D" w:rsidRDefault="000E428B" w:rsidP="001A4CD6">
          <w:pPr>
            <w:pStyle w:val="Encabezado"/>
            <w:jc w:val="center"/>
            <w:rPr>
              <w:rFonts w:ascii="Palatino Linotype" w:hAnsi="Palatino Linotype"/>
              <w:b/>
            </w:rPr>
          </w:pPr>
        </w:p>
      </w:tc>
      <w:tc>
        <w:tcPr>
          <w:tcW w:w="3827" w:type="dxa"/>
          <w:vAlign w:val="center"/>
        </w:tcPr>
        <w:p w:rsidR="000E428B" w:rsidRPr="000D6A1D" w:rsidRDefault="000E428B" w:rsidP="001A4CD6">
          <w:pPr>
            <w:pStyle w:val="Encabezado"/>
            <w:rPr>
              <w:rFonts w:ascii="Palatino Linotype" w:hAnsi="Palatino Linotype"/>
              <w:b/>
            </w:rPr>
          </w:pPr>
          <w:r w:rsidRPr="000D6A1D">
            <w:rPr>
              <w:rFonts w:ascii="Palatino Linotype" w:hAnsi="Palatino Linotype"/>
              <w:b/>
            </w:rPr>
            <w:t>José Guadalupe Luna Hernández</w:t>
          </w:r>
        </w:p>
      </w:tc>
    </w:tr>
  </w:tbl>
  <w:p w:rsidR="000E428B" w:rsidRDefault="000E428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 w15:restartNumberingAfterBreak="0">
    <w:nsid w:val="17171013"/>
    <w:multiLevelType w:val="hybridMultilevel"/>
    <w:tmpl w:val="DC96F102"/>
    <w:lvl w:ilvl="0" w:tplc="080A000B">
      <w:start w:val="1"/>
      <w:numFmt w:val="bullet"/>
      <w:lvlText w:val=""/>
      <w:lvlJc w:val="left"/>
      <w:pPr>
        <w:ind w:left="927" w:hanging="360"/>
      </w:pPr>
      <w:rPr>
        <w:rFonts w:ascii="Wingdings" w:hAnsi="Wingdings"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E62436C"/>
    <w:multiLevelType w:val="hybridMultilevel"/>
    <w:tmpl w:val="74823A0C"/>
    <w:lvl w:ilvl="0" w:tplc="080A0013">
      <w:start w:val="1"/>
      <w:numFmt w:val="upperRoman"/>
      <w:lvlText w:val="%1."/>
      <w:lvlJc w:val="right"/>
      <w:pPr>
        <w:ind w:left="1287" w:hanging="360"/>
      </w:pPr>
    </w:lvl>
    <w:lvl w:ilvl="1" w:tplc="63A4E148">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15:restartNumberingAfterBreak="0">
    <w:nsid w:val="25EF0E93"/>
    <w:multiLevelType w:val="hybridMultilevel"/>
    <w:tmpl w:val="664862F8"/>
    <w:lvl w:ilvl="0" w:tplc="4FCCA7EA">
      <w:start w:val="1"/>
      <w:numFmt w:val="lowerLetter"/>
      <w:lvlText w:val="%1)"/>
      <w:lvlJc w:val="left"/>
      <w:pPr>
        <w:ind w:left="927" w:hanging="360"/>
      </w:pPr>
      <w:rPr>
        <w:rFonts w:cs="Arial" w:hint="default"/>
        <w:i w:val="0"/>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1" w15:restartNumberingAfterBreak="0">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2" w15:restartNumberingAfterBreak="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317490"/>
    <w:multiLevelType w:val="hybridMultilevel"/>
    <w:tmpl w:val="EF8EDCFC"/>
    <w:lvl w:ilvl="0" w:tplc="92BE0B36">
      <w:start w:val="1"/>
      <w:numFmt w:val="decimal"/>
      <w:lvlText w:val="%1."/>
      <w:lvlJc w:val="left"/>
      <w:pPr>
        <w:ind w:left="4472" w:hanging="360"/>
      </w:pPr>
      <w:rPr>
        <w:rFonts w:ascii="Palatino Linotype" w:hAnsi="Palatino Linotype" w:hint="default"/>
        <w:b/>
        <w:i w:val="0"/>
        <w:color w:val="auto"/>
        <w:sz w:val="24"/>
      </w:rPr>
    </w:lvl>
    <w:lvl w:ilvl="1" w:tplc="080A000B">
      <w:start w:val="1"/>
      <w:numFmt w:val="bullet"/>
      <w:lvlText w:val=""/>
      <w:lvlJc w:val="left"/>
      <w:pPr>
        <w:ind w:left="1146" w:hanging="720"/>
      </w:pPr>
      <w:rPr>
        <w:rFonts w:ascii="Wingdings" w:hAnsi="Wingdings" w:hint="default"/>
        <w:b/>
      </w:rPr>
    </w:lvl>
    <w:lvl w:ilvl="2" w:tplc="080A0017">
      <w:start w:val="1"/>
      <w:numFmt w:val="lowerLetter"/>
      <w:lvlText w:val="%3)"/>
      <w:lvlJc w:val="left"/>
      <w:pPr>
        <w:ind w:left="2160" w:hanging="180"/>
      </w:pPr>
      <w:rPr>
        <w:b/>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FE3275E"/>
    <w:multiLevelType w:val="hybridMultilevel"/>
    <w:tmpl w:val="A5BEEEAA"/>
    <w:lvl w:ilvl="0" w:tplc="07FA6882">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67658D5"/>
    <w:multiLevelType w:val="hybridMultilevel"/>
    <w:tmpl w:val="4BFED97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5B8A0DAB"/>
    <w:multiLevelType w:val="hybridMultilevel"/>
    <w:tmpl w:val="122695EC"/>
    <w:lvl w:ilvl="0" w:tplc="080A0015">
      <w:start w:val="1"/>
      <w:numFmt w:val="upp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15:restartNumberingAfterBreak="0">
    <w:nsid w:val="69DF5423"/>
    <w:multiLevelType w:val="hybridMultilevel"/>
    <w:tmpl w:val="F6F01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B4A382C"/>
    <w:multiLevelType w:val="hybridMultilevel"/>
    <w:tmpl w:val="9A2E78E8"/>
    <w:lvl w:ilvl="0" w:tplc="F904CDDA">
      <w:start w:val="9"/>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6" w15:restartNumberingAfterBreak="0">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7" w15:restartNumberingAfterBreak="0">
    <w:nsid w:val="7CA92E24"/>
    <w:multiLevelType w:val="hybridMultilevel"/>
    <w:tmpl w:val="4698A34A"/>
    <w:lvl w:ilvl="0" w:tplc="F96AE5BE">
      <w:start w:val="1"/>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3"/>
  </w:num>
  <w:num w:numId="3">
    <w:abstractNumId w:val="19"/>
  </w:num>
  <w:num w:numId="4">
    <w:abstractNumId w:val="11"/>
  </w:num>
  <w:num w:numId="5">
    <w:abstractNumId w:val="0"/>
  </w:num>
  <w:num w:numId="6">
    <w:abstractNumId w:val="3"/>
  </w:num>
  <w:num w:numId="7">
    <w:abstractNumId w:val="6"/>
  </w:num>
  <w:num w:numId="8">
    <w:abstractNumId w:val="25"/>
  </w:num>
  <w:num w:numId="9">
    <w:abstractNumId w:val="13"/>
  </w:num>
  <w:num w:numId="10">
    <w:abstractNumId w:val="14"/>
  </w:num>
  <w:num w:numId="11">
    <w:abstractNumId w:val="17"/>
  </w:num>
  <w:num w:numId="12">
    <w:abstractNumId w:val="8"/>
  </w:num>
  <w:num w:numId="13">
    <w:abstractNumId w:val="26"/>
  </w:num>
  <w:num w:numId="14">
    <w:abstractNumId w:val="12"/>
  </w:num>
  <w:num w:numId="15">
    <w:abstractNumId w:val="10"/>
  </w:num>
  <w:num w:numId="16">
    <w:abstractNumId w:val="5"/>
  </w:num>
  <w:num w:numId="17">
    <w:abstractNumId w:val="16"/>
  </w:num>
  <w:num w:numId="18">
    <w:abstractNumId w:val="18"/>
  </w:num>
  <w:num w:numId="19">
    <w:abstractNumId w:val="15"/>
  </w:num>
  <w:num w:numId="20">
    <w:abstractNumId w:val="27"/>
  </w:num>
  <w:num w:numId="21">
    <w:abstractNumId w:val="24"/>
  </w:num>
  <w:num w:numId="22">
    <w:abstractNumId w:val="9"/>
  </w:num>
  <w:num w:numId="23">
    <w:abstractNumId w:val="23"/>
  </w:num>
  <w:num w:numId="24">
    <w:abstractNumId w:val="2"/>
  </w:num>
  <w:num w:numId="25">
    <w:abstractNumId w:val="21"/>
  </w:num>
  <w:num w:numId="26">
    <w:abstractNumId w:val="4"/>
  </w:num>
  <w:num w:numId="27">
    <w:abstractNumId w:val="22"/>
  </w:num>
  <w:num w:numId="28">
    <w:abstractNumId w:val="20"/>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BA0"/>
    <w:rsid w:val="00000221"/>
    <w:rsid w:val="000018DF"/>
    <w:rsid w:val="00006232"/>
    <w:rsid w:val="00011713"/>
    <w:rsid w:val="000155D5"/>
    <w:rsid w:val="000246F0"/>
    <w:rsid w:val="00030E8B"/>
    <w:rsid w:val="00031242"/>
    <w:rsid w:val="000313A4"/>
    <w:rsid w:val="00032F2E"/>
    <w:rsid w:val="000342A6"/>
    <w:rsid w:val="00035DCC"/>
    <w:rsid w:val="000365FB"/>
    <w:rsid w:val="00040BD8"/>
    <w:rsid w:val="000415A8"/>
    <w:rsid w:val="00057777"/>
    <w:rsid w:val="00061D2B"/>
    <w:rsid w:val="00077EF1"/>
    <w:rsid w:val="00082316"/>
    <w:rsid w:val="00084BEC"/>
    <w:rsid w:val="00087EFD"/>
    <w:rsid w:val="00093440"/>
    <w:rsid w:val="000955E5"/>
    <w:rsid w:val="00096913"/>
    <w:rsid w:val="000A26E8"/>
    <w:rsid w:val="000A333C"/>
    <w:rsid w:val="000A4E7A"/>
    <w:rsid w:val="000A4F5D"/>
    <w:rsid w:val="000B0798"/>
    <w:rsid w:val="000B782B"/>
    <w:rsid w:val="000D029A"/>
    <w:rsid w:val="000D4292"/>
    <w:rsid w:val="000D696D"/>
    <w:rsid w:val="000D6A1D"/>
    <w:rsid w:val="000E14D4"/>
    <w:rsid w:val="000E1EF5"/>
    <w:rsid w:val="000E2E37"/>
    <w:rsid w:val="000E3412"/>
    <w:rsid w:val="000E3C8E"/>
    <w:rsid w:val="000E428B"/>
    <w:rsid w:val="000E5748"/>
    <w:rsid w:val="000F0A44"/>
    <w:rsid w:val="000F4181"/>
    <w:rsid w:val="000F6BBE"/>
    <w:rsid w:val="001052C0"/>
    <w:rsid w:val="00107ECA"/>
    <w:rsid w:val="00110244"/>
    <w:rsid w:val="00112CE8"/>
    <w:rsid w:val="00127757"/>
    <w:rsid w:val="00130074"/>
    <w:rsid w:val="00134074"/>
    <w:rsid w:val="00134A06"/>
    <w:rsid w:val="001367B5"/>
    <w:rsid w:val="00155F00"/>
    <w:rsid w:val="001570F2"/>
    <w:rsid w:val="001649AD"/>
    <w:rsid w:val="0017271A"/>
    <w:rsid w:val="001769AA"/>
    <w:rsid w:val="001935FE"/>
    <w:rsid w:val="00193904"/>
    <w:rsid w:val="001A17E5"/>
    <w:rsid w:val="001A2852"/>
    <w:rsid w:val="001A4CD6"/>
    <w:rsid w:val="001B3DE0"/>
    <w:rsid w:val="001B413D"/>
    <w:rsid w:val="001B4306"/>
    <w:rsid w:val="001B537C"/>
    <w:rsid w:val="001C17C4"/>
    <w:rsid w:val="001C7E54"/>
    <w:rsid w:val="001D6F0D"/>
    <w:rsid w:val="001E43E4"/>
    <w:rsid w:val="001E4669"/>
    <w:rsid w:val="001F135F"/>
    <w:rsid w:val="001F3FE7"/>
    <w:rsid w:val="001F48F8"/>
    <w:rsid w:val="00200316"/>
    <w:rsid w:val="00205D1F"/>
    <w:rsid w:val="00213898"/>
    <w:rsid w:val="002147C7"/>
    <w:rsid w:val="00214E34"/>
    <w:rsid w:val="00220341"/>
    <w:rsid w:val="002356F5"/>
    <w:rsid w:val="00236198"/>
    <w:rsid w:val="00243088"/>
    <w:rsid w:val="00247376"/>
    <w:rsid w:val="002572AE"/>
    <w:rsid w:val="002612E8"/>
    <w:rsid w:val="00262B20"/>
    <w:rsid w:val="00272BA6"/>
    <w:rsid w:val="002759AB"/>
    <w:rsid w:val="00277C08"/>
    <w:rsid w:val="00277D13"/>
    <w:rsid w:val="00284CD9"/>
    <w:rsid w:val="00296474"/>
    <w:rsid w:val="002A00B1"/>
    <w:rsid w:val="002A64D7"/>
    <w:rsid w:val="002A7A7D"/>
    <w:rsid w:val="002B073C"/>
    <w:rsid w:val="002B1DA8"/>
    <w:rsid w:val="002B1F46"/>
    <w:rsid w:val="002B4574"/>
    <w:rsid w:val="002C37C0"/>
    <w:rsid w:val="002C4B4C"/>
    <w:rsid w:val="002C798C"/>
    <w:rsid w:val="002D1192"/>
    <w:rsid w:val="002D278B"/>
    <w:rsid w:val="002E362D"/>
    <w:rsid w:val="002E6484"/>
    <w:rsid w:val="002F207D"/>
    <w:rsid w:val="002F5CDE"/>
    <w:rsid w:val="003008A6"/>
    <w:rsid w:val="0030283C"/>
    <w:rsid w:val="00304B59"/>
    <w:rsid w:val="00304E51"/>
    <w:rsid w:val="00306144"/>
    <w:rsid w:val="0030660D"/>
    <w:rsid w:val="00306989"/>
    <w:rsid w:val="0031130B"/>
    <w:rsid w:val="00313EC3"/>
    <w:rsid w:val="00321228"/>
    <w:rsid w:val="0033022C"/>
    <w:rsid w:val="00332435"/>
    <w:rsid w:val="00337251"/>
    <w:rsid w:val="00340AD2"/>
    <w:rsid w:val="00341755"/>
    <w:rsid w:val="003425A6"/>
    <w:rsid w:val="00346FC9"/>
    <w:rsid w:val="00350484"/>
    <w:rsid w:val="00356FFB"/>
    <w:rsid w:val="00390C2D"/>
    <w:rsid w:val="00390E3A"/>
    <w:rsid w:val="00390E5D"/>
    <w:rsid w:val="00397509"/>
    <w:rsid w:val="003A232D"/>
    <w:rsid w:val="003A3292"/>
    <w:rsid w:val="003A402A"/>
    <w:rsid w:val="003A6589"/>
    <w:rsid w:val="003B0F52"/>
    <w:rsid w:val="003B29E7"/>
    <w:rsid w:val="003B5933"/>
    <w:rsid w:val="003C4827"/>
    <w:rsid w:val="003C71AF"/>
    <w:rsid w:val="003D0081"/>
    <w:rsid w:val="003D454E"/>
    <w:rsid w:val="003D50AD"/>
    <w:rsid w:val="003D525D"/>
    <w:rsid w:val="003D6A00"/>
    <w:rsid w:val="003D6EA6"/>
    <w:rsid w:val="003E40C1"/>
    <w:rsid w:val="003E56C5"/>
    <w:rsid w:val="003F609D"/>
    <w:rsid w:val="003F61D7"/>
    <w:rsid w:val="004017FC"/>
    <w:rsid w:val="00404C6F"/>
    <w:rsid w:val="0040727D"/>
    <w:rsid w:val="004121F3"/>
    <w:rsid w:val="00414324"/>
    <w:rsid w:val="00414C5B"/>
    <w:rsid w:val="004166B2"/>
    <w:rsid w:val="00423161"/>
    <w:rsid w:val="00432C83"/>
    <w:rsid w:val="00433076"/>
    <w:rsid w:val="00451617"/>
    <w:rsid w:val="004521B4"/>
    <w:rsid w:val="00455923"/>
    <w:rsid w:val="00456A64"/>
    <w:rsid w:val="004618F0"/>
    <w:rsid w:val="00464FF4"/>
    <w:rsid w:val="00466D2A"/>
    <w:rsid w:val="004742B0"/>
    <w:rsid w:val="00476D06"/>
    <w:rsid w:val="00492F73"/>
    <w:rsid w:val="0049442C"/>
    <w:rsid w:val="004958BB"/>
    <w:rsid w:val="00496283"/>
    <w:rsid w:val="004B42D4"/>
    <w:rsid w:val="004C0DA1"/>
    <w:rsid w:val="004C3BF5"/>
    <w:rsid w:val="004C5004"/>
    <w:rsid w:val="004C6F74"/>
    <w:rsid w:val="004C7A84"/>
    <w:rsid w:val="004E6F73"/>
    <w:rsid w:val="004E7FB5"/>
    <w:rsid w:val="004F1183"/>
    <w:rsid w:val="004F27AC"/>
    <w:rsid w:val="004F44D4"/>
    <w:rsid w:val="004F61CD"/>
    <w:rsid w:val="00500DD3"/>
    <w:rsid w:val="00505FE5"/>
    <w:rsid w:val="00506433"/>
    <w:rsid w:val="00507F42"/>
    <w:rsid w:val="005143E6"/>
    <w:rsid w:val="0052144D"/>
    <w:rsid w:val="00522EE5"/>
    <w:rsid w:val="005260B7"/>
    <w:rsid w:val="00531380"/>
    <w:rsid w:val="00537EB4"/>
    <w:rsid w:val="0054193B"/>
    <w:rsid w:val="0055411F"/>
    <w:rsid w:val="0055532B"/>
    <w:rsid w:val="00556554"/>
    <w:rsid w:val="00557FCA"/>
    <w:rsid w:val="0057083E"/>
    <w:rsid w:val="00570E89"/>
    <w:rsid w:val="00571AD4"/>
    <w:rsid w:val="005725E9"/>
    <w:rsid w:val="00573F9B"/>
    <w:rsid w:val="00581A40"/>
    <w:rsid w:val="005921E9"/>
    <w:rsid w:val="00597B5B"/>
    <w:rsid w:val="005A1F06"/>
    <w:rsid w:val="005C10FF"/>
    <w:rsid w:val="005D1981"/>
    <w:rsid w:val="005D3E69"/>
    <w:rsid w:val="005D5F67"/>
    <w:rsid w:val="005D791C"/>
    <w:rsid w:val="005E0AF0"/>
    <w:rsid w:val="005E3F09"/>
    <w:rsid w:val="005F38B8"/>
    <w:rsid w:val="005F6E99"/>
    <w:rsid w:val="006041B2"/>
    <w:rsid w:val="006057F0"/>
    <w:rsid w:val="0060674E"/>
    <w:rsid w:val="00613892"/>
    <w:rsid w:val="00614478"/>
    <w:rsid w:val="00617DC0"/>
    <w:rsid w:val="006228CD"/>
    <w:rsid w:val="006255DB"/>
    <w:rsid w:val="006339EA"/>
    <w:rsid w:val="00637660"/>
    <w:rsid w:val="00642B78"/>
    <w:rsid w:val="00647ED1"/>
    <w:rsid w:val="00652307"/>
    <w:rsid w:val="00652C72"/>
    <w:rsid w:val="00660E2C"/>
    <w:rsid w:val="00664309"/>
    <w:rsid w:val="00664711"/>
    <w:rsid w:val="00672399"/>
    <w:rsid w:val="006728A5"/>
    <w:rsid w:val="00675AD7"/>
    <w:rsid w:val="00681C96"/>
    <w:rsid w:val="006831D4"/>
    <w:rsid w:val="006949E3"/>
    <w:rsid w:val="00694D7C"/>
    <w:rsid w:val="0069522F"/>
    <w:rsid w:val="00695606"/>
    <w:rsid w:val="00695A9A"/>
    <w:rsid w:val="006B2693"/>
    <w:rsid w:val="006B30E5"/>
    <w:rsid w:val="006C0535"/>
    <w:rsid w:val="006D07EA"/>
    <w:rsid w:val="006D4306"/>
    <w:rsid w:val="006E0070"/>
    <w:rsid w:val="006E5427"/>
    <w:rsid w:val="006E5EF0"/>
    <w:rsid w:val="006E6357"/>
    <w:rsid w:val="006F01DB"/>
    <w:rsid w:val="0070173D"/>
    <w:rsid w:val="0070235B"/>
    <w:rsid w:val="007034F5"/>
    <w:rsid w:val="00714295"/>
    <w:rsid w:val="00717184"/>
    <w:rsid w:val="00721446"/>
    <w:rsid w:val="00722A65"/>
    <w:rsid w:val="00722D56"/>
    <w:rsid w:val="00723457"/>
    <w:rsid w:val="0073388B"/>
    <w:rsid w:val="007445E1"/>
    <w:rsid w:val="00745ED5"/>
    <w:rsid w:val="00754FFD"/>
    <w:rsid w:val="007557A7"/>
    <w:rsid w:val="00757638"/>
    <w:rsid w:val="0076038C"/>
    <w:rsid w:val="00762DE6"/>
    <w:rsid w:val="00763406"/>
    <w:rsid w:val="00763C28"/>
    <w:rsid w:val="0077177C"/>
    <w:rsid w:val="007744EC"/>
    <w:rsid w:val="00780382"/>
    <w:rsid w:val="00782400"/>
    <w:rsid w:val="00783C73"/>
    <w:rsid w:val="00786532"/>
    <w:rsid w:val="00795AA6"/>
    <w:rsid w:val="00796733"/>
    <w:rsid w:val="007A5CE2"/>
    <w:rsid w:val="007A6825"/>
    <w:rsid w:val="007A7BA0"/>
    <w:rsid w:val="007C14FF"/>
    <w:rsid w:val="007C4247"/>
    <w:rsid w:val="007C57E0"/>
    <w:rsid w:val="007C588E"/>
    <w:rsid w:val="007C5B57"/>
    <w:rsid w:val="007C77CC"/>
    <w:rsid w:val="007F193E"/>
    <w:rsid w:val="007F288E"/>
    <w:rsid w:val="007F6D43"/>
    <w:rsid w:val="00817D51"/>
    <w:rsid w:val="008216B1"/>
    <w:rsid w:val="00831505"/>
    <w:rsid w:val="00841EDF"/>
    <w:rsid w:val="00847F6E"/>
    <w:rsid w:val="0085076B"/>
    <w:rsid w:val="0085263A"/>
    <w:rsid w:val="00852B91"/>
    <w:rsid w:val="00854EE8"/>
    <w:rsid w:val="00855BBD"/>
    <w:rsid w:val="00862AB1"/>
    <w:rsid w:val="00863464"/>
    <w:rsid w:val="00863963"/>
    <w:rsid w:val="00870842"/>
    <w:rsid w:val="00870C9D"/>
    <w:rsid w:val="00871E9D"/>
    <w:rsid w:val="008877D5"/>
    <w:rsid w:val="008910A2"/>
    <w:rsid w:val="00893637"/>
    <w:rsid w:val="00894D37"/>
    <w:rsid w:val="0089533B"/>
    <w:rsid w:val="008A1406"/>
    <w:rsid w:val="008A6BEA"/>
    <w:rsid w:val="008C15B3"/>
    <w:rsid w:val="008C185F"/>
    <w:rsid w:val="008C35D2"/>
    <w:rsid w:val="008C54C1"/>
    <w:rsid w:val="008D53C3"/>
    <w:rsid w:val="008E3975"/>
    <w:rsid w:val="008F03E6"/>
    <w:rsid w:val="008F5A62"/>
    <w:rsid w:val="009002B2"/>
    <w:rsid w:val="00900D44"/>
    <w:rsid w:val="00925D51"/>
    <w:rsid w:val="0093070D"/>
    <w:rsid w:val="00930C07"/>
    <w:rsid w:val="009318AF"/>
    <w:rsid w:val="00933BFC"/>
    <w:rsid w:val="0093578E"/>
    <w:rsid w:val="00936127"/>
    <w:rsid w:val="0093797D"/>
    <w:rsid w:val="00953C38"/>
    <w:rsid w:val="00966EF9"/>
    <w:rsid w:val="00966FDA"/>
    <w:rsid w:val="009674D6"/>
    <w:rsid w:val="00973046"/>
    <w:rsid w:val="009735A9"/>
    <w:rsid w:val="00990123"/>
    <w:rsid w:val="00992AE6"/>
    <w:rsid w:val="0099329C"/>
    <w:rsid w:val="0099556C"/>
    <w:rsid w:val="009A6081"/>
    <w:rsid w:val="009B189B"/>
    <w:rsid w:val="009B4FC2"/>
    <w:rsid w:val="009C36E7"/>
    <w:rsid w:val="009D1BC4"/>
    <w:rsid w:val="009D2081"/>
    <w:rsid w:val="009D3278"/>
    <w:rsid w:val="009D4A57"/>
    <w:rsid w:val="009D516A"/>
    <w:rsid w:val="009D51C6"/>
    <w:rsid w:val="009D63AE"/>
    <w:rsid w:val="009E06B0"/>
    <w:rsid w:val="00A00AC2"/>
    <w:rsid w:val="00A02256"/>
    <w:rsid w:val="00A04F6C"/>
    <w:rsid w:val="00A05B68"/>
    <w:rsid w:val="00A06BC9"/>
    <w:rsid w:val="00A104BC"/>
    <w:rsid w:val="00A12BB4"/>
    <w:rsid w:val="00A137B4"/>
    <w:rsid w:val="00A30563"/>
    <w:rsid w:val="00A30824"/>
    <w:rsid w:val="00A3158D"/>
    <w:rsid w:val="00A340A2"/>
    <w:rsid w:val="00A40DC7"/>
    <w:rsid w:val="00A45C19"/>
    <w:rsid w:val="00A46B18"/>
    <w:rsid w:val="00A50D8E"/>
    <w:rsid w:val="00A53F8B"/>
    <w:rsid w:val="00A55BA0"/>
    <w:rsid w:val="00A6564C"/>
    <w:rsid w:val="00A66C2E"/>
    <w:rsid w:val="00A74C7D"/>
    <w:rsid w:val="00A777F4"/>
    <w:rsid w:val="00A83965"/>
    <w:rsid w:val="00A91238"/>
    <w:rsid w:val="00A9441A"/>
    <w:rsid w:val="00AA2B54"/>
    <w:rsid w:val="00AA3A96"/>
    <w:rsid w:val="00AB1286"/>
    <w:rsid w:val="00AB6EE7"/>
    <w:rsid w:val="00AC0484"/>
    <w:rsid w:val="00AC4547"/>
    <w:rsid w:val="00AC5F1B"/>
    <w:rsid w:val="00AC6E6F"/>
    <w:rsid w:val="00AC7F04"/>
    <w:rsid w:val="00AD2B94"/>
    <w:rsid w:val="00AE4847"/>
    <w:rsid w:val="00AF0014"/>
    <w:rsid w:val="00AF625F"/>
    <w:rsid w:val="00B05E35"/>
    <w:rsid w:val="00B074AC"/>
    <w:rsid w:val="00B07C7C"/>
    <w:rsid w:val="00B10CAF"/>
    <w:rsid w:val="00B12AE4"/>
    <w:rsid w:val="00B16B7C"/>
    <w:rsid w:val="00B22768"/>
    <w:rsid w:val="00B35EBF"/>
    <w:rsid w:val="00B448B8"/>
    <w:rsid w:val="00B448E0"/>
    <w:rsid w:val="00B45005"/>
    <w:rsid w:val="00B549FD"/>
    <w:rsid w:val="00B57829"/>
    <w:rsid w:val="00B63125"/>
    <w:rsid w:val="00B647D0"/>
    <w:rsid w:val="00B74FFD"/>
    <w:rsid w:val="00B819AE"/>
    <w:rsid w:val="00B81B32"/>
    <w:rsid w:val="00B87500"/>
    <w:rsid w:val="00B8779E"/>
    <w:rsid w:val="00B925F3"/>
    <w:rsid w:val="00B9306B"/>
    <w:rsid w:val="00B96B07"/>
    <w:rsid w:val="00B97052"/>
    <w:rsid w:val="00BA15D4"/>
    <w:rsid w:val="00BA3A21"/>
    <w:rsid w:val="00BA3AAD"/>
    <w:rsid w:val="00BA5158"/>
    <w:rsid w:val="00BC26F1"/>
    <w:rsid w:val="00BC544B"/>
    <w:rsid w:val="00BC54E8"/>
    <w:rsid w:val="00BD6F10"/>
    <w:rsid w:val="00BE0057"/>
    <w:rsid w:val="00BE1A6D"/>
    <w:rsid w:val="00BE213D"/>
    <w:rsid w:val="00BE2C94"/>
    <w:rsid w:val="00BE63C5"/>
    <w:rsid w:val="00BE67EA"/>
    <w:rsid w:val="00BF7E3A"/>
    <w:rsid w:val="00C028D5"/>
    <w:rsid w:val="00C04C51"/>
    <w:rsid w:val="00C04CD2"/>
    <w:rsid w:val="00C0572C"/>
    <w:rsid w:val="00C06B6C"/>
    <w:rsid w:val="00C06E77"/>
    <w:rsid w:val="00C12D03"/>
    <w:rsid w:val="00C14A11"/>
    <w:rsid w:val="00C23AC2"/>
    <w:rsid w:val="00C241D5"/>
    <w:rsid w:val="00C256D4"/>
    <w:rsid w:val="00C302F8"/>
    <w:rsid w:val="00C32B19"/>
    <w:rsid w:val="00C520A8"/>
    <w:rsid w:val="00C567E1"/>
    <w:rsid w:val="00C64C18"/>
    <w:rsid w:val="00C67747"/>
    <w:rsid w:val="00C71D90"/>
    <w:rsid w:val="00C73AB8"/>
    <w:rsid w:val="00C75B8F"/>
    <w:rsid w:val="00C764DA"/>
    <w:rsid w:val="00C847CA"/>
    <w:rsid w:val="00C84805"/>
    <w:rsid w:val="00C86A73"/>
    <w:rsid w:val="00C92950"/>
    <w:rsid w:val="00CA3411"/>
    <w:rsid w:val="00CA544A"/>
    <w:rsid w:val="00CA644E"/>
    <w:rsid w:val="00CC54B0"/>
    <w:rsid w:val="00CD3A85"/>
    <w:rsid w:val="00CD4B4D"/>
    <w:rsid w:val="00CE0A58"/>
    <w:rsid w:val="00CE3BFC"/>
    <w:rsid w:val="00CE44A1"/>
    <w:rsid w:val="00CF6E37"/>
    <w:rsid w:val="00D004ED"/>
    <w:rsid w:val="00D1304B"/>
    <w:rsid w:val="00D16727"/>
    <w:rsid w:val="00D1702D"/>
    <w:rsid w:val="00D23A4B"/>
    <w:rsid w:val="00D25921"/>
    <w:rsid w:val="00D26A5E"/>
    <w:rsid w:val="00D32E56"/>
    <w:rsid w:val="00D33D4B"/>
    <w:rsid w:val="00D369A5"/>
    <w:rsid w:val="00D4554B"/>
    <w:rsid w:val="00D47D76"/>
    <w:rsid w:val="00D5173C"/>
    <w:rsid w:val="00D522C4"/>
    <w:rsid w:val="00D52CDB"/>
    <w:rsid w:val="00D53C1F"/>
    <w:rsid w:val="00D634D6"/>
    <w:rsid w:val="00D66AA0"/>
    <w:rsid w:val="00D72066"/>
    <w:rsid w:val="00D92653"/>
    <w:rsid w:val="00D93042"/>
    <w:rsid w:val="00D93E60"/>
    <w:rsid w:val="00DA0F00"/>
    <w:rsid w:val="00DA3945"/>
    <w:rsid w:val="00DA49EC"/>
    <w:rsid w:val="00DD33EF"/>
    <w:rsid w:val="00DD62DC"/>
    <w:rsid w:val="00DF0A74"/>
    <w:rsid w:val="00DF7495"/>
    <w:rsid w:val="00DF7C29"/>
    <w:rsid w:val="00E015F9"/>
    <w:rsid w:val="00E06960"/>
    <w:rsid w:val="00E178AE"/>
    <w:rsid w:val="00E2589A"/>
    <w:rsid w:val="00E25E0C"/>
    <w:rsid w:val="00E30553"/>
    <w:rsid w:val="00E336BE"/>
    <w:rsid w:val="00E40A30"/>
    <w:rsid w:val="00E507DF"/>
    <w:rsid w:val="00E50C1A"/>
    <w:rsid w:val="00E51B74"/>
    <w:rsid w:val="00E541B7"/>
    <w:rsid w:val="00E55DA2"/>
    <w:rsid w:val="00E56784"/>
    <w:rsid w:val="00E57D88"/>
    <w:rsid w:val="00E60091"/>
    <w:rsid w:val="00E67006"/>
    <w:rsid w:val="00E76F13"/>
    <w:rsid w:val="00E9019B"/>
    <w:rsid w:val="00E93A4B"/>
    <w:rsid w:val="00E9768E"/>
    <w:rsid w:val="00EA0917"/>
    <w:rsid w:val="00EA6110"/>
    <w:rsid w:val="00EA65D1"/>
    <w:rsid w:val="00EB0EB8"/>
    <w:rsid w:val="00EC1084"/>
    <w:rsid w:val="00EC140B"/>
    <w:rsid w:val="00EC2375"/>
    <w:rsid w:val="00EC3482"/>
    <w:rsid w:val="00EC74E4"/>
    <w:rsid w:val="00ED1D6D"/>
    <w:rsid w:val="00ED2F29"/>
    <w:rsid w:val="00ED4901"/>
    <w:rsid w:val="00ED56BC"/>
    <w:rsid w:val="00ED5D2D"/>
    <w:rsid w:val="00EE1F37"/>
    <w:rsid w:val="00EE39A8"/>
    <w:rsid w:val="00EF10BB"/>
    <w:rsid w:val="00EF12E0"/>
    <w:rsid w:val="00F004B1"/>
    <w:rsid w:val="00F00D89"/>
    <w:rsid w:val="00F03A8E"/>
    <w:rsid w:val="00F03B27"/>
    <w:rsid w:val="00F04BBE"/>
    <w:rsid w:val="00F06C8F"/>
    <w:rsid w:val="00F16490"/>
    <w:rsid w:val="00F2176A"/>
    <w:rsid w:val="00F2194B"/>
    <w:rsid w:val="00F21D21"/>
    <w:rsid w:val="00F26557"/>
    <w:rsid w:val="00F27351"/>
    <w:rsid w:val="00F3211E"/>
    <w:rsid w:val="00F33391"/>
    <w:rsid w:val="00F37D52"/>
    <w:rsid w:val="00F43C60"/>
    <w:rsid w:val="00F44A85"/>
    <w:rsid w:val="00F56F46"/>
    <w:rsid w:val="00F60843"/>
    <w:rsid w:val="00F669DA"/>
    <w:rsid w:val="00F71E37"/>
    <w:rsid w:val="00F833B3"/>
    <w:rsid w:val="00F86D0F"/>
    <w:rsid w:val="00F9687E"/>
    <w:rsid w:val="00F9694B"/>
    <w:rsid w:val="00F97E34"/>
    <w:rsid w:val="00FA0E71"/>
    <w:rsid w:val="00FA0EEA"/>
    <w:rsid w:val="00FA6E9B"/>
    <w:rsid w:val="00FB2052"/>
    <w:rsid w:val="00FB4D9F"/>
    <w:rsid w:val="00FD2D56"/>
    <w:rsid w:val="00FD4BB0"/>
    <w:rsid w:val="00FE4ADA"/>
    <w:rsid w:val="00FE54AA"/>
    <w:rsid w:val="00FE7E78"/>
    <w:rsid w:val="00FF1960"/>
    <w:rsid w:val="00FF2E47"/>
    <w:rsid w:val="00FF76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E25DF"/>
  <w15:docId w15:val="{43BB423B-2B94-4C6B-AD1E-A2B767EA1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5BA0"/>
    <w:pPr>
      <w:spacing w:after="0" w:line="240" w:lineRule="auto"/>
    </w:p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8C54C1"/>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D634D6"/>
    <w:pPr>
      <w:tabs>
        <w:tab w:val="right" w:leader="dot" w:pos="8779"/>
      </w:tabs>
      <w:spacing w:line="360" w:lineRule="auto"/>
      <w:jc w:val="both"/>
    </w:pPr>
    <w:rPr>
      <w:rFonts w:ascii="Palatino Linotype" w:hAnsi="Palatino Linotype"/>
      <w:noProof/>
      <w:sz w:val="24"/>
      <w:lang w:val="es-ES"/>
    </w:r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64C18"/>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rPr>
  </w:style>
  <w:style w:type="paragraph" w:styleId="Sinespaciado">
    <w:name w:val="No Spacing"/>
    <w:aliases w:val="Francesa"/>
    <w:link w:val="SinespaciadoCar"/>
    <w:uiPriority w:val="1"/>
    <w:qFormat/>
    <w:rsid w:val="00E40A30"/>
    <w:pPr>
      <w:spacing w:after="0" w:line="240" w:lineRule="auto"/>
    </w:pPr>
    <w:rPr>
      <w:rFonts w:eastAsiaTheme="minorEastAsia"/>
      <w:sz w:val="24"/>
      <w:szCs w:val="24"/>
      <w:lang w:val="es-ES_tradnl" w:eastAsia="es-ES"/>
    </w:rPr>
  </w:style>
  <w:style w:type="numbering" w:customStyle="1" w:styleId="Estiloimportado1">
    <w:name w:val="Estilo importado 1"/>
    <w:rsid w:val="00E40A30"/>
    <w:pPr>
      <w:numPr>
        <w:numId w:val="16"/>
      </w:numPr>
    </w:pPr>
  </w:style>
  <w:style w:type="character" w:customStyle="1" w:styleId="SinespaciadoCar">
    <w:name w:val="Sin espaciado Car"/>
    <w:aliases w:val="Francesa Car"/>
    <w:link w:val="Sinespaciado"/>
    <w:uiPriority w:val="1"/>
    <w:locked/>
    <w:rsid w:val="0052144D"/>
    <w:rPr>
      <w:rFonts w:eastAsiaTheme="minorEastAsia"/>
      <w:sz w:val="24"/>
      <w:szCs w:val="24"/>
      <w:lang w:val="es-ES_tradnl" w:eastAsia="es-ES"/>
    </w:rPr>
  </w:style>
  <w:style w:type="paragraph" w:styleId="TDC3">
    <w:name w:val="toc 3"/>
    <w:basedOn w:val="Normal"/>
    <w:next w:val="Normal"/>
    <w:autoRedefine/>
    <w:uiPriority w:val="39"/>
    <w:unhideWhenUsed/>
    <w:rsid w:val="00D634D6"/>
    <w:pPr>
      <w:tabs>
        <w:tab w:val="right" w:leader="dot" w:pos="8212"/>
      </w:tabs>
      <w:spacing w:after="100" w:line="360" w:lineRule="auto"/>
    </w:pPr>
  </w:style>
  <w:style w:type="character" w:customStyle="1" w:styleId="Ttulo3Car">
    <w:name w:val="Título 3 Car"/>
    <w:basedOn w:val="Fuentedeprrafopredeter"/>
    <w:link w:val="Ttulo3"/>
    <w:uiPriority w:val="9"/>
    <w:semiHidden/>
    <w:rsid w:val="008C54C1"/>
    <w:rPr>
      <w:rFonts w:asciiTheme="majorHAnsi" w:eastAsiaTheme="majorEastAsia" w:hAnsiTheme="majorHAnsi" w:cstheme="majorBidi"/>
      <w:color w:val="1F4D78" w:themeColor="accent1" w:themeShade="7F"/>
      <w:sz w:val="24"/>
      <w:szCs w:val="24"/>
      <w:lang w:val="es-ES_tradnl" w:eastAsia="es-ES"/>
    </w:rPr>
  </w:style>
  <w:style w:type="paragraph" w:styleId="Textodeglobo">
    <w:name w:val="Balloon Text"/>
    <w:basedOn w:val="Normal"/>
    <w:link w:val="TextodegloboCar"/>
    <w:uiPriority w:val="99"/>
    <w:semiHidden/>
    <w:unhideWhenUsed/>
    <w:rsid w:val="00DA0F00"/>
    <w:rPr>
      <w:rFonts w:ascii="Tahoma" w:hAnsi="Tahoma" w:cs="Tahoma"/>
      <w:sz w:val="16"/>
      <w:szCs w:val="16"/>
    </w:rPr>
  </w:style>
  <w:style w:type="character" w:customStyle="1" w:styleId="TextodegloboCar">
    <w:name w:val="Texto de globo Car"/>
    <w:basedOn w:val="Fuentedeprrafopredeter"/>
    <w:link w:val="Textodeglobo"/>
    <w:uiPriority w:val="99"/>
    <w:semiHidden/>
    <w:rsid w:val="00DA0F00"/>
    <w:rPr>
      <w:rFonts w:ascii="Tahoma" w:eastAsiaTheme="minorEastAsia" w:hAnsi="Tahoma" w:cs="Tahoma"/>
      <w:sz w:val="16"/>
      <w:szCs w:val="16"/>
      <w:lang w:val="es-ES_tradnl" w:eastAsia="es-ES"/>
    </w:rPr>
  </w:style>
  <w:style w:type="paragraph" w:customStyle="1" w:styleId="Default">
    <w:name w:val="Default"/>
    <w:rsid w:val="000313A4"/>
    <w:pPr>
      <w:autoSpaceDE w:val="0"/>
      <w:autoSpaceDN w:val="0"/>
      <w:adjustRightInd w:val="0"/>
      <w:spacing w:after="0" w:line="240" w:lineRule="auto"/>
    </w:pPr>
    <w:rPr>
      <w:rFonts w:ascii="Arial" w:hAnsi="Arial" w:cs="Arial"/>
      <w:color w:val="000000"/>
      <w:sz w:val="24"/>
      <w:szCs w:val="24"/>
    </w:rPr>
  </w:style>
  <w:style w:type="table" w:customStyle="1" w:styleId="Tablanormal11">
    <w:name w:val="Tabla normal 11"/>
    <w:basedOn w:val="Tablanormal"/>
    <w:next w:val="Tablanormal1"/>
    <w:uiPriority w:val="41"/>
    <w:rsid w:val="001769A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1769A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
    <w:name w:val="Tabla con cuadrícula2"/>
    <w:basedOn w:val="Tablanormal"/>
    <w:next w:val="Tablaconcuadrcula"/>
    <w:uiPriority w:val="39"/>
    <w:rsid w:val="00077EF1"/>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99667">
      <w:bodyDiv w:val="1"/>
      <w:marLeft w:val="0"/>
      <w:marRight w:val="0"/>
      <w:marTop w:val="0"/>
      <w:marBottom w:val="0"/>
      <w:divBdr>
        <w:top w:val="none" w:sz="0" w:space="0" w:color="auto"/>
        <w:left w:val="none" w:sz="0" w:space="0" w:color="auto"/>
        <w:bottom w:val="none" w:sz="0" w:space="0" w:color="auto"/>
        <w:right w:val="none" w:sz="0" w:space="0" w:color="auto"/>
      </w:divBdr>
      <w:divsChild>
        <w:div w:id="1481652141">
          <w:marLeft w:val="0"/>
          <w:marRight w:val="0"/>
          <w:marTop w:val="0"/>
          <w:marBottom w:val="0"/>
          <w:divBdr>
            <w:top w:val="none" w:sz="0" w:space="0" w:color="auto"/>
            <w:left w:val="none" w:sz="0" w:space="0" w:color="auto"/>
            <w:bottom w:val="none" w:sz="0" w:space="0" w:color="auto"/>
            <w:right w:val="none" w:sz="0" w:space="0" w:color="auto"/>
          </w:divBdr>
        </w:div>
      </w:divsChild>
    </w:div>
    <w:div w:id="43411845">
      <w:bodyDiv w:val="1"/>
      <w:marLeft w:val="0"/>
      <w:marRight w:val="0"/>
      <w:marTop w:val="0"/>
      <w:marBottom w:val="0"/>
      <w:divBdr>
        <w:top w:val="none" w:sz="0" w:space="0" w:color="auto"/>
        <w:left w:val="none" w:sz="0" w:space="0" w:color="auto"/>
        <w:bottom w:val="none" w:sz="0" w:space="0" w:color="auto"/>
        <w:right w:val="none" w:sz="0" w:space="0" w:color="auto"/>
      </w:divBdr>
      <w:divsChild>
        <w:div w:id="580600954">
          <w:marLeft w:val="0"/>
          <w:marRight w:val="0"/>
          <w:marTop w:val="0"/>
          <w:marBottom w:val="0"/>
          <w:divBdr>
            <w:top w:val="none" w:sz="0" w:space="0" w:color="auto"/>
            <w:left w:val="none" w:sz="0" w:space="0" w:color="auto"/>
            <w:bottom w:val="none" w:sz="0" w:space="0" w:color="auto"/>
            <w:right w:val="none" w:sz="0" w:space="0" w:color="auto"/>
          </w:divBdr>
        </w:div>
        <w:div w:id="675421333">
          <w:marLeft w:val="0"/>
          <w:marRight w:val="0"/>
          <w:marTop w:val="0"/>
          <w:marBottom w:val="0"/>
          <w:divBdr>
            <w:top w:val="none" w:sz="0" w:space="0" w:color="auto"/>
            <w:left w:val="none" w:sz="0" w:space="0" w:color="auto"/>
            <w:bottom w:val="none" w:sz="0" w:space="0" w:color="auto"/>
            <w:right w:val="none" w:sz="0" w:space="0" w:color="auto"/>
          </w:divBdr>
        </w:div>
      </w:divsChild>
    </w:div>
    <w:div w:id="95292692">
      <w:bodyDiv w:val="1"/>
      <w:marLeft w:val="0"/>
      <w:marRight w:val="0"/>
      <w:marTop w:val="0"/>
      <w:marBottom w:val="0"/>
      <w:divBdr>
        <w:top w:val="none" w:sz="0" w:space="0" w:color="auto"/>
        <w:left w:val="none" w:sz="0" w:space="0" w:color="auto"/>
        <w:bottom w:val="none" w:sz="0" w:space="0" w:color="auto"/>
        <w:right w:val="none" w:sz="0" w:space="0" w:color="auto"/>
      </w:divBdr>
    </w:div>
    <w:div w:id="132911246">
      <w:bodyDiv w:val="1"/>
      <w:marLeft w:val="0"/>
      <w:marRight w:val="0"/>
      <w:marTop w:val="0"/>
      <w:marBottom w:val="0"/>
      <w:divBdr>
        <w:top w:val="none" w:sz="0" w:space="0" w:color="auto"/>
        <w:left w:val="none" w:sz="0" w:space="0" w:color="auto"/>
        <w:bottom w:val="none" w:sz="0" w:space="0" w:color="auto"/>
        <w:right w:val="none" w:sz="0" w:space="0" w:color="auto"/>
      </w:divBdr>
    </w:div>
    <w:div w:id="233399946">
      <w:bodyDiv w:val="1"/>
      <w:marLeft w:val="0"/>
      <w:marRight w:val="0"/>
      <w:marTop w:val="0"/>
      <w:marBottom w:val="0"/>
      <w:divBdr>
        <w:top w:val="none" w:sz="0" w:space="0" w:color="auto"/>
        <w:left w:val="none" w:sz="0" w:space="0" w:color="auto"/>
        <w:bottom w:val="none" w:sz="0" w:space="0" w:color="auto"/>
        <w:right w:val="none" w:sz="0" w:space="0" w:color="auto"/>
      </w:divBdr>
    </w:div>
    <w:div w:id="313721037">
      <w:bodyDiv w:val="1"/>
      <w:marLeft w:val="0"/>
      <w:marRight w:val="0"/>
      <w:marTop w:val="0"/>
      <w:marBottom w:val="0"/>
      <w:divBdr>
        <w:top w:val="none" w:sz="0" w:space="0" w:color="auto"/>
        <w:left w:val="none" w:sz="0" w:space="0" w:color="auto"/>
        <w:bottom w:val="none" w:sz="0" w:space="0" w:color="auto"/>
        <w:right w:val="none" w:sz="0" w:space="0" w:color="auto"/>
      </w:divBdr>
      <w:divsChild>
        <w:div w:id="1147816679">
          <w:marLeft w:val="0"/>
          <w:marRight w:val="0"/>
          <w:marTop w:val="0"/>
          <w:marBottom w:val="0"/>
          <w:divBdr>
            <w:top w:val="none" w:sz="0" w:space="0" w:color="auto"/>
            <w:left w:val="none" w:sz="0" w:space="0" w:color="auto"/>
            <w:bottom w:val="none" w:sz="0" w:space="0" w:color="auto"/>
            <w:right w:val="none" w:sz="0" w:space="0" w:color="auto"/>
          </w:divBdr>
        </w:div>
      </w:divsChild>
    </w:div>
    <w:div w:id="405031420">
      <w:bodyDiv w:val="1"/>
      <w:marLeft w:val="0"/>
      <w:marRight w:val="0"/>
      <w:marTop w:val="0"/>
      <w:marBottom w:val="0"/>
      <w:divBdr>
        <w:top w:val="none" w:sz="0" w:space="0" w:color="auto"/>
        <w:left w:val="none" w:sz="0" w:space="0" w:color="auto"/>
        <w:bottom w:val="none" w:sz="0" w:space="0" w:color="auto"/>
        <w:right w:val="none" w:sz="0" w:space="0" w:color="auto"/>
      </w:divBdr>
    </w:div>
    <w:div w:id="431246969">
      <w:bodyDiv w:val="1"/>
      <w:marLeft w:val="0"/>
      <w:marRight w:val="0"/>
      <w:marTop w:val="0"/>
      <w:marBottom w:val="0"/>
      <w:divBdr>
        <w:top w:val="none" w:sz="0" w:space="0" w:color="auto"/>
        <w:left w:val="none" w:sz="0" w:space="0" w:color="auto"/>
        <w:bottom w:val="none" w:sz="0" w:space="0" w:color="auto"/>
        <w:right w:val="none" w:sz="0" w:space="0" w:color="auto"/>
      </w:divBdr>
    </w:div>
    <w:div w:id="798495081">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048727882">
      <w:bodyDiv w:val="1"/>
      <w:marLeft w:val="0"/>
      <w:marRight w:val="0"/>
      <w:marTop w:val="0"/>
      <w:marBottom w:val="0"/>
      <w:divBdr>
        <w:top w:val="none" w:sz="0" w:space="0" w:color="auto"/>
        <w:left w:val="none" w:sz="0" w:space="0" w:color="auto"/>
        <w:bottom w:val="none" w:sz="0" w:space="0" w:color="auto"/>
        <w:right w:val="none" w:sz="0" w:space="0" w:color="auto"/>
      </w:divBdr>
    </w:div>
    <w:div w:id="1228691173">
      <w:bodyDiv w:val="1"/>
      <w:marLeft w:val="0"/>
      <w:marRight w:val="0"/>
      <w:marTop w:val="0"/>
      <w:marBottom w:val="0"/>
      <w:divBdr>
        <w:top w:val="none" w:sz="0" w:space="0" w:color="auto"/>
        <w:left w:val="none" w:sz="0" w:space="0" w:color="auto"/>
        <w:bottom w:val="none" w:sz="0" w:space="0" w:color="auto"/>
        <w:right w:val="none" w:sz="0" w:space="0" w:color="auto"/>
      </w:divBdr>
    </w:div>
    <w:div w:id="1306544879">
      <w:bodyDiv w:val="1"/>
      <w:marLeft w:val="0"/>
      <w:marRight w:val="0"/>
      <w:marTop w:val="0"/>
      <w:marBottom w:val="0"/>
      <w:divBdr>
        <w:top w:val="none" w:sz="0" w:space="0" w:color="auto"/>
        <w:left w:val="none" w:sz="0" w:space="0" w:color="auto"/>
        <w:bottom w:val="none" w:sz="0" w:space="0" w:color="auto"/>
        <w:right w:val="none" w:sz="0" w:space="0" w:color="auto"/>
      </w:divBdr>
    </w:div>
    <w:div w:id="1377775516">
      <w:bodyDiv w:val="1"/>
      <w:marLeft w:val="0"/>
      <w:marRight w:val="0"/>
      <w:marTop w:val="0"/>
      <w:marBottom w:val="0"/>
      <w:divBdr>
        <w:top w:val="none" w:sz="0" w:space="0" w:color="auto"/>
        <w:left w:val="none" w:sz="0" w:space="0" w:color="auto"/>
        <w:bottom w:val="none" w:sz="0" w:space="0" w:color="auto"/>
        <w:right w:val="none" w:sz="0" w:space="0" w:color="auto"/>
      </w:divBdr>
    </w:div>
    <w:div w:id="1382363609">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457524509">
      <w:bodyDiv w:val="1"/>
      <w:marLeft w:val="0"/>
      <w:marRight w:val="0"/>
      <w:marTop w:val="0"/>
      <w:marBottom w:val="0"/>
      <w:divBdr>
        <w:top w:val="none" w:sz="0" w:space="0" w:color="auto"/>
        <w:left w:val="none" w:sz="0" w:space="0" w:color="auto"/>
        <w:bottom w:val="none" w:sz="0" w:space="0" w:color="auto"/>
        <w:right w:val="none" w:sz="0" w:space="0" w:color="auto"/>
      </w:divBdr>
    </w:div>
    <w:div w:id="146153295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1736587121">
      <w:bodyDiv w:val="1"/>
      <w:marLeft w:val="0"/>
      <w:marRight w:val="0"/>
      <w:marTop w:val="0"/>
      <w:marBottom w:val="0"/>
      <w:divBdr>
        <w:top w:val="none" w:sz="0" w:space="0" w:color="auto"/>
        <w:left w:val="none" w:sz="0" w:space="0" w:color="auto"/>
        <w:bottom w:val="none" w:sz="0" w:space="0" w:color="auto"/>
        <w:right w:val="none" w:sz="0" w:space="0" w:color="auto"/>
      </w:divBdr>
    </w:div>
    <w:div w:id="1744260396">
      <w:bodyDiv w:val="1"/>
      <w:marLeft w:val="0"/>
      <w:marRight w:val="0"/>
      <w:marTop w:val="0"/>
      <w:marBottom w:val="0"/>
      <w:divBdr>
        <w:top w:val="none" w:sz="0" w:space="0" w:color="auto"/>
        <w:left w:val="none" w:sz="0" w:space="0" w:color="auto"/>
        <w:bottom w:val="none" w:sz="0" w:space="0" w:color="auto"/>
        <w:right w:val="none" w:sz="0" w:space="0" w:color="auto"/>
      </w:divBdr>
    </w:div>
    <w:div w:id="1876233596">
      <w:bodyDiv w:val="1"/>
      <w:marLeft w:val="0"/>
      <w:marRight w:val="0"/>
      <w:marTop w:val="0"/>
      <w:marBottom w:val="0"/>
      <w:divBdr>
        <w:top w:val="none" w:sz="0" w:space="0" w:color="auto"/>
        <w:left w:val="none" w:sz="0" w:space="0" w:color="auto"/>
        <w:bottom w:val="none" w:sz="0" w:space="0" w:color="auto"/>
        <w:right w:val="none" w:sz="0" w:space="0" w:color="auto"/>
      </w:divBdr>
    </w:div>
    <w:div w:id="197389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le.rae.es/?id=FdI00O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www.dof.gob.mx/nota_detalle.php?codigo=5433280&amp;fecha=15/04/2016" TargetMode="External"/><Relationship Id="rId13" Type="http://schemas.openxmlformats.org/officeDocument/2006/relationships/hyperlink" Target="http://dle.rae.es/?id=CAqWkEB" TargetMode="External"/><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12" Type="http://schemas.openxmlformats.org/officeDocument/2006/relationships/hyperlink" Target="http://dle.rae.es/?id=CAjNzMR"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11" Type="http://schemas.openxmlformats.org/officeDocument/2006/relationships/hyperlink" Target="http://dle.rae.es/?id=VGqyuLj|VGtxgAo|VGuc9Wg" TargetMode="External"/><Relationship Id="rId5" Type="http://schemas.openxmlformats.org/officeDocument/2006/relationships/hyperlink" Target="http://dle.rae.es/?id=CAqWkEB" TargetMode="External"/><Relationship Id="rId15" Type="http://schemas.openxmlformats.org/officeDocument/2006/relationships/hyperlink" Target="http://dle.rae.es/?id=KtpfgjV" TargetMode="External"/><Relationship Id="rId10" Type="http://schemas.openxmlformats.org/officeDocument/2006/relationships/hyperlink" Target="http://dej.rae.es/" TargetMode="External"/><Relationship Id="rId4" Type="http://schemas.openxmlformats.org/officeDocument/2006/relationships/hyperlink" Target="http://dle.rae.es/?id=CAjNzMR" TargetMode="External"/><Relationship Id="rId9" Type="http://schemas.openxmlformats.org/officeDocument/2006/relationships/hyperlink" Target="http://dej.rae.es/" TargetMode="External"/><Relationship Id="rId14" Type="http://schemas.openxmlformats.org/officeDocument/2006/relationships/hyperlink" Target="http://dle.rae.es/?id=KtnHLL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D36BE1-5BD8-C847-9F47-89B08CB62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84</Pages>
  <Words>16585</Words>
  <Characters>91218</Characters>
  <Application>Microsoft Office Word</Application>
  <DocSecurity>0</DocSecurity>
  <Lines>760</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 User</cp:lastModifiedBy>
  <cp:revision>4</cp:revision>
  <cp:lastPrinted>2020-03-06T03:14:00Z</cp:lastPrinted>
  <dcterms:created xsi:type="dcterms:W3CDTF">2020-03-11T01:20:00Z</dcterms:created>
  <dcterms:modified xsi:type="dcterms:W3CDTF">2020-05-10T06:40:00Z</dcterms:modified>
</cp:coreProperties>
</file>