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587361">
        <w:rPr>
          <w:rStyle w:val="normaltextrun"/>
          <w:rFonts w:ascii="Palatino Linotype" w:hAnsi="Palatino Linotype" w:cs="Arial"/>
        </w:rPr>
        <w:t>,</w:t>
      </w:r>
      <w:r w:rsidRPr="00587361">
        <w:rPr>
          <w:rStyle w:val="apple-converted-space"/>
          <w:rFonts w:ascii="Palatino Linotype" w:hAnsi="Palatino Linotype" w:cs="Arial"/>
        </w:rPr>
        <w:t> </w:t>
      </w:r>
      <w:r w:rsidRPr="00587361">
        <w:rPr>
          <w:rStyle w:val="normaltextrun"/>
          <w:rFonts w:ascii="Palatino Linotype" w:hAnsi="Palatino Linotype" w:cs="Arial"/>
        </w:rPr>
        <w:t xml:space="preserve">de fecha </w:t>
      </w:r>
      <w:r>
        <w:rPr>
          <w:rStyle w:val="normaltextrun"/>
          <w:rFonts w:ascii="Palatino Linotype" w:hAnsi="Palatino Linotype" w:cs="Arial"/>
        </w:rPr>
        <w:t xml:space="preserve">veinte de noviembre </w:t>
      </w:r>
      <w:r w:rsidRPr="00587361">
        <w:rPr>
          <w:rStyle w:val="normaltextrun"/>
          <w:rFonts w:ascii="Palatino Linotype" w:hAnsi="Palatino Linotype" w:cs="Arial"/>
        </w:rPr>
        <w:t>de dos mil diecinueve.</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b/>
        </w:rPr>
        <w:t xml:space="preserve">Visto </w:t>
      </w:r>
      <w:r w:rsidRPr="00587361">
        <w:rPr>
          <w:rFonts w:ascii="Palatino Linotype" w:hAnsi="Palatino Linotype" w:cs="Arial"/>
        </w:rPr>
        <w:t xml:space="preserve">el expediente relativo al recurso de revisión </w:t>
      </w:r>
      <w:r w:rsidRPr="00587361">
        <w:rPr>
          <w:rFonts w:ascii="Palatino Linotype" w:hAnsi="Palatino Linotype" w:cs="Arial"/>
          <w:b/>
          <w:bCs/>
        </w:rPr>
        <w:t>0</w:t>
      </w:r>
      <w:r>
        <w:rPr>
          <w:rFonts w:ascii="Palatino Linotype" w:hAnsi="Palatino Linotype" w:cs="Arial"/>
          <w:b/>
          <w:bCs/>
        </w:rPr>
        <w:t>70</w:t>
      </w:r>
      <w:r w:rsidR="006045F8">
        <w:rPr>
          <w:rFonts w:ascii="Palatino Linotype" w:hAnsi="Palatino Linotype" w:cs="Arial"/>
          <w:b/>
          <w:bCs/>
        </w:rPr>
        <w:t>54</w:t>
      </w:r>
      <w:r w:rsidRPr="00587361">
        <w:rPr>
          <w:rFonts w:ascii="Palatino Linotype" w:hAnsi="Palatino Linotype" w:cs="Arial"/>
          <w:b/>
          <w:bCs/>
        </w:rPr>
        <w:t>/INFOEM/IP/RR/2019</w:t>
      </w:r>
      <w:r w:rsidRPr="00587361">
        <w:rPr>
          <w:rFonts w:ascii="Palatino Linotype" w:hAnsi="Palatino Linotype" w:cs="Arial"/>
        </w:rPr>
        <w:t xml:space="preserve">, interpuesto por </w:t>
      </w:r>
      <w:r w:rsidR="009B597F">
        <w:rPr>
          <w:rFonts w:ascii="Palatino Linotype" w:hAnsi="Palatino Linotype" w:cs="Arial"/>
          <w:b/>
          <w:lang w:val="es-ES_tradnl"/>
        </w:rPr>
        <w:t>XXXXXXXXXXXXXXXXXXXXX</w:t>
      </w:r>
      <w:r w:rsidRPr="00587361">
        <w:rPr>
          <w:rFonts w:ascii="Palatino Linotype" w:hAnsi="Palatino Linotype" w:cs="Arial"/>
        </w:rPr>
        <w:t xml:space="preserve">, en lo sucesivo el </w:t>
      </w:r>
      <w:r w:rsidRPr="00587361">
        <w:rPr>
          <w:rFonts w:ascii="Palatino Linotype" w:hAnsi="Palatino Linotype" w:cs="Arial"/>
          <w:b/>
        </w:rPr>
        <w:t>recurrente</w:t>
      </w:r>
      <w:r w:rsidRPr="00587361">
        <w:rPr>
          <w:rFonts w:ascii="Palatino Linotype" w:hAnsi="Palatino Linotype" w:cs="Arial"/>
        </w:rPr>
        <w:t xml:space="preserve"> en contra de la falta de respuesta a la solicitud de información con número de folio </w:t>
      </w:r>
      <w:r w:rsidR="00C87C7A" w:rsidRPr="00C87C7A">
        <w:rPr>
          <w:rFonts w:ascii="Palatino Linotype" w:hAnsi="Palatino Linotype" w:cs="Arial"/>
          <w:b/>
          <w:bCs/>
        </w:rPr>
        <w:t>00701/VACHASO/IP/2019</w:t>
      </w:r>
      <w:r w:rsidRPr="00587361">
        <w:rPr>
          <w:rFonts w:ascii="Palatino Linotype" w:hAnsi="Palatino Linotype" w:cs="Arial"/>
        </w:rPr>
        <w:t xml:space="preserve">, por parte de </w:t>
      </w:r>
      <w:r w:rsidRPr="00587361">
        <w:rPr>
          <w:rFonts w:ascii="Palatino Linotype" w:hAnsi="Palatino Linotype" w:cs="Arial"/>
          <w:b/>
        </w:rPr>
        <w:t xml:space="preserve">Ayuntamiento de </w:t>
      </w:r>
      <w:r w:rsidR="00C87C7A">
        <w:rPr>
          <w:rFonts w:ascii="Palatino Linotype" w:hAnsi="Palatino Linotype" w:cs="Arial"/>
          <w:b/>
        </w:rPr>
        <w:t>Valle de Chalco Solidaridad</w:t>
      </w:r>
      <w:r w:rsidRPr="00587361">
        <w:rPr>
          <w:rFonts w:ascii="Palatino Linotype" w:hAnsi="Palatino Linotype" w:cs="Arial"/>
        </w:rPr>
        <w:t xml:space="preserve">, en lo sucesivo el </w:t>
      </w:r>
      <w:r w:rsidRPr="00587361">
        <w:rPr>
          <w:rFonts w:ascii="Palatino Linotype" w:hAnsi="Palatino Linotype" w:cs="Arial"/>
          <w:b/>
        </w:rPr>
        <w:t xml:space="preserve">Sujeto Obligado; </w:t>
      </w:r>
      <w:r w:rsidRPr="00587361">
        <w:rPr>
          <w:rFonts w:ascii="Palatino Linotype" w:hAnsi="Palatino Linotype" w:cs="Arial"/>
        </w:rPr>
        <w:t>se procede a dictar la presente resolución, con base en lo siguiente.</w:t>
      </w:r>
    </w:p>
    <w:p w:rsidR="00ED534B" w:rsidRPr="00587361" w:rsidRDefault="00ED534B" w:rsidP="00ED534B">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587361">
        <w:rPr>
          <w:rFonts w:ascii="Palatino Linotype" w:hAnsi="Palatino Linotype" w:cs="Arial"/>
          <w:b/>
          <w:sz w:val="24"/>
          <w:szCs w:val="24"/>
        </w:rPr>
        <w:t>A N T E C E D E N T E S:</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b/>
        </w:rPr>
        <w:t xml:space="preserve">1. Solicitud de acceso a la información. </w:t>
      </w:r>
      <w:r w:rsidRPr="00587361">
        <w:rPr>
          <w:rFonts w:ascii="Palatino Linotype" w:hAnsi="Palatino Linotype" w:cs="Arial"/>
        </w:rPr>
        <w:t xml:space="preserve">Con fecha </w:t>
      </w:r>
      <w:r>
        <w:rPr>
          <w:rFonts w:ascii="Palatino Linotype" w:hAnsi="Palatino Linotype" w:cs="Arial"/>
        </w:rPr>
        <w:t xml:space="preserve">doce de agosto </w:t>
      </w:r>
      <w:r w:rsidRPr="00587361">
        <w:rPr>
          <w:rFonts w:ascii="Palatino Linotype" w:hAnsi="Palatino Linotype" w:cs="Arial"/>
        </w:rPr>
        <w:t xml:space="preserve">de dos mil diecinueve, la parte </w:t>
      </w:r>
      <w:r w:rsidRPr="00587361">
        <w:rPr>
          <w:rFonts w:ascii="Palatino Linotype" w:hAnsi="Palatino Linotype" w:cs="Arial"/>
          <w:b/>
        </w:rPr>
        <w:t>recurrente</w:t>
      </w:r>
      <w:r w:rsidRPr="00587361">
        <w:rPr>
          <w:rFonts w:ascii="Palatino Linotype" w:hAnsi="Palatino Linotype" w:cs="Arial"/>
        </w:rPr>
        <w:t xml:space="preserve"> formuló solicitud de acceso a información pública al </w:t>
      </w:r>
      <w:r w:rsidRPr="00587361">
        <w:rPr>
          <w:rFonts w:ascii="Palatino Linotype" w:hAnsi="Palatino Linotype" w:cs="Arial"/>
          <w:b/>
        </w:rPr>
        <w:t>Sujeto Obligado</w:t>
      </w:r>
      <w:r w:rsidRPr="00587361">
        <w:rPr>
          <w:rFonts w:ascii="Palatino Linotype" w:hAnsi="Palatino Linotype" w:cs="Arial"/>
        </w:rPr>
        <w:t xml:space="preserve"> a través del Sistema de Acceso a la Información Mexiquense, en adelante </w:t>
      </w:r>
      <w:r w:rsidRPr="00587361">
        <w:rPr>
          <w:rFonts w:ascii="Palatino Linotype" w:hAnsi="Palatino Linotype" w:cs="Arial"/>
          <w:b/>
        </w:rPr>
        <w:t>SAIMEX,</w:t>
      </w:r>
      <w:r w:rsidRPr="00587361">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95"/>
        <w:gridCol w:w="6033"/>
      </w:tblGrid>
      <w:tr w:rsidR="00ED534B" w:rsidRPr="00587361" w:rsidTr="002B6070">
        <w:tc>
          <w:tcPr>
            <w:tcW w:w="2708" w:type="dxa"/>
          </w:tcPr>
          <w:p w:rsidR="00ED534B" w:rsidRPr="00587361" w:rsidRDefault="00ED534B" w:rsidP="002B6070">
            <w:pPr>
              <w:jc w:val="both"/>
              <w:rPr>
                <w:rFonts w:ascii="Palatino Linotype" w:hAnsi="Palatino Linotype" w:cs="Arial"/>
                <w:b/>
                <w:i/>
                <w:sz w:val="22"/>
                <w:szCs w:val="22"/>
              </w:rPr>
            </w:pPr>
            <w:r w:rsidRPr="00587361">
              <w:rPr>
                <w:rFonts w:ascii="Palatino Linotype" w:hAnsi="Palatino Linotype" w:cs="Arial"/>
                <w:b/>
                <w:i/>
                <w:sz w:val="22"/>
                <w:szCs w:val="22"/>
              </w:rPr>
              <w:t>Número de solicitud</w:t>
            </w:r>
          </w:p>
        </w:tc>
        <w:tc>
          <w:tcPr>
            <w:tcW w:w="6120" w:type="dxa"/>
          </w:tcPr>
          <w:p w:rsidR="00ED534B" w:rsidRPr="00587361" w:rsidRDefault="00ED534B" w:rsidP="002B6070">
            <w:pPr>
              <w:jc w:val="both"/>
              <w:rPr>
                <w:rFonts w:ascii="Palatino Linotype" w:hAnsi="Palatino Linotype" w:cs="Arial"/>
                <w:b/>
                <w:i/>
                <w:sz w:val="22"/>
                <w:szCs w:val="22"/>
              </w:rPr>
            </w:pPr>
            <w:r w:rsidRPr="00587361">
              <w:rPr>
                <w:rFonts w:ascii="Palatino Linotype" w:hAnsi="Palatino Linotype" w:cs="Arial"/>
                <w:b/>
                <w:i/>
                <w:sz w:val="22"/>
                <w:szCs w:val="22"/>
              </w:rPr>
              <w:t>Información requerida.</w:t>
            </w:r>
          </w:p>
        </w:tc>
      </w:tr>
      <w:tr w:rsidR="00ED534B" w:rsidRPr="00587361" w:rsidTr="002B6070">
        <w:tc>
          <w:tcPr>
            <w:tcW w:w="2708" w:type="dxa"/>
          </w:tcPr>
          <w:p w:rsidR="00ED534B" w:rsidRPr="00587361" w:rsidRDefault="00C87C7A" w:rsidP="002B6070">
            <w:pPr>
              <w:jc w:val="both"/>
              <w:rPr>
                <w:rFonts w:ascii="Palatino Linotype" w:hAnsi="Palatino Linotype" w:cs="Arial"/>
                <w:b/>
                <w:i/>
                <w:sz w:val="22"/>
                <w:szCs w:val="22"/>
              </w:rPr>
            </w:pPr>
            <w:r w:rsidRPr="00C87C7A">
              <w:rPr>
                <w:rFonts w:ascii="Palatino Linotype" w:hAnsi="Palatino Linotype" w:cs="Arial"/>
                <w:b/>
                <w:bCs/>
                <w:sz w:val="22"/>
                <w:szCs w:val="22"/>
              </w:rPr>
              <w:t>00701/VACHASO/IP/2019</w:t>
            </w:r>
          </w:p>
        </w:tc>
        <w:tc>
          <w:tcPr>
            <w:tcW w:w="6120" w:type="dxa"/>
          </w:tcPr>
          <w:p w:rsidR="00ED534B" w:rsidRPr="00587361" w:rsidRDefault="00ED534B" w:rsidP="002B6070">
            <w:pPr>
              <w:jc w:val="both"/>
              <w:rPr>
                <w:rFonts w:ascii="Palatino Linotype" w:hAnsi="Palatino Linotype" w:cs="Arial"/>
                <w:i/>
                <w:sz w:val="22"/>
                <w:szCs w:val="22"/>
              </w:rPr>
            </w:pPr>
            <w:r w:rsidRPr="00587361">
              <w:rPr>
                <w:rFonts w:ascii="Palatino Linotype" w:hAnsi="Palatino Linotype" w:cs="Arial"/>
                <w:i/>
                <w:sz w:val="22"/>
                <w:szCs w:val="22"/>
              </w:rPr>
              <w:t>“</w:t>
            </w:r>
            <w:r w:rsidR="00C87C7A" w:rsidRPr="00C87C7A">
              <w:rPr>
                <w:rFonts w:ascii="Palatino Linotype" w:hAnsi="Palatino Linotype" w:cs="Arial"/>
                <w:i/>
                <w:sz w:val="22"/>
                <w:szCs w:val="22"/>
              </w:rPr>
              <w:t>Se solicita respetuosamente con fundamento a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lo siguiente: Las reglas de operación, requisitos así como la convocatoria para acceder a los Programas Vallechalquenses por México y Apoyo Alimentario para las Familias Vulnerables de Valle de Chalco Solidaridad 2019</w:t>
            </w:r>
            <w:r w:rsidRPr="00587361">
              <w:rPr>
                <w:rFonts w:ascii="Palatino Linotype" w:hAnsi="Palatino Linotype" w:cs="Arial"/>
                <w:i/>
                <w:sz w:val="22"/>
                <w:szCs w:val="22"/>
              </w:rPr>
              <w:t>.” (sic)</w:t>
            </w:r>
          </w:p>
          <w:p w:rsidR="00ED534B" w:rsidRPr="00587361" w:rsidRDefault="00ED534B" w:rsidP="002B6070">
            <w:pPr>
              <w:jc w:val="both"/>
              <w:rPr>
                <w:rFonts w:ascii="Palatino Linotype" w:hAnsi="Palatino Linotype" w:cs="Arial"/>
                <w:i/>
                <w:sz w:val="22"/>
                <w:szCs w:val="22"/>
              </w:rPr>
            </w:pPr>
            <w:r w:rsidRPr="00587361">
              <w:rPr>
                <w:rFonts w:ascii="Palatino Linotype" w:hAnsi="Palatino Linotype" w:cs="Arial"/>
                <w:i/>
                <w:sz w:val="22"/>
                <w:szCs w:val="22"/>
              </w:rPr>
              <w:lastRenderedPageBreak/>
              <w:t>Énfasis añadido.</w:t>
            </w:r>
          </w:p>
        </w:tc>
      </w:tr>
    </w:tbl>
    <w:p w:rsidR="00ED534B" w:rsidRPr="00587361" w:rsidRDefault="00ED534B" w:rsidP="00ED534B">
      <w:pPr>
        <w:autoSpaceDE w:val="0"/>
        <w:autoSpaceDN w:val="0"/>
        <w:adjustRightInd w:val="0"/>
        <w:ind w:right="1043"/>
        <w:jc w:val="both"/>
        <w:rPr>
          <w:rFonts w:ascii="Palatino Linotype" w:hAnsi="Palatino Linotype" w:cs="Arial"/>
          <w:i/>
        </w:rPr>
      </w:pP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b/>
        </w:rPr>
        <w:t xml:space="preserve">Modalidad elegida para la entrega de la información: </w:t>
      </w:r>
      <w:r w:rsidRPr="00587361">
        <w:rPr>
          <w:rFonts w:ascii="Palatino Linotype" w:hAnsi="Palatino Linotype" w:cs="Arial"/>
        </w:rPr>
        <w:t>a través del SAIMEX.</w:t>
      </w:r>
    </w:p>
    <w:p w:rsidR="00ED534B" w:rsidRPr="001266EE" w:rsidRDefault="00ED534B" w:rsidP="00ED534B">
      <w:pPr>
        <w:spacing w:before="240" w:after="240" w:line="360" w:lineRule="auto"/>
        <w:jc w:val="both"/>
        <w:rPr>
          <w:rFonts w:ascii="Palatino Linotype" w:hAnsi="Palatino Linotype" w:cs="Arial"/>
          <w:b/>
        </w:rPr>
      </w:pPr>
      <w:r w:rsidRPr="00587361">
        <w:rPr>
          <w:rFonts w:ascii="Palatino Linotype" w:hAnsi="Palatino Linotype" w:cs="Arial"/>
          <w:b/>
        </w:rPr>
        <w:t xml:space="preserve">2. Respuesta. </w:t>
      </w:r>
      <w:r w:rsidRPr="00587361">
        <w:rPr>
          <w:rFonts w:ascii="Palatino Linotype" w:hAnsi="Palatino Linotype" w:cs="Arial"/>
        </w:rPr>
        <w:t xml:space="preserve">De las constancias que obran en </w:t>
      </w:r>
      <w:r w:rsidRPr="00587361">
        <w:rPr>
          <w:rFonts w:ascii="Palatino Linotype" w:hAnsi="Palatino Linotype" w:cs="Arial"/>
          <w:b/>
        </w:rPr>
        <w:t>SAIMEX</w:t>
      </w:r>
      <w:r w:rsidRPr="00587361">
        <w:rPr>
          <w:rFonts w:ascii="Palatino Linotype" w:hAnsi="Palatino Linotype" w:cs="Arial"/>
        </w:rPr>
        <w:t xml:space="preserve">, se observa que </w:t>
      </w:r>
      <w:r w:rsidRPr="00587361">
        <w:rPr>
          <w:rFonts w:ascii="Palatino Linotype" w:hAnsi="Palatino Linotype" w:cs="Arial"/>
          <w:b/>
        </w:rPr>
        <w:t xml:space="preserve">el Sujeto Obligado </w:t>
      </w:r>
      <w:r w:rsidRPr="00587361">
        <w:rPr>
          <w:rFonts w:ascii="Palatino Linotype" w:hAnsi="Palatino Linotype" w:cs="Arial"/>
        </w:rPr>
        <w:t>no emitió respuesta a la solicitud de información formulada por el hoy recurrente.</w:t>
      </w:r>
    </w:p>
    <w:p w:rsidR="00ED534B" w:rsidRPr="00587361" w:rsidRDefault="00ED534B" w:rsidP="00ED534B">
      <w:pPr>
        <w:spacing w:before="240" w:after="240" w:line="360" w:lineRule="auto"/>
        <w:jc w:val="both"/>
        <w:rPr>
          <w:rFonts w:ascii="Palatino Linotype" w:hAnsi="Palatino Linotype" w:cs="Arial"/>
        </w:rPr>
      </w:pPr>
      <w:r>
        <w:rPr>
          <w:rFonts w:ascii="Palatino Linotype" w:hAnsi="Palatino Linotype" w:cs="Arial"/>
          <w:b/>
        </w:rPr>
        <w:t>3</w:t>
      </w:r>
      <w:r w:rsidRPr="00587361">
        <w:rPr>
          <w:rFonts w:ascii="Palatino Linotype" w:hAnsi="Palatino Linotype" w:cs="Arial"/>
          <w:b/>
        </w:rPr>
        <w:t xml:space="preserve">. Interposición del recurso de revisión. </w:t>
      </w:r>
      <w:r w:rsidRPr="00587361">
        <w:rPr>
          <w:rFonts w:ascii="Palatino Linotype" w:hAnsi="Palatino Linotype" w:cs="Arial"/>
        </w:rPr>
        <w:t>Inconforme el solicitante con la falta de respuesta del Sujeto Obligado, interpuso recurso de revisión a través del SAIMEX en fecha</w:t>
      </w:r>
      <w:r>
        <w:rPr>
          <w:rFonts w:ascii="Palatino Linotype" w:hAnsi="Palatino Linotype" w:cs="Arial"/>
        </w:rPr>
        <w:t xml:space="preserve"> </w:t>
      </w:r>
      <w:r w:rsidR="00C87C7A">
        <w:rPr>
          <w:rFonts w:ascii="Palatino Linotype" w:hAnsi="Palatino Linotype" w:cs="Arial"/>
        </w:rPr>
        <w:t xml:space="preserve">tres </w:t>
      </w:r>
      <w:r>
        <w:rPr>
          <w:rFonts w:ascii="Palatino Linotype" w:hAnsi="Palatino Linotype" w:cs="Arial"/>
        </w:rPr>
        <w:t xml:space="preserve">de septiembre </w:t>
      </w:r>
      <w:r w:rsidRPr="00587361">
        <w:rPr>
          <w:rFonts w:ascii="Palatino Linotype" w:hAnsi="Palatino Linotype" w:cs="Arial"/>
        </w:rPr>
        <w:t>de la anualidad en curso, expresando lo siguiente:</w:t>
      </w:r>
    </w:p>
    <w:p w:rsidR="00ED534B" w:rsidRPr="00587361" w:rsidRDefault="00ED534B" w:rsidP="00ED534B">
      <w:pPr>
        <w:spacing w:line="360" w:lineRule="auto"/>
        <w:rPr>
          <w:rFonts w:ascii="Palatino Linotype" w:hAnsi="Palatino Linotype" w:cs="Arial"/>
          <w:b/>
        </w:rPr>
      </w:pPr>
      <w:r w:rsidRPr="00587361">
        <w:rPr>
          <w:rFonts w:ascii="Palatino Linotype" w:hAnsi="Palatino Linotype" w:cs="Arial"/>
          <w:b/>
        </w:rPr>
        <w:t>a) Acto impugnado.</w:t>
      </w:r>
    </w:p>
    <w:p w:rsidR="00ED534B" w:rsidRPr="00587361" w:rsidRDefault="00ED534B" w:rsidP="00ED534B">
      <w:pPr>
        <w:pStyle w:val="Prrafodelista"/>
        <w:spacing w:before="240" w:after="240"/>
        <w:ind w:left="1080" w:right="1043"/>
        <w:jc w:val="both"/>
        <w:rPr>
          <w:rFonts w:ascii="Palatino Linotype" w:hAnsi="Palatino Linotype" w:cs="Arial"/>
          <w:b/>
          <w:bCs/>
          <w:i/>
        </w:rPr>
      </w:pPr>
      <w:r w:rsidRPr="00587361">
        <w:rPr>
          <w:rFonts w:ascii="Palatino Linotype" w:hAnsi="Palatino Linotype"/>
          <w:i/>
        </w:rPr>
        <w:t>“</w:t>
      </w:r>
      <w:r w:rsidR="00C87C7A" w:rsidRPr="00C87C7A">
        <w:rPr>
          <w:rFonts w:ascii="Palatino Linotype" w:hAnsi="Palatino Linotype"/>
          <w:i/>
          <w:lang w:val="es-ES"/>
        </w:rPr>
        <w:t>Omisión reiterada y sistemática del sujeto obligado en entregar la respuesta a la solicitud de información</w:t>
      </w:r>
      <w:r w:rsidRPr="002E7FDB">
        <w:rPr>
          <w:rFonts w:ascii="Palatino Linotype" w:hAnsi="Palatino Linotype"/>
          <w:i/>
          <w:lang w:val="es-ES"/>
        </w:rPr>
        <w:t>.</w:t>
      </w:r>
      <w:r w:rsidRPr="00587361">
        <w:rPr>
          <w:rFonts w:ascii="Palatino Linotype" w:hAnsi="Palatino Linotype" w:cs="Arial"/>
          <w:i/>
        </w:rPr>
        <w:t>” (sic)</w:t>
      </w:r>
    </w:p>
    <w:p w:rsidR="00ED534B" w:rsidRPr="00587361" w:rsidRDefault="00ED534B" w:rsidP="00ED534B">
      <w:pPr>
        <w:pStyle w:val="Prrafodelista"/>
        <w:rPr>
          <w:rFonts w:ascii="Palatino Linotype" w:hAnsi="Palatino Linotype" w:cs="Arial"/>
          <w:b/>
          <w:bCs/>
          <w:i/>
        </w:rPr>
      </w:pPr>
    </w:p>
    <w:p w:rsidR="00ED534B" w:rsidRPr="00587361" w:rsidRDefault="00ED534B" w:rsidP="00ED534B">
      <w:pPr>
        <w:spacing w:line="360" w:lineRule="auto"/>
        <w:jc w:val="both"/>
        <w:rPr>
          <w:rFonts w:ascii="Palatino Linotype" w:hAnsi="Palatino Linotype" w:cs="Arial"/>
          <w:b/>
        </w:rPr>
      </w:pPr>
      <w:r w:rsidRPr="00587361">
        <w:rPr>
          <w:rFonts w:ascii="Palatino Linotype" w:hAnsi="Palatino Linotype" w:cs="Arial"/>
          <w:b/>
        </w:rPr>
        <w:t>b) Motivos de inconformidad.</w:t>
      </w:r>
    </w:p>
    <w:p w:rsidR="00ED534B" w:rsidRPr="00587361" w:rsidRDefault="00ED534B" w:rsidP="00ED534B">
      <w:pPr>
        <w:pStyle w:val="Prrafodelista"/>
        <w:spacing w:before="240" w:after="240"/>
        <w:ind w:left="1080" w:right="1043"/>
        <w:jc w:val="both"/>
        <w:rPr>
          <w:rFonts w:ascii="Palatino Linotype" w:hAnsi="Palatino Linotype" w:cs="Arial"/>
          <w:i/>
        </w:rPr>
      </w:pPr>
      <w:r w:rsidRPr="00587361">
        <w:rPr>
          <w:rFonts w:ascii="Palatino Linotype" w:hAnsi="Palatino Linotype" w:cs="Arial"/>
          <w:bCs/>
          <w:i/>
        </w:rPr>
        <w:t xml:space="preserve"> “</w:t>
      </w:r>
      <w:r w:rsidR="00C87C7A" w:rsidRPr="00C87C7A">
        <w:rPr>
          <w:rFonts w:ascii="Palatino Linotype" w:hAnsi="Palatino Linotype"/>
          <w:i/>
          <w:lang w:val="es-ES"/>
        </w:rPr>
        <w:t xml:space="preserve">El día doce de agosto del presente año promoví una solicitud de información al sujeto obligado cuyo contenido se reproduce de manera íntegra: “Se solicita respetuosamente con fundamento a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lo siguiente: Las reglas de operación, requisitos así como la convocatoria para acceder a los Programas Vallechalquenses por México y Apoyo Alimentario para las Familias Vulnerables de Valle de Chalco Solidaridad 2019." Que el día de ayer dos de septiembre del presente año venció el plazo legal para la entrega de la información solicitada o en su defecto la ampliación de prorroga hasta por siete días hábiles más para la atención de la solicitud, con fundamento en lo dispuesto en el artículo 163 de </w:t>
      </w:r>
      <w:r w:rsidR="00C87C7A" w:rsidRPr="00C87C7A">
        <w:rPr>
          <w:rFonts w:ascii="Palatino Linotype" w:hAnsi="Palatino Linotype"/>
          <w:i/>
          <w:lang w:val="es-ES"/>
        </w:rPr>
        <w:lastRenderedPageBreak/>
        <w:t>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y en otros más.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00701/VACHASO/IP/2019</w:t>
      </w:r>
      <w:r w:rsidRPr="00587361">
        <w:rPr>
          <w:rFonts w:ascii="Palatino Linotype" w:hAnsi="Palatino Linotype"/>
          <w:i/>
          <w:lang w:val="es-ES"/>
        </w:rPr>
        <w:t>.</w:t>
      </w:r>
      <w:r w:rsidRPr="00587361">
        <w:rPr>
          <w:rFonts w:ascii="Palatino Linotype" w:hAnsi="Palatino Linotype" w:cs="Arial"/>
          <w:i/>
        </w:rPr>
        <w:t>” (sic)</w:t>
      </w:r>
    </w:p>
    <w:p w:rsidR="00ED534B" w:rsidRPr="00587361" w:rsidRDefault="00ED534B" w:rsidP="00ED534B">
      <w:pPr>
        <w:pStyle w:val="Prrafodelista"/>
        <w:spacing w:before="240" w:after="240"/>
        <w:ind w:left="1080" w:right="1043"/>
        <w:jc w:val="both"/>
        <w:rPr>
          <w:rFonts w:ascii="Palatino Linotype" w:hAnsi="Palatino Linotype" w:cs="Arial"/>
          <w:i/>
        </w:rPr>
      </w:pPr>
    </w:p>
    <w:p w:rsidR="00ED534B" w:rsidRPr="00587361" w:rsidRDefault="00ED534B" w:rsidP="00ED534B">
      <w:pPr>
        <w:spacing w:before="240" w:after="240" w:line="360" w:lineRule="auto"/>
        <w:jc w:val="both"/>
        <w:rPr>
          <w:rFonts w:ascii="Palatino Linotype" w:hAnsi="Palatino Linotype" w:cs="Arial"/>
          <w:bCs/>
          <w:lang w:eastAsia="es-MX"/>
        </w:rPr>
      </w:pPr>
      <w:r>
        <w:rPr>
          <w:rFonts w:ascii="Palatino Linotype" w:hAnsi="Palatino Linotype" w:cs="Arial"/>
          <w:b/>
        </w:rPr>
        <w:t>4</w:t>
      </w:r>
      <w:r w:rsidRPr="00587361">
        <w:rPr>
          <w:rFonts w:ascii="Palatino Linotype" w:hAnsi="Palatino Linotype" w:cs="Arial"/>
          <w:b/>
        </w:rPr>
        <w:t xml:space="preserve">. </w:t>
      </w:r>
      <w:r w:rsidRPr="00587361">
        <w:rPr>
          <w:rFonts w:ascii="Palatino Linotype" w:hAnsi="Palatino Linotype"/>
          <w:b/>
        </w:rPr>
        <w:t xml:space="preserve">Turno. </w:t>
      </w:r>
      <w:r w:rsidRPr="00587361">
        <w:rPr>
          <w:rFonts w:ascii="Palatino Linotype" w:hAnsi="Palatino Linotype"/>
        </w:rPr>
        <w:t xml:space="preserve">De conformidad con el artículo 185 fracción I </w:t>
      </w:r>
      <w:r w:rsidRPr="00587361">
        <w:rPr>
          <w:rFonts w:ascii="Palatino Linotype" w:hAnsi="Palatino Linotype"/>
          <w:shd w:val="clear" w:color="auto" w:fill="FFFFFF"/>
        </w:rPr>
        <w:t>de la Ley Transparencia y Acceso a la Información Pública</w:t>
      </w:r>
      <w:r w:rsidRPr="00587361">
        <w:rPr>
          <w:rFonts w:ascii="Palatino Linotype" w:hAnsi="Palatino Linotype" w:cs="Arial"/>
        </w:rPr>
        <w:t>, el recurso de revisión número</w:t>
      </w:r>
      <w:r w:rsidRPr="00587361">
        <w:rPr>
          <w:rFonts w:ascii="Palatino Linotype" w:hAnsi="Palatino Linotype" w:cs="Arial"/>
          <w:b/>
        </w:rPr>
        <w:t xml:space="preserve"> </w:t>
      </w:r>
      <w:r>
        <w:rPr>
          <w:rFonts w:ascii="Palatino Linotype" w:hAnsi="Palatino Linotype" w:cs="Arial"/>
          <w:b/>
          <w:bCs/>
          <w:sz w:val="23"/>
          <w:szCs w:val="23"/>
        </w:rPr>
        <w:t>070</w:t>
      </w:r>
      <w:r w:rsidR="00C87C7A">
        <w:rPr>
          <w:rFonts w:ascii="Palatino Linotype" w:hAnsi="Palatino Linotype" w:cs="Arial"/>
          <w:b/>
          <w:bCs/>
          <w:sz w:val="23"/>
          <w:szCs w:val="23"/>
        </w:rPr>
        <w:t>54</w:t>
      </w:r>
      <w:r w:rsidRPr="00587361">
        <w:rPr>
          <w:rFonts w:ascii="Palatino Linotype" w:hAnsi="Palatino Linotype" w:cs="Arial"/>
          <w:b/>
          <w:bCs/>
          <w:sz w:val="23"/>
          <w:szCs w:val="23"/>
        </w:rPr>
        <w:t xml:space="preserve">/INFOEM/IP/RR/2019 </w:t>
      </w:r>
      <w:r w:rsidRPr="00587361">
        <w:rPr>
          <w:rFonts w:ascii="Palatino Linotype" w:hAnsi="Palatino Linotype" w:cs="Arial"/>
          <w:bCs/>
          <w:lang w:eastAsia="es-MX"/>
        </w:rPr>
        <w:t xml:space="preserve">fue </w:t>
      </w:r>
      <w:r w:rsidRPr="00587361">
        <w:rPr>
          <w:rFonts w:ascii="Palatino Linotype" w:hAnsi="Palatino Linotype"/>
        </w:rPr>
        <w:t>turnado al Comisionado Ponente Javier Martínez Cruz; a efecto de presentar al Pleno el proyecto de resolución correspondiente.</w:t>
      </w:r>
    </w:p>
    <w:p w:rsidR="00ED534B" w:rsidRPr="00587361" w:rsidRDefault="00ED534B" w:rsidP="00ED534B">
      <w:pPr>
        <w:spacing w:before="240" w:after="240" w:line="360" w:lineRule="auto"/>
        <w:jc w:val="both"/>
        <w:rPr>
          <w:rFonts w:ascii="Palatino Linotype" w:hAnsi="Palatino Linotype"/>
        </w:rPr>
      </w:pPr>
      <w:r>
        <w:rPr>
          <w:rFonts w:ascii="Palatino Linotype" w:hAnsi="Palatino Linotype"/>
          <w:b/>
        </w:rPr>
        <w:t>5</w:t>
      </w:r>
      <w:r w:rsidRPr="00587361">
        <w:rPr>
          <w:rFonts w:ascii="Palatino Linotype" w:hAnsi="Palatino Linotype"/>
          <w:b/>
        </w:rPr>
        <w:t xml:space="preserve">. Admisión. </w:t>
      </w:r>
      <w:r w:rsidRPr="00587361">
        <w:rPr>
          <w:rFonts w:ascii="Palatino Linotype" w:hAnsi="Palatino Linotype"/>
        </w:rPr>
        <w:t xml:space="preserve">En fecha </w:t>
      </w:r>
      <w:r w:rsidR="00C87C7A">
        <w:rPr>
          <w:rFonts w:ascii="Palatino Linotype" w:hAnsi="Palatino Linotype"/>
        </w:rPr>
        <w:t xml:space="preserve">nueve </w:t>
      </w:r>
      <w:r>
        <w:rPr>
          <w:rFonts w:ascii="Palatino Linotype" w:hAnsi="Palatino Linotype"/>
        </w:rPr>
        <w:t xml:space="preserve">de septiembre </w:t>
      </w:r>
      <w:r w:rsidRPr="00587361">
        <w:rPr>
          <w:rFonts w:ascii="Palatino Linotype" w:hAnsi="Palatino Linotype"/>
        </w:rPr>
        <w:t>de la anualidad en curso, en términos de lo dispuesto en el artículo 185 fracciones I, II y IV de la Ley de Transparencia y Acceso a la Información Pública del Estado de México y Municipios, se admitió a trámite el recurso de revisión al rubro indicado.</w:t>
      </w:r>
    </w:p>
    <w:p w:rsidR="00ED534B" w:rsidRPr="00587361" w:rsidRDefault="00ED534B" w:rsidP="00ED534B">
      <w:pPr>
        <w:spacing w:before="240" w:after="240" w:line="360" w:lineRule="auto"/>
        <w:jc w:val="both"/>
        <w:rPr>
          <w:rFonts w:ascii="Palatino Linotype" w:hAnsi="Palatino Linotype"/>
        </w:rPr>
      </w:pPr>
      <w:r>
        <w:rPr>
          <w:rFonts w:ascii="Palatino Linotype" w:hAnsi="Palatino Linotype"/>
          <w:b/>
        </w:rPr>
        <w:t>6</w:t>
      </w:r>
      <w:r w:rsidRPr="00587361">
        <w:rPr>
          <w:rFonts w:ascii="Palatino Linotype" w:hAnsi="Palatino Linotype"/>
          <w:b/>
        </w:rPr>
        <w:t>.</w:t>
      </w:r>
      <w:r w:rsidRPr="00587361">
        <w:rPr>
          <w:rFonts w:ascii="Palatino Linotype" w:hAnsi="Palatino Linotype" w:cs="Arial"/>
          <w:b/>
        </w:rPr>
        <w:t xml:space="preserve"> Informe de justificación. </w:t>
      </w:r>
      <w:r w:rsidRPr="00587361">
        <w:rPr>
          <w:rFonts w:ascii="Palatino Linotype" w:hAnsi="Palatino Linotype" w:cs="Arial"/>
        </w:rPr>
        <w:t xml:space="preserve">De las constancias que obran en el expediente electrónico del SAIMEX se desprende que el </w:t>
      </w:r>
      <w:r w:rsidRPr="00587361">
        <w:rPr>
          <w:rFonts w:ascii="Palatino Linotype" w:hAnsi="Palatino Linotype" w:cs="Arial"/>
          <w:b/>
        </w:rPr>
        <w:t>Sujeto Obligado</w:t>
      </w:r>
      <w:r w:rsidRPr="00587361">
        <w:rPr>
          <w:rFonts w:ascii="Palatino Linotype" w:hAnsi="Palatino Linotype" w:cs="Arial"/>
        </w:rPr>
        <w:t xml:space="preserve"> </w:t>
      </w:r>
      <w:r>
        <w:rPr>
          <w:rFonts w:ascii="Palatino Linotype" w:hAnsi="Palatino Linotype" w:cs="Arial"/>
        </w:rPr>
        <w:t xml:space="preserve">no </w:t>
      </w:r>
      <w:r w:rsidRPr="00587361">
        <w:rPr>
          <w:rFonts w:ascii="Palatino Linotype" w:hAnsi="Palatino Linotype" w:cs="Arial"/>
        </w:rPr>
        <w:t xml:space="preserve">rindió su informe justificado, </w:t>
      </w:r>
      <w:r>
        <w:rPr>
          <w:rFonts w:ascii="Palatino Linotype" w:hAnsi="Palatino Linotype" w:cs="Arial"/>
        </w:rPr>
        <w:t>del mismo modo el impetrante omitió realizar manifestaciones.</w:t>
      </w:r>
    </w:p>
    <w:p w:rsidR="00ED534B" w:rsidRPr="00587361" w:rsidRDefault="00ED534B" w:rsidP="00ED534B">
      <w:pPr>
        <w:spacing w:before="240" w:after="240" w:line="360" w:lineRule="auto"/>
        <w:jc w:val="both"/>
        <w:rPr>
          <w:rFonts w:ascii="Palatino Linotype" w:hAnsi="Palatino Linotype"/>
          <w:b/>
        </w:rPr>
      </w:pPr>
      <w:r>
        <w:rPr>
          <w:rFonts w:ascii="Palatino Linotype" w:hAnsi="Palatino Linotype"/>
          <w:b/>
        </w:rPr>
        <w:t>7</w:t>
      </w:r>
      <w:r w:rsidRPr="00587361">
        <w:rPr>
          <w:rFonts w:ascii="Palatino Linotype" w:hAnsi="Palatino Linotype"/>
          <w:b/>
        </w:rPr>
        <w:t xml:space="preserve">. Cierre de Instrucción. </w:t>
      </w:r>
      <w:r w:rsidRPr="00587361">
        <w:rPr>
          <w:rFonts w:ascii="Palatino Linotype" w:hAnsi="Palatino Linotype"/>
        </w:rPr>
        <w:t xml:space="preserve">En fecha </w:t>
      </w:r>
      <w:r>
        <w:rPr>
          <w:rFonts w:ascii="Palatino Linotype" w:hAnsi="Palatino Linotype"/>
        </w:rPr>
        <w:t xml:space="preserve">doce de noviembre </w:t>
      </w:r>
      <w:r w:rsidRPr="00AC3F37">
        <w:rPr>
          <w:rFonts w:ascii="Palatino Linotype" w:hAnsi="Palatino Linotype"/>
        </w:rPr>
        <w:t>de dos mil diecinueve</w:t>
      </w:r>
      <w:r w:rsidRPr="00587361">
        <w:rPr>
          <w:rFonts w:ascii="Palatino Linotype" w:hAnsi="Palatino Linotype"/>
        </w:rPr>
        <w:t xml:space="preserve">, con fundamento en lo establecido en los artículos 185, fracción VI de la </w:t>
      </w:r>
      <w:r w:rsidRPr="00587361">
        <w:rPr>
          <w:rFonts w:ascii="Palatino Linotype" w:hAnsi="Palatino Linotype" w:cs="Arial"/>
        </w:rPr>
        <w:t xml:space="preserve">Ley de </w:t>
      </w:r>
      <w:r w:rsidRPr="00587361">
        <w:rPr>
          <w:rFonts w:ascii="Palatino Linotype" w:hAnsi="Palatino Linotype" w:cs="Arial"/>
        </w:rPr>
        <w:lastRenderedPageBreak/>
        <w:t>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ED534B" w:rsidRPr="00587361" w:rsidRDefault="00ED534B" w:rsidP="00ED534B">
      <w:pPr>
        <w:pStyle w:val="Prrafodelista"/>
        <w:numPr>
          <w:ilvl w:val="0"/>
          <w:numId w:val="1"/>
        </w:numPr>
        <w:spacing w:before="240" w:after="240" w:line="360" w:lineRule="auto"/>
        <w:jc w:val="center"/>
        <w:rPr>
          <w:rFonts w:ascii="Palatino Linotype" w:hAnsi="Palatino Linotype" w:cs="Arial"/>
          <w:b/>
          <w:sz w:val="24"/>
          <w:szCs w:val="24"/>
        </w:rPr>
      </w:pPr>
      <w:r w:rsidRPr="00587361">
        <w:rPr>
          <w:rFonts w:ascii="Palatino Linotype" w:hAnsi="Palatino Linotype" w:cs="Arial"/>
          <w:b/>
          <w:sz w:val="24"/>
          <w:szCs w:val="24"/>
        </w:rPr>
        <w:t>C O N S I D E R A N D O:</w:t>
      </w:r>
    </w:p>
    <w:p w:rsidR="00ED534B" w:rsidRPr="00587361" w:rsidRDefault="00ED534B" w:rsidP="00ED534B">
      <w:pPr>
        <w:spacing w:before="240" w:after="240" w:line="360" w:lineRule="auto"/>
        <w:jc w:val="both"/>
        <w:rPr>
          <w:rFonts w:ascii="Palatino Linotype" w:hAnsi="Palatino Linotype"/>
          <w:shd w:val="clear" w:color="auto" w:fill="FFFFFF"/>
        </w:rPr>
      </w:pPr>
      <w:r w:rsidRPr="00587361">
        <w:rPr>
          <w:rFonts w:ascii="Palatino Linotype" w:hAnsi="Palatino Linotype" w:cs="Arial"/>
          <w:b/>
        </w:rPr>
        <w:t xml:space="preserve">Primero. Competencia. </w:t>
      </w:r>
      <w:r w:rsidRPr="00587361">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587361">
        <w:rPr>
          <w:rStyle w:val="apple-converted-space"/>
          <w:rFonts w:ascii="Palatino Linotype" w:hAnsi="Palatino Linotype"/>
          <w:shd w:val="clear" w:color="auto" w:fill="FFFFFF"/>
        </w:rPr>
        <w:t xml:space="preserve"> 7, </w:t>
      </w:r>
      <w:r w:rsidRPr="00587361">
        <w:rPr>
          <w:rFonts w:ascii="Palatino Linotype" w:hAnsi="Palatino Linotype" w:cs="Arial"/>
        </w:rPr>
        <w:t xml:space="preserve">9, fracciones I y XXIV y 11 </w:t>
      </w:r>
      <w:r w:rsidRPr="0058736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b/>
        </w:rPr>
        <w:t xml:space="preserve">Segundo. Oportunidad y Procedibilidad. </w:t>
      </w:r>
      <w:r w:rsidRPr="00587361">
        <w:rPr>
          <w:rFonts w:ascii="Palatino Linotype" w:hAnsi="Palatino Linotype" w:cs="Arial"/>
        </w:rPr>
        <w:t>Es de precisar que la</w:t>
      </w:r>
      <w:r w:rsidRPr="00587361">
        <w:rPr>
          <w:rFonts w:ascii="Palatino Linotype" w:hAnsi="Palatino Linotype" w:cs="Arial"/>
          <w:b/>
        </w:rPr>
        <w:t xml:space="preserve"> </w:t>
      </w:r>
      <w:r w:rsidRPr="00587361">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i/>
          <w:sz w:val="22"/>
          <w:szCs w:val="22"/>
          <w:lang w:val="es-MX"/>
        </w:rPr>
        <w:t>“</w:t>
      </w:r>
      <w:r w:rsidRPr="00587361">
        <w:rPr>
          <w:rFonts w:ascii="Palatino Linotype" w:hAnsi="Palatino Linotype" w:cs="Arial"/>
          <w:b/>
          <w:bCs/>
          <w:i/>
          <w:sz w:val="22"/>
          <w:szCs w:val="22"/>
          <w:lang w:val="es-MX"/>
        </w:rPr>
        <w:t xml:space="preserve">Artículo 163. </w:t>
      </w:r>
      <w:r w:rsidRPr="00587361">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i/>
          <w:sz w:val="22"/>
          <w:szCs w:val="22"/>
          <w:lang w:val="es-MX"/>
        </w:rPr>
        <w:t>(…)</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b/>
          <w:i/>
          <w:sz w:val="22"/>
          <w:szCs w:val="22"/>
        </w:rPr>
        <w:lastRenderedPageBreak/>
        <w:t>Artículo 166.-</w:t>
      </w:r>
      <w:r w:rsidRPr="00587361">
        <w:rPr>
          <w:rFonts w:ascii="Palatino Linotype" w:hAnsi="Palatino Linotype" w:cs="Arial"/>
          <w:i/>
          <w:sz w:val="22"/>
          <w:szCs w:val="22"/>
        </w:rPr>
        <w:t xml:space="preserve"> (…)</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i/>
          <w:sz w:val="22"/>
          <w:szCs w:val="22"/>
        </w:rPr>
        <w:t xml:space="preserve">(…)” </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i/>
          <w:sz w:val="22"/>
          <w:szCs w:val="22"/>
        </w:rPr>
        <w:t>(Énfasis añadido)</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ED534B" w:rsidRPr="00587361" w:rsidRDefault="00ED534B" w:rsidP="00ED534B">
      <w:pPr>
        <w:spacing w:before="240" w:after="240" w:line="360" w:lineRule="auto"/>
        <w:jc w:val="both"/>
        <w:rPr>
          <w:rFonts w:ascii="Palatino Linotype" w:hAnsi="Palatino Linotype" w:cs="Arial"/>
          <w:i/>
        </w:rPr>
      </w:pPr>
      <w:r w:rsidRPr="00587361">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ED534B" w:rsidRPr="00587361" w:rsidRDefault="00ED534B" w:rsidP="00ED534B">
      <w:pPr>
        <w:spacing w:before="240" w:after="240" w:line="360" w:lineRule="auto"/>
        <w:jc w:val="both"/>
        <w:rPr>
          <w:rFonts w:ascii="Palatino Linotype" w:hAnsi="Palatino Linotype" w:cs="Arial"/>
          <w:i/>
        </w:rPr>
      </w:pPr>
      <w:r w:rsidRPr="00587361">
        <w:rPr>
          <w:rFonts w:ascii="Palatino Linotype" w:hAnsi="Palatino Linotype" w:cs="Arial"/>
        </w:rPr>
        <w:t>Por su parte, el artículo 178 del citado ordenamiento, establece:</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i/>
          <w:sz w:val="22"/>
          <w:szCs w:val="22"/>
        </w:rPr>
        <w:t>“</w:t>
      </w:r>
      <w:r w:rsidRPr="00587361">
        <w:rPr>
          <w:rFonts w:ascii="Palatino Linotype" w:hAnsi="Palatino Linotype" w:cs="Arial"/>
          <w:b/>
          <w:bCs/>
          <w:i/>
          <w:sz w:val="22"/>
          <w:szCs w:val="22"/>
        </w:rPr>
        <w:t xml:space="preserve">Artículo 178. </w:t>
      </w:r>
      <w:r w:rsidRPr="00587361">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587361">
        <w:rPr>
          <w:rFonts w:ascii="Palatino Linotype" w:hAnsi="Palatino Linotype" w:cs="Arial"/>
          <w:b/>
          <w:i/>
          <w:sz w:val="22"/>
          <w:szCs w:val="22"/>
        </w:rPr>
        <w:t>.”</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 xml:space="preserve">De lo anterior, se advierte que el recurso de revisión se ha de interponer dentro del plazo de quince días hábiles, a partir de la fecha en que el </w:t>
      </w:r>
      <w:r w:rsidRPr="00587361">
        <w:rPr>
          <w:rFonts w:ascii="Palatino Linotype" w:hAnsi="Palatino Linotype" w:cs="Arial"/>
          <w:b/>
        </w:rPr>
        <w:t xml:space="preserve">Sujeto Obligado </w:t>
      </w:r>
      <w:r w:rsidRPr="00587361">
        <w:rPr>
          <w:rFonts w:ascii="Palatino Linotype" w:hAnsi="Palatino Linotype" w:cs="Arial"/>
        </w:rPr>
        <w:t xml:space="preserve">da respuesta a la solicitud de información; sin embargo, tratándose de </w:t>
      </w:r>
      <w:r w:rsidRPr="00587361">
        <w:rPr>
          <w:rFonts w:ascii="Palatino Linotype" w:hAnsi="Palatino Linotype" w:cs="Arial"/>
          <w:i/>
        </w:rPr>
        <w:t>negativa ficta</w:t>
      </w:r>
      <w:r w:rsidRPr="00587361">
        <w:rPr>
          <w:rFonts w:ascii="Palatino Linotype" w:hAnsi="Palatino Linotype" w:cs="Arial"/>
        </w:rPr>
        <w:t xml:space="preserve"> no </w:t>
      </w:r>
      <w:r w:rsidRPr="00587361">
        <w:rPr>
          <w:rFonts w:ascii="Palatino Linotype" w:hAnsi="Palatino Linotype" w:cs="Arial"/>
        </w:rPr>
        <w:lastRenderedPageBreak/>
        <w:t>existe resolución que se haga del conocimiento del particular a partir de la cual pueda computarse dicho plazo, por lo que se concluye que la interposición del recurso de revisión puede ser en cualquier momento.</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 xml:space="preserve">La </w:t>
      </w:r>
      <w:r w:rsidRPr="00587361">
        <w:rPr>
          <w:rFonts w:ascii="Palatino Linotype" w:hAnsi="Palatino Linotype" w:cs="Arial"/>
          <w:i/>
        </w:rPr>
        <w:t>negativa ficta</w:t>
      </w:r>
      <w:r w:rsidRPr="00587361">
        <w:rPr>
          <w:rFonts w:ascii="Palatino Linotype" w:hAnsi="Palatino Linotype" w:cs="Arial"/>
        </w:rPr>
        <w:t xml:space="preserve"> constituye una presunción legal, en el entendido de que donde no hubo respuesta por parte del </w:t>
      </w:r>
      <w:r w:rsidRPr="00587361">
        <w:rPr>
          <w:rFonts w:ascii="Palatino Linotype" w:hAnsi="Palatino Linotype" w:cs="Arial"/>
          <w:b/>
        </w:rPr>
        <w:t xml:space="preserve">Sujeto Obligado </w:t>
      </w:r>
      <w:r w:rsidRPr="00587361">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587361">
        <w:rPr>
          <w:rFonts w:ascii="Palatino Linotype" w:hAnsi="Palatino Linotype" w:cs="Arial"/>
          <w:i/>
        </w:rPr>
        <w:t>Estado de Derecho</w:t>
      </w:r>
      <w:r w:rsidRPr="00587361">
        <w:rPr>
          <w:rFonts w:ascii="Palatino Linotype" w:hAnsi="Palatino Linotype" w:cs="Arial"/>
        </w:rPr>
        <w:t xml:space="preserve"> en el que, el particular, tiene siempre una vía de defensa en contra de los actos autoritarios que le perjudican.</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 xml:space="preserve">En el marco del derecho de acceso a la información pública, la figura de la </w:t>
      </w:r>
      <w:r w:rsidRPr="00587361">
        <w:rPr>
          <w:rFonts w:ascii="Palatino Linotype" w:hAnsi="Palatino Linotype" w:cs="Arial"/>
          <w:i/>
        </w:rPr>
        <w:t>negativa ficta</w:t>
      </w:r>
      <w:r w:rsidRPr="00587361">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ED534B" w:rsidRPr="00587361" w:rsidRDefault="00ED534B" w:rsidP="00ED534B">
      <w:pPr>
        <w:spacing w:before="240" w:after="240" w:line="360" w:lineRule="auto"/>
        <w:jc w:val="both"/>
        <w:rPr>
          <w:rFonts w:ascii="Palatino Linotype" w:hAnsi="Palatino Linotype" w:cs="Arial"/>
          <w:i/>
          <w:lang w:val="es-MX"/>
        </w:rPr>
      </w:pPr>
      <w:r w:rsidRPr="00587361">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587361">
        <w:rPr>
          <w:rFonts w:ascii="Palatino Linotype" w:hAnsi="Palatino Linotype" w:cs="Arial"/>
          <w:b/>
        </w:rPr>
        <w:t>Sujeto Obligado</w:t>
      </w:r>
      <w:r w:rsidRPr="00587361">
        <w:rPr>
          <w:rFonts w:ascii="Palatino Linotype" w:hAnsi="Palatino Linotype" w:cs="Arial"/>
        </w:rPr>
        <w:t xml:space="preserve">, éste tiene la posibilidad de impugnar dicha omisión </w:t>
      </w:r>
      <w:r w:rsidRPr="00587361">
        <w:rPr>
          <w:rFonts w:ascii="Palatino Linotype" w:hAnsi="Palatino Linotype" w:cs="Arial"/>
        </w:rPr>
        <w:lastRenderedPageBreak/>
        <w:t>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b/>
          <w:i/>
          <w:sz w:val="22"/>
          <w:szCs w:val="22"/>
          <w:lang w:val="es-MX"/>
        </w:rPr>
        <w:t>“CRITERIO 0001-15. NEGATIVA FICTA. PLAZO PARA INTERPONER EL RECURSO DE REVISIÓN TRATÁNDOSE DE</w:t>
      </w:r>
      <w:r w:rsidRPr="00587361">
        <w:rPr>
          <w:rFonts w:ascii="Palatino Linotype" w:hAnsi="Palatino Linotype" w:cs="Arial"/>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ED534B" w:rsidRDefault="00ED534B" w:rsidP="00ED534B">
      <w:pPr>
        <w:ind w:left="851" w:right="851"/>
        <w:jc w:val="both"/>
        <w:rPr>
          <w:rFonts w:ascii="Palatino Linotype" w:hAnsi="Palatino Linotype" w:cs="Arial"/>
          <w:i/>
          <w:sz w:val="22"/>
          <w:szCs w:val="22"/>
          <w:lang w:val="es-MX"/>
        </w:rPr>
      </w:pPr>
    </w:p>
    <w:p w:rsidR="00ED534B" w:rsidRDefault="00ED534B" w:rsidP="00ED534B">
      <w:pPr>
        <w:ind w:left="851" w:right="851"/>
        <w:jc w:val="both"/>
        <w:rPr>
          <w:rFonts w:ascii="Palatino Linotype" w:hAnsi="Palatino Linotype" w:cs="Arial"/>
          <w:i/>
          <w:sz w:val="22"/>
          <w:szCs w:val="22"/>
          <w:lang w:val="es-MX"/>
        </w:rPr>
      </w:pPr>
      <w:r w:rsidRPr="00587361">
        <w:rPr>
          <w:rFonts w:ascii="Palatino Linotype" w:hAnsi="Palatino Linotype" w:cs="Arial"/>
          <w:i/>
          <w:sz w:val="22"/>
          <w:szCs w:val="22"/>
          <w:lang w:val="es-MX"/>
        </w:rPr>
        <w:t>Énfasis añadido</w:t>
      </w:r>
      <w:r>
        <w:rPr>
          <w:rFonts w:ascii="Palatino Linotype" w:hAnsi="Palatino Linotype" w:cs="Arial"/>
          <w:i/>
          <w:sz w:val="22"/>
          <w:szCs w:val="22"/>
          <w:lang w:val="es-MX"/>
        </w:rPr>
        <w:t>.</w:t>
      </w:r>
    </w:p>
    <w:p w:rsidR="00ED534B" w:rsidRPr="00587361" w:rsidRDefault="00ED534B" w:rsidP="00ED534B">
      <w:pPr>
        <w:ind w:left="851" w:right="851"/>
        <w:jc w:val="both"/>
        <w:rPr>
          <w:rFonts w:ascii="Palatino Linotype" w:hAnsi="Palatino Linotype" w:cs="Arial"/>
          <w:i/>
        </w:rPr>
      </w:pP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lastRenderedPageBreak/>
        <w:t xml:space="preserve">Del análisis efectuado se advierte que resulta procedente la interposición del recurso y se concluye la acreditación plena de todos y cada uno de los elementos formales exigidos por el artículo 180 </w:t>
      </w:r>
      <w:r w:rsidRPr="00587361">
        <w:rPr>
          <w:rFonts w:ascii="Palatino Linotype" w:hAnsi="Palatino Linotype" w:cs="Arial"/>
          <w:lang w:val="es-ES_tradnl"/>
        </w:rPr>
        <w:t xml:space="preserve">de la </w:t>
      </w:r>
      <w:r w:rsidRPr="00587361">
        <w:rPr>
          <w:rFonts w:ascii="Palatino Linotype" w:hAnsi="Palatino Linotype" w:cs="Arial"/>
        </w:rPr>
        <w:t xml:space="preserve">Ley de Transparencia y Acceso a la Información Pública del Estado de México y Municipios en vigor, en atención a que fue presentado mediante el formato visible </w:t>
      </w:r>
      <w:r w:rsidRPr="00587361">
        <w:rPr>
          <w:rFonts w:ascii="Palatino Linotype" w:hAnsi="Palatino Linotype" w:cs="Arial"/>
          <w:b/>
        </w:rPr>
        <w:t xml:space="preserve">EL SAIMEX.  </w:t>
      </w:r>
    </w:p>
    <w:p w:rsidR="00C87C7A" w:rsidRPr="0062690A" w:rsidRDefault="00C87C7A" w:rsidP="00C87C7A">
      <w:pPr>
        <w:tabs>
          <w:tab w:val="left" w:pos="8647"/>
        </w:tabs>
        <w:spacing w:before="240" w:after="240" w:line="360" w:lineRule="auto"/>
        <w:jc w:val="both"/>
        <w:rPr>
          <w:rFonts w:ascii="Palatino Linotype" w:hAnsi="Palatino Linotype" w:cs="Arial"/>
          <w:b/>
        </w:rPr>
      </w:pPr>
      <w:r w:rsidRPr="0062690A">
        <w:rPr>
          <w:rFonts w:ascii="Palatino Linotype" w:hAnsi="Palatino Linotype" w:cs="Arial"/>
          <w:b/>
        </w:rPr>
        <w:t xml:space="preserve">Tercero. Materia de la revisión. </w:t>
      </w:r>
      <w:r w:rsidRPr="0062690A">
        <w:rPr>
          <w:rFonts w:ascii="Palatino Linotype" w:hAnsi="Palatino Linotype" w:cs="Arial"/>
        </w:rPr>
        <w:t xml:space="preserve">De la revisión a las constancias que obran en el expediente electrónico se advierte que el tema sobre el que este Instituto se pronunciará será: </w:t>
      </w:r>
      <w:r w:rsidRPr="0062690A">
        <w:rPr>
          <w:rFonts w:ascii="Palatino Linotype" w:hAnsi="Palatino Linotype" w:cs="Arial"/>
          <w:b/>
        </w:rPr>
        <w:t xml:space="preserve">verificar si el sujeto obligado en el ejercicio de sus atribuciones posee, administra o genera la información solicitada y si resulta procedente su entrega. </w:t>
      </w:r>
    </w:p>
    <w:p w:rsidR="00C87C7A" w:rsidRPr="0062690A" w:rsidRDefault="00C87C7A" w:rsidP="00C87C7A">
      <w:pPr>
        <w:spacing w:before="240" w:after="240" w:line="360" w:lineRule="auto"/>
        <w:jc w:val="both"/>
        <w:rPr>
          <w:rFonts w:ascii="Palatino Linotype" w:hAnsi="Palatino Linotype" w:cs="Arial"/>
        </w:rPr>
      </w:pPr>
      <w:r>
        <w:rPr>
          <w:rFonts w:ascii="Palatino Linotype" w:hAnsi="Palatino Linotype" w:cs="Arial"/>
          <w:b/>
        </w:rPr>
        <w:t>Cuar</w:t>
      </w:r>
      <w:r w:rsidRPr="0062690A">
        <w:rPr>
          <w:rFonts w:ascii="Palatino Linotype" w:hAnsi="Palatino Linotype" w:cs="Arial"/>
          <w:b/>
        </w:rPr>
        <w:t xml:space="preserve">to. Estudio del asunto. </w:t>
      </w:r>
      <w:r w:rsidRPr="0062690A">
        <w:rPr>
          <w:rFonts w:ascii="Palatino Linotype" w:hAnsi="Palatino Linotype" w:cs="Arial"/>
        </w:rPr>
        <w:t>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rsidR="00ED534B" w:rsidRPr="00587361" w:rsidRDefault="00C87C7A" w:rsidP="00C87C7A">
      <w:pPr>
        <w:ind w:left="851" w:right="851"/>
        <w:jc w:val="both"/>
        <w:rPr>
          <w:rFonts w:ascii="Palatino Linotype" w:hAnsi="Palatino Linotype" w:cs="Arial"/>
          <w:i/>
        </w:rPr>
      </w:pPr>
      <w:r w:rsidRPr="00587361">
        <w:rPr>
          <w:rFonts w:ascii="Palatino Linotype" w:hAnsi="Palatino Linotype" w:cs="Arial"/>
          <w:bCs/>
          <w:i/>
          <w:sz w:val="22"/>
          <w:szCs w:val="22"/>
        </w:rPr>
        <w:t xml:space="preserve"> </w:t>
      </w:r>
      <w:r w:rsidR="00ED534B" w:rsidRPr="00587361">
        <w:rPr>
          <w:rFonts w:ascii="Palatino Linotype" w:hAnsi="Palatino Linotype" w:cs="Arial"/>
          <w:bCs/>
          <w:i/>
          <w:sz w:val="22"/>
          <w:szCs w:val="22"/>
        </w:rPr>
        <w:t>“</w:t>
      </w:r>
      <w:r w:rsidR="00ED534B" w:rsidRPr="00587361">
        <w:rPr>
          <w:rFonts w:ascii="Palatino Linotype" w:hAnsi="Palatino Linotype" w:cs="Arial"/>
          <w:b/>
          <w:bCs/>
          <w:i/>
          <w:sz w:val="22"/>
          <w:szCs w:val="22"/>
        </w:rPr>
        <w:t xml:space="preserve">Artículo 179. </w:t>
      </w:r>
      <w:r w:rsidR="00ED534B" w:rsidRPr="00587361">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D534B" w:rsidRPr="00587361" w:rsidRDefault="00ED534B" w:rsidP="00ED534B">
      <w:pPr>
        <w:ind w:left="851" w:right="851"/>
        <w:jc w:val="both"/>
        <w:rPr>
          <w:rFonts w:ascii="Palatino Linotype" w:hAnsi="Palatino Linotype" w:cs="Arial"/>
          <w:i/>
        </w:rPr>
      </w:pPr>
      <w:r w:rsidRPr="00587361">
        <w:rPr>
          <w:rFonts w:ascii="Palatino Linotype" w:hAnsi="Palatino Linotype" w:cs="Arial"/>
          <w:b/>
          <w:bCs/>
          <w:i/>
          <w:sz w:val="22"/>
          <w:szCs w:val="22"/>
        </w:rPr>
        <w:t>. . .</w:t>
      </w:r>
    </w:p>
    <w:p w:rsidR="00ED534B" w:rsidRPr="00587361" w:rsidRDefault="00ED534B" w:rsidP="00ED534B">
      <w:pPr>
        <w:ind w:left="851" w:right="851"/>
        <w:jc w:val="both"/>
        <w:rPr>
          <w:rFonts w:ascii="Palatino Linotype" w:hAnsi="Palatino Linotype" w:cs="Arial"/>
          <w:i/>
          <w:sz w:val="22"/>
          <w:szCs w:val="22"/>
        </w:rPr>
      </w:pPr>
      <w:r w:rsidRPr="00587361">
        <w:rPr>
          <w:rFonts w:ascii="Palatino Linotype" w:hAnsi="Palatino Linotype" w:cs="Arial"/>
          <w:b/>
          <w:bCs/>
          <w:i/>
          <w:sz w:val="22"/>
          <w:szCs w:val="22"/>
        </w:rPr>
        <w:t xml:space="preserve">VII. </w:t>
      </w:r>
      <w:r w:rsidRPr="00587361">
        <w:rPr>
          <w:rFonts w:ascii="Palatino Linotype" w:hAnsi="Palatino Linotype" w:cs="Arial"/>
          <w:i/>
          <w:sz w:val="22"/>
          <w:szCs w:val="22"/>
        </w:rPr>
        <w:t>La falta de respuesta a una solicitud de acceso a la información;”</w:t>
      </w:r>
    </w:p>
    <w:p w:rsidR="00ED534B" w:rsidRPr="00587361" w:rsidRDefault="00ED534B" w:rsidP="00ED534B">
      <w:pPr>
        <w:ind w:left="851" w:right="851"/>
        <w:jc w:val="both"/>
        <w:rPr>
          <w:rFonts w:ascii="Palatino Linotype" w:hAnsi="Palatino Linotype" w:cs="Arial"/>
          <w:i/>
        </w:rPr>
      </w:pP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 xml:space="preserve">El precepto legal citado, establece como supuesto de procedencia del recurso de revisión, en aquellos casos en que el </w:t>
      </w:r>
      <w:r w:rsidRPr="00587361">
        <w:rPr>
          <w:rFonts w:ascii="Palatino Linotype" w:hAnsi="Palatino Linotype" w:cs="Arial"/>
          <w:b/>
        </w:rPr>
        <w:t xml:space="preserve">recurrente </w:t>
      </w:r>
      <w:r w:rsidRPr="00587361">
        <w:rPr>
          <w:rFonts w:ascii="Palatino Linotype" w:hAnsi="Palatino Linotype" w:cs="Arial"/>
        </w:rPr>
        <w:t xml:space="preserve">estime negado el acceso a la información por la falta de respuesta por el </w:t>
      </w:r>
      <w:r w:rsidRPr="00587361">
        <w:rPr>
          <w:rFonts w:ascii="Palatino Linotype" w:hAnsi="Palatino Linotype" w:cs="Arial"/>
          <w:b/>
        </w:rPr>
        <w:t>Sujeto Obligado,</w:t>
      </w:r>
      <w:r w:rsidRPr="00587361">
        <w:rPr>
          <w:rFonts w:ascii="Palatino Linotype" w:hAnsi="Palatino Linotype" w:cs="Arial"/>
        </w:rPr>
        <w:t xml:space="preserve"> luego, en este asunto se actualiza la hipótesis jurídica citada, en atención a que el </w:t>
      </w:r>
      <w:r w:rsidRPr="00587361">
        <w:rPr>
          <w:rFonts w:ascii="Palatino Linotype" w:hAnsi="Palatino Linotype" w:cs="Arial"/>
          <w:b/>
        </w:rPr>
        <w:t xml:space="preserve">recurrente </w:t>
      </w:r>
      <w:r w:rsidRPr="00587361">
        <w:rPr>
          <w:rFonts w:ascii="Palatino Linotype" w:hAnsi="Palatino Linotype" w:cs="Arial"/>
        </w:rPr>
        <w:t xml:space="preserve">combate falta </w:t>
      </w:r>
      <w:r w:rsidRPr="00587361">
        <w:rPr>
          <w:rFonts w:ascii="Palatino Linotype" w:hAnsi="Palatino Linotype" w:cs="Arial"/>
        </w:rPr>
        <w:lastRenderedPageBreak/>
        <w:t xml:space="preserve">de trámite por el </w:t>
      </w:r>
      <w:r w:rsidRPr="00587361">
        <w:rPr>
          <w:rFonts w:ascii="Palatino Linotype" w:hAnsi="Palatino Linotype" w:cs="Arial"/>
          <w:b/>
        </w:rPr>
        <w:t xml:space="preserve">Sujeto Obligado </w:t>
      </w:r>
      <w:r w:rsidRPr="00587361">
        <w:rPr>
          <w:rFonts w:ascii="Palatino Linotype" w:hAnsi="Palatino Linotype" w:cs="Arial"/>
        </w:rPr>
        <w:t>y expresa motivos de inconformidad en contra de ella.</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 xml:space="preserve">El precepto legal citado, establece como supuesto de procedencia del recurso de revisión, en aquellos casos en que el </w:t>
      </w:r>
      <w:r w:rsidRPr="00587361">
        <w:rPr>
          <w:rFonts w:ascii="Palatino Linotype" w:hAnsi="Palatino Linotype" w:cs="Arial"/>
          <w:b/>
        </w:rPr>
        <w:t xml:space="preserve">recurrente </w:t>
      </w:r>
      <w:r w:rsidRPr="00587361">
        <w:rPr>
          <w:rFonts w:ascii="Palatino Linotype" w:hAnsi="Palatino Linotype" w:cs="Arial"/>
        </w:rPr>
        <w:t xml:space="preserve">estime negado el acceso a la información por la falta de respuesta por el </w:t>
      </w:r>
      <w:r w:rsidRPr="00587361">
        <w:rPr>
          <w:rFonts w:ascii="Palatino Linotype" w:hAnsi="Palatino Linotype" w:cs="Arial"/>
          <w:b/>
        </w:rPr>
        <w:t>Sujeto Obligado,</w:t>
      </w:r>
      <w:r w:rsidRPr="00587361">
        <w:rPr>
          <w:rFonts w:ascii="Palatino Linotype" w:hAnsi="Palatino Linotype" w:cs="Arial"/>
        </w:rPr>
        <w:t xml:space="preserve"> luego, en este asunto se actualiza la hipótesis jurídica citada, en atención a que el </w:t>
      </w:r>
      <w:r w:rsidRPr="00587361">
        <w:rPr>
          <w:rFonts w:ascii="Palatino Linotype" w:hAnsi="Palatino Linotype" w:cs="Arial"/>
          <w:b/>
        </w:rPr>
        <w:t xml:space="preserve">recurrente </w:t>
      </w:r>
      <w:r w:rsidRPr="00587361">
        <w:rPr>
          <w:rFonts w:ascii="Palatino Linotype" w:hAnsi="Palatino Linotype" w:cs="Arial"/>
        </w:rPr>
        <w:t xml:space="preserve">combate falta de trámite por el </w:t>
      </w:r>
      <w:r w:rsidRPr="00587361">
        <w:rPr>
          <w:rFonts w:ascii="Palatino Linotype" w:hAnsi="Palatino Linotype" w:cs="Arial"/>
          <w:b/>
        </w:rPr>
        <w:t xml:space="preserve">Sujeto Obligado </w:t>
      </w:r>
      <w:r w:rsidRPr="00587361">
        <w:rPr>
          <w:rFonts w:ascii="Palatino Linotype" w:hAnsi="Palatino Linotype" w:cs="Arial"/>
        </w:rPr>
        <w:t>y expresa motivos de inconformidad en contra de ella.</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 xml:space="preserve">Una vez determinada la vía sobre la que versará el presente recurso, y previa revisión del expediente del recurso de revisión materia de la presente resolución, se advierte que el </w:t>
      </w:r>
      <w:r w:rsidRPr="00587361">
        <w:rPr>
          <w:rFonts w:ascii="Palatino Linotype" w:hAnsi="Palatino Linotype" w:cs="Arial"/>
          <w:b/>
        </w:rPr>
        <w:t xml:space="preserve">Sujeto Obligado </w:t>
      </w:r>
      <w:r w:rsidRPr="00587361">
        <w:rPr>
          <w:rFonts w:ascii="Palatino Linotype" w:hAnsi="Palatino Linotype" w:cs="Arial"/>
        </w:rPr>
        <w:t>no dio respuesta a la solicitud de información planteada por el</w:t>
      </w:r>
      <w:r w:rsidRPr="00587361">
        <w:rPr>
          <w:rFonts w:ascii="Palatino Linotype" w:hAnsi="Palatino Linotype" w:cs="Arial"/>
          <w:b/>
        </w:rPr>
        <w:t xml:space="preserve"> recurrente</w:t>
      </w:r>
      <w:r w:rsidRPr="00587361">
        <w:rPr>
          <w:rFonts w:ascii="Palatino Linotype" w:hAnsi="Palatino Linotype" w:cs="Arial"/>
        </w:rPr>
        <w:t xml:space="preserve">, lo que se traduce como la configuración de la </w:t>
      </w:r>
      <w:r w:rsidRPr="00587361">
        <w:rPr>
          <w:rFonts w:ascii="Palatino Linotype" w:hAnsi="Palatino Linotype" w:cs="Arial"/>
          <w:b/>
        </w:rPr>
        <w:t>NEGATIVA FICTA</w:t>
      </w:r>
      <w:r w:rsidRPr="00587361">
        <w:rPr>
          <w:rFonts w:ascii="Palatino Linotype" w:hAnsi="Palatino Linotype" w:cs="Arial"/>
        </w:rPr>
        <w:t xml:space="preserve">, situación que demuestra la existencia del acto impugnado y procedencia del motivo de inconformidad, que en términos generales consistente en que el Sujeto Obligado no emitió respuesta a la solicitud </w:t>
      </w:r>
      <w:r w:rsidR="00C87C7A" w:rsidRPr="00C87C7A">
        <w:rPr>
          <w:rFonts w:ascii="Palatino Linotype" w:hAnsi="Palatino Linotype" w:cs="Arial"/>
          <w:b/>
          <w:bCs/>
        </w:rPr>
        <w:t>00701/VACHASO/IP/2019</w:t>
      </w:r>
      <w:r w:rsidRPr="00587361">
        <w:rPr>
          <w:rFonts w:ascii="Palatino Linotype" w:hAnsi="Palatino Linotype" w:cs="Arial"/>
        </w:rPr>
        <w:t>, dentro del plazo legal previsto para ello.</w:t>
      </w:r>
    </w:p>
    <w:p w:rsidR="0021708A" w:rsidRDefault="00ED534B" w:rsidP="0021708A">
      <w:pPr>
        <w:spacing w:before="240" w:after="240" w:line="360" w:lineRule="auto"/>
        <w:jc w:val="both"/>
        <w:rPr>
          <w:rFonts w:ascii="Palatino Linotype" w:hAnsi="Palatino Linotype" w:cs="Arial"/>
        </w:rPr>
      </w:pPr>
      <w:r w:rsidRPr="00587361">
        <w:rPr>
          <w:rFonts w:ascii="Palatino Linotype" w:hAnsi="Palatino Linotype" w:cs="Arial"/>
        </w:rPr>
        <w:t xml:space="preserve">Previo a exponer los argumentos que justifiquen la afirmación que antecede, es necesario precisar que, del análisis realizado a la solicitud formulada por el </w:t>
      </w:r>
      <w:r w:rsidRPr="00587361">
        <w:rPr>
          <w:rFonts w:ascii="Palatino Linotype" w:hAnsi="Palatino Linotype" w:cs="Arial"/>
          <w:b/>
        </w:rPr>
        <w:t xml:space="preserve">recurrente, </w:t>
      </w:r>
      <w:r w:rsidRPr="00587361">
        <w:rPr>
          <w:rFonts w:ascii="Palatino Linotype" w:hAnsi="Palatino Linotype" w:cs="Arial"/>
        </w:rPr>
        <w:t xml:space="preserve">se advierte que requirió al </w:t>
      </w:r>
      <w:r w:rsidRPr="00587361">
        <w:rPr>
          <w:rFonts w:ascii="Palatino Linotype" w:hAnsi="Palatino Linotype" w:cs="Arial"/>
          <w:b/>
        </w:rPr>
        <w:t xml:space="preserve">Ayuntamiento de </w:t>
      </w:r>
      <w:r w:rsidR="00C87C7A">
        <w:rPr>
          <w:rFonts w:ascii="Palatino Linotype" w:hAnsi="Palatino Linotype" w:cs="Arial"/>
          <w:b/>
        </w:rPr>
        <w:t xml:space="preserve">Valle de Chalco Solidaridad </w:t>
      </w:r>
      <w:r w:rsidRPr="00587361">
        <w:rPr>
          <w:rFonts w:ascii="Palatino Linotype" w:hAnsi="Palatino Linotype" w:cs="Arial"/>
        </w:rPr>
        <w:t xml:space="preserve">que </w:t>
      </w:r>
      <w:r w:rsidR="0021708A">
        <w:rPr>
          <w:rFonts w:ascii="Palatino Linotype" w:hAnsi="Palatino Linotype" w:cs="Arial"/>
        </w:rPr>
        <w:t>en relación a los Programas “</w:t>
      </w:r>
      <w:r w:rsidR="0021708A" w:rsidRPr="0021708A">
        <w:rPr>
          <w:rFonts w:ascii="Palatino Linotype" w:hAnsi="Palatino Linotype" w:cs="Arial"/>
        </w:rPr>
        <w:t>Vallechalquenses por México</w:t>
      </w:r>
      <w:r w:rsidR="0021708A">
        <w:rPr>
          <w:rFonts w:ascii="Palatino Linotype" w:hAnsi="Palatino Linotype" w:cs="Arial"/>
        </w:rPr>
        <w:t>”</w:t>
      </w:r>
      <w:r w:rsidR="0021708A" w:rsidRPr="0021708A">
        <w:rPr>
          <w:rFonts w:ascii="Palatino Linotype" w:hAnsi="Palatino Linotype" w:cs="Arial"/>
        </w:rPr>
        <w:t xml:space="preserve"> y </w:t>
      </w:r>
      <w:r w:rsidR="0021708A">
        <w:rPr>
          <w:rFonts w:ascii="Palatino Linotype" w:hAnsi="Palatino Linotype" w:cs="Arial"/>
        </w:rPr>
        <w:t>“</w:t>
      </w:r>
      <w:r w:rsidR="0021708A" w:rsidRPr="0021708A">
        <w:rPr>
          <w:rFonts w:ascii="Palatino Linotype" w:hAnsi="Palatino Linotype" w:cs="Arial"/>
        </w:rPr>
        <w:t>Apoyo Alimentario para las Familias Vulnerables de Valle de Chalco Solidaridad</w:t>
      </w:r>
      <w:r w:rsidR="0021708A">
        <w:rPr>
          <w:rFonts w:ascii="Palatino Linotype" w:hAnsi="Palatino Linotype" w:cs="Arial"/>
        </w:rPr>
        <w:t>”</w:t>
      </w:r>
      <w:r w:rsidR="0021708A" w:rsidRPr="0021708A">
        <w:rPr>
          <w:rFonts w:ascii="Palatino Linotype" w:hAnsi="Palatino Linotype" w:cs="Arial"/>
        </w:rPr>
        <w:t xml:space="preserve"> </w:t>
      </w:r>
      <w:r w:rsidRPr="00587361">
        <w:rPr>
          <w:rFonts w:ascii="Palatino Linotype" w:hAnsi="Palatino Linotype" w:cs="Arial"/>
        </w:rPr>
        <w:t>le proporcionara lo siguiente:</w:t>
      </w:r>
    </w:p>
    <w:p w:rsidR="0021708A" w:rsidRPr="0021708A" w:rsidRDefault="0021708A" w:rsidP="0021708A">
      <w:pPr>
        <w:pStyle w:val="Prrafodelista"/>
        <w:numPr>
          <w:ilvl w:val="0"/>
          <w:numId w:val="12"/>
        </w:numPr>
        <w:spacing w:before="240" w:after="240" w:line="360" w:lineRule="auto"/>
        <w:jc w:val="both"/>
        <w:rPr>
          <w:rFonts w:ascii="Palatino Linotype" w:hAnsi="Palatino Linotype" w:cs="Arial"/>
        </w:rPr>
      </w:pPr>
      <w:r w:rsidRPr="0021708A">
        <w:rPr>
          <w:rFonts w:ascii="Palatino Linotype" w:hAnsi="Palatino Linotype"/>
          <w:color w:val="000000"/>
        </w:rPr>
        <w:lastRenderedPageBreak/>
        <w:t xml:space="preserve">Las reglas de operación, requisitos, así como la convocatoria para acceder a </w:t>
      </w:r>
      <w:r>
        <w:rPr>
          <w:rFonts w:ascii="Palatino Linotype" w:hAnsi="Palatino Linotype"/>
          <w:color w:val="000000"/>
        </w:rPr>
        <w:t>dichos p</w:t>
      </w:r>
      <w:r w:rsidRPr="0021708A">
        <w:rPr>
          <w:rFonts w:ascii="Palatino Linotype" w:hAnsi="Palatino Linotype"/>
          <w:color w:val="000000"/>
        </w:rPr>
        <w:t xml:space="preserve">rogramas </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Una vez precisado lo anterior,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ED534B" w:rsidRPr="00587361" w:rsidRDefault="00ED534B" w:rsidP="00ED534B">
      <w:pPr>
        <w:tabs>
          <w:tab w:val="left" w:pos="709"/>
        </w:tabs>
        <w:spacing w:line="360" w:lineRule="auto"/>
        <w:jc w:val="both"/>
        <w:rPr>
          <w:rFonts w:ascii="Palatino Linotype" w:hAnsi="Palatino Linotype"/>
        </w:rPr>
      </w:pPr>
      <w:r w:rsidRPr="00587361">
        <w:rPr>
          <w:rFonts w:ascii="Palatino Linotype" w:hAnsi="Palatino Linotype" w:cs="Arial"/>
        </w:rPr>
        <w:t xml:space="preserve">Primeramente, es </w:t>
      </w:r>
      <w:r w:rsidRPr="00587361">
        <w:rPr>
          <w:rFonts w:ascii="Palatino Linotype" w:hAnsi="Palatino Linotype"/>
        </w:rPr>
        <w:t xml:space="preserve">menester mencionar que </w:t>
      </w:r>
      <w:r w:rsidRPr="00587361">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D534B" w:rsidRPr="00587361" w:rsidRDefault="00ED534B" w:rsidP="00ED534B">
      <w:pPr>
        <w:tabs>
          <w:tab w:val="left" w:pos="709"/>
        </w:tabs>
        <w:ind w:left="851" w:right="850"/>
        <w:jc w:val="both"/>
        <w:rPr>
          <w:rFonts w:ascii="Palatino Linotype" w:hAnsi="Palatino Linotype" w:cs="Arial"/>
        </w:rPr>
      </w:pPr>
    </w:p>
    <w:p w:rsidR="00ED534B" w:rsidRPr="004B01DE" w:rsidRDefault="00ED534B" w:rsidP="00ED534B">
      <w:pPr>
        <w:tabs>
          <w:tab w:val="left" w:pos="709"/>
        </w:tabs>
        <w:ind w:left="851" w:right="850"/>
        <w:jc w:val="both"/>
        <w:rPr>
          <w:rFonts w:ascii="Palatino Linotype" w:hAnsi="Palatino Linotype" w:cs="Arial"/>
          <w:i/>
          <w:sz w:val="22"/>
          <w:szCs w:val="22"/>
        </w:rPr>
      </w:pPr>
      <w:r w:rsidRPr="00587361">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87361">
        <w:rPr>
          <w:rFonts w:ascii="Palatino Linotype" w:hAnsi="Palatino Linotype"/>
          <w:i/>
          <w:sz w:val="22"/>
          <w:szCs w:val="22"/>
        </w:rPr>
        <w:t xml:space="preserve">, así como de las garantías para su protección, cuyo ejercicio no podrá restringirse ni </w:t>
      </w:r>
      <w:r w:rsidRPr="004B01DE">
        <w:rPr>
          <w:rFonts w:ascii="Palatino Linotype" w:hAnsi="Palatino Linotype"/>
          <w:i/>
          <w:sz w:val="22"/>
          <w:szCs w:val="22"/>
        </w:rPr>
        <w:t>suspenderse, salvo en los casos y bajo las condiciones que esta Constitución establece.</w:t>
      </w:r>
    </w:p>
    <w:p w:rsidR="00ED534B" w:rsidRPr="004B01DE" w:rsidRDefault="00ED534B" w:rsidP="00ED534B">
      <w:pPr>
        <w:tabs>
          <w:tab w:val="left" w:pos="709"/>
        </w:tabs>
        <w:ind w:left="851" w:right="850"/>
        <w:jc w:val="both"/>
        <w:rPr>
          <w:rFonts w:ascii="Palatino Linotype" w:hAnsi="Palatino Linotype"/>
          <w:b/>
          <w:i/>
          <w:sz w:val="22"/>
          <w:szCs w:val="22"/>
        </w:rPr>
      </w:pPr>
      <w:r w:rsidRPr="004B01DE">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ED534B" w:rsidRPr="004B01DE" w:rsidRDefault="00ED534B" w:rsidP="00ED534B">
      <w:pPr>
        <w:tabs>
          <w:tab w:val="left" w:pos="709"/>
        </w:tabs>
        <w:ind w:left="851" w:right="850"/>
        <w:jc w:val="both"/>
        <w:rPr>
          <w:rFonts w:ascii="Palatino Linotype" w:hAnsi="Palatino Linotype"/>
          <w:i/>
          <w:sz w:val="22"/>
          <w:szCs w:val="22"/>
        </w:rPr>
      </w:pPr>
      <w:r w:rsidRPr="004B01DE">
        <w:rPr>
          <w:rFonts w:ascii="Palatino Linotype" w:hAnsi="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4B01DE">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ED534B" w:rsidRPr="004B01DE" w:rsidRDefault="00ED534B" w:rsidP="00ED534B">
      <w:pPr>
        <w:tabs>
          <w:tab w:val="left" w:pos="709"/>
        </w:tabs>
        <w:ind w:left="851" w:right="850"/>
        <w:jc w:val="both"/>
        <w:rPr>
          <w:rFonts w:ascii="Palatino Linotype" w:hAnsi="Palatino Linotype" w:cs="Arial"/>
          <w:i/>
          <w:sz w:val="22"/>
          <w:szCs w:val="22"/>
        </w:rPr>
      </w:pPr>
      <w:r w:rsidRPr="004B01DE">
        <w:rPr>
          <w:rFonts w:ascii="Palatino Linotype" w:hAnsi="Palatino Linotype" w:cs="Arial"/>
          <w:i/>
          <w:sz w:val="22"/>
          <w:szCs w:val="22"/>
        </w:rPr>
        <w:t>[…]</w:t>
      </w:r>
    </w:p>
    <w:p w:rsidR="00ED534B" w:rsidRPr="004B01DE" w:rsidRDefault="00ED534B" w:rsidP="00ED534B">
      <w:pPr>
        <w:ind w:left="851" w:right="901"/>
        <w:jc w:val="both"/>
        <w:rPr>
          <w:rFonts w:ascii="Palatino Linotype" w:hAnsi="Palatino Linotype" w:cs="Arial"/>
          <w:i/>
          <w:sz w:val="22"/>
          <w:szCs w:val="22"/>
        </w:rPr>
      </w:pPr>
      <w:r w:rsidRPr="004B01DE">
        <w:rPr>
          <w:rFonts w:ascii="Palatino Linotype" w:hAnsi="Palatino Linotype" w:cs="Arial"/>
          <w:b/>
          <w:i/>
          <w:sz w:val="22"/>
          <w:szCs w:val="22"/>
        </w:rPr>
        <w:t>“Artículo 6o.</w:t>
      </w:r>
    </w:p>
    <w:p w:rsidR="00ED534B" w:rsidRPr="004B01DE" w:rsidRDefault="00ED534B" w:rsidP="00ED534B">
      <w:pPr>
        <w:ind w:left="851" w:right="901"/>
        <w:jc w:val="both"/>
        <w:rPr>
          <w:rFonts w:ascii="Palatino Linotype" w:hAnsi="Palatino Linotype" w:cs="Arial"/>
          <w:i/>
          <w:sz w:val="22"/>
          <w:szCs w:val="22"/>
        </w:rPr>
      </w:pPr>
      <w:r w:rsidRPr="004B01DE">
        <w:rPr>
          <w:rFonts w:ascii="Palatino Linotype" w:hAnsi="Palatino Linotype" w:cs="Arial"/>
          <w:i/>
          <w:sz w:val="22"/>
          <w:szCs w:val="22"/>
        </w:rPr>
        <w:t>[...]</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b/>
          <w:bCs/>
          <w:i/>
          <w:sz w:val="22"/>
          <w:szCs w:val="22"/>
          <w:lang w:val="es-ES_tradnl" w:eastAsia="es-MX"/>
        </w:rPr>
        <w:t>A. </w:t>
      </w:r>
      <w:r w:rsidRPr="004B01DE">
        <w:rPr>
          <w:rFonts w:ascii="Palatino Linotype" w:hAnsi="Palatino Linotype"/>
          <w:b/>
          <w:i/>
          <w:sz w:val="22"/>
          <w:szCs w:val="22"/>
        </w:rPr>
        <w:t xml:space="preserve">Para el ejercicio del derecho de acceso a la información, la Federación y </w:t>
      </w:r>
      <w:r w:rsidRPr="004B01DE">
        <w:rPr>
          <w:rFonts w:ascii="Palatino Linotype" w:hAnsi="Palatino Linotype"/>
          <w:b/>
          <w:i/>
          <w:sz w:val="22"/>
          <w:szCs w:val="22"/>
          <w:u w:val="single"/>
        </w:rPr>
        <w:t>las entidades federativas</w:t>
      </w:r>
      <w:r w:rsidRPr="004B01DE">
        <w:rPr>
          <w:rFonts w:ascii="Palatino Linotype" w:hAnsi="Palatino Linotype"/>
          <w:b/>
          <w:i/>
          <w:sz w:val="22"/>
          <w:szCs w:val="22"/>
        </w:rPr>
        <w:t>,</w:t>
      </w:r>
      <w:r w:rsidRPr="004B01DE">
        <w:rPr>
          <w:rFonts w:ascii="Palatino Linotype" w:hAnsi="Palatino Linotype"/>
          <w:i/>
          <w:sz w:val="22"/>
          <w:szCs w:val="22"/>
        </w:rPr>
        <w:t xml:space="preserve"> en el ámbito de sus respectivas competencias, se regirán por los siguientes principios y bases:</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i/>
          <w:sz w:val="22"/>
          <w:szCs w:val="22"/>
          <w:lang w:eastAsia="es-MX"/>
        </w:rPr>
        <w:t> </w:t>
      </w:r>
    </w:p>
    <w:p w:rsidR="00ED534B" w:rsidRPr="004B01DE" w:rsidRDefault="00ED534B" w:rsidP="00ED534B">
      <w:pPr>
        <w:ind w:left="851" w:right="851"/>
        <w:jc w:val="both"/>
        <w:rPr>
          <w:rFonts w:ascii="Palatino Linotype" w:hAnsi="Palatino Linotype" w:cs="Courier New"/>
          <w:i/>
          <w:sz w:val="22"/>
          <w:szCs w:val="22"/>
          <w:lang w:eastAsia="es-MX"/>
        </w:rPr>
      </w:pPr>
      <w:r w:rsidRPr="004B01DE">
        <w:rPr>
          <w:rFonts w:ascii="Palatino Linotype" w:hAnsi="Palatino Linotype" w:cs="Arial"/>
          <w:b/>
          <w:bCs/>
          <w:i/>
          <w:sz w:val="22"/>
          <w:szCs w:val="22"/>
          <w:lang w:eastAsia="es-MX"/>
        </w:rPr>
        <w:t xml:space="preserve">I. </w:t>
      </w:r>
      <w:r w:rsidRPr="004B01DE">
        <w:rPr>
          <w:rFonts w:ascii="Palatino Linotype" w:hAnsi="Palatino Linotype" w:cs="Arial"/>
          <w:b/>
          <w:i/>
          <w:sz w:val="22"/>
          <w:szCs w:val="22"/>
          <w:u w:val="single"/>
          <w:lang w:eastAsia="es-MX"/>
        </w:rPr>
        <w:t>Toda la información en posesión de cualquier autoridad, entidad, órgano y organismo de los Poderes</w:t>
      </w:r>
      <w:r w:rsidRPr="004B01DE">
        <w:rPr>
          <w:rFonts w:ascii="Palatino Linotype" w:hAnsi="Palatino Linotype" w:cs="Arial"/>
          <w:i/>
          <w:sz w:val="22"/>
          <w:szCs w:val="22"/>
          <w:lang w:eastAsia="es-MX"/>
        </w:rPr>
        <w:t xml:space="preserve"> Ejecutivo, Legislativo </w:t>
      </w:r>
      <w:r w:rsidRPr="004B01DE">
        <w:rPr>
          <w:rFonts w:ascii="Palatino Linotype" w:hAnsi="Palatino Linotype" w:cs="Arial"/>
          <w:b/>
          <w:i/>
          <w:sz w:val="22"/>
          <w:szCs w:val="22"/>
          <w:u w:val="single"/>
          <w:lang w:eastAsia="es-MX"/>
        </w:rPr>
        <w:t>y Judicial</w:t>
      </w:r>
      <w:r w:rsidRPr="004B01DE">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B01DE">
        <w:rPr>
          <w:rFonts w:ascii="Palatino Linotype" w:hAnsi="Palatino Linotype" w:cs="Arial"/>
          <w:b/>
          <w:i/>
          <w:sz w:val="22"/>
          <w:szCs w:val="22"/>
          <w:lang w:eastAsia="es-MX"/>
        </w:rPr>
        <w:t>es pública y sólo podrá ser reservada temporalmente por razones de interés público y seguridad nacional,</w:t>
      </w:r>
      <w:r w:rsidRPr="004B01DE">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i/>
          <w:sz w:val="22"/>
          <w:szCs w:val="22"/>
          <w:lang w:eastAsia="es-MX"/>
        </w:rPr>
        <w:t> </w:t>
      </w:r>
    </w:p>
    <w:p w:rsidR="00ED534B" w:rsidRPr="004B01DE" w:rsidRDefault="00ED534B" w:rsidP="00ED534B">
      <w:pPr>
        <w:ind w:left="851" w:right="851"/>
        <w:jc w:val="both"/>
        <w:rPr>
          <w:rFonts w:ascii="Palatino Linotype" w:hAnsi="Palatino Linotype" w:cs="Arial"/>
          <w:b/>
          <w:i/>
          <w:sz w:val="22"/>
          <w:szCs w:val="22"/>
          <w:lang w:eastAsia="es-MX"/>
        </w:rPr>
      </w:pPr>
      <w:r w:rsidRPr="004B01DE">
        <w:rPr>
          <w:rFonts w:ascii="Palatino Linotype" w:hAnsi="Palatino Linotype" w:cs="Arial"/>
          <w:b/>
          <w:bCs/>
          <w:i/>
          <w:sz w:val="22"/>
          <w:szCs w:val="22"/>
          <w:lang w:eastAsia="es-MX"/>
        </w:rPr>
        <w:t xml:space="preserve">II. </w:t>
      </w:r>
      <w:r w:rsidRPr="004B01DE">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i/>
          <w:sz w:val="22"/>
          <w:szCs w:val="22"/>
          <w:lang w:eastAsia="es-MX"/>
        </w:rPr>
        <w:t> </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b/>
          <w:bCs/>
          <w:i/>
          <w:sz w:val="22"/>
          <w:szCs w:val="22"/>
          <w:lang w:eastAsia="es-MX"/>
        </w:rPr>
        <w:t xml:space="preserve">III. </w:t>
      </w:r>
      <w:r w:rsidRPr="004B01DE">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4B01DE">
        <w:rPr>
          <w:rFonts w:ascii="Palatino Linotype" w:hAnsi="Palatino Linotype" w:cs="Arial"/>
          <w:i/>
          <w:sz w:val="22"/>
          <w:szCs w:val="22"/>
          <w:lang w:eastAsia="es-MX"/>
        </w:rPr>
        <w:t xml:space="preserve"> a sus datos personales o a la rectificación de éstos.</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i/>
          <w:sz w:val="22"/>
          <w:szCs w:val="22"/>
          <w:lang w:eastAsia="es-MX"/>
        </w:rPr>
        <w:t> </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b/>
          <w:bCs/>
          <w:i/>
          <w:sz w:val="22"/>
          <w:szCs w:val="22"/>
          <w:lang w:eastAsia="es-MX"/>
        </w:rPr>
        <w:t xml:space="preserve">IV. </w:t>
      </w:r>
      <w:r w:rsidRPr="004B01DE">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ED534B" w:rsidRPr="004B01DE" w:rsidRDefault="00ED534B" w:rsidP="00ED534B">
      <w:pPr>
        <w:ind w:left="851" w:right="851"/>
        <w:jc w:val="both"/>
        <w:rPr>
          <w:rFonts w:ascii="Palatino Linotype" w:hAnsi="Palatino Linotype" w:cs="Courier New"/>
          <w:i/>
          <w:sz w:val="22"/>
          <w:szCs w:val="22"/>
          <w:lang w:eastAsia="es-MX"/>
        </w:rPr>
      </w:pP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b/>
          <w:bCs/>
          <w:i/>
          <w:sz w:val="22"/>
          <w:szCs w:val="22"/>
          <w:lang w:eastAsia="es-MX"/>
        </w:rPr>
        <w:t xml:space="preserve">V. </w:t>
      </w:r>
      <w:r w:rsidRPr="004B01DE">
        <w:rPr>
          <w:rFonts w:ascii="Palatino Linotype" w:hAnsi="Palatino Linotype" w:cs="Arial"/>
          <w:i/>
          <w:sz w:val="22"/>
          <w:szCs w:val="22"/>
          <w:lang w:eastAsia="es-MX"/>
        </w:rPr>
        <w:t>Los sujetos obligados deberán preservar sus documentos en archivos administrativos actualizad</w:t>
      </w:r>
      <w:bookmarkStart w:id="0" w:name="_GoBack"/>
      <w:bookmarkEnd w:id="0"/>
      <w:r w:rsidRPr="004B01DE">
        <w:rPr>
          <w:rFonts w:ascii="Palatino Linotype" w:hAnsi="Palatino Linotype" w:cs="Arial"/>
          <w:i/>
          <w:sz w:val="22"/>
          <w:szCs w:val="22"/>
          <w:lang w:eastAsia="es-MX"/>
        </w:rPr>
        <w:t xml:space="preserve">os y publicarán, a través de los medios electrónicos disponibles, la información completa y actualizada sobre el ejercicio de los recursos </w:t>
      </w:r>
      <w:r w:rsidRPr="004B01DE">
        <w:rPr>
          <w:rFonts w:ascii="Palatino Linotype" w:hAnsi="Palatino Linotype" w:cs="Arial"/>
          <w:i/>
          <w:sz w:val="22"/>
          <w:szCs w:val="22"/>
          <w:lang w:eastAsia="es-MX"/>
        </w:rPr>
        <w:lastRenderedPageBreak/>
        <w:t>públicos y los indicadores que permitan rendir cuenta del cumplimiento de sus objetivos y de los resultados obtenidos.</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i/>
          <w:sz w:val="22"/>
          <w:szCs w:val="22"/>
          <w:lang w:eastAsia="es-MX"/>
        </w:rPr>
        <w:t> </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b/>
          <w:bCs/>
          <w:i/>
          <w:sz w:val="22"/>
          <w:szCs w:val="22"/>
          <w:lang w:eastAsia="es-MX"/>
        </w:rPr>
        <w:t xml:space="preserve">VI. </w:t>
      </w:r>
      <w:r w:rsidRPr="004B01DE">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ED534B" w:rsidRPr="004B01DE" w:rsidRDefault="00ED534B" w:rsidP="00ED534B">
      <w:pPr>
        <w:ind w:left="851" w:right="851"/>
        <w:jc w:val="both"/>
        <w:rPr>
          <w:rFonts w:ascii="Palatino Linotype" w:hAnsi="Palatino Linotype" w:cs="Arial"/>
          <w:i/>
          <w:sz w:val="22"/>
          <w:szCs w:val="22"/>
          <w:lang w:eastAsia="es-MX"/>
        </w:rPr>
      </w:pPr>
      <w:r w:rsidRPr="004B01DE">
        <w:rPr>
          <w:rFonts w:ascii="Palatino Linotype" w:hAnsi="Palatino Linotype" w:cs="Arial"/>
          <w:i/>
          <w:sz w:val="22"/>
          <w:szCs w:val="22"/>
          <w:lang w:eastAsia="es-MX"/>
        </w:rPr>
        <w:t> </w:t>
      </w:r>
    </w:p>
    <w:p w:rsidR="00ED534B" w:rsidRPr="004B01DE" w:rsidRDefault="00ED534B" w:rsidP="00ED534B">
      <w:pPr>
        <w:ind w:left="851" w:right="851"/>
        <w:jc w:val="both"/>
        <w:rPr>
          <w:rFonts w:ascii="Palatino Linotype" w:hAnsi="Palatino Linotype"/>
          <w:i/>
          <w:sz w:val="22"/>
          <w:szCs w:val="22"/>
        </w:rPr>
      </w:pPr>
      <w:r w:rsidRPr="004B01DE">
        <w:rPr>
          <w:rFonts w:ascii="Palatino Linotype" w:hAnsi="Palatino Linotype" w:cs="Arial"/>
          <w:b/>
          <w:bCs/>
          <w:i/>
          <w:sz w:val="22"/>
          <w:szCs w:val="22"/>
          <w:lang w:eastAsia="es-MX"/>
        </w:rPr>
        <w:t xml:space="preserve">VII. </w:t>
      </w:r>
      <w:r w:rsidRPr="004B01DE">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4B01DE">
        <w:rPr>
          <w:rFonts w:ascii="Palatino Linotype" w:hAnsi="Palatino Linotype"/>
          <w:i/>
          <w:sz w:val="22"/>
          <w:szCs w:val="22"/>
        </w:rPr>
        <w:t xml:space="preserve"> [...]</w:t>
      </w:r>
    </w:p>
    <w:p w:rsidR="00ED534B" w:rsidRPr="004B01DE" w:rsidRDefault="00ED534B" w:rsidP="00ED534B">
      <w:pPr>
        <w:ind w:left="851" w:right="851"/>
        <w:jc w:val="both"/>
        <w:rPr>
          <w:rFonts w:ascii="Palatino Linotype" w:hAnsi="Palatino Linotype" w:cs="Arial"/>
          <w:i/>
          <w:sz w:val="22"/>
          <w:szCs w:val="22"/>
          <w:lang w:eastAsia="es-MX"/>
        </w:rPr>
      </w:pPr>
    </w:p>
    <w:p w:rsidR="0021708A" w:rsidRPr="004B01DE" w:rsidRDefault="00ED534B" w:rsidP="00B26509">
      <w:pPr>
        <w:tabs>
          <w:tab w:val="left" w:pos="709"/>
        </w:tabs>
        <w:spacing w:before="240" w:after="240" w:line="360" w:lineRule="auto"/>
        <w:jc w:val="both"/>
        <w:rPr>
          <w:rFonts w:ascii="Palatino Linotype" w:hAnsi="Palatino Linotype" w:cs="Arial"/>
        </w:rPr>
      </w:pPr>
      <w:r w:rsidRPr="004B01DE">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640C7D" w:rsidRPr="004B01DE" w:rsidRDefault="001F757C" w:rsidP="00B26509">
      <w:pPr>
        <w:tabs>
          <w:tab w:val="left" w:pos="709"/>
        </w:tabs>
        <w:spacing w:before="240" w:after="240" w:line="360" w:lineRule="auto"/>
        <w:jc w:val="both"/>
        <w:rPr>
          <w:rFonts w:ascii="Palatino Linotype" w:hAnsi="Palatino Linotype" w:cs="Arial"/>
        </w:rPr>
      </w:pPr>
      <w:r w:rsidRPr="004B01DE">
        <w:rPr>
          <w:rFonts w:ascii="Palatino Linotype" w:hAnsi="Palatino Linotype" w:cs="Arial"/>
        </w:rPr>
        <w:t xml:space="preserve">De manera previa, se considera pertinente referir que el hoy recurrente requiere que se le entregue información relacionada con dos programas sociales, y atendiendo a que el Sujeto Obligado omitió proporcionar información, para mejor proveer, </w:t>
      </w:r>
      <w:r w:rsidR="00DD6A26" w:rsidRPr="004B01DE">
        <w:rPr>
          <w:rFonts w:ascii="Palatino Linotype" w:hAnsi="Palatino Linotype" w:cs="Arial"/>
        </w:rPr>
        <w:t xml:space="preserve">se considera pertinente mencionar que </w:t>
      </w:r>
      <w:r w:rsidR="00DD6A26" w:rsidRPr="004B01DE">
        <w:rPr>
          <w:rFonts w:ascii="Palatino Linotype" w:hAnsi="Palatino Linotype"/>
          <w:bCs/>
        </w:rPr>
        <w:t xml:space="preserve">los programas sociales </w:t>
      </w:r>
      <w:r w:rsidR="00640C7D" w:rsidRPr="004B01DE">
        <w:rPr>
          <w:rFonts w:ascii="Palatino Linotype" w:hAnsi="Palatino Linotype" w:cs="Arial"/>
        </w:rPr>
        <w:t xml:space="preserve">son de interés público de acuerdo a la naturaleza que persiguen, ya que buscan la creación de un entorno en que las personas pueden desplegar su pleno potencial, teniendo una vida productiva y creativa, </w:t>
      </w:r>
      <w:r w:rsidR="00640C7D" w:rsidRPr="004B01DE">
        <w:rPr>
          <w:rFonts w:ascii="Palatino Linotype" w:hAnsi="Palatino Linotype"/>
        </w:rPr>
        <w:t>preocupándose por construir capacidades y ofrecer posibilidades de crecimiento, a los sectores más vulnerables de la población.</w:t>
      </w:r>
    </w:p>
    <w:p w:rsidR="00640C7D" w:rsidRPr="00893A58" w:rsidRDefault="00640C7D" w:rsidP="00B26509">
      <w:pPr>
        <w:tabs>
          <w:tab w:val="left" w:pos="709"/>
        </w:tabs>
        <w:spacing w:before="240" w:after="240" w:line="360" w:lineRule="auto"/>
        <w:jc w:val="both"/>
        <w:rPr>
          <w:rFonts w:ascii="Palatino Linotype" w:hAnsi="Palatino Linotype"/>
        </w:rPr>
      </w:pPr>
      <w:r w:rsidRPr="00893A58">
        <w:rPr>
          <w:rFonts w:ascii="Palatino Linotype" w:hAnsi="Palatino Linotype"/>
        </w:rPr>
        <w:t xml:space="preserve">Asimismo, al tratarse de herramientas establecidas por los estados en cumplimiento a la protección de los derechos sociales de toda persona, resulta de interés conocer </w:t>
      </w:r>
      <w:r w:rsidRPr="00893A58">
        <w:rPr>
          <w:rFonts w:ascii="Palatino Linotype" w:hAnsi="Palatino Linotype"/>
        </w:rPr>
        <w:lastRenderedPageBreak/>
        <w:t>la protección que el sujeto obligado brinda a su comunidad, tomando en cuenta que los derechos sociales son protegidos en nuestra Constitución General, así como en los tratados Internacionales en los que el Estado Mexicano es parte, siendo la transparencia y el acceso a la información pública una de las garantías constitucionales, para acceder a la forma en que se ejercitan los recursos públicos destinados al desarrollo social y verifique el debido cumplimiento y del destino de éstos, así como el beneficio obtenido por los grupos vulnerables.</w:t>
      </w:r>
    </w:p>
    <w:p w:rsidR="00B26509" w:rsidRPr="00B26509" w:rsidRDefault="00640C7D" w:rsidP="00B26509">
      <w:pPr>
        <w:tabs>
          <w:tab w:val="left" w:pos="709"/>
        </w:tabs>
        <w:spacing w:before="240" w:after="240" w:line="360" w:lineRule="auto"/>
        <w:jc w:val="both"/>
        <w:rPr>
          <w:rFonts w:ascii="Palatino Linotype" w:hAnsi="Palatino Linotype"/>
        </w:rPr>
      </w:pPr>
      <w:r w:rsidRPr="00893A58">
        <w:rPr>
          <w:rFonts w:ascii="Palatino Linotype" w:hAnsi="Palatino Linotype"/>
        </w:rPr>
        <w:t>En esta tesitura debe precisarse que la Ley de Desarrollo Social del Estado de México, establece las disposiciones en materia de desarrollo social, sirviendo de sustento los siguientes numerales:</w:t>
      </w:r>
    </w:p>
    <w:p w:rsidR="00640C7D" w:rsidRPr="00893A58" w:rsidRDefault="00640C7D" w:rsidP="00640C7D">
      <w:pPr>
        <w:tabs>
          <w:tab w:val="left" w:pos="709"/>
        </w:tabs>
        <w:ind w:left="851" w:right="851"/>
        <w:jc w:val="both"/>
        <w:rPr>
          <w:rFonts w:ascii="Palatino Linotype" w:hAnsi="Palatino Linotype" w:cs="Arial"/>
          <w:b/>
          <w:i/>
          <w:sz w:val="22"/>
          <w:szCs w:val="22"/>
        </w:rPr>
      </w:pPr>
      <w:r w:rsidRPr="00640C7D">
        <w:rPr>
          <w:rFonts w:ascii="Palatino Linotype" w:hAnsi="Palatino Linotype"/>
          <w:b/>
          <w:bCs/>
          <w:i/>
          <w:sz w:val="22"/>
          <w:szCs w:val="22"/>
        </w:rPr>
        <w:t>Artículo 1.-</w:t>
      </w:r>
      <w:r w:rsidRPr="00893A58">
        <w:rPr>
          <w:rFonts w:ascii="Palatino Linotype" w:hAnsi="Palatino Linotype"/>
          <w:i/>
          <w:sz w:val="22"/>
          <w:szCs w:val="22"/>
        </w:rPr>
        <w:t xml:space="preserve"> Las disposiciones de la presente ley son de orden público, interés social y </w:t>
      </w:r>
      <w:r w:rsidRPr="00893A58">
        <w:rPr>
          <w:rFonts w:ascii="Palatino Linotype" w:hAnsi="Palatino Linotype"/>
          <w:b/>
          <w:i/>
          <w:sz w:val="22"/>
          <w:szCs w:val="22"/>
        </w:rPr>
        <w:t>de observancia obligatoria en el Estado de México.</w:t>
      </w:r>
    </w:p>
    <w:p w:rsidR="004D1192" w:rsidRDefault="004D1192" w:rsidP="00640C7D">
      <w:pPr>
        <w:tabs>
          <w:tab w:val="left" w:pos="709"/>
        </w:tabs>
        <w:ind w:left="851" w:right="851"/>
        <w:jc w:val="both"/>
        <w:rPr>
          <w:rFonts w:ascii="Palatino Linotype" w:hAnsi="Palatino Linotype"/>
          <w:b/>
          <w:bCs/>
          <w:i/>
          <w:sz w:val="22"/>
          <w:szCs w:val="22"/>
        </w:rPr>
      </w:pP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Artículo 3.-</w:t>
      </w:r>
      <w:r w:rsidRPr="00893A58">
        <w:rPr>
          <w:rFonts w:ascii="Palatino Linotype" w:hAnsi="Palatino Linotype"/>
          <w:i/>
          <w:sz w:val="22"/>
          <w:szCs w:val="22"/>
        </w:rPr>
        <w:t xml:space="preserve"> Para los efectos de la presente ley se entenderá por:</w:t>
      </w:r>
    </w:p>
    <w:p w:rsidR="00640C7D" w:rsidRDefault="00640C7D" w:rsidP="00640C7D">
      <w:pPr>
        <w:tabs>
          <w:tab w:val="left" w:pos="709"/>
        </w:tabs>
        <w:ind w:left="851" w:right="851"/>
        <w:jc w:val="both"/>
        <w:rPr>
          <w:rFonts w:ascii="Palatino Linotype" w:hAnsi="Palatino Linotype"/>
          <w:i/>
          <w:sz w:val="22"/>
          <w:szCs w:val="22"/>
        </w:rPr>
      </w:pPr>
      <w:r w:rsidRPr="00640C7D">
        <w:rPr>
          <w:rFonts w:ascii="Palatino Linotype" w:hAnsi="Palatino Linotype"/>
          <w:b/>
          <w:bCs/>
          <w:i/>
          <w:sz w:val="22"/>
          <w:szCs w:val="22"/>
        </w:rPr>
        <w:t>I.</w:t>
      </w:r>
      <w:r w:rsidRPr="00893A58">
        <w:rPr>
          <w:rFonts w:ascii="Palatino Linotype" w:hAnsi="Palatino Linotype"/>
          <w:b/>
          <w:i/>
          <w:sz w:val="22"/>
          <w:szCs w:val="22"/>
        </w:rPr>
        <w:t xml:space="preserve"> Desarrollo social: </w:t>
      </w:r>
      <w:r w:rsidRPr="00893A58">
        <w:rPr>
          <w:rFonts w:ascii="Palatino Linotype" w:hAnsi="Palatino Linotype"/>
          <w:i/>
          <w:sz w:val="22"/>
          <w:szCs w:val="22"/>
        </w:rPr>
        <w:t>Proceso de mecanismos y políticas públicas permanente que genera las condiciones para la integración plena de individuos, grupos y sectores de la sociedad, comunidades y regiones al mejoramiento integral y sustentable de sus capacidades productivas y su calidad de vida que garantice el disfrute de los derechos constitucionales, a fin de erradicar la desigualdad social;</w:t>
      </w:r>
    </w:p>
    <w:p w:rsidR="00640C7D" w:rsidRPr="00893A58" w:rsidRDefault="00640C7D" w:rsidP="00640C7D">
      <w:pPr>
        <w:tabs>
          <w:tab w:val="left" w:pos="709"/>
        </w:tabs>
        <w:ind w:left="851" w:right="851"/>
        <w:jc w:val="both"/>
        <w:rPr>
          <w:rFonts w:ascii="Palatino Linotype" w:hAnsi="Palatino Linotype" w:cs="Arial"/>
          <w:i/>
          <w:sz w:val="22"/>
          <w:szCs w:val="22"/>
        </w:rPr>
      </w:pPr>
      <w:r>
        <w:rPr>
          <w:rFonts w:ascii="Palatino Linotype" w:hAnsi="Palatino Linotype" w:cs="Arial"/>
          <w:i/>
          <w:sz w:val="22"/>
          <w:szCs w:val="22"/>
        </w:rPr>
        <w:t>…</w:t>
      </w:r>
    </w:p>
    <w:p w:rsidR="00640C7D" w:rsidRDefault="00640C7D" w:rsidP="00640C7D">
      <w:pPr>
        <w:tabs>
          <w:tab w:val="left" w:pos="709"/>
        </w:tabs>
        <w:ind w:left="851" w:right="851"/>
        <w:jc w:val="both"/>
        <w:rPr>
          <w:rFonts w:ascii="Palatino Linotype" w:hAnsi="Palatino Linotype"/>
          <w:i/>
          <w:sz w:val="22"/>
          <w:szCs w:val="22"/>
        </w:rPr>
      </w:pPr>
      <w:r w:rsidRPr="00893A58">
        <w:rPr>
          <w:rFonts w:ascii="Palatino Linotype" w:hAnsi="Palatino Linotype"/>
          <w:b/>
          <w:i/>
          <w:sz w:val="22"/>
          <w:szCs w:val="22"/>
        </w:rPr>
        <w:t>III. Programa de desarrollo social:</w:t>
      </w:r>
      <w:r w:rsidRPr="00893A58">
        <w:rPr>
          <w:rFonts w:ascii="Palatino Linotype" w:hAnsi="Palatino Linotype"/>
          <w:i/>
          <w:sz w:val="22"/>
          <w:szCs w:val="22"/>
        </w:rPr>
        <w:t xml:space="preserve"> Acción gubernamental dirigida a modificar la condición de desigualdad social mediante la entrega de un bien o una transferencia de recursos, la cual se norma a partir de sus respectivas reglas de operación;</w:t>
      </w:r>
    </w:p>
    <w:p w:rsidR="00640C7D" w:rsidRPr="00893A58" w:rsidRDefault="00640C7D" w:rsidP="00640C7D">
      <w:pPr>
        <w:tabs>
          <w:tab w:val="left" w:pos="709"/>
        </w:tabs>
        <w:ind w:left="851" w:right="851"/>
        <w:jc w:val="both"/>
        <w:rPr>
          <w:rFonts w:ascii="Palatino Linotype" w:hAnsi="Palatino Linotype"/>
          <w:i/>
          <w:sz w:val="22"/>
          <w:szCs w:val="22"/>
        </w:rPr>
      </w:pPr>
      <w:r>
        <w:rPr>
          <w:rFonts w:ascii="Palatino Linotype" w:hAnsi="Palatino Linotype"/>
          <w:i/>
          <w:sz w:val="22"/>
          <w:szCs w:val="22"/>
        </w:rPr>
        <w:t>…</w:t>
      </w:r>
    </w:p>
    <w:p w:rsidR="00640C7D" w:rsidRDefault="00640C7D" w:rsidP="00640C7D">
      <w:pPr>
        <w:tabs>
          <w:tab w:val="left" w:pos="709"/>
        </w:tabs>
        <w:ind w:left="851" w:right="851"/>
        <w:jc w:val="both"/>
        <w:rPr>
          <w:rFonts w:ascii="Palatino Linotype" w:hAnsi="Palatino Linotype"/>
          <w:b/>
          <w:i/>
          <w:sz w:val="22"/>
          <w:szCs w:val="22"/>
          <w:u w:val="single"/>
        </w:rPr>
      </w:pPr>
      <w:r w:rsidRPr="00893A58">
        <w:rPr>
          <w:rFonts w:ascii="Palatino Linotype" w:hAnsi="Palatino Linotype"/>
          <w:b/>
          <w:i/>
          <w:sz w:val="22"/>
          <w:szCs w:val="22"/>
          <w:u w:val="single"/>
        </w:rPr>
        <w:t>IX. Beneficiarios: Aquellas personas que forman parte de la población atendida por los programas de desarrollo social;</w:t>
      </w:r>
    </w:p>
    <w:p w:rsidR="00640C7D" w:rsidRPr="00893A58" w:rsidRDefault="00640C7D" w:rsidP="00640C7D">
      <w:pPr>
        <w:tabs>
          <w:tab w:val="left" w:pos="709"/>
        </w:tabs>
        <w:ind w:left="851" w:right="851"/>
        <w:jc w:val="both"/>
        <w:rPr>
          <w:rFonts w:ascii="Palatino Linotype" w:hAnsi="Palatino Linotype"/>
          <w:b/>
          <w:i/>
          <w:sz w:val="22"/>
          <w:szCs w:val="22"/>
          <w:u w:val="single"/>
        </w:rPr>
      </w:pPr>
      <w:r>
        <w:rPr>
          <w:rFonts w:ascii="Palatino Linotype" w:hAnsi="Palatino Linotype"/>
          <w:b/>
          <w:i/>
          <w:sz w:val="22"/>
          <w:szCs w:val="22"/>
          <w:u w:val="single"/>
        </w:rPr>
        <w:t>…</w:t>
      </w:r>
    </w:p>
    <w:p w:rsidR="004D1192" w:rsidRDefault="004D1192" w:rsidP="00640C7D">
      <w:pPr>
        <w:tabs>
          <w:tab w:val="left" w:pos="709"/>
        </w:tabs>
        <w:ind w:left="851" w:right="851"/>
        <w:jc w:val="both"/>
        <w:rPr>
          <w:rFonts w:ascii="Palatino Linotype" w:hAnsi="Palatino Linotype"/>
          <w:b/>
          <w:i/>
          <w:sz w:val="22"/>
          <w:szCs w:val="22"/>
          <w:u w:val="single"/>
        </w:rPr>
      </w:pP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XI. Reglas de operación:</w:t>
      </w:r>
      <w:r w:rsidRPr="004D1192">
        <w:rPr>
          <w:rFonts w:ascii="Palatino Linotype" w:hAnsi="Palatino Linotype" w:cs="Arial"/>
          <w:i/>
          <w:sz w:val="22"/>
          <w:szCs w:val="22"/>
        </w:rPr>
        <w:t xml:space="preserve"> </w:t>
      </w:r>
      <w:r w:rsidRPr="009226A7">
        <w:rPr>
          <w:rFonts w:ascii="Palatino Linotype" w:hAnsi="Palatino Linotype" w:cs="Arial"/>
          <w:b/>
          <w:bCs/>
          <w:i/>
          <w:sz w:val="22"/>
          <w:szCs w:val="22"/>
          <w:u w:val="single"/>
        </w:rPr>
        <w:t>Documento normativo que establece aspectos técnicos y operativos de los programas de desarrollo social</w:t>
      </w:r>
      <w:r w:rsidRPr="004D1192">
        <w:rPr>
          <w:rFonts w:ascii="Palatino Linotype" w:hAnsi="Palatino Linotype" w:cs="Arial"/>
          <w:i/>
          <w:sz w:val="22"/>
          <w:szCs w:val="22"/>
        </w:rPr>
        <w:t>, y deben contener al menos:</w:t>
      </w:r>
    </w:p>
    <w:p w:rsidR="009226A7" w:rsidRDefault="009226A7" w:rsidP="00640C7D">
      <w:pPr>
        <w:tabs>
          <w:tab w:val="left" w:pos="709"/>
        </w:tabs>
        <w:ind w:left="851" w:right="851"/>
        <w:jc w:val="both"/>
        <w:rPr>
          <w:rFonts w:ascii="Palatino Linotype" w:hAnsi="Palatino Linotype" w:cs="Arial"/>
          <w:b/>
          <w:bCs/>
          <w:i/>
          <w:sz w:val="22"/>
          <w:szCs w:val="22"/>
        </w:rPr>
      </w:pP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a)</w:t>
      </w:r>
      <w:r w:rsidRPr="004D1192">
        <w:rPr>
          <w:rFonts w:ascii="Palatino Linotype" w:hAnsi="Palatino Linotype" w:cs="Arial"/>
          <w:i/>
          <w:sz w:val="22"/>
          <w:szCs w:val="22"/>
        </w:rPr>
        <w:t xml:space="preserve"> Identificación del derecho social o carencia que atiende el programa;</w:t>
      </w: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b)</w:t>
      </w:r>
      <w:r w:rsidRPr="004D1192">
        <w:rPr>
          <w:rFonts w:ascii="Palatino Linotype" w:hAnsi="Palatino Linotype" w:cs="Arial"/>
          <w:i/>
          <w:sz w:val="22"/>
          <w:szCs w:val="22"/>
        </w:rPr>
        <w:t xml:space="preserve"> Definición del universo de atención;</w:t>
      </w: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c)</w:t>
      </w:r>
      <w:r w:rsidRPr="004D1192">
        <w:rPr>
          <w:rFonts w:ascii="Palatino Linotype" w:hAnsi="Palatino Linotype" w:cs="Arial"/>
          <w:i/>
          <w:sz w:val="22"/>
          <w:szCs w:val="22"/>
        </w:rPr>
        <w:t xml:space="preserve"> Identificación de la población objetivo;</w:t>
      </w: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d)</w:t>
      </w:r>
      <w:r w:rsidRPr="004D1192">
        <w:rPr>
          <w:rFonts w:ascii="Palatino Linotype" w:hAnsi="Palatino Linotype" w:cs="Arial"/>
          <w:i/>
          <w:sz w:val="22"/>
          <w:szCs w:val="22"/>
        </w:rPr>
        <w:t xml:space="preserve"> Definición del tipo de apoyo a otorgar;</w:t>
      </w: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e)</w:t>
      </w:r>
      <w:r w:rsidRPr="004D1192">
        <w:rPr>
          <w:rFonts w:ascii="Palatino Linotype" w:hAnsi="Palatino Linotype" w:cs="Arial"/>
          <w:i/>
          <w:sz w:val="22"/>
          <w:szCs w:val="22"/>
        </w:rPr>
        <w:t xml:space="preserve"> Definición del mecanismo de enrolamiento;</w:t>
      </w: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f)</w:t>
      </w:r>
      <w:r w:rsidRPr="004D1192">
        <w:rPr>
          <w:rFonts w:ascii="Palatino Linotype" w:hAnsi="Palatino Linotype" w:cs="Arial"/>
          <w:i/>
          <w:sz w:val="22"/>
          <w:szCs w:val="22"/>
        </w:rPr>
        <w:t xml:space="preserve"> Establecimiento de la contraprestación del beneficiario;</w:t>
      </w: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g)</w:t>
      </w:r>
      <w:r w:rsidRPr="004D1192">
        <w:rPr>
          <w:rFonts w:ascii="Palatino Linotype" w:hAnsi="Palatino Linotype" w:cs="Arial"/>
          <w:i/>
          <w:sz w:val="22"/>
          <w:szCs w:val="22"/>
        </w:rPr>
        <w:t xml:space="preserve"> Graduación del beneficiario;</w:t>
      </w: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h)</w:t>
      </w:r>
      <w:r w:rsidRPr="004D1192">
        <w:rPr>
          <w:rFonts w:ascii="Palatino Linotype" w:hAnsi="Palatino Linotype" w:cs="Arial"/>
          <w:i/>
          <w:sz w:val="22"/>
          <w:szCs w:val="22"/>
        </w:rPr>
        <w:t xml:space="preserve"> Mecanismos de participación social; y</w:t>
      </w:r>
    </w:p>
    <w:p w:rsidR="004D1192" w:rsidRDefault="004D1192" w:rsidP="00640C7D">
      <w:pPr>
        <w:tabs>
          <w:tab w:val="left" w:pos="709"/>
        </w:tabs>
        <w:ind w:left="851" w:right="851"/>
        <w:jc w:val="both"/>
        <w:rPr>
          <w:rFonts w:ascii="Palatino Linotype" w:hAnsi="Palatino Linotype" w:cs="Arial"/>
          <w:i/>
          <w:sz w:val="22"/>
          <w:szCs w:val="22"/>
        </w:rPr>
      </w:pPr>
      <w:r w:rsidRPr="004D1192">
        <w:rPr>
          <w:rFonts w:ascii="Palatino Linotype" w:hAnsi="Palatino Linotype" w:cs="Arial"/>
          <w:b/>
          <w:bCs/>
          <w:i/>
          <w:sz w:val="22"/>
          <w:szCs w:val="22"/>
        </w:rPr>
        <w:t>i)</w:t>
      </w:r>
      <w:r w:rsidRPr="004D1192">
        <w:rPr>
          <w:rFonts w:ascii="Palatino Linotype" w:hAnsi="Palatino Linotype" w:cs="Arial"/>
          <w:i/>
          <w:sz w:val="22"/>
          <w:szCs w:val="22"/>
        </w:rPr>
        <w:t xml:space="preserve"> Quejas y denuncias.</w:t>
      </w:r>
    </w:p>
    <w:p w:rsidR="00640C7D" w:rsidRPr="00893A58" w:rsidRDefault="00640C7D" w:rsidP="00640C7D">
      <w:pPr>
        <w:tabs>
          <w:tab w:val="left" w:pos="709"/>
        </w:tabs>
        <w:ind w:left="851" w:right="851"/>
        <w:jc w:val="both"/>
        <w:rPr>
          <w:rFonts w:ascii="Palatino Linotype" w:hAnsi="Palatino Linotype" w:cs="Arial"/>
          <w:i/>
          <w:sz w:val="22"/>
          <w:szCs w:val="22"/>
        </w:rPr>
      </w:pPr>
      <w:r w:rsidRPr="00893A58">
        <w:rPr>
          <w:rFonts w:ascii="Palatino Linotype" w:hAnsi="Palatino Linotype" w:cs="Arial"/>
          <w:i/>
          <w:sz w:val="22"/>
          <w:szCs w:val="22"/>
        </w:rPr>
        <w:t>[…]</w:t>
      </w:r>
    </w:p>
    <w:p w:rsidR="00640C7D" w:rsidRDefault="00640C7D" w:rsidP="00640C7D">
      <w:pPr>
        <w:tabs>
          <w:tab w:val="left" w:pos="709"/>
        </w:tabs>
        <w:ind w:left="851" w:right="851"/>
        <w:jc w:val="both"/>
        <w:rPr>
          <w:rFonts w:ascii="Palatino Linotype" w:hAnsi="Palatino Linotype"/>
          <w:b/>
          <w:i/>
          <w:sz w:val="22"/>
          <w:szCs w:val="22"/>
        </w:rPr>
      </w:pPr>
    </w:p>
    <w:p w:rsidR="00640C7D" w:rsidRPr="00893A58" w:rsidRDefault="00640C7D" w:rsidP="00640C7D">
      <w:pPr>
        <w:tabs>
          <w:tab w:val="left" w:pos="709"/>
        </w:tabs>
        <w:ind w:left="851" w:right="851"/>
        <w:jc w:val="both"/>
        <w:rPr>
          <w:rFonts w:ascii="Palatino Linotype" w:hAnsi="Palatino Linotype" w:cs="Arial"/>
          <w:i/>
          <w:sz w:val="22"/>
          <w:szCs w:val="22"/>
        </w:rPr>
      </w:pPr>
      <w:r w:rsidRPr="00893A58">
        <w:rPr>
          <w:rFonts w:ascii="Palatino Linotype" w:hAnsi="Palatino Linotype"/>
          <w:b/>
          <w:i/>
          <w:sz w:val="22"/>
          <w:szCs w:val="22"/>
        </w:rPr>
        <w:t>Artículo 4.- Son considerados derechos sociales:</w:t>
      </w:r>
      <w:r w:rsidRPr="00893A58">
        <w:rPr>
          <w:rFonts w:ascii="Palatino Linotype" w:hAnsi="Palatino Linotype"/>
          <w:i/>
          <w:sz w:val="22"/>
          <w:szCs w:val="22"/>
        </w:rPr>
        <w:t xml:space="preserve"> la educación, la salud, el trabajo, la alimentación segura, la vivienda, el disfrute de un medio ambiente sano, la seguridad social y los relativos a la no discriminación en los términos de la Constitución Política de los Estados Unidos Mexicanos.</w:t>
      </w:r>
    </w:p>
    <w:p w:rsidR="00640C7D" w:rsidRDefault="00640C7D" w:rsidP="00640C7D">
      <w:pPr>
        <w:tabs>
          <w:tab w:val="left" w:pos="709"/>
        </w:tabs>
        <w:ind w:left="851" w:right="851"/>
        <w:jc w:val="both"/>
        <w:rPr>
          <w:rFonts w:ascii="Palatino Linotype" w:hAnsi="Palatino Linotype"/>
          <w:b/>
          <w:i/>
          <w:sz w:val="22"/>
          <w:szCs w:val="22"/>
        </w:rPr>
      </w:pPr>
    </w:p>
    <w:p w:rsidR="00640C7D" w:rsidRPr="00893A58" w:rsidRDefault="00640C7D" w:rsidP="00640C7D">
      <w:pPr>
        <w:tabs>
          <w:tab w:val="left" w:pos="709"/>
        </w:tabs>
        <w:ind w:left="851" w:right="851"/>
        <w:jc w:val="both"/>
        <w:rPr>
          <w:rFonts w:ascii="Palatino Linotype" w:hAnsi="Palatino Linotype" w:cs="Arial"/>
          <w:b/>
          <w:i/>
          <w:sz w:val="22"/>
          <w:szCs w:val="22"/>
        </w:rPr>
      </w:pPr>
      <w:r w:rsidRPr="00893A58">
        <w:rPr>
          <w:rFonts w:ascii="Palatino Linotype" w:hAnsi="Palatino Linotype"/>
          <w:b/>
          <w:i/>
          <w:sz w:val="22"/>
          <w:szCs w:val="22"/>
        </w:rPr>
        <w:t xml:space="preserve">Artículo 5.- La aplicación de la presente Ley corresponde </w:t>
      </w:r>
      <w:r w:rsidRPr="00893A58">
        <w:rPr>
          <w:rFonts w:ascii="Palatino Linotype" w:hAnsi="Palatino Linotype"/>
          <w:i/>
          <w:sz w:val="22"/>
          <w:szCs w:val="22"/>
        </w:rPr>
        <w:t xml:space="preserve">al Ejecutivo Estatal a través de la Secretaría, de sus dependencias, organismos </w:t>
      </w:r>
      <w:r w:rsidRPr="00893A58">
        <w:rPr>
          <w:rFonts w:ascii="Palatino Linotype" w:hAnsi="Palatino Linotype"/>
          <w:b/>
          <w:i/>
          <w:sz w:val="22"/>
          <w:szCs w:val="22"/>
        </w:rPr>
        <w:t>y a los municipios en el ámbito de sus respectivas competencias.</w:t>
      </w:r>
    </w:p>
    <w:p w:rsidR="00640C7D" w:rsidRDefault="00640C7D" w:rsidP="00640C7D">
      <w:pPr>
        <w:tabs>
          <w:tab w:val="left" w:pos="709"/>
        </w:tabs>
        <w:ind w:left="851" w:right="851"/>
        <w:jc w:val="both"/>
        <w:rPr>
          <w:rFonts w:ascii="Palatino Linotype" w:hAnsi="Palatino Linotype"/>
          <w:b/>
          <w:bCs/>
          <w:i/>
          <w:sz w:val="22"/>
          <w:szCs w:val="22"/>
        </w:rPr>
      </w:pP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Artículo 6</w:t>
      </w:r>
      <w:r w:rsidRPr="00893A58">
        <w:rPr>
          <w:rFonts w:ascii="Palatino Linotype" w:hAnsi="Palatino Linotype"/>
          <w:b/>
          <w:i/>
          <w:sz w:val="22"/>
          <w:szCs w:val="22"/>
          <w:u w:val="single"/>
        </w:rPr>
        <w:t>.- Toda persona, habitante del Estado tiene derecho a participar y a beneficiarse de los programas y acciones de desarrollo social</w:t>
      </w:r>
      <w:r w:rsidRPr="00893A58">
        <w:rPr>
          <w:rFonts w:ascii="Palatino Linotype" w:hAnsi="Palatino Linotype"/>
          <w:i/>
          <w:sz w:val="22"/>
          <w:szCs w:val="22"/>
        </w:rPr>
        <w:t>, de acuerdo con los principios rectores de las políticas públicas estatales y municipales en los términos que establezca la normatividad aplicable.</w:t>
      </w:r>
    </w:p>
    <w:p w:rsidR="00640C7D" w:rsidRDefault="00640C7D" w:rsidP="00640C7D">
      <w:pPr>
        <w:tabs>
          <w:tab w:val="left" w:pos="709"/>
        </w:tabs>
        <w:ind w:left="851" w:right="851"/>
        <w:jc w:val="both"/>
        <w:rPr>
          <w:rFonts w:ascii="Palatino Linotype" w:hAnsi="Palatino Linotype"/>
          <w:b/>
          <w:i/>
          <w:sz w:val="22"/>
          <w:szCs w:val="22"/>
        </w:rPr>
      </w:pPr>
    </w:p>
    <w:p w:rsidR="00640C7D" w:rsidRPr="00893A58" w:rsidRDefault="00640C7D" w:rsidP="00640C7D">
      <w:pPr>
        <w:tabs>
          <w:tab w:val="left" w:pos="709"/>
        </w:tabs>
        <w:ind w:left="851" w:right="851"/>
        <w:jc w:val="both"/>
        <w:rPr>
          <w:rFonts w:ascii="Palatino Linotype" w:hAnsi="Palatino Linotype" w:cs="Arial"/>
          <w:b/>
          <w:i/>
          <w:sz w:val="22"/>
          <w:szCs w:val="22"/>
        </w:rPr>
      </w:pPr>
      <w:r w:rsidRPr="00893A58">
        <w:rPr>
          <w:rFonts w:ascii="Palatino Linotype" w:hAnsi="Palatino Linotype"/>
          <w:b/>
          <w:i/>
          <w:sz w:val="22"/>
          <w:szCs w:val="22"/>
        </w:rPr>
        <w:t xml:space="preserve">Artículo 11.- Los planes y programas Estatales </w:t>
      </w:r>
      <w:r w:rsidRPr="00893A58">
        <w:rPr>
          <w:rFonts w:ascii="Palatino Linotype" w:hAnsi="Palatino Linotype"/>
          <w:b/>
          <w:i/>
          <w:sz w:val="22"/>
          <w:szCs w:val="22"/>
          <w:u w:val="single"/>
        </w:rPr>
        <w:t>y Municipales de Desarrollo Social</w:t>
      </w:r>
      <w:r w:rsidRPr="00893A58">
        <w:rPr>
          <w:rFonts w:ascii="Palatino Linotype" w:hAnsi="Palatino Linotype"/>
          <w:b/>
          <w:i/>
          <w:sz w:val="22"/>
          <w:szCs w:val="22"/>
        </w:rPr>
        <w:t>, deberán contemplar prioritariamente:</w:t>
      </w: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I.</w:t>
      </w:r>
      <w:r w:rsidRPr="00893A58">
        <w:rPr>
          <w:rFonts w:ascii="Palatino Linotype" w:hAnsi="Palatino Linotype"/>
          <w:i/>
          <w:sz w:val="22"/>
          <w:szCs w:val="22"/>
        </w:rPr>
        <w:t xml:space="preserve"> Educación obligatoria;</w:t>
      </w: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II.</w:t>
      </w:r>
      <w:r w:rsidRPr="00893A58">
        <w:rPr>
          <w:rFonts w:ascii="Palatino Linotype" w:hAnsi="Palatino Linotype"/>
          <w:i/>
          <w:sz w:val="22"/>
          <w:szCs w:val="22"/>
        </w:rPr>
        <w:t xml:space="preserve"> Salud;</w:t>
      </w: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III.</w:t>
      </w:r>
      <w:r w:rsidRPr="00893A58">
        <w:rPr>
          <w:rFonts w:ascii="Palatino Linotype" w:hAnsi="Palatino Linotype"/>
          <w:i/>
          <w:sz w:val="22"/>
          <w:szCs w:val="22"/>
        </w:rPr>
        <w:t xml:space="preserve"> Generación, conservación y capacitación para el trabajo y el incremento de la competitividad;</w:t>
      </w: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IV.</w:t>
      </w:r>
      <w:r w:rsidRPr="00893A58">
        <w:rPr>
          <w:rFonts w:ascii="Palatino Linotype" w:hAnsi="Palatino Linotype"/>
          <w:i/>
          <w:sz w:val="22"/>
          <w:szCs w:val="22"/>
        </w:rPr>
        <w:t xml:space="preserve"> Alimentación, nutrición materno infantil y abasto social de productos básicos;</w:t>
      </w: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V.</w:t>
      </w:r>
      <w:r w:rsidRPr="00893A58">
        <w:rPr>
          <w:rFonts w:ascii="Palatino Linotype" w:hAnsi="Palatino Linotype"/>
          <w:i/>
          <w:sz w:val="22"/>
          <w:szCs w:val="22"/>
        </w:rPr>
        <w:t xml:space="preserve"> Vivienda;</w:t>
      </w:r>
    </w:p>
    <w:p w:rsidR="00640C7D" w:rsidRPr="00893A58" w:rsidRDefault="00640C7D" w:rsidP="00640C7D">
      <w:pPr>
        <w:tabs>
          <w:tab w:val="left" w:pos="709"/>
        </w:tabs>
        <w:ind w:left="851" w:right="851"/>
        <w:jc w:val="both"/>
        <w:rPr>
          <w:rFonts w:ascii="Palatino Linotype" w:hAnsi="Palatino Linotype" w:cs="Arial"/>
          <w:i/>
          <w:sz w:val="22"/>
          <w:szCs w:val="22"/>
        </w:rPr>
      </w:pPr>
      <w:r w:rsidRPr="00893A58">
        <w:rPr>
          <w:rFonts w:ascii="Palatino Linotype" w:hAnsi="Palatino Linotype" w:cs="Arial"/>
          <w:i/>
          <w:sz w:val="22"/>
          <w:szCs w:val="22"/>
        </w:rPr>
        <w:t>[…]</w:t>
      </w:r>
    </w:p>
    <w:p w:rsidR="00640C7D" w:rsidRDefault="00640C7D" w:rsidP="00640C7D">
      <w:pPr>
        <w:tabs>
          <w:tab w:val="left" w:pos="709"/>
        </w:tabs>
        <w:ind w:left="851" w:right="851"/>
        <w:jc w:val="both"/>
        <w:rPr>
          <w:rFonts w:ascii="Palatino Linotype" w:hAnsi="Palatino Linotype"/>
          <w:b/>
          <w:bCs/>
          <w:i/>
          <w:sz w:val="22"/>
          <w:szCs w:val="22"/>
        </w:rPr>
      </w:pP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Artículo 14.-</w:t>
      </w:r>
      <w:r w:rsidRPr="00893A58">
        <w:rPr>
          <w:rFonts w:ascii="Palatino Linotype" w:hAnsi="Palatino Linotype"/>
          <w:i/>
          <w:sz w:val="22"/>
          <w:szCs w:val="22"/>
        </w:rPr>
        <w:t xml:space="preserve"> Son obligaciones de los municipios en materia de desarrollo social las siguientes:</w:t>
      </w:r>
    </w:p>
    <w:p w:rsidR="00640C7D" w:rsidRPr="00893A58" w:rsidRDefault="00640C7D" w:rsidP="00640C7D">
      <w:pPr>
        <w:tabs>
          <w:tab w:val="left" w:pos="709"/>
        </w:tabs>
        <w:ind w:left="851" w:right="851"/>
        <w:jc w:val="both"/>
        <w:rPr>
          <w:rFonts w:ascii="Palatino Linotype" w:hAnsi="Palatino Linotype"/>
          <w:i/>
          <w:sz w:val="22"/>
          <w:szCs w:val="22"/>
        </w:rPr>
      </w:pPr>
      <w:r w:rsidRPr="00893A58">
        <w:rPr>
          <w:rFonts w:ascii="Palatino Linotype" w:hAnsi="Palatino Linotype"/>
          <w:i/>
          <w:sz w:val="22"/>
          <w:szCs w:val="22"/>
        </w:rPr>
        <w:t>[…]</w:t>
      </w: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lastRenderedPageBreak/>
        <w:t>VI.</w:t>
      </w:r>
      <w:r w:rsidRPr="00893A58">
        <w:rPr>
          <w:rFonts w:ascii="Palatino Linotype" w:hAnsi="Palatino Linotype"/>
          <w:i/>
          <w:sz w:val="22"/>
          <w:szCs w:val="22"/>
        </w:rPr>
        <w:t xml:space="preserve"> Informar a la sociedad de las políticas, programas y acciones de desarrollo social que ejecuten;</w:t>
      </w:r>
    </w:p>
    <w:p w:rsidR="00640C7D" w:rsidRPr="00893A58" w:rsidRDefault="00640C7D" w:rsidP="00640C7D">
      <w:pPr>
        <w:tabs>
          <w:tab w:val="left" w:pos="709"/>
        </w:tabs>
        <w:ind w:left="851" w:right="851"/>
        <w:jc w:val="both"/>
        <w:rPr>
          <w:rFonts w:ascii="Palatino Linotype" w:hAnsi="Palatino Linotype" w:cs="Arial"/>
          <w:i/>
          <w:sz w:val="22"/>
          <w:szCs w:val="22"/>
        </w:rPr>
      </w:pPr>
      <w:r w:rsidRPr="00893A58">
        <w:rPr>
          <w:rFonts w:ascii="Palatino Linotype" w:hAnsi="Palatino Linotype" w:cs="Arial"/>
          <w:i/>
          <w:sz w:val="22"/>
          <w:szCs w:val="22"/>
        </w:rPr>
        <w:t>[…]</w:t>
      </w:r>
    </w:p>
    <w:p w:rsidR="00640C7D" w:rsidRPr="00893A58" w:rsidRDefault="00640C7D" w:rsidP="00640C7D">
      <w:pPr>
        <w:tabs>
          <w:tab w:val="left" w:pos="709"/>
        </w:tabs>
        <w:ind w:left="851" w:right="851"/>
        <w:jc w:val="both"/>
        <w:rPr>
          <w:rFonts w:ascii="Palatino Linotype" w:hAnsi="Palatino Linotype" w:cs="Arial"/>
          <w:i/>
          <w:sz w:val="22"/>
          <w:szCs w:val="22"/>
        </w:rPr>
      </w:pPr>
      <w:r w:rsidRPr="00640C7D">
        <w:rPr>
          <w:rFonts w:ascii="Palatino Linotype" w:hAnsi="Palatino Linotype"/>
          <w:b/>
          <w:bCs/>
          <w:i/>
          <w:sz w:val="22"/>
          <w:szCs w:val="22"/>
        </w:rPr>
        <w:t>VIII.</w:t>
      </w:r>
      <w:r w:rsidRPr="00893A58">
        <w:rPr>
          <w:rFonts w:ascii="Palatino Linotype" w:hAnsi="Palatino Linotype"/>
          <w:i/>
          <w:sz w:val="22"/>
          <w:szCs w:val="22"/>
        </w:rPr>
        <w:t xml:space="preserve"> Establecer mecanismos para incluir la participación social organizada, en los programas y acciones de desarrollo social; y</w:t>
      </w:r>
    </w:p>
    <w:p w:rsidR="00640C7D" w:rsidRDefault="00640C7D" w:rsidP="00640C7D">
      <w:pPr>
        <w:tabs>
          <w:tab w:val="left" w:pos="709"/>
        </w:tabs>
        <w:ind w:left="851" w:right="851"/>
        <w:jc w:val="both"/>
        <w:rPr>
          <w:rFonts w:ascii="Palatino Linotype" w:hAnsi="Palatino Linotype"/>
          <w:b/>
          <w:i/>
          <w:sz w:val="22"/>
          <w:szCs w:val="22"/>
        </w:rPr>
      </w:pPr>
    </w:p>
    <w:p w:rsidR="00640C7D" w:rsidRPr="00893A58" w:rsidRDefault="00640C7D" w:rsidP="00640C7D">
      <w:pPr>
        <w:tabs>
          <w:tab w:val="left" w:pos="709"/>
        </w:tabs>
        <w:ind w:left="851" w:right="851"/>
        <w:jc w:val="both"/>
        <w:rPr>
          <w:rFonts w:ascii="Palatino Linotype" w:hAnsi="Palatino Linotype"/>
          <w:b/>
          <w:i/>
          <w:sz w:val="22"/>
          <w:szCs w:val="22"/>
          <w:u w:val="single"/>
        </w:rPr>
      </w:pPr>
      <w:r w:rsidRPr="00893A58">
        <w:rPr>
          <w:rFonts w:ascii="Palatino Linotype" w:hAnsi="Palatino Linotype"/>
          <w:b/>
          <w:i/>
          <w:sz w:val="22"/>
          <w:szCs w:val="22"/>
        </w:rPr>
        <w:t xml:space="preserve">Artículo 38.- </w:t>
      </w:r>
      <w:r w:rsidRPr="00893A58">
        <w:rPr>
          <w:rFonts w:ascii="Palatino Linotype" w:hAnsi="Palatino Linotype"/>
          <w:i/>
          <w:sz w:val="22"/>
          <w:szCs w:val="22"/>
        </w:rPr>
        <w:t>El Gobierno del Estado y</w:t>
      </w:r>
      <w:r w:rsidRPr="00893A58">
        <w:rPr>
          <w:rFonts w:ascii="Palatino Linotype" w:hAnsi="Palatino Linotype"/>
          <w:b/>
          <w:i/>
          <w:sz w:val="22"/>
          <w:szCs w:val="22"/>
        </w:rPr>
        <w:t xml:space="preserve"> </w:t>
      </w:r>
      <w:r w:rsidRPr="00893A58">
        <w:rPr>
          <w:rFonts w:ascii="Palatino Linotype" w:hAnsi="Palatino Linotype"/>
          <w:b/>
          <w:i/>
          <w:sz w:val="22"/>
          <w:szCs w:val="22"/>
          <w:u w:val="single"/>
        </w:rPr>
        <w:t>los municipios, en sus ámbitos de competencia, integrarán sus padrones de beneficiarios.</w:t>
      </w:r>
    </w:p>
    <w:p w:rsidR="00640C7D" w:rsidRDefault="00640C7D" w:rsidP="00640C7D">
      <w:pPr>
        <w:tabs>
          <w:tab w:val="left" w:pos="709"/>
        </w:tabs>
        <w:ind w:left="851" w:right="851"/>
        <w:jc w:val="both"/>
        <w:rPr>
          <w:rFonts w:ascii="Palatino Linotype" w:hAnsi="Palatino Linotype"/>
          <w:b/>
          <w:i/>
          <w:sz w:val="22"/>
          <w:szCs w:val="22"/>
          <w:u w:val="single"/>
        </w:rPr>
      </w:pPr>
    </w:p>
    <w:p w:rsidR="00640C7D" w:rsidRDefault="00640C7D" w:rsidP="00640C7D">
      <w:pPr>
        <w:tabs>
          <w:tab w:val="left" w:pos="709"/>
        </w:tabs>
        <w:ind w:left="851" w:right="851"/>
        <w:jc w:val="both"/>
        <w:rPr>
          <w:rFonts w:ascii="Palatino Linotype" w:hAnsi="Palatino Linotype"/>
          <w:b/>
          <w:i/>
          <w:sz w:val="22"/>
          <w:szCs w:val="22"/>
          <w:u w:val="single"/>
        </w:rPr>
      </w:pPr>
      <w:r w:rsidRPr="00640C7D">
        <w:rPr>
          <w:rFonts w:ascii="Palatino Linotype" w:hAnsi="Palatino Linotype"/>
          <w:b/>
          <w:i/>
          <w:sz w:val="22"/>
          <w:szCs w:val="22"/>
        </w:rPr>
        <w:t>Artículo 41.-</w:t>
      </w:r>
      <w:r w:rsidRPr="00893A58">
        <w:rPr>
          <w:rFonts w:ascii="Palatino Linotype" w:hAnsi="Palatino Linotype"/>
          <w:b/>
          <w:i/>
          <w:sz w:val="22"/>
          <w:szCs w:val="22"/>
          <w:u w:val="single"/>
        </w:rPr>
        <w:t xml:space="preserve"> Los Ayuntamientos determinarán en sesión de cabildo, los lineamientos y criterios para la integración y actualización de los padrones de los programas municipales de desarrollo social, instruyendo la difusión correspondiente, en términos de los ordenamientos aplicables.</w:t>
      </w:r>
    </w:p>
    <w:p w:rsidR="00640C7D" w:rsidRDefault="00640C7D" w:rsidP="00640C7D">
      <w:pPr>
        <w:tabs>
          <w:tab w:val="left" w:pos="709"/>
        </w:tabs>
        <w:ind w:left="851" w:right="851"/>
        <w:jc w:val="both"/>
        <w:rPr>
          <w:rFonts w:ascii="Palatino Linotype" w:hAnsi="Palatino Linotype"/>
          <w:b/>
          <w:i/>
          <w:sz w:val="22"/>
          <w:szCs w:val="22"/>
          <w:u w:val="single"/>
        </w:rPr>
      </w:pPr>
    </w:p>
    <w:p w:rsidR="00640C7D" w:rsidRPr="00893A58" w:rsidRDefault="00640C7D" w:rsidP="00640C7D">
      <w:pPr>
        <w:tabs>
          <w:tab w:val="left" w:pos="709"/>
        </w:tabs>
        <w:ind w:left="851" w:right="851"/>
        <w:jc w:val="both"/>
        <w:rPr>
          <w:rFonts w:ascii="Palatino Linotype" w:hAnsi="Palatino Linotype"/>
          <w:b/>
          <w:i/>
          <w:sz w:val="22"/>
          <w:szCs w:val="22"/>
          <w:u w:val="single"/>
        </w:rPr>
      </w:pPr>
      <w:r>
        <w:rPr>
          <w:rFonts w:ascii="Palatino Linotype" w:hAnsi="Palatino Linotype"/>
          <w:b/>
          <w:i/>
          <w:sz w:val="22"/>
          <w:szCs w:val="22"/>
          <w:u w:val="single"/>
        </w:rPr>
        <w:t>Énfasis añadido.</w:t>
      </w:r>
    </w:p>
    <w:p w:rsidR="00640C7D" w:rsidRPr="00893A58" w:rsidRDefault="00640C7D" w:rsidP="00640C7D">
      <w:pPr>
        <w:tabs>
          <w:tab w:val="left" w:pos="709"/>
        </w:tabs>
        <w:spacing w:line="360" w:lineRule="auto"/>
        <w:jc w:val="both"/>
        <w:rPr>
          <w:b/>
          <w:sz w:val="22"/>
          <w:szCs w:val="22"/>
        </w:rPr>
      </w:pPr>
    </w:p>
    <w:p w:rsidR="00640C7D" w:rsidRPr="004B01DE" w:rsidRDefault="00640C7D" w:rsidP="00640C7D">
      <w:pPr>
        <w:tabs>
          <w:tab w:val="left" w:pos="709"/>
        </w:tabs>
        <w:spacing w:line="360" w:lineRule="auto"/>
        <w:jc w:val="both"/>
        <w:rPr>
          <w:rFonts w:ascii="Palatino Linotype" w:hAnsi="Palatino Linotype" w:cs="Arial"/>
        </w:rPr>
      </w:pPr>
      <w:r w:rsidRPr="00893A58">
        <w:rPr>
          <w:rFonts w:ascii="Palatino Linotype" w:hAnsi="Palatino Linotype" w:cs="Arial"/>
        </w:rPr>
        <w:t xml:space="preserve">De los artículos citado con anterioridad se advierte que el sujeto obligado está en aptitud de contribuir a la protección de los derechos sociales mediante diversas estrategias, programas y acciones, entendiendo al Desarrollo Social como el proceso de mecanismos y políticas públicas permanente que genera las condiciones para la integración plena de individuos, grupos y sectores de la sociedad, comunidades y regiones al mejoramiento integral de sus capacidades productivas, garantizando el </w:t>
      </w:r>
      <w:r w:rsidRPr="004B01DE">
        <w:rPr>
          <w:rFonts w:ascii="Palatino Linotype" w:hAnsi="Palatino Linotype" w:cs="Arial"/>
        </w:rPr>
        <w:t>disfrute de los derechos constitucionales con la finalidad de erradicar la desigualdad social.</w:t>
      </w:r>
    </w:p>
    <w:p w:rsidR="009226A7" w:rsidRPr="004B01DE" w:rsidRDefault="00640C7D" w:rsidP="00640C7D">
      <w:pPr>
        <w:tabs>
          <w:tab w:val="left" w:pos="709"/>
        </w:tabs>
        <w:spacing w:line="360" w:lineRule="auto"/>
        <w:jc w:val="both"/>
        <w:rPr>
          <w:rFonts w:ascii="Palatino Linotype" w:hAnsi="Palatino Linotype" w:cs="Arial"/>
        </w:rPr>
      </w:pPr>
      <w:r w:rsidRPr="004B01DE">
        <w:rPr>
          <w:rFonts w:ascii="Palatino Linotype" w:hAnsi="Palatino Linotype" w:cs="Arial"/>
        </w:rPr>
        <w:t>Asimismo, se desprende que un programa de desarrollo social es una acción gubernamental dirigida a modificar la condición de desigualdad social mediante la entrega de un bien o transferencia de recursos, la cual se norma a partir de sus respectivas reglas de operación</w:t>
      </w:r>
      <w:r w:rsidR="009226A7" w:rsidRPr="004B01DE">
        <w:rPr>
          <w:rFonts w:ascii="Palatino Linotype" w:hAnsi="Palatino Linotype" w:cs="Arial"/>
        </w:rPr>
        <w:t xml:space="preserve"> que establecen aspectos técnicos y operativos de los programas de desarrollo social, y deben identificar plenamente el derecho social o carencia que atiende el programa; definir el universo de atención; identificar a la </w:t>
      </w:r>
      <w:r w:rsidR="009226A7" w:rsidRPr="004B01DE">
        <w:rPr>
          <w:rFonts w:ascii="Palatino Linotype" w:hAnsi="Palatino Linotype" w:cs="Arial"/>
        </w:rPr>
        <w:lastRenderedPageBreak/>
        <w:t>población objetivo; definir el tipo de apoyo a otorgar así como el mecanismo de enrolamiento; establecer la contraprestación del beneficiario; así como el procedimiento de quejas y denuncias.</w:t>
      </w:r>
    </w:p>
    <w:p w:rsidR="00640C7D" w:rsidRPr="004B01DE" w:rsidRDefault="009226A7" w:rsidP="0021708A">
      <w:pPr>
        <w:tabs>
          <w:tab w:val="left" w:pos="709"/>
        </w:tabs>
        <w:spacing w:before="240" w:after="240" w:line="360" w:lineRule="auto"/>
        <w:jc w:val="both"/>
        <w:rPr>
          <w:rFonts w:ascii="Palatino Linotype" w:hAnsi="Palatino Linotype" w:cs="Arial"/>
        </w:rPr>
      </w:pPr>
      <w:r w:rsidRPr="004B01DE">
        <w:rPr>
          <w:rFonts w:ascii="Palatino Linotype" w:hAnsi="Palatino Linotype" w:cs="Arial"/>
        </w:rPr>
        <w:t>En adición a lo anterior, la Ley Orgánica Municipal del Estado de México establece:</w:t>
      </w: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31.-</w:t>
      </w:r>
      <w:r w:rsidRPr="004B01DE">
        <w:rPr>
          <w:rFonts w:ascii="Palatino Linotype" w:hAnsi="Palatino Linotype"/>
          <w:i/>
          <w:iCs/>
          <w:sz w:val="22"/>
          <w:szCs w:val="22"/>
        </w:rPr>
        <w:t xml:space="preserve"> Son atribuciones de los ayuntamientos:</w:t>
      </w: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9226A7" w:rsidRPr="004B01DE" w:rsidRDefault="009226A7" w:rsidP="00342275">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XXI.</w:t>
      </w:r>
      <w:r w:rsidRPr="004B01DE">
        <w:rPr>
          <w:rFonts w:ascii="Palatino Linotype" w:hAnsi="Palatino Linotype"/>
          <w:i/>
          <w:iCs/>
          <w:sz w:val="22"/>
          <w:szCs w:val="22"/>
        </w:rPr>
        <w:t xml:space="preserve"> Formular, aprobar y ejecutar los planes de desarrollo municipal y los Programas correspondientes;</w:t>
      </w: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83.-</w:t>
      </w:r>
      <w:r w:rsidRPr="004B01DE">
        <w:rPr>
          <w:rFonts w:ascii="Palatino Linotype" w:hAnsi="Palatino Linotype"/>
          <w:i/>
          <w:iCs/>
          <w:sz w:val="22"/>
          <w:szCs w:val="22"/>
        </w:rPr>
        <w:t xml:space="preserve"> La Comisión de Planeación para el Desarrollo Municipal tendrá las siguientes atribuciones:</w:t>
      </w: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V.</w:t>
      </w:r>
      <w:r w:rsidRPr="004B01DE">
        <w:rPr>
          <w:rFonts w:ascii="Palatino Linotype" w:hAnsi="Palatino Linotype"/>
          <w:i/>
          <w:iCs/>
          <w:sz w:val="22"/>
          <w:szCs w:val="22"/>
        </w:rPr>
        <w:t xml:space="preserve"> Gestionar la expedición de reglamentos o disposiciones administrativas que regulen el funcionamiento de los programas que integren el Plan de Desarrollo Municipal;</w:t>
      </w: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114.-</w:t>
      </w:r>
      <w:r w:rsidRPr="004B01DE">
        <w:rPr>
          <w:rFonts w:ascii="Palatino Linotype" w:hAnsi="Palatino Linotype"/>
          <w:i/>
          <w:iCs/>
          <w:sz w:val="22"/>
          <w:szCs w:val="22"/>
        </w:rPr>
        <w:t xml:space="preserve"> Cada ayuntamiento elaborará su plan de desarrollo municipal y los programas de trabajo necesarios para su ejecución en forma democrática y participativa. </w:t>
      </w:r>
    </w:p>
    <w:p w:rsidR="00342275" w:rsidRPr="004B01DE" w:rsidRDefault="00342275" w:rsidP="00342275">
      <w:pPr>
        <w:tabs>
          <w:tab w:val="left" w:pos="709"/>
        </w:tabs>
        <w:ind w:left="851" w:right="851"/>
        <w:jc w:val="both"/>
        <w:rPr>
          <w:rFonts w:ascii="Palatino Linotype" w:hAnsi="Palatino Linotype"/>
          <w:b/>
          <w:bCs/>
          <w:i/>
          <w:iCs/>
          <w:sz w:val="22"/>
          <w:szCs w:val="22"/>
        </w:rPr>
      </w:pPr>
    </w:p>
    <w:p w:rsidR="00342275" w:rsidRPr="004B01DE" w:rsidRDefault="00342275" w:rsidP="00342275">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115.-</w:t>
      </w:r>
      <w:r w:rsidRPr="004B01DE">
        <w:rPr>
          <w:rFonts w:ascii="Palatino Linotype" w:hAnsi="Palatino Linotype"/>
          <w:i/>
          <w:iCs/>
          <w:sz w:val="22"/>
          <w:szCs w:val="22"/>
        </w:rPr>
        <w:t xml:space="preserve"> La formulación, aprobación, ejecución, control y evaluación del plan y programas municipales estarán a cargo de los órganos, dependencias o servidores públicos que determinen los ayuntamientos, conforme a las normas legales de la materia y las que cada cabildo determine.</w:t>
      </w:r>
    </w:p>
    <w:p w:rsidR="00B26509" w:rsidRPr="004B01DE" w:rsidRDefault="00B26509" w:rsidP="00342275">
      <w:pPr>
        <w:tabs>
          <w:tab w:val="left" w:pos="709"/>
        </w:tabs>
        <w:ind w:left="851" w:right="851"/>
        <w:jc w:val="both"/>
        <w:rPr>
          <w:rFonts w:ascii="Palatino Linotype" w:hAnsi="Palatino Linotype"/>
          <w:i/>
          <w:iCs/>
          <w:sz w:val="22"/>
          <w:szCs w:val="22"/>
        </w:rPr>
      </w:pPr>
    </w:p>
    <w:p w:rsidR="00640C7D" w:rsidRPr="004B01DE" w:rsidRDefault="00342275" w:rsidP="0021708A">
      <w:pPr>
        <w:tabs>
          <w:tab w:val="left" w:pos="709"/>
        </w:tabs>
        <w:spacing w:before="240" w:after="240" w:line="360" w:lineRule="auto"/>
        <w:jc w:val="both"/>
        <w:rPr>
          <w:rFonts w:ascii="Palatino Linotype" w:hAnsi="Palatino Linotype" w:cs="Arial"/>
        </w:rPr>
      </w:pPr>
      <w:r w:rsidRPr="004B01DE">
        <w:rPr>
          <w:rFonts w:ascii="Palatino Linotype" w:hAnsi="Palatino Linotype" w:cs="Arial"/>
        </w:rPr>
        <w:t>Por su parte el Bando Municipal de Valle de Chalco Solidaridad para el año 2019 establece:</w:t>
      </w:r>
    </w:p>
    <w:p w:rsidR="001B4D0C" w:rsidRPr="004B01DE" w:rsidRDefault="001B4D0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180.</w:t>
      </w:r>
      <w:r w:rsidRPr="004B01DE">
        <w:rPr>
          <w:rFonts w:ascii="Palatino Linotype" w:hAnsi="Palatino Linotype"/>
          <w:i/>
          <w:iCs/>
          <w:sz w:val="22"/>
          <w:szCs w:val="22"/>
        </w:rPr>
        <w:t xml:space="preserve"> El Ayuntamiento, a través de la Dirección de Desarrollo Sustentable, elaborará planes y estrategias para el desarrollo sustentable, para el mejoramiento integral del bienestar social de la población y de las actividades económicas en el territorio comprendido fuera de los núcleos considerados urbanos, con base en las leyes vigentes, asegurando la conservación permanente de los recursos naturales, la biodiversidad y los servicios ambientales de dichos </w:t>
      </w:r>
      <w:r w:rsidRPr="004B01DE">
        <w:rPr>
          <w:rFonts w:ascii="Palatino Linotype" w:hAnsi="Palatino Linotype"/>
          <w:i/>
          <w:iCs/>
          <w:sz w:val="22"/>
          <w:szCs w:val="22"/>
        </w:rPr>
        <w:lastRenderedPageBreak/>
        <w:t>territorios, coordinándose con los organismos federales y estatales mediante la gestión de programas, apoyos económicos.</w:t>
      </w:r>
    </w:p>
    <w:p w:rsidR="00B26509" w:rsidRPr="004B01DE" w:rsidRDefault="00B26509" w:rsidP="001F757C">
      <w:pPr>
        <w:tabs>
          <w:tab w:val="left" w:pos="709"/>
        </w:tabs>
        <w:ind w:left="851" w:right="851"/>
        <w:jc w:val="both"/>
        <w:rPr>
          <w:rFonts w:ascii="Palatino Linotype" w:hAnsi="Palatino Linotype"/>
          <w:b/>
          <w:bCs/>
          <w:i/>
          <w:iCs/>
          <w:sz w:val="22"/>
          <w:szCs w:val="22"/>
        </w:rPr>
      </w:pPr>
    </w:p>
    <w:p w:rsidR="001F757C" w:rsidRPr="004B01DE" w:rsidRDefault="001B4D0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183.</w:t>
      </w:r>
      <w:r w:rsidRPr="004B01DE">
        <w:rPr>
          <w:rFonts w:ascii="Palatino Linotype" w:hAnsi="Palatino Linotype"/>
          <w:i/>
          <w:iCs/>
          <w:sz w:val="22"/>
          <w:szCs w:val="22"/>
        </w:rPr>
        <w:t xml:space="preserve"> El Ayuntamiento, a través de la Dirección de Desarrollo Social, formulará, coordinará e implementará la aplicación de programas y estrategias encaminadas a mejorar e incrementar la calidad de vida de los habitantes, atendiendo las necesidades más urgentes de los grupos vulnerables, promoverá, organizará e impulsará con la participación de la ciudadanía, programas de combate a la marginación, pobreza y discriminación social. </w:t>
      </w:r>
    </w:p>
    <w:p w:rsidR="00B26509" w:rsidRPr="004B01DE" w:rsidRDefault="00B26509" w:rsidP="001F757C">
      <w:pPr>
        <w:tabs>
          <w:tab w:val="left" w:pos="709"/>
        </w:tabs>
        <w:ind w:left="851" w:right="851"/>
        <w:jc w:val="both"/>
        <w:rPr>
          <w:rFonts w:ascii="Palatino Linotype" w:hAnsi="Palatino Linotype"/>
          <w:b/>
          <w:bCs/>
          <w:i/>
          <w:iCs/>
          <w:sz w:val="22"/>
          <w:szCs w:val="22"/>
        </w:rPr>
      </w:pPr>
    </w:p>
    <w:p w:rsidR="001F757C" w:rsidRPr="004B01DE" w:rsidRDefault="001B4D0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184.</w:t>
      </w:r>
      <w:r w:rsidRPr="004B01DE">
        <w:rPr>
          <w:rFonts w:ascii="Palatino Linotype" w:hAnsi="Palatino Linotype"/>
          <w:i/>
          <w:iCs/>
          <w:sz w:val="22"/>
          <w:szCs w:val="22"/>
        </w:rPr>
        <w:t xml:space="preserve"> Corresponde al Ayuntamiento a través de Dirección de Desarrollo Social:</w:t>
      </w:r>
    </w:p>
    <w:p w:rsidR="001B4D0C" w:rsidRPr="004B01DE" w:rsidRDefault="001B4D0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I.</w:t>
      </w:r>
      <w:r w:rsidRPr="004B01DE">
        <w:rPr>
          <w:rFonts w:ascii="Palatino Linotype" w:hAnsi="Palatino Linotype"/>
          <w:i/>
          <w:iCs/>
          <w:sz w:val="22"/>
          <w:szCs w:val="22"/>
        </w:rPr>
        <w:t xml:space="preserve"> Disponer del personal e instrumentos administrativos necesarios para asegurar la atención, con criterios de equidad de género a la población del Municipio, tendientes a implementar programas sociales que favorezcan el desarrollo personal, familiar, cultural y social;</w:t>
      </w:r>
    </w:p>
    <w:p w:rsidR="001B4D0C" w:rsidRPr="004B01DE" w:rsidRDefault="001B4D0C" w:rsidP="001F757C">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1B4D0C" w:rsidRPr="004B01DE" w:rsidRDefault="001B4D0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IV.</w:t>
      </w:r>
      <w:r w:rsidRPr="004B01DE">
        <w:rPr>
          <w:rFonts w:ascii="Palatino Linotype" w:hAnsi="Palatino Linotype"/>
          <w:i/>
          <w:iCs/>
          <w:sz w:val="22"/>
          <w:szCs w:val="22"/>
        </w:rPr>
        <w:t xml:space="preserve"> Orientar y vincular a la población, en especial a los sectores más vulnerables de la sociedad, para que conozcan y puedan aprovechar los servicios y programas asistenciales vigentes;</w:t>
      </w:r>
    </w:p>
    <w:p w:rsidR="001B4D0C" w:rsidRPr="004B01DE" w:rsidRDefault="001B4D0C" w:rsidP="001F757C">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1B4D0C" w:rsidRPr="004B01DE" w:rsidRDefault="001B4D0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VIII.</w:t>
      </w:r>
      <w:r w:rsidRPr="004B01DE">
        <w:rPr>
          <w:rFonts w:ascii="Palatino Linotype" w:hAnsi="Palatino Linotype"/>
          <w:i/>
          <w:iCs/>
          <w:sz w:val="22"/>
          <w:szCs w:val="22"/>
        </w:rPr>
        <w:t xml:space="preserve"> Diseñar e instrumentar los lineamientos y criterios para la integración y actualización de los padrones de los programas municipales de desarrollo social;</w:t>
      </w:r>
    </w:p>
    <w:p w:rsidR="001F757C" w:rsidRPr="004B01DE" w:rsidRDefault="001F757C" w:rsidP="001F757C">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1F757C" w:rsidRPr="004B01DE" w:rsidRDefault="001F757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185.</w:t>
      </w:r>
      <w:r w:rsidRPr="004B01DE">
        <w:rPr>
          <w:rFonts w:ascii="Palatino Linotype" w:hAnsi="Palatino Linotype"/>
          <w:i/>
          <w:iCs/>
          <w:sz w:val="22"/>
          <w:szCs w:val="22"/>
        </w:rPr>
        <w:t xml:space="preserve"> El Ayuntamiento, a través de la Dirección de Educación, coordinará, dirigirá y evaluará la política e infraestructura educativa municipal, apoyando la gestión ante los gobiernos estatal y federal en lo relativo a las necesidades que derivan en los rubros educativos y recreativos en la población de Valle de Chalco Solidaridad.</w:t>
      </w:r>
    </w:p>
    <w:p w:rsidR="001F757C" w:rsidRPr="004B01DE" w:rsidRDefault="001F757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Artículo 186.</w:t>
      </w:r>
      <w:r w:rsidRPr="004B01DE">
        <w:rPr>
          <w:rFonts w:ascii="Palatino Linotype" w:hAnsi="Palatino Linotype"/>
          <w:i/>
          <w:iCs/>
          <w:sz w:val="22"/>
          <w:szCs w:val="22"/>
        </w:rPr>
        <w:t xml:space="preserve"> Son atribuciones de la Dirección de Educación las siguientes:</w:t>
      </w:r>
    </w:p>
    <w:p w:rsidR="001F757C" w:rsidRPr="004B01DE" w:rsidRDefault="001F757C" w:rsidP="001F757C">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1F757C" w:rsidRPr="004B01DE" w:rsidRDefault="001F757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VII.</w:t>
      </w:r>
      <w:r w:rsidRPr="004B01DE">
        <w:rPr>
          <w:rFonts w:ascii="Palatino Linotype" w:hAnsi="Palatino Linotype"/>
          <w:i/>
          <w:iCs/>
          <w:sz w:val="22"/>
          <w:szCs w:val="22"/>
        </w:rPr>
        <w:t xml:space="preserve"> Realizar y actualizar el diagnóstico de la situación de la cobertura en alfabetización acceso a la educación básica, para la implementación de políticas públicas y programas que ayuden a disminuir los índices de analfabetismo de la población del Municipio.</w:t>
      </w:r>
    </w:p>
    <w:p w:rsidR="001F757C" w:rsidRPr="004B01DE" w:rsidRDefault="001F757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t>VIII.</w:t>
      </w:r>
      <w:r w:rsidRPr="004B01DE">
        <w:rPr>
          <w:rFonts w:ascii="Palatino Linotype" w:hAnsi="Palatino Linotype"/>
          <w:i/>
          <w:iCs/>
          <w:sz w:val="22"/>
          <w:szCs w:val="22"/>
        </w:rPr>
        <w:t xml:space="preserve"> Crear programas sociales, educativos y culturales destinados al desarrollo integral de los estudiantes y jóvenes, promoviendo con ello su participación individual y colectiva;</w:t>
      </w:r>
    </w:p>
    <w:p w:rsidR="001F757C" w:rsidRPr="004B01DE" w:rsidRDefault="001F757C" w:rsidP="001F757C">
      <w:pPr>
        <w:tabs>
          <w:tab w:val="left" w:pos="709"/>
        </w:tabs>
        <w:ind w:left="851" w:right="851"/>
        <w:jc w:val="both"/>
        <w:rPr>
          <w:rFonts w:ascii="Palatino Linotype" w:hAnsi="Palatino Linotype"/>
          <w:i/>
          <w:iCs/>
          <w:sz w:val="22"/>
          <w:szCs w:val="22"/>
        </w:rPr>
      </w:pPr>
      <w:r w:rsidRPr="004B01DE">
        <w:rPr>
          <w:rFonts w:ascii="Palatino Linotype" w:hAnsi="Palatino Linotype"/>
          <w:b/>
          <w:bCs/>
          <w:i/>
          <w:iCs/>
          <w:sz w:val="22"/>
          <w:szCs w:val="22"/>
        </w:rPr>
        <w:lastRenderedPageBreak/>
        <w:t>IX.</w:t>
      </w:r>
      <w:r w:rsidRPr="004B01DE">
        <w:rPr>
          <w:rFonts w:ascii="Palatino Linotype" w:hAnsi="Palatino Linotype"/>
          <w:i/>
          <w:iCs/>
          <w:sz w:val="22"/>
          <w:szCs w:val="22"/>
        </w:rPr>
        <w:t xml:space="preserve"> Coordinar con las autoridades correspondientes programas que coadyuven a elevar el nivel de estudios de quienes participen en los programas establecidos y autorizados.</w:t>
      </w:r>
    </w:p>
    <w:p w:rsidR="00DD6A26" w:rsidRPr="004B01DE" w:rsidRDefault="001F757C" w:rsidP="00DD6A26">
      <w:pPr>
        <w:tabs>
          <w:tab w:val="left" w:pos="709"/>
        </w:tabs>
        <w:ind w:left="851" w:right="851"/>
        <w:jc w:val="both"/>
        <w:rPr>
          <w:rFonts w:ascii="Palatino Linotype" w:hAnsi="Palatino Linotype"/>
          <w:i/>
          <w:iCs/>
          <w:sz w:val="22"/>
          <w:szCs w:val="22"/>
        </w:rPr>
      </w:pPr>
      <w:r w:rsidRPr="004B01DE">
        <w:rPr>
          <w:rFonts w:ascii="Palatino Linotype" w:hAnsi="Palatino Linotype"/>
          <w:i/>
          <w:iCs/>
          <w:sz w:val="22"/>
          <w:szCs w:val="22"/>
        </w:rPr>
        <w:t>…</w:t>
      </w:r>
    </w:p>
    <w:p w:rsidR="00DD6A26" w:rsidRPr="004B01DE" w:rsidRDefault="00DD6A26" w:rsidP="00DD6A26">
      <w:pPr>
        <w:spacing w:before="240" w:after="240" w:line="360" w:lineRule="auto"/>
        <w:jc w:val="both"/>
        <w:rPr>
          <w:rFonts w:ascii="Palatino Linotype" w:eastAsia="MS Mincho" w:hAnsi="Palatino Linotype" w:cs="Arial"/>
        </w:rPr>
      </w:pPr>
      <w:r w:rsidRPr="004B01DE">
        <w:rPr>
          <w:rFonts w:ascii="Palatino Linotype" w:eastAsia="MS Mincho" w:hAnsi="Palatino Linotype" w:cs="Arial"/>
        </w:rPr>
        <w:t>De los dispositivos legales se aprecia con claridad que el Sujeto Obligado está facultado para generar, administrar y poseer la información materia del presente asunto, motivo por el cual, con la finalidad de garantizar el pleno ejercicio del derecho de acceso a la información pública, se considera procedente ordenar al sujeto obligado que haga entrega de la información materia del presente asunto.</w:t>
      </w:r>
    </w:p>
    <w:p w:rsidR="00DD6A26" w:rsidRPr="004B01DE" w:rsidRDefault="00DD6A26" w:rsidP="00DD6A26">
      <w:pPr>
        <w:tabs>
          <w:tab w:val="left" w:pos="709"/>
        </w:tabs>
        <w:spacing w:before="240" w:after="240" w:line="360" w:lineRule="auto"/>
        <w:jc w:val="both"/>
        <w:rPr>
          <w:rFonts w:ascii="Palatino Linotype" w:hAnsi="Palatino Linotype" w:cs="Arial"/>
        </w:rPr>
      </w:pPr>
      <w:r w:rsidRPr="004B01DE">
        <w:rPr>
          <w:rFonts w:ascii="Palatino Linotype" w:hAnsi="Palatino Linotype" w:cs="Arial"/>
        </w:rPr>
        <w:t>Del mismo modo y con la finalidad de tener más elementos sobre la existencia de los programas sociales referidos por el impetrante, personal adscrito a este Instituto procedió a realizar la búsqueda de información relacionada con los programas sociales en comento, obteniendo lo siguiente:</w:t>
      </w:r>
    </w:p>
    <w:p w:rsidR="00DD6A26" w:rsidRPr="004B01DE" w:rsidRDefault="00DD6A26" w:rsidP="00DD6A26">
      <w:pPr>
        <w:tabs>
          <w:tab w:val="left" w:pos="709"/>
        </w:tabs>
        <w:spacing w:before="240" w:after="240" w:line="360" w:lineRule="auto"/>
        <w:jc w:val="both"/>
        <w:rPr>
          <w:rFonts w:ascii="Palatino Linotype" w:hAnsi="Palatino Linotype" w:cs="Arial"/>
        </w:rPr>
      </w:pPr>
      <w:r w:rsidRPr="004B01DE">
        <w:rPr>
          <w:rFonts w:ascii="Palatino Linotype" w:hAnsi="Palatino Linotype" w:cs="Arial"/>
        </w:rPr>
        <w:t>Por lo que se refiere al Programa “Vallechalquenses por México”:</w:t>
      </w:r>
    </w:p>
    <w:p w:rsidR="00DD6A26" w:rsidRPr="004B01DE" w:rsidRDefault="00DD6A26" w:rsidP="00DD6A26">
      <w:pPr>
        <w:tabs>
          <w:tab w:val="left" w:pos="709"/>
        </w:tabs>
        <w:spacing w:before="240" w:after="240" w:line="360" w:lineRule="auto"/>
        <w:jc w:val="both"/>
        <w:rPr>
          <w:rFonts w:ascii="Palatino Linotype" w:hAnsi="Palatino Linotype" w:cs="Arial"/>
        </w:rPr>
      </w:pPr>
      <w:r w:rsidRPr="004B01DE">
        <w:rPr>
          <w:noProof/>
          <w:lang w:val="es-MX" w:eastAsia="es-MX"/>
        </w:rPr>
        <w:drawing>
          <wp:inline distT="0" distB="0" distL="0" distR="0" wp14:anchorId="27B8F365" wp14:editId="7D5E4493">
            <wp:extent cx="5595620" cy="2687541"/>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126" t="17385" r="36810" b="53462"/>
                    <a:stretch/>
                  </pic:blipFill>
                  <pic:spPr bwMode="auto">
                    <a:xfrm>
                      <a:off x="0" y="0"/>
                      <a:ext cx="5611314" cy="2695079"/>
                    </a:xfrm>
                    <a:prstGeom prst="rect">
                      <a:avLst/>
                    </a:prstGeom>
                    <a:ln>
                      <a:noFill/>
                    </a:ln>
                    <a:extLst>
                      <a:ext uri="{53640926-AAD7-44D8-BBD7-CCE9431645EC}">
                        <a14:shadowObscured xmlns:a14="http://schemas.microsoft.com/office/drawing/2010/main"/>
                      </a:ext>
                    </a:extLst>
                  </pic:spPr>
                </pic:pic>
              </a:graphicData>
            </a:graphic>
          </wp:inline>
        </w:drawing>
      </w:r>
    </w:p>
    <w:p w:rsidR="00DD6A26" w:rsidRPr="004B01DE" w:rsidRDefault="00DD6A26" w:rsidP="00DD6A26">
      <w:pPr>
        <w:tabs>
          <w:tab w:val="left" w:pos="709"/>
        </w:tabs>
        <w:spacing w:before="240" w:after="240" w:line="360" w:lineRule="auto"/>
        <w:jc w:val="both"/>
        <w:rPr>
          <w:rFonts w:ascii="Palatino Linotype" w:hAnsi="Palatino Linotype" w:cs="Arial"/>
        </w:rPr>
      </w:pPr>
      <w:r w:rsidRPr="004B01DE">
        <w:rPr>
          <w:rFonts w:ascii="Palatino Linotype" w:hAnsi="Palatino Linotype" w:cs="Arial"/>
        </w:rPr>
        <w:lastRenderedPageBreak/>
        <w:t>Por lo que se refiere al Programa “Apoyo Alimentario para las Familias Vulnerables de Valle de Chalco Solidaridad”(</w:t>
      </w:r>
      <w:hyperlink r:id="rId8" w:history="1">
        <w:r w:rsidRPr="004B01DE">
          <w:rPr>
            <w:rStyle w:val="Hipervnculo"/>
            <w:rFonts w:ascii="Palatino Linotype" w:eastAsiaTheme="minorEastAsia" w:hAnsi="Palatino Linotype"/>
            <w:i/>
            <w:iCs/>
            <w:sz w:val="22"/>
            <w:szCs w:val="22"/>
          </w:rPr>
          <w:t>https://valledechalco.gob.mx/index.php/2019/03/31/gacetas/</w:t>
        </w:r>
      </w:hyperlink>
      <w:r w:rsidRPr="004B01DE">
        <w:rPr>
          <w:rFonts w:ascii="Palatino Linotype" w:hAnsi="Palatino Linotype" w:cs="Arial"/>
        </w:rPr>
        <w:t>):</w:t>
      </w:r>
    </w:p>
    <w:p w:rsidR="00DD6A26" w:rsidRPr="004B01DE" w:rsidRDefault="00DD6A26" w:rsidP="00DD6A26">
      <w:pPr>
        <w:tabs>
          <w:tab w:val="left" w:pos="709"/>
        </w:tabs>
        <w:spacing w:before="240" w:after="240" w:line="360" w:lineRule="auto"/>
        <w:jc w:val="both"/>
        <w:rPr>
          <w:rFonts w:ascii="Palatino Linotype" w:hAnsi="Palatino Linotype" w:cs="Arial"/>
        </w:rPr>
      </w:pPr>
      <w:r w:rsidRPr="004B01DE">
        <w:rPr>
          <w:noProof/>
          <w:lang w:val="es-MX" w:eastAsia="es-MX"/>
        </w:rPr>
        <w:drawing>
          <wp:inline distT="0" distB="0" distL="0" distR="0" wp14:anchorId="2479C845" wp14:editId="6F04C51F">
            <wp:extent cx="5628579" cy="34906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95" t="23688" r="41061" b="4509"/>
                    <a:stretch/>
                  </pic:blipFill>
                  <pic:spPr bwMode="auto">
                    <a:xfrm>
                      <a:off x="0" y="0"/>
                      <a:ext cx="5657888" cy="3508798"/>
                    </a:xfrm>
                    <a:prstGeom prst="rect">
                      <a:avLst/>
                    </a:prstGeom>
                    <a:ln>
                      <a:noFill/>
                    </a:ln>
                    <a:extLst>
                      <a:ext uri="{53640926-AAD7-44D8-BBD7-CCE9431645EC}">
                        <a14:shadowObscured xmlns:a14="http://schemas.microsoft.com/office/drawing/2010/main"/>
                      </a:ext>
                    </a:extLst>
                  </pic:spPr>
                </pic:pic>
              </a:graphicData>
            </a:graphic>
          </wp:inline>
        </w:drawing>
      </w:r>
    </w:p>
    <w:p w:rsidR="00DD6A26" w:rsidRPr="004B01DE" w:rsidRDefault="00DD6A26" w:rsidP="00DD6A26">
      <w:pPr>
        <w:tabs>
          <w:tab w:val="left" w:pos="709"/>
        </w:tabs>
        <w:spacing w:before="240" w:after="240" w:line="360" w:lineRule="auto"/>
        <w:jc w:val="both"/>
        <w:rPr>
          <w:rFonts w:ascii="Palatino Linotype" w:hAnsi="Palatino Linotype"/>
        </w:rPr>
      </w:pPr>
      <w:r w:rsidRPr="004B01DE">
        <w:rPr>
          <w:rFonts w:ascii="Palatino Linotype" w:hAnsi="Palatino Linotype"/>
        </w:rPr>
        <w:t xml:space="preserve">De las capturas de pantalla exhibidas, se aprecia que advierte que los programas sociales de los que se requiere información son implementados por el Sujeto Obligado, motivo por el cual es pertinente mencionar que el artículo 18 de la Ley de Transparencia vigente en la entidad establece en términos generales que los sujetos obligados deberán documentar todo acto que derive del ejercicio de sus facultades, competencias o funciones, motivo por el cual se presume la existencia de la información materia del presente asunto, se afirma lo anterior, en virtud de que la información obtenida de páginas de internet deben ser consideradas como un </w:t>
      </w:r>
      <w:r w:rsidRPr="004B01DE">
        <w:rPr>
          <w:rFonts w:ascii="Palatino Linotype" w:hAnsi="Palatino Linotype"/>
        </w:rPr>
        <w:lastRenderedPageBreak/>
        <w:t>indicio, tal y como lo establece el artículo 104 del Código de Procedimientos Administrativos del Estado de México y Municipios que a continuación se inserta:</w:t>
      </w:r>
    </w:p>
    <w:p w:rsidR="00DD6A26" w:rsidRPr="004B01DE" w:rsidRDefault="00DD6A26" w:rsidP="00DD6A26">
      <w:pPr>
        <w:ind w:left="851" w:right="851"/>
        <w:jc w:val="both"/>
        <w:rPr>
          <w:rFonts w:ascii="Palatino Linotype" w:hAnsi="Palatino Linotype" w:cs="Arial"/>
          <w:i/>
          <w:sz w:val="22"/>
          <w:szCs w:val="22"/>
        </w:rPr>
      </w:pPr>
      <w:r w:rsidRPr="004B01DE">
        <w:rPr>
          <w:rFonts w:ascii="Palatino Linotype" w:hAnsi="Palatino Linotype" w:cs="Arial"/>
          <w:b/>
          <w:bCs/>
          <w:i/>
          <w:sz w:val="22"/>
          <w:szCs w:val="22"/>
        </w:rPr>
        <w:t xml:space="preserve">Artículo 104.- </w:t>
      </w:r>
      <w:r w:rsidRPr="004B01DE">
        <w:rPr>
          <w:rFonts w:ascii="Palatino Linotype" w:hAnsi="Palatino Linotype" w:cs="Arial"/>
          <w:i/>
          <w:sz w:val="22"/>
          <w:szCs w:val="22"/>
        </w:rPr>
        <w:t xml:space="preserve">Las fotografías, copias fotostáticas y demás pruebas aportadas por la ciencia, técnica o arte </w:t>
      </w:r>
      <w:r w:rsidRPr="004B01DE">
        <w:rPr>
          <w:rFonts w:ascii="Palatino Linotype" w:hAnsi="Palatino Linotype" w:cs="Arial"/>
          <w:b/>
          <w:i/>
          <w:sz w:val="22"/>
          <w:szCs w:val="22"/>
        </w:rPr>
        <w:t>quedan a la prudente calificación de la autoridad administrativa</w:t>
      </w:r>
      <w:r w:rsidRPr="004B01DE">
        <w:rPr>
          <w:rFonts w:ascii="Palatino Linotype" w:hAnsi="Palatino Linotype" w:cs="Arial"/>
          <w:i/>
          <w:sz w:val="22"/>
          <w:szCs w:val="22"/>
        </w:rPr>
        <w:t xml:space="preserve"> del Tribunal. Las copias fotostáticas sólo harán fe cuando estén certificadas legalmente.</w:t>
      </w:r>
    </w:p>
    <w:p w:rsidR="00DD6A26" w:rsidRPr="004B01DE" w:rsidRDefault="00DD6A26" w:rsidP="00DD6A26">
      <w:pPr>
        <w:ind w:left="851" w:right="851"/>
        <w:jc w:val="both"/>
        <w:rPr>
          <w:rFonts w:ascii="Palatino Linotype" w:hAnsi="Palatino Linotype" w:cs="Arial"/>
          <w:i/>
          <w:sz w:val="22"/>
          <w:szCs w:val="22"/>
        </w:rPr>
      </w:pPr>
    </w:p>
    <w:p w:rsidR="00DD6A26" w:rsidRPr="004B01DE" w:rsidRDefault="00DD6A26" w:rsidP="00DD6A26">
      <w:pPr>
        <w:ind w:left="851" w:right="851"/>
        <w:jc w:val="both"/>
        <w:rPr>
          <w:rFonts w:ascii="Palatino Linotype" w:hAnsi="Palatino Linotype" w:cs="Arial"/>
          <w:i/>
          <w:sz w:val="22"/>
          <w:szCs w:val="22"/>
        </w:rPr>
      </w:pPr>
      <w:r w:rsidRPr="004B01DE">
        <w:rPr>
          <w:rFonts w:ascii="Palatino Linotype" w:hAnsi="Palatino Linotype" w:cs="Arial"/>
          <w:i/>
          <w:sz w:val="22"/>
          <w:szCs w:val="22"/>
        </w:rPr>
        <w:t>Énfasis añadido.</w:t>
      </w:r>
    </w:p>
    <w:p w:rsidR="00DD6A26" w:rsidRPr="004B01DE" w:rsidRDefault="00DD6A26" w:rsidP="00DD6A26">
      <w:pPr>
        <w:ind w:left="851" w:right="851"/>
        <w:jc w:val="both"/>
        <w:rPr>
          <w:rFonts w:ascii="Palatino Linotype" w:hAnsi="Palatino Linotype" w:cs="Arial"/>
          <w:i/>
          <w:sz w:val="22"/>
          <w:szCs w:val="22"/>
        </w:rPr>
      </w:pPr>
    </w:p>
    <w:p w:rsidR="00DD6A26" w:rsidRPr="004B01DE" w:rsidRDefault="00DD6A26" w:rsidP="00DD6A26">
      <w:pPr>
        <w:spacing w:before="240" w:after="240" w:line="360" w:lineRule="auto"/>
        <w:jc w:val="both"/>
        <w:rPr>
          <w:rFonts w:ascii="Palatino Linotype" w:hAnsi="Palatino Linotype" w:cs="Arial"/>
          <w:i/>
        </w:rPr>
      </w:pPr>
      <w:r w:rsidRPr="004B01DE">
        <w:rPr>
          <w:rFonts w:ascii="Palatino Linotype" w:hAnsi="Palatino Linotype" w:cs="Arial"/>
        </w:rPr>
        <w:t>Al respecto, debe mencionarse que, si bien es cierto, las publicaciones plasmadas en la red de Internet constituyen el Derecho a la Libre Expresión de los profesionales en la materia (</w:t>
      </w:r>
      <w:r w:rsidRPr="004B01DE">
        <w:rPr>
          <w:rFonts w:ascii="Palatino Linotype" w:hAnsi="Palatino Linotype" w:cs="Arial"/>
          <w:i/>
          <w:iCs/>
        </w:rPr>
        <w:t>artículo 7 de la Constitución Política de los Estados Unidos Mexicanos</w:t>
      </w:r>
      <w:r w:rsidRPr="004B01DE">
        <w:rPr>
          <w:rFonts w:ascii="Palatino Linotype" w:hAnsi="Palatino Linotype" w:cs="Arial"/>
        </w:rPr>
        <w:t xml:space="preserve">), en los que se plasman opiniones, señalamientos o comentarios respecto de diversos hechos que se suscitan en un lugar y tiempo determinados, también lo es que las imágenes encontradas </w:t>
      </w:r>
      <w:r w:rsidRPr="004B01DE">
        <w:rPr>
          <w:rFonts w:ascii="Palatino Linotype" w:hAnsi="Palatino Linotype" w:cs="Arial"/>
          <w:b/>
        </w:rPr>
        <w:t>arrojan indicios</w:t>
      </w:r>
      <w:r w:rsidRPr="004B01DE">
        <w:rPr>
          <w:rFonts w:ascii="Palatino Linotype" w:hAnsi="Palatino Linotype" w:cs="Arial"/>
        </w:rPr>
        <w:t xml:space="preserve"> sobre la existencia de la información del sujeto obligado, lo anterior se fortalece con la Jurisprudencia y Tesis Aisladas que a continuación se insertan:</w:t>
      </w:r>
    </w:p>
    <w:p w:rsidR="00DD6A26" w:rsidRPr="004B01DE" w:rsidRDefault="00DD6A26" w:rsidP="00DD6A26">
      <w:pPr>
        <w:ind w:left="851" w:right="851"/>
        <w:jc w:val="both"/>
        <w:rPr>
          <w:rFonts w:ascii="Palatino Linotype" w:hAnsi="Palatino Linotype" w:cs="Arial"/>
          <w:i/>
          <w:sz w:val="22"/>
          <w:szCs w:val="22"/>
        </w:rPr>
      </w:pPr>
      <w:r w:rsidRPr="004B01DE">
        <w:rPr>
          <w:rFonts w:ascii="Palatino Linotype" w:hAnsi="Palatino Linotype" w:cs="Arial"/>
          <w:b/>
          <w:i/>
          <w:sz w:val="22"/>
          <w:szCs w:val="22"/>
        </w:rPr>
        <w:t>INDICIO. CONCEPTO DE.</w:t>
      </w:r>
      <w:r w:rsidRPr="004B01DE">
        <w:rPr>
          <w:rFonts w:ascii="Palatino Linotype" w:hAnsi="Palatino Linotype" w:cs="Arial"/>
          <w:i/>
          <w:sz w:val="22"/>
          <w:szCs w:val="22"/>
        </w:rPr>
        <w:t xml:space="preserve"> </w:t>
      </w:r>
      <w:r w:rsidRPr="004B01DE">
        <w:rPr>
          <w:rFonts w:ascii="Palatino Linotype" w:hAnsi="Palatino Linotype" w:cs="Arial"/>
          <w:b/>
          <w:i/>
          <w:sz w:val="22"/>
          <w:szCs w:val="22"/>
        </w:rPr>
        <w:t>El "indicio" es una circunstancia cierta de la que se puede sacar, por inducción lógica, una conclusión acerca de la existencia (o inexistencia) de un hecho a probar</w:t>
      </w:r>
      <w:r w:rsidRPr="004B01DE">
        <w:rPr>
          <w:rFonts w:ascii="Palatino Linotype" w:hAnsi="Palatino Linotype" w:cs="Arial"/>
          <w:i/>
          <w:sz w:val="22"/>
          <w:szCs w:val="22"/>
        </w:rPr>
        <w:t>;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w:t>
      </w:r>
    </w:p>
    <w:p w:rsidR="00DD6A26" w:rsidRPr="004B01DE" w:rsidRDefault="00DD6A26" w:rsidP="00DD6A26">
      <w:pPr>
        <w:ind w:left="851" w:right="851"/>
        <w:jc w:val="both"/>
        <w:rPr>
          <w:rFonts w:ascii="Palatino Linotype" w:hAnsi="Palatino Linotype" w:cs="Arial"/>
          <w:i/>
          <w:sz w:val="22"/>
          <w:szCs w:val="22"/>
        </w:rPr>
      </w:pPr>
      <w:r w:rsidRPr="004B01DE">
        <w:rPr>
          <w:rFonts w:ascii="Palatino Linotype" w:hAnsi="Palatino Linotype" w:cs="Arial"/>
          <w:i/>
          <w:sz w:val="22"/>
          <w:szCs w:val="22"/>
        </w:rPr>
        <w:lastRenderedPageBreak/>
        <w:t xml:space="preserve">SEGUNDO TRIBUNAL COLEGIADO DEL SEXTO CIRCUITO. </w:t>
      </w:r>
    </w:p>
    <w:p w:rsidR="00DD6A26" w:rsidRPr="004B01DE" w:rsidRDefault="00DD6A26" w:rsidP="00DD6A26">
      <w:pPr>
        <w:ind w:left="851" w:right="851"/>
        <w:jc w:val="both"/>
        <w:rPr>
          <w:rFonts w:ascii="Palatino Linotype" w:hAnsi="Palatino Linotype" w:cs="Arial"/>
          <w:i/>
          <w:sz w:val="22"/>
          <w:szCs w:val="22"/>
        </w:rPr>
      </w:pPr>
      <w:r w:rsidRPr="004B01DE">
        <w:rPr>
          <w:rFonts w:ascii="Palatino Linotype" w:hAnsi="Palatino Linotype" w:cs="Arial"/>
          <w:i/>
          <w:sz w:val="22"/>
          <w:szCs w:val="22"/>
        </w:rPr>
        <w:t>Amparo directo 317/87. Juan Antonio Ibarra Chaire y coags. 12 de julio de 1988. Unanimidad de votos. Ponente: José Galván Rojas. Secretario: Vicente Martínez Sánchez.</w:t>
      </w:r>
    </w:p>
    <w:p w:rsidR="00DD6A26" w:rsidRPr="004B01DE" w:rsidRDefault="00DD6A26" w:rsidP="00DD6A26">
      <w:pPr>
        <w:ind w:left="851" w:right="851"/>
        <w:jc w:val="both"/>
        <w:rPr>
          <w:rFonts w:ascii="Palatino Linotype" w:hAnsi="Palatino Linotype" w:cs="Arial"/>
          <w:i/>
          <w:sz w:val="22"/>
          <w:szCs w:val="22"/>
        </w:rPr>
      </w:pPr>
      <w:r w:rsidRPr="004B01DE">
        <w:rPr>
          <w:rFonts w:ascii="Palatino Linotype" w:hAnsi="Palatino Linotype" w:cs="Arial"/>
          <w:i/>
          <w:sz w:val="22"/>
          <w:szCs w:val="22"/>
        </w:rPr>
        <w:t>…</w:t>
      </w:r>
    </w:p>
    <w:p w:rsidR="00DD6A26" w:rsidRPr="004B01DE" w:rsidRDefault="00DD6A26" w:rsidP="00DD6A26">
      <w:pPr>
        <w:ind w:left="851" w:right="851"/>
        <w:jc w:val="both"/>
        <w:rPr>
          <w:rFonts w:ascii="Palatino Linotype" w:hAnsi="Palatino Linotype" w:cs="Arial"/>
          <w:b/>
          <w:i/>
          <w:sz w:val="22"/>
          <w:szCs w:val="22"/>
        </w:rPr>
      </w:pPr>
    </w:p>
    <w:p w:rsidR="00DD6A26" w:rsidRPr="004B01DE" w:rsidRDefault="00DD6A26" w:rsidP="00DD6A26">
      <w:pPr>
        <w:ind w:left="851" w:right="851"/>
        <w:jc w:val="both"/>
        <w:rPr>
          <w:rFonts w:ascii="Palatino Linotype" w:hAnsi="Palatino Linotype" w:cs="Calibri"/>
          <w:b/>
          <w:bCs/>
          <w:i/>
          <w:iCs/>
          <w:sz w:val="22"/>
          <w:szCs w:val="22"/>
          <w:lang w:val="es-MX" w:eastAsia="es-MX"/>
        </w:rPr>
      </w:pPr>
      <w:r w:rsidRPr="004B01DE">
        <w:rPr>
          <w:rFonts w:ascii="Palatino Linotype" w:hAnsi="Palatino Linotype" w:cs="Calibri"/>
          <w:b/>
          <w:bCs/>
          <w:i/>
          <w:iCs/>
          <w:sz w:val="22"/>
          <w:szCs w:val="22"/>
        </w:rPr>
        <w:t>INFORMACIÓN CONTENIDA EN PÁGINAS DE </w:t>
      </w:r>
      <w:r w:rsidRPr="004B01DE">
        <w:rPr>
          <w:rStyle w:val="red"/>
          <w:rFonts w:ascii="Palatino Linotype" w:eastAsiaTheme="minorEastAsia" w:hAnsi="Palatino Linotype" w:cs="Calibri"/>
          <w:b/>
          <w:bCs/>
          <w:i/>
          <w:iCs/>
          <w:sz w:val="22"/>
          <w:szCs w:val="22"/>
          <w:shd w:val="clear" w:color="auto" w:fill="FFFF00"/>
        </w:rPr>
        <w:t>INTERNET</w:t>
      </w:r>
      <w:r w:rsidRPr="004B01DE">
        <w:rPr>
          <w:rFonts w:ascii="Palatino Linotype" w:hAnsi="Palatino Linotype" w:cs="Calibri"/>
          <w:b/>
          <w:bCs/>
          <w:i/>
          <w:iCs/>
          <w:sz w:val="22"/>
          <w:szCs w:val="22"/>
        </w:rPr>
        <w:t>. SU VALOR PROBATORIO EN EL JUICIO CONTENCIOSO ADMINISTRATIVO FEDERAL.</w:t>
      </w:r>
    </w:p>
    <w:p w:rsidR="00DD6A26" w:rsidRPr="004B01DE" w:rsidRDefault="00DD6A26" w:rsidP="00DD6A26">
      <w:pPr>
        <w:ind w:left="851" w:right="851"/>
        <w:rPr>
          <w:rFonts w:ascii="Palatino Linotype" w:hAnsi="Palatino Linotype"/>
          <w:i/>
          <w:iCs/>
          <w:sz w:val="22"/>
          <w:szCs w:val="22"/>
        </w:rPr>
      </w:pPr>
    </w:p>
    <w:p w:rsidR="00DD6A26" w:rsidRPr="004B01DE" w:rsidRDefault="00DD6A26" w:rsidP="00DD6A26">
      <w:pPr>
        <w:ind w:left="851" w:right="851"/>
        <w:jc w:val="both"/>
        <w:rPr>
          <w:rFonts w:ascii="Palatino Linotype" w:hAnsi="Palatino Linotype" w:cs="Calibri"/>
          <w:i/>
          <w:iCs/>
          <w:sz w:val="22"/>
          <w:szCs w:val="22"/>
        </w:rPr>
      </w:pPr>
      <w:r w:rsidRPr="004B01DE">
        <w:rPr>
          <w:rFonts w:ascii="Palatino Linotype" w:hAnsi="Palatino Linotype" w:cs="Calibri"/>
          <w:i/>
          <w:iCs/>
          <w:sz w:val="22"/>
          <w:szCs w:val="22"/>
        </w:rPr>
        <w:t>De la interpretación de los artículos </w:t>
      </w:r>
      <w:hyperlink r:id="rId10" w:history="1">
        <w:r w:rsidRPr="004B01DE">
          <w:rPr>
            <w:rStyle w:val="Hipervnculo"/>
            <w:rFonts w:ascii="Palatino Linotype" w:hAnsi="Palatino Linotype" w:cs="Calibri"/>
            <w:i/>
            <w:iCs/>
            <w:color w:val="auto"/>
            <w:sz w:val="22"/>
            <w:szCs w:val="22"/>
          </w:rPr>
          <w:t>88, 197, 210-A y 217 del Código Federal de Procedimientos Civiles</w:t>
        </w:r>
      </w:hyperlink>
      <w:r w:rsidRPr="004B01DE">
        <w:rPr>
          <w:rFonts w:ascii="Palatino Linotype" w:hAnsi="Palatino Linotype" w:cs="Calibri"/>
          <w:i/>
          <w:iCs/>
          <w:sz w:val="22"/>
          <w:szCs w:val="22"/>
        </w:rPr>
        <w:t>, así como </w:t>
      </w:r>
      <w:hyperlink r:id="rId11" w:history="1">
        <w:r w:rsidRPr="004B01DE">
          <w:rPr>
            <w:rStyle w:val="Hipervnculo"/>
            <w:rFonts w:ascii="Palatino Linotype" w:hAnsi="Palatino Linotype" w:cs="Calibri"/>
            <w:i/>
            <w:iCs/>
            <w:color w:val="auto"/>
            <w:sz w:val="22"/>
            <w:szCs w:val="22"/>
          </w:rPr>
          <w:t>46 de la Ley Federal de Procedimiento Contencioso Administrativo</w:t>
        </w:r>
      </w:hyperlink>
      <w:r w:rsidRPr="004B01DE">
        <w:rPr>
          <w:rFonts w:ascii="Palatino Linotype" w:hAnsi="Palatino Linotype" w:cs="Calibri"/>
          <w:i/>
          <w:iCs/>
          <w:sz w:val="22"/>
          <w:szCs w:val="22"/>
        </w:rPr>
        <w:t xml:space="preserve">, </w:t>
      </w:r>
      <w:r w:rsidRPr="004B01DE">
        <w:rPr>
          <w:rFonts w:ascii="Palatino Linotype" w:hAnsi="Palatino Linotype" w:cs="Calibri"/>
          <w:b/>
          <w:bCs/>
          <w:i/>
          <w:iCs/>
          <w:sz w:val="22"/>
          <w:szCs w:val="22"/>
          <w:u w:val="single"/>
        </w:rPr>
        <w:t>se colige que los datos publicados en documentos o páginas situadas en redes informáticas constituyen, presumiblemente y, salvo prueba en contrario, un hecho notorio</w:t>
      </w:r>
      <w:r w:rsidRPr="004B01DE">
        <w:rPr>
          <w:rFonts w:ascii="Palatino Linotype" w:hAnsi="Palatino Linotype" w:cs="Calibri"/>
          <w:i/>
          <w:iCs/>
          <w:sz w:val="22"/>
          <w:szCs w:val="22"/>
        </w:rPr>
        <w:t xml:space="preserve">, por formar parte del conocimiento general, y un elemento de prueba, en tanto cumplan las exigencias de dichos preceptos, las cuales deben considerarse cuando haya objeciones respecto a aspectos puntuales y como referente para valorar su fuerza probatoria. Por tanto, </w:t>
      </w:r>
      <w:r w:rsidRPr="004B01DE">
        <w:rPr>
          <w:rFonts w:ascii="Palatino Linotype" w:hAnsi="Palatino Linotype" w:cs="Calibri"/>
          <w:b/>
          <w:bCs/>
          <w:i/>
          <w:iCs/>
          <w:sz w:val="22"/>
          <w:szCs w:val="22"/>
          <w:u w:val="single"/>
        </w:rPr>
        <w:t>la información contenida en una página de </w:t>
      </w:r>
      <w:r w:rsidRPr="004B01DE">
        <w:rPr>
          <w:rStyle w:val="red"/>
          <w:rFonts w:ascii="Palatino Linotype" w:eastAsiaTheme="minorEastAsia" w:hAnsi="Palatino Linotype" w:cs="Calibri"/>
          <w:b/>
          <w:bCs/>
          <w:i/>
          <w:iCs/>
          <w:sz w:val="22"/>
          <w:szCs w:val="22"/>
          <w:u w:val="single"/>
          <w:shd w:val="clear" w:color="auto" w:fill="FFFF00"/>
        </w:rPr>
        <w:t>Internet</w:t>
      </w:r>
      <w:r w:rsidRPr="004B01DE">
        <w:rPr>
          <w:rFonts w:ascii="Palatino Linotype" w:hAnsi="Palatino Linotype" w:cs="Calibri"/>
          <w:b/>
          <w:bCs/>
          <w:i/>
          <w:iCs/>
          <w:sz w:val="22"/>
          <w:szCs w:val="22"/>
          <w:u w:val="single"/>
        </w:rPr>
        <w:t> puede tomarse como prueba plena, cuando haya sido ofrecida en el juicio contencioso administrativo federal, o bien, invocada como hecho notorio</w:t>
      </w:r>
      <w:r w:rsidRPr="004B01DE">
        <w:rPr>
          <w:rFonts w:ascii="Palatino Linotype" w:hAnsi="Palatino Linotype" w:cs="Calibri"/>
          <w:i/>
          <w:iCs/>
          <w:sz w:val="22"/>
          <w:szCs w:val="22"/>
        </w:rPr>
        <w:t>.</w:t>
      </w:r>
      <w:r w:rsidRPr="004B01DE">
        <w:rPr>
          <w:rFonts w:ascii="Palatino Linotype" w:hAnsi="Palatino Linotype" w:cs="Calibri"/>
          <w:i/>
          <w:iCs/>
          <w:sz w:val="22"/>
          <w:szCs w:val="22"/>
        </w:rPr>
        <w:br/>
      </w:r>
    </w:p>
    <w:p w:rsidR="00DD6A26" w:rsidRPr="004B01DE" w:rsidRDefault="00DD6A26" w:rsidP="00DD6A26">
      <w:pPr>
        <w:ind w:left="851" w:right="851"/>
        <w:jc w:val="both"/>
        <w:rPr>
          <w:rFonts w:ascii="Palatino Linotype" w:hAnsi="Palatino Linotype" w:cs="Arial"/>
          <w:i/>
          <w:sz w:val="22"/>
          <w:szCs w:val="22"/>
        </w:rPr>
      </w:pPr>
    </w:p>
    <w:p w:rsidR="00DD6A26" w:rsidRPr="004B01DE" w:rsidRDefault="00DD6A26" w:rsidP="00DD6A26">
      <w:pPr>
        <w:ind w:left="851" w:right="851"/>
        <w:jc w:val="both"/>
        <w:rPr>
          <w:rFonts w:ascii="Palatino Linotype" w:hAnsi="Palatino Linotype" w:cs="Arial"/>
          <w:i/>
          <w:iCs/>
          <w:sz w:val="22"/>
          <w:szCs w:val="22"/>
        </w:rPr>
      </w:pPr>
      <w:r w:rsidRPr="004B01DE">
        <w:rPr>
          <w:rFonts w:ascii="Palatino Linotype" w:hAnsi="Palatino Linotype" w:cs="Arial"/>
          <w:i/>
          <w:iCs/>
          <w:sz w:val="22"/>
          <w:szCs w:val="22"/>
        </w:rPr>
        <w:t>Énfasis añadido.</w:t>
      </w:r>
    </w:p>
    <w:p w:rsidR="00DD6A26" w:rsidRPr="004B01DE" w:rsidRDefault="00DD6A26" w:rsidP="00DD6A26">
      <w:pPr>
        <w:ind w:left="851" w:right="851"/>
        <w:jc w:val="both"/>
        <w:rPr>
          <w:rFonts w:ascii="Palatino Linotype" w:hAnsi="Palatino Linotype" w:cs="Arial"/>
          <w:i/>
          <w:iCs/>
          <w:sz w:val="22"/>
          <w:szCs w:val="22"/>
        </w:rPr>
      </w:pPr>
    </w:p>
    <w:p w:rsidR="00DD6A26" w:rsidRPr="004B01DE" w:rsidRDefault="00DD6A26" w:rsidP="00DD6A26">
      <w:pPr>
        <w:shd w:val="clear" w:color="auto" w:fill="FFFFFF"/>
        <w:spacing w:before="240" w:after="240" w:line="360" w:lineRule="auto"/>
        <w:jc w:val="both"/>
        <w:rPr>
          <w:rFonts w:ascii="Palatino Linotype" w:hAnsi="Palatino Linotype"/>
          <w:bCs/>
        </w:rPr>
      </w:pPr>
      <w:r w:rsidRPr="004B01DE">
        <w:rPr>
          <w:rFonts w:ascii="Palatino Linotype" w:hAnsi="Palatino Linotype"/>
        </w:rPr>
        <w:t xml:space="preserve">En este sentido y tomando en cuenta </w:t>
      </w:r>
      <w:r w:rsidR="00B26509" w:rsidRPr="004B01DE">
        <w:rPr>
          <w:rFonts w:ascii="Palatino Linotype" w:hAnsi="Palatino Linotype"/>
        </w:rPr>
        <w:t>lo precisado anteriormente,</w:t>
      </w:r>
      <w:r w:rsidRPr="004B01DE">
        <w:rPr>
          <w:rFonts w:ascii="Palatino Linotype" w:hAnsi="Palatino Linotype"/>
        </w:rPr>
        <w:t xml:space="preserve"> se concluye que el Sujeto Obligado está facultado para generar, administrar y poseer la información materia del presente asunto.</w:t>
      </w:r>
    </w:p>
    <w:p w:rsidR="00ED534B" w:rsidRPr="00DD6A26" w:rsidRDefault="00ED534B" w:rsidP="00DD6A26">
      <w:pPr>
        <w:shd w:val="clear" w:color="auto" w:fill="FFFFFF"/>
        <w:spacing w:before="240" w:after="240" w:line="360" w:lineRule="auto"/>
        <w:jc w:val="both"/>
        <w:rPr>
          <w:rFonts w:ascii="Palatino Linotype" w:hAnsi="Palatino Linotype"/>
          <w:bCs/>
        </w:rPr>
      </w:pPr>
      <w:r w:rsidRPr="004B01DE">
        <w:rPr>
          <w:rFonts w:ascii="Palatino Linotype" w:eastAsia="MS Mincho" w:hAnsi="Palatino Linotype" w:cs="Arial"/>
        </w:rPr>
        <w:t>Finalmente, toda</w:t>
      </w:r>
      <w:r w:rsidRPr="00587361">
        <w:rPr>
          <w:rFonts w:ascii="Palatino Linotype" w:eastAsia="MS Mincho" w:hAnsi="Palatino Linotype" w:cs="Arial"/>
        </w:rPr>
        <w:t xml:space="preserve"> vez que el presente recurso de revisión tuvo como origen la falta de respuesta a la solicitud número </w:t>
      </w:r>
      <w:r w:rsidR="00DC62FA" w:rsidRPr="00DC62FA">
        <w:rPr>
          <w:rFonts w:ascii="Palatino Linotype" w:eastAsia="MS Mincho" w:hAnsi="Palatino Linotype" w:cs="Arial"/>
          <w:b/>
          <w:bCs/>
        </w:rPr>
        <w:t>00701/VACHASO/IP/2019</w:t>
      </w:r>
      <w:r w:rsidRPr="00587361">
        <w:rPr>
          <w:rFonts w:ascii="Palatino Linotype" w:eastAsia="MS Mincho" w:hAnsi="Palatino Linotype" w:cs="Arial"/>
        </w:rPr>
        <w:t xml:space="preserve">, en el plazo que tienen los Sujetos Obligados para atender las solicitudes de información que les son formuladas, de conformidad, según lo establece el artículo 163 de la Ley de Transparencia y Acceso a la Información Pública del Estado de México y Municipios; </w:t>
      </w:r>
      <w:r w:rsidRPr="00587361">
        <w:rPr>
          <w:rFonts w:ascii="Palatino Linotype" w:eastAsia="MS Mincho" w:hAnsi="Palatino Linotype" w:cs="Arial"/>
        </w:rPr>
        <w:lastRenderedPageBreak/>
        <w:t>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 </w:t>
      </w:r>
    </w:p>
    <w:p w:rsidR="00ED534B" w:rsidRPr="00587361" w:rsidRDefault="00ED534B" w:rsidP="00ED534B">
      <w:pPr>
        <w:spacing w:before="240" w:after="240" w:line="360" w:lineRule="auto"/>
        <w:jc w:val="both"/>
        <w:rPr>
          <w:rFonts w:ascii="Palatino Linotype" w:hAnsi="Palatino Linotype" w:cs="Arial"/>
        </w:rPr>
      </w:pPr>
      <w:r w:rsidRPr="00587361">
        <w:rPr>
          <w:rFonts w:ascii="Palatino Linotype" w:hAnsi="Palatino Linotype" w:cs="Arial"/>
        </w:rPr>
        <w:t xml:space="preserve">En mérito de lo expuesto en líneas anteriores, este Órgano Garante considera que resultan fundados los motivos de inconformidad que arguye el recurrente en sus medios de impugnación que fue materia de estudio, por ello con fundamento en el artículo 186 fracción IV de la Ley de Transparencia y Acceso a la Información Pública del Estado de México y Municipios, se </w:t>
      </w:r>
      <w:r w:rsidRPr="00587361">
        <w:rPr>
          <w:rFonts w:ascii="Palatino Linotype" w:hAnsi="Palatino Linotype" w:cs="Arial"/>
          <w:b/>
        </w:rPr>
        <w:t xml:space="preserve">ORDENA al Sujeto Obligado </w:t>
      </w:r>
      <w:r w:rsidRPr="00587361">
        <w:rPr>
          <w:rFonts w:ascii="Palatino Linotype" w:hAnsi="Palatino Linotype"/>
          <w:b/>
        </w:rPr>
        <w:t>de</w:t>
      </w:r>
      <w:r w:rsidRPr="00587361">
        <w:rPr>
          <w:rFonts w:ascii="Palatino Linotype" w:hAnsi="Palatino Linotype"/>
        </w:rPr>
        <w:t xml:space="preserve"> respuesta a la solicitud de información</w:t>
      </w:r>
      <w:r w:rsidRPr="00587361">
        <w:rPr>
          <w:rFonts w:ascii="Palatino Linotype" w:hAnsi="Palatino Linotype" w:cs="Arial"/>
          <w:b/>
          <w:bCs/>
        </w:rPr>
        <w:t> </w:t>
      </w:r>
      <w:r w:rsidR="00DC62FA" w:rsidRPr="00DC62FA">
        <w:rPr>
          <w:rFonts w:ascii="Palatino Linotype" w:hAnsi="Palatino Linotype" w:cs="Arial"/>
          <w:b/>
          <w:bCs/>
        </w:rPr>
        <w:t>00701/VACHASO/IP/2019</w:t>
      </w:r>
      <w:r w:rsidRPr="00587361">
        <w:rPr>
          <w:rFonts w:ascii="Palatino Linotype" w:hAnsi="Palatino Linotype" w:cs="Arial"/>
          <w:b/>
        </w:rPr>
        <w:t xml:space="preserve"> </w:t>
      </w:r>
      <w:r w:rsidRPr="00587361">
        <w:rPr>
          <w:rFonts w:ascii="Palatino Linotype" w:hAnsi="Palatino Linotype"/>
        </w:rPr>
        <w:t>que ha sido materia del presente fallo</w:t>
      </w:r>
      <w:r w:rsidRPr="00587361">
        <w:rPr>
          <w:rFonts w:ascii="Palatino Linotype" w:hAnsi="Palatino Linotype" w:cs="Arial"/>
        </w:rPr>
        <w:t>, por lo que este Pleno:</w:t>
      </w:r>
    </w:p>
    <w:p w:rsidR="00ED534B" w:rsidRPr="00587361" w:rsidRDefault="00ED534B" w:rsidP="00ED534B">
      <w:pPr>
        <w:pStyle w:val="NormalWeb"/>
        <w:numPr>
          <w:ilvl w:val="0"/>
          <w:numId w:val="1"/>
        </w:numPr>
        <w:spacing w:line="360" w:lineRule="auto"/>
        <w:jc w:val="center"/>
        <w:rPr>
          <w:rFonts w:ascii="Palatino Linotype" w:hAnsi="Palatino Linotype" w:cs="Arial"/>
          <w:b/>
        </w:rPr>
      </w:pPr>
      <w:r w:rsidRPr="00587361">
        <w:rPr>
          <w:rFonts w:ascii="Palatino Linotype" w:hAnsi="Palatino Linotype" w:cs="Arial"/>
          <w:b/>
        </w:rPr>
        <w:t>R E S U E L V E:</w:t>
      </w:r>
    </w:p>
    <w:p w:rsidR="00ED534B" w:rsidRPr="004B01DE" w:rsidRDefault="00ED534B" w:rsidP="00ED534B">
      <w:pPr>
        <w:spacing w:before="240" w:after="240" w:line="360" w:lineRule="auto"/>
        <w:ind w:right="49"/>
        <w:jc w:val="both"/>
        <w:rPr>
          <w:rFonts w:ascii="Palatino Linotype" w:hAnsi="Palatino Linotype" w:cs="Arial"/>
        </w:rPr>
      </w:pPr>
      <w:r w:rsidRPr="00587361">
        <w:rPr>
          <w:rFonts w:ascii="Palatino Linotype" w:hAnsi="Palatino Linotype" w:cs="Arial"/>
          <w:b/>
        </w:rPr>
        <w:t xml:space="preserve">Primero. </w:t>
      </w:r>
      <w:r w:rsidRPr="004B01DE">
        <w:rPr>
          <w:rFonts w:ascii="Palatino Linotype" w:hAnsi="Palatino Linotype" w:cs="Arial"/>
          <w:lang w:val="es-ES_tradnl"/>
        </w:rPr>
        <w:t xml:space="preserve">Resultan </w:t>
      </w:r>
      <w:r w:rsidRPr="004B01DE">
        <w:rPr>
          <w:rFonts w:ascii="Palatino Linotype" w:eastAsia="Arial Unicode MS" w:hAnsi="Palatino Linotype" w:cs="Arial"/>
        </w:rPr>
        <w:t xml:space="preserve">fundados los motivos de inconformidad que arguye el recurrente, en términos del </w:t>
      </w:r>
      <w:r w:rsidRPr="004B01DE">
        <w:rPr>
          <w:rFonts w:ascii="Palatino Linotype" w:hAnsi="Palatino Linotype" w:cs="Arial"/>
        </w:rPr>
        <w:t xml:space="preserve">Considerando </w:t>
      </w:r>
      <w:r w:rsidR="00DC62FA" w:rsidRPr="004B01DE">
        <w:rPr>
          <w:rFonts w:ascii="Palatino Linotype" w:hAnsi="Palatino Linotype" w:cs="Arial"/>
        </w:rPr>
        <w:t xml:space="preserve">Cuarto </w:t>
      </w:r>
      <w:r w:rsidRPr="004B01DE">
        <w:rPr>
          <w:rFonts w:ascii="Palatino Linotype" w:hAnsi="Palatino Linotype" w:cs="Arial"/>
        </w:rPr>
        <w:t>de la presente resolución.</w:t>
      </w:r>
    </w:p>
    <w:p w:rsidR="00B26509" w:rsidRPr="004B01DE" w:rsidRDefault="00ED534B" w:rsidP="00B26509">
      <w:pPr>
        <w:spacing w:before="240" w:after="240" w:line="360" w:lineRule="auto"/>
        <w:jc w:val="both"/>
        <w:rPr>
          <w:rFonts w:ascii="Palatino Linotype" w:hAnsi="Palatino Linotype" w:cs="Arial"/>
        </w:rPr>
      </w:pPr>
      <w:r w:rsidRPr="004B01DE">
        <w:rPr>
          <w:rFonts w:ascii="Palatino Linotype" w:hAnsi="Palatino Linotype" w:cs="Arial"/>
          <w:b/>
        </w:rPr>
        <w:t>Segundo.</w:t>
      </w:r>
      <w:r w:rsidRPr="004B01DE">
        <w:rPr>
          <w:rFonts w:ascii="Palatino Linotype" w:eastAsia="Calibri" w:hAnsi="Palatino Linotype" w:cs="Arial"/>
        </w:rPr>
        <w:t xml:space="preserve"> </w:t>
      </w:r>
      <w:r w:rsidRPr="004B01DE">
        <w:rPr>
          <w:rFonts w:ascii="Palatino Linotype" w:hAnsi="Palatino Linotype" w:cs="Arial"/>
        </w:rPr>
        <w:t>Se</w:t>
      </w:r>
      <w:r w:rsidRPr="004B01DE">
        <w:rPr>
          <w:rFonts w:ascii="Palatino Linotype" w:hAnsi="Palatino Linotype" w:cs="Arial"/>
          <w:b/>
        </w:rPr>
        <w:t xml:space="preserve"> </w:t>
      </w:r>
      <w:r w:rsidRPr="004B01DE">
        <w:rPr>
          <w:rFonts w:ascii="Palatino Linotype" w:hAnsi="Palatino Linotype"/>
          <w:b/>
        </w:rPr>
        <w:t xml:space="preserve">ORDENA </w:t>
      </w:r>
      <w:r w:rsidRPr="004B01DE">
        <w:rPr>
          <w:rFonts w:ascii="Palatino Linotype" w:hAnsi="Palatino Linotype"/>
        </w:rPr>
        <w:t xml:space="preserve">al </w:t>
      </w:r>
      <w:r w:rsidRPr="004B01DE">
        <w:rPr>
          <w:rFonts w:ascii="Palatino Linotype" w:hAnsi="Palatino Linotype"/>
          <w:b/>
        </w:rPr>
        <w:t>Sujeto Obligado</w:t>
      </w:r>
      <w:r w:rsidRPr="004B01DE">
        <w:rPr>
          <w:rFonts w:ascii="Palatino Linotype" w:hAnsi="Palatino Linotype"/>
        </w:rPr>
        <w:t xml:space="preserve"> a que,</w:t>
      </w:r>
      <w:r w:rsidRPr="004B01DE">
        <w:rPr>
          <w:rFonts w:ascii="Palatino Linotype" w:hAnsi="Palatino Linotype"/>
          <w:b/>
        </w:rPr>
        <w:t xml:space="preserve"> </w:t>
      </w:r>
      <w:r w:rsidRPr="004B01DE">
        <w:rPr>
          <w:rFonts w:ascii="Palatino Linotype" w:hAnsi="Palatino Linotype"/>
        </w:rPr>
        <w:t xml:space="preserve">en términos del Considerando </w:t>
      </w:r>
      <w:r w:rsidR="00DC62FA" w:rsidRPr="004B01DE">
        <w:rPr>
          <w:rFonts w:ascii="Palatino Linotype" w:hAnsi="Palatino Linotype"/>
        </w:rPr>
        <w:t>Cuarto</w:t>
      </w:r>
      <w:r w:rsidRPr="004B01DE">
        <w:rPr>
          <w:rFonts w:ascii="Palatino Linotype" w:hAnsi="Palatino Linotype"/>
        </w:rPr>
        <w:t xml:space="preserve">, haga entrega, vía SAIMEX, </w:t>
      </w:r>
      <w:r w:rsidR="00B26509" w:rsidRPr="004B01DE">
        <w:rPr>
          <w:rFonts w:ascii="Palatino Linotype" w:hAnsi="Palatino Linotype" w:cs="Arial"/>
        </w:rPr>
        <w:t>en relación a los Programas “</w:t>
      </w:r>
      <w:r w:rsidR="0021708A" w:rsidRPr="004B01DE">
        <w:rPr>
          <w:rFonts w:ascii="Palatino Linotype" w:hAnsi="Palatino Linotype" w:cs="Arial"/>
        </w:rPr>
        <w:t>Vallechalquenses por México</w:t>
      </w:r>
      <w:r w:rsidR="00B26509" w:rsidRPr="004B01DE">
        <w:rPr>
          <w:rFonts w:ascii="Palatino Linotype" w:hAnsi="Palatino Linotype" w:cs="Arial"/>
        </w:rPr>
        <w:t>”</w:t>
      </w:r>
      <w:r w:rsidR="0021708A" w:rsidRPr="004B01DE">
        <w:rPr>
          <w:rFonts w:ascii="Palatino Linotype" w:hAnsi="Palatino Linotype" w:cs="Arial"/>
        </w:rPr>
        <w:t xml:space="preserve"> y </w:t>
      </w:r>
      <w:r w:rsidR="00B26509" w:rsidRPr="004B01DE">
        <w:rPr>
          <w:rFonts w:ascii="Palatino Linotype" w:hAnsi="Palatino Linotype" w:cs="Arial"/>
        </w:rPr>
        <w:t>“</w:t>
      </w:r>
      <w:r w:rsidR="0021708A" w:rsidRPr="004B01DE">
        <w:rPr>
          <w:rFonts w:ascii="Palatino Linotype" w:hAnsi="Palatino Linotype" w:cs="Arial"/>
        </w:rPr>
        <w:t>Apoyo Alimentario para las Familias Vulnerables de Valle de Chalco Solidaridad</w:t>
      </w:r>
      <w:r w:rsidR="00B26509" w:rsidRPr="004B01DE">
        <w:rPr>
          <w:rFonts w:ascii="Palatino Linotype" w:hAnsi="Palatino Linotype" w:cs="Arial"/>
        </w:rPr>
        <w:t>”</w:t>
      </w:r>
      <w:r w:rsidR="0021708A" w:rsidRPr="004B01DE">
        <w:rPr>
          <w:rFonts w:ascii="Palatino Linotype" w:hAnsi="Palatino Linotype" w:cs="Arial"/>
        </w:rPr>
        <w:t xml:space="preserve"> </w:t>
      </w:r>
      <w:r w:rsidR="00B26509" w:rsidRPr="004B01DE">
        <w:rPr>
          <w:rFonts w:ascii="Palatino Linotype" w:hAnsi="Palatino Linotype" w:cs="Arial"/>
        </w:rPr>
        <w:t>de lo siguiente:</w:t>
      </w:r>
    </w:p>
    <w:p w:rsidR="00B26509" w:rsidRPr="004B01DE" w:rsidRDefault="00B26509" w:rsidP="00B26509">
      <w:pPr>
        <w:numPr>
          <w:ilvl w:val="0"/>
          <w:numId w:val="2"/>
        </w:numPr>
        <w:spacing w:before="240" w:after="240" w:line="360" w:lineRule="auto"/>
        <w:jc w:val="both"/>
        <w:rPr>
          <w:rFonts w:ascii="Palatino Linotype" w:hAnsi="Palatino Linotype"/>
          <w:i/>
          <w:iCs/>
          <w:sz w:val="22"/>
          <w:szCs w:val="22"/>
          <w:lang w:eastAsia="en-US"/>
        </w:rPr>
      </w:pPr>
      <w:r w:rsidRPr="004B01DE">
        <w:rPr>
          <w:rFonts w:ascii="Palatino Linotype" w:hAnsi="Palatino Linotype"/>
          <w:i/>
          <w:iCs/>
          <w:color w:val="000000"/>
        </w:rPr>
        <w:t xml:space="preserve">Las reglas de operación, requisitos, así como la convocatoria para acceder a dichos programas. </w:t>
      </w:r>
    </w:p>
    <w:p w:rsidR="00ED534B" w:rsidRPr="004B01DE" w:rsidRDefault="00ED534B" w:rsidP="00ED534B">
      <w:pPr>
        <w:spacing w:before="240" w:after="240" w:line="360" w:lineRule="auto"/>
        <w:ind w:right="49"/>
        <w:jc w:val="both"/>
        <w:rPr>
          <w:rFonts w:ascii="Palatino Linotype" w:eastAsia="MS Mincho" w:hAnsi="Palatino Linotype"/>
          <w:shd w:val="clear" w:color="auto" w:fill="FFFFFF"/>
          <w:lang w:val="es-ES_tradnl"/>
        </w:rPr>
      </w:pPr>
      <w:r w:rsidRPr="004B01DE">
        <w:rPr>
          <w:rFonts w:ascii="Palatino Linotype" w:hAnsi="Palatino Linotype" w:cs="Arial"/>
          <w:b/>
          <w:bCs/>
          <w:shd w:val="clear" w:color="auto" w:fill="FFFFFF"/>
        </w:rPr>
        <w:lastRenderedPageBreak/>
        <w:t xml:space="preserve">Tercero. </w:t>
      </w:r>
      <w:bookmarkStart w:id="1" w:name="_Toc450120670"/>
      <w:r w:rsidRPr="004B01DE">
        <w:rPr>
          <w:rFonts w:ascii="Palatino Linotype" w:eastAsia="MS Mincho" w:hAnsi="Palatino Linotype" w:cs="Arial"/>
          <w:b/>
          <w:bCs/>
          <w:shd w:val="clear" w:color="auto" w:fill="FFFFFF"/>
          <w:lang w:val="es-ES_tradnl"/>
        </w:rPr>
        <w:t xml:space="preserve">Remítase </w:t>
      </w:r>
      <w:r w:rsidRPr="004B01DE">
        <w:rPr>
          <w:rFonts w:ascii="Palatino Linotype" w:eastAsia="MS Mincho" w:hAnsi="Palatino Linotype"/>
          <w:shd w:val="clear" w:color="auto" w:fill="FFFFFF"/>
          <w:lang w:val="es-ES_tradnl"/>
        </w:rPr>
        <w:t>al Titular de la Unidad de Transparencia del</w:t>
      </w:r>
      <w:r w:rsidRPr="004B01DE">
        <w:rPr>
          <w:rFonts w:ascii="Palatino Linotype" w:eastAsia="MS Mincho" w:hAnsi="Palatino Linotype"/>
          <w:b/>
          <w:bCs/>
          <w:shd w:val="clear" w:color="auto" w:fill="FFFFFF"/>
          <w:lang w:val="es-ES_tradnl"/>
        </w:rPr>
        <w:t xml:space="preserve"> SUJETO OBLIGADO</w:t>
      </w:r>
      <w:r w:rsidRPr="004B01DE">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1"/>
    </w:p>
    <w:p w:rsidR="00ED534B" w:rsidRPr="004B01DE" w:rsidRDefault="00ED534B" w:rsidP="00ED534B">
      <w:pPr>
        <w:spacing w:before="240" w:after="240" w:line="360" w:lineRule="auto"/>
        <w:ind w:right="49"/>
        <w:jc w:val="both"/>
        <w:rPr>
          <w:rFonts w:ascii="Palatino Linotype" w:hAnsi="Palatino Linotype" w:cs="Arial"/>
        </w:rPr>
      </w:pPr>
      <w:r w:rsidRPr="004B01DE">
        <w:rPr>
          <w:rFonts w:ascii="Palatino Linotype" w:hAnsi="Palatino Linotype" w:cs="Arial"/>
          <w:b/>
        </w:rPr>
        <w:t xml:space="preserve">Cuarto. Hágase del Conocimiento </w:t>
      </w:r>
      <w:r w:rsidRPr="004B01DE">
        <w:rPr>
          <w:rFonts w:ascii="Palatino Linotype" w:hAnsi="Palatino Linotype" w:cs="Arial"/>
        </w:rPr>
        <w:t xml:space="preserve">del </w:t>
      </w:r>
      <w:r w:rsidRPr="004B01DE">
        <w:rPr>
          <w:rFonts w:ascii="Palatino Linotype" w:hAnsi="Palatino Linotype" w:cs="Arial"/>
          <w:b/>
        </w:rPr>
        <w:t>recurrente</w:t>
      </w:r>
      <w:r w:rsidRPr="004B01DE">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ED534B" w:rsidRPr="00587361" w:rsidRDefault="00ED534B" w:rsidP="00ED534B">
      <w:pPr>
        <w:spacing w:before="240" w:after="240" w:line="360" w:lineRule="auto"/>
        <w:ind w:right="49"/>
        <w:jc w:val="both"/>
        <w:rPr>
          <w:rFonts w:ascii="Palatino Linotype" w:eastAsia="MS Mincho" w:hAnsi="Palatino Linotype"/>
          <w:shd w:val="clear" w:color="auto" w:fill="FFFFFF"/>
        </w:rPr>
      </w:pPr>
      <w:r w:rsidRPr="004B01DE">
        <w:rPr>
          <w:rFonts w:ascii="Palatino Linotype" w:hAnsi="Palatino Linotype"/>
          <w:b/>
        </w:rPr>
        <w:t>Quinto.</w:t>
      </w:r>
      <w:r w:rsidRPr="004B01DE">
        <w:rPr>
          <w:rFonts w:ascii="Palatino Linotype" w:eastAsia="MS Mincho" w:hAnsi="Palatino Linotype" w:cs="Arial"/>
          <w:b/>
          <w:bCs/>
          <w:shd w:val="clear" w:color="auto" w:fill="FFFFFF"/>
          <w:lang w:val="es-ES_tradnl"/>
        </w:rPr>
        <w:t xml:space="preserve"> </w:t>
      </w:r>
      <w:r w:rsidRPr="004B01DE">
        <w:rPr>
          <w:rFonts w:ascii="Palatino Linotype" w:eastAsia="MS Mincho" w:hAnsi="Palatino Linotype" w:cs="Arial"/>
          <w:b/>
          <w:bCs/>
          <w:shd w:val="clear" w:color="auto" w:fill="FFFFFF"/>
        </w:rPr>
        <w:t>Gírese</w:t>
      </w:r>
      <w:r w:rsidRPr="004B01DE">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Considerando </w:t>
      </w:r>
      <w:r w:rsidR="00DC62FA" w:rsidRPr="004B01DE">
        <w:rPr>
          <w:rFonts w:ascii="Palatino Linotype" w:eastAsia="MS Mincho" w:hAnsi="Palatino Linotype" w:cs="Arial"/>
          <w:bCs/>
          <w:shd w:val="clear" w:color="auto" w:fill="FFFFFF"/>
        </w:rPr>
        <w:t xml:space="preserve">Cuarto </w:t>
      </w:r>
      <w:r w:rsidRPr="004B01DE">
        <w:rPr>
          <w:rFonts w:ascii="Palatino Linotype" w:eastAsia="MS Mincho" w:hAnsi="Palatino Linotype" w:cs="Arial"/>
          <w:bCs/>
          <w:shd w:val="clear" w:color="auto" w:fill="FFFFFF"/>
        </w:rPr>
        <w:t>de la presente resolución.</w:t>
      </w:r>
    </w:p>
    <w:p w:rsidR="00ED534B" w:rsidRPr="00587361" w:rsidRDefault="00ED534B" w:rsidP="00ED534B">
      <w:pPr>
        <w:tabs>
          <w:tab w:val="left" w:pos="709"/>
        </w:tabs>
        <w:spacing w:before="240" w:after="240" w:line="360" w:lineRule="auto"/>
        <w:jc w:val="both"/>
        <w:rPr>
          <w:rFonts w:ascii="Palatino Linotype" w:hAnsi="Palatino Linotype" w:cs="Arial"/>
        </w:rPr>
      </w:pPr>
      <w:r w:rsidRPr="0058736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w:t>
      </w:r>
      <w:r>
        <w:rPr>
          <w:rFonts w:ascii="Palatino Linotype" w:hAnsi="Palatino Linotype"/>
        </w:rPr>
        <w:t>ÍNEZ SÁNCHEZ; EVA ABAID YAPUR</w:t>
      </w:r>
      <w:r w:rsidRPr="00587361">
        <w:rPr>
          <w:rFonts w:ascii="Palatino Linotype" w:hAnsi="Palatino Linotype"/>
        </w:rPr>
        <w:t>; JOSÉ GUADALUPE LUNA HERN</w:t>
      </w:r>
      <w:r>
        <w:rPr>
          <w:rFonts w:ascii="Palatino Linotype" w:hAnsi="Palatino Linotype"/>
        </w:rPr>
        <w:t>ÁNDEZ</w:t>
      </w:r>
      <w:r w:rsidRPr="00587361">
        <w:rPr>
          <w:rFonts w:ascii="Palatino Linotype" w:hAnsi="Palatino Linotype"/>
        </w:rPr>
        <w:t xml:space="preserve">; JAVIER MARTÍNEZ CRUZ Y LUIS GUSTAVO PARRA NORIEGA; EN LA </w:t>
      </w:r>
      <w:r>
        <w:rPr>
          <w:rFonts w:ascii="Palatino Linotype" w:hAnsi="Palatino Linotype"/>
        </w:rPr>
        <w:t>CUDRA</w:t>
      </w:r>
      <w:r w:rsidRPr="00587361">
        <w:rPr>
          <w:rFonts w:ascii="Palatino Linotype" w:hAnsi="Palatino Linotype"/>
        </w:rPr>
        <w:t xml:space="preserve">GÉSIMA </w:t>
      </w:r>
      <w:r>
        <w:rPr>
          <w:rFonts w:ascii="Palatino Linotype" w:hAnsi="Palatino Linotype"/>
        </w:rPr>
        <w:t xml:space="preserve">TERCERA </w:t>
      </w:r>
      <w:r w:rsidRPr="00587361">
        <w:rPr>
          <w:rFonts w:ascii="Palatino Linotype" w:hAnsi="Palatino Linotype"/>
        </w:rPr>
        <w:t xml:space="preserve">SESIÓN ORDINARIA CELEBRADA EL </w:t>
      </w:r>
      <w:r>
        <w:rPr>
          <w:rFonts w:ascii="Palatino Linotype" w:hAnsi="Palatino Linotype"/>
        </w:rPr>
        <w:t xml:space="preserve">VEINTE DE NOVIEMBRE </w:t>
      </w:r>
      <w:r w:rsidRPr="00587361">
        <w:rPr>
          <w:rFonts w:ascii="Palatino Linotype" w:hAnsi="Palatino Linotype"/>
        </w:rPr>
        <w:t>DE DOS MIL DIECINUEVE, ANTE EL SECRETARIO TÉCNICO DEL PLENO ALEXIS TAPIA RAMÍREZ.</w:t>
      </w:r>
      <w:r w:rsidRPr="00587361">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ED534B" w:rsidRPr="00587361" w:rsidTr="002B6070">
        <w:trPr>
          <w:trHeight w:val="1807"/>
        </w:trPr>
        <w:tc>
          <w:tcPr>
            <w:tcW w:w="8838" w:type="dxa"/>
            <w:gridSpan w:val="2"/>
            <w:vAlign w:val="center"/>
          </w:tcPr>
          <w:p w:rsidR="00ED534B" w:rsidRPr="00587361" w:rsidRDefault="00ED534B" w:rsidP="002B6070">
            <w:pPr>
              <w:rPr>
                <w:rFonts w:ascii="Palatino Linotype" w:hAnsi="Palatino Linotype"/>
              </w:rPr>
            </w:pPr>
          </w:p>
          <w:p w:rsidR="00ED534B" w:rsidRPr="00587361" w:rsidRDefault="00ED534B" w:rsidP="002B6070">
            <w:pPr>
              <w:jc w:val="center"/>
              <w:rPr>
                <w:rFonts w:ascii="Palatino Linotype" w:hAnsi="Palatino Linotype"/>
                <w:b/>
              </w:rPr>
            </w:pPr>
            <w:r w:rsidRPr="00587361">
              <w:rPr>
                <w:rFonts w:ascii="Palatino Linotype" w:hAnsi="Palatino Linotype" w:cs="Arial"/>
                <w:b/>
              </w:rPr>
              <w:t>Zulema Martínez Sánchez</w:t>
            </w:r>
            <w:r w:rsidRPr="00587361">
              <w:rPr>
                <w:rFonts w:ascii="Palatino Linotype" w:hAnsi="Palatino Linotype"/>
                <w:b/>
              </w:rPr>
              <w:t xml:space="preserve"> </w:t>
            </w:r>
          </w:p>
          <w:p w:rsidR="00ED534B" w:rsidRPr="00587361" w:rsidRDefault="00ED534B" w:rsidP="002B6070">
            <w:pPr>
              <w:jc w:val="center"/>
              <w:rPr>
                <w:rFonts w:ascii="Palatino Linotype" w:hAnsi="Palatino Linotype"/>
              </w:rPr>
            </w:pPr>
            <w:r w:rsidRPr="00587361">
              <w:rPr>
                <w:rFonts w:ascii="Palatino Linotype" w:hAnsi="Palatino Linotype"/>
              </w:rPr>
              <w:t>Comisionada Presidenta</w:t>
            </w:r>
          </w:p>
          <w:p w:rsidR="00ED534B" w:rsidRPr="00587361" w:rsidRDefault="00ED534B" w:rsidP="00B26509">
            <w:pPr>
              <w:jc w:val="center"/>
              <w:rPr>
                <w:rFonts w:ascii="Palatino Linotype" w:hAnsi="Palatino Linotype"/>
              </w:rPr>
            </w:pPr>
            <w:r w:rsidRPr="00587361">
              <w:rPr>
                <w:rFonts w:ascii="Palatino Linotype" w:hAnsi="Palatino Linotype"/>
              </w:rPr>
              <w:t>(Rúbrica)</w:t>
            </w:r>
          </w:p>
        </w:tc>
      </w:tr>
      <w:tr w:rsidR="00ED534B" w:rsidRPr="00587361" w:rsidTr="002B6070">
        <w:trPr>
          <w:trHeight w:val="2156"/>
        </w:trPr>
        <w:tc>
          <w:tcPr>
            <w:tcW w:w="4419" w:type="dxa"/>
            <w:vAlign w:val="center"/>
          </w:tcPr>
          <w:p w:rsidR="00ED534B" w:rsidRPr="00587361" w:rsidRDefault="00ED534B" w:rsidP="002B6070">
            <w:pPr>
              <w:rPr>
                <w:rFonts w:ascii="Palatino Linotype" w:hAnsi="Palatino Linotype"/>
                <w:b/>
              </w:rPr>
            </w:pPr>
          </w:p>
          <w:p w:rsidR="00ED534B" w:rsidRPr="00587361" w:rsidRDefault="00ED534B" w:rsidP="002B6070">
            <w:pPr>
              <w:rPr>
                <w:rFonts w:ascii="Palatino Linotype" w:hAnsi="Palatino Linotype"/>
                <w:b/>
              </w:rPr>
            </w:pPr>
          </w:p>
          <w:p w:rsidR="00ED534B" w:rsidRPr="00587361" w:rsidRDefault="00ED534B" w:rsidP="002B6070">
            <w:pPr>
              <w:jc w:val="center"/>
              <w:rPr>
                <w:rFonts w:ascii="Palatino Linotype" w:hAnsi="Palatino Linotype"/>
                <w:b/>
              </w:rPr>
            </w:pPr>
          </w:p>
          <w:p w:rsidR="00ED534B" w:rsidRPr="00587361" w:rsidRDefault="00ED534B" w:rsidP="002B6070">
            <w:pPr>
              <w:rPr>
                <w:rFonts w:ascii="Palatino Linotype" w:hAnsi="Palatino Linotype"/>
                <w:b/>
              </w:rPr>
            </w:pPr>
          </w:p>
          <w:p w:rsidR="00ED534B" w:rsidRPr="00587361" w:rsidRDefault="00ED534B" w:rsidP="002B6070">
            <w:pPr>
              <w:jc w:val="center"/>
              <w:rPr>
                <w:rFonts w:ascii="Palatino Linotype" w:hAnsi="Palatino Linotype"/>
                <w:b/>
              </w:rPr>
            </w:pPr>
            <w:r w:rsidRPr="00587361">
              <w:rPr>
                <w:rFonts w:ascii="Palatino Linotype" w:hAnsi="Palatino Linotype"/>
                <w:b/>
              </w:rPr>
              <w:t>Eva Abaid Yapur</w:t>
            </w:r>
          </w:p>
          <w:p w:rsidR="00ED534B" w:rsidRPr="00587361" w:rsidRDefault="00ED534B" w:rsidP="002B6070">
            <w:pPr>
              <w:jc w:val="center"/>
              <w:rPr>
                <w:rFonts w:ascii="Palatino Linotype" w:hAnsi="Palatino Linotype"/>
              </w:rPr>
            </w:pPr>
            <w:r w:rsidRPr="00587361">
              <w:rPr>
                <w:rFonts w:ascii="Palatino Linotype" w:hAnsi="Palatino Linotype"/>
              </w:rPr>
              <w:t>Comisionada</w:t>
            </w:r>
          </w:p>
          <w:p w:rsidR="00ED534B" w:rsidRPr="00587361" w:rsidRDefault="00ED534B" w:rsidP="002B6070">
            <w:pPr>
              <w:jc w:val="center"/>
              <w:rPr>
                <w:rFonts w:ascii="Palatino Linotype" w:hAnsi="Palatino Linotype"/>
              </w:rPr>
            </w:pPr>
            <w:r w:rsidRPr="00587361">
              <w:rPr>
                <w:rFonts w:ascii="Palatino Linotype" w:hAnsi="Palatino Linotype"/>
              </w:rPr>
              <w:t>(</w:t>
            </w:r>
            <w:r>
              <w:rPr>
                <w:rFonts w:ascii="Palatino Linotype" w:hAnsi="Palatino Linotype"/>
              </w:rPr>
              <w:t>Rúbrica</w:t>
            </w:r>
            <w:r w:rsidRPr="00587361">
              <w:rPr>
                <w:rFonts w:ascii="Palatino Linotype" w:hAnsi="Palatino Linotype"/>
              </w:rPr>
              <w:t>)</w:t>
            </w:r>
          </w:p>
        </w:tc>
        <w:tc>
          <w:tcPr>
            <w:tcW w:w="4419" w:type="dxa"/>
            <w:vAlign w:val="center"/>
          </w:tcPr>
          <w:p w:rsidR="00ED534B" w:rsidRPr="00587361" w:rsidRDefault="00ED534B" w:rsidP="002B6070">
            <w:pPr>
              <w:rPr>
                <w:rFonts w:ascii="Palatino Linotype" w:hAnsi="Palatino Linotype" w:cs="Arial"/>
                <w:b/>
              </w:rPr>
            </w:pPr>
          </w:p>
          <w:p w:rsidR="00ED534B" w:rsidRPr="00587361" w:rsidRDefault="00ED534B" w:rsidP="002B6070">
            <w:pPr>
              <w:jc w:val="center"/>
              <w:rPr>
                <w:rFonts w:ascii="Palatino Linotype" w:hAnsi="Palatino Linotype" w:cs="Arial"/>
                <w:b/>
              </w:rPr>
            </w:pPr>
          </w:p>
          <w:p w:rsidR="00ED534B" w:rsidRPr="00587361" w:rsidRDefault="00ED534B" w:rsidP="002B6070">
            <w:pPr>
              <w:jc w:val="center"/>
              <w:rPr>
                <w:rFonts w:ascii="Palatino Linotype" w:hAnsi="Palatino Linotype" w:cs="Arial"/>
                <w:b/>
              </w:rPr>
            </w:pPr>
          </w:p>
          <w:p w:rsidR="00ED534B" w:rsidRPr="00587361" w:rsidRDefault="00ED534B" w:rsidP="002B6070">
            <w:pPr>
              <w:rPr>
                <w:rFonts w:ascii="Palatino Linotype" w:hAnsi="Palatino Linotype" w:cs="Arial"/>
                <w:b/>
              </w:rPr>
            </w:pPr>
          </w:p>
          <w:p w:rsidR="00ED534B" w:rsidRPr="00587361" w:rsidRDefault="00ED534B" w:rsidP="002B6070">
            <w:pPr>
              <w:jc w:val="center"/>
              <w:rPr>
                <w:rFonts w:ascii="Palatino Linotype" w:hAnsi="Palatino Linotype" w:cs="Arial"/>
                <w:b/>
              </w:rPr>
            </w:pPr>
          </w:p>
          <w:p w:rsidR="00ED534B" w:rsidRPr="00587361" w:rsidRDefault="00ED534B" w:rsidP="002B6070">
            <w:pPr>
              <w:jc w:val="center"/>
              <w:rPr>
                <w:rFonts w:ascii="Palatino Linotype" w:hAnsi="Palatino Linotype"/>
                <w:b/>
              </w:rPr>
            </w:pPr>
            <w:r w:rsidRPr="00587361">
              <w:rPr>
                <w:rFonts w:ascii="Palatino Linotype" w:hAnsi="Palatino Linotype" w:cs="Arial"/>
                <w:b/>
              </w:rPr>
              <w:t>José Guadalupe Luna Hernández</w:t>
            </w:r>
          </w:p>
          <w:p w:rsidR="00ED534B" w:rsidRPr="00587361" w:rsidRDefault="00ED534B" w:rsidP="002B6070">
            <w:pPr>
              <w:jc w:val="center"/>
              <w:rPr>
                <w:rFonts w:ascii="Palatino Linotype" w:hAnsi="Palatino Linotype"/>
              </w:rPr>
            </w:pPr>
            <w:r w:rsidRPr="00587361">
              <w:rPr>
                <w:rFonts w:ascii="Palatino Linotype" w:hAnsi="Palatino Linotype"/>
              </w:rPr>
              <w:t xml:space="preserve"> Comisionado</w:t>
            </w:r>
          </w:p>
          <w:p w:rsidR="00ED534B" w:rsidRPr="00587361" w:rsidRDefault="00ED534B" w:rsidP="002B6070">
            <w:pPr>
              <w:jc w:val="center"/>
              <w:rPr>
                <w:rFonts w:ascii="Palatino Linotype" w:hAnsi="Palatino Linotype"/>
              </w:rPr>
            </w:pPr>
            <w:r w:rsidRPr="00587361">
              <w:rPr>
                <w:rFonts w:ascii="Palatino Linotype" w:hAnsi="Palatino Linotype"/>
              </w:rPr>
              <w:t>(Rúbrica)</w:t>
            </w:r>
          </w:p>
          <w:p w:rsidR="00ED534B" w:rsidRPr="00587361" w:rsidRDefault="00ED534B" w:rsidP="002B6070">
            <w:pPr>
              <w:jc w:val="center"/>
              <w:rPr>
                <w:rFonts w:ascii="Palatino Linotype" w:hAnsi="Palatino Linotype"/>
              </w:rPr>
            </w:pPr>
          </w:p>
        </w:tc>
      </w:tr>
      <w:tr w:rsidR="00ED534B" w:rsidRPr="00587361" w:rsidTr="002B6070">
        <w:trPr>
          <w:trHeight w:val="1953"/>
        </w:trPr>
        <w:tc>
          <w:tcPr>
            <w:tcW w:w="8838" w:type="dxa"/>
            <w:gridSpan w:val="2"/>
            <w:vAlign w:val="center"/>
          </w:tcPr>
          <w:p w:rsidR="00ED534B" w:rsidRPr="00587361" w:rsidRDefault="00ED534B" w:rsidP="00B26509">
            <w:pPr>
              <w:rPr>
                <w:rFonts w:ascii="Palatino Linotype" w:hAnsi="Palatino Linotype" w:cs="Arial"/>
                <w:b/>
              </w:rPr>
            </w:pPr>
          </w:p>
          <w:p w:rsidR="00ED534B" w:rsidRPr="00587361" w:rsidRDefault="00ED534B" w:rsidP="002B6070">
            <w:pPr>
              <w:jc w:val="center"/>
              <w:rPr>
                <w:rFonts w:ascii="Palatino Linotype" w:hAnsi="Palatino Linotype" w:cs="Arial"/>
                <w:b/>
              </w:rPr>
            </w:pPr>
          </w:p>
          <w:p w:rsidR="00ED534B" w:rsidRPr="00587361" w:rsidRDefault="00ED534B" w:rsidP="002B6070">
            <w:pPr>
              <w:jc w:val="both"/>
              <w:rPr>
                <w:rFonts w:ascii="Palatino Linotype" w:hAnsi="Palatino Linotype" w:cs="Arial"/>
                <w:b/>
              </w:rPr>
            </w:pPr>
            <w:r w:rsidRPr="00587361">
              <w:rPr>
                <w:rFonts w:ascii="Palatino Linotype" w:hAnsi="Palatino Linotype" w:cs="Arial"/>
                <w:b/>
              </w:rPr>
              <w:t xml:space="preserve">                                    </w:t>
            </w:r>
          </w:p>
          <w:p w:rsidR="00ED534B" w:rsidRPr="00587361" w:rsidRDefault="00ED534B" w:rsidP="002B6070">
            <w:pPr>
              <w:jc w:val="both"/>
              <w:rPr>
                <w:rFonts w:ascii="Palatino Linotype" w:hAnsi="Palatino Linotype" w:cs="Arial"/>
                <w:b/>
              </w:rPr>
            </w:pPr>
            <w:r w:rsidRPr="00587361">
              <w:rPr>
                <w:rFonts w:ascii="Palatino Linotype" w:hAnsi="Palatino Linotype" w:cs="Arial"/>
                <w:b/>
              </w:rPr>
              <w:t xml:space="preserve">                                                   </w:t>
            </w:r>
          </w:p>
          <w:p w:rsidR="00ED534B" w:rsidRPr="00587361" w:rsidRDefault="00ED534B" w:rsidP="002B6070">
            <w:pPr>
              <w:jc w:val="both"/>
              <w:rPr>
                <w:rFonts w:ascii="Palatino Linotype" w:hAnsi="Palatino Linotype" w:cs="Arial"/>
                <w:b/>
              </w:rPr>
            </w:pPr>
            <w:r w:rsidRPr="00587361">
              <w:rPr>
                <w:rFonts w:ascii="Palatino Linotype" w:hAnsi="Palatino Linotype" w:cs="Arial"/>
                <w:b/>
              </w:rPr>
              <w:t xml:space="preserve">                                                                    </w:t>
            </w:r>
          </w:p>
          <w:p w:rsidR="00ED534B" w:rsidRPr="00587361" w:rsidRDefault="00ED534B" w:rsidP="002B6070">
            <w:pPr>
              <w:jc w:val="both"/>
              <w:rPr>
                <w:rFonts w:ascii="Palatino Linotype" w:hAnsi="Palatino Linotype" w:cs="Arial"/>
                <w:b/>
              </w:rPr>
            </w:pPr>
            <w:r w:rsidRPr="00587361">
              <w:rPr>
                <w:rFonts w:ascii="Palatino Linotype" w:hAnsi="Palatino Linotype" w:cs="Arial"/>
                <w:b/>
              </w:rPr>
              <w:t xml:space="preserve">                 </w:t>
            </w:r>
          </w:p>
          <w:p w:rsidR="00ED534B" w:rsidRPr="00587361" w:rsidRDefault="00ED534B" w:rsidP="002B6070">
            <w:pPr>
              <w:rPr>
                <w:rFonts w:ascii="Palatino Linotype" w:hAnsi="Palatino Linotype" w:cs="Arial"/>
                <w:b/>
              </w:rPr>
            </w:pPr>
            <w:r w:rsidRPr="00587361">
              <w:rPr>
                <w:rFonts w:ascii="Palatino Linotype" w:hAnsi="Palatino Linotype" w:cs="Arial"/>
                <w:b/>
              </w:rPr>
              <w:t xml:space="preserve">            Javier Martínez Cruz                                 Luis Gustavo Parra Noriega </w:t>
            </w:r>
          </w:p>
          <w:p w:rsidR="00ED534B" w:rsidRPr="00587361" w:rsidRDefault="00ED534B" w:rsidP="002B6070">
            <w:pPr>
              <w:rPr>
                <w:rFonts w:ascii="Palatino Linotype" w:hAnsi="Palatino Linotype" w:cs="Arial"/>
                <w:b/>
              </w:rPr>
            </w:pPr>
            <w:r w:rsidRPr="00587361">
              <w:rPr>
                <w:rFonts w:ascii="Palatino Linotype" w:hAnsi="Palatino Linotype" w:cs="Arial"/>
              </w:rPr>
              <w:t xml:space="preserve">                  Comisionado</w:t>
            </w:r>
            <w:r w:rsidRPr="00587361">
              <w:rPr>
                <w:rFonts w:ascii="Palatino Linotype" w:hAnsi="Palatino Linotype" w:cs="Arial"/>
                <w:b/>
              </w:rPr>
              <w:t xml:space="preserve">                                                        </w:t>
            </w:r>
            <w:r w:rsidRPr="00587361">
              <w:rPr>
                <w:rFonts w:ascii="Palatino Linotype" w:hAnsi="Palatino Linotype" w:cs="Arial"/>
              </w:rPr>
              <w:t>Comisionado</w:t>
            </w:r>
            <w:r w:rsidRPr="00587361">
              <w:rPr>
                <w:rFonts w:ascii="Palatino Linotype" w:hAnsi="Palatino Linotype" w:cs="Arial"/>
                <w:b/>
              </w:rPr>
              <w:t xml:space="preserve">                                 </w:t>
            </w:r>
          </w:p>
          <w:p w:rsidR="00ED534B" w:rsidRPr="00587361" w:rsidRDefault="00ED534B" w:rsidP="002B6070">
            <w:pPr>
              <w:rPr>
                <w:rFonts w:ascii="Palatino Linotype" w:hAnsi="Palatino Linotype" w:cs="Arial"/>
              </w:rPr>
            </w:pPr>
            <w:r>
              <w:rPr>
                <w:rFonts w:ascii="Palatino Linotype" w:hAnsi="Palatino Linotype" w:cs="Arial"/>
              </w:rPr>
              <w:t xml:space="preserve">                     </w:t>
            </w:r>
            <w:r w:rsidRPr="00B1715A">
              <w:rPr>
                <w:rFonts w:ascii="Palatino Linotype" w:hAnsi="Palatino Linotype"/>
              </w:rPr>
              <w:t>(</w:t>
            </w:r>
            <w:r>
              <w:rPr>
                <w:rFonts w:ascii="Palatino Linotype" w:hAnsi="Palatino Linotype"/>
              </w:rPr>
              <w:t>Rúbrica</w:t>
            </w:r>
            <w:r w:rsidRPr="00B1715A">
              <w:rPr>
                <w:rFonts w:ascii="Palatino Linotype" w:hAnsi="Palatino Linotype"/>
              </w:rPr>
              <w:t xml:space="preserve">)             </w:t>
            </w:r>
            <w:r w:rsidRPr="00B1715A">
              <w:rPr>
                <w:rFonts w:ascii="Palatino Linotype" w:hAnsi="Palatino Linotype" w:cs="Arial"/>
              </w:rPr>
              <w:t xml:space="preserve">                    </w:t>
            </w:r>
            <w:r>
              <w:rPr>
                <w:rFonts w:ascii="Palatino Linotype" w:hAnsi="Palatino Linotype" w:cs="Arial"/>
              </w:rPr>
              <w:t xml:space="preserve">                               </w:t>
            </w:r>
            <w:r w:rsidRPr="00B1715A">
              <w:rPr>
                <w:rFonts w:ascii="Palatino Linotype" w:hAnsi="Palatino Linotype"/>
              </w:rPr>
              <w:t>(Rúbrica)</w:t>
            </w:r>
          </w:p>
          <w:p w:rsidR="00ED534B" w:rsidRPr="00587361" w:rsidRDefault="00ED534B" w:rsidP="002B6070">
            <w:pPr>
              <w:rPr>
                <w:rFonts w:ascii="Palatino Linotype" w:hAnsi="Palatino Linotype"/>
              </w:rPr>
            </w:pPr>
            <w:r w:rsidRPr="00587361">
              <w:rPr>
                <w:rFonts w:ascii="Palatino Linotype" w:hAnsi="Palatino Linotype"/>
              </w:rPr>
              <w:t xml:space="preserve">                                                                                          </w:t>
            </w:r>
          </w:p>
        </w:tc>
      </w:tr>
      <w:tr w:rsidR="00ED534B" w:rsidRPr="00587361" w:rsidTr="002B6070">
        <w:trPr>
          <w:trHeight w:val="1544"/>
        </w:trPr>
        <w:tc>
          <w:tcPr>
            <w:tcW w:w="8838" w:type="dxa"/>
            <w:gridSpan w:val="2"/>
            <w:vAlign w:val="center"/>
          </w:tcPr>
          <w:p w:rsidR="00ED534B" w:rsidRPr="00587361" w:rsidRDefault="00ED534B" w:rsidP="002B6070">
            <w:pPr>
              <w:rPr>
                <w:rFonts w:ascii="Palatino Linotype" w:hAnsi="Palatino Linotype" w:cs="Arial"/>
                <w:b/>
              </w:rPr>
            </w:pPr>
          </w:p>
          <w:p w:rsidR="00ED534B" w:rsidRPr="00587361" w:rsidRDefault="00ED534B" w:rsidP="002B6070">
            <w:pPr>
              <w:rPr>
                <w:rFonts w:ascii="Palatino Linotype" w:hAnsi="Palatino Linotype" w:cs="Arial"/>
                <w:b/>
              </w:rPr>
            </w:pPr>
          </w:p>
          <w:p w:rsidR="00ED534B" w:rsidRPr="00587361" w:rsidRDefault="00ED534B" w:rsidP="002B6070">
            <w:pPr>
              <w:rPr>
                <w:rFonts w:ascii="Palatino Linotype" w:hAnsi="Palatino Linotype" w:cs="Arial"/>
                <w:b/>
              </w:rPr>
            </w:pPr>
          </w:p>
          <w:p w:rsidR="00ED534B" w:rsidRPr="00587361" w:rsidRDefault="00ED534B" w:rsidP="002B6070">
            <w:pPr>
              <w:rPr>
                <w:rFonts w:ascii="Palatino Linotype" w:hAnsi="Palatino Linotype" w:cs="Arial"/>
                <w:b/>
              </w:rPr>
            </w:pPr>
          </w:p>
          <w:p w:rsidR="00ED534B" w:rsidRPr="00587361" w:rsidRDefault="00ED534B" w:rsidP="002B6070">
            <w:pPr>
              <w:jc w:val="center"/>
              <w:rPr>
                <w:rFonts w:ascii="Palatino Linotype" w:hAnsi="Palatino Linotype"/>
                <w:b/>
              </w:rPr>
            </w:pPr>
            <w:r w:rsidRPr="00587361">
              <w:rPr>
                <w:rFonts w:ascii="Palatino Linotype" w:hAnsi="Palatino Linotype" w:cs="Arial"/>
                <w:b/>
              </w:rPr>
              <w:t>Alexis Tapia Ramírez</w:t>
            </w:r>
          </w:p>
          <w:p w:rsidR="00ED534B" w:rsidRPr="00587361" w:rsidRDefault="00ED534B" w:rsidP="002B6070">
            <w:pPr>
              <w:jc w:val="center"/>
              <w:rPr>
                <w:rFonts w:ascii="Palatino Linotype" w:hAnsi="Palatino Linotype"/>
              </w:rPr>
            </w:pPr>
            <w:r w:rsidRPr="00587361">
              <w:rPr>
                <w:rFonts w:ascii="Palatino Linotype" w:hAnsi="Palatino Linotype"/>
              </w:rPr>
              <w:t>Secretario Técnico del Pleno</w:t>
            </w:r>
          </w:p>
          <w:p w:rsidR="00ED534B" w:rsidRPr="00587361" w:rsidRDefault="00ED534B" w:rsidP="002B6070">
            <w:pPr>
              <w:jc w:val="center"/>
              <w:rPr>
                <w:rFonts w:ascii="Palatino Linotype" w:hAnsi="Palatino Linotype"/>
              </w:rPr>
            </w:pPr>
            <w:r w:rsidRPr="00587361">
              <w:rPr>
                <w:rFonts w:ascii="Palatino Linotype" w:hAnsi="Palatino Linotype"/>
              </w:rPr>
              <w:t>(Rúbrica)</w:t>
            </w:r>
          </w:p>
          <w:p w:rsidR="00ED534B" w:rsidRPr="00587361" w:rsidRDefault="00ED534B" w:rsidP="002B6070">
            <w:pPr>
              <w:jc w:val="center"/>
              <w:rPr>
                <w:rFonts w:ascii="Palatino Linotype" w:hAnsi="Palatino Linotype"/>
              </w:rPr>
            </w:pPr>
          </w:p>
        </w:tc>
      </w:tr>
    </w:tbl>
    <w:p w:rsidR="00ED534B" w:rsidRPr="00587361" w:rsidRDefault="00ED534B" w:rsidP="00ED534B">
      <w:pPr>
        <w:jc w:val="both"/>
        <w:rPr>
          <w:rFonts w:ascii="Palatino Linotype" w:hAnsi="Palatino Linotype" w:cs="Arial"/>
        </w:rPr>
      </w:pPr>
    </w:p>
    <w:p w:rsidR="00ED534B" w:rsidRPr="00840993" w:rsidRDefault="00ED534B" w:rsidP="00ED534B">
      <w:pPr>
        <w:jc w:val="both"/>
        <w:rPr>
          <w:rFonts w:ascii="Palatino Linotype" w:hAnsi="Palatino Linotype" w:cs="Arial"/>
        </w:rPr>
      </w:pPr>
      <w:r w:rsidRPr="00587361">
        <w:rPr>
          <w:rFonts w:ascii="Palatino Linotype" w:hAnsi="Palatino Linotype" w:cs="Arial"/>
        </w:rPr>
        <w:t xml:space="preserve">Esta hoja corresponde a la resolución de </w:t>
      </w:r>
      <w:r>
        <w:t xml:space="preserve">veinte de noviembre </w:t>
      </w:r>
      <w:r w:rsidRPr="00587361">
        <w:rPr>
          <w:rFonts w:ascii="Palatino Linotype" w:hAnsi="Palatino Linotype" w:cs="Arial"/>
        </w:rPr>
        <w:t xml:space="preserve">de dos mil diecinueve, emitida en el recurso de revisión </w:t>
      </w:r>
      <w:r w:rsidRPr="00587361">
        <w:rPr>
          <w:rFonts w:ascii="Palatino Linotype" w:hAnsi="Palatino Linotype" w:cs="Arial"/>
          <w:b/>
          <w:bCs/>
        </w:rPr>
        <w:t>0</w:t>
      </w:r>
      <w:r>
        <w:rPr>
          <w:rFonts w:ascii="Palatino Linotype" w:hAnsi="Palatino Linotype" w:cs="Arial"/>
          <w:b/>
          <w:bCs/>
        </w:rPr>
        <w:t>7054</w:t>
      </w:r>
      <w:r w:rsidRPr="00587361">
        <w:rPr>
          <w:rFonts w:ascii="Palatino Linotype" w:hAnsi="Palatino Linotype" w:cs="Arial"/>
          <w:b/>
          <w:bCs/>
        </w:rPr>
        <w:t>/INFOEM/IP/RR/2019</w:t>
      </w:r>
      <w:r w:rsidRPr="00587361">
        <w:rPr>
          <w:rFonts w:ascii="Palatino Linotype" w:hAnsi="Palatino Linotype" w:cs="Arial"/>
        </w:rPr>
        <w:t>.</w:t>
      </w:r>
    </w:p>
    <w:p w:rsidR="004636A2" w:rsidRDefault="004636A2"/>
    <w:sectPr w:rsidR="004636A2" w:rsidSect="00AA420A">
      <w:headerReference w:type="default" r:id="rId12"/>
      <w:footerReference w:type="default" r:id="rId13"/>
      <w:headerReference w:type="first" r:id="rId14"/>
      <w:footerReference w:type="first" r:id="rId1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3CF" w:rsidRDefault="001E13CF" w:rsidP="00ED534B">
      <w:r>
        <w:separator/>
      </w:r>
    </w:p>
  </w:endnote>
  <w:endnote w:type="continuationSeparator" w:id="0">
    <w:p w:rsidR="001E13CF" w:rsidRDefault="001E13CF" w:rsidP="00ED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20A" w:rsidRDefault="00D2275C" w:rsidP="00AA420A">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A042E">
      <w:rPr>
        <w:rFonts w:ascii="Arial" w:hAnsi="Arial" w:cs="Arial"/>
        <w:b/>
        <w:bCs/>
        <w:noProof/>
        <w:sz w:val="20"/>
        <w:szCs w:val="20"/>
      </w:rPr>
      <w:t>24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A042E">
      <w:rPr>
        <w:rFonts w:ascii="Arial" w:hAnsi="Arial" w:cs="Arial"/>
        <w:b/>
        <w:bCs/>
        <w:noProof/>
        <w:sz w:val="20"/>
        <w:szCs w:val="20"/>
      </w:rPr>
      <w:t>24</w:t>
    </w:r>
    <w:r>
      <w:rPr>
        <w:rFonts w:ascii="Arial" w:hAnsi="Arial" w:cs="Arial"/>
        <w:b/>
        <w:bCs/>
        <w:sz w:val="20"/>
        <w:szCs w:val="20"/>
      </w:rPr>
      <w:fldChar w:fldCharType="end"/>
    </w:r>
  </w:p>
  <w:p w:rsidR="00AA420A" w:rsidRDefault="006A042E" w:rsidP="00AA420A">
    <w:pPr>
      <w:pStyle w:val="Piedepgina"/>
      <w:rPr>
        <w:rFonts w:ascii="Times New Roman" w:hAnsi="Times New Roman" w:cs="Times New Roman"/>
      </w:rPr>
    </w:pPr>
  </w:p>
  <w:p w:rsidR="00AA420A" w:rsidRDefault="006A042E" w:rsidP="00AA420A">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20A" w:rsidRDefault="00D2275C" w:rsidP="00AA420A">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A042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A042E">
      <w:rPr>
        <w:rFonts w:ascii="Arial" w:hAnsi="Arial" w:cs="Arial"/>
        <w:b/>
        <w:bCs/>
        <w:noProof/>
        <w:sz w:val="20"/>
        <w:szCs w:val="20"/>
      </w:rPr>
      <w:t>24</w:t>
    </w:r>
    <w:r>
      <w:rPr>
        <w:rFonts w:ascii="Arial" w:hAnsi="Arial" w:cs="Arial"/>
        <w:b/>
        <w:bCs/>
        <w:sz w:val="20"/>
        <w:szCs w:val="20"/>
      </w:rPr>
      <w:fldChar w:fldCharType="end"/>
    </w:r>
  </w:p>
  <w:p w:rsidR="00AA420A" w:rsidRDefault="006A04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3CF" w:rsidRDefault="001E13CF" w:rsidP="00ED534B">
      <w:r>
        <w:separator/>
      </w:r>
    </w:p>
  </w:footnote>
  <w:footnote w:type="continuationSeparator" w:id="0">
    <w:p w:rsidR="001E13CF" w:rsidRDefault="001E13CF" w:rsidP="00ED5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AA420A" w:rsidTr="00AA420A">
      <w:tc>
        <w:tcPr>
          <w:tcW w:w="2552" w:type="dxa"/>
          <w:vAlign w:val="center"/>
          <w:hideMark/>
        </w:tcPr>
        <w:p w:rsidR="00AA420A" w:rsidRDefault="00D2275C" w:rsidP="00AA420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AA420A" w:rsidRDefault="00D2275C" w:rsidP="00AA420A">
          <w:pPr>
            <w:jc w:val="both"/>
            <w:rPr>
              <w:rFonts w:ascii="Palatino Linotype" w:hAnsi="Palatino Linotype"/>
              <w:b/>
              <w:sz w:val="22"/>
              <w:szCs w:val="22"/>
              <w:lang w:val="es-ES_tradnl"/>
            </w:rPr>
          </w:pPr>
          <w:r>
            <w:rPr>
              <w:rFonts w:ascii="Palatino Linotype" w:hAnsi="Palatino Linotype"/>
              <w:b/>
              <w:sz w:val="22"/>
              <w:szCs w:val="22"/>
              <w:lang w:val="es-ES_tradnl"/>
            </w:rPr>
            <w:t>070</w:t>
          </w:r>
          <w:r w:rsidR="00ED534B">
            <w:rPr>
              <w:rFonts w:ascii="Palatino Linotype" w:hAnsi="Palatino Linotype"/>
              <w:b/>
              <w:sz w:val="22"/>
              <w:szCs w:val="22"/>
              <w:lang w:val="es-ES_tradnl"/>
            </w:rPr>
            <w:t>54</w:t>
          </w:r>
          <w:r>
            <w:rPr>
              <w:rFonts w:ascii="Palatino Linotype" w:hAnsi="Palatino Linotype"/>
              <w:b/>
              <w:sz w:val="22"/>
              <w:szCs w:val="22"/>
              <w:lang w:val="es-ES_tradnl"/>
            </w:rPr>
            <w:t xml:space="preserve">/INFOEM/IP/RR/2019 </w:t>
          </w:r>
        </w:p>
      </w:tc>
    </w:tr>
    <w:tr w:rsidR="00AA420A" w:rsidTr="00AA420A">
      <w:trPr>
        <w:trHeight w:val="228"/>
      </w:trPr>
      <w:tc>
        <w:tcPr>
          <w:tcW w:w="2552" w:type="dxa"/>
          <w:vAlign w:val="center"/>
          <w:hideMark/>
        </w:tcPr>
        <w:p w:rsidR="00AA420A" w:rsidRDefault="00D2275C" w:rsidP="00AA420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AA420A" w:rsidRDefault="00D2275C" w:rsidP="00AA420A">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DC62FA">
            <w:rPr>
              <w:rFonts w:ascii="Palatino Linotype" w:hAnsi="Palatino Linotype"/>
              <w:b/>
              <w:sz w:val="22"/>
              <w:szCs w:val="22"/>
              <w:lang w:val="es-ES_tradnl"/>
            </w:rPr>
            <w:t>Valle de Chalco Solidaridad</w:t>
          </w:r>
          <w:r>
            <w:rPr>
              <w:rFonts w:ascii="Palatino Linotype" w:hAnsi="Palatino Linotype"/>
              <w:b/>
              <w:sz w:val="22"/>
              <w:szCs w:val="22"/>
              <w:lang w:val="es-ES_tradnl"/>
            </w:rPr>
            <w:t>.</w:t>
          </w:r>
        </w:p>
      </w:tc>
    </w:tr>
    <w:tr w:rsidR="00AA420A" w:rsidTr="00AA420A">
      <w:tc>
        <w:tcPr>
          <w:tcW w:w="2552" w:type="dxa"/>
          <w:vAlign w:val="center"/>
          <w:hideMark/>
        </w:tcPr>
        <w:p w:rsidR="00AA420A" w:rsidRDefault="00D2275C" w:rsidP="00AA420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AA420A" w:rsidRDefault="00D2275C" w:rsidP="00AA420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A420A" w:rsidRDefault="00D2275C" w:rsidP="00AA420A">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294BB74" wp14:editId="4EE84D3D">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20A" w:rsidRDefault="00D2275C" w:rsidP="00AA420A">
    <w:pPr>
      <w:pStyle w:val="Encabezado"/>
      <w:jc w:val="both"/>
    </w:pPr>
    <w:r>
      <w:rPr>
        <w:noProof/>
        <w:lang w:val="es-MX" w:eastAsia="es-MX"/>
      </w:rPr>
      <w:drawing>
        <wp:anchor distT="0" distB="0" distL="114300" distR="114300" simplePos="0" relativeHeight="251660288" behindDoc="1" locked="0" layoutInCell="1" allowOverlap="1" wp14:anchorId="40E80DC7" wp14:editId="2165655C">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AA420A" w:rsidRPr="00294C56" w:rsidTr="00AA420A">
      <w:tc>
        <w:tcPr>
          <w:tcW w:w="2551" w:type="dxa"/>
          <w:vAlign w:val="center"/>
          <w:hideMark/>
        </w:tcPr>
        <w:p w:rsidR="00AA420A" w:rsidRPr="00294C56" w:rsidRDefault="00D2275C" w:rsidP="00AA420A">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AA420A" w:rsidRPr="00294C56" w:rsidRDefault="00D2275C" w:rsidP="00AA420A">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70</w:t>
          </w:r>
          <w:r w:rsidR="006045F8">
            <w:rPr>
              <w:rFonts w:ascii="Palatino Linotype" w:hAnsi="Palatino Linotype"/>
              <w:b/>
              <w:sz w:val="21"/>
              <w:szCs w:val="21"/>
              <w:lang w:val="es-ES_tradnl"/>
            </w:rPr>
            <w:t>54</w:t>
          </w:r>
          <w:r>
            <w:rPr>
              <w:rFonts w:ascii="Palatino Linotype" w:hAnsi="Palatino Linotype"/>
              <w:b/>
              <w:sz w:val="21"/>
              <w:szCs w:val="21"/>
              <w:lang w:val="es-ES_tradnl"/>
            </w:rPr>
            <w:t>/INFOEM/IP/RR/2019</w:t>
          </w:r>
        </w:p>
      </w:tc>
    </w:tr>
    <w:tr w:rsidR="00AA420A" w:rsidRPr="00294C56" w:rsidTr="00AA420A">
      <w:tc>
        <w:tcPr>
          <w:tcW w:w="2551" w:type="dxa"/>
          <w:vAlign w:val="center"/>
          <w:hideMark/>
        </w:tcPr>
        <w:p w:rsidR="00AA420A" w:rsidRPr="00294C56" w:rsidRDefault="00D2275C" w:rsidP="00AA420A">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6045F8" w:rsidRPr="00294C56" w:rsidRDefault="009B597F" w:rsidP="00AA420A">
          <w:pPr>
            <w:jc w:val="both"/>
            <w:rPr>
              <w:rFonts w:ascii="Palatino Linotype" w:hAnsi="Palatino Linotype"/>
              <w:b/>
              <w:sz w:val="21"/>
              <w:szCs w:val="21"/>
              <w:lang w:val="es-ES_tradnl"/>
            </w:rPr>
          </w:pPr>
          <w:r>
            <w:rPr>
              <w:rFonts w:ascii="Palatino Linotype" w:hAnsi="Palatino Linotype"/>
              <w:b/>
              <w:sz w:val="21"/>
              <w:szCs w:val="21"/>
              <w:lang w:val="es-ES_tradnl"/>
            </w:rPr>
            <w:t>XXXXXXXXXXXXXXXXXXXXXXX</w:t>
          </w:r>
        </w:p>
      </w:tc>
    </w:tr>
    <w:tr w:rsidR="00AA420A" w:rsidRPr="00294C56" w:rsidTr="00AA420A">
      <w:trPr>
        <w:trHeight w:val="228"/>
      </w:trPr>
      <w:tc>
        <w:tcPr>
          <w:tcW w:w="2551" w:type="dxa"/>
          <w:vAlign w:val="center"/>
          <w:hideMark/>
        </w:tcPr>
        <w:p w:rsidR="00AA420A" w:rsidRPr="00294C56" w:rsidRDefault="00D2275C" w:rsidP="00AA420A">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AA420A" w:rsidRPr="00294C56" w:rsidRDefault="00D2275C" w:rsidP="00AA420A">
          <w:pPr>
            <w:jc w:val="both"/>
            <w:rPr>
              <w:rFonts w:ascii="Palatino Linotype" w:hAnsi="Palatino Linotype"/>
              <w:b/>
              <w:sz w:val="21"/>
              <w:szCs w:val="21"/>
              <w:lang w:val="es-ES_tradnl"/>
            </w:rPr>
          </w:pPr>
          <w:r>
            <w:rPr>
              <w:rFonts w:ascii="Palatino Linotype" w:hAnsi="Palatino Linotype"/>
              <w:b/>
              <w:sz w:val="21"/>
              <w:szCs w:val="21"/>
              <w:lang w:val="es-ES_tradnl"/>
            </w:rPr>
            <w:t xml:space="preserve">Ayuntamiento de </w:t>
          </w:r>
          <w:r w:rsidR="006045F8">
            <w:rPr>
              <w:rFonts w:ascii="Palatino Linotype" w:hAnsi="Palatino Linotype"/>
              <w:b/>
              <w:sz w:val="21"/>
              <w:szCs w:val="21"/>
              <w:lang w:val="es-ES_tradnl"/>
            </w:rPr>
            <w:t>Valle de Chalco Solidaridad</w:t>
          </w:r>
          <w:r>
            <w:rPr>
              <w:rFonts w:ascii="Palatino Linotype" w:hAnsi="Palatino Linotype"/>
              <w:b/>
              <w:sz w:val="21"/>
              <w:szCs w:val="21"/>
              <w:lang w:val="es-ES_tradnl"/>
            </w:rPr>
            <w:t>.</w:t>
          </w:r>
        </w:p>
      </w:tc>
    </w:tr>
    <w:tr w:rsidR="00AA420A" w:rsidRPr="00294C56" w:rsidTr="00AA420A">
      <w:tc>
        <w:tcPr>
          <w:tcW w:w="2551" w:type="dxa"/>
          <w:vAlign w:val="center"/>
          <w:hideMark/>
        </w:tcPr>
        <w:p w:rsidR="00AA420A" w:rsidRPr="00294C56" w:rsidRDefault="00D2275C" w:rsidP="00AA420A">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AA420A" w:rsidRPr="00294C56" w:rsidRDefault="00D2275C" w:rsidP="00AA420A">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AA420A" w:rsidRDefault="006A042E" w:rsidP="00AA42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E55E7"/>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22F54C8"/>
    <w:multiLevelType w:val="hybridMultilevel"/>
    <w:tmpl w:val="B5DA12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817E22"/>
    <w:multiLevelType w:val="hybridMultilevel"/>
    <w:tmpl w:val="35C2E172"/>
    <w:lvl w:ilvl="0" w:tplc="66E8618A">
      <w:start w:val="1"/>
      <w:numFmt w:val="decimal"/>
      <w:lvlText w:val="%1."/>
      <w:lvlJc w:val="left"/>
      <w:pPr>
        <w:ind w:left="360" w:hanging="360"/>
      </w:pPr>
      <w:rPr>
        <w:b/>
      </w:rPr>
    </w:lvl>
    <w:lvl w:ilvl="1" w:tplc="5DFE56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9A2079"/>
    <w:multiLevelType w:val="hybridMultilevel"/>
    <w:tmpl w:val="F19A47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91DF6"/>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41EF1D15"/>
    <w:multiLevelType w:val="hybridMultilevel"/>
    <w:tmpl w:val="B5DA12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5645F6"/>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59B83B1B"/>
    <w:multiLevelType w:val="hybridMultilevel"/>
    <w:tmpl w:val="740439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FF5B98"/>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510E96"/>
    <w:multiLevelType w:val="hybridMultilevel"/>
    <w:tmpl w:val="649E6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4"/>
  </w:num>
  <w:num w:numId="5">
    <w:abstractNumId w:val="3"/>
  </w:num>
  <w:num w:numId="6">
    <w:abstractNumId w:val="0"/>
  </w:num>
  <w:num w:numId="7">
    <w:abstractNumId w:val="1"/>
  </w:num>
  <w:num w:numId="8">
    <w:abstractNumId w:val="7"/>
  </w:num>
  <w:num w:numId="9">
    <w:abstractNumId w:val="9"/>
  </w:num>
  <w:num w:numId="10">
    <w:abstractNumId w:val="5"/>
  </w:num>
  <w:num w:numId="11">
    <w:abstractNumId w:val="8"/>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34B"/>
    <w:rsid w:val="001B4D0C"/>
    <w:rsid w:val="001E13CF"/>
    <w:rsid w:val="001F757C"/>
    <w:rsid w:val="0021708A"/>
    <w:rsid w:val="00342275"/>
    <w:rsid w:val="004636A2"/>
    <w:rsid w:val="004B01DE"/>
    <w:rsid w:val="004B2947"/>
    <w:rsid w:val="004D1192"/>
    <w:rsid w:val="005444FD"/>
    <w:rsid w:val="006045F8"/>
    <w:rsid w:val="00640C7D"/>
    <w:rsid w:val="006A042E"/>
    <w:rsid w:val="00757823"/>
    <w:rsid w:val="009226A7"/>
    <w:rsid w:val="009B597F"/>
    <w:rsid w:val="00B26509"/>
    <w:rsid w:val="00C87C7A"/>
    <w:rsid w:val="00CC706F"/>
    <w:rsid w:val="00D2275C"/>
    <w:rsid w:val="00D34501"/>
    <w:rsid w:val="00DC62FA"/>
    <w:rsid w:val="00DD6A26"/>
    <w:rsid w:val="00E25A45"/>
    <w:rsid w:val="00ED53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5FC413-8ECA-404C-AD37-E15E3ABD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34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534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D534B"/>
    <w:rPr>
      <w:rFonts w:eastAsiaTheme="minorEastAsia"/>
      <w:sz w:val="24"/>
      <w:szCs w:val="24"/>
      <w:lang w:val="es-ES_tradnl" w:eastAsia="es-ES"/>
    </w:rPr>
  </w:style>
  <w:style w:type="paragraph" w:styleId="Piedepgina">
    <w:name w:val="footer"/>
    <w:basedOn w:val="Normal"/>
    <w:link w:val="PiedepginaCar"/>
    <w:uiPriority w:val="99"/>
    <w:unhideWhenUsed/>
    <w:rsid w:val="00ED534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D534B"/>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D534B"/>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534B"/>
    <w:pPr>
      <w:ind w:left="708"/>
    </w:pPr>
    <w:rPr>
      <w:sz w:val="22"/>
      <w:szCs w:val="22"/>
      <w:lang w:val="es-MX" w:eastAsia="en-US"/>
    </w:rPr>
  </w:style>
  <w:style w:type="table" w:styleId="Tablaconcuadrcula">
    <w:name w:val="Table Grid"/>
    <w:basedOn w:val="Tablanormal"/>
    <w:uiPriority w:val="59"/>
    <w:rsid w:val="00ED534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D534B"/>
  </w:style>
  <w:style w:type="character" w:customStyle="1" w:styleId="apple-converted-space">
    <w:name w:val="apple-converted-space"/>
    <w:basedOn w:val="Fuentedeprrafopredeter"/>
    <w:rsid w:val="00ED534B"/>
  </w:style>
  <w:style w:type="character" w:styleId="Hipervnculo">
    <w:name w:val="Hyperlink"/>
    <w:basedOn w:val="Fuentedeprrafopredeter"/>
    <w:uiPriority w:val="99"/>
    <w:unhideWhenUsed/>
    <w:rsid w:val="00ED534B"/>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D534B"/>
    <w:rPr>
      <w:vertAlign w:val="superscript"/>
    </w:rPr>
  </w:style>
  <w:style w:type="paragraph" w:styleId="NormalWeb">
    <w:name w:val="Normal (Web)"/>
    <w:basedOn w:val="Normal"/>
    <w:uiPriority w:val="99"/>
    <w:unhideWhenUsed/>
    <w:rsid w:val="00ED534B"/>
    <w:pPr>
      <w:spacing w:before="100" w:beforeAutospacing="1" w:after="100" w:afterAutospacing="1"/>
    </w:pPr>
    <w:rPr>
      <w:lang w:val="es-MX" w:eastAsia="es-MX"/>
    </w:rPr>
  </w:style>
  <w:style w:type="paragraph" w:customStyle="1" w:styleId="Texto">
    <w:name w:val="Texto"/>
    <w:basedOn w:val="Normal"/>
    <w:rsid w:val="00ED534B"/>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ED534B"/>
    <w:rPr>
      <w:rFonts w:ascii="Courier New" w:hAnsi="Courier New"/>
      <w:sz w:val="20"/>
      <w:szCs w:val="20"/>
    </w:rPr>
  </w:style>
  <w:style w:type="character" w:customStyle="1" w:styleId="TextosinformatoCar">
    <w:name w:val="Texto sin formato Car"/>
    <w:basedOn w:val="Fuentedeprrafopredeter"/>
    <w:link w:val="Textosinformato"/>
    <w:rsid w:val="00ED534B"/>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ED534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ED534B"/>
    <w:rPr>
      <w:rFonts w:ascii="Times New Roman" w:eastAsia="Times New Roman" w:hAnsi="Times New Roman" w:cs="Times New Roman"/>
      <w:sz w:val="24"/>
      <w:szCs w:val="24"/>
      <w:lang w:eastAsia="es-ES"/>
    </w:rPr>
  </w:style>
  <w:style w:type="paragraph" w:customStyle="1" w:styleId="Default">
    <w:name w:val="Default"/>
    <w:rsid w:val="00ED534B"/>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ED534B"/>
    <w:rPr>
      <w:b/>
      <w:bCs/>
    </w:rPr>
  </w:style>
  <w:style w:type="paragraph" w:customStyle="1" w:styleId="paragraph">
    <w:name w:val="paragraph"/>
    <w:basedOn w:val="Normal"/>
    <w:rsid w:val="00ED534B"/>
    <w:pPr>
      <w:spacing w:before="100" w:beforeAutospacing="1" w:after="100" w:afterAutospacing="1"/>
    </w:pPr>
    <w:rPr>
      <w:lang w:val="es-MX" w:eastAsia="es-MX"/>
    </w:rPr>
  </w:style>
  <w:style w:type="character" w:customStyle="1" w:styleId="red">
    <w:name w:val="red"/>
    <w:basedOn w:val="Fuentedeprrafopredeter"/>
    <w:rsid w:val="001F757C"/>
  </w:style>
  <w:style w:type="character" w:customStyle="1" w:styleId="UnresolvedMention">
    <w:name w:val="Unresolved Mention"/>
    <w:basedOn w:val="Fuentedeprrafopredeter"/>
    <w:uiPriority w:val="99"/>
    <w:semiHidden/>
    <w:unhideWhenUsed/>
    <w:rsid w:val="00757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ledechalco.gob.mx/index.php/2019/03/31/gaceta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javascript:AbrirModal(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6197</Words>
  <Characters>34089</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2019-12-13T18:48:00Z</dcterms:created>
  <dcterms:modified xsi:type="dcterms:W3CDTF">2019-12-13T18:48:00Z</dcterms:modified>
</cp:coreProperties>
</file>