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B7B" w:rsidRPr="00E42755" w:rsidRDefault="003C7B7B" w:rsidP="003C7B7B">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563985">
        <w:rPr>
          <w:rFonts w:ascii="Palatino Linotype" w:hAnsi="Palatino Linotype" w:cs="Arial"/>
          <w:b/>
        </w:rPr>
        <w:t xml:space="preserve">NOVENA </w:t>
      </w:r>
      <w:r w:rsidRPr="0007653D">
        <w:rPr>
          <w:rFonts w:ascii="Palatino Linotype" w:hAnsi="Palatino Linotype" w:cs="Arial"/>
          <w:b/>
        </w:rPr>
        <w:t xml:space="preserve">SESIÓN ORDINARIA DE </w:t>
      </w:r>
      <w:r w:rsidR="00563985">
        <w:rPr>
          <w:rFonts w:ascii="Palatino Linotype" w:hAnsi="Palatino Linotype" w:cs="Arial"/>
          <w:b/>
        </w:rPr>
        <w:t xml:space="preserve">ONCE </w:t>
      </w:r>
      <w:r w:rsidR="00CA38A0">
        <w:rPr>
          <w:rFonts w:ascii="Palatino Linotype" w:hAnsi="Palatino Linotype" w:cs="Arial"/>
          <w:b/>
        </w:rPr>
        <w:t xml:space="preserve">DE </w:t>
      </w:r>
      <w:r w:rsidR="00563985">
        <w:rPr>
          <w:rFonts w:ascii="Palatino Linotype" w:hAnsi="Palatino Linotype" w:cs="Arial"/>
          <w:b/>
        </w:rPr>
        <w:t xml:space="preserve">MARZO </w:t>
      </w:r>
      <w:r>
        <w:rPr>
          <w:rFonts w:ascii="Palatino Linotype" w:hAnsi="Palatino Linotype" w:cs="Arial"/>
          <w:b/>
        </w:rPr>
        <w:t xml:space="preserve">DE DOS MIL </w:t>
      </w:r>
      <w:r w:rsidR="00563985">
        <w:rPr>
          <w:rFonts w:ascii="Palatino Linotype" w:hAnsi="Palatino Linotype" w:cs="Arial"/>
          <w:b/>
        </w:rPr>
        <w:t xml:space="preserve">VEINTE, EN </w:t>
      </w:r>
      <w:r>
        <w:rPr>
          <w:rFonts w:ascii="Palatino Linotype" w:hAnsi="Palatino Linotype" w:cs="Arial"/>
          <w:b/>
        </w:rPr>
        <w:t>L</w:t>
      </w:r>
      <w:r w:rsidR="00563985">
        <w:rPr>
          <w:rFonts w:ascii="Palatino Linotype" w:hAnsi="Palatino Linotype" w:cs="Arial"/>
          <w:b/>
        </w:rPr>
        <w:t>OS</w:t>
      </w:r>
      <w:r>
        <w:rPr>
          <w:rFonts w:ascii="Palatino Linotype" w:hAnsi="Palatino Linotype" w:cs="Arial"/>
          <w:b/>
        </w:rPr>
        <w:t xml:space="preserve"> </w:t>
      </w:r>
      <w:r w:rsidRPr="0007653D">
        <w:rPr>
          <w:rFonts w:ascii="Palatino Linotype" w:hAnsi="Palatino Linotype" w:cs="Arial"/>
          <w:b/>
        </w:rPr>
        <w:t>RECURSO</w:t>
      </w:r>
      <w:r w:rsidR="00563985">
        <w:rPr>
          <w:rFonts w:ascii="Palatino Linotype" w:hAnsi="Palatino Linotype" w:cs="Arial"/>
          <w:b/>
        </w:rPr>
        <w:t>S</w:t>
      </w:r>
      <w:r w:rsidRPr="0007653D">
        <w:rPr>
          <w:rFonts w:ascii="Palatino Linotype" w:hAnsi="Palatino Linotype" w:cs="Arial"/>
          <w:b/>
        </w:rPr>
        <w:t xml:space="preserve"> DE REVISIÓN </w:t>
      </w:r>
      <w:r w:rsidR="00563985" w:rsidRPr="00563985">
        <w:rPr>
          <w:rFonts w:ascii="Palatino Linotype" w:hAnsi="Palatino Linotype" w:cs="Arial"/>
          <w:b/>
          <w:bCs/>
          <w:sz w:val="23"/>
          <w:szCs w:val="23"/>
        </w:rPr>
        <w:t>012885/INFOEM/IP/RR/2019, 012889/INFOEM/IP/RR/2019 Y 012933/INFOEM/IP/RR/2019</w:t>
      </w:r>
      <w:r w:rsidR="00563985">
        <w:rPr>
          <w:rFonts w:ascii="Palatino Linotype" w:hAnsi="Palatino Linotype" w:cs="Arial"/>
          <w:b/>
          <w:bCs/>
          <w:sz w:val="23"/>
          <w:szCs w:val="23"/>
        </w:rPr>
        <w:t xml:space="preserve"> ACUMULADOS</w:t>
      </w:r>
      <w:r w:rsidRPr="00E42755">
        <w:rPr>
          <w:rFonts w:ascii="Palatino Linotype" w:eastAsia="Calibri" w:hAnsi="Palatino Linotype" w:cs="Arial"/>
          <w:b/>
          <w:color w:val="000000"/>
        </w:rPr>
        <w:t>.</w:t>
      </w:r>
    </w:p>
    <w:p w:rsidR="003C7B7B" w:rsidRPr="00E42755" w:rsidRDefault="003C7B7B" w:rsidP="003C7B7B">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sidR="00563985">
        <w:rPr>
          <w:rFonts w:ascii="Palatino Linotype" w:hAnsi="Palatino Linotype" w:cs="Arial"/>
        </w:rPr>
        <w:t xml:space="preserve">o de la resolución dictada en los </w:t>
      </w:r>
      <w:r w:rsidRPr="00E42755">
        <w:rPr>
          <w:rFonts w:ascii="Palatino Linotype" w:hAnsi="Palatino Linotype" w:cs="Arial"/>
        </w:rPr>
        <w:t>recurso</w:t>
      </w:r>
      <w:r w:rsidR="00563985">
        <w:rPr>
          <w:rFonts w:ascii="Palatino Linotype" w:hAnsi="Palatino Linotype" w:cs="Arial"/>
        </w:rPr>
        <w:t>s</w:t>
      </w:r>
      <w:r w:rsidRPr="00E42755">
        <w:rPr>
          <w:rFonts w:ascii="Palatino Linotype" w:hAnsi="Palatino Linotype" w:cs="Arial"/>
        </w:rPr>
        <w:t xml:space="preserve"> de revisión</w:t>
      </w:r>
      <w:r>
        <w:rPr>
          <w:rFonts w:ascii="Palatino Linotype" w:hAnsi="Palatino Linotype" w:cs="Arial"/>
        </w:rPr>
        <w:t xml:space="preserve"> </w:t>
      </w:r>
      <w:r w:rsidR="00563985" w:rsidRPr="00563985">
        <w:rPr>
          <w:rFonts w:ascii="Palatino Linotype" w:hAnsi="Palatino Linotype" w:cs="Arial"/>
          <w:b/>
          <w:bCs/>
          <w:sz w:val="23"/>
          <w:szCs w:val="23"/>
        </w:rPr>
        <w:t xml:space="preserve">012885/INFOEM/IP/RR/2019, 012889/INFOEM/IP/RR/2019 </w:t>
      </w:r>
      <w:r w:rsidR="00563985" w:rsidRPr="00563985">
        <w:rPr>
          <w:rFonts w:ascii="Palatino Linotype" w:hAnsi="Palatino Linotype" w:cs="Arial"/>
          <w:bCs/>
          <w:sz w:val="23"/>
          <w:szCs w:val="23"/>
        </w:rPr>
        <w:t>y</w:t>
      </w:r>
      <w:r w:rsidR="00563985" w:rsidRPr="00563985">
        <w:rPr>
          <w:rFonts w:ascii="Palatino Linotype" w:hAnsi="Palatino Linotype" w:cs="Arial"/>
          <w:b/>
          <w:bCs/>
          <w:sz w:val="23"/>
          <w:szCs w:val="23"/>
        </w:rPr>
        <w:t xml:space="preserve"> 012933/INFOEM/IP/RR/2019 acumulados </w:t>
      </w:r>
      <w:r>
        <w:rPr>
          <w:rFonts w:ascii="Palatino Linotype" w:hAnsi="Palatino Linotype" w:cs="Arial"/>
        </w:rPr>
        <w:t>y</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l</w:t>
      </w:r>
      <w:r w:rsidR="00563985">
        <w:rPr>
          <w:rFonts w:ascii="Palatino Linotype" w:hAnsi="Palatino Linotype" w:cs="Arial"/>
        </w:rPr>
        <w:t>a</w:t>
      </w:r>
      <w:r w:rsidRPr="00E42755">
        <w:rPr>
          <w:rFonts w:ascii="Palatino Linotype" w:hAnsi="Palatino Linotype" w:cs="Arial"/>
        </w:rPr>
        <w:t xml:space="preserve"> Comisionad</w:t>
      </w:r>
      <w:r w:rsidR="00563985">
        <w:rPr>
          <w:rFonts w:ascii="Palatino Linotype" w:hAnsi="Palatino Linotype" w:cs="Arial"/>
        </w:rPr>
        <w:t xml:space="preserve">a Presidenta </w:t>
      </w:r>
      <w:r w:rsidR="00563985">
        <w:rPr>
          <w:rFonts w:ascii="Palatino Linotype" w:hAnsi="Palatino Linotype" w:cs="Arial"/>
          <w:b/>
        </w:rPr>
        <w:t>ZULEMA MARTÍNEZ SÁNCHEZ</w:t>
      </w:r>
      <w:r w:rsidRPr="0007653D">
        <w:rPr>
          <w:rFonts w:ascii="Palatino Linotype" w:hAnsi="Palatino Linotype" w:cs="Arial"/>
        </w:rPr>
        <w:t xml:space="preserve">, </w:t>
      </w:r>
      <w:r>
        <w:rPr>
          <w:rFonts w:ascii="Palatino Linotype" w:hAnsi="Palatino Linotype" w:cs="Arial"/>
        </w:rPr>
        <w:t>que es del tenor siguiente.</w:t>
      </w:r>
    </w:p>
    <w:p w:rsidR="003C7B7B" w:rsidRDefault="003C7B7B" w:rsidP="003C7B7B">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el sentido de la resolución de</w:t>
      </w:r>
      <w:r w:rsidR="00563985">
        <w:rPr>
          <w:rFonts w:ascii="Palatino Linotype" w:hAnsi="Palatino Linotype"/>
        </w:rPr>
        <w:t xml:space="preserve"> </w:t>
      </w:r>
      <w:r>
        <w:rPr>
          <w:rFonts w:ascii="Palatino Linotype" w:hAnsi="Palatino Linotype"/>
        </w:rPr>
        <w:t>l</w:t>
      </w:r>
      <w:r w:rsidR="00563985">
        <w:rPr>
          <w:rFonts w:ascii="Palatino Linotype" w:hAnsi="Palatino Linotype"/>
        </w:rPr>
        <w:t>os</w:t>
      </w:r>
      <w:r>
        <w:rPr>
          <w:rFonts w:ascii="Palatino Linotype" w:hAnsi="Palatino Linotype"/>
        </w:rPr>
        <w:t xml:space="preserve"> </w:t>
      </w:r>
      <w:r w:rsidRPr="00D93A88">
        <w:rPr>
          <w:rFonts w:ascii="Palatino Linotype" w:hAnsi="Palatino Linotype"/>
        </w:rPr>
        <w:t>recurso</w:t>
      </w:r>
      <w:r w:rsidR="00563985">
        <w:rPr>
          <w:rFonts w:ascii="Palatino Linotype" w:hAnsi="Palatino Linotype"/>
        </w:rPr>
        <w:t>s</w:t>
      </w:r>
      <w:r w:rsidRPr="00D93A88">
        <w:rPr>
          <w:rFonts w:ascii="Palatino Linotype" w:hAnsi="Palatino Linotype"/>
        </w:rPr>
        <w:t xml:space="preserve"> de revis</w:t>
      </w:r>
      <w:r>
        <w:rPr>
          <w:rFonts w:ascii="Palatino Linotype" w:hAnsi="Palatino Linotype"/>
        </w:rPr>
        <w:t>ión; sin embargo, estimo</w:t>
      </w:r>
      <w:r w:rsidRPr="00D93A88">
        <w:rPr>
          <w:rFonts w:ascii="Palatino Linotype" w:hAnsi="Palatino Linotype"/>
        </w:rPr>
        <w:t xml:space="preserve"> necesario precisar algunas consideraciones de hecho y de derecho</w:t>
      </w:r>
      <w:r>
        <w:rPr>
          <w:rFonts w:ascii="Palatino Linotype" w:hAnsi="Palatino Linotype"/>
        </w:rPr>
        <w:t>, tocante a</w:t>
      </w:r>
      <w:r w:rsidR="000B0299">
        <w:rPr>
          <w:rFonts w:ascii="Palatino Linotype" w:hAnsi="Palatino Linotype"/>
        </w:rPr>
        <w:t xml:space="preserve">l fundamento señalado en el </w:t>
      </w:r>
      <w:r w:rsidR="001A2784">
        <w:rPr>
          <w:rFonts w:ascii="Palatino Linotype" w:hAnsi="Palatino Linotype"/>
        </w:rPr>
        <w:t xml:space="preserve">Resolutivo </w:t>
      </w:r>
      <w:r w:rsidR="00CA38A0">
        <w:rPr>
          <w:rFonts w:ascii="Palatino Linotype" w:hAnsi="Palatino Linotype"/>
        </w:rPr>
        <w:t xml:space="preserve">Cuarto </w:t>
      </w:r>
      <w:r w:rsidR="000B0299">
        <w:rPr>
          <w:rFonts w:ascii="Palatino Linotype" w:hAnsi="Palatino Linotype"/>
        </w:rPr>
        <w:t>de la resolución de mérito</w:t>
      </w:r>
      <w:r>
        <w:rPr>
          <w:rFonts w:ascii="Palatino Linotype" w:hAnsi="Palatino Linotype"/>
        </w:rPr>
        <w:t>.</w:t>
      </w:r>
    </w:p>
    <w:p w:rsidR="00563985" w:rsidRDefault="003C7B7B" w:rsidP="003C7B7B">
      <w:pPr>
        <w:spacing w:before="100" w:beforeAutospacing="1" w:after="100" w:afterAutospacing="1" w:line="360" w:lineRule="auto"/>
        <w:jc w:val="both"/>
        <w:rPr>
          <w:rFonts w:ascii="Palatino Linotype" w:hAnsi="Palatino Linotype"/>
        </w:rPr>
      </w:pPr>
      <w:r>
        <w:rPr>
          <w:rFonts w:ascii="Palatino Linotype" w:hAnsi="Palatino Linotype"/>
        </w:rPr>
        <w:lastRenderedPageBreak/>
        <w:t>Al respecto, t</w:t>
      </w:r>
      <w:r w:rsidRPr="00D93A88">
        <w:rPr>
          <w:rFonts w:ascii="Palatino Linotype" w:hAnsi="Palatino Linotype"/>
        </w:rPr>
        <w:t>al y como quedó debidamente asentado en la resoluci</w:t>
      </w:r>
      <w:r>
        <w:rPr>
          <w:rFonts w:ascii="Palatino Linotype" w:hAnsi="Palatino Linotype"/>
        </w:rPr>
        <w:t>ón materia del presente voto, el</w:t>
      </w:r>
      <w:r w:rsidRPr="00D93A88">
        <w:rPr>
          <w:rFonts w:ascii="Palatino Linotype" w:hAnsi="Palatino Linotype"/>
        </w:rPr>
        <w:t xml:space="preserve"> particular </w:t>
      </w:r>
      <w:r>
        <w:rPr>
          <w:rFonts w:ascii="Palatino Linotype" w:hAnsi="Palatino Linotype"/>
        </w:rPr>
        <w:t>requirió de</w:t>
      </w:r>
      <w:r w:rsidR="00563985">
        <w:rPr>
          <w:rFonts w:ascii="Palatino Linotype" w:hAnsi="Palatino Linotype"/>
        </w:rPr>
        <w:t>l</w:t>
      </w:r>
      <w:r>
        <w:rPr>
          <w:rFonts w:ascii="Palatino Linotype" w:hAnsi="Palatino Linotype"/>
        </w:rPr>
        <w:t xml:space="preserve"> </w:t>
      </w:r>
      <w:r w:rsidR="00563985" w:rsidRPr="00563985">
        <w:rPr>
          <w:rFonts w:ascii="Palatino Linotype" w:hAnsi="Palatino Linotype"/>
          <w:b/>
          <w:color w:val="000000" w:themeColor="text1"/>
        </w:rPr>
        <w:t>Ayuntamiento de San Simón de Guerrero</w:t>
      </w:r>
      <w:r>
        <w:rPr>
          <w:rFonts w:ascii="Palatino Linotype" w:hAnsi="Palatino Linotype"/>
          <w:b/>
          <w:color w:val="000000" w:themeColor="text1"/>
        </w:rPr>
        <w:t>,</w:t>
      </w:r>
      <w:r>
        <w:rPr>
          <w:rFonts w:ascii="Palatino Linotype" w:hAnsi="Palatino Linotype" w:cs="Arial"/>
        </w:rPr>
        <w:t xml:space="preserve"> 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w:t>
      </w:r>
      <w:r w:rsidR="00563985">
        <w:rPr>
          <w:rFonts w:ascii="Palatino Linotype" w:hAnsi="Palatino Linotype"/>
        </w:rPr>
        <w:t>la información que a continuación se desagrega:</w:t>
      </w:r>
    </w:p>
    <w:p w:rsidR="00563985" w:rsidRPr="001C5BC9" w:rsidRDefault="00563985" w:rsidP="00563985">
      <w:pPr>
        <w:pStyle w:val="Prrafodelista"/>
        <w:numPr>
          <w:ilvl w:val="0"/>
          <w:numId w:val="7"/>
        </w:numPr>
        <w:spacing w:line="360" w:lineRule="auto"/>
        <w:contextualSpacing w:val="0"/>
        <w:jc w:val="both"/>
        <w:rPr>
          <w:rFonts w:ascii="Palatino Linotype" w:hAnsi="Palatino Linotype" w:cs="Arial"/>
        </w:rPr>
      </w:pPr>
      <w:r>
        <w:rPr>
          <w:rFonts w:ascii="Palatino Linotype" w:hAnsi="Palatino Linotype"/>
        </w:rPr>
        <w:t>Expedientes pendientes de resolver en la Contraloría Interna Municipal;</w:t>
      </w:r>
    </w:p>
    <w:p w:rsidR="00563985" w:rsidRPr="001C5BC9" w:rsidRDefault="00563985" w:rsidP="00563985">
      <w:pPr>
        <w:pStyle w:val="Prrafodelista"/>
        <w:numPr>
          <w:ilvl w:val="0"/>
          <w:numId w:val="7"/>
        </w:numPr>
        <w:spacing w:line="360" w:lineRule="auto"/>
        <w:contextualSpacing w:val="0"/>
        <w:jc w:val="both"/>
        <w:rPr>
          <w:rFonts w:ascii="Palatino Linotype" w:hAnsi="Palatino Linotype" w:cs="Arial"/>
        </w:rPr>
      </w:pPr>
      <w:r>
        <w:rPr>
          <w:rFonts w:ascii="Palatino Linotype" w:hAnsi="Palatino Linotype"/>
        </w:rPr>
        <w:t xml:space="preserve">Expedientes ya concluidos en la Contraloría Interna Municipal; y </w:t>
      </w:r>
    </w:p>
    <w:p w:rsidR="003C7B7B" w:rsidRPr="00563985" w:rsidRDefault="00563985" w:rsidP="00563985">
      <w:pPr>
        <w:pStyle w:val="Prrafodelista"/>
        <w:numPr>
          <w:ilvl w:val="0"/>
          <w:numId w:val="7"/>
        </w:numPr>
        <w:spacing w:before="100" w:beforeAutospacing="1" w:after="100" w:afterAutospacing="1" w:line="360" w:lineRule="auto"/>
        <w:jc w:val="both"/>
        <w:rPr>
          <w:rFonts w:ascii="Palatino Linotype" w:hAnsi="Palatino Linotype" w:cs="Arial"/>
        </w:rPr>
      </w:pPr>
      <w:r w:rsidRPr="00563985">
        <w:rPr>
          <w:rFonts w:ascii="Palatino Linotype" w:hAnsi="Palatino Linotype"/>
        </w:rPr>
        <w:t>Expediente de la auditoría realizada al Municipio.</w:t>
      </w:r>
    </w:p>
    <w:p w:rsidR="004213D6" w:rsidRDefault="003C7B7B" w:rsidP="003C7B7B">
      <w:pPr>
        <w:spacing w:before="100" w:beforeAutospacing="1" w:after="100" w:afterAutospacing="1" w:line="360" w:lineRule="auto"/>
        <w:jc w:val="both"/>
        <w:rPr>
          <w:rFonts w:ascii="Palatino Linotype" w:eastAsia="Calibri" w:hAnsi="Palatino Linotype"/>
          <w:color w:val="000000"/>
          <w:szCs w:val="22"/>
          <w:lang w:eastAsia="en-US"/>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sidRPr="00D408F1">
        <w:rPr>
          <w:rFonts w:ascii="Palatino Linotype" w:eastAsia="Calibri" w:hAnsi="Palatino Linotype"/>
          <w:color w:val="000000"/>
          <w:szCs w:val="22"/>
          <w:lang w:eastAsia="en-US"/>
        </w:rPr>
        <w:t xml:space="preserve">mediante </w:t>
      </w:r>
      <w:r>
        <w:rPr>
          <w:rFonts w:ascii="Palatino Linotype" w:eastAsia="Calibri" w:hAnsi="Palatino Linotype"/>
          <w:color w:val="000000"/>
          <w:szCs w:val="22"/>
          <w:lang w:eastAsia="en-US"/>
        </w:rPr>
        <w:t>su</w:t>
      </w:r>
      <w:r w:rsidR="00563985">
        <w:rPr>
          <w:rFonts w:ascii="Palatino Linotype" w:eastAsia="Calibri" w:hAnsi="Palatino Linotype"/>
          <w:color w:val="000000"/>
          <w:szCs w:val="22"/>
          <w:lang w:eastAsia="en-US"/>
        </w:rPr>
        <w:t>s</w:t>
      </w:r>
      <w:r>
        <w:rPr>
          <w:rFonts w:ascii="Palatino Linotype" w:eastAsia="Calibri" w:hAnsi="Palatino Linotype"/>
          <w:color w:val="000000"/>
          <w:szCs w:val="22"/>
          <w:lang w:eastAsia="en-US"/>
        </w:rPr>
        <w:t xml:space="preserve"> respuesta</w:t>
      </w:r>
      <w:r w:rsidR="00563985">
        <w:rPr>
          <w:rFonts w:ascii="Palatino Linotype" w:eastAsia="Calibri" w:hAnsi="Palatino Linotype"/>
          <w:color w:val="000000"/>
          <w:szCs w:val="22"/>
          <w:lang w:eastAsia="en-US"/>
        </w:rPr>
        <w:t>s</w:t>
      </w:r>
      <w:r>
        <w:rPr>
          <w:rFonts w:ascii="Palatino Linotype" w:eastAsia="Calibri" w:hAnsi="Palatino Linotype"/>
          <w:color w:val="000000"/>
          <w:szCs w:val="22"/>
          <w:lang w:eastAsia="en-US"/>
        </w:rPr>
        <w:t xml:space="preserve"> refirió que; </w:t>
      </w:r>
      <w:r w:rsidR="00563985" w:rsidRPr="00563985">
        <w:rPr>
          <w:rFonts w:ascii="Palatino Linotype" w:eastAsia="Calibri" w:hAnsi="Palatino Linotype"/>
          <w:color w:val="000000"/>
          <w:szCs w:val="22"/>
          <w:lang w:eastAsia="en-US"/>
        </w:rPr>
        <w:t>no conta</w:t>
      </w:r>
      <w:r w:rsidR="00563985">
        <w:rPr>
          <w:rFonts w:ascii="Palatino Linotype" w:eastAsia="Calibri" w:hAnsi="Palatino Linotype"/>
          <w:color w:val="000000"/>
          <w:szCs w:val="22"/>
          <w:lang w:eastAsia="en-US"/>
        </w:rPr>
        <w:t>ba</w:t>
      </w:r>
      <w:r w:rsidR="00563985" w:rsidRPr="00563985">
        <w:rPr>
          <w:rFonts w:ascii="Palatino Linotype" w:eastAsia="Calibri" w:hAnsi="Palatino Linotype"/>
          <w:color w:val="000000"/>
          <w:szCs w:val="22"/>
          <w:lang w:eastAsia="en-US"/>
        </w:rPr>
        <w:t xml:space="preserve"> con expedientes pendientes por resolver</w:t>
      </w:r>
      <w:r w:rsidR="00563985">
        <w:rPr>
          <w:rFonts w:ascii="Palatino Linotype" w:eastAsia="Calibri" w:hAnsi="Palatino Linotype"/>
          <w:color w:val="000000"/>
          <w:szCs w:val="22"/>
          <w:lang w:eastAsia="en-US"/>
        </w:rPr>
        <w:t xml:space="preserve">. </w:t>
      </w:r>
    </w:p>
    <w:p w:rsidR="00412A5F" w:rsidRDefault="003C7B7B" w:rsidP="003C7B7B">
      <w:pPr>
        <w:spacing w:before="100" w:beforeAutospacing="1" w:after="100" w:afterAutospacing="1" w:line="360" w:lineRule="auto"/>
        <w:jc w:val="both"/>
        <w:rPr>
          <w:rFonts w:ascii="Palatino Linotype" w:hAnsi="Palatino Linotype" w:cs="Arial"/>
        </w:rPr>
      </w:pPr>
      <w:r>
        <w:rPr>
          <w:rFonts w:ascii="Palatino Linotype" w:hAnsi="Palatino Linotype"/>
          <w:color w:val="000000"/>
          <w:lang w:val="es-MX" w:eastAsia="es-MX"/>
        </w:rPr>
        <w:t>Inconforme con la</w:t>
      </w:r>
      <w:r w:rsidR="00563985">
        <w:rPr>
          <w:rFonts w:ascii="Palatino Linotype" w:hAnsi="Palatino Linotype"/>
          <w:color w:val="000000"/>
          <w:lang w:val="es-MX" w:eastAsia="es-MX"/>
        </w:rPr>
        <w:t>s</w:t>
      </w:r>
      <w:r>
        <w:rPr>
          <w:rFonts w:ascii="Palatino Linotype" w:hAnsi="Palatino Linotype"/>
          <w:color w:val="000000"/>
          <w:lang w:val="es-MX" w:eastAsia="es-MX"/>
        </w:rPr>
        <w:t xml:space="preserve"> respuesta</w:t>
      </w:r>
      <w:r w:rsidR="00563985">
        <w:rPr>
          <w:rFonts w:ascii="Palatino Linotype" w:hAnsi="Palatino Linotype"/>
          <w:color w:val="000000"/>
          <w:lang w:val="es-MX" w:eastAsia="es-MX"/>
        </w:rPr>
        <w:t>s</w:t>
      </w:r>
      <w:r>
        <w:rPr>
          <w:rFonts w:ascii="Palatino Linotype" w:hAnsi="Palatino Linotype"/>
          <w:color w:val="000000"/>
          <w:lang w:val="es-MX" w:eastAsia="es-MX"/>
        </w:rPr>
        <w:t xml:space="preserve">, </w:t>
      </w:r>
      <w:r w:rsidR="003369AB">
        <w:rPr>
          <w:rFonts w:ascii="Palatino Linotype" w:hAnsi="Palatino Linotype"/>
          <w:b/>
          <w:color w:val="000000"/>
          <w:lang w:val="es-MX" w:eastAsia="es-MX"/>
        </w:rPr>
        <w:t>EL</w:t>
      </w:r>
      <w:r>
        <w:rPr>
          <w:rFonts w:ascii="Palatino Linotype" w:hAnsi="Palatino Linotype"/>
          <w:b/>
          <w:color w:val="000000"/>
          <w:lang w:val="es-MX" w:eastAsia="es-MX"/>
        </w:rPr>
        <w:t xml:space="preserve">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sidR="003369AB">
        <w:rPr>
          <w:rFonts w:ascii="Palatino Linotype" w:hAnsi="Palatino Linotype" w:cs="Arial"/>
        </w:rPr>
        <w:t>interpuso l</w:t>
      </w:r>
      <w:r w:rsidR="00563985">
        <w:rPr>
          <w:rFonts w:ascii="Palatino Linotype" w:hAnsi="Palatino Linotype" w:cs="Arial"/>
        </w:rPr>
        <w:t>os</w:t>
      </w:r>
      <w:r w:rsidR="003369AB">
        <w:rPr>
          <w:rFonts w:ascii="Palatino Linotype" w:hAnsi="Palatino Linotype" w:cs="Arial"/>
        </w:rPr>
        <w:t xml:space="preserve"> </w:t>
      </w:r>
      <w:r>
        <w:rPr>
          <w:rFonts w:ascii="Palatino Linotype" w:hAnsi="Palatino Linotype" w:cs="Arial"/>
        </w:rPr>
        <w:t>recurso</w:t>
      </w:r>
      <w:r w:rsidR="00563985">
        <w:rPr>
          <w:rFonts w:ascii="Palatino Linotype" w:hAnsi="Palatino Linotype" w:cs="Arial"/>
        </w:rPr>
        <w:t>s</w:t>
      </w:r>
      <w:r w:rsidR="00A70CE2">
        <w:rPr>
          <w:rFonts w:ascii="Palatino Linotype" w:hAnsi="Palatino Linotype" w:cs="Arial"/>
        </w:rPr>
        <w:t xml:space="preserve"> de revisión de mérito, </w:t>
      </w:r>
      <w:r w:rsidR="00A70CE2" w:rsidRPr="00A70CE2">
        <w:rPr>
          <w:rFonts w:ascii="Palatino Linotype" w:hAnsi="Palatino Linotype" w:cs="Arial"/>
        </w:rPr>
        <w:t>señalando como acto impugnado que</w:t>
      </w:r>
      <w:r w:rsidR="00563985">
        <w:rPr>
          <w:rFonts w:ascii="Palatino Linotype" w:hAnsi="Palatino Linotype" w:cs="Arial"/>
        </w:rPr>
        <w:t xml:space="preserve"> no se le estaba entregando </w:t>
      </w:r>
      <w:r w:rsidR="00A70CE2" w:rsidRPr="00A70CE2">
        <w:rPr>
          <w:rFonts w:ascii="Palatino Linotype" w:hAnsi="Palatino Linotype" w:cs="Arial"/>
        </w:rPr>
        <w:t>la información</w:t>
      </w:r>
      <w:r w:rsidR="00563985">
        <w:rPr>
          <w:rFonts w:ascii="Palatino Linotype" w:hAnsi="Palatino Linotype" w:cs="Arial"/>
        </w:rPr>
        <w:t xml:space="preserve"> solicitada</w:t>
      </w:r>
      <w:r w:rsidR="00A70CE2" w:rsidRPr="00A70CE2">
        <w:rPr>
          <w:rFonts w:ascii="Palatino Linotype" w:hAnsi="Palatino Linotype" w:cs="Arial"/>
        </w:rPr>
        <w:t xml:space="preserve">, y como motivos de inconformidad que </w:t>
      </w:r>
      <w:r w:rsidR="00412A5F">
        <w:rPr>
          <w:rFonts w:ascii="Palatino Linotype" w:hAnsi="Palatino Linotype" w:cs="Arial"/>
        </w:rPr>
        <w:t xml:space="preserve">se le estaba limitando su derecho de acceso a la información pública. </w:t>
      </w:r>
    </w:p>
    <w:p w:rsidR="003369AB" w:rsidRDefault="003C7B7B" w:rsidP="003C7B7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3369AB">
        <w:rPr>
          <w:rFonts w:ascii="Palatino Linotype" w:hAnsi="Palatino Linotype" w:cs="Arial"/>
        </w:rPr>
        <w:t>lo siguiente:</w:t>
      </w:r>
    </w:p>
    <w:p w:rsidR="00412A5F" w:rsidRPr="00412A5F" w:rsidRDefault="00E63F7F" w:rsidP="00412A5F">
      <w:pPr>
        <w:shd w:val="clear" w:color="auto" w:fill="FFFFFF"/>
        <w:ind w:left="851" w:right="899"/>
        <w:jc w:val="both"/>
        <w:rPr>
          <w:rFonts w:ascii="Palatino Linotype" w:hAnsi="Palatino Linotype" w:cs="Arial"/>
          <w:i/>
          <w:sz w:val="22"/>
          <w:szCs w:val="22"/>
        </w:rPr>
      </w:pPr>
      <w:r w:rsidRPr="00412A5F">
        <w:rPr>
          <w:rFonts w:ascii="Palatino Linotype" w:hAnsi="Palatino Linotype" w:cs="Arial"/>
          <w:i/>
          <w:sz w:val="22"/>
          <w:szCs w:val="22"/>
        </w:rPr>
        <w:t>“</w:t>
      </w:r>
      <w:r w:rsidR="00412A5F" w:rsidRPr="00412A5F">
        <w:rPr>
          <w:rFonts w:ascii="Palatino Linotype" w:hAnsi="Palatino Linotype" w:cs="Arial"/>
          <w:b/>
          <w:i/>
          <w:sz w:val="22"/>
          <w:szCs w:val="22"/>
        </w:rPr>
        <w:t>PRIMERO.</w:t>
      </w:r>
      <w:r w:rsidR="00412A5F" w:rsidRPr="00412A5F">
        <w:rPr>
          <w:rFonts w:ascii="Palatino Linotype" w:hAnsi="Palatino Linotype" w:cs="Arial"/>
          <w:i/>
          <w:sz w:val="22"/>
          <w:szCs w:val="22"/>
        </w:rPr>
        <w:t xml:space="preserve"> Se </w:t>
      </w:r>
      <w:r w:rsidR="00412A5F" w:rsidRPr="00412A5F">
        <w:rPr>
          <w:rFonts w:ascii="Palatino Linotype" w:hAnsi="Palatino Linotype" w:cs="Arial"/>
          <w:b/>
          <w:i/>
          <w:sz w:val="22"/>
          <w:szCs w:val="22"/>
        </w:rPr>
        <w:t>REVOCAN</w:t>
      </w:r>
      <w:r w:rsidR="00412A5F" w:rsidRPr="00412A5F">
        <w:rPr>
          <w:rFonts w:ascii="Palatino Linotype" w:hAnsi="Palatino Linotype" w:cs="Arial"/>
          <w:i/>
          <w:sz w:val="22"/>
          <w:szCs w:val="22"/>
        </w:rPr>
        <w:t xml:space="preserve"> la respuestas emitidas a las solicitudes de información </w:t>
      </w:r>
      <w:r w:rsidR="00412A5F" w:rsidRPr="00412A5F">
        <w:rPr>
          <w:rFonts w:ascii="Palatino Linotype" w:hAnsi="Palatino Linotype" w:cs="Arial"/>
          <w:b/>
          <w:i/>
          <w:sz w:val="22"/>
          <w:szCs w:val="22"/>
        </w:rPr>
        <w:t>00321/SIMOGUER/IP/2019 y 00379/SIMOGUER/IP/2019</w:t>
      </w:r>
      <w:r w:rsidR="00412A5F" w:rsidRPr="00412A5F">
        <w:rPr>
          <w:rFonts w:ascii="Palatino Linotype" w:hAnsi="Palatino Linotype" w:cs="Arial"/>
          <w:i/>
          <w:sz w:val="22"/>
          <w:szCs w:val="22"/>
        </w:rPr>
        <w:t xml:space="preserve">, así mismo se </w:t>
      </w:r>
      <w:r w:rsidR="00412A5F" w:rsidRPr="00412A5F">
        <w:rPr>
          <w:rFonts w:ascii="Palatino Linotype" w:hAnsi="Palatino Linotype" w:cs="Arial"/>
          <w:b/>
          <w:i/>
          <w:sz w:val="22"/>
          <w:szCs w:val="22"/>
        </w:rPr>
        <w:t>MODIFICA</w:t>
      </w:r>
      <w:r w:rsidR="00412A5F" w:rsidRPr="00412A5F">
        <w:rPr>
          <w:rFonts w:ascii="Palatino Linotype" w:hAnsi="Palatino Linotype" w:cs="Arial"/>
          <w:i/>
          <w:sz w:val="22"/>
          <w:szCs w:val="22"/>
        </w:rPr>
        <w:t xml:space="preserve"> la respuesta emitida a la solicitud de información </w:t>
      </w:r>
      <w:r w:rsidR="00412A5F" w:rsidRPr="00412A5F">
        <w:rPr>
          <w:rFonts w:ascii="Palatino Linotype" w:hAnsi="Palatino Linotype" w:cs="Arial"/>
          <w:b/>
          <w:i/>
          <w:sz w:val="22"/>
          <w:szCs w:val="22"/>
        </w:rPr>
        <w:t>00322/SIMOGUER/IP/2019</w:t>
      </w:r>
      <w:r w:rsidR="00412A5F" w:rsidRPr="00412A5F">
        <w:rPr>
          <w:rFonts w:ascii="Palatino Linotype" w:hAnsi="Palatino Linotype" w:cs="Arial"/>
          <w:i/>
          <w:sz w:val="22"/>
          <w:szCs w:val="22"/>
        </w:rPr>
        <w:t xml:space="preserve">, por resultar fundados los motivos o razones de inconformidad hechos valer por el </w:t>
      </w:r>
      <w:r w:rsidR="00412A5F" w:rsidRPr="00412A5F">
        <w:rPr>
          <w:rFonts w:ascii="Palatino Linotype" w:hAnsi="Palatino Linotype" w:cs="Arial"/>
          <w:b/>
          <w:i/>
          <w:sz w:val="22"/>
          <w:szCs w:val="22"/>
        </w:rPr>
        <w:t>recurrente,</w:t>
      </w:r>
      <w:r w:rsidR="00412A5F" w:rsidRPr="00412A5F">
        <w:rPr>
          <w:rFonts w:ascii="Palatino Linotype" w:hAnsi="Palatino Linotype" w:cs="Arial"/>
          <w:i/>
          <w:sz w:val="22"/>
          <w:szCs w:val="22"/>
        </w:rPr>
        <w:t xml:space="preserve"> por lo que en términos del considerando </w:t>
      </w:r>
      <w:r w:rsidR="00412A5F" w:rsidRPr="00412A5F">
        <w:rPr>
          <w:rFonts w:ascii="Palatino Linotype" w:hAnsi="Palatino Linotype" w:cs="Arial"/>
          <w:b/>
          <w:i/>
          <w:sz w:val="22"/>
          <w:szCs w:val="22"/>
        </w:rPr>
        <w:t>CUARTO</w:t>
      </w:r>
      <w:r w:rsidR="00412A5F" w:rsidRPr="00412A5F">
        <w:rPr>
          <w:rFonts w:ascii="Palatino Linotype" w:hAnsi="Palatino Linotype" w:cs="Arial"/>
          <w:i/>
          <w:sz w:val="22"/>
          <w:szCs w:val="22"/>
        </w:rPr>
        <w:t xml:space="preserve"> de la presente resolución, </w:t>
      </w:r>
    </w:p>
    <w:p w:rsidR="00412A5F" w:rsidRPr="00412A5F" w:rsidRDefault="00412A5F" w:rsidP="00412A5F">
      <w:pPr>
        <w:shd w:val="clear" w:color="auto" w:fill="FFFFFF"/>
        <w:ind w:left="851" w:right="899"/>
        <w:jc w:val="both"/>
        <w:rPr>
          <w:rFonts w:ascii="Palatino Linotype" w:hAnsi="Palatino Linotype" w:cs="Arial"/>
          <w:i/>
          <w:sz w:val="22"/>
          <w:szCs w:val="22"/>
        </w:rPr>
      </w:pPr>
    </w:p>
    <w:p w:rsidR="00412A5F" w:rsidRPr="00412A5F" w:rsidRDefault="00412A5F" w:rsidP="00412A5F">
      <w:pPr>
        <w:shd w:val="clear" w:color="auto" w:fill="FFFFFF"/>
        <w:ind w:left="851" w:right="899"/>
        <w:jc w:val="both"/>
        <w:rPr>
          <w:rFonts w:ascii="Palatino Linotype" w:hAnsi="Palatino Linotype" w:cs="Arial"/>
          <w:i/>
          <w:sz w:val="22"/>
          <w:szCs w:val="22"/>
        </w:rPr>
      </w:pPr>
      <w:r w:rsidRPr="00412A5F">
        <w:rPr>
          <w:rFonts w:ascii="Palatino Linotype" w:hAnsi="Palatino Linotype" w:cs="Arial"/>
          <w:b/>
          <w:i/>
          <w:sz w:val="22"/>
          <w:szCs w:val="22"/>
        </w:rPr>
        <w:lastRenderedPageBreak/>
        <w:t>SEGUNDO</w:t>
      </w:r>
      <w:r w:rsidRPr="00412A5F">
        <w:rPr>
          <w:rFonts w:ascii="Palatino Linotype" w:hAnsi="Palatino Linotype" w:cs="Arial"/>
          <w:i/>
          <w:sz w:val="22"/>
          <w:szCs w:val="22"/>
        </w:rPr>
        <w:t xml:space="preserve"> Se ordena al </w:t>
      </w:r>
      <w:r w:rsidRPr="00412A5F">
        <w:rPr>
          <w:rFonts w:ascii="Palatino Linotype" w:hAnsi="Palatino Linotype" w:cs="Arial"/>
          <w:b/>
          <w:i/>
          <w:sz w:val="22"/>
          <w:szCs w:val="22"/>
        </w:rPr>
        <w:t>sujeto obligado</w:t>
      </w:r>
      <w:r w:rsidRPr="00412A5F">
        <w:rPr>
          <w:rFonts w:ascii="Palatino Linotype" w:hAnsi="Palatino Linotype" w:cs="Arial"/>
          <w:i/>
          <w:sz w:val="22"/>
          <w:szCs w:val="22"/>
        </w:rPr>
        <w:t xml:space="preserve">, previa búsqueda exhaustiva y razonable, haga entrega al </w:t>
      </w:r>
      <w:r w:rsidRPr="00412A5F">
        <w:rPr>
          <w:rFonts w:ascii="Palatino Linotype" w:hAnsi="Palatino Linotype" w:cs="Arial"/>
          <w:b/>
          <w:i/>
          <w:sz w:val="22"/>
          <w:szCs w:val="22"/>
        </w:rPr>
        <w:t>recurrente</w:t>
      </w:r>
      <w:r w:rsidRPr="00412A5F">
        <w:rPr>
          <w:rFonts w:ascii="Palatino Linotype" w:hAnsi="Palatino Linotype" w:cs="Arial"/>
          <w:i/>
          <w:sz w:val="22"/>
          <w:szCs w:val="22"/>
        </w:rPr>
        <w:t xml:space="preserve">, en su caso en versión pública, en términos del considerando </w:t>
      </w:r>
      <w:r w:rsidRPr="00412A5F">
        <w:rPr>
          <w:rFonts w:ascii="Palatino Linotype" w:hAnsi="Palatino Linotype" w:cs="Arial"/>
          <w:b/>
          <w:i/>
          <w:sz w:val="22"/>
          <w:szCs w:val="22"/>
        </w:rPr>
        <w:t>cuarto</w:t>
      </w:r>
      <w:r w:rsidRPr="00412A5F">
        <w:rPr>
          <w:rFonts w:ascii="Palatino Linotype" w:hAnsi="Palatino Linotype" w:cs="Arial"/>
          <w:i/>
          <w:sz w:val="22"/>
          <w:szCs w:val="22"/>
        </w:rPr>
        <w:t>, vía SAIMEX, de lo siguiente:</w:t>
      </w:r>
    </w:p>
    <w:p w:rsidR="00412A5F" w:rsidRPr="00412A5F" w:rsidRDefault="00412A5F" w:rsidP="00412A5F">
      <w:pPr>
        <w:shd w:val="clear" w:color="auto" w:fill="FFFFFF"/>
        <w:ind w:left="851" w:right="899"/>
        <w:jc w:val="both"/>
        <w:rPr>
          <w:rFonts w:ascii="Palatino Linotype" w:hAnsi="Palatino Linotype" w:cs="Arial"/>
          <w:i/>
          <w:sz w:val="22"/>
          <w:szCs w:val="22"/>
        </w:rPr>
      </w:pPr>
    </w:p>
    <w:p w:rsidR="00412A5F" w:rsidRPr="00412A5F" w:rsidRDefault="00412A5F" w:rsidP="00412A5F">
      <w:pPr>
        <w:pStyle w:val="Prrafodelista"/>
        <w:numPr>
          <w:ilvl w:val="0"/>
          <w:numId w:val="8"/>
        </w:numPr>
        <w:shd w:val="clear" w:color="auto" w:fill="FFFFFF"/>
        <w:ind w:left="1276" w:right="1183" w:firstLine="0"/>
        <w:jc w:val="both"/>
        <w:rPr>
          <w:rFonts w:ascii="Palatino Linotype" w:hAnsi="Palatino Linotype" w:cs="Arial"/>
          <w:i/>
          <w:sz w:val="22"/>
          <w:szCs w:val="22"/>
        </w:rPr>
      </w:pPr>
      <w:r w:rsidRPr="00412A5F">
        <w:rPr>
          <w:rFonts w:ascii="Palatino Linotype" w:hAnsi="Palatino Linotype" w:cs="Arial"/>
          <w:i/>
          <w:sz w:val="22"/>
          <w:szCs w:val="22"/>
        </w:rPr>
        <w:t>En su caso acuerdo de clasificación como información reservada de los expedientes pendientes de resolver en la Contraloría Interna Municipal en el periodo del 20 de noviembre de 2018 al 20 de noviembre de 2019, en términos de los artículos 128, 129, 135 y 140 de la Ley de Transparencia y Acceso a la Información Pública del Estado de México y Municipios, que sustente su clasificación.</w:t>
      </w:r>
    </w:p>
    <w:p w:rsidR="00412A5F" w:rsidRPr="00412A5F" w:rsidRDefault="00412A5F" w:rsidP="00412A5F">
      <w:pPr>
        <w:pStyle w:val="Prrafodelista"/>
        <w:numPr>
          <w:ilvl w:val="0"/>
          <w:numId w:val="8"/>
        </w:numPr>
        <w:shd w:val="clear" w:color="auto" w:fill="FFFFFF"/>
        <w:ind w:left="1276" w:right="1183" w:firstLine="0"/>
        <w:jc w:val="both"/>
        <w:rPr>
          <w:rFonts w:ascii="Palatino Linotype" w:hAnsi="Palatino Linotype" w:cs="Arial"/>
          <w:i/>
          <w:sz w:val="22"/>
          <w:szCs w:val="22"/>
        </w:rPr>
      </w:pPr>
      <w:r w:rsidRPr="00412A5F">
        <w:rPr>
          <w:rFonts w:ascii="Palatino Linotype" w:hAnsi="Palatino Linotype" w:cs="Arial"/>
          <w:i/>
          <w:sz w:val="22"/>
          <w:szCs w:val="22"/>
        </w:rPr>
        <w:t xml:space="preserve">Expedientes ya concluidos en la Contraloría Interna Municipal en el periodo del 20 de noviembre al 31 de diciembre de 2018; y </w:t>
      </w:r>
    </w:p>
    <w:p w:rsidR="00412A5F" w:rsidRPr="00412A5F" w:rsidRDefault="00412A5F" w:rsidP="00412A5F">
      <w:pPr>
        <w:pStyle w:val="Prrafodelista"/>
        <w:numPr>
          <w:ilvl w:val="0"/>
          <w:numId w:val="8"/>
        </w:numPr>
        <w:shd w:val="clear" w:color="auto" w:fill="FFFFFF"/>
        <w:ind w:left="1276" w:right="1183" w:firstLine="0"/>
        <w:jc w:val="both"/>
        <w:rPr>
          <w:rFonts w:ascii="Palatino Linotype" w:hAnsi="Palatino Linotype" w:cs="Arial"/>
          <w:i/>
          <w:sz w:val="22"/>
          <w:szCs w:val="22"/>
        </w:rPr>
      </w:pPr>
      <w:r w:rsidRPr="00412A5F">
        <w:rPr>
          <w:rFonts w:ascii="Palatino Linotype" w:hAnsi="Palatino Linotype" w:cs="Arial"/>
          <w:i/>
          <w:sz w:val="22"/>
          <w:szCs w:val="22"/>
        </w:rPr>
        <w:t>Expediente de las auditorías concluidas realizadas al Municipio, en el periodo del 20 de noviembre de 2018 al 20 de noviembre de 2019.</w:t>
      </w:r>
    </w:p>
    <w:p w:rsidR="00412A5F" w:rsidRPr="00412A5F" w:rsidRDefault="00412A5F" w:rsidP="00412A5F">
      <w:pPr>
        <w:shd w:val="clear" w:color="auto" w:fill="FFFFFF"/>
        <w:ind w:left="1276" w:right="1183"/>
        <w:jc w:val="both"/>
        <w:rPr>
          <w:rFonts w:ascii="Palatino Linotype" w:hAnsi="Palatino Linotype" w:cs="Arial"/>
          <w:i/>
          <w:sz w:val="22"/>
          <w:szCs w:val="22"/>
        </w:rPr>
      </w:pPr>
    </w:p>
    <w:p w:rsidR="00412A5F" w:rsidRPr="00412A5F" w:rsidRDefault="00412A5F" w:rsidP="00412A5F">
      <w:pPr>
        <w:shd w:val="clear" w:color="auto" w:fill="FFFFFF"/>
        <w:ind w:left="1276" w:right="1183"/>
        <w:jc w:val="both"/>
        <w:rPr>
          <w:rFonts w:ascii="Palatino Linotype" w:hAnsi="Palatino Linotype" w:cs="Arial"/>
          <w:i/>
          <w:sz w:val="22"/>
          <w:szCs w:val="22"/>
        </w:rPr>
      </w:pPr>
      <w:r w:rsidRPr="00412A5F">
        <w:rPr>
          <w:rFonts w:ascii="Palatino Linotype" w:hAnsi="Palatino Linotype" w:cs="Arial"/>
          <w:i/>
          <w:sz w:val="22"/>
          <w:szCs w:val="22"/>
        </w:rPr>
        <w:t>De ser procedente la versión pública, deberá emitir y adjuntar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412A5F" w:rsidRPr="00412A5F" w:rsidRDefault="00412A5F" w:rsidP="00412A5F">
      <w:pPr>
        <w:shd w:val="clear" w:color="auto" w:fill="FFFFFF"/>
        <w:ind w:left="1276" w:right="1183"/>
        <w:jc w:val="both"/>
        <w:rPr>
          <w:rFonts w:ascii="Palatino Linotype" w:hAnsi="Palatino Linotype" w:cs="Arial"/>
          <w:i/>
          <w:sz w:val="22"/>
          <w:szCs w:val="22"/>
        </w:rPr>
      </w:pPr>
    </w:p>
    <w:p w:rsidR="00412A5F" w:rsidRPr="00412A5F" w:rsidRDefault="00412A5F" w:rsidP="00412A5F">
      <w:pPr>
        <w:shd w:val="clear" w:color="auto" w:fill="FFFFFF"/>
        <w:ind w:left="1276" w:right="1183"/>
        <w:jc w:val="both"/>
        <w:rPr>
          <w:rFonts w:ascii="Palatino Linotype" w:hAnsi="Palatino Linotype" w:cs="Arial"/>
          <w:i/>
          <w:sz w:val="22"/>
          <w:szCs w:val="22"/>
        </w:rPr>
      </w:pPr>
      <w:r w:rsidRPr="00412A5F">
        <w:rPr>
          <w:rFonts w:ascii="Palatino Linotype" w:hAnsi="Palatino Linotype" w:cs="Arial"/>
          <w:i/>
          <w:sz w:val="22"/>
          <w:szCs w:val="22"/>
        </w:rPr>
        <w:t>Respecto del numeral 3, en caso que aún no hayan concluido las auditorias deberá emitir el acuerdo de clasificación como reservada, en términos de los artículos 128, 129, 135 y 140 de la Ley de Transparencia y Acceso a la Información Pública del Estado de México y Municipios, que sustente su clasificación.</w:t>
      </w:r>
    </w:p>
    <w:p w:rsidR="00412A5F" w:rsidRPr="00412A5F" w:rsidRDefault="00412A5F" w:rsidP="00412A5F">
      <w:pPr>
        <w:shd w:val="clear" w:color="auto" w:fill="FFFFFF"/>
        <w:ind w:left="1276" w:right="1183"/>
        <w:jc w:val="both"/>
        <w:rPr>
          <w:rFonts w:ascii="Palatino Linotype" w:hAnsi="Palatino Linotype" w:cs="Arial"/>
          <w:i/>
          <w:sz w:val="22"/>
          <w:szCs w:val="22"/>
        </w:rPr>
      </w:pPr>
    </w:p>
    <w:p w:rsidR="00412A5F" w:rsidRPr="00412A5F" w:rsidRDefault="00412A5F" w:rsidP="00412A5F">
      <w:pPr>
        <w:shd w:val="clear" w:color="auto" w:fill="FFFFFF"/>
        <w:ind w:left="1276" w:right="1183"/>
        <w:jc w:val="both"/>
        <w:rPr>
          <w:rFonts w:ascii="Palatino Linotype" w:hAnsi="Palatino Linotype" w:cs="Arial"/>
          <w:i/>
          <w:sz w:val="22"/>
          <w:szCs w:val="22"/>
        </w:rPr>
      </w:pPr>
      <w:r w:rsidRPr="00412A5F">
        <w:rPr>
          <w:rFonts w:ascii="Palatino Linotype" w:hAnsi="Palatino Linotype" w:cs="Arial"/>
          <w:i/>
          <w:sz w:val="22"/>
          <w:szCs w:val="22"/>
        </w:rPr>
        <w:t xml:space="preserve">En el supuesto que después de realizada la búsqueda exhaustiva y razonable de la información peticionada en los numerales </w:t>
      </w:r>
      <w:r w:rsidRPr="00412A5F">
        <w:rPr>
          <w:rFonts w:ascii="Palatino Linotype" w:hAnsi="Palatino Linotype" w:cs="Arial"/>
          <w:b/>
          <w:i/>
          <w:sz w:val="22"/>
          <w:szCs w:val="22"/>
        </w:rPr>
        <w:t>1, 2 y 3,</w:t>
      </w:r>
      <w:r w:rsidRPr="00412A5F">
        <w:rPr>
          <w:rFonts w:ascii="Palatino Linotype" w:hAnsi="Palatino Linotype" w:cs="Arial"/>
          <w:i/>
          <w:sz w:val="22"/>
          <w:szCs w:val="22"/>
        </w:rPr>
        <w:t xml:space="preserve"> se determine que no se cuente con información, al no haber sido generada por no existir los actos generadores de la información, deberá hacerlo del conocimiento del recurrente, en términos del artículo 19, segundo párrafo de la Ley de Transparencia local.</w:t>
      </w:r>
    </w:p>
    <w:p w:rsidR="00412A5F" w:rsidRPr="00412A5F" w:rsidRDefault="00412A5F" w:rsidP="00412A5F">
      <w:pPr>
        <w:shd w:val="clear" w:color="auto" w:fill="FFFFFF"/>
        <w:ind w:left="851" w:right="899"/>
        <w:jc w:val="both"/>
        <w:rPr>
          <w:rFonts w:ascii="Palatino Linotype" w:hAnsi="Palatino Linotype" w:cs="Arial"/>
          <w:i/>
          <w:sz w:val="22"/>
          <w:szCs w:val="22"/>
        </w:rPr>
      </w:pPr>
    </w:p>
    <w:p w:rsidR="00412A5F" w:rsidRPr="00412A5F" w:rsidRDefault="00412A5F" w:rsidP="00412A5F">
      <w:pPr>
        <w:shd w:val="clear" w:color="auto" w:fill="FFFFFF"/>
        <w:ind w:left="851" w:right="899"/>
        <w:jc w:val="both"/>
        <w:rPr>
          <w:rFonts w:ascii="Palatino Linotype" w:hAnsi="Palatino Linotype" w:cs="Arial"/>
          <w:i/>
          <w:sz w:val="22"/>
          <w:szCs w:val="22"/>
        </w:rPr>
      </w:pPr>
      <w:r w:rsidRPr="00412A5F">
        <w:rPr>
          <w:rFonts w:ascii="Palatino Linotype" w:hAnsi="Palatino Linotype" w:cs="Arial"/>
          <w:b/>
          <w:i/>
          <w:sz w:val="22"/>
          <w:szCs w:val="22"/>
        </w:rPr>
        <w:t>TERCERO</w:t>
      </w:r>
      <w:r w:rsidRPr="00412A5F">
        <w:rPr>
          <w:rFonts w:ascii="Palatino Linotype" w:hAnsi="Palatino Linotype" w:cs="Arial"/>
          <w:i/>
          <w:sz w:val="22"/>
          <w:szCs w:val="22"/>
        </w:rPr>
        <w:t xml:space="preserve">. </w:t>
      </w:r>
      <w:r w:rsidRPr="00412A5F">
        <w:rPr>
          <w:rFonts w:ascii="Palatino Linotype" w:hAnsi="Palatino Linotype" w:cs="Arial"/>
          <w:b/>
          <w:i/>
          <w:sz w:val="22"/>
          <w:szCs w:val="22"/>
        </w:rPr>
        <w:t>Notifíquese</w:t>
      </w:r>
      <w:r w:rsidRPr="00412A5F">
        <w:rPr>
          <w:rFonts w:ascii="Palatino Linotype" w:hAnsi="Palatino Linotype" w:cs="Arial"/>
          <w:i/>
          <w:sz w:val="22"/>
          <w:szCs w:val="22"/>
        </w:rPr>
        <w:t xml:space="preserve"> la presente resolución a los Titulares de las Unidades de Transparencia de </w:t>
      </w:r>
      <w:r w:rsidRPr="00412A5F">
        <w:rPr>
          <w:rFonts w:ascii="Palatino Linotype" w:hAnsi="Palatino Linotype" w:cs="Arial"/>
          <w:b/>
          <w:i/>
          <w:sz w:val="22"/>
          <w:szCs w:val="22"/>
        </w:rPr>
        <w:t>los sujetos obligados</w:t>
      </w:r>
      <w:r w:rsidRPr="00412A5F">
        <w:rPr>
          <w:rFonts w:ascii="Palatino Linotype" w:hAnsi="Palatino Linotype" w:cs="Arial"/>
          <w:i/>
          <w:sz w:val="22"/>
          <w:szCs w:val="22"/>
        </w:rPr>
        <w:t xml:space="preserve">, para que en su caso conforme al artículo </w:t>
      </w:r>
      <w:r w:rsidRPr="00412A5F">
        <w:rPr>
          <w:rFonts w:ascii="Palatino Linotype" w:hAnsi="Palatino Linotype" w:cs="Arial"/>
          <w:i/>
          <w:sz w:val="22"/>
          <w:szCs w:val="22"/>
        </w:rPr>
        <w:lastRenderedPageBreak/>
        <w:t>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412A5F" w:rsidRPr="00412A5F" w:rsidRDefault="00412A5F" w:rsidP="00412A5F">
      <w:pPr>
        <w:shd w:val="clear" w:color="auto" w:fill="FFFFFF"/>
        <w:ind w:left="851" w:right="899"/>
        <w:jc w:val="both"/>
        <w:rPr>
          <w:rFonts w:ascii="Palatino Linotype" w:hAnsi="Palatino Linotype" w:cs="Arial"/>
          <w:i/>
          <w:sz w:val="22"/>
          <w:szCs w:val="22"/>
        </w:rPr>
      </w:pPr>
    </w:p>
    <w:p w:rsidR="003369AB" w:rsidRPr="003369AB" w:rsidRDefault="00412A5F" w:rsidP="00412A5F">
      <w:pPr>
        <w:shd w:val="clear" w:color="auto" w:fill="FFFFFF"/>
        <w:ind w:left="851" w:right="899"/>
        <w:jc w:val="both"/>
        <w:rPr>
          <w:rFonts w:ascii="Palatino Linotype" w:eastAsia="MS Mincho" w:hAnsi="Palatino Linotype"/>
          <w:i/>
          <w:sz w:val="22"/>
          <w:szCs w:val="22"/>
        </w:rPr>
      </w:pPr>
      <w:r w:rsidRPr="00412A5F">
        <w:rPr>
          <w:rFonts w:ascii="Palatino Linotype" w:hAnsi="Palatino Linotype" w:cs="Arial"/>
          <w:b/>
          <w:i/>
          <w:sz w:val="22"/>
          <w:szCs w:val="22"/>
        </w:rPr>
        <w:t>CUARTO.</w:t>
      </w:r>
      <w:r w:rsidRPr="00412A5F">
        <w:rPr>
          <w:rFonts w:ascii="Palatino Linotype" w:hAnsi="Palatino Linotype" w:cs="Arial"/>
          <w:i/>
          <w:sz w:val="22"/>
          <w:szCs w:val="22"/>
        </w:rPr>
        <w:t xml:space="preserve"> </w:t>
      </w:r>
      <w:r w:rsidRPr="00412A5F">
        <w:rPr>
          <w:rFonts w:ascii="Palatino Linotype" w:hAnsi="Palatino Linotype" w:cs="Arial"/>
          <w:b/>
          <w:i/>
          <w:sz w:val="22"/>
          <w:szCs w:val="22"/>
        </w:rPr>
        <w:t xml:space="preserve">Notifíquese </w:t>
      </w:r>
      <w:r w:rsidRPr="00412A5F">
        <w:rPr>
          <w:rFonts w:ascii="Palatino Linotype" w:hAnsi="Palatino Linotype" w:cs="Arial"/>
          <w:i/>
          <w:sz w:val="22"/>
          <w:szCs w:val="22"/>
        </w:rPr>
        <w:t xml:space="preserve">al recurrente la presente resolución, y </w:t>
      </w:r>
      <w:r w:rsidRPr="00412A5F">
        <w:rPr>
          <w:rFonts w:ascii="Palatino Linotype" w:hAnsi="Palatino Linotype" w:cs="Arial"/>
          <w:b/>
          <w:i/>
          <w:sz w:val="22"/>
          <w:szCs w:val="22"/>
        </w:rPr>
        <w:t xml:space="preserve">hágase </w:t>
      </w:r>
      <w:r w:rsidRPr="00412A5F">
        <w:rPr>
          <w:rFonts w:ascii="Palatino Linotype" w:hAnsi="Palatino Linotype" w:cs="Arial"/>
          <w:i/>
          <w:sz w:val="22"/>
          <w:szCs w:val="22"/>
        </w:rPr>
        <w:t xml:space="preserve">del conocimiento, que de conformidad con lo establecido en el artículo 196 de la Ley de Transparencia y Acceso a la Información Pública del Estado de México y Municipios, y </w:t>
      </w:r>
      <w:r w:rsidRPr="00412A5F">
        <w:rPr>
          <w:rFonts w:ascii="Palatino Linotype" w:hAnsi="Palatino Linotype" w:cs="Arial"/>
          <w:b/>
          <w:i/>
          <w:sz w:val="22"/>
          <w:szCs w:val="22"/>
        </w:rPr>
        <w:t>con lo establecido en los artículos 159 y 160 de la Ley General de Transparencia y Acceso a la Información Pública podrá impugnarla vía recurso de inconformidad ante el Instituto Nacional de Transparencia, Acceso a la Información y Protección de Datos Personales,</w:t>
      </w:r>
      <w:r w:rsidRPr="00412A5F">
        <w:rPr>
          <w:rFonts w:ascii="Palatino Linotype" w:hAnsi="Palatino Linotype" w:cs="Arial"/>
          <w:i/>
          <w:sz w:val="22"/>
          <w:szCs w:val="22"/>
        </w:rPr>
        <w:t xml:space="preserve"> o bien, vía Juicio de Amparo en los términos de las leyes aplicables.</w:t>
      </w:r>
      <w:r>
        <w:rPr>
          <w:rFonts w:ascii="Palatino Linotype" w:hAnsi="Palatino Linotype" w:cs="Arial"/>
          <w:i/>
          <w:sz w:val="22"/>
          <w:szCs w:val="22"/>
        </w:rPr>
        <w:t xml:space="preserve">” </w:t>
      </w:r>
    </w:p>
    <w:p w:rsidR="003C7B7B" w:rsidRDefault="003C7B7B" w:rsidP="003C7B7B">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 xml:space="preserve">En ese sentido, la suscrita </w:t>
      </w:r>
      <w:r w:rsidRPr="004F3DBF">
        <w:rPr>
          <w:rFonts w:ascii="Palatino Linotype" w:hAnsi="Palatino Linotype" w:cs="Arial"/>
          <w:lang w:val="es-MX"/>
        </w:rPr>
        <w:t xml:space="preserve">reitera, que si bien coincide en términos generales con el </w:t>
      </w:r>
      <w:r>
        <w:rPr>
          <w:rFonts w:ascii="Palatino Linotype" w:hAnsi="Palatino Linotype" w:cs="Arial"/>
          <w:lang w:val="es-MX"/>
        </w:rPr>
        <w:t>sentido de la resolución en comento,</w:t>
      </w:r>
      <w:r w:rsidRPr="004F3DBF">
        <w:rPr>
          <w:rFonts w:ascii="Palatino Linotype" w:hAnsi="Palatino Linotype" w:cs="Arial"/>
          <w:lang w:val="es-MX"/>
        </w:rPr>
        <w:t xml:space="preserve"> difiero respecto </w:t>
      </w:r>
      <w:r>
        <w:rPr>
          <w:rFonts w:ascii="Palatino Linotype" w:hAnsi="Palatino Linotype" w:cs="Arial"/>
          <w:lang w:val="es-MX"/>
        </w:rPr>
        <w:t>a que se invoquen los artículos 159 y 160 de la Ley General de Transparencia y Acceso a la Inform</w:t>
      </w:r>
      <w:r w:rsidR="00E63F7F">
        <w:rPr>
          <w:rFonts w:ascii="Palatino Linotype" w:hAnsi="Palatino Linotype" w:cs="Arial"/>
          <w:lang w:val="es-MX"/>
        </w:rPr>
        <w:t xml:space="preserve">ación Pública en el Resolutivo Cuarto </w:t>
      </w:r>
      <w:r w:rsidR="001A2784">
        <w:rPr>
          <w:rFonts w:ascii="Palatino Linotype" w:hAnsi="Palatino Linotype" w:cs="Arial"/>
          <w:lang w:val="es-MX"/>
        </w:rPr>
        <w:t>de la resolución en comento</w:t>
      </w:r>
      <w:r>
        <w:rPr>
          <w:rFonts w:ascii="Palatino Linotype" w:hAnsi="Palatino Linotype" w:cs="Arial"/>
          <w:lang w:val="es-MX"/>
        </w:rPr>
        <w:t>.</w:t>
      </w:r>
    </w:p>
    <w:p w:rsidR="003C7B7B" w:rsidRPr="00351302" w:rsidRDefault="003C7B7B" w:rsidP="003C7B7B">
      <w:pPr>
        <w:spacing w:before="100" w:beforeAutospacing="1" w:after="100" w:afterAutospacing="1" w:line="360" w:lineRule="auto"/>
        <w:jc w:val="both"/>
        <w:rPr>
          <w:rFonts w:ascii="Palatino Linotype" w:hAnsi="Palatino Linotype" w:cs="Arial"/>
        </w:rPr>
      </w:pPr>
      <w:r>
        <w:rPr>
          <w:rFonts w:ascii="Palatino Linotype" w:hAnsi="Palatino Linotype" w:cs="Arial"/>
        </w:rPr>
        <w:t>Lo anterior, obedece a que</w:t>
      </w:r>
      <w:r w:rsidR="00351302">
        <w:rPr>
          <w:rFonts w:ascii="Palatino Linotype" w:hAnsi="Palatino Linotype" w:cs="Arial"/>
        </w:rPr>
        <w:t xml:space="preserve"> </w:t>
      </w:r>
      <w:r>
        <w:rPr>
          <w:rFonts w:ascii="Palatino Linotype" w:hAnsi="Palatino Linotype" w:cs="Arial"/>
        </w:rPr>
        <w:t xml:space="preserve">el sentido en que se resolvió el recurso de revisión no encuadra con alguna de las hipótesis contenidas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sidR="00351302">
        <w:rPr>
          <w:rFonts w:ascii="Palatino Linotype" w:hAnsi="Palatino Linotype" w:cs="Arial"/>
        </w:rPr>
        <w:t xml:space="preserve">en el Resolutivo </w:t>
      </w:r>
      <w:r w:rsidR="00E63F7F">
        <w:rPr>
          <w:rFonts w:ascii="Palatino Linotype" w:hAnsi="Palatino Linotype" w:cs="Arial"/>
        </w:rPr>
        <w:t xml:space="preserve">Cuarto </w:t>
      </w:r>
      <w:r>
        <w:rPr>
          <w:rFonts w:ascii="Palatino Linotype" w:hAnsi="Palatino Linotype" w:cs="Arial"/>
        </w:rPr>
        <w:t xml:space="preserve">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3C7B7B" w:rsidRDefault="003C7B7B" w:rsidP="003C7B7B">
      <w:pPr>
        <w:spacing w:line="360" w:lineRule="auto"/>
        <w:ind w:right="49"/>
        <w:jc w:val="both"/>
        <w:rPr>
          <w:rFonts w:ascii="Palatino Linotype" w:hAnsi="Palatino Linotype" w:cs="Arial"/>
        </w:rPr>
      </w:pPr>
      <w:r>
        <w:rPr>
          <w:rFonts w:ascii="Palatino Linotype" w:hAnsi="Palatino Linotype" w:cs="Arial"/>
        </w:rPr>
        <w:t xml:space="preserve">En ese contexto, conviene precisar que los artículos 159 y 160 de la Ley General, se encuentran inmersos en el Título Octavo de la Ley en cita, denominado “De los Procedimientos de Impugnación en Materia de Acceso a la Información Pública”, </w:t>
      </w:r>
      <w:r>
        <w:rPr>
          <w:rFonts w:ascii="Palatino Linotype" w:hAnsi="Palatino Linotype" w:cs="Arial"/>
        </w:rPr>
        <w:lastRenderedPageBreak/>
        <w:t>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3C7B7B" w:rsidRPr="009F7867" w:rsidRDefault="003C7B7B" w:rsidP="003C7B7B">
      <w:pPr>
        <w:ind w:left="851" w:right="899"/>
        <w:jc w:val="both"/>
        <w:rPr>
          <w:rFonts w:ascii="Palatino Linotype" w:hAnsi="Palatino Linotype"/>
          <w:i/>
          <w:sz w:val="22"/>
          <w:szCs w:val="22"/>
        </w:rPr>
      </w:pPr>
      <w:r w:rsidRPr="009F7867">
        <w:rPr>
          <w:rFonts w:ascii="Palatino Linotype" w:hAnsi="Palatino Linotype"/>
          <w:i/>
          <w:sz w:val="22"/>
          <w:szCs w:val="22"/>
        </w:rPr>
        <w:t>“</w:t>
      </w:r>
      <w:r w:rsidRPr="009F7867">
        <w:rPr>
          <w:rFonts w:ascii="Palatino Linotype" w:hAnsi="Palatino Linotype"/>
          <w:b/>
          <w:i/>
          <w:sz w:val="22"/>
          <w:szCs w:val="22"/>
        </w:rPr>
        <w:t>Artículo 159</w:t>
      </w:r>
      <w:r w:rsidRPr="009F7867">
        <w:rPr>
          <w:rFonts w:ascii="Palatino Linotype" w:hAnsi="Palatino Linotype"/>
          <w:i/>
          <w:sz w:val="22"/>
          <w:szCs w:val="22"/>
        </w:rPr>
        <w:t>. Tratándose de las resoluciones a los recursos de revisión de los Organismos garantes de las Entidades Federativas, los particulares podrán optar por acudir ante el Instituto o ante el Poder Judicial de la Federación.</w:t>
      </w:r>
    </w:p>
    <w:p w:rsidR="003C7B7B" w:rsidRPr="009F7867" w:rsidRDefault="003C7B7B" w:rsidP="003C7B7B">
      <w:pPr>
        <w:ind w:left="851" w:right="899"/>
        <w:jc w:val="both"/>
        <w:rPr>
          <w:rFonts w:ascii="Palatino Linotype" w:hAnsi="Palatino Linotype"/>
          <w:i/>
          <w:sz w:val="22"/>
          <w:szCs w:val="22"/>
        </w:rPr>
      </w:pPr>
    </w:p>
    <w:p w:rsidR="003C7B7B" w:rsidRPr="009F7867" w:rsidRDefault="003C7B7B" w:rsidP="003C7B7B">
      <w:pPr>
        <w:ind w:left="851" w:right="899"/>
        <w:jc w:val="both"/>
        <w:rPr>
          <w:rFonts w:ascii="Palatino Linotype" w:hAnsi="Palatino Linotype"/>
          <w:i/>
          <w:sz w:val="22"/>
          <w:szCs w:val="22"/>
        </w:rPr>
      </w:pPr>
      <w:r w:rsidRPr="009F7867">
        <w:rPr>
          <w:rFonts w:ascii="Palatino Linotype" w:hAnsi="Palatino Linotype"/>
          <w:b/>
          <w:i/>
          <w:sz w:val="22"/>
          <w:szCs w:val="22"/>
        </w:rPr>
        <w:t>Artículo 160</w:t>
      </w:r>
      <w:r w:rsidRPr="009F7867">
        <w:rPr>
          <w:rFonts w:ascii="Palatino Linotype" w:hAnsi="Palatino Linotype"/>
          <w:i/>
          <w:sz w:val="22"/>
          <w:szCs w:val="22"/>
        </w:rPr>
        <w:t>. El recurso de inconformidad procede contra las resoluciones emitidas por los Organismos garantes de las Entidades Federativas que:</w:t>
      </w:r>
    </w:p>
    <w:p w:rsidR="003C7B7B" w:rsidRPr="009F7867" w:rsidRDefault="003C7B7B" w:rsidP="003C7B7B">
      <w:pPr>
        <w:ind w:left="851" w:right="899"/>
        <w:jc w:val="both"/>
        <w:rPr>
          <w:rFonts w:ascii="Palatino Linotype" w:hAnsi="Palatino Linotype"/>
          <w:i/>
          <w:sz w:val="22"/>
          <w:szCs w:val="22"/>
        </w:rPr>
      </w:pPr>
      <w:r w:rsidRPr="009F7867">
        <w:rPr>
          <w:rFonts w:ascii="Palatino Linotype" w:hAnsi="Palatino Linotype"/>
          <w:i/>
          <w:sz w:val="22"/>
          <w:szCs w:val="22"/>
        </w:rPr>
        <w:t>I.</w:t>
      </w:r>
      <w:r w:rsidRPr="009F7867">
        <w:rPr>
          <w:rFonts w:ascii="Palatino Linotype" w:hAnsi="Palatino Linotype"/>
          <w:i/>
          <w:sz w:val="22"/>
          <w:szCs w:val="22"/>
        </w:rPr>
        <w:tab/>
        <w:t>Confirmen o modifiquen la clasificación de la información, o</w:t>
      </w:r>
    </w:p>
    <w:p w:rsidR="003C7B7B" w:rsidRPr="009F7867" w:rsidRDefault="003C7B7B" w:rsidP="003C7B7B">
      <w:pPr>
        <w:ind w:left="851" w:right="899"/>
        <w:jc w:val="both"/>
        <w:rPr>
          <w:rFonts w:ascii="Palatino Linotype" w:hAnsi="Palatino Linotype"/>
          <w:i/>
          <w:sz w:val="22"/>
          <w:szCs w:val="22"/>
        </w:rPr>
      </w:pPr>
      <w:r w:rsidRPr="009F7867">
        <w:rPr>
          <w:rFonts w:ascii="Palatino Linotype" w:hAnsi="Palatino Linotype"/>
          <w:i/>
          <w:sz w:val="22"/>
          <w:szCs w:val="22"/>
        </w:rPr>
        <w:t>II.</w:t>
      </w:r>
      <w:r w:rsidRPr="009F7867">
        <w:rPr>
          <w:rFonts w:ascii="Palatino Linotype" w:hAnsi="Palatino Linotype"/>
          <w:i/>
          <w:sz w:val="22"/>
          <w:szCs w:val="22"/>
        </w:rPr>
        <w:tab/>
        <w:t>Confirmen la inexistencia o negativa de información.</w:t>
      </w:r>
    </w:p>
    <w:p w:rsidR="003C7B7B" w:rsidRDefault="003C7B7B" w:rsidP="003C7B7B">
      <w:pPr>
        <w:ind w:left="851" w:right="899"/>
        <w:jc w:val="both"/>
        <w:rPr>
          <w:rFonts w:ascii="Palatino Linotype" w:hAnsi="Palatino Linotype"/>
          <w:i/>
          <w:sz w:val="22"/>
          <w:szCs w:val="22"/>
        </w:rPr>
      </w:pPr>
      <w:r w:rsidRPr="009F7867">
        <w:rPr>
          <w:rFonts w:ascii="Palatino Linotype" w:hAnsi="Palatino Linotype"/>
          <w:i/>
          <w:sz w:val="22"/>
          <w:szCs w:val="22"/>
        </w:rPr>
        <w:t>Se entenderá como negativa de acceso a la información la falta de resolución de los Organismos garantes de las Entidades Federativas dentro del plazo previsto para ello.”</w:t>
      </w:r>
      <w:r>
        <w:rPr>
          <w:rFonts w:ascii="Palatino Linotype" w:hAnsi="Palatino Linotype"/>
          <w:i/>
          <w:sz w:val="22"/>
          <w:szCs w:val="22"/>
        </w:rPr>
        <w:t>(Sic)</w:t>
      </w:r>
    </w:p>
    <w:p w:rsidR="00D7371E" w:rsidRDefault="00D7371E" w:rsidP="00D7371E">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de lo anterior se advierte que el artículo en cita no resulta aplicable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 así no emitió la declaratoria de Inexistencia de la información;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D7371E" w:rsidRDefault="00D7371E" w:rsidP="00D7371E">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remitido un Acuerdo del Comité de Transparencia en virtud del cual se clasifique la información requerida de manera fundada y motivada, ya sea como confidencial o </w:t>
      </w:r>
      <w:r>
        <w:rPr>
          <w:rFonts w:ascii="Palatino Linotype" w:hAnsi="Palatino Linotype" w:cs="Arial"/>
        </w:rPr>
        <w:lastRenderedPageBreak/>
        <w:t xml:space="preserve">reservada o declarando la inexistencia de ésta,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3C7B7B" w:rsidRDefault="003C7B7B" w:rsidP="003C7B7B">
      <w:pPr>
        <w:spacing w:before="100" w:beforeAutospacing="1" w:after="100" w:afterAutospacing="1" w:line="360" w:lineRule="auto"/>
        <w:jc w:val="both"/>
        <w:rPr>
          <w:rFonts w:ascii="Palatino Linotype" w:hAnsi="Palatino Linotype" w:cs="Arial"/>
        </w:rPr>
      </w:pPr>
      <w:r w:rsidRPr="000A6958">
        <w:rPr>
          <w:rFonts w:ascii="Palatino Linotype" w:hAnsi="Palatino Linotype" w:cs="Arial"/>
        </w:rPr>
        <w:t>Es por lo anteriormen</w:t>
      </w:r>
      <w:r>
        <w:rPr>
          <w:rFonts w:ascii="Palatino Linotype" w:hAnsi="Palatino Linotype" w:cs="Arial"/>
        </w:rPr>
        <w:t>te expuesto que, la que suscrita</w:t>
      </w:r>
      <w:r w:rsidRPr="000A6958">
        <w:rPr>
          <w:rFonts w:ascii="Palatino Linotype" w:hAnsi="Palatino Linotype" w:cs="Arial"/>
        </w:rPr>
        <w:t xml:space="preserve"> emite </w:t>
      </w:r>
      <w:r w:rsidRPr="000A6958">
        <w:rPr>
          <w:rFonts w:ascii="Palatino Linotype" w:hAnsi="Palatino Linotype" w:cs="Arial"/>
          <w:b/>
        </w:rPr>
        <w:t>VOTO PARTICULAR</w:t>
      </w:r>
      <w:r w:rsidRPr="000A6958">
        <w:rPr>
          <w:rFonts w:ascii="Palatino Linotype" w:hAnsi="Palatino Linotype" w:cs="Arial"/>
        </w:rPr>
        <w:t>, pues se insiste que</w:t>
      </w:r>
      <w:r w:rsidR="000B0299">
        <w:rPr>
          <w:rFonts w:ascii="Palatino Linotype" w:hAnsi="Palatino Linotype" w:cs="Arial"/>
        </w:rPr>
        <w:t xml:space="preserve"> no era p</w:t>
      </w:r>
      <w:r w:rsidRPr="000A6958">
        <w:rPr>
          <w:rFonts w:ascii="Palatino Linotype" w:hAnsi="Palatino Linotype" w:cs="Arial"/>
        </w:rPr>
        <w:t xml:space="preserve">rocedente </w:t>
      </w:r>
      <w:r>
        <w:rPr>
          <w:rFonts w:ascii="Palatino Linotype" w:hAnsi="Palatino Linotype" w:cs="Arial"/>
        </w:rPr>
        <w:t>que se invocar</w:t>
      </w:r>
      <w:r w:rsidR="00351302">
        <w:rPr>
          <w:rFonts w:ascii="Palatino Linotype" w:hAnsi="Palatino Linotype" w:cs="Arial"/>
        </w:rPr>
        <w:t xml:space="preserve">an </w:t>
      </w:r>
      <w:r w:rsidR="0048382F">
        <w:rPr>
          <w:rFonts w:ascii="Palatino Linotype" w:hAnsi="Palatino Linotype" w:cs="Arial"/>
        </w:rPr>
        <w:t xml:space="preserve">los artículos </w:t>
      </w:r>
      <w:r>
        <w:rPr>
          <w:rFonts w:ascii="Palatino Linotype" w:hAnsi="Palatino Linotype" w:cs="Arial"/>
        </w:rPr>
        <w:t xml:space="preserve">159 y 160 de la Ley General de Transparencia y Acceso a la Información Pública en el Resolutivo </w:t>
      </w:r>
      <w:r w:rsidR="00496910">
        <w:rPr>
          <w:rFonts w:ascii="Palatino Linotype" w:hAnsi="Palatino Linotype" w:cs="Arial"/>
        </w:rPr>
        <w:t>Cuarto</w:t>
      </w:r>
      <w:r>
        <w:rPr>
          <w:rFonts w:ascii="Palatino Linotype" w:hAnsi="Palatino Linotype" w:cs="Arial"/>
        </w:rPr>
        <w:t xml:space="preserve"> de la resolución ya que de las constancias del expediente no se advierten actos que encuadren en los supuestos de procedencia señalados.</w:t>
      </w:r>
    </w:p>
    <w:tbl>
      <w:tblPr>
        <w:tblW w:w="4393" w:type="dxa"/>
        <w:jc w:val="center"/>
        <w:tblLayout w:type="fixed"/>
        <w:tblLook w:val="04A0" w:firstRow="1" w:lastRow="0" w:firstColumn="1" w:lastColumn="0" w:noHBand="0" w:noVBand="1"/>
      </w:tblPr>
      <w:tblGrid>
        <w:gridCol w:w="4393"/>
      </w:tblGrid>
      <w:tr w:rsidR="00A67B58" w:rsidRPr="00A67B58" w:rsidTr="004E0AD9">
        <w:trPr>
          <w:jc w:val="center"/>
        </w:trPr>
        <w:tc>
          <w:tcPr>
            <w:tcW w:w="4393" w:type="dxa"/>
          </w:tcPr>
          <w:p w:rsidR="00496910" w:rsidRPr="00A67B58" w:rsidRDefault="00496910" w:rsidP="004E0AD9">
            <w:pPr>
              <w:jc w:val="center"/>
              <w:rPr>
                <w:rFonts w:ascii="Palatino Linotype" w:hAnsi="Palatino Linotype"/>
                <w:b/>
                <w:sz w:val="16"/>
                <w:szCs w:val="16"/>
              </w:rPr>
            </w:pPr>
            <w:bookmarkStart w:id="0" w:name="_GoBack"/>
          </w:p>
          <w:p w:rsidR="00D7371E" w:rsidRPr="00A67B58" w:rsidRDefault="00D7371E" w:rsidP="004E0AD9">
            <w:pPr>
              <w:jc w:val="center"/>
              <w:rPr>
                <w:rFonts w:ascii="Palatino Linotype" w:hAnsi="Palatino Linotype"/>
                <w:b/>
              </w:rPr>
            </w:pPr>
          </w:p>
          <w:p w:rsidR="00D7371E" w:rsidRPr="00A67B58" w:rsidRDefault="00D7371E" w:rsidP="004E0AD9">
            <w:pPr>
              <w:jc w:val="center"/>
              <w:rPr>
                <w:rFonts w:ascii="Palatino Linotype" w:hAnsi="Palatino Linotype"/>
                <w:b/>
              </w:rPr>
            </w:pPr>
          </w:p>
          <w:p w:rsidR="00D7371E" w:rsidRPr="00A67B58" w:rsidRDefault="00D7371E" w:rsidP="004E0AD9">
            <w:pPr>
              <w:jc w:val="center"/>
              <w:rPr>
                <w:rFonts w:ascii="Palatino Linotype" w:hAnsi="Palatino Linotype"/>
                <w:b/>
              </w:rPr>
            </w:pPr>
          </w:p>
          <w:p w:rsidR="00D7371E" w:rsidRPr="00A67B58" w:rsidRDefault="00D7371E" w:rsidP="004E0AD9">
            <w:pPr>
              <w:jc w:val="center"/>
              <w:rPr>
                <w:rFonts w:ascii="Palatino Linotype" w:hAnsi="Palatino Linotype"/>
                <w:b/>
              </w:rPr>
            </w:pPr>
          </w:p>
          <w:p w:rsidR="00D7371E" w:rsidRPr="00A67B58" w:rsidRDefault="00D7371E" w:rsidP="004E0AD9">
            <w:pPr>
              <w:jc w:val="center"/>
              <w:rPr>
                <w:rFonts w:ascii="Palatino Linotype" w:hAnsi="Palatino Linotype"/>
                <w:b/>
              </w:rPr>
            </w:pPr>
          </w:p>
          <w:p w:rsidR="00D7371E" w:rsidRPr="00A67B58" w:rsidRDefault="00D7371E" w:rsidP="004E0AD9">
            <w:pPr>
              <w:jc w:val="center"/>
              <w:rPr>
                <w:rFonts w:ascii="Palatino Linotype" w:hAnsi="Palatino Linotype"/>
                <w:b/>
              </w:rPr>
            </w:pPr>
          </w:p>
          <w:p w:rsidR="003C7B7B" w:rsidRPr="00A67B58" w:rsidRDefault="003C7B7B" w:rsidP="004E0AD9">
            <w:pPr>
              <w:jc w:val="center"/>
              <w:rPr>
                <w:rFonts w:ascii="Palatino Linotype" w:hAnsi="Palatino Linotype"/>
                <w:b/>
              </w:rPr>
            </w:pPr>
            <w:r w:rsidRPr="00A67B58">
              <w:rPr>
                <w:rFonts w:ascii="Palatino Linotype" w:hAnsi="Palatino Linotype"/>
                <w:b/>
              </w:rPr>
              <w:t>EVA ABAID YAPUR</w:t>
            </w:r>
          </w:p>
          <w:p w:rsidR="003C7B7B" w:rsidRPr="00A67B58" w:rsidRDefault="003C7B7B" w:rsidP="004E0AD9">
            <w:pPr>
              <w:jc w:val="center"/>
              <w:rPr>
                <w:rFonts w:ascii="Palatino Linotype" w:hAnsi="Palatino Linotype"/>
                <w:b/>
              </w:rPr>
            </w:pPr>
            <w:r w:rsidRPr="00A67B58">
              <w:rPr>
                <w:rFonts w:ascii="Palatino Linotype" w:hAnsi="Palatino Linotype"/>
                <w:b/>
              </w:rPr>
              <w:t>COMISIONADA</w:t>
            </w:r>
          </w:p>
          <w:p w:rsidR="003C7B7B" w:rsidRPr="00A67B58" w:rsidRDefault="003C7B7B" w:rsidP="004E0AD9">
            <w:pPr>
              <w:jc w:val="center"/>
              <w:rPr>
                <w:rFonts w:ascii="Palatino Linotype" w:hAnsi="Palatino Linotype"/>
                <w:b/>
              </w:rPr>
            </w:pPr>
            <w:r w:rsidRPr="00A67B58">
              <w:rPr>
                <w:rFonts w:ascii="Palatino Linotype" w:hAnsi="Palatino Linotype"/>
                <w:b/>
              </w:rPr>
              <w:t>(RÚBRICA)</w:t>
            </w:r>
          </w:p>
        </w:tc>
      </w:tr>
      <w:bookmarkEnd w:id="0"/>
    </w:tbl>
    <w:p w:rsidR="00496910" w:rsidRPr="00496910" w:rsidRDefault="00496910" w:rsidP="00496910">
      <w:pPr>
        <w:jc w:val="both"/>
        <w:rPr>
          <w:rFonts w:ascii="Palatino Linotype" w:eastAsia="Calibri" w:hAnsi="Palatino Linotype" w:cs="Arial"/>
          <w:color w:val="000000" w:themeColor="text1"/>
          <w:sz w:val="6"/>
          <w:szCs w:val="6"/>
        </w:rPr>
      </w:pPr>
    </w:p>
    <w:p w:rsidR="00D7371E" w:rsidRDefault="00D7371E" w:rsidP="00496910">
      <w:pPr>
        <w:jc w:val="both"/>
        <w:rPr>
          <w:rFonts w:ascii="Palatino Linotype" w:eastAsia="Calibri" w:hAnsi="Palatino Linotype" w:cs="Arial"/>
          <w:color w:val="000000" w:themeColor="text1"/>
          <w:sz w:val="20"/>
          <w:szCs w:val="20"/>
        </w:rPr>
      </w:pPr>
    </w:p>
    <w:p w:rsidR="00D7371E" w:rsidRDefault="00D7371E" w:rsidP="00496910">
      <w:pPr>
        <w:jc w:val="both"/>
        <w:rPr>
          <w:rFonts w:ascii="Palatino Linotype" w:eastAsia="Calibri" w:hAnsi="Palatino Linotype" w:cs="Arial"/>
          <w:color w:val="000000" w:themeColor="text1"/>
          <w:sz w:val="20"/>
          <w:szCs w:val="20"/>
        </w:rPr>
      </w:pPr>
    </w:p>
    <w:p w:rsidR="00D7371E" w:rsidRDefault="00D7371E" w:rsidP="00496910">
      <w:pPr>
        <w:jc w:val="both"/>
        <w:rPr>
          <w:rFonts w:ascii="Palatino Linotype" w:eastAsia="Calibri" w:hAnsi="Palatino Linotype" w:cs="Arial"/>
          <w:color w:val="000000" w:themeColor="text1"/>
          <w:sz w:val="20"/>
          <w:szCs w:val="20"/>
        </w:rPr>
      </w:pPr>
    </w:p>
    <w:p w:rsidR="00D7371E" w:rsidRDefault="00D7371E" w:rsidP="00496910">
      <w:pPr>
        <w:jc w:val="both"/>
        <w:rPr>
          <w:rFonts w:ascii="Palatino Linotype" w:eastAsia="Calibri" w:hAnsi="Palatino Linotype" w:cs="Arial"/>
          <w:color w:val="000000" w:themeColor="text1"/>
          <w:sz w:val="20"/>
          <w:szCs w:val="20"/>
        </w:rPr>
      </w:pPr>
    </w:p>
    <w:p w:rsidR="00D7371E" w:rsidRDefault="00D7371E" w:rsidP="00496910">
      <w:pPr>
        <w:jc w:val="both"/>
        <w:rPr>
          <w:rFonts w:ascii="Palatino Linotype" w:eastAsia="Calibri" w:hAnsi="Palatino Linotype" w:cs="Arial"/>
          <w:color w:val="000000" w:themeColor="text1"/>
          <w:sz w:val="20"/>
          <w:szCs w:val="20"/>
        </w:rPr>
      </w:pPr>
    </w:p>
    <w:p w:rsidR="00D7371E" w:rsidRDefault="00D7371E" w:rsidP="00496910">
      <w:pPr>
        <w:jc w:val="both"/>
        <w:rPr>
          <w:rFonts w:ascii="Palatino Linotype" w:eastAsia="Calibri" w:hAnsi="Palatino Linotype" w:cs="Arial"/>
          <w:color w:val="000000" w:themeColor="text1"/>
          <w:sz w:val="20"/>
          <w:szCs w:val="20"/>
        </w:rPr>
      </w:pPr>
    </w:p>
    <w:p w:rsidR="00D7371E" w:rsidRDefault="00D7371E" w:rsidP="00496910">
      <w:pPr>
        <w:jc w:val="both"/>
        <w:rPr>
          <w:rFonts w:ascii="Palatino Linotype" w:eastAsia="Calibri" w:hAnsi="Palatino Linotype" w:cs="Arial"/>
          <w:color w:val="000000" w:themeColor="text1"/>
          <w:sz w:val="20"/>
          <w:szCs w:val="20"/>
        </w:rPr>
      </w:pPr>
    </w:p>
    <w:p w:rsidR="00D7371E" w:rsidRDefault="00D7371E" w:rsidP="00496910">
      <w:pPr>
        <w:jc w:val="both"/>
        <w:rPr>
          <w:rFonts w:ascii="Palatino Linotype" w:eastAsia="Calibri" w:hAnsi="Palatino Linotype" w:cs="Arial"/>
          <w:color w:val="000000" w:themeColor="text1"/>
          <w:sz w:val="20"/>
          <w:szCs w:val="20"/>
        </w:rPr>
      </w:pPr>
    </w:p>
    <w:p w:rsidR="00D7371E" w:rsidRDefault="00D7371E" w:rsidP="00496910">
      <w:pPr>
        <w:jc w:val="both"/>
        <w:rPr>
          <w:rFonts w:ascii="Palatino Linotype" w:eastAsia="Calibri" w:hAnsi="Palatino Linotype" w:cs="Arial"/>
          <w:color w:val="000000" w:themeColor="text1"/>
          <w:sz w:val="20"/>
          <w:szCs w:val="20"/>
        </w:rPr>
      </w:pPr>
    </w:p>
    <w:p w:rsidR="003C7B7B" w:rsidRDefault="003C7B7B" w:rsidP="00496910">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00351302">
        <w:rPr>
          <w:rFonts w:ascii="Palatino Linotype" w:eastAsia="Calibri" w:hAnsi="Palatino Linotype" w:cs="Arial"/>
          <w:color w:val="000000" w:themeColor="text1"/>
          <w:sz w:val="20"/>
          <w:szCs w:val="20"/>
        </w:rPr>
        <w:t>e</w:t>
      </w:r>
      <w:r w:rsidR="00D7371E">
        <w:rPr>
          <w:rFonts w:ascii="Palatino Linotype" w:eastAsia="Calibri" w:hAnsi="Palatino Linotype" w:cs="Arial"/>
          <w:color w:val="000000" w:themeColor="text1"/>
          <w:sz w:val="20"/>
          <w:szCs w:val="20"/>
        </w:rPr>
        <w:t xml:space="preserve"> </w:t>
      </w:r>
      <w:r w:rsidR="00351302">
        <w:rPr>
          <w:rFonts w:ascii="Palatino Linotype" w:eastAsia="Calibri" w:hAnsi="Palatino Linotype" w:cs="Arial"/>
          <w:color w:val="000000" w:themeColor="text1"/>
          <w:sz w:val="20"/>
          <w:szCs w:val="20"/>
        </w:rPr>
        <w:t>l</w:t>
      </w:r>
      <w:r w:rsidR="00D7371E">
        <w:rPr>
          <w:rFonts w:ascii="Palatino Linotype" w:eastAsia="Calibri" w:hAnsi="Palatino Linotype" w:cs="Arial"/>
          <w:color w:val="000000" w:themeColor="text1"/>
          <w:sz w:val="20"/>
          <w:szCs w:val="20"/>
        </w:rPr>
        <w:t>os</w:t>
      </w:r>
      <w:r w:rsidRPr="001950C9">
        <w:rPr>
          <w:rFonts w:ascii="Palatino Linotype" w:eastAsia="Calibri" w:hAnsi="Palatino Linotype" w:cs="Arial"/>
          <w:color w:val="000000" w:themeColor="text1"/>
          <w:sz w:val="20"/>
          <w:szCs w:val="20"/>
        </w:rPr>
        <w:t xml:space="preserve"> </w:t>
      </w:r>
      <w:r w:rsidR="00496910" w:rsidRPr="001950C9">
        <w:rPr>
          <w:rFonts w:ascii="Palatino Linotype" w:eastAsia="Calibri" w:hAnsi="Palatino Linotype" w:cs="Arial"/>
          <w:color w:val="000000" w:themeColor="text1"/>
          <w:sz w:val="20"/>
          <w:szCs w:val="20"/>
        </w:rPr>
        <w:t>Recurso</w:t>
      </w:r>
      <w:r w:rsidR="00D7371E">
        <w:rPr>
          <w:rFonts w:ascii="Palatino Linotype" w:eastAsia="Calibri" w:hAnsi="Palatino Linotype" w:cs="Arial"/>
          <w:color w:val="000000" w:themeColor="text1"/>
          <w:sz w:val="20"/>
          <w:szCs w:val="20"/>
        </w:rPr>
        <w:t>s</w:t>
      </w:r>
      <w:r w:rsidR="00496910" w:rsidRPr="001950C9">
        <w:rPr>
          <w:rFonts w:ascii="Palatino Linotype" w:eastAsia="Calibri" w:hAnsi="Palatino Linotype" w:cs="Arial"/>
          <w:color w:val="000000" w:themeColor="text1"/>
          <w:sz w:val="20"/>
          <w:szCs w:val="20"/>
        </w:rPr>
        <w:t xml:space="preserve"> </w:t>
      </w:r>
      <w:r w:rsidRPr="001950C9">
        <w:rPr>
          <w:rFonts w:ascii="Palatino Linotype" w:eastAsia="Calibri" w:hAnsi="Palatino Linotype" w:cs="Arial"/>
          <w:color w:val="000000" w:themeColor="text1"/>
          <w:sz w:val="20"/>
          <w:szCs w:val="20"/>
        </w:rPr>
        <w:t xml:space="preserve">de </w:t>
      </w:r>
      <w:r w:rsidR="00496910" w:rsidRPr="001950C9">
        <w:rPr>
          <w:rFonts w:ascii="Palatino Linotype" w:eastAsia="Calibri" w:hAnsi="Palatino Linotype" w:cs="Arial"/>
          <w:color w:val="000000" w:themeColor="text1"/>
          <w:sz w:val="20"/>
          <w:szCs w:val="20"/>
        </w:rPr>
        <w:t xml:space="preserve">Revisión </w:t>
      </w:r>
      <w:r w:rsidR="00D7371E">
        <w:rPr>
          <w:rFonts w:ascii="Palatino Linotype" w:eastAsia="Calibri" w:hAnsi="Palatino Linotype" w:cs="Arial"/>
          <w:color w:val="000000" w:themeColor="text1"/>
          <w:sz w:val="20"/>
          <w:szCs w:val="20"/>
        </w:rPr>
        <w:t>12885</w:t>
      </w:r>
      <w:r w:rsidRPr="001950C9">
        <w:rPr>
          <w:rFonts w:ascii="Palatino Linotype" w:eastAsia="Calibri" w:hAnsi="Palatino Linotype" w:cs="Arial"/>
          <w:color w:val="000000" w:themeColor="text1"/>
          <w:sz w:val="20"/>
          <w:szCs w:val="20"/>
        </w:rPr>
        <w:t>/INFOEM/IP/RR/201</w:t>
      </w:r>
      <w:r w:rsidR="00351302">
        <w:rPr>
          <w:rFonts w:ascii="Palatino Linotype" w:eastAsia="Calibri" w:hAnsi="Palatino Linotype" w:cs="Arial"/>
          <w:color w:val="000000" w:themeColor="text1"/>
          <w:sz w:val="20"/>
          <w:szCs w:val="20"/>
        </w:rPr>
        <w:t>9</w:t>
      </w:r>
      <w:r w:rsidR="00D7371E">
        <w:rPr>
          <w:rFonts w:ascii="Palatino Linotype" w:eastAsia="Calibri" w:hAnsi="Palatino Linotype" w:cs="Arial"/>
          <w:color w:val="000000" w:themeColor="text1"/>
          <w:sz w:val="20"/>
          <w:szCs w:val="20"/>
        </w:rPr>
        <w:t xml:space="preserve"> y acumulados</w:t>
      </w:r>
      <w:r w:rsidR="00351302">
        <w:rPr>
          <w:rFonts w:ascii="Palatino Linotype" w:eastAsia="Calibri" w:hAnsi="Palatino Linotype" w:cs="Arial"/>
          <w:color w:val="000000" w:themeColor="text1"/>
          <w:sz w:val="20"/>
          <w:szCs w:val="20"/>
        </w:rPr>
        <w:t>, aprobad</w:t>
      </w:r>
      <w:r w:rsidR="00496910">
        <w:rPr>
          <w:rFonts w:ascii="Palatino Linotype" w:eastAsia="Calibri" w:hAnsi="Palatino Linotype" w:cs="Arial"/>
          <w:color w:val="000000" w:themeColor="text1"/>
          <w:sz w:val="20"/>
          <w:szCs w:val="20"/>
        </w:rPr>
        <w:t xml:space="preserve">a el </w:t>
      </w:r>
      <w:r w:rsidR="00D7371E">
        <w:rPr>
          <w:rFonts w:ascii="Palatino Linotype" w:eastAsia="Calibri" w:hAnsi="Palatino Linotype" w:cs="Arial"/>
          <w:color w:val="000000" w:themeColor="text1"/>
          <w:sz w:val="20"/>
          <w:szCs w:val="20"/>
        </w:rPr>
        <w:t xml:space="preserve">once </w:t>
      </w:r>
      <w:r w:rsidR="00496910">
        <w:rPr>
          <w:rFonts w:ascii="Palatino Linotype" w:eastAsia="Calibri" w:hAnsi="Palatino Linotype" w:cs="Arial"/>
          <w:color w:val="000000" w:themeColor="text1"/>
          <w:sz w:val="20"/>
          <w:szCs w:val="20"/>
        </w:rPr>
        <w:t xml:space="preserve">de </w:t>
      </w:r>
      <w:r w:rsidR="00D7371E">
        <w:rPr>
          <w:rFonts w:ascii="Palatino Linotype" w:eastAsia="Calibri" w:hAnsi="Palatino Linotype" w:cs="Arial"/>
          <w:color w:val="000000" w:themeColor="text1"/>
          <w:sz w:val="20"/>
          <w:szCs w:val="20"/>
        </w:rPr>
        <w:t xml:space="preserve">marzo </w:t>
      </w:r>
      <w:r>
        <w:rPr>
          <w:rFonts w:ascii="Palatino Linotype" w:eastAsia="Calibri" w:hAnsi="Palatino Linotype" w:cs="Arial"/>
          <w:color w:val="000000" w:themeColor="text1"/>
          <w:sz w:val="20"/>
          <w:szCs w:val="20"/>
        </w:rPr>
        <w:t xml:space="preserve">de dos mil </w:t>
      </w:r>
      <w:r w:rsidR="00D7371E">
        <w:rPr>
          <w:rFonts w:ascii="Palatino Linotype" w:eastAsia="Calibri" w:hAnsi="Palatino Linotype" w:cs="Arial"/>
          <w:color w:val="000000" w:themeColor="text1"/>
          <w:sz w:val="20"/>
          <w:szCs w:val="20"/>
        </w:rPr>
        <w:t>veinte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D7371E" w:rsidRDefault="00D7371E" w:rsidP="00496910">
      <w:pPr>
        <w:jc w:val="both"/>
        <w:rPr>
          <w:rFonts w:ascii="Palatino Linotype" w:eastAsia="Calibri" w:hAnsi="Palatino Linotype" w:cs="Arial"/>
          <w:color w:val="000000" w:themeColor="text1"/>
          <w:sz w:val="18"/>
          <w:szCs w:val="18"/>
        </w:rPr>
      </w:pPr>
    </w:p>
    <w:p w:rsidR="00C23B43" w:rsidRDefault="00D7371E" w:rsidP="00496910">
      <w:pPr>
        <w:jc w:val="both"/>
      </w:pPr>
      <w:r>
        <w:rPr>
          <w:rFonts w:ascii="Palatino Linotype" w:eastAsia="Calibri" w:hAnsi="Palatino Linotype" w:cs="Arial"/>
          <w:color w:val="000000" w:themeColor="text1"/>
          <w:sz w:val="18"/>
          <w:szCs w:val="18"/>
        </w:rPr>
        <w:t>YSM</w:t>
      </w:r>
      <w:r w:rsidR="00496910">
        <w:rPr>
          <w:rFonts w:ascii="Palatino Linotype" w:eastAsia="Calibri" w:hAnsi="Palatino Linotype" w:cs="Arial"/>
          <w:color w:val="000000" w:themeColor="text1"/>
          <w:sz w:val="18"/>
          <w:szCs w:val="18"/>
        </w:rPr>
        <w:t>/IAHA</w:t>
      </w:r>
    </w:p>
    <w:sectPr w:rsidR="00C23B43" w:rsidSect="00017A8B">
      <w:headerReference w:type="even" r:id="rId7"/>
      <w:headerReference w:type="default" r:id="rId8"/>
      <w:footerReference w:type="even" r:id="rId9"/>
      <w:footerReference w:type="default" r:id="rId10"/>
      <w:headerReference w:type="first" r:id="rId11"/>
      <w:footerReference w:type="first" r:id="rId12"/>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41B" w:rsidRDefault="00AB641B" w:rsidP="003C7B7B">
      <w:r>
        <w:separator/>
      </w:r>
    </w:p>
  </w:endnote>
  <w:endnote w:type="continuationSeparator" w:id="0">
    <w:p w:rsidR="00AB641B" w:rsidRDefault="00AB641B" w:rsidP="003C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86D" w:rsidRDefault="008E78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B641B" w:rsidP="00DC5C4E">
    <w:pPr>
      <w:pStyle w:val="Piedepgina"/>
      <w:tabs>
        <w:tab w:val="clear" w:pos="4252"/>
        <w:tab w:val="left" w:pos="4228"/>
      </w:tabs>
      <w:rPr>
        <w:rFonts w:ascii="Palatino Linotype" w:hAnsi="Palatino Linotype" w:cs="Arial"/>
        <w:b/>
        <w:bCs/>
        <w:sz w:val="20"/>
        <w:szCs w:val="20"/>
      </w:rPr>
    </w:pPr>
  </w:p>
  <w:p w:rsidR="005C7C8F" w:rsidRDefault="00AB641B" w:rsidP="00DC5C4E">
    <w:pPr>
      <w:pStyle w:val="Piedepgina"/>
      <w:tabs>
        <w:tab w:val="clear" w:pos="4252"/>
        <w:tab w:val="left" w:pos="4228"/>
      </w:tabs>
      <w:rPr>
        <w:rFonts w:ascii="Palatino Linotype" w:hAnsi="Palatino Linotype" w:cs="Arial"/>
        <w:b/>
        <w:bCs/>
        <w:sz w:val="20"/>
        <w:szCs w:val="20"/>
      </w:rPr>
    </w:pPr>
  </w:p>
  <w:p w:rsidR="00496910" w:rsidRDefault="00496910" w:rsidP="00DC5C4E">
    <w:pPr>
      <w:pStyle w:val="Piedepgina"/>
      <w:tabs>
        <w:tab w:val="clear" w:pos="4252"/>
        <w:tab w:val="left" w:pos="4228"/>
      </w:tabs>
      <w:rPr>
        <w:rFonts w:ascii="Palatino Linotype" w:hAnsi="Palatino Linotype" w:cs="Arial"/>
        <w:b/>
        <w:bCs/>
        <w:sz w:val="20"/>
        <w:szCs w:val="20"/>
      </w:rPr>
    </w:pPr>
  </w:p>
  <w:p w:rsidR="005C7C8F" w:rsidRDefault="00AB641B" w:rsidP="00DC5C4E">
    <w:pPr>
      <w:pStyle w:val="Piedepgina"/>
      <w:tabs>
        <w:tab w:val="clear" w:pos="4252"/>
        <w:tab w:val="left" w:pos="4228"/>
      </w:tabs>
      <w:rPr>
        <w:rFonts w:ascii="Palatino Linotype" w:hAnsi="Palatino Linotype" w:cs="Arial"/>
        <w:b/>
        <w:bCs/>
        <w:sz w:val="20"/>
        <w:szCs w:val="20"/>
      </w:rPr>
    </w:pPr>
  </w:p>
  <w:p w:rsidR="005C7C8F" w:rsidRDefault="00AB641B" w:rsidP="00DC5C4E">
    <w:pPr>
      <w:pStyle w:val="Piedepgina"/>
      <w:rPr>
        <w:rFonts w:ascii="Palatino Linotype" w:hAnsi="Palatino Linotype" w:cs="Arial"/>
        <w:b/>
        <w:bCs/>
        <w:sz w:val="20"/>
        <w:szCs w:val="20"/>
      </w:rPr>
    </w:pPr>
  </w:p>
  <w:p w:rsidR="005C7C8F" w:rsidRPr="00F12350" w:rsidRDefault="00511E69"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67B58">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67B58">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AB641B" w:rsidP="00DC5C4E">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86D" w:rsidRDefault="008E78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41B" w:rsidRDefault="00AB641B" w:rsidP="003C7B7B">
      <w:r>
        <w:separator/>
      </w:r>
    </w:p>
  </w:footnote>
  <w:footnote w:type="continuationSeparator" w:id="0">
    <w:p w:rsidR="00AB641B" w:rsidRDefault="00AB641B" w:rsidP="003C7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B641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0594" o:spid="_x0000_s2049" type="#_x0000_t136" style="position:absolute;margin-left:0;margin-top:0;width:559.05pt;height:83.85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11E69"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723ADF00" wp14:editId="5789EC59">
          <wp:simplePos x="0" y="0"/>
          <wp:positionH relativeFrom="column">
            <wp:posOffset>-688975</wp:posOffset>
          </wp:positionH>
          <wp:positionV relativeFrom="paragraph">
            <wp:posOffset>-448945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AB641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0595" o:spid="_x0000_s2050" type="#_x0000_t136" style="position:absolute;left:0;text-align:left;margin-left:0;margin-top:0;width:559.05pt;height:83.8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p w:rsidR="003C7B7B" w:rsidRPr="003C7B7B" w:rsidRDefault="00563985" w:rsidP="003C7B7B">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511E69"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sidR="00563985">
      <w:rPr>
        <w:rFonts w:ascii="Palatino Linotype" w:hAnsi="Palatino Linotype" w:cs="Arial"/>
        <w:sz w:val="20"/>
        <w:szCs w:val="20"/>
      </w:rPr>
      <w:t>S</w:t>
    </w:r>
    <w:r w:rsidRPr="00706042">
      <w:rPr>
        <w:rFonts w:ascii="Palatino Linotype" w:hAnsi="Palatino Linotype" w:cs="Arial"/>
        <w:sz w:val="20"/>
        <w:szCs w:val="20"/>
      </w:rPr>
      <w:t xml:space="preserve"> DE REVISIÓN </w:t>
    </w:r>
    <w:r>
      <w:rPr>
        <w:rFonts w:ascii="Palatino Linotype" w:hAnsi="Palatino Linotype" w:cs="Arial"/>
        <w:sz w:val="20"/>
        <w:szCs w:val="20"/>
      </w:rPr>
      <w:t>0</w:t>
    </w:r>
    <w:r w:rsidR="00563985">
      <w:rPr>
        <w:rFonts w:ascii="Palatino Linotype" w:hAnsi="Palatino Linotype" w:cs="Arial"/>
        <w:sz w:val="20"/>
        <w:szCs w:val="20"/>
      </w:rPr>
      <w:t>12885</w:t>
    </w:r>
    <w:r>
      <w:rPr>
        <w:rFonts w:ascii="Palatino Linotype" w:hAnsi="Palatino Linotype" w:cs="Arial"/>
        <w:sz w:val="20"/>
        <w:szCs w:val="20"/>
      </w:rPr>
      <w:t>/INFOEM/IP</w:t>
    </w:r>
    <w:r w:rsidRPr="00706042">
      <w:rPr>
        <w:rFonts w:ascii="Palatino Linotype" w:hAnsi="Palatino Linotype" w:cs="Arial"/>
        <w:sz w:val="20"/>
        <w:szCs w:val="20"/>
      </w:rPr>
      <w:t>/RR/201</w:t>
    </w:r>
    <w:r w:rsidR="003C7B7B">
      <w:rPr>
        <w:rFonts w:ascii="Palatino Linotype" w:hAnsi="Palatino Linotype" w:cs="Arial"/>
        <w:sz w:val="20"/>
        <w:szCs w:val="20"/>
      </w:rPr>
      <w:t>9</w:t>
    </w:r>
    <w:r>
      <w:rPr>
        <w:rFonts w:ascii="Palatino Linotype" w:hAnsi="Palatino Linotype" w:cs="Arial"/>
        <w:sz w:val="20"/>
        <w:szCs w:val="20"/>
      </w:rPr>
      <w:t xml:space="preserve"> </w:t>
    </w:r>
    <w:r w:rsidR="00563985">
      <w:rPr>
        <w:rFonts w:ascii="Palatino Linotype" w:hAnsi="Palatino Linotype" w:cs="Arial"/>
        <w:sz w:val="20"/>
        <w:szCs w:val="20"/>
      </w:rPr>
      <w:t>Y</w:t>
    </w:r>
  </w:p>
  <w:p w:rsidR="00496910" w:rsidRDefault="00563985" w:rsidP="00DC5C4E">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 xml:space="preserve">ACUMULADOS </w:t>
    </w:r>
  </w:p>
  <w:p w:rsidR="00563985" w:rsidRDefault="00563985" w:rsidP="00DC5C4E">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B641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0593" o:spid="_x0000_s2051" type="#_x0000_t136" style="position:absolute;margin-left:0;margin-top:0;width:559.05pt;height:83.8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327C9"/>
    <w:multiLevelType w:val="hybridMultilevel"/>
    <w:tmpl w:val="9EE2E872"/>
    <w:lvl w:ilvl="0" w:tplc="E6B690E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3F14B41"/>
    <w:multiLevelType w:val="hybridMultilevel"/>
    <w:tmpl w:val="9A0E8192"/>
    <w:lvl w:ilvl="0" w:tplc="080A0017">
      <w:start w:val="1"/>
      <w:numFmt w:val="lowerLetter"/>
      <w:lvlText w:val="%1)"/>
      <w:lvlJc w:val="left"/>
      <w:pPr>
        <w:ind w:left="2912" w:hanging="360"/>
      </w:p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 w15:restartNumberingAfterBreak="0">
    <w:nsid w:val="170D0331"/>
    <w:multiLevelType w:val="hybridMultilevel"/>
    <w:tmpl w:val="2EA85A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26413F"/>
    <w:multiLevelType w:val="hybridMultilevel"/>
    <w:tmpl w:val="8892D904"/>
    <w:lvl w:ilvl="0" w:tplc="46E8952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9541B70"/>
    <w:multiLevelType w:val="hybridMultilevel"/>
    <w:tmpl w:val="05B4358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B33B77"/>
    <w:multiLevelType w:val="hybridMultilevel"/>
    <w:tmpl w:val="D7705AF6"/>
    <w:lvl w:ilvl="0" w:tplc="080A000F">
      <w:start w:val="1"/>
      <w:numFmt w:val="decimal"/>
      <w:lvlText w:val="%1."/>
      <w:lvlJc w:val="left"/>
      <w:pPr>
        <w:ind w:left="5605" w:hanging="360"/>
      </w:pPr>
      <w:rPr>
        <w:rFonts w:hint="default"/>
      </w:rPr>
    </w:lvl>
    <w:lvl w:ilvl="1" w:tplc="080A0003" w:tentative="1">
      <w:start w:val="1"/>
      <w:numFmt w:val="bullet"/>
      <w:lvlText w:val="o"/>
      <w:lvlJc w:val="left"/>
      <w:pPr>
        <w:ind w:left="6325" w:hanging="360"/>
      </w:pPr>
      <w:rPr>
        <w:rFonts w:ascii="Courier New" w:hAnsi="Courier New" w:cs="Courier New" w:hint="default"/>
      </w:rPr>
    </w:lvl>
    <w:lvl w:ilvl="2" w:tplc="080A0005" w:tentative="1">
      <w:start w:val="1"/>
      <w:numFmt w:val="bullet"/>
      <w:lvlText w:val=""/>
      <w:lvlJc w:val="left"/>
      <w:pPr>
        <w:ind w:left="7045" w:hanging="360"/>
      </w:pPr>
      <w:rPr>
        <w:rFonts w:ascii="Wingdings" w:hAnsi="Wingdings" w:hint="default"/>
      </w:rPr>
    </w:lvl>
    <w:lvl w:ilvl="3" w:tplc="080A0001" w:tentative="1">
      <w:start w:val="1"/>
      <w:numFmt w:val="bullet"/>
      <w:lvlText w:val=""/>
      <w:lvlJc w:val="left"/>
      <w:pPr>
        <w:ind w:left="7765" w:hanging="360"/>
      </w:pPr>
      <w:rPr>
        <w:rFonts w:ascii="Symbol" w:hAnsi="Symbol" w:hint="default"/>
      </w:rPr>
    </w:lvl>
    <w:lvl w:ilvl="4" w:tplc="080A0003" w:tentative="1">
      <w:start w:val="1"/>
      <w:numFmt w:val="bullet"/>
      <w:lvlText w:val="o"/>
      <w:lvlJc w:val="left"/>
      <w:pPr>
        <w:ind w:left="8485" w:hanging="360"/>
      </w:pPr>
      <w:rPr>
        <w:rFonts w:ascii="Courier New" w:hAnsi="Courier New" w:cs="Courier New" w:hint="default"/>
      </w:rPr>
    </w:lvl>
    <w:lvl w:ilvl="5" w:tplc="080A0005" w:tentative="1">
      <w:start w:val="1"/>
      <w:numFmt w:val="bullet"/>
      <w:lvlText w:val=""/>
      <w:lvlJc w:val="left"/>
      <w:pPr>
        <w:ind w:left="9205" w:hanging="360"/>
      </w:pPr>
      <w:rPr>
        <w:rFonts w:ascii="Wingdings" w:hAnsi="Wingdings" w:hint="default"/>
      </w:rPr>
    </w:lvl>
    <w:lvl w:ilvl="6" w:tplc="080A0001" w:tentative="1">
      <w:start w:val="1"/>
      <w:numFmt w:val="bullet"/>
      <w:lvlText w:val=""/>
      <w:lvlJc w:val="left"/>
      <w:pPr>
        <w:ind w:left="9925" w:hanging="360"/>
      </w:pPr>
      <w:rPr>
        <w:rFonts w:ascii="Symbol" w:hAnsi="Symbol" w:hint="default"/>
      </w:rPr>
    </w:lvl>
    <w:lvl w:ilvl="7" w:tplc="080A0003" w:tentative="1">
      <w:start w:val="1"/>
      <w:numFmt w:val="bullet"/>
      <w:lvlText w:val="o"/>
      <w:lvlJc w:val="left"/>
      <w:pPr>
        <w:ind w:left="10645" w:hanging="360"/>
      </w:pPr>
      <w:rPr>
        <w:rFonts w:ascii="Courier New" w:hAnsi="Courier New" w:cs="Courier New" w:hint="default"/>
      </w:rPr>
    </w:lvl>
    <w:lvl w:ilvl="8" w:tplc="080A0005" w:tentative="1">
      <w:start w:val="1"/>
      <w:numFmt w:val="bullet"/>
      <w:lvlText w:val=""/>
      <w:lvlJc w:val="left"/>
      <w:pPr>
        <w:ind w:left="11365" w:hanging="360"/>
      </w:pPr>
      <w:rPr>
        <w:rFonts w:ascii="Wingdings" w:hAnsi="Wingdings" w:hint="default"/>
      </w:rPr>
    </w:lvl>
  </w:abstractNum>
  <w:abstractNum w:abstractNumId="7" w15:restartNumberingAfterBreak="0">
    <w:nsid w:val="78E7024C"/>
    <w:multiLevelType w:val="hybridMultilevel"/>
    <w:tmpl w:val="A2FC13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3"/>
  </w:num>
  <w:num w:numId="5">
    <w:abstractNumId w:val="1"/>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B7B"/>
    <w:rsid w:val="000A20DB"/>
    <w:rsid w:val="000B0299"/>
    <w:rsid w:val="000E5C5D"/>
    <w:rsid w:val="001A2784"/>
    <w:rsid w:val="002712B6"/>
    <w:rsid w:val="003369AB"/>
    <w:rsid w:val="00351302"/>
    <w:rsid w:val="00367F86"/>
    <w:rsid w:val="003C7B7B"/>
    <w:rsid w:val="00412A5F"/>
    <w:rsid w:val="004213D6"/>
    <w:rsid w:val="00476B67"/>
    <w:rsid w:val="0048382F"/>
    <w:rsid w:val="00496910"/>
    <w:rsid w:val="00511E69"/>
    <w:rsid w:val="00525597"/>
    <w:rsid w:val="00563985"/>
    <w:rsid w:val="00816772"/>
    <w:rsid w:val="008B5B02"/>
    <w:rsid w:val="008E786D"/>
    <w:rsid w:val="0099230D"/>
    <w:rsid w:val="009C3D97"/>
    <w:rsid w:val="00A56C62"/>
    <w:rsid w:val="00A67B58"/>
    <w:rsid w:val="00A70CE2"/>
    <w:rsid w:val="00AB5857"/>
    <w:rsid w:val="00AB641B"/>
    <w:rsid w:val="00B823D0"/>
    <w:rsid w:val="00C23B43"/>
    <w:rsid w:val="00C9714C"/>
    <w:rsid w:val="00CA38A0"/>
    <w:rsid w:val="00D222B6"/>
    <w:rsid w:val="00D7371E"/>
    <w:rsid w:val="00E63F7F"/>
    <w:rsid w:val="00E924B7"/>
    <w:rsid w:val="00EC0B30"/>
    <w:rsid w:val="00FB2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14246F3-C090-45D4-A15A-E6234A26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B7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369AB"/>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7B7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C7B7B"/>
    <w:rPr>
      <w:rFonts w:eastAsiaTheme="minorEastAsia"/>
      <w:sz w:val="24"/>
      <w:szCs w:val="24"/>
      <w:lang w:val="es-ES_tradnl" w:eastAsia="es-ES"/>
    </w:rPr>
  </w:style>
  <w:style w:type="paragraph" w:styleId="Piedepgina">
    <w:name w:val="footer"/>
    <w:basedOn w:val="Normal"/>
    <w:link w:val="PiedepginaCar"/>
    <w:uiPriority w:val="99"/>
    <w:unhideWhenUsed/>
    <w:rsid w:val="003C7B7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C7B7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C7B7B"/>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C7B7B"/>
    <w:rPr>
      <w:rFonts w:eastAsiaTheme="minorEastAsia"/>
      <w:sz w:val="24"/>
      <w:szCs w:val="24"/>
      <w:lang w:val="es-ES_tradnl" w:eastAsia="es-ES"/>
    </w:rPr>
  </w:style>
  <w:style w:type="paragraph" w:customStyle="1" w:styleId="paragraph">
    <w:name w:val="paragraph"/>
    <w:basedOn w:val="Normal"/>
    <w:rsid w:val="003C7B7B"/>
    <w:pPr>
      <w:spacing w:before="100" w:beforeAutospacing="1" w:after="100" w:afterAutospacing="1"/>
    </w:pPr>
    <w:rPr>
      <w:lang w:val="es-MX" w:eastAsia="es-MX"/>
    </w:rPr>
  </w:style>
  <w:style w:type="character" w:customStyle="1" w:styleId="Ttulo2Car">
    <w:name w:val="Título 2 Car"/>
    <w:basedOn w:val="Fuentedeprrafopredeter"/>
    <w:link w:val="Ttulo2"/>
    <w:uiPriority w:val="9"/>
    <w:rsid w:val="003369AB"/>
    <w:rPr>
      <w:rFonts w:asciiTheme="majorHAnsi" w:eastAsiaTheme="majorEastAsia" w:hAnsiTheme="majorHAnsi" w:cstheme="majorBidi"/>
      <w:color w:val="2E74B5" w:themeColor="accent1" w:themeShade="BF"/>
      <w:sz w:val="26"/>
      <w:szCs w:val="26"/>
      <w:lang w:val="es-ES_tradnl"/>
    </w:rPr>
  </w:style>
  <w:style w:type="paragraph" w:styleId="Textodeglobo">
    <w:name w:val="Balloon Text"/>
    <w:basedOn w:val="Normal"/>
    <w:link w:val="TextodegloboCar"/>
    <w:uiPriority w:val="99"/>
    <w:semiHidden/>
    <w:unhideWhenUsed/>
    <w:rsid w:val="003513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130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1444</Words>
  <Characters>7948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jose benjamin aguilar martinez</cp:lastModifiedBy>
  <cp:revision>5</cp:revision>
  <cp:lastPrinted>2019-05-16T18:29:00Z</cp:lastPrinted>
  <dcterms:created xsi:type="dcterms:W3CDTF">2020-03-17T20:36:00Z</dcterms:created>
  <dcterms:modified xsi:type="dcterms:W3CDTF">2020-04-29T20:11:00Z</dcterms:modified>
</cp:coreProperties>
</file>