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03" w:rsidRPr="000C4CFF" w:rsidRDefault="00624E03" w:rsidP="000C4CFF">
      <w:pPr>
        <w:spacing w:before="240" w:after="240" w:line="360" w:lineRule="auto"/>
        <w:ind w:right="-142"/>
        <w:jc w:val="center"/>
        <w:rPr>
          <w:rFonts w:ascii="Palatino Linotype" w:eastAsiaTheme="minorEastAsia" w:hAnsi="Palatino Linotype"/>
          <w:b/>
          <w:sz w:val="24"/>
          <w:szCs w:val="24"/>
          <w:lang w:val="es-ES_tradnl" w:eastAsia="es-ES"/>
        </w:rPr>
      </w:pPr>
      <w:r w:rsidRPr="000C4CFF">
        <w:rPr>
          <w:rFonts w:ascii="Palatino Linotype" w:eastAsiaTheme="minorEastAsia" w:hAnsi="Palatino Linotype"/>
          <w:b/>
          <w:sz w:val="24"/>
          <w:szCs w:val="24"/>
          <w:lang w:val="es-ES_tradnl" w:eastAsia="es-ES"/>
        </w:rPr>
        <w:t>LÍNEAS ARGUMENTATIVAS</w:t>
      </w:r>
    </w:p>
    <w:p w:rsidR="003C4D99" w:rsidRPr="000C4CFF" w:rsidRDefault="003C4D99" w:rsidP="000C4CFF">
      <w:pPr>
        <w:spacing w:before="240" w:after="240" w:line="360" w:lineRule="auto"/>
        <w:ind w:right="-142"/>
        <w:jc w:val="both"/>
        <w:rPr>
          <w:rFonts w:ascii="Palatino Linotype" w:eastAsiaTheme="minorEastAsia" w:hAnsi="Palatino Linotype"/>
          <w:sz w:val="24"/>
          <w:szCs w:val="24"/>
          <w:lang w:val="es-ES_tradnl" w:eastAsia="es-ES"/>
        </w:rPr>
      </w:pPr>
      <w:r w:rsidRPr="000C4CFF">
        <w:rPr>
          <w:rFonts w:ascii="Palatino Linotype" w:eastAsiaTheme="minorEastAsia" w:hAnsi="Palatino Linotype"/>
          <w:b/>
          <w:sz w:val="24"/>
          <w:szCs w:val="24"/>
          <w:lang w:val="es-ES_tradnl" w:eastAsia="es-ES"/>
        </w:rPr>
        <w:t xml:space="preserve">MODIFICACIÓN DEL ACTO IMPUGNADO, EL SOBRESEIMIENTO DEL RECURSO POR. </w:t>
      </w:r>
      <w:r w:rsidRPr="000C4CFF">
        <w:rPr>
          <w:rFonts w:ascii="Palatino Linotype" w:eastAsiaTheme="minorEastAsia" w:hAnsi="Palatino Linotype"/>
          <w:sz w:val="24"/>
          <w:szCs w:val="24"/>
          <w:lang w:val="es-ES_tradnl" w:eastAsia="es-ES"/>
        </w:rPr>
        <w:t>En los casos en que el Sujeto Obligado modifica o revoca dejando al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rsidR="000642AD" w:rsidRPr="000C4CFF" w:rsidRDefault="000C4CFF" w:rsidP="000C4CFF">
      <w:pPr>
        <w:spacing w:before="240" w:after="240" w:line="360" w:lineRule="auto"/>
        <w:ind w:right="-142"/>
        <w:jc w:val="both"/>
        <w:rPr>
          <w:rFonts w:ascii="Palatino Linotype" w:eastAsiaTheme="minorEastAsia" w:hAnsi="Palatino Linotype"/>
          <w:sz w:val="24"/>
          <w:szCs w:val="24"/>
          <w:lang w:val="es-ES_tradnl" w:eastAsia="es-ES"/>
        </w:rPr>
      </w:pPr>
      <w:r w:rsidRPr="000C4CFF">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66277</wp:posOffset>
                </wp:positionH>
                <wp:positionV relativeFrom="paragraph">
                  <wp:posOffset>89620</wp:posOffset>
                </wp:positionV>
                <wp:extent cx="5462659" cy="4612233"/>
                <wp:effectExtent l="19050" t="19050" r="24130" b="36195"/>
                <wp:wrapNone/>
                <wp:docPr id="1" name="Conector recto 1"/>
                <wp:cNvGraphicFramePr/>
                <a:graphic xmlns:a="http://schemas.openxmlformats.org/drawingml/2006/main">
                  <a:graphicData uri="http://schemas.microsoft.com/office/word/2010/wordprocessingShape">
                    <wps:wsp>
                      <wps:cNvCnPr/>
                      <wps:spPr>
                        <a:xfrm>
                          <a:off x="0" y="0"/>
                          <a:ext cx="5462659" cy="461223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55AF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7.05pt" to="435.3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" strokecolor="#5b9bd5 [3204]" strokeweight="3pt">
                <v:stroke joinstyle="miter"/>
              </v:line>
            </w:pict>
          </mc:Fallback>
        </mc:AlternateContent>
      </w: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ind w:right="-142"/>
        <w:jc w:val="both"/>
        <w:rPr>
          <w:rFonts w:ascii="Palatino Linotype" w:eastAsiaTheme="minorEastAsia" w:hAnsi="Palatino Linotype"/>
          <w:sz w:val="24"/>
          <w:szCs w:val="24"/>
          <w:lang w:val="es-ES_tradnl" w:eastAsia="es-ES"/>
        </w:rPr>
      </w:pPr>
    </w:p>
    <w:p w:rsidR="00624E03" w:rsidRPr="000C4CFF" w:rsidRDefault="00624E03" w:rsidP="000C4CFF">
      <w:pPr>
        <w:spacing w:before="240" w:after="240" w:line="360" w:lineRule="auto"/>
        <w:ind w:right="-142"/>
        <w:jc w:val="center"/>
        <w:rPr>
          <w:rFonts w:ascii="Palatino Linotype" w:eastAsiaTheme="minorEastAsia" w:hAnsi="Palatino Linotype"/>
          <w:sz w:val="24"/>
          <w:szCs w:val="24"/>
          <w:lang w:val="es-ES_tradnl" w:eastAsia="es-ES"/>
        </w:rPr>
      </w:pPr>
      <w:r w:rsidRPr="000C4CFF">
        <w:rPr>
          <w:rFonts w:ascii="Palatino Linotype" w:eastAsiaTheme="minorEastAsia" w:hAnsi="Palatino Linotype"/>
          <w:b/>
          <w:sz w:val="24"/>
          <w:szCs w:val="24"/>
          <w:lang w:val="es-ES_tradnl" w:eastAsia="es-ES"/>
        </w:rPr>
        <w:lastRenderedPageBreak/>
        <w:t>Índice</w:t>
      </w:r>
      <w:r w:rsidRPr="000C4CFF">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624E03" w:rsidRPr="000C4CFF" w:rsidRDefault="00624E03" w:rsidP="000C4CFF">
          <w:pPr>
            <w:keepNext/>
            <w:keepLines/>
            <w:spacing w:before="240" w:after="0" w:line="360" w:lineRule="auto"/>
            <w:ind w:right="-142"/>
            <w:jc w:val="both"/>
            <w:rPr>
              <w:rFonts w:ascii="Palatino Linotype" w:eastAsiaTheme="majorEastAsia" w:hAnsi="Palatino Linotype" w:cstheme="majorBidi"/>
              <w:b/>
              <w:sz w:val="24"/>
              <w:szCs w:val="24"/>
              <w:lang w:eastAsia="es-MX"/>
            </w:rPr>
          </w:pPr>
        </w:p>
        <w:p w:rsidR="006B3897" w:rsidRPr="000C4CFF" w:rsidRDefault="00624E03" w:rsidP="000C4CFF">
          <w:pPr>
            <w:pStyle w:val="TDC1"/>
            <w:tabs>
              <w:tab w:val="right" w:leader="dot" w:pos="8828"/>
            </w:tabs>
            <w:spacing w:line="360" w:lineRule="auto"/>
            <w:jc w:val="both"/>
            <w:rPr>
              <w:rFonts w:ascii="Palatino Linotype" w:eastAsiaTheme="minorEastAsia" w:hAnsi="Palatino Linotype"/>
              <w:noProof/>
              <w:sz w:val="24"/>
              <w:szCs w:val="24"/>
              <w:lang w:eastAsia="es-MX"/>
            </w:rPr>
          </w:pPr>
          <w:r w:rsidRPr="000C4CFF">
            <w:rPr>
              <w:rFonts w:ascii="Palatino Linotype" w:eastAsiaTheme="minorEastAsia" w:hAnsi="Palatino Linotype"/>
              <w:b/>
              <w:sz w:val="24"/>
              <w:szCs w:val="24"/>
              <w:lang w:val="es-ES_tradnl" w:eastAsia="es-ES"/>
            </w:rPr>
            <w:fldChar w:fldCharType="begin"/>
          </w:r>
          <w:r w:rsidRPr="000C4CFF">
            <w:rPr>
              <w:rFonts w:ascii="Palatino Linotype" w:eastAsiaTheme="minorEastAsia" w:hAnsi="Palatino Linotype"/>
              <w:b/>
              <w:sz w:val="24"/>
              <w:szCs w:val="24"/>
              <w:lang w:val="es-ES_tradnl" w:eastAsia="es-ES"/>
            </w:rPr>
            <w:instrText xml:space="preserve"> TOC \o "1-3" \h \z \u </w:instrText>
          </w:r>
          <w:r w:rsidRPr="000C4CFF">
            <w:rPr>
              <w:rFonts w:ascii="Palatino Linotype" w:eastAsiaTheme="minorEastAsia" w:hAnsi="Palatino Linotype"/>
              <w:b/>
              <w:sz w:val="24"/>
              <w:szCs w:val="24"/>
              <w:lang w:val="es-ES_tradnl" w:eastAsia="es-ES"/>
            </w:rPr>
            <w:fldChar w:fldCharType="separate"/>
          </w:r>
          <w:hyperlink w:anchor="_Toc11958619" w:history="1">
            <w:r w:rsidR="006B3897" w:rsidRPr="000C4CFF">
              <w:rPr>
                <w:rStyle w:val="Hipervnculo"/>
                <w:rFonts w:ascii="Palatino Linotype" w:eastAsiaTheme="majorEastAsia" w:hAnsi="Palatino Linotype" w:cstheme="majorBidi"/>
                <w:b/>
                <w:noProof/>
                <w:sz w:val="24"/>
                <w:szCs w:val="24"/>
              </w:rPr>
              <w:t>A N T E C E D E N T E S</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_Toc11958619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3</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1"/>
            <w:tabs>
              <w:tab w:val="right" w:leader="dot" w:pos="8828"/>
            </w:tabs>
            <w:spacing w:line="360" w:lineRule="auto"/>
            <w:jc w:val="both"/>
            <w:rPr>
              <w:rFonts w:ascii="Palatino Linotype" w:eastAsiaTheme="minorEastAsia" w:hAnsi="Palatino Linotype"/>
              <w:noProof/>
              <w:sz w:val="24"/>
              <w:szCs w:val="24"/>
              <w:lang w:eastAsia="es-MX"/>
            </w:rPr>
          </w:pPr>
          <w:hyperlink w:anchor="_Toc11958620" w:history="1">
            <w:r w:rsidR="006B3897" w:rsidRPr="000C4CFF">
              <w:rPr>
                <w:rStyle w:val="Hipervnculo"/>
                <w:rFonts w:ascii="Palatino Linotype" w:eastAsiaTheme="majorEastAsia" w:hAnsi="Palatino Linotype" w:cstheme="majorBidi"/>
                <w:b/>
                <w:noProof/>
                <w:sz w:val="24"/>
                <w:szCs w:val="24"/>
              </w:rPr>
              <w:t>C O N S I D E R A N D O</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_Toc11958620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6</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2"/>
            <w:tabs>
              <w:tab w:val="right" w:leader="dot" w:pos="8828"/>
            </w:tabs>
            <w:spacing w:line="360" w:lineRule="auto"/>
            <w:ind w:left="0"/>
            <w:jc w:val="both"/>
            <w:rPr>
              <w:rFonts w:ascii="Palatino Linotype" w:eastAsiaTheme="minorEastAsia" w:hAnsi="Palatino Linotype"/>
              <w:noProof/>
              <w:sz w:val="24"/>
              <w:szCs w:val="24"/>
              <w:lang w:eastAsia="es-MX"/>
            </w:rPr>
          </w:pPr>
          <w:hyperlink w:anchor="_Toc11958621" w:history="1">
            <w:r w:rsidR="006B3897" w:rsidRPr="000C4CFF">
              <w:rPr>
                <w:rStyle w:val="Hipervnculo"/>
                <w:rFonts w:ascii="Palatino Linotype" w:eastAsiaTheme="majorEastAsia" w:hAnsi="Palatino Linotype" w:cstheme="majorBidi"/>
                <w:b/>
                <w:noProof/>
                <w:sz w:val="24"/>
                <w:szCs w:val="24"/>
              </w:rPr>
              <w:t>PRIMERO. De la competencia</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_Toc11958621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6</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2"/>
            <w:tabs>
              <w:tab w:val="right" w:leader="dot" w:pos="8828"/>
            </w:tabs>
            <w:spacing w:line="360" w:lineRule="auto"/>
            <w:ind w:left="0"/>
            <w:jc w:val="both"/>
            <w:rPr>
              <w:rFonts w:ascii="Palatino Linotype" w:eastAsiaTheme="minorEastAsia" w:hAnsi="Palatino Linotype"/>
              <w:noProof/>
              <w:sz w:val="24"/>
              <w:szCs w:val="24"/>
              <w:lang w:eastAsia="es-MX"/>
            </w:rPr>
          </w:pPr>
          <w:hyperlink w:anchor="_Toc11958622" w:history="1">
            <w:r w:rsidR="006B3897" w:rsidRPr="000C4CFF">
              <w:rPr>
                <w:rStyle w:val="Hipervnculo"/>
                <w:rFonts w:ascii="Palatino Linotype" w:eastAsiaTheme="majorEastAsia" w:hAnsi="Palatino Linotype" w:cstheme="majorBidi"/>
                <w:b/>
                <w:noProof/>
                <w:sz w:val="24"/>
                <w:szCs w:val="24"/>
              </w:rPr>
              <w:t>SEGUNDO. De la oportunidad y procedencia.</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_Toc11958622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7</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1"/>
            <w:tabs>
              <w:tab w:val="right" w:leader="dot" w:pos="8828"/>
            </w:tabs>
            <w:spacing w:line="360" w:lineRule="auto"/>
            <w:jc w:val="both"/>
            <w:rPr>
              <w:rFonts w:ascii="Palatino Linotype" w:eastAsiaTheme="minorEastAsia" w:hAnsi="Palatino Linotype"/>
              <w:noProof/>
              <w:sz w:val="24"/>
              <w:szCs w:val="24"/>
              <w:lang w:eastAsia="es-MX"/>
            </w:rPr>
          </w:pPr>
          <w:hyperlink w:anchor="_Toc11958623" w:history="1">
            <w:r w:rsidR="006B3897" w:rsidRPr="000C4CFF">
              <w:rPr>
                <w:rStyle w:val="Hipervnculo"/>
                <w:rFonts w:ascii="Palatino Linotype" w:eastAsia="MS Gothic" w:hAnsi="Palatino Linotype" w:cstheme="majorBidi"/>
                <w:b/>
                <w:noProof/>
                <w:sz w:val="24"/>
                <w:szCs w:val="24"/>
                <w:lang w:val="es-ES_tradnl" w:eastAsia="es-ES"/>
              </w:rPr>
              <w:t>TERCERO. De las causales de Sobreseimiento</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_Toc11958623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8</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1"/>
            <w:tabs>
              <w:tab w:val="left" w:pos="440"/>
              <w:tab w:val="right" w:leader="dot" w:pos="8828"/>
            </w:tabs>
            <w:spacing w:line="360" w:lineRule="auto"/>
            <w:jc w:val="both"/>
            <w:rPr>
              <w:rFonts w:ascii="Palatino Linotype" w:eastAsiaTheme="minorEastAsia" w:hAnsi="Palatino Linotype"/>
              <w:noProof/>
              <w:sz w:val="24"/>
              <w:szCs w:val="24"/>
              <w:lang w:eastAsia="es-MX"/>
            </w:rPr>
          </w:pPr>
          <w:hyperlink w:anchor="_Toc11958624" w:history="1">
            <w:r w:rsidR="006B3897" w:rsidRPr="000C4CFF">
              <w:rPr>
                <w:rStyle w:val="Hipervnculo"/>
                <w:rFonts w:ascii="Palatino Linotype" w:hAnsi="Palatino Linotype"/>
                <w:b/>
                <w:i/>
                <w:noProof/>
                <w:sz w:val="24"/>
                <w:szCs w:val="24"/>
                <w:lang w:val="es-ES_tradnl" w:eastAsia="es-MX"/>
              </w:rPr>
              <w:t>I.</w:t>
            </w:r>
            <w:r w:rsidR="006B3897" w:rsidRPr="000C4CFF">
              <w:rPr>
                <w:rFonts w:ascii="Palatino Linotype" w:eastAsiaTheme="minorEastAsia" w:hAnsi="Palatino Linotype"/>
                <w:noProof/>
                <w:sz w:val="24"/>
                <w:szCs w:val="24"/>
                <w:lang w:eastAsia="es-MX"/>
              </w:rPr>
              <w:tab/>
            </w:r>
            <w:r w:rsidR="006B3897" w:rsidRPr="000C4CFF">
              <w:rPr>
                <w:rStyle w:val="Hipervnculo"/>
                <w:rFonts w:ascii="Palatino Linotype" w:eastAsia="MS Gothic" w:hAnsi="Palatino Linotype" w:cstheme="majorBidi"/>
                <w:b/>
                <w:i/>
                <w:noProof/>
                <w:sz w:val="24"/>
                <w:szCs w:val="24"/>
              </w:rPr>
              <w:t>El derecho de acceso a la información publica</w:t>
            </w:r>
            <w:r w:rsidR="006B3897" w:rsidRPr="000C4CFF">
              <w:rPr>
                <w:rStyle w:val="Hipervnculo"/>
                <w:rFonts w:ascii="Palatino Linotype" w:eastAsia="MS Mincho" w:hAnsi="Palatino Linotype" w:cs="Arial"/>
                <w:b/>
                <w:i/>
                <w:noProof/>
                <w:sz w:val="24"/>
                <w:szCs w:val="24"/>
                <w:lang w:val="es-ES_tradnl" w:eastAsia="es-MX"/>
              </w:rPr>
              <w:t>.</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_Toc11958624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8</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2"/>
            <w:tabs>
              <w:tab w:val="right" w:leader="dot" w:pos="8828"/>
            </w:tabs>
            <w:spacing w:line="360" w:lineRule="auto"/>
            <w:ind w:left="0"/>
            <w:jc w:val="both"/>
            <w:rPr>
              <w:rFonts w:ascii="Palatino Linotype" w:eastAsiaTheme="minorEastAsia" w:hAnsi="Palatino Linotype"/>
              <w:noProof/>
              <w:sz w:val="24"/>
              <w:szCs w:val="24"/>
              <w:lang w:eastAsia="es-MX"/>
            </w:rPr>
          </w:pPr>
          <w:hyperlink w:anchor="_Toc11958625" w:history="1">
            <w:r w:rsidR="006B3897" w:rsidRPr="000C4CFF">
              <w:rPr>
                <w:rStyle w:val="Hipervnculo"/>
                <w:rFonts w:ascii="Palatino Linotype" w:eastAsia="MS Mincho" w:hAnsi="Palatino Linotype" w:cstheme="majorBidi"/>
                <w:b/>
                <w:i/>
                <w:noProof/>
                <w:sz w:val="24"/>
                <w:szCs w:val="24"/>
                <w:lang w:val="es-ES_tradnl" w:eastAsia="es-ES"/>
              </w:rPr>
              <w:t>II. De la respuesta emitida por el Sujeto Obligado</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_Toc11958625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10</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1"/>
            <w:tabs>
              <w:tab w:val="right" w:leader="dot" w:pos="8828"/>
            </w:tabs>
            <w:spacing w:line="360" w:lineRule="auto"/>
            <w:jc w:val="both"/>
            <w:rPr>
              <w:rFonts w:ascii="Palatino Linotype" w:eastAsiaTheme="minorEastAsia" w:hAnsi="Palatino Linotype"/>
              <w:noProof/>
              <w:sz w:val="24"/>
              <w:szCs w:val="24"/>
              <w:lang w:eastAsia="es-MX"/>
            </w:rPr>
          </w:pPr>
          <w:hyperlink w:anchor="_Toc11958626" w:history="1">
            <w:r w:rsidR="006B3897" w:rsidRPr="000C4CFF">
              <w:rPr>
                <w:rStyle w:val="Hipervnculo"/>
                <w:rFonts w:ascii="Palatino Linotype" w:eastAsia="MS Mincho" w:hAnsi="Palatino Linotype"/>
                <w:b/>
                <w:i/>
                <w:noProof/>
                <w:sz w:val="24"/>
                <w:szCs w:val="24"/>
                <w:lang w:val="es-ES_tradnl" w:eastAsia="es-ES"/>
              </w:rPr>
              <w:t>III. De la causales del sobreseimiento.</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_Toc11958626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12</w:t>
            </w:r>
            <w:r w:rsidR="006B3897" w:rsidRPr="000C4CFF">
              <w:rPr>
                <w:rFonts w:ascii="Palatino Linotype" w:hAnsi="Palatino Linotype"/>
                <w:noProof/>
                <w:webHidden/>
                <w:sz w:val="24"/>
                <w:szCs w:val="24"/>
              </w:rPr>
              <w:fldChar w:fldCharType="end"/>
            </w:r>
          </w:hyperlink>
        </w:p>
        <w:p w:rsidR="006B3897" w:rsidRPr="000C4CFF" w:rsidRDefault="00532B63" w:rsidP="000C4CFF">
          <w:pPr>
            <w:pStyle w:val="TDC1"/>
            <w:tabs>
              <w:tab w:val="right" w:leader="dot" w:pos="8828"/>
            </w:tabs>
            <w:spacing w:line="360" w:lineRule="auto"/>
            <w:jc w:val="both"/>
            <w:rPr>
              <w:rFonts w:ascii="Palatino Linotype" w:eastAsiaTheme="minorEastAsia" w:hAnsi="Palatino Linotype"/>
              <w:noProof/>
              <w:sz w:val="24"/>
              <w:szCs w:val="24"/>
              <w:lang w:eastAsia="es-MX"/>
            </w:rPr>
          </w:pPr>
          <w:hyperlink w:anchor="_Toc11958627" w:history="1">
            <w:r w:rsidR="006B3897" w:rsidRPr="000C4CFF">
              <w:rPr>
                <w:rStyle w:val="Hipervnculo"/>
                <w:rFonts w:ascii="Palatino Linotype" w:eastAsia="Calibri" w:hAnsi="Palatino Linotype" w:cstheme="majorBidi"/>
                <w:b/>
                <w:noProof/>
                <w:sz w:val="24"/>
                <w:szCs w:val="24"/>
                <w:lang w:val="es-ES" w:eastAsia="es-ES"/>
              </w:rPr>
              <w:t>R E S O L U T I V O S</w:t>
            </w:r>
            <w:r w:rsidR="006B3897" w:rsidRPr="000C4CFF">
              <w:rPr>
                <w:rFonts w:ascii="Palatino Linotype" w:hAnsi="Palatino Linotype"/>
                <w:noProof/>
                <w:webHidden/>
                <w:sz w:val="24"/>
                <w:szCs w:val="24"/>
              </w:rPr>
              <w:tab/>
            </w:r>
            <w:r w:rsidR="006B3897" w:rsidRPr="000C4CFF">
              <w:rPr>
                <w:rFonts w:ascii="Palatino Linotype" w:hAnsi="Palatino Linotype"/>
                <w:noProof/>
                <w:webHidden/>
                <w:sz w:val="24"/>
                <w:szCs w:val="24"/>
              </w:rPr>
              <w:fldChar w:fldCharType="begin"/>
            </w:r>
            <w:r w:rsidR="006B3897" w:rsidRPr="000C4CFF">
              <w:rPr>
                <w:rFonts w:ascii="Palatino Linotype" w:hAnsi="Palatino Linotype"/>
                <w:noProof/>
                <w:webHidden/>
                <w:sz w:val="24"/>
                <w:szCs w:val="24"/>
              </w:rPr>
              <w:instrText xml:space="preserve"> PAGEREF _Toc11958627 \h </w:instrText>
            </w:r>
            <w:r w:rsidR="006B3897" w:rsidRPr="000C4CFF">
              <w:rPr>
                <w:rFonts w:ascii="Palatino Linotype" w:hAnsi="Palatino Linotype"/>
                <w:noProof/>
                <w:webHidden/>
                <w:sz w:val="24"/>
                <w:szCs w:val="24"/>
              </w:rPr>
            </w:r>
            <w:r w:rsidR="006B3897" w:rsidRPr="000C4CFF">
              <w:rPr>
                <w:rFonts w:ascii="Palatino Linotype" w:hAnsi="Palatino Linotype"/>
                <w:noProof/>
                <w:webHidden/>
                <w:sz w:val="24"/>
                <w:szCs w:val="24"/>
              </w:rPr>
              <w:fldChar w:fldCharType="separate"/>
            </w:r>
            <w:r w:rsidR="00E23D41">
              <w:rPr>
                <w:rFonts w:ascii="Palatino Linotype" w:hAnsi="Palatino Linotype"/>
                <w:noProof/>
                <w:webHidden/>
                <w:sz w:val="24"/>
                <w:szCs w:val="24"/>
              </w:rPr>
              <w:t>24</w:t>
            </w:r>
            <w:r w:rsidR="006B3897" w:rsidRPr="000C4CFF">
              <w:rPr>
                <w:rFonts w:ascii="Palatino Linotype" w:hAnsi="Palatino Linotype"/>
                <w:noProof/>
                <w:webHidden/>
                <w:sz w:val="24"/>
                <w:szCs w:val="24"/>
              </w:rPr>
              <w:fldChar w:fldCharType="end"/>
            </w:r>
          </w:hyperlink>
        </w:p>
        <w:p w:rsidR="00624E03" w:rsidRPr="000C4CFF" w:rsidRDefault="00624E03" w:rsidP="000C4CFF">
          <w:pPr>
            <w:spacing w:after="0" w:line="360" w:lineRule="auto"/>
            <w:ind w:right="-142"/>
            <w:jc w:val="both"/>
            <w:rPr>
              <w:rFonts w:ascii="Palatino Linotype" w:eastAsiaTheme="minorEastAsia" w:hAnsi="Palatino Linotype"/>
              <w:bCs/>
              <w:sz w:val="24"/>
              <w:szCs w:val="24"/>
              <w:lang w:val="es-ES" w:eastAsia="es-ES"/>
            </w:rPr>
          </w:pPr>
          <w:r w:rsidRPr="000C4CFF">
            <w:rPr>
              <w:rFonts w:ascii="Palatino Linotype" w:eastAsiaTheme="minorEastAsia" w:hAnsi="Palatino Linotype"/>
              <w:b/>
              <w:bCs/>
              <w:sz w:val="24"/>
              <w:szCs w:val="24"/>
              <w:lang w:val="es-ES" w:eastAsia="es-ES"/>
            </w:rPr>
            <w:fldChar w:fldCharType="end"/>
          </w:r>
        </w:p>
      </w:sdtContent>
    </w:sdt>
    <w:p w:rsidR="000642AD" w:rsidRPr="000C4CFF" w:rsidRDefault="000C4CFF" w:rsidP="000C4CFF">
      <w:pPr>
        <w:spacing w:before="240" w:after="24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25334</wp:posOffset>
                </wp:positionH>
                <wp:positionV relativeFrom="paragraph">
                  <wp:posOffset>246418</wp:posOffset>
                </wp:positionV>
                <wp:extent cx="5486400" cy="2934269"/>
                <wp:effectExtent l="19050" t="19050" r="19050" b="19050"/>
                <wp:wrapNone/>
                <wp:docPr id="2" name="Conector recto 2"/>
                <wp:cNvGraphicFramePr/>
                <a:graphic xmlns:a="http://schemas.openxmlformats.org/drawingml/2006/main">
                  <a:graphicData uri="http://schemas.microsoft.com/office/word/2010/wordprocessingShape">
                    <wps:wsp>
                      <wps:cNvCnPr/>
                      <wps:spPr>
                        <a:xfrm flipH="1" flipV="1">
                          <a:off x="0" y="0"/>
                          <a:ext cx="5486400" cy="293426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A94B3"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pt,19.4pt" to="434pt,2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" strokecolor="#5b9bd5 [3204]" strokeweight="3pt">
                <v:stroke joinstyle="miter"/>
              </v:line>
            </w:pict>
          </mc:Fallback>
        </mc:AlternateContent>
      </w:r>
    </w:p>
    <w:p w:rsidR="000642AD" w:rsidRPr="000C4CFF" w:rsidRDefault="000642AD" w:rsidP="000C4CFF">
      <w:pPr>
        <w:spacing w:before="240" w:after="240" w:line="360" w:lineRule="auto"/>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jc w:val="both"/>
        <w:rPr>
          <w:rFonts w:ascii="Palatino Linotype" w:eastAsiaTheme="minorEastAsia" w:hAnsi="Palatino Linotype"/>
          <w:sz w:val="24"/>
          <w:szCs w:val="24"/>
          <w:lang w:val="es-ES_tradnl" w:eastAsia="es-ES"/>
        </w:rPr>
      </w:pPr>
    </w:p>
    <w:p w:rsidR="000642AD" w:rsidRPr="000C4CFF" w:rsidRDefault="000642AD" w:rsidP="000C4CFF">
      <w:pPr>
        <w:spacing w:before="240" w:after="240" w:line="360" w:lineRule="auto"/>
        <w:jc w:val="both"/>
        <w:rPr>
          <w:rFonts w:ascii="Palatino Linotype" w:eastAsiaTheme="minorEastAsia" w:hAnsi="Palatino Linotype"/>
          <w:sz w:val="24"/>
          <w:szCs w:val="24"/>
          <w:lang w:val="es-ES_tradnl" w:eastAsia="es-ES"/>
        </w:rPr>
      </w:pPr>
    </w:p>
    <w:p w:rsidR="00624E03" w:rsidRPr="000C4CFF" w:rsidRDefault="00624E03" w:rsidP="000C4CFF">
      <w:pPr>
        <w:spacing w:before="240" w:after="240" w:line="360" w:lineRule="auto"/>
        <w:jc w:val="both"/>
        <w:rPr>
          <w:rFonts w:ascii="Palatino Linotype" w:eastAsiaTheme="minorEastAsia" w:hAnsi="Palatino Linotype"/>
          <w:sz w:val="24"/>
          <w:szCs w:val="24"/>
          <w:lang w:val="es-ES_tradnl" w:eastAsia="es-ES"/>
        </w:rPr>
      </w:pPr>
      <w:r w:rsidRPr="000C4CF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w:t>
      </w:r>
      <w:r w:rsidR="00E23D41">
        <w:rPr>
          <w:rFonts w:ascii="Palatino Linotype" w:eastAsiaTheme="minorEastAsia" w:hAnsi="Palatino Linotype"/>
          <w:sz w:val="24"/>
          <w:szCs w:val="24"/>
          <w:lang w:val="es-ES_tradnl" w:eastAsia="es-ES"/>
        </w:rPr>
        <w:t>pec, Estado de México; de fecha veintiséis (26</w:t>
      </w:r>
      <w:r w:rsidRPr="000C4CFF">
        <w:rPr>
          <w:rFonts w:ascii="Palatino Linotype" w:eastAsiaTheme="minorEastAsia" w:hAnsi="Palatino Linotype"/>
          <w:sz w:val="24"/>
          <w:szCs w:val="24"/>
          <w:lang w:val="es-ES_tradnl" w:eastAsia="es-ES"/>
        </w:rPr>
        <w:t>) de junio de dos mil diecinueve.</w:t>
      </w:r>
    </w:p>
    <w:p w:rsidR="00624E03" w:rsidRPr="000C4CFF" w:rsidRDefault="00E23D41" w:rsidP="000C4CFF">
      <w:pPr>
        <w:spacing w:before="240" w:after="36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b/>
          <w:sz w:val="24"/>
          <w:szCs w:val="24"/>
          <w:lang w:val="es-ES_tradnl" w:eastAsia="es-ES"/>
        </w:rPr>
        <w:t>VISTO</w:t>
      </w:r>
      <w:r w:rsidR="00624E03" w:rsidRPr="000C4CFF">
        <w:rPr>
          <w:rFonts w:ascii="Palatino Linotype" w:eastAsiaTheme="minorEastAsia" w:hAnsi="Palatino Linotype"/>
          <w:sz w:val="24"/>
          <w:szCs w:val="24"/>
          <w:lang w:val="es-ES_tradnl" w:eastAsia="es-ES"/>
        </w:rPr>
        <w:t xml:space="preserve"> el expediente electrónico formado con motivo del recurso de revisión </w:t>
      </w:r>
      <w:r w:rsidR="00624E03" w:rsidRPr="000C4CFF">
        <w:rPr>
          <w:rFonts w:ascii="Palatino Linotype" w:eastAsiaTheme="minorEastAsia" w:hAnsi="Palatino Linotype" w:cs="Arial"/>
          <w:b/>
          <w:bCs/>
          <w:sz w:val="24"/>
          <w:szCs w:val="24"/>
          <w:lang w:val="es-ES_tradnl" w:eastAsia="es-ES"/>
        </w:rPr>
        <w:t xml:space="preserve">02938/INFOEM/IP/RR/2019, </w:t>
      </w:r>
      <w:r w:rsidR="00624E03" w:rsidRPr="000C4CFF">
        <w:rPr>
          <w:rFonts w:ascii="Palatino Linotype" w:eastAsiaTheme="minorEastAsia" w:hAnsi="Palatino Linotype"/>
          <w:sz w:val="24"/>
          <w:szCs w:val="24"/>
          <w:lang w:val="es-ES_tradnl" w:eastAsia="es-ES"/>
        </w:rPr>
        <w:t>promovido por</w:t>
      </w:r>
      <w:r w:rsidR="00624E03" w:rsidRPr="000C4CFF">
        <w:rPr>
          <w:rFonts w:ascii="Palatino Linotype" w:eastAsiaTheme="minorEastAsia" w:hAnsi="Palatino Linotype"/>
          <w:b/>
          <w:sz w:val="24"/>
          <w:szCs w:val="24"/>
          <w:lang w:val="es-ES_tradnl" w:eastAsia="es-ES"/>
        </w:rPr>
        <w:t xml:space="preserve"> </w:t>
      </w:r>
      <w:r w:rsidR="0061762D" w:rsidRPr="0061762D">
        <w:rPr>
          <w:rFonts w:ascii="Palatino Linotype" w:eastAsiaTheme="minorEastAsia" w:hAnsi="Palatino Linotype"/>
          <w:b/>
          <w:sz w:val="24"/>
          <w:szCs w:val="24"/>
          <w:highlight w:val="black"/>
          <w:lang w:val="es-ES_tradnl" w:eastAsia="es-ES"/>
        </w:rPr>
        <w:t>-----------------------------------</w:t>
      </w:r>
      <w:r w:rsidR="00624E03" w:rsidRPr="000C4CFF">
        <w:rPr>
          <w:rFonts w:ascii="Palatino Linotype" w:eastAsiaTheme="minorEastAsia" w:hAnsi="Palatino Linotype"/>
          <w:b/>
          <w:sz w:val="24"/>
          <w:szCs w:val="24"/>
          <w:lang w:val="es-ES_tradnl" w:eastAsia="es-ES"/>
        </w:rPr>
        <w:t xml:space="preserve"> </w:t>
      </w:r>
      <w:r w:rsidR="00624E03" w:rsidRPr="000C4CFF">
        <w:rPr>
          <w:rFonts w:ascii="Palatino Linotype" w:eastAsiaTheme="minorEastAsia" w:hAnsi="Palatino Linotype" w:cs="Arial"/>
          <w:sz w:val="24"/>
          <w:szCs w:val="24"/>
          <w:lang w:val="es-ES_tradnl" w:eastAsia="es-ES"/>
        </w:rPr>
        <w:t xml:space="preserve">en su calidad de </w:t>
      </w:r>
      <w:r w:rsidR="00624E03" w:rsidRPr="000C4CFF">
        <w:rPr>
          <w:rFonts w:ascii="Palatino Linotype" w:eastAsiaTheme="minorEastAsia" w:hAnsi="Palatino Linotype" w:cs="Arial"/>
          <w:b/>
          <w:sz w:val="24"/>
          <w:szCs w:val="24"/>
          <w:lang w:val="es-ES_tradnl" w:eastAsia="es-ES"/>
        </w:rPr>
        <w:t>RECURRENTE</w:t>
      </w:r>
      <w:r w:rsidR="00624E03" w:rsidRPr="000C4CFF">
        <w:rPr>
          <w:rFonts w:ascii="Palatino Linotype" w:eastAsiaTheme="minorEastAsia" w:hAnsi="Palatino Linotype" w:cs="Arial"/>
          <w:sz w:val="24"/>
          <w:szCs w:val="24"/>
          <w:lang w:val="es-ES_tradnl" w:eastAsia="es-ES"/>
        </w:rPr>
        <w:t xml:space="preserve">, en contra de la respuesta del </w:t>
      </w:r>
      <w:r w:rsidR="00624E03" w:rsidRPr="000C4CFF">
        <w:rPr>
          <w:rFonts w:ascii="Palatino Linotype" w:eastAsiaTheme="minorEastAsia" w:hAnsi="Palatino Linotype" w:cs="Arial"/>
          <w:b/>
          <w:sz w:val="24"/>
          <w:szCs w:val="24"/>
          <w:lang w:val="es-ES_tradnl" w:eastAsia="es-ES"/>
        </w:rPr>
        <w:t xml:space="preserve">Ayuntamiento de Nezahualcóyotl </w:t>
      </w:r>
      <w:r w:rsidR="00624E03" w:rsidRPr="000C4CFF">
        <w:rPr>
          <w:rFonts w:ascii="Palatino Linotype" w:eastAsiaTheme="minorEastAsia" w:hAnsi="Palatino Linotype"/>
          <w:sz w:val="24"/>
          <w:szCs w:val="24"/>
          <w:lang w:val="es-ES_tradnl" w:eastAsia="es-ES"/>
        </w:rPr>
        <w:t>en lo sucesivo el</w:t>
      </w:r>
      <w:r w:rsidR="00624E03" w:rsidRPr="000C4CFF">
        <w:rPr>
          <w:rFonts w:ascii="Palatino Linotype" w:eastAsiaTheme="minorEastAsia" w:hAnsi="Palatino Linotype"/>
          <w:b/>
          <w:sz w:val="24"/>
          <w:szCs w:val="24"/>
          <w:lang w:val="es-ES_tradnl" w:eastAsia="es-ES"/>
        </w:rPr>
        <w:t xml:space="preserve"> SUJETO OBLIGADO, </w:t>
      </w:r>
      <w:r w:rsidR="00624E03" w:rsidRPr="000C4CFF">
        <w:rPr>
          <w:rFonts w:ascii="Palatino Linotype" w:eastAsiaTheme="minorEastAsia" w:hAnsi="Palatino Linotype"/>
          <w:sz w:val="24"/>
          <w:szCs w:val="24"/>
          <w:lang w:val="es-ES_tradnl" w:eastAsia="es-ES"/>
        </w:rPr>
        <w:t xml:space="preserve">se procede a dictar la presente resolución, con base en los siguientes: </w:t>
      </w:r>
    </w:p>
    <w:p w:rsidR="00624E03" w:rsidRPr="000C4CFF" w:rsidRDefault="00624E03" w:rsidP="000C4CFF">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1958619"/>
      <w:r w:rsidRPr="000C4CFF">
        <w:rPr>
          <w:rFonts w:ascii="Palatino Linotype" w:eastAsiaTheme="majorEastAsia" w:hAnsi="Palatino Linotype" w:cstheme="majorBidi"/>
          <w:b/>
          <w:sz w:val="24"/>
          <w:szCs w:val="24"/>
        </w:rPr>
        <w:t>A N T E C E D E N T E S</w:t>
      </w:r>
      <w:bookmarkEnd w:id="0"/>
    </w:p>
    <w:p w:rsidR="00624E03" w:rsidRPr="000C4CFF" w:rsidRDefault="00624E03" w:rsidP="000C4CFF">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624E03" w:rsidRPr="000C4CFF" w:rsidRDefault="00624E03" w:rsidP="000C4CFF">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C4CFF">
        <w:rPr>
          <w:rFonts w:ascii="Palatino Linotype" w:eastAsia="Calibri" w:hAnsi="Palatino Linotype" w:cs="Arial"/>
          <w:sz w:val="24"/>
          <w:szCs w:val="24"/>
          <w:lang w:val="es-ES" w:eastAsia="es-ES"/>
        </w:rPr>
        <w:t xml:space="preserve">El día </w:t>
      </w:r>
      <w:r w:rsidRPr="000C4CFF">
        <w:rPr>
          <w:rFonts w:ascii="Palatino Linotype" w:eastAsia="Calibri" w:hAnsi="Palatino Linotype" w:cs="Arial"/>
          <w:b/>
          <w:sz w:val="24"/>
          <w:szCs w:val="24"/>
          <w:lang w:val="es-ES" w:eastAsia="es-ES"/>
        </w:rPr>
        <w:t>tres (03) de abril</w:t>
      </w:r>
      <w:r w:rsidRPr="000C4CFF">
        <w:rPr>
          <w:rFonts w:ascii="Palatino Linotype" w:eastAsia="Calibri" w:hAnsi="Palatino Linotype" w:cs="Arial"/>
          <w:sz w:val="24"/>
          <w:szCs w:val="24"/>
          <w:lang w:val="es-ES" w:eastAsia="es-ES"/>
        </w:rPr>
        <w:t xml:space="preserve"> de dos mil diecinueve,</w:t>
      </w:r>
      <w:r w:rsidRPr="000C4CFF">
        <w:rPr>
          <w:rFonts w:ascii="Palatino Linotype" w:eastAsia="Calibri" w:hAnsi="Palatino Linotype" w:cs="Times New Roman"/>
          <w:sz w:val="24"/>
          <w:szCs w:val="24"/>
          <w:lang w:val="es-ES" w:eastAsia="es-ES"/>
        </w:rPr>
        <w:t xml:space="preserve"> se</w:t>
      </w:r>
      <w:r w:rsidRPr="000C4CFF">
        <w:rPr>
          <w:rFonts w:ascii="Palatino Linotype" w:eastAsiaTheme="minorEastAsia" w:hAnsi="Palatino Linotype"/>
          <w:b/>
          <w:sz w:val="24"/>
          <w:szCs w:val="24"/>
          <w:lang w:val="es-ES_tradnl" w:eastAsia="es-ES"/>
        </w:rPr>
        <w:t xml:space="preserve"> </w:t>
      </w:r>
      <w:r w:rsidRPr="000C4CFF">
        <w:rPr>
          <w:rFonts w:ascii="Palatino Linotype" w:eastAsiaTheme="minorEastAsia" w:hAnsi="Palatino Linotype"/>
          <w:sz w:val="24"/>
          <w:szCs w:val="24"/>
          <w:lang w:val="es-ES_tradnl" w:eastAsia="es-ES"/>
        </w:rPr>
        <w:t xml:space="preserve">presentaron </w:t>
      </w:r>
      <w:r w:rsidRPr="000C4CFF">
        <w:rPr>
          <w:rFonts w:ascii="Palatino Linotype" w:eastAsia="Calibri" w:hAnsi="Palatino Linotype" w:cs="Arial"/>
          <w:sz w:val="24"/>
          <w:szCs w:val="24"/>
          <w:lang w:val="es-ES" w:eastAsia="es-ES"/>
        </w:rPr>
        <w:t xml:space="preserve">ante el </w:t>
      </w:r>
      <w:r w:rsidRPr="000C4CFF">
        <w:rPr>
          <w:rFonts w:ascii="Palatino Linotype" w:eastAsia="Calibri" w:hAnsi="Palatino Linotype" w:cs="Arial"/>
          <w:b/>
          <w:sz w:val="24"/>
          <w:szCs w:val="24"/>
          <w:lang w:val="es-ES" w:eastAsia="es-ES"/>
        </w:rPr>
        <w:t>SUJETO OBLIGADO,</w:t>
      </w:r>
      <w:r w:rsidRPr="000C4CFF">
        <w:rPr>
          <w:rFonts w:ascii="Palatino Linotype" w:eastAsia="Calibri" w:hAnsi="Palatino Linotype" w:cs="Arial"/>
          <w:sz w:val="24"/>
          <w:szCs w:val="24"/>
          <w:lang w:val="es-ES_tradnl" w:eastAsia="es-ES"/>
        </w:rPr>
        <w:t xml:space="preserve"> vía </w:t>
      </w:r>
      <w:r w:rsidRPr="000C4CFF">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0C4CFF">
        <w:rPr>
          <w:rFonts w:ascii="Palatino Linotype" w:eastAsia="Times New Roman" w:hAnsi="Palatino Linotype" w:cs="Arial"/>
          <w:b/>
          <w:sz w:val="24"/>
          <w:szCs w:val="24"/>
          <w:lang w:val="es-ES" w:eastAsia="es-ES"/>
        </w:rPr>
        <w:t xml:space="preserve">00192/NEZA/IP/2019, </w:t>
      </w:r>
      <w:r w:rsidRPr="000C4CFF">
        <w:rPr>
          <w:rFonts w:ascii="Palatino Linotype" w:eastAsia="Calibri" w:hAnsi="Palatino Linotype" w:cs="Arial"/>
          <w:sz w:val="24"/>
          <w:szCs w:val="24"/>
          <w:lang w:val="es-ES" w:eastAsia="es-ES"/>
        </w:rPr>
        <w:t xml:space="preserve"> mediante la cual se requirió lo siguiente:</w:t>
      </w:r>
    </w:p>
    <w:p w:rsidR="00624E03" w:rsidRPr="000C4CFF" w:rsidRDefault="00624E03" w:rsidP="000C4CFF">
      <w:pPr>
        <w:spacing w:before="240" w:after="240" w:line="360" w:lineRule="auto"/>
        <w:ind w:right="-142"/>
        <w:contextualSpacing/>
        <w:jc w:val="both"/>
        <w:rPr>
          <w:rFonts w:ascii="Palatino Linotype" w:eastAsia="Calibri" w:hAnsi="Palatino Linotype" w:cs="Arial"/>
          <w:b/>
          <w:sz w:val="24"/>
          <w:szCs w:val="24"/>
          <w:lang w:val="es-ES" w:eastAsia="es-ES"/>
        </w:rPr>
      </w:pPr>
    </w:p>
    <w:p w:rsidR="00624E03" w:rsidRPr="000C4CFF" w:rsidRDefault="00624E03" w:rsidP="000C4CFF">
      <w:pPr>
        <w:spacing w:after="0" w:line="360" w:lineRule="auto"/>
        <w:ind w:left="567" w:right="616"/>
        <w:jc w:val="both"/>
        <w:rPr>
          <w:rFonts w:ascii="Palatino Linotype" w:eastAsia="Times New Roman" w:hAnsi="Palatino Linotype" w:cs="Times New Roman"/>
          <w:i/>
          <w:sz w:val="24"/>
          <w:szCs w:val="24"/>
          <w:lang w:eastAsia="es-MX"/>
        </w:rPr>
      </w:pPr>
      <w:r w:rsidRPr="000C4CFF">
        <w:rPr>
          <w:rFonts w:ascii="Palatino Linotype" w:eastAsia="Times New Roman" w:hAnsi="Palatino Linotype" w:cs="Times New Roman"/>
          <w:i/>
          <w:sz w:val="24"/>
          <w:szCs w:val="24"/>
          <w:lang w:eastAsia="es-MX"/>
        </w:rPr>
        <w:t xml:space="preserve"> “</w:t>
      </w:r>
      <w:r w:rsidRPr="000C4CFF">
        <w:rPr>
          <w:rFonts w:ascii="Palatino Linotype" w:eastAsia="Times New Roman" w:hAnsi="Palatino Linotype" w:cs="Times New Roman"/>
          <w:b/>
          <w:i/>
          <w:sz w:val="24"/>
          <w:szCs w:val="24"/>
          <w:lang w:eastAsia="es-MX"/>
        </w:rPr>
        <w:t>reglamento interno, manual de procedimientos y manual de organización de la dirección de movilidad y transporte, o su equivalente</w:t>
      </w:r>
      <w:r w:rsidRPr="000C4CFF">
        <w:rPr>
          <w:rFonts w:ascii="Palatino Linotype" w:eastAsia="Times New Roman" w:hAnsi="Palatino Linotype" w:cs="Times New Roman"/>
          <w:i/>
          <w:sz w:val="24"/>
          <w:szCs w:val="24"/>
          <w:lang w:eastAsia="es-MX"/>
        </w:rPr>
        <w:t xml:space="preserve"> de la administración </w:t>
      </w:r>
      <w:proofErr w:type="spellStart"/>
      <w:r w:rsidRPr="000C4CFF">
        <w:rPr>
          <w:rFonts w:ascii="Palatino Linotype" w:eastAsia="Times New Roman" w:hAnsi="Palatino Linotype" w:cs="Times New Roman"/>
          <w:i/>
          <w:sz w:val="24"/>
          <w:szCs w:val="24"/>
          <w:lang w:eastAsia="es-MX"/>
        </w:rPr>
        <w:t>publica</w:t>
      </w:r>
      <w:proofErr w:type="spellEnd"/>
      <w:r w:rsidRPr="000C4CFF">
        <w:rPr>
          <w:rFonts w:ascii="Palatino Linotype" w:eastAsia="Times New Roman" w:hAnsi="Palatino Linotype" w:cs="Times New Roman"/>
          <w:i/>
          <w:sz w:val="24"/>
          <w:szCs w:val="24"/>
          <w:lang w:eastAsia="es-MX"/>
        </w:rPr>
        <w:t xml:space="preserve"> municipal.</w:t>
      </w:r>
      <w:r w:rsidRPr="000C4CFF">
        <w:rPr>
          <w:rFonts w:ascii="Palatino Linotype" w:eastAsiaTheme="minorEastAsia" w:hAnsi="Palatino Linotype"/>
          <w:i/>
          <w:sz w:val="24"/>
          <w:szCs w:val="24"/>
          <w:lang w:val="es-ES_tradnl" w:eastAsia="es-ES"/>
        </w:rPr>
        <w:t>” (Sic)</w:t>
      </w:r>
    </w:p>
    <w:p w:rsidR="00624E03" w:rsidRPr="000C4CFF" w:rsidRDefault="00624E03" w:rsidP="000C4CFF">
      <w:pPr>
        <w:spacing w:after="0" w:line="360" w:lineRule="auto"/>
        <w:ind w:right="616"/>
        <w:jc w:val="both"/>
        <w:rPr>
          <w:rFonts w:ascii="Palatino Linotype" w:eastAsia="Times New Roman" w:hAnsi="Palatino Linotype" w:cs="Times New Roman"/>
          <w:i/>
          <w:sz w:val="24"/>
          <w:szCs w:val="24"/>
          <w:lang w:eastAsia="es-MX"/>
        </w:rPr>
      </w:pPr>
    </w:p>
    <w:p w:rsidR="00624E03" w:rsidRPr="000C4CFF" w:rsidRDefault="00624E03" w:rsidP="000C4CFF">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C4CFF">
        <w:rPr>
          <w:rFonts w:ascii="Palatino Linotype" w:eastAsia="Times New Roman" w:hAnsi="Palatino Linotype" w:cs="Arial"/>
          <w:sz w:val="24"/>
          <w:szCs w:val="24"/>
          <w:lang w:val="es-ES" w:eastAsia="es-ES"/>
        </w:rPr>
        <w:t>Señaló como modalidad de entrega de la información</w:t>
      </w:r>
      <w:r w:rsidRPr="000C4CFF">
        <w:rPr>
          <w:rFonts w:ascii="Palatino Linotype" w:eastAsia="Times New Roman" w:hAnsi="Palatino Linotype" w:cs="Arial"/>
          <w:b/>
          <w:sz w:val="24"/>
          <w:szCs w:val="24"/>
          <w:lang w:val="es-ES" w:eastAsia="es-ES"/>
        </w:rPr>
        <w:t>:</w:t>
      </w:r>
      <w:r w:rsidRPr="000C4CFF">
        <w:rPr>
          <w:rFonts w:ascii="Palatino Linotype" w:eastAsia="Times New Roman" w:hAnsi="Palatino Linotype" w:cs="Arial"/>
          <w:sz w:val="24"/>
          <w:szCs w:val="24"/>
          <w:lang w:val="es-ES" w:eastAsia="es-ES"/>
        </w:rPr>
        <w:t xml:space="preserve"> a través del </w:t>
      </w:r>
      <w:r w:rsidRPr="000C4CFF">
        <w:rPr>
          <w:rFonts w:ascii="Palatino Linotype" w:eastAsia="Times New Roman" w:hAnsi="Palatino Linotype" w:cs="Arial"/>
          <w:b/>
          <w:sz w:val="24"/>
          <w:szCs w:val="24"/>
          <w:lang w:val="es-ES" w:eastAsia="es-ES"/>
        </w:rPr>
        <w:t>SAIMEX</w:t>
      </w:r>
    </w:p>
    <w:p w:rsidR="00624E03" w:rsidRPr="000C4CFF" w:rsidRDefault="00624E03" w:rsidP="000C4CFF">
      <w:pPr>
        <w:spacing w:after="0" w:line="360" w:lineRule="auto"/>
        <w:ind w:right="-142"/>
        <w:contextualSpacing/>
        <w:jc w:val="both"/>
        <w:rPr>
          <w:rFonts w:ascii="Palatino Linotype" w:eastAsiaTheme="minorEastAsia" w:hAnsi="Palatino Linotype" w:cs="Arial"/>
          <w:i/>
          <w:sz w:val="24"/>
          <w:szCs w:val="24"/>
          <w:lang w:val="es-ES_tradnl" w:eastAsia="es-ES"/>
        </w:rPr>
      </w:pPr>
    </w:p>
    <w:p w:rsidR="00624E03" w:rsidRPr="000C4CFF" w:rsidRDefault="00624E03" w:rsidP="000C4CFF">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0C4CFF">
        <w:rPr>
          <w:rFonts w:ascii="Palatino Linotype" w:eastAsiaTheme="minorEastAsia" w:hAnsi="Palatino Linotype" w:cs="Arial"/>
          <w:sz w:val="24"/>
          <w:szCs w:val="24"/>
          <w:lang w:val="es-ES_tradnl" w:eastAsia="es-ES"/>
        </w:rPr>
        <w:t xml:space="preserve">El día </w:t>
      </w:r>
      <w:r w:rsidRPr="000C4CFF">
        <w:rPr>
          <w:rFonts w:ascii="Palatino Linotype" w:eastAsiaTheme="minorEastAsia" w:hAnsi="Palatino Linotype" w:cs="Arial"/>
          <w:b/>
          <w:sz w:val="24"/>
          <w:szCs w:val="24"/>
          <w:lang w:val="es-ES_tradnl" w:eastAsia="es-ES"/>
        </w:rPr>
        <w:t>diez (10) de abril</w:t>
      </w:r>
      <w:r w:rsidRPr="000C4CFF">
        <w:rPr>
          <w:rFonts w:ascii="Palatino Linotype" w:eastAsiaTheme="minorEastAsia" w:hAnsi="Palatino Linotype" w:cs="Arial"/>
          <w:sz w:val="24"/>
          <w:szCs w:val="24"/>
          <w:lang w:val="es-ES_tradnl" w:eastAsia="es-ES"/>
        </w:rPr>
        <w:t xml:space="preserve"> de dos mil diecinueve el </w:t>
      </w:r>
      <w:r w:rsidRPr="000C4CFF">
        <w:rPr>
          <w:rFonts w:ascii="Palatino Linotype" w:eastAsiaTheme="minorEastAsia" w:hAnsi="Palatino Linotype" w:cs="Arial"/>
          <w:b/>
          <w:sz w:val="24"/>
          <w:szCs w:val="24"/>
          <w:lang w:val="es-ES_tradnl" w:eastAsia="es-ES"/>
        </w:rPr>
        <w:t>SUJETO OBLIGADO</w:t>
      </w:r>
      <w:r w:rsidRPr="000C4CFF">
        <w:rPr>
          <w:rFonts w:ascii="Palatino Linotype" w:eastAsiaTheme="minorEastAsia" w:hAnsi="Palatino Linotype" w:cs="Arial"/>
          <w:sz w:val="24"/>
          <w:szCs w:val="24"/>
          <w:lang w:val="es-ES_tradnl" w:eastAsia="es-ES"/>
        </w:rPr>
        <w:t xml:space="preserve"> emitió su respectiva respuesta, para lo cual se adjuntó el archivo electrónico denominado </w:t>
      </w:r>
      <w:r w:rsidRPr="000C4CFF">
        <w:rPr>
          <w:rFonts w:ascii="Palatino Linotype" w:eastAsiaTheme="minorEastAsia" w:hAnsi="Palatino Linotype" w:cs="Arial"/>
          <w:b/>
          <w:sz w:val="24"/>
          <w:szCs w:val="24"/>
          <w:lang w:val="es-ES_tradnl" w:eastAsia="es-ES"/>
        </w:rPr>
        <w:t>RESPUESTA AL SOLICITANTE 00192-NEZA-IP-2019.pdf</w:t>
      </w:r>
      <w:r w:rsidRPr="000C4CFF">
        <w:rPr>
          <w:rFonts w:ascii="Palatino Linotype" w:eastAsiaTheme="minorEastAsia" w:hAnsi="Palatino Linotype" w:cs="Arial"/>
          <w:sz w:val="24"/>
          <w:szCs w:val="24"/>
          <w:lang w:val="es-ES_tradnl" w:eastAsia="es-ES"/>
        </w:rPr>
        <w:t>, mismo que se integra de tres hojas que corresponden al escrito por el cual se solicita la información</w:t>
      </w:r>
      <w:r w:rsidR="00E013C2" w:rsidRPr="000C4CFF">
        <w:rPr>
          <w:rFonts w:ascii="Palatino Linotype" w:eastAsiaTheme="minorEastAsia" w:hAnsi="Palatino Linotype" w:cs="Arial"/>
          <w:sz w:val="24"/>
          <w:szCs w:val="24"/>
          <w:lang w:val="es-ES_tradnl" w:eastAsia="es-ES"/>
        </w:rPr>
        <w:t xml:space="preserve"> al área competente;</w:t>
      </w:r>
      <w:r w:rsidRPr="000C4CFF">
        <w:rPr>
          <w:rFonts w:ascii="Palatino Linotype" w:eastAsiaTheme="minorEastAsia" w:hAnsi="Palatino Linotype" w:cs="Arial"/>
          <w:sz w:val="24"/>
          <w:szCs w:val="24"/>
          <w:lang w:val="es-ES_tradnl" w:eastAsia="es-ES"/>
        </w:rPr>
        <w:t xml:space="preserve"> of</w:t>
      </w:r>
      <w:r w:rsidR="007C2D64" w:rsidRPr="000C4CFF">
        <w:rPr>
          <w:rFonts w:ascii="Palatino Linotype" w:eastAsiaTheme="minorEastAsia" w:hAnsi="Palatino Linotype" w:cs="Arial"/>
          <w:sz w:val="24"/>
          <w:szCs w:val="24"/>
          <w:lang w:val="es-ES_tradnl" w:eastAsia="es-ES"/>
        </w:rPr>
        <w:t xml:space="preserve">icio de respuesta del </w:t>
      </w:r>
      <w:r w:rsidRPr="000C4CFF">
        <w:rPr>
          <w:rFonts w:ascii="Palatino Linotype" w:eastAsiaTheme="minorEastAsia" w:hAnsi="Palatino Linotype" w:cs="Arial"/>
          <w:sz w:val="24"/>
          <w:szCs w:val="24"/>
          <w:lang w:val="es-ES_tradnl" w:eastAsia="es-ES"/>
        </w:rPr>
        <w:t>Coordinador de Mo</w:t>
      </w:r>
      <w:r w:rsidR="007C2D64" w:rsidRPr="000C4CFF">
        <w:rPr>
          <w:rFonts w:ascii="Palatino Linotype" w:eastAsiaTheme="minorEastAsia" w:hAnsi="Palatino Linotype" w:cs="Arial"/>
          <w:sz w:val="24"/>
          <w:szCs w:val="24"/>
          <w:lang w:val="es-ES_tradnl" w:eastAsia="es-ES"/>
        </w:rPr>
        <w:t>vilidad Urbana del Ayuntamiento quien refiere que la Coordinación a su cargo es de nueva creación por la presente administración municipal, misma que se rige por el artículo 209 del Bando Municipal 2019, artículo 103 del Reglamento Orgánico de la Administración Pública de Nezahualcóyotl, artículo 9 de la Ley de Movilidad del Estado de México; asimismo que en cuanto al manual de procedimientos</w:t>
      </w:r>
      <w:r w:rsidR="00E013C2" w:rsidRPr="000C4CFF">
        <w:rPr>
          <w:rFonts w:ascii="Palatino Linotype" w:eastAsiaTheme="minorEastAsia" w:hAnsi="Palatino Linotype" w:cs="Arial"/>
          <w:sz w:val="24"/>
          <w:szCs w:val="24"/>
          <w:lang w:val="es-ES_tradnl" w:eastAsia="es-ES"/>
        </w:rPr>
        <w:t xml:space="preserve"> las funciones que lleva a cabo, no realiza procedimiento o actividad previamente requerida por la ciudadanía y en relación al manual de organización dentro el órgano municipal, la coordinación depende directamente de la Presidencia Municipal; finalmente oficio suscrito por el Director de Administración quien refiere que no existe la Dirección de Movilidad y Transporte, motivo por el cual se ve imposibilitado para entregar a información que fue solicitada.</w:t>
      </w:r>
    </w:p>
    <w:p w:rsidR="007C2D64" w:rsidRPr="000C4CFF" w:rsidRDefault="007C2D64" w:rsidP="000C4CFF">
      <w:pPr>
        <w:spacing w:before="240" w:after="240" w:line="360" w:lineRule="auto"/>
        <w:contextualSpacing/>
        <w:jc w:val="both"/>
        <w:rPr>
          <w:rFonts w:ascii="Palatino Linotype" w:eastAsiaTheme="minorEastAsia" w:hAnsi="Palatino Linotype" w:cs="Arial"/>
          <w:sz w:val="24"/>
          <w:szCs w:val="24"/>
          <w:lang w:val="es-ES_tradnl" w:eastAsia="es-ES"/>
        </w:rPr>
      </w:pPr>
    </w:p>
    <w:p w:rsidR="00624E03" w:rsidRPr="000C4CFF" w:rsidRDefault="00624E03" w:rsidP="000C4CFF">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0C4CFF">
        <w:rPr>
          <w:rFonts w:ascii="Palatino Linotype" w:eastAsiaTheme="minorEastAsia" w:hAnsi="Palatino Linotype" w:cs="Arial"/>
          <w:sz w:val="24"/>
          <w:szCs w:val="24"/>
          <w:lang w:val="es-ES_tradnl" w:eastAsia="es-ES"/>
        </w:rPr>
        <w:t xml:space="preserve"> </w:t>
      </w:r>
      <w:r w:rsidRPr="000C4CFF">
        <w:rPr>
          <w:rFonts w:ascii="Palatino Linotype" w:eastAsia="Calibri" w:hAnsi="Palatino Linotype" w:cs="Arial"/>
          <w:sz w:val="24"/>
          <w:szCs w:val="24"/>
          <w:lang w:val="es-AR" w:eastAsia="es-ES"/>
        </w:rPr>
        <w:t>El</w:t>
      </w:r>
      <w:r w:rsidRPr="000C4CFF">
        <w:rPr>
          <w:rFonts w:ascii="Palatino Linotype" w:eastAsia="Times New Roman" w:hAnsi="Palatino Linotype" w:cs="Arial"/>
          <w:sz w:val="24"/>
          <w:szCs w:val="24"/>
          <w:lang w:val="es-ES" w:eastAsia="es-ES"/>
        </w:rPr>
        <w:t xml:space="preserve"> día </w:t>
      </w:r>
      <w:r w:rsidR="00E013C2" w:rsidRPr="000C4CFF">
        <w:rPr>
          <w:rFonts w:ascii="Palatino Linotype" w:eastAsia="Times New Roman" w:hAnsi="Palatino Linotype" w:cs="Arial"/>
          <w:b/>
          <w:sz w:val="24"/>
          <w:szCs w:val="24"/>
          <w:lang w:val="es-ES" w:eastAsia="es-ES"/>
        </w:rPr>
        <w:t>veintitrés (23) de abril</w:t>
      </w:r>
      <w:r w:rsidRPr="000C4CFF">
        <w:rPr>
          <w:rFonts w:ascii="Palatino Linotype" w:eastAsia="Times New Roman" w:hAnsi="Palatino Linotype" w:cs="Arial"/>
          <w:b/>
          <w:sz w:val="24"/>
          <w:szCs w:val="24"/>
          <w:lang w:val="es-ES" w:eastAsia="es-ES"/>
        </w:rPr>
        <w:t xml:space="preserve"> </w:t>
      </w:r>
      <w:r w:rsidRPr="000C4CFF">
        <w:rPr>
          <w:rFonts w:ascii="Palatino Linotype" w:eastAsia="Times New Roman" w:hAnsi="Palatino Linotype" w:cs="Arial"/>
          <w:sz w:val="24"/>
          <w:szCs w:val="24"/>
          <w:lang w:val="es-ES" w:eastAsia="es-ES"/>
        </w:rPr>
        <w:t>de dos mil diecinueve, el particular interpuso el recurso de revisión, en contra de la respuesta, señalándolo siguiente:</w:t>
      </w:r>
      <w:bookmarkStart w:id="1" w:name="_Toc462307683"/>
      <w:bookmarkStart w:id="2" w:name="_Toc472427085"/>
      <w:bookmarkStart w:id="3" w:name="_Toc472500652"/>
    </w:p>
    <w:p w:rsidR="00624E03" w:rsidRPr="000C4CFF" w:rsidRDefault="00624E03" w:rsidP="000C4CFF">
      <w:pPr>
        <w:spacing w:before="240" w:after="240" w:line="360" w:lineRule="auto"/>
        <w:contextualSpacing/>
        <w:jc w:val="both"/>
        <w:rPr>
          <w:rFonts w:ascii="Palatino Linotype" w:eastAsiaTheme="minorEastAsia" w:hAnsi="Palatino Linotype" w:cs="Arial"/>
          <w:i/>
          <w:sz w:val="24"/>
          <w:szCs w:val="24"/>
          <w:lang w:val="es-ES_tradnl" w:eastAsia="es-ES"/>
        </w:rPr>
      </w:pPr>
    </w:p>
    <w:p w:rsidR="00624E03" w:rsidRPr="000C4CFF" w:rsidRDefault="00624E03" w:rsidP="000C4CF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0C4CFF">
        <w:rPr>
          <w:rFonts w:ascii="Palatino Linotype" w:eastAsiaTheme="majorEastAsia" w:hAnsi="Palatino Linotype" w:cstheme="majorBidi"/>
          <w:b/>
          <w:sz w:val="24"/>
          <w:szCs w:val="24"/>
          <w:lang w:val="es-ES" w:eastAsia="es-ES"/>
        </w:rPr>
        <w:t>Acto impugnado</w:t>
      </w:r>
      <w:r w:rsidRPr="000C4CFF">
        <w:rPr>
          <w:rFonts w:ascii="Palatino Linotype" w:eastAsiaTheme="majorEastAsia" w:hAnsi="Palatino Linotype" w:cstheme="majorBidi"/>
          <w:b/>
          <w:i/>
          <w:sz w:val="24"/>
          <w:szCs w:val="24"/>
          <w:lang w:val="es-ES" w:eastAsia="es-ES"/>
        </w:rPr>
        <w:t>:</w:t>
      </w:r>
      <w:bookmarkEnd w:id="1"/>
      <w:bookmarkEnd w:id="2"/>
      <w:bookmarkEnd w:id="3"/>
      <w:r w:rsidRPr="000C4CFF">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624E03" w:rsidRPr="000C4CFF" w:rsidRDefault="00624E03" w:rsidP="000C4CFF">
      <w:pPr>
        <w:spacing w:after="0" w:line="36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624E03" w:rsidRPr="000C4CFF" w:rsidRDefault="00624E03" w:rsidP="000C4CF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0C4CFF">
        <w:rPr>
          <w:rFonts w:ascii="Palatino Linotype" w:eastAsia="Calibri" w:hAnsi="Palatino Linotype" w:cs="Arial"/>
          <w:i/>
          <w:sz w:val="24"/>
          <w:szCs w:val="24"/>
          <w:lang w:eastAsia="es-ES"/>
        </w:rPr>
        <w:t>“</w:t>
      </w:r>
      <w:r w:rsidR="00E013C2" w:rsidRPr="000C4CFF">
        <w:rPr>
          <w:rFonts w:ascii="Palatino Linotype" w:eastAsia="Calibri" w:hAnsi="Palatino Linotype" w:cs="Arial"/>
          <w:i/>
          <w:sz w:val="24"/>
          <w:szCs w:val="24"/>
          <w:lang w:eastAsia="es-ES"/>
        </w:rPr>
        <w:t>La respuesta no dirime la existencia de alguna instancia municipal que se haga cargo de la revisión de transporte conforme a lo que establece el diverso 9 de la Ley de Movilidad.</w:t>
      </w:r>
      <w:r w:rsidRPr="000C4CFF">
        <w:rPr>
          <w:rFonts w:ascii="Palatino Linotype" w:eastAsia="Calibri" w:hAnsi="Palatino Linotype" w:cs="Arial"/>
          <w:i/>
          <w:sz w:val="24"/>
          <w:szCs w:val="24"/>
          <w:lang w:eastAsia="es-ES"/>
        </w:rPr>
        <w:t>”</w:t>
      </w:r>
      <w:r w:rsidRPr="000C4CFF">
        <w:rPr>
          <w:rFonts w:ascii="Palatino Linotype" w:eastAsia="Calibri" w:hAnsi="Palatino Linotype" w:cs="Arial"/>
          <w:i/>
          <w:sz w:val="24"/>
          <w:szCs w:val="24"/>
          <w:lang w:val="es-ES" w:eastAsia="es-ES"/>
        </w:rPr>
        <w:t xml:space="preserve"> (Sic); </w:t>
      </w:r>
      <w:r w:rsidRPr="000C4CFF">
        <w:rPr>
          <w:rFonts w:ascii="Palatino Linotype" w:eastAsia="Calibri" w:hAnsi="Palatino Linotype" w:cs="Arial"/>
          <w:sz w:val="24"/>
          <w:szCs w:val="24"/>
          <w:lang w:val="es-ES" w:eastAsia="es-ES"/>
        </w:rPr>
        <w:t xml:space="preserve">y como </w:t>
      </w:r>
    </w:p>
    <w:p w:rsidR="00624E03" w:rsidRPr="000C4CFF" w:rsidRDefault="00624E03" w:rsidP="000C4CFF">
      <w:pPr>
        <w:spacing w:after="0" w:line="360" w:lineRule="auto"/>
        <w:ind w:right="-142"/>
        <w:contextualSpacing/>
        <w:jc w:val="both"/>
        <w:rPr>
          <w:rFonts w:ascii="Palatino Linotype" w:eastAsiaTheme="minorEastAsia" w:hAnsi="Palatino Linotype" w:cs="Arial"/>
          <w:i/>
          <w:sz w:val="24"/>
          <w:szCs w:val="24"/>
          <w:lang w:val="es-ES_tradnl" w:eastAsia="es-ES"/>
        </w:rPr>
      </w:pPr>
    </w:p>
    <w:p w:rsidR="00624E03" w:rsidRPr="000C4CFF" w:rsidRDefault="00624E03" w:rsidP="000C4CFF">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0C4CFF">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0C4CFF">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24E03" w:rsidRPr="000C4CFF" w:rsidRDefault="00624E03" w:rsidP="000C4CF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0C4CFF">
        <w:rPr>
          <w:rFonts w:ascii="Palatino Linotype" w:eastAsiaTheme="majorEastAsia" w:hAnsi="Palatino Linotype" w:cstheme="majorBidi"/>
          <w:i/>
          <w:sz w:val="24"/>
          <w:szCs w:val="24"/>
          <w:lang w:eastAsia="es-ES"/>
        </w:rPr>
        <w:t>“</w:t>
      </w:r>
      <w:r w:rsidR="00E013C2" w:rsidRPr="000C4CFF">
        <w:rPr>
          <w:rFonts w:ascii="Palatino Linotype" w:eastAsiaTheme="majorEastAsia" w:hAnsi="Palatino Linotype" w:cstheme="majorBidi"/>
          <w:i/>
          <w:sz w:val="24"/>
          <w:szCs w:val="24"/>
          <w:lang w:eastAsia="es-ES"/>
        </w:rPr>
        <w:t>No señalan la existencia de un reglamento interno de la Dirección de Gobierno, así como manuales de organización y de procedimientos de dicha dirección</w:t>
      </w:r>
      <w:r w:rsidRPr="000C4CFF">
        <w:rPr>
          <w:rFonts w:ascii="Palatino Linotype" w:eastAsiaTheme="majorEastAsia" w:hAnsi="Palatino Linotype" w:cstheme="majorBidi"/>
          <w:i/>
          <w:sz w:val="24"/>
          <w:szCs w:val="24"/>
          <w:lang w:val="es-ES" w:eastAsia="es-ES"/>
        </w:rPr>
        <w:t xml:space="preserve">” </w:t>
      </w:r>
      <w:r w:rsidRPr="000C4CFF">
        <w:rPr>
          <w:rFonts w:ascii="Palatino Linotype" w:eastAsiaTheme="minorEastAsia" w:hAnsi="Palatino Linotype" w:cs="Arial"/>
          <w:i/>
          <w:sz w:val="24"/>
          <w:szCs w:val="24"/>
          <w:lang w:val="es-ES_tradnl" w:eastAsia="es-ES"/>
        </w:rPr>
        <w:t>(Sic)</w:t>
      </w:r>
    </w:p>
    <w:p w:rsidR="00624E03" w:rsidRPr="000C4CFF" w:rsidRDefault="00624E03" w:rsidP="000C4CFF">
      <w:pPr>
        <w:spacing w:after="0" w:line="360" w:lineRule="auto"/>
        <w:ind w:right="-142"/>
        <w:contextualSpacing/>
        <w:jc w:val="both"/>
        <w:rPr>
          <w:rFonts w:ascii="Palatino Linotype" w:eastAsiaTheme="minorEastAsia" w:hAnsi="Palatino Linotype" w:cs="Arial"/>
          <w:sz w:val="24"/>
          <w:szCs w:val="24"/>
          <w:lang w:val="es-ES_tradnl" w:eastAsia="es-ES"/>
        </w:rPr>
      </w:pPr>
    </w:p>
    <w:p w:rsidR="00624E03" w:rsidRPr="000C4CFF" w:rsidRDefault="00624E03" w:rsidP="000C4CFF">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0C4CFF">
        <w:rPr>
          <w:rFonts w:ascii="Palatino Linotype" w:eastAsia="Times New Roman" w:hAnsi="Palatino Linotype" w:cs="Arial"/>
          <w:sz w:val="24"/>
          <w:szCs w:val="24"/>
          <w:lang w:val="es-ES" w:eastAsia="es-ES"/>
        </w:rPr>
        <w:t xml:space="preserve">Se registró el recurso de revisión bajo el número de expediente </w:t>
      </w:r>
      <w:r w:rsidRPr="000C4CFF">
        <w:rPr>
          <w:rFonts w:ascii="Palatino Linotype" w:eastAsiaTheme="minorEastAsia" w:hAnsi="Palatino Linotype" w:cs="Arial"/>
          <w:bCs/>
          <w:sz w:val="24"/>
          <w:szCs w:val="24"/>
          <w:lang w:val="es-ES_tradnl" w:eastAsia="es-ES"/>
        </w:rPr>
        <w:t xml:space="preserve">al rubro indicado, asimismo con fundamento en lo dispuesto por el </w:t>
      </w:r>
      <w:r w:rsidRPr="000C4CFF">
        <w:rPr>
          <w:rFonts w:ascii="Palatino Linotype" w:eastAsia="Calibri" w:hAnsi="Palatino Linotype" w:cs="Arial"/>
          <w:sz w:val="24"/>
          <w:szCs w:val="24"/>
          <w:lang w:val="es-ES" w:eastAsia="es-ES"/>
        </w:rPr>
        <w:t xml:space="preserve">artículo 185 fracción I de la </w:t>
      </w:r>
      <w:r w:rsidRPr="000C4CF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C4CFF">
        <w:rPr>
          <w:rFonts w:ascii="Palatino Linotype" w:eastAsia="Times New Roman" w:hAnsi="Palatino Linotype" w:cs="Arial"/>
          <w:sz w:val="24"/>
          <w:szCs w:val="24"/>
          <w:lang w:val="es-ES" w:eastAsia="es-ES"/>
        </w:rPr>
        <w:t xml:space="preserve">se turnó al </w:t>
      </w:r>
      <w:r w:rsidRPr="000C4CFF">
        <w:rPr>
          <w:rFonts w:ascii="Palatino Linotype" w:eastAsia="Times New Roman" w:hAnsi="Palatino Linotype" w:cs="Arial"/>
          <w:b/>
          <w:sz w:val="24"/>
          <w:szCs w:val="24"/>
          <w:lang w:val="es-ES" w:eastAsia="es-ES"/>
        </w:rPr>
        <w:t xml:space="preserve">Comisionado José Guadalupe Luna Hernández, </w:t>
      </w:r>
      <w:r w:rsidRPr="000C4CFF">
        <w:rPr>
          <w:rFonts w:ascii="Palatino Linotype" w:eastAsia="Times New Roman" w:hAnsi="Palatino Linotype" w:cs="Arial"/>
          <w:sz w:val="24"/>
          <w:szCs w:val="24"/>
          <w:lang w:val="es-ES" w:eastAsia="es-ES"/>
        </w:rPr>
        <w:t xml:space="preserve">con el objeto de </w:t>
      </w:r>
      <w:r w:rsidRPr="000C4CFF">
        <w:rPr>
          <w:rFonts w:ascii="Palatino Linotype" w:eastAsia="Times New Roman" w:hAnsi="Palatino Linotype" w:cs="Arial"/>
          <w:sz w:val="24"/>
          <w:szCs w:val="24"/>
          <w:lang w:eastAsia="es-ES"/>
        </w:rPr>
        <w:t>su análisis.</w:t>
      </w:r>
    </w:p>
    <w:p w:rsidR="00624E03" w:rsidRPr="000C4CFF" w:rsidRDefault="00624E03" w:rsidP="000C4CFF">
      <w:pPr>
        <w:spacing w:after="0" w:line="360" w:lineRule="auto"/>
        <w:ind w:right="-142"/>
        <w:contextualSpacing/>
        <w:rPr>
          <w:rFonts w:ascii="Palatino Linotype" w:eastAsiaTheme="minorEastAsia" w:hAnsi="Palatino Linotype"/>
          <w:i/>
          <w:sz w:val="24"/>
          <w:szCs w:val="24"/>
          <w:lang w:val="es-ES_tradnl" w:eastAsia="es-ES"/>
        </w:rPr>
      </w:pPr>
    </w:p>
    <w:p w:rsidR="00624E03" w:rsidRPr="000C4CFF" w:rsidRDefault="00624E03" w:rsidP="000C4CFF">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0C4CF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E013C2" w:rsidRPr="000C4CFF">
        <w:rPr>
          <w:rFonts w:ascii="Palatino Linotype" w:eastAsia="Calibri" w:hAnsi="Palatino Linotype" w:cs="Arial"/>
          <w:sz w:val="24"/>
          <w:szCs w:val="24"/>
          <w:lang w:val="es-ES" w:eastAsia="es-ES"/>
        </w:rPr>
        <w:t>l acuerdo de admisión de fecha veintinueve</w:t>
      </w:r>
      <w:r w:rsidRPr="000C4CFF">
        <w:rPr>
          <w:rFonts w:ascii="Palatino Linotype" w:eastAsia="Calibri" w:hAnsi="Palatino Linotype" w:cs="Arial"/>
          <w:b/>
          <w:sz w:val="24"/>
          <w:szCs w:val="24"/>
          <w:lang w:val="es-ES" w:eastAsia="es-ES"/>
        </w:rPr>
        <w:t xml:space="preserve"> (</w:t>
      </w:r>
      <w:r w:rsidR="00E013C2" w:rsidRPr="000C4CFF">
        <w:rPr>
          <w:rFonts w:ascii="Palatino Linotype" w:eastAsia="Calibri" w:hAnsi="Palatino Linotype" w:cs="Arial"/>
          <w:b/>
          <w:sz w:val="24"/>
          <w:szCs w:val="24"/>
          <w:lang w:val="es-ES" w:eastAsia="es-ES"/>
        </w:rPr>
        <w:t>29) de abril</w:t>
      </w:r>
      <w:r w:rsidRPr="000C4CFF">
        <w:rPr>
          <w:rFonts w:ascii="Palatino Linotype" w:eastAsia="Calibri" w:hAnsi="Palatino Linotype" w:cs="Arial"/>
          <w:sz w:val="24"/>
          <w:szCs w:val="24"/>
          <w:lang w:val="es-ES" w:eastAsia="es-ES"/>
        </w:rPr>
        <w:t xml:space="preserve"> de dos mil diecinueve, puso a disposición de las partes el expediente electrónico </w:t>
      </w:r>
      <w:r w:rsidRPr="000C4CFF">
        <w:rPr>
          <w:rFonts w:ascii="Palatino Linotype" w:eastAsia="Calibri" w:hAnsi="Palatino Linotype" w:cs="Arial"/>
          <w:sz w:val="24"/>
          <w:szCs w:val="24"/>
          <w:lang w:val="es-ES_tradnl" w:eastAsia="es-ES"/>
        </w:rPr>
        <w:t xml:space="preserve">vía </w:t>
      </w:r>
      <w:r w:rsidRPr="000C4CFF">
        <w:rPr>
          <w:rFonts w:ascii="Palatino Linotype" w:eastAsia="Calibri" w:hAnsi="Palatino Linotype" w:cs="Arial"/>
          <w:sz w:val="24"/>
          <w:szCs w:val="24"/>
          <w:lang w:val="es-ES" w:eastAsia="es-ES"/>
        </w:rPr>
        <w:t xml:space="preserve">Sistema de Acceso a la Información Mexiquense </w:t>
      </w:r>
      <w:r w:rsidRPr="000C4CFF">
        <w:rPr>
          <w:rFonts w:ascii="Palatino Linotype" w:eastAsia="Calibri" w:hAnsi="Palatino Linotype" w:cs="Arial"/>
          <w:b/>
          <w:sz w:val="24"/>
          <w:szCs w:val="24"/>
          <w:lang w:val="es-ES" w:eastAsia="es-ES"/>
        </w:rPr>
        <w:t xml:space="preserve">SAIMEX </w:t>
      </w:r>
      <w:r w:rsidRPr="000C4CF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C4CFF">
        <w:rPr>
          <w:rFonts w:ascii="Palatino Linotype" w:eastAsia="Calibri" w:hAnsi="Palatino Linotype" w:cs="Arial"/>
          <w:b/>
          <w:sz w:val="24"/>
          <w:szCs w:val="24"/>
          <w:lang w:val="es-ES" w:eastAsia="es-ES"/>
        </w:rPr>
        <w:t>SUJETO OBLIGADO</w:t>
      </w:r>
      <w:r w:rsidRPr="000C4CFF">
        <w:rPr>
          <w:rFonts w:ascii="Palatino Linotype" w:eastAsia="Calibri" w:hAnsi="Palatino Linotype" w:cs="Arial"/>
          <w:sz w:val="24"/>
          <w:szCs w:val="24"/>
          <w:lang w:val="es-ES" w:eastAsia="es-ES"/>
        </w:rPr>
        <w:t xml:space="preserve"> presentará el Informe Justificado procedente.  </w:t>
      </w:r>
    </w:p>
    <w:p w:rsidR="00624E03" w:rsidRPr="000C4CFF" w:rsidRDefault="00624E03" w:rsidP="000C4CFF">
      <w:pPr>
        <w:spacing w:before="240" w:after="240" w:line="360" w:lineRule="auto"/>
        <w:ind w:right="-142"/>
        <w:contextualSpacing/>
        <w:jc w:val="both"/>
        <w:rPr>
          <w:rFonts w:ascii="Palatino Linotype" w:eastAsiaTheme="minorEastAsia" w:hAnsi="Palatino Linotype"/>
          <w:i/>
          <w:sz w:val="24"/>
          <w:szCs w:val="24"/>
          <w:lang w:val="es-ES_tradnl" w:eastAsia="es-ES"/>
        </w:rPr>
      </w:pPr>
    </w:p>
    <w:p w:rsidR="00E013C2" w:rsidRPr="000C4CFF" w:rsidRDefault="00624E03" w:rsidP="000C4CFF">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0C4CFF">
        <w:rPr>
          <w:rFonts w:ascii="Palatino Linotype" w:eastAsiaTheme="minorEastAsia" w:hAnsi="Palatino Linotype"/>
          <w:sz w:val="24"/>
          <w:szCs w:val="24"/>
          <w:lang w:val="es-ES_tradnl" w:eastAsia="es-ES"/>
        </w:rPr>
        <w:t xml:space="preserve">El día </w:t>
      </w:r>
      <w:r w:rsidR="00E013C2" w:rsidRPr="000C4CFF">
        <w:rPr>
          <w:rFonts w:ascii="Palatino Linotype" w:eastAsiaTheme="minorEastAsia" w:hAnsi="Palatino Linotype"/>
          <w:b/>
          <w:sz w:val="24"/>
          <w:szCs w:val="24"/>
          <w:lang w:val="es-ES_tradnl" w:eastAsia="es-ES"/>
        </w:rPr>
        <w:t>veintinueve (29) de abril</w:t>
      </w:r>
      <w:r w:rsidRPr="000C4CFF">
        <w:rPr>
          <w:rFonts w:ascii="Palatino Linotype" w:eastAsiaTheme="minorEastAsia" w:hAnsi="Palatino Linotype"/>
          <w:b/>
          <w:sz w:val="24"/>
          <w:szCs w:val="24"/>
          <w:lang w:val="es-ES_tradnl" w:eastAsia="es-ES"/>
        </w:rPr>
        <w:t xml:space="preserve"> </w:t>
      </w:r>
      <w:r w:rsidRPr="000C4CFF">
        <w:rPr>
          <w:rFonts w:ascii="Palatino Linotype" w:eastAsiaTheme="minorEastAsia" w:hAnsi="Palatino Linotype"/>
          <w:sz w:val="24"/>
          <w:szCs w:val="24"/>
          <w:lang w:val="es-ES_tradnl" w:eastAsia="es-ES"/>
        </w:rPr>
        <w:t xml:space="preserve">de la presente anualidad, el </w:t>
      </w:r>
      <w:r w:rsidRPr="000C4CFF">
        <w:rPr>
          <w:rFonts w:ascii="Palatino Linotype" w:eastAsiaTheme="minorEastAsia" w:hAnsi="Palatino Linotype"/>
          <w:b/>
          <w:sz w:val="24"/>
          <w:szCs w:val="24"/>
          <w:lang w:val="es-ES_tradnl" w:eastAsia="es-ES"/>
        </w:rPr>
        <w:t>SUJETO OBLIGADO</w:t>
      </w:r>
      <w:r w:rsidRPr="000C4CFF">
        <w:rPr>
          <w:rFonts w:ascii="Palatino Linotype" w:eastAsiaTheme="minorEastAsia" w:hAnsi="Palatino Linotype"/>
          <w:sz w:val="24"/>
          <w:szCs w:val="24"/>
          <w:lang w:val="es-ES_tradnl" w:eastAsia="es-ES"/>
        </w:rPr>
        <w:t xml:space="preserve"> presentó su respectivo informe justificado mismos que SI fue puesto a la vista del particular,</w:t>
      </w:r>
      <w:r w:rsidR="00E76276" w:rsidRPr="000C4CFF">
        <w:rPr>
          <w:rFonts w:ascii="Palatino Linotype" w:eastAsiaTheme="minorEastAsia" w:hAnsi="Palatino Linotype"/>
          <w:sz w:val="24"/>
          <w:szCs w:val="24"/>
          <w:lang w:val="es-ES_tradnl" w:eastAsia="es-ES"/>
        </w:rPr>
        <w:t xml:space="preserve"> toda vez que se adjuntó la Ley de Movilidad del Estado a través de la cual se rige la Coordinación de Movilidad.</w:t>
      </w:r>
    </w:p>
    <w:p w:rsidR="00624E03" w:rsidRPr="000C4CFF" w:rsidRDefault="00624E03" w:rsidP="000C4CFF">
      <w:pPr>
        <w:spacing w:before="240" w:after="240" w:line="360" w:lineRule="auto"/>
        <w:ind w:right="-142"/>
        <w:contextualSpacing/>
        <w:jc w:val="both"/>
        <w:rPr>
          <w:rFonts w:ascii="Palatino Linotype" w:eastAsiaTheme="minorEastAsia" w:hAnsi="Palatino Linotype"/>
          <w:sz w:val="24"/>
          <w:szCs w:val="24"/>
          <w:lang w:val="es-ES_tradnl" w:eastAsia="es-ES"/>
        </w:rPr>
      </w:pPr>
    </w:p>
    <w:p w:rsidR="00624E03" w:rsidRPr="000C4CFF" w:rsidRDefault="00624E03" w:rsidP="000C4CFF">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0C4CFF">
        <w:rPr>
          <w:rFonts w:ascii="Palatino Linotype" w:eastAsiaTheme="minorEastAsia" w:hAnsi="Palatino Linotype"/>
          <w:sz w:val="24"/>
          <w:szCs w:val="24"/>
          <w:lang w:val="es-ES_tradnl" w:eastAsia="es-ES"/>
        </w:rPr>
        <w:t>El Comisionado Ponente decretó el cierre de instrucción</w:t>
      </w:r>
      <w:r w:rsidRPr="000C4CFF">
        <w:rPr>
          <w:rFonts w:ascii="Palatino Linotype" w:eastAsiaTheme="minorEastAsia" w:hAnsi="Palatino Linotype" w:cs="Arial"/>
          <w:sz w:val="24"/>
          <w:szCs w:val="24"/>
          <w:lang w:val="es-ES_tradnl" w:eastAsia="es-ES"/>
        </w:rPr>
        <w:t xml:space="preserve"> </w:t>
      </w:r>
      <w:r w:rsidRPr="000C4CFF">
        <w:rPr>
          <w:rFonts w:ascii="Palatino Linotype" w:eastAsiaTheme="minorEastAsia" w:hAnsi="Palatino Linotype"/>
          <w:sz w:val="24"/>
          <w:szCs w:val="24"/>
          <w:lang w:val="es-ES_tradnl" w:eastAsia="es-ES"/>
        </w:rPr>
        <w:t xml:space="preserve">mediante </w:t>
      </w:r>
      <w:r w:rsidR="00E76276" w:rsidRPr="000C4CFF">
        <w:rPr>
          <w:rFonts w:ascii="Palatino Linotype" w:eastAsiaTheme="minorEastAsia" w:hAnsi="Palatino Linotype"/>
          <w:sz w:val="24"/>
          <w:szCs w:val="24"/>
          <w:lang w:val="es-ES_tradnl" w:eastAsia="es-ES"/>
        </w:rPr>
        <w:t>acuerdo de fecha cuatro (04) de junio</w:t>
      </w:r>
      <w:r w:rsidRPr="000C4CFF">
        <w:rPr>
          <w:rFonts w:ascii="Palatino Linotype" w:eastAsiaTheme="minorEastAsia" w:hAnsi="Palatino Linotype"/>
          <w:sz w:val="24"/>
          <w:szCs w:val="24"/>
          <w:lang w:val="es-ES_tradnl" w:eastAsia="es-ES"/>
        </w:rPr>
        <w:t xml:space="preserve"> de dos mil diecinueve, </w:t>
      </w:r>
      <w:r w:rsidRPr="000C4CFF">
        <w:rPr>
          <w:rFonts w:ascii="Palatino Linotype" w:eastAsiaTheme="minorEastAsia" w:hAnsi="Palatino Linotype" w:cs="Arial"/>
          <w:sz w:val="24"/>
          <w:szCs w:val="24"/>
          <w:lang w:val="es-ES_tradnl" w:eastAsia="es-ES"/>
        </w:rPr>
        <w:t xml:space="preserve">por lo que, ordenó turnar el expediente a resolución; sin embargo, el día </w:t>
      </w:r>
      <w:r w:rsidR="00E76276" w:rsidRPr="000C4CFF">
        <w:rPr>
          <w:rFonts w:ascii="Palatino Linotype" w:eastAsiaTheme="minorEastAsia" w:hAnsi="Palatino Linotype" w:cs="Arial"/>
          <w:b/>
          <w:sz w:val="24"/>
          <w:szCs w:val="24"/>
          <w:lang w:val="es-ES_tradnl" w:eastAsia="es-ES"/>
        </w:rPr>
        <w:t>diecinueve (19) de junio</w:t>
      </w:r>
      <w:r w:rsidRPr="000C4CFF">
        <w:rPr>
          <w:rFonts w:ascii="Palatino Linotype" w:eastAsiaTheme="minorEastAsia" w:hAnsi="Palatino Linotype" w:cs="Arial"/>
          <w:b/>
          <w:sz w:val="24"/>
          <w:szCs w:val="24"/>
          <w:lang w:val="es-ES_tradnl" w:eastAsia="es-ES"/>
        </w:rPr>
        <w:t xml:space="preserve"> </w:t>
      </w:r>
      <w:r w:rsidRPr="000C4CFF">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del asunto, lo anterior derivado del cúmulo de la información que conforma los expedientes,  por lo que no habiendo más que hacer constar, y - - - - - - - - - - - - - - - - - </w:t>
      </w:r>
    </w:p>
    <w:p w:rsidR="00624E03" w:rsidRPr="000C4CFF" w:rsidRDefault="00624E03" w:rsidP="000C4CFF">
      <w:pPr>
        <w:spacing w:before="240" w:after="240" w:line="360" w:lineRule="auto"/>
        <w:ind w:right="-142"/>
        <w:contextualSpacing/>
        <w:jc w:val="both"/>
        <w:rPr>
          <w:rFonts w:ascii="Palatino Linotype" w:eastAsia="Calibri" w:hAnsi="Palatino Linotype" w:cs="Arial"/>
          <w:sz w:val="24"/>
          <w:szCs w:val="24"/>
          <w:lang w:val="es-ES" w:eastAsia="es-ES"/>
        </w:rPr>
      </w:pPr>
    </w:p>
    <w:p w:rsidR="00624E03" w:rsidRPr="000C4CFF" w:rsidRDefault="00624E03" w:rsidP="000C4CFF">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1958620"/>
      <w:r w:rsidRPr="000C4CFF">
        <w:rPr>
          <w:rFonts w:ascii="Palatino Linotype" w:eastAsiaTheme="majorEastAsia" w:hAnsi="Palatino Linotype" w:cstheme="majorBidi"/>
          <w:b/>
          <w:sz w:val="24"/>
          <w:szCs w:val="24"/>
        </w:rPr>
        <w:t>C O N S I D E R A N D O</w:t>
      </w:r>
      <w:bookmarkEnd w:id="55"/>
      <w:r w:rsidRPr="000C4CFF">
        <w:rPr>
          <w:rFonts w:ascii="Palatino Linotype" w:eastAsiaTheme="majorEastAsia" w:hAnsi="Palatino Linotype" w:cstheme="majorBidi"/>
          <w:b/>
          <w:sz w:val="24"/>
          <w:szCs w:val="24"/>
        </w:rPr>
        <w:t xml:space="preserve"> </w:t>
      </w:r>
    </w:p>
    <w:p w:rsidR="00624E03" w:rsidRPr="000C4CFF" w:rsidRDefault="00624E03" w:rsidP="000C4CFF">
      <w:pPr>
        <w:spacing w:after="0" w:line="360" w:lineRule="auto"/>
        <w:ind w:right="-142"/>
        <w:rPr>
          <w:rFonts w:ascii="Palatino Linotype" w:eastAsiaTheme="minorEastAsia" w:hAnsi="Palatino Linotype"/>
          <w:sz w:val="24"/>
          <w:szCs w:val="24"/>
        </w:rPr>
      </w:pPr>
    </w:p>
    <w:p w:rsidR="00624E03" w:rsidRDefault="00624E03" w:rsidP="000C4CFF">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1958621"/>
      <w:r w:rsidRPr="000C4CFF">
        <w:rPr>
          <w:rFonts w:ascii="Palatino Linotype" w:eastAsiaTheme="majorEastAsia" w:hAnsi="Palatino Linotype" w:cstheme="majorBidi"/>
          <w:b/>
          <w:sz w:val="24"/>
          <w:szCs w:val="24"/>
        </w:rPr>
        <w:t>PRIMERO. De la competencia</w:t>
      </w:r>
      <w:bookmarkEnd w:id="56"/>
    </w:p>
    <w:p w:rsidR="000C4CFF" w:rsidRPr="000C4CFF" w:rsidRDefault="000C4CFF" w:rsidP="000C4CFF">
      <w:pPr>
        <w:keepNext/>
        <w:keepLines/>
        <w:spacing w:before="40" w:after="0" w:line="360" w:lineRule="auto"/>
        <w:ind w:right="-142"/>
        <w:outlineLvl w:val="1"/>
        <w:rPr>
          <w:rFonts w:ascii="Palatino Linotype" w:eastAsiaTheme="majorEastAsia" w:hAnsi="Palatino Linotype" w:cstheme="majorBidi"/>
          <w:b/>
          <w:sz w:val="24"/>
          <w:szCs w:val="24"/>
        </w:rPr>
      </w:pPr>
    </w:p>
    <w:p w:rsidR="00624E03" w:rsidRPr="000C4CFF" w:rsidRDefault="00624E03" w:rsidP="000C4CFF">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0C4CF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4CFF">
        <w:rPr>
          <w:rFonts w:ascii="Palatino Linotype" w:eastAsia="Calibri" w:hAnsi="Palatino Linotype" w:cs="Times New Roman"/>
          <w:b/>
          <w:sz w:val="24"/>
          <w:szCs w:val="24"/>
          <w:lang w:val="es-ES" w:eastAsia="es-ES"/>
        </w:rPr>
        <w:t>Constitución Política de los Estados Unidos Mexicanos</w:t>
      </w:r>
      <w:r w:rsidRPr="000C4CFF">
        <w:rPr>
          <w:rFonts w:ascii="Palatino Linotype" w:eastAsia="Calibri" w:hAnsi="Palatino Linotype" w:cs="Times New Roman"/>
          <w:sz w:val="24"/>
          <w:szCs w:val="24"/>
          <w:lang w:val="es-ES" w:eastAsia="es-ES"/>
        </w:rPr>
        <w:t xml:space="preserve">; 5, párrafos </w:t>
      </w:r>
      <w:r w:rsidRPr="000C4CFF">
        <w:rPr>
          <w:rFonts w:ascii="Palatino Linotype" w:eastAsiaTheme="minorEastAsia" w:hAnsi="Palatino Linotype" w:cs="Arial"/>
          <w:bCs/>
          <w:sz w:val="24"/>
          <w:szCs w:val="24"/>
          <w:lang w:val="es-ES" w:eastAsia="es-ES"/>
        </w:rPr>
        <w:t xml:space="preserve">vigésimo, vigésimo primero y vigésimo segundo </w:t>
      </w:r>
      <w:r w:rsidRPr="000C4CFF">
        <w:rPr>
          <w:rFonts w:ascii="Palatino Linotype" w:eastAsia="Calibri" w:hAnsi="Palatino Linotype" w:cs="Times New Roman"/>
          <w:sz w:val="24"/>
          <w:szCs w:val="24"/>
          <w:lang w:val="es-ES" w:eastAsia="es-ES"/>
        </w:rPr>
        <w:t xml:space="preserve">fracciones IV y V de la </w:t>
      </w:r>
      <w:r w:rsidRPr="000C4CFF">
        <w:rPr>
          <w:rFonts w:ascii="Palatino Linotype" w:eastAsia="Calibri" w:hAnsi="Palatino Linotype" w:cs="Times New Roman"/>
          <w:b/>
          <w:sz w:val="24"/>
          <w:szCs w:val="24"/>
          <w:lang w:val="es-ES" w:eastAsia="es-ES"/>
        </w:rPr>
        <w:t>Constitución Política del Estado Libre y Soberano de México</w:t>
      </w:r>
      <w:r w:rsidRPr="000C4CF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C4CFF">
        <w:rPr>
          <w:rFonts w:ascii="Palatino Linotype" w:eastAsia="Calibri" w:hAnsi="Palatino Linotype" w:cs="Arial"/>
          <w:sz w:val="24"/>
          <w:szCs w:val="24"/>
          <w:lang w:val="es-ES" w:eastAsia="es-ES"/>
        </w:rPr>
        <w:t xml:space="preserve">de la </w:t>
      </w:r>
      <w:r w:rsidRPr="000C4CFF">
        <w:rPr>
          <w:rFonts w:ascii="Palatino Linotype" w:eastAsia="Calibri" w:hAnsi="Palatino Linotype" w:cs="Arial"/>
          <w:b/>
          <w:sz w:val="24"/>
          <w:szCs w:val="24"/>
          <w:lang w:val="es-ES" w:eastAsia="es-ES"/>
        </w:rPr>
        <w:t>Ley de Transparencia y Acceso a la Información Pública del Estado de México y Municipios</w:t>
      </w:r>
      <w:r w:rsidRPr="000C4CFF">
        <w:rPr>
          <w:rFonts w:ascii="Palatino Linotype" w:eastAsia="Calibri" w:hAnsi="Palatino Linotype" w:cs="Arial"/>
          <w:sz w:val="24"/>
          <w:szCs w:val="24"/>
          <w:lang w:val="es-ES" w:eastAsia="es-ES"/>
        </w:rPr>
        <w:t xml:space="preserve">; y 7, 9 fracciones I y XXIV, y 11 del </w:t>
      </w:r>
      <w:r w:rsidRPr="000C4CF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C4CFF">
        <w:rPr>
          <w:rFonts w:ascii="Palatino Linotype" w:eastAsiaTheme="minorEastAsia" w:hAnsi="Palatino Linotype"/>
          <w:sz w:val="24"/>
          <w:szCs w:val="24"/>
          <w:lang w:val="es-ES_tradnl" w:eastAsia="es-ES"/>
        </w:rPr>
        <w:t>.</w:t>
      </w:r>
    </w:p>
    <w:p w:rsidR="00624E03" w:rsidRPr="000C4CFF" w:rsidRDefault="00624E03" w:rsidP="000C4CFF">
      <w:pPr>
        <w:spacing w:before="240" w:after="240" w:line="360" w:lineRule="auto"/>
        <w:ind w:right="-142"/>
        <w:jc w:val="both"/>
        <w:rPr>
          <w:rFonts w:ascii="Palatino Linotype" w:eastAsiaTheme="minorEastAsia" w:hAnsi="Palatino Linotype"/>
          <w:sz w:val="24"/>
          <w:szCs w:val="24"/>
          <w:lang w:val="es-ES_tradnl" w:eastAsia="es-ES"/>
        </w:rPr>
      </w:pPr>
    </w:p>
    <w:p w:rsidR="00624E03" w:rsidRPr="000C4CFF" w:rsidRDefault="00624E03" w:rsidP="000C4CFF">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1958622"/>
      <w:r w:rsidRPr="000C4CFF">
        <w:rPr>
          <w:rFonts w:ascii="Palatino Linotype" w:eastAsiaTheme="majorEastAsia" w:hAnsi="Palatino Linotype" w:cstheme="majorBidi"/>
          <w:b/>
          <w:sz w:val="24"/>
          <w:szCs w:val="24"/>
        </w:rPr>
        <w:t>SEGUNDO. De la oportunidad y procedencia.</w:t>
      </w:r>
      <w:bookmarkEnd w:id="57"/>
    </w:p>
    <w:p w:rsidR="00624E03" w:rsidRPr="000C4CFF" w:rsidRDefault="00624E03" w:rsidP="000C4CFF">
      <w:pPr>
        <w:keepNext/>
        <w:keepLines/>
        <w:spacing w:before="40" w:after="0" w:line="360" w:lineRule="auto"/>
        <w:ind w:right="-142"/>
        <w:outlineLvl w:val="1"/>
        <w:rPr>
          <w:rFonts w:ascii="Palatino Linotype" w:eastAsiaTheme="majorEastAsia" w:hAnsi="Palatino Linotype" w:cstheme="majorBidi"/>
          <w:b/>
          <w:sz w:val="24"/>
          <w:szCs w:val="24"/>
        </w:rPr>
      </w:pPr>
    </w:p>
    <w:p w:rsidR="00624E03" w:rsidRPr="000C4CFF" w:rsidRDefault="00624E03" w:rsidP="000C4CFF">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0C4CFF">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0C4CFF">
        <w:rPr>
          <w:rFonts w:ascii="Palatino Linotype" w:eastAsia="Calibri" w:hAnsi="Palatino Linotype" w:cs="Arial"/>
          <w:b/>
          <w:sz w:val="24"/>
          <w:szCs w:val="24"/>
          <w:lang w:val="es-ES_tradnl" w:eastAsia="es-ES"/>
        </w:rPr>
        <w:t>SUJETO OBLIGADO</w:t>
      </w:r>
      <w:r w:rsidRPr="000C4CFF">
        <w:rPr>
          <w:rFonts w:ascii="Palatino Linotype" w:eastAsia="Calibri" w:hAnsi="Palatino Linotype" w:cs="Arial"/>
          <w:sz w:val="24"/>
          <w:szCs w:val="24"/>
          <w:lang w:val="es-ES_tradnl" w:eastAsia="es-ES"/>
        </w:rPr>
        <w:t xml:space="preserve"> entre</w:t>
      </w:r>
      <w:r w:rsidR="00E76276" w:rsidRPr="000C4CFF">
        <w:rPr>
          <w:rFonts w:ascii="Palatino Linotype" w:eastAsia="Calibri" w:hAnsi="Palatino Linotype" w:cs="Arial"/>
          <w:sz w:val="24"/>
          <w:szCs w:val="24"/>
          <w:lang w:val="es-ES_tradnl" w:eastAsia="es-ES"/>
        </w:rPr>
        <w:t xml:space="preserve">gó la respuesta el día </w:t>
      </w:r>
      <w:r w:rsidR="00E76276" w:rsidRPr="000C4CFF">
        <w:rPr>
          <w:rFonts w:ascii="Palatino Linotype" w:eastAsia="Calibri" w:hAnsi="Palatino Linotype" w:cs="Arial"/>
          <w:b/>
          <w:sz w:val="24"/>
          <w:szCs w:val="24"/>
          <w:lang w:val="es-ES_tradnl" w:eastAsia="es-ES"/>
        </w:rPr>
        <w:t>diez (10) de abril</w:t>
      </w:r>
      <w:r w:rsidRPr="000C4CFF">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E76276" w:rsidRPr="000C4CFF">
        <w:rPr>
          <w:rFonts w:ascii="Palatino Linotype" w:eastAsia="Calibri" w:hAnsi="Palatino Linotype" w:cs="Arial"/>
          <w:b/>
          <w:sz w:val="24"/>
          <w:szCs w:val="24"/>
          <w:lang w:val="es-ES_tradnl" w:eastAsia="es-ES"/>
        </w:rPr>
        <w:t>once (11</w:t>
      </w:r>
      <w:r w:rsidRPr="000C4CFF">
        <w:rPr>
          <w:rFonts w:ascii="Palatino Linotype" w:eastAsia="Calibri" w:hAnsi="Palatino Linotype" w:cs="Arial"/>
          <w:b/>
          <w:sz w:val="24"/>
          <w:szCs w:val="24"/>
          <w:lang w:val="es-ES_tradnl" w:eastAsia="es-ES"/>
        </w:rPr>
        <w:t xml:space="preserve">) de </w:t>
      </w:r>
      <w:r w:rsidR="00E76276" w:rsidRPr="000C4CFF">
        <w:rPr>
          <w:rFonts w:ascii="Palatino Linotype" w:eastAsia="Calibri" w:hAnsi="Palatino Linotype" w:cs="Arial"/>
          <w:b/>
          <w:sz w:val="24"/>
          <w:szCs w:val="24"/>
          <w:lang w:val="es-ES_tradnl" w:eastAsia="es-ES"/>
        </w:rPr>
        <w:t>abril diez (10)</w:t>
      </w:r>
      <w:r w:rsidRPr="000C4CFF">
        <w:rPr>
          <w:rFonts w:ascii="Palatino Linotype" w:eastAsia="Calibri" w:hAnsi="Palatino Linotype" w:cs="Arial"/>
          <w:b/>
          <w:sz w:val="24"/>
          <w:szCs w:val="24"/>
          <w:lang w:val="es-ES_tradnl" w:eastAsia="es-ES"/>
        </w:rPr>
        <w:t xml:space="preserve">  de</w:t>
      </w:r>
      <w:r w:rsidR="00E76276" w:rsidRPr="000C4CFF">
        <w:rPr>
          <w:rFonts w:ascii="Palatino Linotype" w:eastAsia="Calibri" w:hAnsi="Palatino Linotype" w:cs="Arial"/>
          <w:b/>
          <w:sz w:val="24"/>
          <w:szCs w:val="24"/>
          <w:lang w:val="es-ES_tradnl" w:eastAsia="es-ES"/>
        </w:rPr>
        <w:t xml:space="preserve"> mayo</w:t>
      </w:r>
      <w:r w:rsidRPr="000C4CFF">
        <w:rPr>
          <w:rFonts w:ascii="Palatino Linotype" w:eastAsia="Calibri" w:hAnsi="Palatino Linotype" w:cs="Arial"/>
          <w:sz w:val="24"/>
          <w:szCs w:val="24"/>
          <w:lang w:val="es-ES_tradnl" w:eastAsia="es-ES"/>
        </w:rPr>
        <w:t xml:space="preserve"> de dos mil diecinueve; en consecuencia, presentó su inconformidad el </w:t>
      </w:r>
      <w:r w:rsidR="00E76276" w:rsidRPr="000C4CFF">
        <w:rPr>
          <w:rFonts w:ascii="Palatino Linotype" w:eastAsia="Calibri" w:hAnsi="Palatino Linotype" w:cs="Arial"/>
          <w:b/>
          <w:sz w:val="24"/>
          <w:szCs w:val="24"/>
          <w:lang w:val="es-ES_tradnl" w:eastAsia="es-ES"/>
        </w:rPr>
        <w:t>día veintitrés (23) de abril</w:t>
      </w:r>
      <w:r w:rsidRPr="000C4CFF">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0642AD" w:rsidRPr="000C4CFF" w:rsidRDefault="000642AD" w:rsidP="000C4CFF">
      <w:pPr>
        <w:spacing w:line="360" w:lineRule="auto"/>
        <w:contextualSpacing/>
        <w:rPr>
          <w:rFonts w:ascii="Palatino Linotype" w:eastAsia="Calibri" w:hAnsi="Palatino Linotype" w:cs="Arial"/>
          <w:color w:val="FF0000"/>
          <w:sz w:val="24"/>
          <w:szCs w:val="24"/>
          <w:lang w:val="es-ES_tradnl" w:eastAsia="es-ES"/>
        </w:rPr>
      </w:pPr>
    </w:p>
    <w:p w:rsidR="00624E03" w:rsidRPr="000C4CFF" w:rsidRDefault="00624E03" w:rsidP="000C4CFF">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C4CFF">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624E03" w:rsidRPr="000C4CFF" w:rsidRDefault="00624E03" w:rsidP="000C4CFF">
      <w:pPr>
        <w:tabs>
          <w:tab w:val="left" w:pos="4185"/>
        </w:tabs>
        <w:spacing w:after="0" w:line="360" w:lineRule="auto"/>
        <w:ind w:right="-142"/>
        <w:contextualSpacing/>
        <w:rPr>
          <w:rFonts w:ascii="Palatino Linotype" w:eastAsia="Calibri" w:hAnsi="Palatino Linotype" w:cs="Arial"/>
          <w:sz w:val="24"/>
          <w:szCs w:val="24"/>
          <w:lang w:val="es-ES" w:eastAsia="es-ES"/>
        </w:rPr>
      </w:pPr>
      <w:bookmarkStart w:id="58" w:name="_Toc504500691"/>
      <w:bookmarkStart w:id="59" w:name="_Toc445745137"/>
      <w:bookmarkStart w:id="60" w:name="_Toc447699318"/>
      <w:bookmarkStart w:id="61" w:name="_Toc452379730"/>
      <w:bookmarkStart w:id="62" w:name="_Toc459195482"/>
      <w:bookmarkStart w:id="63" w:name="_Toc461555892"/>
      <w:bookmarkStart w:id="64" w:name="_Toc462307689"/>
      <w:bookmarkStart w:id="65" w:name="_Toc473628138"/>
    </w:p>
    <w:p w:rsidR="00624E03" w:rsidRPr="000C4CFF" w:rsidRDefault="006B3897" w:rsidP="000C4CFF">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6" w:name="_Toc2881748"/>
      <w:bookmarkStart w:id="67" w:name="_Toc11958623"/>
      <w:r w:rsidRPr="000C4CFF">
        <w:rPr>
          <w:rFonts w:ascii="Palatino Linotype" w:eastAsia="MS Gothic" w:hAnsi="Palatino Linotype" w:cstheme="majorBidi"/>
          <w:b/>
          <w:sz w:val="24"/>
          <w:szCs w:val="24"/>
          <w:lang w:val="es-ES_tradnl" w:eastAsia="es-ES"/>
        </w:rPr>
        <w:t>TERCER</w:t>
      </w:r>
      <w:r w:rsidR="00624E03" w:rsidRPr="000C4CFF">
        <w:rPr>
          <w:rFonts w:ascii="Palatino Linotype" w:eastAsia="MS Gothic" w:hAnsi="Palatino Linotype" w:cstheme="majorBidi"/>
          <w:b/>
          <w:sz w:val="24"/>
          <w:szCs w:val="24"/>
          <w:lang w:val="es-ES_tradnl" w:eastAsia="es-ES"/>
        </w:rPr>
        <w:t>O. De</w:t>
      </w:r>
      <w:bookmarkEnd w:id="66"/>
      <w:r w:rsidRPr="000C4CFF">
        <w:rPr>
          <w:rFonts w:ascii="Palatino Linotype" w:eastAsia="MS Gothic" w:hAnsi="Palatino Linotype" w:cstheme="majorBidi"/>
          <w:b/>
          <w:sz w:val="24"/>
          <w:szCs w:val="24"/>
          <w:lang w:val="es-ES_tradnl" w:eastAsia="es-ES"/>
        </w:rPr>
        <w:t xml:space="preserve"> las causales de Sobreseimiento</w:t>
      </w:r>
      <w:bookmarkEnd w:id="67"/>
    </w:p>
    <w:p w:rsidR="00624E03" w:rsidRPr="000C4CFF" w:rsidRDefault="00624E03" w:rsidP="000C4CFF">
      <w:pPr>
        <w:spacing w:line="360" w:lineRule="auto"/>
        <w:rPr>
          <w:rFonts w:ascii="Palatino Linotype" w:hAnsi="Palatino Linotype"/>
          <w:sz w:val="24"/>
          <w:szCs w:val="24"/>
          <w:lang w:val="es-ES_tradnl" w:eastAsia="es-ES"/>
        </w:rPr>
      </w:pPr>
    </w:p>
    <w:p w:rsidR="00624E03" w:rsidRPr="000C4CFF" w:rsidRDefault="00624E03" w:rsidP="000C4CFF">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68" w:name="_Toc536726461"/>
      <w:bookmarkStart w:id="69" w:name="_Toc11958624"/>
      <w:r w:rsidRPr="000C4CFF">
        <w:rPr>
          <w:rFonts w:ascii="Palatino Linotype" w:eastAsia="MS Gothic" w:hAnsi="Palatino Linotype" w:cstheme="majorBidi"/>
          <w:b/>
          <w:i/>
          <w:noProof/>
          <w:sz w:val="24"/>
          <w:szCs w:val="24"/>
        </w:rPr>
        <w:t>El derecho de acceso a la información publica</w:t>
      </w:r>
      <w:bookmarkEnd w:id="68"/>
      <w:r w:rsidRPr="000C4CFF">
        <w:rPr>
          <w:rFonts w:ascii="Palatino Linotype" w:eastAsia="MS Mincho" w:hAnsi="Palatino Linotype" w:cs="Arial"/>
          <w:b/>
          <w:i/>
          <w:sz w:val="24"/>
          <w:szCs w:val="24"/>
          <w:lang w:val="es-ES_tradnl" w:eastAsia="es-MX"/>
        </w:rPr>
        <w:t>.</w:t>
      </w:r>
      <w:bookmarkEnd w:id="69"/>
    </w:p>
    <w:p w:rsidR="00624E03" w:rsidRPr="000C4CFF" w:rsidRDefault="00624E03" w:rsidP="000C4CFF">
      <w:pPr>
        <w:spacing w:after="0" w:line="360" w:lineRule="auto"/>
        <w:contextualSpacing/>
        <w:rPr>
          <w:rFonts w:ascii="Palatino Linotype" w:eastAsia="MS Mincho" w:hAnsi="Palatino Linotype" w:cs="Arial"/>
          <w:sz w:val="24"/>
          <w:szCs w:val="24"/>
          <w:lang w:val="es-ES_tradnl" w:eastAsia="es-MX"/>
        </w:rPr>
      </w:pPr>
    </w:p>
    <w:p w:rsidR="00624E03" w:rsidRPr="000C4CFF" w:rsidRDefault="00624E03" w:rsidP="000C4CF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De </w:t>
      </w:r>
      <w:r w:rsidRPr="000C4CFF">
        <w:rPr>
          <w:rFonts w:ascii="Palatino Linotype" w:eastAsia="Calibri" w:hAnsi="Palatino Linotype" w:cs="Arial"/>
          <w:sz w:val="24"/>
          <w:szCs w:val="24"/>
          <w:lang w:val="es-ES_tradnl" w:eastAsia="es-ES"/>
        </w:rPr>
        <w:t>acuerdo</w:t>
      </w:r>
      <w:r w:rsidRPr="000C4CFF">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624E03" w:rsidRPr="000C4CFF" w:rsidRDefault="00624E03" w:rsidP="000C4CFF">
      <w:pPr>
        <w:spacing w:after="0" w:line="360" w:lineRule="auto"/>
        <w:ind w:right="34"/>
        <w:contextualSpacing/>
        <w:jc w:val="both"/>
        <w:rPr>
          <w:rFonts w:ascii="Palatino Linotype" w:eastAsia="MS Mincho" w:hAnsi="Palatino Linotype" w:cs="Times New Roman"/>
          <w:sz w:val="24"/>
          <w:szCs w:val="24"/>
          <w:lang w:val="es-ES_tradnl" w:eastAsia="es-ES"/>
        </w:rPr>
      </w:pPr>
    </w:p>
    <w:p w:rsidR="00624E03" w:rsidRPr="000C4CFF" w:rsidRDefault="00624E03" w:rsidP="000C4CF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624E03" w:rsidRPr="000C4CFF" w:rsidRDefault="00624E03" w:rsidP="000C4CFF">
      <w:pPr>
        <w:spacing w:after="0" w:line="360" w:lineRule="auto"/>
        <w:ind w:right="49"/>
        <w:contextualSpacing/>
        <w:jc w:val="both"/>
        <w:rPr>
          <w:rFonts w:ascii="Palatino Linotype" w:eastAsia="MS Mincho" w:hAnsi="Palatino Linotype" w:cs="Times New Roman"/>
          <w:sz w:val="12"/>
          <w:szCs w:val="24"/>
          <w:lang w:val="es-ES_tradnl" w:eastAsia="es-ES"/>
        </w:rPr>
      </w:pPr>
    </w:p>
    <w:p w:rsidR="00624E03" w:rsidRPr="000C4CFF" w:rsidRDefault="00624E03" w:rsidP="000C4CF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24E03" w:rsidRPr="000C4CFF" w:rsidRDefault="00624E03" w:rsidP="000C4CFF">
      <w:pPr>
        <w:spacing w:after="0" w:line="360" w:lineRule="auto"/>
        <w:ind w:right="49"/>
        <w:contextualSpacing/>
        <w:jc w:val="both"/>
        <w:rPr>
          <w:rFonts w:ascii="Palatino Linotype" w:eastAsia="MS Mincho" w:hAnsi="Palatino Linotype" w:cs="Times New Roman"/>
          <w:sz w:val="16"/>
          <w:szCs w:val="24"/>
          <w:lang w:val="es-ES_tradnl" w:eastAsia="es-ES"/>
        </w:rPr>
      </w:pPr>
    </w:p>
    <w:p w:rsidR="00624E03" w:rsidRPr="000C4CFF" w:rsidRDefault="00624E03" w:rsidP="000C4CF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624E03" w:rsidRPr="000C4CFF" w:rsidRDefault="00624E03" w:rsidP="000C4CFF">
      <w:pPr>
        <w:spacing w:after="0" w:line="360" w:lineRule="auto"/>
        <w:contextualSpacing/>
        <w:rPr>
          <w:rFonts w:ascii="Palatino Linotype" w:eastAsia="MS Mincho" w:hAnsi="Palatino Linotype" w:cs="Times New Roman"/>
          <w:sz w:val="24"/>
          <w:szCs w:val="24"/>
          <w:lang w:val="es-ES_tradnl" w:eastAsia="es-ES"/>
        </w:rPr>
      </w:pPr>
    </w:p>
    <w:p w:rsidR="00624E03" w:rsidRPr="000C4CFF" w:rsidRDefault="00624E03" w:rsidP="000C4CFF">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4E03" w:rsidRPr="000C4CFF" w:rsidRDefault="00624E03" w:rsidP="000C4CFF">
      <w:pPr>
        <w:spacing w:after="0" w:line="360" w:lineRule="auto"/>
        <w:ind w:right="34"/>
        <w:contextualSpacing/>
        <w:jc w:val="both"/>
        <w:rPr>
          <w:rFonts w:ascii="Palatino Linotype" w:eastAsia="MS Mincho" w:hAnsi="Palatino Linotype" w:cs="Times New Roman"/>
          <w:sz w:val="24"/>
          <w:szCs w:val="24"/>
          <w:lang w:val="es-ES_tradnl" w:eastAsia="es-ES"/>
        </w:rPr>
      </w:pPr>
    </w:p>
    <w:p w:rsidR="00624E03" w:rsidRPr="000C4CFF" w:rsidRDefault="00624E03" w:rsidP="000C4CF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0C4CFF">
        <w:rPr>
          <w:rFonts w:ascii="Palatino Linotype" w:eastAsia="MS Mincho" w:hAnsi="Palatino Linotype" w:cs="Times New Roman"/>
          <w:sz w:val="24"/>
          <w:szCs w:val="24"/>
          <w:lang w:val="es-ES_tradnl" w:eastAsia="es-ES"/>
        </w:rPr>
        <w:t>Derivado</w:t>
      </w:r>
      <w:r w:rsidRPr="000C4CFF">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624E03" w:rsidRPr="000C4CFF" w:rsidRDefault="00624E03" w:rsidP="000C4CFF">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624E03" w:rsidRPr="000C4CFF" w:rsidRDefault="00624E03" w:rsidP="000C4CFF">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0" w:name="_Toc11958625"/>
      <w:r w:rsidRPr="000C4CFF">
        <w:rPr>
          <w:rFonts w:ascii="Palatino Linotype" w:eastAsia="MS Mincho" w:hAnsi="Palatino Linotype" w:cstheme="majorBidi"/>
          <w:b/>
          <w:i/>
          <w:sz w:val="24"/>
          <w:szCs w:val="24"/>
          <w:lang w:val="es-ES_tradnl" w:eastAsia="es-ES"/>
        </w:rPr>
        <w:t xml:space="preserve">II. De la respuesta </w:t>
      </w:r>
      <w:r w:rsidR="00D06F15" w:rsidRPr="000C4CFF">
        <w:rPr>
          <w:rFonts w:ascii="Palatino Linotype" w:eastAsia="MS Mincho" w:hAnsi="Palatino Linotype" w:cstheme="majorBidi"/>
          <w:b/>
          <w:i/>
          <w:sz w:val="24"/>
          <w:szCs w:val="24"/>
          <w:lang w:val="es-ES_tradnl" w:eastAsia="es-ES"/>
        </w:rPr>
        <w:t>emitida por el Sujeto Obligado</w:t>
      </w:r>
      <w:bookmarkEnd w:id="70"/>
    </w:p>
    <w:p w:rsidR="00624E03" w:rsidRPr="000C4CFF" w:rsidRDefault="00624E03" w:rsidP="000C4CFF">
      <w:pPr>
        <w:spacing w:line="360" w:lineRule="auto"/>
        <w:rPr>
          <w:rFonts w:ascii="Palatino Linotype" w:hAnsi="Palatino Linotype"/>
          <w:sz w:val="24"/>
          <w:szCs w:val="24"/>
          <w:lang w:val="es-ES_tradnl" w:eastAsia="es-ES"/>
        </w:rPr>
      </w:pPr>
    </w:p>
    <w:p w:rsidR="00624E03" w:rsidRPr="000C4CFF" w:rsidRDefault="00624E03" w:rsidP="000C4CF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C4CFF">
        <w:rPr>
          <w:rFonts w:ascii="Palatino Linotype" w:eastAsia="MS Mincho" w:hAnsi="Palatino Linotype" w:cstheme="majorBidi"/>
          <w:sz w:val="24"/>
          <w:szCs w:val="24"/>
          <w:lang w:val="es-ES_tradnl" w:eastAsia="es-ES"/>
        </w:rPr>
        <w:t>El particular requirió al  S</w:t>
      </w:r>
      <w:r w:rsidRPr="000C4CFF">
        <w:rPr>
          <w:rFonts w:ascii="Palatino Linotype" w:eastAsia="MS Mincho" w:hAnsi="Palatino Linotype" w:cstheme="majorBidi"/>
          <w:b/>
          <w:sz w:val="24"/>
          <w:szCs w:val="24"/>
          <w:lang w:val="es-ES_tradnl" w:eastAsia="es-ES"/>
        </w:rPr>
        <w:t>UJETO OBLIGADO</w:t>
      </w:r>
      <w:r w:rsidRPr="000C4CFF">
        <w:rPr>
          <w:rFonts w:ascii="Palatino Linotype" w:eastAsia="MS Mincho" w:hAnsi="Palatino Linotype" w:cstheme="majorBidi"/>
          <w:sz w:val="24"/>
          <w:szCs w:val="24"/>
          <w:lang w:val="es-ES_tradnl" w:eastAsia="es-ES"/>
        </w:rPr>
        <w:t xml:space="preserve"> información relativa a:</w:t>
      </w:r>
    </w:p>
    <w:p w:rsidR="00624E03" w:rsidRPr="000C4CFF" w:rsidRDefault="00624E03" w:rsidP="000C4CFF">
      <w:pPr>
        <w:spacing w:after="0" w:line="360" w:lineRule="auto"/>
        <w:ind w:right="616"/>
        <w:contextualSpacing/>
        <w:rPr>
          <w:rFonts w:ascii="Palatino Linotype" w:eastAsia="MS Mincho" w:hAnsi="Palatino Linotype" w:cstheme="majorBidi"/>
          <w:sz w:val="24"/>
          <w:szCs w:val="24"/>
          <w:lang w:val="es-ES_tradnl" w:eastAsia="es-ES"/>
        </w:rPr>
      </w:pPr>
    </w:p>
    <w:p w:rsidR="00DC767E" w:rsidRPr="000C4CFF" w:rsidRDefault="00DC767E" w:rsidP="000C4CFF">
      <w:pPr>
        <w:pStyle w:val="Prrafodelista"/>
        <w:numPr>
          <w:ilvl w:val="0"/>
          <w:numId w:val="21"/>
        </w:numPr>
        <w:spacing w:after="0" w:line="360" w:lineRule="auto"/>
        <w:ind w:left="567" w:right="616" w:firstLine="0"/>
        <w:jc w:val="both"/>
        <w:rPr>
          <w:rFonts w:ascii="Palatino Linotype" w:eastAsia="MS Mincho" w:hAnsi="Palatino Linotype" w:cstheme="majorBidi"/>
          <w:sz w:val="24"/>
          <w:szCs w:val="24"/>
          <w:lang w:val="es-ES_tradnl" w:eastAsia="es-ES"/>
        </w:rPr>
      </w:pPr>
      <w:r w:rsidRPr="000C4CFF">
        <w:rPr>
          <w:rFonts w:ascii="Palatino Linotype" w:eastAsia="MS Mincho" w:hAnsi="Palatino Linotype" w:cstheme="majorBidi"/>
          <w:b/>
          <w:i/>
          <w:sz w:val="24"/>
          <w:szCs w:val="24"/>
          <w:lang w:eastAsia="es-ES"/>
        </w:rPr>
        <w:t>Reglamento interno, manual de procedimientos y manual de organización de la dirección de movilidad y transporte o su equivalente</w:t>
      </w:r>
      <w:r w:rsidRPr="000C4CFF">
        <w:rPr>
          <w:rFonts w:ascii="Palatino Linotype" w:eastAsia="MS Mincho" w:hAnsi="Palatino Linotype" w:cstheme="majorBidi"/>
          <w:i/>
          <w:sz w:val="24"/>
          <w:szCs w:val="24"/>
          <w:lang w:eastAsia="es-ES"/>
        </w:rPr>
        <w:t>.</w:t>
      </w:r>
    </w:p>
    <w:p w:rsidR="00DC767E" w:rsidRPr="000C4CFF" w:rsidRDefault="00624E03" w:rsidP="000C4CF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C4CFF">
        <w:rPr>
          <w:rFonts w:ascii="Palatino Linotype" w:eastAsia="MS Mincho" w:hAnsi="Palatino Linotype" w:cstheme="majorBidi"/>
          <w:sz w:val="24"/>
          <w:szCs w:val="24"/>
          <w:lang w:val="es-ES_tradnl" w:eastAsia="es-ES"/>
        </w:rPr>
        <w:t xml:space="preserve">De lo anterior el </w:t>
      </w:r>
      <w:r w:rsidRPr="000C4CFF">
        <w:rPr>
          <w:rFonts w:ascii="Palatino Linotype" w:eastAsia="MS Mincho" w:hAnsi="Palatino Linotype" w:cstheme="majorBidi"/>
          <w:b/>
          <w:sz w:val="24"/>
          <w:szCs w:val="24"/>
          <w:lang w:val="es-ES_tradnl" w:eastAsia="es-ES"/>
        </w:rPr>
        <w:t>SUJETO OBLIGADO</w:t>
      </w:r>
      <w:r w:rsidRPr="000C4CFF">
        <w:rPr>
          <w:rFonts w:ascii="Palatino Linotype" w:eastAsia="MS Mincho" w:hAnsi="Palatino Linotype" w:cstheme="majorBidi"/>
          <w:sz w:val="24"/>
          <w:szCs w:val="24"/>
          <w:lang w:val="es-ES_tradnl" w:eastAsia="es-ES"/>
        </w:rPr>
        <w:t xml:space="preserve"> di</w:t>
      </w:r>
      <w:r w:rsidR="00DC767E" w:rsidRPr="000C4CFF">
        <w:rPr>
          <w:rFonts w:ascii="Palatino Linotype" w:eastAsia="MS Mincho" w:hAnsi="Palatino Linotype" w:cstheme="majorBidi"/>
          <w:sz w:val="24"/>
          <w:szCs w:val="24"/>
          <w:lang w:val="es-ES_tradnl" w:eastAsia="es-ES"/>
        </w:rPr>
        <w:t>o por respuesta a través del C</w:t>
      </w:r>
      <w:r w:rsidR="00DC767E" w:rsidRPr="000C4CFF">
        <w:rPr>
          <w:rFonts w:ascii="Palatino Linotype" w:eastAsiaTheme="minorEastAsia" w:hAnsi="Palatino Linotype" w:cs="Arial"/>
          <w:sz w:val="24"/>
          <w:szCs w:val="24"/>
          <w:lang w:val="es-ES_tradnl" w:eastAsia="es-ES"/>
        </w:rPr>
        <w:t xml:space="preserve">oordinador de Movilidad Urbana del Ayuntamiento quien refiere que la Coordinación a su cargo es de nueva creación por la presente administración municipal, misma que se rige por el artículo 209 del Bando Municipal 2019, artículo 103 del Reglamento Orgánico de la Administración Pública de Nezahualcóyotl, artículo 9 de la Ley de Movilidad del Estado de México; asimismo que en cuanto al manual de procedimientos las funciones que lleva a cabo, no realiza procedimiento o actividad previamente requerida por la ciudadanía y en relación al manual de organización dentro </w:t>
      </w:r>
      <w:r w:rsidR="008406FD" w:rsidRPr="000C4CFF">
        <w:rPr>
          <w:rFonts w:ascii="Palatino Linotype" w:eastAsiaTheme="minorEastAsia" w:hAnsi="Palatino Linotype" w:cs="Arial"/>
          <w:sz w:val="24"/>
          <w:szCs w:val="24"/>
          <w:lang w:val="es-ES_tradnl" w:eastAsia="es-ES"/>
        </w:rPr>
        <w:t>d</w:t>
      </w:r>
      <w:r w:rsidR="00DC767E" w:rsidRPr="000C4CFF">
        <w:rPr>
          <w:rFonts w:ascii="Palatino Linotype" w:eastAsiaTheme="minorEastAsia" w:hAnsi="Palatino Linotype" w:cs="Arial"/>
          <w:sz w:val="24"/>
          <w:szCs w:val="24"/>
          <w:lang w:val="es-ES_tradnl" w:eastAsia="es-ES"/>
        </w:rPr>
        <w:t>el órgano municipal, la coordinación depende directamente de la Presidencia Municipal; finalmente oficio suscrito por el Director de Administración quien refiere que no existe la Dirección de Movilidad y Transporte, motivo por el cual se ve imposibilitado para entregar a información que fue solicitada.</w:t>
      </w:r>
    </w:p>
    <w:p w:rsidR="00DC767E" w:rsidRPr="000C4CFF" w:rsidRDefault="00DC767E"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DC767E" w:rsidRPr="000C4CFF" w:rsidRDefault="008974A7" w:rsidP="000C4CF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C4CFF">
        <w:rPr>
          <w:rFonts w:ascii="Palatino Linotype" w:eastAsia="MS Mincho" w:hAnsi="Palatino Linotype" w:cstheme="majorBidi"/>
          <w:sz w:val="24"/>
          <w:szCs w:val="24"/>
          <w:lang w:val="es-ES_tradnl" w:eastAsia="es-ES"/>
        </w:rPr>
        <w:t xml:space="preserve">Posteriormente el </w:t>
      </w:r>
      <w:r w:rsidRPr="000C4CFF">
        <w:rPr>
          <w:rFonts w:ascii="Palatino Linotype" w:eastAsia="MS Mincho" w:hAnsi="Palatino Linotype" w:cstheme="majorBidi"/>
          <w:b/>
          <w:sz w:val="24"/>
          <w:szCs w:val="24"/>
          <w:lang w:val="es-ES_tradnl" w:eastAsia="es-ES"/>
        </w:rPr>
        <w:t>SUJETO OBLIGADO</w:t>
      </w:r>
      <w:r w:rsidRPr="000C4CFF">
        <w:rPr>
          <w:rFonts w:ascii="Palatino Linotype" w:eastAsia="MS Mincho" w:hAnsi="Palatino Linotype" w:cstheme="majorBidi"/>
          <w:sz w:val="24"/>
          <w:szCs w:val="24"/>
          <w:lang w:val="es-ES_tradnl" w:eastAsia="es-ES"/>
        </w:rPr>
        <w:t xml:space="preserve"> estando en tiempo presentó su respectivo informe justificado el cual fue del conocimiento del particular, a través del cual informó la Secretaría Particular de Presidencia que la instancia cuenta con la información que requiere el solicitante y que es de acceso y conocimiento al público en general, toda vez que en la actualidad la cultura de movilidad, que promueve esta administración municipal 2019-2021, se precisa que el Bando Municipal resarce algunas acciones del mismo y el artículo 9 de la Ley de Movilidad del Estado de México</w:t>
      </w:r>
      <w:r w:rsidR="00E84FA0" w:rsidRPr="000C4CFF">
        <w:rPr>
          <w:rFonts w:ascii="Palatino Linotype" w:eastAsia="MS Mincho" w:hAnsi="Palatino Linotype" w:cstheme="majorBidi"/>
          <w:sz w:val="24"/>
          <w:szCs w:val="24"/>
          <w:lang w:val="es-ES_tradnl" w:eastAsia="es-ES"/>
        </w:rPr>
        <w:t>, para referencia se adjuntó la Ley de Movilidad en comento.</w:t>
      </w:r>
    </w:p>
    <w:p w:rsidR="00E84FA0" w:rsidRPr="000C4CFF" w:rsidRDefault="00E84FA0" w:rsidP="000C4CFF">
      <w:pPr>
        <w:pStyle w:val="Prrafodelista"/>
        <w:spacing w:line="360" w:lineRule="auto"/>
        <w:rPr>
          <w:rFonts w:ascii="Palatino Linotype" w:eastAsia="MS Mincho" w:hAnsi="Palatino Linotype" w:cstheme="majorBidi"/>
          <w:sz w:val="24"/>
          <w:szCs w:val="24"/>
          <w:lang w:val="es-ES_tradnl" w:eastAsia="es-ES"/>
        </w:rPr>
      </w:pPr>
    </w:p>
    <w:p w:rsidR="00E84FA0" w:rsidRDefault="00E84FA0" w:rsidP="000C4CF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C4CFF">
        <w:rPr>
          <w:rFonts w:ascii="Palatino Linotype" w:eastAsia="MS Mincho" w:hAnsi="Palatino Linotype" w:cstheme="majorBidi"/>
          <w:sz w:val="24"/>
          <w:szCs w:val="24"/>
          <w:lang w:val="es-ES_tradnl" w:eastAsia="es-ES"/>
        </w:rPr>
        <w:t xml:space="preserve">Mediante </w:t>
      </w:r>
      <w:proofErr w:type="gramStart"/>
      <w:r w:rsidRPr="000C4CFF">
        <w:rPr>
          <w:rFonts w:ascii="Palatino Linotype" w:eastAsia="MS Mincho" w:hAnsi="Palatino Linotype" w:cstheme="majorBidi"/>
          <w:sz w:val="24"/>
          <w:szCs w:val="24"/>
          <w:lang w:val="es-ES_tradnl" w:eastAsia="es-ES"/>
        </w:rPr>
        <w:t>oficio  DA</w:t>
      </w:r>
      <w:proofErr w:type="gramEnd"/>
      <w:r w:rsidRPr="000C4CFF">
        <w:rPr>
          <w:rFonts w:ascii="Palatino Linotype" w:eastAsia="MS Mincho" w:hAnsi="Palatino Linotype" w:cstheme="majorBidi"/>
          <w:sz w:val="24"/>
          <w:szCs w:val="24"/>
          <w:lang w:val="es-ES_tradnl" w:eastAsia="es-ES"/>
        </w:rPr>
        <w:t>/NEZA/2859/2019 de fecha 25 de abril, suscrito por el Director de Administración quien hace referencia al acto impugnado y motivos de inconformidad hecho valer por el particular; refiere que derivado de la solicitud y de la presentación del informe justificado ratifica en todo su contenido la respuesta inicial contenía en el oficio DA/NEZA/2384/2019.</w:t>
      </w:r>
    </w:p>
    <w:p w:rsidR="000C4CFF" w:rsidRPr="000C4CFF" w:rsidRDefault="000C4CFF"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E84FA0" w:rsidRPr="000C4CFF" w:rsidRDefault="00E84FA0" w:rsidP="000C4CFF">
      <w:pPr>
        <w:pStyle w:val="Ttulo1"/>
        <w:spacing w:line="360" w:lineRule="auto"/>
        <w:rPr>
          <w:rFonts w:ascii="Palatino Linotype" w:eastAsia="MS Mincho" w:hAnsi="Palatino Linotype"/>
          <w:b/>
          <w:i/>
          <w:color w:val="auto"/>
          <w:sz w:val="24"/>
          <w:szCs w:val="24"/>
          <w:lang w:val="es-ES_tradnl" w:eastAsia="es-ES"/>
        </w:rPr>
      </w:pPr>
      <w:bookmarkStart w:id="71" w:name="_Toc11958626"/>
      <w:r w:rsidRPr="000C4CFF">
        <w:rPr>
          <w:rFonts w:ascii="Palatino Linotype" w:eastAsia="MS Mincho" w:hAnsi="Palatino Linotype"/>
          <w:b/>
          <w:i/>
          <w:color w:val="auto"/>
          <w:sz w:val="24"/>
          <w:szCs w:val="24"/>
          <w:lang w:val="es-ES_tradnl" w:eastAsia="es-ES"/>
        </w:rPr>
        <w:t>III. De la causales del sobreseimiento.</w:t>
      </w:r>
      <w:bookmarkEnd w:id="71"/>
    </w:p>
    <w:p w:rsidR="00671AF4" w:rsidRPr="000C4CFF" w:rsidRDefault="00671AF4" w:rsidP="000C4CFF">
      <w:pPr>
        <w:spacing w:after="0" w:line="360" w:lineRule="auto"/>
        <w:ind w:right="49"/>
        <w:contextualSpacing/>
        <w:jc w:val="both"/>
        <w:rPr>
          <w:rFonts w:ascii="Palatino Linotype" w:eastAsia="MS Mincho" w:hAnsi="Palatino Linotype" w:cstheme="majorBidi"/>
          <w:color w:val="FF0000"/>
          <w:sz w:val="24"/>
          <w:szCs w:val="24"/>
          <w:lang w:val="es-ES_tradnl" w:eastAsia="es-ES"/>
        </w:rPr>
      </w:pPr>
    </w:p>
    <w:p w:rsidR="004077FF" w:rsidRPr="000C4CFF" w:rsidRDefault="004077FF" w:rsidP="000C4CF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C4CFF">
        <w:rPr>
          <w:rFonts w:ascii="Palatino Linotype" w:eastAsia="MS Mincho" w:hAnsi="Palatino Linotype" w:cstheme="majorBidi"/>
          <w:sz w:val="24"/>
          <w:szCs w:val="24"/>
          <w:lang w:val="es-ES_tradnl" w:eastAsia="es-ES"/>
        </w:rPr>
        <w:t xml:space="preserve">De acuerdo a lo establecido por la Ley Orgánica Municipal del Estado de México estable en su artículo 164 que los </w:t>
      </w:r>
      <w:r w:rsidRPr="000C4CFF">
        <w:rPr>
          <w:rFonts w:ascii="Palatino Linotype" w:eastAsia="MS Mincho" w:hAnsi="Palatino Linotype" w:cstheme="majorBidi"/>
          <w:sz w:val="24"/>
          <w:szCs w:val="24"/>
          <w:lang w:eastAsia="es-ES"/>
        </w:rPr>
        <w:t xml:space="preserve">ayuntamientos podrán expedir los reglamentos, circulares y disposiciones administrativas que regulen el régimen de las diversas esferas de competencia municipal; lo que se traduce una facultad potestativa del </w:t>
      </w:r>
      <w:r w:rsidRPr="000C4CFF">
        <w:rPr>
          <w:rFonts w:ascii="Palatino Linotype" w:eastAsia="MS Mincho" w:hAnsi="Palatino Linotype" w:cstheme="majorBidi"/>
          <w:b/>
          <w:sz w:val="24"/>
          <w:szCs w:val="24"/>
          <w:lang w:eastAsia="es-ES"/>
        </w:rPr>
        <w:t>SUJETO OBLIGADO</w:t>
      </w:r>
      <w:r w:rsidRPr="000C4CFF">
        <w:rPr>
          <w:rFonts w:ascii="Palatino Linotype" w:eastAsia="MS Mincho" w:hAnsi="Palatino Linotype" w:cstheme="majorBidi"/>
          <w:sz w:val="24"/>
          <w:szCs w:val="24"/>
          <w:lang w:eastAsia="es-ES"/>
        </w:rPr>
        <w:t xml:space="preserve"> para la emisión de reglamentos y demás disposiciones administrativas.</w:t>
      </w:r>
    </w:p>
    <w:p w:rsidR="004077FF" w:rsidRPr="000C4CFF" w:rsidRDefault="004077FF"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DC767E" w:rsidRPr="000C4CFF" w:rsidRDefault="00E84FA0" w:rsidP="000C4CF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C4CFF">
        <w:rPr>
          <w:rFonts w:ascii="Palatino Linotype" w:eastAsia="MS Mincho" w:hAnsi="Palatino Linotype" w:cstheme="majorBidi"/>
          <w:sz w:val="24"/>
          <w:szCs w:val="24"/>
          <w:lang w:val="es-ES_tradnl" w:eastAsia="es-ES"/>
        </w:rPr>
        <w:t xml:space="preserve">Ahora bien es de observar que la información que se proporciona a través del informe justificado ha dejado satisfecho el derecho de acceso a la  información al haber </w:t>
      </w:r>
      <w:r w:rsidR="00EE094C" w:rsidRPr="000C4CFF">
        <w:rPr>
          <w:rFonts w:ascii="Palatino Linotype" w:eastAsia="MS Mincho" w:hAnsi="Palatino Linotype" w:cstheme="majorBidi"/>
          <w:sz w:val="24"/>
          <w:szCs w:val="24"/>
          <w:lang w:val="es-ES_tradnl" w:eastAsia="es-ES"/>
        </w:rPr>
        <w:t xml:space="preserve">informado al </w:t>
      </w:r>
      <w:r w:rsidRPr="000C4CFF">
        <w:rPr>
          <w:rFonts w:ascii="Palatino Linotype" w:eastAsia="MS Mincho" w:hAnsi="Palatino Linotype" w:cstheme="majorBidi"/>
          <w:sz w:val="24"/>
          <w:szCs w:val="24"/>
          <w:lang w:val="es-ES_tradnl" w:eastAsia="es-ES"/>
        </w:rPr>
        <w:t>recurrente que</w:t>
      </w:r>
      <w:r w:rsidR="00EE094C" w:rsidRPr="000C4CFF">
        <w:rPr>
          <w:rFonts w:ascii="Palatino Linotype" w:eastAsia="MS Mincho" w:hAnsi="Palatino Linotype" w:cstheme="majorBidi"/>
          <w:sz w:val="24"/>
          <w:szCs w:val="24"/>
          <w:lang w:val="es-ES_tradnl" w:eastAsia="es-ES"/>
        </w:rPr>
        <w:t xml:space="preserve"> la Coordinación de Movilidad se rige por el artículo 9 de la Ley de Movilidad del Estado de México que a la letra dice:</w:t>
      </w:r>
    </w:p>
    <w:p w:rsidR="00EE094C" w:rsidRPr="000C4CFF" w:rsidRDefault="00EE094C"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b/>
          <w:i/>
          <w:sz w:val="24"/>
          <w:szCs w:val="24"/>
          <w:lang w:eastAsia="es-ES"/>
        </w:rPr>
      </w:pPr>
      <w:r w:rsidRPr="000C4CFF">
        <w:rPr>
          <w:rFonts w:ascii="Palatino Linotype" w:eastAsia="MS Mincho" w:hAnsi="Palatino Linotype" w:cstheme="majorBidi"/>
          <w:b/>
          <w:i/>
          <w:sz w:val="24"/>
          <w:szCs w:val="24"/>
          <w:lang w:eastAsia="es-ES"/>
        </w:rPr>
        <w:t>Artículo 9.</w:t>
      </w:r>
      <w:r w:rsidRPr="000C4CFF">
        <w:rPr>
          <w:rFonts w:ascii="Palatino Linotype" w:eastAsia="MS Mincho" w:hAnsi="Palatino Linotype" w:cstheme="majorBidi"/>
          <w:i/>
          <w:sz w:val="24"/>
          <w:szCs w:val="24"/>
          <w:lang w:eastAsia="es-ES"/>
        </w:rPr>
        <w:t xml:space="preserve"> </w:t>
      </w:r>
      <w:r w:rsidRPr="000C4CFF">
        <w:rPr>
          <w:rFonts w:ascii="Palatino Linotype" w:eastAsia="MS Mincho" w:hAnsi="Palatino Linotype" w:cstheme="majorBidi"/>
          <w:b/>
          <w:i/>
          <w:sz w:val="24"/>
          <w:szCs w:val="24"/>
          <w:lang w:eastAsia="es-ES"/>
        </w:rPr>
        <w:t xml:space="preserve">Atribuciones municipales en materia de movilidad. Los municipios tendrán las atribuciones siguientes en materia de movilidad: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I.</w:t>
      </w:r>
      <w:r w:rsidRPr="000C4CFF">
        <w:rPr>
          <w:rFonts w:ascii="Palatino Linotype" w:eastAsia="MS Mincho" w:hAnsi="Palatino Linotype" w:cstheme="majorBidi"/>
          <w:i/>
          <w:sz w:val="24"/>
          <w:szCs w:val="24"/>
          <w:lang w:eastAsia="es-ES"/>
        </w:rPr>
        <w:t xml:space="preserve"> Aquellas relacionadas con el Sistema Integral de Movilidad, que deriven de las funciones y servicios públicos establecidos en la Constitución Política de los Estados Unidos Mexicanos y la Constitución Política del Estado Libre y Soberano de México.</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II.</w:t>
      </w:r>
      <w:r w:rsidRPr="000C4CFF">
        <w:rPr>
          <w:rFonts w:ascii="Palatino Linotype" w:eastAsia="MS Mincho" w:hAnsi="Palatino Linotype" w:cstheme="majorBidi"/>
          <w:i/>
          <w:sz w:val="24"/>
          <w:szCs w:val="24"/>
          <w:lang w:eastAsia="es-ES"/>
        </w:rPr>
        <w:t xml:space="preserve"> Dar su opinión respecto a las acciones implementadas por las autoridades en materia de movilidad conforme a esta Ley, que afecten o tengan incidencia en su ámbito territorial.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III.</w:t>
      </w:r>
      <w:r w:rsidRPr="000C4CFF">
        <w:rPr>
          <w:rFonts w:ascii="Palatino Linotype" w:eastAsia="MS Mincho" w:hAnsi="Palatino Linotype" w:cstheme="majorBidi"/>
          <w:i/>
          <w:sz w:val="24"/>
          <w:szCs w:val="24"/>
          <w:lang w:eastAsia="es-ES"/>
        </w:rPr>
        <w:t xml:space="preserve"> Enviar al Comité para su discusión y, en su caso, inclusión en el Programa, propuestas específicas en materia de movilidad relacionadas con su ámbito territorial.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IV.</w:t>
      </w:r>
      <w:r w:rsidRPr="000C4CFF">
        <w:rPr>
          <w:rFonts w:ascii="Palatino Linotype" w:eastAsia="MS Mincho" w:hAnsi="Palatino Linotype" w:cstheme="majorBidi"/>
          <w:i/>
          <w:sz w:val="24"/>
          <w:szCs w:val="24"/>
          <w:lang w:eastAsia="es-ES"/>
        </w:rPr>
        <w:t xml:space="preserve"> Expedir reglamentos para ordenar, regular y administrar los servicios de vialidad y tránsito en los centros de población ubicados en su territorio y en las vías públicas de jurisdicción municipal, conforme a las disposiciones de esta ley y su reglamento.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V</w:t>
      </w:r>
      <w:r w:rsidRPr="000C4CFF">
        <w:rPr>
          <w:rFonts w:ascii="Palatino Linotype" w:eastAsia="MS Mincho" w:hAnsi="Palatino Linotype" w:cstheme="majorBidi"/>
          <w:i/>
          <w:sz w:val="24"/>
          <w:szCs w:val="24"/>
          <w:lang w:eastAsia="es-ES"/>
        </w:rPr>
        <w:t xml:space="preserve">. Hacer los estudios necesarios para conservar y mejorar los servicios de vialidad y tránsito, conforme a las necesidades y propuestas de la sociedad.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VI.</w:t>
      </w:r>
      <w:r w:rsidRPr="000C4CFF">
        <w:rPr>
          <w:rFonts w:ascii="Palatino Linotype" w:eastAsia="MS Mincho" w:hAnsi="Palatino Linotype" w:cstheme="majorBidi"/>
          <w:i/>
          <w:sz w:val="24"/>
          <w:szCs w:val="24"/>
          <w:lang w:eastAsia="es-ES"/>
        </w:rPr>
        <w:t xml:space="preserve"> Dictar medidas tendientes al mejoramiento de los servicios de vialidad y tránsito.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VII</w:t>
      </w:r>
      <w:r w:rsidRPr="000C4CFF">
        <w:rPr>
          <w:rFonts w:ascii="Palatino Linotype" w:eastAsia="MS Mincho" w:hAnsi="Palatino Linotype" w:cstheme="majorBidi"/>
          <w:i/>
          <w:sz w:val="24"/>
          <w:szCs w:val="24"/>
          <w:lang w:eastAsia="es-ES"/>
        </w:rPr>
        <w:t xml:space="preserve">. Realizar las tareas relativas a la ingeniería de tránsito y al señalamiento de la vialidad en los centros de población.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VIII.</w:t>
      </w:r>
      <w:r w:rsidRPr="000C4CFF">
        <w:rPr>
          <w:rFonts w:ascii="Palatino Linotype" w:eastAsia="MS Mincho" w:hAnsi="Palatino Linotype" w:cstheme="majorBidi"/>
          <w:i/>
          <w:sz w:val="24"/>
          <w:szCs w:val="24"/>
          <w:lang w:eastAsia="es-ES"/>
        </w:rPr>
        <w:t xml:space="preserve"> Realizar los estudios necesarios sobre tránsito de vehículos, a fin de lograr una mejor utilización de las vías y de los medios de transporte correspondientes, que conduzcan a la más eficaz protección de la vida humana, protección del ambiente, seguridad, comodidad y fluidez en la vialidad.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IX.</w:t>
      </w:r>
      <w:r w:rsidRPr="000C4CFF">
        <w:rPr>
          <w:rFonts w:ascii="Palatino Linotype" w:eastAsia="MS Mincho" w:hAnsi="Palatino Linotype" w:cstheme="majorBidi"/>
          <w:i/>
          <w:sz w:val="24"/>
          <w:szCs w:val="24"/>
          <w:lang w:eastAsia="es-ES"/>
        </w:rPr>
        <w:t xml:space="preserve"> Indicar las características específicas y la ubicación que deberán tener los dispositivos y señales para la regulación del tránsito, conforme a las normas generales de carácter técnico.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w:t>
      </w:r>
      <w:r w:rsidRPr="000C4CFF">
        <w:rPr>
          <w:rFonts w:ascii="Palatino Linotype" w:eastAsia="MS Mincho" w:hAnsi="Palatino Linotype" w:cstheme="majorBidi"/>
          <w:i/>
          <w:sz w:val="24"/>
          <w:szCs w:val="24"/>
          <w:lang w:eastAsia="es-ES"/>
        </w:rPr>
        <w:t xml:space="preserve"> Apoyar y participar en los programas de fomento a la cultura y educación de movilidad que elabore el Estado.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XI.</w:t>
      </w:r>
      <w:r w:rsidRPr="000C4CFF">
        <w:rPr>
          <w:rFonts w:ascii="Palatino Linotype" w:eastAsia="MS Mincho" w:hAnsi="Palatino Linotype" w:cstheme="majorBidi"/>
          <w:i/>
          <w:sz w:val="24"/>
          <w:szCs w:val="24"/>
          <w:lang w:eastAsia="es-ES"/>
        </w:rPr>
        <w:t xml:space="preserve"> Coordinarse con la Secretaría y con otros municipios de la entidad, para dar cumplimiento a las disposiciones de esta ley.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XII.</w:t>
      </w:r>
      <w:r w:rsidRPr="000C4CFF">
        <w:rPr>
          <w:rFonts w:ascii="Palatino Linotype" w:eastAsia="MS Mincho" w:hAnsi="Palatino Linotype" w:cstheme="majorBidi"/>
          <w:i/>
          <w:sz w:val="24"/>
          <w:szCs w:val="24"/>
          <w:lang w:eastAsia="es-ES"/>
        </w:rPr>
        <w:t xml:space="preserve"> Autorizar la localización y características de los elementos que integran la infraestructura y el equipamiento vial de los centros de población, a través de los planes y programas de desarrollo urbano que les corresponda sancionar y aplicar.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i/>
          <w:sz w:val="24"/>
          <w:szCs w:val="24"/>
          <w:lang w:eastAsia="es-ES"/>
        </w:rPr>
        <w:t xml:space="preserve">XIII. Derogada.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i/>
          <w:sz w:val="24"/>
          <w:szCs w:val="24"/>
          <w:lang w:eastAsia="es-ES"/>
        </w:rPr>
        <w:t xml:space="preserve">XIV. Derogada.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i/>
          <w:sz w:val="24"/>
          <w:szCs w:val="24"/>
          <w:lang w:eastAsia="es-ES"/>
        </w:rPr>
        <w:t xml:space="preserve">XV. Derogada.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i/>
          <w:sz w:val="24"/>
          <w:szCs w:val="24"/>
          <w:lang w:eastAsia="es-ES"/>
        </w:rPr>
        <w:t xml:space="preserve">XVI. Derogada. </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XVII.</w:t>
      </w:r>
      <w:r w:rsidRPr="000C4CFF">
        <w:rPr>
          <w:rFonts w:ascii="Palatino Linotype" w:eastAsia="MS Mincho" w:hAnsi="Palatino Linotype" w:cstheme="majorBidi"/>
          <w:i/>
          <w:sz w:val="24"/>
          <w:szCs w:val="24"/>
          <w:lang w:eastAsia="es-ES"/>
        </w:rPr>
        <w:t xml:space="preserve"> Determinar, autorizar y exigir, en su jurisdicción territorial, la instalación de los espacios destinados para la ubicación de estacionamiento, ascenso y descenso exclusivo de personas con discapacidad, en lugares preferentes y de fácil acceso a los edificios o espacios públicos, particulares o de gobierno, cuyo uso esté destinado o implique la concurrencia del público en general.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XVIII.</w:t>
      </w:r>
      <w:r w:rsidRPr="000C4CFF">
        <w:rPr>
          <w:rFonts w:ascii="Palatino Linotype" w:eastAsia="MS Mincho" w:hAnsi="Palatino Linotype" w:cstheme="majorBidi"/>
          <w:i/>
          <w:sz w:val="24"/>
          <w:szCs w:val="24"/>
          <w:lang w:eastAsia="es-ES"/>
        </w:rPr>
        <w:t xml:space="preserve"> Solicitar, en su caso, a la Secretaría asesoría y apoyo para realizar los estudios técnicos y acciones en materia de movilidad.</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XIX.</w:t>
      </w:r>
      <w:r w:rsidRPr="000C4CFF">
        <w:rPr>
          <w:rFonts w:ascii="Palatino Linotype" w:eastAsia="MS Mincho" w:hAnsi="Palatino Linotype" w:cstheme="majorBidi"/>
          <w:i/>
          <w:sz w:val="24"/>
          <w:szCs w:val="24"/>
          <w:lang w:eastAsia="es-ES"/>
        </w:rPr>
        <w:t xml:space="preserve"> Mantener la vialidad de cualquier tipo libre de obstáculos u objetos que impidan, dificulten u obstruyan el tránsito peatonal, ciclista o vehicular, excepto en aquellos casos debidamente autorizados. </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XX.</w:t>
      </w:r>
      <w:r w:rsidRPr="000C4CFF">
        <w:rPr>
          <w:rFonts w:ascii="Palatino Linotype" w:eastAsia="MS Mincho" w:hAnsi="Palatino Linotype" w:cstheme="majorBidi"/>
          <w:i/>
          <w:sz w:val="24"/>
          <w:szCs w:val="24"/>
          <w:lang w:eastAsia="es-ES"/>
        </w:rPr>
        <w:t xml:space="preserve"> En el ámbito de su competencia, determinar, aplicar y ejecutar las sanciones correspondientes a quienes incurran en infracciones a esta ley y a sus reglamentos. </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XXI.</w:t>
      </w:r>
      <w:r w:rsidRPr="000C4CFF">
        <w:rPr>
          <w:rFonts w:ascii="Palatino Linotype" w:eastAsia="MS Mincho" w:hAnsi="Palatino Linotype" w:cstheme="majorBidi"/>
          <w:i/>
          <w:sz w:val="24"/>
          <w:szCs w:val="24"/>
          <w:lang w:eastAsia="es-ES"/>
        </w:rPr>
        <w:t xml:space="preserve"> Remitir a los depósitos vehiculares, los vehículos que se encuentren abandonados, inservibles, destruidos e inutilizados en las vías públicas y estacionamientos públicos de su jurisdicción.</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XXII.</w:t>
      </w:r>
      <w:r w:rsidRPr="000C4CFF">
        <w:rPr>
          <w:rFonts w:ascii="Palatino Linotype" w:eastAsia="MS Mincho" w:hAnsi="Palatino Linotype" w:cstheme="majorBidi"/>
          <w:i/>
          <w:sz w:val="24"/>
          <w:szCs w:val="24"/>
          <w:lang w:eastAsia="es-ES"/>
        </w:rPr>
        <w:t xml:space="preserve"> Trasladar a los depósitos correspondientes las cajas, remolques y vehículos de carga, que obstaculicen, limiten o impidan el uso adecuado de las vías, en términos de la normatividad aplicable. </w:t>
      </w: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XXIII.</w:t>
      </w:r>
      <w:r w:rsidRPr="000C4CFF">
        <w:rPr>
          <w:rFonts w:ascii="Palatino Linotype" w:eastAsia="MS Mincho" w:hAnsi="Palatino Linotype" w:cstheme="majorBidi"/>
          <w:i/>
          <w:sz w:val="24"/>
          <w:szCs w:val="24"/>
          <w:lang w:eastAsia="es-ES"/>
        </w:rPr>
        <w:t xml:space="preserve"> Promover en el ámbito de su competencia las acciones para el uso racional del espacio vial, teniendo como prioridad la jerarquía de movilidad. </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XXIV.</w:t>
      </w:r>
      <w:r w:rsidRPr="000C4CFF">
        <w:rPr>
          <w:rFonts w:ascii="Palatino Linotype" w:eastAsia="MS Mincho" w:hAnsi="Palatino Linotype" w:cstheme="majorBidi"/>
          <w:i/>
          <w:sz w:val="24"/>
          <w:szCs w:val="24"/>
          <w:lang w:eastAsia="es-ES"/>
        </w:rPr>
        <w:t xml:space="preserve"> Proponer modalidades adicionales a las señaladas en esta ley derivadas de los avances tecnológicos. </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XXV.</w:t>
      </w:r>
      <w:r w:rsidRPr="000C4CFF">
        <w:rPr>
          <w:rFonts w:ascii="Palatino Linotype" w:eastAsia="MS Mincho" w:hAnsi="Palatino Linotype" w:cstheme="majorBidi"/>
          <w:i/>
          <w:sz w:val="24"/>
          <w:szCs w:val="24"/>
          <w:lang w:eastAsia="es-ES"/>
        </w:rPr>
        <w:t xml:space="preserve"> Estudiar, opinar y proponer soluciones en materia de movilidad. </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BB0A36"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eastAsia="es-ES"/>
        </w:rPr>
      </w:pPr>
      <w:r w:rsidRPr="000C4CFF">
        <w:rPr>
          <w:rFonts w:ascii="Palatino Linotype" w:eastAsia="MS Mincho" w:hAnsi="Palatino Linotype" w:cstheme="majorBidi"/>
          <w:b/>
          <w:i/>
          <w:sz w:val="24"/>
          <w:szCs w:val="24"/>
          <w:lang w:eastAsia="es-ES"/>
        </w:rPr>
        <w:t>XXVI.</w:t>
      </w:r>
      <w:r w:rsidRPr="000C4CFF">
        <w:rPr>
          <w:rFonts w:ascii="Palatino Linotype" w:eastAsia="MS Mincho" w:hAnsi="Palatino Linotype" w:cstheme="majorBidi"/>
          <w:i/>
          <w:sz w:val="24"/>
          <w:szCs w:val="24"/>
          <w:lang w:eastAsia="es-ES"/>
        </w:rPr>
        <w:t xml:space="preserve"> Celebrar convenios de colaboración y participación en materia de movilidad. </w:t>
      </w:r>
    </w:p>
    <w:p w:rsidR="00BB0A36" w:rsidRPr="000C4CFF" w:rsidRDefault="00BB0A36" w:rsidP="000C4CFF">
      <w:pPr>
        <w:spacing w:after="0" w:line="360" w:lineRule="auto"/>
        <w:ind w:left="567" w:right="616"/>
        <w:contextualSpacing/>
        <w:jc w:val="both"/>
        <w:rPr>
          <w:rFonts w:ascii="Palatino Linotype" w:eastAsia="MS Mincho" w:hAnsi="Palatino Linotype" w:cstheme="majorBidi"/>
          <w:i/>
          <w:sz w:val="24"/>
          <w:szCs w:val="24"/>
          <w:lang w:eastAsia="es-ES"/>
        </w:rPr>
      </w:pPr>
    </w:p>
    <w:p w:rsidR="00EE094C" w:rsidRPr="000C4CFF" w:rsidRDefault="00EE094C" w:rsidP="000C4CFF">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0C4CFF">
        <w:rPr>
          <w:rFonts w:ascii="Palatino Linotype" w:eastAsia="MS Mincho" w:hAnsi="Palatino Linotype" w:cstheme="majorBidi"/>
          <w:b/>
          <w:i/>
          <w:sz w:val="24"/>
          <w:szCs w:val="24"/>
          <w:lang w:eastAsia="es-ES"/>
        </w:rPr>
        <w:t>XXVII.</w:t>
      </w:r>
      <w:r w:rsidRPr="000C4CFF">
        <w:rPr>
          <w:rFonts w:ascii="Palatino Linotype" w:eastAsia="MS Mincho" w:hAnsi="Palatino Linotype" w:cstheme="majorBidi"/>
          <w:i/>
          <w:sz w:val="24"/>
          <w:szCs w:val="24"/>
          <w:lang w:eastAsia="es-ES"/>
        </w:rPr>
        <w:t xml:space="preserve"> Las demás que confiera la presente Ley y/o cualquier otra disposición relacionada con la movilidad. Tratándose de concesiones únicas que afecten su territorio, los municipios podrán dirigir un escrito a la o el titular de la Secretaría, quien en un plazo no mayor a quince días hábiles, deberá contestar por escrito si procede o no su solicitud, conforme al estudio técnico de movilidad correspondiente. Los municipios ejercerán sus atribuciones técnicas y administrativas en materia de vialidad, tránsito y estacionamientos, y participarán en la formulación y aplicación de los programas de transporte de pasajeros, en términos de la legislación aplicable.</w:t>
      </w:r>
    </w:p>
    <w:p w:rsidR="00EE094C" w:rsidRPr="000C4CFF" w:rsidRDefault="00EE094C"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BB0A36" w:rsidRPr="000C4CFF" w:rsidRDefault="00BB0A36" w:rsidP="000C4CFF">
      <w:pPr>
        <w:pStyle w:val="Prrafodelista"/>
        <w:numPr>
          <w:ilvl w:val="0"/>
          <w:numId w:val="2"/>
        </w:numPr>
        <w:spacing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Luego entonces, al haber proporcionado el </w:t>
      </w:r>
      <w:r w:rsidRPr="000C4CFF">
        <w:rPr>
          <w:rFonts w:ascii="Palatino Linotype" w:eastAsia="MS Mincho" w:hAnsi="Palatino Linotype" w:cs="Times New Roman"/>
          <w:b/>
          <w:sz w:val="24"/>
          <w:szCs w:val="24"/>
          <w:lang w:val="es-ES_tradnl" w:eastAsia="es-ES"/>
        </w:rPr>
        <w:t>SUJETO OBLIGADO</w:t>
      </w:r>
      <w:r w:rsidRPr="000C4CFF">
        <w:rPr>
          <w:rFonts w:ascii="Palatino Linotype" w:eastAsia="MS Mincho" w:hAnsi="Palatino Linotype" w:cs="Times New Roman"/>
          <w:sz w:val="24"/>
          <w:szCs w:val="24"/>
          <w:lang w:val="es-ES_tradnl" w:eastAsia="es-ES"/>
        </w:rPr>
        <w:t xml:space="preserve"> la Ley que rige  a la Coordinación de Movilidad Urbana e informar que es de nueva creación se entiende que no se cuenta con la información requerida, información que se ajustándose al marco legal y a los principios establecidos, este órgano garante debe revisar a través del medio de impugnación que se proporcione respuestas completas que garanticen en su totalidad el derecho de acceso a la información, como lo dispone la ley de la materia: </w:t>
      </w:r>
    </w:p>
    <w:p w:rsidR="00BB0A36" w:rsidRPr="000C4CFF" w:rsidRDefault="00BB0A36" w:rsidP="000C4CFF">
      <w:pPr>
        <w:pStyle w:val="Prrafodelista"/>
        <w:spacing w:line="360" w:lineRule="auto"/>
        <w:ind w:right="616"/>
        <w:jc w:val="both"/>
        <w:rPr>
          <w:rFonts w:ascii="Palatino Linotype" w:eastAsia="MS Mincho" w:hAnsi="Palatino Linotype" w:cs="Times New Roman"/>
          <w:i/>
          <w:sz w:val="24"/>
          <w:szCs w:val="24"/>
          <w:lang w:val="es-ES_tradnl" w:eastAsia="es-ES"/>
        </w:rPr>
      </w:pPr>
      <w:r w:rsidRPr="000C4CFF">
        <w:rPr>
          <w:rFonts w:ascii="Palatino Linotype" w:eastAsia="MS Mincho" w:hAnsi="Palatino Linotype" w:cs="Times New Roman"/>
          <w:b/>
          <w:i/>
          <w:sz w:val="24"/>
          <w:szCs w:val="24"/>
          <w:lang w:val="es-ES_tradnl" w:eastAsia="es-ES"/>
        </w:rPr>
        <w:t>Artículo 11.</w:t>
      </w:r>
      <w:r w:rsidRPr="000C4CFF">
        <w:rPr>
          <w:rFonts w:ascii="Palatino Linotype" w:eastAsia="MS Mincho" w:hAnsi="Palatino Linotype" w:cs="Times New Roman"/>
          <w:i/>
          <w:sz w:val="24"/>
          <w:szCs w:val="24"/>
          <w:lang w:val="es-ES_tradnl" w:eastAsia="es-ES"/>
        </w:rPr>
        <w:t xml:space="preserve"> En la generación,</w:t>
      </w:r>
      <w:r w:rsidRPr="000C4CFF">
        <w:rPr>
          <w:rFonts w:ascii="Palatino Linotype" w:eastAsia="MS Mincho" w:hAnsi="Palatino Linotype" w:cs="Times New Roman"/>
          <w:b/>
          <w:i/>
          <w:sz w:val="24"/>
          <w:szCs w:val="24"/>
          <w:lang w:val="es-ES_tradnl" w:eastAsia="es-ES"/>
        </w:rPr>
        <w:t xml:space="preserve"> publicación y </w:t>
      </w:r>
      <w:r w:rsidRPr="000C4CFF">
        <w:rPr>
          <w:rFonts w:ascii="Palatino Linotype" w:eastAsia="MS Mincho" w:hAnsi="Palatino Linotype" w:cs="Times New Roman"/>
          <w:b/>
          <w:i/>
          <w:sz w:val="24"/>
          <w:szCs w:val="24"/>
          <w:u w:val="single"/>
          <w:lang w:val="es-ES_tradnl" w:eastAsia="es-ES"/>
        </w:rPr>
        <w:t>entrega de información se deberá</w:t>
      </w:r>
      <w:r w:rsidRPr="000C4CFF">
        <w:rPr>
          <w:rFonts w:ascii="Palatino Linotype" w:eastAsia="MS Mincho" w:hAnsi="Palatino Linotype" w:cs="Times New Roman"/>
          <w:b/>
          <w:i/>
          <w:sz w:val="24"/>
          <w:szCs w:val="24"/>
          <w:lang w:val="es-ES_tradnl" w:eastAsia="es-ES"/>
        </w:rPr>
        <w:t xml:space="preserve"> garantizar que ésta sea accesible, actualizada, completa, congruente, confiable, verificable, veraz, integral, oportuna y expedita,</w:t>
      </w:r>
      <w:r w:rsidRPr="000C4CFF">
        <w:rPr>
          <w:rFonts w:ascii="Palatino Linotype" w:eastAsia="MS Mincho" w:hAnsi="Palatino Linotype" w:cs="Times New Roman"/>
          <w:i/>
          <w:sz w:val="24"/>
          <w:szCs w:val="24"/>
          <w:lang w:val="es-ES_tradnl" w:eastAsia="es-ES"/>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DC767E" w:rsidRPr="000C4CFF" w:rsidRDefault="00DC767E"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BB0A36" w:rsidRPr="000C4CFF" w:rsidRDefault="00BB0A36" w:rsidP="000C4CFF">
      <w:pPr>
        <w:pStyle w:val="Prrafodelista"/>
        <w:numPr>
          <w:ilvl w:val="0"/>
          <w:numId w:val="2"/>
        </w:numPr>
        <w:spacing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0C4CFF">
        <w:rPr>
          <w:rFonts w:ascii="Palatino Linotype" w:eastAsia="MS Mincho" w:hAnsi="Palatino Linotype" w:cs="Times New Roman"/>
          <w:b/>
          <w:sz w:val="24"/>
          <w:szCs w:val="24"/>
          <w:lang w:val="es-ES_tradnl" w:eastAsia="es-ES"/>
        </w:rPr>
        <w:t>SUJETOS OBLIGADOS</w:t>
      </w:r>
      <w:r w:rsidRPr="000C4CFF">
        <w:rPr>
          <w:rFonts w:ascii="Palatino Linotype" w:eastAsia="MS Mincho" w:hAnsi="Palatino Linotype" w:cs="Times New Roman"/>
          <w:sz w:val="24"/>
          <w:szCs w:val="24"/>
          <w:lang w:val="es-ES_tradnl" w:eastAsia="es-ES"/>
        </w:rPr>
        <w:t>, en ese sentido se procede a citar el siguiente Criterio:</w:t>
      </w:r>
    </w:p>
    <w:p w:rsidR="00DC767E" w:rsidRPr="000C4CFF" w:rsidRDefault="00DC767E"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BB0A36" w:rsidRPr="000C4CFF" w:rsidRDefault="00BB0A36" w:rsidP="000C4CFF">
      <w:pPr>
        <w:pStyle w:val="Prrafodelista"/>
        <w:tabs>
          <w:tab w:val="left" w:pos="8222"/>
        </w:tabs>
        <w:spacing w:before="240" w:after="360" w:line="360" w:lineRule="auto"/>
        <w:ind w:right="567"/>
        <w:jc w:val="both"/>
        <w:rPr>
          <w:rFonts w:ascii="Palatino Linotype" w:eastAsia="MS Mincho" w:hAnsi="Palatino Linotype" w:cs="Arial"/>
          <w:i/>
          <w:sz w:val="24"/>
          <w:szCs w:val="24"/>
          <w:lang w:eastAsia="es-ES"/>
        </w:rPr>
      </w:pPr>
      <w:r w:rsidRPr="000C4CFF">
        <w:rPr>
          <w:rFonts w:ascii="Palatino Linotype" w:eastAsia="MS Mincho" w:hAnsi="Palatino Linotype" w:cs="Arial"/>
          <w:b/>
          <w:i/>
          <w:sz w:val="24"/>
          <w:szCs w:val="24"/>
          <w:lang w:eastAsia="es-ES"/>
        </w:rPr>
        <w:t>El Instituto Federal de Acceso a la Información y Protección de Datos no cuenta con facultades para pronunciarse respecto de la veracidad de los documentos proporcionados por los sujetos obligados.</w:t>
      </w:r>
      <w:r w:rsidRPr="000C4CFF">
        <w:rPr>
          <w:rFonts w:ascii="Palatino Linotype" w:eastAsia="MS Mincho" w:hAnsi="Palatino Linotype" w:cs="Arial"/>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B0A36" w:rsidRPr="000C4CFF" w:rsidRDefault="00BB0A36" w:rsidP="000C4CFF">
      <w:pPr>
        <w:pStyle w:val="Prrafodelista"/>
        <w:tabs>
          <w:tab w:val="left" w:pos="8222"/>
        </w:tabs>
        <w:spacing w:before="240" w:after="360" w:line="360" w:lineRule="auto"/>
        <w:jc w:val="both"/>
        <w:rPr>
          <w:rFonts w:ascii="Palatino Linotype" w:eastAsia="MS Mincho" w:hAnsi="Palatino Linotype" w:cs="Arial"/>
          <w:i/>
          <w:sz w:val="24"/>
          <w:szCs w:val="24"/>
          <w:lang w:eastAsia="es-ES"/>
        </w:rPr>
      </w:pPr>
      <w:r w:rsidRPr="000C4CFF">
        <w:rPr>
          <w:rFonts w:ascii="Palatino Linotype" w:eastAsia="MS Mincho" w:hAnsi="Palatino Linotype" w:cs="Arial"/>
          <w:i/>
          <w:sz w:val="24"/>
          <w:szCs w:val="24"/>
          <w:lang w:eastAsia="es-ES"/>
        </w:rPr>
        <w:t>Expedientes:</w:t>
      </w:r>
    </w:p>
    <w:p w:rsidR="00BB0A36" w:rsidRPr="000C4CFF" w:rsidRDefault="00BB0A36" w:rsidP="000C4CFF">
      <w:pPr>
        <w:pStyle w:val="Prrafodelista"/>
        <w:tabs>
          <w:tab w:val="left" w:pos="8222"/>
        </w:tabs>
        <w:spacing w:before="240" w:after="360" w:line="360" w:lineRule="auto"/>
        <w:jc w:val="both"/>
        <w:rPr>
          <w:rFonts w:ascii="Palatino Linotype" w:eastAsia="MS Mincho" w:hAnsi="Palatino Linotype" w:cs="Arial"/>
          <w:i/>
          <w:sz w:val="24"/>
          <w:szCs w:val="24"/>
          <w:lang w:eastAsia="es-ES"/>
        </w:rPr>
      </w:pPr>
      <w:r w:rsidRPr="000C4CFF">
        <w:rPr>
          <w:rFonts w:ascii="Palatino Linotype" w:eastAsia="MS Mincho" w:hAnsi="Palatino Linotype" w:cs="Arial"/>
          <w:i/>
          <w:sz w:val="24"/>
          <w:szCs w:val="24"/>
          <w:lang w:eastAsia="es-ES"/>
        </w:rPr>
        <w:t>2440/07 Comisión Federal de Electricidad - Alonso Lujambio Irazábal</w:t>
      </w:r>
    </w:p>
    <w:p w:rsidR="00BB0A36" w:rsidRPr="000C4CFF" w:rsidRDefault="00BB0A36" w:rsidP="000C4CFF">
      <w:pPr>
        <w:pStyle w:val="Prrafodelista"/>
        <w:tabs>
          <w:tab w:val="left" w:pos="8222"/>
        </w:tabs>
        <w:spacing w:before="240" w:after="360" w:line="360" w:lineRule="auto"/>
        <w:jc w:val="both"/>
        <w:rPr>
          <w:rFonts w:ascii="Palatino Linotype" w:eastAsia="MS Mincho" w:hAnsi="Palatino Linotype" w:cs="Arial"/>
          <w:i/>
          <w:sz w:val="24"/>
          <w:szCs w:val="24"/>
          <w:lang w:eastAsia="es-ES"/>
        </w:rPr>
      </w:pPr>
      <w:r w:rsidRPr="000C4CFF">
        <w:rPr>
          <w:rFonts w:ascii="Palatino Linotype" w:eastAsia="MS Mincho" w:hAnsi="Palatino Linotype" w:cs="Arial"/>
          <w:i/>
          <w:sz w:val="24"/>
          <w:szCs w:val="24"/>
          <w:lang w:eastAsia="es-ES"/>
        </w:rPr>
        <w:t>0113/09 Instituto de Seguridad y Servicios Sociales de los Trabajadores del</w:t>
      </w:r>
    </w:p>
    <w:p w:rsidR="00BB0A36" w:rsidRPr="000C4CFF" w:rsidRDefault="00BB0A36" w:rsidP="000C4CFF">
      <w:pPr>
        <w:pStyle w:val="Prrafodelista"/>
        <w:tabs>
          <w:tab w:val="left" w:pos="8222"/>
        </w:tabs>
        <w:spacing w:before="240" w:after="360" w:line="360" w:lineRule="auto"/>
        <w:jc w:val="both"/>
        <w:rPr>
          <w:rFonts w:ascii="Palatino Linotype" w:eastAsia="MS Mincho" w:hAnsi="Palatino Linotype" w:cs="Arial"/>
          <w:i/>
          <w:sz w:val="24"/>
          <w:szCs w:val="24"/>
          <w:lang w:eastAsia="es-ES"/>
        </w:rPr>
      </w:pPr>
      <w:r w:rsidRPr="000C4CFF">
        <w:rPr>
          <w:rFonts w:ascii="Palatino Linotype" w:eastAsia="MS Mincho" w:hAnsi="Palatino Linotype" w:cs="Arial"/>
          <w:i/>
          <w:sz w:val="24"/>
          <w:szCs w:val="24"/>
          <w:lang w:eastAsia="es-ES"/>
        </w:rPr>
        <w:t>Estado – Alonso Lujambio Irazábal</w:t>
      </w:r>
    </w:p>
    <w:p w:rsidR="00BB0A36" w:rsidRPr="000C4CFF" w:rsidRDefault="00BB0A36" w:rsidP="000C4CFF">
      <w:pPr>
        <w:pStyle w:val="Prrafodelista"/>
        <w:tabs>
          <w:tab w:val="left" w:pos="8222"/>
        </w:tabs>
        <w:spacing w:before="240" w:after="360" w:line="360" w:lineRule="auto"/>
        <w:jc w:val="both"/>
        <w:rPr>
          <w:rFonts w:ascii="Palatino Linotype" w:eastAsia="MS Mincho" w:hAnsi="Palatino Linotype" w:cs="Arial"/>
          <w:i/>
          <w:sz w:val="24"/>
          <w:szCs w:val="24"/>
          <w:lang w:eastAsia="es-ES"/>
        </w:rPr>
      </w:pPr>
      <w:r w:rsidRPr="000C4CFF">
        <w:rPr>
          <w:rFonts w:ascii="Palatino Linotype" w:eastAsia="MS Mincho" w:hAnsi="Palatino Linotype" w:cs="Arial"/>
          <w:i/>
          <w:sz w:val="24"/>
          <w:szCs w:val="24"/>
          <w:lang w:eastAsia="es-ES"/>
        </w:rPr>
        <w:t xml:space="preserve">1624/09 Instituto Nacional para la Educación de los Adultos - María </w:t>
      </w:r>
      <w:proofErr w:type="spellStart"/>
      <w:r w:rsidRPr="000C4CFF">
        <w:rPr>
          <w:rFonts w:ascii="Palatino Linotype" w:eastAsia="MS Mincho" w:hAnsi="Palatino Linotype" w:cs="Arial"/>
          <w:i/>
          <w:sz w:val="24"/>
          <w:szCs w:val="24"/>
          <w:lang w:eastAsia="es-ES"/>
        </w:rPr>
        <w:t>Marván</w:t>
      </w:r>
      <w:proofErr w:type="spellEnd"/>
      <w:r w:rsidRPr="000C4CFF">
        <w:rPr>
          <w:rFonts w:ascii="Palatino Linotype" w:eastAsia="MS Mincho" w:hAnsi="Palatino Linotype" w:cs="Arial"/>
          <w:i/>
          <w:sz w:val="24"/>
          <w:szCs w:val="24"/>
          <w:lang w:eastAsia="es-ES"/>
        </w:rPr>
        <w:t xml:space="preserve"> Laborde</w:t>
      </w:r>
    </w:p>
    <w:p w:rsidR="00BB0A36" w:rsidRPr="000C4CFF" w:rsidRDefault="00BB0A36" w:rsidP="000C4CFF">
      <w:pPr>
        <w:pStyle w:val="Prrafodelista"/>
        <w:tabs>
          <w:tab w:val="left" w:pos="8222"/>
        </w:tabs>
        <w:spacing w:before="240" w:after="360" w:line="360" w:lineRule="auto"/>
        <w:jc w:val="both"/>
        <w:rPr>
          <w:rFonts w:ascii="Palatino Linotype" w:eastAsia="MS Mincho" w:hAnsi="Palatino Linotype" w:cs="Arial"/>
          <w:i/>
          <w:sz w:val="24"/>
          <w:szCs w:val="24"/>
          <w:lang w:eastAsia="es-ES"/>
        </w:rPr>
      </w:pPr>
      <w:r w:rsidRPr="000C4CFF">
        <w:rPr>
          <w:rFonts w:ascii="Palatino Linotype" w:eastAsia="MS Mincho" w:hAnsi="Palatino Linotype" w:cs="Arial"/>
          <w:i/>
          <w:sz w:val="24"/>
          <w:szCs w:val="24"/>
          <w:lang w:eastAsia="es-ES"/>
        </w:rPr>
        <w:t xml:space="preserve">2395/09 Secretaría de Economía - María </w:t>
      </w:r>
      <w:proofErr w:type="spellStart"/>
      <w:r w:rsidRPr="000C4CFF">
        <w:rPr>
          <w:rFonts w:ascii="Palatino Linotype" w:eastAsia="MS Mincho" w:hAnsi="Palatino Linotype" w:cs="Arial"/>
          <w:i/>
          <w:sz w:val="24"/>
          <w:szCs w:val="24"/>
          <w:lang w:eastAsia="es-ES"/>
        </w:rPr>
        <w:t>Marván</w:t>
      </w:r>
      <w:proofErr w:type="spellEnd"/>
      <w:r w:rsidRPr="000C4CFF">
        <w:rPr>
          <w:rFonts w:ascii="Palatino Linotype" w:eastAsia="MS Mincho" w:hAnsi="Palatino Linotype" w:cs="Arial"/>
          <w:i/>
          <w:sz w:val="24"/>
          <w:szCs w:val="24"/>
          <w:lang w:eastAsia="es-ES"/>
        </w:rPr>
        <w:t xml:space="preserve"> Laborde</w:t>
      </w:r>
    </w:p>
    <w:p w:rsidR="00BB0A36" w:rsidRPr="000C4CFF" w:rsidRDefault="00BB0A36" w:rsidP="000C4CFF">
      <w:pPr>
        <w:pStyle w:val="Prrafodelista"/>
        <w:tabs>
          <w:tab w:val="left" w:pos="8222"/>
        </w:tabs>
        <w:spacing w:before="240" w:after="360" w:line="360" w:lineRule="auto"/>
        <w:ind w:right="567"/>
        <w:jc w:val="both"/>
        <w:rPr>
          <w:rFonts w:ascii="Palatino Linotype" w:eastAsia="MS Mincho" w:hAnsi="Palatino Linotype" w:cs="Arial"/>
          <w:i/>
          <w:sz w:val="24"/>
          <w:szCs w:val="24"/>
          <w:lang w:eastAsia="es-ES"/>
        </w:rPr>
      </w:pPr>
      <w:r w:rsidRPr="000C4CFF">
        <w:rPr>
          <w:rFonts w:ascii="Palatino Linotype" w:eastAsia="MS Mincho" w:hAnsi="Palatino Linotype" w:cs="Arial"/>
          <w:i/>
          <w:sz w:val="24"/>
          <w:szCs w:val="24"/>
          <w:lang w:eastAsia="es-ES"/>
        </w:rPr>
        <w:t xml:space="preserve">0837/10 Administración Portuaria Integral de Veracruz, S.A. de C.V. – María </w:t>
      </w:r>
      <w:proofErr w:type="spellStart"/>
      <w:r w:rsidRPr="000C4CFF">
        <w:rPr>
          <w:rFonts w:ascii="Palatino Linotype" w:eastAsia="MS Mincho" w:hAnsi="Palatino Linotype" w:cs="Arial"/>
          <w:i/>
          <w:sz w:val="24"/>
          <w:szCs w:val="24"/>
          <w:lang w:eastAsia="es-ES"/>
        </w:rPr>
        <w:t>Marván</w:t>
      </w:r>
      <w:proofErr w:type="spellEnd"/>
      <w:r w:rsidRPr="000C4CFF">
        <w:rPr>
          <w:rFonts w:ascii="Palatino Linotype" w:eastAsia="MS Mincho" w:hAnsi="Palatino Linotype" w:cs="Arial"/>
          <w:i/>
          <w:sz w:val="24"/>
          <w:szCs w:val="24"/>
          <w:lang w:eastAsia="es-ES"/>
        </w:rPr>
        <w:t xml:space="preserve"> Laborde.</w:t>
      </w:r>
    </w:p>
    <w:p w:rsidR="00BB0A36" w:rsidRPr="000C4CFF" w:rsidRDefault="00BB0A36" w:rsidP="000C4CFF">
      <w:pPr>
        <w:pStyle w:val="Prrafodelista"/>
        <w:spacing w:after="0" w:line="360" w:lineRule="auto"/>
        <w:ind w:left="426"/>
        <w:jc w:val="both"/>
        <w:rPr>
          <w:rFonts w:ascii="Palatino Linotype" w:eastAsia="MS Mincho" w:hAnsi="Palatino Linotype" w:cs="Times New Roman"/>
          <w:sz w:val="24"/>
          <w:szCs w:val="24"/>
          <w:lang w:val="es-ES_tradnl" w:eastAsia="es-ES"/>
        </w:rPr>
      </w:pPr>
    </w:p>
    <w:p w:rsidR="00BB0A36" w:rsidRPr="000C4CFF" w:rsidRDefault="00BB0A36" w:rsidP="000C4CFF">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Por ende, cuando por cualquier motivo quede sin materia el recurso, es decir que el </w:t>
      </w:r>
      <w:r w:rsidRPr="000C4CFF">
        <w:rPr>
          <w:rFonts w:ascii="Palatino Linotype" w:eastAsia="MS Mincho" w:hAnsi="Palatino Linotype" w:cs="Times New Roman"/>
          <w:b/>
          <w:sz w:val="24"/>
          <w:szCs w:val="24"/>
          <w:lang w:val="es-ES_tradnl" w:eastAsia="es-ES"/>
        </w:rPr>
        <w:t>SUJETO OBLIGADO</w:t>
      </w:r>
      <w:r w:rsidRPr="000C4CFF">
        <w:rPr>
          <w:rFonts w:ascii="Palatino Linotype" w:eastAsia="MS Mincho" w:hAnsi="Palatino Linotype" w:cs="Times New Roman"/>
          <w:sz w:val="24"/>
          <w:szCs w:val="24"/>
          <w:lang w:val="es-ES_tradnl" w:eastAsia="es-ES"/>
        </w:rPr>
        <w:t xml:space="preserve"> cause una afectación al derecho de acceso a la información por la falta de respuesta, pero en la substanciación del recurso de revisión que es el medio natural e idóneo para restituir o reparar el derecho a través del informe justificado colma este derecho, lo que se traduce como una reparación que hace negar toda controversia al colmar y restituir el mismo.</w:t>
      </w:r>
    </w:p>
    <w:p w:rsidR="00BB0A36" w:rsidRPr="000C4CFF" w:rsidRDefault="00BB0A36" w:rsidP="000C4CFF">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BB0A36" w:rsidRPr="000C4CFF" w:rsidRDefault="00BB0A36" w:rsidP="000C4CFF">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En el presente asunto, este Pleno advierte que el </w:t>
      </w:r>
      <w:r w:rsidRPr="000C4CFF">
        <w:rPr>
          <w:rFonts w:ascii="Palatino Linotype" w:eastAsia="MS Mincho" w:hAnsi="Palatino Linotype" w:cs="Times New Roman"/>
          <w:b/>
          <w:sz w:val="24"/>
          <w:szCs w:val="24"/>
          <w:lang w:val="es-ES_tradnl" w:eastAsia="es-ES"/>
        </w:rPr>
        <w:t>SUJETO OBLIGADO</w:t>
      </w:r>
      <w:r w:rsidRPr="000C4CFF">
        <w:rPr>
          <w:rFonts w:ascii="Palatino Linotype" w:eastAsia="MS Mincho" w:hAnsi="Palatino Linotype" w:cs="Times New Roman"/>
          <w:sz w:val="24"/>
          <w:szCs w:val="24"/>
          <w:lang w:val="es-ES_tradnl" w:eastAsia="es-ES"/>
        </w:rPr>
        <w:t xml:space="preserve"> con la información remitida en el informe justificado, subsanó la falta de respuesta y otorga la información solicitada, acto que le dio origen al recurso de revisión, motivo por el cual el mismo quede sin materia, actualizándose de este modo, la hipótesis jurídica contenida en la fracción V del artículo 192 de la Ley en materia, al haber proporcionado la información que no se hizo en el plazo establecido por el artículo 163 primer párrafo.</w:t>
      </w:r>
    </w:p>
    <w:p w:rsidR="00BB0A36" w:rsidRPr="000C4CFF" w:rsidRDefault="00BB0A36" w:rsidP="000C4CFF">
      <w:pPr>
        <w:pStyle w:val="Prrafodelista"/>
        <w:spacing w:after="0" w:line="360" w:lineRule="auto"/>
        <w:ind w:left="360"/>
        <w:jc w:val="both"/>
        <w:rPr>
          <w:rFonts w:ascii="Palatino Linotype" w:eastAsia="MS Mincho" w:hAnsi="Palatino Linotype" w:cs="Times New Roman"/>
          <w:sz w:val="24"/>
          <w:szCs w:val="24"/>
          <w:lang w:val="es-ES_tradnl" w:eastAsia="es-ES"/>
        </w:rPr>
      </w:pPr>
    </w:p>
    <w:p w:rsidR="00BB0A36" w:rsidRPr="000C4CFF" w:rsidRDefault="00BB0A36" w:rsidP="000C4CFF">
      <w:pPr>
        <w:spacing w:after="0" w:line="360" w:lineRule="auto"/>
        <w:ind w:left="426" w:right="567"/>
        <w:contextualSpacing/>
        <w:jc w:val="both"/>
        <w:rPr>
          <w:rFonts w:ascii="Palatino Linotype" w:eastAsia="MS Mincho" w:hAnsi="Palatino Linotype" w:cstheme="majorBidi"/>
          <w:i/>
          <w:sz w:val="24"/>
          <w:szCs w:val="24"/>
          <w:lang w:val="es-ES_tradnl" w:eastAsia="es-ES"/>
        </w:rPr>
      </w:pPr>
      <w:r w:rsidRPr="000C4CFF">
        <w:rPr>
          <w:rFonts w:ascii="Palatino Linotype" w:eastAsia="MS Mincho" w:hAnsi="Palatino Linotype" w:cstheme="majorBidi"/>
          <w:i/>
          <w:sz w:val="24"/>
          <w:szCs w:val="24"/>
          <w:lang w:val="es-ES_tradnl" w:eastAsia="es-ES"/>
        </w:rPr>
        <w:t xml:space="preserve">Artículo 163. La Unidad de Transparencia deberá notificar </w:t>
      </w:r>
      <w:r w:rsidRPr="000C4CFF">
        <w:rPr>
          <w:rFonts w:ascii="Palatino Linotype" w:eastAsia="MS Mincho" w:hAnsi="Palatino Linotype" w:cstheme="majorBidi"/>
          <w:b/>
          <w:i/>
          <w:sz w:val="24"/>
          <w:szCs w:val="24"/>
          <w:lang w:val="es-ES_tradnl" w:eastAsia="es-ES"/>
        </w:rPr>
        <w:t>la respuesta a la solicitud al interesado en el menor tiempo posible, que no podrá exceder de quince días hábiles, contados a partir del día siguiente a la presentación de aquella</w:t>
      </w:r>
      <w:r w:rsidRPr="000C4CFF">
        <w:rPr>
          <w:rFonts w:ascii="Palatino Linotype" w:eastAsia="MS Mincho" w:hAnsi="Palatino Linotype" w:cstheme="majorBidi"/>
          <w:i/>
          <w:sz w:val="24"/>
          <w:szCs w:val="24"/>
          <w:lang w:val="es-ES_tradnl" w:eastAsia="es-ES"/>
        </w:rPr>
        <w:t>.</w:t>
      </w:r>
    </w:p>
    <w:p w:rsidR="00BB0A36" w:rsidRPr="000C4CFF" w:rsidRDefault="00BB0A36" w:rsidP="000C4CFF">
      <w:pPr>
        <w:spacing w:after="0" w:line="360" w:lineRule="auto"/>
        <w:ind w:left="426" w:right="49"/>
        <w:contextualSpacing/>
        <w:jc w:val="both"/>
        <w:rPr>
          <w:rFonts w:ascii="Palatino Linotype" w:eastAsia="MS Mincho" w:hAnsi="Palatino Linotype" w:cstheme="majorBidi"/>
          <w:i/>
          <w:sz w:val="24"/>
          <w:szCs w:val="24"/>
          <w:lang w:val="es-ES_tradnl" w:eastAsia="es-ES"/>
        </w:rPr>
      </w:pPr>
      <w:r w:rsidRPr="000C4CFF">
        <w:rPr>
          <w:rFonts w:ascii="Palatino Linotype" w:eastAsia="MS Mincho" w:hAnsi="Palatino Linotype" w:cstheme="majorBidi"/>
          <w:i/>
          <w:sz w:val="24"/>
          <w:szCs w:val="24"/>
          <w:lang w:val="es-ES_tradnl" w:eastAsia="es-ES"/>
        </w:rPr>
        <w:t>…</w:t>
      </w:r>
    </w:p>
    <w:p w:rsidR="00BB0A36" w:rsidRPr="000C4CFF" w:rsidRDefault="00BB0A36"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BB0A36" w:rsidRPr="000C4CFF" w:rsidRDefault="00BB0A36" w:rsidP="000C4CFF">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falta de respuesta de información no proporcionada por los </w:t>
      </w:r>
      <w:r w:rsidRPr="000C4CFF">
        <w:rPr>
          <w:rFonts w:ascii="Palatino Linotype" w:eastAsia="MS Mincho" w:hAnsi="Palatino Linotype" w:cs="Times New Roman"/>
          <w:b/>
          <w:sz w:val="24"/>
          <w:szCs w:val="24"/>
          <w:lang w:val="es-ES_tradnl" w:eastAsia="es-ES"/>
        </w:rPr>
        <w:t>SUJETOS OBLIGADOS</w:t>
      </w:r>
      <w:r w:rsidRPr="000C4CFF">
        <w:rPr>
          <w:rFonts w:ascii="Palatino Linotype" w:eastAsia="MS Mincho" w:hAnsi="Palatino Linotype" w:cs="Times New Roman"/>
          <w:sz w:val="24"/>
          <w:szCs w:val="24"/>
          <w:lang w:val="es-ES_tradnl" w:eastAsia="es-ES"/>
        </w:rPr>
        <w:t xml:space="preserve"> o la negativa de no entregar la misma, derivada de la solicitud de información pública.</w:t>
      </w:r>
    </w:p>
    <w:p w:rsidR="00BB0A36" w:rsidRPr="000C4CFF" w:rsidRDefault="00BB0A36" w:rsidP="000C4CFF">
      <w:pPr>
        <w:spacing w:after="0" w:line="360" w:lineRule="auto"/>
        <w:ind w:left="426" w:right="49"/>
        <w:contextualSpacing/>
        <w:jc w:val="both"/>
        <w:rPr>
          <w:rFonts w:ascii="Palatino Linotype" w:eastAsia="MS Mincho" w:hAnsi="Palatino Linotype" w:cstheme="majorBidi"/>
          <w:sz w:val="24"/>
          <w:szCs w:val="24"/>
          <w:lang w:val="es-ES_tradnl" w:eastAsia="es-ES"/>
        </w:rPr>
      </w:pPr>
    </w:p>
    <w:p w:rsidR="00BB0A36" w:rsidRPr="000C4CFF" w:rsidRDefault="00BB0A36" w:rsidP="000C4CFF">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De este modo, cuando el </w:t>
      </w:r>
      <w:r w:rsidRPr="000C4CFF">
        <w:rPr>
          <w:rFonts w:ascii="Palatino Linotype" w:eastAsia="MS Mincho" w:hAnsi="Palatino Linotype" w:cs="Times New Roman"/>
          <w:b/>
          <w:sz w:val="24"/>
          <w:szCs w:val="24"/>
          <w:lang w:val="es-ES_tradnl" w:eastAsia="es-ES"/>
        </w:rPr>
        <w:t>SUJETO OBLIGADO</w:t>
      </w:r>
      <w:r w:rsidRPr="000C4CFF">
        <w:rPr>
          <w:rFonts w:ascii="Palatino Linotype" w:eastAsia="MS Mincho" w:hAnsi="Palatino Linotype" w:cs="Times New Roman"/>
          <w:sz w:val="24"/>
          <w:szCs w:val="24"/>
          <w:lang w:val="es-ES_tradnl" w:eastAsia="es-ES"/>
        </w:rPr>
        <w:t xml:space="preserve">, antes de que se dicte resolución definitiva, </w:t>
      </w:r>
      <w:r w:rsidRPr="000C4CFF">
        <w:rPr>
          <w:rFonts w:ascii="Palatino Linotype" w:eastAsia="MS Mincho" w:hAnsi="Palatino Linotype" w:cs="Times New Roman"/>
          <w:b/>
          <w:sz w:val="24"/>
          <w:szCs w:val="24"/>
          <w:lang w:val="es-ES_tradnl" w:eastAsia="es-ES"/>
        </w:rPr>
        <w:t>entrega la información solicitada</w:t>
      </w:r>
      <w:r w:rsidRPr="000C4CFF">
        <w:rPr>
          <w:rFonts w:ascii="Palatino Linotype" w:eastAsia="MS Mincho" w:hAnsi="Palatino Linotype" w:cs="Times New Roman"/>
          <w:sz w:val="24"/>
          <w:szCs w:val="24"/>
          <w:lang w:val="es-ES_tradnl" w:eastAsia="es-ES"/>
        </w:rPr>
        <w:t xml:space="preserve"> o completa la información que en un primer momento fue incompleta, ilegible o no correspondió con lo solicitado; el recurso de revisión que al efecto se haya interpuesto queda sin materia lo que imposibilita el estudio de fondo de la </w:t>
      </w:r>
      <w:proofErr w:type="spellStart"/>
      <w:r w:rsidRPr="000C4CFF">
        <w:rPr>
          <w:rFonts w:ascii="Palatino Linotype" w:eastAsia="MS Mincho" w:hAnsi="Palatino Linotype" w:cs="Times New Roman"/>
          <w:sz w:val="24"/>
          <w:szCs w:val="24"/>
          <w:lang w:val="es-ES_tradnl" w:eastAsia="es-ES"/>
        </w:rPr>
        <w:t>litis</w:t>
      </w:r>
      <w:proofErr w:type="spellEnd"/>
      <w:r w:rsidRPr="000C4CFF">
        <w:rPr>
          <w:rFonts w:ascii="Palatino Linotype" w:eastAsia="MS Mincho" w:hAnsi="Palatino Linotype" w:cs="Times New Roman"/>
          <w:sz w:val="24"/>
          <w:szCs w:val="24"/>
          <w:lang w:val="es-ES_tradnl" w:eastAsia="es-ES"/>
        </w:rPr>
        <w:t xml:space="preserve"> planteada, debido a que la afectación en su esfera de derechos fue restituida por la propia autoridad que emitió el acto motivo de impugnación.</w:t>
      </w:r>
    </w:p>
    <w:p w:rsidR="00BB0A36" w:rsidRPr="000C4CFF" w:rsidRDefault="00BB0A36" w:rsidP="000C4CFF">
      <w:pPr>
        <w:pStyle w:val="Prrafodelista"/>
        <w:spacing w:line="360" w:lineRule="auto"/>
        <w:rPr>
          <w:rFonts w:ascii="Palatino Linotype" w:eastAsia="MS Mincho" w:hAnsi="Palatino Linotype" w:cs="Times New Roman"/>
          <w:sz w:val="24"/>
          <w:szCs w:val="24"/>
          <w:lang w:val="es-ES_tradnl" w:eastAsia="es-ES"/>
        </w:rPr>
      </w:pPr>
    </w:p>
    <w:p w:rsidR="00BB0A36" w:rsidRPr="000C4CFF" w:rsidRDefault="00BB0A36" w:rsidP="000C4CFF">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Sirve de sustento a lo anterior la siguiente jurisprudencia por contradicción, cuyo rubro, texto y datos de identificación son los siguientes:</w:t>
      </w:r>
    </w:p>
    <w:p w:rsidR="00BB0A36" w:rsidRPr="000C4CFF" w:rsidRDefault="00BB0A36" w:rsidP="000C4CFF">
      <w:pPr>
        <w:pStyle w:val="Prrafodelista"/>
        <w:spacing w:after="0" w:line="360" w:lineRule="auto"/>
        <w:ind w:left="426"/>
        <w:jc w:val="both"/>
        <w:rPr>
          <w:rFonts w:ascii="Palatino Linotype" w:eastAsia="MS Mincho" w:hAnsi="Palatino Linotype" w:cs="Times New Roman"/>
          <w:sz w:val="24"/>
          <w:szCs w:val="24"/>
          <w:lang w:val="es-ES_tradnl" w:eastAsia="es-ES"/>
        </w:rPr>
      </w:pPr>
    </w:p>
    <w:p w:rsidR="00BB0A36" w:rsidRPr="000C4CFF" w:rsidRDefault="00BB0A36" w:rsidP="000C4CFF">
      <w:pPr>
        <w:pStyle w:val="Prrafodelista"/>
        <w:spacing w:after="0" w:line="360" w:lineRule="auto"/>
        <w:ind w:left="567" w:right="567"/>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b/>
          <w:i/>
          <w:sz w:val="24"/>
          <w:szCs w:val="24"/>
          <w:lang w:val="es-ES_tradnl" w:eastAsia="es-ES"/>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 </w:t>
      </w:r>
      <w:r w:rsidRPr="000C4CFF">
        <w:rPr>
          <w:rFonts w:ascii="Palatino Linotype" w:eastAsia="MS Mincho" w:hAnsi="Palatino Linotype" w:cs="Times New Roman"/>
          <w:i/>
          <w:sz w:val="24"/>
          <w:szCs w:val="24"/>
          <w:lang w:val="es-ES_tradnl" w:eastAsia="es-ES"/>
        </w:rPr>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BB0A36" w:rsidRPr="000C4CFF" w:rsidRDefault="00BB0A36" w:rsidP="000C4CFF">
      <w:pPr>
        <w:pStyle w:val="Prrafodelista"/>
        <w:spacing w:after="0" w:line="360" w:lineRule="auto"/>
        <w:ind w:left="426"/>
        <w:jc w:val="both"/>
        <w:rPr>
          <w:rFonts w:ascii="Palatino Linotype" w:eastAsia="MS Mincho" w:hAnsi="Palatino Linotype" w:cs="Times New Roman"/>
          <w:sz w:val="24"/>
          <w:szCs w:val="24"/>
          <w:lang w:val="es-ES_tradnl" w:eastAsia="es-ES"/>
        </w:rPr>
      </w:pPr>
    </w:p>
    <w:p w:rsidR="00BB0A36" w:rsidRPr="000C4CFF" w:rsidRDefault="00BB0A36" w:rsidP="000C4CFF">
      <w:pPr>
        <w:pStyle w:val="Prrafodelista"/>
        <w:numPr>
          <w:ilvl w:val="0"/>
          <w:numId w:val="2"/>
        </w:numPr>
        <w:spacing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En este sentido, sirve como criterio orientador para resolución lo que establece el más alto tribunal del país como continuación se muestra:</w:t>
      </w:r>
    </w:p>
    <w:p w:rsidR="00BB0A36" w:rsidRPr="000C4CFF" w:rsidRDefault="00BB0A36" w:rsidP="000C4CFF">
      <w:pPr>
        <w:pStyle w:val="Prrafodelista"/>
        <w:spacing w:after="0" w:line="360" w:lineRule="auto"/>
        <w:ind w:left="426"/>
        <w:jc w:val="both"/>
        <w:rPr>
          <w:rFonts w:ascii="Palatino Linotype" w:eastAsia="MS Mincho" w:hAnsi="Palatino Linotype" w:cs="Times New Roman"/>
          <w:sz w:val="24"/>
          <w:szCs w:val="24"/>
          <w:lang w:val="es-ES_tradnl" w:eastAsia="es-ES"/>
        </w:rPr>
      </w:pPr>
    </w:p>
    <w:p w:rsidR="00BB0A36" w:rsidRPr="000C4CFF" w:rsidRDefault="00BB0A36" w:rsidP="000C4CFF">
      <w:pPr>
        <w:spacing w:after="0" w:line="360" w:lineRule="auto"/>
        <w:ind w:left="567" w:right="616"/>
        <w:jc w:val="both"/>
        <w:rPr>
          <w:rFonts w:ascii="Palatino Linotype" w:eastAsia="MS Mincho" w:hAnsi="Palatino Linotype" w:cs="Times New Roman"/>
          <w:i/>
          <w:sz w:val="24"/>
          <w:szCs w:val="24"/>
          <w:lang w:val="es-ES_tradnl" w:eastAsia="es-ES"/>
        </w:rPr>
      </w:pPr>
      <w:r w:rsidRPr="000C4CFF">
        <w:rPr>
          <w:rFonts w:ascii="Palatino Linotype" w:eastAsia="MS Mincho" w:hAnsi="Palatino Linotype" w:cs="Times New Roman"/>
          <w:b/>
          <w:i/>
          <w:sz w:val="24"/>
          <w:szCs w:val="24"/>
          <w:lang w:val="es-ES_tradnl" w:eastAsia="es-ES"/>
        </w:rPr>
        <w:t xml:space="preserve">SOBRESEIMIENTO EN EL JUICIO DE AMPARO DIRECTO. IMPIDE EL ESTUDIO DE LAS VIOLACIONES PROCESALES PLANTEADAS EN LOS CONCEPTOS DE VIOLACIÓN. </w:t>
      </w:r>
      <w:r w:rsidRPr="000C4CFF">
        <w:rPr>
          <w:rFonts w:ascii="Palatino Linotype" w:eastAsia="MS Mincho" w:hAnsi="Palatino Linotype" w:cs="Times New Roman"/>
          <w:i/>
          <w:sz w:val="24"/>
          <w:szCs w:val="24"/>
          <w:lang w:val="es-ES_tradnl" w:eastAsia="es-ES"/>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BB0A36" w:rsidRPr="000C4CFF" w:rsidRDefault="00BB0A36" w:rsidP="000C4CFF">
      <w:pPr>
        <w:spacing w:after="0" w:line="360" w:lineRule="auto"/>
        <w:ind w:left="567" w:right="616"/>
        <w:jc w:val="both"/>
        <w:rPr>
          <w:rFonts w:ascii="Palatino Linotype" w:eastAsia="MS Mincho" w:hAnsi="Palatino Linotype" w:cs="Times New Roman"/>
          <w:i/>
          <w:sz w:val="24"/>
          <w:szCs w:val="24"/>
          <w:lang w:val="es-ES_tradnl" w:eastAsia="es-ES"/>
        </w:rPr>
      </w:pPr>
      <w:r w:rsidRPr="000C4CFF">
        <w:rPr>
          <w:rFonts w:ascii="Palatino Linotype" w:eastAsia="MS Mincho" w:hAnsi="Palatino Linotype" w:cs="Times New Roman"/>
          <w:i/>
          <w:sz w:val="24"/>
          <w:szCs w:val="24"/>
          <w:lang w:val="es-ES_tradnl" w:eastAsia="es-ES"/>
        </w:rPr>
        <w:t>SÉPTIMO TRIBUNAL COLEGIADO EN MATERIA CIVIL DEL PRIMER CIRCUITO.</w:t>
      </w:r>
    </w:p>
    <w:p w:rsidR="00BB0A36" w:rsidRPr="000C4CFF" w:rsidRDefault="00BB0A36" w:rsidP="000C4CFF">
      <w:pPr>
        <w:spacing w:after="0" w:line="360" w:lineRule="auto"/>
        <w:ind w:left="567" w:right="616"/>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i/>
          <w:sz w:val="24"/>
          <w:szCs w:val="24"/>
          <w:lang w:val="es-ES_tradnl" w:eastAsia="es-ES"/>
        </w:rPr>
        <w:t xml:space="preserve">Amparo directo 699/2008. Mariana Leticia González </w:t>
      </w:r>
      <w:proofErr w:type="spellStart"/>
      <w:r w:rsidRPr="000C4CFF">
        <w:rPr>
          <w:rFonts w:ascii="Palatino Linotype" w:eastAsia="MS Mincho" w:hAnsi="Palatino Linotype" w:cs="Times New Roman"/>
          <w:i/>
          <w:sz w:val="24"/>
          <w:szCs w:val="24"/>
          <w:lang w:val="es-ES_tradnl" w:eastAsia="es-ES"/>
        </w:rPr>
        <w:t>Steele</w:t>
      </w:r>
      <w:proofErr w:type="spellEnd"/>
      <w:r w:rsidRPr="000C4CFF">
        <w:rPr>
          <w:rFonts w:ascii="Palatino Linotype" w:eastAsia="MS Mincho" w:hAnsi="Palatino Linotype" w:cs="Times New Roman"/>
          <w:i/>
          <w:sz w:val="24"/>
          <w:szCs w:val="24"/>
          <w:lang w:val="es-ES_tradnl" w:eastAsia="es-ES"/>
        </w:rPr>
        <w:t>. 13 de noviembre de 2008. Unanimidad de votos. Ponente: Sara Judith Montalvo Trejo. Secretario: Arnulfo Mateos García</w:t>
      </w:r>
      <w:r w:rsidRPr="000C4CFF">
        <w:rPr>
          <w:rFonts w:ascii="Palatino Linotype" w:eastAsia="MS Mincho" w:hAnsi="Palatino Linotype" w:cs="Times New Roman"/>
          <w:sz w:val="24"/>
          <w:szCs w:val="24"/>
          <w:lang w:val="es-ES_tradnl" w:eastAsia="es-ES"/>
        </w:rPr>
        <w:t>.</w:t>
      </w:r>
    </w:p>
    <w:p w:rsidR="00BB0A36" w:rsidRPr="000C4CFF" w:rsidRDefault="00BB0A36" w:rsidP="000C4CFF">
      <w:pPr>
        <w:spacing w:after="0" w:line="360" w:lineRule="auto"/>
        <w:jc w:val="both"/>
        <w:rPr>
          <w:rFonts w:ascii="Palatino Linotype" w:eastAsia="MS Mincho" w:hAnsi="Palatino Linotype" w:cs="Times New Roman"/>
          <w:sz w:val="24"/>
          <w:szCs w:val="24"/>
          <w:lang w:val="es-ES_tradnl" w:eastAsia="es-ES"/>
        </w:rPr>
      </w:pPr>
    </w:p>
    <w:p w:rsidR="00BB0A36" w:rsidRPr="000C4CFF" w:rsidRDefault="00BB0A36" w:rsidP="000C4CFF">
      <w:pPr>
        <w:pStyle w:val="Prrafodelista"/>
        <w:numPr>
          <w:ilvl w:val="0"/>
          <w:numId w:val="2"/>
        </w:numPr>
        <w:spacing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En el presente asunto, este Pleno advierte que con la información enviada a través de la presentación del Informe justificado se modifica los actos que dieron origen al recurso de revisión, lo que trae como consecuencia que el mismo queden sin materia, actualizándose de este modo, la hipótesis jurídica contenida en la fracción III del artículo 192 de la Ley en materia.</w:t>
      </w:r>
    </w:p>
    <w:p w:rsidR="00BB0A36" w:rsidRPr="000C4CFF" w:rsidRDefault="00BB0A36" w:rsidP="000C4CFF">
      <w:pPr>
        <w:pStyle w:val="Prrafodelista"/>
        <w:spacing w:line="360" w:lineRule="auto"/>
        <w:ind w:left="567" w:right="616"/>
        <w:jc w:val="both"/>
        <w:rPr>
          <w:rFonts w:ascii="Palatino Linotype" w:eastAsia="MS Mincho" w:hAnsi="Palatino Linotype" w:cs="Times New Roman"/>
          <w:sz w:val="24"/>
          <w:szCs w:val="24"/>
          <w:lang w:val="es-ES_tradnl" w:eastAsia="es-ES"/>
        </w:rPr>
      </w:pPr>
    </w:p>
    <w:p w:rsidR="00BB0A36" w:rsidRPr="000C4CFF" w:rsidRDefault="00BB0A36" w:rsidP="000C4CFF">
      <w:pPr>
        <w:pStyle w:val="Prrafodelista"/>
        <w:spacing w:line="360" w:lineRule="auto"/>
        <w:ind w:left="567" w:right="616"/>
        <w:jc w:val="both"/>
        <w:rPr>
          <w:rFonts w:ascii="Palatino Linotype" w:eastAsia="MS Mincho" w:hAnsi="Palatino Linotype" w:cs="Times New Roman"/>
          <w:b/>
          <w:i/>
          <w:sz w:val="24"/>
          <w:szCs w:val="24"/>
          <w:lang w:val="es-ES_tradnl" w:eastAsia="es-ES"/>
        </w:rPr>
      </w:pPr>
      <w:bookmarkStart w:id="72" w:name="_GoBack"/>
      <w:r w:rsidRPr="000C4CFF">
        <w:rPr>
          <w:rFonts w:ascii="Palatino Linotype" w:eastAsia="MS Mincho" w:hAnsi="Palatino Linotype" w:cs="Times New Roman"/>
          <w:b/>
          <w:i/>
          <w:sz w:val="24"/>
          <w:szCs w:val="24"/>
          <w:lang w:val="es-ES_tradnl" w:eastAsia="es-ES"/>
        </w:rPr>
        <w:t xml:space="preserve">Artículo 192. El recurso será sobreseído, en todo o en parte, cuando una </w:t>
      </w:r>
      <w:bookmarkEnd w:id="72"/>
      <w:r w:rsidRPr="000C4CFF">
        <w:rPr>
          <w:rFonts w:ascii="Palatino Linotype" w:eastAsia="MS Mincho" w:hAnsi="Palatino Linotype" w:cs="Times New Roman"/>
          <w:b/>
          <w:i/>
          <w:sz w:val="24"/>
          <w:szCs w:val="24"/>
          <w:lang w:val="es-ES_tradnl" w:eastAsia="es-ES"/>
        </w:rPr>
        <w:t>vez admitido, se actualicen alguno de los siguientes supuestos:</w:t>
      </w:r>
    </w:p>
    <w:p w:rsidR="00BB0A36" w:rsidRPr="000C4CFF" w:rsidRDefault="00BB0A36" w:rsidP="000C4CFF">
      <w:pPr>
        <w:pStyle w:val="Prrafodelista"/>
        <w:spacing w:line="360" w:lineRule="auto"/>
        <w:ind w:left="567" w:right="616"/>
        <w:jc w:val="both"/>
        <w:rPr>
          <w:rFonts w:ascii="Palatino Linotype" w:eastAsia="MS Mincho" w:hAnsi="Palatino Linotype" w:cs="Times New Roman"/>
          <w:i/>
          <w:sz w:val="24"/>
          <w:szCs w:val="24"/>
          <w:lang w:val="es-ES_tradnl" w:eastAsia="es-ES"/>
        </w:rPr>
      </w:pPr>
      <w:r w:rsidRPr="000C4CFF">
        <w:rPr>
          <w:rFonts w:ascii="Palatino Linotype" w:eastAsia="MS Mincho" w:hAnsi="Palatino Linotype" w:cs="Times New Roman"/>
          <w:i/>
          <w:sz w:val="24"/>
          <w:szCs w:val="24"/>
          <w:lang w:val="es-ES_tradnl" w:eastAsia="es-ES"/>
        </w:rPr>
        <w:t>…</w:t>
      </w:r>
    </w:p>
    <w:p w:rsidR="00BB0A36" w:rsidRPr="000C4CFF" w:rsidRDefault="000F2638" w:rsidP="000C4CF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0C4CFF">
        <w:rPr>
          <w:rFonts w:ascii="Palatino Linotype" w:eastAsia="MS Mincho" w:hAnsi="Palatino Linotype" w:cs="Times New Roman"/>
          <w:i/>
          <w:sz w:val="24"/>
          <w:szCs w:val="24"/>
          <w:lang w:val="es-ES_tradnl" w:eastAsia="es-ES"/>
        </w:rPr>
        <w:t>III</w:t>
      </w:r>
      <w:r w:rsidR="00BB0A36" w:rsidRPr="000C4CFF">
        <w:rPr>
          <w:rFonts w:ascii="Palatino Linotype" w:eastAsia="MS Mincho" w:hAnsi="Palatino Linotype" w:cs="Times New Roman"/>
          <w:i/>
          <w:sz w:val="24"/>
          <w:szCs w:val="24"/>
          <w:lang w:val="es-ES_tradnl" w:eastAsia="es-ES"/>
        </w:rPr>
        <w:t>.</w:t>
      </w:r>
      <w:r w:rsidRPr="000C4CFF">
        <w:rPr>
          <w:rFonts w:ascii="Palatino Linotype" w:eastAsia="MS Mincho" w:hAnsi="Palatino Linotype" w:cs="Times New Roman"/>
          <w:i/>
          <w:sz w:val="24"/>
          <w:szCs w:val="24"/>
          <w:lang w:val="es-ES_tradnl" w:eastAsia="es-ES"/>
        </w:rPr>
        <w:t xml:space="preserve"> El sujeto obligado responsable del acto lo modifique o revoque de tal manera que el </w:t>
      </w:r>
      <w:proofErr w:type="gramStart"/>
      <w:r w:rsidRPr="000C4CFF">
        <w:rPr>
          <w:rFonts w:ascii="Palatino Linotype" w:eastAsia="MS Mincho" w:hAnsi="Palatino Linotype" w:cs="Times New Roman"/>
          <w:i/>
          <w:sz w:val="24"/>
          <w:szCs w:val="24"/>
          <w:lang w:val="es-ES_tradnl" w:eastAsia="es-ES"/>
        </w:rPr>
        <w:t>recurso  de</w:t>
      </w:r>
      <w:proofErr w:type="gramEnd"/>
      <w:r w:rsidRPr="000C4CFF">
        <w:rPr>
          <w:rFonts w:ascii="Palatino Linotype" w:eastAsia="MS Mincho" w:hAnsi="Palatino Linotype" w:cs="Times New Roman"/>
          <w:i/>
          <w:sz w:val="24"/>
          <w:szCs w:val="24"/>
          <w:lang w:val="es-ES_tradnl" w:eastAsia="es-ES"/>
        </w:rPr>
        <w:t xml:space="preserve"> revisión quede sin materia </w:t>
      </w:r>
    </w:p>
    <w:p w:rsidR="000F2638" w:rsidRPr="000C4CFF" w:rsidRDefault="000F2638" w:rsidP="000C4CFF">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0C4CFF">
        <w:rPr>
          <w:rFonts w:ascii="Palatino Linotype" w:eastAsia="MS Mincho" w:hAnsi="Palatino Linotype" w:cs="Times New Roman"/>
          <w:i/>
          <w:sz w:val="24"/>
          <w:szCs w:val="24"/>
          <w:lang w:val="es-ES_tradnl" w:eastAsia="es-ES"/>
        </w:rPr>
        <w:t>….</w:t>
      </w:r>
    </w:p>
    <w:p w:rsidR="00BB0A36" w:rsidRPr="000C4CFF" w:rsidRDefault="00BB0A36" w:rsidP="000C4CFF">
      <w:pPr>
        <w:spacing w:after="0" w:line="360" w:lineRule="auto"/>
        <w:ind w:left="426" w:right="49"/>
        <w:contextualSpacing/>
        <w:jc w:val="both"/>
        <w:rPr>
          <w:rFonts w:ascii="Palatino Linotype" w:eastAsia="MS Mincho" w:hAnsi="Palatino Linotype" w:cs="Times New Roman"/>
          <w:i/>
          <w:sz w:val="24"/>
          <w:szCs w:val="24"/>
          <w:lang w:val="es-ES_tradnl" w:eastAsia="es-ES"/>
        </w:rPr>
      </w:pPr>
    </w:p>
    <w:p w:rsidR="00BB0A36" w:rsidRPr="000C4CFF" w:rsidRDefault="00BB0A36" w:rsidP="000C4CFF">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0C4CFF">
        <w:rPr>
          <w:rFonts w:ascii="Palatino Linotype" w:eastAsia="MS Mincho" w:hAnsi="Palatino Linotype" w:cs="Times New Roman"/>
          <w:sz w:val="24"/>
          <w:szCs w:val="24"/>
          <w:lang w:val="es-ES_tradnl" w:eastAsia="es-ES"/>
        </w:rPr>
        <w:t xml:space="preserve">Consecuentemente, en términos del artículo </w:t>
      </w:r>
      <w:r w:rsidRPr="000C4CFF">
        <w:rPr>
          <w:rFonts w:ascii="Palatino Linotype" w:eastAsia="MS Mincho" w:hAnsi="Palatino Linotype" w:cs="Times New Roman"/>
          <w:b/>
          <w:sz w:val="24"/>
          <w:szCs w:val="24"/>
          <w:lang w:val="es-ES_tradnl" w:eastAsia="es-ES"/>
        </w:rPr>
        <w:t>186 fracción I</w:t>
      </w:r>
      <w:r w:rsidRPr="000C4CFF">
        <w:rPr>
          <w:rFonts w:ascii="Palatino Linotype" w:eastAsia="MS Mincho" w:hAnsi="Palatino Linotype" w:cs="Times New Roman"/>
          <w:sz w:val="24"/>
          <w:szCs w:val="24"/>
          <w:lang w:val="es-ES_tradnl" w:eastAsia="es-ES"/>
        </w:rPr>
        <w:t xml:space="preserve"> este Pleno determina el </w:t>
      </w:r>
      <w:r w:rsidRPr="000C4CFF">
        <w:rPr>
          <w:rFonts w:ascii="Palatino Linotype" w:eastAsia="MS Mincho" w:hAnsi="Palatino Linotype" w:cs="Times New Roman"/>
          <w:b/>
          <w:sz w:val="24"/>
          <w:szCs w:val="24"/>
          <w:lang w:val="es-ES_tradnl" w:eastAsia="es-ES"/>
        </w:rPr>
        <w:t>SOBRESEIMIENTO</w:t>
      </w:r>
      <w:r w:rsidRPr="000C4CFF">
        <w:rPr>
          <w:rFonts w:ascii="Palatino Linotype" w:eastAsia="MS Mincho" w:hAnsi="Palatino Linotype" w:cs="Times New Roman"/>
          <w:sz w:val="24"/>
          <w:szCs w:val="24"/>
          <w:lang w:val="es-ES_tradnl" w:eastAsia="es-ES"/>
        </w:rPr>
        <w:t xml:space="preserve"> del presente recurso de revisión, toda vez que la afectación al derecho de acceso a la información pública establecido constitucionalmente a favor del particular, ha sido resarcida.</w:t>
      </w:r>
    </w:p>
    <w:p w:rsidR="00DC767E" w:rsidRPr="000C4CFF" w:rsidRDefault="00DC767E" w:rsidP="000C4CFF">
      <w:pPr>
        <w:spacing w:after="0" w:line="360" w:lineRule="auto"/>
        <w:ind w:right="49"/>
        <w:contextualSpacing/>
        <w:jc w:val="both"/>
        <w:rPr>
          <w:rFonts w:ascii="Palatino Linotype" w:eastAsia="MS Mincho" w:hAnsi="Palatino Linotype" w:cstheme="majorBidi"/>
          <w:sz w:val="24"/>
          <w:szCs w:val="24"/>
          <w:lang w:val="es-ES_tradnl" w:eastAsia="es-ES"/>
        </w:rPr>
      </w:pPr>
    </w:p>
    <w:p w:rsidR="00624E03" w:rsidRPr="000C4CFF" w:rsidRDefault="00624E03" w:rsidP="000C4CFF">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73" w:name="_Toc447183492"/>
      <w:bookmarkStart w:id="74" w:name="_Toc450120667"/>
      <w:bookmarkStart w:id="75" w:name="_Toc461555895"/>
      <w:bookmarkEnd w:id="58"/>
      <w:bookmarkEnd w:id="59"/>
      <w:bookmarkEnd w:id="60"/>
      <w:bookmarkEnd w:id="61"/>
      <w:bookmarkEnd w:id="62"/>
      <w:bookmarkEnd w:id="63"/>
      <w:bookmarkEnd w:id="64"/>
      <w:bookmarkEnd w:id="65"/>
      <w:r w:rsidRPr="000C4CFF">
        <w:rPr>
          <w:rFonts w:ascii="Palatino Linotype" w:eastAsia="Calibri" w:hAnsi="Palatino Linotype" w:cstheme="majorBidi"/>
          <w:b/>
          <w:sz w:val="24"/>
          <w:szCs w:val="24"/>
          <w:lang w:val="es-ES" w:eastAsia="es-ES"/>
        </w:rPr>
        <w:tab/>
      </w:r>
      <w:bookmarkStart w:id="76" w:name="_Toc11958627"/>
      <w:r w:rsidRPr="000C4CFF">
        <w:rPr>
          <w:rFonts w:ascii="Palatino Linotype" w:eastAsia="Calibri" w:hAnsi="Palatino Linotype" w:cstheme="majorBidi"/>
          <w:b/>
          <w:sz w:val="24"/>
          <w:szCs w:val="24"/>
          <w:lang w:val="es-ES" w:eastAsia="es-ES"/>
        </w:rPr>
        <w:t>R E S O L U T I V O S</w:t>
      </w:r>
      <w:bookmarkEnd w:id="73"/>
      <w:bookmarkEnd w:id="74"/>
      <w:bookmarkEnd w:id="75"/>
      <w:bookmarkEnd w:id="76"/>
      <w:r w:rsidRPr="000C4CFF">
        <w:rPr>
          <w:rFonts w:ascii="Palatino Linotype" w:eastAsia="Calibri" w:hAnsi="Palatino Linotype" w:cstheme="majorBidi"/>
          <w:b/>
          <w:sz w:val="24"/>
          <w:szCs w:val="24"/>
          <w:lang w:val="es-ES" w:eastAsia="es-ES"/>
        </w:rPr>
        <w:t xml:space="preserve"> </w:t>
      </w:r>
    </w:p>
    <w:p w:rsidR="00624E03" w:rsidRPr="000C4CFF" w:rsidRDefault="00624E03" w:rsidP="000C4CFF">
      <w:pPr>
        <w:spacing w:after="0" w:line="360" w:lineRule="auto"/>
        <w:ind w:right="-142"/>
        <w:rPr>
          <w:rFonts w:ascii="Palatino Linotype" w:eastAsiaTheme="minorEastAsia" w:hAnsi="Palatino Linotype"/>
          <w:sz w:val="24"/>
          <w:szCs w:val="24"/>
          <w:lang w:val="es-ES" w:eastAsia="es-ES"/>
        </w:rPr>
      </w:pPr>
    </w:p>
    <w:p w:rsidR="000C4CFF" w:rsidRPr="000C4CFF" w:rsidRDefault="004077FF" w:rsidP="000C4CF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0C4CFF">
        <w:rPr>
          <w:rFonts w:ascii="Palatino Linotype" w:eastAsiaTheme="minorEastAsia" w:hAnsi="Palatino Linotype"/>
          <w:b/>
          <w:sz w:val="24"/>
          <w:szCs w:val="24"/>
          <w:lang w:val="es-ES_tradnl" w:eastAsia="es-ES"/>
        </w:rPr>
        <w:t>PRIMERO.</w:t>
      </w:r>
      <w:r w:rsidRPr="000C4CFF">
        <w:rPr>
          <w:rFonts w:ascii="Palatino Linotype" w:eastAsiaTheme="minorEastAsia" w:hAnsi="Palatino Linotype"/>
          <w:sz w:val="24"/>
          <w:szCs w:val="24"/>
          <w:lang w:val="es-ES_tradnl" w:eastAsia="es-ES"/>
        </w:rPr>
        <w:t xml:space="preserve"> Se</w:t>
      </w:r>
      <w:r w:rsidRPr="000C4CFF">
        <w:rPr>
          <w:rFonts w:ascii="Palatino Linotype" w:eastAsiaTheme="minorEastAsia" w:hAnsi="Palatino Linotype"/>
          <w:b/>
          <w:sz w:val="24"/>
          <w:szCs w:val="24"/>
          <w:lang w:val="es-ES_tradnl" w:eastAsia="es-ES"/>
        </w:rPr>
        <w:t xml:space="preserve"> SOBRESEE </w:t>
      </w:r>
      <w:r w:rsidRPr="000C4CFF">
        <w:rPr>
          <w:rFonts w:ascii="Palatino Linotype" w:eastAsiaTheme="minorEastAsia" w:hAnsi="Palatino Linotype"/>
          <w:sz w:val="24"/>
          <w:szCs w:val="24"/>
          <w:lang w:val="es-ES_tradnl" w:eastAsia="es-ES"/>
        </w:rPr>
        <w:t>el presente recurso de revisión</w:t>
      </w:r>
      <w:r w:rsidR="000D1DAA" w:rsidRPr="000C4CFF">
        <w:rPr>
          <w:rFonts w:ascii="Palatino Linotype" w:eastAsiaTheme="minorEastAsia" w:hAnsi="Palatino Linotype"/>
          <w:sz w:val="24"/>
          <w:szCs w:val="24"/>
          <w:lang w:val="es-ES_tradnl" w:eastAsia="es-ES"/>
        </w:rPr>
        <w:t xml:space="preserve"> número </w:t>
      </w:r>
      <w:r w:rsidR="000D1DAA" w:rsidRPr="000C4CFF">
        <w:rPr>
          <w:rFonts w:ascii="Palatino Linotype" w:eastAsiaTheme="minorEastAsia" w:hAnsi="Palatino Linotype"/>
          <w:b/>
          <w:sz w:val="24"/>
          <w:szCs w:val="24"/>
          <w:lang w:val="es-ES_tradnl" w:eastAsia="es-ES"/>
        </w:rPr>
        <w:t>02938/INFOEM/IP/RR/2019</w:t>
      </w:r>
      <w:proofErr w:type="gramStart"/>
      <w:r w:rsidRPr="000C4CFF">
        <w:rPr>
          <w:rFonts w:ascii="Palatino Linotype" w:eastAsiaTheme="minorEastAsia" w:hAnsi="Palatino Linotype"/>
          <w:sz w:val="24"/>
          <w:szCs w:val="24"/>
          <w:lang w:val="es-ES_tradnl" w:eastAsia="es-ES"/>
        </w:rPr>
        <w:t xml:space="preserve">, </w:t>
      </w:r>
      <w:r w:rsidRPr="000C4CFF">
        <w:rPr>
          <w:rFonts w:ascii="Palatino Linotype" w:eastAsiaTheme="minorEastAsia" w:hAnsi="Palatino Linotype"/>
          <w:bCs/>
          <w:sz w:val="24"/>
          <w:szCs w:val="24"/>
          <w:lang w:val="es-ES_tradnl" w:eastAsia="es-ES"/>
        </w:rPr>
        <w:t xml:space="preserve"> porque</w:t>
      </w:r>
      <w:proofErr w:type="gramEnd"/>
      <w:r w:rsidRPr="000C4CFF">
        <w:rPr>
          <w:rFonts w:ascii="Palatino Linotype" w:eastAsiaTheme="minorEastAsia" w:hAnsi="Palatino Linotype"/>
          <w:bCs/>
          <w:sz w:val="24"/>
          <w:szCs w:val="24"/>
          <w:lang w:val="es-ES_tradnl" w:eastAsia="es-ES"/>
        </w:rPr>
        <w:t xml:space="preserve"> al modificar la respuesta el recurso de revisión quedó sin materia en términos d</w:t>
      </w:r>
      <w:r w:rsidRPr="000C4CFF">
        <w:rPr>
          <w:rFonts w:ascii="Palatino Linotype" w:eastAsiaTheme="minorEastAsia" w:hAnsi="Palatino Linotype"/>
          <w:sz w:val="24"/>
          <w:szCs w:val="24"/>
          <w:lang w:val="es-ES_tradnl" w:eastAsia="es-ES"/>
        </w:rPr>
        <w:t xml:space="preserve">el Considerando </w:t>
      </w:r>
      <w:r w:rsidR="006B3897" w:rsidRPr="000C4CFF">
        <w:rPr>
          <w:rFonts w:ascii="Palatino Linotype" w:eastAsiaTheme="minorEastAsia" w:hAnsi="Palatino Linotype"/>
          <w:b/>
          <w:sz w:val="24"/>
          <w:szCs w:val="24"/>
          <w:lang w:val="es-ES_tradnl" w:eastAsia="es-ES"/>
        </w:rPr>
        <w:t>TERCER</w:t>
      </w:r>
      <w:r w:rsidRPr="000C4CFF">
        <w:rPr>
          <w:rFonts w:ascii="Palatino Linotype" w:eastAsiaTheme="minorEastAsia" w:hAnsi="Palatino Linotype"/>
          <w:b/>
          <w:sz w:val="24"/>
          <w:szCs w:val="24"/>
          <w:lang w:val="es-ES_tradnl" w:eastAsia="es-ES"/>
        </w:rPr>
        <w:t>O</w:t>
      </w:r>
      <w:r w:rsidR="006B3897" w:rsidRPr="000C4CFF">
        <w:rPr>
          <w:rFonts w:ascii="Palatino Linotype" w:eastAsiaTheme="minorEastAsia" w:hAnsi="Palatino Linotype"/>
          <w:sz w:val="24"/>
          <w:szCs w:val="24"/>
          <w:lang w:val="es-ES_tradnl" w:eastAsia="es-ES"/>
        </w:rPr>
        <w:t xml:space="preserve"> de la presente</w:t>
      </w:r>
      <w:r w:rsidR="000C4CFF">
        <w:rPr>
          <w:rFonts w:ascii="Palatino Linotype" w:eastAsiaTheme="minorEastAsia" w:hAnsi="Palatino Linotype"/>
          <w:sz w:val="24"/>
          <w:szCs w:val="24"/>
          <w:lang w:val="es-ES_tradnl" w:eastAsia="es-ES"/>
        </w:rPr>
        <w:t xml:space="preserve"> resolución.</w:t>
      </w:r>
    </w:p>
    <w:p w:rsidR="004077FF" w:rsidRPr="000C4CFF" w:rsidRDefault="004077FF" w:rsidP="000C4CF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0C4CFF">
        <w:rPr>
          <w:rFonts w:ascii="Palatino Linotype" w:eastAsiaTheme="minorEastAsia" w:hAnsi="Palatino Linotype"/>
          <w:b/>
          <w:sz w:val="24"/>
          <w:szCs w:val="24"/>
          <w:lang w:val="es-ES_tradnl" w:eastAsia="es-ES"/>
        </w:rPr>
        <w:t xml:space="preserve">SEGUNDO. REMÍTASE, a </w:t>
      </w:r>
      <w:r w:rsidRPr="000C4CFF">
        <w:rPr>
          <w:rFonts w:ascii="Palatino Linotype" w:eastAsiaTheme="minorEastAsia" w:hAnsi="Palatino Linotype"/>
          <w:sz w:val="24"/>
          <w:szCs w:val="24"/>
          <w:lang w:val="es-ES_tradnl" w:eastAsia="es-ES"/>
        </w:rPr>
        <w:t xml:space="preserve">través del Sistema de Acceso a la Información Mexiquense (SAIMEX) la presente resolución al Titular de la Unidad de Transparencia del </w:t>
      </w:r>
      <w:r w:rsidRPr="000C4CFF">
        <w:rPr>
          <w:rFonts w:ascii="Palatino Linotype" w:eastAsiaTheme="minorEastAsia" w:hAnsi="Palatino Linotype"/>
          <w:b/>
          <w:sz w:val="24"/>
          <w:szCs w:val="24"/>
          <w:lang w:val="es-ES_tradnl" w:eastAsia="es-ES"/>
        </w:rPr>
        <w:t>SUJETO OBLIGADO.</w:t>
      </w:r>
    </w:p>
    <w:p w:rsidR="004077FF" w:rsidRPr="000C4CFF" w:rsidRDefault="004077FF" w:rsidP="000C4CFF">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0C4CFF">
        <w:rPr>
          <w:rFonts w:ascii="Palatino Linotype" w:eastAsiaTheme="minorEastAsia" w:hAnsi="Palatino Linotype"/>
          <w:b/>
          <w:sz w:val="24"/>
          <w:szCs w:val="24"/>
          <w:lang w:val="es-ES_tradnl" w:eastAsia="es-ES"/>
        </w:rPr>
        <w:t xml:space="preserve">TERCERO. Notifíquese a </w:t>
      </w:r>
      <w:r w:rsidR="0061762D" w:rsidRPr="0061762D">
        <w:rPr>
          <w:rFonts w:ascii="Palatino Linotype" w:eastAsiaTheme="minorEastAsia" w:hAnsi="Palatino Linotype"/>
          <w:b/>
          <w:sz w:val="24"/>
          <w:szCs w:val="24"/>
          <w:highlight w:val="black"/>
          <w:lang w:val="es-ES_tradnl" w:eastAsia="es-ES"/>
        </w:rPr>
        <w:t>-----------------------------------------</w:t>
      </w:r>
      <w:r w:rsidRPr="000C4CFF">
        <w:rPr>
          <w:rFonts w:ascii="Palatino Linotype" w:eastAsiaTheme="minorEastAsia" w:hAnsi="Palatino Linotype"/>
          <w:b/>
          <w:sz w:val="24"/>
          <w:szCs w:val="24"/>
          <w:lang w:val="es-ES_tradnl" w:eastAsia="es-ES"/>
        </w:rPr>
        <w:t xml:space="preserve"> </w:t>
      </w:r>
      <w:r w:rsidRPr="000C4CFF">
        <w:rPr>
          <w:rFonts w:ascii="Palatino Linotype" w:eastAsiaTheme="minorEastAsia" w:hAnsi="Palatino Linotype"/>
          <w:sz w:val="24"/>
          <w:szCs w:val="24"/>
          <w:lang w:val="es-ES_tradnl" w:eastAsia="es-ES"/>
        </w:rPr>
        <w:t>la presente resolución.</w:t>
      </w:r>
    </w:p>
    <w:p w:rsidR="000C4CFF" w:rsidRPr="000C4CFF" w:rsidRDefault="004077FF" w:rsidP="000C4CFF">
      <w:pPr>
        <w:shd w:val="clear" w:color="auto" w:fill="FFFFFF"/>
        <w:spacing w:before="240" w:after="360" w:line="360" w:lineRule="auto"/>
        <w:ind w:right="49"/>
        <w:jc w:val="both"/>
        <w:rPr>
          <w:rFonts w:ascii="Palatino Linotype" w:eastAsiaTheme="minorEastAsia" w:hAnsi="Palatino Linotype"/>
          <w:sz w:val="24"/>
          <w:szCs w:val="24"/>
          <w:lang w:val="es-ES" w:eastAsia="es-ES"/>
        </w:rPr>
      </w:pPr>
      <w:r w:rsidRPr="000C4CFF">
        <w:rPr>
          <w:rFonts w:ascii="Palatino Linotype" w:eastAsiaTheme="minorEastAsia" w:hAnsi="Palatino Linotype"/>
          <w:b/>
          <w:sz w:val="24"/>
          <w:szCs w:val="24"/>
          <w:lang w:eastAsia="es-ES"/>
        </w:rPr>
        <w:t xml:space="preserve">CUARTO. </w:t>
      </w:r>
      <w:r w:rsidRPr="000C4CFF">
        <w:rPr>
          <w:rFonts w:ascii="Palatino Linotype" w:eastAsiaTheme="minorEastAsia" w:hAnsi="Palatino Linotype"/>
          <w:sz w:val="24"/>
          <w:szCs w:val="24"/>
          <w:lang w:val="es-ES_tradnl" w:eastAsia="es-ES"/>
        </w:rPr>
        <w:t xml:space="preserve">Se hace del conocimiento de </w:t>
      </w:r>
      <w:r w:rsidR="0061762D" w:rsidRPr="0061762D">
        <w:rPr>
          <w:rFonts w:ascii="Palatino Linotype" w:eastAsiaTheme="minorEastAsia" w:hAnsi="Palatino Linotype"/>
          <w:b/>
          <w:sz w:val="24"/>
          <w:szCs w:val="24"/>
          <w:highlight w:val="black"/>
          <w:lang w:val="es-ES_tradnl" w:eastAsia="es-ES"/>
        </w:rPr>
        <w:t>----------------------------------------</w:t>
      </w:r>
      <w:r w:rsidRPr="000C4CFF">
        <w:rPr>
          <w:rFonts w:ascii="Palatino Linotype" w:eastAsiaTheme="minorEastAsia" w:hAnsi="Palatino Linotype"/>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w:t>
      </w:r>
      <w:r w:rsidR="000C4CFF">
        <w:rPr>
          <w:rFonts w:ascii="Palatino Linotype" w:eastAsiaTheme="minorEastAsia" w:hAnsi="Palatino Linotype"/>
          <w:sz w:val="24"/>
          <w:szCs w:val="24"/>
          <w:lang w:val="es-ES_tradnl" w:eastAsia="es-ES"/>
        </w:rPr>
        <w:t>érminos de las leyes aplicables.</w:t>
      </w:r>
    </w:p>
    <w:p w:rsidR="00624E03" w:rsidRPr="000C4CFF" w:rsidRDefault="00624E03" w:rsidP="000C4CFF">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0C4CFF">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w:t>
      </w:r>
      <w:r w:rsidR="000C4CFF" w:rsidRPr="000C4CFF">
        <w:rPr>
          <w:rFonts w:ascii="Palatino Linotype" w:eastAsiaTheme="minorEastAsia" w:hAnsi="Palatino Linotype"/>
          <w:sz w:val="24"/>
          <w:szCs w:val="24"/>
          <w:lang w:val="es-ES_tradnl" w:eastAsia="es-ES"/>
        </w:rPr>
        <w:t xml:space="preserve"> LOS COMISIONADOS ZULEMA MARTÍNEZ SÁNCHEZ</w:t>
      </w:r>
      <w:r w:rsidRPr="000C4CFF">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9D6A4F" w:rsidRPr="000C4CFF">
        <w:rPr>
          <w:rFonts w:ascii="Palatino Linotype" w:eastAsiaTheme="minorEastAsia" w:hAnsi="Palatino Linotype"/>
          <w:sz w:val="24"/>
          <w:szCs w:val="24"/>
          <w:lang w:val="es-ES_tradnl" w:eastAsia="es-ES"/>
        </w:rPr>
        <w:t xml:space="preserve">VIGÉSIMA CUARTA </w:t>
      </w:r>
      <w:r w:rsidRPr="000C4CFF">
        <w:rPr>
          <w:rFonts w:ascii="Palatino Linotype" w:eastAsiaTheme="minorEastAsia" w:hAnsi="Palatino Linotype"/>
          <w:sz w:val="24"/>
          <w:szCs w:val="24"/>
          <w:lang w:val="es-ES_tradnl" w:eastAsia="es-ES"/>
        </w:rPr>
        <w:t xml:space="preserve">ORDINARIA CELEBRADA EL </w:t>
      </w:r>
      <w:r w:rsidR="009D6A4F" w:rsidRPr="000C4CFF">
        <w:rPr>
          <w:rFonts w:ascii="Palatino Linotype" w:eastAsiaTheme="minorEastAsia" w:hAnsi="Palatino Linotype"/>
          <w:sz w:val="24"/>
          <w:szCs w:val="24"/>
          <w:lang w:val="es-ES_tradnl" w:eastAsia="es-ES"/>
        </w:rPr>
        <w:t>VEINTISÉIS (26) DE JUNIO DE DOS MIL DIECINUEVE,</w:t>
      </w:r>
      <w:r w:rsidRPr="000C4CFF">
        <w:rPr>
          <w:rFonts w:ascii="Palatino Linotype" w:eastAsiaTheme="minorEastAsia" w:hAnsi="Palatino Linotype"/>
          <w:sz w:val="24"/>
          <w:szCs w:val="24"/>
          <w:lang w:val="es-ES_tradnl" w:eastAsia="es-ES"/>
        </w:rPr>
        <w:t xml:space="preserve"> ANTE EL SECRETARIO TÉCNICO DEL PLENO ALEXIS TAPIA RAMÍREZ.</w:t>
      </w:r>
      <w:r w:rsidRPr="000C4CFF">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624E03" w:rsidRPr="000C4CFF" w:rsidTr="00624E03">
        <w:trPr>
          <w:trHeight w:val="1168"/>
        </w:trPr>
        <w:tc>
          <w:tcPr>
            <w:tcW w:w="8697" w:type="dxa"/>
            <w:gridSpan w:val="2"/>
            <w:vAlign w:val="center"/>
          </w:tcPr>
          <w:p w:rsidR="000C4CFF" w:rsidRPr="000C4CFF" w:rsidRDefault="000C4CFF" w:rsidP="000C4CFF">
            <w:pPr>
              <w:spacing w:line="360" w:lineRule="auto"/>
              <w:ind w:right="49"/>
              <w:jc w:val="center"/>
              <w:rPr>
                <w:rFonts w:ascii="Palatino Linotype" w:eastAsiaTheme="minorEastAsia" w:hAnsi="Palatino Linotype" w:cs="Times New Roman"/>
                <w:b/>
              </w:rPr>
            </w:pPr>
          </w:p>
          <w:p w:rsidR="000C4CFF" w:rsidRPr="000C4CFF" w:rsidRDefault="000C4CFF" w:rsidP="000C4CFF">
            <w:pPr>
              <w:spacing w:line="360" w:lineRule="auto"/>
              <w:ind w:right="49"/>
              <w:jc w:val="center"/>
              <w:rPr>
                <w:rFonts w:ascii="Palatino Linotype" w:eastAsiaTheme="minorEastAsia" w:hAnsi="Palatino Linotype" w:cs="Times New Roman"/>
                <w:b/>
              </w:rPr>
            </w:pPr>
          </w:p>
          <w:p w:rsidR="000C4CFF" w:rsidRPr="000C4CFF" w:rsidRDefault="000C4CFF" w:rsidP="000C4CFF">
            <w:pPr>
              <w:spacing w:line="360" w:lineRule="auto"/>
              <w:ind w:right="49"/>
              <w:jc w:val="center"/>
              <w:rPr>
                <w:rFonts w:ascii="Palatino Linotype" w:eastAsiaTheme="minorEastAsia" w:hAnsi="Palatino Linotype" w:cs="Times New Roman"/>
                <w:b/>
              </w:rPr>
            </w:pPr>
          </w:p>
          <w:p w:rsidR="00624E03" w:rsidRPr="000C4CFF" w:rsidRDefault="00624E03" w:rsidP="000C4CFF">
            <w:pPr>
              <w:spacing w:line="360" w:lineRule="auto"/>
              <w:ind w:right="49"/>
              <w:jc w:val="center"/>
              <w:rPr>
                <w:rFonts w:ascii="Palatino Linotype" w:eastAsiaTheme="minorEastAsia" w:hAnsi="Palatino Linotype" w:cs="Times New Roman"/>
                <w:b/>
              </w:rPr>
            </w:pPr>
            <w:r w:rsidRPr="000C4CFF">
              <w:rPr>
                <w:rFonts w:ascii="Palatino Linotype" w:eastAsiaTheme="minorEastAsia" w:hAnsi="Palatino Linotype" w:cs="Times New Roman"/>
                <w:b/>
              </w:rPr>
              <w:t>Zulema Martínez Sánchez</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Comisionada Presidenta</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(Rúbrica)</w:t>
            </w:r>
          </w:p>
        </w:tc>
      </w:tr>
      <w:tr w:rsidR="00624E03" w:rsidRPr="000C4CFF" w:rsidTr="00624E03">
        <w:trPr>
          <w:trHeight w:val="1395"/>
        </w:trPr>
        <w:tc>
          <w:tcPr>
            <w:tcW w:w="4348" w:type="dxa"/>
            <w:vAlign w:val="center"/>
          </w:tcPr>
          <w:p w:rsidR="00624E03" w:rsidRPr="000C4CFF" w:rsidRDefault="00624E03" w:rsidP="000C4CFF">
            <w:pPr>
              <w:spacing w:line="360" w:lineRule="auto"/>
              <w:ind w:right="49"/>
              <w:jc w:val="center"/>
              <w:rPr>
                <w:rFonts w:ascii="Palatino Linotype" w:eastAsiaTheme="minorEastAsia" w:hAnsi="Palatino Linotype" w:cs="Times New Roman"/>
                <w:b/>
              </w:rPr>
            </w:pPr>
          </w:p>
          <w:p w:rsidR="00624E03" w:rsidRPr="000C4CFF" w:rsidRDefault="00624E03" w:rsidP="000C4CFF">
            <w:pPr>
              <w:spacing w:line="360" w:lineRule="auto"/>
              <w:ind w:right="49"/>
              <w:jc w:val="center"/>
              <w:rPr>
                <w:rFonts w:ascii="Palatino Linotype" w:eastAsiaTheme="minorEastAsia" w:hAnsi="Palatino Linotype" w:cs="Times New Roman"/>
                <w:b/>
              </w:rPr>
            </w:pPr>
            <w:r w:rsidRPr="000C4CFF">
              <w:rPr>
                <w:rFonts w:ascii="Palatino Linotype" w:eastAsiaTheme="minorEastAsia" w:hAnsi="Palatino Linotype" w:cs="Times New Roman"/>
                <w:b/>
              </w:rPr>
              <w:t xml:space="preserve">Eva </w:t>
            </w:r>
            <w:proofErr w:type="spellStart"/>
            <w:r w:rsidRPr="000C4CFF">
              <w:rPr>
                <w:rFonts w:ascii="Palatino Linotype" w:eastAsiaTheme="minorEastAsia" w:hAnsi="Palatino Linotype" w:cs="Times New Roman"/>
                <w:b/>
              </w:rPr>
              <w:t>Abaid</w:t>
            </w:r>
            <w:proofErr w:type="spellEnd"/>
            <w:r w:rsidRPr="000C4CFF">
              <w:rPr>
                <w:rFonts w:ascii="Palatino Linotype" w:eastAsiaTheme="minorEastAsia" w:hAnsi="Palatino Linotype" w:cs="Times New Roman"/>
                <w:b/>
              </w:rPr>
              <w:t xml:space="preserve"> </w:t>
            </w:r>
            <w:proofErr w:type="spellStart"/>
            <w:r w:rsidRPr="000C4CFF">
              <w:rPr>
                <w:rFonts w:ascii="Palatino Linotype" w:eastAsiaTheme="minorEastAsia" w:hAnsi="Palatino Linotype" w:cs="Times New Roman"/>
                <w:b/>
              </w:rPr>
              <w:t>Yapur</w:t>
            </w:r>
            <w:proofErr w:type="spellEnd"/>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Comisionada</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(Rúbrica)</w:t>
            </w:r>
          </w:p>
        </w:tc>
        <w:tc>
          <w:tcPr>
            <w:tcW w:w="4349" w:type="dxa"/>
            <w:vAlign w:val="center"/>
          </w:tcPr>
          <w:p w:rsidR="00624E03" w:rsidRPr="000C4CFF" w:rsidRDefault="00624E03" w:rsidP="000C4CFF">
            <w:pPr>
              <w:spacing w:line="360" w:lineRule="auto"/>
              <w:ind w:right="49"/>
              <w:jc w:val="center"/>
              <w:rPr>
                <w:rFonts w:ascii="Palatino Linotype" w:eastAsiaTheme="minorEastAsia" w:hAnsi="Palatino Linotype" w:cs="Times New Roman"/>
                <w:b/>
              </w:rPr>
            </w:pPr>
          </w:p>
          <w:p w:rsidR="00624E03" w:rsidRPr="000C4CFF" w:rsidRDefault="00624E03" w:rsidP="000C4CFF">
            <w:pPr>
              <w:spacing w:line="360" w:lineRule="auto"/>
              <w:ind w:right="49"/>
              <w:jc w:val="center"/>
              <w:rPr>
                <w:rFonts w:ascii="Palatino Linotype" w:eastAsiaTheme="minorEastAsia" w:hAnsi="Palatino Linotype" w:cs="Times New Roman"/>
                <w:b/>
              </w:rPr>
            </w:pPr>
            <w:r w:rsidRPr="000C4CFF">
              <w:rPr>
                <w:rFonts w:ascii="Palatino Linotype" w:eastAsiaTheme="minorEastAsia" w:hAnsi="Palatino Linotype" w:cs="Times New Roman"/>
                <w:b/>
              </w:rPr>
              <w:t>José Guadalupe Luna Hernández</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Comisionado</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(Rúbrica)</w:t>
            </w:r>
          </w:p>
        </w:tc>
      </w:tr>
      <w:tr w:rsidR="00624E03" w:rsidRPr="000C4CFF" w:rsidTr="00624E03">
        <w:trPr>
          <w:trHeight w:val="1451"/>
        </w:trPr>
        <w:tc>
          <w:tcPr>
            <w:tcW w:w="4348" w:type="dxa"/>
            <w:vAlign w:val="center"/>
          </w:tcPr>
          <w:p w:rsidR="00624E03" w:rsidRDefault="00624E03" w:rsidP="000C4CFF">
            <w:pPr>
              <w:spacing w:line="360" w:lineRule="auto"/>
              <w:ind w:right="49"/>
              <w:jc w:val="center"/>
              <w:rPr>
                <w:rFonts w:ascii="Palatino Linotype" w:eastAsiaTheme="minorEastAsia" w:hAnsi="Palatino Linotype" w:cs="Times New Roman"/>
                <w:b/>
              </w:rPr>
            </w:pPr>
          </w:p>
          <w:p w:rsidR="008434C7" w:rsidRPr="000C4CFF" w:rsidRDefault="008434C7" w:rsidP="000C4CFF">
            <w:pPr>
              <w:spacing w:line="360" w:lineRule="auto"/>
              <w:ind w:right="49"/>
              <w:jc w:val="center"/>
              <w:rPr>
                <w:rFonts w:ascii="Palatino Linotype" w:eastAsiaTheme="minorEastAsia" w:hAnsi="Palatino Linotype" w:cs="Times New Roman"/>
                <w:b/>
              </w:rPr>
            </w:pPr>
          </w:p>
          <w:p w:rsidR="00624E03" w:rsidRPr="000C4CFF" w:rsidRDefault="00624E03" w:rsidP="000C4CFF">
            <w:pPr>
              <w:spacing w:line="360" w:lineRule="auto"/>
              <w:ind w:right="49"/>
              <w:jc w:val="center"/>
              <w:rPr>
                <w:rFonts w:ascii="Palatino Linotype" w:eastAsiaTheme="minorEastAsia" w:hAnsi="Palatino Linotype" w:cs="Times New Roman"/>
                <w:b/>
              </w:rPr>
            </w:pPr>
            <w:r w:rsidRPr="000C4CFF">
              <w:rPr>
                <w:rFonts w:ascii="Palatino Linotype" w:eastAsiaTheme="minorEastAsia" w:hAnsi="Palatino Linotype" w:cs="Times New Roman"/>
                <w:b/>
              </w:rPr>
              <w:t>Javier Martínez Cruz</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Comisionado</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(Rúbrica)</w:t>
            </w:r>
          </w:p>
        </w:tc>
        <w:tc>
          <w:tcPr>
            <w:tcW w:w="4349" w:type="dxa"/>
            <w:vAlign w:val="center"/>
          </w:tcPr>
          <w:p w:rsidR="00624E03" w:rsidRDefault="00624E03" w:rsidP="000C4CFF">
            <w:pPr>
              <w:spacing w:line="360" w:lineRule="auto"/>
              <w:ind w:right="49"/>
              <w:jc w:val="center"/>
              <w:rPr>
                <w:rFonts w:ascii="Palatino Linotype" w:eastAsiaTheme="minorEastAsia" w:hAnsi="Palatino Linotype" w:cs="Times New Roman"/>
                <w:b/>
              </w:rPr>
            </w:pPr>
          </w:p>
          <w:p w:rsidR="008434C7" w:rsidRPr="000C4CFF" w:rsidRDefault="008434C7" w:rsidP="000C4CFF">
            <w:pPr>
              <w:spacing w:line="360" w:lineRule="auto"/>
              <w:ind w:right="49"/>
              <w:jc w:val="center"/>
              <w:rPr>
                <w:rFonts w:ascii="Palatino Linotype" w:eastAsiaTheme="minorEastAsia" w:hAnsi="Palatino Linotype" w:cs="Times New Roman"/>
                <w:b/>
              </w:rPr>
            </w:pPr>
          </w:p>
          <w:p w:rsidR="00624E03" w:rsidRPr="000C4CFF" w:rsidRDefault="00624E03" w:rsidP="000C4CFF">
            <w:pPr>
              <w:spacing w:line="360" w:lineRule="auto"/>
              <w:ind w:right="49"/>
              <w:jc w:val="center"/>
              <w:rPr>
                <w:rFonts w:ascii="Palatino Linotype" w:eastAsiaTheme="minorEastAsia" w:hAnsi="Palatino Linotype" w:cs="Times New Roman"/>
                <w:b/>
              </w:rPr>
            </w:pPr>
            <w:r w:rsidRPr="000C4CFF">
              <w:rPr>
                <w:rFonts w:ascii="Palatino Linotype" w:eastAsiaTheme="minorEastAsia" w:hAnsi="Palatino Linotype" w:cs="Times New Roman"/>
                <w:b/>
              </w:rPr>
              <w:t>Luis Gustavo Parra Noriega</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Comisionado</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(Rúbrica)</w:t>
            </w:r>
          </w:p>
        </w:tc>
      </w:tr>
      <w:tr w:rsidR="00624E03" w:rsidRPr="000C4CFF" w:rsidTr="00624E03">
        <w:trPr>
          <w:trHeight w:val="1263"/>
        </w:trPr>
        <w:tc>
          <w:tcPr>
            <w:tcW w:w="8697" w:type="dxa"/>
            <w:gridSpan w:val="2"/>
            <w:vAlign w:val="center"/>
          </w:tcPr>
          <w:p w:rsidR="00624E03" w:rsidRDefault="00624E03" w:rsidP="000C4CFF">
            <w:pPr>
              <w:spacing w:line="360" w:lineRule="auto"/>
              <w:ind w:right="49"/>
              <w:jc w:val="center"/>
              <w:rPr>
                <w:rFonts w:ascii="Palatino Linotype" w:eastAsiaTheme="minorEastAsia" w:hAnsi="Palatino Linotype" w:cs="Times New Roman"/>
                <w:b/>
              </w:rPr>
            </w:pPr>
          </w:p>
          <w:p w:rsidR="008434C7" w:rsidRPr="008434C7" w:rsidRDefault="008434C7" w:rsidP="000C4CFF">
            <w:pPr>
              <w:spacing w:line="360" w:lineRule="auto"/>
              <w:ind w:right="49"/>
              <w:jc w:val="center"/>
              <w:rPr>
                <w:rFonts w:ascii="Palatino Linotype" w:eastAsiaTheme="minorEastAsia" w:hAnsi="Palatino Linotype" w:cs="Times New Roman"/>
                <w:b/>
                <w:sz w:val="18"/>
              </w:rPr>
            </w:pPr>
          </w:p>
          <w:p w:rsidR="00624E03" w:rsidRPr="000C4CFF" w:rsidRDefault="00624E03" w:rsidP="000C4CFF">
            <w:pPr>
              <w:spacing w:line="360" w:lineRule="auto"/>
              <w:ind w:right="49"/>
              <w:jc w:val="center"/>
              <w:rPr>
                <w:rFonts w:ascii="Palatino Linotype" w:eastAsiaTheme="minorEastAsia" w:hAnsi="Palatino Linotype" w:cs="Times New Roman"/>
                <w:b/>
              </w:rPr>
            </w:pPr>
            <w:r w:rsidRPr="000C4CFF">
              <w:rPr>
                <w:rFonts w:ascii="Palatino Linotype" w:eastAsiaTheme="minorEastAsia" w:hAnsi="Palatino Linotype" w:cs="Times New Roman"/>
                <w:b/>
              </w:rPr>
              <w:t>Alexis Tapia Ramírez</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Secretario Técnico del Pleno</w:t>
            </w:r>
          </w:p>
          <w:p w:rsidR="00624E03" w:rsidRPr="000C4CFF" w:rsidRDefault="00624E03" w:rsidP="000C4CFF">
            <w:pPr>
              <w:spacing w:line="360" w:lineRule="auto"/>
              <w:ind w:right="49"/>
              <w:jc w:val="center"/>
              <w:rPr>
                <w:rFonts w:ascii="Palatino Linotype" w:eastAsiaTheme="minorEastAsia" w:hAnsi="Palatino Linotype" w:cs="Times New Roman"/>
              </w:rPr>
            </w:pPr>
            <w:r w:rsidRPr="000C4CFF">
              <w:rPr>
                <w:rFonts w:ascii="Palatino Linotype" w:eastAsiaTheme="minorEastAsia" w:hAnsi="Palatino Linotype" w:cs="Times New Roman"/>
              </w:rPr>
              <w:t>(Rúbrica)</w:t>
            </w:r>
          </w:p>
        </w:tc>
      </w:tr>
    </w:tbl>
    <w:p w:rsidR="00165A69" w:rsidRPr="000C4CFF" w:rsidRDefault="00624E03" w:rsidP="000C4CFF">
      <w:pPr>
        <w:spacing w:before="240" w:after="240" w:line="360" w:lineRule="auto"/>
        <w:ind w:right="49"/>
        <w:jc w:val="both"/>
        <w:rPr>
          <w:rFonts w:ascii="Palatino Linotype" w:hAnsi="Palatino Linotype"/>
          <w:sz w:val="24"/>
          <w:szCs w:val="24"/>
        </w:rPr>
      </w:pPr>
      <w:r w:rsidRPr="000C4CFF">
        <w:rPr>
          <w:rFonts w:ascii="Palatino Linotype" w:eastAsia="Times New Roman" w:hAnsi="Palatino Linotype" w:cs="Arial"/>
          <w:sz w:val="24"/>
          <w:szCs w:val="24"/>
          <w:lang w:val="es-ES_tradnl" w:eastAsia="es-ES"/>
        </w:rPr>
        <w:t xml:space="preserve">Esta hoja corresponde a la resolución de fecha </w:t>
      </w:r>
      <w:r w:rsidR="000C4CFF" w:rsidRPr="000C4CFF">
        <w:rPr>
          <w:rFonts w:ascii="Palatino Linotype" w:eastAsia="Times New Roman" w:hAnsi="Palatino Linotype" w:cs="Arial"/>
          <w:sz w:val="24"/>
          <w:szCs w:val="24"/>
          <w:lang w:val="es-ES_tradnl" w:eastAsia="es-ES"/>
        </w:rPr>
        <w:t xml:space="preserve">veintiséis (26) de junio </w:t>
      </w:r>
      <w:r w:rsidRPr="000C4CFF">
        <w:rPr>
          <w:rFonts w:ascii="Palatino Linotype" w:eastAsia="Times New Roman" w:hAnsi="Palatino Linotype" w:cs="Arial"/>
          <w:sz w:val="24"/>
          <w:szCs w:val="24"/>
          <w:lang w:val="es-ES_tradnl" w:eastAsia="es-ES"/>
        </w:rPr>
        <w:t xml:space="preserve">de dos mil diecinueve, emitida en el recurso de revisión </w:t>
      </w:r>
      <w:r w:rsidR="006852DF" w:rsidRPr="000C4CFF">
        <w:rPr>
          <w:rFonts w:ascii="Palatino Linotype" w:eastAsia="Times New Roman" w:hAnsi="Palatino Linotype" w:cs="Arial"/>
          <w:b/>
          <w:sz w:val="24"/>
          <w:szCs w:val="24"/>
          <w:lang w:val="es-ES_tradnl" w:eastAsia="es-ES"/>
        </w:rPr>
        <w:t>02938/INFOEM/IP/RR/2019</w:t>
      </w:r>
    </w:p>
    <w:sectPr w:rsidR="00165A69" w:rsidRPr="000C4CFF" w:rsidSect="000C4CFF">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D8" w:rsidRDefault="00CD34D8" w:rsidP="00624E03">
      <w:pPr>
        <w:spacing w:after="0" w:line="240" w:lineRule="auto"/>
      </w:pPr>
      <w:r>
        <w:separator/>
      </w:r>
    </w:p>
  </w:endnote>
  <w:endnote w:type="continuationSeparator" w:id="0">
    <w:p w:rsidR="00CD34D8" w:rsidRDefault="00CD34D8" w:rsidP="0062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8974A7" w:rsidRPr="00883450" w:rsidRDefault="008974A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32B63">
              <w:rPr>
                <w:rFonts w:ascii="Palatino Linotype" w:hAnsi="Palatino Linotype"/>
                <w:b/>
                <w:bCs/>
                <w:noProof/>
                <w:szCs w:val="20"/>
              </w:rPr>
              <w:t>24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32B63">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rsidR="008974A7" w:rsidRDefault="008974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4A7" w:rsidRPr="00883450" w:rsidRDefault="008974A7" w:rsidP="00624E0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74EB6" w:rsidRPr="00A74EB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74EB6" w:rsidRPr="00A74EB6">
      <w:rPr>
        <w:rFonts w:ascii="Palatino Linotype" w:hAnsi="Palatino Linotype"/>
        <w:noProof/>
        <w:lang w:val="es-ES"/>
      </w:rPr>
      <w:t>26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D8" w:rsidRDefault="00CD34D8" w:rsidP="00624E03">
      <w:pPr>
        <w:spacing w:after="0" w:line="240" w:lineRule="auto"/>
      </w:pPr>
      <w:r>
        <w:separator/>
      </w:r>
    </w:p>
  </w:footnote>
  <w:footnote w:type="continuationSeparator" w:id="0">
    <w:p w:rsidR="00CD34D8" w:rsidRDefault="00CD34D8" w:rsidP="00624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4A7" w:rsidRDefault="008974A7">
    <w:pPr>
      <w:pStyle w:val="Encabezado"/>
    </w:pPr>
  </w:p>
  <w:p w:rsidR="008974A7" w:rsidRDefault="008974A7">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8974A7" w:rsidRPr="00EF13C1" w:rsidTr="00624E03">
      <w:trPr>
        <w:trHeight w:val="138"/>
      </w:trPr>
      <w:tc>
        <w:tcPr>
          <w:tcW w:w="2977" w:type="dxa"/>
          <w:vAlign w:val="center"/>
        </w:tcPr>
        <w:p w:rsidR="008974A7" w:rsidRPr="00EF13C1" w:rsidRDefault="008974A7" w:rsidP="00624E03">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8974A7" w:rsidRPr="00EF13C1" w:rsidRDefault="008974A7" w:rsidP="00624E03">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02938/INFOEM/IP/RR/2019  </w:t>
          </w:r>
        </w:p>
      </w:tc>
    </w:tr>
    <w:tr w:rsidR="008974A7" w:rsidRPr="00EF13C1" w:rsidTr="00624E03">
      <w:trPr>
        <w:gridAfter w:val="1"/>
        <w:wAfter w:w="142" w:type="dxa"/>
        <w:trHeight w:val="321"/>
      </w:trPr>
      <w:tc>
        <w:tcPr>
          <w:tcW w:w="2977" w:type="dxa"/>
          <w:vAlign w:val="center"/>
        </w:tcPr>
        <w:p w:rsidR="008974A7" w:rsidRPr="00EF13C1" w:rsidRDefault="008974A7" w:rsidP="00624E03">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974A7" w:rsidRPr="00EF13C1" w:rsidRDefault="008974A7" w:rsidP="00624E03">
          <w:pPr>
            <w:pStyle w:val="Encabezado"/>
            <w:ind w:right="-108"/>
            <w:jc w:val="center"/>
            <w:rPr>
              <w:rFonts w:ascii="Palatino Linotype" w:hAnsi="Palatino Linotype"/>
              <w:b/>
              <w:sz w:val="22"/>
              <w:szCs w:val="22"/>
            </w:rPr>
          </w:pPr>
          <w:r>
            <w:rPr>
              <w:rFonts w:ascii="Palatino Linotype" w:hAnsi="Palatino Linotype"/>
              <w:b/>
              <w:sz w:val="22"/>
              <w:szCs w:val="22"/>
            </w:rPr>
            <w:t xml:space="preserve">       Ayuntamiento de  Nezahualcóyotl</w:t>
          </w:r>
        </w:p>
      </w:tc>
    </w:tr>
    <w:tr w:rsidR="008974A7" w:rsidRPr="00EF13C1" w:rsidTr="00624E03">
      <w:trPr>
        <w:trHeight w:val="321"/>
      </w:trPr>
      <w:tc>
        <w:tcPr>
          <w:tcW w:w="2977" w:type="dxa"/>
          <w:vAlign w:val="center"/>
        </w:tcPr>
        <w:p w:rsidR="008974A7" w:rsidRPr="00EF13C1" w:rsidRDefault="008974A7" w:rsidP="00624E03">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8974A7" w:rsidRPr="00EF13C1" w:rsidRDefault="008974A7" w:rsidP="00624E03">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74A7" w:rsidRDefault="008974A7" w:rsidP="00624E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4A7" w:rsidRDefault="008974A7" w:rsidP="00624E03">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8974A7" w:rsidRPr="00182113" w:rsidTr="00624E03">
      <w:trPr>
        <w:trHeight w:val="138"/>
      </w:trPr>
      <w:tc>
        <w:tcPr>
          <w:tcW w:w="2532" w:type="dxa"/>
          <w:vAlign w:val="center"/>
        </w:tcPr>
        <w:p w:rsidR="008974A7" w:rsidRPr="00182113" w:rsidRDefault="008974A7" w:rsidP="00624E0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974A7" w:rsidRPr="00182113" w:rsidRDefault="008974A7" w:rsidP="00624E03">
          <w:pPr>
            <w:pStyle w:val="Encabezado"/>
            <w:jc w:val="center"/>
            <w:rPr>
              <w:rFonts w:ascii="Palatino Linotype" w:hAnsi="Palatino Linotype"/>
              <w:b/>
              <w:sz w:val="22"/>
              <w:szCs w:val="22"/>
            </w:rPr>
          </w:pPr>
        </w:p>
      </w:tc>
      <w:tc>
        <w:tcPr>
          <w:tcW w:w="4536" w:type="dxa"/>
          <w:vAlign w:val="center"/>
        </w:tcPr>
        <w:p w:rsidR="008974A7" w:rsidRPr="005143E6" w:rsidRDefault="008974A7" w:rsidP="00624E03">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02938/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974A7" w:rsidRPr="00182113" w:rsidTr="00624E03">
      <w:trPr>
        <w:trHeight w:val="227"/>
      </w:trPr>
      <w:tc>
        <w:tcPr>
          <w:tcW w:w="2532" w:type="dxa"/>
          <w:vAlign w:val="center"/>
        </w:tcPr>
        <w:p w:rsidR="008974A7" w:rsidRPr="00182113" w:rsidRDefault="008974A7" w:rsidP="00624E03">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974A7" w:rsidRPr="00182113" w:rsidRDefault="008974A7" w:rsidP="00624E03">
          <w:pPr>
            <w:pStyle w:val="Encabezado"/>
            <w:jc w:val="center"/>
            <w:rPr>
              <w:rFonts w:ascii="Palatino Linotype" w:hAnsi="Palatino Linotype"/>
              <w:b/>
              <w:sz w:val="22"/>
              <w:szCs w:val="22"/>
            </w:rPr>
          </w:pPr>
        </w:p>
      </w:tc>
      <w:tc>
        <w:tcPr>
          <w:tcW w:w="4536" w:type="dxa"/>
          <w:vAlign w:val="center"/>
        </w:tcPr>
        <w:p w:rsidR="008974A7" w:rsidRPr="00182113" w:rsidRDefault="008974A7" w:rsidP="0061762D">
          <w:pPr>
            <w:pStyle w:val="Encabezado"/>
            <w:ind w:right="34"/>
            <w:rPr>
              <w:rFonts w:ascii="Palatino Linotype" w:hAnsi="Palatino Linotype"/>
              <w:b/>
              <w:sz w:val="22"/>
              <w:szCs w:val="22"/>
            </w:rPr>
          </w:pPr>
          <w:r>
            <w:rPr>
              <w:rFonts w:ascii="Palatino Linotype" w:hAnsi="Palatino Linotype"/>
              <w:b/>
              <w:sz w:val="22"/>
              <w:szCs w:val="22"/>
            </w:rPr>
            <w:t xml:space="preserve">                             </w:t>
          </w:r>
          <w:r w:rsidR="0061762D" w:rsidRPr="00A74EB6">
            <w:rPr>
              <w:rFonts w:ascii="Palatino Linotype" w:hAnsi="Palatino Linotype"/>
              <w:b/>
              <w:sz w:val="22"/>
              <w:szCs w:val="22"/>
              <w:highlight w:val="black"/>
            </w:rPr>
            <w:t>------------------------------------</w:t>
          </w:r>
        </w:p>
      </w:tc>
    </w:tr>
    <w:tr w:rsidR="008974A7" w:rsidRPr="00182113" w:rsidTr="00624E03">
      <w:trPr>
        <w:trHeight w:val="232"/>
      </w:trPr>
      <w:tc>
        <w:tcPr>
          <w:tcW w:w="2532" w:type="dxa"/>
          <w:vAlign w:val="center"/>
        </w:tcPr>
        <w:p w:rsidR="008974A7" w:rsidRPr="00182113" w:rsidRDefault="008974A7" w:rsidP="00624E03">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974A7" w:rsidRPr="00182113" w:rsidRDefault="008974A7" w:rsidP="00624E03">
          <w:pPr>
            <w:pStyle w:val="Encabezado"/>
            <w:jc w:val="center"/>
            <w:rPr>
              <w:rFonts w:ascii="Palatino Linotype" w:hAnsi="Palatino Linotype"/>
              <w:b/>
              <w:sz w:val="22"/>
              <w:szCs w:val="22"/>
            </w:rPr>
          </w:pPr>
        </w:p>
      </w:tc>
      <w:tc>
        <w:tcPr>
          <w:tcW w:w="4536" w:type="dxa"/>
          <w:vAlign w:val="center"/>
        </w:tcPr>
        <w:p w:rsidR="008974A7" w:rsidRPr="00182113" w:rsidRDefault="008974A7" w:rsidP="00624E03">
          <w:pPr>
            <w:pStyle w:val="Encabezado"/>
            <w:ind w:right="34"/>
            <w:jc w:val="right"/>
            <w:rPr>
              <w:rFonts w:ascii="Palatino Linotype" w:hAnsi="Palatino Linotype"/>
              <w:b/>
              <w:sz w:val="22"/>
              <w:szCs w:val="22"/>
            </w:rPr>
          </w:pPr>
          <w:r>
            <w:rPr>
              <w:rFonts w:ascii="Palatino Linotype" w:hAnsi="Palatino Linotype"/>
              <w:b/>
              <w:sz w:val="22"/>
              <w:szCs w:val="22"/>
            </w:rPr>
            <w:t>Ayuntamiento de Nezahualcóyotl</w:t>
          </w:r>
        </w:p>
      </w:tc>
    </w:tr>
    <w:tr w:rsidR="008974A7" w:rsidRPr="00182113" w:rsidTr="00624E03">
      <w:trPr>
        <w:trHeight w:val="320"/>
      </w:trPr>
      <w:tc>
        <w:tcPr>
          <w:tcW w:w="2532" w:type="dxa"/>
          <w:vAlign w:val="center"/>
        </w:tcPr>
        <w:p w:rsidR="008974A7" w:rsidRPr="00182113" w:rsidRDefault="008974A7" w:rsidP="00624E03">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974A7" w:rsidRPr="00182113" w:rsidRDefault="008974A7" w:rsidP="00624E03">
          <w:pPr>
            <w:pStyle w:val="Encabezado"/>
            <w:jc w:val="center"/>
            <w:rPr>
              <w:rFonts w:ascii="Palatino Linotype" w:hAnsi="Palatino Linotype"/>
              <w:b/>
              <w:sz w:val="22"/>
              <w:szCs w:val="22"/>
            </w:rPr>
          </w:pPr>
        </w:p>
      </w:tc>
      <w:tc>
        <w:tcPr>
          <w:tcW w:w="4536" w:type="dxa"/>
          <w:vAlign w:val="center"/>
        </w:tcPr>
        <w:p w:rsidR="008974A7" w:rsidRPr="00182113" w:rsidRDefault="008974A7" w:rsidP="00624E03">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8974A7" w:rsidRDefault="008974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182FDA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C03417"/>
    <w:multiLevelType w:val="hybridMultilevel"/>
    <w:tmpl w:val="E7C613CE"/>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862E59"/>
    <w:multiLevelType w:val="hybridMultilevel"/>
    <w:tmpl w:val="93DA94CA"/>
    <w:lvl w:ilvl="0" w:tplc="A8962DD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FD00AC"/>
    <w:multiLevelType w:val="hybridMultilevel"/>
    <w:tmpl w:val="9BB4EFD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B0F412AA"/>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4095AF9"/>
    <w:multiLevelType w:val="hybridMultilevel"/>
    <w:tmpl w:val="C0D4061C"/>
    <w:lvl w:ilvl="0" w:tplc="4148C3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8714A83"/>
    <w:multiLevelType w:val="hybridMultilevel"/>
    <w:tmpl w:val="4F1EA7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87A4354"/>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2">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B0362A"/>
    <w:multiLevelType w:val="hybridMultilevel"/>
    <w:tmpl w:val="E7C613CE"/>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C310E9"/>
    <w:multiLevelType w:val="hybridMultilevel"/>
    <w:tmpl w:val="AE8E2D74"/>
    <w:lvl w:ilvl="0" w:tplc="5D04D9B6">
      <w:start w:val="1"/>
      <w:numFmt w:val="upp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4C4B6C"/>
    <w:multiLevelType w:val="hybridMultilevel"/>
    <w:tmpl w:val="308E0A1A"/>
    <w:lvl w:ilvl="0" w:tplc="0A604984">
      <w:start w:val="1"/>
      <w:numFmt w:val="upperLetter"/>
      <w:lvlText w:val="%1)"/>
      <w:lvlJc w:val="left"/>
      <w:pPr>
        <w:ind w:left="360" w:hanging="360"/>
      </w:pPr>
      <w:rPr>
        <w:rFonts w:ascii="Palatino Linotype" w:eastAsia="Times New Roman" w:hAnsi="Palatino Linotype" w:cs="Times New Roman"/>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E676BBD"/>
    <w:multiLevelType w:val="hybridMultilevel"/>
    <w:tmpl w:val="44E467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6BC66F1"/>
    <w:multiLevelType w:val="hybridMultilevel"/>
    <w:tmpl w:val="9C304D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ACB2074"/>
    <w:multiLevelType w:val="hybridMultilevel"/>
    <w:tmpl w:val="E7C613CE"/>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15"/>
  </w:num>
  <w:num w:numId="5">
    <w:abstractNumId w:val="10"/>
  </w:num>
  <w:num w:numId="6">
    <w:abstractNumId w:val="11"/>
  </w:num>
  <w:num w:numId="7">
    <w:abstractNumId w:val="12"/>
  </w:num>
  <w:num w:numId="8">
    <w:abstractNumId w:val="4"/>
  </w:num>
  <w:num w:numId="9">
    <w:abstractNumId w:val="14"/>
  </w:num>
  <w:num w:numId="10">
    <w:abstractNumId w:val="1"/>
  </w:num>
  <w:num w:numId="11">
    <w:abstractNumId w:val="16"/>
  </w:num>
  <w:num w:numId="12">
    <w:abstractNumId w:val="20"/>
  </w:num>
  <w:num w:numId="13">
    <w:abstractNumId w:val="18"/>
  </w:num>
  <w:num w:numId="14">
    <w:abstractNumId w:val="19"/>
  </w:num>
  <w:num w:numId="15">
    <w:abstractNumId w:val="13"/>
  </w:num>
  <w:num w:numId="16">
    <w:abstractNumId w:val="9"/>
  </w:num>
  <w:num w:numId="17">
    <w:abstractNumId w:val="7"/>
  </w:num>
  <w:num w:numId="18">
    <w:abstractNumId w:val="8"/>
  </w:num>
  <w:num w:numId="19">
    <w:abstractNumId w:val="17"/>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03"/>
    <w:rsid w:val="000642AD"/>
    <w:rsid w:val="000C4CFF"/>
    <w:rsid w:val="000D1DAA"/>
    <w:rsid w:val="000F2638"/>
    <w:rsid w:val="00165A69"/>
    <w:rsid w:val="0018452C"/>
    <w:rsid w:val="001B6589"/>
    <w:rsid w:val="0021301C"/>
    <w:rsid w:val="003C4D99"/>
    <w:rsid w:val="004077FF"/>
    <w:rsid w:val="00524766"/>
    <w:rsid w:val="00532B63"/>
    <w:rsid w:val="005D4193"/>
    <w:rsid w:val="0061762D"/>
    <w:rsid w:val="00624E03"/>
    <w:rsid w:val="00671AF4"/>
    <w:rsid w:val="006852DF"/>
    <w:rsid w:val="006B3897"/>
    <w:rsid w:val="00754FD3"/>
    <w:rsid w:val="0077653C"/>
    <w:rsid w:val="00795234"/>
    <w:rsid w:val="007C2D64"/>
    <w:rsid w:val="008406FD"/>
    <w:rsid w:val="008434C7"/>
    <w:rsid w:val="00865A43"/>
    <w:rsid w:val="008974A7"/>
    <w:rsid w:val="00992BC9"/>
    <w:rsid w:val="009D6A4F"/>
    <w:rsid w:val="00A74EB6"/>
    <w:rsid w:val="00AA7E67"/>
    <w:rsid w:val="00BA6FE5"/>
    <w:rsid w:val="00BB0A36"/>
    <w:rsid w:val="00CD34D8"/>
    <w:rsid w:val="00CF011D"/>
    <w:rsid w:val="00D06F15"/>
    <w:rsid w:val="00DC767E"/>
    <w:rsid w:val="00E013C2"/>
    <w:rsid w:val="00E23D41"/>
    <w:rsid w:val="00E76276"/>
    <w:rsid w:val="00E84FA0"/>
    <w:rsid w:val="00EE094C"/>
    <w:rsid w:val="00EF3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386F8-6264-4023-98A7-E41B59B6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24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4E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4E0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24E03"/>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624E03"/>
  </w:style>
  <w:style w:type="paragraph" w:styleId="Encabezado">
    <w:name w:val="header"/>
    <w:basedOn w:val="Normal"/>
    <w:link w:val="EncabezadoCar"/>
    <w:uiPriority w:val="99"/>
    <w:unhideWhenUsed/>
    <w:rsid w:val="00624E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4E03"/>
  </w:style>
  <w:style w:type="paragraph" w:styleId="Piedepgina">
    <w:name w:val="footer"/>
    <w:basedOn w:val="Normal"/>
    <w:link w:val="PiedepginaCar"/>
    <w:uiPriority w:val="99"/>
    <w:unhideWhenUsed/>
    <w:rsid w:val="00624E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E03"/>
  </w:style>
  <w:style w:type="table" w:styleId="Tablaconcuadrcula">
    <w:name w:val="Table Grid"/>
    <w:basedOn w:val="Tablanormal"/>
    <w:uiPriority w:val="39"/>
    <w:rsid w:val="00624E0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24E0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624E03"/>
    <w:rPr>
      <w:vertAlign w:val="superscript"/>
    </w:rPr>
  </w:style>
  <w:style w:type="paragraph" w:customStyle="1" w:styleId="Textonotapie1">
    <w:name w:val="Texto nota pie1"/>
    <w:basedOn w:val="Normal"/>
    <w:next w:val="Textonotapie"/>
    <w:unhideWhenUsed/>
    <w:rsid w:val="00624E03"/>
    <w:pPr>
      <w:spacing w:after="0" w:line="240" w:lineRule="auto"/>
    </w:pPr>
    <w:rPr>
      <w:rFonts w:eastAsia="Cambria"/>
      <w:sz w:val="20"/>
      <w:szCs w:val="20"/>
    </w:rPr>
  </w:style>
  <w:style w:type="paragraph" w:customStyle="1" w:styleId="ADB1">
    <w:name w:val="ADB1"/>
    <w:basedOn w:val="Normal"/>
    <w:next w:val="Textonotapie"/>
    <w:uiPriority w:val="99"/>
    <w:unhideWhenUsed/>
    <w:qFormat/>
    <w:rsid w:val="00624E03"/>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24E0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24E03"/>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24E03"/>
    <w:pPr>
      <w:ind w:left="720"/>
      <w:contextualSpacing/>
    </w:pPr>
  </w:style>
  <w:style w:type="table" w:styleId="Tabladecuadrcula1clara-nfasis5">
    <w:name w:val="Grid Table 1 Light Accent 5"/>
    <w:basedOn w:val="Tablanormal"/>
    <w:uiPriority w:val="46"/>
    <w:rsid w:val="00624E03"/>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624E0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624E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4E03"/>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4E03"/>
  </w:style>
  <w:style w:type="paragraph" w:styleId="TDC1">
    <w:name w:val="toc 1"/>
    <w:basedOn w:val="Normal"/>
    <w:next w:val="Normal"/>
    <w:autoRedefine/>
    <w:uiPriority w:val="39"/>
    <w:unhideWhenUsed/>
    <w:rsid w:val="00624E03"/>
    <w:pPr>
      <w:spacing w:after="100"/>
    </w:pPr>
  </w:style>
  <w:style w:type="paragraph" w:styleId="TDC2">
    <w:name w:val="toc 2"/>
    <w:basedOn w:val="Normal"/>
    <w:next w:val="Normal"/>
    <w:autoRedefine/>
    <w:uiPriority w:val="39"/>
    <w:unhideWhenUsed/>
    <w:rsid w:val="00624E03"/>
    <w:pPr>
      <w:spacing w:after="100"/>
      <w:ind w:left="220"/>
    </w:pPr>
  </w:style>
  <w:style w:type="character" w:styleId="Hipervnculo">
    <w:name w:val="Hyperlink"/>
    <w:basedOn w:val="Fuentedeprrafopredeter"/>
    <w:uiPriority w:val="99"/>
    <w:unhideWhenUsed/>
    <w:rsid w:val="00624E03"/>
    <w:rPr>
      <w:color w:val="0563C1" w:themeColor="hyperlink"/>
      <w:u w:val="single"/>
    </w:rPr>
  </w:style>
  <w:style w:type="paragraph" w:styleId="Lista">
    <w:name w:val="List"/>
    <w:basedOn w:val="Normal"/>
    <w:uiPriority w:val="99"/>
    <w:unhideWhenUsed/>
    <w:rsid w:val="00624E03"/>
    <w:pPr>
      <w:ind w:left="283" w:hanging="283"/>
      <w:contextualSpacing/>
    </w:pPr>
  </w:style>
  <w:style w:type="paragraph" w:styleId="Lista2">
    <w:name w:val="List 2"/>
    <w:basedOn w:val="Normal"/>
    <w:uiPriority w:val="99"/>
    <w:unhideWhenUsed/>
    <w:rsid w:val="00624E03"/>
    <w:pPr>
      <w:ind w:left="566" w:hanging="283"/>
      <w:contextualSpacing/>
    </w:pPr>
  </w:style>
  <w:style w:type="paragraph" w:styleId="Lista3">
    <w:name w:val="List 3"/>
    <w:basedOn w:val="Normal"/>
    <w:uiPriority w:val="99"/>
    <w:unhideWhenUsed/>
    <w:rsid w:val="00624E03"/>
    <w:pPr>
      <w:ind w:left="849" w:hanging="283"/>
      <w:contextualSpacing/>
    </w:pPr>
  </w:style>
  <w:style w:type="paragraph" w:styleId="Saludo">
    <w:name w:val="Salutation"/>
    <w:basedOn w:val="Normal"/>
    <w:next w:val="Normal"/>
    <w:link w:val="SaludoCar"/>
    <w:uiPriority w:val="99"/>
    <w:unhideWhenUsed/>
    <w:rsid w:val="00624E03"/>
  </w:style>
  <w:style w:type="character" w:customStyle="1" w:styleId="SaludoCar">
    <w:name w:val="Saludo Car"/>
    <w:basedOn w:val="Fuentedeprrafopredeter"/>
    <w:link w:val="Saludo"/>
    <w:uiPriority w:val="99"/>
    <w:rsid w:val="00624E03"/>
  </w:style>
  <w:style w:type="paragraph" w:styleId="Listaconvietas2">
    <w:name w:val="List Bullet 2"/>
    <w:basedOn w:val="Normal"/>
    <w:uiPriority w:val="99"/>
    <w:unhideWhenUsed/>
    <w:rsid w:val="00624E03"/>
    <w:pPr>
      <w:numPr>
        <w:numId w:val="20"/>
      </w:numPr>
      <w:contextualSpacing/>
    </w:pPr>
  </w:style>
  <w:style w:type="paragraph" w:styleId="Continuarlista">
    <w:name w:val="List Continue"/>
    <w:basedOn w:val="Normal"/>
    <w:uiPriority w:val="99"/>
    <w:unhideWhenUsed/>
    <w:rsid w:val="00624E03"/>
    <w:pPr>
      <w:spacing w:after="120"/>
      <w:ind w:left="283"/>
      <w:contextualSpacing/>
    </w:pPr>
  </w:style>
  <w:style w:type="paragraph" w:styleId="Textoindependiente">
    <w:name w:val="Body Text"/>
    <w:basedOn w:val="Normal"/>
    <w:link w:val="TextoindependienteCar"/>
    <w:uiPriority w:val="99"/>
    <w:unhideWhenUsed/>
    <w:rsid w:val="00624E03"/>
    <w:pPr>
      <w:spacing w:after="120"/>
    </w:pPr>
  </w:style>
  <w:style w:type="character" w:customStyle="1" w:styleId="TextoindependienteCar">
    <w:name w:val="Texto independiente Car"/>
    <w:basedOn w:val="Fuentedeprrafopredeter"/>
    <w:link w:val="Textoindependiente"/>
    <w:uiPriority w:val="99"/>
    <w:rsid w:val="00624E03"/>
  </w:style>
  <w:style w:type="paragraph" w:styleId="Sangradetextonormal">
    <w:name w:val="Body Text Indent"/>
    <w:basedOn w:val="Normal"/>
    <w:link w:val="SangradetextonormalCar"/>
    <w:uiPriority w:val="99"/>
    <w:semiHidden/>
    <w:unhideWhenUsed/>
    <w:rsid w:val="00624E03"/>
    <w:pPr>
      <w:spacing w:after="120"/>
      <w:ind w:left="283"/>
    </w:pPr>
  </w:style>
  <w:style w:type="character" w:customStyle="1" w:styleId="SangradetextonormalCar">
    <w:name w:val="Sangría de texto normal Car"/>
    <w:basedOn w:val="Fuentedeprrafopredeter"/>
    <w:link w:val="Sangradetextonormal"/>
    <w:uiPriority w:val="99"/>
    <w:semiHidden/>
    <w:rsid w:val="00624E03"/>
  </w:style>
  <w:style w:type="paragraph" w:styleId="Textoindependienteprimerasangra2">
    <w:name w:val="Body Text First Indent 2"/>
    <w:basedOn w:val="Sangradetextonormal"/>
    <w:link w:val="Textoindependienteprimerasangra2Car"/>
    <w:uiPriority w:val="99"/>
    <w:unhideWhenUsed/>
    <w:rsid w:val="00624E03"/>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2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4576</Words>
  <Characters>25168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2019-07-01T20:26:00Z</cp:lastPrinted>
  <dcterms:created xsi:type="dcterms:W3CDTF">2019-07-01T20:29:00Z</dcterms:created>
  <dcterms:modified xsi:type="dcterms:W3CDTF">2019-07-12T00:57:00Z</dcterms:modified>
</cp:coreProperties>
</file>