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4AD" w:rsidRPr="00857BDC" w:rsidRDefault="00626372" w:rsidP="00626372">
      <w:pPr>
        <w:tabs>
          <w:tab w:val="center" w:pos="4394"/>
          <w:tab w:val="right" w:pos="8789"/>
        </w:tabs>
        <w:spacing w:before="240" w:after="240" w:line="360" w:lineRule="auto"/>
        <w:rPr>
          <w:rFonts w:ascii="Palatino Linotype" w:hAnsi="Palatino Linotype"/>
          <w:b/>
        </w:rPr>
      </w:pPr>
      <w:bookmarkStart w:id="0" w:name="_GoBack"/>
      <w:bookmarkEnd w:id="0"/>
      <w:r w:rsidRPr="00C91322">
        <w:rPr>
          <w:rFonts w:ascii="Palatino Linotype" w:hAnsi="Palatino Linotype"/>
          <w:b/>
        </w:rPr>
        <w:tab/>
      </w:r>
      <w:r w:rsidR="008C15B3" w:rsidRPr="00857BDC">
        <w:rPr>
          <w:rFonts w:ascii="Palatino Linotype" w:hAnsi="Palatino Linotype"/>
          <w:b/>
        </w:rPr>
        <w:t>LÍNEAS ARGUMENTATIVAS</w:t>
      </w:r>
    </w:p>
    <w:p w:rsidR="008B54AD" w:rsidRPr="00857BDC" w:rsidRDefault="008B54AD" w:rsidP="008B54AD">
      <w:pPr>
        <w:spacing w:before="240" w:after="360" w:line="360" w:lineRule="auto"/>
        <w:contextualSpacing/>
        <w:jc w:val="both"/>
        <w:rPr>
          <w:rFonts w:ascii="Palatino Linotype" w:eastAsia="Times New Roman" w:hAnsi="Palatino Linotype" w:cs="Times New Roman"/>
        </w:rPr>
      </w:pPr>
      <w:r w:rsidRPr="00857BDC">
        <w:rPr>
          <w:rFonts w:ascii="Palatino Linotype" w:eastAsia="Times New Roman" w:hAnsi="Palatino Linotype" w:cs="Times New Roman"/>
          <w:b/>
        </w:rPr>
        <w:t>DEBERES DE LAS AUTORIDADES.</w:t>
      </w:r>
      <w:r w:rsidRPr="00857BDC">
        <w:rPr>
          <w:rFonts w:ascii="Palatino Linotype" w:eastAsia="Times New Roman" w:hAnsi="Palatino Linotype" w:cs="Times New Roman"/>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8B54AD" w:rsidRPr="00857BDC" w:rsidRDefault="008B54AD" w:rsidP="008B54AD">
      <w:pPr>
        <w:spacing w:before="240" w:after="360" w:line="360" w:lineRule="auto"/>
        <w:contextualSpacing/>
        <w:jc w:val="both"/>
        <w:rPr>
          <w:rFonts w:ascii="Palatino Linotype" w:eastAsia="Times New Roman" w:hAnsi="Palatino Linotype" w:cs="Times New Roman"/>
        </w:rPr>
      </w:pPr>
    </w:p>
    <w:p w:rsidR="008B54AD" w:rsidRPr="00857BDC" w:rsidRDefault="008B54AD" w:rsidP="008B54AD">
      <w:pPr>
        <w:spacing w:before="240" w:after="360" w:line="360" w:lineRule="auto"/>
        <w:contextualSpacing/>
        <w:jc w:val="both"/>
        <w:rPr>
          <w:rFonts w:ascii="Palatino Linotype" w:eastAsia="Times New Roman" w:hAnsi="Palatino Linotype" w:cs="Times New Roman"/>
        </w:rPr>
      </w:pPr>
      <w:r w:rsidRPr="00857BDC">
        <w:rPr>
          <w:rFonts w:ascii="Palatino Linotype" w:eastAsia="Times New Roman" w:hAnsi="Palatino Linotype" w:cs="Times New Roman"/>
          <w:b/>
        </w:rPr>
        <w:t xml:space="preserve">DERECHO DE ACCESO A LA INFORMACIÓN PÚBLICA. </w:t>
      </w:r>
      <w:r w:rsidRPr="00857BDC">
        <w:rPr>
          <w:rFonts w:ascii="Palatino Linotype" w:eastAsia="Times New Roman"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8B54AD" w:rsidRPr="00857BDC" w:rsidRDefault="008B54AD" w:rsidP="008B54AD">
      <w:pPr>
        <w:spacing w:before="240" w:after="360" w:line="360" w:lineRule="auto"/>
        <w:contextualSpacing/>
        <w:jc w:val="both"/>
        <w:rPr>
          <w:rFonts w:ascii="Palatino Linotype" w:eastAsia="Times New Roman" w:hAnsi="Palatino Linotype" w:cs="Times New Roman"/>
        </w:rPr>
      </w:pPr>
    </w:p>
    <w:p w:rsidR="008B54AD" w:rsidRPr="00857BDC" w:rsidRDefault="008B54AD" w:rsidP="008B54AD">
      <w:pPr>
        <w:spacing w:before="240" w:after="360" w:line="360" w:lineRule="auto"/>
        <w:contextualSpacing/>
        <w:jc w:val="both"/>
        <w:rPr>
          <w:rFonts w:ascii="Palatino Linotype" w:eastAsia="Times New Roman" w:hAnsi="Palatino Linotype" w:cs="Times New Roman"/>
        </w:rPr>
      </w:pPr>
      <w:r w:rsidRPr="00857BDC">
        <w:rPr>
          <w:rFonts w:ascii="Palatino Linotype" w:eastAsia="Times New Roman" w:hAnsi="Palatino Linotype" w:cs="Times New Roman"/>
          <w:b/>
        </w:rPr>
        <w:t>RESPUESTAS IMPRECISAS O INCOMPLETAS, DEBER DE REPARACIÓN.</w:t>
      </w:r>
      <w:r w:rsidRPr="00857BDC">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8B54AD" w:rsidRPr="00857BDC" w:rsidRDefault="008B54AD" w:rsidP="008B54AD">
      <w:pPr>
        <w:spacing w:before="240" w:after="360" w:line="360" w:lineRule="auto"/>
        <w:contextualSpacing/>
        <w:jc w:val="both"/>
        <w:rPr>
          <w:rFonts w:ascii="Palatino Linotype" w:eastAsia="Times New Roman" w:hAnsi="Palatino Linotype" w:cs="Times New Roman"/>
        </w:rPr>
      </w:pPr>
    </w:p>
    <w:p w:rsidR="008B54AD" w:rsidRPr="00857BDC" w:rsidRDefault="008B54AD" w:rsidP="008B54AD">
      <w:pPr>
        <w:spacing w:line="360" w:lineRule="auto"/>
        <w:jc w:val="both"/>
        <w:rPr>
          <w:rFonts w:ascii="Palatino Linotype" w:eastAsia="Calibri" w:hAnsi="Palatino Linotype" w:cs="Times New Roman"/>
        </w:rPr>
      </w:pPr>
      <w:r w:rsidRPr="00857BDC">
        <w:rPr>
          <w:rFonts w:ascii="Palatino Linotype" w:eastAsia="Calibri" w:hAnsi="Palatino Linotype" w:cs="Times New Roman"/>
          <w:b/>
        </w:rPr>
        <w:t>DE LA GARANTÍA DE PROPORCIONAR LA INFORMACIÓN PÚBLICA GUBERNAMENTAL.</w:t>
      </w:r>
      <w:r w:rsidRPr="00857BDC">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rsidR="008C15B3" w:rsidRPr="00857BDC" w:rsidRDefault="008C15B3" w:rsidP="00626372">
      <w:pPr>
        <w:tabs>
          <w:tab w:val="center" w:pos="4394"/>
          <w:tab w:val="right" w:pos="8789"/>
        </w:tabs>
        <w:spacing w:before="240" w:after="240" w:line="360" w:lineRule="auto"/>
        <w:rPr>
          <w:rFonts w:ascii="Palatino Linotype" w:hAnsi="Palatino Linotype"/>
          <w:b/>
        </w:rPr>
      </w:pPr>
    </w:p>
    <w:p w:rsidR="008B54AD" w:rsidRPr="00857BDC" w:rsidRDefault="00626372" w:rsidP="008B54AD">
      <w:pPr>
        <w:spacing w:before="240" w:after="240" w:line="360" w:lineRule="auto"/>
        <w:jc w:val="center"/>
        <w:rPr>
          <w:rFonts w:ascii="Palatino Linotype" w:hAnsi="Palatino Linotype"/>
        </w:rPr>
      </w:pPr>
      <w:r w:rsidRPr="00857BDC">
        <w:rPr>
          <w:rFonts w:ascii="Palatino Linotype" w:hAnsi="Palatino Linotype"/>
          <w:b/>
        </w:rPr>
        <w:lastRenderedPageBreak/>
        <w:t>ÍNDICE</w:t>
      </w:r>
      <w:r w:rsidRPr="00857BD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857BDC" w:rsidRDefault="00A55BA0" w:rsidP="00A55BA0">
          <w:pPr>
            <w:pStyle w:val="TtulodeTDC"/>
            <w:spacing w:line="480" w:lineRule="auto"/>
            <w:rPr>
              <w:color w:val="000000" w:themeColor="text1"/>
              <w:szCs w:val="24"/>
            </w:rPr>
          </w:pPr>
        </w:p>
        <w:p w:rsidR="00AF6EE4" w:rsidRPr="00857BDC" w:rsidRDefault="00A55BA0">
          <w:pPr>
            <w:pStyle w:val="TDC1"/>
            <w:tabs>
              <w:tab w:val="right" w:leader="dot" w:pos="8779"/>
            </w:tabs>
            <w:rPr>
              <w:rFonts w:ascii="Palatino Linotype" w:hAnsi="Palatino Linotype"/>
              <w:b/>
              <w:noProof/>
              <w:sz w:val="22"/>
              <w:szCs w:val="22"/>
              <w:lang w:val="es-MX" w:eastAsia="es-MX"/>
            </w:rPr>
          </w:pPr>
          <w:r w:rsidRPr="00857BDC">
            <w:rPr>
              <w:rFonts w:ascii="Palatino Linotype" w:hAnsi="Palatino Linotype"/>
              <w:b/>
              <w:color w:val="000000" w:themeColor="text1"/>
            </w:rPr>
            <w:fldChar w:fldCharType="begin"/>
          </w:r>
          <w:r w:rsidRPr="00857BDC">
            <w:rPr>
              <w:rFonts w:ascii="Palatino Linotype" w:hAnsi="Palatino Linotype"/>
              <w:b/>
              <w:color w:val="000000" w:themeColor="text1"/>
            </w:rPr>
            <w:instrText xml:space="preserve"> TOC \o "1-3" \h \z \u </w:instrText>
          </w:r>
          <w:r w:rsidRPr="00857BDC">
            <w:rPr>
              <w:rFonts w:ascii="Palatino Linotype" w:hAnsi="Palatino Linotype"/>
              <w:b/>
              <w:color w:val="000000" w:themeColor="text1"/>
            </w:rPr>
            <w:fldChar w:fldCharType="separate"/>
          </w:r>
          <w:hyperlink w:anchor="_Toc25180688" w:history="1">
            <w:r w:rsidR="00AF6EE4" w:rsidRPr="00857BDC">
              <w:rPr>
                <w:rStyle w:val="Hipervnculo"/>
                <w:rFonts w:ascii="Palatino Linotype" w:hAnsi="Palatino Linotype"/>
                <w:b/>
                <w:noProof/>
              </w:rPr>
              <w:t>ANTECEDENTES</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_Toc25180688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3</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1" w:history="1">
            <w:r w:rsidR="00AF6EE4" w:rsidRPr="00857BDC">
              <w:rPr>
                <w:rStyle w:val="Hipervnculo"/>
                <w:rFonts w:ascii="Palatino Linotype" w:hAnsi="Palatino Linotype"/>
                <w:b/>
                <w:noProof/>
              </w:rPr>
              <w:t>CONSIDERANDO</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_Toc25180691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7</w:t>
            </w:r>
            <w:r w:rsidR="00AF6EE4" w:rsidRPr="00857BDC">
              <w:rPr>
                <w:rFonts w:ascii="Palatino Linotype" w:hAnsi="Palatino Linotype"/>
                <w:b/>
                <w:noProof/>
                <w:webHidden/>
              </w:rPr>
              <w:fldChar w:fldCharType="end"/>
            </w:r>
          </w:hyperlink>
        </w:p>
        <w:p w:rsidR="00AF6EE4" w:rsidRPr="00857BDC" w:rsidRDefault="004E30C1">
          <w:pPr>
            <w:pStyle w:val="TDC2"/>
            <w:rPr>
              <w:rFonts w:ascii="Palatino Linotype" w:hAnsi="Palatino Linotype"/>
              <w:b/>
              <w:noProof/>
              <w:sz w:val="22"/>
              <w:szCs w:val="22"/>
              <w:lang w:val="es-MX" w:eastAsia="es-MX"/>
            </w:rPr>
          </w:pPr>
          <w:hyperlink w:anchor="_Toc25180692" w:history="1">
            <w:r w:rsidR="00AF6EE4" w:rsidRPr="00857BDC">
              <w:rPr>
                <w:rStyle w:val="Hipervnculo"/>
                <w:rFonts w:ascii="Palatino Linotype" w:hAnsi="Palatino Linotype"/>
                <w:b/>
                <w:noProof/>
              </w:rPr>
              <w:t>PRIMERO. De la competencia</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_Toc25180692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7</w:t>
            </w:r>
            <w:r w:rsidR="00AF6EE4" w:rsidRPr="00857BDC">
              <w:rPr>
                <w:rFonts w:ascii="Palatino Linotype" w:hAnsi="Palatino Linotype"/>
                <w:b/>
                <w:noProof/>
                <w:webHidden/>
              </w:rPr>
              <w:fldChar w:fldCharType="end"/>
            </w:r>
          </w:hyperlink>
        </w:p>
        <w:p w:rsidR="00AF6EE4" w:rsidRPr="00857BDC" w:rsidRDefault="004E30C1">
          <w:pPr>
            <w:pStyle w:val="TDC2"/>
            <w:rPr>
              <w:rFonts w:ascii="Palatino Linotype" w:hAnsi="Palatino Linotype"/>
              <w:b/>
              <w:noProof/>
              <w:sz w:val="22"/>
              <w:szCs w:val="22"/>
              <w:lang w:val="es-MX" w:eastAsia="es-MX"/>
            </w:rPr>
          </w:pPr>
          <w:hyperlink w:anchor="_Toc25180693" w:history="1">
            <w:r w:rsidR="00AF6EE4" w:rsidRPr="00857BDC">
              <w:rPr>
                <w:rStyle w:val="Hipervnculo"/>
                <w:rFonts w:ascii="Palatino Linotype" w:hAnsi="Palatino Linotype"/>
                <w:b/>
                <w:noProof/>
              </w:rPr>
              <w:t>SEGUNDO. De la oportunidad y procedencia.</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_Toc25180693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7</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4" w:history="1">
            <w:r w:rsidR="00AF6EE4" w:rsidRPr="00857BDC">
              <w:rPr>
                <w:rStyle w:val="Hipervnculo"/>
                <w:rFonts w:ascii="Palatino Linotype" w:eastAsia="Calibri" w:hAnsi="Palatino Linotype" w:cs="Times New Roman"/>
                <w:b/>
                <w:bCs/>
                <w:noProof/>
                <w:lang w:val="es-ES"/>
              </w:rPr>
              <w:t>TERCERO. Del planteamiento de la litis.</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_Toc25180694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10</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5" w:history="1">
            <w:r w:rsidR="00AF6EE4" w:rsidRPr="00857BDC">
              <w:rPr>
                <w:rStyle w:val="Hipervnculo"/>
                <w:rFonts w:ascii="Palatino Linotype" w:eastAsia="MS Gothic" w:hAnsi="Palatino Linotype"/>
                <w:b/>
                <w:noProof/>
              </w:rPr>
              <w:t xml:space="preserve">CUARTO. </w:t>
            </w:r>
            <w:r w:rsidR="00AF6EE4" w:rsidRPr="00857BDC">
              <w:rPr>
                <w:rStyle w:val="Hipervnculo"/>
                <w:rFonts w:ascii="Palatino Linotype" w:eastAsia="MS Gothic" w:hAnsi="Palatino Linotype" w:cs="Times New Roman"/>
                <w:b/>
                <w:noProof/>
              </w:rPr>
              <w:t>Del estudio y resolución del asunto.</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_Toc25180695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11</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6" w:history="1">
            <w:r w:rsidR="00AF6EE4" w:rsidRPr="00857BDC">
              <w:rPr>
                <w:rStyle w:val="Hipervnculo"/>
                <w:rFonts w:ascii="Palatino Linotype" w:eastAsia="MS Gothic" w:hAnsi="Palatino Linotype" w:cstheme="majorBidi"/>
                <w:b/>
                <w:noProof/>
              </w:rPr>
              <w:t>I. Del Derecho de Acceso a la Información Pública, como instrumento y herramienta de control gubernamental.</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_Toc25180696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11</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7" w:history="1">
            <w:r w:rsidR="00AF6EE4" w:rsidRPr="00857BDC">
              <w:rPr>
                <w:rStyle w:val="Hipervnculo"/>
                <w:rFonts w:ascii="Palatino Linotype" w:eastAsia="MS Gothic" w:hAnsi="Palatino Linotype" w:cstheme="majorBidi"/>
                <w:b/>
                <w:noProof/>
              </w:rPr>
              <w:t>II. De la Seguridad Pública.</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_Toc25180697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14</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8" w:history="1">
            <w:r w:rsidR="00AF6EE4" w:rsidRPr="00857BDC">
              <w:rPr>
                <w:rStyle w:val="Hipervnculo"/>
                <w:rFonts w:ascii="Palatino Linotype" w:eastAsia="MS Gothic" w:hAnsi="Palatino Linotype" w:cstheme="majorBidi"/>
                <w:b/>
                <w:noProof/>
              </w:rPr>
              <w:t>III. De los Cuerpos de Seguridad Auxiliares en el Estado de México.</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_Toc25180698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18</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699" w:history="1">
            <w:r w:rsidR="00AF6EE4" w:rsidRPr="00857BDC">
              <w:rPr>
                <w:rStyle w:val="Hipervnculo"/>
                <w:rFonts w:ascii="Palatino Linotype" w:eastAsia="MS Gothic" w:hAnsi="Palatino Linotype" w:cstheme="majorBidi"/>
                <w:b/>
                <w:noProof/>
              </w:rPr>
              <w:t>IV. De la naturaleza de los Cuerpos de Seguridad Auxiliares del Estado de México (CUSAEM).</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_Toc25180699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21</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700" w:history="1">
            <w:r w:rsidR="00AF6EE4" w:rsidRPr="00857BDC">
              <w:rPr>
                <w:rStyle w:val="Hipervnculo"/>
                <w:rFonts w:ascii="Palatino Linotype" w:eastAsia="MS Gothic" w:hAnsi="Palatino Linotype" w:cstheme="majorBidi"/>
                <w:b/>
                <w:noProof/>
              </w:rPr>
              <w:t>a) Los actos del organismo auxiliar de seguridad pública con otras dependencias gubernamentales.</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_Toc25180700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24</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701" w:history="1">
            <w:r w:rsidR="00AF6EE4" w:rsidRPr="00857BDC">
              <w:rPr>
                <w:rStyle w:val="Hipervnculo"/>
                <w:rFonts w:ascii="Palatino Linotype" w:eastAsia="MS Mincho" w:hAnsi="Palatino Linotype"/>
                <w:b/>
                <w:noProof/>
              </w:rPr>
              <w:t>V. De las obligaciones del Órgano Superior de Fiscalización del Estado de México.</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_Toc25180701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34</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702" w:history="1">
            <w:r w:rsidR="00AF6EE4" w:rsidRPr="00857BDC">
              <w:rPr>
                <w:rStyle w:val="Hipervnculo"/>
                <w:rFonts w:ascii="Palatino Linotype" w:eastAsia="MS Mincho" w:hAnsi="Palatino Linotype"/>
                <w:b/>
                <w:noProof/>
              </w:rPr>
              <w:t>VI. La inexistencia de la información.</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_Toc25180702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43</w:t>
            </w:r>
            <w:r w:rsidR="00AF6EE4" w:rsidRPr="00857BDC">
              <w:rPr>
                <w:rFonts w:ascii="Palatino Linotype" w:hAnsi="Palatino Linotype"/>
                <w:b/>
                <w:noProof/>
                <w:webHidden/>
              </w:rPr>
              <w:fldChar w:fldCharType="end"/>
            </w:r>
          </w:hyperlink>
        </w:p>
        <w:p w:rsidR="00AF6EE4" w:rsidRPr="00857BDC" w:rsidRDefault="004E30C1">
          <w:pPr>
            <w:pStyle w:val="TDC1"/>
            <w:tabs>
              <w:tab w:val="right" w:leader="dot" w:pos="8779"/>
            </w:tabs>
            <w:rPr>
              <w:rFonts w:ascii="Palatino Linotype" w:hAnsi="Palatino Linotype"/>
              <w:b/>
              <w:noProof/>
              <w:sz w:val="22"/>
              <w:szCs w:val="22"/>
              <w:lang w:val="es-MX" w:eastAsia="es-MX"/>
            </w:rPr>
          </w:pPr>
          <w:hyperlink w:anchor="_Toc25180703" w:history="1">
            <w:r w:rsidR="00AF6EE4" w:rsidRPr="00857BDC">
              <w:rPr>
                <w:rStyle w:val="Hipervnculo"/>
                <w:rFonts w:ascii="Palatino Linotype" w:eastAsiaTheme="majorEastAsia" w:hAnsi="Palatino Linotype" w:cs="Times New Roman"/>
                <w:b/>
                <w:noProof/>
                <w:lang w:val="es-MX" w:eastAsia="es-ES_tradnl"/>
              </w:rPr>
              <w:t xml:space="preserve">QUINTO. </w:t>
            </w:r>
            <w:r w:rsidR="00AF6EE4" w:rsidRPr="00857BDC">
              <w:rPr>
                <w:rStyle w:val="Hipervnculo"/>
                <w:rFonts w:ascii="Palatino Linotype" w:eastAsiaTheme="majorEastAsia" w:hAnsi="Palatino Linotype" w:cstheme="majorBidi"/>
                <w:b/>
                <w:noProof/>
                <w:lang w:val="es-MX" w:eastAsia="en-US"/>
              </w:rPr>
              <w:t xml:space="preserve"> De la elaboración de la versión pública.</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_Toc25180703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50</w:t>
            </w:r>
            <w:r w:rsidR="00AF6EE4" w:rsidRPr="00857BDC">
              <w:rPr>
                <w:rFonts w:ascii="Palatino Linotype" w:hAnsi="Palatino Linotype"/>
                <w:b/>
                <w:noProof/>
                <w:webHidden/>
              </w:rPr>
              <w:fldChar w:fldCharType="end"/>
            </w:r>
          </w:hyperlink>
        </w:p>
        <w:p w:rsidR="00AF6EE4" w:rsidRPr="00857BDC" w:rsidRDefault="00C67E5F">
          <w:pPr>
            <w:pStyle w:val="TDC1"/>
            <w:tabs>
              <w:tab w:val="right" w:leader="dot" w:pos="8779"/>
            </w:tabs>
            <w:rPr>
              <w:rFonts w:ascii="Palatino Linotype" w:hAnsi="Palatino Linotype"/>
              <w:b/>
              <w:noProof/>
              <w:sz w:val="22"/>
              <w:szCs w:val="22"/>
              <w:lang w:val="es-MX" w:eastAsia="es-MX"/>
            </w:rPr>
          </w:pPr>
          <w:r>
            <w:rPr>
              <w:rFonts w:ascii="Palatino Linotype" w:eastAsia="Times New Roman" w:hAnsi="Palatino Linotype" w:cstheme="majorBidi"/>
              <w:b/>
              <w:noProof/>
              <w:color w:val="0563C1" w:themeColor="hyperlink"/>
              <w:u w:val="single"/>
              <w:lang w:val="es-MX" w:eastAsia="es-MX"/>
            </w:rPr>
            <mc:AlternateContent>
              <mc:Choice Requires="wps">
                <w:drawing>
                  <wp:anchor distT="0" distB="0" distL="114300" distR="114300" simplePos="0" relativeHeight="251659264" behindDoc="0" locked="0" layoutInCell="1" allowOverlap="1">
                    <wp:simplePos x="0" y="0"/>
                    <wp:positionH relativeFrom="column">
                      <wp:posOffset>-7473</wp:posOffset>
                    </wp:positionH>
                    <wp:positionV relativeFrom="paragraph">
                      <wp:posOffset>258347</wp:posOffset>
                    </wp:positionV>
                    <wp:extent cx="5547946" cy="1916723"/>
                    <wp:effectExtent l="19050" t="19050" r="15240" b="26670"/>
                    <wp:wrapNone/>
                    <wp:docPr id="1" name="Conector recto 1"/>
                    <wp:cNvGraphicFramePr/>
                    <a:graphic xmlns:a="http://schemas.openxmlformats.org/drawingml/2006/main">
                      <a:graphicData uri="http://schemas.microsoft.com/office/word/2010/wordprocessingShape">
                        <wps:wsp>
                          <wps:cNvCnPr/>
                          <wps:spPr>
                            <a:xfrm flipH="1" flipV="1">
                              <a:off x="0" y="0"/>
                              <a:ext cx="5547946" cy="191672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0DAC9"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6pt,20.35pt" to="436.2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" strokecolor="#5b9bd5 [3204]" strokeweight="3pt">
                    <v:stroke joinstyle="miter"/>
                  </v:line>
                </w:pict>
              </mc:Fallback>
            </mc:AlternateContent>
          </w:r>
          <w:hyperlink w:anchor="_Toc25180704" w:history="1">
            <w:r w:rsidR="00AF6EE4" w:rsidRPr="00857BDC">
              <w:rPr>
                <w:rStyle w:val="Hipervnculo"/>
                <w:rFonts w:ascii="Palatino Linotype" w:eastAsia="Times New Roman" w:hAnsi="Palatino Linotype" w:cstheme="majorBidi"/>
                <w:b/>
                <w:noProof/>
              </w:rPr>
              <w:t>R E S O L U T I V O S</w:t>
            </w:r>
            <w:r w:rsidR="00AF6EE4" w:rsidRPr="00857BDC">
              <w:rPr>
                <w:rFonts w:ascii="Palatino Linotype" w:hAnsi="Palatino Linotype"/>
                <w:b/>
                <w:noProof/>
                <w:webHidden/>
              </w:rPr>
              <w:tab/>
            </w:r>
            <w:r w:rsidR="00AF6EE4" w:rsidRPr="00857BDC">
              <w:rPr>
                <w:rFonts w:ascii="Palatino Linotype" w:hAnsi="Palatino Linotype"/>
                <w:b/>
                <w:noProof/>
                <w:webHidden/>
              </w:rPr>
              <w:fldChar w:fldCharType="begin"/>
            </w:r>
            <w:r w:rsidR="00AF6EE4" w:rsidRPr="00857BDC">
              <w:rPr>
                <w:rFonts w:ascii="Palatino Linotype" w:hAnsi="Palatino Linotype"/>
                <w:b/>
                <w:noProof/>
                <w:webHidden/>
              </w:rPr>
              <w:instrText xml:space="preserve"> PAGEREF _Toc25180704 \h </w:instrText>
            </w:r>
            <w:r w:rsidR="00AF6EE4" w:rsidRPr="00857BDC">
              <w:rPr>
                <w:rFonts w:ascii="Palatino Linotype" w:hAnsi="Palatino Linotype"/>
                <w:b/>
                <w:noProof/>
                <w:webHidden/>
              </w:rPr>
            </w:r>
            <w:r w:rsidR="00AF6EE4" w:rsidRPr="00857BDC">
              <w:rPr>
                <w:rFonts w:ascii="Palatino Linotype" w:hAnsi="Palatino Linotype"/>
                <w:b/>
                <w:noProof/>
                <w:webHidden/>
              </w:rPr>
              <w:fldChar w:fldCharType="separate"/>
            </w:r>
            <w:r w:rsidR="00C51395">
              <w:rPr>
                <w:rFonts w:ascii="Palatino Linotype" w:hAnsi="Palatino Linotype"/>
                <w:b/>
                <w:noProof/>
                <w:webHidden/>
              </w:rPr>
              <w:t>56</w:t>
            </w:r>
            <w:r w:rsidR="00AF6EE4" w:rsidRPr="00857BDC">
              <w:rPr>
                <w:rFonts w:ascii="Palatino Linotype" w:hAnsi="Palatino Linotype"/>
                <w:b/>
                <w:noProof/>
                <w:webHidden/>
              </w:rPr>
              <w:fldChar w:fldCharType="end"/>
            </w:r>
          </w:hyperlink>
        </w:p>
        <w:p w:rsidR="00D056CA" w:rsidRPr="00857BDC" w:rsidRDefault="00A55BA0" w:rsidP="00DE32F8">
          <w:pPr>
            <w:spacing w:line="720" w:lineRule="auto"/>
            <w:rPr>
              <w:rFonts w:ascii="Palatino Linotype" w:hAnsi="Palatino Linotype"/>
              <w:bCs/>
              <w:lang w:val="es-ES"/>
            </w:rPr>
          </w:pPr>
          <w:r w:rsidRPr="00857BDC">
            <w:rPr>
              <w:rFonts w:ascii="Palatino Linotype" w:hAnsi="Palatino Linotype"/>
              <w:b/>
              <w:bCs/>
              <w:color w:val="000000" w:themeColor="text1"/>
              <w:lang w:val="es-ES"/>
            </w:rPr>
            <w:fldChar w:fldCharType="end"/>
          </w:r>
        </w:p>
      </w:sdtContent>
    </w:sdt>
    <w:p w:rsidR="005E191A" w:rsidRPr="00857BDC" w:rsidRDefault="005E191A" w:rsidP="00A55BA0">
      <w:pPr>
        <w:spacing w:before="240" w:after="240" w:line="360" w:lineRule="auto"/>
        <w:jc w:val="both"/>
        <w:rPr>
          <w:rFonts w:ascii="Palatino Linotype" w:hAnsi="Palatino Linotype"/>
        </w:rPr>
      </w:pPr>
    </w:p>
    <w:p w:rsidR="00AF6EE4" w:rsidRPr="00857BDC" w:rsidRDefault="00AF6EE4" w:rsidP="00A55BA0">
      <w:pPr>
        <w:spacing w:before="240" w:after="240" w:line="360" w:lineRule="auto"/>
        <w:jc w:val="both"/>
        <w:rPr>
          <w:rFonts w:ascii="Palatino Linotype" w:hAnsi="Palatino Linotype"/>
        </w:rPr>
      </w:pPr>
    </w:p>
    <w:p w:rsidR="00D25585" w:rsidRPr="00857BDC" w:rsidRDefault="00A55BA0" w:rsidP="00D25585">
      <w:pPr>
        <w:spacing w:before="240" w:after="240" w:line="360" w:lineRule="auto"/>
        <w:jc w:val="both"/>
        <w:rPr>
          <w:rFonts w:ascii="Palatino Linotype" w:hAnsi="Palatino Linotype"/>
        </w:rPr>
      </w:pPr>
      <w:r w:rsidRPr="00857BDC">
        <w:rPr>
          <w:rFonts w:ascii="Palatino Linotype" w:hAnsi="Palatino Linotype"/>
        </w:rPr>
        <w:lastRenderedPageBreak/>
        <w:t xml:space="preserve">Resolución del Pleno del Instituto de Transparencia, Acceso a la Información Pública </w:t>
      </w:r>
      <w:r w:rsidRPr="00C67E5F">
        <w:rPr>
          <w:rFonts w:ascii="Palatino Linotype" w:hAnsi="Palatino Linotype"/>
        </w:rPr>
        <w:t xml:space="preserve">y Protección de Datos Personales del Estado de México y Municipios, con domicilio en Metepec, Estado de México; </w:t>
      </w:r>
      <w:r w:rsidR="00D25585" w:rsidRPr="00C67E5F">
        <w:rPr>
          <w:rFonts w:ascii="Palatino Linotype" w:hAnsi="Palatino Linotype"/>
        </w:rPr>
        <w:t>de fecha veintisiete (27</w:t>
      </w:r>
      <w:r w:rsidR="00423CD7" w:rsidRPr="00C67E5F">
        <w:rPr>
          <w:rFonts w:ascii="Palatino Linotype" w:hAnsi="Palatino Linotype"/>
        </w:rPr>
        <w:t>) de</w:t>
      </w:r>
      <w:r w:rsidR="008B54AD" w:rsidRPr="00C67E5F">
        <w:rPr>
          <w:rFonts w:ascii="Palatino Linotype" w:hAnsi="Palatino Linotype"/>
        </w:rPr>
        <w:t xml:space="preserve"> noviembre d</w:t>
      </w:r>
      <w:r w:rsidR="00C3012D" w:rsidRPr="00C67E5F">
        <w:rPr>
          <w:rFonts w:ascii="Palatino Linotype" w:hAnsi="Palatino Linotype"/>
        </w:rPr>
        <w:t>e dos mil diecinueve.</w:t>
      </w:r>
      <w:r w:rsidR="00C3012D" w:rsidRPr="00857BDC">
        <w:rPr>
          <w:rFonts w:ascii="Palatino Linotype" w:hAnsi="Palatino Linotype"/>
        </w:rPr>
        <w:t xml:space="preserve"> </w:t>
      </w:r>
    </w:p>
    <w:p w:rsidR="00D25585" w:rsidRPr="00E16784" w:rsidRDefault="00D25585" w:rsidP="00E16784">
      <w:pPr>
        <w:tabs>
          <w:tab w:val="center" w:pos="4252"/>
          <w:tab w:val="right" w:pos="8504"/>
        </w:tabs>
        <w:spacing w:line="360" w:lineRule="auto"/>
        <w:jc w:val="both"/>
        <w:rPr>
          <w:rFonts w:ascii="Palatino Linotype" w:eastAsia="Times New Roman" w:hAnsi="Palatino Linotype" w:cs="Times New Roman"/>
          <w:b/>
        </w:rPr>
      </w:pPr>
      <w:r w:rsidRPr="00857BDC">
        <w:rPr>
          <w:rFonts w:ascii="Palatino Linotype" w:eastAsia="Times New Roman" w:hAnsi="Palatino Linotype" w:cs="Times New Roman"/>
          <w:b/>
        </w:rPr>
        <w:t>VISTO</w:t>
      </w:r>
      <w:r w:rsidRPr="00857BDC">
        <w:rPr>
          <w:rFonts w:ascii="Palatino Linotype" w:eastAsia="Times New Roman" w:hAnsi="Palatino Linotype" w:cs="Times New Roman"/>
        </w:rPr>
        <w:t xml:space="preserve"> el expediente electrónico formado con motivo del recurso de revisión </w:t>
      </w:r>
      <w:r w:rsidRPr="00857BDC">
        <w:rPr>
          <w:rFonts w:ascii="Palatino Linotype" w:eastAsia="Times New Roman" w:hAnsi="Palatino Linotype" w:cs="Arial"/>
          <w:b/>
          <w:bCs/>
        </w:rPr>
        <w:t xml:space="preserve">07528/INFOEM/IP/RR/2019 </w:t>
      </w:r>
      <w:r w:rsidRPr="00857BDC">
        <w:rPr>
          <w:rFonts w:ascii="Palatino Linotype" w:eastAsia="Times New Roman" w:hAnsi="Palatino Linotype" w:cs="Times New Roman"/>
        </w:rPr>
        <w:t xml:space="preserve">promovido por </w:t>
      </w:r>
      <w:r w:rsidR="006440B4" w:rsidRPr="006440B4">
        <w:rPr>
          <w:rFonts w:ascii="Palatino Linotype" w:eastAsia="Times New Roman" w:hAnsi="Palatino Linotype" w:cs="Times New Roman"/>
          <w:b/>
          <w:highlight w:val="black"/>
        </w:rPr>
        <w:t>--------------------------------------------</w:t>
      </w:r>
      <w:r w:rsidRPr="006440B4">
        <w:rPr>
          <w:rFonts w:ascii="Palatino Linotype" w:eastAsia="Times New Roman" w:hAnsi="Palatino Linotype" w:cs="Times New Roman"/>
          <w:b/>
          <w:highlight w:val="black"/>
        </w:rPr>
        <w:t xml:space="preserve"> </w:t>
      </w:r>
      <w:r w:rsidR="006440B4" w:rsidRPr="006440B4">
        <w:rPr>
          <w:rFonts w:ascii="Palatino Linotype" w:eastAsia="Times New Roman" w:hAnsi="Palatino Linotype" w:cs="Times New Roman"/>
          <w:b/>
          <w:highlight w:val="black"/>
        </w:rPr>
        <w:t>---------------</w:t>
      </w:r>
      <w:r w:rsidRPr="00857BDC">
        <w:rPr>
          <w:rFonts w:ascii="Palatino Linotype" w:eastAsia="Times New Roman" w:hAnsi="Palatino Linotype" w:cs="Times New Roman"/>
          <w:b/>
        </w:rPr>
        <w:t xml:space="preserve"> </w:t>
      </w:r>
      <w:r w:rsidRPr="00857BDC">
        <w:rPr>
          <w:rFonts w:ascii="Palatino Linotype" w:eastAsia="Times New Roman" w:hAnsi="Palatino Linotype" w:cs="Times New Roman"/>
        </w:rPr>
        <w:t xml:space="preserve"> </w:t>
      </w:r>
      <w:r w:rsidRPr="00857BDC">
        <w:rPr>
          <w:rFonts w:ascii="Palatino Linotype" w:eastAsia="Times New Roman" w:hAnsi="Palatino Linotype" w:cs="Arial"/>
        </w:rPr>
        <w:t xml:space="preserve">en su calidad de </w:t>
      </w:r>
      <w:r w:rsidRPr="00857BDC">
        <w:rPr>
          <w:rFonts w:ascii="Palatino Linotype" w:eastAsia="Times New Roman" w:hAnsi="Palatino Linotype" w:cs="Arial"/>
          <w:b/>
        </w:rPr>
        <w:t>RECURRENTE</w:t>
      </w:r>
      <w:r w:rsidRPr="00857BDC">
        <w:rPr>
          <w:rFonts w:ascii="Palatino Linotype" w:eastAsia="Times New Roman" w:hAnsi="Palatino Linotype" w:cs="Arial"/>
        </w:rPr>
        <w:t>, en contra de la respuesta del</w:t>
      </w:r>
      <w:r w:rsidRPr="00857BDC">
        <w:rPr>
          <w:rFonts w:ascii="Palatino Linotype" w:eastAsia="Times New Roman" w:hAnsi="Palatino Linotype" w:cs="Arial"/>
          <w:b/>
        </w:rPr>
        <w:t xml:space="preserve"> Poder Legislativo </w:t>
      </w:r>
      <w:r w:rsidRPr="00857BDC">
        <w:rPr>
          <w:rFonts w:ascii="Palatino Linotype" w:eastAsia="Times New Roman" w:hAnsi="Palatino Linotype" w:cs="Times New Roman"/>
        </w:rPr>
        <w:t>en lo sucesivo el</w:t>
      </w:r>
      <w:r w:rsidRPr="00857BDC">
        <w:rPr>
          <w:rFonts w:ascii="Palatino Linotype" w:eastAsia="Times New Roman" w:hAnsi="Palatino Linotype" w:cs="Times New Roman"/>
          <w:b/>
        </w:rPr>
        <w:t xml:space="preserve"> SUJETO OBLIGADO, </w:t>
      </w:r>
      <w:r w:rsidRPr="00857BDC">
        <w:rPr>
          <w:rFonts w:ascii="Palatino Linotype" w:eastAsia="Times New Roman" w:hAnsi="Palatino Linotype" w:cs="Times New Roman"/>
        </w:rPr>
        <w:t>se procede a dictar la presente resolución, con base en los siguientes:</w:t>
      </w:r>
    </w:p>
    <w:p w:rsidR="00A55BA0" w:rsidRPr="00857BDC" w:rsidRDefault="00A55BA0" w:rsidP="00A55BA0">
      <w:pPr>
        <w:pStyle w:val="Ttulo1"/>
        <w:jc w:val="center"/>
        <w:rPr>
          <w:szCs w:val="24"/>
        </w:rPr>
      </w:pPr>
      <w:bookmarkStart w:id="1" w:name="_Toc25180688"/>
      <w:r w:rsidRPr="00857BDC">
        <w:rPr>
          <w:szCs w:val="24"/>
        </w:rPr>
        <w:t>ANTECEDENTES</w:t>
      </w:r>
      <w:bookmarkEnd w:id="1"/>
    </w:p>
    <w:p w:rsidR="00EA6AD4" w:rsidRPr="00857BDC" w:rsidRDefault="00EA6AD4" w:rsidP="00EA6AD4">
      <w:pPr>
        <w:rPr>
          <w:rFonts w:ascii="Palatino Linotype" w:hAnsi="Palatino Linotype"/>
          <w:lang w:val="es-MX" w:eastAsia="en-US"/>
        </w:rPr>
      </w:pPr>
    </w:p>
    <w:p w:rsidR="004F35F2" w:rsidRPr="00857BDC" w:rsidRDefault="00D25585" w:rsidP="005054AB">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857BDC">
        <w:rPr>
          <w:rFonts w:ascii="Palatino Linotype" w:eastAsia="Calibri" w:hAnsi="Palatino Linotype" w:cs="Arial"/>
          <w:lang w:val="es-ES"/>
        </w:rPr>
        <w:t>El día veintisiete</w:t>
      </w:r>
      <w:r w:rsidR="005054AB" w:rsidRPr="00857BDC">
        <w:rPr>
          <w:rFonts w:ascii="Palatino Linotype" w:eastAsia="Calibri" w:hAnsi="Palatino Linotype" w:cs="Arial"/>
          <w:lang w:val="es-ES"/>
        </w:rPr>
        <w:t xml:space="preserve"> </w:t>
      </w:r>
      <w:r w:rsidR="00A55BA0" w:rsidRPr="00857BDC">
        <w:rPr>
          <w:rFonts w:ascii="Palatino Linotype" w:eastAsia="Calibri" w:hAnsi="Palatino Linotype" w:cs="Arial"/>
          <w:lang w:val="es-ES"/>
        </w:rPr>
        <w:t>(</w:t>
      </w:r>
      <w:r w:rsidRPr="00857BDC">
        <w:rPr>
          <w:rFonts w:ascii="Palatino Linotype" w:eastAsia="Calibri" w:hAnsi="Palatino Linotype" w:cs="Arial"/>
          <w:lang w:val="es-ES"/>
        </w:rPr>
        <w:t>27</w:t>
      </w:r>
      <w:r w:rsidR="00423CD7" w:rsidRPr="00857BDC">
        <w:rPr>
          <w:rFonts w:ascii="Palatino Linotype" w:eastAsia="Calibri" w:hAnsi="Palatino Linotype" w:cs="Arial"/>
          <w:lang w:val="es-ES"/>
        </w:rPr>
        <w:t>) de</w:t>
      </w:r>
      <w:r w:rsidR="005054AB" w:rsidRPr="00857BDC">
        <w:rPr>
          <w:rFonts w:ascii="Palatino Linotype" w:eastAsia="Calibri" w:hAnsi="Palatino Linotype" w:cs="Arial"/>
          <w:lang w:val="es-ES"/>
        </w:rPr>
        <w:t xml:space="preserve"> agosto</w:t>
      </w:r>
      <w:r w:rsidR="00EA6AD4" w:rsidRPr="00857BDC">
        <w:rPr>
          <w:rFonts w:ascii="Palatino Linotype" w:eastAsia="Calibri" w:hAnsi="Palatino Linotype" w:cs="Arial"/>
          <w:lang w:val="es-ES"/>
        </w:rPr>
        <w:t xml:space="preserve"> </w:t>
      </w:r>
      <w:r w:rsidR="0030660D" w:rsidRPr="00857BDC">
        <w:rPr>
          <w:rFonts w:ascii="Palatino Linotype" w:eastAsia="Calibri" w:hAnsi="Palatino Linotype" w:cs="Arial"/>
          <w:lang w:val="es-ES"/>
        </w:rPr>
        <w:t>d</w:t>
      </w:r>
      <w:r w:rsidR="00A55BA0" w:rsidRPr="00857BDC">
        <w:rPr>
          <w:rFonts w:ascii="Palatino Linotype" w:eastAsia="Calibri" w:hAnsi="Palatino Linotype" w:cs="Arial"/>
          <w:lang w:val="es-ES"/>
        </w:rPr>
        <w:t xml:space="preserve">e dos mil </w:t>
      </w:r>
      <w:r w:rsidR="00B819AE" w:rsidRPr="00857BDC">
        <w:rPr>
          <w:rFonts w:ascii="Palatino Linotype" w:eastAsia="Calibri" w:hAnsi="Palatino Linotype" w:cs="Arial"/>
          <w:lang w:val="es-ES"/>
        </w:rPr>
        <w:t>dieci</w:t>
      </w:r>
      <w:r w:rsidR="00F1006A" w:rsidRPr="00857BDC">
        <w:rPr>
          <w:rFonts w:ascii="Palatino Linotype" w:eastAsia="Calibri" w:hAnsi="Palatino Linotype" w:cs="Arial"/>
          <w:lang w:val="es-ES"/>
        </w:rPr>
        <w:t>nueve</w:t>
      </w:r>
      <w:r w:rsidR="00A55BA0" w:rsidRPr="00857BDC">
        <w:rPr>
          <w:rFonts w:ascii="Palatino Linotype" w:eastAsia="Calibri" w:hAnsi="Palatino Linotype" w:cs="Arial"/>
          <w:lang w:val="es-ES"/>
        </w:rPr>
        <w:t>,</w:t>
      </w:r>
      <w:r w:rsidR="00A55BA0" w:rsidRPr="00857BDC">
        <w:rPr>
          <w:rFonts w:ascii="Palatino Linotype" w:eastAsia="Calibri" w:hAnsi="Palatino Linotype" w:cs="Times New Roman"/>
          <w:lang w:val="es-ES"/>
        </w:rPr>
        <w:t xml:space="preserve"> se</w:t>
      </w:r>
      <w:r w:rsidR="00A55BA0" w:rsidRPr="00857BDC">
        <w:rPr>
          <w:rFonts w:ascii="Palatino Linotype" w:hAnsi="Palatino Linotype"/>
          <w:b/>
        </w:rPr>
        <w:t xml:space="preserve"> </w:t>
      </w:r>
      <w:r w:rsidR="00A55BA0" w:rsidRPr="00857BDC">
        <w:rPr>
          <w:rFonts w:ascii="Palatino Linotype" w:hAnsi="Palatino Linotype"/>
        </w:rPr>
        <w:t xml:space="preserve">presentó </w:t>
      </w:r>
      <w:r w:rsidR="00A55BA0" w:rsidRPr="00857BDC">
        <w:rPr>
          <w:rFonts w:ascii="Palatino Linotype" w:eastAsia="Calibri" w:hAnsi="Palatino Linotype" w:cs="Arial"/>
          <w:lang w:val="es-ES"/>
        </w:rPr>
        <w:t xml:space="preserve">ante el </w:t>
      </w:r>
      <w:r w:rsidR="00A55BA0" w:rsidRPr="00857BDC">
        <w:rPr>
          <w:rFonts w:ascii="Palatino Linotype" w:eastAsia="Calibri" w:hAnsi="Palatino Linotype" w:cs="Arial"/>
          <w:b/>
          <w:lang w:val="es-ES"/>
        </w:rPr>
        <w:t>SUJETO OBLIGADO,</w:t>
      </w:r>
      <w:r w:rsidR="00A55BA0" w:rsidRPr="00857BDC">
        <w:rPr>
          <w:rFonts w:ascii="Palatino Linotype" w:eastAsia="Calibri" w:hAnsi="Palatino Linotype" w:cs="Arial"/>
        </w:rPr>
        <w:t xml:space="preserve"> vía </w:t>
      </w:r>
      <w:r w:rsidR="00A55BA0" w:rsidRPr="00857BDC">
        <w:rPr>
          <w:rFonts w:ascii="Palatino Linotype" w:eastAsia="Calibri" w:hAnsi="Palatino Linotype" w:cs="Arial"/>
          <w:lang w:val="es-ES"/>
        </w:rPr>
        <w:t xml:space="preserve">Sistema de Acceso a la Información Mexiquense </w:t>
      </w:r>
      <w:r w:rsidR="00A55BA0" w:rsidRPr="00857BDC">
        <w:rPr>
          <w:rFonts w:ascii="Palatino Linotype" w:eastAsia="Calibri" w:hAnsi="Palatino Linotype" w:cs="Arial"/>
          <w:b/>
          <w:lang w:val="es-ES"/>
        </w:rPr>
        <w:t>(SAIMEX),</w:t>
      </w:r>
      <w:r w:rsidR="00A55BA0" w:rsidRPr="00857BDC">
        <w:rPr>
          <w:rFonts w:ascii="Palatino Linotype" w:eastAsia="Calibri" w:hAnsi="Palatino Linotype" w:cs="Arial"/>
          <w:lang w:val="es-ES"/>
        </w:rPr>
        <w:t xml:space="preserve"> la solicitud de información pública registrada con el número</w:t>
      </w:r>
      <w:r w:rsidRPr="00857BDC">
        <w:rPr>
          <w:rFonts w:ascii="Palatino Linotype" w:hAnsi="Palatino Linotype"/>
          <w:b/>
          <w:bCs/>
          <w:color w:val="FF0000"/>
        </w:rPr>
        <w:t xml:space="preserve"> </w:t>
      </w:r>
      <w:r w:rsidRPr="00857BDC">
        <w:rPr>
          <w:rFonts w:ascii="Palatino Linotype" w:eastAsia="Calibri" w:hAnsi="Palatino Linotype" w:cs="Arial"/>
          <w:b/>
          <w:bCs/>
        </w:rPr>
        <w:t>00613/PLEGISLA/IP/2019</w:t>
      </w:r>
      <w:r w:rsidR="00A55BA0" w:rsidRPr="00857BDC">
        <w:rPr>
          <w:rFonts w:ascii="Palatino Linotype" w:eastAsia="Calibri" w:hAnsi="Palatino Linotype" w:cs="Arial"/>
          <w:lang w:val="es-ES"/>
        </w:rPr>
        <w:t>, mediante la cual requirió:</w:t>
      </w:r>
    </w:p>
    <w:p w:rsidR="00A55BA0" w:rsidRPr="00E16784" w:rsidRDefault="008B54AD" w:rsidP="00D25585">
      <w:pPr>
        <w:spacing w:line="360" w:lineRule="auto"/>
        <w:ind w:left="567" w:right="567"/>
        <w:jc w:val="both"/>
        <w:rPr>
          <w:rFonts w:ascii="Palatino Linotype" w:eastAsia="Times New Roman" w:hAnsi="Palatino Linotype" w:cs="Times New Roman"/>
          <w:i/>
          <w:sz w:val="22"/>
          <w:szCs w:val="22"/>
          <w:lang w:val="es-MX" w:eastAsia="es-MX"/>
        </w:rPr>
      </w:pPr>
      <w:r w:rsidRPr="00E16784">
        <w:rPr>
          <w:rFonts w:ascii="Palatino Linotype" w:hAnsi="Palatino Linotype"/>
          <w:i/>
          <w:sz w:val="22"/>
          <w:szCs w:val="22"/>
        </w:rPr>
        <w:t xml:space="preserve"> “</w:t>
      </w:r>
      <w:r w:rsidR="00D25585" w:rsidRPr="00E16784">
        <w:rPr>
          <w:rFonts w:ascii="Palatino Linotype" w:hAnsi="Palatino Linotype"/>
          <w:i/>
          <w:sz w:val="22"/>
          <w:szCs w:val="22"/>
        </w:rPr>
        <w:t>SE ME INFORME SI EL CUERPO DE GUARDIAS DE SEGURIDAD INDUSTRIAL, BANCARIA Y COMERCIAL DEL VALLE CUAUTITLAN TEXCOCO, Y EL CUERPO DE VIGILANCIA AUXILIAR Y URBANA DEL ESTADO DE MEXICO, TIENEN ASIGNADO ALGUN PRESUPUESTO PUBLICO O ALGUNA PARTIDA PRESUPUESTAL DEL ESTADO DE MEXICO, Y SI DICHAS EMPRESAS SON AUDITADAS POR EL OSFEM</w:t>
      </w:r>
      <w:r w:rsidRPr="00E16784">
        <w:rPr>
          <w:rFonts w:ascii="Palatino Linotype" w:hAnsi="Palatino Linotype"/>
          <w:i/>
          <w:sz w:val="22"/>
          <w:szCs w:val="22"/>
        </w:rPr>
        <w:t>."</w:t>
      </w:r>
    </w:p>
    <w:p w:rsidR="00A55BA0" w:rsidRPr="00857BDC" w:rsidRDefault="00A55BA0" w:rsidP="00A55BA0">
      <w:pPr>
        <w:pStyle w:val="Prrafodelista"/>
        <w:spacing w:line="360" w:lineRule="auto"/>
        <w:ind w:left="0" w:right="34"/>
        <w:jc w:val="both"/>
        <w:rPr>
          <w:rFonts w:ascii="Palatino Linotype" w:hAnsi="Palatino Linotype" w:cs="Arial"/>
          <w:i/>
        </w:rPr>
      </w:pPr>
    </w:p>
    <w:p w:rsidR="004F35F2" w:rsidRPr="00857BDC" w:rsidRDefault="004F35F2" w:rsidP="00423CD7">
      <w:pPr>
        <w:pStyle w:val="Prrafodelista"/>
        <w:numPr>
          <w:ilvl w:val="0"/>
          <w:numId w:val="2"/>
        </w:numPr>
        <w:spacing w:before="240" w:after="240" w:line="360" w:lineRule="auto"/>
        <w:ind w:left="0" w:firstLine="0"/>
        <w:jc w:val="both"/>
        <w:rPr>
          <w:rFonts w:ascii="Palatino Linotype" w:hAnsi="Palatino Linotype" w:cs="Arial"/>
          <w:i/>
        </w:rPr>
      </w:pPr>
      <w:r w:rsidRPr="00857BDC">
        <w:rPr>
          <w:rFonts w:ascii="Palatino Linotype" w:hAnsi="Palatino Linotype" w:cs="Arial"/>
        </w:rPr>
        <w:lastRenderedPageBreak/>
        <w:t>Se hace constar que se señaló como modalida</w:t>
      </w:r>
      <w:r w:rsidR="00D25585" w:rsidRPr="00857BDC">
        <w:rPr>
          <w:rFonts w:ascii="Palatino Linotype" w:hAnsi="Palatino Linotype" w:cs="Arial"/>
        </w:rPr>
        <w:t xml:space="preserve">d de entrega de la información correo electrónico y </w:t>
      </w:r>
      <w:r w:rsidRPr="00857BDC">
        <w:rPr>
          <w:rFonts w:ascii="Palatino Linotype" w:hAnsi="Palatino Linotype" w:cs="Arial"/>
        </w:rPr>
        <w:t xml:space="preserve">a través del Sistema de Acceso a la Información Mexiquense </w:t>
      </w:r>
      <w:r w:rsidRPr="00857BDC">
        <w:rPr>
          <w:rFonts w:ascii="Palatino Linotype" w:hAnsi="Palatino Linotype" w:cs="Arial"/>
          <w:b/>
        </w:rPr>
        <w:t xml:space="preserve">(SAIMEX). </w:t>
      </w:r>
    </w:p>
    <w:p w:rsidR="00423CD7" w:rsidRPr="00857BDC" w:rsidRDefault="00423CD7" w:rsidP="00423CD7">
      <w:pPr>
        <w:pStyle w:val="Prrafodelista"/>
        <w:spacing w:before="240" w:after="240" w:line="360" w:lineRule="auto"/>
        <w:ind w:left="0"/>
        <w:jc w:val="both"/>
        <w:rPr>
          <w:rFonts w:ascii="Palatino Linotype" w:hAnsi="Palatino Linotype" w:cs="Arial"/>
          <w:i/>
        </w:rPr>
      </w:pPr>
    </w:p>
    <w:p w:rsidR="00D369A5" w:rsidRPr="00857BDC" w:rsidRDefault="00D369A5" w:rsidP="00BE0C17">
      <w:pPr>
        <w:pStyle w:val="Prrafodelista"/>
        <w:numPr>
          <w:ilvl w:val="0"/>
          <w:numId w:val="2"/>
        </w:numPr>
        <w:spacing w:before="240" w:after="240" w:line="360" w:lineRule="auto"/>
        <w:ind w:left="0" w:firstLine="0"/>
        <w:jc w:val="both"/>
        <w:rPr>
          <w:rFonts w:ascii="Palatino Linotype" w:hAnsi="Palatino Linotype" w:cs="Arial"/>
          <w:i/>
        </w:rPr>
      </w:pPr>
      <w:r w:rsidRPr="00857BDC">
        <w:rPr>
          <w:rFonts w:ascii="Palatino Linotype" w:hAnsi="Palatino Linotype" w:cs="Arial"/>
        </w:rPr>
        <w:t>E</w:t>
      </w:r>
      <w:r w:rsidR="009E000C" w:rsidRPr="00857BDC">
        <w:rPr>
          <w:rFonts w:ascii="Palatino Linotype" w:hAnsi="Palatino Linotype" w:cs="Arial"/>
        </w:rPr>
        <w:t>n fecha dieciocho (18</w:t>
      </w:r>
      <w:r w:rsidR="00BE0C17" w:rsidRPr="00857BDC">
        <w:rPr>
          <w:rFonts w:ascii="Palatino Linotype" w:hAnsi="Palatino Linotype" w:cs="Arial"/>
        </w:rPr>
        <w:t>) de</w:t>
      </w:r>
      <w:r w:rsidR="009E000C" w:rsidRPr="00857BDC">
        <w:rPr>
          <w:rFonts w:ascii="Palatino Linotype" w:hAnsi="Palatino Linotype" w:cs="Arial"/>
        </w:rPr>
        <w:t xml:space="preserve"> septiembre de </w:t>
      </w:r>
      <w:r w:rsidR="00BE0C17" w:rsidRPr="00857BDC">
        <w:rPr>
          <w:rFonts w:ascii="Palatino Linotype" w:hAnsi="Palatino Linotype" w:cs="Arial"/>
        </w:rPr>
        <w:t xml:space="preserve">dos mil diecinueve, el </w:t>
      </w:r>
      <w:r w:rsidR="0060674E" w:rsidRPr="00857BDC">
        <w:rPr>
          <w:rFonts w:ascii="Palatino Linotype" w:hAnsi="Palatino Linotype" w:cs="Arial"/>
          <w:b/>
        </w:rPr>
        <w:t xml:space="preserve">SUJETO OBLIGADO </w:t>
      </w:r>
      <w:r w:rsidR="00BE0C17" w:rsidRPr="00857BDC">
        <w:rPr>
          <w:rFonts w:ascii="Palatino Linotype" w:hAnsi="Palatino Linotype" w:cs="Arial"/>
        </w:rPr>
        <w:t xml:space="preserve">emitió manifestaciones en calidad de respuesta a través del escrito siguiente: </w:t>
      </w:r>
    </w:p>
    <w:p w:rsidR="00D369A5" w:rsidRPr="00857BDC" w:rsidRDefault="00D369A5" w:rsidP="00D369A5">
      <w:pPr>
        <w:pStyle w:val="Prrafodelista"/>
        <w:spacing w:before="240" w:after="240" w:line="360" w:lineRule="auto"/>
        <w:ind w:left="426"/>
        <w:jc w:val="both"/>
        <w:rPr>
          <w:rFonts w:ascii="Palatino Linotype" w:hAnsi="Palatino Linotype" w:cs="Arial"/>
        </w:rPr>
      </w:pPr>
      <w:r w:rsidRPr="00857BDC">
        <w:rPr>
          <w:rFonts w:ascii="Palatino Linotype" w:hAnsi="Palatino Linotype" w:cs="Arial"/>
        </w:rPr>
        <w:t xml:space="preserve"> </w:t>
      </w:r>
    </w:p>
    <w:p w:rsidR="009E000C" w:rsidRPr="00857BDC" w:rsidRDefault="00BE0C17" w:rsidP="009E000C">
      <w:pPr>
        <w:pStyle w:val="Prrafodelista"/>
        <w:tabs>
          <w:tab w:val="left" w:pos="7938"/>
        </w:tabs>
        <w:spacing w:before="240" w:after="240" w:line="360" w:lineRule="auto"/>
        <w:ind w:left="567" w:right="567"/>
        <w:jc w:val="right"/>
        <w:rPr>
          <w:rFonts w:ascii="Palatino Linotype" w:hAnsi="Palatino Linotype" w:cs="Arial"/>
          <w:i/>
        </w:rPr>
      </w:pPr>
      <w:r w:rsidRPr="00857BDC">
        <w:rPr>
          <w:rFonts w:ascii="Palatino Linotype" w:hAnsi="Palatino Linotype" w:cs="Arial"/>
          <w:i/>
        </w:rPr>
        <w:t>“</w:t>
      </w:r>
      <w:r w:rsidR="009E000C" w:rsidRPr="00857BDC">
        <w:rPr>
          <w:rFonts w:ascii="Palatino Linotype" w:hAnsi="Palatino Linotype" w:cs="Arial"/>
          <w:i/>
        </w:rPr>
        <w:t>Metepec, México a 18 de Septiembre de 2019</w:t>
      </w:r>
    </w:p>
    <w:p w:rsidR="009E000C" w:rsidRPr="00857BDC" w:rsidRDefault="009E000C" w:rsidP="009E000C">
      <w:pPr>
        <w:pStyle w:val="Prrafodelista"/>
        <w:tabs>
          <w:tab w:val="left" w:pos="7938"/>
        </w:tabs>
        <w:spacing w:before="240" w:after="240" w:line="360" w:lineRule="auto"/>
        <w:ind w:left="567" w:right="567"/>
        <w:jc w:val="right"/>
        <w:rPr>
          <w:rFonts w:ascii="Palatino Linotype" w:hAnsi="Palatino Linotype" w:cs="Arial"/>
          <w:i/>
        </w:rPr>
      </w:pPr>
      <w:r w:rsidRPr="00857BDC">
        <w:rPr>
          <w:rFonts w:ascii="Palatino Linotype" w:hAnsi="Palatino Linotype" w:cs="Arial"/>
          <w:i/>
        </w:rPr>
        <w:t xml:space="preserve">Nombre del solicitante: </w:t>
      </w:r>
      <w:r w:rsidR="006440B4" w:rsidRPr="006440B4">
        <w:rPr>
          <w:rFonts w:ascii="Palatino Linotype" w:hAnsi="Palatino Linotype" w:cs="Arial"/>
          <w:i/>
          <w:highlight w:val="black"/>
        </w:rPr>
        <w:t>----------------------------------------------------</w:t>
      </w:r>
    </w:p>
    <w:p w:rsidR="009E000C" w:rsidRPr="00857BDC" w:rsidRDefault="009E000C" w:rsidP="009E000C">
      <w:pPr>
        <w:pStyle w:val="Prrafodelista"/>
        <w:tabs>
          <w:tab w:val="left" w:pos="7938"/>
        </w:tabs>
        <w:spacing w:before="240" w:after="240" w:line="360" w:lineRule="auto"/>
        <w:ind w:left="567" w:right="567"/>
        <w:jc w:val="right"/>
        <w:rPr>
          <w:rFonts w:ascii="Palatino Linotype" w:hAnsi="Palatino Linotype" w:cs="Arial"/>
          <w:i/>
        </w:rPr>
      </w:pPr>
      <w:r w:rsidRPr="00857BDC">
        <w:rPr>
          <w:rFonts w:ascii="Palatino Linotype" w:hAnsi="Palatino Linotype" w:cs="Arial"/>
          <w:i/>
        </w:rPr>
        <w:t>Folio de la solicitud: 00613/PLEGISLA/IP/2019</w:t>
      </w:r>
    </w:p>
    <w:p w:rsidR="009E000C" w:rsidRPr="00857BDC" w:rsidRDefault="009E000C" w:rsidP="009E000C">
      <w:pPr>
        <w:pStyle w:val="Prrafodelista"/>
        <w:tabs>
          <w:tab w:val="left" w:pos="7938"/>
        </w:tabs>
        <w:spacing w:before="240" w:after="240" w:line="360" w:lineRule="auto"/>
        <w:ind w:left="567" w:right="567"/>
        <w:jc w:val="right"/>
        <w:rPr>
          <w:rFonts w:ascii="Palatino Linotype" w:hAnsi="Palatino Linotype" w:cs="Arial"/>
          <w:i/>
        </w:rPr>
      </w:pPr>
    </w:p>
    <w:p w:rsidR="009E000C" w:rsidRPr="00857BDC" w:rsidRDefault="009E000C" w:rsidP="009E000C">
      <w:pPr>
        <w:pStyle w:val="Prrafodelista"/>
        <w:tabs>
          <w:tab w:val="left" w:pos="7938"/>
        </w:tabs>
        <w:spacing w:before="240" w:after="240" w:line="360" w:lineRule="auto"/>
        <w:ind w:left="567" w:right="567"/>
        <w:jc w:val="both"/>
        <w:rPr>
          <w:rFonts w:ascii="Palatino Linotype" w:hAnsi="Palatino Linotype" w:cs="Arial"/>
          <w:i/>
        </w:rPr>
      </w:pPr>
      <w:r w:rsidRPr="00857BD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E000C" w:rsidRPr="00857BDC" w:rsidRDefault="009E000C" w:rsidP="009E000C">
      <w:pPr>
        <w:pStyle w:val="Prrafodelista"/>
        <w:tabs>
          <w:tab w:val="left" w:pos="7938"/>
        </w:tabs>
        <w:spacing w:before="240" w:after="240" w:line="360" w:lineRule="auto"/>
        <w:ind w:left="567" w:right="567"/>
        <w:jc w:val="both"/>
        <w:rPr>
          <w:rFonts w:ascii="Palatino Linotype" w:hAnsi="Palatino Linotype" w:cs="Arial"/>
          <w:i/>
        </w:rPr>
      </w:pPr>
    </w:p>
    <w:p w:rsidR="009E000C" w:rsidRPr="00857BDC" w:rsidRDefault="009E000C" w:rsidP="009E000C">
      <w:pPr>
        <w:pStyle w:val="Prrafodelista"/>
        <w:tabs>
          <w:tab w:val="left" w:pos="7938"/>
        </w:tabs>
        <w:spacing w:before="240" w:after="240" w:line="360" w:lineRule="auto"/>
        <w:ind w:left="567" w:right="567"/>
        <w:jc w:val="both"/>
        <w:rPr>
          <w:rFonts w:ascii="Palatino Linotype" w:hAnsi="Palatino Linotype" w:cs="Arial"/>
          <w:i/>
        </w:rPr>
      </w:pPr>
      <w:r w:rsidRPr="00857BDC">
        <w:rPr>
          <w:rFonts w:ascii="Palatino Linotype" w:hAnsi="Palatino Linotype" w:cs="Arial"/>
          <w:i/>
        </w:rPr>
        <w:t>SE EMITE RESPUESTA</w:t>
      </w:r>
    </w:p>
    <w:p w:rsidR="009E000C" w:rsidRPr="00857BDC" w:rsidRDefault="009E000C" w:rsidP="009E000C">
      <w:pPr>
        <w:pStyle w:val="Prrafodelista"/>
        <w:tabs>
          <w:tab w:val="left" w:pos="7938"/>
        </w:tabs>
        <w:spacing w:before="240" w:after="240" w:line="360" w:lineRule="auto"/>
        <w:ind w:left="567" w:right="567"/>
        <w:jc w:val="both"/>
        <w:rPr>
          <w:rFonts w:ascii="Palatino Linotype" w:hAnsi="Palatino Linotype" w:cs="Arial"/>
          <w:i/>
        </w:rPr>
      </w:pPr>
      <w:r w:rsidRPr="00857BDC">
        <w:rPr>
          <w:rFonts w:ascii="Palatino Linotype" w:hAnsi="Palatino Linotype" w:cs="Arial"/>
          <w:i/>
        </w:rPr>
        <w:t>ATENTAMENTE</w:t>
      </w:r>
    </w:p>
    <w:p w:rsidR="00BE0C17" w:rsidRPr="00857BDC" w:rsidRDefault="009E000C" w:rsidP="009E000C">
      <w:pPr>
        <w:pStyle w:val="Prrafodelista"/>
        <w:tabs>
          <w:tab w:val="left" w:pos="7938"/>
        </w:tabs>
        <w:spacing w:before="240" w:after="240" w:line="360" w:lineRule="auto"/>
        <w:ind w:left="567" w:right="567"/>
        <w:jc w:val="both"/>
        <w:rPr>
          <w:rFonts w:ascii="Palatino Linotype" w:hAnsi="Palatino Linotype" w:cs="Arial"/>
          <w:i/>
        </w:rPr>
      </w:pPr>
      <w:r w:rsidRPr="00857BDC">
        <w:rPr>
          <w:rFonts w:ascii="Palatino Linotype" w:hAnsi="Palatino Linotype" w:cs="Arial"/>
          <w:i/>
        </w:rPr>
        <w:t>Jesús Felipe Borja Coronel</w:t>
      </w:r>
      <w:r w:rsidR="00BE0C17" w:rsidRPr="00857BDC">
        <w:rPr>
          <w:rFonts w:ascii="Palatino Linotype" w:hAnsi="Palatino Linotype" w:cs="Arial"/>
          <w:i/>
        </w:rPr>
        <w:t>” (Sic)</w:t>
      </w:r>
    </w:p>
    <w:p w:rsidR="00BE0C17" w:rsidRPr="00857BDC" w:rsidRDefault="00BE0C17" w:rsidP="00BE0C17">
      <w:pPr>
        <w:numPr>
          <w:ilvl w:val="0"/>
          <w:numId w:val="2"/>
        </w:numPr>
        <w:spacing w:line="360" w:lineRule="auto"/>
        <w:ind w:left="0" w:right="34" w:firstLine="0"/>
        <w:contextualSpacing/>
        <w:jc w:val="both"/>
        <w:rPr>
          <w:rFonts w:ascii="Palatino Linotype" w:eastAsia="MS Mincho" w:hAnsi="Palatino Linotype" w:cs="Times New Roman"/>
          <w:b/>
          <w:i/>
          <w:color w:val="000000"/>
        </w:rPr>
      </w:pPr>
      <w:r w:rsidRPr="00857BDC">
        <w:rPr>
          <w:rFonts w:ascii="Palatino Linotype" w:eastAsia="MS Mincho" w:hAnsi="Palatino Linotype" w:cs="Times New Roman"/>
          <w:color w:val="000000"/>
        </w:rPr>
        <w:t>A dicho es</w:t>
      </w:r>
      <w:r w:rsidR="009E000C" w:rsidRPr="00857BDC">
        <w:rPr>
          <w:rFonts w:ascii="Palatino Linotype" w:eastAsia="MS Mincho" w:hAnsi="Palatino Linotype" w:cs="Times New Roman"/>
          <w:color w:val="000000"/>
        </w:rPr>
        <w:t>crito se anexó dos (02</w:t>
      </w:r>
      <w:r w:rsidR="00B45572" w:rsidRPr="00857BDC">
        <w:rPr>
          <w:rFonts w:ascii="Palatino Linotype" w:eastAsia="MS Mincho" w:hAnsi="Palatino Linotype" w:cs="Times New Roman"/>
          <w:color w:val="000000"/>
        </w:rPr>
        <w:t>) archivo</w:t>
      </w:r>
      <w:r w:rsidR="009E000C" w:rsidRPr="00857BDC">
        <w:rPr>
          <w:rFonts w:ascii="Palatino Linotype" w:eastAsia="MS Mincho" w:hAnsi="Palatino Linotype" w:cs="Times New Roman"/>
          <w:color w:val="000000"/>
        </w:rPr>
        <w:t>s</w:t>
      </w:r>
      <w:r w:rsidR="00B45572" w:rsidRPr="00857BDC">
        <w:rPr>
          <w:rFonts w:ascii="Palatino Linotype" w:eastAsia="MS Mincho" w:hAnsi="Palatino Linotype" w:cs="Times New Roman"/>
          <w:color w:val="000000"/>
        </w:rPr>
        <w:t xml:space="preserve"> </w:t>
      </w:r>
      <w:r w:rsidRPr="00857BDC">
        <w:rPr>
          <w:rFonts w:ascii="Palatino Linotype" w:eastAsia="MS Mincho" w:hAnsi="Palatino Linotype" w:cs="Times New Roman"/>
          <w:color w:val="000000"/>
        </w:rPr>
        <w:t>electrónico</w:t>
      </w:r>
      <w:r w:rsidR="009E000C" w:rsidRPr="00857BDC">
        <w:rPr>
          <w:rFonts w:ascii="Palatino Linotype" w:eastAsia="MS Mincho" w:hAnsi="Palatino Linotype" w:cs="Times New Roman"/>
          <w:color w:val="000000"/>
        </w:rPr>
        <w:t>s</w:t>
      </w:r>
      <w:r w:rsidRPr="00857BDC">
        <w:rPr>
          <w:rFonts w:ascii="Palatino Linotype" w:eastAsia="MS Mincho" w:hAnsi="Palatino Linotype" w:cs="Times New Roman"/>
          <w:color w:val="000000"/>
        </w:rPr>
        <w:t xml:space="preserve"> a saber: </w:t>
      </w:r>
    </w:p>
    <w:p w:rsidR="00BE0C17" w:rsidRPr="00857BDC" w:rsidRDefault="00BE0C17" w:rsidP="00BE0C17">
      <w:pPr>
        <w:tabs>
          <w:tab w:val="left" w:pos="1320"/>
        </w:tabs>
        <w:spacing w:line="360" w:lineRule="auto"/>
        <w:ind w:right="34"/>
        <w:contextualSpacing/>
        <w:jc w:val="both"/>
        <w:rPr>
          <w:rFonts w:ascii="Palatino Linotype" w:eastAsia="MS Mincho" w:hAnsi="Palatino Linotype" w:cs="Times New Roman"/>
          <w:color w:val="000000"/>
        </w:rPr>
      </w:pPr>
      <w:r w:rsidRPr="00857BDC">
        <w:rPr>
          <w:rFonts w:ascii="Palatino Linotype" w:eastAsia="MS Mincho" w:hAnsi="Palatino Linotype" w:cs="Times New Roman"/>
          <w:color w:val="000000"/>
        </w:rPr>
        <w:tab/>
      </w:r>
    </w:p>
    <w:p w:rsidR="00BB316C" w:rsidRPr="00857BDC" w:rsidRDefault="009E000C" w:rsidP="009E000C">
      <w:pPr>
        <w:numPr>
          <w:ilvl w:val="0"/>
          <w:numId w:val="39"/>
        </w:numPr>
        <w:spacing w:line="360" w:lineRule="auto"/>
        <w:ind w:left="709" w:right="34" w:hanging="425"/>
        <w:contextualSpacing/>
        <w:jc w:val="both"/>
        <w:rPr>
          <w:rFonts w:ascii="Palatino Linotype" w:eastAsia="MS Mincho" w:hAnsi="Palatino Linotype" w:cs="Times New Roman"/>
          <w:b/>
          <w:color w:val="000000" w:themeColor="text1"/>
        </w:rPr>
      </w:pPr>
      <w:r w:rsidRPr="00857BDC">
        <w:rPr>
          <w:rFonts w:ascii="Palatino Linotype" w:hAnsi="Palatino Linotype"/>
          <w:color w:val="000000" w:themeColor="text1"/>
        </w:rPr>
        <w:t xml:space="preserve"> </w:t>
      </w:r>
      <w:hyperlink r:id="rId8" w:tgtFrame="_blank" w:history="1">
        <w:r w:rsidRPr="00857BDC">
          <w:rPr>
            <w:rStyle w:val="Hipervnculo"/>
            <w:rFonts w:ascii="Palatino Linotype" w:hAnsi="Palatino Linotype"/>
            <w:b/>
            <w:bCs/>
            <w:color w:val="000000" w:themeColor="text1"/>
            <w:u w:val="none"/>
          </w:rPr>
          <w:t>00613-19.pdf</w:t>
        </w:r>
      </w:hyperlink>
      <w:hyperlink r:id="rId9" w:tgtFrame="_blank" w:history="1"/>
      <w:r w:rsidR="00BE0C17" w:rsidRPr="00857BDC">
        <w:rPr>
          <w:rFonts w:ascii="Palatino Linotype" w:eastAsia="MS Mincho" w:hAnsi="Palatino Linotype" w:cs="Times New Roman"/>
          <w:b/>
          <w:color w:val="000000"/>
        </w:rPr>
        <w:t xml:space="preserve">: </w:t>
      </w:r>
      <w:r w:rsidR="00BB316C" w:rsidRPr="00857BDC">
        <w:rPr>
          <w:rFonts w:ascii="Palatino Linotype" w:eastAsia="Times New Roman" w:hAnsi="Palatino Linotype" w:cs="Arial"/>
          <w:lang w:val="es-ES"/>
        </w:rPr>
        <w:t xml:space="preserve">Archivo </w:t>
      </w:r>
      <w:r w:rsidR="00BE0C17" w:rsidRPr="00857BDC">
        <w:rPr>
          <w:rFonts w:ascii="Palatino Linotype" w:eastAsia="Times New Roman" w:hAnsi="Palatino Linotype" w:cs="Arial"/>
          <w:lang w:val="es-ES"/>
        </w:rPr>
        <w:t xml:space="preserve">electrónico </w:t>
      </w:r>
      <w:r w:rsidRPr="00857BDC">
        <w:rPr>
          <w:rFonts w:ascii="Palatino Linotype" w:eastAsia="Times New Roman" w:hAnsi="Palatino Linotype" w:cs="Arial"/>
          <w:lang w:val="es-ES"/>
        </w:rPr>
        <w:t xml:space="preserve"> que una (01) hoja contiene el oficio OSFEM/UAJ/SPH/205/2019 dirigido al Titular de la Unidad de Información </w:t>
      </w:r>
      <w:r w:rsidRPr="00857BDC">
        <w:rPr>
          <w:rFonts w:ascii="Palatino Linotype" w:eastAsia="Times New Roman" w:hAnsi="Palatino Linotype" w:cs="Arial"/>
          <w:lang w:val="es-ES"/>
        </w:rPr>
        <w:lastRenderedPageBreak/>
        <w:t xml:space="preserve">del Poder Legislativo del Estado de México y suscrito por el  Servidor Público Habilitado, mediante el cual se refiere lo siguiente </w:t>
      </w:r>
      <w:r w:rsidRPr="00857BDC">
        <w:rPr>
          <w:rFonts w:ascii="Palatino Linotype" w:eastAsia="Times New Roman" w:hAnsi="Palatino Linotype" w:cs="Arial"/>
          <w:i/>
          <w:lang w:val="es-ES"/>
        </w:rPr>
        <w:t>“Una vez que se realizó revisión a la documentación remitida por las entidades fiscalizables, no se identifica que el Cuerpo</w:t>
      </w:r>
      <w:r w:rsidR="00134A8B" w:rsidRPr="00857BDC">
        <w:rPr>
          <w:rFonts w:ascii="Palatino Linotype" w:eastAsia="Times New Roman" w:hAnsi="Palatino Linotype" w:cs="Arial"/>
          <w:i/>
          <w:lang w:val="es-ES"/>
        </w:rPr>
        <w:t xml:space="preserve"> de Guardias de Seguridad Industrial, Bancaria y Comercial del Valle de Cuautitlán, Texcoco y el Cuerpo </w:t>
      </w:r>
      <w:r w:rsidRPr="00857BDC">
        <w:rPr>
          <w:rFonts w:ascii="Palatino Linotype" w:eastAsia="Times New Roman" w:hAnsi="Palatino Linotype" w:cs="Arial"/>
          <w:i/>
          <w:lang w:val="es-ES"/>
        </w:rPr>
        <w:t>de Vigilancia Auxiliar y Urbana del Estado de México tengan asignado algún presupuesto público o cierta partida presupuestal proporcionada por el Gobierno del Estado de M</w:t>
      </w:r>
      <w:r w:rsidR="00134A8B" w:rsidRPr="00857BDC">
        <w:rPr>
          <w:rFonts w:ascii="Palatino Linotype" w:eastAsia="Times New Roman" w:hAnsi="Palatino Linotype" w:cs="Arial"/>
          <w:i/>
          <w:lang w:val="es-ES"/>
        </w:rPr>
        <w:t xml:space="preserve">éxico, por lo que esta entidad no revisa ni fiscaliza a dichas </w:t>
      </w:r>
      <w:r w:rsidRPr="00857BDC">
        <w:rPr>
          <w:rFonts w:ascii="Palatino Linotype" w:eastAsia="Times New Roman" w:hAnsi="Palatino Linotype" w:cs="Arial"/>
          <w:i/>
          <w:lang w:val="es-ES"/>
        </w:rPr>
        <w:t xml:space="preserve">  </w:t>
      </w:r>
      <w:r w:rsidR="00BB316C" w:rsidRPr="00857BDC">
        <w:rPr>
          <w:rFonts w:ascii="Palatino Linotype" w:eastAsia="Times New Roman" w:hAnsi="Palatino Linotype" w:cs="Arial"/>
          <w:i/>
          <w:lang w:val="es-ES"/>
        </w:rPr>
        <w:t>en</w:t>
      </w:r>
      <w:r w:rsidR="00134A8B" w:rsidRPr="00857BDC">
        <w:rPr>
          <w:rFonts w:ascii="Palatino Linotype" w:eastAsia="Times New Roman" w:hAnsi="Palatino Linotype" w:cs="Arial"/>
          <w:i/>
          <w:lang w:val="es-ES"/>
        </w:rPr>
        <w:t>tidades”</w:t>
      </w:r>
      <w:r w:rsidR="00134A8B" w:rsidRPr="00857BDC">
        <w:rPr>
          <w:rFonts w:ascii="Palatino Linotype" w:eastAsia="Times New Roman" w:hAnsi="Palatino Linotype" w:cs="Arial"/>
          <w:lang w:val="es-ES"/>
        </w:rPr>
        <w:t xml:space="preserve"> </w:t>
      </w:r>
      <w:r w:rsidR="00BB316C" w:rsidRPr="00857BDC">
        <w:rPr>
          <w:rFonts w:ascii="Palatino Linotype" w:eastAsia="Times New Roman" w:hAnsi="Palatino Linotype" w:cs="Arial"/>
          <w:lang w:val="es-ES"/>
        </w:rPr>
        <w:t xml:space="preserve"> </w:t>
      </w:r>
      <w:r w:rsidR="00134A8B" w:rsidRPr="00857BDC">
        <w:rPr>
          <w:rFonts w:ascii="Palatino Linotype" w:eastAsia="Times New Roman" w:hAnsi="Palatino Linotype" w:cs="Arial"/>
          <w:lang w:val="es-ES"/>
        </w:rPr>
        <w:t>.</w:t>
      </w:r>
    </w:p>
    <w:p w:rsidR="00BB316C" w:rsidRPr="00857BDC" w:rsidRDefault="00BB316C" w:rsidP="00BB316C">
      <w:pPr>
        <w:spacing w:line="360" w:lineRule="auto"/>
        <w:ind w:left="709" w:right="34"/>
        <w:contextualSpacing/>
        <w:jc w:val="both"/>
        <w:rPr>
          <w:rFonts w:ascii="Palatino Linotype" w:eastAsia="MS Mincho" w:hAnsi="Palatino Linotype" w:cs="Times New Roman"/>
          <w:b/>
          <w:color w:val="000000"/>
        </w:rPr>
      </w:pPr>
    </w:p>
    <w:p w:rsidR="00AD1197" w:rsidRPr="00857BDC" w:rsidRDefault="004E30C1" w:rsidP="00134A8B">
      <w:pPr>
        <w:numPr>
          <w:ilvl w:val="0"/>
          <w:numId w:val="39"/>
        </w:numPr>
        <w:spacing w:line="360" w:lineRule="auto"/>
        <w:ind w:left="709" w:right="34" w:hanging="425"/>
        <w:contextualSpacing/>
        <w:jc w:val="both"/>
        <w:rPr>
          <w:rFonts w:ascii="Palatino Linotype" w:eastAsia="MS Mincho" w:hAnsi="Palatino Linotype" w:cs="Times New Roman"/>
          <w:b/>
          <w:color w:val="000000"/>
        </w:rPr>
      </w:pPr>
      <w:hyperlink r:id="rId10" w:tgtFrame="_blank" w:history="1">
        <w:r w:rsidR="00134A8B" w:rsidRPr="00857BDC">
          <w:rPr>
            <w:rStyle w:val="Hipervnculo"/>
            <w:rFonts w:ascii="Palatino Linotype" w:eastAsia="Times New Roman" w:hAnsi="Palatino Linotype" w:cs="Arial"/>
            <w:b/>
            <w:bCs/>
            <w:color w:val="000000" w:themeColor="text1"/>
            <w:u w:val="none"/>
          </w:rPr>
          <w:t>613 RESPUESTA OSFEM.pdf</w:t>
        </w:r>
      </w:hyperlink>
      <w:r w:rsidR="00BB316C" w:rsidRPr="00857BDC">
        <w:rPr>
          <w:rFonts w:ascii="Palatino Linotype" w:eastAsia="Times New Roman" w:hAnsi="Palatino Linotype" w:cs="Arial"/>
          <w:b/>
          <w:color w:val="000000" w:themeColor="text1"/>
          <w:lang w:val="es-ES"/>
        </w:rPr>
        <w:t xml:space="preserve">: </w:t>
      </w:r>
      <w:r w:rsidR="00BB316C" w:rsidRPr="00857BDC">
        <w:rPr>
          <w:rFonts w:ascii="Palatino Linotype" w:eastAsia="Times New Roman" w:hAnsi="Palatino Linotype" w:cs="Arial"/>
          <w:color w:val="000000" w:themeColor="text1"/>
          <w:lang w:val="es-ES"/>
        </w:rPr>
        <w:t xml:space="preserve">Documento </w:t>
      </w:r>
      <w:r w:rsidR="00BB316C" w:rsidRPr="00857BDC">
        <w:rPr>
          <w:rFonts w:ascii="Palatino Linotype" w:eastAsia="Times New Roman" w:hAnsi="Palatino Linotype" w:cs="Arial"/>
          <w:lang w:val="es-ES"/>
        </w:rPr>
        <w:t xml:space="preserve">electrónico que en una hoja (01) contiene el oficio </w:t>
      </w:r>
      <w:r w:rsidR="00134A8B" w:rsidRPr="00857BDC">
        <w:rPr>
          <w:rFonts w:ascii="Palatino Linotype" w:eastAsia="Times New Roman" w:hAnsi="Palatino Linotype" w:cs="Arial"/>
          <w:lang w:val="es-ES"/>
        </w:rPr>
        <w:t xml:space="preserve">UIPL/1728/2019 </w:t>
      </w:r>
      <w:r w:rsidR="00BB316C" w:rsidRPr="00857BDC">
        <w:rPr>
          <w:rFonts w:ascii="Palatino Linotype" w:eastAsia="Times New Roman" w:hAnsi="Palatino Linotype" w:cs="Arial"/>
          <w:lang w:val="es-ES"/>
        </w:rPr>
        <w:t>dirigido a la</w:t>
      </w:r>
      <w:r w:rsidR="00134A8B" w:rsidRPr="00857BDC">
        <w:rPr>
          <w:rFonts w:ascii="Palatino Linotype" w:eastAsia="Times New Roman" w:hAnsi="Palatino Linotype" w:cs="Arial"/>
          <w:lang w:val="es-ES"/>
        </w:rPr>
        <w:t xml:space="preserve"> Solicitante de Información y signado por el Titular de la Unidad de Transparencia, </w:t>
      </w:r>
      <w:r w:rsidR="00BB316C" w:rsidRPr="00857BDC">
        <w:rPr>
          <w:rFonts w:ascii="Palatino Linotype" w:eastAsia="Times New Roman" w:hAnsi="Palatino Linotype" w:cs="Arial"/>
          <w:lang w:val="es-ES"/>
        </w:rPr>
        <w:t xml:space="preserve">mediante el  cual </w:t>
      </w:r>
      <w:r w:rsidR="00134A8B" w:rsidRPr="00857BDC">
        <w:rPr>
          <w:rFonts w:ascii="Palatino Linotype" w:eastAsia="Times New Roman" w:hAnsi="Palatino Linotype" w:cs="Arial"/>
          <w:lang w:val="es-ES"/>
        </w:rPr>
        <w:t xml:space="preserve">se pone a disipación la información remitida por el Servidor Público Habilitado del Órgano Superior de Fiscalización del Estado de México. </w:t>
      </w:r>
    </w:p>
    <w:p w:rsidR="00AD1197" w:rsidRPr="00857BDC" w:rsidRDefault="00A55BA0" w:rsidP="00AD1197">
      <w:pPr>
        <w:pStyle w:val="Prrafodelista"/>
        <w:numPr>
          <w:ilvl w:val="0"/>
          <w:numId w:val="2"/>
        </w:numPr>
        <w:spacing w:before="240" w:after="240" w:line="360" w:lineRule="auto"/>
        <w:ind w:left="0" w:firstLine="0"/>
        <w:jc w:val="both"/>
        <w:rPr>
          <w:rFonts w:ascii="Palatino Linotype" w:hAnsi="Palatino Linotype" w:cs="Arial"/>
          <w:i/>
        </w:rPr>
      </w:pPr>
      <w:r w:rsidRPr="00857BDC">
        <w:rPr>
          <w:rFonts w:ascii="Palatino Linotype" w:eastAsia="Calibri" w:hAnsi="Palatino Linotype" w:cs="Arial"/>
          <w:lang w:val="es-AR"/>
        </w:rPr>
        <w:t>El</w:t>
      </w:r>
      <w:r w:rsidR="00134A8B" w:rsidRPr="00857BDC">
        <w:rPr>
          <w:rFonts w:ascii="Palatino Linotype" w:eastAsia="Times New Roman" w:hAnsi="Palatino Linotype" w:cs="Arial"/>
          <w:lang w:val="es-ES"/>
        </w:rPr>
        <w:t xml:space="preserve"> día veintitrés </w:t>
      </w:r>
      <w:r w:rsidRPr="00857BDC">
        <w:rPr>
          <w:rFonts w:ascii="Palatino Linotype" w:eastAsia="Times New Roman" w:hAnsi="Palatino Linotype" w:cs="Arial"/>
          <w:lang w:val="es-ES"/>
        </w:rPr>
        <w:t>(</w:t>
      </w:r>
      <w:r w:rsidR="00134A8B" w:rsidRPr="00857BDC">
        <w:rPr>
          <w:rFonts w:ascii="Palatino Linotype" w:eastAsia="Times New Roman" w:hAnsi="Palatino Linotype" w:cs="Arial"/>
          <w:lang w:val="es-ES"/>
        </w:rPr>
        <w:t>23</w:t>
      </w:r>
      <w:r w:rsidR="00284A07" w:rsidRPr="00857BDC">
        <w:rPr>
          <w:rFonts w:ascii="Palatino Linotype" w:eastAsia="Times New Roman" w:hAnsi="Palatino Linotype" w:cs="Arial"/>
          <w:lang w:val="es-ES"/>
        </w:rPr>
        <w:t>) de</w:t>
      </w:r>
      <w:r w:rsidR="00AD1197" w:rsidRPr="00857BDC">
        <w:rPr>
          <w:rFonts w:ascii="Palatino Linotype" w:eastAsia="Times New Roman" w:hAnsi="Palatino Linotype" w:cs="Arial"/>
          <w:lang w:val="es-ES"/>
        </w:rPr>
        <w:t xml:space="preserve"> septiembre d</w:t>
      </w:r>
      <w:r w:rsidR="00F1006A" w:rsidRPr="00857BDC">
        <w:rPr>
          <w:rFonts w:ascii="Palatino Linotype" w:eastAsia="Times New Roman" w:hAnsi="Palatino Linotype" w:cs="Arial"/>
          <w:lang w:val="es-ES"/>
        </w:rPr>
        <w:t>e dos mil diecinueve</w:t>
      </w:r>
      <w:r w:rsidR="00AD1197" w:rsidRPr="00857BDC">
        <w:rPr>
          <w:rFonts w:ascii="Palatino Linotype" w:eastAsia="Times New Roman" w:hAnsi="Palatino Linotype" w:cs="Arial"/>
          <w:lang w:val="es-ES"/>
        </w:rPr>
        <w:t>, la parte recurrente</w:t>
      </w:r>
      <w:r w:rsidRPr="00857BDC">
        <w:rPr>
          <w:rFonts w:ascii="Palatino Linotype" w:eastAsia="Times New Roman" w:hAnsi="Palatino Linotype" w:cs="Arial"/>
          <w:lang w:val="es-ES"/>
        </w:rPr>
        <w:t xml:space="preserve"> interpuso el recurso de revisión, en contra de la</w:t>
      </w:r>
      <w:r w:rsidR="00321228" w:rsidRPr="00857BDC">
        <w:rPr>
          <w:rFonts w:ascii="Palatino Linotype" w:eastAsia="Times New Roman" w:hAnsi="Palatino Linotype" w:cs="Arial"/>
          <w:lang w:val="es-ES"/>
        </w:rPr>
        <w:t xml:space="preserve"> falta de</w:t>
      </w:r>
      <w:r w:rsidRPr="00857BDC">
        <w:rPr>
          <w:rFonts w:ascii="Palatino Linotype" w:eastAsia="Times New Roman" w:hAnsi="Palatino Linotype" w:cs="Arial"/>
          <w:lang w:val="es-ES"/>
        </w:rPr>
        <w:t xml:space="preserve"> respuesta, señalando como:</w:t>
      </w:r>
      <w:bookmarkStart w:id="2" w:name="_Toc462307683"/>
      <w:bookmarkStart w:id="3" w:name="_Toc472427085"/>
      <w:bookmarkStart w:id="4" w:name="_Toc472500652"/>
    </w:p>
    <w:p w:rsidR="00A55BA0" w:rsidRPr="00857BDC" w:rsidRDefault="00A55BA0" w:rsidP="00AD1197">
      <w:pPr>
        <w:spacing w:line="360" w:lineRule="auto"/>
        <w:ind w:left="426" w:right="567"/>
        <w:jc w:val="both"/>
        <w:rPr>
          <w:rFonts w:ascii="Palatino Linotype" w:eastAsiaTheme="majorEastAsia" w:hAnsi="Palatino Linotype" w:cstheme="majorBidi"/>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22238395"/>
      <w:bookmarkStart w:id="17" w:name="_Toc24475335"/>
      <w:bookmarkStart w:id="18" w:name="_Toc24477902"/>
      <w:bookmarkStart w:id="19" w:name="_Toc24480521"/>
      <w:bookmarkStart w:id="20" w:name="_Toc492489253"/>
      <w:bookmarkStart w:id="21" w:name="_Toc492590383"/>
      <w:bookmarkStart w:id="22" w:name="_Toc496806999"/>
      <w:bookmarkStart w:id="23" w:name="_Toc496807889"/>
      <w:bookmarkStart w:id="24" w:name="_Toc498528853"/>
      <w:bookmarkStart w:id="25" w:name="_Toc498528941"/>
      <w:bookmarkStart w:id="26" w:name="_Toc499059264"/>
      <w:bookmarkStart w:id="27" w:name="_Toc499658725"/>
      <w:bookmarkStart w:id="28" w:name="_Toc499659072"/>
      <w:bookmarkStart w:id="29" w:name="_Toc499810483"/>
      <w:bookmarkStart w:id="30" w:name="_Toc500414595"/>
      <w:bookmarkStart w:id="31" w:name="_Toc500414652"/>
      <w:bookmarkStart w:id="32" w:name="_Toc503366327"/>
      <w:bookmarkStart w:id="33" w:name="_Toc503891593"/>
      <w:bookmarkStart w:id="34" w:name="_Toc504069531"/>
      <w:bookmarkStart w:id="35" w:name="_Toc504500686"/>
      <w:bookmarkStart w:id="36" w:name="_Toc536105836"/>
      <w:bookmarkStart w:id="37" w:name="_Toc536106254"/>
      <w:bookmarkStart w:id="38" w:name="_Toc536106962"/>
      <w:bookmarkStart w:id="39" w:name="_Toc5885560"/>
      <w:bookmarkStart w:id="40" w:name="_Toc5885859"/>
      <w:bookmarkStart w:id="41" w:name="_Toc5886193"/>
      <w:bookmarkStart w:id="42" w:name="_Toc5890450"/>
      <w:bookmarkStart w:id="43" w:name="_Toc7789570"/>
      <w:bookmarkStart w:id="44" w:name="_Toc25180689"/>
      <w:r w:rsidRPr="00857BDC">
        <w:rPr>
          <w:rStyle w:val="Ttulo2Car"/>
          <w:rFonts w:ascii="Palatino Linotype" w:hAnsi="Palatino Linotype"/>
          <w:b/>
          <w:color w:val="auto"/>
          <w:sz w:val="24"/>
          <w:szCs w:val="24"/>
          <w:lang w:val="es-ES"/>
        </w:rPr>
        <w:t>Acto impugnado</w:t>
      </w:r>
      <w:r w:rsidRPr="00857BDC">
        <w:rPr>
          <w:rStyle w:val="Ttulo2Car"/>
          <w:rFonts w:ascii="Palatino Linotype" w:hAnsi="Palatino Linotype"/>
          <w:b/>
          <w:i/>
          <w:color w:val="auto"/>
          <w:sz w:val="24"/>
          <w:szCs w:val="24"/>
          <w:lang w:val="es-ES"/>
        </w:rPr>
        <w:t>:</w:t>
      </w:r>
      <w:bookmarkEnd w:id="2"/>
      <w:bookmarkEnd w:id="3"/>
      <w:bookmarkEnd w:id="4"/>
      <w:r w:rsidRPr="00857BDC">
        <w:rPr>
          <w:rStyle w:val="Ttulo2Car"/>
          <w:rFonts w:ascii="Palatino Linotype" w:hAnsi="Palatino Linotype"/>
          <w:b/>
          <w:i/>
          <w:color w:val="auto"/>
          <w:sz w:val="24"/>
          <w:szCs w:val="24"/>
          <w:lang w:val="es-ES"/>
        </w:rPr>
        <w:t xml:space="preserve"> </w:t>
      </w:r>
      <w:bookmarkEnd w:id="5"/>
      <w:bookmarkEnd w:id="6"/>
      <w:bookmarkEnd w:id="7"/>
      <w:bookmarkEnd w:id="8"/>
      <w:bookmarkEnd w:id="9"/>
      <w:bookmarkEnd w:id="10"/>
      <w:bookmarkEnd w:id="11"/>
      <w:bookmarkEnd w:id="12"/>
      <w:r w:rsidR="00321228" w:rsidRPr="00857BDC">
        <w:rPr>
          <w:rStyle w:val="Ttulo2Car"/>
          <w:rFonts w:ascii="Palatino Linotype" w:hAnsi="Palatino Linotype"/>
          <w:i/>
          <w:color w:val="auto"/>
          <w:sz w:val="24"/>
          <w:szCs w:val="24"/>
          <w:lang w:val="es-ES"/>
        </w:rPr>
        <w:t>“</w:t>
      </w:r>
      <w:bookmarkEnd w:id="13"/>
      <w:bookmarkEnd w:id="14"/>
      <w:bookmarkEnd w:id="15"/>
      <w:bookmarkEnd w:id="16"/>
      <w:bookmarkEnd w:id="17"/>
      <w:bookmarkEnd w:id="18"/>
      <w:bookmarkEnd w:id="19"/>
      <w:r w:rsidR="00134A8B" w:rsidRPr="00857BDC">
        <w:rPr>
          <w:rStyle w:val="Ttulo2Car"/>
          <w:rFonts w:ascii="Palatino Linotype" w:hAnsi="Palatino Linotype"/>
          <w:i/>
          <w:color w:val="auto"/>
          <w:sz w:val="24"/>
          <w:szCs w:val="24"/>
          <w:lang w:val="es-ES"/>
        </w:rPr>
        <w:t>No he recibido la respuesta en el plazo señalado para tal efecto</w:t>
      </w:r>
      <w:r w:rsidRPr="00857BDC">
        <w:rPr>
          <w:rStyle w:val="Ttulo2Car"/>
          <w:rFonts w:ascii="Palatino Linotype" w:hAnsi="Palatino Linotype"/>
          <w:i/>
          <w:color w:val="auto"/>
          <w:sz w:val="24"/>
          <w:szCs w:val="24"/>
          <w:lang w:val="es-ES"/>
        </w:rPr>
        <w: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57BDC">
        <w:rPr>
          <w:rFonts w:ascii="Palatino Linotype" w:eastAsia="Calibri" w:hAnsi="Palatino Linotype" w:cs="Arial"/>
          <w:i/>
          <w:lang w:val="es-ES"/>
        </w:rPr>
        <w:t xml:space="preserve">(Sic); </w:t>
      </w:r>
    </w:p>
    <w:p w:rsidR="00A55BA0" w:rsidRPr="00857BDC" w:rsidRDefault="00A55BA0" w:rsidP="00AD1197">
      <w:pPr>
        <w:pStyle w:val="Prrafodelista"/>
        <w:spacing w:line="360" w:lineRule="auto"/>
        <w:ind w:right="34"/>
        <w:jc w:val="both"/>
        <w:rPr>
          <w:rFonts w:ascii="Palatino Linotype" w:hAnsi="Palatino Linotype" w:cs="Arial"/>
          <w:i/>
        </w:rPr>
      </w:pPr>
    </w:p>
    <w:p w:rsidR="00A55BA0" w:rsidRPr="00857BDC" w:rsidRDefault="00A55BA0" w:rsidP="00AD1197">
      <w:pPr>
        <w:spacing w:line="360" w:lineRule="auto"/>
        <w:ind w:left="426" w:right="34"/>
        <w:jc w:val="both"/>
        <w:rPr>
          <w:rFonts w:ascii="Palatino Linotype" w:eastAsiaTheme="majorEastAsia" w:hAnsi="Palatino Linotype" w:cstheme="majorBidi"/>
          <w:b/>
          <w:lang w:val="es-ES"/>
        </w:rPr>
      </w:pPr>
      <w:bookmarkStart w:id="45" w:name="_Toc462307685"/>
      <w:bookmarkStart w:id="46" w:name="_Toc472427087"/>
      <w:bookmarkStart w:id="47" w:name="_Toc472500654"/>
      <w:bookmarkStart w:id="48" w:name="_Toc475015153"/>
      <w:bookmarkStart w:id="49" w:name="_Toc476078668"/>
      <w:bookmarkStart w:id="50" w:name="_Toc476675984"/>
      <w:bookmarkStart w:id="51" w:name="_Toc477345125"/>
      <w:bookmarkStart w:id="52" w:name="_Toc477345203"/>
      <w:bookmarkStart w:id="53" w:name="_Toc480987169"/>
      <w:bookmarkStart w:id="54" w:name="_Toc480996302"/>
      <w:bookmarkStart w:id="55" w:name="_Toc485145204"/>
      <w:bookmarkStart w:id="56" w:name="_Toc492489254"/>
      <w:bookmarkStart w:id="57" w:name="_Toc492590384"/>
      <w:bookmarkStart w:id="58" w:name="_Toc536106255"/>
      <w:bookmarkStart w:id="59" w:name="_Toc536106963"/>
      <w:bookmarkStart w:id="60" w:name="_Toc496807000"/>
      <w:bookmarkStart w:id="61" w:name="_Toc496807890"/>
      <w:bookmarkStart w:id="62" w:name="_Toc498528854"/>
      <w:bookmarkStart w:id="63" w:name="_Toc498528942"/>
      <w:bookmarkStart w:id="64" w:name="_Toc499059265"/>
      <w:bookmarkStart w:id="65" w:name="_Toc499658726"/>
      <w:bookmarkStart w:id="66" w:name="_Toc499659073"/>
      <w:bookmarkStart w:id="67" w:name="_Toc499810484"/>
      <w:bookmarkStart w:id="68" w:name="_Toc500414596"/>
      <w:bookmarkStart w:id="69" w:name="_Toc500414653"/>
      <w:bookmarkStart w:id="70" w:name="_Toc503366328"/>
      <w:bookmarkStart w:id="71" w:name="_Toc503891594"/>
      <w:bookmarkStart w:id="72" w:name="_Toc504069532"/>
      <w:bookmarkStart w:id="73" w:name="_Toc504500687"/>
      <w:bookmarkStart w:id="74" w:name="_Toc526438769"/>
      <w:bookmarkStart w:id="75" w:name="_Toc526438810"/>
      <w:bookmarkStart w:id="76" w:name="_Toc526438925"/>
      <w:bookmarkStart w:id="77" w:name="_Toc5885561"/>
      <w:bookmarkStart w:id="78" w:name="_Toc5885860"/>
      <w:bookmarkStart w:id="79" w:name="_Toc5886194"/>
      <w:bookmarkStart w:id="80" w:name="_Toc5890451"/>
      <w:bookmarkStart w:id="81" w:name="_Toc7789571"/>
      <w:bookmarkStart w:id="82" w:name="_Toc22238396"/>
      <w:bookmarkStart w:id="83" w:name="_Toc24475336"/>
      <w:bookmarkStart w:id="84" w:name="_Toc24477903"/>
      <w:bookmarkStart w:id="85" w:name="_Toc24480522"/>
      <w:bookmarkStart w:id="86" w:name="_Toc25180690"/>
      <w:r w:rsidRPr="00857BDC">
        <w:rPr>
          <w:rStyle w:val="Ttulo2Car"/>
          <w:rFonts w:ascii="Palatino Linotype" w:hAnsi="Palatino Linotype"/>
          <w:b/>
          <w:color w:val="auto"/>
          <w:sz w:val="24"/>
          <w:szCs w:val="24"/>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5054AB" w:rsidRPr="00857BDC">
        <w:rPr>
          <w:rStyle w:val="Ttulo2Car"/>
          <w:rFonts w:ascii="Palatino Linotype" w:hAnsi="Palatino Linotype"/>
          <w:b/>
          <w:color w:val="auto"/>
          <w:sz w:val="24"/>
          <w:szCs w:val="24"/>
          <w:lang w:val="es-ES"/>
        </w:rPr>
        <w:t>:</w:t>
      </w:r>
      <w:bookmarkEnd w:id="82"/>
      <w:bookmarkEnd w:id="83"/>
      <w:bookmarkEnd w:id="84"/>
      <w:bookmarkEnd w:id="85"/>
      <w:bookmarkEnd w:id="86"/>
      <w:r w:rsidR="005054AB" w:rsidRPr="00857BDC">
        <w:rPr>
          <w:rStyle w:val="Ttulo2Car"/>
          <w:rFonts w:ascii="Palatino Linotype" w:hAnsi="Palatino Linotype"/>
          <w:b/>
          <w:color w:val="auto"/>
          <w:sz w:val="24"/>
          <w:szCs w:val="24"/>
          <w:lang w:val="es-ES"/>
        </w:rPr>
        <w:t xml:space="preserve"> </w:t>
      </w:r>
      <w:r w:rsidR="005054AB" w:rsidRPr="00857BDC">
        <w:rPr>
          <w:rFonts w:ascii="Palatino Linotype" w:hAnsi="Palatino Linotype"/>
          <w:i/>
        </w:rPr>
        <w:t>“</w:t>
      </w:r>
      <w:r w:rsidR="00134A8B" w:rsidRPr="00857BDC">
        <w:rPr>
          <w:rFonts w:ascii="Palatino Linotype" w:hAnsi="Palatino Linotype"/>
          <w:i/>
        </w:rPr>
        <w:t xml:space="preserve">No he recibido la respuesta en el plazo señalado para tal efecto”. </w:t>
      </w:r>
      <w:r w:rsidR="00AD1197" w:rsidRPr="00857BDC">
        <w:rPr>
          <w:rFonts w:ascii="Palatino Linotype" w:hAnsi="Palatino Linotype"/>
          <w:i/>
        </w:rPr>
        <w:t xml:space="preserve"> </w:t>
      </w:r>
      <w:r w:rsidR="005054AB" w:rsidRPr="00857BDC">
        <w:rPr>
          <w:rFonts w:ascii="Palatino Linotype" w:hAnsi="Palatino Linotype" w:cs="Arial"/>
          <w:i/>
        </w:rPr>
        <w:t>(</w:t>
      </w:r>
      <w:r w:rsidRPr="00857BDC">
        <w:rPr>
          <w:rFonts w:ascii="Palatino Linotype" w:hAnsi="Palatino Linotype" w:cs="Arial"/>
          <w:i/>
        </w:rPr>
        <w:t>Sic)</w:t>
      </w:r>
    </w:p>
    <w:p w:rsidR="00A55BA0" w:rsidRPr="00857BDC" w:rsidRDefault="00A55BA0" w:rsidP="00D32C76">
      <w:pPr>
        <w:pStyle w:val="Prrafodelista"/>
        <w:numPr>
          <w:ilvl w:val="0"/>
          <w:numId w:val="2"/>
        </w:numPr>
        <w:spacing w:before="240" w:after="240" w:line="360" w:lineRule="auto"/>
        <w:ind w:left="0" w:firstLine="0"/>
        <w:jc w:val="both"/>
        <w:rPr>
          <w:rFonts w:ascii="Palatino Linotype" w:hAnsi="Palatino Linotype"/>
          <w:i/>
          <w:color w:val="000000"/>
        </w:rPr>
      </w:pPr>
      <w:r w:rsidRPr="00857BDC">
        <w:rPr>
          <w:rFonts w:ascii="Palatino Linotype" w:eastAsia="Times New Roman" w:hAnsi="Palatino Linotype" w:cs="Arial"/>
          <w:lang w:val="es-ES"/>
        </w:rPr>
        <w:t xml:space="preserve">Se registró el recurso de revisión bajo el número de expediente </w:t>
      </w:r>
      <w:r w:rsidRPr="00857BDC">
        <w:rPr>
          <w:rFonts w:ascii="Palatino Linotype" w:hAnsi="Palatino Linotype" w:cs="Arial"/>
          <w:bCs/>
        </w:rPr>
        <w:t xml:space="preserve">al rubro indicado, asimismo con fundamento en lo dispuesto por el </w:t>
      </w:r>
      <w:r w:rsidRPr="00857BDC">
        <w:rPr>
          <w:rFonts w:ascii="Palatino Linotype" w:eastAsia="Calibri" w:hAnsi="Palatino Linotype" w:cs="Arial"/>
          <w:lang w:val="es-ES"/>
        </w:rPr>
        <w:t xml:space="preserve">artículo 185 fracción I de </w:t>
      </w:r>
      <w:r w:rsidRPr="00857BDC">
        <w:rPr>
          <w:rFonts w:ascii="Palatino Linotype" w:eastAsia="Calibri" w:hAnsi="Palatino Linotype" w:cs="Arial"/>
          <w:lang w:val="es-ES"/>
        </w:rPr>
        <w:lastRenderedPageBreak/>
        <w:t xml:space="preserve">la </w:t>
      </w:r>
      <w:r w:rsidRPr="00857BDC">
        <w:rPr>
          <w:rFonts w:ascii="Palatino Linotype" w:eastAsia="Calibri" w:hAnsi="Palatino Linotype" w:cs="Arial"/>
          <w:b/>
          <w:lang w:val="es-ES"/>
        </w:rPr>
        <w:t xml:space="preserve">Ley de Transparencia y Acceso a la Información Pública del Estado de México y Municipios </w:t>
      </w:r>
      <w:r w:rsidRPr="00857BDC">
        <w:rPr>
          <w:rFonts w:ascii="Palatino Linotype" w:eastAsia="Times New Roman" w:hAnsi="Palatino Linotype" w:cs="Arial"/>
          <w:lang w:val="es-ES"/>
        </w:rPr>
        <w:t xml:space="preserve">se turnó al </w:t>
      </w:r>
      <w:r w:rsidRPr="00857BDC">
        <w:rPr>
          <w:rFonts w:ascii="Palatino Linotype" w:eastAsia="Times New Roman" w:hAnsi="Palatino Linotype" w:cs="Arial"/>
          <w:b/>
          <w:lang w:val="es-ES"/>
        </w:rPr>
        <w:t xml:space="preserve">Comisionado José Guadalupe Luna Hernández, </w:t>
      </w:r>
      <w:r w:rsidRPr="00857BDC">
        <w:rPr>
          <w:rFonts w:ascii="Palatino Linotype" w:eastAsia="Times New Roman" w:hAnsi="Palatino Linotype" w:cs="Arial"/>
          <w:lang w:val="es-ES"/>
        </w:rPr>
        <w:t xml:space="preserve">con el objeto de </w:t>
      </w:r>
      <w:r w:rsidRPr="00857BDC">
        <w:rPr>
          <w:rFonts w:ascii="Palatino Linotype" w:eastAsia="Times New Roman" w:hAnsi="Palatino Linotype" w:cs="Arial"/>
          <w:lang w:val="es-MX"/>
        </w:rPr>
        <w:t>su análisis.</w:t>
      </w:r>
    </w:p>
    <w:p w:rsidR="00A55BA0" w:rsidRPr="00857BDC" w:rsidRDefault="00A55BA0" w:rsidP="00A55BA0">
      <w:pPr>
        <w:pStyle w:val="Prrafodelista"/>
        <w:rPr>
          <w:rFonts w:ascii="Palatino Linotype" w:hAnsi="Palatino Linotype"/>
          <w:i/>
          <w:color w:val="000000"/>
        </w:rPr>
      </w:pPr>
    </w:p>
    <w:p w:rsidR="00773714" w:rsidRPr="00857BDC" w:rsidRDefault="00A55BA0" w:rsidP="00773714">
      <w:pPr>
        <w:pStyle w:val="Prrafodelista"/>
        <w:numPr>
          <w:ilvl w:val="0"/>
          <w:numId w:val="2"/>
        </w:numPr>
        <w:spacing w:before="240" w:after="240" w:line="360" w:lineRule="auto"/>
        <w:ind w:left="0" w:firstLine="0"/>
        <w:jc w:val="both"/>
        <w:rPr>
          <w:rFonts w:ascii="Palatino Linotype" w:hAnsi="Palatino Linotype"/>
          <w:i/>
          <w:color w:val="000000"/>
        </w:rPr>
      </w:pPr>
      <w:r w:rsidRPr="00857BDC">
        <w:rPr>
          <w:rFonts w:ascii="Palatino Linotype" w:eastAsia="Calibri" w:hAnsi="Palatino Linotype" w:cs="Arial"/>
          <w:lang w:val="es-ES"/>
        </w:rPr>
        <w:t>El Comisionado Ponente con fundamento en lo dispuesto por el artículo 185 fracción II de la ley de la materia, a través d</w:t>
      </w:r>
      <w:r w:rsidR="004C37B1" w:rsidRPr="00857BDC">
        <w:rPr>
          <w:rFonts w:ascii="Palatino Linotype" w:eastAsia="Calibri" w:hAnsi="Palatino Linotype" w:cs="Arial"/>
          <w:lang w:val="es-ES"/>
        </w:rPr>
        <w:t>el acuerd</w:t>
      </w:r>
      <w:r w:rsidR="00134A8B" w:rsidRPr="00857BDC">
        <w:rPr>
          <w:rFonts w:ascii="Palatino Linotype" w:eastAsia="Calibri" w:hAnsi="Palatino Linotype" w:cs="Arial"/>
          <w:lang w:val="es-ES"/>
        </w:rPr>
        <w:t>o de admisión de fecha veintisiete</w:t>
      </w:r>
      <w:r w:rsidR="005054AB" w:rsidRPr="00857BDC">
        <w:rPr>
          <w:rFonts w:ascii="Palatino Linotype" w:eastAsia="Calibri" w:hAnsi="Palatino Linotype" w:cs="Arial"/>
          <w:lang w:val="es-ES"/>
        </w:rPr>
        <w:t xml:space="preserve"> </w:t>
      </w:r>
      <w:r w:rsidRPr="00857BDC">
        <w:rPr>
          <w:rFonts w:ascii="Palatino Linotype" w:eastAsia="Calibri" w:hAnsi="Palatino Linotype" w:cs="Arial"/>
          <w:lang w:val="es-ES"/>
        </w:rPr>
        <w:t>(</w:t>
      </w:r>
      <w:r w:rsidR="00134A8B" w:rsidRPr="00857BDC">
        <w:rPr>
          <w:rFonts w:ascii="Palatino Linotype" w:eastAsia="Calibri" w:hAnsi="Palatino Linotype" w:cs="Arial"/>
          <w:lang w:val="es-ES"/>
        </w:rPr>
        <w:t>27</w:t>
      </w:r>
      <w:r w:rsidR="004C37B1" w:rsidRPr="00857BDC">
        <w:rPr>
          <w:rFonts w:ascii="Palatino Linotype" w:eastAsia="Calibri" w:hAnsi="Palatino Linotype" w:cs="Arial"/>
          <w:lang w:val="es-ES"/>
        </w:rPr>
        <w:t>) de</w:t>
      </w:r>
      <w:r w:rsidR="00AD1197" w:rsidRPr="00857BDC">
        <w:rPr>
          <w:rFonts w:ascii="Palatino Linotype" w:eastAsia="Calibri" w:hAnsi="Palatino Linotype" w:cs="Arial"/>
          <w:lang w:val="es-ES"/>
        </w:rPr>
        <w:t xml:space="preserve"> septiembre </w:t>
      </w:r>
      <w:r w:rsidR="00030E8B" w:rsidRPr="00857BDC">
        <w:rPr>
          <w:rFonts w:ascii="Palatino Linotype" w:eastAsia="Calibri" w:hAnsi="Palatino Linotype" w:cs="Arial"/>
          <w:lang w:val="es-ES"/>
        </w:rPr>
        <w:t xml:space="preserve">de </w:t>
      </w:r>
      <w:r w:rsidRPr="00857BDC">
        <w:rPr>
          <w:rFonts w:ascii="Palatino Linotype" w:eastAsia="Calibri" w:hAnsi="Palatino Linotype" w:cs="Arial"/>
          <w:lang w:val="es-ES"/>
        </w:rPr>
        <w:t>dos mil dieci</w:t>
      </w:r>
      <w:r w:rsidR="00C3012D" w:rsidRPr="00857BDC">
        <w:rPr>
          <w:rFonts w:ascii="Palatino Linotype" w:eastAsia="Calibri" w:hAnsi="Palatino Linotype" w:cs="Arial"/>
          <w:lang w:val="es-ES"/>
        </w:rPr>
        <w:t>nueve</w:t>
      </w:r>
      <w:r w:rsidRPr="00857BDC">
        <w:rPr>
          <w:rFonts w:ascii="Palatino Linotype" w:eastAsia="Calibri" w:hAnsi="Palatino Linotype" w:cs="Arial"/>
          <w:lang w:val="es-ES"/>
        </w:rPr>
        <w:t xml:space="preserve">, puso a disposición de las partes el expediente electrónico </w:t>
      </w:r>
      <w:r w:rsidRPr="00857BDC">
        <w:rPr>
          <w:rFonts w:ascii="Palatino Linotype" w:eastAsia="Calibri" w:hAnsi="Palatino Linotype" w:cs="Arial"/>
        </w:rPr>
        <w:t xml:space="preserve">vía </w:t>
      </w:r>
      <w:r w:rsidRPr="00857BDC">
        <w:rPr>
          <w:rFonts w:ascii="Palatino Linotype" w:eastAsia="Calibri" w:hAnsi="Palatino Linotype" w:cs="Arial"/>
          <w:lang w:val="es-ES"/>
        </w:rPr>
        <w:t xml:space="preserve">Sistema de Acceso a la Información Mexiquense </w:t>
      </w:r>
      <w:r w:rsidRPr="00857BDC">
        <w:rPr>
          <w:rFonts w:ascii="Palatino Linotype" w:eastAsia="Calibri" w:hAnsi="Palatino Linotype" w:cs="Arial"/>
          <w:b/>
          <w:lang w:val="es-ES"/>
        </w:rPr>
        <w:t xml:space="preserve">SAIMEX </w:t>
      </w:r>
      <w:r w:rsidRPr="00857BD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57BDC">
        <w:rPr>
          <w:rFonts w:ascii="Palatino Linotype" w:eastAsia="Calibri" w:hAnsi="Palatino Linotype" w:cs="Arial"/>
          <w:b/>
          <w:lang w:val="es-ES"/>
        </w:rPr>
        <w:t>SUJETO OBLIGADO</w:t>
      </w:r>
      <w:r w:rsidRPr="00857BDC">
        <w:rPr>
          <w:rFonts w:ascii="Palatino Linotype" w:eastAsia="Calibri" w:hAnsi="Palatino Linotype" w:cs="Arial"/>
          <w:lang w:val="es-ES"/>
        </w:rPr>
        <w:t xml:space="preserve"> presentará el Informe Justificado procedente.  </w:t>
      </w:r>
    </w:p>
    <w:p w:rsidR="00773714" w:rsidRPr="00857BDC" w:rsidRDefault="00773714" w:rsidP="00773714">
      <w:pPr>
        <w:pStyle w:val="Prrafodelista"/>
        <w:rPr>
          <w:rFonts w:ascii="Palatino Linotype" w:eastAsia="Calibri" w:hAnsi="Palatino Linotype" w:cs="Times New Roman"/>
          <w:lang w:val="es-ES"/>
        </w:rPr>
      </w:pPr>
    </w:p>
    <w:p w:rsidR="00295FD0" w:rsidRPr="00857BDC" w:rsidRDefault="00134A8B" w:rsidP="00295FD0">
      <w:pPr>
        <w:numPr>
          <w:ilvl w:val="0"/>
          <w:numId w:val="2"/>
        </w:numPr>
        <w:spacing w:line="360" w:lineRule="auto"/>
        <w:ind w:left="0" w:firstLine="0"/>
        <w:contextualSpacing/>
        <w:jc w:val="both"/>
        <w:rPr>
          <w:rFonts w:ascii="Palatino Linotype" w:eastAsia="Calibri" w:hAnsi="Palatino Linotype" w:cs="Arial"/>
          <w:lang w:val="es-ES"/>
        </w:rPr>
      </w:pPr>
      <w:r w:rsidRPr="00857BDC">
        <w:rPr>
          <w:rFonts w:ascii="Palatino Linotype" w:eastAsia="Calibri" w:hAnsi="Palatino Linotype" w:cs="Arial"/>
          <w:lang w:val="es-ES"/>
        </w:rPr>
        <w:t xml:space="preserve">En fecha tres  (03) y cuatro (04) de octubre </w:t>
      </w:r>
      <w:r w:rsidR="00295FD0" w:rsidRPr="00857BDC">
        <w:rPr>
          <w:rFonts w:ascii="Palatino Linotype" w:eastAsia="Calibri" w:hAnsi="Palatino Linotype" w:cs="Arial"/>
          <w:lang w:val="es-ES"/>
        </w:rPr>
        <w:t xml:space="preserve">de dos mil diecinueve, el </w:t>
      </w:r>
      <w:r w:rsidR="00295FD0" w:rsidRPr="00857BDC">
        <w:rPr>
          <w:rFonts w:ascii="Palatino Linotype" w:eastAsia="Calibri" w:hAnsi="Palatino Linotype" w:cs="Arial"/>
          <w:b/>
          <w:lang w:val="es-ES"/>
        </w:rPr>
        <w:t>SUJETO OBLIGADO,</w:t>
      </w:r>
      <w:r w:rsidR="00295FD0" w:rsidRPr="00857BDC">
        <w:rPr>
          <w:rFonts w:ascii="Palatino Linotype" w:eastAsia="Calibri" w:hAnsi="Palatino Linotype" w:cs="Arial"/>
          <w:lang w:val="es-ES"/>
        </w:rPr>
        <w:t xml:space="preserve"> emitió el informe justificado respectivo, el cual no se puso a la vista del particular ya que no aportaba elementos novedosos con relación a la respuesta primigenia. Sin embargo, con la finalidad de que no exista opacidad, se hará del conocimiento de la particular al momento de la notificación de la presente resolución.</w:t>
      </w:r>
    </w:p>
    <w:p w:rsidR="004C37B1" w:rsidRPr="00857BDC" w:rsidRDefault="004C37B1" w:rsidP="004C37B1">
      <w:pPr>
        <w:pStyle w:val="Prrafodelista"/>
        <w:rPr>
          <w:rFonts w:ascii="Palatino Linotype" w:hAnsi="Palatino Linotype"/>
          <w:i/>
          <w:color w:val="000000"/>
        </w:rPr>
      </w:pPr>
    </w:p>
    <w:p w:rsidR="001A3336" w:rsidRPr="00857BDC" w:rsidRDefault="00A55BA0" w:rsidP="001A3336">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857BDC">
        <w:rPr>
          <w:rFonts w:ascii="Palatino Linotype" w:hAnsi="Palatino Linotype"/>
        </w:rPr>
        <w:t>El Comisionado Ponente decretó el cierre de instrucción</w:t>
      </w:r>
      <w:r w:rsidRPr="00857BDC">
        <w:rPr>
          <w:rFonts w:ascii="Palatino Linotype" w:hAnsi="Palatino Linotype" w:cs="Arial"/>
        </w:rPr>
        <w:t xml:space="preserve"> </w:t>
      </w:r>
      <w:r w:rsidR="00C3012D" w:rsidRPr="00857BDC">
        <w:rPr>
          <w:rFonts w:ascii="Palatino Linotype" w:hAnsi="Palatino Linotype"/>
        </w:rPr>
        <w:t>medi</w:t>
      </w:r>
      <w:r w:rsidR="00773714" w:rsidRPr="00857BDC">
        <w:rPr>
          <w:rFonts w:ascii="Palatino Linotype" w:hAnsi="Palatino Linotype"/>
        </w:rPr>
        <w:t>a</w:t>
      </w:r>
      <w:r w:rsidR="00033133" w:rsidRPr="00857BDC">
        <w:rPr>
          <w:rFonts w:ascii="Palatino Linotype" w:hAnsi="Palatino Linotype"/>
        </w:rPr>
        <w:t>nte acuerdo de fecha veinte</w:t>
      </w:r>
      <w:r w:rsidR="00B45572" w:rsidRPr="00857BDC">
        <w:rPr>
          <w:rFonts w:ascii="Palatino Linotype" w:hAnsi="Palatino Linotype"/>
        </w:rPr>
        <w:t xml:space="preserve"> </w:t>
      </w:r>
      <w:r w:rsidRPr="00857BDC">
        <w:rPr>
          <w:rFonts w:ascii="Palatino Linotype" w:hAnsi="Palatino Linotype"/>
        </w:rPr>
        <w:t>(</w:t>
      </w:r>
      <w:r w:rsidR="00033133" w:rsidRPr="00857BDC">
        <w:rPr>
          <w:rFonts w:ascii="Palatino Linotype" w:hAnsi="Palatino Linotype"/>
        </w:rPr>
        <w:t>20</w:t>
      </w:r>
      <w:r w:rsidR="001A3336" w:rsidRPr="00857BDC">
        <w:rPr>
          <w:rFonts w:ascii="Palatino Linotype" w:hAnsi="Palatino Linotype"/>
        </w:rPr>
        <w:t>) de</w:t>
      </w:r>
      <w:r w:rsidR="00B45572" w:rsidRPr="00857BDC">
        <w:rPr>
          <w:rFonts w:ascii="Palatino Linotype" w:hAnsi="Palatino Linotype"/>
        </w:rPr>
        <w:t xml:space="preserve"> noviembre</w:t>
      </w:r>
      <w:r w:rsidR="001A3336" w:rsidRPr="00857BDC">
        <w:rPr>
          <w:rFonts w:ascii="Palatino Linotype" w:hAnsi="Palatino Linotype"/>
        </w:rPr>
        <w:t xml:space="preserve"> </w:t>
      </w:r>
      <w:r w:rsidR="00C3012D" w:rsidRPr="00857BDC">
        <w:rPr>
          <w:rFonts w:ascii="Palatino Linotype" w:hAnsi="Palatino Linotype"/>
        </w:rPr>
        <w:t>de dos mil diecinueve</w:t>
      </w:r>
      <w:r w:rsidRPr="00857BDC">
        <w:rPr>
          <w:rFonts w:ascii="Palatino Linotype" w:hAnsi="Palatino Linotype"/>
        </w:rPr>
        <w:t xml:space="preserve">, </w:t>
      </w:r>
      <w:r w:rsidRPr="00857BDC">
        <w:rPr>
          <w:rFonts w:ascii="Palatino Linotype" w:hAnsi="Palatino Linotype" w:cs="Arial"/>
        </w:rPr>
        <w:t>por lo que, ordenó turnar el expediente a resolución, mis</w:t>
      </w:r>
      <w:r w:rsidR="001A3336" w:rsidRPr="00857BDC">
        <w:rPr>
          <w:rFonts w:ascii="Palatino Linotype" w:hAnsi="Palatino Linotype" w:cs="Arial"/>
        </w:rPr>
        <w:t>ma que ahora se pronuncia.</w:t>
      </w:r>
    </w:p>
    <w:p w:rsidR="001A3336" w:rsidRPr="00857BDC" w:rsidRDefault="001A3336" w:rsidP="001A3336">
      <w:pPr>
        <w:pStyle w:val="Prrafodelista"/>
        <w:rPr>
          <w:rFonts w:ascii="Palatino Linotype" w:eastAsia="Calibri" w:hAnsi="Palatino Linotype" w:cs="Arial"/>
          <w:lang w:val="es-ES"/>
        </w:rPr>
      </w:pPr>
    </w:p>
    <w:p w:rsidR="00F1006A" w:rsidRPr="00857BDC" w:rsidRDefault="00033133" w:rsidP="00F1006A">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857BDC">
        <w:rPr>
          <w:rFonts w:ascii="Palatino Linotype" w:eastAsia="Calibri" w:hAnsi="Palatino Linotype" w:cs="Arial"/>
          <w:lang w:val="es-ES"/>
        </w:rPr>
        <w:t>El día veinte (20</w:t>
      </w:r>
      <w:r w:rsidR="001A3336" w:rsidRPr="00857BDC">
        <w:rPr>
          <w:rFonts w:ascii="Palatino Linotype" w:eastAsia="Calibri" w:hAnsi="Palatino Linotype" w:cs="Arial"/>
          <w:lang w:val="es-ES"/>
        </w:rPr>
        <w:t>) de</w:t>
      </w:r>
      <w:r w:rsidR="00B45572" w:rsidRPr="00857BDC">
        <w:rPr>
          <w:rFonts w:ascii="Palatino Linotype" w:eastAsia="Calibri" w:hAnsi="Palatino Linotype" w:cs="Arial"/>
          <w:lang w:val="es-ES"/>
        </w:rPr>
        <w:t xml:space="preserve"> noviembre </w:t>
      </w:r>
      <w:r w:rsidR="001A3336" w:rsidRPr="00857BDC">
        <w:rPr>
          <w:rFonts w:ascii="Palatino Linotype" w:eastAsia="Calibri" w:hAnsi="Palatino Linotype" w:cs="Arial"/>
          <w:lang w:val="es-ES"/>
        </w:rPr>
        <w:t xml:space="preserve">de dos mil diecinueve y con fundamento en el artículo 181 tercer párrafo de la Ley de Transparencia y Acceso a la Información </w:t>
      </w:r>
      <w:r w:rsidR="001A3336" w:rsidRPr="00857BDC">
        <w:rPr>
          <w:rFonts w:ascii="Palatino Linotype" w:eastAsia="Calibri" w:hAnsi="Palatino Linotype" w:cs="Arial"/>
          <w:lang w:val="es-ES"/>
        </w:rPr>
        <w:lastRenderedPageBreak/>
        <w:t>Pública del Estado de México y Municipios, se notificó que el plazo de 30 días para resolver los recursos de revisión, serían ampliados por un periodo de 15 días hábiles adicionales, debido a la naturaleza, complejidad del asunto y para un mejor estudio; y</w:t>
      </w:r>
    </w:p>
    <w:p w:rsidR="00A55BA0" w:rsidRPr="00857BDC" w:rsidRDefault="00A55BA0" w:rsidP="00A55BA0">
      <w:pPr>
        <w:pStyle w:val="Ttulo1"/>
        <w:jc w:val="center"/>
        <w:rPr>
          <w:szCs w:val="24"/>
        </w:rPr>
      </w:pPr>
      <w:bookmarkStart w:id="87" w:name="_Toc25180691"/>
      <w:r w:rsidRPr="00857BDC">
        <w:rPr>
          <w:szCs w:val="24"/>
        </w:rPr>
        <w:t>CONSIDERANDO</w:t>
      </w:r>
      <w:bookmarkEnd w:id="87"/>
    </w:p>
    <w:p w:rsidR="00A55BA0" w:rsidRPr="00857BDC" w:rsidRDefault="00A55BA0" w:rsidP="00A55BA0">
      <w:pPr>
        <w:rPr>
          <w:rFonts w:ascii="Palatino Linotype" w:hAnsi="Palatino Linotype"/>
          <w:lang w:val="es-MX" w:eastAsia="en-US"/>
        </w:rPr>
      </w:pPr>
    </w:p>
    <w:p w:rsidR="00A55BA0" w:rsidRPr="00857BDC" w:rsidRDefault="00A55BA0" w:rsidP="00A55BA0">
      <w:pPr>
        <w:pStyle w:val="Ttulo2"/>
        <w:rPr>
          <w:rFonts w:ascii="Palatino Linotype" w:hAnsi="Palatino Linotype"/>
          <w:b/>
          <w:color w:val="auto"/>
          <w:sz w:val="24"/>
          <w:szCs w:val="24"/>
        </w:rPr>
      </w:pPr>
      <w:bookmarkStart w:id="88" w:name="_Toc25180692"/>
      <w:r w:rsidRPr="00857BDC">
        <w:rPr>
          <w:rFonts w:ascii="Palatino Linotype" w:hAnsi="Palatino Linotype"/>
          <w:b/>
          <w:color w:val="auto"/>
          <w:sz w:val="24"/>
          <w:szCs w:val="24"/>
        </w:rPr>
        <w:t>PRIMERO. De la competencia</w:t>
      </w:r>
      <w:bookmarkEnd w:id="88"/>
    </w:p>
    <w:p w:rsidR="00A55BA0" w:rsidRPr="00857BDC" w:rsidRDefault="00A55BA0" w:rsidP="00A55BA0">
      <w:pPr>
        <w:rPr>
          <w:rFonts w:ascii="Palatino Linotype" w:hAnsi="Palatino Linotype"/>
          <w:lang w:val="es-MX" w:eastAsia="en-US"/>
        </w:rPr>
      </w:pPr>
    </w:p>
    <w:p w:rsidR="00A55BA0" w:rsidRPr="00857BDC" w:rsidRDefault="00A55BA0" w:rsidP="00A55BA0">
      <w:pPr>
        <w:pStyle w:val="Prrafodelista"/>
        <w:numPr>
          <w:ilvl w:val="0"/>
          <w:numId w:val="2"/>
        </w:numPr>
        <w:tabs>
          <w:tab w:val="left" w:pos="0"/>
        </w:tabs>
        <w:spacing w:before="240" w:after="240" w:line="360" w:lineRule="auto"/>
        <w:ind w:left="0" w:firstLine="0"/>
        <w:jc w:val="both"/>
        <w:rPr>
          <w:rFonts w:ascii="Palatino Linotype" w:hAnsi="Palatino Linotype"/>
        </w:rPr>
      </w:pPr>
      <w:r w:rsidRPr="00857BD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57BDC">
        <w:rPr>
          <w:rFonts w:ascii="Palatino Linotype" w:eastAsia="Calibri" w:hAnsi="Palatino Linotype" w:cs="Times New Roman"/>
          <w:b/>
          <w:lang w:val="es-ES"/>
        </w:rPr>
        <w:t>Constitución Política de los Estados Unidos Mexicanos</w:t>
      </w:r>
      <w:r w:rsidRPr="00857BDC">
        <w:rPr>
          <w:rFonts w:ascii="Palatino Linotype" w:eastAsia="Calibri" w:hAnsi="Palatino Linotype" w:cs="Times New Roman"/>
          <w:lang w:val="es-ES"/>
        </w:rPr>
        <w:t xml:space="preserve">; 5, párrafos </w:t>
      </w:r>
      <w:r w:rsidRPr="00857BDC">
        <w:rPr>
          <w:rFonts w:ascii="Palatino Linotype" w:hAnsi="Palatino Linotype" w:cs="Arial"/>
          <w:bCs/>
          <w:color w:val="222222"/>
          <w:lang w:val="es-ES"/>
        </w:rPr>
        <w:t>vigésimo</w:t>
      </w:r>
      <w:r w:rsidR="00773714" w:rsidRPr="00857BDC">
        <w:rPr>
          <w:rFonts w:ascii="Palatino Linotype" w:hAnsi="Palatino Linotype" w:cs="Arial"/>
          <w:bCs/>
          <w:color w:val="222222"/>
          <w:lang w:val="es-ES"/>
        </w:rPr>
        <w:t xml:space="preserve"> segundo</w:t>
      </w:r>
      <w:r w:rsidRPr="00857BDC">
        <w:rPr>
          <w:rFonts w:ascii="Palatino Linotype" w:hAnsi="Palatino Linotype" w:cs="Arial"/>
          <w:bCs/>
          <w:color w:val="222222"/>
          <w:lang w:val="es-ES"/>
        </w:rPr>
        <w:t xml:space="preserve">, vigésimo </w:t>
      </w:r>
      <w:r w:rsidR="00773714" w:rsidRPr="00857BDC">
        <w:rPr>
          <w:rFonts w:ascii="Palatino Linotype" w:hAnsi="Palatino Linotype" w:cs="Arial"/>
          <w:bCs/>
          <w:color w:val="222222"/>
          <w:lang w:val="es-ES"/>
        </w:rPr>
        <w:t>tercero</w:t>
      </w:r>
      <w:r w:rsidRPr="00857BDC">
        <w:rPr>
          <w:rFonts w:ascii="Palatino Linotype" w:hAnsi="Palatino Linotype" w:cs="Arial"/>
          <w:bCs/>
          <w:color w:val="222222"/>
          <w:lang w:val="es-ES"/>
        </w:rPr>
        <w:t xml:space="preserve"> y vigésimo</w:t>
      </w:r>
      <w:r w:rsidR="00773714" w:rsidRPr="00857BDC">
        <w:rPr>
          <w:rFonts w:ascii="Palatino Linotype" w:hAnsi="Palatino Linotype" w:cs="Arial"/>
          <w:bCs/>
          <w:color w:val="222222"/>
          <w:lang w:val="es-ES"/>
        </w:rPr>
        <w:t xml:space="preserve"> cuarto </w:t>
      </w:r>
      <w:r w:rsidRPr="00857BDC">
        <w:rPr>
          <w:rFonts w:ascii="Palatino Linotype" w:eastAsia="Calibri" w:hAnsi="Palatino Linotype" w:cs="Times New Roman"/>
          <w:lang w:val="es-ES"/>
        </w:rPr>
        <w:t xml:space="preserve">fracciones IV y V de la </w:t>
      </w:r>
      <w:r w:rsidRPr="00857BDC">
        <w:rPr>
          <w:rFonts w:ascii="Palatino Linotype" w:eastAsia="Calibri" w:hAnsi="Palatino Linotype" w:cs="Times New Roman"/>
          <w:b/>
          <w:lang w:val="es-ES"/>
        </w:rPr>
        <w:t>Constitución Política del Estado Libre y Soberano de México</w:t>
      </w:r>
      <w:r w:rsidRPr="00857BDC">
        <w:rPr>
          <w:rFonts w:ascii="Palatino Linotype" w:eastAsia="Calibri" w:hAnsi="Palatino Linotype" w:cs="Times New Roman"/>
          <w:lang w:val="es-ES"/>
        </w:rPr>
        <w:t xml:space="preserve">; artículos 1, 2 fracción II, 13, 29, 36 fracciones I y II, 176, 178, 179, 181 párrafo tercero y 185 </w:t>
      </w:r>
      <w:r w:rsidRPr="00857BDC">
        <w:rPr>
          <w:rFonts w:ascii="Palatino Linotype" w:eastAsia="Calibri" w:hAnsi="Palatino Linotype" w:cs="Arial"/>
          <w:lang w:val="es-ES"/>
        </w:rPr>
        <w:t xml:space="preserve">de la </w:t>
      </w:r>
      <w:r w:rsidRPr="00857BDC">
        <w:rPr>
          <w:rFonts w:ascii="Palatino Linotype" w:eastAsia="Calibri" w:hAnsi="Palatino Linotype" w:cs="Arial"/>
          <w:b/>
          <w:lang w:val="es-ES"/>
        </w:rPr>
        <w:t>Ley de Transparencia y Acceso a la Información Pública del Estado de México y Municipios</w:t>
      </w:r>
      <w:r w:rsidRPr="00857BDC">
        <w:rPr>
          <w:rFonts w:ascii="Palatino Linotype" w:eastAsia="Calibri" w:hAnsi="Palatino Linotype" w:cs="Arial"/>
          <w:lang w:val="es-ES"/>
        </w:rPr>
        <w:t xml:space="preserve">; y 7, 9 fracciones I y XXIV, y 11 del </w:t>
      </w:r>
      <w:r w:rsidRPr="00857BD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57BDC">
        <w:rPr>
          <w:rFonts w:ascii="Palatino Linotype" w:hAnsi="Palatino Linotype"/>
        </w:rPr>
        <w:t>.</w:t>
      </w:r>
    </w:p>
    <w:p w:rsidR="00E02B17" w:rsidRPr="00857BDC" w:rsidRDefault="00E02B17" w:rsidP="00E02B17">
      <w:pPr>
        <w:pStyle w:val="Prrafodelista"/>
        <w:tabs>
          <w:tab w:val="left" w:pos="0"/>
        </w:tabs>
        <w:spacing w:before="240" w:after="240" w:line="360" w:lineRule="auto"/>
        <w:ind w:left="0"/>
        <w:jc w:val="both"/>
        <w:rPr>
          <w:rFonts w:ascii="Palatino Linotype" w:hAnsi="Palatino Linotype"/>
        </w:rPr>
      </w:pPr>
    </w:p>
    <w:p w:rsidR="00A55BA0" w:rsidRPr="00857BDC" w:rsidRDefault="00A55BA0" w:rsidP="00A55BA0">
      <w:pPr>
        <w:pStyle w:val="Ttulo2"/>
        <w:rPr>
          <w:rFonts w:ascii="Palatino Linotype" w:hAnsi="Palatino Linotype"/>
          <w:b/>
          <w:color w:val="auto"/>
          <w:sz w:val="24"/>
          <w:szCs w:val="24"/>
        </w:rPr>
      </w:pPr>
      <w:bookmarkStart w:id="89" w:name="_Toc25180693"/>
      <w:r w:rsidRPr="00857BDC">
        <w:rPr>
          <w:rFonts w:ascii="Palatino Linotype" w:hAnsi="Palatino Linotype"/>
          <w:b/>
          <w:color w:val="auto"/>
          <w:sz w:val="24"/>
          <w:szCs w:val="24"/>
        </w:rPr>
        <w:t>SEGUNDO. De la oportunidad y procedencia.</w:t>
      </w:r>
      <w:bookmarkEnd w:id="89"/>
    </w:p>
    <w:p w:rsidR="00E02B17" w:rsidRPr="00857BDC" w:rsidRDefault="00E02B17" w:rsidP="00E02B17">
      <w:pPr>
        <w:rPr>
          <w:rFonts w:ascii="Palatino Linotype" w:hAnsi="Palatino Linotype"/>
          <w:lang w:val="es-MX" w:eastAsia="en-US"/>
        </w:rPr>
      </w:pPr>
    </w:p>
    <w:p w:rsidR="00E02B17" w:rsidRPr="00857BDC" w:rsidRDefault="00E02B17" w:rsidP="00E02B17">
      <w:pPr>
        <w:rPr>
          <w:rFonts w:ascii="Palatino Linotype" w:hAnsi="Palatino Linotype"/>
          <w:lang w:val="es-MX" w:eastAsia="en-US"/>
        </w:rPr>
      </w:pPr>
    </w:p>
    <w:p w:rsidR="00E02B17" w:rsidRPr="00857BDC" w:rsidRDefault="00E02B17" w:rsidP="00E02B17">
      <w:pPr>
        <w:numPr>
          <w:ilvl w:val="0"/>
          <w:numId w:val="2"/>
        </w:numPr>
        <w:spacing w:before="240" w:after="240" w:line="360" w:lineRule="auto"/>
        <w:ind w:left="0" w:right="49" w:firstLine="0"/>
        <w:contextualSpacing/>
        <w:jc w:val="both"/>
        <w:rPr>
          <w:rFonts w:ascii="Palatino Linotype" w:eastAsia="MS Mincho" w:hAnsi="Palatino Linotype" w:cs="Times New Roman"/>
          <w:b/>
          <w:i/>
        </w:rPr>
      </w:pPr>
      <w:r w:rsidRPr="00857BDC">
        <w:rPr>
          <w:rFonts w:ascii="Palatino Linotype" w:eastAsia="Calibri" w:hAnsi="Palatino Linotype" w:cs="Arial"/>
        </w:rPr>
        <w:t xml:space="preserve">El medio de impugnación fue presentado a través del Sistema de Acceso a la Información Mexiquense </w:t>
      </w:r>
      <w:r w:rsidRPr="00857BDC">
        <w:rPr>
          <w:rFonts w:ascii="Palatino Linotype" w:eastAsia="Calibri" w:hAnsi="Palatino Linotype" w:cs="Arial"/>
          <w:b/>
        </w:rPr>
        <w:t>(SAIMEX),</w:t>
      </w:r>
      <w:r w:rsidRPr="00857BDC">
        <w:rPr>
          <w:rFonts w:ascii="Palatino Linotype" w:eastAsia="Calibri" w:hAnsi="Palatino Linotype" w:cs="Arial"/>
        </w:rPr>
        <w:t xml:space="preserve"> en el formato previamente aprobado y dentro </w:t>
      </w:r>
      <w:r w:rsidRPr="00857BDC">
        <w:rPr>
          <w:rFonts w:ascii="Palatino Linotype" w:eastAsia="Calibri" w:hAnsi="Palatino Linotype" w:cs="Arial"/>
        </w:rPr>
        <w:lastRenderedPageBreak/>
        <w:t xml:space="preserve">del plazo legal de quince días hábiles otorgados para tal efecto; para el caso en particular es de señalar que el </w:t>
      </w:r>
      <w:r w:rsidRPr="00857BDC">
        <w:rPr>
          <w:rFonts w:ascii="Palatino Linotype" w:eastAsia="Calibri" w:hAnsi="Palatino Linotype" w:cs="Arial"/>
          <w:b/>
        </w:rPr>
        <w:t>SUJETO OBLIGADO</w:t>
      </w:r>
      <w:r w:rsidR="00033133" w:rsidRPr="00857BDC">
        <w:rPr>
          <w:rFonts w:ascii="Palatino Linotype" w:eastAsia="Calibri" w:hAnsi="Palatino Linotype" w:cs="Arial"/>
        </w:rPr>
        <w:t xml:space="preserve"> emitió respuesta el día dieciocho</w:t>
      </w:r>
      <w:r w:rsidRPr="00857BDC">
        <w:rPr>
          <w:rFonts w:ascii="Palatino Linotype" w:eastAsia="Calibri" w:hAnsi="Palatino Linotype" w:cs="Arial"/>
        </w:rPr>
        <w:t xml:space="preserve"> (</w:t>
      </w:r>
      <w:r w:rsidR="00033133" w:rsidRPr="00857BDC">
        <w:rPr>
          <w:rFonts w:ascii="Palatino Linotype" w:eastAsia="Calibri" w:hAnsi="Palatino Linotype" w:cs="Arial"/>
        </w:rPr>
        <w:t>18</w:t>
      </w:r>
      <w:r w:rsidRPr="00857BDC">
        <w:rPr>
          <w:rFonts w:ascii="Palatino Linotype" w:eastAsia="Calibri" w:hAnsi="Palatino Linotype" w:cs="Arial"/>
        </w:rPr>
        <w:t>) de</w:t>
      </w:r>
      <w:r w:rsidR="00033133" w:rsidRPr="00857BDC">
        <w:rPr>
          <w:rFonts w:ascii="Palatino Linotype" w:eastAsia="Calibri" w:hAnsi="Palatino Linotype" w:cs="Arial"/>
        </w:rPr>
        <w:t xml:space="preserve"> septiembre </w:t>
      </w:r>
      <w:r w:rsidRPr="00857BDC">
        <w:rPr>
          <w:rFonts w:ascii="Palatino Linotype" w:eastAsia="Calibri" w:hAnsi="Palatino Linotype" w:cs="Arial"/>
        </w:rPr>
        <w:t>de dos mil diecinueve, de tal forma que el plazo para interponer el recurs</w:t>
      </w:r>
      <w:r w:rsidR="00033133" w:rsidRPr="00857BDC">
        <w:rPr>
          <w:rFonts w:ascii="Palatino Linotype" w:eastAsia="Calibri" w:hAnsi="Palatino Linotype" w:cs="Arial"/>
        </w:rPr>
        <w:t xml:space="preserve">o transcurrió del día diecinueve </w:t>
      </w:r>
      <w:r w:rsidRPr="00857BDC">
        <w:rPr>
          <w:rFonts w:ascii="Palatino Linotype" w:eastAsia="Calibri" w:hAnsi="Palatino Linotype" w:cs="Arial"/>
        </w:rPr>
        <w:t>(</w:t>
      </w:r>
      <w:r w:rsidR="00033133" w:rsidRPr="00857BDC">
        <w:rPr>
          <w:rFonts w:ascii="Palatino Linotype" w:eastAsia="Calibri" w:hAnsi="Palatino Linotype" w:cs="Arial"/>
        </w:rPr>
        <w:t>19</w:t>
      </w:r>
      <w:r w:rsidRPr="00857BDC">
        <w:rPr>
          <w:rFonts w:ascii="Palatino Linotype" w:eastAsia="Calibri" w:hAnsi="Palatino Linotype" w:cs="Arial"/>
        </w:rPr>
        <w:t>) de</w:t>
      </w:r>
      <w:r w:rsidR="00033133" w:rsidRPr="00857BDC">
        <w:rPr>
          <w:rFonts w:ascii="Palatino Linotype" w:eastAsia="Calibri" w:hAnsi="Palatino Linotype" w:cs="Arial"/>
        </w:rPr>
        <w:t xml:space="preserve"> septiembre al diez (10) de octubre</w:t>
      </w:r>
      <w:r w:rsidRPr="00857BDC">
        <w:rPr>
          <w:rFonts w:ascii="Palatino Linotype" w:eastAsia="Calibri" w:hAnsi="Palatino Linotype" w:cs="Arial"/>
        </w:rPr>
        <w:t xml:space="preserve"> de dos mil diecinueve; en consecuencia, si el hoy </w:t>
      </w:r>
      <w:r w:rsidRPr="00857BDC">
        <w:rPr>
          <w:rFonts w:ascii="Palatino Linotype" w:eastAsia="Calibri" w:hAnsi="Palatino Linotype" w:cs="Arial"/>
          <w:b/>
        </w:rPr>
        <w:t>RECURRENTE</w:t>
      </w:r>
      <w:r w:rsidRPr="00857BDC">
        <w:rPr>
          <w:rFonts w:ascii="Palatino Linotype" w:eastAsia="Calibri" w:hAnsi="Palatino Linotype" w:cs="Arial"/>
        </w:rPr>
        <w:t xml:space="preserve">  presentó su </w:t>
      </w:r>
      <w:r w:rsidR="00033133" w:rsidRPr="00857BDC">
        <w:rPr>
          <w:rFonts w:ascii="Palatino Linotype" w:eastAsia="Calibri" w:hAnsi="Palatino Linotype" w:cs="Arial"/>
        </w:rPr>
        <w:t xml:space="preserve">inconformidad el día veintitrés </w:t>
      </w:r>
      <w:r w:rsidRPr="00857BDC">
        <w:rPr>
          <w:rFonts w:ascii="Palatino Linotype" w:eastAsia="Calibri" w:hAnsi="Palatino Linotype" w:cs="Arial"/>
        </w:rPr>
        <w:t>(</w:t>
      </w:r>
      <w:r w:rsidR="00033133" w:rsidRPr="00857BDC">
        <w:rPr>
          <w:rFonts w:ascii="Palatino Linotype" w:eastAsia="Calibri" w:hAnsi="Palatino Linotype" w:cs="Arial"/>
        </w:rPr>
        <w:t>23</w:t>
      </w:r>
      <w:r w:rsidRPr="00857BDC">
        <w:rPr>
          <w:rFonts w:ascii="Palatino Linotype" w:eastAsia="Calibri" w:hAnsi="Palatino Linotype" w:cs="Arial"/>
        </w:rPr>
        <w:t>) de septiembre de la presente anualidad, se encuentra dentro de los márgenes temporales previstos en el artículo 178 de la Ley de Transparencia y Acceso a la Información Pública del Estado de México y Municipios vigente.</w:t>
      </w:r>
    </w:p>
    <w:p w:rsidR="00E02B17" w:rsidRPr="00857BDC" w:rsidRDefault="00E02B17" w:rsidP="00E02B17">
      <w:pPr>
        <w:spacing w:before="240" w:after="240" w:line="360" w:lineRule="auto"/>
        <w:ind w:right="49"/>
        <w:contextualSpacing/>
        <w:jc w:val="both"/>
        <w:rPr>
          <w:rFonts w:ascii="Palatino Linotype" w:eastAsia="MS Mincho" w:hAnsi="Palatino Linotype" w:cs="Times New Roman"/>
          <w:b/>
          <w:i/>
        </w:rPr>
      </w:pPr>
    </w:p>
    <w:p w:rsidR="00E02B17" w:rsidRPr="00857BDC" w:rsidRDefault="00E02B17" w:rsidP="00E02B17">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857BDC">
        <w:rPr>
          <w:rFonts w:ascii="Palatino Linotype" w:eastAsia="Calibri" w:hAnsi="Palatino Linotype" w:cs="Times New Roman"/>
          <w:lang w:val="es-ES"/>
        </w:rPr>
        <w:t xml:space="preserve">Por otro lado, de la revisión al expediente electrónico contenido en el sistema </w:t>
      </w:r>
      <w:r w:rsidRPr="00857BDC">
        <w:rPr>
          <w:rFonts w:ascii="Palatino Linotype" w:eastAsia="Calibri" w:hAnsi="Palatino Linotype" w:cs="Times New Roman"/>
          <w:b/>
          <w:lang w:val="es-ES"/>
        </w:rPr>
        <w:t>SAIMEX</w:t>
      </w:r>
      <w:r w:rsidRPr="00857BDC">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857BDC">
        <w:rPr>
          <w:rFonts w:ascii="Palatino Linotype" w:eastAsia="Calibri" w:hAnsi="Palatino Linotype" w:cs="Times New Roman"/>
          <w:b/>
          <w:lang w:val="es-ES"/>
        </w:rPr>
        <w:t>RECURRENTE</w:t>
      </w:r>
      <w:r w:rsidRPr="00857BDC">
        <w:rPr>
          <w:rFonts w:ascii="Palatino Linotype" w:eastAsia="Calibri" w:hAnsi="Palatino Linotype" w:cs="Times New Roman"/>
          <w:lang w:val="es-ES"/>
        </w:rPr>
        <w:t xml:space="preserve"> </w:t>
      </w:r>
      <w:r w:rsidRPr="00857BDC">
        <w:rPr>
          <w:rFonts w:ascii="Palatino Linotype" w:eastAsia="Calibri" w:hAnsi="Palatino Linotype" w:cs="Times New Roman"/>
          <w:b/>
          <w:lang w:val="es-ES"/>
        </w:rPr>
        <w:t>no  proporciona nombre</w:t>
      </w:r>
      <w:r w:rsidR="00033133" w:rsidRPr="00857BDC">
        <w:rPr>
          <w:rFonts w:ascii="Palatino Linotype" w:eastAsia="Calibri" w:hAnsi="Palatino Linotype" w:cs="Times New Roman"/>
          <w:b/>
          <w:lang w:val="es-ES"/>
        </w:rPr>
        <w:t xml:space="preserve"> completo </w:t>
      </w:r>
      <w:r w:rsidRPr="00857BDC">
        <w:rPr>
          <w:rFonts w:ascii="Palatino Linotype" w:eastAsia="Calibri" w:hAnsi="Palatino Linotype" w:cs="Times New Roman"/>
          <w:b/>
          <w:lang w:val="es-ES"/>
        </w:rPr>
        <w:t xml:space="preserve"> para que sea identificada,</w:t>
      </w:r>
      <w:r w:rsidRPr="00857BDC">
        <w:rPr>
          <w:rFonts w:ascii="Palatino Linotype" w:eastAsia="Calibri" w:hAnsi="Palatino Linotype" w:cs="Times New Roman"/>
          <w:lang w:val="es-ES"/>
        </w:rPr>
        <w:t xml:space="preserve"> por lo que no se tiene la certeza sobre su identidad, sin embargo, es importante señalar también que </w:t>
      </w:r>
      <w:r w:rsidRPr="00857BDC">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02B17" w:rsidRPr="00857BDC" w:rsidRDefault="00E02B17" w:rsidP="00E02B17">
      <w:pPr>
        <w:spacing w:line="360" w:lineRule="auto"/>
        <w:ind w:left="720"/>
        <w:contextualSpacing/>
        <w:rPr>
          <w:rFonts w:ascii="Palatino Linotype" w:eastAsia="Calibri" w:hAnsi="Palatino Linotype" w:cs="Times New Roman"/>
          <w:lang w:val="es-ES"/>
        </w:rPr>
      </w:pPr>
    </w:p>
    <w:p w:rsidR="00E02B17" w:rsidRPr="00857BDC" w:rsidRDefault="00E02B17" w:rsidP="00E02B17">
      <w:pPr>
        <w:numPr>
          <w:ilvl w:val="0"/>
          <w:numId w:val="2"/>
        </w:numPr>
        <w:spacing w:line="360" w:lineRule="auto"/>
        <w:ind w:left="0" w:right="49" w:firstLine="0"/>
        <w:contextualSpacing/>
        <w:jc w:val="both"/>
        <w:rPr>
          <w:rFonts w:ascii="Palatino Linotype" w:eastAsia="Calibri" w:hAnsi="Palatino Linotype" w:cs="Arial"/>
          <w:b/>
        </w:rPr>
      </w:pPr>
      <w:r w:rsidRPr="00857BDC">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w:t>
      </w:r>
      <w:r w:rsidRPr="00857BDC">
        <w:rPr>
          <w:rFonts w:ascii="Palatino Linotype" w:eastAsia="Calibri" w:hAnsi="Palatino Linotype" w:cs="Times New Roman"/>
          <w:lang w:val="es-ES"/>
        </w:rPr>
        <w:lastRenderedPageBreak/>
        <w:t>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02B17" w:rsidRPr="00857BDC" w:rsidRDefault="00E02B17" w:rsidP="00E02B17">
      <w:pPr>
        <w:spacing w:line="360" w:lineRule="auto"/>
        <w:ind w:left="720"/>
        <w:contextualSpacing/>
        <w:rPr>
          <w:rFonts w:ascii="Palatino Linotype" w:eastAsia="Calibri" w:hAnsi="Palatino Linotype" w:cs="Times New Roman"/>
          <w:lang w:val="es-ES"/>
        </w:rPr>
      </w:pPr>
    </w:p>
    <w:p w:rsidR="00E02B17" w:rsidRPr="00857BDC" w:rsidRDefault="00E02B17" w:rsidP="00E02B17">
      <w:pPr>
        <w:numPr>
          <w:ilvl w:val="0"/>
          <w:numId w:val="2"/>
        </w:numPr>
        <w:spacing w:line="360" w:lineRule="auto"/>
        <w:ind w:left="0" w:right="49" w:firstLine="0"/>
        <w:contextualSpacing/>
        <w:jc w:val="both"/>
        <w:rPr>
          <w:rFonts w:ascii="Palatino Linotype" w:eastAsia="Calibri" w:hAnsi="Palatino Linotype" w:cs="Arial"/>
          <w:b/>
        </w:rPr>
      </w:pPr>
      <w:r w:rsidRPr="00857BDC">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02B17" w:rsidRPr="00857BDC" w:rsidRDefault="00E02B17" w:rsidP="00E02B17">
      <w:pPr>
        <w:spacing w:line="360" w:lineRule="auto"/>
        <w:ind w:left="720"/>
        <w:contextualSpacing/>
        <w:rPr>
          <w:rFonts w:ascii="Palatino Linotype" w:eastAsia="Calibri" w:hAnsi="Palatino Linotype" w:cs="Times New Roman"/>
          <w:lang w:val="es-ES"/>
        </w:rPr>
      </w:pPr>
    </w:p>
    <w:p w:rsidR="00E02B17" w:rsidRPr="00857BDC" w:rsidRDefault="00E02B17" w:rsidP="00E02B17">
      <w:pPr>
        <w:numPr>
          <w:ilvl w:val="0"/>
          <w:numId w:val="2"/>
        </w:numPr>
        <w:spacing w:line="360" w:lineRule="auto"/>
        <w:ind w:left="0" w:right="49" w:firstLine="0"/>
        <w:contextualSpacing/>
        <w:jc w:val="both"/>
        <w:rPr>
          <w:rFonts w:ascii="Palatino Linotype" w:eastAsia="Calibri" w:hAnsi="Palatino Linotype" w:cs="Arial"/>
          <w:b/>
        </w:rPr>
      </w:pPr>
      <w:r w:rsidRPr="00857BDC">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02B17" w:rsidRPr="00857BDC" w:rsidRDefault="00E02B17" w:rsidP="00E02B17">
      <w:pPr>
        <w:spacing w:line="360" w:lineRule="auto"/>
        <w:ind w:left="720"/>
        <w:contextualSpacing/>
        <w:rPr>
          <w:rFonts w:ascii="Palatino Linotype" w:eastAsia="Times New Roman" w:hAnsi="Palatino Linotype" w:cs="Arial"/>
          <w:lang w:val="es-ES"/>
        </w:rPr>
      </w:pPr>
    </w:p>
    <w:p w:rsidR="00E02B17" w:rsidRPr="00857BDC" w:rsidRDefault="00E02B17" w:rsidP="00E02B17">
      <w:pPr>
        <w:numPr>
          <w:ilvl w:val="0"/>
          <w:numId w:val="2"/>
        </w:numPr>
        <w:spacing w:line="360" w:lineRule="auto"/>
        <w:ind w:left="0" w:right="49" w:firstLine="0"/>
        <w:contextualSpacing/>
        <w:jc w:val="both"/>
        <w:rPr>
          <w:rFonts w:ascii="Palatino Linotype" w:eastAsia="Calibri" w:hAnsi="Palatino Linotype" w:cs="Arial"/>
          <w:b/>
        </w:rPr>
      </w:pPr>
      <w:r w:rsidRPr="00857BDC">
        <w:rPr>
          <w:rFonts w:ascii="Palatino Linotype" w:eastAsia="Times New Roman" w:hAnsi="Palatino Linotype" w:cs="Arial"/>
          <w:lang w:val="es-ES"/>
        </w:rPr>
        <w:t xml:space="preserve">Así, el nombre del solicitante y recurrente no puede ser considerado un requisito indispensable de </w:t>
      </w:r>
      <w:proofErr w:type="spellStart"/>
      <w:r w:rsidRPr="00857BDC">
        <w:rPr>
          <w:rFonts w:ascii="Palatino Linotype" w:eastAsia="Times New Roman" w:hAnsi="Palatino Linotype" w:cs="Arial"/>
          <w:lang w:val="es-ES"/>
        </w:rPr>
        <w:t>procedibilidad</w:t>
      </w:r>
      <w:proofErr w:type="spellEnd"/>
      <w:r w:rsidRPr="00857BDC">
        <w:rPr>
          <w:rFonts w:ascii="Palatino Linotype" w:eastAsia="Times New Roman" w:hAnsi="Palatino Linotype" w:cs="Arial"/>
          <w:lang w:val="es-ES"/>
        </w:rPr>
        <w:t xml:space="preserve"> del recurso de revisión que nos ocupa, ya que el acceso a la información no está condicionado a acreditar algún interés ya </w:t>
      </w:r>
      <w:r w:rsidRPr="00857BDC">
        <w:rPr>
          <w:rFonts w:ascii="Palatino Linotype" w:eastAsia="Times New Roman" w:hAnsi="Palatino Linotype" w:cs="Arial"/>
          <w:lang w:val="es-ES"/>
        </w:rPr>
        <w:lastRenderedPageBreak/>
        <w:t xml:space="preserve">sea jurídico o legítimo, máxime que es un elemento subsanable por este Órgano </w:t>
      </w:r>
      <w:proofErr w:type="spellStart"/>
      <w:r w:rsidRPr="00857BDC">
        <w:rPr>
          <w:rFonts w:ascii="Palatino Linotype" w:eastAsia="Times New Roman" w:hAnsi="Palatino Linotype" w:cs="Arial"/>
          <w:lang w:val="es-ES"/>
        </w:rPr>
        <w:t>Resolutor</w:t>
      </w:r>
      <w:proofErr w:type="spellEnd"/>
      <w:r w:rsidRPr="00857BDC">
        <w:rPr>
          <w:rFonts w:ascii="Palatino Linotype" w:eastAsia="Times New Roman" w:hAnsi="Palatino Linotype" w:cs="Arial"/>
          <w:lang w:val="es-ES"/>
        </w:rPr>
        <w:t>.</w:t>
      </w:r>
    </w:p>
    <w:p w:rsidR="00E02B17" w:rsidRPr="00857BDC" w:rsidRDefault="00E02B17" w:rsidP="00E02B17">
      <w:pPr>
        <w:spacing w:line="360" w:lineRule="auto"/>
        <w:ind w:right="49"/>
        <w:contextualSpacing/>
        <w:jc w:val="both"/>
        <w:rPr>
          <w:rFonts w:ascii="Palatino Linotype" w:eastAsia="Calibri" w:hAnsi="Palatino Linotype" w:cs="Arial"/>
          <w:b/>
        </w:rPr>
      </w:pPr>
    </w:p>
    <w:p w:rsidR="00E02B17" w:rsidRPr="00857BDC" w:rsidRDefault="00E02B17" w:rsidP="00E02B17">
      <w:pPr>
        <w:numPr>
          <w:ilvl w:val="0"/>
          <w:numId w:val="2"/>
        </w:numPr>
        <w:spacing w:before="240" w:after="240" w:line="360" w:lineRule="auto"/>
        <w:ind w:left="0" w:right="49" w:firstLine="0"/>
        <w:contextualSpacing/>
        <w:jc w:val="both"/>
        <w:rPr>
          <w:rFonts w:ascii="Palatino Linotype" w:eastAsia="MS Mincho" w:hAnsi="Palatino Linotype" w:cs="Times New Roman"/>
          <w:b/>
          <w:i/>
        </w:rPr>
      </w:pPr>
      <w:r w:rsidRPr="00857BD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82400" w:rsidRPr="00857BDC" w:rsidRDefault="00EA0917" w:rsidP="00E02B17">
      <w:pPr>
        <w:tabs>
          <w:tab w:val="left" w:pos="4185"/>
        </w:tabs>
        <w:rPr>
          <w:rFonts w:ascii="Palatino Linotype" w:hAnsi="Palatino Linotype"/>
        </w:rPr>
      </w:pPr>
      <w:bookmarkStart w:id="90" w:name="_Toc445745137"/>
      <w:bookmarkStart w:id="91" w:name="_Toc447699318"/>
      <w:bookmarkStart w:id="92" w:name="_Toc452379730"/>
      <w:bookmarkStart w:id="93" w:name="_Toc459195482"/>
      <w:bookmarkStart w:id="94" w:name="_Toc461555892"/>
      <w:bookmarkStart w:id="95" w:name="_Toc462307689"/>
      <w:bookmarkStart w:id="96" w:name="_Toc473628138"/>
      <w:r w:rsidRPr="00857BDC">
        <w:rPr>
          <w:rFonts w:ascii="Palatino Linotype" w:hAnsi="Palatino Linotype"/>
        </w:rPr>
        <w:tab/>
      </w:r>
    </w:p>
    <w:p w:rsidR="00027009" w:rsidRPr="00857BDC" w:rsidRDefault="0054193B" w:rsidP="00A55BA0">
      <w:pPr>
        <w:keepNext/>
        <w:keepLines/>
        <w:spacing w:line="360" w:lineRule="auto"/>
        <w:outlineLvl w:val="0"/>
        <w:rPr>
          <w:rFonts w:ascii="Palatino Linotype" w:eastAsia="Calibri" w:hAnsi="Palatino Linotype" w:cs="Times New Roman"/>
          <w:b/>
          <w:bCs/>
          <w:lang w:val="es-ES"/>
        </w:rPr>
      </w:pPr>
      <w:bookmarkStart w:id="97" w:name="_Toc25180694"/>
      <w:r w:rsidRPr="00857BDC">
        <w:rPr>
          <w:rFonts w:ascii="Palatino Linotype" w:eastAsia="Calibri" w:hAnsi="Palatino Linotype" w:cs="Times New Roman"/>
          <w:b/>
          <w:bCs/>
          <w:lang w:val="es-ES"/>
        </w:rPr>
        <w:t>TERCERO</w:t>
      </w:r>
      <w:r w:rsidR="00B549FD" w:rsidRPr="00857BDC">
        <w:rPr>
          <w:rFonts w:ascii="Palatino Linotype" w:eastAsia="Calibri" w:hAnsi="Palatino Linotype" w:cs="Times New Roman"/>
          <w:b/>
          <w:bCs/>
          <w:lang w:val="es-ES"/>
        </w:rPr>
        <w:t xml:space="preserve">. </w:t>
      </w:r>
      <w:r w:rsidR="00A55BA0" w:rsidRPr="00857BDC">
        <w:rPr>
          <w:rFonts w:ascii="Palatino Linotype" w:eastAsia="Calibri" w:hAnsi="Palatino Linotype" w:cs="Times New Roman"/>
          <w:b/>
          <w:bCs/>
          <w:lang w:val="es-ES"/>
        </w:rPr>
        <w:t xml:space="preserve">Del planteamiento de la </w:t>
      </w:r>
      <w:proofErr w:type="spellStart"/>
      <w:r w:rsidR="00A55BA0" w:rsidRPr="00857BDC">
        <w:rPr>
          <w:rFonts w:ascii="Palatino Linotype" w:eastAsia="Calibri" w:hAnsi="Palatino Linotype" w:cs="Times New Roman"/>
          <w:b/>
          <w:bCs/>
          <w:lang w:val="es-ES"/>
        </w:rPr>
        <w:t>litis</w:t>
      </w:r>
      <w:proofErr w:type="spellEnd"/>
      <w:r w:rsidR="00A55BA0" w:rsidRPr="00857BDC">
        <w:rPr>
          <w:rFonts w:ascii="Palatino Linotype" w:eastAsia="Calibri" w:hAnsi="Palatino Linotype" w:cs="Times New Roman"/>
          <w:b/>
          <w:bCs/>
          <w:lang w:val="es-ES"/>
        </w:rPr>
        <w:t>.</w:t>
      </w:r>
      <w:bookmarkEnd w:id="97"/>
      <w:r w:rsidR="00A55BA0" w:rsidRPr="00857BDC">
        <w:rPr>
          <w:rFonts w:ascii="Palatino Linotype" w:eastAsia="Calibri" w:hAnsi="Palatino Linotype" w:cs="Times New Roman"/>
          <w:b/>
          <w:bCs/>
          <w:lang w:val="es-ES"/>
        </w:rPr>
        <w:t xml:space="preserve"> </w:t>
      </w:r>
    </w:p>
    <w:bookmarkEnd w:id="90"/>
    <w:bookmarkEnd w:id="91"/>
    <w:bookmarkEnd w:id="92"/>
    <w:bookmarkEnd w:id="93"/>
    <w:bookmarkEnd w:id="94"/>
    <w:bookmarkEnd w:id="95"/>
    <w:bookmarkEnd w:id="96"/>
    <w:p w:rsidR="00A55BA0" w:rsidRPr="00857BDC" w:rsidRDefault="00A55BA0" w:rsidP="00F20397">
      <w:pPr>
        <w:pStyle w:val="Prrafodelista"/>
        <w:numPr>
          <w:ilvl w:val="0"/>
          <w:numId w:val="2"/>
        </w:numPr>
        <w:spacing w:before="240" w:after="240" w:line="360" w:lineRule="auto"/>
        <w:ind w:left="0" w:firstLine="0"/>
        <w:jc w:val="both"/>
        <w:rPr>
          <w:rFonts w:ascii="Palatino Linotype" w:hAnsi="Palatino Linotype"/>
          <w:i/>
        </w:rPr>
      </w:pPr>
      <w:r w:rsidRPr="00857BDC">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857BDC">
        <w:rPr>
          <w:rFonts w:ascii="Palatino Linotype" w:eastAsia="Calibri" w:hAnsi="Palatino Linotype" w:cs="Arial"/>
          <w:b/>
          <w:lang w:val="es-ES"/>
        </w:rPr>
        <w:t>Ley de Transparencia y Acceso a la Información Pública del Estado de México y Municipios</w:t>
      </w:r>
      <w:r w:rsidRPr="00857BDC">
        <w:rPr>
          <w:rFonts w:ascii="Palatino Linotype" w:hAnsi="Palatino Linotype" w:cs="Arial"/>
        </w:rPr>
        <w:t xml:space="preserve"> y determinar la confirmación; revocación o modificación; </w:t>
      </w:r>
      <w:proofErr w:type="spellStart"/>
      <w:r w:rsidRPr="00857BDC">
        <w:rPr>
          <w:rFonts w:ascii="Palatino Linotype" w:hAnsi="Palatino Linotype" w:cs="Arial"/>
        </w:rPr>
        <w:t>desechamiento</w:t>
      </w:r>
      <w:proofErr w:type="spellEnd"/>
      <w:r w:rsidRPr="00857BDC">
        <w:rPr>
          <w:rFonts w:ascii="Palatino Linotype" w:hAnsi="Palatino Linotype" w:cs="Arial"/>
        </w:rPr>
        <w:t xml:space="preserve"> o sobreseimiento; y en su caso ordenar la entrega de la información, respecto a las respuestas o falta de ellas de los Sujetos Obligados. </w:t>
      </w:r>
    </w:p>
    <w:p w:rsidR="00A55BA0" w:rsidRPr="00857BDC" w:rsidRDefault="00A55BA0" w:rsidP="00A55BA0">
      <w:pPr>
        <w:pStyle w:val="Prrafodelista"/>
        <w:spacing w:before="240" w:after="240" w:line="360" w:lineRule="auto"/>
        <w:ind w:left="426"/>
        <w:jc w:val="both"/>
        <w:rPr>
          <w:rFonts w:ascii="Palatino Linotype" w:hAnsi="Palatino Linotype"/>
          <w:i/>
        </w:rPr>
      </w:pPr>
    </w:p>
    <w:p w:rsidR="00BE68C3" w:rsidRPr="00857BDC" w:rsidRDefault="00A55BA0" w:rsidP="00BE68C3">
      <w:pPr>
        <w:pStyle w:val="Prrafodelista"/>
        <w:numPr>
          <w:ilvl w:val="0"/>
          <w:numId w:val="2"/>
        </w:numPr>
        <w:spacing w:before="240" w:after="240" w:line="360" w:lineRule="auto"/>
        <w:ind w:left="0" w:firstLine="0"/>
        <w:jc w:val="both"/>
        <w:rPr>
          <w:rFonts w:ascii="Palatino Linotype" w:hAnsi="Palatino Linotype"/>
          <w:i/>
        </w:rPr>
      </w:pPr>
      <w:bookmarkStart w:id="98" w:name="_Toc454968928"/>
      <w:bookmarkStart w:id="99" w:name="_Toc455743517"/>
      <w:bookmarkStart w:id="100" w:name="_Toc458016386"/>
      <w:bookmarkStart w:id="101" w:name="_Toc461555893"/>
      <w:bookmarkStart w:id="102" w:name="_Toc462307690"/>
      <w:bookmarkStart w:id="103" w:name="_Toc475005143"/>
      <w:r w:rsidRPr="00857BDC">
        <w:rPr>
          <w:rFonts w:ascii="Palatino Linotype" w:hAnsi="Palatino Linotype" w:cs="Arial"/>
        </w:rPr>
        <w:t xml:space="preserve">De las constancias </w:t>
      </w:r>
      <w:r w:rsidR="00FC2245" w:rsidRPr="00857BDC">
        <w:rPr>
          <w:rFonts w:ascii="Palatino Linotype" w:hAnsi="Palatino Linotype" w:cs="Arial"/>
        </w:rPr>
        <w:t xml:space="preserve">que obran </w:t>
      </w:r>
      <w:r w:rsidRPr="00857BDC">
        <w:rPr>
          <w:rFonts w:ascii="Palatino Linotype" w:hAnsi="Palatino Linotype" w:cs="Arial"/>
        </w:rPr>
        <w:t>en el expediente al rubro indicado, se desprende que</w:t>
      </w:r>
      <w:r w:rsidR="00FC2245" w:rsidRPr="00857BDC">
        <w:rPr>
          <w:rFonts w:ascii="Palatino Linotype" w:eastAsia="Times New Roman" w:hAnsi="Palatino Linotype"/>
        </w:rPr>
        <w:t xml:space="preserve"> la particular</w:t>
      </w:r>
      <w:r w:rsidR="0054193B" w:rsidRPr="00857BDC">
        <w:rPr>
          <w:rFonts w:ascii="Palatino Linotype" w:eastAsia="Times New Roman" w:hAnsi="Palatino Linotype"/>
        </w:rPr>
        <w:t xml:space="preserve"> </w:t>
      </w:r>
      <w:r w:rsidR="00FC2245" w:rsidRPr="00857BDC">
        <w:rPr>
          <w:rFonts w:ascii="Palatino Linotype" w:eastAsia="Times New Roman" w:hAnsi="Palatino Linotype"/>
        </w:rPr>
        <w:t xml:space="preserve">solicitó </w:t>
      </w:r>
      <w:r w:rsidR="00773714" w:rsidRPr="00857BDC">
        <w:rPr>
          <w:rFonts w:ascii="Palatino Linotype" w:hAnsi="Palatino Linotype"/>
          <w:color w:val="000000"/>
        </w:rPr>
        <w:t>diversa información relacionada con</w:t>
      </w:r>
      <w:r w:rsidR="00033133" w:rsidRPr="00857BDC">
        <w:rPr>
          <w:rFonts w:ascii="Palatino Linotype" w:hAnsi="Palatino Linotype"/>
          <w:color w:val="000000"/>
        </w:rPr>
        <w:t xml:space="preserve"> los cuerpos de guardias referidos en la solicitud</w:t>
      </w:r>
      <w:r w:rsidR="00773714" w:rsidRPr="00857BDC">
        <w:rPr>
          <w:rFonts w:ascii="Palatino Linotype" w:eastAsia="Times New Roman" w:hAnsi="Palatino Linotype"/>
        </w:rPr>
        <w:t xml:space="preserve">, solicitud, </w:t>
      </w:r>
      <w:r w:rsidR="0054193B" w:rsidRPr="00857BDC">
        <w:rPr>
          <w:rFonts w:ascii="Palatino Linotype" w:eastAsia="Times New Roman" w:hAnsi="Palatino Linotype"/>
        </w:rPr>
        <w:t xml:space="preserve">que de acuerdo a las constancias que obran en el Sistema de Acceso a la Información Mexiquense </w:t>
      </w:r>
      <w:r w:rsidR="0054193B" w:rsidRPr="00857BDC">
        <w:rPr>
          <w:rFonts w:ascii="Palatino Linotype" w:eastAsia="Times New Roman" w:hAnsi="Palatino Linotype"/>
          <w:b/>
        </w:rPr>
        <w:t>(SAIMEX)</w:t>
      </w:r>
      <w:r w:rsidR="0054193B" w:rsidRPr="00857BDC">
        <w:rPr>
          <w:rFonts w:ascii="Palatino Linotype" w:eastAsia="Times New Roman" w:hAnsi="Palatino Linotype"/>
        </w:rPr>
        <w:t xml:space="preserve">, no fue atendida </w:t>
      </w:r>
      <w:r w:rsidR="00E02B17" w:rsidRPr="00857BDC">
        <w:rPr>
          <w:rFonts w:ascii="Palatino Linotype" w:eastAsia="Times New Roman" w:hAnsi="Palatino Linotype"/>
        </w:rPr>
        <w:t xml:space="preserve">satisfactoriamente, </w:t>
      </w:r>
      <w:r w:rsidR="00271A96" w:rsidRPr="00857BDC">
        <w:rPr>
          <w:rFonts w:ascii="Palatino Linotype" w:eastAsia="Times New Roman" w:hAnsi="Palatino Linotype"/>
        </w:rPr>
        <w:t>razón p</w:t>
      </w:r>
      <w:r w:rsidR="00033133" w:rsidRPr="00857BDC">
        <w:rPr>
          <w:rFonts w:ascii="Palatino Linotype" w:eastAsia="Times New Roman" w:hAnsi="Palatino Linotype"/>
        </w:rPr>
        <w:t xml:space="preserve">or la que la parte recurrente  </w:t>
      </w:r>
      <w:r w:rsidR="00773714" w:rsidRPr="00857BDC">
        <w:rPr>
          <w:rFonts w:ascii="Palatino Linotype" w:eastAsia="Times New Roman" w:hAnsi="Palatino Linotype"/>
        </w:rPr>
        <w:t>se inconforma</w:t>
      </w:r>
      <w:r w:rsidR="00271A96" w:rsidRPr="00857BDC">
        <w:rPr>
          <w:rFonts w:ascii="Palatino Linotype" w:eastAsia="Times New Roman" w:hAnsi="Palatino Linotype"/>
        </w:rPr>
        <w:t xml:space="preserve"> e interpone el presente recurso de revisión, </w:t>
      </w:r>
      <w:r w:rsidR="00032F2E" w:rsidRPr="00857BDC">
        <w:rPr>
          <w:rFonts w:ascii="Palatino Linotype" w:hAnsi="Palatino Linotype"/>
        </w:rPr>
        <w:t>argumentado como razone</w:t>
      </w:r>
      <w:r w:rsidR="00C04CD2" w:rsidRPr="00857BDC">
        <w:rPr>
          <w:rFonts w:ascii="Palatino Linotype" w:hAnsi="Palatino Linotype"/>
        </w:rPr>
        <w:t xml:space="preserve">s o motivos de inconformidad </w:t>
      </w:r>
      <w:r w:rsidR="00BE68C3" w:rsidRPr="00857BDC">
        <w:rPr>
          <w:rFonts w:ascii="Palatino Linotype" w:hAnsi="Palatino Linotype"/>
        </w:rPr>
        <w:t>l</w:t>
      </w:r>
      <w:r w:rsidR="00E02B17" w:rsidRPr="00857BDC">
        <w:rPr>
          <w:rFonts w:ascii="Palatino Linotype" w:hAnsi="Palatino Linotype"/>
        </w:rPr>
        <w:t xml:space="preserve">a </w:t>
      </w:r>
      <w:r w:rsidR="009D49EC" w:rsidRPr="00857BDC">
        <w:rPr>
          <w:rFonts w:ascii="Palatino Linotype" w:hAnsi="Palatino Linotype"/>
        </w:rPr>
        <w:t>entrega de información que no corresponde c</w:t>
      </w:r>
      <w:r w:rsidR="00033133" w:rsidRPr="00857BDC">
        <w:rPr>
          <w:rFonts w:ascii="Palatino Linotype" w:hAnsi="Palatino Linotype"/>
        </w:rPr>
        <w:t xml:space="preserve">on lo solicitado. </w:t>
      </w:r>
    </w:p>
    <w:p w:rsidR="00A55BA0" w:rsidRPr="00857BDC" w:rsidRDefault="005A480C" w:rsidP="00077AEB">
      <w:pPr>
        <w:numPr>
          <w:ilvl w:val="0"/>
          <w:numId w:val="2"/>
        </w:numPr>
        <w:spacing w:before="240" w:after="240" w:line="360" w:lineRule="auto"/>
        <w:ind w:left="0" w:right="49" w:firstLine="0"/>
        <w:contextualSpacing/>
        <w:jc w:val="both"/>
        <w:rPr>
          <w:rFonts w:ascii="Palatino Linotype" w:eastAsia="MS Mincho" w:hAnsi="Palatino Linotype" w:cs="Arial"/>
        </w:rPr>
      </w:pPr>
      <w:r w:rsidRPr="00857BDC">
        <w:rPr>
          <w:rFonts w:ascii="Palatino Linotype" w:eastAsia="MS Mincho" w:hAnsi="Palatino Linotype" w:cs="Arial"/>
        </w:rPr>
        <w:lastRenderedPageBreak/>
        <w:t xml:space="preserve">Por lo anterior se advierte que el recurso de revisión del que se trata es procedente, toda vez que se actualizan la hipótesis prevista en el artículo 179 </w:t>
      </w:r>
      <w:r w:rsidR="00FB7482" w:rsidRPr="00857BDC">
        <w:rPr>
          <w:rFonts w:ascii="Palatino Linotype" w:eastAsia="MS Mincho" w:hAnsi="Palatino Linotype" w:cs="Times New Roman"/>
          <w:b/>
        </w:rPr>
        <w:t>fracción</w:t>
      </w:r>
      <w:r w:rsidR="00033133" w:rsidRPr="00857BDC">
        <w:rPr>
          <w:rFonts w:ascii="Palatino Linotype" w:eastAsia="MS Mincho" w:hAnsi="Palatino Linotype" w:cs="Times New Roman"/>
          <w:b/>
        </w:rPr>
        <w:t xml:space="preserve"> VI</w:t>
      </w:r>
      <w:r w:rsidRPr="00857BDC">
        <w:rPr>
          <w:rFonts w:ascii="Palatino Linotype" w:eastAsia="MS Mincho" w:hAnsi="Palatino Linotype" w:cs="Times New Roman"/>
          <w:b/>
        </w:rPr>
        <w:t xml:space="preserve"> de la Ley de Transparencia y Acceso a la Información Pública del Estado de México y Municipio</w:t>
      </w:r>
      <w:r w:rsidRPr="00857BDC">
        <w:rPr>
          <w:rFonts w:ascii="Palatino Linotype" w:eastAsia="MS Mincho" w:hAnsi="Palatino Linotype" w:cs="Times New Roman"/>
        </w:rPr>
        <w:t>.</w:t>
      </w:r>
    </w:p>
    <w:p w:rsidR="003136E0" w:rsidRPr="00857BDC" w:rsidRDefault="002572AE" w:rsidP="001A3336">
      <w:pPr>
        <w:pStyle w:val="Ttulo1"/>
        <w:rPr>
          <w:rFonts w:eastAsia="MS Gothic" w:cs="Times New Roman"/>
          <w:szCs w:val="24"/>
        </w:rPr>
      </w:pPr>
      <w:bookmarkStart w:id="104" w:name="_Toc25180695"/>
      <w:bookmarkStart w:id="105" w:name="_Toc499659080"/>
      <w:r w:rsidRPr="00857BDC">
        <w:rPr>
          <w:rFonts w:eastAsia="MS Gothic"/>
          <w:szCs w:val="24"/>
        </w:rPr>
        <w:t>CUARTO</w:t>
      </w:r>
      <w:r w:rsidR="009D49EC" w:rsidRPr="00857BDC">
        <w:rPr>
          <w:rFonts w:eastAsia="MS Gothic"/>
          <w:szCs w:val="24"/>
        </w:rPr>
        <w:t>.</w:t>
      </w:r>
      <w:r w:rsidR="00FB7482" w:rsidRPr="00857BDC">
        <w:rPr>
          <w:rFonts w:eastAsia="MS Gothic"/>
          <w:szCs w:val="24"/>
        </w:rPr>
        <w:t xml:space="preserve"> </w:t>
      </w:r>
      <w:r w:rsidR="00390C2D" w:rsidRPr="00857BDC">
        <w:rPr>
          <w:rFonts w:eastAsia="MS Gothic" w:cs="Times New Roman"/>
          <w:szCs w:val="24"/>
        </w:rPr>
        <w:t>Del estudio y resolución del asunto</w:t>
      </w:r>
      <w:r w:rsidR="001A3336" w:rsidRPr="00857BDC">
        <w:rPr>
          <w:rFonts w:eastAsia="MS Gothic" w:cs="Times New Roman"/>
          <w:szCs w:val="24"/>
        </w:rPr>
        <w:t>.</w:t>
      </w:r>
      <w:bookmarkEnd w:id="104"/>
    </w:p>
    <w:p w:rsidR="00FB7482" w:rsidRPr="00857BDC" w:rsidRDefault="00FB7482" w:rsidP="00FB7482">
      <w:pPr>
        <w:rPr>
          <w:rFonts w:ascii="Palatino Linotype" w:eastAsia="Times New Roman" w:hAnsi="Palatino Linotype"/>
        </w:rPr>
      </w:pPr>
    </w:p>
    <w:p w:rsidR="00FB7482" w:rsidRPr="00857BDC" w:rsidRDefault="00FB7482" w:rsidP="00FB7482">
      <w:pPr>
        <w:numPr>
          <w:ilvl w:val="0"/>
          <w:numId w:val="2"/>
        </w:numPr>
        <w:tabs>
          <w:tab w:val="left" w:pos="66"/>
        </w:tabs>
        <w:spacing w:after="160" w:line="360" w:lineRule="auto"/>
        <w:ind w:left="0" w:firstLine="0"/>
        <w:contextualSpacing/>
        <w:jc w:val="both"/>
        <w:rPr>
          <w:rFonts w:ascii="Palatino Linotype" w:eastAsia="MS Mincho" w:hAnsi="Palatino Linotype" w:cs="Arial"/>
          <w:i/>
          <w:lang w:val="es-MX"/>
        </w:rPr>
      </w:pPr>
      <w:r w:rsidRPr="00857BDC">
        <w:rPr>
          <w:rFonts w:ascii="Palatino Linotype" w:eastAsiaTheme="minorHAnsi" w:hAnsi="Palatino Linotype" w:cs="Arial"/>
          <w:lang w:val="es-MX" w:eastAsia="en-US"/>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857BDC">
        <w:rPr>
          <w:rFonts w:ascii="Palatino Linotype" w:eastAsia="Calibri" w:hAnsi="Palatino Linotype" w:cs="Arial"/>
          <w:lang w:val="es-ES" w:eastAsia="en-US"/>
        </w:rPr>
        <w:t>Ley de Transparencia y Acceso a la Información Pública del Estado de México y Municipios</w:t>
      </w:r>
      <w:r w:rsidRPr="00857BDC">
        <w:rPr>
          <w:rFonts w:ascii="Palatino Linotype" w:eastAsia="Times New Roman" w:hAnsi="Palatino Linotype" w:cs="Arial"/>
          <w:lang w:val="es-ES" w:eastAsia="es-MX"/>
        </w:rPr>
        <w:t>.</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keepNext/>
        <w:keepLines/>
        <w:spacing w:line="360" w:lineRule="auto"/>
        <w:jc w:val="both"/>
        <w:outlineLvl w:val="0"/>
        <w:rPr>
          <w:rFonts w:ascii="Palatino Linotype" w:eastAsia="MS Gothic" w:hAnsi="Palatino Linotype" w:cstheme="majorBidi"/>
          <w:b/>
        </w:rPr>
      </w:pPr>
      <w:bookmarkStart w:id="106" w:name="_Toc25180696"/>
      <w:r w:rsidRPr="00857BDC">
        <w:rPr>
          <w:rFonts w:ascii="Palatino Linotype" w:eastAsia="MS Gothic" w:hAnsi="Palatino Linotype" w:cstheme="majorBidi"/>
          <w:b/>
        </w:rPr>
        <w:t xml:space="preserve">I. </w:t>
      </w:r>
      <w:bookmarkStart w:id="107" w:name="_Toc22889943"/>
      <w:r w:rsidRPr="00857BDC">
        <w:rPr>
          <w:rFonts w:ascii="Palatino Linotype" w:eastAsia="MS Gothic" w:hAnsi="Palatino Linotype" w:cstheme="majorBidi"/>
          <w:b/>
        </w:rPr>
        <w:t>Del Derecho de Acceso a la Información Pública, como instrumento y herramienta de control gubernamental.</w:t>
      </w:r>
      <w:bookmarkEnd w:id="106"/>
      <w:bookmarkEnd w:id="107"/>
      <w:r w:rsidRPr="00857BDC">
        <w:rPr>
          <w:rFonts w:ascii="Palatino Linotype" w:eastAsia="MS Gothic" w:hAnsi="Palatino Linotype" w:cstheme="majorBidi"/>
          <w:b/>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857BDC">
        <w:rPr>
          <w:rFonts w:ascii="Palatino Linotype" w:eastAsia="MS Mincho" w:hAnsi="Palatino Linotype" w:cstheme="majorBidi"/>
        </w:rPr>
        <w:t>artículo 13.1; en el artículo sexto de la Constitución Política de los Estados Unidos Mexicanos y en el artículo quinto de la Particular del Estado de México.</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autoSpaceDE w:val="0"/>
        <w:autoSpaceDN w:val="0"/>
        <w:adjustRightInd w:val="0"/>
        <w:spacing w:after="160" w:line="360" w:lineRule="auto"/>
        <w:ind w:left="0" w:firstLine="0"/>
        <w:contextualSpacing/>
        <w:jc w:val="both"/>
        <w:rPr>
          <w:rFonts w:ascii="Palatino Linotype" w:eastAsiaTheme="minorHAnsi" w:hAnsi="Palatino Linotype"/>
          <w:lang w:val="es-MX" w:eastAsia="en-US"/>
        </w:rPr>
      </w:pPr>
      <w:r w:rsidRPr="00857BDC">
        <w:rPr>
          <w:rFonts w:ascii="Palatino Linotype" w:eastAsia="MS Mincho" w:hAnsi="Palatino Linotype" w:cs="Times New Roman"/>
        </w:rPr>
        <w:lastRenderedPageBreak/>
        <w:t xml:space="preserve">De los dispositivos legales citados, se tiene que, el derecho a la información, es la </w:t>
      </w:r>
      <w:r w:rsidRPr="00857BDC">
        <w:rPr>
          <w:rFonts w:ascii="Palatino Linotype" w:eastAsia="Times New Roman" w:hAnsi="Palatino Linotype" w:cs="Arial"/>
          <w:color w:val="000000" w:themeColor="text1"/>
          <w:lang w:val="es-MX" w:eastAsia="es-MX"/>
        </w:rPr>
        <w:t xml:space="preserve">es la: </w:t>
      </w:r>
      <w:r w:rsidRPr="00857BDC">
        <w:rPr>
          <w:rFonts w:ascii="Palatino Linotype" w:eastAsia="MS Mincho" w:hAnsi="Palatino Linotype" w:cs="Times New Roman"/>
          <w:b/>
          <w:bCs/>
          <w:iCs/>
          <w:lang w:val="es-MX" w:eastAsia="en-US"/>
        </w:rPr>
        <w:t>igualdad de oportunidades para recibir, buscar e impartir información</w:t>
      </w:r>
      <w:r w:rsidRPr="00857BDC">
        <w:rPr>
          <w:rFonts w:ascii="Palatino Linotype" w:eastAsia="MS Mincho" w:hAnsi="Palatino Linotype" w:cs="Times New Roman"/>
          <w:b/>
          <w:bCs/>
          <w:iCs/>
          <w:vertAlign w:val="superscript"/>
          <w:lang w:val="es-MX" w:eastAsia="en-US"/>
        </w:rPr>
        <w:footnoteReference w:id="1"/>
      </w:r>
      <w:r w:rsidRPr="00857BDC">
        <w:rPr>
          <w:rFonts w:ascii="Palatino Linotype" w:eastAsia="MS Mincho" w:hAnsi="Palatino Linotype" w:cs="Times New Roman"/>
          <w:b/>
          <w:bCs/>
          <w:iCs/>
          <w:lang w:val="es-MX" w:eastAsia="en-U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57BDC">
        <w:rPr>
          <w:rFonts w:ascii="Palatino Linotype" w:eastAsia="MS Mincho" w:hAnsi="Palatino Linotype" w:cs="Times New Roman"/>
          <w:b/>
          <w:bCs/>
          <w:iCs/>
          <w:vertAlign w:val="superscript"/>
          <w:lang w:val="es-MX" w:eastAsia="en-US"/>
        </w:rPr>
        <w:footnoteReference w:id="2"/>
      </w:r>
      <w:r w:rsidRPr="00857BDC">
        <w:rPr>
          <w:rFonts w:ascii="Palatino Linotype" w:eastAsia="MS Mincho" w:hAnsi="Palatino Linotype" w:cs="Times New Roman"/>
          <w:b/>
          <w:bCs/>
          <w:iCs/>
          <w:lang w:val="es-MX" w:eastAsia="en-US"/>
        </w:rPr>
        <w:t xml:space="preserve"> que se constituye como una herramienta fundamental para ejercer control democrático de las gestiones estatales, de forma tal que puedan cuestionar, indagar y considerar si se está dando un adecuado cumplimiento de las funciones públicas,</w:t>
      </w:r>
      <w:r w:rsidRPr="00857BDC">
        <w:rPr>
          <w:rFonts w:ascii="Palatino Linotype" w:eastAsia="MS Mincho" w:hAnsi="Palatino Linotype" w:cs="Times New Roman"/>
          <w:b/>
          <w:bCs/>
          <w:iCs/>
          <w:vertAlign w:val="superscript"/>
          <w:lang w:val="es-MX" w:eastAsia="en-US"/>
        </w:rPr>
        <w:footnoteReference w:id="3"/>
      </w:r>
      <w:r w:rsidRPr="00857BDC">
        <w:rPr>
          <w:rFonts w:ascii="Palatino Linotype" w:eastAsia="MS Mincho" w:hAnsi="Palatino Linotype" w:cs="Times New Roman"/>
          <w:b/>
          <w:bCs/>
          <w:iCs/>
          <w:lang w:val="es-MX" w:eastAsia="en-US"/>
        </w:rPr>
        <w:t>fomentando la transparencia de las actividades estatales y promoviendo la responsabilidad de los funcionarios sobre su gestión pública</w:t>
      </w:r>
      <w:r w:rsidRPr="00857BDC">
        <w:rPr>
          <w:rFonts w:ascii="Palatino Linotype" w:eastAsia="MS Mincho" w:hAnsi="Palatino Linotype" w:cs="Times New Roman"/>
          <w:b/>
          <w:bCs/>
          <w:iCs/>
          <w:vertAlign w:val="superscript"/>
          <w:lang w:val="es-MX" w:eastAsia="en-US"/>
        </w:rPr>
        <w:footnoteReference w:id="4"/>
      </w:r>
      <w:r w:rsidRPr="00857BDC">
        <w:rPr>
          <w:rFonts w:ascii="Palatino Linotype" w:eastAsia="MS Mincho" w:hAnsi="Palatino Linotype" w:cs="Times New Roman"/>
          <w:b/>
          <w:bCs/>
          <w:iCs/>
          <w:lang w:val="es-MX" w:eastAsia="en-US"/>
        </w:rPr>
        <w:t xml:space="preserve"> que permite saber qué están haciendo los gobiernos por sus pueblos, sin lo cual la verdad languidecería y la participación en el gobierno permanecería fragmentada</w:t>
      </w:r>
      <w:r w:rsidRPr="00857BDC">
        <w:rPr>
          <w:rFonts w:ascii="Palatino Linotype" w:eastAsia="MS Mincho" w:hAnsi="Palatino Linotype" w:cs="Times New Roman"/>
          <w:b/>
          <w:bCs/>
          <w:iCs/>
          <w:vertAlign w:val="superscript"/>
          <w:lang w:val="es-MX" w:eastAsia="en-US"/>
        </w:rPr>
        <w:footnoteReference w:id="5"/>
      </w:r>
      <w:r w:rsidRPr="00857BDC">
        <w:rPr>
          <w:rFonts w:ascii="Palatino Linotype" w:eastAsia="MS Mincho" w:hAnsi="Palatino Linotype" w:cs="Times New Roman"/>
          <w:b/>
          <w:bCs/>
          <w:iCs/>
          <w:lang w:val="es-MX" w:eastAsia="en-US"/>
        </w:rPr>
        <w:t xml:space="preserve"> ”.</w:t>
      </w:r>
    </w:p>
    <w:p w:rsidR="00FB7482" w:rsidRPr="00857BDC" w:rsidRDefault="00FB7482" w:rsidP="00FB7482">
      <w:pPr>
        <w:autoSpaceDE w:val="0"/>
        <w:autoSpaceDN w:val="0"/>
        <w:adjustRightInd w:val="0"/>
        <w:spacing w:line="360" w:lineRule="auto"/>
        <w:contextualSpacing/>
        <w:jc w:val="both"/>
        <w:rPr>
          <w:rFonts w:ascii="Palatino Linotype" w:eastAsiaTheme="minorHAnsi" w:hAnsi="Palatino Linotype"/>
          <w:lang w:val="es-MX" w:eastAsia="en-US"/>
        </w:rPr>
      </w:pPr>
    </w:p>
    <w:p w:rsidR="00FB7482" w:rsidRPr="00857BDC" w:rsidRDefault="00FB7482" w:rsidP="00FB7482">
      <w:pPr>
        <w:numPr>
          <w:ilvl w:val="0"/>
          <w:numId w:val="2"/>
        </w:numPr>
        <w:spacing w:after="160" w:line="360" w:lineRule="auto"/>
        <w:ind w:left="0" w:firstLine="0"/>
        <w:contextualSpacing/>
        <w:jc w:val="both"/>
        <w:rPr>
          <w:rFonts w:ascii="Palatino Linotype" w:eastAsiaTheme="minorHAnsi" w:hAnsi="Palatino Linotype" w:cs="Arial"/>
          <w:i/>
          <w:color w:val="000000" w:themeColor="text1"/>
          <w:lang w:val="es-MX" w:eastAsia="en-US"/>
        </w:rPr>
      </w:pPr>
      <w:r w:rsidRPr="00857BDC">
        <w:rPr>
          <w:rFonts w:ascii="Palatino Linotype" w:eastAsiaTheme="minorHAnsi" w:hAnsi="Palatino Linotype" w:cs="Arial"/>
          <w:lang w:val="es-MX" w:eastAsia="en-US"/>
        </w:rPr>
        <w:t xml:space="preserve">Ahora bien, para entender los alcances de la información pública se considera importante citar el criterio </w:t>
      </w:r>
      <w:r w:rsidRPr="00857BDC">
        <w:rPr>
          <w:rFonts w:ascii="Palatino Linotype" w:eastAsiaTheme="minorHAnsi" w:hAnsi="Palatino Linotype" w:cs="Arial"/>
          <w:bCs/>
          <w:lang w:val="es-MX" w:eastAsia="es-MX"/>
        </w:rPr>
        <w:t xml:space="preserve">de interpretación en el orden administrativo número 0002-11, emitido por Acuerdo del Pleno de este Instituto de Transparencia y Acceso </w:t>
      </w:r>
      <w:r w:rsidRPr="00857BDC">
        <w:rPr>
          <w:rFonts w:ascii="Palatino Linotype" w:eastAsiaTheme="minorHAnsi" w:hAnsi="Palatino Linotype" w:cs="Arial"/>
          <w:bCs/>
          <w:lang w:val="es-MX" w:eastAsia="es-MX"/>
        </w:rPr>
        <w:lastRenderedPageBreak/>
        <w:t xml:space="preserve">a la Información Pública del Estado de México y Municipios, publicado en el Periódico Oficial del Gobierno del Estado Libre y Soberano de México “Gaceta del Gobierno” el diecinueve de octubre de dos mil once, </w:t>
      </w:r>
      <w:r w:rsidRPr="00857BDC">
        <w:rPr>
          <w:rFonts w:ascii="Palatino Linotype" w:eastAsiaTheme="minorHAnsi" w:hAnsi="Palatino Linotype" w:cs="Arial"/>
          <w:lang w:val="es-MX" w:eastAsia="en-US"/>
        </w:rPr>
        <w:t>cuyo rubro y texto dispone:</w:t>
      </w:r>
    </w:p>
    <w:p w:rsidR="00FB7482" w:rsidRPr="00857BDC" w:rsidRDefault="00FB7482" w:rsidP="00FB7482">
      <w:pPr>
        <w:spacing w:line="360" w:lineRule="auto"/>
        <w:contextualSpacing/>
        <w:jc w:val="both"/>
        <w:rPr>
          <w:rFonts w:ascii="Palatino Linotype" w:eastAsiaTheme="minorHAnsi" w:hAnsi="Palatino Linotype" w:cs="Arial"/>
          <w:i/>
          <w:color w:val="000000" w:themeColor="text1"/>
          <w:lang w:val="es-MX" w:eastAsia="en-US"/>
        </w:rPr>
      </w:pPr>
    </w:p>
    <w:p w:rsidR="00FB7482" w:rsidRPr="00857BDC" w:rsidRDefault="00FB7482" w:rsidP="00FB7482">
      <w:pPr>
        <w:spacing w:line="360" w:lineRule="auto"/>
        <w:contextualSpacing/>
        <w:jc w:val="both"/>
        <w:rPr>
          <w:rFonts w:ascii="Palatino Linotype" w:eastAsiaTheme="minorHAnsi" w:hAnsi="Palatino Linotype" w:cs="Arial"/>
          <w:i/>
          <w:color w:val="000000" w:themeColor="text1"/>
          <w:lang w:val="es-MX" w:eastAsia="en-US"/>
        </w:rPr>
      </w:pPr>
    </w:p>
    <w:p w:rsidR="00FB7482" w:rsidRPr="00857BDC" w:rsidRDefault="00FB7482" w:rsidP="00FB7482">
      <w:pPr>
        <w:autoSpaceDE w:val="0"/>
        <w:autoSpaceDN w:val="0"/>
        <w:adjustRightInd w:val="0"/>
        <w:spacing w:line="360" w:lineRule="auto"/>
        <w:ind w:left="567" w:right="567"/>
        <w:jc w:val="center"/>
        <w:rPr>
          <w:rFonts w:ascii="Palatino Linotype" w:eastAsiaTheme="minorHAnsi" w:hAnsi="Palatino Linotype" w:cs="Arial"/>
          <w:b/>
          <w:iCs/>
          <w:lang w:val="es-MX" w:eastAsia="es-MX"/>
        </w:rPr>
      </w:pPr>
      <w:r w:rsidRPr="00857BDC">
        <w:rPr>
          <w:rFonts w:ascii="Palatino Linotype" w:eastAsiaTheme="minorHAnsi" w:hAnsi="Palatino Linotype" w:cs="Arial"/>
          <w:b/>
          <w:iCs/>
          <w:lang w:val="es-MX" w:eastAsia="es-MX"/>
        </w:rPr>
        <w:t>“CRITERIO 0002-11</w:t>
      </w:r>
    </w:p>
    <w:p w:rsidR="00FB7482" w:rsidRPr="00857BDC" w:rsidRDefault="00FB7482" w:rsidP="00FB7482">
      <w:pPr>
        <w:autoSpaceDE w:val="0"/>
        <w:autoSpaceDN w:val="0"/>
        <w:adjustRightInd w:val="0"/>
        <w:spacing w:line="360" w:lineRule="auto"/>
        <w:ind w:left="567" w:right="567"/>
        <w:jc w:val="both"/>
        <w:rPr>
          <w:rFonts w:ascii="Palatino Linotype" w:eastAsiaTheme="minorHAnsi" w:hAnsi="Palatino Linotype" w:cs="Arial"/>
          <w:iCs/>
          <w:lang w:val="es-MX" w:eastAsia="es-MX"/>
        </w:rPr>
      </w:pPr>
      <w:r w:rsidRPr="00857BDC">
        <w:rPr>
          <w:rFonts w:ascii="Palatino Linotype" w:eastAsiaTheme="minorHAnsi" w:hAnsi="Palatino Linotype" w:cs="Arial"/>
          <w:b/>
          <w:iCs/>
          <w:lang w:val="es-MX" w:eastAsia="es-MX"/>
        </w:rPr>
        <w:t xml:space="preserve">INFORMACIÓN PÚBLICA, CONCEPTO DE, EN MATERIA DE TRANSPARENCIA. INTERPRETACIÓN TEMÁTICA DE LOS ARTÍCULOS 2, FRACCIÓN </w:t>
      </w:r>
      <w:r w:rsidRPr="00857BDC">
        <w:rPr>
          <w:rFonts w:ascii="Palatino Linotype" w:eastAsiaTheme="minorHAnsi" w:hAnsi="Palatino Linotype" w:cs="Arial"/>
          <w:b/>
          <w:bCs/>
          <w:iCs/>
          <w:lang w:val="es-MX" w:eastAsia="es-MX"/>
        </w:rPr>
        <w:t xml:space="preserve">V, XV, Y XVI, </w:t>
      </w:r>
      <w:r w:rsidRPr="00857BDC">
        <w:rPr>
          <w:rFonts w:ascii="Palatino Linotype" w:eastAsiaTheme="minorHAnsi" w:hAnsi="Palatino Linotype" w:cs="Arial"/>
          <w:b/>
          <w:iCs/>
          <w:lang w:val="es-MX" w:eastAsia="es-MX"/>
        </w:rPr>
        <w:t>3, 4,11 Y 41.</w:t>
      </w:r>
      <w:r w:rsidRPr="00857BDC">
        <w:rPr>
          <w:rFonts w:ascii="Palatino Linotype" w:eastAsiaTheme="minorHAnsi" w:hAnsi="Palatino Linotype" w:cs="Arial"/>
          <w:iCs/>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B7482" w:rsidRPr="00857BDC" w:rsidRDefault="00FB7482" w:rsidP="00FB7482">
      <w:pPr>
        <w:autoSpaceDE w:val="0"/>
        <w:autoSpaceDN w:val="0"/>
        <w:adjustRightInd w:val="0"/>
        <w:spacing w:line="360" w:lineRule="auto"/>
        <w:ind w:left="567" w:right="567"/>
        <w:jc w:val="both"/>
        <w:rPr>
          <w:rFonts w:ascii="Palatino Linotype" w:eastAsiaTheme="minorHAnsi" w:hAnsi="Palatino Linotype" w:cs="Arial"/>
          <w:iCs/>
          <w:lang w:val="es-MX" w:eastAsia="es-MX"/>
        </w:rPr>
      </w:pPr>
      <w:r w:rsidRPr="00857BDC">
        <w:rPr>
          <w:rFonts w:ascii="Palatino Linotype" w:eastAsiaTheme="minorHAnsi" w:hAnsi="Palatino Linotype" w:cs="Arial"/>
          <w:iCs/>
          <w:lang w:val="es-MX" w:eastAsia="es-MX"/>
        </w:rPr>
        <w:t>En consecuencia, el acceso a la información se refiere a que se cumplan cualquiera de los siguientes tres supuestos:</w:t>
      </w:r>
    </w:p>
    <w:p w:rsidR="00FB7482" w:rsidRPr="00857BDC" w:rsidRDefault="00FB7482" w:rsidP="00FB7482">
      <w:pPr>
        <w:autoSpaceDE w:val="0"/>
        <w:autoSpaceDN w:val="0"/>
        <w:adjustRightInd w:val="0"/>
        <w:spacing w:line="360" w:lineRule="auto"/>
        <w:ind w:left="567" w:right="567"/>
        <w:jc w:val="both"/>
        <w:rPr>
          <w:rFonts w:ascii="Palatino Linotype" w:eastAsiaTheme="minorHAnsi" w:hAnsi="Palatino Linotype" w:cs="Arial"/>
          <w:iCs/>
          <w:lang w:val="es-MX" w:eastAsia="es-MX"/>
        </w:rPr>
      </w:pPr>
      <w:r w:rsidRPr="00857BDC">
        <w:rPr>
          <w:rFonts w:ascii="Palatino Linotype" w:eastAsiaTheme="minorHAnsi" w:hAnsi="Palatino Linotype" w:cs="Arial"/>
          <w:iCs/>
          <w:lang w:val="es-MX" w:eastAsia="es-MX"/>
        </w:rPr>
        <w:t>Que se trate de información registrada en cualquier soporte documental que, en ejercicio de las atribuciones conferidas, sea generada por los Sujetos Obligados;</w:t>
      </w:r>
    </w:p>
    <w:p w:rsidR="00FB7482" w:rsidRPr="00857BDC" w:rsidRDefault="00FB7482" w:rsidP="00FB7482">
      <w:pPr>
        <w:autoSpaceDE w:val="0"/>
        <w:autoSpaceDN w:val="0"/>
        <w:adjustRightInd w:val="0"/>
        <w:spacing w:line="360" w:lineRule="auto"/>
        <w:ind w:left="567" w:right="567"/>
        <w:jc w:val="both"/>
        <w:rPr>
          <w:rFonts w:ascii="Palatino Linotype" w:eastAsiaTheme="minorHAnsi" w:hAnsi="Palatino Linotype" w:cs="Arial"/>
          <w:iCs/>
          <w:lang w:val="es-MX" w:eastAsia="es-MX"/>
        </w:rPr>
      </w:pPr>
      <w:r w:rsidRPr="00857BDC">
        <w:rPr>
          <w:rFonts w:ascii="Palatino Linotype" w:eastAsiaTheme="minorHAnsi" w:hAnsi="Palatino Linotype" w:cs="Arial"/>
          <w:iCs/>
          <w:lang w:val="es-MX" w:eastAsia="es-MX"/>
        </w:rPr>
        <w:t>Que se trate de información registrada en cualquier soporte documental que, en ejercicio de las atribuciones conferidas, sea administrada por los Sujetos Obligados, y</w:t>
      </w:r>
    </w:p>
    <w:p w:rsidR="00FB7482" w:rsidRPr="00857BDC" w:rsidRDefault="00FB7482" w:rsidP="00FB7482">
      <w:pPr>
        <w:spacing w:line="360" w:lineRule="auto"/>
        <w:ind w:left="567" w:right="567"/>
        <w:jc w:val="both"/>
        <w:rPr>
          <w:rFonts w:ascii="Palatino Linotype" w:eastAsiaTheme="minorHAnsi" w:hAnsi="Palatino Linotype" w:cs="Arial"/>
          <w:iCs/>
          <w:lang w:val="es-MX" w:eastAsia="es-MX"/>
        </w:rPr>
      </w:pPr>
      <w:r w:rsidRPr="00857BDC">
        <w:rPr>
          <w:rFonts w:ascii="Palatino Linotype" w:eastAsiaTheme="minorHAnsi" w:hAnsi="Palatino Linotype" w:cs="Arial"/>
          <w:iCs/>
          <w:lang w:val="es-MX" w:eastAsia="es-MX"/>
        </w:rPr>
        <w:lastRenderedPageBreak/>
        <w:t>Que se trate de información registrada en cualquier soporte documental que, en ejercicio de las atribuciones conferidas, se encuentre en posesión de los Sujetos Obligados.”</w:t>
      </w:r>
    </w:p>
    <w:p w:rsidR="00FB7482" w:rsidRPr="00857BDC" w:rsidRDefault="00FB7482" w:rsidP="00FB7482">
      <w:pPr>
        <w:spacing w:line="360" w:lineRule="auto"/>
        <w:ind w:left="567" w:right="567"/>
        <w:jc w:val="both"/>
        <w:rPr>
          <w:rFonts w:ascii="Palatino Linotype" w:eastAsiaTheme="minorHAnsi" w:hAnsi="Palatino Linotype" w:cs="Arial"/>
          <w:iCs/>
          <w:color w:val="000000" w:themeColor="text1"/>
          <w:lang w:val="es-MX" w:eastAsia="en-US"/>
        </w:rPr>
      </w:pPr>
    </w:p>
    <w:p w:rsidR="00FB7482" w:rsidRPr="00857BDC" w:rsidRDefault="00FB7482" w:rsidP="00FB7482">
      <w:pPr>
        <w:numPr>
          <w:ilvl w:val="0"/>
          <w:numId w:val="2"/>
        </w:numPr>
        <w:spacing w:after="160" w:line="360" w:lineRule="auto"/>
        <w:ind w:left="0" w:firstLine="0"/>
        <w:contextualSpacing/>
        <w:jc w:val="both"/>
        <w:rPr>
          <w:rFonts w:ascii="Palatino Linotype" w:eastAsiaTheme="minorHAnsi" w:hAnsi="Palatino Linotype" w:cs="Arial"/>
          <w:i/>
          <w:color w:val="000000" w:themeColor="text1"/>
          <w:lang w:val="es-MX" w:eastAsia="en-US"/>
        </w:rPr>
      </w:pPr>
      <w:r w:rsidRPr="00857BDC">
        <w:rPr>
          <w:rFonts w:ascii="Palatino Linotype" w:eastAsiaTheme="minorHAnsi" w:hAnsi="Palatino Linotype"/>
          <w:color w:val="000000" w:themeColor="text1"/>
          <w:lang w:val="es-MX" w:eastAsia="en-US"/>
        </w:rPr>
        <w:t xml:space="preserve">En esa virtud, el </w:t>
      </w:r>
      <w:r w:rsidRPr="00857BDC">
        <w:rPr>
          <w:rFonts w:ascii="Palatino Linotype" w:eastAsiaTheme="minorHAnsi" w:hAnsi="Palatino Linotype"/>
          <w:b/>
          <w:bCs/>
          <w:color w:val="000000" w:themeColor="text1"/>
          <w:lang w:val="es-MX" w:eastAsia="en-US"/>
        </w:rPr>
        <w:t>Sujeto Obligado</w:t>
      </w:r>
      <w:r w:rsidRPr="00857BDC">
        <w:rPr>
          <w:rFonts w:ascii="Palatino Linotype" w:eastAsiaTheme="minorHAnsi" w:hAnsi="Palatino Linotype"/>
          <w:color w:val="000000" w:themeColor="text1"/>
          <w:lang w:val="es-MX" w:eastAsia="en-US"/>
        </w:rPr>
        <w:t xml:space="preserve"> está constreñido a entregar los documentos en los que conste la información que sea generada, poseída o administrada en el ejercicio de sus atribuciones a toda persona que lo solicite.</w:t>
      </w:r>
    </w:p>
    <w:p w:rsidR="00FB7482" w:rsidRPr="00857BDC" w:rsidRDefault="00FB7482" w:rsidP="00FB7482">
      <w:pPr>
        <w:spacing w:line="360" w:lineRule="auto"/>
        <w:contextualSpacing/>
        <w:jc w:val="both"/>
        <w:rPr>
          <w:rFonts w:ascii="Palatino Linotype" w:eastAsiaTheme="minorHAnsi" w:hAnsi="Palatino Linotype" w:cs="Arial"/>
          <w:i/>
          <w:color w:val="000000" w:themeColor="text1"/>
          <w:lang w:val="es-MX" w:eastAsia="en-U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En el caso concreto al que nos circunscribimos, se tiene que el derecho de acceso a la información pública y protección de datos personales, se ha ejercido por múltiples personas, a través de diversos </w:t>
      </w:r>
      <w:r w:rsidRPr="00857BDC">
        <w:rPr>
          <w:rFonts w:ascii="Palatino Linotype" w:eastAsia="MS Mincho" w:hAnsi="Palatino Linotype" w:cs="Times New Roman"/>
          <w:b/>
          <w:bCs/>
        </w:rPr>
        <w:t xml:space="preserve">Sujetos Obligados </w:t>
      </w:r>
      <w:r w:rsidRPr="00857BDC">
        <w:rPr>
          <w:rFonts w:ascii="Palatino Linotype" w:eastAsia="MS Mincho" w:hAnsi="Palatino Linotype" w:cs="Times New Roman"/>
        </w:rPr>
        <w:t xml:space="preserve">-tal es el caso particular del </w:t>
      </w:r>
      <w:r w:rsidRPr="00857BDC">
        <w:rPr>
          <w:rFonts w:ascii="Palatino Linotype" w:eastAsia="MS Mincho" w:hAnsi="Palatino Linotype" w:cs="Times New Roman"/>
          <w:b/>
        </w:rPr>
        <w:t>Poder Legislativo</w:t>
      </w:r>
      <w:r w:rsidRPr="00857BDC">
        <w:rPr>
          <w:rFonts w:ascii="Palatino Linotype" w:eastAsia="MS Mincho" w:hAnsi="Palatino Linotype" w:cs="Times New Roman"/>
        </w:rPr>
        <w:t xml:space="preserve">-, con la finalidad de obtener acceso a la información relativa a estos organismos auxiliares de seguridad pública, en razón de que dicha información se presume pública, de tal forma que en estricto apego a los derechos consagrados en nuestra carta magna, el negar acceso a esta información por la incertidumbre derivada de la supuesta incompetencia de las autoridades, no sólo transgrede y viola los valores constitucionales, sino que además contribuye a mantener el estado de opacidad de dichas agrupaciones, respecto a su operación, integración y/o administración.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keepNext/>
        <w:keepLines/>
        <w:spacing w:line="360" w:lineRule="auto"/>
        <w:outlineLvl w:val="0"/>
        <w:rPr>
          <w:rFonts w:ascii="Palatino Linotype" w:eastAsia="MS Gothic" w:hAnsi="Palatino Linotype" w:cstheme="majorBidi"/>
          <w:b/>
        </w:rPr>
      </w:pPr>
      <w:bookmarkStart w:id="108" w:name="_Toc22889944"/>
      <w:bookmarkStart w:id="109" w:name="_Toc25180697"/>
      <w:r w:rsidRPr="00857BDC">
        <w:rPr>
          <w:rFonts w:ascii="Palatino Linotype" w:eastAsia="MS Gothic" w:hAnsi="Palatino Linotype" w:cstheme="majorBidi"/>
          <w:b/>
        </w:rPr>
        <w:t>II. De la Seguridad Pública.</w:t>
      </w:r>
      <w:bookmarkEnd w:id="108"/>
      <w:bookmarkEnd w:id="109"/>
      <w:r w:rsidRPr="00857BDC">
        <w:rPr>
          <w:rFonts w:ascii="Palatino Linotype" w:eastAsia="MS Gothic" w:hAnsi="Palatino Linotype" w:cstheme="majorBidi"/>
          <w:b/>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El tema de seguridad pública es constantemente un objeto de análisis, pues forma parte esencial del bienestar social, de tal forma que un Estado de derecho </w:t>
      </w:r>
      <w:r w:rsidRPr="00857BDC">
        <w:rPr>
          <w:rFonts w:ascii="Palatino Linotype" w:eastAsia="MS Mincho" w:hAnsi="Palatino Linotype" w:cs="Times New Roman"/>
        </w:rPr>
        <w:lastRenderedPageBreak/>
        <w:t xml:space="preserve">debe generar las condiciones que permitan que la sociedad sea cimentada en confianza respecto a sus bienes jurídicos tutelados. El concepto de seguridad, no puede ser consolidado con estrategias y acciones aisladas, por el contrario, se exige la articulación y coordinación </w:t>
      </w:r>
      <w:r w:rsidRPr="00857BDC">
        <w:rPr>
          <w:rFonts w:ascii="Palatino Linotype" w:eastAsia="MS Mincho" w:hAnsi="Palatino Linotype" w:cs="Times New Roman"/>
          <w:color w:val="000000" w:themeColor="text1"/>
        </w:rPr>
        <w:t xml:space="preserve">de los órganos que intervienen en los tres niveles de gobierno a lo cual deben sumarse otras instituciones e inclusive la sociedad civil, por lo que, ante ello se parte de una visión global </w:t>
      </w:r>
      <w:r w:rsidRPr="00857BDC">
        <w:rPr>
          <w:rFonts w:ascii="Palatino Linotype" w:eastAsia="MS Mincho" w:hAnsi="Palatino Linotype" w:cs="Times New Roman"/>
        </w:rPr>
        <w:t xml:space="preserve">e incluyente.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De acuerdo con José Antonio González Fernández, </w:t>
      </w:r>
      <w:r w:rsidRPr="00857BDC">
        <w:rPr>
          <w:rFonts w:ascii="Palatino Linotype" w:eastAsia="MS Mincho" w:hAnsi="Palatino Linotype" w:cs="Times New Roman"/>
          <w:i/>
          <w:iCs/>
        </w:rPr>
        <w:t>“…para definir el concepto de seguridad pública debemos partir del deber del Estado como encargado de vigilar el orden público, garantizar la paz y la seguridad de la comunidad…</w:t>
      </w:r>
      <w:r w:rsidRPr="00857BDC">
        <w:rPr>
          <w:rFonts w:ascii="Palatino Linotype" w:eastAsiaTheme="minorHAnsi" w:hAnsi="Palatino Linotype" w:cs="Arial"/>
          <w:vertAlign w:val="superscript"/>
          <w:lang w:val="es-MX" w:eastAsia="en-US"/>
        </w:rPr>
        <w:footnoteReference w:id="6"/>
      </w:r>
      <w:r w:rsidRPr="00857BDC">
        <w:rPr>
          <w:rFonts w:ascii="Palatino Linotype" w:eastAsia="MS Mincho" w:hAnsi="Palatino Linotype" w:cs="Times New Roman"/>
          <w:i/>
          <w:iCs/>
        </w:rPr>
        <w:t>”</w:t>
      </w:r>
      <w:r w:rsidRPr="00857BDC">
        <w:rPr>
          <w:rFonts w:ascii="Palatino Linotype" w:eastAsia="MS Mincho" w:hAnsi="Palatino Linotype" w:cs="Times New Roman"/>
        </w:rPr>
        <w:t>, y dicha función se relaciona con la preservación de determinados valores tutelados entre los cuales se encuentran los de la vida e integridad de las personas, sus derechos y libertades, el orden y la paz públicos</w:t>
      </w:r>
      <w:r w:rsidRPr="00857BDC">
        <w:rPr>
          <w:rFonts w:ascii="Palatino Linotype" w:eastAsiaTheme="minorHAnsi" w:hAnsi="Palatino Linotype" w:cs="Arial"/>
          <w:vertAlign w:val="superscript"/>
          <w:lang w:val="es-MX" w:eastAsia="en-US"/>
        </w:rPr>
        <w:footnoteReference w:id="7"/>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Es entonces que la seguridad, en su concepción genérica, es concebida como un valor supremo, mientras que la función del Estado, en su especie, corresponde a la seguridad pública como el mecanismo idóneo para alcanzar la realización de ese valor, de tal forma, que el Estado mediante la coordinación de diversas actividades, como prevención, investigación, persecución, sanción de delitos y reinserción de la persona infractora del orden jurídico, salvaguarda la integridad y </w:t>
      </w:r>
      <w:r w:rsidRPr="00857BDC">
        <w:rPr>
          <w:rFonts w:ascii="Palatino Linotype" w:eastAsia="MS Mincho" w:hAnsi="Palatino Linotype" w:cs="Times New Roman"/>
        </w:rPr>
        <w:lastRenderedPageBreak/>
        <w:t xml:space="preserve">derechos de las personas, preserva las libertades y mantiene el orden y la paz públicos.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Lo anterior, permite comprender con mayor claridad la concepción de la seguridad pública definida en el noveno párrafo del artículo 21 de la Constitución Política de los Estados Unidos Mexicanos, en los siguientes términos:</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EA7A77" w:rsidP="00FB7482">
      <w:pPr>
        <w:spacing w:line="360" w:lineRule="auto"/>
        <w:ind w:left="567" w:right="49"/>
        <w:contextualSpacing/>
        <w:jc w:val="both"/>
        <w:rPr>
          <w:rFonts w:ascii="Palatino Linotype" w:eastAsia="MS Mincho" w:hAnsi="Palatino Linotype" w:cs="Times New Roman"/>
          <w:b/>
          <w:bCs/>
          <w:i/>
        </w:rPr>
      </w:pPr>
      <w:r w:rsidRPr="00857BDC">
        <w:rPr>
          <w:rFonts w:ascii="Palatino Linotype" w:eastAsia="MS Mincho" w:hAnsi="Palatino Linotype" w:cs="Times New Roman"/>
          <w:b/>
          <w:bCs/>
          <w:i/>
        </w:rPr>
        <w:t>Artículo 21. (…)</w:t>
      </w:r>
    </w:p>
    <w:p w:rsidR="00FB7482" w:rsidRPr="00857BDC" w:rsidRDefault="00FB7482" w:rsidP="00FB7482">
      <w:pPr>
        <w:spacing w:line="360" w:lineRule="auto"/>
        <w:ind w:left="567" w:right="49"/>
        <w:contextualSpacing/>
        <w:jc w:val="both"/>
        <w:rPr>
          <w:rFonts w:ascii="Palatino Linotype" w:eastAsia="MS Mincho" w:hAnsi="Palatino Linotype" w:cs="Times New Roman"/>
          <w:b/>
          <w:bCs/>
          <w:i/>
        </w:rPr>
      </w:pPr>
    </w:p>
    <w:p w:rsidR="00FB7482" w:rsidRPr="00857BDC" w:rsidRDefault="00EA7A77"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r w:rsidR="00FB7482" w:rsidRPr="00857BDC">
        <w:rPr>
          <w:rFonts w:ascii="Palatino Linotype" w:eastAsiaTheme="minorHAnsi" w:hAnsi="Palatino Linotype"/>
          <w:i/>
          <w:lang w:val="es-MX" w:eastAsia="en-US"/>
        </w:rPr>
        <w:t xml:space="preserve">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Asimismo, en el artículo referido, se establece que las instituciones de seguridad pública, incluyendo la Guardia Nacional, serán de carácter civil, disciplinado y profesional. El Ministerio Público y las instituciones policiales de los </w:t>
      </w:r>
      <w:r w:rsidRPr="00857BDC">
        <w:rPr>
          <w:rFonts w:ascii="Palatino Linotype" w:eastAsia="MS Mincho" w:hAnsi="Palatino Linotype" w:cs="Times New Roman"/>
        </w:rPr>
        <w:lastRenderedPageBreak/>
        <w:t>tres órdenes de gobierno deberán coordinarse entre sí para cumplir los fines de la seguridad pública y conformarán el Sistema Nacional de Seguridad Pública, que estará sujeto a bases mínimas como;</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EA7A77" w:rsidP="00FB7482">
      <w:pPr>
        <w:spacing w:line="360" w:lineRule="auto"/>
        <w:ind w:left="567" w:right="567"/>
        <w:contextualSpacing/>
        <w:jc w:val="both"/>
        <w:rPr>
          <w:rFonts w:ascii="Palatino Linotype" w:eastAsiaTheme="minorHAnsi" w:hAnsi="Palatino Linotype"/>
          <w:b/>
          <w:bCs/>
          <w:i/>
          <w:lang w:val="es-MX" w:eastAsia="en-US"/>
        </w:rPr>
      </w:pPr>
      <w:r w:rsidRPr="00857BDC">
        <w:rPr>
          <w:rFonts w:ascii="Palatino Linotype" w:eastAsiaTheme="minorHAnsi" w:hAnsi="Palatino Linotype"/>
          <w:b/>
          <w:bCs/>
          <w:i/>
          <w:lang w:val="es-MX" w:eastAsia="en-US"/>
        </w:rPr>
        <w:t>“Artículo 21. (…)</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a</w:t>
      </w:r>
      <w:r w:rsidRPr="00857BDC">
        <w:rPr>
          <w:rFonts w:ascii="Palatino Linotype" w:eastAsiaTheme="minorHAnsi" w:hAnsi="Palatino Linotype"/>
          <w:b/>
          <w:bCs/>
          <w:i/>
          <w:lang w:val="es-MX" w:eastAsia="en-US"/>
        </w:rPr>
        <w:t>) 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r w:rsidRPr="00857BDC">
        <w:rPr>
          <w:rFonts w:ascii="Palatino Linotype" w:eastAsiaTheme="minorHAnsi" w:hAnsi="Palatino Linotype"/>
          <w:i/>
          <w:lang w:val="es-MX" w:eastAsia="en-US"/>
        </w:rPr>
        <w:t xml:space="preserve"> [Inciso reformado DOF 29-01-2016]</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 xml:space="preserve">b) 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w:t>
      </w:r>
      <w:proofErr w:type="spellStart"/>
      <w:r w:rsidRPr="00857BDC">
        <w:rPr>
          <w:rFonts w:ascii="Palatino Linotype" w:eastAsiaTheme="minorHAnsi" w:hAnsi="Palatino Linotype"/>
          <w:i/>
          <w:lang w:val="es-MX" w:eastAsia="en-US"/>
        </w:rPr>
        <w:t>criminalísticos</w:t>
      </w:r>
      <w:proofErr w:type="spellEnd"/>
      <w:r w:rsidRPr="00857BDC">
        <w:rPr>
          <w:rFonts w:ascii="Palatino Linotype" w:eastAsiaTheme="minorHAnsi" w:hAnsi="Palatino Linotype"/>
          <w:i/>
          <w:lang w:val="es-MX" w:eastAsia="en-US"/>
        </w:rPr>
        <w:t xml:space="preserve"> y de personal para las instituciones de seguridad pública. Ninguna persona podrá ingresar a las instituciones de seguridad pública si no ha sido debidamente certificada y registrada en el sistema. [Inciso reformado DOF 26-03-2019]</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 xml:space="preserve">c) La formulación de políticas públicas tendientes a prevenir la comisión de delitos. d) Se determinará la participación de la comunidad que coadyuvará, </w:t>
      </w:r>
      <w:r w:rsidRPr="00857BDC">
        <w:rPr>
          <w:rFonts w:ascii="Palatino Linotype" w:eastAsiaTheme="minorHAnsi" w:hAnsi="Palatino Linotype"/>
          <w:i/>
          <w:lang w:val="es-MX" w:eastAsia="en-US"/>
        </w:rPr>
        <w:lastRenderedPageBreak/>
        <w:t xml:space="preserve">entre otros, en los procesos de evaluación de las políticas de prevención del delito, así como de las instituciones de seguridad pública. </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e) Los fondos de ayuda federal para la seguridad pública, a nivel nacional serán aportados a las entidades federativas y municipios para ser destinados exclusivamente a estos fines.</w:t>
      </w:r>
    </w:p>
    <w:p w:rsidR="00FB7482" w:rsidRPr="00857BDC" w:rsidRDefault="00EA7A77"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p>
    <w:p w:rsidR="00FB7482" w:rsidRPr="00857BDC" w:rsidRDefault="00FB7482" w:rsidP="00FB7482">
      <w:pPr>
        <w:spacing w:line="360" w:lineRule="auto"/>
        <w:ind w:right="567"/>
        <w:contextualSpacing/>
        <w:jc w:val="both"/>
        <w:rPr>
          <w:rFonts w:ascii="Palatino Linotype" w:eastAsiaTheme="minorHAnsi" w:hAnsi="Palatino Linotype"/>
          <w:lang w:val="es-MX" w:eastAsia="en-U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En el caso que nos ocupa, se trata de</w:t>
      </w:r>
      <w:r w:rsidR="003C78EB" w:rsidRPr="00857BDC">
        <w:rPr>
          <w:rFonts w:ascii="Palatino Linotype" w:eastAsia="MS Mincho" w:hAnsi="Palatino Linotype" w:cs="Times New Roman"/>
        </w:rPr>
        <w:t xml:space="preserve"> entes</w:t>
      </w:r>
      <w:r w:rsidRPr="00857BDC">
        <w:rPr>
          <w:rFonts w:ascii="Palatino Linotype" w:eastAsia="MS Mincho" w:hAnsi="Palatino Linotype" w:cs="Times New Roman"/>
        </w:rPr>
        <w:t xml:space="preserve"> que realiza actividades que forman parte de dicha función pública, las que se encuentran comprendidas dentro de las competencias locales definidas en la Ley de Seguridad del Estado de México, a través del segundo párrafo del artículo 103 como atribución del Estado que, a través de organismos auxiliares, en este caso, los denominados Cuerpos de Seguridad</w:t>
      </w:r>
      <w:r w:rsidR="003C78EB" w:rsidRPr="00857BDC">
        <w:rPr>
          <w:rFonts w:ascii="Palatino Linotype" w:eastAsia="MS Mincho" w:hAnsi="Palatino Linotype" w:cs="Times New Roman"/>
        </w:rPr>
        <w:t xml:space="preserve"> Auxiliares del Estado de </w:t>
      </w:r>
      <w:proofErr w:type="spellStart"/>
      <w:r w:rsidR="003C78EB" w:rsidRPr="00857BDC">
        <w:rPr>
          <w:rFonts w:ascii="Palatino Linotype" w:eastAsia="MS Mincho" w:hAnsi="Palatino Linotype" w:cs="Times New Roman"/>
        </w:rPr>
        <w:t>Méxic</w:t>
      </w:r>
      <w:proofErr w:type="spellEnd"/>
      <w:r w:rsidRPr="00857BDC">
        <w:rPr>
          <w:rFonts w:ascii="Palatino Linotype" w:eastAsia="MS Mincho" w:hAnsi="Palatino Linotype" w:cs="Times New Roman"/>
        </w:rPr>
        <w:t xml:space="preserve">, organismo que coadyuva a la consumación de los fines perseguidos por el artículo 21 constitucional, pues contribuyen al orden, la paz y tienden a asegurar el respeto a la vida, integridad, derechos y libertades de las personas </w:t>
      </w:r>
      <w:r w:rsidRPr="00857BDC">
        <w:rPr>
          <w:rFonts w:ascii="Palatino Linotype" w:eastAsia="MS Mincho" w:hAnsi="Palatino Linotype" w:cs="Times New Roman"/>
          <w:i/>
        </w:rPr>
        <w:t>al proporcionar</w:t>
      </w:r>
      <w:r w:rsidRPr="00857BDC">
        <w:rPr>
          <w:rFonts w:ascii="Palatino Linotype" w:eastAsia="MS Mincho" w:hAnsi="Palatino Linotype" w:cs="Times New Roman"/>
        </w:rPr>
        <w:t xml:space="preserve"> </w:t>
      </w:r>
      <w:r w:rsidRPr="00857BDC">
        <w:rPr>
          <w:rFonts w:ascii="Palatino Linotype" w:eastAsia="MS Mincho" w:hAnsi="Palatino Linotype" w:cs="Times New Roman"/>
          <w:i/>
        </w:rPr>
        <w:t>servicios de protección, custodia, vigilancia y seguridad a dependencias y organismos públicos, sociedades mercantiles, asociaciones, instituciones educativas y particulares.</w:t>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jc w:val="both"/>
        <w:rPr>
          <w:rFonts w:ascii="Palatino Linotype" w:eastAsia="MS Mincho" w:hAnsi="Palatino Linotype" w:cs="Times New Roman"/>
        </w:rPr>
      </w:pPr>
    </w:p>
    <w:p w:rsidR="00FB7482" w:rsidRPr="00857BDC" w:rsidRDefault="00FB7482" w:rsidP="00FB7482">
      <w:pPr>
        <w:keepNext/>
        <w:keepLines/>
        <w:spacing w:line="360" w:lineRule="auto"/>
        <w:jc w:val="both"/>
        <w:outlineLvl w:val="0"/>
        <w:rPr>
          <w:rFonts w:ascii="Palatino Linotype" w:eastAsia="MS Gothic" w:hAnsi="Palatino Linotype" w:cstheme="majorBidi"/>
          <w:b/>
        </w:rPr>
      </w:pPr>
      <w:bookmarkStart w:id="110" w:name="_Toc22889945"/>
      <w:bookmarkStart w:id="111" w:name="_Toc25180698"/>
      <w:r w:rsidRPr="00857BDC">
        <w:rPr>
          <w:rFonts w:ascii="Palatino Linotype" w:eastAsia="MS Gothic" w:hAnsi="Palatino Linotype" w:cstheme="majorBidi"/>
          <w:b/>
        </w:rPr>
        <w:t>III. De los Cuerpos de Seguridad Auxili</w:t>
      </w:r>
      <w:r w:rsidR="006F7144" w:rsidRPr="00857BDC">
        <w:rPr>
          <w:rFonts w:ascii="Palatino Linotype" w:eastAsia="MS Gothic" w:hAnsi="Palatino Linotype" w:cstheme="majorBidi"/>
          <w:b/>
        </w:rPr>
        <w:t>ares en el</w:t>
      </w:r>
      <w:r w:rsidRPr="00857BDC">
        <w:rPr>
          <w:rFonts w:ascii="Palatino Linotype" w:eastAsia="MS Gothic" w:hAnsi="Palatino Linotype" w:cstheme="majorBidi"/>
          <w:b/>
        </w:rPr>
        <w:t xml:space="preserve"> Estado de México.</w:t>
      </w:r>
      <w:bookmarkEnd w:id="110"/>
      <w:bookmarkEnd w:id="111"/>
      <w:r w:rsidRPr="00857BDC">
        <w:rPr>
          <w:rFonts w:ascii="Palatino Linotype" w:eastAsia="MS Gothic" w:hAnsi="Palatino Linotype" w:cstheme="majorBidi"/>
          <w:b/>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Los Cuerpos de Seguridad Auxiliares del Estado de México, conocidos por sus siglas CUSAEM, son un organismo auxiliar cuya existencia se encuentra </w:t>
      </w:r>
      <w:r w:rsidRPr="00857BDC">
        <w:rPr>
          <w:rFonts w:ascii="Palatino Linotype" w:eastAsia="MS Mincho" w:hAnsi="Palatino Linotype" w:cs="Times New Roman"/>
        </w:rPr>
        <w:lastRenderedPageBreak/>
        <w:t xml:space="preserve">regulada por lo dispuesto en el artículo 103, segundo párrafo de la Ley de Seguridad del Estado de México, el cual señala que: </w:t>
      </w:r>
      <w:r w:rsidRPr="00857BDC">
        <w:rPr>
          <w:rFonts w:ascii="Palatino Linotype" w:eastAsia="MS Mincho" w:hAnsi="Palatino Linotype" w:cs="Times New Roman"/>
          <w:i/>
          <w:iCs/>
        </w:rPr>
        <w:t xml:space="preserve">“El Estado podrá proporcionar servicios de protección, custodia, vigilancia y seguridad a dependencias y organismos públicos, sociedades mercantiles, asociaciones, instituciones educativas y particulares, por conducto de los </w:t>
      </w:r>
      <w:r w:rsidRPr="00857BDC">
        <w:rPr>
          <w:rFonts w:ascii="Palatino Linotype" w:eastAsia="MS Mincho" w:hAnsi="Palatino Linotype" w:cs="Times New Roman"/>
          <w:b/>
          <w:i/>
          <w:iCs/>
        </w:rPr>
        <w:t>organismos</w:t>
      </w:r>
      <w:r w:rsidRPr="00857BDC">
        <w:rPr>
          <w:rFonts w:ascii="Palatino Linotype" w:eastAsia="MS Mincho" w:hAnsi="Palatino Linotype" w:cs="Times New Roman"/>
          <w:i/>
          <w:iCs/>
        </w:rPr>
        <w:t xml:space="preserve"> que se creen con base en las normas legales aplicables, </w:t>
      </w:r>
      <w:r w:rsidRPr="00857BDC">
        <w:rPr>
          <w:rFonts w:ascii="Palatino Linotype" w:eastAsia="MS Mincho" w:hAnsi="Palatino Linotype" w:cs="Times New Roman"/>
          <w:b/>
          <w:i/>
          <w:iCs/>
        </w:rPr>
        <w:t>en su carácter de auxiliares</w:t>
      </w:r>
      <w:r w:rsidRPr="00857BDC">
        <w:rPr>
          <w:rFonts w:ascii="Palatino Linotype" w:eastAsia="MS Mincho" w:hAnsi="Palatino Linotype" w:cs="Times New Roman"/>
          <w:i/>
          <w:iCs/>
        </w:rPr>
        <w:t xml:space="preserve">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r w:rsidRPr="00857BDC">
        <w:rPr>
          <w:rFonts w:ascii="Palatino Linotype" w:eastAsia="MS Mincho" w:hAnsi="Palatino Linotype" w:cs="Times New Roman"/>
          <w:iCs/>
        </w:rPr>
        <w:t>(énfasis añadido)</w:t>
      </w:r>
      <w:r w:rsidRPr="00857BDC">
        <w:rPr>
          <w:rFonts w:ascii="Palatino Linotype" w:eastAsia="MS Mincho" w:hAnsi="Palatino Linotype" w:cs="Times New Roman"/>
          <w:i/>
          <w:iCs/>
        </w:rPr>
        <w:t>.</w:t>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i/>
          <w:iCs/>
        </w:rPr>
      </w:pPr>
      <w:r w:rsidRPr="00857BDC">
        <w:rPr>
          <w:rFonts w:ascii="Palatino Linotype" w:eastAsia="MS Mincho" w:hAnsi="Palatino Linotype" w:cs="Times New Roman"/>
        </w:rPr>
        <w:t xml:space="preserve">Para resolver el presente recurso de revisión y determinar si el sujeto obligado debe contar o no con la información requerida, es necesario entender la naturaleza jurídica de un organismo auxiliar. Al respecto, la Ley Orgánica de la Administración Pública del Estado de México, en su artículo 3 señala que: </w:t>
      </w:r>
      <w:r w:rsidRPr="00857BDC">
        <w:rPr>
          <w:rFonts w:ascii="Palatino Linotype" w:eastAsia="MS Mincho" w:hAnsi="Palatino Linotype" w:cs="Times New Roman"/>
          <w:i/>
          <w:iCs/>
        </w:rPr>
        <w:t xml:space="preserve">“Para el despacho de los asuntos que competen al Poder Ejecutivo, el Gobernador del Estado </w:t>
      </w:r>
      <w:r w:rsidRPr="00857BDC">
        <w:rPr>
          <w:rFonts w:ascii="Palatino Linotype" w:eastAsia="MS Mincho" w:hAnsi="Palatino Linotype" w:cs="Times New Roman"/>
          <w:b/>
          <w:bCs/>
          <w:i/>
          <w:iCs/>
        </w:rPr>
        <w:t xml:space="preserve">se auxiliará de las dependencias, organismos y entidades que </w:t>
      </w:r>
      <w:r w:rsidRPr="00857BDC">
        <w:rPr>
          <w:rFonts w:ascii="Palatino Linotype" w:eastAsia="MS Mincho" w:hAnsi="Palatino Linotype" w:cs="Times New Roman"/>
          <w:bCs/>
          <w:i/>
          <w:iCs/>
        </w:rPr>
        <w:t>señalen la Constitución Política del Estado, la presente Ley, el presupuesto de egresos</w:t>
      </w:r>
      <w:r w:rsidRPr="00857BDC">
        <w:rPr>
          <w:rFonts w:ascii="Palatino Linotype" w:eastAsia="MS Mincho" w:hAnsi="Palatino Linotype" w:cs="Times New Roman"/>
          <w:b/>
          <w:bCs/>
          <w:i/>
          <w:iCs/>
        </w:rPr>
        <w:t xml:space="preserve"> y las demás disposiciones jurídicas vigentes en el Estado” </w:t>
      </w:r>
      <w:r w:rsidRPr="00857BDC">
        <w:rPr>
          <w:rFonts w:ascii="Palatino Linotype" w:eastAsia="MS Mincho" w:hAnsi="Palatino Linotype" w:cs="Times New Roman"/>
          <w:bCs/>
          <w:iCs/>
        </w:rPr>
        <w:t>(énfasis añadido)</w:t>
      </w:r>
      <w:r w:rsidRPr="00857BDC">
        <w:rPr>
          <w:rFonts w:ascii="Palatino Linotype" w:eastAsia="MS Mincho" w:hAnsi="Palatino Linotype" w:cs="Times New Roman"/>
          <w:b/>
          <w:bCs/>
          <w:i/>
          <w:iCs/>
        </w:rPr>
        <w:t>.</w:t>
      </w:r>
      <w:r w:rsidRPr="00857BDC">
        <w:rPr>
          <w:rFonts w:ascii="Palatino Linotype" w:eastAsia="MS Mincho" w:hAnsi="Palatino Linotype" w:cs="Times New Roman"/>
          <w:i/>
          <w:iCs/>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Por su parte, el artículo 45 de la citada ley orgánica establece que: </w:t>
      </w:r>
      <w:bookmarkStart w:id="112" w:name="_Hlk22886355"/>
      <w:r w:rsidRPr="00857BDC">
        <w:rPr>
          <w:rFonts w:ascii="Palatino Linotype" w:eastAsia="MS Mincho" w:hAnsi="Palatino Linotype" w:cs="Times New Roman"/>
          <w:i/>
          <w:iCs/>
        </w:rPr>
        <w:t xml:space="preserve">“Los organismos descentralizados, las empresas de participación estatal y los fideicomisos públicos serán considerados como </w:t>
      </w:r>
      <w:r w:rsidRPr="00857BDC">
        <w:rPr>
          <w:rFonts w:ascii="Palatino Linotype" w:eastAsia="MS Mincho" w:hAnsi="Palatino Linotype" w:cs="Times New Roman"/>
          <w:b/>
          <w:bCs/>
          <w:i/>
          <w:iCs/>
        </w:rPr>
        <w:t xml:space="preserve">organismos auxiliares </w:t>
      </w:r>
      <w:r w:rsidRPr="00857BDC">
        <w:rPr>
          <w:rFonts w:ascii="Palatino Linotype" w:eastAsia="MS Mincho" w:hAnsi="Palatino Linotype" w:cs="Times New Roman"/>
          <w:bCs/>
          <w:i/>
          <w:iCs/>
        </w:rPr>
        <w:t>del Poder Ejecutivo</w:t>
      </w:r>
      <w:r w:rsidRPr="00857BDC">
        <w:rPr>
          <w:rFonts w:ascii="Palatino Linotype" w:eastAsia="MS Mincho" w:hAnsi="Palatino Linotype" w:cs="Times New Roman"/>
          <w:b/>
          <w:bCs/>
          <w:i/>
          <w:iCs/>
        </w:rPr>
        <w:t xml:space="preserve"> y forman parte de la Administración Pública del Estado</w:t>
      </w:r>
      <w:r w:rsidRPr="00857BDC">
        <w:rPr>
          <w:rFonts w:ascii="Palatino Linotype" w:eastAsia="MS Mincho" w:hAnsi="Palatino Linotype" w:cs="Times New Roman"/>
          <w:i/>
          <w:iCs/>
        </w:rPr>
        <w:t>”.</w:t>
      </w:r>
      <w:r w:rsidRPr="00857BDC">
        <w:rPr>
          <w:rFonts w:ascii="Palatino Linotype" w:eastAsia="MS Mincho" w:hAnsi="Palatino Linotype" w:cs="Times New Roman"/>
        </w:rPr>
        <w:t xml:space="preserve"> </w:t>
      </w:r>
      <w:bookmarkEnd w:id="112"/>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Calibri" w:hAnsi="Palatino Linotype"/>
          <w:lang w:val="es-ES"/>
        </w:rPr>
      </w:pPr>
      <w:r w:rsidRPr="00857BDC">
        <w:rPr>
          <w:rFonts w:ascii="Palatino Linotype" w:eastAsia="MS Mincho" w:hAnsi="Palatino Linotype" w:cs="Times New Roman"/>
        </w:rPr>
        <w:t>La Ley de Seguridad Pública del Estado de México es una disposición jurídica vigente en nuestra entidad, la que establece atribuciones para las autoridades del ámbito estatal, a las que alude como el Estado, y de carácter municipal, a las que refiere como los Municipios. Si los Cuerpos de Seguridad Auxiliares del Estado de México, son un organismo auxiliar del Estado en materia de seguridad pública, para brindar los servicios q</w:t>
      </w:r>
      <w:r w:rsidR="005B656B" w:rsidRPr="00857BDC">
        <w:rPr>
          <w:rFonts w:ascii="Palatino Linotype" w:eastAsia="MS Mincho" w:hAnsi="Palatino Linotype" w:cs="Times New Roman"/>
        </w:rPr>
        <w:t>ue previamente se han precisado.</w:t>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Calibri" w:hAnsi="Palatino Linotype" w:cs="Times New Roman"/>
          <w:bCs/>
          <w:lang w:val="es-MX"/>
        </w:rPr>
        <w:t xml:space="preserve">Así las cosas y de acuerdo con lo establecido por el artículo 45 de la Ley Orgánica de la Administración Pública del Estado de México, </w:t>
      </w:r>
      <w:r w:rsidRPr="00857BDC">
        <w:rPr>
          <w:rFonts w:ascii="Palatino Linotype" w:eastAsia="Calibri" w:hAnsi="Palatino Linotype" w:cs="Times New Roman"/>
          <w:bCs/>
          <w:i/>
          <w:lang w:val="es-MX"/>
        </w:rPr>
        <w:t xml:space="preserve">los organismos auxiliares del Poder Ejecutivo forman parte de la Administración Pública del Estado </w:t>
      </w:r>
      <w:r w:rsidRPr="00857BDC">
        <w:rPr>
          <w:rFonts w:ascii="Palatino Linotype" w:eastAsia="Calibri" w:hAnsi="Palatino Linotype" w:cs="Times New Roman"/>
          <w:bCs/>
          <w:lang w:val="es-MX"/>
        </w:rPr>
        <w:t>y pueden ser de tres tipos</w:t>
      </w:r>
      <w:r w:rsidRPr="00857BDC">
        <w:rPr>
          <w:rFonts w:ascii="Palatino Linotype" w:eastAsia="Calibri" w:hAnsi="Palatino Linotype" w:cs="Times New Roman"/>
          <w:bCs/>
          <w:i/>
          <w:iCs/>
        </w:rPr>
        <w:t xml:space="preserve"> organismos descentralizados, empresas de participación estatal y fideicomisos públicos. </w:t>
      </w:r>
      <w:r w:rsidRPr="00857BDC">
        <w:rPr>
          <w:rFonts w:ascii="Palatino Linotype" w:eastAsia="Calibri" w:hAnsi="Palatino Linotype" w:cs="Times New Roman"/>
          <w:bCs/>
        </w:rPr>
        <w:t>Bajo ese diseño institucional deben de ser considerado los cuerpos de seguridad sobre los cuales se requiere información y cuya negativa motivan el recurso de revisión que se resuelve.</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A pesar de que el asunto resulta así de claro y evidente, al parecer, en el diseño de dicho organismo auxiliar, ocurrió algo distinto. Como consecuencia, este Órgano Garante ha enfrentado diversos obstáculos para resolver los recursos de revisión que se han presentado en este tema. De esta manera la posición ha pasado de la sistemática respuesta de los sujetos obligados del ámbito estatal que negaban cualquier contacto e información con relación a dicho organismo auxiliar,</w:t>
      </w:r>
      <w:r w:rsidRPr="00857BDC">
        <w:rPr>
          <w:rFonts w:ascii="Palatino Linotype" w:eastAsia="MS Mincho" w:hAnsi="Palatino Linotype" w:cs="Times New Roman"/>
          <w:vertAlign w:val="superscript"/>
        </w:rPr>
        <w:footnoteReference w:id="8"/>
      </w:r>
      <w:r w:rsidRPr="00857BDC">
        <w:rPr>
          <w:rFonts w:ascii="Palatino Linotype" w:eastAsia="MS Mincho" w:hAnsi="Palatino Linotype" w:cs="Times New Roman"/>
        </w:rPr>
        <w:t xml:space="preserve"> a </w:t>
      </w:r>
      <w:r w:rsidRPr="00857BDC">
        <w:rPr>
          <w:rFonts w:ascii="Palatino Linotype" w:eastAsia="MS Mincho" w:hAnsi="Palatino Linotype" w:cs="Times New Roman"/>
        </w:rPr>
        <w:lastRenderedPageBreak/>
        <w:t>reconocer sólo una relación en casos de desastres,</w:t>
      </w:r>
      <w:r w:rsidRPr="00857BDC">
        <w:rPr>
          <w:rFonts w:ascii="Palatino Linotype" w:eastAsia="MS Mincho" w:hAnsi="Palatino Linotype" w:cs="Times New Roman"/>
          <w:vertAlign w:val="superscript"/>
        </w:rPr>
        <w:footnoteReference w:id="9"/>
      </w:r>
      <w:r w:rsidRPr="00857BDC">
        <w:rPr>
          <w:rFonts w:ascii="Palatino Linotype" w:eastAsia="MS Mincho" w:hAnsi="Palatino Linotype" w:cs="Times New Roman"/>
        </w:rPr>
        <w:t xml:space="preserve"> hasta –en los más recientes casos–, reconocer relaciones entre dicho organismo con el Instituto de Seguridad Social del Estado de México y Municipios</w:t>
      </w:r>
      <w:r w:rsidRPr="00857BDC">
        <w:rPr>
          <w:rFonts w:ascii="Palatino Linotype" w:eastAsia="MS Mincho" w:hAnsi="Palatino Linotype" w:cs="Times New Roman"/>
          <w:vertAlign w:val="superscript"/>
        </w:rPr>
        <w:footnoteReference w:id="10"/>
      </w:r>
      <w:r w:rsidRPr="00857BDC">
        <w:rPr>
          <w:rFonts w:ascii="Palatino Linotype" w:eastAsia="MS Mincho" w:hAnsi="Palatino Linotype" w:cs="Times New Roman"/>
        </w:rPr>
        <w:t xml:space="preserve"> o dando cuenta de los elementos que lo integran y demás información estadística</w:t>
      </w:r>
      <w:r w:rsidRPr="00857BDC">
        <w:rPr>
          <w:rFonts w:ascii="Palatino Linotype" w:eastAsia="MS Mincho" w:hAnsi="Palatino Linotype" w:cs="Times New Roman"/>
          <w:vertAlign w:val="superscript"/>
        </w:rPr>
        <w:footnoteReference w:id="11"/>
      </w:r>
      <w:r w:rsidRPr="00857BDC">
        <w:rPr>
          <w:rFonts w:ascii="Palatino Linotype" w:eastAsia="MS Mincho" w:hAnsi="Palatino Linotype" w:cs="Times New Roman"/>
        </w:rPr>
        <w:t>. Sin embargo, en casos como el que ahora se an</w:t>
      </w:r>
      <w:r w:rsidR="005B656B" w:rsidRPr="00857BDC">
        <w:rPr>
          <w:rFonts w:ascii="Palatino Linotype" w:eastAsia="MS Mincho" w:hAnsi="Palatino Linotype" w:cs="Times New Roman"/>
        </w:rPr>
        <w:t>aliza, el Órgano Superior de Fiscalización del Estado de México pretende nega</w:t>
      </w:r>
      <w:r w:rsidRPr="00857BDC">
        <w:rPr>
          <w:rFonts w:ascii="Palatino Linotype" w:eastAsia="MS Mincho" w:hAnsi="Palatino Linotype" w:cs="Times New Roman"/>
        </w:rPr>
        <w:t>r la existencia de información relacionada con este organismo, el número de sus elementos y sus ingresos. Razón por la cual resulta relevante analizar con mayor profundidad el marco normativo de obligada aplicación al respecto.</w:t>
      </w:r>
    </w:p>
    <w:p w:rsidR="00EB01A7" w:rsidRPr="00857BDC" w:rsidRDefault="00EB01A7" w:rsidP="00EB01A7">
      <w:pPr>
        <w:spacing w:after="160" w:line="360" w:lineRule="auto"/>
        <w:ind w:right="49"/>
        <w:contextualSpacing/>
        <w:jc w:val="both"/>
        <w:rPr>
          <w:rFonts w:ascii="Palatino Linotype" w:eastAsia="MS Mincho" w:hAnsi="Palatino Linotype" w:cs="Times New Roman"/>
        </w:rPr>
      </w:pPr>
    </w:p>
    <w:p w:rsidR="00FB7482" w:rsidRPr="00857BDC" w:rsidRDefault="00FB7482" w:rsidP="00FB7482">
      <w:pPr>
        <w:keepNext/>
        <w:keepLines/>
        <w:spacing w:line="360" w:lineRule="auto"/>
        <w:jc w:val="both"/>
        <w:outlineLvl w:val="0"/>
        <w:rPr>
          <w:rFonts w:ascii="Palatino Linotype" w:eastAsia="MS Gothic" w:hAnsi="Palatino Linotype" w:cstheme="majorBidi"/>
          <w:b/>
        </w:rPr>
      </w:pPr>
      <w:bookmarkStart w:id="113" w:name="_Toc22889946"/>
      <w:bookmarkStart w:id="114" w:name="_Toc25180699"/>
      <w:r w:rsidRPr="00857BDC">
        <w:rPr>
          <w:rFonts w:ascii="Palatino Linotype" w:eastAsia="MS Gothic" w:hAnsi="Palatino Linotype" w:cstheme="majorBidi"/>
          <w:b/>
        </w:rPr>
        <w:t>IV. De la naturaleza de los Cuerpos de Seguridad Auxiliares del Estado de México (CUSAEM).</w:t>
      </w:r>
      <w:bookmarkEnd w:id="113"/>
      <w:bookmarkEnd w:id="114"/>
      <w:r w:rsidRPr="00857BDC">
        <w:rPr>
          <w:rFonts w:ascii="Palatino Linotype" w:eastAsia="MS Gothic" w:hAnsi="Palatino Linotype" w:cstheme="majorBidi"/>
          <w:b/>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Como anteriormente se estableció, las actividades que desempeñan estos Cuerpos de Seguridad forman parte de los componentes de la función de seguridad pública definidos en el artículo 21 constitucional, aterrizadas en nuestra entidad a través de la Ley de Seguridad del Estado de México, específicamente del segundo y tercer párrafo del artículo 103, el cual a la letra señala que: </w:t>
      </w:r>
    </w:p>
    <w:p w:rsidR="00FB7482" w:rsidRPr="00857BDC" w:rsidRDefault="00FB7482" w:rsidP="00FB7482">
      <w:pPr>
        <w:spacing w:line="360" w:lineRule="auto"/>
        <w:ind w:right="49"/>
        <w:contextualSpacing/>
        <w:jc w:val="both"/>
        <w:rPr>
          <w:rFonts w:ascii="Palatino Linotype" w:eastAsia="MS Mincho" w:hAnsi="Palatino Linotype" w:cs="Times New Roman"/>
          <w:i/>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r w:rsidRPr="00857BDC">
        <w:rPr>
          <w:rFonts w:ascii="Palatino Linotype" w:eastAsiaTheme="minorHAnsi" w:hAnsi="Palatino Linotype"/>
          <w:b/>
          <w:bCs/>
          <w:i/>
          <w:lang w:val="es-MX" w:eastAsia="en-US"/>
        </w:rPr>
        <w:t>Artículo 103.</w:t>
      </w:r>
      <w:r w:rsidRPr="00857BDC">
        <w:rPr>
          <w:rFonts w:ascii="Palatino Linotype" w:eastAsiaTheme="minorHAnsi" w:hAnsi="Palatino Linotype"/>
          <w:i/>
          <w:lang w:val="es-MX" w:eastAsia="en-US"/>
        </w:rPr>
        <w:t xml:space="preserve"> …</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b/>
          <w:bCs/>
          <w:i/>
          <w:lang w:val="es-MX" w:eastAsia="en-US"/>
        </w:rPr>
      </w:pPr>
      <w:r w:rsidRPr="00857BDC">
        <w:rPr>
          <w:rFonts w:ascii="Palatino Linotype" w:eastAsiaTheme="minorHAnsi" w:hAnsi="Palatino Linotype"/>
          <w:b/>
          <w:bCs/>
          <w:i/>
          <w:lang w:val="es-MX" w:eastAsia="en-US"/>
        </w:rPr>
        <w:lastRenderedPageBreak/>
        <w:t>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 xml:space="preserve">El personal que integre los organismos antes referidos deberá sujetarse a las disposiciones que establece esta Ley en materia de desarrollo policial, así como someterse a las evaluaciones para contar con la certificación respectiva”.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Por lo que, las actividades de protección, custodia, vigilancia y seguridad señaladas en la sección anterior además de formar parte de la función general de seguridad pública a cargo del Estado, corresponden a un tema de prestación de servicios que tienen un común denominador, </w:t>
      </w:r>
      <w:r w:rsidRPr="00857BDC">
        <w:rPr>
          <w:rFonts w:ascii="Palatino Linotype" w:eastAsia="MS Mincho" w:hAnsi="Palatino Linotype" w:cs="Times New Roman"/>
          <w:b/>
          <w:bCs/>
        </w:rPr>
        <w:t>el Estado</w:t>
      </w:r>
      <w:r w:rsidRPr="00857BDC">
        <w:rPr>
          <w:rFonts w:ascii="Palatino Linotype" w:eastAsia="MS Mincho" w:hAnsi="Palatino Linotype" w:cs="Times New Roman"/>
        </w:rPr>
        <w:t xml:space="preserve">; el cual las puede proporcionar a </w:t>
      </w:r>
      <w:r w:rsidRPr="00857BDC">
        <w:rPr>
          <w:rFonts w:ascii="Palatino Linotype" w:eastAsiaTheme="minorHAnsi" w:hAnsi="Palatino Linotype"/>
          <w:lang w:val="es-MX" w:eastAsia="en-US"/>
        </w:rPr>
        <w:t xml:space="preserve">través de </w:t>
      </w:r>
      <w:r w:rsidRPr="00857BDC">
        <w:rPr>
          <w:rFonts w:ascii="Palatino Linotype" w:eastAsiaTheme="minorHAnsi" w:hAnsi="Palatino Linotype"/>
          <w:b/>
          <w:lang w:val="es-MX" w:eastAsia="en-US"/>
        </w:rPr>
        <w:t>organismos</w:t>
      </w:r>
      <w:r w:rsidRPr="00857BDC">
        <w:rPr>
          <w:rFonts w:ascii="Palatino Linotype" w:eastAsiaTheme="minorHAnsi" w:hAnsi="Palatino Linotype"/>
          <w:lang w:val="es-MX" w:eastAsia="en-US"/>
        </w:rPr>
        <w:t xml:space="preserve"> </w:t>
      </w:r>
      <w:r w:rsidRPr="00857BDC">
        <w:rPr>
          <w:rFonts w:ascii="Palatino Linotype" w:eastAsiaTheme="minorHAnsi" w:hAnsi="Palatino Linotype"/>
          <w:b/>
          <w:bCs/>
          <w:lang w:val="es-MX" w:eastAsia="en-US"/>
        </w:rPr>
        <w:t xml:space="preserve">auxiliares de la función de seguridad pública.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Como se ha señalado antes, el artículo 3 de la Ley Orgánica de la Administración Pública del Estado de México, reconoce como organismos a los </w:t>
      </w:r>
      <w:r w:rsidRPr="00857BDC">
        <w:rPr>
          <w:rFonts w:ascii="Palatino Linotype" w:eastAsia="MS Mincho" w:hAnsi="Palatino Linotype" w:cs="Times New Roman"/>
        </w:rPr>
        <w:lastRenderedPageBreak/>
        <w:t xml:space="preserve">creados </w:t>
      </w:r>
      <w:r w:rsidRPr="00857BDC">
        <w:rPr>
          <w:rFonts w:ascii="Palatino Linotype" w:eastAsia="MS Mincho" w:hAnsi="Palatino Linotype" w:cs="Times New Roman"/>
          <w:b/>
        </w:rPr>
        <w:t>en las disposiciones jurídicas vigentes,</w:t>
      </w:r>
      <w:r w:rsidRPr="00857BDC">
        <w:rPr>
          <w:rFonts w:ascii="Palatino Linotype" w:eastAsia="MS Mincho" w:hAnsi="Palatino Linotype" w:cs="Times New Roman"/>
        </w:rPr>
        <w:t xml:space="preserve"> siendo la Ley de Seguridad del Estado de México, una disposición jurídica vigente, los organismos auxiliares del estado, concebidos en su artículo 103 para que el Estado pueda brindar los servicios de protección, custodia, vigilancia y seguridad deben corresponderse a cualquiera de las tres modalidades descritas en el artículo 45 de la Ley Orgánica de la Administración Pública del Estado de México.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Pero </w:t>
      </w:r>
      <w:r w:rsidR="00C97FA3" w:rsidRPr="00857BDC">
        <w:rPr>
          <w:rFonts w:ascii="Palatino Linotype" w:eastAsia="MS Mincho" w:hAnsi="Palatino Linotype" w:cs="Times New Roman"/>
        </w:rPr>
        <w:t>aun</w:t>
      </w:r>
      <w:r w:rsidRPr="00857BDC">
        <w:rPr>
          <w:rFonts w:ascii="Palatino Linotype" w:eastAsia="MS Mincho" w:hAnsi="Palatino Linotype" w:cs="Times New Roman"/>
        </w:rPr>
        <w:t xml:space="preserve"> cuando la hipótesis jurídica se encuentra perfectamente establecida y es claramente aplicable al caso en proceso de solución, es necesario confirmar si, efecto, dicho organismo auxiliar es un organismo de naturaleza pública en cualquiera de sus modalidades o no, para entonces apreciar si se encuentra sujeto al control y supervisión de las instituciones públicas. En caso de que esto sea así, la presunción de existencia de la información tendría consecuencias distintas a las hasta ahora consideradas. Siendo eso lo que se resuelve a continuación.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Para ello, es indispensable nuevamente traer a colación el fragmento del artículo 103, segundo párrafo de la Ley de Seguridad del Estado de México que señala que: </w:t>
      </w:r>
      <w:r w:rsidRPr="00857BDC">
        <w:rPr>
          <w:rFonts w:ascii="Palatino Linotype" w:eastAsia="MS Mincho" w:hAnsi="Palatino Linotype" w:cs="Times New Roman"/>
          <w:i/>
          <w:iCs/>
        </w:rPr>
        <w:t xml:space="preserve">“…Su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Luego entonces, no es el propio organismo auxiliar el que por sí mismo determina su organización, funcionamiento y tarifa, ya que el mismo artículo 103 </w:t>
      </w:r>
      <w:r w:rsidRPr="00857BDC">
        <w:rPr>
          <w:rFonts w:ascii="Palatino Linotype" w:eastAsia="MS Mincho" w:hAnsi="Palatino Linotype" w:cs="Times New Roman"/>
        </w:rPr>
        <w:lastRenderedPageBreak/>
        <w:t xml:space="preserve">dispone que el </w:t>
      </w:r>
      <w:r w:rsidRPr="00857BDC">
        <w:rPr>
          <w:rFonts w:ascii="Palatino Linotype" w:eastAsia="MS Mincho" w:hAnsi="Palatino Linotype" w:cs="Times New Roman"/>
          <w:b/>
          <w:bCs/>
        </w:rPr>
        <w:t>organismo se encuentra sujeto a las disposiciones administrativas que emitan las dependencias del Gobierno del Estado competentes y a los sistemas de control y fiscalización a cargo de las instancias competentes</w:t>
      </w:r>
      <w:r w:rsidRPr="00857BDC">
        <w:rPr>
          <w:rFonts w:ascii="Palatino Linotype" w:eastAsia="MS Mincho" w:hAnsi="Palatino Linotype" w:cs="Times New Roman"/>
        </w:rPr>
        <w:t>.</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bookmarkStart w:id="115" w:name="_Hlk22886466"/>
      <w:r w:rsidRPr="00857BDC">
        <w:rPr>
          <w:rFonts w:ascii="Palatino Linotype" w:eastAsia="MS Mincho" w:hAnsi="Palatino Linotype" w:cs="Times New Roman"/>
        </w:rPr>
        <w:t xml:space="preserve">Por lo tanto, si el organismo no tiene autonomía para gobernarse y depende del propio sector público, </w:t>
      </w:r>
      <w:r w:rsidRPr="00857BDC">
        <w:rPr>
          <w:rFonts w:ascii="Palatino Linotype" w:eastAsia="MS Mincho" w:hAnsi="Palatino Linotype" w:cs="Times New Roman"/>
          <w:b/>
          <w:bCs/>
        </w:rPr>
        <w:t>su esquema de control y fiscalización no es otro que el propio sistema de control y fiscalización del sector público</w:t>
      </w:r>
      <w:bookmarkEnd w:id="115"/>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Por lo anterior, es relevante señalar que, en México, el sistema de fiscalización alcanza a los poderes públicos, a los organismos autónomos, a la administración central, a los organismos descentralizados y a todas las figuras ju</w:t>
      </w:r>
      <w:r w:rsidR="00C97FA3" w:rsidRPr="00857BDC">
        <w:rPr>
          <w:rFonts w:ascii="Palatino Linotype" w:eastAsia="MS Mincho" w:hAnsi="Palatino Linotype" w:cs="Times New Roman"/>
        </w:rPr>
        <w:t>rídicas que puntualiza</w:t>
      </w:r>
      <w:r w:rsidRPr="00857BDC">
        <w:rPr>
          <w:rFonts w:ascii="Palatino Linotype" w:eastAsia="MS Mincho" w:hAnsi="Palatino Linotype" w:cs="Times New Roman"/>
        </w:rPr>
        <w:t xml:space="preserve"> el artículo 45 de la Ley Orgánica de la Administración Pública del Estado de México.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Para sustentar esta consideración, conviene analizar el comportamiento que ha tenido el propio CUSAEM y que permite confirmar que, en efecto se trata de un organismo auxiliar de naturaleza pública.</w:t>
      </w:r>
    </w:p>
    <w:p w:rsidR="00FB7482" w:rsidRPr="00857BDC" w:rsidRDefault="00FB7482" w:rsidP="00FB7482">
      <w:pPr>
        <w:keepNext/>
        <w:keepLines/>
        <w:spacing w:line="360" w:lineRule="auto"/>
        <w:jc w:val="both"/>
        <w:outlineLvl w:val="0"/>
        <w:rPr>
          <w:rFonts w:ascii="Palatino Linotype" w:eastAsia="MS Mincho" w:hAnsi="Palatino Linotype" w:cs="Times New Roman"/>
        </w:rPr>
      </w:pPr>
    </w:p>
    <w:p w:rsidR="00FB7482" w:rsidRPr="00857BDC" w:rsidRDefault="00FB7482" w:rsidP="00FB7482">
      <w:pPr>
        <w:keepNext/>
        <w:keepLines/>
        <w:spacing w:line="360" w:lineRule="auto"/>
        <w:jc w:val="both"/>
        <w:outlineLvl w:val="0"/>
        <w:rPr>
          <w:rFonts w:ascii="Palatino Linotype" w:eastAsia="MS Mincho" w:hAnsi="Palatino Linotype" w:cs="Times New Roman"/>
          <w:b/>
          <w:bCs/>
        </w:rPr>
      </w:pPr>
      <w:bookmarkStart w:id="116" w:name="_Toc22889947"/>
      <w:bookmarkStart w:id="117" w:name="_Toc25180700"/>
      <w:r w:rsidRPr="00857BDC">
        <w:rPr>
          <w:rFonts w:ascii="Palatino Linotype" w:eastAsia="MS Gothic" w:hAnsi="Palatino Linotype" w:cstheme="majorBidi"/>
          <w:b/>
        </w:rPr>
        <w:t>a) Los actos del organismo auxiliar de seguridad pública con otras dependencias gubernamentales.</w:t>
      </w:r>
      <w:bookmarkEnd w:id="116"/>
      <w:bookmarkEnd w:id="117"/>
      <w:r w:rsidRPr="00857BDC">
        <w:rPr>
          <w:rFonts w:ascii="Palatino Linotype" w:eastAsia="MS Gothic" w:hAnsi="Palatino Linotype" w:cstheme="majorBidi"/>
          <w:b/>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Los Cuerpos de Seguridad Auxiliares del Estado de México, han brindado servicios de guarda y custodia de dependencias a través de distintos contratos, los cuales en términos del artículo 70 la Ley General de Transparencia y Acceso a la </w:t>
      </w:r>
      <w:r w:rsidRPr="00857BDC">
        <w:rPr>
          <w:rFonts w:ascii="Palatino Linotype" w:eastAsia="MS Mincho" w:hAnsi="Palatino Linotype" w:cs="Times New Roman"/>
        </w:rPr>
        <w:lastRenderedPageBreak/>
        <w:t>Información Pública, son una obligación de transparencia común y por ello, diversas dependencias los han publicitado, en dichos contratos, el CUSAEM se ha reivindicado como parte de la administración pública estatal, tal y como lo establece en el contrato firmado por los Cuerpos de Seguridad Auxiliares y el Banco Nacional de Obras y Servicios Públicos S.N.C</w:t>
      </w:r>
      <w:r w:rsidRPr="00857BDC">
        <w:rPr>
          <w:rFonts w:ascii="Palatino Linotype" w:eastAsia="MS Mincho" w:hAnsi="Palatino Linotype" w:cs="Times New Roman"/>
          <w:vertAlign w:val="superscript"/>
        </w:rPr>
        <w:footnoteReference w:id="12"/>
      </w:r>
      <w:r w:rsidRPr="00857BDC">
        <w:rPr>
          <w:rFonts w:ascii="Palatino Linotype" w:eastAsia="MS Mincho" w:hAnsi="Palatino Linotype" w:cs="Times New Roman"/>
        </w:rPr>
        <w:t xml:space="preserve">, instrumento en el que dicho organismo auxiliar emplea el escudo del Estado de México y la cromática y logotipos de la anterior Secretaría de Seguridad Ciudadana del Estado, declarando además que sus integrantes se rigen por el apartado B del artículo 123 de la Constitución Política de los Estados Unidos Mexicanos, que sólo es aplicable precisamente a los trabajadores </w:t>
      </w:r>
      <w:r w:rsidR="00C67E5F">
        <w:rPr>
          <w:rFonts w:ascii="Palatino Linotype" w:eastAsia="MS Mincho" w:hAnsi="Palatino Linotype" w:cs="Times New Roman"/>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10110</wp:posOffset>
                </wp:positionH>
                <wp:positionV relativeFrom="paragraph">
                  <wp:posOffset>3082289</wp:posOffset>
                </wp:positionV>
                <wp:extent cx="5521569" cy="4026877"/>
                <wp:effectExtent l="19050" t="19050" r="22225" b="31115"/>
                <wp:wrapNone/>
                <wp:docPr id="2" name="Conector recto 2"/>
                <wp:cNvGraphicFramePr/>
                <a:graphic xmlns:a="http://schemas.openxmlformats.org/drawingml/2006/main">
                  <a:graphicData uri="http://schemas.microsoft.com/office/word/2010/wordprocessingShape">
                    <wps:wsp>
                      <wps:cNvCnPr/>
                      <wps:spPr>
                        <a:xfrm>
                          <a:off x="0" y="0"/>
                          <a:ext cx="5521569" cy="40268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092AC"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pt,242.7pt" to="435.55pt,5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" strokecolor="#5b9bd5 [3204]" strokeweight="3pt">
                <v:stroke joinstyle="miter"/>
              </v:line>
            </w:pict>
          </mc:Fallback>
        </mc:AlternateContent>
      </w:r>
      <w:r w:rsidRPr="00857BDC">
        <w:rPr>
          <w:rFonts w:ascii="Palatino Linotype" w:eastAsia="MS Mincho" w:hAnsi="Palatino Linotype" w:cs="Times New Roman"/>
        </w:rPr>
        <w:t xml:space="preserve">al servicio del Estado. </w:t>
      </w:r>
    </w:p>
    <w:p w:rsidR="00FB7482" w:rsidRPr="00857BDC" w:rsidRDefault="00FB7482" w:rsidP="00FB7482">
      <w:pPr>
        <w:spacing w:line="360" w:lineRule="auto"/>
        <w:ind w:right="49"/>
        <w:contextualSpacing/>
        <w:jc w:val="center"/>
        <w:rPr>
          <w:rFonts w:ascii="Palatino Linotype" w:eastAsia="MS Mincho" w:hAnsi="Palatino Linotype" w:cs="Times New Roman"/>
        </w:rPr>
      </w:pPr>
      <w:r w:rsidRPr="00857BDC">
        <w:rPr>
          <w:rFonts w:ascii="Palatino Linotype" w:eastAsiaTheme="minorHAnsi" w:hAnsi="Palatino Linotype"/>
          <w:noProof/>
          <w:lang w:val="es-MX" w:eastAsia="es-MX"/>
        </w:rPr>
        <w:lastRenderedPageBreak/>
        <w:drawing>
          <wp:inline distT="0" distB="0" distL="0" distR="0" wp14:anchorId="5C247E80" wp14:editId="7F15CA37">
            <wp:extent cx="5934075" cy="7600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49" t="12136" r="31391" b="5036"/>
                    <a:stretch/>
                  </pic:blipFill>
                  <pic:spPr bwMode="auto">
                    <a:xfrm>
                      <a:off x="0" y="0"/>
                      <a:ext cx="5934075" cy="7600950"/>
                    </a:xfrm>
                    <a:prstGeom prst="rect">
                      <a:avLst/>
                    </a:prstGeom>
                    <a:ln>
                      <a:noFill/>
                    </a:ln>
                    <a:extLst>
                      <a:ext uri="{53640926-AAD7-44D8-BBD7-CCE9431645EC}">
                        <a14:shadowObscured xmlns:a14="http://schemas.microsoft.com/office/drawing/2010/main"/>
                      </a:ext>
                    </a:extLst>
                  </pic:spPr>
                </pic:pic>
              </a:graphicData>
            </a:graphic>
          </wp:inline>
        </w:drawing>
      </w:r>
    </w:p>
    <w:p w:rsidR="00FB7482" w:rsidRPr="00857BDC" w:rsidRDefault="00FB7482" w:rsidP="00FB7482">
      <w:pPr>
        <w:spacing w:line="360" w:lineRule="auto"/>
        <w:ind w:right="49"/>
        <w:contextualSpacing/>
        <w:jc w:val="center"/>
        <w:rPr>
          <w:rFonts w:ascii="Palatino Linotype" w:eastAsia="MS Mincho" w:hAnsi="Palatino Linotype" w:cs="Times New Roman"/>
        </w:rPr>
      </w:pPr>
      <w:r w:rsidRPr="00857BDC">
        <w:rPr>
          <w:rFonts w:ascii="Palatino Linotype" w:eastAsiaTheme="minorHAnsi" w:hAnsi="Palatino Linotype"/>
          <w:noProof/>
          <w:lang w:val="es-MX" w:eastAsia="es-MX"/>
        </w:rPr>
        <w:lastRenderedPageBreak/>
        <w:drawing>
          <wp:inline distT="0" distB="0" distL="0" distR="0" wp14:anchorId="01FB9865" wp14:editId="2C120A46">
            <wp:extent cx="5943600" cy="7477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20" t="7282" r="31391" b="9671"/>
                    <a:stretch/>
                  </pic:blipFill>
                  <pic:spPr bwMode="auto">
                    <a:xfrm>
                      <a:off x="0" y="0"/>
                      <a:ext cx="5943600" cy="7477125"/>
                    </a:xfrm>
                    <a:prstGeom prst="rect">
                      <a:avLst/>
                    </a:prstGeom>
                    <a:ln>
                      <a:noFill/>
                    </a:ln>
                    <a:extLst>
                      <a:ext uri="{53640926-AAD7-44D8-BBD7-CCE9431645EC}">
                        <a14:shadowObscured xmlns:a14="http://schemas.microsoft.com/office/drawing/2010/main"/>
                      </a:ext>
                    </a:extLst>
                  </pic:spPr>
                </pic:pic>
              </a:graphicData>
            </a:graphic>
          </wp:inline>
        </w:drawing>
      </w:r>
    </w:p>
    <w:p w:rsidR="00FB7482" w:rsidRPr="00857BDC" w:rsidRDefault="00FB7482" w:rsidP="00FB7482">
      <w:pPr>
        <w:spacing w:line="360" w:lineRule="auto"/>
        <w:ind w:right="49"/>
        <w:contextualSpacing/>
        <w:rPr>
          <w:rFonts w:ascii="Palatino Linotype" w:eastAsia="MS Mincho" w:hAnsi="Palatino Linotype" w:cs="Times New Roman"/>
        </w:rPr>
      </w:pPr>
      <w:r w:rsidRPr="00857BDC">
        <w:rPr>
          <w:rFonts w:ascii="Palatino Linotype" w:eastAsiaTheme="minorHAnsi" w:hAnsi="Palatino Linotype"/>
          <w:noProof/>
          <w:lang w:val="es-MX" w:eastAsia="es-MX"/>
        </w:rPr>
        <w:lastRenderedPageBreak/>
        <w:drawing>
          <wp:inline distT="0" distB="0" distL="0" distR="0" wp14:anchorId="4B20E005" wp14:editId="473F0053">
            <wp:extent cx="5591175" cy="7467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85" t="13283" r="33906" b="11105"/>
                    <a:stretch/>
                  </pic:blipFill>
                  <pic:spPr bwMode="auto">
                    <a:xfrm>
                      <a:off x="0" y="0"/>
                      <a:ext cx="5591175" cy="7467600"/>
                    </a:xfrm>
                    <a:prstGeom prst="rect">
                      <a:avLst/>
                    </a:prstGeom>
                    <a:ln>
                      <a:noFill/>
                    </a:ln>
                    <a:extLst>
                      <a:ext uri="{53640926-AAD7-44D8-BBD7-CCE9431645EC}">
                        <a14:shadowObscured xmlns:a14="http://schemas.microsoft.com/office/drawing/2010/main"/>
                      </a:ext>
                    </a:extLst>
                  </pic:spPr>
                </pic:pic>
              </a:graphicData>
            </a:graphic>
          </wp:inline>
        </w:drawing>
      </w:r>
    </w:p>
    <w:p w:rsidR="00FB7482" w:rsidRPr="00857BDC" w:rsidRDefault="00FB7482" w:rsidP="00FB7482">
      <w:pPr>
        <w:spacing w:line="360" w:lineRule="auto"/>
        <w:ind w:right="49"/>
        <w:contextualSpacing/>
        <w:rPr>
          <w:rFonts w:ascii="Palatino Linotype" w:eastAsia="MS Mincho" w:hAnsi="Palatino Linotype" w:cs="Times New Roman"/>
        </w:rPr>
      </w:pPr>
      <w:r w:rsidRPr="00857BDC">
        <w:rPr>
          <w:rFonts w:ascii="Palatino Linotype" w:eastAsiaTheme="minorHAnsi" w:hAnsi="Palatino Linotype"/>
          <w:noProof/>
          <w:lang w:val="es-MX" w:eastAsia="es-MX"/>
        </w:rPr>
        <w:lastRenderedPageBreak/>
        <w:drawing>
          <wp:inline distT="0" distB="0" distL="0" distR="0" wp14:anchorId="56FC4831" wp14:editId="276A6A0D">
            <wp:extent cx="5514975" cy="7181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68" t="17597" r="33610" b="8069"/>
                    <a:stretch/>
                  </pic:blipFill>
                  <pic:spPr bwMode="auto">
                    <a:xfrm>
                      <a:off x="0" y="0"/>
                      <a:ext cx="5514975" cy="7181850"/>
                    </a:xfrm>
                    <a:prstGeom prst="rect">
                      <a:avLst/>
                    </a:prstGeom>
                    <a:ln>
                      <a:noFill/>
                    </a:ln>
                    <a:extLst>
                      <a:ext uri="{53640926-AAD7-44D8-BBD7-CCE9431645EC}">
                        <a14:shadowObscured xmlns:a14="http://schemas.microsoft.com/office/drawing/2010/main"/>
                      </a:ext>
                    </a:extLst>
                  </pic:spPr>
                </pic:pic>
              </a:graphicData>
            </a:graphic>
          </wp:inline>
        </w:drawing>
      </w:r>
    </w:p>
    <w:p w:rsidR="00FB7482" w:rsidRPr="00857BDC" w:rsidRDefault="00FB7482" w:rsidP="00FB7482">
      <w:pPr>
        <w:spacing w:line="360" w:lineRule="auto"/>
        <w:ind w:right="49"/>
        <w:contextualSpacing/>
        <w:rPr>
          <w:rFonts w:ascii="Palatino Linotype" w:eastAsia="MS Mincho" w:hAnsi="Palatino Linotype" w:cs="Times New Roman"/>
        </w:rPr>
      </w:pPr>
    </w:p>
    <w:p w:rsidR="00FB7482" w:rsidRPr="00857BDC" w:rsidRDefault="00FB7482" w:rsidP="00FB7482">
      <w:pPr>
        <w:spacing w:line="360" w:lineRule="auto"/>
        <w:ind w:right="49"/>
        <w:contextualSpacing/>
        <w:rPr>
          <w:rFonts w:ascii="Palatino Linotype" w:eastAsia="MS Mincho" w:hAnsi="Palatino Linotype" w:cs="Times New Roman"/>
        </w:rPr>
      </w:pPr>
      <w:r w:rsidRPr="00857BDC">
        <w:rPr>
          <w:rFonts w:ascii="Palatino Linotype" w:eastAsiaTheme="minorHAnsi" w:hAnsi="Palatino Linotype"/>
          <w:noProof/>
          <w:lang w:val="es-MX" w:eastAsia="es-MX"/>
        </w:rPr>
        <w:lastRenderedPageBreak/>
        <w:drawing>
          <wp:inline distT="0" distB="0" distL="0" distR="0" wp14:anchorId="38733DEE" wp14:editId="381B98B2">
            <wp:extent cx="5705475" cy="74104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99" t="13349" r="36512" b="21420"/>
                    <a:stretch/>
                  </pic:blipFill>
                  <pic:spPr bwMode="auto">
                    <a:xfrm>
                      <a:off x="0" y="0"/>
                      <a:ext cx="5705475" cy="7410450"/>
                    </a:xfrm>
                    <a:prstGeom prst="rect">
                      <a:avLst/>
                    </a:prstGeom>
                    <a:ln>
                      <a:noFill/>
                    </a:ln>
                    <a:extLst>
                      <a:ext uri="{53640926-AAD7-44D8-BBD7-CCE9431645EC}">
                        <a14:shadowObscured xmlns:a14="http://schemas.microsoft.com/office/drawing/2010/main"/>
                      </a:ext>
                    </a:extLst>
                  </pic:spPr>
                </pic:pic>
              </a:graphicData>
            </a:graphic>
          </wp:inline>
        </w:drawing>
      </w:r>
    </w:p>
    <w:p w:rsidR="00FB7482" w:rsidRPr="00857BDC" w:rsidRDefault="00FB7482" w:rsidP="00FB7482">
      <w:pPr>
        <w:spacing w:line="360" w:lineRule="auto"/>
        <w:ind w:right="49"/>
        <w:contextualSpacing/>
        <w:rPr>
          <w:rFonts w:ascii="Palatino Linotype" w:eastAsia="MS Mincho" w:hAnsi="Palatino Linotype" w:cs="Times New Roman"/>
        </w:rPr>
      </w:pPr>
      <w:r w:rsidRPr="00857BDC">
        <w:rPr>
          <w:rFonts w:ascii="Palatino Linotype" w:eastAsiaTheme="minorHAnsi" w:hAnsi="Palatino Linotype"/>
          <w:noProof/>
          <w:lang w:val="es-MX" w:eastAsia="es-MX"/>
        </w:rPr>
        <w:lastRenderedPageBreak/>
        <w:drawing>
          <wp:inline distT="0" distB="0" distL="0" distR="0" wp14:anchorId="15BDB836" wp14:editId="2A50B766">
            <wp:extent cx="5629275" cy="75628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58" t="23665" r="36340" b="12014"/>
                    <a:stretch/>
                  </pic:blipFill>
                  <pic:spPr bwMode="auto">
                    <a:xfrm>
                      <a:off x="0" y="0"/>
                      <a:ext cx="5629275" cy="7562850"/>
                    </a:xfrm>
                    <a:prstGeom prst="rect">
                      <a:avLst/>
                    </a:prstGeom>
                    <a:ln>
                      <a:noFill/>
                    </a:ln>
                    <a:extLst>
                      <a:ext uri="{53640926-AAD7-44D8-BBD7-CCE9431645EC}">
                        <a14:shadowObscured xmlns:a14="http://schemas.microsoft.com/office/drawing/2010/main"/>
                      </a:ext>
                    </a:extLst>
                  </pic:spPr>
                </pic:pic>
              </a:graphicData>
            </a:graphic>
          </wp:inline>
        </w:drawing>
      </w: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lastRenderedPageBreak/>
        <w:t>Aunado a lo anterior, los Cuerpos de Seguridad Auxiliares del Estado de México, han firmado múltiples convenios con el Instituto de Seguridad Social del Estado de México y sus Municipios (</w:t>
      </w:r>
      <w:proofErr w:type="spellStart"/>
      <w:r w:rsidRPr="00857BDC">
        <w:rPr>
          <w:rFonts w:ascii="Palatino Linotype" w:eastAsia="MS Mincho" w:hAnsi="Palatino Linotype" w:cs="Times New Roman"/>
        </w:rPr>
        <w:t>ISSEMyM</w:t>
      </w:r>
      <w:proofErr w:type="spellEnd"/>
      <w:r w:rsidRPr="00857BDC">
        <w:rPr>
          <w:rFonts w:ascii="Palatino Linotype" w:eastAsia="MS Mincho" w:hAnsi="Palatino Linotype" w:cs="Times New Roman"/>
        </w:rPr>
        <w:t xml:space="preserve">). De acuerdo con la Ley de Seguridad Social para los Servidores Públicos del Estado de México y Municipios, se tiene que en la fracción X de su artículo 5, se establece como </w:t>
      </w:r>
      <w:r w:rsidRPr="00857BDC">
        <w:rPr>
          <w:rFonts w:ascii="Palatino Linotype" w:eastAsia="MS Mincho" w:hAnsi="Palatino Linotype" w:cs="Times New Roman"/>
          <w:b/>
          <w:bCs/>
        </w:rPr>
        <w:t xml:space="preserve">derechohabientes </w:t>
      </w:r>
      <w:r w:rsidRPr="00857BDC">
        <w:rPr>
          <w:rFonts w:ascii="Palatino Linotype" w:eastAsia="MS Mincho" w:hAnsi="Palatino Linotype" w:cs="Times New Roman"/>
        </w:rPr>
        <w:t xml:space="preserve">a las personas a que se refieren las fracciones VI, XXIII, XXIV, XXXII del propio artículo, las cuales son: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spacing w:line="360" w:lineRule="auto"/>
        <w:ind w:left="567" w:right="49"/>
        <w:contextualSpacing/>
        <w:jc w:val="both"/>
        <w:rPr>
          <w:rFonts w:ascii="Palatino Linotype" w:eastAsiaTheme="minorHAnsi" w:hAnsi="Palatino Linotype"/>
          <w:b/>
          <w:bCs/>
          <w:i/>
          <w:lang w:val="es-MX" w:eastAsia="en-US"/>
        </w:rPr>
      </w:pPr>
      <w:r w:rsidRPr="00857BDC">
        <w:rPr>
          <w:rFonts w:ascii="Palatino Linotype" w:eastAsiaTheme="minorHAnsi" w:hAnsi="Palatino Linotype"/>
          <w:b/>
          <w:bCs/>
          <w:i/>
          <w:lang w:val="es-MX" w:eastAsia="en-US"/>
        </w:rPr>
        <w:t>Artículo 5. Para los efectos de esta Ley se entiende por:</w:t>
      </w:r>
    </w:p>
    <w:p w:rsidR="00FB7482" w:rsidRPr="00857BDC" w:rsidRDefault="00FB7482" w:rsidP="00FB7482">
      <w:pPr>
        <w:spacing w:line="360" w:lineRule="auto"/>
        <w:ind w:left="567" w:right="49"/>
        <w:contextualSpacing/>
        <w:jc w:val="both"/>
        <w:rPr>
          <w:rFonts w:ascii="Palatino Linotype" w:eastAsiaTheme="minorHAnsi" w:hAnsi="Palatino Linotype"/>
          <w:b/>
          <w:bCs/>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 xml:space="preserve">X. Derechohabientes; </w:t>
      </w:r>
      <w:r w:rsidRPr="00857BDC">
        <w:rPr>
          <w:rFonts w:ascii="Palatino Linotype" w:eastAsiaTheme="minorHAnsi" w:hAnsi="Palatino Linotype"/>
          <w:i/>
          <w:lang w:val="es-MX" w:eastAsia="en-US"/>
        </w:rPr>
        <w:t>a las personas a que refieren las fracciones VI, XXIII, XXIV, XXXII:</w:t>
      </w:r>
    </w:p>
    <w:p w:rsidR="00FB7482" w:rsidRPr="00857BDC" w:rsidRDefault="00C97FA3"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w:t>
      </w:r>
      <w:r w:rsidR="00FB7482" w:rsidRPr="00857BDC">
        <w:rPr>
          <w:rFonts w:ascii="Palatino Linotype" w:eastAsiaTheme="minorHAnsi" w:hAnsi="Palatino Linotype"/>
          <w:b/>
          <w:bCs/>
          <w:i/>
          <w:lang w:val="es-MX" w:eastAsia="en-US"/>
        </w:rPr>
        <w:t>…</w:t>
      </w:r>
      <w:r w:rsidRPr="00857BDC">
        <w:rPr>
          <w:rFonts w:ascii="Palatino Linotype" w:eastAsiaTheme="minorHAnsi" w:hAnsi="Palatino Linotype"/>
          <w:i/>
          <w:lang w:val="es-MX" w:eastAsia="en-US"/>
        </w:rPr>
        <w:t>)</w:t>
      </w:r>
    </w:p>
    <w:p w:rsidR="00FB7482" w:rsidRPr="00857BDC" w:rsidRDefault="00FB7482" w:rsidP="00FB7482">
      <w:pPr>
        <w:spacing w:line="360" w:lineRule="auto"/>
        <w:ind w:left="567" w:right="567"/>
        <w:contextualSpacing/>
        <w:jc w:val="both"/>
        <w:rPr>
          <w:rFonts w:ascii="Palatino Linotype" w:eastAsiaTheme="minorHAnsi" w:hAnsi="Palatino Linotype"/>
          <w:b/>
          <w:bCs/>
          <w:i/>
          <w:lang w:val="es-MX" w:eastAsia="en-US"/>
        </w:rPr>
      </w:pPr>
      <w:r w:rsidRPr="00857BDC">
        <w:rPr>
          <w:rFonts w:ascii="Palatino Linotype" w:eastAsiaTheme="minorHAnsi" w:hAnsi="Palatino Linotype"/>
          <w:b/>
          <w:bCs/>
          <w:i/>
          <w:lang w:val="es-MX" w:eastAsia="en-US"/>
        </w:rPr>
        <w:t>VI. Beneficiarios, del Servidor Público o del pensionado.</w:t>
      </w:r>
    </w:p>
    <w:p w:rsidR="00FB7482" w:rsidRPr="00857BDC" w:rsidRDefault="00C97FA3"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XXIII. Pensionado,</w:t>
      </w:r>
      <w:r w:rsidRPr="00857BDC">
        <w:rPr>
          <w:rFonts w:ascii="Palatino Linotype" w:eastAsiaTheme="minorHAnsi" w:hAnsi="Palatino Linotype"/>
          <w:i/>
          <w:lang w:val="es-MX" w:eastAsia="en-US"/>
        </w:rPr>
        <w:t xml:space="preserve"> al Servidor Público retirado definitiva o temporalmente del servicio, a quien en forma específica esta Ley le reconozca esa condición;</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XXIV. Pensionista,</w:t>
      </w:r>
      <w:r w:rsidRPr="00857BDC">
        <w:rPr>
          <w:rFonts w:ascii="Palatino Linotype" w:eastAsiaTheme="minorHAnsi" w:hAnsi="Palatino Linotype"/>
          <w:i/>
          <w:lang w:val="es-MX" w:eastAsia="en-US"/>
        </w:rPr>
        <w:t xml:space="preserve"> a la persona que recibe el importe de una pensión, originada por tener el carácter de beneficiario del Servidor Público o del pensionado fallecido;</w:t>
      </w:r>
    </w:p>
    <w:p w:rsidR="00FB7482" w:rsidRPr="00857BDC" w:rsidRDefault="00C97FA3"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XXXII. Servidor Público</w:t>
      </w:r>
      <w:r w:rsidRPr="00857BDC">
        <w:rPr>
          <w:rFonts w:ascii="Palatino Linotype" w:eastAsiaTheme="minorHAnsi" w:hAnsi="Palatino Linotype"/>
          <w:i/>
          <w:lang w:val="es-MX" w:eastAsia="en-US"/>
        </w:rPr>
        <w:t xml:space="preserve"> a toda persona que desempeñe un empleo, cargo o comisión ya sea por elección popular o por nombramiento, o bien, preste sus servicios mediante contrato por tiempo u obra determinados, así como las que se </w:t>
      </w:r>
      <w:r w:rsidRPr="00857BDC">
        <w:rPr>
          <w:rFonts w:ascii="Palatino Linotype" w:eastAsiaTheme="minorHAnsi" w:hAnsi="Palatino Linotype"/>
          <w:i/>
          <w:lang w:val="es-MX" w:eastAsia="en-US"/>
        </w:rPr>
        <w:lastRenderedPageBreak/>
        <w:t xml:space="preserve">encuentren en lista de raya, </w:t>
      </w:r>
      <w:r w:rsidRPr="00857BDC">
        <w:rPr>
          <w:rFonts w:ascii="Palatino Linotype" w:eastAsiaTheme="minorHAnsi" w:hAnsi="Palatino Linotype"/>
          <w:b/>
          <w:bCs/>
          <w:i/>
          <w:lang w:val="es-MX" w:eastAsia="en-US"/>
        </w:rPr>
        <w:t>en cualquiera de las Instituciones Públicas a que se refiere la fracción XVI de este artículo.</w:t>
      </w:r>
      <w:r w:rsidRPr="00857BDC">
        <w:rPr>
          <w:rFonts w:ascii="Palatino Linotype" w:eastAsiaTheme="minorHAnsi" w:hAnsi="Palatino Linotype"/>
          <w:i/>
          <w:lang w:val="es-MX" w:eastAsia="en-US"/>
        </w:rPr>
        <w:t xml:space="preserve"> Quedan exceptuadas aquellas que estén sujetas a contrato civil o mercantil, o a pago de honorarios;</w:t>
      </w:r>
    </w:p>
    <w:p w:rsidR="00FB7482" w:rsidRPr="00857BDC" w:rsidRDefault="00C97FA3"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Por lo que, el primero y directo derechohabiente es aquella persona que resulta ser </w:t>
      </w:r>
      <w:r w:rsidRPr="00857BDC">
        <w:rPr>
          <w:rFonts w:ascii="Palatino Linotype" w:eastAsia="MS Mincho" w:hAnsi="Palatino Linotype" w:cs="Times New Roman"/>
          <w:b/>
          <w:bCs/>
        </w:rPr>
        <w:t>servidor público</w:t>
      </w:r>
      <w:r w:rsidRPr="00857BDC">
        <w:rPr>
          <w:rFonts w:ascii="Palatino Linotype" w:eastAsia="MS Mincho" w:hAnsi="Palatino Linotype" w:cs="Times New Roman"/>
        </w:rPr>
        <w:t xml:space="preserve"> y </w:t>
      </w:r>
      <w:proofErr w:type="gramStart"/>
      <w:r w:rsidRPr="00857BDC">
        <w:rPr>
          <w:rFonts w:ascii="Palatino Linotype" w:eastAsia="MS Mincho" w:hAnsi="Palatino Linotype" w:cs="Times New Roman"/>
        </w:rPr>
        <w:t>presta</w:t>
      </w:r>
      <w:proofErr w:type="gramEnd"/>
      <w:r w:rsidRPr="00857BDC">
        <w:rPr>
          <w:rFonts w:ascii="Palatino Linotype" w:eastAsia="MS Mincho" w:hAnsi="Palatino Linotype" w:cs="Times New Roman"/>
        </w:rPr>
        <w:t xml:space="preserve"> sus servicios en cualquiera de las Instituciones Públicas.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A la luz de estos elementos, el uso del escudo, logotipos del gobierno del estado de México, y la determinación de que sus elementos son trabajadores al servicio del Estado, sujetos al régimen de seguridad social del Estado, es que no puede concluirse otra cosa, sino que se trata de </w:t>
      </w:r>
      <w:r w:rsidRPr="00857BDC">
        <w:rPr>
          <w:rFonts w:ascii="Palatino Linotype" w:eastAsia="MS Mincho" w:hAnsi="Palatino Linotype" w:cs="Times New Roman"/>
          <w:b/>
          <w:bCs/>
        </w:rPr>
        <w:t>un organismo auxiliar de naturaleza pública.</w:t>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C97FA3"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Theme="minorHAnsi" w:hAnsi="Palatino Linotype" w:cs="Arial"/>
          <w:lang w:val="es-MX" w:eastAsia="en-US"/>
        </w:rPr>
        <w:t>En consecuencia, l</w:t>
      </w:r>
      <w:r w:rsidR="00FB7482" w:rsidRPr="00857BDC">
        <w:rPr>
          <w:rFonts w:ascii="Palatino Linotype" w:eastAsiaTheme="minorHAnsi" w:hAnsi="Palatino Linotype" w:cs="Arial"/>
          <w:lang w:val="es-MX" w:eastAsia="en-US"/>
        </w:rPr>
        <w:t xml:space="preserve">os servicios de protección, custodia, vigilancia y seguridad forman parte de la función general de seguridad pública, y cuando el Estado los brinda a través de un organismo auxiliar, cuyo régimen se encuentra regulado por la disposición jurídica contenida en el segundo párrafo del artículo 103 de la Ley de Seguridad del Estado de México, dicha función obliga a documentar sus actos y, al generar documentación, esta debe considerarse de naturaleza pública.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C97FA3"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lastRenderedPageBreak/>
        <w:t xml:space="preserve">Señalado lo anterior </w:t>
      </w:r>
      <w:r w:rsidR="00FB7482" w:rsidRPr="00857BDC">
        <w:rPr>
          <w:rFonts w:ascii="Palatino Linotype" w:eastAsia="MS Mincho" w:hAnsi="Palatino Linotype" w:cs="Times New Roman"/>
        </w:rPr>
        <w:t xml:space="preserve">Ahora es necesario analizar si la Secretaría de Finanzas del Gobierno del Estado de México debe o no, contar con la información que se le ha solicitado. </w:t>
      </w:r>
    </w:p>
    <w:p w:rsidR="00FB7482" w:rsidRPr="00857BDC" w:rsidRDefault="00B225DF" w:rsidP="00B225DF">
      <w:pPr>
        <w:pStyle w:val="Ttulo1"/>
        <w:ind w:right="-142"/>
        <w:rPr>
          <w:rFonts w:eastAsia="MS Mincho"/>
        </w:rPr>
      </w:pPr>
      <w:bookmarkStart w:id="118" w:name="_Toc25180701"/>
      <w:r w:rsidRPr="00857BDC">
        <w:rPr>
          <w:rFonts w:eastAsia="MS Mincho"/>
        </w:rPr>
        <w:t>V. De las obligaciones del Órgano Superior de Fiscalización del Estado de México.</w:t>
      </w:r>
      <w:bookmarkEnd w:id="118"/>
      <w:r w:rsidRPr="00857BDC">
        <w:rPr>
          <w:rFonts w:eastAsia="MS Mincho"/>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B225DF"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E</w:t>
      </w:r>
      <w:r w:rsidR="00FB7482" w:rsidRPr="00857BDC">
        <w:rPr>
          <w:rFonts w:ascii="Palatino Linotype" w:eastAsia="MS Mincho" w:hAnsi="Palatino Linotype" w:cs="Times New Roman"/>
        </w:rPr>
        <w:t>s sumame</w:t>
      </w:r>
      <w:r w:rsidRPr="00857BDC">
        <w:rPr>
          <w:rFonts w:ascii="Palatino Linotype" w:eastAsia="MS Mincho" w:hAnsi="Palatino Linotype" w:cs="Times New Roman"/>
        </w:rPr>
        <w:t>nte importante establecer que el Órgano Superior de Fiscalización del Estado de México tiene como objetivo</w:t>
      </w:r>
      <w:r w:rsidR="00FB7482" w:rsidRPr="00857BDC">
        <w:rPr>
          <w:rFonts w:ascii="Palatino Linotype" w:eastAsia="MS Mincho" w:hAnsi="Palatino Linotype" w:cs="Times New Roman"/>
        </w:rPr>
        <w:t xml:space="preserve"> general el de</w:t>
      </w:r>
      <w:r w:rsidR="008D71DE" w:rsidRPr="00857BDC">
        <w:rPr>
          <w:rFonts w:ascii="Palatino Linotype" w:eastAsia="MS Mincho" w:hAnsi="Palatino Linotype" w:cs="Times New Roman"/>
        </w:rPr>
        <w:t xml:space="preserve"> fiscalizar  los actos de los entes  y la aplicación de recursos públicos, en efecto, de conformidad con el artículo 61 de la Constitución Política del Estado Libre y Soberano de México, señala que es facultad y obligación de la legislatura recibir, fiscalizar y calificar las cuentas públicas se los organismos auxiliares como a continuación se observa: </w:t>
      </w:r>
    </w:p>
    <w:p w:rsidR="008D71DE" w:rsidRPr="00857BDC" w:rsidRDefault="008D71DE" w:rsidP="00EE1DAD">
      <w:pPr>
        <w:spacing w:after="160" w:line="360" w:lineRule="auto"/>
        <w:ind w:left="567" w:right="567"/>
        <w:contextualSpacing/>
        <w:jc w:val="both"/>
        <w:rPr>
          <w:rFonts w:ascii="Palatino Linotype" w:eastAsia="MS Mincho" w:hAnsi="Palatino Linotype" w:cs="Times New Roman"/>
          <w:i/>
        </w:rPr>
      </w:pPr>
    </w:p>
    <w:p w:rsidR="008D71DE" w:rsidRPr="00857BDC" w:rsidRDefault="00EE1DAD" w:rsidP="00EE1DAD">
      <w:pPr>
        <w:spacing w:after="160" w:line="360" w:lineRule="auto"/>
        <w:ind w:left="567" w:right="567"/>
        <w:contextualSpacing/>
        <w:jc w:val="both"/>
        <w:rPr>
          <w:rFonts w:ascii="Palatino Linotype" w:hAnsi="Palatino Linotype"/>
          <w:i/>
        </w:rPr>
      </w:pPr>
      <w:r w:rsidRPr="00857BDC">
        <w:rPr>
          <w:rFonts w:ascii="Palatino Linotype" w:hAnsi="Palatino Linotype"/>
          <w:i/>
        </w:rPr>
        <w:t>“</w:t>
      </w:r>
      <w:r w:rsidRPr="00857BDC">
        <w:rPr>
          <w:rFonts w:ascii="Palatino Linotype" w:hAnsi="Palatino Linotype"/>
          <w:b/>
          <w:i/>
        </w:rPr>
        <w:t>Artículo 61.</w:t>
      </w:r>
      <w:r w:rsidRPr="00857BDC">
        <w:rPr>
          <w:rFonts w:ascii="Palatino Linotype" w:hAnsi="Palatino Linotype"/>
          <w:i/>
        </w:rPr>
        <w:t xml:space="preserve"> Son facultades y obligaciones de la legislatura:</w:t>
      </w:r>
    </w:p>
    <w:p w:rsidR="00EE1DAD" w:rsidRPr="00857BDC" w:rsidRDefault="00EE1DAD" w:rsidP="00EE1DAD">
      <w:pPr>
        <w:spacing w:after="160" w:line="360" w:lineRule="auto"/>
        <w:ind w:left="567" w:right="567"/>
        <w:contextualSpacing/>
        <w:jc w:val="both"/>
        <w:rPr>
          <w:rFonts w:ascii="Palatino Linotype" w:hAnsi="Palatino Linotype"/>
          <w:i/>
        </w:rPr>
      </w:pPr>
      <w:r w:rsidRPr="00857BDC">
        <w:rPr>
          <w:rFonts w:ascii="Palatino Linotype" w:hAnsi="Palatino Linotype"/>
          <w:i/>
        </w:rPr>
        <w:t>(…)</w:t>
      </w:r>
    </w:p>
    <w:p w:rsidR="00EE1DAD" w:rsidRPr="00857BDC" w:rsidRDefault="00EE1DAD" w:rsidP="00EE1DAD">
      <w:pPr>
        <w:spacing w:after="160" w:line="360" w:lineRule="auto"/>
        <w:ind w:left="567" w:right="567"/>
        <w:contextualSpacing/>
        <w:jc w:val="both"/>
        <w:rPr>
          <w:rFonts w:ascii="Palatino Linotype" w:hAnsi="Palatino Linotype"/>
          <w:b/>
          <w:i/>
        </w:rPr>
      </w:pPr>
      <w:r w:rsidRPr="00857BDC">
        <w:rPr>
          <w:rFonts w:ascii="Palatino Linotype" w:hAnsi="Palatino Linotype"/>
          <w:b/>
          <w:i/>
        </w:rPr>
        <w:t>XXXII.</w:t>
      </w:r>
      <w:r w:rsidRPr="00857BDC">
        <w:rPr>
          <w:rFonts w:ascii="Palatino Linotype" w:hAnsi="Palatino Linotype"/>
          <w:i/>
        </w:rPr>
        <w:t xml:space="preserve"> Recibir, </w:t>
      </w:r>
      <w:r w:rsidRPr="00857BDC">
        <w:rPr>
          <w:rFonts w:ascii="Palatino Linotype" w:hAnsi="Palatino Linotype"/>
          <w:b/>
          <w:i/>
        </w:rPr>
        <w:t xml:space="preserve">revisar, fiscalizar y calificar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w:t>
      </w:r>
      <w:r w:rsidRPr="00857BDC">
        <w:rPr>
          <w:rFonts w:ascii="Palatino Linotype" w:hAnsi="Palatino Linotype"/>
          <w:b/>
          <w:i/>
        </w:rPr>
        <w:lastRenderedPageBreak/>
        <w:t>funcionamiento y resoluciones, en los términos que disponga la legislación aplicable.</w:t>
      </w:r>
    </w:p>
    <w:p w:rsidR="00EE1DAD" w:rsidRPr="00857BDC" w:rsidRDefault="00EE1DAD" w:rsidP="00EE1DAD">
      <w:pPr>
        <w:spacing w:after="160" w:line="360" w:lineRule="auto"/>
        <w:ind w:left="567" w:right="567"/>
        <w:contextualSpacing/>
        <w:jc w:val="both"/>
        <w:rPr>
          <w:rFonts w:ascii="Palatino Linotype" w:hAnsi="Palatino Linotype"/>
          <w:i/>
        </w:rPr>
      </w:pPr>
    </w:p>
    <w:p w:rsidR="00EE1DAD" w:rsidRPr="00857BDC" w:rsidRDefault="00EE1DAD" w:rsidP="00EE1DAD">
      <w:pPr>
        <w:spacing w:after="160" w:line="360" w:lineRule="auto"/>
        <w:ind w:left="567" w:right="567"/>
        <w:contextualSpacing/>
        <w:jc w:val="both"/>
        <w:rPr>
          <w:rFonts w:ascii="Palatino Linotype" w:hAnsi="Palatino Linotype"/>
          <w:i/>
        </w:rPr>
      </w:pPr>
      <w:r w:rsidRPr="00857BDC">
        <w:rPr>
          <w:rFonts w:ascii="Palatino Linotype" w:hAnsi="Palatino Linotype"/>
          <w:i/>
        </w:rPr>
        <w:t xml:space="preserve"> La función de fiscalización se desarrollará conforme a los principios de legalidad, </w:t>
      </w:r>
      <w:proofErr w:type="spellStart"/>
      <w:r w:rsidRPr="00857BDC">
        <w:rPr>
          <w:rFonts w:ascii="Palatino Linotype" w:hAnsi="Palatino Linotype"/>
          <w:i/>
        </w:rPr>
        <w:t>definitividad</w:t>
      </w:r>
      <w:proofErr w:type="spellEnd"/>
      <w:r w:rsidRPr="00857BDC">
        <w:rPr>
          <w:rFonts w:ascii="Palatino Linotype" w:hAnsi="Palatino Linotype"/>
          <w:i/>
        </w:rPr>
        <w:t xml:space="preserve">, imparcialidad, confiabilidad y de máxima publicidad. Así mismo deberá fiscalizar, a través del Órgano Superior de Fiscalización del Estado de México, las acciones del Estado y Municipios en materia de fondos, recursos estatales y deuda pública. </w:t>
      </w:r>
    </w:p>
    <w:p w:rsidR="00EE1DAD" w:rsidRPr="00857BDC" w:rsidRDefault="00EE1DAD" w:rsidP="00EE1DAD">
      <w:pPr>
        <w:spacing w:after="160" w:line="360" w:lineRule="auto"/>
        <w:ind w:left="567" w:right="567"/>
        <w:contextualSpacing/>
        <w:jc w:val="both"/>
        <w:rPr>
          <w:rFonts w:ascii="Palatino Linotype" w:hAnsi="Palatino Linotype"/>
          <w:i/>
        </w:rPr>
      </w:pPr>
    </w:p>
    <w:p w:rsidR="00EE1DAD" w:rsidRPr="00857BDC" w:rsidRDefault="00EE1DAD" w:rsidP="00EE1DAD">
      <w:pPr>
        <w:spacing w:after="160" w:line="360" w:lineRule="auto"/>
        <w:ind w:left="567" w:right="567"/>
        <w:contextualSpacing/>
        <w:jc w:val="both"/>
        <w:rPr>
          <w:rFonts w:ascii="Palatino Linotype" w:hAnsi="Palatino Linotype"/>
          <w:i/>
        </w:rPr>
      </w:pPr>
      <w:r w:rsidRPr="00857BDC">
        <w:rPr>
          <w:rFonts w:ascii="Palatino Linotype" w:hAnsi="Palatino Linotype"/>
          <w:i/>
        </w:rPr>
        <w:t>El Órgano Superior de Fiscalización del Estado de México deberá entregar a la Legislatura un informe de resultados y los informes de auditoría que correspondan, dichos informes serán de carácter público y se presentarán en los términos y con el contenido que determine la Ley.</w:t>
      </w:r>
    </w:p>
    <w:p w:rsidR="00EE1DAD" w:rsidRPr="00857BDC" w:rsidRDefault="00EE1DAD" w:rsidP="00EE1DAD">
      <w:pPr>
        <w:spacing w:after="160" w:line="360" w:lineRule="auto"/>
        <w:ind w:left="567" w:right="567"/>
        <w:contextualSpacing/>
        <w:jc w:val="both"/>
        <w:rPr>
          <w:rFonts w:ascii="Palatino Linotype" w:hAnsi="Palatino Linotype"/>
          <w:i/>
        </w:rPr>
      </w:pPr>
    </w:p>
    <w:p w:rsidR="00EE1DAD" w:rsidRPr="00857BDC" w:rsidRDefault="00EE1DAD" w:rsidP="00EE1DAD">
      <w:pPr>
        <w:spacing w:after="160" w:line="360" w:lineRule="auto"/>
        <w:ind w:left="567" w:right="567"/>
        <w:contextualSpacing/>
        <w:jc w:val="both"/>
        <w:rPr>
          <w:rFonts w:ascii="Palatino Linotype" w:hAnsi="Palatino Linotype"/>
          <w:i/>
        </w:rPr>
      </w:pPr>
      <w:r w:rsidRPr="00857BDC">
        <w:rPr>
          <w:rFonts w:ascii="Palatino Linotype" w:hAnsi="Palatino Linotype"/>
          <w:i/>
        </w:rPr>
        <w:t xml:space="preserve"> El Auditor Superior de Fiscalización será designado y removido por el voto de las dos terceras partes de los miembros presentes de la Legislatura, a propuesta de la Junta de Coordinación Política. </w:t>
      </w:r>
    </w:p>
    <w:p w:rsidR="00EE1DAD" w:rsidRPr="00857BDC" w:rsidRDefault="00EE1DAD" w:rsidP="00EE1DAD">
      <w:pPr>
        <w:spacing w:after="160" w:line="360" w:lineRule="auto"/>
        <w:ind w:left="567" w:right="567"/>
        <w:contextualSpacing/>
        <w:jc w:val="both"/>
        <w:rPr>
          <w:rFonts w:ascii="Palatino Linotype" w:hAnsi="Palatino Linotype"/>
          <w:i/>
        </w:rPr>
      </w:pPr>
    </w:p>
    <w:p w:rsidR="00EE1DAD" w:rsidRPr="00857BDC" w:rsidRDefault="00EE1DAD" w:rsidP="00EE1DAD">
      <w:pPr>
        <w:spacing w:after="160" w:line="360" w:lineRule="auto"/>
        <w:ind w:left="567" w:right="567"/>
        <w:contextualSpacing/>
        <w:jc w:val="both"/>
        <w:rPr>
          <w:rFonts w:ascii="Palatino Linotype" w:hAnsi="Palatino Linotype"/>
          <w:i/>
        </w:rPr>
      </w:pPr>
      <w:r w:rsidRPr="00857BDC">
        <w:rPr>
          <w:rFonts w:ascii="Palatino Linotype" w:hAnsi="Palatino Linotype"/>
          <w:i/>
        </w:rPr>
        <w:t xml:space="preserve">El Auditor Superior de Fiscalización durará en su encargo ocho años y podrá ser nombrado nuevamente por una sola vez, por el voto de las dos terceras partes de los miembros presentes de la Legislatura, y deberá contar con experiencia de cinco años en materia de control, auditoría financiera y de responsabilidades;” </w:t>
      </w:r>
    </w:p>
    <w:p w:rsidR="00EE1DAD" w:rsidRPr="00857BDC" w:rsidRDefault="00EE1DAD" w:rsidP="00EE1DAD">
      <w:pPr>
        <w:spacing w:after="160" w:line="360" w:lineRule="auto"/>
        <w:ind w:left="567" w:right="567"/>
        <w:contextualSpacing/>
        <w:jc w:val="both"/>
        <w:rPr>
          <w:rFonts w:ascii="Palatino Linotype" w:eastAsia="MS Mincho" w:hAnsi="Palatino Linotype" w:cs="Times New Roman"/>
          <w:i/>
        </w:rPr>
      </w:pPr>
      <w:r w:rsidRPr="00857BDC">
        <w:rPr>
          <w:rFonts w:ascii="Palatino Linotype" w:hAnsi="Palatino Linotype"/>
          <w:i/>
        </w:rPr>
        <w:t>(…)</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EE1DAD"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lastRenderedPageBreak/>
        <w:t xml:space="preserve">Ahora bien, tal y como lo establece el artículo </w:t>
      </w:r>
      <w:r w:rsidR="00EE1DAD" w:rsidRPr="00857BDC">
        <w:rPr>
          <w:rFonts w:ascii="Palatino Linotype" w:eastAsia="MS Mincho" w:hAnsi="Palatino Linotype" w:cs="Times New Roman"/>
        </w:rPr>
        <w:t>95</w:t>
      </w:r>
      <w:r w:rsidRPr="00857BDC">
        <w:rPr>
          <w:rFonts w:ascii="Palatino Linotype" w:eastAsia="MS Mincho" w:hAnsi="Palatino Linotype" w:cs="Times New Roman"/>
        </w:rPr>
        <w:t xml:space="preserve"> de</w:t>
      </w:r>
      <w:r w:rsidR="00EE1DAD" w:rsidRPr="00857BDC">
        <w:rPr>
          <w:rFonts w:ascii="Palatino Linotype" w:eastAsia="MS Mincho" w:hAnsi="Palatino Linotype" w:cs="Times New Roman"/>
        </w:rPr>
        <w:t xml:space="preserve"> la Ley Orgánica del Poder Legislativo del Estado de México,  el Órgano Superior de Fiscalización tiene por objeto controlar y revisar el ingreso de los organismo auxiliares: </w:t>
      </w:r>
    </w:p>
    <w:p w:rsidR="00EE1DAD" w:rsidRPr="00857BDC" w:rsidRDefault="00EE1DAD" w:rsidP="00EE1DAD">
      <w:pPr>
        <w:spacing w:after="160" w:line="360" w:lineRule="auto"/>
        <w:ind w:right="49"/>
        <w:contextualSpacing/>
        <w:jc w:val="both"/>
        <w:rPr>
          <w:rFonts w:ascii="Palatino Linotype" w:eastAsia="MS Mincho" w:hAnsi="Palatino Linotype" w:cs="Times New Roman"/>
        </w:rPr>
      </w:pPr>
    </w:p>
    <w:p w:rsidR="00EE1DAD" w:rsidRPr="00857BDC" w:rsidRDefault="00EE1DAD" w:rsidP="00EE1DAD">
      <w:pPr>
        <w:spacing w:after="160" w:line="360" w:lineRule="auto"/>
        <w:ind w:left="567" w:right="567"/>
        <w:contextualSpacing/>
        <w:jc w:val="both"/>
        <w:rPr>
          <w:rFonts w:ascii="Palatino Linotype" w:eastAsia="MS Mincho" w:hAnsi="Palatino Linotype" w:cs="Times New Roman"/>
        </w:rPr>
      </w:pPr>
      <w:r w:rsidRPr="00857BDC">
        <w:rPr>
          <w:rFonts w:ascii="Palatino Linotype" w:eastAsia="MS Mincho" w:hAnsi="Palatino Linotype" w:cs="Times New Roman"/>
          <w:b/>
          <w:i/>
        </w:rPr>
        <w:t>“Artículo 95.-</w:t>
      </w:r>
      <w:r w:rsidRPr="00857BDC">
        <w:rPr>
          <w:rFonts w:ascii="Palatino Linotype" w:eastAsia="MS Mincho" w:hAnsi="Palatino Linotype" w:cs="Times New Roman"/>
          <w:i/>
        </w:rPr>
        <w:t xml:space="preserve">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w:t>
      </w:r>
      <w:r w:rsidRPr="00857BDC">
        <w:rPr>
          <w:rFonts w:ascii="Palatino Linotype" w:eastAsia="MS Mincho" w:hAnsi="Palatino Linotype" w:cs="Times New Roman"/>
        </w:rPr>
        <w:t>.”</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EE1DAD" w:rsidRPr="00857BDC" w:rsidRDefault="00EE1DAD"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Siendo concluyente lo que refiere la Ley de Fiscalización Superior del Estado de México en su artículo 8 que señala las atribuciones del mismo, dentro de las cuales destacan: </w:t>
      </w:r>
    </w:p>
    <w:p w:rsidR="00EE1DAD" w:rsidRPr="00857BDC" w:rsidRDefault="00EE1DAD" w:rsidP="00EE1DAD">
      <w:pPr>
        <w:spacing w:after="160" w:line="360" w:lineRule="auto"/>
        <w:ind w:right="49"/>
        <w:contextualSpacing/>
        <w:jc w:val="both"/>
        <w:rPr>
          <w:rFonts w:ascii="Palatino Linotype" w:eastAsia="MS Mincho" w:hAnsi="Palatino Linotype" w:cs="Times New Roman"/>
        </w:rPr>
      </w:pPr>
    </w:p>
    <w:p w:rsidR="00EE1DAD" w:rsidRPr="00857BDC" w:rsidRDefault="0066309C" w:rsidP="0066309C">
      <w:pPr>
        <w:spacing w:after="160" w:line="360" w:lineRule="auto"/>
        <w:ind w:left="567" w:right="567"/>
        <w:contextualSpacing/>
        <w:jc w:val="both"/>
        <w:rPr>
          <w:rFonts w:ascii="Palatino Linotype" w:eastAsia="MS Mincho" w:hAnsi="Palatino Linotype" w:cs="Times New Roman"/>
          <w:i/>
        </w:rPr>
      </w:pPr>
      <w:r w:rsidRPr="00857BDC">
        <w:rPr>
          <w:rFonts w:ascii="Palatino Linotype" w:eastAsia="MS Mincho" w:hAnsi="Palatino Linotype" w:cs="Times New Roman"/>
          <w:i/>
        </w:rPr>
        <w:t>“</w:t>
      </w:r>
      <w:r w:rsidR="00EE1DAD" w:rsidRPr="00857BDC">
        <w:rPr>
          <w:rFonts w:ascii="Palatino Linotype" w:eastAsia="MS Mincho" w:hAnsi="Palatino Linotype" w:cs="Times New Roman"/>
          <w:b/>
          <w:i/>
        </w:rPr>
        <w:t>Artículo 8.-</w:t>
      </w:r>
      <w:r w:rsidR="00EE1DAD" w:rsidRPr="00857BDC">
        <w:rPr>
          <w:rFonts w:ascii="Palatino Linotype" w:eastAsia="MS Mincho" w:hAnsi="Palatino Linotype" w:cs="Times New Roman"/>
          <w:i/>
        </w:rPr>
        <w:t xml:space="preserve"> El </w:t>
      </w:r>
      <w:proofErr w:type="spellStart"/>
      <w:r w:rsidR="00EE1DAD" w:rsidRPr="00857BDC">
        <w:rPr>
          <w:rFonts w:ascii="Palatino Linotype" w:eastAsia="MS Mincho" w:hAnsi="Palatino Linotype" w:cs="Times New Roman"/>
          <w:i/>
        </w:rPr>
        <w:t>Organo</w:t>
      </w:r>
      <w:proofErr w:type="spellEnd"/>
      <w:r w:rsidR="00EE1DAD" w:rsidRPr="00857BDC">
        <w:rPr>
          <w:rFonts w:ascii="Palatino Linotype" w:eastAsia="MS Mincho" w:hAnsi="Palatino Linotype" w:cs="Times New Roman"/>
          <w:i/>
        </w:rPr>
        <w:t xml:space="preserve"> Superior tendrá las siguientes atribuciones: </w:t>
      </w: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r w:rsidRPr="00857BDC">
        <w:rPr>
          <w:rFonts w:ascii="Palatino Linotype" w:eastAsia="MS Mincho" w:hAnsi="Palatino Linotype" w:cs="Times New Roman"/>
          <w:i/>
        </w:rPr>
        <w:t xml:space="preserve">I.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r w:rsidRPr="00857BDC">
        <w:rPr>
          <w:rFonts w:ascii="Palatino Linotype" w:eastAsia="MS Mincho" w:hAnsi="Palatino Linotype" w:cs="Times New Roman"/>
          <w:i/>
        </w:rPr>
        <w:lastRenderedPageBreak/>
        <w:t xml:space="preserve">II. Fiscalizar, en todo momento, el ejercicio, la custodia y aplicación de los recursos estatales y municipales así como los recursos federales en términos de los convenios correspondientes; </w:t>
      </w: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r w:rsidRPr="00857BDC">
        <w:rPr>
          <w:rFonts w:ascii="Palatino Linotype" w:eastAsia="MS Mincho" w:hAnsi="Palatino Linotype" w:cs="Times New Roman"/>
          <w:i/>
        </w:rPr>
        <w:t xml:space="preserve">III. Revisar las cuentas públicas de las entidades fiscalizables y entregar a la Legislatura, a través de la Comisión, el informe de resultados y los informes de auditorías que correspondan. </w:t>
      </w:r>
    </w:p>
    <w:p w:rsidR="00EE1DAD" w:rsidRPr="00857BDC" w:rsidRDefault="00EE1DAD" w:rsidP="0066309C">
      <w:pPr>
        <w:spacing w:after="160" w:line="360" w:lineRule="auto"/>
        <w:ind w:left="567" w:right="567"/>
        <w:contextualSpacing/>
        <w:jc w:val="both"/>
        <w:rPr>
          <w:rFonts w:ascii="Palatino Linotype" w:eastAsia="MS Mincho" w:hAnsi="Palatino Linotype" w:cs="Times New Roman"/>
          <w:i/>
        </w:rPr>
      </w:pPr>
    </w:p>
    <w:p w:rsidR="0066309C" w:rsidRPr="00857BDC" w:rsidRDefault="00EE1DAD" w:rsidP="0066309C">
      <w:pPr>
        <w:spacing w:after="160" w:line="360" w:lineRule="auto"/>
        <w:ind w:left="567" w:right="567"/>
        <w:contextualSpacing/>
        <w:jc w:val="both"/>
        <w:rPr>
          <w:rFonts w:ascii="Palatino Linotype" w:eastAsia="MS Mincho" w:hAnsi="Palatino Linotype" w:cs="Times New Roman"/>
          <w:i/>
        </w:rPr>
      </w:pPr>
      <w:r w:rsidRPr="00857BDC">
        <w:rPr>
          <w:rFonts w:ascii="Palatino Linotype" w:eastAsia="MS Mincho" w:hAnsi="Palatino Linotype" w:cs="Times New Roman"/>
          <w:i/>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w:t>
      </w:r>
    </w:p>
    <w:p w:rsidR="0066309C" w:rsidRPr="00857BDC" w:rsidRDefault="0066309C" w:rsidP="0066309C">
      <w:pPr>
        <w:spacing w:after="160" w:line="360" w:lineRule="auto"/>
        <w:ind w:left="567" w:right="567"/>
        <w:contextualSpacing/>
        <w:jc w:val="both"/>
        <w:rPr>
          <w:rFonts w:ascii="Palatino Linotype" w:eastAsia="MS Mincho" w:hAnsi="Palatino Linotype" w:cs="Times New Roman"/>
          <w:i/>
        </w:rPr>
      </w:pPr>
      <w:r w:rsidRPr="00857BDC">
        <w:rPr>
          <w:rFonts w:ascii="Palatino Linotype" w:eastAsia="MS Mincho" w:hAnsi="Palatino Linotype" w:cs="Times New Roman"/>
          <w:i/>
        </w:rPr>
        <w:t>(…)”</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Por lo que una interpretación sistemática</w:t>
      </w:r>
      <w:r w:rsidR="0066309C" w:rsidRPr="00857BDC">
        <w:rPr>
          <w:rFonts w:ascii="Palatino Linotype" w:eastAsia="MS Mincho" w:hAnsi="Palatino Linotype" w:cs="Times New Roman"/>
        </w:rPr>
        <w:t xml:space="preserve"> de los </w:t>
      </w:r>
      <w:r w:rsidRPr="00857BDC">
        <w:rPr>
          <w:rFonts w:ascii="Palatino Linotype" w:eastAsia="MS Mincho" w:hAnsi="Palatino Linotype" w:cs="Times New Roman"/>
        </w:rPr>
        <w:t>artículo</w:t>
      </w:r>
      <w:r w:rsidR="0066309C" w:rsidRPr="00857BDC">
        <w:rPr>
          <w:rFonts w:ascii="Palatino Linotype" w:eastAsia="MS Mincho" w:hAnsi="Palatino Linotype" w:cs="Times New Roman"/>
        </w:rPr>
        <w:t>s</w:t>
      </w:r>
      <w:r w:rsidRPr="00857BDC">
        <w:rPr>
          <w:rFonts w:ascii="Palatino Linotype" w:eastAsia="MS Mincho" w:hAnsi="Palatino Linotype" w:cs="Times New Roman"/>
        </w:rPr>
        <w:t xml:space="preserve"> anteriormente citado</w:t>
      </w:r>
      <w:r w:rsidR="0066309C" w:rsidRPr="00857BDC">
        <w:rPr>
          <w:rFonts w:ascii="Palatino Linotype" w:eastAsia="MS Mincho" w:hAnsi="Palatino Linotype" w:cs="Times New Roman"/>
        </w:rPr>
        <w:t xml:space="preserve"> </w:t>
      </w:r>
      <w:r w:rsidRPr="00857BDC">
        <w:rPr>
          <w:rFonts w:ascii="Palatino Linotype" w:eastAsia="MS Mincho" w:hAnsi="Palatino Linotype" w:cs="Times New Roman"/>
        </w:rPr>
        <w:t>y</w:t>
      </w:r>
      <w:r w:rsidR="0066309C" w:rsidRPr="00857BDC">
        <w:rPr>
          <w:rFonts w:ascii="Palatino Linotype" w:eastAsia="MS Mincho" w:hAnsi="Palatino Linotype" w:cs="Times New Roman"/>
        </w:rPr>
        <w:t xml:space="preserve"> </w:t>
      </w:r>
      <w:r w:rsidRPr="00857BDC">
        <w:rPr>
          <w:rFonts w:ascii="Palatino Linotype" w:eastAsia="MS Mincho" w:hAnsi="Palatino Linotype" w:cs="Times New Roman"/>
        </w:rPr>
        <w:t xml:space="preserve">del 103 en su segundo párrafo de la Ley de Seguridad del Estado de México, nos permite concluir que la referencia genérica </w:t>
      </w:r>
      <w:r w:rsidRPr="00857BDC">
        <w:rPr>
          <w:rFonts w:ascii="Palatino Linotype" w:eastAsia="MS Mincho" w:hAnsi="Palatino Linotype" w:cs="Times New Roman"/>
          <w:i/>
          <w:iCs/>
        </w:rPr>
        <w:t xml:space="preserve">“las dependencias del Gobierno del Estado competentes” </w:t>
      </w:r>
      <w:r w:rsidRPr="00857BDC">
        <w:rPr>
          <w:rFonts w:ascii="Palatino Linotype" w:eastAsia="MS Mincho" w:hAnsi="Palatino Linotype" w:cs="Times New Roman"/>
          <w:iCs/>
        </w:rPr>
        <w:t>(encargadas de regular a los organismos auxiliares de seguridad pública)</w:t>
      </w:r>
      <w:r w:rsidRPr="00857BDC">
        <w:rPr>
          <w:rFonts w:ascii="Palatino Linotype" w:eastAsia="MS Mincho" w:hAnsi="Palatino Linotype" w:cs="Times New Roman"/>
        </w:rPr>
        <w:t>, por lo que se refiere a las actividades contables y fis</w:t>
      </w:r>
      <w:r w:rsidR="0066309C" w:rsidRPr="00857BDC">
        <w:rPr>
          <w:rFonts w:ascii="Palatino Linotype" w:eastAsia="MS Mincho" w:hAnsi="Palatino Linotype" w:cs="Times New Roman"/>
        </w:rPr>
        <w:t>cales, aluden al Órgano Superior de Fiscalización del Estado de México</w:t>
      </w:r>
      <w:r w:rsidRPr="00857BDC">
        <w:rPr>
          <w:rFonts w:ascii="Palatino Linotype" w:eastAsia="MS Mincho" w:hAnsi="Palatino Linotype" w:cs="Times New Roman"/>
        </w:rPr>
        <w:t xml:space="preserve">, </w:t>
      </w:r>
      <w:r w:rsidR="0066309C" w:rsidRPr="00857BDC">
        <w:rPr>
          <w:rFonts w:ascii="Palatino Linotype" w:eastAsia="MS Mincho" w:hAnsi="Palatino Linotype" w:cs="Times New Roman"/>
        </w:rPr>
        <w:t>ente obligado al que</w:t>
      </w:r>
      <w:r w:rsidRPr="00857BDC">
        <w:rPr>
          <w:rFonts w:ascii="Palatino Linotype" w:eastAsia="MS Mincho" w:hAnsi="Palatino Linotype" w:cs="Times New Roman"/>
        </w:rPr>
        <w:t xml:space="preserve"> se</w:t>
      </w:r>
      <w:r w:rsidR="0066309C" w:rsidRPr="00857BDC">
        <w:rPr>
          <w:rFonts w:ascii="Palatino Linotype" w:eastAsia="MS Mincho" w:hAnsi="Palatino Linotype" w:cs="Times New Roman"/>
        </w:rPr>
        <w:t xml:space="preserve"> le </w:t>
      </w:r>
      <w:r w:rsidRPr="00857BDC">
        <w:rPr>
          <w:rFonts w:ascii="Palatino Linotype" w:eastAsia="MS Mincho" w:hAnsi="Palatino Linotype" w:cs="Times New Roman"/>
        </w:rPr>
        <w:t xml:space="preserve"> ha solicitado la información</w:t>
      </w:r>
      <w:r w:rsidR="0066309C" w:rsidRPr="00857BDC">
        <w:rPr>
          <w:rFonts w:ascii="Palatino Linotype" w:eastAsia="MS Mincho" w:hAnsi="Palatino Linotype" w:cs="Times New Roman"/>
        </w:rPr>
        <w:t xml:space="preserve"> a través del Poder Legislativo </w:t>
      </w:r>
      <w:r w:rsidRPr="00857BDC">
        <w:rPr>
          <w:rFonts w:ascii="Palatino Linotype" w:eastAsia="MS Mincho" w:hAnsi="Palatino Linotype" w:cs="Times New Roman"/>
        </w:rPr>
        <w:t>cuya</w:t>
      </w:r>
      <w:r w:rsidR="0066309C" w:rsidRPr="00857BDC">
        <w:rPr>
          <w:rFonts w:ascii="Palatino Linotype" w:eastAsia="MS Mincho" w:hAnsi="Palatino Linotype" w:cs="Times New Roman"/>
        </w:rPr>
        <w:t xml:space="preserve"> respuesta insatisfactoria </w:t>
      </w:r>
      <w:r w:rsidRPr="00857BDC">
        <w:rPr>
          <w:rFonts w:ascii="Palatino Linotype" w:eastAsia="MS Mincho" w:hAnsi="Palatino Linotype" w:cs="Times New Roman"/>
        </w:rPr>
        <w:t xml:space="preserve"> provoca el presente recurso de revisión.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66309C">
      <w:pPr>
        <w:numPr>
          <w:ilvl w:val="0"/>
          <w:numId w:val="2"/>
        </w:numPr>
        <w:spacing w:after="160" w:line="360" w:lineRule="auto"/>
        <w:ind w:left="0" w:right="49" w:firstLine="0"/>
        <w:contextualSpacing/>
        <w:jc w:val="both"/>
        <w:rPr>
          <w:rFonts w:ascii="Palatino Linotype" w:eastAsia="MS Mincho" w:hAnsi="Palatino Linotype" w:cs="Times New Roman"/>
          <w:b/>
          <w:bCs/>
        </w:rPr>
      </w:pPr>
      <w:r w:rsidRPr="00857BDC">
        <w:rPr>
          <w:rFonts w:ascii="Palatino Linotype" w:eastAsia="MS Mincho" w:hAnsi="Palatino Linotype" w:cs="Times New Roman"/>
        </w:rPr>
        <w:lastRenderedPageBreak/>
        <w:t xml:space="preserve">Para reafirmar lo anterior, es importante mencionar que, </w:t>
      </w:r>
      <w:r w:rsidR="0066309C" w:rsidRPr="00857BDC">
        <w:rPr>
          <w:rFonts w:ascii="Palatino Linotype" w:eastAsia="MS Mincho" w:hAnsi="Palatino Linotype" w:cs="Times New Roman"/>
        </w:rPr>
        <w:t xml:space="preserve">el Órgano Superior de Fiscalización del Estado de México </w:t>
      </w:r>
      <w:r w:rsidRPr="00857BDC">
        <w:rPr>
          <w:rFonts w:ascii="Palatino Linotype" w:eastAsia="MS Mincho" w:hAnsi="Palatino Linotype" w:cs="Times New Roman"/>
        </w:rPr>
        <w:t xml:space="preserve">en términos </w:t>
      </w:r>
      <w:r w:rsidR="0066309C" w:rsidRPr="00857BDC">
        <w:rPr>
          <w:rFonts w:ascii="Palatino Linotype" w:eastAsia="MS Mincho" w:hAnsi="Palatino Linotype" w:cs="Times New Roman"/>
        </w:rPr>
        <w:t xml:space="preserve">de la fracción V del artículo 8 </w:t>
      </w:r>
      <w:r w:rsidRPr="00857BDC">
        <w:rPr>
          <w:rFonts w:ascii="Palatino Linotype" w:eastAsia="MS Mincho" w:hAnsi="Palatino Linotype" w:cs="Times New Roman"/>
        </w:rPr>
        <w:t xml:space="preserve"> de la</w:t>
      </w:r>
      <w:r w:rsidR="0066309C" w:rsidRPr="00857BDC">
        <w:rPr>
          <w:rFonts w:ascii="Palatino Linotype" w:eastAsia="MS Mincho" w:hAnsi="Palatino Linotype" w:cs="Times New Roman"/>
        </w:rPr>
        <w:t xml:space="preserve"> Ley de Fiscalización Superior del Estado de México, es el encargado</w:t>
      </w:r>
      <w:r w:rsidRPr="00857BDC">
        <w:rPr>
          <w:rFonts w:ascii="Palatino Linotype" w:eastAsia="MS Mincho" w:hAnsi="Palatino Linotype" w:cs="Times New Roman"/>
        </w:rPr>
        <w:t xml:space="preserve"> de: </w:t>
      </w:r>
      <w:r w:rsidRPr="00857BDC">
        <w:rPr>
          <w:rFonts w:ascii="Palatino Linotype" w:eastAsia="MS Mincho" w:hAnsi="Palatino Linotype" w:cs="Times New Roman"/>
          <w:i/>
          <w:iCs/>
        </w:rPr>
        <w:t>“</w:t>
      </w:r>
      <w:r w:rsidR="0066309C" w:rsidRPr="00857BDC">
        <w:rPr>
          <w:rFonts w:ascii="Palatino Linotype" w:eastAsia="MS Mincho" w:hAnsi="Palatino Linotype" w:cs="Times New Roman"/>
          <w:i/>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w:t>
      </w:r>
      <w:r w:rsidRPr="00857BDC">
        <w:rPr>
          <w:rFonts w:ascii="Palatino Linotype" w:eastAsiaTheme="minorHAnsi" w:hAnsi="Palatino Linotype"/>
          <w:b/>
          <w:bCs/>
          <w:i/>
          <w:iCs/>
          <w:lang w:val="es-MX" w:eastAsia="en-US"/>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b/>
          <w:bC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Asimismo, en términos del Código Financiero del Estado de México, los artículos 7 y 9 fracción II, establecen que;</w:t>
      </w:r>
    </w:p>
    <w:p w:rsidR="00FB7482" w:rsidRPr="00857BDC" w:rsidRDefault="00FB7482" w:rsidP="00FB7482">
      <w:pPr>
        <w:spacing w:line="360" w:lineRule="auto"/>
        <w:ind w:left="567" w:right="567"/>
        <w:contextualSpacing/>
        <w:jc w:val="both"/>
        <w:rPr>
          <w:rFonts w:ascii="Palatino Linotype" w:eastAsia="MS Mincho" w:hAnsi="Palatino Linotype" w:cs="Times New Roman"/>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r w:rsidRPr="00857BDC">
        <w:rPr>
          <w:rFonts w:ascii="Palatino Linotype" w:eastAsiaTheme="minorHAnsi" w:hAnsi="Palatino Linotype"/>
          <w:b/>
          <w:bCs/>
          <w:i/>
          <w:lang w:val="es-MX" w:eastAsia="en-US"/>
        </w:rPr>
        <w:t>Artículo 7.-</w:t>
      </w:r>
      <w:r w:rsidRPr="00857BDC">
        <w:rPr>
          <w:rFonts w:ascii="Palatino Linotype" w:eastAsiaTheme="minorHAnsi" w:hAnsi="Palatino Linotype"/>
          <w:i/>
          <w:lang w:val="es-MX" w:eastAsia="en-US"/>
        </w:rPr>
        <w:t xml:space="preserv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w:t>
      </w:r>
      <w:r w:rsidRPr="00857BDC">
        <w:rPr>
          <w:rFonts w:ascii="Palatino Linotype" w:eastAsiaTheme="minorHAnsi" w:hAnsi="Palatino Linotype"/>
          <w:i/>
          <w:lang w:val="es-MX" w:eastAsia="en-US"/>
        </w:rPr>
        <w:lastRenderedPageBreak/>
        <w:t xml:space="preserve">transferencias federales etiquetadas, no deberán exceder a las previstas en la Ley de Ingresos de la Federación y en el Presupuesto de Egresos de la Federación del ejercicio fiscal correspondiente”. </w:t>
      </w:r>
    </w:p>
    <w:p w:rsidR="00FB7482" w:rsidRPr="00857BDC" w:rsidRDefault="00FB7482" w:rsidP="00FB7482">
      <w:pPr>
        <w:spacing w:line="360" w:lineRule="auto"/>
        <w:ind w:left="567" w:right="567"/>
        <w:contextualSpacing/>
        <w:jc w:val="both"/>
        <w:rPr>
          <w:rFonts w:ascii="Palatino Linotype" w:eastAsiaTheme="minorHAnsi" w:hAnsi="Palatino Linotype"/>
          <w:lang w:val="es-MX" w:eastAsia="en-US"/>
        </w:rPr>
      </w:pPr>
    </w:p>
    <w:p w:rsidR="00FB7482" w:rsidRPr="00857BDC" w:rsidRDefault="0066309C"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w:t>
      </w:r>
      <w:r w:rsidR="00FB7482" w:rsidRPr="00857BDC">
        <w:rPr>
          <w:rFonts w:ascii="Palatino Linotype" w:eastAsiaTheme="minorHAnsi" w:hAnsi="Palatino Linotype"/>
          <w:b/>
          <w:bCs/>
          <w:i/>
          <w:lang w:val="es-MX" w:eastAsia="en-US"/>
        </w:rPr>
        <w:t>Artículo 9.-</w:t>
      </w:r>
      <w:r w:rsidR="00FB7482" w:rsidRPr="00857BDC">
        <w:rPr>
          <w:rFonts w:ascii="Palatino Linotype" w:eastAsiaTheme="minorHAnsi" w:hAnsi="Palatino Linotype"/>
          <w:i/>
          <w:lang w:val="es-MX" w:eastAsia="en-US"/>
        </w:rPr>
        <w:t xml:space="preserve"> Las contribuciones se clasifican en impuestos, derechos, contribuciones o aportaciones de mejoras, y aportaciones y cuotas de seguridad social, las que se definen de la manera siguiente:</w:t>
      </w:r>
    </w:p>
    <w:p w:rsidR="00FB7482" w:rsidRPr="00857BDC" w:rsidRDefault="0066309C"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b/>
          <w:bCs/>
          <w:i/>
          <w:lang w:val="es-MX" w:eastAsia="en-US"/>
        </w:rPr>
        <w:t>II. Derechos.</w:t>
      </w:r>
      <w:r w:rsidRPr="00857BDC">
        <w:rPr>
          <w:rFonts w:ascii="Palatino Linotype" w:eastAsiaTheme="minorHAnsi" w:hAnsi="Palatino Linotype"/>
          <w:i/>
          <w:lang w:val="es-MX" w:eastAsia="en-US"/>
        </w:rPr>
        <w:t xml:space="preserve"> Son las </w:t>
      </w:r>
      <w:r w:rsidRPr="00857BDC">
        <w:rPr>
          <w:rFonts w:ascii="Palatino Linotype" w:eastAsiaTheme="minorHAnsi" w:hAnsi="Palatino Linotype"/>
          <w:b/>
          <w:i/>
          <w:lang w:val="es-MX" w:eastAsia="en-US"/>
        </w:rPr>
        <w:t xml:space="preserve">contraprestaciones </w:t>
      </w:r>
      <w:r w:rsidRPr="00857BDC">
        <w:rPr>
          <w:rFonts w:ascii="Palatino Linotype" w:eastAsiaTheme="minorHAnsi" w:hAnsi="Palatino Linotype"/>
          <w:i/>
          <w:lang w:val="es-MX" w:eastAsia="en-US"/>
        </w:rPr>
        <w:t xml:space="preserve">establecidas en este Código, </w:t>
      </w:r>
      <w:r w:rsidRPr="00857BDC">
        <w:rPr>
          <w:rFonts w:ascii="Palatino Linotype" w:eastAsiaTheme="minorHAnsi" w:hAnsi="Palatino Linotype"/>
          <w:b/>
          <w:i/>
          <w:lang w:val="es-MX" w:eastAsia="en-US"/>
        </w:rPr>
        <w:t>que deben pagar las personas físicas y jurídicas colectivas, por</w:t>
      </w:r>
      <w:r w:rsidRPr="00857BDC">
        <w:rPr>
          <w:rFonts w:ascii="Palatino Linotype" w:eastAsiaTheme="minorHAnsi" w:hAnsi="Palatino Linotype"/>
          <w:i/>
          <w:lang w:val="es-MX" w:eastAsia="en-US"/>
        </w:rPr>
        <w:t xml:space="preserve"> el uso o aprovechamiento de los bienes del dominio público de la Entidad, así como por </w:t>
      </w:r>
      <w:r w:rsidRPr="00857BDC">
        <w:rPr>
          <w:rFonts w:ascii="Palatino Linotype" w:eastAsiaTheme="minorHAnsi" w:hAnsi="Palatino Linotype"/>
          <w:b/>
          <w:i/>
          <w:lang w:val="es-MX" w:eastAsia="en-US"/>
        </w:rPr>
        <w:t>recibir servicios que presten el Estado, sus organismos</w:t>
      </w:r>
      <w:r w:rsidRPr="00857BDC">
        <w:rPr>
          <w:rFonts w:ascii="Palatino Linotype" w:eastAsiaTheme="minorHAnsi" w:hAnsi="Palatino Linotype"/>
          <w:i/>
          <w:lang w:val="es-MX" w:eastAsia="en-US"/>
        </w:rPr>
        <w:t xml:space="preserve">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rsidR="00FB7482" w:rsidRPr="00857BDC" w:rsidRDefault="0066309C"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p>
    <w:p w:rsidR="00FB7482" w:rsidRPr="00857BDC" w:rsidRDefault="00FB7482" w:rsidP="00FB7482">
      <w:pPr>
        <w:spacing w:line="360" w:lineRule="auto"/>
        <w:ind w:right="567"/>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De lo que se deduce que parte de los ingresos del Estado, son los derechos, los cuales son concebidos como </w:t>
      </w:r>
      <w:r w:rsidRPr="00857BDC">
        <w:rPr>
          <w:rFonts w:ascii="Palatino Linotype" w:eastAsia="MS Mincho" w:hAnsi="Palatino Linotype" w:cs="Times New Roman"/>
          <w:b/>
          <w:bCs/>
        </w:rPr>
        <w:t>las aportaciones por</w:t>
      </w:r>
      <w:r w:rsidRPr="00857BDC">
        <w:rPr>
          <w:rFonts w:ascii="Palatino Linotype" w:eastAsia="MS Mincho" w:hAnsi="Palatino Linotype" w:cs="Times New Roman"/>
        </w:rPr>
        <w:t xml:space="preserve"> </w:t>
      </w:r>
      <w:r w:rsidRPr="00857BDC">
        <w:rPr>
          <w:rFonts w:ascii="Palatino Linotype" w:eastAsia="MS Mincho" w:hAnsi="Palatino Linotype" w:cs="Times New Roman"/>
          <w:b/>
          <w:bCs/>
        </w:rPr>
        <w:t>recibir servicios que presten el Estado, sus organismos y Municipios en funciones del derecho público</w:t>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lastRenderedPageBreak/>
        <w:t xml:space="preserve">Entonces, siendo un organismo auxiliar, teniendo el carácter público y realizando una función de seguridad que tiene el Estado, está brindando un servicio, por el cual recibe una serie de contraprestaciones y pagos, que debieron de haber sido contemplados como derechos y que, al ser contemplados como derechos deberían de formar parte de las tarifas definidas en el Código Financiero del Estado de México y Municipios, las que </w:t>
      </w:r>
      <w:r w:rsidR="00D91535" w:rsidRPr="00857BDC">
        <w:rPr>
          <w:rFonts w:ascii="Palatino Linotype" w:eastAsia="MS Mincho" w:hAnsi="Palatino Linotype" w:cs="Times New Roman"/>
        </w:rPr>
        <w:t xml:space="preserve">debieron sujetarse </w:t>
      </w:r>
      <w:r w:rsidRPr="00857BDC">
        <w:rPr>
          <w:rFonts w:ascii="Palatino Linotype" w:eastAsia="MS Mincho" w:hAnsi="Palatino Linotype" w:cs="Times New Roman"/>
        </w:rPr>
        <w:t>a fiscalización y control, a través de la Ley de Ingresos del Estado de México.</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5371CB">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 </w:t>
      </w:r>
      <w:r w:rsidR="00D91535" w:rsidRPr="00857BDC">
        <w:rPr>
          <w:rFonts w:ascii="Palatino Linotype" w:eastAsia="MS Mincho" w:hAnsi="Palatino Linotype" w:cs="Times New Roman"/>
        </w:rPr>
        <w:t>En efecto, p</w:t>
      </w:r>
      <w:r w:rsidRPr="00857BDC">
        <w:rPr>
          <w:rFonts w:ascii="Palatino Linotype" w:eastAsia="MS Mincho" w:hAnsi="Palatino Linotype" w:cs="Times New Roman"/>
        </w:rPr>
        <w:t>ara que estos ingresos fueran debidamente</w:t>
      </w:r>
      <w:r w:rsidR="00D91535" w:rsidRPr="00857BDC">
        <w:rPr>
          <w:rFonts w:ascii="Palatino Linotype" w:eastAsia="MS Mincho" w:hAnsi="Palatino Linotype" w:cs="Times New Roman"/>
        </w:rPr>
        <w:t xml:space="preserve"> fiscalizados y por ende </w:t>
      </w:r>
      <w:r w:rsidRPr="00857BDC">
        <w:rPr>
          <w:rFonts w:ascii="Palatino Linotype" w:eastAsia="MS Mincho" w:hAnsi="Palatino Linotype" w:cs="Times New Roman"/>
        </w:rPr>
        <w:t xml:space="preserve"> contemplados en la Ley de Ingresos del Estado se </w:t>
      </w:r>
      <w:r w:rsidR="00D91535" w:rsidRPr="00857BDC">
        <w:rPr>
          <w:rFonts w:ascii="Palatino Linotype" w:eastAsia="MS Mincho" w:hAnsi="Palatino Linotype" w:cs="Times New Roman"/>
        </w:rPr>
        <w:t>requieren dos supuestos, que el Órgano Superior de Fiscalización elaborara una propuesta</w:t>
      </w:r>
      <w:r w:rsidRPr="00857BDC">
        <w:rPr>
          <w:rFonts w:ascii="Palatino Linotype" w:eastAsia="MS Mincho" w:hAnsi="Palatino Linotype" w:cs="Times New Roman"/>
        </w:rPr>
        <w:t xml:space="preserve"> para </w:t>
      </w:r>
      <w:r w:rsidR="00D91535" w:rsidRPr="00857BDC">
        <w:rPr>
          <w:rFonts w:ascii="Palatino Linotype" w:eastAsia="MS Mincho" w:hAnsi="Palatino Linotype" w:cs="Times New Roman"/>
        </w:rPr>
        <w:t xml:space="preserve">definir la naturaleza del CUSAEM y proceder a la  fiscalización </w:t>
      </w:r>
      <w:r w:rsidRPr="00857BDC">
        <w:rPr>
          <w:rFonts w:ascii="Palatino Linotype" w:eastAsia="MS Mincho" w:hAnsi="Palatino Linotype" w:cs="Times New Roman"/>
        </w:rPr>
        <w:t>de los</w:t>
      </w:r>
      <w:r w:rsidR="00D91535" w:rsidRPr="00857BDC">
        <w:rPr>
          <w:rFonts w:ascii="Palatino Linotype" w:eastAsia="MS Mincho" w:hAnsi="Palatino Linotype" w:cs="Times New Roman"/>
        </w:rPr>
        <w:t xml:space="preserve"> ingresos por concepto de seguridad  </w:t>
      </w:r>
      <w:r w:rsidRPr="00857BDC">
        <w:rPr>
          <w:rFonts w:ascii="Palatino Linotype" w:eastAsia="MS Mincho" w:hAnsi="Palatino Linotype" w:cs="Times New Roman"/>
        </w:rPr>
        <w:t xml:space="preserve">y la información que el organismo auxiliar le proporcionara sobre los servicios que brinda, el cálculo del total de sus ingresos. Es a la luz de estas consideraciones que puede apreciarse que el marco normativo vigente nos conduce a determinar que la información relacionada con los ingresos de los organismos auxiliares se deriva de la función que ellos realizan en materia de seguridad, pero corresponde también a las atribuciones que </w:t>
      </w:r>
      <w:r w:rsidR="00D91535" w:rsidRPr="00857BDC">
        <w:rPr>
          <w:rFonts w:ascii="Palatino Linotype" w:eastAsia="MS Mincho" w:hAnsi="Palatino Linotype" w:cs="Times New Roman"/>
        </w:rPr>
        <w:t>tiene el Poder Legislativo a través del Órgano Superior de Fiscalización.</w:t>
      </w:r>
    </w:p>
    <w:p w:rsidR="00D91535" w:rsidRPr="00857BDC" w:rsidRDefault="00D91535" w:rsidP="00D91535">
      <w:pPr>
        <w:spacing w:after="160"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Por consiguiente, el </w:t>
      </w:r>
      <w:r w:rsidRPr="00857BDC">
        <w:rPr>
          <w:rFonts w:ascii="Palatino Linotype" w:eastAsia="MS Mincho" w:hAnsi="Palatino Linotype" w:cs="Times New Roman"/>
          <w:b/>
          <w:bCs/>
        </w:rPr>
        <w:t xml:space="preserve">Sujeto Obligado </w:t>
      </w:r>
      <w:r w:rsidRPr="00857BDC">
        <w:rPr>
          <w:rFonts w:ascii="Palatino Linotype" w:eastAsia="MS Mincho" w:hAnsi="Palatino Linotype" w:cs="Times New Roman"/>
        </w:rPr>
        <w:t>tendría que tener la información relativa a:</w:t>
      </w:r>
    </w:p>
    <w:p w:rsidR="00D91535" w:rsidRPr="00857BDC" w:rsidRDefault="00D91535" w:rsidP="00D91535">
      <w:pPr>
        <w:pStyle w:val="Prrafodelista"/>
        <w:rPr>
          <w:rFonts w:ascii="Palatino Linotype" w:eastAsia="MS Mincho" w:hAnsi="Palatino Linotype" w:cs="Times New Roman"/>
        </w:rPr>
      </w:pPr>
    </w:p>
    <w:p w:rsidR="00D91535" w:rsidRPr="00857BDC" w:rsidRDefault="00D91535" w:rsidP="00D91535">
      <w:pPr>
        <w:spacing w:after="160"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43"/>
        </w:numPr>
        <w:spacing w:after="160" w:line="360" w:lineRule="auto"/>
        <w:ind w:left="851" w:right="567" w:hanging="283"/>
        <w:contextualSpacing/>
        <w:jc w:val="both"/>
        <w:rPr>
          <w:rFonts w:ascii="Palatino Linotype" w:eastAsia="MS Mincho" w:hAnsi="Palatino Linotype" w:cs="Times New Roman"/>
        </w:rPr>
      </w:pPr>
      <w:r w:rsidRPr="00857BDC">
        <w:rPr>
          <w:rFonts w:ascii="Palatino Linotype" w:eastAsia="MS Mincho" w:hAnsi="Palatino Linotype" w:cs="Times New Roman"/>
        </w:rPr>
        <w:lastRenderedPageBreak/>
        <w:t>Los ingre</w:t>
      </w:r>
      <w:r w:rsidR="00D91535" w:rsidRPr="00857BDC">
        <w:rPr>
          <w:rFonts w:ascii="Palatino Linotype" w:eastAsia="MS Mincho" w:hAnsi="Palatino Linotype" w:cs="Times New Roman"/>
        </w:rPr>
        <w:t>sos obtenidos por sus servicios.</w:t>
      </w:r>
    </w:p>
    <w:p w:rsidR="00D91535" w:rsidRPr="00857BDC" w:rsidRDefault="00D91535" w:rsidP="00FB7482">
      <w:pPr>
        <w:numPr>
          <w:ilvl w:val="0"/>
          <w:numId w:val="43"/>
        </w:numPr>
        <w:spacing w:after="160" w:line="360" w:lineRule="auto"/>
        <w:ind w:left="851" w:right="567" w:hanging="283"/>
        <w:contextualSpacing/>
        <w:jc w:val="both"/>
        <w:rPr>
          <w:rFonts w:ascii="Palatino Linotype" w:eastAsia="MS Mincho" w:hAnsi="Palatino Linotype" w:cs="Times New Roman"/>
        </w:rPr>
      </w:pPr>
      <w:r w:rsidRPr="00857BDC">
        <w:rPr>
          <w:rFonts w:ascii="Palatino Linotype" w:eastAsia="MS Mincho" w:hAnsi="Palatino Linotype" w:cs="Times New Roman"/>
        </w:rPr>
        <w:t>La asignación de recursos públicos.</w:t>
      </w:r>
    </w:p>
    <w:p w:rsidR="00D91535" w:rsidRPr="00857BDC" w:rsidRDefault="00D91535" w:rsidP="00D91535">
      <w:pPr>
        <w:numPr>
          <w:ilvl w:val="0"/>
          <w:numId w:val="43"/>
        </w:numPr>
        <w:spacing w:after="160" w:line="360" w:lineRule="auto"/>
        <w:ind w:left="851" w:right="567" w:hanging="283"/>
        <w:contextualSpacing/>
        <w:jc w:val="both"/>
        <w:rPr>
          <w:rFonts w:ascii="Palatino Linotype" w:eastAsia="MS Mincho" w:hAnsi="Palatino Linotype" w:cs="Times New Roman"/>
        </w:rPr>
      </w:pPr>
      <w:r w:rsidRPr="00857BDC">
        <w:rPr>
          <w:rFonts w:ascii="Palatino Linotype" w:eastAsia="MS Mincho" w:hAnsi="Palatino Linotype" w:cs="Times New Roman"/>
        </w:rPr>
        <w:t>Auditoritas realizadas.</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En ese mismo sentido y como se estableció, si el CUSAEM es un organismo auxiliar de naturaleza pública, todos los gastos que realice deben estar previamente aprobados en los presupuestos de egresos, en términos del artículo 285 del Código Financiero del Estado de México y Municipios el cual prevé que: </w:t>
      </w:r>
      <w:r w:rsidRPr="00857BDC">
        <w:rPr>
          <w:rFonts w:ascii="Palatino Linotype" w:eastAsia="MS Mincho" w:hAnsi="Palatino Linotype" w:cs="Times New Roman"/>
          <w:i/>
          <w:iCs/>
        </w:rPr>
        <w:t xml:space="preserve">“El presupuesto de Egresos del Estado es el instrumento jurídico, de política económica y de política de gasto, que aprueba la Legislatura conforme a la iniciativa que presenta el Gobernador, en el cual se establece el </w:t>
      </w:r>
      <w:r w:rsidRPr="00857BDC">
        <w:rPr>
          <w:rFonts w:ascii="Palatino Linotype" w:eastAsia="MS Mincho" w:hAnsi="Palatino Linotype" w:cs="Times New Roman"/>
          <w:b/>
          <w:bCs/>
          <w:i/>
          <w:iCs/>
        </w:rPr>
        <w:t xml:space="preserve">ejercicio, control del gasto público y evaluación del desempeño de las </w:t>
      </w:r>
      <w:r w:rsidRPr="00857BDC">
        <w:rPr>
          <w:rFonts w:ascii="Palatino Linotype" w:eastAsia="MS Mincho" w:hAnsi="Palatino Linotype" w:cs="Times New Roman"/>
          <w:bCs/>
          <w:i/>
          <w:iCs/>
        </w:rPr>
        <w:t>Dependencias,</w:t>
      </w:r>
      <w:r w:rsidRPr="00857BDC">
        <w:rPr>
          <w:rFonts w:ascii="Palatino Linotype" w:eastAsia="MS Mincho" w:hAnsi="Palatino Linotype" w:cs="Times New Roman"/>
          <w:b/>
          <w:bCs/>
          <w:i/>
          <w:iCs/>
        </w:rPr>
        <w:t xml:space="preserve"> Entidades Públicas, </w:t>
      </w:r>
      <w:r w:rsidRPr="00857BDC">
        <w:rPr>
          <w:rFonts w:ascii="Palatino Linotype" w:eastAsia="MS Mincho" w:hAnsi="Palatino Linotype" w:cs="Times New Roman"/>
          <w:bCs/>
          <w:i/>
          <w:iCs/>
        </w:rPr>
        <w:t>Organismos Autónomos, Poderes Legislativo y Judicial y de los Municipios</w:t>
      </w:r>
      <w:r w:rsidRPr="00857BDC">
        <w:rPr>
          <w:rFonts w:ascii="Palatino Linotype" w:eastAsia="MS Mincho" w:hAnsi="Palatino Linotype" w:cs="Times New Roman"/>
          <w:i/>
          <w:iCs/>
        </w:rPr>
        <w:t xml:space="preserve"> […]”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A pesar de que esta disposición no contempla a los organismos auxiliares, es necesario acudir a la definición establecida en el artículo 3 fracción XIV del Código Financiero Estatal que a la letra señala que se entiende por: “</w:t>
      </w:r>
      <w:r w:rsidRPr="00857BDC">
        <w:rPr>
          <w:rFonts w:ascii="Palatino Linotype" w:eastAsia="MS Mincho" w:hAnsi="Palatino Linotype" w:cs="Times New Roman"/>
          <w:b/>
          <w:bCs/>
        </w:rPr>
        <w:t xml:space="preserve">Entidades Públicas. </w:t>
      </w:r>
      <w:r w:rsidRPr="00857BDC">
        <w:rPr>
          <w:rFonts w:ascii="Palatino Linotype" w:eastAsia="MS Mincho" w:hAnsi="Palatino Linotype" w:cs="Times New Roman"/>
        </w:rPr>
        <w:t>A Tribunales administrativos</w:t>
      </w:r>
      <w:r w:rsidRPr="00857BDC">
        <w:rPr>
          <w:rFonts w:ascii="Palatino Linotype" w:eastAsia="MS Mincho" w:hAnsi="Palatino Linotype" w:cs="Times New Roman"/>
          <w:b/>
          <w:bCs/>
        </w:rPr>
        <w:t xml:space="preserve"> </w:t>
      </w:r>
      <w:r w:rsidRPr="00857BDC">
        <w:rPr>
          <w:rFonts w:ascii="Palatino Linotype" w:eastAsia="MS Mincho" w:hAnsi="Palatino Linotype" w:cs="Times New Roman"/>
        </w:rPr>
        <w:t>y</w:t>
      </w:r>
      <w:r w:rsidRPr="00857BDC">
        <w:rPr>
          <w:rFonts w:ascii="Palatino Linotype" w:eastAsia="MS Mincho" w:hAnsi="Palatino Linotype" w:cs="Times New Roman"/>
          <w:b/>
          <w:bCs/>
        </w:rPr>
        <w:t xml:space="preserve"> organismos descentralizados, empresas de participación estatal o municipal y fideicomisos públicos, todos del Estado de México”. </w:t>
      </w:r>
      <w:r w:rsidRPr="00857BDC">
        <w:rPr>
          <w:rFonts w:ascii="Palatino Linotype" w:eastAsia="MS Mincho" w:hAnsi="Palatino Linotype" w:cs="Times New Roman"/>
          <w:bCs/>
        </w:rPr>
        <w:t xml:space="preserve">Y si el artículo 45 de la Ley Orgánica de la Administración Pública del Estado de México establece que los </w:t>
      </w:r>
      <w:r w:rsidRPr="00857BDC">
        <w:rPr>
          <w:rFonts w:ascii="Palatino Linotype" w:eastAsia="MS Mincho" w:hAnsi="Palatino Linotype" w:cs="Times New Roman"/>
          <w:b/>
          <w:bCs/>
        </w:rPr>
        <w:t xml:space="preserve">organismos descentralizados, las empresas de participación estatal y los fideicomisos públicos serán considerados como organismos auxiliares del Poder Ejecutivo”, </w:t>
      </w:r>
      <w:r w:rsidRPr="00857BDC">
        <w:rPr>
          <w:rFonts w:ascii="Palatino Linotype" w:eastAsia="MS Mincho" w:hAnsi="Palatino Linotype" w:cs="Times New Roman"/>
          <w:bCs/>
        </w:rPr>
        <w:t xml:space="preserve">una interpretación sistemática de ambas disposiciones jurídicas nos permite concluir que los organismos auxiliares </w:t>
      </w:r>
      <w:r w:rsidRPr="00857BDC">
        <w:rPr>
          <w:rFonts w:ascii="Palatino Linotype" w:eastAsia="MS Mincho" w:hAnsi="Palatino Linotype" w:cs="Times New Roman"/>
          <w:bCs/>
        </w:rPr>
        <w:lastRenderedPageBreak/>
        <w:t>se encuentran contemplados en la definición de entidades públicas del Código Financiero del Estado.</w:t>
      </w:r>
    </w:p>
    <w:p w:rsidR="00FB7482" w:rsidRPr="00857BDC" w:rsidRDefault="00FB7482" w:rsidP="00FB7482">
      <w:pPr>
        <w:spacing w:line="360" w:lineRule="auto"/>
        <w:ind w:right="49"/>
        <w:contextualSpacing/>
        <w:jc w:val="both"/>
        <w:rPr>
          <w:rFonts w:ascii="Palatino Linotype" w:eastAsia="MS Mincho" w:hAnsi="Palatino Linotype" w:cs="Times New Roman"/>
        </w:rPr>
      </w:pPr>
      <w:r w:rsidRPr="00857BDC">
        <w:rPr>
          <w:rFonts w:ascii="Palatino Linotype" w:eastAsia="MS Mincho" w:hAnsi="Palatino Linotype" w:cs="Times New Roman"/>
          <w:b/>
          <w:bCs/>
        </w:rPr>
        <w:t xml:space="preserve"> </w:t>
      </w: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Luego entonces, los organismos auxiliares, en su condición de descentralizados, empresas de participación estatal y fideicomisos públicos, son considerados y forman parte de la Administración Pública del Estado, y su gasto se encuentra autorizado en cualquier presupuesto de egresos, para el caso del año fiscal 2019, su presupuesto aprobado se encuentra definido en el artículo 33 del Presupuesto de Egresos del Estado de México</w:t>
      </w:r>
      <w:r w:rsidRPr="00857BDC">
        <w:rPr>
          <w:rFonts w:ascii="Palatino Linotype" w:eastAsia="MS Mincho" w:hAnsi="Palatino Linotype" w:cs="Times New Roman"/>
          <w:vertAlign w:val="superscript"/>
        </w:rPr>
        <w:footnoteReference w:id="13"/>
      </w:r>
      <w:r w:rsidRPr="00857BDC">
        <w:rPr>
          <w:rFonts w:ascii="Palatino Linotype" w:eastAsia="MS Mincho" w:hAnsi="Palatino Linotype" w:cs="Times New Roman"/>
        </w:rPr>
        <w:t xml:space="preserv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bookmarkStart w:id="119" w:name="_Hlk22889928"/>
      <w:r w:rsidRPr="00857BDC">
        <w:rPr>
          <w:rFonts w:ascii="Palatino Linotype" w:eastAsia="MS Mincho" w:hAnsi="Palatino Linotype" w:cs="Times New Roman"/>
        </w:rPr>
        <w:t xml:space="preserve">Por lo tanto, si CUSAEM es un organismo auxiliar y como organismo auxiliar es un organismo de carácter público, todas sus acciones, bajo la óptica de que deberían ser fiscalizadas por las leyes aplicables, tendrían que haber estado sometidas al sistema de </w:t>
      </w:r>
      <w:proofErr w:type="spellStart"/>
      <w:r w:rsidRPr="00857BDC">
        <w:rPr>
          <w:rFonts w:ascii="Palatino Linotype" w:eastAsia="MS Mincho" w:hAnsi="Palatino Linotype" w:cs="Times New Roman"/>
        </w:rPr>
        <w:t>presupuestación</w:t>
      </w:r>
      <w:proofErr w:type="spellEnd"/>
      <w:r w:rsidRPr="00857BDC">
        <w:rPr>
          <w:rFonts w:ascii="Palatino Linotype" w:eastAsia="MS Mincho" w:hAnsi="Palatino Linotype" w:cs="Times New Roman"/>
        </w:rPr>
        <w:t xml:space="preserve"> en términos del Código Financiero del Estado de México que determina los ingresos contemplados en la Ley de Ingresos, egresos contemplados en el Presupuesto de Egresos y ejercicio de los recursos contemplados en la Cuenta Pública, por ello es que se considera que la información objeto de la presente solicitud se encuentra en posesión del </w:t>
      </w:r>
      <w:r w:rsidRPr="00857BDC">
        <w:rPr>
          <w:rFonts w:ascii="Palatino Linotype" w:eastAsia="MS Mincho" w:hAnsi="Palatino Linotype" w:cs="Times New Roman"/>
          <w:b/>
          <w:bCs/>
        </w:rPr>
        <w:t xml:space="preserve">Sujeto Obligado. </w:t>
      </w:r>
      <w:bookmarkEnd w:id="119"/>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8F7884" w:rsidRPr="00857BDC" w:rsidRDefault="00FB7482" w:rsidP="008F7884">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Al ser CUSAEM un organismo auxiliar y, por lo tanto, una entidad pública, cuya </w:t>
      </w:r>
      <w:r w:rsidRPr="00857BDC">
        <w:rPr>
          <w:rFonts w:ascii="Palatino Linotype" w:eastAsia="MS Mincho" w:hAnsi="Palatino Linotype" w:cs="Times New Roman"/>
          <w:i/>
        </w:rPr>
        <w:t>organización, funcionamiento y tarifa por concepto de pago de servicio,</w:t>
      </w:r>
      <w:r w:rsidRPr="00857BDC">
        <w:rPr>
          <w:rFonts w:ascii="Palatino Linotype" w:eastAsia="MS Mincho" w:hAnsi="Palatino Linotype" w:cs="Times New Roman"/>
        </w:rPr>
        <w:t xml:space="preserve"> se regulan </w:t>
      </w:r>
      <w:r w:rsidRPr="00857BDC">
        <w:rPr>
          <w:rFonts w:ascii="Palatino Linotype" w:eastAsia="MS Mincho" w:hAnsi="Palatino Linotype" w:cs="Times New Roman"/>
          <w:i/>
        </w:rPr>
        <w:t>por las disposiciones administrativas que emitan las dependencias del Gobierno del Estado</w:t>
      </w:r>
      <w:r w:rsidRPr="00857BDC">
        <w:rPr>
          <w:rFonts w:ascii="Palatino Linotype" w:eastAsia="MS Mincho" w:hAnsi="Palatino Linotype" w:cs="Times New Roman"/>
        </w:rPr>
        <w:t xml:space="preserve">, </w:t>
      </w:r>
      <w:r w:rsidRPr="00857BDC">
        <w:rPr>
          <w:rFonts w:ascii="Palatino Linotype" w:eastAsia="MS Mincho" w:hAnsi="Palatino Linotype" w:cs="Times New Roman"/>
          <w:i/>
        </w:rPr>
        <w:lastRenderedPageBreak/>
        <w:t>sujetándose a los sistemas de control y fiscalización,</w:t>
      </w:r>
      <w:r w:rsidRPr="00857BDC">
        <w:rPr>
          <w:rFonts w:ascii="Palatino Linotype" w:eastAsia="MS Mincho" w:hAnsi="Palatino Linotype" w:cs="Times New Roman"/>
        </w:rPr>
        <w:t xml:space="preserve"> dichos conceptos deben estar sometidas al sistema de contabilidad pública en términos del Código Financiero del Estado de México, esto es, sus ingresos deberían de estar contemplados en la Ley de Ingresos; su gasto, en el Presupuesto de Egresos y el ejercicio de los recursos, reportados en la Cuenta Pública del Gobierno del Estado de México y </w:t>
      </w:r>
      <w:r w:rsidR="008F7884" w:rsidRPr="00857BDC">
        <w:rPr>
          <w:rFonts w:ascii="Palatino Linotype" w:eastAsia="MS Mincho" w:hAnsi="Palatino Linotype" w:cs="Times New Roman"/>
        </w:rPr>
        <w:t>por tanto fiscalizados por el Órgano Superior de Fiscalización del Estado de México.</w:t>
      </w:r>
      <w:r w:rsidRPr="00857BDC">
        <w:rPr>
          <w:rFonts w:ascii="Palatino Linotype" w:eastAsia="MS Mincho" w:hAnsi="Palatino Linotype" w:cs="Times New Roman"/>
          <w:b/>
          <w:bCs/>
        </w:rPr>
        <w:t xml:space="preserve"> </w:t>
      </w:r>
    </w:p>
    <w:p w:rsidR="00FB7482" w:rsidRPr="00857BDC" w:rsidRDefault="00FB7482" w:rsidP="008F7884">
      <w:pPr>
        <w:pStyle w:val="Ttulo1"/>
        <w:rPr>
          <w:rFonts w:eastAsia="MS Mincho"/>
        </w:rPr>
      </w:pPr>
      <w:bookmarkStart w:id="120" w:name="_Toc25180702"/>
      <w:r w:rsidRPr="00857BDC">
        <w:rPr>
          <w:rFonts w:eastAsia="MS Mincho"/>
        </w:rPr>
        <w:t>VI. La inexistencia de la información</w:t>
      </w:r>
      <w:r w:rsidR="008F7884" w:rsidRPr="00857BDC">
        <w:rPr>
          <w:rFonts w:eastAsia="MS Mincho"/>
        </w:rPr>
        <w:t>.</w:t>
      </w:r>
      <w:bookmarkEnd w:id="120"/>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Con lo hasta aquí analizado es posible determinar lo siguiente. Los Cuerpos de Seguridad de Seguridad Auxiliares del Estado de México son un organismo auxiliar del Estado, disciplinado por lo dispuesto en los artículos 3 y 45 de la Ley Orgánica de la Administración Pública del Estado de México, en ejercicio de dicha función, se encuentra obligado a documentar sus actos.</w:t>
      </w:r>
    </w:p>
    <w:p w:rsidR="00FB7482" w:rsidRPr="00857BDC" w:rsidRDefault="00FB7482" w:rsidP="00FB7482">
      <w:pPr>
        <w:spacing w:line="360" w:lineRule="auto"/>
        <w:ind w:right="49"/>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 </w:t>
      </w: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Por tratarse de un organismo auxiliar y, al mismo tiempo, entidad pública, en términos de lo dispuesto por el Código Financiero del Estado de México, sus tarifas de servicios debieron de contemplarse en dicho Código y su sistema de control debe derivar de lo que sobre sus actividades determinara la Ley de Ingresos del Estado, el Presupuesto de Egresos del Estado y su fiscalización dependería de la información que sobre el mismo se contemplara en la Cuenta Pública. Siendo </w:t>
      </w:r>
      <w:r w:rsidR="00A80B6A" w:rsidRPr="00857BDC">
        <w:rPr>
          <w:rFonts w:ascii="Palatino Linotype" w:eastAsia="MS Mincho" w:hAnsi="Palatino Linotype" w:cs="Times New Roman"/>
        </w:rPr>
        <w:t xml:space="preserve">el Órgano Superior de Fiscalización del Estado de México, </w:t>
      </w:r>
      <w:r w:rsidRPr="00857BDC">
        <w:rPr>
          <w:rFonts w:ascii="Palatino Linotype" w:eastAsia="MS Mincho" w:hAnsi="Palatino Linotype" w:cs="Times New Roman"/>
        </w:rPr>
        <w:t xml:space="preserve">sujeto obligado cuya respuesta se ha combatido, la autoridad encargada </w:t>
      </w:r>
      <w:r w:rsidR="00A80B6A" w:rsidRPr="00857BDC">
        <w:rPr>
          <w:rFonts w:ascii="Palatino Linotype" w:eastAsia="MS Mincho" w:hAnsi="Palatino Linotype" w:cs="Times New Roman"/>
        </w:rPr>
        <w:t xml:space="preserve">proponer e iniciar la fiscalización de los CUSAEM de conformidad con lo que establece la Ley  </w:t>
      </w:r>
      <w:r w:rsidRPr="00857BDC">
        <w:rPr>
          <w:rFonts w:ascii="Palatino Linotype" w:eastAsia="MS Mincho" w:hAnsi="Palatino Linotype" w:cs="Times New Roman"/>
        </w:rPr>
        <w:t>,</w:t>
      </w:r>
      <w:r w:rsidR="00A80B6A" w:rsidRPr="00857BDC">
        <w:rPr>
          <w:rFonts w:ascii="Palatino Linotype" w:eastAsia="MS Mincho" w:hAnsi="Palatino Linotype" w:cs="Times New Roman"/>
        </w:rPr>
        <w:t xml:space="preserve"> así también y toda vez que dentro de sus facultades se encuentran las de desarrollar </w:t>
      </w:r>
      <w:r w:rsidR="00A80B6A" w:rsidRPr="00857BDC">
        <w:rPr>
          <w:rFonts w:ascii="Palatino Linotype" w:eastAsia="MS Mincho" w:hAnsi="Palatino Linotype" w:cs="Times New Roman"/>
        </w:rPr>
        <w:lastRenderedPageBreak/>
        <w:t xml:space="preserve">actividades tendientes a la fiscalización de entes auxiliares </w:t>
      </w:r>
      <w:r w:rsidRPr="00857BDC">
        <w:rPr>
          <w:rFonts w:ascii="Palatino Linotype" w:eastAsia="MS Mincho" w:hAnsi="Palatino Linotype" w:cs="Times New Roman"/>
        </w:rPr>
        <w:t xml:space="preserve">debe presumirse su existencia en términos de lo dispuesto por el artículo 19 de la Ley de Transparencia y Acceso a la Información Pública del Estado de México y Municipios, que señala que: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r w:rsidRPr="00857BDC">
        <w:rPr>
          <w:rFonts w:ascii="Palatino Linotype" w:eastAsiaTheme="minorHAnsi" w:hAnsi="Palatino Linotype"/>
          <w:i/>
          <w:lang w:val="es-MX" w:eastAsia="en-US"/>
        </w:rPr>
        <w:t>“</w:t>
      </w:r>
      <w:r w:rsidRPr="00857BDC">
        <w:rPr>
          <w:rFonts w:ascii="Palatino Linotype" w:eastAsiaTheme="minorHAnsi" w:hAnsi="Palatino Linotype"/>
          <w:b/>
          <w:bCs/>
          <w:i/>
          <w:lang w:val="es-MX" w:eastAsia="en-US"/>
        </w:rPr>
        <w:t>Artículo 19.</w:t>
      </w:r>
      <w:r w:rsidRPr="00857BDC">
        <w:rPr>
          <w:rFonts w:ascii="Palatino Linotype" w:eastAsiaTheme="minorHAnsi" w:hAnsi="Palatino Linotype"/>
          <w:i/>
          <w:lang w:val="es-MX" w:eastAsia="en-US"/>
        </w:rPr>
        <w:t xml:space="preserve"> </w:t>
      </w:r>
      <w:r w:rsidRPr="00857BDC">
        <w:rPr>
          <w:rFonts w:ascii="Palatino Linotype" w:eastAsiaTheme="minorHAnsi" w:hAnsi="Palatino Linotype"/>
          <w:b/>
          <w:i/>
          <w:lang w:val="es-MX" w:eastAsia="en-US"/>
        </w:rPr>
        <w:t>Se presume que la información debe existir si se refiere a las facultades, competencias y funciones que los ordenamientos jurídicos aplicables otorgan a los sujetos obligados.</w:t>
      </w:r>
      <w:r w:rsidRPr="00857BDC">
        <w:rPr>
          <w:rFonts w:ascii="Palatino Linotype" w:eastAsiaTheme="minorHAnsi" w:hAnsi="Palatino Linotype"/>
          <w:i/>
          <w:lang w:val="es-MX" w:eastAsia="en-US"/>
        </w:rPr>
        <w:t xml:space="preserve"> En los casos en que ciertas facultades, competencias o funciones no se hayan ejercido, se debe motivar la respuesta en función de las causas que motiven tal circunstancia.</w:t>
      </w:r>
    </w:p>
    <w:p w:rsidR="00FB7482" w:rsidRPr="00857BDC" w:rsidRDefault="00FB7482" w:rsidP="00FB7482">
      <w:pPr>
        <w:spacing w:line="360" w:lineRule="auto"/>
        <w:ind w:left="567" w:right="567"/>
        <w:contextualSpacing/>
        <w:jc w:val="both"/>
        <w:rPr>
          <w:rFonts w:ascii="Palatino Linotype" w:eastAsiaTheme="minorHAnsi" w:hAnsi="Palatino Linotype"/>
          <w:i/>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b/>
          <w:bCs/>
          <w:i/>
          <w:lang w:val="es-MX" w:eastAsia="en-US"/>
        </w:rPr>
      </w:pPr>
      <w:r w:rsidRPr="00857BDC">
        <w:rPr>
          <w:rFonts w:ascii="Palatino Linotype" w:eastAsiaTheme="minorHAnsi" w:hAnsi="Palatino Linotype"/>
          <w:b/>
          <w:bCs/>
          <w:i/>
          <w:lang w:val="es-MX"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B7482" w:rsidRPr="00857BDC" w:rsidRDefault="00FB7482" w:rsidP="00FB7482">
      <w:pPr>
        <w:spacing w:line="360" w:lineRule="auto"/>
        <w:ind w:left="567" w:right="567"/>
        <w:contextualSpacing/>
        <w:jc w:val="both"/>
        <w:rPr>
          <w:rFonts w:ascii="Palatino Linotype" w:eastAsia="MS Mincho" w:hAnsi="Palatino Linotype" w:cs="Times New Roman"/>
          <w:b/>
          <w:bCs/>
        </w:rPr>
      </w:pPr>
    </w:p>
    <w:p w:rsidR="00FB7482" w:rsidRPr="00857BDC" w:rsidRDefault="00FB7482" w:rsidP="00FB7482">
      <w:pPr>
        <w:numPr>
          <w:ilvl w:val="0"/>
          <w:numId w:val="2"/>
        </w:numPr>
        <w:spacing w:after="160" w:line="360" w:lineRule="auto"/>
        <w:ind w:left="0" w:firstLine="0"/>
        <w:contextualSpacing/>
        <w:jc w:val="both"/>
        <w:rPr>
          <w:rFonts w:ascii="Palatino Linotype" w:eastAsia="MS Mincho" w:hAnsi="Palatino Linotype" w:cs="Times New Roman"/>
          <w:b/>
          <w:bCs/>
        </w:rPr>
      </w:pPr>
      <w:r w:rsidRPr="00857BDC">
        <w:rPr>
          <w:rFonts w:ascii="Palatino Linotype" w:eastAsia="MS Mincho" w:hAnsi="Palatino Linotype" w:cs="Times New Roman"/>
        </w:rPr>
        <w:t>Sin embargo, la respuesta y el contenido del informe justificado, así como las respuestas previas de este sujeto obligado y de otros del gobierno del estado, apuntan que, al generar el diseño institucional más reciente de este organismo</w:t>
      </w:r>
      <w:r w:rsidRPr="00857BDC">
        <w:rPr>
          <w:rFonts w:ascii="Palatino Linotype" w:eastAsia="MS Mincho" w:hAnsi="Palatino Linotype" w:cs="Times New Roman"/>
          <w:vertAlign w:val="superscript"/>
        </w:rPr>
        <w:footnoteReference w:id="14"/>
      </w:r>
      <w:r w:rsidRPr="00857BDC">
        <w:rPr>
          <w:rFonts w:ascii="Palatino Linotype" w:eastAsia="MS Mincho" w:hAnsi="Palatino Linotype" w:cs="Times New Roman"/>
        </w:rPr>
        <w:t xml:space="preserve">, todo parece indicar que por razones que este Órgano Garante no conoce, los </w:t>
      </w:r>
      <w:r w:rsidRPr="00857BDC">
        <w:rPr>
          <w:rFonts w:ascii="Palatino Linotype" w:eastAsia="MS Mincho" w:hAnsi="Palatino Linotype" w:cs="Times New Roman"/>
        </w:rPr>
        <w:lastRenderedPageBreak/>
        <w:t xml:space="preserve">encargados del diseño se apartaron de observar lo que dispone </w:t>
      </w:r>
      <w:r w:rsidR="00A80B6A" w:rsidRPr="00857BDC">
        <w:rPr>
          <w:rFonts w:ascii="Palatino Linotype" w:eastAsia="MS Mincho" w:hAnsi="Palatino Linotype" w:cs="Times New Roman"/>
        </w:rPr>
        <w:t>la Constitución Política del Estado Libre y Soberano de México y la Ley de Fiscalización Superior del Estado de México</w:t>
      </w:r>
      <w:r w:rsidRPr="00857BDC">
        <w:rPr>
          <w:rFonts w:ascii="Palatino Linotype" w:eastAsia="MS Mincho" w:hAnsi="Palatino Linotype" w:cs="Times New Roman"/>
        </w:rPr>
        <w:t>, que es lo único que permitiría explicar el por qué</w:t>
      </w:r>
      <w:r w:rsidR="00A80B6A" w:rsidRPr="00857BDC">
        <w:rPr>
          <w:rFonts w:ascii="Palatino Linotype" w:eastAsia="MS Mincho" w:hAnsi="Palatino Linotype" w:cs="Times New Roman"/>
        </w:rPr>
        <w:t xml:space="preserve"> el Órgano Superior de Fiscalización del Estado de México</w:t>
      </w:r>
      <w:r w:rsidRPr="00857BDC">
        <w:rPr>
          <w:rFonts w:ascii="Palatino Linotype" w:eastAsia="MS Mincho" w:hAnsi="Palatino Linotype" w:cs="Times New Roman"/>
        </w:rPr>
        <w:t>, no conte</w:t>
      </w:r>
      <w:r w:rsidR="00A80B6A" w:rsidRPr="00857BDC">
        <w:rPr>
          <w:rFonts w:ascii="Palatino Linotype" w:eastAsia="MS Mincho" w:hAnsi="Palatino Linotype" w:cs="Times New Roman"/>
        </w:rPr>
        <w:t>mpla como entidad pública a fiscalizar a estos</w:t>
      </w:r>
      <w:r w:rsidRPr="00857BDC">
        <w:rPr>
          <w:rFonts w:ascii="Palatino Linotype" w:eastAsia="MS Mincho" w:hAnsi="Palatino Linotype" w:cs="Times New Roman"/>
        </w:rPr>
        <w:t xml:space="preserve"> organismo</w:t>
      </w:r>
      <w:r w:rsidR="00A80B6A" w:rsidRPr="00857BDC">
        <w:rPr>
          <w:rFonts w:ascii="Palatino Linotype" w:eastAsia="MS Mincho" w:hAnsi="Palatino Linotype" w:cs="Times New Roman"/>
        </w:rPr>
        <w:t>s</w:t>
      </w:r>
      <w:r w:rsidRPr="00857BDC">
        <w:rPr>
          <w:rFonts w:ascii="Palatino Linotype" w:eastAsia="MS Mincho" w:hAnsi="Palatino Linotype" w:cs="Times New Roman"/>
        </w:rPr>
        <w:t xml:space="preserve"> auxiliar</w:t>
      </w:r>
      <w:r w:rsidR="00A80B6A" w:rsidRPr="00857BDC">
        <w:rPr>
          <w:rFonts w:ascii="Palatino Linotype" w:eastAsia="MS Mincho" w:hAnsi="Palatino Linotype" w:cs="Times New Roman"/>
        </w:rPr>
        <w:t>es</w:t>
      </w:r>
      <w:r w:rsidRPr="00857BDC">
        <w:rPr>
          <w:rFonts w:ascii="Palatino Linotype" w:eastAsia="MS Mincho" w:hAnsi="Palatino Linotype" w:cs="Times New Roman"/>
        </w:rPr>
        <w:t xml:space="preserve"> </w:t>
      </w:r>
      <w:r w:rsidR="00A80B6A" w:rsidRPr="00857BDC">
        <w:rPr>
          <w:rFonts w:ascii="Palatino Linotype" w:eastAsia="MS Mincho" w:hAnsi="Palatino Linotype" w:cs="Times New Roman"/>
        </w:rPr>
        <w:t>.</w:t>
      </w:r>
    </w:p>
    <w:p w:rsidR="00FB7482" w:rsidRPr="00857BDC" w:rsidRDefault="00FB7482" w:rsidP="00FB7482">
      <w:pPr>
        <w:spacing w:line="360" w:lineRule="auto"/>
        <w:ind w:right="567"/>
        <w:contextualSpacing/>
        <w:jc w:val="both"/>
        <w:rPr>
          <w:rFonts w:ascii="Palatino Linotype" w:eastAsia="MS Mincho" w:hAnsi="Palatino Linotype" w:cs="Times New Roman"/>
          <w:b/>
          <w:bC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r w:rsidRPr="00857BDC">
        <w:rPr>
          <w:rFonts w:ascii="Palatino Linotype" w:eastAsia="MS Mincho" w:hAnsi="Palatino Linotype" w:cs="Times New Roman"/>
        </w:rPr>
        <w:t xml:space="preserve">Por lo que, nos conlleva a determinar que en efecto el </w:t>
      </w:r>
      <w:r w:rsidRPr="00857BDC">
        <w:rPr>
          <w:rFonts w:ascii="Palatino Linotype" w:eastAsia="MS Mincho" w:hAnsi="Palatino Linotype" w:cs="Times New Roman"/>
          <w:b/>
          <w:bCs/>
        </w:rPr>
        <w:t xml:space="preserve">Sujeto Obligado </w:t>
      </w:r>
      <w:r w:rsidRPr="00857BDC">
        <w:rPr>
          <w:rFonts w:ascii="Palatino Linotype" w:eastAsia="MS Mincho" w:hAnsi="Palatino Linotype" w:cs="Times New Roman"/>
        </w:rPr>
        <w:t xml:space="preserve">debió generar, poseer y administrar la información, pero si esta no se encuentra, porque las atribuciones no fueron ejercidas, a pesar de que resultaban de aplicación imperativa e inexcusable, debe procederse atendiendo lo establecido por el artículo 169, fracción III de la Ley de Transparencia Estatal, que dice; </w:t>
      </w:r>
    </w:p>
    <w:p w:rsidR="00FB7482" w:rsidRPr="00857BDC" w:rsidRDefault="00FB7482" w:rsidP="00FB7482">
      <w:pPr>
        <w:spacing w:line="360" w:lineRule="auto"/>
        <w:ind w:right="49"/>
        <w:contextualSpacing/>
        <w:jc w:val="both"/>
        <w:rPr>
          <w:rFonts w:ascii="Palatino Linotype" w:eastAsia="MS Mincho" w:hAnsi="Palatino Linotype" w:cs="Times New Roman"/>
        </w:rPr>
      </w:pPr>
    </w:p>
    <w:p w:rsidR="00FB7482" w:rsidRPr="00857BDC" w:rsidRDefault="00A80B6A" w:rsidP="00FB7482">
      <w:pPr>
        <w:spacing w:line="360" w:lineRule="auto"/>
        <w:ind w:left="567" w:right="567"/>
        <w:contextualSpacing/>
        <w:jc w:val="both"/>
        <w:rPr>
          <w:rFonts w:ascii="Palatino Linotype" w:eastAsiaTheme="minorHAnsi" w:hAnsi="Palatino Linotype"/>
          <w:lang w:val="es-MX" w:eastAsia="en-US"/>
        </w:rPr>
      </w:pPr>
      <w:r w:rsidRPr="00857BDC">
        <w:rPr>
          <w:rFonts w:ascii="Palatino Linotype" w:eastAsiaTheme="minorHAnsi" w:hAnsi="Palatino Linotype"/>
          <w:lang w:val="es-MX" w:eastAsia="en-US"/>
        </w:rPr>
        <w:t>“</w:t>
      </w:r>
      <w:r w:rsidR="00FB7482" w:rsidRPr="00857BDC">
        <w:rPr>
          <w:rFonts w:ascii="Palatino Linotype" w:eastAsiaTheme="minorHAnsi" w:hAnsi="Palatino Linotype"/>
          <w:lang w:val="es-MX" w:eastAsia="en-US"/>
        </w:rPr>
        <w:t>Artículo 169. Cuando la información no se encuentre en los archivos del sujeto obligado, el Comité de Transparencia:</w:t>
      </w:r>
    </w:p>
    <w:p w:rsidR="00FB7482" w:rsidRPr="00857BDC" w:rsidRDefault="00A80B6A" w:rsidP="00FB7482">
      <w:pPr>
        <w:spacing w:line="360" w:lineRule="auto"/>
        <w:ind w:left="567" w:right="567"/>
        <w:contextualSpacing/>
        <w:jc w:val="both"/>
        <w:rPr>
          <w:rFonts w:ascii="Palatino Linotype" w:eastAsiaTheme="minorHAnsi" w:hAnsi="Palatino Linotype"/>
          <w:lang w:val="es-MX" w:eastAsia="en-US"/>
        </w:rPr>
      </w:pPr>
      <w:r w:rsidRPr="00857BDC">
        <w:rPr>
          <w:rFonts w:ascii="Palatino Linotype" w:eastAsiaTheme="minorHAnsi" w:hAnsi="Palatino Linotype"/>
          <w:lang w:val="es-MX" w:eastAsia="en-US"/>
        </w:rPr>
        <w:t>(…)</w:t>
      </w:r>
    </w:p>
    <w:p w:rsidR="00FB7482" w:rsidRPr="00857BDC" w:rsidRDefault="00FB7482" w:rsidP="00FB7482">
      <w:pPr>
        <w:spacing w:line="360" w:lineRule="auto"/>
        <w:ind w:left="567" w:right="567"/>
        <w:contextualSpacing/>
        <w:jc w:val="both"/>
        <w:rPr>
          <w:rFonts w:ascii="Palatino Linotype" w:eastAsiaTheme="minorHAnsi" w:hAnsi="Palatino Linotype"/>
          <w:b/>
          <w:bCs/>
          <w:lang w:val="es-MX" w:eastAsia="en-US"/>
        </w:rPr>
      </w:pPr>
      <w:r w:rsidRPr="00857BDC">
        <w:rPr>
          <w:rFonts w:ascii="Palatino Linotype" w:eastAsiaTheme="minorHAnsi" w:hAnsi="Palatino Linotype"/>
          <w:b/>
          <w:lang w:val="es-MX" w:eastAsia="en-US"/>
        </w:rPr>
        <w:t>III.</w:t>
      </w:r>
      <w:r w:rsidRPr="00857BDC">
        <w:rPr>
          <w:rFonts w:ascii="Palatino Linotype" w:eastAsiaTheme="minorHAnsi" w:hAnsi="Palatino Linotype"/>
          <w:lang w:val="es-MX" w:eastAsia="en-U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857BDC">
        <w:rPr>
          <w:rFonts w:ascii="Palatino Linotype" w:eastAsiaTheme="minorHAnsi" w:hAnsi="Palatino Linotype"/>
          <w:b/>
          <w:lang w:val="es-MX" w:eastAsia="en-US"/>
        </w:rPr>
        <w:t>exponga de forma fundada y motivada, las razones por las cuales en el caso particular</w:t>
      </w:r>
      <w:r w:rsidRPr="00857BDC">
        <w:rPr>
          <w:rFonts w:ascii="Palatino Linotype" w:eastAsiaTheme="minorHAnsi" w:hAnsi="Palatino Linotype"/>
          <w:lang w:val="es-MX" w:eastAsia="en-US"/>
        </w:rPr>
        <w:t xml:space="preserve"> </w:t>
      </w:r>
      <w:r w:rsidRPr="00857BDC">
        <w:rPr>
          <w:rFonts w:ascii="Palatino Linotype" w:eastAsiaTheme="minorHAnsi" w:hAnsi="Palatino Linotype"/>
          <w:b/>
          <w:bCs/>
          <w:lang w:val="es-MX" w:eastAsia="en-US"/>
        </w:rPr>
        <w:t xml:space="preserve">no ejerció dichas facultades, competencias o funciones, lo cual notificará al solicitante a través de la Unidad de Transparencia; </w:t>
      </w:r>
    </w:p>
    <w:p w:rsidR="00FB7482" w:rsidRPr="00857BDC" w:rsidRDefault="00FB7482" w:rsidP="00FB7482">
      <w:pPr>
        <w:spacing w:line="360" w:lineRule="auto"/>
        <w:ind w:left="567" w:right="567"/>
        <w:contextualSpacing/>
        <w:jc w:val="both"/>
        <w:rPr>
          <w:rFonts w:ascii="Palatino Linotype" w:eastAsiaTheme="minorHAnsi" w:hAnsi="Palatino Linotype"/>
          <w:b/>
          <w:bCs/>
          <w:lang w:val="es-MX" w:eastAsia="en-US"/>
        </w:rPr>
      </w:pPr>
    </w:p>
    <w:p w:rsidR="00FB7482" w:rsidRPr="00857BDC" w:rsidRDefault="00FB7482" w:rsidP="00FB7482">
      <w:pPr>
        <w:spacing w:line="360" w:lineRule="auto"/>
        <w:ind w:left="567" w:right="567"/>
        <w:contextualSpacing/>
        <w:jc w:val="both"/>
        <w:rPr>
          <w:rFonts w:ascii="Palatino Linotype" w:eastAsiaTheme="minorHAnsi" w:hAnsi="Palatino Linotype"/>
          <w:b/>
          <w:bCs/>
          <w:lang w:val="es-MX" w:eastAsia="en-US"/>
        </w:rPr>
      </w:pPr>
      <w:r w:rsidRPr="00857BDC">
        <w:rPr>
          <w:rFonts w:ascii="Palatino Linotype" w:eastAsiaTheme="minorHAnsi" w:hAnsi="Palatino Linotype"/>
          <w:bCs/>
          <w:lang w:val="es-MX" w:eastAsia="en-US"/>
        </w:rPr>
        <w:lastRenderedPageBreak/>
        <w:t>IV. Notificará al órgano interno de control o equivalente del sujeto obligado</w:t>
      </w:r>
      <w:r w:rsidRPr="00857BDC">
        <w:rPr>
          <w:rFonts w:ascii="Palatino Linotype" w:eastAsiaTheme="minorHAnsi" w:hAnsi="Palatino Linotype"/>
          <w:b/>
          <w:bCs/>
          <w:lang w:val="es-MX" w:eastAsia="en-US"/>
        </w:rPr>
        <w:t xml:space="preserve"> quien, en su caso, deberá iniciar el procedimiento de responsabilidad administrativa que corresponda.</w:t>
      </w:r>
    </w:p>
    <w:p w:rsidR="00FB7482" w:rsidRPr="00857BDC" w:rsidRDefault="00A80B6A" w:rsidP="00FB7482">
      <w:pPr>
        <w:spacing w:line="360" w:lineRule="auto"/>
        <w:ind w:left="567" w:right="567"/>
        <w:contextualSpacing/>
        <w:jc w:val="both"/>
        <w:rPr>
          <w:rFonts w:ascii="Palatino Linotype" w:eastAsiaTheme="minorHAnsi" w:hAnsi="Palatino Linotype"/>
          <w:lang w:val="es-MX" w:eastAsia="en-US"/>
        </w:rPr>
      </w:pPr>
      <w:r w:rsidRPr="00857BDC">
        <w:rPr>
          <w:rFonts w:ascii="Palatino Linotype" w:eastAsiaTheme="minorHAnsi" w:hAnsi="Palatino Linotype"/>
          <w:lang w:val="es-MX" w:eastAsia="en-US"/>
        </w:rPr>
        <w:t>(…)”</w:t>
      </w:r>
    </w:p>
    <w:p w:rsidR="00FB7482" w:rsidRPr="00857BDC" w:rsidRDefault="00FB7482" w:rsidP="00FB7482">
      <w:pPr>
        <w:spacing w:line="360" w:lineRule="auto"/>
        <w:ind w:left="567" w:right="567"/>
        <w:contextualSpacing/>
        <w:jc w:val="both"/>
        <w:rPr>
          <w:rFonts w:ascii="Palatino Linotype" w:eastAsiaTheme="minorHAnsi" w:hAnsi="Palatino Linotype"/>
          <w:lang w:val="es-MX" w:eastAsia="en-U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MS Mincho" w:hAnsi="Palatino Linotype" w:cs="Times New Roman"/>
        </w:rPr>
      </w:pPr>
      <w:bookmarkStart w:id="121" w:name="_Hlk22889916"/>
      <w:r w:rsidRPr="00857BDC">
        <w:rPr>
          <w:rFonts w:ascii="Palatino Linotype" w:eastAsia="MS Mincho" w:hAnsi="Palatino Linotype" w:cs="Times New Roman"/>
        </w:rPr>
        <w:t>Lo que</w:t>
      </w:r>
      <w:r w:rsidR="00A80B6A" w:rsidRPr="00857BDC">
        <w:rPr>
          <w:rFonts w:ascii="Palatino Linotype" w:eastAsia="MS Mincho" w:hAnsi="Palatino Linotype" w:cs="Times New Roman"/>
        </w:rPr>
        <w:t xml:space="preserve"> nos lleva a determinar que el Órgano Superior de Fiscalización del Estado de México </w:t>
      </w:r>
      <w:r w:rsidRPr="00857BDC">
        <w:rPr>
          <w:rFonts w:ascii="Palatino Linotype" w:eastAsia="MS Mincho" w:hAnsi="Palatino Linotype" w:cs="Times New Roman"/>
        </w:rPr>
        <w:t xml:space="preserve">debe realizar una nueva búsqueda exhaustiva de la información y si, como refiere, no cuenta con la información solicitada y que, como ya se refirió, corresponde al ejercicio de atribuciones legalmente establecidas, deberá emitir la resolución de inexistencia que, según el artículo 170 de la Ley de Transparencia y Acceso a la Información Pública del Estado de México y Municipios, contenga </w:t>
      </w:r>
      <w:r w:rsidRPr="00857BDC">
        <w:rPr>
          <w:rFonts w:ascii="Palatino Linotype" w:eastAsia="MS Mincho" w:hAnsi="Palatino Linotype" w:cs="Times New Roman"/>
          <w:i/>
        </w:rPr>
        <w:t xml:space="preserve">los elementos mínimos que permitan al solicitante tener la certeza de que se utilizó un criterio de búsqueda exhaustivo, </w:t>
      </w:r>
      <w:r w:rsidRPr="00857BDC">
        <w:rPr>
          <w:rFonts w:ascii="Palatino Linotype" w:eastAsia="MS Mincho" w:hAnsi="Palatino Linotype" w:cs="Times New Roman"/>
        </w:rPr>
        <w:t xml:space="preserve">exponer las razones de por qué en este caso en particular no ejerció dichas facultades, competencias o funciones y señalar las circunstancias de tiempo, modo y lugar que generaron la inexistencia en cuestión, señalando al servidor público responsable de contar con la información, lo anterior para que su Órgano de Control o equivalente inicie el procedimiento de responsabilidades que corresponda, lo anterior al tratarse de facultades de cumplimiento ineludible. </w:t>
      </w:r>
    </w:p>
    <w:p w:rsidR="00C41446" w:rsidRPr="00857BDC" w:rsidRDefault="00C41446" w:rsidP="00C41446">
      <w:pPr>
        <w:spacing w:after="160" w:line="360" w:lineRule="auto"/>
        <w:ind w:right="49"/>
        <w:contextualSpacing/>
        <w:jc w:val="both"/>
        <w:rPr>
          <w:rFonts w:ascii="Palatino Linotype" w:eastAsia="MS Mincho" w:hAnsi="Palatino Linotype" w:cs="Times New Roman"/>
        </w:rPr>
      </w:pPr>
    </w:p>
    <w:p w:rsidR="00FB7482" w:rsidRPr="00857BDC" w:rsidRDefault="00C41446" w:rsidP="00C41446">
      <w:pPr>
        <w:spacing w:after="160" w:line="360" w:lineRule="auto"/>
        <w:ind w:left="567" w:right="567"/>
        <w:contextualSpacing/>
        <w:jc w:val="both"/>
        <w:rPr>
          <w:rFonts w:ascii="Palatino Linotype" w:eastAsiaTheme="minorHAnsi" w:hAnsi="Palatino Linotype" w:cs="Arial"/>
          <w:i/>
          <w:lang w:val="es-MX" w:eastAsia="en-US"/>
        </w:rPr>
      </w:pPr>
      <w:r w:rsidRPr="00857BDC">
        <w:rPr>
          <w:rFonts w:ascii="Palatino Linotype" w:eastAsiaTheme="minorHAnsi" w:hAnsi="Palatino Linotype" w:cs="Arial"/>
          <w:b/>
          <w:i/>
          <w:u w:val="single"/>
          <w:lang w:val="es-MX" w:eastAsia="en-US"/>
        </w:rPr>
        <w:t>“</w:t>
      </w:r>
      <w:r w:rsidR="00FB7482" w:rsidRPr="00857BDC">
        <w:rPr>
          <w:rFonts w:ascii="Palatino Linotype" w:eastAsiaTheme="minorHAnsi" w:hAnsi="Palatino Linotype" w:cs="Arial"/>
          <w:b/>
          <w:i/>
          <w:u w:val="single"/>
          <w:lang w:val="es-MX" w:eastAsia="en-US"/>
        </w:rPr>
        <w:t>INEXISTENCIA DE LA INFORMACIÓN,</w:t>
      </w:r>
      <w:r w:rsidR="00FB7482" w:rsidRPr="00857BDC">
        <w:rPr>
          <w:rFonts w:ascii="Palatino Linotype" w:eastAsiaTheme="minorHAnsi" w:hAnsi="Palatino Linotype" w:cs="Arial"/>
          <w:b/>
          <w:i/>
          <w:lang w:val="es-MX" w:eastAsia="en-US"/>
        </w:rPr>
        <w:t xml:space="preserve"> SUPUESTOS PARA EMITIR LA RESOLUCIÓN DE LA.</w:t>
      </w:r>
      <w:r w:rsidR="00FB7482" w:rsidRPr="00857BDC">
        <w:rPr>
          <w:rFonts w:ascii="Palatino Linotype" w:eastAsiaTheme="minorHAnsi" w:hAnsi="Palatino Linotype" w:cs="Arial"/>
          <w:i/>
          <w:lang w:val="es-MX" w:eastAsia="en-US"/>
        </w:rPr>
        <w:t xml:space="preserve"> A diferencia de la Ley General, la Ley de Transparencia y Acceso a la Información Pública del Estado de México establece, en su artículo 19, dos supuestos generales para proceder en el caso de información inexistente pero cuya existencia se presume por relacionarse con las </w:t>
      </w:r>
      <w:r w:rsidR="00FB7482" w:rsidRPr="00857BDC">
        <w:rPr>
          <w:rFonts w:ascii="Palatino Linotype" w:eastAsiaTheme="minorHAnsi" w:hAnsi="Palatino Linotype" w:cs="Arial"/>
          <w:i/>
          <w:lang w:val="es-MX" w:eastAsia="en-US"/>
        </w:rPr>
        <w:lastRenderedPageBreak/>
        <w:t xml:space="preserve">facultades, competencias y funciones legales de los sujetos obligados. El segundo supuesto, que corresponde a lo señalado en su último párrafo, alude a: 1.- Actos realizados sobre los cuales a) no se generó, poseyó o administró el documento que registre la información solicitada; b) habiendo sido generada, poseída o administrada, no se cuenta con la información solicitada; o bien, </w:t>
      </w:r>
      <w:r w:rsidR="00FB7482" w:rsidRPr="00857BDC">
        <w:rPr>
          <w:rFonts w:ascii="Palatino Linotype" w:eastAsiaTheme="minorHAnsi" w:hAnsi="Palatino Linotype" w:cs="Arial"/>
          <w:b/>
          <w:i/>
          <w:lang w:val="es-MX" w:eastAsia="en-US"/>
        </w:rPr>
        <w:t>2.- El sujeto obligado fue omiso en el ejercicio de una facultad, competencia o atribución inexcusable.</w:t>
      </w:r>
      <w:r w:rsidR="00FB7482" w:rsidRPr="00857BDC">
        <w:rPr>
          <w:rFonts w:ascii="Palatino Linotype" w:eastAsiaTheme="minorHAnsi" w:hAnsi="Palatino Linotype" w:cs="Arial"/>
          <w:i/>
          <w:lang w:val="es-MX" w:eastAsia="en-US"/>
        </w:rPr>
        <w:t xml:space="preserve"> En estos casos, será necesario acreditar que se cumplieron los supuestos del artículo 169 del citado ordenamiento y emitir la resolución que confirme la inexistencia cumpliendo con las formalidades señaladas en el artículo 170 de la misma norma. </w:t>
      </w:r>
      <w:r w:rsidRPr="00857BDC">
        <w:rPr>
          <w:rFonts w:ascii="Palatino Linotype" w:eastAsiaTheme="minorHAnsi" w:hAnsi="Palatino Linotype" w:cs="Arial"/>
          <w:i/>
          <w:lang w:val="es-MX" w:eastAsia="en-US"/>
        </w:rPr>
        <w:t>“</w:t>
      </w:r>
    </w:p>
    <w:p w:rsidR="00FB7482" w:rsidRPr="00857BDC" w:rsidRDefault="00FB7482" w:rsidP="00FB7482">
      <w:pPr>
        <w:spacing w:line="360" w:lineRule="auto"/>
        <w:contextualSpacing/>
        <w:jc w:val="both"/>
        <w:rPr>
          <w:rFonts w:ascii="Palatino Linotype" w:eastAsiaTheme="minorHAnsi" w:hAnsi="Palatino Linotype" w:cs="Arial"/>
          <w:lang w:val="es-MX" w:eastAsia="en-US"/>
        </w:rPr>
      </w:pPr>
    </w:p>
    <w:p w:rsidR="00857BDC" w:rsidRDefault="00FB7482" w:rsidP="00857BDC">
      <w:pPr>
        <w:numPr>
          <w:ilvl w:val="0"/>
          <w:numId w:val="2"/>
        </w:numPr>
        <w:spacing w:after="160" w:line="360" w:lineRule="auto"/>
        <w:ind w:left="0" w:firstLine="0"/>
        <w:contextualSpacing/>
        <w:jc w:val="both"/>
        <w:rPr>
          <w:rFonts w:ascii="Palatino Linotype" w:eastAsiaTheme="minorHAnsi" w:hAnsi="Palatino Linotype" w:cs="Arial"/>
          <w:lang w:val="es-MX" w:eastAsia="en-US"/>
        </w:rPr>
      </w:pPr>
      <w:r w:rsidRPr="00857BDC">
        <w:rPr>
          <w:rFonts w:ascii="Palatino Linotype" w:eastAsiaTheme="minorHAnsi" w:hAnsi="Palatino Linotype" w:cs="Arial"/>
          <w:lang w:val="es-MX" w:eastAsia="en-US"/>
        </w:rPr>
        <w:t>En conclusión, ado</w:t>
      </w:r>
      <w:r w:rsidR="00C41446" w:rsidRPr="00857BDC">
        <w:rPr>
          <w:rFonts w:ascii="Palatino Linotype" w:eastAsiaTheme="minorHAnsi" w:hAnsi="Palatino Linotype" w:cs="Arial"/>
          <w:lang w:val="es-MX" w:eastAsia="en-US"/>
        </w:rPr>
        <w:t xml:space="preserve">ptar la idea de inexistencia, a la luz del </w:t>
      </w:r>
      <w:r w:rsidRPr="00857BDC">
        <w:rPr>
          <w:rFonts w:ascii="Palatino Linotype" w:eastAsiaTheme="minorHAnsi" w:hAnsi="Palatino Linotype" w:cs="Arial"/>
          <w:lang w:val="es-MX" w:eastAsia="en-US"/>
        </w:rPr>
        <w:t xml:space="preserve"> Derecho de Acceso a la Información permite </w:t>
      </w:r>
      <w:r w:rsidR="00C41446" w:rsidRPr="00857BDC">
        <w:rPr>
          <w:rFonts w:ascii="Palatino Linotype" w:eastAsiaTheme="minorHAnsi" w:hAnsi="Palatino Linotype" w:cs="Arial"/>
          <w:lang w:val="es-MX" w:eastAsia="en-US"/>
        </w:rPr>
        <w:t>que se inicie el p</w:t>
      </w:r>
      <w:r w:rsidRPr="00857BDC">
        <w:rPr>
          <w:rFonts w:ascii="Palatino Linotype" w:eastAsiaTheme="minorHAnsi" w:hAnsi="Palatino Linotype" w:cs="Arial"/>
          <w:lang w:val="es-MX" w:eastAsia="en-US"/>
        </w:rPr>
        <w:t>rocedimiento de responsabilidad</w:t>
      </w:r>
      <w:r w:rsidR="00C41446" w:rsidRPr="00857BDC">
        <w:rPr>
          <w:rFonts w:ascii="Palatino Linotype" w:eastAsiaTheme="minorHAnsi" w:hAnsi="Palatino Linotype" w:cs="Arial"/>
          <w:lang w:val="es-MX" w:eastAsia="en-US"/>
        </w:rPr>
        <w:t>es correspondiente</w:t>
      </w:r>
      <w:r w:rsidRPr="00857BDC">
        <w:rPr>
          <w:rFonts w:ascii="Palatino Linotype" w:eastAsiaTheme="minorHAnsi" w:hAnsi="Palatino Linotype" w:cs="Arial"/>
          <w:lang w:val="es-MX" w:eastAsia="en-US"/>
        </w:rPr>
        <w:t xml:space="preserve"> al servid</w:t>
      </w:r>
      <w:r w:rsidR="00C41446" w:rsidRPr="00857BDC">
        <w:rPr>
          <w:rFonts w:ascii="Palatino Linotype" w:eastAsiaTheme="minorHAnsi" w:hAnsi="Palatino Linotype" w:cs="Arial"/>
          <w:lang w:val="es-MX" w:eastAsia="en-US"/>
        </w:rPr>
        <w:t xml:space="preserve">or público que no </w:t>
      </w:r>
      <w:r w:rsidR="00857BDC">
        <w:rPr>
          <w:rFonts w:ascii="Palatino Linotype" w:eastAsiaTheme="minorHAnsi" w:hAnsi="Palatino Linotype" w:cs="Arial"/>
          <w:lang w:val="es-MX" w:eastAsia="en-US"/>
        </w:rPr>
        <w:t xml:space="preserve">haya ejercido, sus facultades. </w:t>
      </w:r>
    </w:p>
    <w:p w:rsidR="001506F7" w:rsidRPr="00857BDC" w:rsidRDefault="001506F7" w:rsidP="001506F7">
      <w:pPr>
        <w:spacing w:after="160" w:line="360" w:lineRule="auto"/>
        <w:contextualSpacing/>
        <w:jc w:val="both"/>
        <w:rPr>
          <w:rFonts w:ascii="Palatino Linotype" w:eastAsiaTheme="minorHAnsi" w:hAnsi="Palatino Linotype" w:cs="Arial"/>
          <w:lang w:val="es-MX" w:eastAsia="en-US"/>
        </w:rPr>
      </w:pPr>
    </w:p>
    <w:p w:rsidR="001506F7" w:rsidRDefault="00857BDC" w:rsidP="00857BDC">
      <w:pPr>
        <w:spacing w:after="160" w:line="360" w:lineRule="auto"/>
        <w:contextualSpacing/>
        <w:jc w:val="both"/>
        <w:rPr>
          <w:rFonts w:ascii="Palatino Linotype" w:eastAsiaTheme="minorHAnsi" w:hAnsi="Palatino Linotype" w:cs="Arial"/>
          <w:b/>
          <w:lang w:val="es-MX" w:eastAsia="en-US"/>
        </w:rPr>
      </w:pPr>
      <w:r w:rsidRPr="00857BDC">
        <w:rPr>
          <w:rFonts w:ascii="Palatino Linotype" w:eastAsiaTheme="minorHAnsi" w:hAnsi="Palatino Linotype" w:cs="Arial"/>
          <w:b/>
          <w:lang w:val="es-MX" w:eastAsia="en-US"/>
        </w:rPr>
        <w:t>VI.</w:t>
      </w:r>
      <w:r>
        <w:rPr>
          <w:rFonts w:ascii="Palatino Linotype" w:eastAsiaTheme="minorHAnsi" w:hAnsi="Palatino Linotype" w:cs="Arial"/>
          <w:b/>
          <w:lang w:val="es-MX" w:eastAsia="en-US"/>
        </w:rPr>
        <w:t xml:space="preserve"> De la Temporalidad </w:t>
      </w:r>
      <w:r w:rsidR="001506F7">
        <w:rPr>
          <w:rFonts w:ascii="Palatino Linotype" w:eastAsiaTheme="minorHAnsi" w:hAnsi="Palatino Linotype" w:cs="Arial"/>
          <w:b/>
          <w:lang w:val="es-MX" w:eastAsia="en-US"/>
        </w:rPr>
        <w:t xml:space="preserve"> de la información solicitada.</w:t>
      </w:r>
    </w:p>
    <w:p w:rsidR="00857BDC" w:rsidRPr="00857BDC" w:rsidRDefault="00857BDC" w:rsidP="00857BDC">
      <w:pPr>
        <w:spacing w:after="160" w:line="360" w:lineRule="auto"/>
        <w:contextualSpacing/>
        <w:jc w:val="both"/>
        <w:rPr>
          <w:rFonts w:ascii="Palatino Linotype" w:eastAsiaTheme="minorHAnsi" w:hAnsi="Palatino Linotype" w:cs="Arial"/>
          <w:b/>
          <w:lang w:val="es-MX" w:eastAsia="en-US"/>
        </w:rPr>
      </w:pPr>
      <w:r w:rsidRPr="00857BDC">
        <w:rPr>
          <w:rFonts w:ascii="Palatino Linotype" w:eastAsiaTheme="minorHAnsi" w:hAnsi="Palatino Linotype" w:cs="Arial"/>
          <w:b/>
          <w:lang w:val="es-MX" w:eastAsia="en-US"/>
        </w:rPr>
        <w:t xml:space="preserve"> </w:t>
      </w:r>
    </w:p>
    <w:p w:rsidR="001506F7" w:rsidRPr="001506F7" w:rsidRDefault="001506F7" w:rsidP="001506F7">
      <w:pPr>
        <w:pStyle w:val="Prrafodelista"/>
        <w:numPr>
          <w:ilvl w:val="0"/>
          <w:numId w:val="2"/>
        </w:numPr>
        <w:spacing w:before="240" w:after="240" w:line="360" w:lineRule="auto"/>
        <w:ind w:left="0" w:firstLine="0"/>
        <w:jc w:val="both"/>
        <w:rPr>
          <w:rFonts w:ascii="Palatino Linotype" w:eastAsia="Times New Roman" w:hAnsi="Palatino Linotype" w:cs="Times New Roman"/>
        </w:rPr>
      </w:pPr>
      <w:r w:rsidRPr="001506F7">
        <w:rPr>
          <w:rFonts w:ascii="Palatino Linotype" w:eastAsiaTheme="minorHAnsi" w:hAnsi="Palatino Linotype" w:cs="Arial"/>
          <w:lang w:val="es-MX" w:eastAsia="en-US"/>
        </w:rPr>
        <w:t>Finalmente, y derivado del estudio a las constancias que integran el expediente en el Sistema de Acceso a la Información Mexiquense, se advierte que el particular no señaló la temporalidad de la información a la cual dese acceder,</w:t>
      </w:r>
      <w:r>
        <w:rPr>
          <w:rFonts w:ascii="Palatino Linotype" w:eastAsiaTheme="minorHAnsi" w:hAnsi="Palatino Linotype" w:cs="Arial"/>
          <w:lang w:val="es-MX" w:eastAsia="en-US"/>
        </w:rPr>
        <w:t xml:space="preserve"> es necesario señalar que al no </w:t>
      </w:r>
      <w:r w:rsidRPr="001506F7">
        <w:rPr>
          <w:rFonts w:ascii="Palatino Linotype" w:eastAsia="MS Mincho" w:hAnsi="Palatino Linotype" w:cs="Times New Roman"/>
        </w:rPr>
        <w:t>ser experto</w:t>
      </w:r>
      <w:r>
        <w:rPr>
          <w:rFonts w:ascii="Palatino Linotype" w:eastAsia="MS Mincho" w:hAnsi="Palatino Linotype" w:cs="Times New Roman"/>
        </w:rPr>
        <w:t>s</w:t>
      </w:r>
      <w:r w:rsidRPr="001506F7">
        <w:rPr>
          <w:rFonts w:ascii="Palatino Linotype" w:eastAsia="MS Mincho" w:hAnsi="Palatino Linotype" w:cs="Times New Roman"/>
        </w:rPr>
        <w:t xml:space="preserve"> en la materia, </w:t>
      </w:r>
      <w:r>
        <w:rPr>
          <w:rFonts w:ascii="Palatino Linotype" w:eastAsia="MS Mincho" w:hAnsi="Palatino Linotype" w:cs="Times New Roman"/>
        </w:rPr>
        <w:t xml:space="preserve">los particulares </w:t>
      </w:r>
      <w:r w:rsidRPr="001506F7">
        <w:rPr>
          <w:rFonts w:ascii="Palatino Linotype" w:eastAsia="MS Mincho" w:hAnsi="Palatino Linotype" w:cs="Times New Roman"/>
        </w:rPr>
        <w:t xml:space="preserve">eventualmente pudiera no indicar correctamente la información que desea obtener, y siendo que este Órgano Garante, tiene la obligación de garantizar el acceso a la información en la medida de lo posible, atendiendo a la suplencia de la deficiencia, </w:t>
      </w:r>
      <w:r w:rsidRPr="001506F7">
        <w:rPr>
          <w:rFonts w:ascii="Palatino Linotype" w:eastAsia="MS Mincho" w:hAnsi="Palatino Linotype" w:cs="Times New Roman"/>
        </w:rPr>
        <w:lastRenderedPageBreak/>
        <w:t>sin cambiar los hechos expuestos por el peticionario conforme a la facultad que otorga la Ley de Transparencia y Acceso a la Información Pública del Estado de México y Municipios en los artículos 13 y 181 cuarto párrafo, los cuales contienen lo siguiente:</w:t>
      </w:r>
    </w:p>
    <w:p w:rsidR="001506F7" w:rsidRPr="001506F7" w:rsidRDefault="001506F7" w:rsidP="001506F7">
      <w:pPr>
        <w:spacing w:before="240" w:after="240" w:line="360" w:lineRule="auto"/>
        <w:contextualSpacing/>
        <w:jc w:val="both"/>
        <w:rPr>
          <w:rFonts w:ascii="Palatino Linotype" w:eastAsia="Times New Roman" w:hAnsi="Palatino Linotype" w:cs="Times New Roman"/>
        </w:rPr>
      </w:pPr>
    </w:p>
    <w:p w:rsidR="001506F7" w:rsidRPr="001506F7" w:rsidRDefault="001506F7" w:rsidP="001506F7">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1506F7">
        <w:rPr>
          <w:rFonts w:ascii="Palatino Linotype" w:eastAsia="MS Mincho" w:hAnsi="Palatino Linotype" w:cs="Bookman Old Style,Bold"/>
          <w:b/>
          <w:bCs/>
          <w:i/>
          <w:sz w:val="22"/>
          <w:szCs w:val="22"/>
          <w:lang w:val="es-ES" w:eastAsia="en-US"/>
        </w:rPr>
        <w:t xml:space="preserve">“Artículo 13. </w:t>
      </w:r>
      <w:r w:rsidRPr="001506F7">
        <w:rPr>
          <w:rFonts w:ascii="Palatino Linotype" w:eastAsia="MS Mincho" w:hAnsi="Palatino Linotype" w:cs="Bookman Old Style"/>
          <w:i/>
          <w:sz w:val="22"/>
          <w:szCs w:val="22"/>
          <w:lang w:val="es-ES" w:eastAsia="en-US"/>
        </w:rPr>
        <w:t xml:space="preserve">El Instituto, en el ámbito de sus atribuciones, deberá </w:t>
      </w:r>
      <w:r w:rsidRPr="001506F7">
        <w:rPr>
          <w:rFonts w:ascii="Palatino Linotype" w:eastAsia="MS Mincho" w:hAnsi="Palatino Linotype" w:cs="Bookman Old Style"/>
          <w:b/>
          <w:i/>
          <w:sz w:val="22"/>
          <w:szCs w:val="22"/>
          <w:lang w:val="es-ES" w:eastAsia="en-US"/>
        </w:rPr>
        <w:t xml:space="preserve">suplir cualquier deficiencia </w:t>
      </w:r>
      <w:r w:rsidRPr="001506F7">
        <w:rPr>
          <w:rFonts w:ascii="Palatino Linotype" w:eastAsia="MS Mincho" w:hAnsi="Palatino Linotype" w:cs="Bookman Old Style"/>
          <w:i/>
          <w:sz w:val="22"/>
          <w:szCs w:val="22"/>
          <w:lang w:val="es-ES" w:eastAsia="en-US"/>
        </w:rPr>
        <w:t>para garantizar el ejercicio del derecho de acceso a la información.”</w:t>
      </w:r>
    </w:p>
    <w:p w:rsidR="001506F7" w:rsidRPr="001506F7" w:rsidRDefault="001506F7" w:rsidP="001506F7">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p>
    <w:p w:rsidR="001506F7" w:rsidRPr="001506F7" w:rsidRDefault="001506F7" w:rsidP="001506F7">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1506F7">
        <w:rPr>
          <w:rFonts w:ascii="Palatino Linotype" w:eastAsia="MS Mincho" w:hAnsi="Palatino Linotype" w:cs="Times New Roman"/>
          <w:i/>
          <w:color w:val="000000"/>
          <w:sz w:val="22"/>
          <w:szCs w:val="22"/>
          <w:lang w:val="es-MX" w:eastAsia="en-US"/>
        </w:rPr>
        <w:t>“</w:t>
      </w:r>
      <w:r w:rsidRPr="001506F7">
        <w:rPr>
          <w:rFonts w:ascii="Palatino Linotype" w:eastAsia="MS Mincho" w:hAnsi="Palatino Linotype" w:cs="Times New Roman"/>
          <w:b/>
          <w:i/>
          <w:color w:val="000000"/>
          <w:sz w:val="22"/>
          <w:szCs w:val="22"/>
          <w:lang w:val="es-MX" w:eastAsia="en-US"/>
        </w:rPr>
        <w:t>Artículo 181</w:t>
      </w:r>
    </w:p>
    <w:p w:rsidR="001506F7" w:rsidRPr="001506F7" w:rsidRDefault="001506F7" w:rsidP="001506F7">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1506F7">
        <w:rPr>
          <w:rFonts w:ascii="Palatino Linotype" w:eastAsia="MS Mincho" w:hAnsi="Palatino Linotype" w:cs="Times New Roman"/>
          <w:i/>
          <w:color w:val="000000"/>
          <w:sz w:val="22"/>
          <w:szCs w:val="22"/>
          <w:lang w:val="es-MX" w:eastAsia="en-US"/>
        </w:rPr>
        <w:t>(…)</w:t>
      </w:r>
    </w:p>
    <w:p w:rsidR="001506F7" w:rsidRPr="001506F7" w:rsidRDefault="001506F7" w:rsidP="001506F7">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1506F7">
        <w:rPr>
          <w:rFonts w:ascii="Palatino Linotype" w:eastAsia="MS Mincho" w:hAnsi="Palatino Linotype" w:cs="Bookman Old Style"/>
          <w:i/>
          <w:sz w:val="22"/>
          <w:szCs w:val="22"/>
          <w:lang w:val="es-ES" w:eastAsia="en-US"/>
        </w:rPr>
        <w:t xml:space="preserve">Durante el procedimiento deberá aplicarse la </w:t>
      </w:r>
      <w:r w:rsidRPr="001506F7">
        <w:rPr>
          <w:rFonts w:ascii="Palatino Linotype" w:eastAsia="MS Mincho" w:hAnsi="Palatino Linotype" w:cs="Bookman Old Style"/>
          <w:b/>
          <w:i/>
          <w:sz w:val="22"/>
          <w:szCs w:val="22"/>
          <w:lang w:val="es-ES" w:eastAsia="en-US"/>
        </w:rPr>
        <w:t>suplencia de la queja a favor del recurrente</w:t>
      </w:r>
      <w:r w:rsidRPr="001506F7">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rsidR="001506F7" w:rsidRPr="001506F7" w:rsidRDefault="001506F7" w:rsidP="001506F7">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1506F7">
        <w:rPr>
          <w:rFonts w:ascii="Palatino Linotype" w:eastAsia="MS Mincho" w:hAnsi="Palatino Linotype" w:cs="Times New Roman"/>
          <w:i/>
          <w:color w:val="000000"/>
          <w:sz w:val="22"/>
          <w:szCs w:val="22"/>
          <w:lang w:val="es-MX" w:eastAsia="en-US"/>
        </w:rPr>
        <w:t xml:space="preserve">(…)”. </w:t>
      </w:r>
    </w:p>
    <w:p w:rsidR="001506F7" w:rsidRDefault="001506F7" w:rsidP="001506F7">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1506F7">
        <w:rPr>
          <w:rFonts w:ascii="Palatino Linotype" w:eastAsia="MS Mincho" w:hAnsi="Palatino Linotype" w:cs="Times New Roman"/>
        </w:rPr>
        <w:t xml:space="preserve">Es así que en aras de tutelar la correcta aplicación de la ley, y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1506F7">
        <w:rPr>
          <w:rFonts w:ascii="Palatino Linotype" w:eastAsia="MS Mincho" w:hAnsi="Palatino Linotype" w:cs="Times New Roman"/>
        </w:rPr>
        <w:t>refutantes</w:t>
      </w:r>
      <w:proofErr w:type="spellEnd"/>
      <w:r w:rsidRPr="001506F7">
        <w:rPr>
          <w:rFonts w:ascii="Palatino Linotype" w:eastAsia="MS Mincho" w:hAnsi="Palatino Linotype" w:cs="Times New Roman"/>
        </w:rPr>
        <w:t xml:space="preserve"> que cubran los elementos mínimos requeridos de la </w:t>
      </w:r>
      <w:r w:rsidRPr="001506F7">
        <w:rPr>
          <w:rFonts w:ascii="Palatino Linotype" w:eastAsia="MS Mincho" w:hAnsi="Palatino Linotype" w:cs="Times New Roman"/>
          <w:i/>
        </w:rPr>
        <w:t xml:space="preserve">causa </w:t>
      </w:r>
      <w:proofErr w:type="spellStart"/>
      <w:r w:rsidRPr="001506F7">
        <w:rPr>
          <w:rFonts w:ascii="Palatino Linotype" w:eastAsia="MS Mincho" w:hAnsi="Palatino Linotype" w:cs="Times New Roman"/>
          <w:i/>
        </w:rPr>
        <w:t>petendi</w:t>
      </w:r>
      <w:proofErr w:type="spellEnd"/>
      <w:r w:rsidRPr="001506F7">
        <w:rPr>
          <w:rFonts w:ascii="Palatino Linotype" w:eastAsia="MS Mincho" w:hAnsi="Palatino Linotype" w:cs="Times New Roman"/>
          <w:i/>
        </w:rPr>
        <w:t>, (</w:t>
      </w:r>
      <w:r w:rsidRPr="001506F7">
        <w:rPr>
          <w:rFonts w:ascii="Palatino Linotype" w:eastAsia="MS Mincho" w:hAnsi="Palatino Linotype" w:cs="Times New Roman"/>
        </w:rPr>
        <w:t>causa de pedir</w:t>
      </w:r>
      <w:r w:rsidRPr="001506F7">
        <w:rPr>
          <w:rFonts w:ascii="Palatino Linotype" w:eastAsia="MS Mincho" w:hAnsi="Palatino Linotype" w:cs="Times New Roman"/>
          <w:i/>
        </w:rPr>
        <w:t xml:space="preserve">) </w:t>
      </w:r>
      <w:r w:rsidRPr="001506F7">
        <w:rPr>
          <w:rFonts w:ascii="Palatino Linotype" w:eastAsia="MS Mincho" w:hAnsi="Palatino Linotype" w:cs="Times New Roman"/>
        </w:rPr>
        <w:t xml:space="preserve">aunado a que existe jurisprudencia que no </w:t>
      </w:r>
      <w:r w:rsidRPr="001506F7">
        <w:rPr>
          <w:rFonts w:ascii="Palatino Linotype" w:eastAsia="MS Mincho" w:hAnsi="Palatino Linotype" w:cs="Times New Roman"/>
        </w:rPr>
        <w:lastRenderedPageBreak/>
        <w:t>obliga a los particulares a cubrir tales parámetros en las materias que admitan la suplencia de la queja deficiente</w:t>
      </w:r>
      <w:r w:rsidRPr="001506F7">
        <w:rPr>
          <w:rFonts w:ascii="Palatino Linotype" w:eastAsia="MS Mincho" w:hAnsi="Palatino Linotype" w:cs="Times New Roman"/>
          <w:vertAlign w:val="superscript"/>
        </w:rPr>
        <w:footnoteReference w:id="15"/>
      </w:r>
      <w:r w:rsidRPr="001506F7">
        <w:rPr>
          <w:rFonts w:ascii="Palatino Linotype" w:eastAsia="MS Mincho" w:hAnsi="Palatino Linotype" w:cs="Times New Roman"/>
        </w:rPr>
        <w:t xml:space="preserve">. </w:t>
      </w:r>
    </w:p>
    <w:p w:rsidR="001506F7" w:rsidRPr="001506F7" w:rsidRDefault="001506F7" w:rsidP="001506F7">
      <w:pPr>
        <w:spacing w:before="240" w:after="240" w:line="360" w:lineRule="auto"/>
        <w:ind w:right="49"/>
        <w:contextualSpacing/>
        <w:jc w:val="both"/>
        <w:rPr>
          <w:rFonts w:ascii="Palatino Linotype" w:eastAsia="MS Mincho" w:hAnsi="Palatino Linotype" w:cs="Times New Roman"/>
        </w:rPr>
      </w:pPr>
    </w:p>
    <w:p w:rsidR="00857BDC" w:rsidRDefault="001506F7" w:rsidP="00857BDC">
      <w:pPr>
        <w:numPr>
          <w:ilvl w:val="0"/>
          <w:numId w:val="2"/>
        </w:numPr>
        <w:spacing w:after="160" w:line="360" w:lineRule="auto"/>
        <w:ind w:left="0" w:firstLine="0"/>
        <w:contextualSpacing/>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En ese sentido y de conformidad con el criterio 3/ 19 emitido por el Instituto Nacional de Transparencia y Protección de Datos Personales, </w:t>
      </w:r>
      <w:r w:rsidR="00F84320">
        <w:rPr>
          <w:rFonts w:ascii="Palatino Linotype" w:eastAsiaTheme="minorHAnsi" w:hAnsi="Palatino Linotype" w:cs="Arial"/>
          <w:lang w:val="es-MX" w:eastAsia="en-US"/>
        </w:rPr>
        <w:t xml:space="preserve">mismo que señala que en caso de que los particulares no señale el periodo respecto del cual requiere la información se deberá entender un año anterior a la solicitud de información, como a continuación se observa: </w:t>
      </w:r>
    </w:p>
    <w:p w:rsidR="00F84320" w:rsidRDefault="00F84320" w:rsidP="00F84320">
      <w:pPr>
        <w:pStyle w:val="Prrafodelista"/>
        <w:rPr>
          <w:rFonts w:ascii="Palatino Linotype" w:eastAsiaTheme="minorHAnsi" w:hAnsi="Palatino Linotype" w:cs="Arial"/>
          <w:lang w:val="es-MX" w:eastAsia="en-US"/>
        </w:rPr>
      </w:pPr>
    </w:p>
    <w:p w:rsidR="00F84320" w:rsidRPr="00F84320" w:rsidRDefault="00F84320" w:rsidP="00F84320">
      <w:pPr>
        <w:spacing w:before="1" w:after="200" w:line="360" w:lineRule="auto"/>
        <w:ind w:left="567" w:right="567"/>
        <w:jc w:val="both"/>
        <w:rPr>
          <w:rFonts w:ascii="Palatino Linotype" w:eastAsia="Arial" w:hAnsi="Palatino Linotype" w:cs="Arial"/>
          <w:i/>
          <w:color w:val="000000" w:themeColor="text1"/>
          <w:lang w:val="es-MX" w:eastAsia="en-US"/>
        </w:rPr>
      </w:pPr>
      <w:r>
        <w:rPr>
          <w:rFonts w:ascii="Palatino Linotype" w:eastAsia="Arial" w:hAnsi="Palatino Linotype" w:cs="Arial"/>
          <w:b/>
          <w:i/>
          <w:color w:val="000000" w:themeColor="text1"/>
          <w:lang w:val="es-MX" w:eastAsia="en-US"/>
        </w:rPr>
        <w:t>“</w:t>
      </w:r>
      <w:r w:rsidRPr="00F84320">
        <w:rPr>
          <w:rFonts w:ascii="Palatino Linotype" w:eastAsia="Arial" w:hAnsi="Palatino Linotype" w:cs="Arial"/>
          <w:b/>
          <w:i/>
          <w:color w:val="000000" w:themeColor="text1"/>
          <w:lang w:val="es-MX" w:eastAsia="en-US"/>
        </w:rPr>
        <w:t xml:space="preserve">Periodo de búsqueda de la información. </w:t>
      </w:r>
      <w:r w:rsidRPr="00F84320">
        <w:rPr>
          <w:rFonts w:ascii="Palatino Linotype" w:eastAsia="Arial" w:hAnsi="Palatino Linotype" w:cs="Arial"/>
          <w:i/>
          <w:color w:val="000000" w:themeColor="text1"/>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F84320" w:rsidRPr="00F84320" w:rsidRDefault="00F84320" w:rsidP="00F84320">
      <w:pPr>
        <w:spacing w:after="200" w:line="276" w:lineRule="auto"/>
        <w:ind w:left="567" w:right="567"/>
        <w:jc w:val="both"/>
        <w:rPr>
          <w:rFonts w:ascii="Palatino Linotype" w:eastAsiaTheme="minorHAnsi" w:hAnsi="Palatino Linotype" w:cs="Arial"/>
          <w:i/>
          <w:color w:val="000000" w:themeColor="text1"/>
          <w:lang w:val="es-MX" w:eastAsia="en-US"/>
        </w:rPr>
      </w:pPr>
      <w:r w:rsidRPr="00F84320">
        <w:rPr>
          <w:rFonts w:ascii="Palatino Linotype" w:eastAsia="Arial" w:hAnsi="Palatino Linotype" w:cs="Arial"/>
          <w:b/>
          <w:i/>
          <w:color w:val="000000" w:themeColor="text1"/>
          <w:spacing w:val="-1"/>
          <w:lang w:val="es-MX" w:eastAsia="en-US"/>
        </w:rPr>
        <w:t>R</w:t>
      </w:r>
      <w:r w:rsidRPr="00F84320">
        <w:rPr>
          <w:rFonts w:ascii="Palatino Linotype" w:eastAsia="Arial" w:hAnsi="Palatino Linotype" w:cs="Arial"/>
          <w:b/>
          <w:i/>
          <w:color w:val="000000" w:themeColor="text1"/>
          <w:lang w:val="es-MX" w:eastAsia="en-US"/>
        </w:rPr>
        <w:t>e</w:t>
      </w:r>
      <w:r w:rsidRPr="00F84320">
        <w:rPr>
          <w:rFonts w:ascii="Palatino Linotype" w:eastAsia="Arial" w:hAnsi="Palatino Linotype" w:cs="Arial"/>
          <w:b/>
          <w:i/>
          <w:color w:val="000000" w:themeColor="text1"/>
          <w:spacing w:val="-1"/>
          <w:lang w:val="es-MX" w:eastAsia="en-US"/>
        </w:rPr>
        <w:t>s</w:t>
      </w:r>
      <w:r w:rsidRPr="00F84320">
        <w:rPr>
          <w:rFonts w:ascii="Palatino Linotype" w:eastAsia="Arial" w:hAnsi="Palatino Linotype" w:cs="Arial"/>
          <w:b/>
          <w:i/>
          <w:color w:val="000000" w:themeColor="text1"/>
          <w:lang w:val="es-MX" w:eastAsia="en-US"/>
        </w:rPr>
        <w:t>olucion</w:t>
      </w:r>
      <w:r w:rsidRPr="00F84320">
        <w:rPr>
          <w:rFonts w:ascii="Palatino Linotype" w:eastAsia="Arial" w:hAnsi="Palatino Linotype" w:cs="Arial"/>
          <w:b/>
          <w:i/>
          <w:color w:val="000000" w:themeColor="text1"/>
          <w:spacing w:val="-1"/>
          <w:lang w:val="es-MX" w:eastAsia="en-US"/>
        </w:rPr>
        <w:t>es</w:t>
      </w:r>
    </w:p>
    <w:p w:rsidR="00F84320" w:rsidRPr="00F84320" w:rsidRDefault="00F84320" w:rsidP="00F84320">
      <w:pPr>
        <w:numPr>
          <w:ilvl w:val="0"/>
          <w:numId w:val="47"/>
        </w:numPr>
        <w:spacing w:after="200" w:line="276" w:lineRule="auto"/>
        <w:ind w:left="567" w:right="567" w:firstLine="0"/>
        <w:contextualSpacing/>
        <w:jc w:val="both"/>
        <w:rPr>
          <w:rFonts w:ascii="Palatino Linotype" w:eastAsia="Symbol" w:hAnsi="Palatino Linotype" w:cs="Arial"/>
          <w:i/>
          <w:color w:val="000000" w:themeColor="text1"/>
          <w:lang w:val="es-MX" w:eastAsia="en-US"/>
        </w:rPr>
      </w:pPr>
      <w:r w:rsidRPr="00F84320">
        <w:rPr>
          <w:rFonts w:ascii="Palatino Linotype" w:eastAsia="Arial" w:hAnsi="Palatino Linotype" w:cs="Arial"/>
          <w:b/>
          <w:i/>
          <w:color w:val="000000" w:themeColor="text1"/>
          <w:spacing w:val="-1"/>
          <w:lang w:val="es-MX" w:eastAsia="en-US"/>
        </w:rPr>
        <w:t>R</w:t>
      </w:r>
      <w:r w:rsidRPr="00F84320">
        <w:rPr>
          <w:rFonts w:ascii="Palatino Linotype" w:eastAsia="Arial" w:hAnsi="Palatino Linotype" w:cs="Arial"/>
          <w:b/>
          <w:i/>
          <w:color w:val="000000" w:themeColor="text1"/>
          <w:spacing w:val="3"/>
          <w:lang w:val="es-MX" w:eastAsia="en-US"/>
        </w:rPr>
        <w:t>R</w:t>
      </w:r>
      <w:r w:rsidRPr="00F84320">
        <w:rPr>
          <w:rFonts w:ascii="Palatino Linotype" w:eastAsia="Arial" w:hAnsi="Palatino Linotype" w:cs="Arial"/>
          <w:b/>
          <w:i/>
          <w:color w:val="000000" w:themeColor="text1"/>
          <w:lang w:val="es-MX" w:eastAsia="en-US"/>
        </w:rPr>
        <w:t>A</w:t>
      </w:r>
      <w:r w:rsidRPr="00F84320">
        <w:rPr>
          <w:rFonts w:ascii="Palatino Linotype" w:eastAsia="Arial" w:hAnsi="Palatino Linotype" w:cs="Arial"/>
          <w:b/>
          <w:i/>
          <w:color w:val="000000" w:themeColor="text1"/>
          <w:spacing w:val="5"/>
          <w:lang w:val="es-MX" w:eastAsia="en-US"/>
        </w:rPr>
        <w:t xml:space="preserve"> 0022</w:t>
      </w:r>
      <w:r w:rsidRPr="00F84320">
        <w:rPr>
          <w:rFonts w:ascii="Palatino Linotype" w:eastAsia="Arial" w:hAnsi="Palatino Linotype" w:cs="Arial"/>
          <w:b/>
          <w:i/>
          <w:color w:val="000000" w:themeColor="text1"/>
          <w:spacing w:val="-1"/>
          <w:lang w:val="es-MX" w:eastAsia="en-US"/>
        </w:rPr>
        <w:t>/17</w:t>
      </w:r>
      <w:r w:rsidRPr="00F84320">
        <w:rPr>
          <w:rFonts w:ascii="Palatino Linotype" w:eastAsia="Arial" w:hAnsi="Palatino Linotype" w:cs="Arial"/>
          <w:b/>
          <w:i/>
          <w:color w:val="000000" w:themeColor="text1"/>
          <w:lang w:val="es-MX" w:eastAsia="en-US"/>
        </w:rPr>
        <w:t>.</w:t>
      </w:r>
      <w:r w:rsidRPr="00F84320">
        <w:rPr>
          <w:rFonts w:ascii="Palatino Linotype" w:eastAsia="Arial" w:hAnsi="Palatino Linotype" w:cs="Arial"/>
          <w:b/>
          <w:i/>
          <w:color w:val="000000" w:themeColor="text1"/>
          <w:spacing w:val="15"/>
          <w:lang w:val="es-MX" w:eastAsia="en-US"/>
        </w:rPr>
        <w:t xml:space="preserve"> </w:t>
      </w:r>
      <w:r w:rsidRPr="00F84320">
        <w:rPr>
          <w:rFonts w:ascii="Palatino Linotype" w:eastAsia="Arial" w:hAnsi="Palatino Linotype" w:cs="Arial"/>
          <w:i/>
          <w:color w:val="000000" w:themeColor="text1"/>
          <w:spacing w:val="-1"/>
          <w:lang w:val="es-MX" w:eastAsia="en-US"/>
        </w:rPr>
        <w:t>Instituto Mexicano de la Propiedad Industrial</w:t>
      </w:r>
      <w:r w:rsidRPr="00F84320">
        <w:rPr>
          <w:rFonts w:ascii="Palatino Linotype" w:eastAsia="Arial" w:hAnsi="Palatino Linotype" w:cs="Arial"/>
          <w:i/>
          <w:color w:val="000000" w:themeColor="text1"/>
          <w:lang w:val="es-MX" w:eastAsia="en-US"/>
        </w:rPr>
        <w:t>.</w:t>
      </w:r>
      <w:r w:rsidRPr="00F84320">
        <w:rPr>
          <w:rFonts w:ascii="Palatino Linotype" w:eastAsia="Arial" w:hAnsi="Palatino Linotype" w:cs="Arial"/>
          <w:i/>
          <w:color w:val="000000" w:themeColor="text1"/>
          <w:spacing w:val="4"/>
          <w:lang w:val="es-MX" w:eastAsia="en-US"/>
        </w:rPr>
        <w:t xml:space="preserve"> 16 de febrero de 2017. Por unanimidad. </w:t>
      </w:r>
      <w:r w:rsidRPr="00F84320">
        <w:rPr>
          <w:rFonts w:ascii="Palatino Linotype" w:eastAsia="Arial" w:hAnsi="Palatino Linotype" w:cs="Arial"/>
          <w:i/>
          <w:color w:val="000000" w:themeColor="text1"/>
          <w:spacing w:val="-1"/>
          <w:lang w:val="es-MX" w:eastAsia="en-US"/>
        </w:rPr>
        <w:t>C</w:t>
      </w:r>
      <w:r w:rsidRPr="00F84320">
        <w:rPr>
          <w:rFonts w:ascii="Palatino Linotype" w:eastAsia="Arial" w:hAnsi="Palatino Linotype" w:cs="Arial"/>
          <w:i/>
          <w:color w:val="000000" w:themeColor="text1"/>
          <w:lang w:val="es-MX" w:eastAsia="en-US"/>
        </w:rPr>
        <w:t>omis</w:t>
      </w:r>
      <w:r w:rsidRPr="00F84320">
        <w:rPr>
          <w:rFonts w:ascii="Palatino Linotype" w:eastAsia="Arial" w:hAnsi="Palatino Linotype" w:cs="Arial"/>
          <w:i/>
          <w:color w:val="000000" w:themeColor="text1"/>
          <w:spacing w:val="-2"/>
          <w:lang w:val="es-MX" w:eastAsia="en-US"/>
        </w:rPr>
        <w:t>i</w:t>
      </w:r>
      <w:r w:rsidRPr="00F84320">
        <w:rPr>
          <w:rFonts w:ascii="Palatino Linotype" w:eastAsia="Arial" w:hAnsi="Palatino Linotype" w:cs="Arial"/>
          <w:i/>
          <w:color w:val="000000" w:themeColor="text1"/>
          <w:lang w:val="es-MX" w:eastAsia="en-US"/>
        </w:rPr>
        <w:t>o</w:t>
      </w:r>
      <w:r w:rsidRPr="00F84320">
        <w:rPr>
          <w:rFonts w:ascii="Palatino Linotype" w:eastAsia="Arial" w:hAnsi="Palatino Linotype" w:cs="Arial"/>
          <w:i/>
          <w:color w:val="000000" w:themeColor="text1"/>
          <w:spacing w:val="1"/>
          <w:lang w:val="es-MX" w:eastAsia="en-US"/>
        </w:rPr>
        <w:t>n</w:t>
      </w:r>
      <w:r w:rsidRPr="00F84320">
        <w:rPr>
          <w:rFonts w:ascii="Palatino Linotype" w:eastAsia="Arial" w:hAnsi="Palatino Linotype" w:cs="Arial"/>
          <w:i/>
          <w:color w:val="000000" w:themeColor="text1"/>
          <w:lang w:val="es-MX" w:eastAsia="en-US"/>
        </w:rPr>
        <w:t>a</w:t>
      </w:r>
      <w:r w:rsidRPr="00F84320">
        <w:rPr>
          <w:rFonts w:ascii="Palatino Linotype" w:eastAsia="Arial" w:hAnsi="Palatino Linotype" w:cs="Arial"/>
          <w:i/>
          <w:color w:val="000000" w:themeColor="text1"/>
          <w:spacing w:val="-1"/>
          <w:lang w:val="es-MX" w:eastAsia="en-US"/>
        </w:rPr>
        <w:t>d</w:t>
      </w:r>
      <w:r w:rsidRPr="00F84320">
        <w:rPr>
          <w:rFonts w:ascii="Palatino Linotype" w:eastAsia="Arial" w:hAnsi="Palatino Linotype" w:cs="Arial"/>
          <w:i/>
          <w:color w:val="000000" w:themeColor="text1"/>
          <w:lang w:val="es-MX" w:eastAsia="en-US"/>
        </w:rPr>
        <w:t>o</w:t>
      </w:r>
      <w:r w:rsidRPr="00F84320">
        <w:rPr>
          <w:rFonts w:ascii="Palatino Linotype" w:eastAsia="Arial" w:hAnsi="Palatino Linotype" w:cs="Arial"/>
          <w:i/>
          <w:color w:val="000000" w:themeColor="text1"/>
          <w:spacing w:val="3"/>
          <w:lang w:val="es-MX" w:eastAsia="en-US"/>
        </w:rPr>
        <w:t xml:space="preserve"> </w:t>
      </w:r>
      <w:r w:rsidRPr="00F84320">
        <w:rPr>
          <w:rFonts w:ascii="Palatino Linotype" w:eastAsia="Arial" w:hAnsi="Palatino Linotype" w:cs="Arial"/>
          <w:i/>
          <w:color w:val="000000" w:themeColor="text1"/>
          <w:spacing w:val="-1"/>
          <w:lang w:val="es-MX" w:eastAsia="en-US"/>
        </w:rPr>
        <w:t>P</w:t>
      </w:r>
      <w:r w:rsidRPr="00F84320">
        <w:rPr>
          <w:rFonts w:ascii="Palatino Linotype" w:eastAsia="Arial" w:hAnsi="Palatino Linotype" w:cs="Arial"/>
          <w:i/>
          <w:color w:val="000000" w:themeColor="text1"/>
          <w:lang w:val="es-MX" w:eastAsia="en-US"/>
        </w:rPr>
        <w:t>o</w:t>
      </w:r>
      <w:r w:rsidRPr="00F84320">
        <w:rPr>
          <w:rFonts w:ascii="Palatino Linotype" w:eastAsia="Arial" w:hAnsi="Palatino Linotype" w:cs="Arial"/>
          <w:i/>
          <w:color w:val="000000" w:themeColor="text1"/>
          <w:spacing w:val="-1"/>
          <w:lang w:val="es-MX" w:eastAsia="en-US"/>
        </w:rPr>
        <w:t>n</w:t>
      </w:r>
      <w:r w:rsidRPr="00F84320">
        <w:rPr>
          <w:rFonts w:ascii="Palatino Linotype" w:eastAsia="Arial" w:hAnsi="Palatino Linotype" w:cs="Arial"/>
          <w:i/>
          <w:color w:val="000000" w:themeColor="text1"/>
          <w:lang w:val="es-MX" w:eastAsia="en-US"/>
        </w:rPr>
        <w:t>e</w:t>
      </w:r>
      <w:r w:rsidRPr="00F84320">
        <w:rPr>
          <w:rFonts w:ascii="Palatino Linotype" w:eastAsia="Arial" w:hAnsi="Palatino Linotype" w:cs="Arial"/>
          <w:i/>
          <w:color w:val="000000" w:themeColor="text1"/>
          <w:spacing w:val="-1"/>
          <w:lang w:val="es-MX" w:eastAsia="en-US"/>
        </w:rPr>
        <w:t>n</w:t>
      </w:r>
      <w:r w:rsidRPr="00F84320">
        <w:rPr>
          <w:rFonts w:ascii="Palatino Linotype" w:eastAsia="Arial" w:hAnsi="Palatino Linotype" w:cs="Arial"/>
          <w:i/>
          <w:color w:val="000000" w:themeColor="text1"/>
          <w:spacing w:val="1"/>
          <w:lang w:val="es-MX" w:eastAsia="en-US"/>
        </w:rPr>
        <w:t>t</w:t>
      </w:r>
      <w:r w:rsidRPr="00F84320">
        <w:rPr>
          <w:rFonts w:ascii="Palatino Linotype" w:eastAsia="Arial" w:hAnsi="Palatino Linotype" w:cs="Arial"/>
          <w:i/>
          <w:color w:val="000000" w:themeColor="text1"/>
          <w:lang w:val="es-MX" w:eastAsia="en-US"/>
        </w:rPr>
        <w:t>e Francisco Javier Acuña Llamas.</w:t>
      </w:r>
    </w:p>
    <w:p w:rsidR="00F84320" w:rsidRPr="00F84320" w:rsidRDefault="004E30C1" w:rsidP="00F84320">
      <w:pPr>
        <w:numPr>
          <w:ilvl w:val="1"/>
          <w:numId w:val="47"/>
        </w:numPr>
        <w:spacing w:after="200" w:line="276" w:lineRule="auto"/>
        <w:ind w:left="567" w:right="567" w:firstLine="0"/>
        <w:contextualSpacing/>
        <w:jc w:val="both"/>
        <w:rPr>
          <w:rFonts w:ascii="Palatino Linotype" w:eastAsia="Symbol" w:hAnsi="Palatino Linotype" w:cs="Arial"/>
          <w:i/>
          <w:color w:val="000000" w:themeColor="text1"/>
          <w:lang w:val="es-MX" w:eastAsia="en-US"/>
        </w:rPr>
      </w:pPr>
      <w:hyperlink r:id="rId17" w:history="1">
        <w:r w:rsidR="00F84320" w:rsidRPr="00F84320">
          <w:rPr>
            <w:rFonts w:ascii="Palatino Linotype" w:eastAsia="Symbol" w:hAnsi="Palatino Linotype" w:cs="Arial"/>
            <w:i/>
            <w:color w:val="000000" w:themeColor="text1"/>
            <w:u w:val="single"/>
            <w:lang w:val="es-MX" w:eastAsia="en-US"/>
          </w:rPr>
          <w:t>http://consultas.ifai.org.mx/descargar.php?r=./pdf/resoluciones/2017/&amp;a=RRA%2022.pdf</w:t>
        </w:r>
      </w:hyperlink>
      <w:r w:rsidR="00F84320" w:rsidRPr="00F84320">
        <w:rPr>
          <w:rFonts w:ascii="Palatino Linotype" w:eastAsia="Symbol" w:hAnsi="Palatino Linotype" w:cs="Arial"/>
          <w:i/>
          <w:color w:val="000000" w:themeColor="text1"/>
          <w:lang w:val="es-MX" w:eastAsia="en-US"/>
        </w:rPr>
        <w:t xml:space="preserve"> </w:t>
      </w:r>
    </w:p>
    <w:p w:rsidR="00F84320" w:rsidRPr="00F84320" w:rsidRDefault="00F84320" w:rsidP="00F84320">
      <w:pPr>
        <w:numPr>
          <w:ilvl w:val="0"/>
          <w:numId w:val="47"/>
        </w:numPr>
        <w:spacing w:before="31" w:after="200" w:line="276" w:lineRule="auto"/>
        <w:ind w:left="567" w:right="567" w:firstLine="0"/>
        <w:contextualSpacing/>
        <w:jc w:val="both"/>
        <w:rPr>
          <w:rFonts w:ascii="Palatino Linotype" w:eastAsia="Arial" w:hAnsi="Palatino Linotype" w:cs="Arial"/>
          <w:b/>
          <w:i/>
          <w:color w:val="000000" w:themeColor="text1"/>
          <w:spacing w:val="-1"/>
          <w:lang w:val="es-MX" w:eastAsia="en-US"/>
        </w:rPr>
      </w:pPr>
      <w:r w:rsidRPr="00F84320">
        <w:rPr>
          <w:rFonts w:ascii="Palatino Linotype" w:eastAsia="Arial" w:hAnsi="Palatino Linotype" w:cs="Arial"/>
          <w:b/>
          <w:i/>
          <w:color w:val="000000" w:themeColor="text1"/>
          <w:spacing w:val="-1"/>
          <w:lang w:val="es-MX" w:eastAsia="en-US"/>
        </w:rPr>
        <w:lastRenderedPageBreak/>
        <w:t>R</w:t>
      </w:r>
      <w:r w:rsidRPr="00F84320">
        <w:rPr>
          <w:rFonts w:ascii="Palatino Linotype" w:eastAsia="Arial" w:hAnsi="Palatino Linotype" w:cs="Arial"/>
          <w:b/>
          <w:i/>
          <w:color w:val="000000" w:themeColor="text1"/>
          <w:spacing w:val="3"/>
          <w:lang w:val="es-MX" w:eastAsia="en-US"/>
        </w:rPr>
        <w:t>R</w:t>
      </w:r>
      <w:r w:rsidRPr="00F84320">
        <w:rPr>
          <w:rFonts w:ascii="Palatino Linotype" w:eastAsia="Arial" w:hAnsi="Palatino Linotype" w:cs="Arial"/>
          <w:b/>
          <w:i/>
          <w:color w:val="000000" w:themeColor="text1"/>
          <w:lang w:val="es-MX" w:eastAsia="en-US"/>
        </w:rPr>
        <w:t>A</w:t>
      </w:r>
      <w:r w:rsidRPr="00F84320">
        <w:rPr>
          <w:rFonts w:ascii="Palatino Linotype" w:eastAsia="Arial" w:hAnsi="Palatino Linotype" w:cs="Arial"/>
          <w:b/>
          <w:i/>
          <w:color w:val="000000" w:themeColor="text1"/>
          <w:spacing w:val="43"/>
          <w:lang w:val="es-MX" w:eastAsia="en-US"/>
        </w:rPr>
        <w:t xml:space="preserve"> </w:t>
      </w:r>
      <w:r w:rsidRPr="00F84320">
        <w:rPr>
          <w:rFonts w:ascii="Palatino Linotype" w:eastAsia="Arial" w:hAnsi="Palatino Linotype" w:cs="Arial"/>
          <w:b/>
          <w:i/>
          <w:color w:val="000000" w:themeColor="text1"/>
          <w:spacing w:val="5"/>
          <w:lang w:val="es-MX" w:eastAsia="en-US"/>
        </w:rPr>
        <w:t>2536</w:t>
      </w:r>
      <w:r w:rsidRPr="00F84320">
        <w:rPr>
          <w:rFonts w:ascii="Palatino Linotype" w:eastAsia="Arial" w:hAnsi="Palatino Linotype" w:cs="Arial"/>
          <w:b/>
          <w:i/>
          <w:color w:val="000000" w:themeColor="text1"/>
          <w:spacing w:val="1"/>
          <w:lang w:val="es-MX" w:eastAsia="en-US"/>
        </w:rPr>
        <w:t>/</w:t>
      </w:r>
      <w:r w:rsidRPr="00F84320">
        <w:rPr>
          <w:rFonts w:ascii="Palatino Linotype" w:eastAsia="Arial" w:hAnsi="Palatino Linotype" w:cs="Arial"/>
          <w:b/>
          <w:i/>
          <w:color w:val="000000" w:themeColor="text1"/>
          <w:lang w:val="es-MX" w:eastAsia="en-US"/>
        </w:rPr>
        <w:t xml:space="preserve">17. </w:t>
      </w:r>
      <w:r w:rsidRPr="00F84320">
        <w:rPr>
          <w:rFonts w:ascii="Palatino Linotype" w:eastAsia="Arial" w:hAnsi="Palatino Linotype" w:cs="Arial"/>
          <w:i/>
          <w:color w:val="000000" w:themeColor="text1"/>
          <w:spacing w:val="-1"/>
          <w:lang w:val="es-MX" w:eastAsia="en-US"/>
        </w:rPr>
        <w:t>Secretaría de Gobernación</w:t>
      </w:r>
      <w:r w:rsidRPr="00F84320">
        <w:rPr>
          <w:rFonts w:ascii="Palatino Linotype" w:eastAsia="Arial" w:hAnsi="Palatino Linotype" w:cs="Arial"/>
          <w:i/>
          <w:color w:val="000000" w:themeColor="text1"/>
          <w:lang w:val="es-MX" w:eastAsia="en-US"/>
        </w:rPr>
        <w:t>. 07 de junio de 2017. Por unanimidad. Comisionada Ponente Areli Cano Guadiana.</w:t>
      </w:r>
      <w:r w:rsidRPr="00F84320">
        <w:rPr>
          <w:rFonts w:ascii="Palatino Linotype" w:eastAsia="Arial" w:hAnsi="Palatino Linotype" w:cs="Arial"/>
          <w:i/>
          <w:color w:val="000000" w:themeColor="text1"/>
          <w:spacing w:val="-1"/>
          <w:position w:val="5"/>
          <w:lang w:val="es-MX" w:eastAsia="en-US"/>
        </w:rPr>
        <w:t xml:space="preserve"> </w:t>
      </w:r>
    </w:p>
    <w:p w:rsidR="00F84320" w:rsidRPr="00F84320" w:rsidRDefault="004E30C1" w:rsidP="00F84320">
      <w:pPr>
        <w:numPr>
          <w:ilvl w:val="1"/>
          <w:numId w:val="47"/>
        </w:numPr>
        <w:spacing w:before="31" w:after="200" w:line="276" w:lineRule="auto"/>
        <w:ind w:left="567" w:right="567" w:firstLine="0"/>
        <w:contextualSpacing/>
        <w:jc w:val="both"/>
        <w:rPr>
          <w:rFonts w:ascii="Palatino Linotype" w:eastAsia="Arial" w:hAnsi="Palatino Linotype" w:cs="Arial"/>
          <w:i/>
          <w:color w:val="000000" w:themeColor="text1"/>
          <w:spacing w:val="-1"/>
          <w:lang w:val="es-MX" w:eastAsia="en-US"/>
        </w:rPr>
      </w:pPr>
      <w:hyperlink r:id="rId18" w:history="1">
        <w:r w:rsidR="00F84320" w:rsidRPr="00F84320">
          <w:rPr>
            <w:rFonts w:ascii="Palatino Linotype" w:eastAsia="Arial" w:hAnsi="Palatino Linotype" w:cs="Arial"/>
            <w:i/>
            <w:color w:val="000000" w:themeColor="text1"/>
            <w:spacing w:val="-1"/>
            <w:u w:val="single"/>
            <w:lang w:val="es-MX" w:eastAsia="en-US"/>
          </w:rPr>
          <w:t>http://consultas.ifai.org.mx/descargar.php?r=./pdf/resoluciones/2017/&amp;a=RRA%202536.pdf</w:t>
        </w:r>
      </w:hyperlink>
      <w:r w:rsidR="00F84320" w:rsidRPr="00F84320">
        <w:rPr>
          <w:rFonts w:ascii="Palatino Linotype" w:eastAsia="Arial" w:hAnsi="Palatino Linotype" w:cs="Arial"/>
          <w:i/>
          <w:color w:val="000000" w:themeColor="text1"/>
          <w:spacing w:val="-1"/>
          <w:lang w:val="es-MX" w:eastAsia="en-US"/>
        </w:rPr>
        <w:t xml:space="preserve"> </w:t>
      </w:r>
    </w:p>
    <w:p w:rsidR="00F84320" w:rsidRPr="00F84320" w:rsidRDefault="00F84320" w:rsidP="00F84320">
      <w:pPr>
        <w:numPr>
          <w:ilvl w:val="0"/>
          <w:numId w:val="47"/>
        </w:numPr>
        <w:tabs>
          <w:tab w:val="left" w:pos="7371"/>
        </w:tabs>
        <w:spacing w:before="120" w:after="120" w:line="276" w:lineRule="auto"/>
        <w:ind w:left="567" w:right="567" w:firstLine="0"/>
        <w:jc w:val="both"/>
        <w:rPr>
          <w:rFonts w:ascii="Palatino Linotype" w:eastAsiaTheme="minorHAnsi" w:hAnsi="Palatino Linotype" w:cs="Arial"/>
          <w:bCs/>
          <w:i/>
          <w:color w:val="000000" w:themeColor="text1"/>
          <w:lang w:val="es-MX" w:eastAsia="en-US"/>
        </w:rPr>
      </w:pPr>
      <w:r w:rsidRPr="00F84320">
        <w:rPr>
          <w:rFonts w:ascii="Palatino Linotype" w:eastAsia="Arial" w:hAnsi="Palatino Linotype" w:cs="Arial"/>
          <w:b/>
          <w:i/>
          <w:color w:val="000000" w:themeColor="text1"/>
          <w:spacing w:val="-1"/>
          <w:position w:val="-1"/>
          <w:lang w:val="es-MX" w:eastAsia="en-US"/>
        </w:rPr>
        <w:t>R</w:t>
      </w:r>
      <w:r w:rsidRPr="00F84320">
        <w:rPr>
          <w:rFonts w:ascii="Palatino Linotype" w:eastAsia="Arial" w:hAnsi="Palatino Linotype" w:cs="Arial"/>
          <w:b/>
          <w:i/>
          <w:color w:val="000000" w:themeColor="text1"/>
          <w:spacing w:val="3"/>
          <w:position w:val="-1"/>
          <w:lang w:val="es-MX" w:eastAsia="en-US"/>
        </w:rPr>
        <w:t>R</w:t>
      </w:r>
      <w:r w:rsidRPr="00F84320">
        <w:rPr>
          <w:rFonts w:ascii="Palatino Linotype" w:eastAsia="Arial" w:hAnsi="Palatino Linotype" w:cs="Arial"/>
          <w:b/>
          <w:i/>
          <w:color w:val="000000" w:themeColor="text1"/>
          <w:position w:val="-1"/>
          <w:lang w:val="es-MX" w:eastAsia="en-US"/>
        </w:rPr>
        <w:t xml:space="preserve">A </w:t>
      </w:r>
      <w:r w:rsidRPr="00F84320">
        <w:rPr>
          <w:rFonts w:ascii="Palatino Linotype" w:eastAsia="Arial" w:hAnsi="Palatino Linotype" w:cs="Arial"/>
          <w:b/>
          <w:i/>
          <w:color w:val="000000" w:themeColor="text1"/>
          <w:spacing w:val="-1"/>
          <w:position w:val="-1"/>
          <w:lang w:val="es-MX" w:eastAsia="en-US"/>
        </w:rPr>
        <w:t>3482/17</w:t>
      </w:r>
      <w:r w:rsidRPr="00F84320">
        <w:rPr>
          <w:rFonts w:ascii="Palatino Linotype" w:eastAsia="Arial" w:hAnsi="Palatino Linotype" w:cs="Arial"/>
          <w:b/>
          <w:i/>
          <w:color w:val="000000" w:themeColor="text1"/>
          <w:position w:val="-1"/>
          <w:lang w:val="es-MX" w:eastAsia="en-US"/>
        </w:rPr>
        <w:t xml:space="preserve">. </w:t>
      </w:r>
      <w:r w:rsidRPr="00F84320">
        <w:rPr>
          <w:rFonts w:ascii="Palatino Linotype" w:eastAsia="Arial" w:hAnsi="Palatino Linotype" w:cs="Arial"/>
          <w:i/>
          <w:color w:val="000000" w:themeColor="text1"/>
          <w:spacing w:val="-1"/>
          <w:position w:val="-1"/>
          <w:lang w:val="es-MX" w:eastAsia="en-US"/>
        </w:rPr>
        <w:t>Secretaría de Comunicaciones y Transportes</w:t>
      </w:r>
      <w:r w:rsidRPr="00F84320">
        <w:rPr>
          <w:rFonts w:ascii="Palatino Linotype" w:eastAsia="Arial" w:hAnsi="Palatino Linotype" w:cs="Arial"/>
          <w:i/>
          <w:color w:val="000000" w:themeColor="text1"/>
          <w:position w:val="-1"/>
          <w:lang w:val="es-MX" w:eastAsia="en-US"/>
        </w:rPr>
        <w:t>. 02 de agosto de 2017. Por unanimidad. Comisionado Ponente Oscar Mauricio Guerra Ford</w:t>
      </w:r>
      <w:r w:rsidRPr="00F84320">
        <w:rPr>
          <w:rFonts w:ascii="Palatino Linotype" w:eastAsiaTheme="minorHAnsi" w:hAnsi="Palatino Linotype" w:cs="Arial"/>
          <w:bCs/>
          <w:i/>
          <w:color w:val="000000" w:themeColor="text1"/>
          <w:lang w:val="es-MX" w:eastAsia="en-US"/>
        </w:rPr>
        <w:t>.</w:t>
      </w:r>
    </w:p>
    <w:p w:rsidR="00F84320" w:rsidRDefault="004E30C1" w:rsidP="00F84320">
      <w:pPr>
        <w:numPr>
          <w:ilvl w:val="1"/>
          <w:numId w:val="47"/>
        </w:numPr>
        <w:tabs>
          <w:tab w:val="left" w:pos="7371"/>
        </w:tabs>
        <w:spacing w:before="120" w:after="120" w:line="276" w:lineRule="auto"/>
        <w:ind w:left="567" w:right="567" w:firstLine="0"/>
        <w:jc w:val="both"/>
        <w:rPr>
          <w:rFonts w:ascii="Palatino Linotype" w:eastAsiaTheme="minorHAnsi" w:hAnsi="Palatino Linotype" w:cs="Arial"/>
          <w:bCs/>
          <w:i/>
          <w:color w:val="000000" w:themeColor="text1"/>
          <w:lang w:val="es-MX" w:eastAsia="en-US"/>
        </w:rPr>
      </w:pPr>
      <w:hyperlink r:id="rId19" w:history="1">
        <w:r w:rsidR="00F84320" w:rsidRPr="00F84320">
          <w:rPr>
            <w:rFonts w:ascii="Palatino Linotype" w:eastAsiaTheme="minorHAnsi" w:hAnsi="Palatino Linotype" w:cs="Arial"/>
            <w:bCs/>
            <w:i/>
            <w:color w:val="000000" w:themeColor="text1"/>
            <w:u w:val="single"/>
            <w:lang w:val="es-MX" w:eastAsia="en-US"/>
          </w:rPr>
          <w:t>http://consultas.ifai.org.mx/descargar.php?r=./pdf/resoluciones/2017/&amp;a=RRA%203482.pdf</w:t>
        </w:r>
      </w:hyperlink>
      <w:r w:rsidR="00F84320" w:rsidRPr="00F84320">
        <w:rPr>
          <w:rFonts w:ascii="Palatino Linotype" w:eastAsiaTheme="minorHAnsi" w:hAnsi="Palatino Linotype" w:cs="Arial"/>
          <w:bCs/>
          <w:i/>
          <w:color w:val="000000" w:themeColor="text1"/>
          <w:lang w:val="es-MX" w:eastAsia="en-US"/>
        </w:rPr>
        <w:t xml:space="preserve"> </w:t>
      </w:r>
      <w:r w:rsidR="00F84320">
        <w:rPr>
          <w:rFonts w:ascii="Palatino Linotype" w:eastAsiaTheme="minorHAnsi" w:hAnsi="Palatino Linotype" w:cs="Arial"/>
          <w:bCs/>
          <w:i/>
          <w:color w:val="000000" w:themeColor="text1"/>
          <w:lang w:val="es-MX" w:eastAsia="en-US"/>
        </w:rPr>
        <w:t>“</w:t>
      </w:r>
    </w:p>
    <w:p w:rsidR="00F84320" w:rsidRPr="00F84320" w:rsidRDefault="00F84320" w:rsidP="00F84320">
      <w:pPr>
        <w:tabs>
          <w:tab w:val="left" w:pos="7371"/>
        </w:tabs>
        <w:spacing w:before="120" w:after="120" w:line="276" w:lineRule="auto"/>
        <w:ind w:left="567" w:right="567"/>
        <w:jc w:val="both"/>
        <w:rPr>
          <w:rFonts w:ascii="Palatino Linotype" w:eastAsiaTheme="minorHAnsi" w:hAnsi="Palatino Linotype" w:cs="Arial"/>
          <w:bCs/>
          <w:i/>
          <w:color w:val="000000" w:themeColor="text1"/>
          <w:lang w:val="es-MX" w:eastAsia="en-US"/>
        </w:rPr>
      </w:pPr>
    </w:p>
    <w:p w:rsidR="00F84320" w:rsidRDefault="00F84320" w:rsidP="00F84320">
      <w:pPr>
        <w:pStyle w:val="Prrafodelista"/>
        <w:numPr>
          <w:ilvl w:val="0"/>
          <w:numId w:val="2"/>
        </w:numPr>
        <w:spacing w:after="160" w:line="360" w:lineRule="auto"/>
        <w:ind w:left="0" w:firstLine="0"/>
        <w:jc w:val="both"/>
        <w:rPr>
          <w:rFonts w:ascii="Palatino Linotype" w:eastAsiaTheme="minorHAnsi" w:hAnsi="Palatino Linotype" w:cs="Arial"/>
          <w:lang w:val="es-MX" w:eastAsia="en-US"/>
        </w:rPr>
      </w:pPr>
      <w:r w:rsidRPr="00F84320">
        <w:rPr>
          <w:rFonts w:ascii="Palatino Linotype" w:eastAsiaTheme="minorHAnsi" w:hAnsi="Palatino Linotype" w:cs="Arial"/>
          <w:lang w:val="es-MX" w:eastAsia="en-US"/>
        </w:rPr>
        <w:t>Así y apuntado lo anterior es dable ordenar de los</w:t>
      </w:r>
      <w:bookmarkEnd w:id="121"/>
      <w:r w:rsidRPr="00F84320">
        <w:rPr>
          <w:rFonts w:ascii="Palatino Linotype" w:eastAsiaTheme="minorHAnsi" w:hAnsi="Palatino Linotype"/>
          <w:bCs/>
          <w:color w:val="000000"/>
          <w:lang w:val="es-MX" w:eastAsia="en-US"/>
        </w:rPr>
        <w:t xml:space="preserve"> Cuerpos de Seguridad Auxiliares referidos en la solicitud, a) el presupuesto de egresos e ingresos de los años 2018 y 2019; </w:t>
      </w:r>
      <w:r>
        <w:rPr>
          <w:rFonts w:ascii="Palatino Linotype" w:eastAsiaTheme="minorHAnsi" w:hAnsi="Palatino Linotype"/>
          <w:bCs/>
          <w:color w:val="000000"/>
          <w:lang w:val="es-MX" w:eastAsia="en-US"/>
        </w:rPr>
        <w:t xml:space="preserve">(por ser el periodo en el cual se genera la información) </w:t>
      </w:r>
      <w:r w:rsidRPr="00F84320">
        <w:rPr>
          <w:rFonts w:ascii="Palatino Linotype" w:eastAsiaTheme="minorHAnsi" w:hAnsi="Palatino Linotype"/>
          <w:bCs/>
          <w:color w:val="000000"/>
          <w:lang w:val="es-MX" w:eastAsia="en-US"/>
        </w:rPr>
        <w:t xml:space="preserve">y b) </w:t>
      </w:r>
      <w:r>
        <w:rPr>
          <w:rFonts w:ascii="Palatino Linotype" w:eastAsiaTheme="minorHAnsi" w:hAnsi="Palatino Linotype"/>
          <w:bCs/>
          <w:color w:val="000000"/>
          <w:lang w:val="es-MX" w:eastAsia="en-US"/>
        </w:rPr>
        <w:t>a</w:t>
      </w:r>
      <w:r w:rsidRPr="00F84320">
        <w:rPr>
          <w:rFonts w:ascii="Palatino Linotype" w:eastAsiaTheme="minorHAnsi" w:hAnsi="Palatino Linotype"/>
          <w:bCs/>
          <w:color w:val="000000"/>
          <w:lang w:val="es-MX" w:eastAsia="en-US"/>
        </w:rPr>
        <w:t>uditorías realizadas del veintisiete de agosto de dos mil dieciocho al veintisiete de agosto de dos mil diecinueve.</w:t>
      </w:r>
      <w:r w:rsidRPr="00F84320">
        <w:rPr>
          <w:rFonts w:ascii="Palatino Linotype" w:eastAsiaTheme="minorHAnsi" w:hAnsi="Palatino Linotype"/>
          <w:b/>
          <w:bCs/>
          <w:color w:val="000000"/>
          <w:lang w:val="es-MX" w:eastAsia="en-US"/>
        </w:rPr>
        <w:t xml:space="preserve"> </w:t>
      </w:r>
    </w:p>
    <w:p w:rsidR="00F84320" w:rsidRPr="00F84320" w:rsidRDefault="00F84320" w:rsidP="00F84320">
      <w:pPr>
        <w:pStyle w:val="Prrafodelista"/>
        <w:spacing w:after="160" w:line="360" w:lineRule="auto"/>
        <w:ind w:left="0"/>
        <w:jc w:val="both"/>
        <w:rPr>
          <w:rFonts w:ascii="Palatino Linotype" w:eastAsiaTheme="minorHAnsi" w:hAnsi="Palatino Linotype" w:cs="Arial"/>
          <w:lang w:val="es-MX" w:eastAsia="en-US"/>
        </w:rPr>
      </w:pPr>
    </w:p>
    <w:p w:rsidR="00FB7482" w:rsidRPr="00857BDC" w:rsidRDefault="00FB7482" w:rsidP="00FB7482">
      <w:pPr>
        <w:keepNext/>
        <w:keepLines/>
        <w:spacing w:line="360" w:lineRule="auto"/>
        <w:outlineLvl w:val="0"/>
        <w:rPr>
          <w:rFonts w:ascii="Palatino Linotype" w:eastAsiaTheme="majorEastAsia" w:hAnsi="Palatino Linotype" w:cstheme="majorBidi"/>
          <w:b/>
          <w:color w:val="000000" w:themeColor="text1"/>
          <w:lang w:val="es-MX" w:eastAsia="en-US"/>
        </w:rPr>
      </w:pPr>
      <w:bookmarkStart w:id="122" w:name="_Toc523908140"/>
      <w:bookmarkStart w:id="123" w:name="_Toc522209067"/>
      <w:bookmarkStart w:id="124" w:name="_Toc521949107"/>
      <w:bookmarkStart w:id="125" w:name="_Toc17390946"/>
      <w:bookmarkStart w:id="126" w:name="_Toc17043969"/>
      <w:bookmarkStart w:id="127" w:name="_Toc12448142"/>
      <w:bookmarkStart w:id="128" w:name="_Toc11834466"/>
      <w:bookmarkStart w:id="129" w:name="_Toc20392593"/>
      <w:bookmarkStart w:id="130" w:name="_Toc22889948"/>
      <w:bookmarkStart w:id="131" w:name="_Toc25180703"/>
      <w:r w:rsidRPr="00857BDC">
        <w:rPr>
          <w:rFonts w:ascii="Palatino Linotype" w:eastAsiaTheme="majorEastAsia" w:hAnsi="Palatino Linotype" w:cs="Times New Roman"/>
          <w:b/>
          <w:color w:val="000000" w:themeColor="text1"/>
          <w:lang w:val="es-MX" w:eastAsia="es-ES_tradnl"/>
        </w:rPr>
        <w:t xml:space="preserve">QUINTO. </w:t>
      </w:r>
      <w:r w:rsidRPr="00857BDC">
        <w:rPr>
          <w:rFonts w:ascii="Palatino Linotype" w:eastAsiaTheme="majorEastAsia" w:hAnsi="Palatino Linotype" w:cstheme="majorBidi"/>
          <w:b/>
          <w:color w:val="000000" w:themeColor="text1"/>
          <w:lang w:val="es-MX" w:eastAsia="en-US"/>
        </w:rPr>
        <w:t xml:space="preserve"> De la elaboración de la versión pública</w:t>
      </w:r>
      <w:bookmarkEnd w:id="122"/>
      <w:bookmarkEnd w:id="123"/>
      <w:bookmarkEnd w:id="124"/>
      <w:r w:rsidRPr="00857BDC">
        <w:rPr>
          <w:rFonts w:ascii="Palatino Linotype" w:eastAsiaTheme="majorEastAsia" w:hAnsi="Palatino Linotype" w:cstheme="majorBidi"/>
          <w:b/>
          <w:color w:val="000000" w:themeColor="text1"/>
          <w:lang w:val="es-MX" w:eastAsia="en-US"/>
        </w:rPr>
        <w:t>.</w:t>
      </w:r>
      <w:bookmarkEnd w:id="125"/>
      <w:bookmarkEnd w:id="126"/>
      <w:bookmarkEnd w:id="127"/>
      <w:bookmarkEnd w:id="128"/>
      <w:bookmarkEnd w:id="129"/>
      <w:bookmarkEnd w:id="130"/>
      <w:bookmarkEnd w:id="131"/>
      <w:r w:rsidRPr="00857BDC">
        <w:rPr>
          <w:rFonts w:ascii="Palatino Linotype" w:eastAsiaTheme="majorEastAsia" w:hAnsi="Palatino Linotype" w:cstheme="majorBidi"/>
          <w:b/>
          <w:color w:val="000000" w:themeColor="text1"/>
          <w:lang w:val="es-MX" w:eastAsia="en-US"/>
        </w:rPr>
        <w:t xml:space="preserve"> </w:t>
      </w:r>
    </w:p>
    <w:p w:rsidR="00FB7482" w:rsidRPr="00857BDC" w:rsidRDefault="00FB7482" w:rsidP="00FB7482">
      <w:pPr>
        <w:tabs>
          <w:tab w:val="left" w:pos="426"/>
        </w:tabs>
        <w:spacing w:line="360" w:lineRule="auto"/>
        <w:contextualSpacing/>
        <w:jc w:val="both"/>
        <w:rPr>
          <w:rFonts w:ascii="Palatino Linotype" w:eastAsia="MS Mincho" w:hAnsi="Palatino Linotype" w:cs="Arial"/>
          <w:color w:val="000000" w:themeColor="text1"/>
          <w:lang w:val="es-MX" w:eastAsia="en-U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Debe destacarse que, debido a la naturaleza de la información solicitada</w:t>
      </w:r>
      <w:r w:rsidRPr="00857BDC">
        <w:rPr>
          <w:rFonts w:ascii="Palatino Linotype" w:eastAsia="Times New Roman" w:hAnsi="Palatino Linotype" w:cs="Arial"/>
          <w:b/>
          <w:color w:val="000000"/>
          <w:lang w:val="es-MX" w:eastAsia="en-US"/>
        </w:rPr>
        <w:t xml:space="preserve">, </w:t>
      </w:r>
      <w:r w:rsidRPr="00857BDC">
        <w:rPr>
          <w:rFonts w:ascii="Palatino Linotype" w:eastAsia="Times New Roman" w:hAnsi="Palatino Linotype" w:cs="Arial"/>
          <w:color w:val="000000"/>
          <w:lang w:val="es-MX" w:eastAsia="en-US"/>
        </w:rPr>
        <w:t xml:space="preserve">eventualmente pudiera obrar datos personales susceptibles de protegerse, el </w:t>
      </w:r>
      <w:r w:rsidRPr="00857BDC">
        <w:rPr>
          <w:rFonts w:ascii="Palatino Linotype" w:eastAsia="Times New Roman" w:hAnsi="Palatino Linotype" w:cs="Arial"/>
          <w:b/>
          <w:bCs/>
          <w:color w:val="000000"/>
          <w:lang w:val="es-MX" w:eastAsia="en-US"/>
        </w:rPr>
        <w:t xml:space="preserve">Sujeto Obligado </w:t>
      </w:r>
      <w:r w:rsidRPr="00857BDC">
        <w:rPr>
          <w:rFonts w:ascii="Palatino Linotype" w:eastAsia="Times New Roman" w:hAnsi="Palatino Linotype" w:cs="Arial"/>
          <w:color w:val="000000"/>
          <w:lang w:val="es-MX" w:eastAsia="en-US"/>
        </w:rPr>
        <w:t xml:space="preserve">deberá de hacer la adecuada versión pública, protegiendo los datos que no son susceptibles de ser proporcionados. </w:t>
      </w:r>
    </w:p>
    <w:p w:rsidR="00FB7482" w:rsidRPr="00857BDC" w:rsidRDefault="00FB7482" w:rsidP="00FB7482">
      <w:pPr>
        <w:tabs>
          <w:tab w:val="left" w:pos="0"/>
        </w:tabs>
        <w:spacing w:line="360" w:lineRule="auto"/>
        <w:ind w:right="49"/>
        <w:contextualSpacing/>
        <w:jc w:val="both"/>
        <w:rPr>
          <w:rFonts w:ascii="Palatino Linotype" w:eastAsia="MS Mincho" w:hAnsi="Palatino Linotype" w:cs="Times New Roman"/>
          <w:lang w:val="es-ES" w:eastAsia="en-US"/>
        </w:rPr>
      </w:pPr>
    </w:p>
    <w:p w:rsidR="00FB7482" w:rsidRPr="00857BDC" w:rsidRDefault="00FB7482" w:rsidP="00FB7482">
      <w:pPr>
        <w:numPr>
          <w:ilvl w:val="0"/>
          <w:numId w:val="2"/>
        </w:numPr>
        <w:spacing w:after="160" w:line="360" w:lineRule="auto"/>
        <w:ind w:left="0" w:right="49" w:firstLine="0"/>
        <w:contextualSpacing/>
        <w:jc w:val="both"/>
        <w:rPr>
          <w:rFonts w:ascii="Palatino Linotype" w:eastAsia="Times New Roman" w:hAnsi="Palatino Linotype" w:cs="Arial"/>
          <w:color w:val="000000"/>
          <w:lang w:eastAsia="en-US"/>
        </w:rPr>
      </w:pPr>
      <w:r w:rsidRPr="00857BDC">
        <w:rPr>
          <w:rFonts w:ascii="Palatino Linotype" w:eastAsia="Times New Roman" w:hAnsi="Palatino Linotype" w:cs="Arial"/>
          <w:color w:val="000000"/>
          <w:lang w:eastAsia="en-US"/>
        </w:rPr>
        <w:t xml:space="preserve">No pasa desapercibido para este Órgano Garante que los </w:t>
      </w:r>
      <w:r w:rsidRPr="00857BDC">
        <w:rPr>
          <w:rFonts w:ascii="Palatino Linotype" w:eastAsia="Times New Roman" w:hAnsi="Palatino Linotype" w:cs="Arial"/>
          <w:b/>
          <w:bCs/>
          <w:color w:val="000000"/>
          <w:lang w:eastAsia="en-US"/>
        </w:rPr>
        <w:t xml:space="preserve">Sujetos Obligados </w:t>
      </w:r>
      <w:r w:rsidRPr="00857BDC">
        <w:rPr>
          <w:rFonts w:ascii="Palatino Linotype" w:eastAsia="Times New Roman" w:hAnsi="Palatino Linotype" w:cs="Arial"/>
          <w:color w:val="000000"/>
          <w:lang w:eastAsia="en-US"/>
        </w:rPr>
        <w:t xml:space="preserve">serán responsables de los datos personales en su posesión y que, en caso de </w:t>
      </w:r>
      <w:r w:rsidRPr="00857BDC">
        <w:rPr>
          <w:rFonts w:ascii="Palatino Linotype" w:eastAsia="Times New Roman" w:hAnsi="Palatino Linotype" w:cs="Arial"/>
          <w:color w:val="000000"/>
          <w:lang w:eastAsia="en-US"/>
        </w:rPr>
        <w:lastRenderedPageBreak/>
        <w:t xml:space="preserve">localizarse datos concernientes a terceros, éstos no podrán difundir, distribuir o comercializar los datos personales.  </w:t>
      </w:r>
      <w:r w:rsidRPr="00857BDC">
        <w:rPr>
          <w:rFonts w:ascii="Palatino Linotype" w:eastAsia="Times New Roman" w:hAnsi="Palatino Linotype" w:cs="Arial"/>
          <w:color w:val="000000"/>
          <w:lang w:val="es-MX" w:eastAsia="en-US"/>
        </w:rPr>
        <w:t>Cabe destacar que, para la realización de la clasificación de la información, se deben seguir una serie de pasos y procedimientos, por lo que es menester reiterar los mismos:</w:t>
      </w:r>
    </w:p>
    <w:p w:rsidR="00FB7482" w:rsidRPr="00857BDC" w:rsidRDefault="00FB7482" w:rsidP="00FB7482">
      <w:pPr>
        <w:spacing w:line="360" w:lineRule="auto"/>
        <w:ind w:right="49"/>
        <w:contextualSpacing/>
        <w:jc w:val="both"/>
        <w:rPr>
          <w:rFonts w:ascii="Palatino Linotype" w:eastAsia="Times New Roman" w:hAnsi="Palatino Linotype" w:cs="Arial"/>
          <w:color w:val="000000"/>
          <w:lang w:val="es-MX" w:eastAsia="en-US"/>
        </w:rPr>
      </w:pPr>
    </w:p>
    <w:tbl>
      <w:tblPr>
        <w:tblStyle w:val="Tabladecuadrcula6concolores-nfasis3"/>
        <w:tblW w:w="0" w:type="auto"/>
        <w:tblLook w:val="04A0" w:firstRow="1" w:lastRow="0" w:firstColumn="1" w:lastColumn="0" w:noHBand="0" w:noVBand="1"/>
      </w:tblPr>
      <w:tblGrid>
        <w:gridCol w:w="1837"/>
        <w:gridCol w:w="6942"/>
      </w:tblGrid>
      <w:tr w:rsidR="00FB7482" w:rsidRPr="00857BDC" w:rsidTr="00FB7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rPr>
                <w:rFonts w:ascii="Palatino Linotype" w:eastAsiaTheme="minorHAnsi" w:hAnsi="Palatino Linotype"/>
                <w:lang w:val="es-MX" w:eastAsia="en-US"/>
              </w:rPr>
            </w:pPr>
            <w:r w:rsidRPr="00857BDC">
              <w:rPr>
                <w:rFonts w:ascii="Palatino Linotype" w:eastAsiaTheme="minorHAnsi" w:hAnsi="Palatino Linotype" w:cstheme="majorBidi"/>
                <w:lang w:val="es-MX" w:eastAsia="en-US"/>
              </w:rPr>
              <w:t>a) Requisitos previos.</w:t>
            </w:r>
          </w:p>
        </w:tc>
        <w:tc>
          <w:tcPr>
            <w:tcW w:w="6990" w:type="dxa"/>
            <w:tcBorders>
              <w:top w:val="single" w:sz="4" w:space="0" w:color="C9C9C9" w:themeColor="accent3" w:themeTint="99"/>
              <w:left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FB7482" w:rsidRPr="00857BDC" w:rsidRDefault="00FB7482" w:rsidP="00FB748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Al hacerlo tienen que precisar de qué información se trata, señalando el supuesto de clasificación (confidencialidad o reserva).</w:t>
            </w:r>
          </w:p>
          <w:p w:rsidR="00FB7482" w:rsidRPr="00857BDC" w:rsidRDefault="00FB7482" w:rsidP="00FB748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Además, se debe señalar el procedimiento, de los tres que establecen los artículos 132 y 106 de la Ley Estatal y General, respectivamente.</w:t>
            </w:r>
          </w:p>
          <w:p w:rsidR="00FB7482" w:rsidRPr="00857BDC" w:rsidRDefault="00FB7482" w:rsidP="00FB7482">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lang w:val="es-MX" w:eastAsia="en-US"/>
              </w:rPr>
            </w:pPr>
            <w:r w:rsidRPr="00857BDC">
              <w:rPr>
                <w:rFonts w:ascii="Palatino Linotype" w:eastAsia="Times New Roman" w:hAnsi="Palatino Linotype" w:cs="Arial"/>
                <w:color w:val="000000"/>
                <w:lang w:val="es-MX" w:eastAsia="en-US"/>
              </w:rPr>
              <w:t xml:space="preserve">El último de estos requisitos previos consiste en que no se pueden emitir acuerdos de carácter general ni particular, esto es, </w:t>
            </w:r>
            <w:r w:rsidRPr="00857BDC">
              <w:rPr>
                <w:rFonts w:ascii="Palatino Linotype" w:eastAsia="Times New Roman" w:hAnsi="Palatino Linotype" w:cs="Arial"/>
                <w:color w:val="000000"/>
                <w:u w:val="single"/>
                <w:lang w:val="es-MX" w:eastAsia="en-US"/>
              </w:rPr>
              <w:t>no se puede hacer un acuerdo para clasificar de manera general todos los documentos de un expediente o área, sin</w:t>
            </w:r>
            <w:r w:rsidRPr="00857BDC">
              <w:rPr>
                <w:rFonts w:ascii="Palatino Linotype" w:eastAsia="Times New Roman" w:hAnsi="Palatino Linotype" w:cs="Arial"/>
                <w:color w:val="000000"/>
                <w:lang w:val="es-MX" w:eastAsia="en-US"/>
              </w:rPr>
              <w:t xml:space="preserve"> individualizar su análisis y tampoco se puede hacer un acuerdo por cada dato que se vaya a clasificar dentro de un </w:t>
            </w:r>
            <w:r w:rsidRPr="00857BDC">
              <w:rPr>
                <w:rFonts w:ascii="Palatino Linotype" w:eastAsia="Times New Roman" w:hAnsi="Palatino Linotype" w:cs="Arial"/>
                <w:color w:val="000000"/>
                <w:lang w:val="es-MX" w:eastAsia="en-US"/>
              </w:rPr>
              <w:lastRenderedPageBreak/>
              <w:t>documento con diez datos, por ejemplo, susceptibles de ser clasificados.</w:t>
            </w:r>
          </w:p>
        </w:tc>
      </w:tr>
      <w:tr w:rsidR="00FB7482" w:rsidRPr="00857BDC" w:rsidTr="00FB7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rPr>
                <w:rFonts w:ascii="Palatino Linotype" w:eastAsiaTheme="minorHAnsi" w:hAnsi="Palatino Linotype"/>
                <w:lang w:val="es-MX" w:eastAsia="en-US"/>
              </w:rPr>
            </w:pPr>
            <w:r w:rsidRPr="00857BDC">
              <w:rPr>
                <w:rFonts w:ascii="Palatino Linotype" w:eastAsiaTheme="minorHAnsi" w:hAnsi="Palatino Linotype" w:cstheme="majorBidi"/>
                <w:lang w:val="es-MX" w:eastAsia="en-US"/>
              </w:rPr>
              <w:lastRenderedPageBreak/>
              <w:t>b) Supuestos de clasificación.</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Las disposiciones constitucionales y legales en la materia establecen los dos supuestos generales para clasificar la información: por reserva y por confidencialidad.</w:t>
            </w:r>
          </w:p>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B7482" w:rsidRPr="00857BDC" w:rsidRDefault="00FB7482" w:rsidP="00FB748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lang w:val="es-MX" w:eastAsia="en-US"/>
              </w:rPr>
            </w:pPr>
            <w:r w:rsidRPr="00857BDC">
              <w:rPr>
                <w:rFonts w:ascii="Palatino Linotype" w:eastAsia="Times New Roman" w:hAnsi="Palatino Linotype" w:cs="Arial"/>
                <w:color w:val="000000"/>
                <w:lang w:val="es-MX" w:eastAsia="en-US"/>
              </w:rPr>
              <w:t xml:space="preserve">El </w:t>
            </w:r>
            <w:r w:rsidRPr="00857BDC">
              <w:rPr>
                <w:rFonts w:ascii="Palatino Linotype" w:eastAsia="Times New Roman" w:hAnsi="Palatino Linotype" w:cs="Arial"/>
                <w:b/>
                <w:color w:val="000000"/>
                <w:lang w:val="es-MX" w:eastAsia="en-US"/>
              </w:rPr>
              <w:t>Sujeto Obligado</w:t>
            </w:r>
            <w:r w:rsidRPr="00857BDC">
              <w:rPr>
                <w:rFonts w:ascii="Palatino Linotype" w:eastAsia="Times New Roman" w:hAnsi="Palatino Linotype" w:cs="Arial"/>
                <w:color w:val="000000"/>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7482" w:rsidRPr="00857BDC" w:rsidTr="00FB7482">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rPr>
                <w:rFonts w:ascii="Palatino Linotype" w:eastAsiaTheme="minorHAnsi" w:hAnsi="Palatino Linotype"/>
                <w:lang w:val="es-MX" w:eastAsia="en-US"/>
              </w:rPr>
            </w:pPr>
            <w:r w:rsidRPr="00857BDC">
              <w:rPr>
                <w:rFonts w:ascii="Palatino Linotype" w:eastAsiaTheme="minorHAnsi" w:hAnsi="Palatino Linotype" w:cstheme="majorBidi"/>
                <w:lang w:val="es-MX" w:eastAsia="en-US"/>
              </w:rPr>
              <w:t xml:space="preserve">c) Formalidades para emitir el </w:t>
            </w:r>
            <w:r w:rsidRPr="00857BDC">
              <w:rPr>
                <w:rFonts w:ascii="Palatino Linotype" w:eastAsiaTheme="minorHAnsi" w:hAnsi="Palatino Linotype" w:cstheme="majorBidi"/>
                <w:lang w:val="es-MX" w:eastAsia="en-US"/>
              </w:rPr>
              <w:lastRenderedPageBreak/>
              <w:t>acuerdo de clasificación.</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lastRenderedPageBreak/>
              <w:t xml:space="preserve">El Comité de Transparencia, según lo dispuesto en los artículos cuenta con las facultades para aprobar, modificar o revocar la clasificación de la información que haya propuesto. </w:t>
            </w:r>
          </w:p>
          <w:p w:rsidR="00FB7482" w:rsidRPr="00857BDC" w:rsidRDefault="00FB7482" w:rsidP="00FB748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lastRenderedPageBreak/>
              <w:t xml:space="preserve">Es necesario que </w:t>
            </w:r>
            <w:r w:rsidRPr="00857BDC">
              <w:rPr>
                <w:rFonts w:ascii="Palatino Linotype" w:eastAsia="Times New Roman" w:hAnsi="Palatino Linotype" w:cs="Arial"/>
                <w:b/>
                <w:color w:val="000000"/>
                <w:u w:val="single"/>
                <w:lang w:val="es-MX" w:eastAsia="en-US"/>
              </w:rPr>
              <w:t>el acto reúna con los requisitos elementales</w:t>
            </w:r>
            <w:r w:rsidRPr="00857BDC">
              <w:rPr>
                <w:rFonts w:ascii="Palatino Linotype" w:eastAsia="Times New Roman" w:hAnsi="Palatino Linotype" w:cs="Arial"/>
                <w:color w:val="000000"/>
                <w:lang w:val="es-MX" w:eastAsia="en-US"/>
              </w:rPr>
              <w:t>, entre ellos, que la autoridad que va a emitir el acto de autoridad sea la legalmente facultada para ello.</w:t>
            </w:r>
          </w:p>
          <w:p w:rsidR="00FB7482" w:rsidRPr="00857BDC" w:rsidRDefault="00FB7482" w:rsidP="00FB748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lang w:val="es-MX" w:eastAsia="en-US"/>
              </w:rPr>
            </w:pPr>
            <w:r w:rsidRPr="00857BDC">
              <w:rPr>
                <w:rFonts w:ascii="Palatino Linotype" w:eastAsia="Times New Roman" w:hAnsi="Palatino Linotype" w:cs="Arial"/>
                <w:color w:val="000000"/>
                <w:lang w:val="es-MX"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7482" w:rsidRPr="00857BDC" w:rsidTr="00FB7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FB7482" w:rsidRPr="00857BDC" w:rsidRDefault="00FB7482" w:rsidP="00FB7482">
            <w:pPr>
              <w:spacing w:line="360" w:lineRule="auto"/>
              <w:rPr>
                <w:rFonts w:ascii="Palatino Linotype" w:eastAsiaTheme="minorHAnsi" w:hAnsi="Palatino Linotype"/>
                <w:lang w:val="es-MX" w:eastAsia="en-US"/>
              </w:rPr>
            </w:pPr>
          </w:p>
          <w:p w:rsidR="00FB7482" w:rsidRPr="00857BDC" w:rsidRDefault="00FB7482" w:rsidP="00FB7482">
            <w:pPr>
              <w:spacing w:line="360" w:lineRule="auto"/>
              <w:jc w:val="both"/>
              <w:rPr>
                <w:rFonts w:ascii="Palatino Linotype" w:eastAsiaTheme="minorHAnsi" w:hAnsi="Palatino Linotype"/>
                <w:lang w:val="es-MX" w:eastAsia="en-US"/>
              </w:rPr>
            </w:pPr>
            <w:r w:rsidRPr="00857BDC">
              <w:rPr>
                <w:rFonts w:ascii="Palatino Linotype" w:eastAsia="Times New Roman" w:hAnsi="Palatino Linotype" w:cs="Arial"/>
                <w:color w:val="000000"/>
                <w:lang w:val="es-MX" w:eastAsia="en-US"/>
              </w:rPr>
              <w:t xml:space="preserve">d) Requisitos de fondo del acuerdo de clasificación. </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57BDC">
              <w:rPr>
                <w:rFonts w:ascii="Palatino Linotype" w:eastAsia="Times New Roman" w:hAnsi="Palatino Linotype" w:cs="Arial"/>
                <w:b/>
                <w:color w:val="000000"/>
                <w:lang w:val="es-MX" w:eastAsia="en-US"/>
              </w:rPr>
              <w:t>Sujetos Obligados</w:t>
            </w:r>
            <w:r w:rsidRPr="00857BDC">
              <w:rPr>
                <w:rFonts w:ascii="Palatino Linotype" w:eastAsia="Times New Roman" w:hAnsi="Palatino Linotype" w:cs="Arial"/>
                <w:color w:val="000000"/>
                <w:lang w:val="es-MX" w:eastAsia="en-US"/>
              </w:rPr>
              <w:t xml:space="preserve">, por lo que deberán fundar y motivar debidamente la clasificación. </w:t>
            </w:r>
          </w:p>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 xml:space="preserve">De lo anterior, se desprende que para una correcta </w:t>
            </w:r>
            <w:r w:rsidRPr="00857BDC">
              <w:rPr>
                <w:rFonts w:ascii="Palatino Linotype" w:eastAsia="Times New Roman" w:hAnsi="Palatino Linotype" w:cs="Arial"/>
                <w:b/>
                <w:color w:val="000000"/>
                <w:lang w:val="es-MX" w:eastAsia="en-US"/>
              </w:rPr>
              <w:t>clasificación total o parcial</w:t>
            </w:r>
            <w:r w:rsidRPr="00857BDC">
              <w:rPr>
                <w:rFonts w:ascii="Palatino Linotype" w:eastAsia="Times New Roman" w:hAnsi="Palatino Linotype" w:cs="Arial"/>
                <w:color w:val="000000"/>
                <w:lang w:val="es-MX" w:eastAsia="en-US"/>
              </w:rPr>
              <w:t xml:space="preserve">, esto es determinar los datos que se suprimen en las versiones públicas, es necesario fundar y motivar, de manera correcta, la clasificación; considerando que todo acto </w:t>
            </w:r>
            <w:r w:rsidRPr="00857BDC">
              <w:rPr>
                <w:rFonts w:ascii="Palatino Linotype" w:eastAsia="Times New Roman" w:hAnsi="Palatino Linotype" w:cs="Arial"/>
                <w:color w:val="000000"/>
                <w:lang w:val="es-MX" w:eastAsia="en-US"/>
              </w:rPr>
              <w:lastRenderedPageBreak/>
              <w:t>que la autoridad pronuncie en el ejercicio de sus atribuciones, debe expresar los fundamentos legales que le dieron origen y las razones por las que se deben aplicar al caso concreto.</w:t>
            </w:r>
          </w:p>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En ese mismo sentido, el numeral trigésimo tercero fracción V de los Lineamientos Generales, precisa que para motivar la clasificación se deben acreditar las circunstancias de tiempo, modo y lugar.</w:t>
            </w:r>
          </w:p>
          <w:p w:rsidR="00FB7482" w:rsidRPr="00857BDC" w:rsidRDefault="00FB7482" w:rsidP="00FB748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 xml:space="preserve">Ahora bien, </w:t>
            </w:r>
            <w:r w:rsidRPr="00857BDC">
              <w:rPr>
                <w:rFonts w:ascii="Palatino Linotype" w:eastAsia="Times New Roman" w:hAnsi="Palatino Linotype" w:cs="Arial"/>
                <w:b/>
                <w:color w:val="000000"/>
                <w:u w:val="single"/>
                <w:lang w:val="es-MX" w:eastAsia="en-US"/>
              </w:rPr>
              <w:t>para cada caso además de fundar y motivar</w:t>
            </w:r>
            <w:r w:rsidRPr="00857BDC">
              <w:rPr>
                <w:rFonts w:ascii="Palatino Linotype" w:eastAsia="Times New Roman" w:hAnsi="Palatino Linotype" w:cs="Arial"/>
                <w:color w:val="000000"/>
                <w:lang w:val="es-MX" w:eastAsia="en-US"/>
              </w:rPr>
              <w:t xml:space="preserve">, se debe identificar con claridad que datos contenidos en las documentales que son susceptibles de suprimirse, por ejemplo; </w:t>
            </w:r>
            <w:r w:rsidRPr="00857BDC">
              <w:rPr>
                <w:rFonts w:ascii="Palatino Linotype" w:eastAsia="Times New Roman" w:hAnsi="Palatino Linotype" w:cs="Arial"/>
                <w:color w:val="000000"/>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7482" w:rsidRPr="00857BDC" w:rsidTr="00FB7482">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FB7482" w:rsidRPr="00857BDC" w:rsidRDefault="00FB7482" w:rsidP="00FB7482">
            <w:pPr>
              <w:spacing w:line="360" w:lineRule="auto"/>
              <w:ind w:right="49"/>
              <w:jc w:val="both"/>
              <w:rPr>
                <w:rFonts w:ascii="Palatino Linotype" w:eastAsia="Times New Roman" w:hAnsi="Palatino Linotype" w:cs="Arial"/>
                <w:lang w:val="es-MX" w:eastAsia="en-US"/>
              </w:rPr>
            </w:pPr>
            <w:r w:rsidRPr="00857BDC">
              <w:rPr>
                <w:rFonts w:ascii="Palatino Linotype" w:eastAsia="MS Gothic" w:hAnsi="Palatino Linotype" w:cs="Times New Roman"/>
                <w:lang w:val="es-MX" w:eastAsia="en-US"/>
              </w:rPr>
              <w:lastRenderedPageBreak/>
              <w:t xml:space="preserve">e) Condiciones especiales de la clasificación de la información como confidencial. </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FB7482" w:rsidRPr="00857BDC" w:rsidRDefault="00FB7482" w:rsidP="00FB748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 xml:space="preserve">Los artículos 148 y 120 de la Ley Estatal y de la Ley General, respectivamente, establecen que aun tratándose de datos personales, se podrán proporcionar, incluso sin solicitar el consentimiento de su titular. </w:t>
            </w:r>
          </w:p>
          <w:p w:rsidR="00FB7482" w:rsidRPr="00857BDC" w:rsidRDefault="00FB7482" w:rsidP="00FB748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lang w:val="es-MX" w:eastAsia="en-US"/>
              </w:rPr>
            </w:pPr>
            <w:r w:rsidRPr="00857BDC">
              <w:rPr>
                <w:rFonts w:ascii="Palatino Linotype" w:eastAsia="Times New Roman" w:hAnsi="Palatino Linotype" w:cs="Arial"/>
                <w:color w:val="000000"/>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B7482" w:rsidRPr="00857BDC" w:rsidRDefault="00FB7482" w:rsidP="00FB7482">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lang w:val="es-MX" w:eastAsia="en-US"/>
              </w:rPr>
            </w:pPr>
            <w:r w:rsidRPr="00857BDC">
              <w:rPr>
                <w:rFonts w:ascii="Palatino Linotype" w:eastAsia="Times New Roman" w:hAnsi="Palatino Linotype" w:cs="Arial"/>
                <w:color w:val="000000"/>
                <w:lang w:val="es-MX"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B7482" w:rsidRPr="00857BDC" w:rsidRDefault="00FB7482" w:rsidP="00FB7482">
      <w:pPr>
        <w:tabs>
          <w:tab w:val="left" w:pos="0"/>
          <w:tab w:val="left" w:pos="426"/>
        </w:tabs>
        <w:spacing w:line="360" w:lineRule="auto"/>
        <w:ind w:right="49"/>
        <w:contextualSpacing/>
        <w:jc w:val="both"/>
        <w:rPr>
          <w:rFonts w:ascii="Palatino Linotype" w:eastAsia="MS Mincho" w:hAnsi="Palatino Linotype" w:cs="Arial"/>
          <w:i/>
          <w:lang w:val="es-MX" w:eastAsia="en-US"/>
        </w:rPr>
      </w:pPr>
    </w:p>
    <w:p w:rsidR="005371CB" w:rsidRPr="00857BDC" w:rsidRDefault="005371CB" w:rsidP="005371CB">
      <w:pPr>
        <w:pStyle w:val="Prrafodelista"/>
        <w:numPr>
          <w:ilvl w:val="0"/>
          <w:numId w:val="2"/>
        </w:numPr>
        <w:spacing w:before="240" w:after="240" w:line="360" w:lineRule="auto"/>
        <w:ind w:left="0" w:firstLine="0"/>
        <w:jc w:val="both"/>
        <w:rPr>
          <w:rFonts w:ascii="Palatino Linotype" w:eastAsia="Times New Roman" w:hAnsi="Palatino Linotype" w:cs="Times New Roman"/>
        </w:rPr>
      </w:pPr>
      <w:r w:rsidRPr="00857BDC">
        <w:rPr>
          <w:rFonts w:ascii="Palatino Linotype" w:eastAsia="Times New Roman" w:hAnsi="Palatino Linotype" w:cs="Times New Roman"/>
        </w:rPr>
        <w:t>Así, con la entrega de la información solicitada, se permite la rendición de cuentas y el combate a la corrupción, permitiendo que la sociedad tenga conocimiento sobre la forma en que se conduce la administración pública. Por lo que e</w:t>
      </w:r>
      <w:r w:rsidRPr="00857BDC">
        <w:rPr>
          <w:rFonts w:ascii="Palatino Linotype" w:eastAsia="MS Mincho" w:hAnsi="Palatino Linotype" w:cs="Times New Roman"/>
          <w:color w:val="000000"/>
          <w:lang w:val="es-ES"/>
        </w:rPr>
        <w:t xml:space="preserve">n mérito de lo expuesto en líneas anteriores, resultan fundadas las razones o motivos de inconformidad hechos valer por el </w:t>
      </w:r>
      <w:r w:rsidRPr="00857BDC">
        <w:rPr>
          <w:rFonts w:ascii="Palatino Linotype" w:eastAsia="MS Mincho" w:hAnsi="Palatino Linotype" w:cs="Times New Roman"/>
          <w:b/>
          <w:color w:val="000000"/>
          <w:lang w:val="es-ES"/>
        </w:rPr>
        <w:t>RECURRENTE</w:t>
      </w:r>
      <w:r w:rsidRPr="00857BDC">
        <w:rPr>
          <w:rFonts w:ascii="Palatino Linotype" w:eastAsia="MS Mincho" w:hAnsi="Palatino Linotype" w:cs="Times New Roman"/>
          <w:color w:val="000000"/>
          <w:lang w:val="es-ES"/>
        </w:rPr>
        <w:t xml:space="preserve"> dentro del recurso de revisión </w:t>
      </w:r>
      <w:r w:rsidRPr="00857BDC">
        <w:rPr>
          <w:rFonts w:ascii="Palatino Linotype" w:eastAsia="MS Mincho" w:hAnsi="Palatino Linotype" w:cs="Times New Roman"/>
          <w:b/>
          <w:color w:val="000000"/>
          <w:lang w:val="es-ES"/>
        </w:rPr>
        <w:t>07528/INFOEM/IP/RR/2019</w:t>
      </w:r>
      <w:r w:rsidRPr="00857BDC">
        <w:rPr>
          <w:rFonts w:ascii="Palatino Linotype" w:eastAsia="MS Mincho" w:hAnsi="Palatino Linotype" w:cs="Arial"/>
          <w:szCs w:val="23"/>
        </w:rPr>
        <w:t>, toda vez que</w:t>
      </w:r>
      <w:r w:rsidRPr="00857BDC">
        <w:rPr>
          <w:rFonts w:ascii="Palatino Linotype" w:eastAsia="Times New Roman" w:hAnsi="Palatino Linotype" w:cs="Times New Roman"/>
        </w:rPr>
        <w:t xml:space="preserve"> se actualiza las hipótesis de procedencia</w:t>
      </w:r>
      <w:r w:rsidRPr="00857BDC">
        <w:rPr>
          <w:rFonts w:ascii="Palatino Linotype" w:eastAsia="Times New Roman" w:hAnsi="Palatino Linotype" w:cs="Times New Roman"/>
          <w:b/>
        </w:rPr>
        <w:t xml:space="preserve"> </w:t>
      </w:r>
      <w:r w:rsidRPr="00857BDC">
        <w:rPr>
          <w:rFonts w:ascii="Palatino Linotype" w:eastAsia="Times New Roman" w:hAnsi="Palatino Linotype" w:cs="Arial"/>
          <w:color w:val="222222"/>
          <w:lang w:eastAsia="es-MX"/>
        </w:rPr>
        <w:t xml:space="preserve">contenidas en </w:t>
      </w:r>
      <w:r w:rsidRPr="00857BDC">
        <w:rPr>
          <w:rFonts w:ascii="Palatino Linotype" w:eastAsia="Times New Roman" w:hAnsi="Palatino Linotype" w:cs="Arial"/>
          <w:color w:val="222222"/>
          <w:lang w:val="es-ES" w:eastAsia="es-MX"/>
        </w:rPr>
        <w:t xml:space="preserve">el artículo 179 fracción VI de la </w:t>
      </w:r>
      <w:r w:rsidRPr="00857BDC">
        <w:rPr>
          <w:rFonts w:ascii="Palatino Linotype" w:eastAsia="Calibri" w:hAnsi="Palatino Linotype" w:cs="Arial"/>
          <w:b/>
          <w:lang w:val="es-ES"/>
        </w:rPr>
        <w:t>Ley de Transparencia y Acceso a la Información Pública del Estado de México y Municipios</w:t>
      </w:r>
      <w:r w:rsidRPr="00857BDC">
        <w:rPr>
          <w:rFonts w:ascii="Palatino Linotype" w:eastAsia="Times New Roman" w:hAnsi="Palatino Linotype" w:cs="Arial"/>
          <w:color w:val="222222"/>
          <w:lang w:val="es-ES" w:eastAsia="es-MX"/>
        </w:rPr>
        <w:t>.</w:t>
      </w:r>
    </w:p>
    <w:p w:rsidR="005371CB" w:rsidRPr="00857BDC" w:rsidRDefault="005371CB" w:rsidP="005371CB">
      <w:pPr>
        <w:spacing w:before="240" w:after="240" w:line="360" w:lineRule="auto"/>
        <w:contextualSpacing/>
        <w:jc w:val="both"/>
        <w:rPr>
          <w:rFonts w:ascii="Palatino Linotype" w:eastAsia="Times New Roman" w:hAnsi="Palatino Linotype" w:cs="Times New Roman"/>
        </w:rPr>
      </w:pPr>
    </w:p>
    <w:p w:rsidR="00FB7482" w:rsidRPr="00857BDC" w:rsidRDefault="005371CB" w:rsidP="005371CB">
      <w:pPr>
        <w:numPr>
          <w:ilvl w:val="0"/>
          <w:numId w:val="45"/>
        </w:numPr>
        <w:tabs>
          <w:tab w:val="left" w:pos="426"/>
          <w:tab w:val="left" w:pos="8222"/>
        </w:tabs>
        <w:spacing w:before="240" w:after="240" w:line="360" w:lineRule="auto"/>
        <w:ind w:left="0" w:right="51" w:firstLine="0"/>
        <w:jc w:val="both"/>
        <w:rPr>
          <w:rFonts w:ascii="Palatino Linotype" w:eastAsia="MS Mincho" w:hAnsi="Palatino Linotype" w:cs="Times New Roman"/>
          <w:color w:val="000000"/>
        </w:rPr>
      </w:pPr>
      <w:r w:rsidRPr="00857BDC">
        <w:rPr>
          <w:rFonts w:ascii="Palatino Linotype" w:eastAsia="MS Mincho" w:hAnsi="Palatino Linotype" w:cs="Times New Roman"/>
          <w:color w:val="000000"/>
        </w:rPr>
        <w:t xml:space="preserve">Por lo anteriormente expuesto y fundado, éste </w:t>
      </w:r>
      <w:r w:rsidRPr="00857BDC">
        <w:rPr>
          <w:rFonts w:ascii="Palatino Linotype" w:eastAsia="MS Mincho" w:hAnsi="Palatino Linotype" w:cs="Times New Roman"/>
          <w:b/>
          <w:color w:val="000000"/>
        </w:rPr>
        <w:t>ÓRGANO GARANTE</w:t>
      </w:r>
      <w:r w:rsidRPr="00857BDC">
        <w:rPr>
          <w:rFonts w:ascii="Palatino Linotype" w:eastAsia="MS Mincho" w:hAnsi="Palatino Linotype" w:cs="Times New Roman"/>
          <w:color w:val="000000"/>
        </w:rPr>
        <w:t xml:space="preserve"> emite los siguientes:</w:t>
      </w:r>
    </w:p>
    <w:p w:rsidR="00FB7482" w:rsidRPr="00857BDC" w:rsidRDefault="00FB7482" w:rsidP="00FB7482">
      <w:pPr>
        <w:keepNext/>
        <w:keepLines/>
        <w:spacing w:line="360" w:lineRule="auto"/>
        <w:jc w:val="center"/>
        <w:outlineLvl w:val="0"/>
        <w:rPr>
          <w:rFonts w:ascii="Palatino Linotype" w:eastAsia="Times New Roman" w:hAnsi="Palatino Linotype" w:cstheme="majorBidi"/>
          <w:b/>
        </w:rPr>
      </w:pPr>
      <w:bookmarkStart w:id="132" w:name="_Toc494366431"/>
      <w:bookmarkStart w:id="133" w:name="_Toc22889949"/>
      <w:bookmarkStart w:id="134" w:name="_Toc25180704"/>
      <w:r w:rsidRPr="00857BDC">
        <w:rPr>
          <w:rFonts w:ascii="Palatino Linotype" w:eastAsia="Times New Roman" w:hAnsi="Palatino Linotype" w:cstheme="majorBidi"/>
          <w:b/>
        </w:rPr>
        <w:t>R E S O L U T I V O S</w:t>
      </w:r>
      <w:bookmarkEnd w:id="132"/>
      <w:bookmarkEnd w:id="133"/>
      <w:bookmarkEnd w:id="134"/>
    </w:p>
    <w:p w:rsidR="00FB7482" w:rsidRPr="00857BDC" w:rsidRDefault="00FB7482" w:rsidP="00FB7482">
      <w:pPr>
        <w:spacing w:line="360" w:lineRule="auto"/>
        <w:rPr>
          <w:rFonts w:ascii="Palatino Linotype" w:eastAsiaTheme="minorHAnsi" w:hAnsi="Palatino Linotype"/>
        </w:rPr>
      </w:pPr>
    </w:p>
    <w:p w:rsidR="00FB7482" w:rsidRPr="00E16784" w:rsidRDefault="00FB7482" w:rsidP="00FB7482">
      <w:pPr>
        <w:spacing w:line="360" w:lineRule="auto"/>
        <w:jc w:val="both"/>
        <w:rPr>
          <w:rFonts w:ascii="Palatino Linotype" w:eastAsia="Times New Roman" w:hAnsi="Palatino Linotype" w:cs="Times New Roman"/>
        </w:rPr>
      </w:pPr>
      <w:r w:rsidRPr="00857BDC">
        <w:rPr>
          <w:rFonts w:ascii="Palatino Linotype" w:eastAsia="Times New Roman" w:hAnsi="Palatino Linotype" w:cs="Arial"/>
          <w:b/>
        </w:rPr>
        <w:t xml:space="preserve">PRIMERO. </w:t>
      </w:r>
      <w:r w:rsidR="0091674E">
        <w:rPr>
          <w:rFonts w:ascii="Palatino Linotype" w:eastAsia="Times New Roman" w:hAnsi="Palatino Linotype" w:cs="Arial"/>
        </w:rPr>
        <w:t xml:space="preserve">Resultan </w:t>
      </w:r>
      <w:r w:rsidRPr="00857BDC">
        <w:rPr>
          <w:rFonts w:ascii="Palatino Linotype" w:eastAsia="Times New Roman" w:hAnsi="Palatino Linotype" w:cs="Arial"/>
        </w:rPr>
        <w:t>fundadas las</w:t>
      </w:r>
      <w:r w:rsidRPr="00857BDC">
        <w:rPr>
          <w:rFonts w:ascii="Palatino Linotype" w:eastAsia="Times New Roman" w:hAnsi="Palatino Linotype" w:cs="Arial"/>
          <w:b/>
        </w:rPr>
        <w:t xml:space="preserve"> </w:t>
      </w:r>
      <w:r w:rsidRPr="00857BDC">
        <w:rPr>
          <w:rFonts w:ascii="Palatino Linotype" w:eastAsia="Times New Roman" w:hAnsi="Palatino Linotype" w:cs="Arial"/>
          <w:lang w:val="es-ES"/>
        </w:rPr>
        <w:t xml:space="preserve">razones o motivos de inconformidad hechos valer por el recurrente </w:t>
      </w:r>
      <w:r w:rsidRPr="00857BDC">
        <w:rPr>
          <w:rFonts w:ascii="Palatino Linotype" w:eastAsia="Calibri" w:hAnsi="Palatino Linotype" w:cs="Arial"/>
          <w:lang w:val="es-ES"/>
        </w:rPr>
        <w:t xml:space="preserve">en el recurso de revisión </w:t>
      </w:r>
      <w:r w:rsidR="00C41446" w:rsidRPr="00E16784">
        <w:rPr>
          <w:rFonts w:ascii="Palatino Linotype" w:eastAsia="Times New Roman" w:hAnsi="Palatino Linotype" w:cs="Times New Roman"/>
          <w:b/>
        </w:rPr>
        <w:t>07528</w:t>
      </w:r>
      <w:r w:rsidRPr="00E16784">
        <w:rPr>
          <w:rFonts w:ascii="Palatino Linotype" w:eastAsia="Times New Roman" w:hAnsi="Palatino Linotype" w:cs="Times New Roman"/>
          <w:b/>
        </w:rPr>
        <w:t xml:space="preserve">/INFOEM/IP/RR/2019 </w:t>
      </w:r>
      <w:r w:rsidRPr="00E16784">
        <w:rPr>
          <w:rFonts w:ascii="Palatino Linotype" w:eastAsia="Times New Roman" w:hAnsi="Palatino Linotype" w:cs="Times New Roman"/>
        </w:rPr>
        <w:t>en términos de los Considerandos</w:t>
      </w:r>
      <w:r w:rsidRPr="00E16784">
        <w:rPr>
          <w:rFonts w:ascii="Palatino Linotype" w:eastAsia="Times New Roman" w:hAnsi="Palatino Linotype" w:cs="Times New Roman"/>
          <w:b/>
          <w:bCs/>
        </w:rPr>
        <w:t xml:space="preserve"> </w:t>
      </w:r>
      <w:r w:rsidRPr="00E16784">
        <w:rPr>
          <w:rFonts w:ascii="Palatino Linotype" w:eastAsia="Times New Roman" w:hAnsi="Palatino Linotype" w:cs="Times New Roman"/>
          <w:b/>
        </w:rPr>
        <w:t xml:space="preserve">CUARTO y QUINTO </w:t>
      </w:r>
      <w:r w:rsidRPr="00E16784">
        <w:rPr>
          <w:rFonts w:ascii="Palatino Linotype" w:eastAsia="Times New Roman" w:hAnsi="Palatino Linotype" w:cs="Times New Roman"/>
        </w:rPr>
        <w:t xml:space="preserve">de la presente resolución. </w:t>
      </w:r>
    </w:p>
    <w:p w:rsidR="00FB7482" w:rsidRPr="00E16784" w:rsidRDefault="00FB7482" w:rsidP="00FB7482">
      <w:pPr>
        <w:spacing w:line="360" w:lineRule="auto"/>
        <w:jc w:val="both"/>
        <w:rPr>
          <w:rFonts w:ascii="Palatino Linotype" w:eastAsia="Times New Roman" w:hAnsi="Palatino Linotype" w:cs="Times New Roman"/>
        </w:rPr>
      </w:pPr>
    </w:p>
    <w:p w:rsidR="00FB7482" w:rsidRPr="00E16784" w:rsidRDefault="00FB7482" w:rsidP="00FB7482">
      <w:pPr>
        <w:spacing w:line="360" w:lineRule="auto"/>
        <w:contextualSpacing/>
        <w:jc w:val="both"/>
        <w:rPr>
          <w:rFonts w:ascii="Palatino Linotype" w:eastAsia="Times New Roman" w:hAnsi="Palatino Linotype" w:cs="Arial"/>
          <w:color w:val="000000"/>
        </w:rPr>
      </w:pPr>
      <w:r w:rsidRPr="00E16784">
        <w:rPr>
          <w:rFonts w:ascii="Palatino Linotype" w:eastAsia="Calibri" w:hAnsi="Palatino Linotype" w:cs="Arial"/>
          <w:b/>
          <w:bCs/>
          <w:lang w:val="es-ES"/>
        </w:rPr>
        <w:t xml:space="preserve">SEGUNDO. </w:t>
      </w:r>
      <w:r w:rsidRPr="00E16784">
        <w:rPr>
          <w:rFonts w:ascii="Palatino Linotype" w:eastAsia="Calibri" w:hAnsi="Palatino Linotype" w:cs="Arial"/>
          <w:lang w:val="es-ES"/>
        </w:rPr>
        <w:t xml:space="preserve">Se </w:t>
      </w:r>
      <w:r w:rsidRPr="00E16784">
        <w:rPr>
          <w:rFonts w:ascii="Palatino Linotype" w:eastAsia="Calibri" w:hAnsi="Palatino Linotype" w:cs="Arial"/>
          <w:b/>
          <w:lang w:val="es-ES"/>
        </w:rPr>
        <w:t>REVOCA</w:t>
      </w:r>
      <w:r w:rsidR="00C41446" w:rsidRPr="00E16784">
        <w:rPr>
          <w:rFonts w:ascii="Palatino Linotype" w:eastAsia="Calibri" w:hAnsi="Palatino Linotype" w:cs="Arial"/>
          <w:lang w:val="es-ES"/>
        </w:rPr>
        <w:t xml:space="preserve"> la respuesta </w:t>
      </w:r>
      <w:r w:rsidR="0091674E">
        <w:rPr>
          <w:rFonts w:ascii="Palatino Linotype" w:eastAsia="Calibri" w:hAnsi="Palatino Linotype" w:cs="Arial"/>
          <w:lang w:val="es-ES"/>
        </w:rPr>
        <w:t xml:space="preserve">emitida por el </w:t>
      </w:r>
      <w:r w:rsidR="00C41446" w:rsidRPr="00E16784">
        <w:rPr>
          <w:rFonts w:ascii="Palatino Linotype" w:eastAsia="Calibri" w:hAnsi="Palatino Linotype" w:cs="Arial"/>
          <w:b/>
          <w:lang w:val="es-ES"/>
        </w:rPr>
        <w:t xml:space="preserve">Poder Legislativo </w:t>
      </w:r>
      <w:r w:rsidRPr="00E16784">
        <w:rPr>
          <w:rFonts w:ascii="Palatino Linotype" w:eastAsia="Calibri" w:hAnsi="Palatino Linotype" w:cs="Arial"/>
          <w:b/>
          <w:lang w:val="es-MX"/>
        </w:rPr>
        <w:t xml:space="preserve"> </w:t>
      </w:r>
      <w:r w:rsidRPr="00E16784">
        <w:rPr>
          <w:rFonts w:ascii="Palatino Linotype" w:eastAsia="Calibri" w:hAnsi="Palatino Linotype" w:cs="Arial"/>
          <w:lang w:val="es-MX"/>
        </w:rPr>
        <w:t xml:space="preserve">y se </w:t>
      </w:r>
      <w:r w:rsidRPr="00E16784">
        <w:rPr>
          <w:rFonts w:ascii="Palatino Linotype" w:eastAsia="Calibri" w:hAnsi="Palatino Linotype" w:cs="Arial"/>
          <w:b/>
          <w:lang w:val="es-MX"/>
        </w:rPr>
        <w:t>ORDENA</w:t>
      </w:r>
      <w:r w:rsidRPr="00E16784">
        <w:rPr>
          <w:rFonts w:ascii="Palatino Linotype" w:eastAsia="Calibri" w:hAnsi="Palatino Linotype" w:cs="Arial"/>
          <w:b/>
          <w:lang w:val="es-ES"/>
        </w:rPr>
        <w:t xml:space="preserve"> </w:t>
      </w:r>
      <w:r w:rsidRPr="00E16784">
        <w:rPr>
          <w:rFonts w:ascii="Palatino Linotype" w:eastAsia="Calibri" w:hAnsi="Palatino Linotype" w:cs="Arial"/>
          <w:lang w:val="es-ES"/>
        </w:rPr>
        <w:t>entregar vía</w:t>
      </w:r>
      <w:r w:rsidR="005371CB" w:rsidRPr="00E16784">
        <w:rPr>
          <w:rFonts w:ascii="Palatino Linotype" w:eastAsia="Calibri" w:hAnsi="Palatino Linotype" w:cs="Arial"/>
          <w:lang w:val="es-ES"/>
        </w:rPr>
        <w:t xml:space="preserve"> </w:t>
      </w:r>
      <w:r w:rsidR="005371CB" w:rsidRPr="00E16784">
        <w:rPr>
          <w:rFonts w:ascii="Palatino Linotype" w:eastAsia="Calibri" w:hAnsi="Palatino Linotype" w:cs="Arial"/>
          <w:b/>
          <w:lang w:val="es-ES"/>
        </w:rPr>
        <w:t xml:space="preserve">Correo Electrónico y </w:t>
      </w:r>
      <w:r w:rsidRPr="00E16784">
        <w:rPr>
          <w:rFonts w:ascii="Palatino Linotype" w:eastAsia="Times New Roman" w:hAnsi="Palatino Linotype" w:cs="Arial"/>
          <w:b/>
          <w:color w:val="000000"/>
          <w:lang w:val="es-ES"/>
        </w:rPr>
        <w:t xml:space="preserve"> </w:t>
      </w:r>
      <w:r w:rsidRPr="00E16784">
        <w:rPr>
          <w:rFonts w:ascii="Palatino Linotype" w:eastAsia="Times New Roman" w:hAnsi="Palatino Linotype" w:cs="Arial"/>
          <w:b/>
          <w:color w:val="000000"/>
        </w:rPr>
        <w:t>Sistema de Acceso a Información Mexiquense (</w:t>
      </w:r>
      <w:bookmarkStart w:id="135" w:name="_Toc460947013"/>
      <w:r w:rsidRPr="00E16784">
        <w:rPr>
          <w:rFonts w:ascii="Palatino Linotype" w:eastAsia="Times New Roman" w:hAnsi="Palatino Linotype" w:cs="Arial"/>
          <w:b/>
          <w:color w:val="000000"/>
        </w:rPr>
        <w:t>SAIMEX),</w:t>
      </w:r>
      <w:r w:rsidRPr="00E16784">
        <w:rPr>
          <w:rFonts w:ascii="Palatino Linotype" w:eastAsia="Times New Roman" w:hAnsi="Palatino Linotype" w:cs="Arial"/>
          <w:color w:val="000000"/>
        </w:rPr>
        <w:t xml:space="preserve"> </w:t>
      </w:r>
      <w:r w:rsidR="0091674E" w:rsidRPr="0091674E">
        <w:rPr>
          <w:rFonts w:ascii="Palatino Linotype" w:eastAsia="Times New Roman" w:hAnsi="Palatino Linotype" w:cs="Arial"/>
          <w:bCs/>
          <w:color w:val="000000"/>
          <w:lang w:val="es-ES"/>
        </w:rPr>
        <w:t xml:space="preserve">previa búsqueda exhaustiva y razonable, </w:t>
      </w:r>
      <w:r w:rsidRPr="0091674E">
        <w:rPr>
          <w:rFonts w:ascii="Palatino Linotype" w:eastAsia="Times New Roman" w:hAnsi="Palatino Linotype" w:cs="Arial"/>
          <w:bCs/>
          <w:color w:val="000000"/>
        </w:rPr>
        <w:t>de ser el caso en versión pública</w:t>
      </w:r>
      <w:r w:rsidRPr="0091674E">
        <w:rPr>
          <w:rFonts w:ascii="Palatino Linotype" w:eastAsia="Times New Roman" w:hAnsi="Palatino Linotype" w:cs="Arial"/>
          <w:color w:val="000000"/>
        </w:rPr>
        <w:t xml:space="preserve">, </w:t>
      </w:r>
      <w:r w:rsidRPr="00E16784">
        <w:rPr>
          <w:rFonts w:ascii="Palatino Linotype" w:eastAsia="Times New Roman" w:hAnsi="Palatino Linotype" w:cs="Arial"/>
          <w:color w:val="000000"/>
        </w:rPr>
        <w:t>la siguiente información:</w:t>
      </w:r>
    </w:p>
    <w:p w:rsidR="00FB7482" w:rsidRPr="00E16784" w:rsidRDefault="00FB7482" w:rsidP="00E16784">
      <w:pPr>
        <w:numPr>
          <w:ilvl w:val="0"/>
          <w:numId w:val="44"/>
        </w:numPr>
        <w:spacing w:after="160" w:line="360" w:lineRule="auto"/>
        <w:ind w:left="142" w:right="567" w:firstLine="0"/>
        <w:contextualSpacing/>
        <w:jc w:val="both"/>
        <w:rPr>
          <w:rFonts w:ascii="Palatino Linotype" w:eastAsia="Times New Roman" w:hAnsi="Palatino Linotype" w:cs="Arial"/>
          <w:color w:val="000000"/>
        </w:rPr>
      </w:pPr>
      <w:r w:rsidRPr="00E16784">
        <w:rPr>
          <w:rFonts w:ascii="Palatino Linotype" w:eastAsiaTheme="minorHAnsi" w:hAnsi="Palatino Linotype"/>
          <w:b/>
          <w:bCs/>
          <w:color w:val="000000"/>
          <w:lang w:val="es-MX" w:eastAsia="en-US"/>
        </w:rPr>
        <w:t xml:space="preserve">De los Cuerpos de Seguridad Auxiliares </w:t>
      </w:r>
      <w:r w:rsidR="00C41446" w:rsidRPr="00E16784">
        <w:rPr>
          <w:rFonts w:ascii="Palatino Linotype" w:eastAsiaTheme="minorHAnsi" w:hAnsi="Palatino Linotype"/>
          <w:b/>
          <w:bCs/>
          <w:color w:val="000000"/>
          <w:lang w:val="es-MX" w:eastAsia="en-US"/>
        </w:rPr>
        <w:t>referidos en la solicitud</w:t>
      </w:r>
      <w:r w:rsidR="0091674E">
        <w:rPr>
          <w:rFonts w:ascii="Palatino Linotype" w:eastAsiaTheme="minorHAnsi" w:hAnsi="Palatino Linotype"/>
          <w:b/>
          <w:bCs/>
          <w:color w:val="000000"/>
          <w:lang w:val="es-MX" w:eastAsia="en-US"/>
        </w:rPr>
        <w:t xml:space="preserve"> de información </w:t>
      </w:r>
      <w:r w:rsidR="00C41446" w:rsidRPr="00E16784">
        <w:rPr>
          <w:rFonts w:ascii="Palatino Linotype" w:eastAsiaTheme="minorHAnsi" w:hAnsi="Palatino Linotype"/>
          <w:b/>
          <w:bCs/>
          <w:color w:val="000000"/>
          <w:lang w:val="es-MX" w:eastAsia="en-US"/>
        </w:rPr>
        <w:t xml:space="preserve"> </w:t>
      </w:r>
      <w:r w:rsidR="0091674E" w:rsidRPr="0091674E">
        <w:rPr>
          <w:rFonts w:ascii="Palatino Linotype" w:eastAsiaTheme="minorHAnsi" w:hAnsi="Palatino Linotype"/>
          <w:b/>
          <w:bCs/>
          <w:color w:val="000000"/>
          <w:lang w:eastAsia="en-US"/>
        </w:rPr>
        <w:t>00613/PLEGISLA/IP/2019</w:t>
      </w:r>
      <w:r w:rsidR="0091674E">
        <w:rPr>
          <w:rFonts w:ascii="Palatino Linotype" w:eastAsiaTheme="minorHAnsi" w:hAnsi="Palatino Linotype"/>
          <w:b/>
          <w:bCs/>
          <w:color w:val="000000"/>
          <w:lang w:eastAsia="en-US"/>
        </w:rPr>
        <w:t>:</w:t>
      </w:r>
    </w:p>
    <w:p w:rsidR="00AF6EE4" w:rsidRPr="00E16784" w:rsidRDefault="00AF6EE4" w:rsidP="00857BDC">
      <w:pPr>
        <w:numPr>
          <w:ilvl w:val="0"/>
          <w:numId w:val="42"/>
        </w:numPr>
        <w:spacing w:after="160" w:line="360" w:lineRule="auto"/>
        <w:ind w:left="567" w:right="567" w:firstLine="0"/>
        <w:contextualSpacing/>
        <w:jc w:val="both"/>
        <w:rPr>
          <w:rFonts w:ascii="Palatino Linotype" w:eastAsia="Calibri" w:hAnsi="Palatino Linotype" w:cs="Arial"/>
          <w:b/>
          <w:bCs/>
          <w:lang w:val="es-ES" w:eastAsia="en-US"/>
        </w:rPr>
      </w:pPr>
      <w:r w:rsidRPr="00E16784">
        <w:rPr>
          <w:rFonts w:ascii="Palatino Linotype" w:eastAsiaTheme="minorHAnsi" w:hAnsi="Palatino Linotype"/>
          <w:b/>
          <w:bCs/>
          <w:color w:val="000000"/>
          <w:lang w:val="es-MX" w:eastAsia="en-US"/>
        </w:rPr>
        <w:t>Presupuesto</w:t>
      </w:r>
      <w:r w:rsidR="005371CB" w:rsidRPr="00E16784">
        <w:rPr>
          <w:rFonts w:ascii="Palatino Linotype" w:eastAsiaTheme="minorHAnsi" w:hAnsi="Palatino Linotype"/>
          <w:b/>
          <w:bCs/>
          <w:color w:val="000000"/>
          <w:lang w:val="es-MX" w:eastAsia="en-US"/>
        </w:rPr>
        <w:t xml:space="preserve"> de egresos e  ingresos</w:t>
      </w:r>
      <w:r w:rsidR="00C00416" w:rsidRPr="00E16784">
        <w:rPr>
          <w:rFonts w:ascii="Palatino Linotype" w:eastAsiaTheme="minorHAnsi" w:hAnsi="Palatino Linotype"/>
          <w:b/>
          <w:bCs/>
          <w:color w:val="000000"/>
          <w:lang w:val="es-MX" w:eastAsia="en-US"/>
        </w:rPr>
        <w:t xml:space="preserve"> de los</w:t>
      </w:r>
      <w:r w:rsidR="0024033A">
        <w:rPr>
          <w:rFonts w:ascii="Palatino Linotype" w:eastAsiaTheme="minorHAnsi" w:hAnsi="Palatino Linotype"/>
          <w:b/>
          <w:bCs/>
          <w:color w:val="000000"/>
          <w:lang w:val="es-MX" w:eastAsia="en-US"/>
        </w:rPr>
        <w:t xml:space="preserve"> ejercicios</w:t>
      </w:r>
      <w:r w:rsidR="00857BDC" w:rsidRPr="00E16784">
        <w:rPr>
          <w:rFonts w:ascii="Palatino Linotype" w:eastAsiaTheme="minorHAnsi" w:hAnsi="Palatino Linotype"/>
          <w:b/>
          <w:bCs/>
          <w:color w:val="000000"/>
          <w:lang w:val="es-MX" w:eastAsia="en-US"/>
        </w:rPr>
        <w:t xml:space="preserve"> fiscal</w:t>
      </w:r>
      <w:r w:rsidR="00C00416" w:rsidRPr="00E16784">
        <w:rPr>
          <w:rFonts w:ascii="Palatino Linotype" w:eastAsiaTheme="minorHAnsi" w:hAnsi="Palatino Linotype"/>
          <w:b/>
          <w:bCs/>
          <w:color w:val="000000"/>
          <w:lang w:val="es-MX" w:eastAsia="en-US"/>
        </w:rPr>
        <w:t xml:space="preserve">es 2018 y </w:t>
      </w:r>
      <w:r w:rsidR="00857BDC" w:rsidRPr="00E16784">
        <w:rPr>
          <w:rFonts w:ascii="Palatino Linotype" w:eastAsiaTheme="minorHAnsi" w:hAnsi="Palatino Linotype"/>
          <w:b/>
          <w:bCs/>
          <w:color w:val="000000"/>
          <w:lang w:val="es-MX" w:eastAsia="en-US"/>
        </w:rPr>
        <w:t xml:space="preserve"> 2019</w:t>
      </w:r>
      <w:r w:rsidR="00E16784" w:rsidRPr="00E16784">
        <w:rPr>
          <w:rFonts w:ascii="Palatino Linotype" w:eastAsiaTheme="minorHAnsi" w:hAnsi="Palatino Linotype"/>
          <w:b/>
          <w:bCs/>
          <w:color w:val="000000"/>
          <w:lang w:val="es-MX" w:eastAsia="en-US"/>
        </w:rPr>
        <w:t>; y</w:t>
      </w:r>
    </w:p>
    <w:p w:rsidR="00AF6EE4" w:rsidRPr="00E16784" w:rsidRDefault="00AF6EE4" w:rsidP="00AF6EE4">
      <w:pPr>
        <w:numPr>
          <w:ilvl w:val="0"/>
          <w:numId w:val="42"/>
        </w:numPr>
        <w:spacing w:after="160" w:line="360" w:lineRule="auto"/>
        <w:ind w:left="567" w:right="567" w:firstLine="0"/>
        <w:contextualSpacing/>
        <w:jc w:val="both"/>
        <w:rPr>
          <w:rFonts w:ascii="Palatino Linotype" w:eastAsia="Calibri" w:hAnsi="Palatino Linotype" w:cs="Arial"/>
          <w:b/>
          <w:bCs/>
          <w:lang w:val="es-ES" w:eastAsia="en-US"/>
        </w:rPr>
      </w:pPr>
      <w:r w:rsidRPr="00E16784">
        <w:rPr>
          <w:rFonts w:ascii="Palatino Linotype" w:eastAsiaTheme="minorHAnsi" w:hAnsi="Palatino Linotype"/>
          <w:b/>
          <w:bCs/>
          <w:color w:val="000000"/>
          <w:lang w:val="es-MX" w:eastAsia="en-US"/>
        </w:rPr>
        <w:t>Auditorías</w:t>
      </w:r>
      <w:r w:rsidR="005371CB" w:rsidRPr="00E16784">
        <w:rPr>
          <w:rFonts w:ascii="Palatino Linotype" w:eastAsiaTheme="minorHAnsi" w:hAnsi="Palatino Linotype"/>
          <w:b/>
          <w:bCs/>
          <w:color w:val="000000"/>
          <w:lang w:val="es-MX" w:eastAsia="en-US"/>
        </w:rPr>
        <w:t xml:space="preserve"> realizadas</w:t>
      </w:r>
      <w:r w:rsidR="00857BDC" w:rsidRPr="00E16784">
        <w:rPr>
          <w:rFonts w:ascii="Palatino Linotype" w:eastAsiaTheme="minorHAnsi" w:hAnsi="Palatino Linotype"/>
          <w:b/>
          <w:bCs/>
          <w:color w:val="000000"/>
          <w:lang w:val="es-MX" w:eastAsia="en-US"/>
        </w:rPr>
        <w:t xml:space="preserve"> del veintisiete de agosto de dos mil dieciocho al veintisiete de agosto de dos mil diecinueve. </w:t>
      </w:r>
    </w:p>
    <w:p w:rsidR="00AF6EE4" w:rsidRPr="00E16784" w:rsidRDefault="00AF6EE4" w:rsidP="00AF6EE4">
      <w:pPr>
        <w:spacing w:after="160" w:line="360" w:lineRule="auto"/>
        <w:ind w:left="567" w:right="567"/>
        <w:contextualSpacing/>
        <w:jc w:val="both"/>
        <w:rPr>
          <w:rFonts w:ascii="Palatino Linotype" w:eastAsia="Calibri" w:hAnsi="Palatino Linotype" w:cs="Arial"/>
          <w:b/>
          <w:bCs/>
          <w:lang w:val="es-ES" w:eastAsia="en-US"/>
        </w:rPr>
      </w:pPr>
    </w:p>
    <w:p w:rsidR="00FB7482" w:rsidRPr="00857BDC" w:rsidRDefault="00FB7482" w:rsidP="00FB7482">
      <w:pPr>
        <w:spacing w:line="360" w:lineRule="auto"/>
        <w:jc w:val="both"/>
        <w:rPr>
          <w:rFonts w:ascii="Palatino Linotype" w:eastAsia="Calibri" w:hAnsi="Palatino Linotype" w:cs="Arial"/>
          <w:color w:val="000000" w:themeColor="text1"/>
          <w:lang w:val="es-MX" w:eastAsia="en-US"/>
        </w:rPr>
      </w:pPr>
      <w:r w:rsidRPr="00E16784">
        <w:rPr>
          <w:rFonts w:ascii="Palatino Linotype" w:eastAsia="Calibri" w:hAnsi="Palatino Linotype" w:cs="Arial"/>
          <w:color w:val="000000" w:themeColor="text1"/>
          <w:lang w:val="es-MX" w:eastAsia="en-US"/>
        </w:rPr>
        <w:t>Para efectos de lo anterior se deberá emitir el Acuerdo del Comité de Transparencia en términos de los artículos 49 fracción VIII y 132 fracción</w:t>
      </w:r>
      <w:r w:rsidRPr="00857BDC">
        <w:rPr>
          <w:rFonts w:ascii="Palatino Linotype" w:eastAsia="Calibri" w:hAnsi="Palatino Linotype" w:cs="Arial"/>
          <w:color w:val="000000" w:themeColor="text1"/>
          <w:lang w:val="es-MX" w:eastAsia="en-US"/>
        </w:rPr>
        <w:t xml:space="preserve"> II de la Ley de Transparencia y Acceso a la Información Pública del Estado de México y Municipios, en el que funde y motive las razones sobre los datos que se supriman o </w:t>
      </w:r>
      <w:r w:rsidRPr="00857BDC">
        <w:rPr>
          <w:rFonts w:ascii="Palatino Linotype" w:eastAsia="Calibri" w:hAnsi="Palatino Linotype" w:cs="Arial"/>
          <w:color w:val="000000" w:themeColor="text1"/>
          <w:lang w:val="es-MX" w:eastAsia="en-US"/>
        </w:rPr>
        <w:lastRenderedPageBreak/>
        <w:t xml:space="preserve">eliminen dentro del soporte documental respectivo objeto de las versiones públicas que se formulen y se ponga a disposición del particular. </w:t>
      </w:r>
    </w:p>
    <w:p w:rsidR="00FB7482" w:rsidRPr="00857BDC" w:rsidRDefault="00FB7482" w:rsidP="00FB7482">
      <w:pPr>
        <w:spacing w:line="360" w:lineRule="auto"/>
        <w:jc w:val="both"/>
        <w:rPr>
          <w:rFonts w:ascii="Palatino Linotype" w:eastAsia="Calibri" w:hAnsi="Palatino Linotype" w:cs="Arial"/>
          <w:b/>
          <w:color w:val="000000" w:themeColor="text1"/>
          <w:lang w:val="es-MX" w:eastAsia="en-US"/>
        </w:rPr>
      </w:pPr>
    </w:p>
    <w:p w:rsidR="00FB7482" w:rsidRPr="00857BDC" w:rsidRDefault="00FB7482" w:rsidP="00FB7482">
      <w:pPr>
        <w:spacing w:line="360" w:lineRule="auto"/>
        <w:jc w:val="both"/>
        <w:rPr>
          <w:rFonts w:ascii="Palatino Linotype" w:eastAsia="Calibri" w:hAnsi="Palatino Linotype" w:cs="Arial"/>
          <w:bCs/>
          <w:lang w:val="es-MX" w:eastAsia="en-US"/>
        </w:rPr>
      </w:pPr>
      <w:r w:rsidRPr="00857BDC">
        <w:rPr>
          <w:rFonts w:ascii="Palatino Linotype" w:eastAsia="Calibri" w:hAnsi="Palatino Linotype" w:cs="Arial"/>
          <w:bCs/>
          <w:lang w:eastAsia="en-US"/>
        </w:rPr>
        <w:t>Para el caso de que el </w:t>
      </w:r>
      <w:r w:rsidRPr="00857BDC">
        <w:rPr>
          <w:rFonts w:ascii="Palatino Linotype" w:eastAsia="Calibri" w:hAnsi="Palatino Linotype" w:cs="Arial"/>
          <w:b/>
          <w:bCs/>
          <w:lang w:eastAsia="en-US"/>
        </w:rPr>
        <w:t>SUJETO OBLIGADO</w:t>
      </w:r>
      <w:r w:rsidRPr="00857BDC">
        <w:rPr>
          <w:rFonts w:ascii="Palatino Linotype" w:eastAsia="Calibri" w:hAnsi="Palatino Linotype" w:cs="Arial"/>
          <w:bCs/>
          <w:lang w:eastAsia="en-US"/>
        </w:rPr>
        <w:t>, no localice la información señalada en los incisos</w:t>
      </w:r>
      <w:r w:rsidR="005371CB" w:rsidRPr="00857BDC">
        <w:rPr>
          <w:rFonts w:ascii="Palatino Linotype" w:eastAsia="Calibri" w:hAnsi="Palatino Linotype" w:cs="Arial"/>
          <w:bCs/>
          <w:lang w:eastAsia="en-US"/>
        </w:rPr>
        <w:t xml:space="preserve"> </w:t>
      </w:r>
      <w:r w:rsidR="005371CB" w:rsidRPr="00857BDC">
        <w:rPr>
          <w:rFonts w:ascii="Palatino Linotype" w:eastAsia="Calibri" w:hAnsi="Palatino Linotype" w:cs="Arial"/>
          <w:b/>
          <w:bCs/>
          <w:lang w:eastAsia="en-US"/>
        </w:rPr>
        <w:t>a)</w:t>
      </w:r>
      <w:r w:rsidR="005371CB" w:rsidRPr="00857BDC">
        <w:rPr>
          <w:rFonts w:ascii="Palatino Linotype" w:eastAsia="Calibri" w:hAnsi="Palatino Linotype" w:cs="Arial"/>
          <w:bCs/>
          <w:lang w:eastAsia="en-US"/>
        </w:rPr>
        <w:t xml:space="preserve"> y </w:t>
      </w:r>
      <w:r w:rsidR="005371CB" w:rsidRPr="00857BDC">
        <w:rPr>
          <w:rFonts w:ascii="Palatino Linotype" w:eastAsia="Calibri" w:hAnsi="Palatino Linotype" w:cs="Arial"/>
          <w:b/>
          <w:bCs/>
          <w:lang w:eastAsia="en-US"/>
        </w:rPr>
        <w:t>b)</w:t>
      </w:r>
      <w:r w:rsidR="005371CB" w:rsidRPr="00857BDC">
        <w:rPr>
          <w:rFonts w:ascii="Palatino Linotype" w:eastAsia="Calibri" w:hAnsi="Palatino Linotype" w:cs="Arial"/>
          <w:bCs/>
          <w:lang w:eastAsia="en-US"/>
        </w:rPr>
        <w:t xml:space="preserve"> </w:t>
      </w:r>
      <w:r w:rsidRPr="00857BDC">
        <w:rPr>
          <w:rFonts w:ascii="Palatino Linotype" w:eastAsia="Calibri" w:hAnsi="Palatino Linotype" w:cs="Arial"/>
          <w:bCs/>
          <w:lang w:eastAsia="en-US"/>
        </w:rPr>
        <w:t xml:space="preserve"> deberá de emitir el Acuerdo de Inexistencia en términos de los artículos 49, fracciones II y XIII, 169 y 170 de la Ley de Transparencia y Acceso a la Información Pública del Estado de México y Municipios que al respecto emita su Comité de Transparencia.</w:t>
      </w:r>
    </w:p>
    <w:p w:rsidR="00FB7482" w:rsidRPr="00857BDC" w:rsidRDefault="00FB7482" w:rsidP="00FB7482">
      <w:pPr>
        <w:spacing w:line="360" w:lineRule="auto"/>
        <w:jc w:val="both"/>
        <w:rPr>
          <w:rFonts w:ascii="Palatino Linotype" w:eastAsia="Calibri" w:hAnsi="Palatino Linotype" w:cs="Arial"/>
          <w:lang w:val="es-ES" w:eastAsia="en-US"/>
        </w:rPr>
      </w:pPr>
    </w:p>
    <w:p w:rsidR="00FB7482" w:rsidRPr="00857BDC" w:rsidRDefault="00FB7482" w:rsidP="00FB7482">
      <w:pPr>
        <w:spacing w:line="360" w:lineRule="auto"/>
        <w:jc w:val="both"/>
        <w:rPr>
          <w:rFonts w:ascii="Palatino Linotype" w:eastAsia="MS Mincho" w:hAnsi="Palatino Linotype" w:cs="Times New Roman"/>
          <w:color w:val="000000"/>
        </w:rPr>
      </w:pPr>
      <w:r w:rsidRPr="00857BDC">
        <w:rPr>
          <w:rFonts w:ascii="Palatino Linotype" w:eastAsia="MS Mincho" w:hAnsi="Palatino Linotype" w:cs="Times New Roman"/>
          <w:b/>
          <w:color w:val="000000"/>
        </w:rPr>
        <w:t>TERCERO.</w:t>
      </w:r>
      <w:r w:rsidRPr="00857BDC">
        <w:rPr>
          <w:rFonts w:ascii="Palatino Linotype" w:eastAsia="MS Mincho" w:hAnsi="Palatino Linotype" w:cs="Times New Roman"/>
          <w:color w:val="000000"/>
        </w:rPr>
        <w:t xml:space="preserve"> Notifíquese al Titular de la Unidad de Transparencia del</w:t>
      </w:r>
      <w:r w:rsidRPr="00857BDC">
        <w:rPr>
          <w:rFonts w:ascii="Palatino Linotype" w:eastAsia="MS Mincho" w:hAnsi="Palatino Linotype" w:cs="Times New Roman"/>
          <w:b/>
          <w:color w:val="000000"/>
        </w:rPr>
        <w:t xml:space="preserve"> </w:t>
      </w:r>
      <w:r w:rsidRPr="00857BDC">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FB7482" w:rsidRPr="00857BDC" w:rsidRDefault="00FB7482" w:rsidP="00FB7482">
      <w:pPr>
        <w:spacing w:line="360" w:lineRule="auto"/>
        <w:jc w:val="both"/>
        <w:rPr>
          <w:rFonts w:ascii="Palatino Linotype" w:eastAsia="MS Mincho" w:hAnsi="Palatino Linotype" w:cs="Times New Roman"/>
          <w:color w:val="000000"/>
        </w:rPr>
      </w:pPr>
    </w:p>
    <w:p w:rsidR="00FB7482" w:rsidRPr="00857BDC" w:rsidRDefault="00FB7482" w:rsidP="00FB7482">
      <w:pPr>
        <w:spacing w:line="360" w:lineRule="auto"/>
        <w:jc w:val="both"/>
        <w:rPr>
          <w:rFonts w:ascii="Palatino Linotype" w:eastAsiaTheme="minorHAnsi" w:hAnsi="Palatino Linotype"/>
          <w:b/>
          <w:lang w:val="es-MX" w:eastAsia="en-US"/>
        </w:rPr>
      </w:pPr>
      <w:r w:rsidRPr="00857BDC">
        <w:rPr>
          <w:rFonts w:ascii="Palatino Linotype" w:eastAsia="MS Mincho" w:hAnsi="Palatino Linotype" w:cs="Times New Roman"/>
          <w:b/>
          <w:color w:val="000000"/>
        </w:rPr>
        <w:t xml:space="preserve">CUARTO. </w:t>
      </w:r>
      <w:r w:rsidRPr="00857BDC">
        <w:rPr>
          <w:rFonts w:ascii="Palatino Linotype" w:eastAsia="MS Mincho" w:hAnsi="Palatino Linotype" w:cs="Times New Roman"/>
          <w:color w:val="000000"/>
        </w:rPr>
        <w:t>Notifíquese a</w:t>
      </w:r>
      <w:r w:rsidR="00AF6EE4" w:rsidRPr="00857BDC">
        <w:rPr>
          <w:rFonts w:ascii="Palatino Linotype" w:eastAsia="MS Mincho" w:hAnsi="Palatino Linotype" w:cs="Times New Roman"/>
          <w:b/>
          <w:color w:val="000000"/>
        </w:rPr>
        <w:t xml:space="preserve"> </w:t>
      </w:r>
      <w:r w:rsidR="00E04375" w:rsidRPr="00E04375">
        <w:rPr>
          <w:rFonts w:ascii="Palatino Linotype" w:eastAsia="MS Mincho" w:hAnsi="Palatino Linotype" w:cs="Times New Roman"/>
          <w:b/>
          <w:color w:val="000000"/>
          <w:highlight w:val="black"/>
        </w:rPr>
        <w:t>------------</w:t>
      </w:r>
      <w:r w:rsidR="00E04375">
        <w:rPr>
          <w:rFonts w:ascii="Palatino Linotype" w:eastAsia="MS Mincho" w:hAnsi="Palatino Linotype" w:cs="Times New Roman"/>
          <w:b/>
          <w:color w:val="000000"/>
          <w:highlight w:val="black"/>
        </w:rPr>
        <w:t>---------------------------</w:t>
      </w:r>
      <w:r w:rsidR="00E04375" w:rsidRPr="00E04375">
        <w:rPr>
          <w:rFonts w:ascii="Palatino Linotype" w:eastAsia="MS Mincho" w:hAnsi="Palatino Linotype" w:cs="Times New Roman"/>
          <w:b/>
          <w:color w:val="000000"/>
          <w:highlight w:val="black"/>
        </w:rPr>
        <w:t>--------------</w:t>
      </w:r>
      <w:r w:rsidRPr="00857BDC">
        <w:rPr>
          <w:rFonts w:ascii="Palatino Linotype" w:eastAsiaTheme="minorHAnsi" w:hAnsi="Palatino Linotype"/>
          <w:b/>
          <w:lang w:val="es-MX" w:eastAsia="en-US"/>
        </w:rPr>
        <w:t xml:space="preserve"> </w:t>
      </w:r>
      <w:r w:rsidRPr="00857BDC">
        <w:rPr>
          <w:rFonts w:ascii="Palatino Linotype" w:eastAsiaTheme="minorHAnsi" w:hAnsi="Palatino Linotype"/>
          <w:bCs/>
          <w:lang w:val="es-MX" w:eastAsia="en-US"/>
        </w:rPr>
        <w:t>la</w:t>
      </w:r>
      <w:r w:rsidRPr="00857BDC">
        <w:rPr>
          <w:rFonts w:ascii="Palatino Linotype" w:eastAsia="MS Mincho" w:hAnsi="Palatino Linotype" w:cs="Times New Roman"/>
          <w:bCs/>
          <w:color w:val="000000"/>
        </w:rPr>
        <w:t xml:space="preserve"> </w:t>
      </w:r>
      <w:r w:rsidR="00AF6EE4" w:rsidRPr="00857BDC">
        <w:rPr>
          <w:rFonts w:ascii="Palatino Linotype" w:eastAsia="MS Mincho" w:hAnsi="Palatino Linotype" w:cs="Times New Roman"/>
          <w:color w:val="000000"/>
        </w:rPr>
        <w:t xml:space="preserve">presente resolución, así como, los informes justificados correspondientes.  </w:t>
      </w:r>
    </w:p>
    <w:p w:rsidR="00FB7482" w:rsidRPr="00857BDC" w:rsidRDefault="00FB7482" w:rsidP="00FB7482">
      <w:pPr>
        <w:spacing w:line="360" w:lineRule="auto"/>
        <w:jc w:val="both"/>
        <w:rPr>
          <w:rFonts w:ascii="Palatino Linotype" w:eastAsia="MS Mincho" w:hAnsi="Palatino Linotype" w:cs="Times New Roman"/>
          <w:color w:val="000000"/>
        </w:rPr>
      </w:pPr>
    </w:p>
    <w:p w:rsidR="00FB7482" w:rsidRPr="00857BDC" w:rsidRDefault="00FB7482" w:rsidP="00FB7482">
      <w:pPr>
        <w:spacing w:line="360" w:lineRule="auto"/>
        <w:jc w:val="both"/>
        <w:rPr>
          <w:rFonts w:ascii="Palatino Linotype" w:eastAsia="MS Mincho" w:hAnsi="Palatino Linotype" w:cs="Times New Roman"/>
          <w:color w:val="000000"/>
        </w:rPr>
      </w:pPr>
      <w:r w:rsidRPr="00857BDC">
        <w:rPr>
          <w:rFonts w:ascii="Palatino Linotype" w:eastAsia="MS Mincho" w:hAnsi="Palatino Linotype" w:cs="Times New Roman"/>
          <w:b/>
        </w:rPr>
        <w:t>QUINTO</w:t>
      </w:r>
      <w:r w:rsidRPr="00857BDC">
        <w:rPr>
          <w:rFonts w:ascii="Palatino Linotype" w:eastAsia="MS Mincho" w:hAnsi="Palatino Linotype" w:cs="Times New Roman"/>
          <w:b/>
          <w:color w:val="000000"/>
        </w:rPr>
        <w:t xml:space="preserve">. </w:t>
      </w:r>
      <w:r w:rsidRPr="00857BDC">
        <w:rPr>
          <w:rFonts w:ascii="Palatino Linotype" w:eastAsia="MS Mincho" w:hAnsi="Palatino Linotype" w:cs="Times New Roman"/>
          <w:color w:val="000000"/>
        </w:rPr>
        <w:t xml:space="preserve">Se hace del conocimiento de </w:t>
      </w:r>
      <w:r w:rsidR="00E04375" w:rsidRPr="00E04375">
        <w:rPr>
          <w:rFonts w:ascii="Palatino Linotype" w:eastAsiaTheme="minorHAnsi" w:hAnsi="Palatino Linotype"/>
          <w:b/>
          <w:highlight w:val="black"/>
          <w:lang w:val="es-MX" w:eastAsia="en-US"/>
        </w:rPr>
        <w:t>--------------</w:t>
      </w:r>
      <w:r w:rsidR="00E04375">
        <w:rPr>
          <w:rFonts w:ascii="Palatino Linotype" w:eastAsiaTheme="minorHAnsi" w:hAnsi="Palatino Linotype"/>
          <w:b/>
          <w:highlight w:val="black"/>
          <w:lang w:val="es-MX" w:eastAsia="en-US"/>
        </w:rPr>
        <w:t>-----------------</w:t>
      </w:r>
      <w:r w:rsidR="00E04375" w:rsidRPr="00E04375">
        <w:rPr>
          <w:rFonts w:ascii="Palatino Linotype" w:eastAsiaTheme="minorHAnsi" w:hAnsi="Palatino Linotype"/>
          <w:b/>
          <w:highlight w:val="black"/>
          <w:lang w:val="es-MX" w:eastAsia="en-US"/>
        </w:rPr>
        <w:t>----------------------</w:t>
      </w:r>
      <w:r w:rsidRPr="00857BDC">
        <w:rPr>
          <w:rFonts w:ascii="Palatino Linotype" w:eastAsiaTheme="minorHAnsi" w:hAnsi="Palatino Linotype"/>
          <w:b/>
          <w:lang w:val="es-MX" w:eastAsia="en-US"/>
        </w:rPr>
        <w:t xml:space="preserve"> </w:t>
      </w:r>
      <w:r w:rsidRPr="00857BDC">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35"/>
    </w:p>
    <w:p w:rsidR="005371CB" w:rsidRPr="00857BDC" w:rsidRDefault="00B40FEF" w:rsidP="005371CB">
      <w:pPr>
        <w:spacing w:before="240" w:after="240" w:line="360" w:lineRule="auto"/>
        <w:jc w:val="both"/>
        <w:rPr>
          <w:rFonts w:ascii="Palatino Linotype" w:eastAsia="MS Mincho" w:hAnsi="Palatino Linotype" w:cs="Arial"/>
          <w:color w:val="000000"/>
        </w:rPr>
      </w:pPr>
      <w:r>
        <w:rPr>
          <w:rFonts w:ascii="Palatino Linotype" w:eastAsia="MS Mincho" w:hAnsi="Palatino Linotype" w:cs="Times New Roman"/>
          <w:color w:val="000000"/>
        </w:rPr>
        <w:lastRenderedPageBreak/>
        <w:t xml:space="preserve">ASÍ LO RESUELVE, POR MAYORÍA </w:t>
      </w:r>
      <w:r w:rsidR="005371CB" w:rsidRPr="00857BDC">
        <w:rPr>
          <w:rFonts w:ascii="Palatino Linotype" w:eastAsia="MS Mincho" w:hAnsi="Palatino Linotype" w:cs="Times New Roman"/>
          <w:color w:val="000000"/>
        </w:rPr>
        <w:t>DE VOTOS</w:t>
      </w:r>
      <w:r w:rsidR="006C331F">
        <w:rPr>
          <w:rFonts w:ascii="Palatino Linotype" w:eastAsia="MS Mincho" w:hAnsi="Palatino Linotype" w:cs="Times New Roman"/>
          <w:color w:val="000000"/>
        </w:rPr>
        <w:t xml:space="preserve"> DE LOS PRESENTES</w:t>
      </w:r>
      <w:r w:rsidR="005371CB" w:rsidRPr="00857BDC">
        <w:rPr>
          <w:rFonts w:ascii="Palatino Linotype" w:eastAsia="MS Mincho" w:hAnsi="Palatino Linotype" w:cs="Times New Roman"/>
          <w:color w:val="000000"/>
        </w:rPr>
        <w:t>, EL PLENO DEL INSTITUTO DE TRANSPARENCIA, ACCESO A LA INFORMACIÓN PÚBLICA Y PROTECCIÓN DE DATOS PERSONALES DEL ESTADO DE MÉXICO Y MUNICIPIOS, CONFORMADO POR LOS COMISIONADOS ZULEMA MARTÍNEZ SÁNCHEZ</w:t>
      </w:r>
      <w:r w:rsidR="00DA184C">
        <w:rPr>
          <w:rFonts w:ascii="Palatino Linotype" w:eastAsia="MS Mincho" w:hAnsi="Palatino Linotype" w:cs="Times New Roman"/>
          <w:color w:val="000000"/>
        </w:rPr>
        <w:t xml:space="preserve"> EMITIENDO VOTO EN CONTRA CON VOTO DISIDENTE</w:t>
      </w:r>
      <w:r w:rsidR="005371CB" w:rsidRPr="00857BDC">
        <w:rPr>
          <w:rFonts w:ascii="Palatino Linotype" w:eastAsia="MS Mincho" w:hAnsi="Palatino Linotype" w:cs="Times New Roman"/>
          <w:color w:val="000000"/>
        </w:rPr>
        <w:t>, EVA ABAID YAPUR</w:t>
      </w:r>
      <w:r w:rsidR="006C331F">
        <w:rPr>
          <w:rFonts w:ascii="Palatino Linotype" w:eastAsia="MS Mincho" w:hAnsi="Palatino Linotype" w:cs="Times New Roman"/>
          <w:color w:val="000000"/>
        </w:rPr>
        <w:t xml:space="preserve"> AUSENTE EN VOTACIÓN</w:t>
      </w:r>
      <w:r w:rsidR="005371CB" w:rsidRPr="00857BDC">
        <w:rPr>
          <w:rFonts w:ascii="Palatino Linotype" w:eastAsia="MS Mincho" w:hAnsi="Palatino Linotype" w:cs="Times New Roman"/>
          <w:color w:val="000000"/>
        </w:rPr>
        <w:t xml:space="preserve">; JOSÉ GUADALUPE LUNA </w:t>
      </w:r>
      <w:r w:rsidR="00DA184C">
        <w:rPr>
          <w:rFonts w:ascii="Palatino Linotype" w:eastAsia="MS Mincho" w:hAnsi="Palatino Linotype" w:cs="Times New Roman"/>
          <w:color w:val="000000"/>
        </w:rPr>
        <w:t xml:space="preserve">HERNÁNDEZ; JAVIER MARTÍNEZ CRUZ EMITIENDO VOTO PARTICULAR </w:t>
      </w:r>
      <w:r w:rsidR="005371CB" w:rsidRPr="00857BDC">
        <w:rPr>
          <w:rFonts w:ascii="Palatino Linotype" w:eastAsia="MS Mincho" w:hAnsi="Palatino Linotype" w:cs="Times New Roman"/>
          <w:color w:val="000000"/>
        </w:rPr>
        <w:t>Y LUIS GUSTAVO PARRA NORIEGA</w:t>
      </w:r>
      <w:r w:rsidR="00C67E5F">
        <w:rPr>
          <w:rFonts w:ascii="Palatino Linotype" w:eastAsia="MS Mincho" w:hAnsi="Palatino Linotype" w:cs="Times New Roman"/>
          <w:color w:val="000000"/>
        </w:rPr>
        <w:t xml:space="preserve"> CON AUSENCIA JUSTIFICADA; EN LA CUADRAGÉSIMA CUARTA</w:t>
      </w:r>
      <w:r w:rsidR="005371CB" w:rsidRPr="00857BDC">
        <w:rPr>
          <w:rFonts w:ascii="Palatino Linotype" w:eastAsia="MS Mincho" w:hAnsi="Palatino Linotype" w:cs="Times New Roman"/>
          <w:color w:val="000000"/>
        </w:rPr>
        <w:t xml:space="preserve"> SES</w:t>
      </w:r>
      <w:r w:rsidR="00C67E5F">
        <w:rPr>
          <w:rFonts w:ascii="Palatino Linotype" w:eastAsia="MS Mincho" w:hAnsi="Palatino Linotype" w:cs="Times New Roman"/>
          <w:color w:val="000000"/>
        </w:rPr>
        <w:t>IÓN ORDINARIA CELEBRADA EL VEINTISIETE (27) DE NOVIEMBRE DE DOS MIL DIECINUEVE</w:t>
      </w:r>
      <w:r w:rsidR="005371CB" w:rsidRPr="00857BDC">
        <w:rPr>
          <w:rFonts w:ascii="Palatino Linotype" w:eastAsia="MS Mincho" w:hAnsi="Palatino Linotype" w:cs="Times New Roman"/>
          <w:color w:val="000000"/>
        </w:rPr>
        <w:t>, ANTE EL SECRETARIO TÉCNICO DEL PLENO ALEXIS TAPIA RAMÍREZ.</w:t>
      </w:r>
      <w:r w:rsidR="005371CB" w:rsidRPr="00857BDC">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5371CB" w:rsidRPr="00857BDC" w:rsidTr="005371CB">
        <w:trPr>
          <w:trHeight w:val="1807"/>
        </w:trPr>
        <w:tc>
          <w:tcPr>
            <w:tcW w:w="8779" w:type="dxa"/>
            <w:gridSpan w:val="2"/>
            <w:vAlign w:val="center"/>
          </w:tcPr>
          <w:p w:rsidR="005371CB" w:rsidRDefault="005371CB" w:rsidP="005371CB">
            <w:pPr>
              <w:spacing w:line="360" w:lineRule="auto"/>
              <w:rPr>
                <w:rFonts w:ascii="Palatino Linotype" w:eastAsia="MS Mincho" w:hAnsi="Palatino Linotype" w:cs="Times New Roman"/>
                <w:b/>
                <w:color w:val="000000"/>
              </w:rPr>
            </w:pPr>
          </w:p>
          <w:p w:rsidR="00C67E5F" w:rsidRDefault="00C67E5F" w:rsidP="005371CB">
            <w:pPr>
              <w:spacing w:line="360" w:lineRule="auto"/>
              <w:rPr>
                <w:rFonts w:ascii="Palatino Linotype" w:eastAsia="MS Mincho" w:hAnsi="Palatino Linotype" w:cs="Times New Roman"/>
                <w:b/>
                <w:color w:val="000000"/>
              </w:rPr>
            </w:pPr>
          </w:p>
          <w:p w:rsidR="00C67E5F" w:rsidRPr="00857BDC" w:rsidRDefault="00C67E5F" w:rsidP="005371CB">
            <w:pPr>
              <w:spacing w:line="360" w:lineRule="auto"/>
              <w:rPr>
                <w:rFonts w:ascii="Palatino Linotype" w:eastAsia="MS Mincho" w:hAnsi="Palatino Linotype" w:cs="Times New Roman"/>
                <w:b/>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r w:rsidRPr="00857BDC">
              <w:rPr>
                <w:rFonts w:ascii="Palatino Linotype" w:eastAsia="MS Mincho" w:hAnsi="Palatino Linotype" w:cs="Times New Roman"/>
                <w:b/>
                <w:color w:val="000000"/>
              </w:rPr>
              <w:t>Zulema Martínez Sánchez</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Comisionada Presidenta</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 xml:space="preserve">(Rúbrica) </w:t>
            </w:r>
          </w:p>
        </w:tc>
      </w:tr>
      <w:tr w:rsidR="005371CB" w:rsidRPr="00857BDC" w:rsidTr="005371CB">
        <w:trPr>
          <w:trHeight w:val="2156"/>
        </w:trPr>
        <w:tc>
          <w:tcPr>
            <w:tcW w:w="4392" w:type="dxa"/>
            <w:vAlign w:val="center"/>
          </w:tcPr>
          <w:p w:rsidR="005371CB" w:rsidRDefault="005371CB" w:rsidP="005371CB">
            <w:pPr>
              <w:spacing w:line="360" w:lineRule="auto"/>
              <w:rPr>
                <w:rFonts w:ascii="Palatino Linotype" w:eastAsia="MS Mincho" w:hAnsi="Palatino Linotype" w:cs="Times New Roman"/>
                <w:b/>
                <w:color w:val="000000"/>
              </w:rPr>
            </w:pPr>
          </w:p>
          <w:p w:rsidR="00C67E5F" w:rsidRPr="00857BDC" w:rsidRDefault="00C67E5F" w:rsidP="005371CB">
            <w:pPr>
              <w:spacing w:line="360" w:lineRule="auto"/>
              <w:rPr>
                <w:rFonts w:ascii="Palatino Linotype" w:eastAsia="MS Mincho" w:hAnsi="Palatino Linotype" w:cs="Times New Roman"/>
                <w:b/>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r w:rsidRPr="00857BDC">
              <w:rPr>
                <w:rFonts w:ascii="Palatino Linotype" w:eastAsia="MS Mincho" w:hAnsi="Palatino Linotype" w:cs="Times New Roman"/>
                <w:b/>
                <w:color w:val="000000"/>
              </w:rPr>
              <w:t xml:space="preserve">Eva </w:t>
            </w:r>
            <w:proofErr w:type="spellStart"/>
            <w:r w:rsidRPr="00857BDC">
              <w:rPr>
                <w:rFonts w:ascii="Palatino Linotype" w:eastAsia="MS Mincho" w:hAnsi="Palatino Linotype" w:cs="Times New Roman"/>
                <w:b/>
                <w:color w:val="000000"/>
              </w:rPr>
              <w:t>Abaid</w:t>
            </w:r>
            <w:proofErr w:type="spellEnd"/>
            <w:r w:rsidRPr="00857BDC">
              <w:rPr>
                <w:rFonts w:ascii="Palatino Linotype" w:eastAsia="MS Mincho" w:hAnsi="Palatino Linotype" w:cs="Times New Roman"/>
                <w:b/>
                <w:color w:val="000000"/>
              </w:rPr>
              <w:t xml:space="preserve"> </w:t>
            </w:r>
            <w:proofErr w:type="spellStart"/>
            <w:r w:rsidRPr="00857BDC">
              <w:rPr>
                <w:rFonts w:ascii="Palatino Linotype" w:eastAsia="MS Mincho" w:hAnsi="Palatino Linotype" w:cs="Times New Roman"/>
                <w:b/>
                <w:color w:val="000000"/>
              </w:rPr>
              <w:t>Yapur</w:t>
            </w:r>
            <w:proofErr w:type="spellEnd"/>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Comisionada</w:t>
            </w:r>
          </w:p>
          <w:p w:rsidR="005371CB" w:rsidRPr="00857BDC" w:rsidRDefault="006C331F" w:rsidP="005371CB">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 xml:space="preserve">(Ausente en </w:t>
            </w:r>
            <w:proofErr w:type="spellStart"/>
            <w:r>
              <w:rPr>
                <w:rFonts w:ascii="Palatino Linotype" w:eastAsia="MS Mincho" w:hAnsi="Palatino Linotype" w:cs="Times New Roman"/>
                <w:color w:val="000000"/>
              </w:rPr>
              <w:t>Voatación</w:t>
            </w:r>
            <w:proofErr w:type="spellEnd"/>
            <w:r w:rsidR="005371CB" w:rsidRPr="00857BDC">
              <w:rPr>
                <w:rFonts w:ascii="Palatino Linotype" w:eastAsia="MS Mincho" w:hAnsi="Palatino Linotype" w:cs="Times New Roman"/>
                <w:color w:val="000000"/>
              </w:rPr>
              <w:t>)</w:t>
            </w:r>
          </w:p>
        </w:tc>
        <w:tc>
          <w:tcPr>
            <w:tcW w:w="4387" w:type="dxa"/>
            <w:vAlign w:val="center"/>
          </w:tcPr>
          <w:p w:rsidR="005371CB" w:rsidRPr="00857BDC" w:rsidRDefault="005371CB" w:rsidP="005371CB">
            <w:pPr>
              <w:spacing w:line="360" w:lineRule="auto"/>
              <w:rPr>
                <w:rFonts w:ascii="Palatino Linotype" w:eastAsia="MS Mincho" w:hAnsi="Palatino Linotype" w:cs="Times New Roman"/>
                <w:b/>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r w:rsidRPr="00857BDC">
              <w:rPr>
                <w:rFonts w:ascii="Palatino Linotype" w:eastAsia="MS Mincho" w:hAnsi="Palatino Linotype" w:cs="Times New Roman"/>
                <w:b/>
                <w:color w:val="000000"/>
              </w:rPr>
              <w:t>José Guadalupe Luna Hernández</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Comisionado</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(Rúbrica)</w:t>
            </w:r>
          </w:p>
        </w:tc>
      </w:tr>
      <w:tr w:rsidR="005371CB" w:rsidRPr="00857BDC" w:rsidTr="005371CB">
        <w:trPr>
          <w:trHeight w:val="2244"/>
        </w:trPr>
        <w:tc>
          <w:tcPr>
            <w:tcW w:w="4392" w:type="dxa"/>
            <w:vAlign w:val="center"/>
          </w:tcPr>
          <w:p w:rsidR="005371CB" w:rsidRDefault="005371CB" w:rsidP="005371CB">
            <w:pPr>
              <w:spacing w:line="360" w:lineRule="auto"/>
              <w:rPr>
                <w:rFonts w:ascii="Palatino Linotype" w:eastAsia="MS Mincho" w:hAnsi="Palatino Linotype" w:cs="Times New Roman"/>
                <w:b/>
                <w:color w:val="000000"/>
              </w:rPr>
            </w:pPr>
          </w:p>
          <w:p w:rsidR="00C67E5F" w:rsidRDefault="00C67E5F" w:rsidP="005371CB">
            <w:pPr>
              <w:spacing w:line="360" w:lineRule="auto"/>
              <w:rPr>
                <w:rFonts w:ascii="Palatino Linotype" w:eastAsia="MS Mincho" w:hAnsi="Palatino Linotype" w:cs="Times New Roman"/>
                <w:b/>
                <w:color w:val="000000"/>
              </w:rPr>
            </w:pPr>
          </w:p>
          <w:p w:rsidR="00C67E5F" w:rsidRPr="00857BDC" w:rsidRDefault="00C67E5F" w:rsidP="005371CB">
            <w:pPr>
              <w:spacing w:line="360" w:lineRule="auto"/>
              <w:rPr>
                <w:rFonts w:ascii="Palatino Linotype" w:eastAsia="MS Mincho" w:hAnsi="Palatino Linotype" w:cs="Times New Roman"/>
                <w:b/>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r w:rsidRPr="00857BDC">
              <w:rPr>
                <w:rFonts w:ascii="Palatino Linotype" w:eastAsia="MS Mincho" w:hAnsi="Palatino Linotype" w:cs="Times New Roman"/>
                <w:b/>
                <w:color w:val="000000"/>
              </w:rPr>
              <w:t>Javier Martínez Cruz</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Comisionado</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(Rúbrica)</w:t>
            </w:r>
          </w:p>
        </w:tc>
        <w:tc>
          <w:tcPr>
            <w:tcW w:w="4387" w:type="dxa"/>
            <w:vAlign w:val="center"/>
          </w:tcPr>
          <w:p w:rsidR="005371CB" w:rsidRDefault="005371CB" w:rsidP="005371CB">
            <w:pPr>
              <w:rPr>
                <w:rFonts w:ascii="Palatino Linotype" w:eastAsia="MS Mincho" w:hAnsi="Palatino Linotype" w:cs="Times New Roman"/>
                <w:color w:val="000000"/>
              </w:rPr>
            </w:pPr>
          </w:p>
          <w:p w:rsidR="00C67E5F" w:rsidRDefault="00C67E5F" w:rsidP="005371CB">
            <w:pPr>
              <w:rPr>
                <w:rFonts w:ascii="Palatino Linotype" w:eastAsia="MS Mincho" w:hAnsi="Palatino Linotype" w:cs="Times New Roman"/>
                <w:color w:val="000000"/>
              </w:rPr>
            </w:pPr>
          </w:p>
          <w:p w:rsidR="00C67E5F" w:rsidRDefault="00C67E5F" w:rsidP="005371CB">
            <w:pPr>
              <w:rPr>
                <w:rFonts w:ascii="Palatino Linotype" w:eastAsia="MS Mincho" w:hAnsi="Palatino Linotype" w:cs="Times New Roman"/>
                <w:color w:val="000000"/>
              </w:rPr>
            </w:pPr>
          </w:p>
          <w:p w:rsidR="00C67E5F" w:rsidRDefault="00C67E5F" w:rsidP="005371CB">
            <w:pPr>
              <w:rPr>
                <w:rFonts w:ascii="Palatino Linotype" w:eastAsia="MS Mincho" w:hAnsi="Palatino Linotype" w:cs="Times New Roman"/>
                <w:color w:val="000000"/>
              </w:rPr>
            </w:pPr>
          </w:p>
          <w:p w:rsidR="00C67E5F" w:rsidRPr="00857BDC" w:rsidRDefault="00C67E5F" w:rsidP="005371CB">
            <w:pPr>
              <w:rPr>
                <w:rFonts w:ascii="Palatino Linotype" w:eastAsia="MS Mincho" w:hAnsi="Palatino Linotype" w:cs="Times New Roman"/>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r w:rsidRPr="00857BDC">
              <w:rPr>
                <w:rFonts w:ascii="Palatino Linotype" w:eastAsia="MS Mincho" w:hAnsi="Palatino Linotype" w:cs="Times New Roman"/>
                <w:b/>
                <w:color w:val="000000"/>
              </w:rPr>
              <w:t xml:space="preserve">Luis Gustavo Parra Noriega </w:t>
            </w:r>
          </w:p>
          <w:p w:rsidR="005371CB" w:rsidRPr="00857BDC"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 xml:space="preserve">Comisionado  </w:t>
            </w:r>
          </w:p>
          <w:p w:rsidR="005371CB" w:rsidRDefault="00C67E5F" w:rsidP="005371CB">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(Ausencia Justificada</w:t>
            </w:r>
            <w:r w:rsidR="005371CB" w:rsidRPr="00857BDC">
              <w:rPr>
                <w:rFonts w:ascii="Palatino Linotype" w:eastAsia="MS Mincho" w:hAnsi="Palatino Linotype" w:cs="Times New Roman"/>
                <w:color w:val="000000"/>
              </w:rPr>
              <w:t>)</w:t>
            </w:r>
          </w:p>
          <w:p w:rsidR="00C67E5F" w:rsidRPr="00857BDC" w:rsidRDefault="00C67E5F" w:rsidP="005371CB">
            <w:pPr>
              <w:spacing w:line="360" w:lineRule="auto"/>
              <w:jc w:val="center"/>
              <w:rPr>
                <w:rFonts w:ascii="Palatino Linotype" w:eastAsia="MS Mincho" w:hAnsi="Palatino Linotype" w:cs="Times New Roman"/>
                <w:color w:val="000000"/>
              </w:rPr>
            </w:pPr>
          </w:p>
        </w:tc>
      </w:tr>
      <w:tr w:rsidR="005371CB" w:rsidRPr="00857BDC" w:rsidTr="005371CB">
        <w:trPr>
          <w:trHeight w:val="1953"/>
        </w:trPr>
        <w:tc>
          <w:tcPr>
            <w:tcW w:w="8779" w:type="dxa"/>
            <w:gridSpan w:val="2"/>
            <w:vAlign w:val="center"/>
          </w:tcPr>
          <w:p w:rsidR="005371CB" w:rsidRDefault="005371CB" w:rsidP="005371CB">
            <w:pPr>
              <w:spacing w:line="360" w:lineRule="auto"/>
              <w:rPr>
                <w:rFonts w:ascii="Palatino Linotype" w:eastAsia="MS Mincho" w:hAnsi="Palatino Linotype" w:cs="Times New Roman"/>
                <w:b/>
                <w:color w:val="000000"/>
              </w:rPr>
            </w:pPr>
          </w:p>
          <w:p w:rsidR="00C67E5F" w:rsidRPr="00857BDC" w:rsidRDefault="00C67E5F" w:rsidP="005371CB">
            <w:pPr>
              <w:spacing w:line="360" w:lineRule="auto"/>
              <w:rPr>
                <w:rFonts w:ascii="Palatino Linotype" w:eastAsia="MS Mincho" w:hAnsi="Palatino Linotype" w:cs="Times New Roman"/>
                <w:b/>
                <w:color w:val="000000"/>
              </w:rPr>
            </w:pPr>
          </w:p>
          <w:p w:rsidR="005371CB" w:rsidRPr="00857BDC" w:rsidRDefault="005371CB" w:rsidP="005371CB">
            <w:pPr>
              <w:spacing w:line="360" w:lineRule="auto"/>
              <w:jc w:val="center"/>
              <w:rPr>
                <w:rFonts w:ascii="Palatino Linotype" w:eastAsia="MS Mincho" w:hAnsi="Palatino Linotype" w:cs="Times New Roman"/>
                <w:b/>
                <w:color w:val="000000"/>
              </w:rPr>
            </w:pPr>
            <w:r w:rsidRPr="00857BDC">
              <w:rPr>
                <w:rFonts w:ascii="Palatino Linotype" w:eastAsia="MS Mincho" w:hAnsi="Palatino Linotype" w:cs="Times New Roman"/>
                <w:b/>
                <w:color w:val="000000"/>
              </w:rPr>
              <w:t>Alexis Tapia Ramírez</w:t>
            </w:r>
          </w:p>
          <w:p w:rsidR="005371CB" w:rsidRDefault="005371CB" w:rsidP="005371CB">
            <w:pPr>
              <w:spacing w:line="360" w:lineRule="auto"/>
              <w:jc w:val="center"/>
              <w:rPr>
                <w:rFonts w:ascii="Palatino Linotype" w:eastAsia="MS Mincho" w:hAnsi="Palatino Linotype" w:cs="Times New Roman"/>
                <w:color w:val="000000"/>
              </w:rPr>
            </w:pPr>
            <w:r w:rsidRPr="00857BDC">
              <w:rPr>
                <w:rFonts w:ascii="Palatino Linotype" w:eastAsia="MS Mincho" w:hAnsi="Palatino Linotype" w:cs="Times New Roman"/>
                <w:color w:val="000000"/>
              </w:rPr>
              <w:t>Secretario Técnico del Pleno</w:t>
            </w:r>
          </w:p>
          <w:p w:rsidR="00C67E5F" w:rsidRDefault="00C67E5F" w:rsidP="005371CB">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w:t>
            </w:r>
            <w:r w:rsidRPr="00C67E5F">
              <w:rPr>
                <w:rFonts w:ascii="Palatino Linotype" w:eastAsia="MS Mincho" w:hAnsi="Palatino Linotype" w:cs="Times New Roman"/>
                <w:color w:val="000000"/>
              </w:rPr>
              <w:t>úbrica</w:t>
            </w:r>
            <w:r>
              <w:rPr>
                <w:rFonts w:ascii="Palatino Linotype" w:eastAsia="MS Mincho" w:hAnsi="Palatino Linotype" w:cs="Times New Roman"/>
                <w:color w:val="000000"/>
              </w:rPr>
              <w:t>)</w:t>
            </w:r>
          </w:p>
          <w:p w:rsidR="00C67E5F" w:rsidRPr="00857BDC" w:rsidRDefault="00C67E5F" w:rsidP="005371CB">
            <w:pPr>
              <w:spacing w:line="360" w:lineRule="auto"/>
              <w:jc w:val="center"/>
              <w:rPr>
                <w:rFonts w:ascii="Palatino Linotype" w:eastAsia="MS Mincho" w:hAnsi="Palatino Linotype" w:cs="Times New Roman"/>
                <w:color w:val="000000"/>
              </w:rPr>
            </w:pPr>
          </w:p>
        </w:tc>
      </w:tr>
    </w:tbl>
    <w:p w:rsidR="005371CB" w:rsidRPr="005371CB" w:rsidRDefault="005371CB" w:rsidP="005371CB">
      <w:pPr>
        <w:tabs>
          <w:tab w:val="left" w:pos="426"/>
        </w:tabs>
        <w:spacing w:before="240" w:after="240" w:line="360" w:lineRule="auto"/>
        <w:ind w:right="49"/>
        <w:jc w:val="both"/>
        <w:rPr>
          <w:rFonts w:ascii="Cambria" w:eastAsia="MS Mincho" w:hAnsi="Cambria" w:cs="Times New Roman"/>
        </w:rPr>
      </w:pPr>
      <w:r w:rsidRPr="00857BDC">
        <w:rPr>
          <w:rFonts w:ascii="Palatino Linotype" w:eastAsia="MS Mincho" w:hAnsi="Palatino Linotype" w:cs="Arial"/>
          <w:color w:val="000000"/>
        </w:rPr>
        <w:t xml:space="preserve">Esta hoja corresponde a la resolución del veintisiete (27) de noviembre de dos mil diecinueve emitida en el recurso de revisión </w:t>
      </w:r>
      <w:r w:rsidRPr="00857BDC">
        <w:rPr>
          <w:rFonts w:ascii="Palatino Linotype" w:eastAsia="MS Mincho" w:hAnsi="Palatino Linotype" w:cs="Arial"/>
          <w:b/>
          <w:bCs/>
          <w:color w:val="000000"/>
          <w:lang w:eastAsia="es-MX"/>
        </w:rPr>
        <w:t>07528/INFOEM/IP/RR/2019</w:t>
      </w:r>
      <w:r w:rsidRPr="00857BDC">
        <w:rPr>
          <w:rFonts w:ascii="Palatino Linotype" w:eastAsia="MS Mincho" w:hAnsi="Palatino Linotype" w:cs="Arial"/>
          <w:color w:val="000000"/>
        </w:rPr>
        <w:t>.</w:t>
      </w:r>
    </w:p>
    <w:p w:rsidR="005371CB" w:rsidRPr="005371CB" w:rsidRDefault="005371CB" w:rsidP="005371CB">
      <w:pPr>
        <w:spacing w:before="240" w:after="240" w:line="360" w:lineRule="auto"/>
        <w:contextualSpacing/>
        <w:jc w:val="both"/>
        <w:rPr>
          <w:rFonts w:ascii="Cambria" w:eastAsia="MS Mincho" w:hAnsi="Cambria" w:cs="Times New Roman"/>
        </w:rPr>
      </w:pPr>
    </w:p>
    <w:bookmarkEnd w:id="98"/>
    <w:bookmarkEnd w:id="99"/>
    <w:bookmarkEnd w:id="100"/>
    <w:bookmarkEnd w:id="101"/>
    <w:bookmarkEnd w:id="102"/>
    <w:bookmarkEnd w:id="103"/>
    <w:bookmarkEnd w:id="105"/>
    <w:p w:rsidR="00FB7482" w:rsidRPr="00C91322" w:rsidRDefault="00FB7482" w:rsidP="00FB7482">
      <w:pPr>
        <w:spacing w:line="360" w:lineRule="auto"/>
        <w:jc w:val="both"/>
        <w:rPr>
          <w:rFonts w:ascii="Palatino Linotype" w:eastAsia="MS Mincho" w:hAnsi="Palatino Linotype" w:cs="Times New Roman"/>
          <w:color w:val="000000"/>
        </w:rPr>
      </w:pPr>
    </w:p>
    <w:sectPr w:rsidR="00FB7482" w:rsidRPr="00C91322" w:rsidSect="001A4CD6">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0B4" w:rsidRDefault="006440B4">
      <w:r>
        <w:separator/>
      </w:r>
    </w:p>
  </w:endnote>
  <w:endnote w:type="continuationSeparator" w:id="0">
    <w:p w:rsidR="006440B4" w:rsidRDefault="0064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440B4" w:rsidRPr="00883450" w:rsidRDefault="006440B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E30C1">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E30C1">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rsidR="006440B4" w:rsidRDefault="006440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0B4" w:rsidRPr="00883450" w:rsidRDefault="006440B4"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E30C1" w:rsidRPr="004E30C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E30C1" w:rsidRPr="004E30C1">
      <w:rPr>
        <w:rFonts w:ascii="Palatino Linotype" w:hAnsi="Palatino Linotype"/>
        <w:noProof/>
        <w:sz w:val="22"/>
        <w:szCs w:val="22"/>
        <w:lang w:val="es-ES"/>
      </w:rPr>
      <w:t>59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0B4" w:rsidRDefault="006440B4">
      <w:r>
        <w:separator/>
      </w:r>
    </w:p>
  </w:footnote>
  <w:footnote w:type="continuationSeparator" w:id="0">
    <w:p w:rsidR="006440B4" w:rsidRDefault="006440B4">
      <w:r>
        <w:continuationSeparator/>
      </w:r>
    </w:p>
  </w:footnote>
  <w:footnote w:id="1">
    <w:p w:rsidR="006440B4" w:rsidRDefault="006440B4" w:rsidP="00FB7482">
      <w:pPr>
        <w:pStyle w:val="Textonotapie"/>
      </w:pPr>
      <w:r>
        <w:rPr>
          <w:rStyle w:val="Refdenotaalpie"/>
        </w:rPr>
        <w:footnoteRef/>
      </w:r>
      <w:r>
        <w:t xml:space="preserve"> Convención Americana sobre Derechos Humanos. Artículo 13.</w:t>
      </w:r>
    </w:p>
  </w:footnote>
  <w:footnote w:id="2">
    <w:p w:rsidR="006440B4" w:rsidRDefault="006440B4" w:rsidP="00FB7482">
      <w:pPr>
        <w:pStyle w:val="Textonotapie"/>
      </w:pPr>
      <w:r>
        <w:rPr>
          <w:rStyle w:val="Refdenotaalpie"/>
        </w:rPr>
        <w:footnoteRef/>
      </w:r>
      <w:r>
        <w:t xml:space="preserve"> Constitución Política de los Estados Unidos Mexicanos. Artículo sexto, sección A, Fracción I.</w:t>
      </w:r>
    </w:p>
  </w:footnote>
  <w:footnote w:id="3">
    <w:p w:rsidR="006440B4" w:rsidRDefault="006440B4" w:rsidP="00FB748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6440B4" w:rsidRDefault="006440B4" w:rsidP="00FB7482">
      <w:pPr>
        <w:pStyle w:val="Textonotapie"/>
      </w:pPr>
      <w:r>
        <w:rPr>
          <w:rStyle w:val="Refdenotaalpie"/>
        </w:rPr>
        <w:footnoteRef/>
      </w:r>
      <w:r>
        <w:t xml:space="preserve"> Ibídem. Párr. 87.</w:t>
      </w:r>
    </w:p>
  </w:footnote>
  <w:footnote w:id="5">
    <w:p w:rsidR="006440B4" w:rsidRDefault="006440B4" w:rsidP="00FB7482">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6440B4" w:rsidRDefault="006440B4" w:rsidP="00FB7482">
      <w:pPr>
        <w:pStyle w:val="Textonotapie"/>
        <w:jc w:val="both"/>
      </w:pPr>
      <w:r>
        <w:rPr>
          <w:rStyle w:val="Refdenotaalpie"/>
        </w:rPr>
        <w:footnoteRef/>
      </w:r>
      <w:r>
        <w:t xml:space="preserve"> GONZÁLEZ FERNÁNDEZ, José Antonio. “La Seguridad Pública en México” en PEÑALOZA, Pedro José y GARZA SALINAS, Mario A., </w:t>
      </w:r>
      <w:proofErr w:type="spellStart"/>
      <w:r>
        <w:t>coords</w:t>
      </w:r>
      <w:proofErr w:type="spellEnd"/>
      <w:r>
        <w:t xml:space="preserve">. </w:t>
      </w:r>
      <w:r w:rsidRPr="00D128AC">
        <w:t>L</w:t>
      </w:r>
      <w:r>
        <w:t xml:space="preserve">os Desafíos de la Seguridad Pública en México”. México, Ed. Procuraduría General de la República e Instituto de Investigaciones Jurídicas, UNAM. 2002. Pág. 126. </w:t>
      </w:r>
      <w:proofErr w:type="spellStart"/>
      <w:r>
        <w:t>Diponible</w:t>
      </w:r>
      <w:proofErr w:type="spellEnd"/>
      <w:r>
        <w:t xml:space="preserve"> en: </w:t>
      </w:r>
      <w:hyperlink r:id="rId2" w:history="1">
        <w:r w:rsidRPr="00B46364">
          <w:rPr>
            <w:rStyle w:val="Hipervnculo"/>
          </w:rPr>
          <w:t>http://biblio.juridicas.unam.mx/libros/1/419/12.pdf</w:t>
        </w:r>
      </w:hyperlink>
      <w:r>
        <w:t xml:space="preserve"> </w:t>
      </w:r>
    </w:p>
  </w:footnote>
  <w:footnote w:id="7">
    <w:p w:rsidR="006440B4" w:rsidRDefault="006440B4" w:rsidP="00FB7482">
      <w:pPr>
        <w:pStyle w:val="Textonotapie"/>
      </w:pPr>
      <w:r>
        <w:rPr>
          <w:rStyle w:val="Refdenotaalpie"/>
        </w:rPr>
        <w:footnoteRef/>
      </w:r>
      <w:r>
        <w:t xml:space="preserve"> </w:t>
      </w:r>
      <w:r w:rsidRPr="00D128AC">
        <w:rPr>
          <w:i/>
        </w:rPr>
        <w:t>Ibídem</w:t>
      </w:r>
      <w:r>
        <w:t>. Pág. 128.</w:t>
      </w:r>
    </w:p>
  </w:footnote>
  <w:footnote w:id="8">
    <w:p w:rsidR="006440B4" w:rsidRPr="00EF6843" w:rsidRDefault="006440B4" w:rsidP="00FB7482">
      <w:pPr>
        <w:pStyle w:val="Textonotapie"/>
        <w:rPr>
          <w:lang w:val="es-ES"/>
        </w:rPr>
      </w:pPr>
      <w:r>
        <w:rPr>
          <w:rStyle w:val="Refdenotaalpie"/>
        </w:rPr>
        <w:footnoteRef/>
      </w:r>
      <w:r>
        <w:t xml:space="preserve"> </w:t>
      </w:r>
      <w:r w:rsidRPr="00F0080B">
        <w:rPr>
          <w:lang w:val="es-ES"/>
        </w:rPr>
        <w:t xml:space="preserve">Recurso de revisión </w:t>
      </w:r>
      <w:r w:rsidRPr="00F0080B">
        <w:rPr>
          <w:b/>
          <w:bCs/>
        </w:rPr>
        <w:t>01129/INFOEM/IP/RR/2015</w:t>
      </w:r>
      <w:r>
        <w:rPr>
          <w:b/>
          <w:bCs/>
        </w:rPr>
        <w:t xml:space="preserve"> y </w:t>
      </w:r>
      <w:r w:rsidRPr="00F0080B">
        <w:rPr>
          <w:b/>
          <w:bCs/>
        </w:rPr>
        <w:t>011</w:t>
      </w:r>
      <w:r>
        <w:rPr>
          <w:b/>
          <w:bCs/>
        </w:rPr>
        <w:t>30</w:t>
      </w:r>
      <w:r w:rsidRPr="00F0080B">
        <w:rPr>
          <w:b/>
          <w:bCs/>
        </w:rPr>
        <w:t>/INFOEM/IP/RR/2015</w:t>
      </w:r>
      <w:r>
        <w:rPr>
          <w:b/>
          <w:bCs/>
        </w:rPr>
        <w:t xml:space="preserve"> acumulados. </w:t>
      </w:r>
    </w:p>
  </w:footnote>
  <w:footnote w:id="9">
    <w:p w:rsidR="006440B4" w:rsidRPr="00EF6843" w:rsidRDefault="006440B4" w:rsidP="00FB7482">
      <w:pPr>
        <w:pStyle w:val="Textonotapie"/>
        <w:rPr>
          <w:lang w:val="es-ES"/>
        </w:rPr>
      </w:pPr>
      <w:r>
        <w:rPr>
          <w:rStyle w:val="Refdenotaalpie"/>
        </w:rPr>
        <w:footnoteRef/>
      </w:r>
      <w:r>
        <w:t xml:space="preserve"> </w:t>
      </w:r>
      <w:r>
        <w:rPr>
          <w:lang w:val="es-ES"/>
        </w:rPr>
        <w:t xml:space="preserve">Recurso de revisión </w:t>
      </w:r>
      <w:r w:rsidRPr="00F0080B">
        <w:rPr>
          <w:b/>
          <w:bCs/>
        </w:rPr>
        <w:t>01522/INFOEM/IP/RR/2016</w:t>
      </w:r>
      <w:r>
        <w:rPr>
          <w:b/>
          <w:bCs/>
        </w:rPr>
        <w:t xml:space="preserve">. </w:t>
      </w:r>
    </w:p>
  </w:footnote>
  <w:footnote w:id="10">
    <w:p w:rsidR="006440B4" w:rsidRPr="00F0080B" w:rsidRDefault="006440B4" w:rsidP="00FB7482">
      <w:pPr>
        <w:pStyle w:val="Textonotapie"/>
        <w:jc w:val="both"/>
        <w:rPr>
          <w:lang w:val="es-ES"/>
        </w:rPr>
      </w:pPr>
      <w:r>
        <w:rPr>
          <w:rStyle w:val="Refdenotaalpie"/>
        </w:rPr>
        <w:footnoteRef/>
      </w:r>
      <w:r>
        <w:t xml:space="preserve"> Recursos de revisión </w:t>
      </w:r>
      <w:r w:rsidRPr="00563FE4">
        <w:rPr>
          <w:b/>
        </w:rPr>
        <w:t>03423</w:t>
      </w:r>
      <w:r w:rsidRPr="00563FE4">
        <w:rPr>
          <w:b/>
          <w:bCs/>
        </w:rPr>
        <w:t>/INFOEM/IP/RR/2018</w:t>
      </w:r>
      <w:r>
        <w:rPr>
          <w:b/>
          <w:bCs/>
        </w:rPr>
        <w:t xml:space="preserve">, </w:t>
      </w:r>
      <w:r w:rsidRPr="00563FE4">
        <w:rPr>
          <w:b/>
          <w:bCs/>
        </w:rPr>
        <w:t xml:space="preserve">03424/INFOEM/IP/RR/2018 y </w:t>
      </w:r>
      <w:r w:rsidRPr="00F0080B">
        <w:rPr>
          <w:b/>
          <w:bCs/>
        </w:rPr>
        <w:t>3425/INFOEM/IP/RR/2018</w:t>
      </w:r>
      <w:r>
        <w:rPr>
          <w:b/>
          <w:bCs/>
        </w:rPr>
        <w:t xml:space="preserve"> acumulados. </w:t>
      </w:r>
    </w:p>
  </w:footnote>
  <w:footnote w:id="11">
    <w:p w:rsidR="006440B4" w:rsidRPr="00EF6843" w:rsidRDefault="006440B4" w:rsidP="00FB7482">
      <w:pPr>
        <w:pStyle w:val="Textonotapie"/>
        <w:rPr>
          <w:lang w:val="es-ES"/>
        </w:rPr>
      </w:pPr>
      <w:r w:rsidRPr="00F0080B">
        <w:rPr>
          <w:rStyle w:val="Refdenotaalpie"/>
        </w:rPr>
        <w:footnoteRef/>
      </w:r>
      <w:r w:rsidRPr="00F0080B">
        <w:t xml:space="preserve"> </w:t>
      </w:r>
      <w:r>
        <w:t xml:space="preserve">Recurso de revisión </w:t>
      </w:r>
      <w:r w:rsidRPr="00F0080B">
        <w:rPr>
          <w:b/>
          <w:bCs/>
        </w:rPr>
        <w:t>00005/INFOEM/IP/RR/2019</w:t>
      </w:r>
    </w:p>
  </w:footnote>
  <w:footnote w:id="12">
    <w:p w:rsidR="006440B4" w:rsidRDefault="006440B4" w:rsidP="00FB7482">
      <w:pPr>
        <w:pStyle w:val="Textonotapie"/>
      </w:pPr>
      <w:r>
        <w:rPr>
          <w:rStyle w:val="Refdenotaalpie"/>
        </w:rPr>
        <w:footnoteRef/>
      </w:r>
      <w:r>
        <w:t xml:space="preserve"> Consultable en; </w:t>
      </w:r>
      <w:hyperlink r:id="rId3" w:history="1">
        <w:r>
          <w:rPr>
            <w:rStyle w:val="Hipervnculo"/>
          </w:rPr>
          <w:t>http://transparencia.banobras.gob.mx/wp-content/uploads/2016/06/1.-DAGA-023-2013-F.pdf</w:t>
        </w:r>
      </w:hyperlink>
    </w:p>
  </w:footnote>
  <w:footnote w:id="13">
    <w:p w:rsidR="006440B4" w:rsidRDefault="006440B4" w:rsidP="00FB7482">
      <w:pPr>
        <w:pStyle w:val="Textonotapie"/>
      </w:pPr>
      <w:r>
        <w:rPr>
          <w:rStyle w:val="Refdenotaalpie"/>
        </w:rPr>
        <w:footnoteRef/>
      </w:r>
      <w:r>
        <w:t xml:space="preserve"> Artículo 33 del Presupuesto de Egresos del Estado de México, consultable en: </w:t>
      </w:r>
      <w:hyperlink r:id="rId4" w:history="1">
        <w:r>
          <w:rPr>
            <w:rStyle w:val="Hipervnculo"/>
          </w:rPr>
          <w:t>http://transparenciafiscal.edomex.gob.mx/sites/transparenciafiscal.edomex.gob.mx/files/files/pdf/marco-programatico-presupuestal/presupuesto-egresos-2019.pdf</w:t>
        </w:r>
      </w:hyperlink>
    </w:p>
  </w:footnote>
  <w:footnote w:id="14">
    <w:p w:rsidR="006440B4" w:rsidRPr="001C26D1" w:rsidRDefault="006440B4" w:rsidP="00FB7482">
      <w:pPr>
        <w:pStyle w:val="Textonotapie"/>
        <w:jc w:val="both"/>
        <w:rPr>
          <w:rFonts w:cstheme="minorHAnsi"/>
        </w:rPr>
      </w:pPr>
      <w:r w:rsidRPr="00563FE4">
        <w:rPr>
          <w:rStyle w:val="Refdenotaalpie"/>
          <w:rFonts w:cstheme="minorHAnsi"/>
        </w:rPr>
        <w:footnoteRef/>
      </w:r>
      <w:r w:rsidRPr="00563FE4">
        <w:rPr>
          <w:rFonts w:cstheme="minorHAnsi"/>
        </w:rPr>
        <w:t xml:space="preserve"> Recordemos que en el artículo 8 del Reglamento de los Cuerpos de Seguridad Pública del Estado de México, se contemplaba que: </w:t>
      </w:r>
      <w:r>
        <w:rPr>
          <w:rFonts w:cstheme="minorHAnsi"/>
        </w:rPr>
        <w:t>“L</w:t>
      </w:r>
      <w:r w:rsidRPr="00563FE4">
        <w:rPr>
          <w:rFonts w:cstheme="minorHAnsi"/>
        </w:rPr>
        <w:t xml:space="preserve">a corporación de Guardias de Seguridad Industrial, Bancaria y Comercial y la de Vigilantes Auxiliares </w:t>
      </w:r>
      <w:r w:rsidRPr="00563FE4">
        <w:rPr>
          <w:rFonts w:cstheme="minorHAnsi"/>
          <w:b/>
          <w:bCs/>
        </w:rPr>
        <w:t>dependerán de la Dirección General de Seguridad Pública y Tránsito del Estado</w:t>
      </w:r>
      <w:r>
        <w:rPr>
          <w:rFonts w:eastAsia="MS Mincho" w:cstheme="minorHAnsi"/>
          <w:lang w:val="es-ES_tradnl" w:eastAsia="es-ES"/>
        </w:rPr>
        <w:t xml:space="preserve"> […]”</w:t>
      </w:r>
      <w:r w:rsidRPr="00563FE4">
        <w:rPr>
          <w:rFonts w:eastAsia="MS Mincho" w:cstheme="minorHAnsi"/>
          <w:lang w:val="es-ES_tradnl" w:eastAsia="es-ES"/>
        </w:rPr>
        <w:t xml:space="preserve"> Reglamento de los Cuerpos de Seguridad Pública del Estado de México;</w:t>
      </w:r>
      <w:r w:rsidRPr="00563FE4">
        <w:rPr>
          <w:rFonts w:cstheme="minorHAnsi"/>
        </w:rPr>
        <w:t xml:space="preserve"> Consultable en: </w:t>
      </w:r>
      <w:hyperlink r:id="rId5" w:history="1">
        <w:r w:rsidRPr="00563FE4">
          <w:rPr>
            <w:rStyle w:val="Hipervnculo"/>
            <w:rFonts w:cstheme="minorHAnsi"/>
          </w:rPr>
          <w:t>http://legislacion.edomex.gob.mx/sites/legislacion.edomex.gob.mx/files/files/pdf/rgl/vig/rglvig059.pdf</w:t>
        </w:r>
      </w:hyperlink>
    </w:p>
  </w:footnote>
  <w:footnote w:id="15">
    <w:p w:rsidR="006440B4" w:rsidRDefault="006440B4" w:rsidP="001506F7">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0B4" w:rsidRDefault="006440B4">
    <w:pPr>
      <w:pStyle w:val="Encabezado"/>
    </w:pPr>
  </w:p>
  <w:p w:rsidR="006440B4" w:rsidRDefault="006440B4">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6440B4" w:rsidRPr="00EF13C1" w:rsidTr="00626372">
      <w:trPr>
        <w:trHeight w:val="138"/>
      </w:trPr>
      <w:tc>
        <w:tcPr>
          <w:tcW w:w="2835" w:type="dxa"/>
          <w:vAlign w:val="center"/>
        </w:tcPr>
        <w:p w:rsidR="006440B4" w:rsidRPr="00EF13C1" w:rsidRDefault="006440B4"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6440B4" w:rsidRPr="00EF13C1" w:rsidRDefault="006440B4" w:rsidP="001A4CD6">
          <w:pPr>
            <w:pStyle w:val="Encabezado"/>
            <w:rPr>
              <w:rFonts w:ascii="Palatino Linotype" w:hAnsi="Palatino Linotype"/>
              <w:b/>
              <w:sz w:val="22"/>
              <w:szCs w:val="22"/>
            </w:rPr>
          </w:pPr>
          <w:r>
            <w:rPr>
              <w:rFonts w:ascii="Palatino Linotype" w:hAnsi="Palatino Linotype" w:cs="Arial"/>
              <w:b/>
              <w:bCs/>
              <w:sz w:val="22"/>
              <w:szCs w:val="22"/>
              <w:lang w:eastAsia="es-MX"/>
            </w:rPr>
            <w:t>07528/INFOEM/IP/RR/2019</w:t>
          </w:r>
        </w:p>
      </w:tc>
    </w:tr>
    <w:tr w:rsidR="006440B4" w:rsidRPr="00EF13C1" w:rsidTr="00626372">
      <w:trPr>
        <w:gridAfter w:val="1"/>
        <w:wAfter w:w="284" w:type="dxa"/>
        <w:trHeight w:val="321"/>
      </w:trPr>
      <w:tc>
        <w:tcPr>
          <w:tcW w:w="2835" w:type="dxa"/>
          <w:vAlign w:val="center"/>
        </w:tcPr>
        <w:p w:rsidR="006440B4" w:rsidRPr="00EF13C1" w:rsidRDefault="006440B4"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6440B4" w:rsidRPr="00EF13C1" w:rsidRDefault="006440B4" w:rsidP="001A4CD6">
          <w:pPr>
            <w:pStyle w:val="Encabezado"/>
            <w:ind w:right="21"/>
            <w:rPr>
              <w:rFonts w:ascii="Palatino Linotype" w:hAnsi="Palatino Linotype"/>
              <w:b/>
              <w:sz w:val="22"/>
              <w:szCs w:val="22"/>
            </w:rPr>
          </w:pPr>
          <w:r>
            <w:rPr>
              <w:rFonts w:ascii="Palatino Linotype" w:hAnsi="Palatino Linotype"/>
              <w:b/>
              <w:sz w:val="22"/>
              <w:szCs w:val="22"/>
            </w:rPr>
            <w:t>Poder Legislativo</w:t>
          </w:r>
        </w:p>
      </w:tc>
    </w:tr>
    <w:tr w:rsidR="006440B4" w:rsidRPr="00EF13C1" w:rsidTr="00626372">
      <w:trPr>
        <w:trHeight w:val="321"/>
      </w:trPr>
      <w:tc>
        <w:tcPr>
          <w:tcW w:w="2835" w:type="dxa"/>
          <w:vAlign w:val="center"/>
        </w:tcPr>
        <w:p w:rsidR="006440B4" w:rsidRPr="00EF13C1" w:rsidRDefault="006440B4"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6440B4" w:rsidRPr="00EF13C1" w:rsidRDefault="006440B4"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440B4" w:rsidRDefault="006440B4"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0B4" w:rsidRDefault="006440B4"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6440B4" w:rsidRPr="00182113" w:rsidTr="00626372">
      <w:trPr>
        <w:trHeight w:val="138"/>
      </w:trPr>
      <w:tc>
        <w:tcPr>
          <w:tcW w:w="2532" w:type="dxa"/>
          <w:vAlign w:val="center"/>
        </w:tcPr>
        <w:p w:rsidR="006440B4" w:rsidRPr="00182113" w:rsidRDefault="006440B4"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6440B4" w:rsidRPr="005143E6" w:rsidRDefault="006440B4" w:rsidP="00626372">
          <w:pPr>
            <w:pStyle w:val="Encabezado"/>
            <w:rPr>
              <w:rFonts w:ascii="Palatino Linotype" w:hAnsi="Palatino Linotype" w:cs="Arial"/>
              <w:b/>
              <w:bCs/>
              <w:lang w:eastAsia="es-MX"/>
            </w:rPr>
          </w:pPr>
          <w:r>
            <w:rPr>
              <w:rFonts w:ascii="Palatino Linotype" w:hAnsi="Palatino Linotype" w:cs="Arial"/>
              <w:b/>
              <w:bCs/>
              <w:lang w:eastAsia="es-MX"/>
            </w:rPr>
            <w:t>07528/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6440B4" w:rsidRPr="006440B4" w:rsidTr="00626372">
      <w:trPr>
        <w:trHeight w:val="227"/>
      </w:trPr>
      <w:tc>
        <w:tcPr>
          <w:tcW w:w="2532" w:type="dxa"/>
          <w:vAlign w:val="center"/>
        </w:tcPr>
        <w:p w:rsidR="006440B4" w:rsidRPr="00182113" w:rsidRDefault="006440B4"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6440B4" w:rsidRPr="006440B4" w:rsidRDefault="006440B4" w:rsidP="006440B4">
          <w:pPr>
            <w:pStyle w:val="Encabezado"/>
            <w:tabs>
              <w:tab w:val="clear" w:pos="4252"/>
            </w:tabs>
            <w:ind w:right="-250" w:hanging="70"/>
            <w:rPr>
              <w:rFonts w:ascii="Palatino Linotype" w:hAnsi="Palatino Linotype"/>
              <w:b/>
              <w:sz w:val="22"/>
              <w:szCs w:val="22"/>
            </w:rPr>
          </w:pPr>
          <w:r w:rsidRPr="006440B4">
            <w:rPr>
              <w:rFonts w:ascii="Palatino Linotype" w:hAnsi="Palatino Linotype"/>
              <w:b/>
              <w:sz w:val="22"/>
              <w:szCs w:val="22"/>
            </w:rPr>
            <w:t xml:space="preserve"> </w:t>
          </w:r>
          <w:r w:rsidRPr="006440B4">
            <w:rPr>
              <w:rFonts w:ascii="Palatino Linotype" w:hAnsi="Palatino Linotype"/>
              <w:b/>
              <w:sz w:val="22"/>
              <w:szCs w:val="22"/>
              <w:highlight w:val="black"/>
            </w:rPr>
            <w:t>----------------------------------------------------------------------------------------------------</w:t>
          </w:r>
        </w:p>
      </w:tc>
    </w:tr>
    <w:tr w:rsidR="006440B4" w:rsidRPr="00182113" w:rsidTr="00626372">
      <w:trPr>
        <w:trHeight w:val="232"/>
      </w:trPr>
      <w:tc>
        <w:tcPr>
          <w:tcW w:w="2532" w:type="dxa"/>
          <w:vAlign w:val="center"/>
        </w:tcPr>
        <w:p w:rsidR="006440B4" w:rsidRPr="00182113" w:rsidRDefault="006440B4"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6440B4" w:rsidRPr="00182113" w:rsidRDefault="006440B4" w:rsidP="00626372">
          <w:pPr>
            <w:pStyle w:val="Encabezado"/>
            <w:rPr>
              <w:rFonts w:ascii="Palatino Linotype" w:hAnsi="Palatino Linotype"/>
              <w:b/>
              <w:sz w:val="22"/>
              <w:szCs w:val="22"/>
            </w:rPr>
          </w:pPr>
          <w:r>
            <w:rPr>
              <w:rFonts w:ascii="Palatino Linotype" w:hAnsi="Palatino Linotype"/>
              <w:b/>
              <w:sz w:val="22"/>
              <w:szCs w:val="22"/>
            </w:rPr>
            <w:t xml:space="preserve">Poder Legislativo                         </w:t>
          </w:r>
        </w:p>
      </w:tc>
    </w:tr>
    <w:tr w:rsidR="006440B4" w:rsidRPr="00182113" w:rsidTr="00626372">
      <w:trPr>
        <w:trHeight w:val="320"/>
      </w:trPr>
      <w:tc>
        <w:tcPr>
          <w:tcW w:w="2532" w:type="dxa"/>
          <w:vAlign w:val="center"/>
        </w:tcPr>
        <w:p w:rsidR="006440B4" w:rsidRPr="00182113" w:rsidRDefault="006440B4"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6440B4" w:rsidRPr="00182113" w:rsidRDefault="006440B4"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6440B4" w:rsidRDefault="006440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68CD"/>
    <w:multiLevelType w:val="hybridMultilevel"/>
    <w:tmpl w:val="782A8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E5F03CF"/>
    <w:multiLevelType w:val="hybridMultilevel"/>
    <w:tmpl w:val="8AC898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A83FEF"/>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3728AF"/>
    <w:multiLevelType w:val="hybridMultilevel"/>
    <w:tmpl w:val="6C86E394"/>
    <w:lvl w:ilvl="0" w:tplc="685CFCEC">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160177"/>
    <w:multiLevelType w:val="hybridMultilevel"/>
    <w:tmpl w:val="43C40B4E"/>
    <w:lvl w:ilvl="0" w:tplc="63DE9360">
      <w:start w:val="1"/>
      <w:numFmt w:val="upperRoman"/>
      <w:lvlText w:val="%1."/>
      <w:lvlJc w:val="left"/>
      <w:pPr>
        <w:ind w:left="1080" w:hanging="72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317490"/>
    <w:multiLevelType w:val="hybridMultilevel"/>
    <w:tmpl w:val="186C5A82"/>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31" w15:restartNumberingAfterBreak="0">
    <w:nsid w:val="4D377E6E"/>
    <w:multiLevelType w:val="hybridMultilevel"/>
    <w:tmpl w:val="391A24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517D79"/>
    <w:multiLevelType w:val="hybridMultilevel"/>
    <w:tmpl w:val="1452D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5" w15:restartNumberingAfterBreak="0">
    <w:nsid w:val="7F7B5E9E"/>
    <w:multiLevelType w:val="hybridMultilevel"/>
    <w:tmpl w:val="02D05BEE"/>
    <w:lvl w:ilvl="0" w:tplc="18F01A94">
      <w:start w:val="1"/>
      <w:numFmt w:val="lowerLetter"/>
      <w:lvlText w:val="%1)"/>
      <w:lvlJc w:val="left"/>
      <w:pPr>
        <w:ind w:left="644" w:hanging="360"/>
      </w:pPr>
      <w:rPr>
        <w:rFonts w:eastAsia="Calibri"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3"/>
  </w:num>
  <w:num w:numId="2">
    <w:abstractNumId w:val="23"/>
  </w:num>
  <w:num w:numId="3">
    <w:abstractNumId w:val="34"/>
  </w:num>
  <w:num w:numId="4">
    <w:abstractNumId w:val="19"/>
  </w:num>
  <w:num w:numId="5">
    <w:abstractNumId w:val="5"/>
  </w:num>
  <w:num w:numId="6">
    <w:abstractNumId w:val="9"/>
  </w:num>
  <w:num w:numId="7">
    <w:abstractNumId w:val="12"/>
  </w:num>
  <w:num w:numId="8">
    <w:abstractNumId w:val="38"/>
  </w:num>
  <w:num w:numId="9">
    <w:abstractNumId w:val="23"/>
  </w:num>
  <w:num w:numId="10">
    <w:abstractNumId w:val="24"/>
  </w:num>
  <w:num w:numId="11">
    <w:abstractNumId w:val="28"/>
  </w:num>
  <w:num w:numId="12">
    <w:abstractNumId w:val="14"/>
  </w:num>
  <w:num w:numId="13">
    <w:abstractNumId w:val="44"/>
  </w:num>
  <w:num w:numId="14">
    <w:abstractNumId w:val="20"/>
  </w:num>
  <w:num w:numId="15">
    <w:abstractNumId w:val="16"/>
  </w:num>
  <w:num w:numId="16">
    <w:abstractNumId w:val="2"/>
  </w:num>
  <w:num w:numId="17">
    <w:abstractNumId w:val="39"/>
  </w:num>
  <w:num w:numId="18">
    <w:abstractNumId w:val="40"/>
  </w:num>
  <w:num w:numId="19">
    <w:abstractNumId w:val="42"/>
  </w:num>
  <w:num w:numId="20">
    <w:abstractNumId w:val="22"/>
  </w:num>
  <w:num w:numId="21">
    <w:abstractNumId w:val="8"/>
  </w:num>
  <w:num w:numId="22">
    <w:abstractNumId w:val="37"/>
  </w:num>
  <w:num w:numId="23">
    <w:abstractNumId w:val="10"/>
  </w:num>
  <w:num w:numId="24">
    <w:abstractNumId w:val="17"/>
  </w:num>
  <w:num w:numId="25">
    <w:abstractNumId w:val="27"/>
  </w:num>
  <w:num w:numId="26">
    <w:abstractNumId w:val="33"/>
  </w:num>
  <w:num w:numId="27">
    <w:abstractNumId w:val="25"/>
  </w:num>
  <w:num w:numId="28">
    <w:abstractNumId w:val="32"/>
  </w:num>
  <w:num w:numId="29">
    <w:abstractNumId w:val="3"/>
  </w:num>
  <w:num w:numId="30">
    <w:abstractNumId w:val="6"/>
  </w:num>
  <w:num w:numId="31">
    <w:abstractNumId w:val="7"/>
  </w:num>
  <w:num w:numId="32">
    <w:abstractNumId w:val="15"/>
  </w:num>
  <w:num w:numId="33">
    <w:abstractNumId w:val="0"/>
  </w:num>
  <w:num w:numId="34">
    <w:abstractNumId w:val="11"/>
  </w:num>
  <w:num w:numId="35">
    <w:abstractNumId w:val="41"/>
  </w:num>
  <w:num w:numId="36">
    <w:abstractNumId w:val="26"/>
  </w:num>
  <w:num w:numId="37">
    <w:abstractNumId w:val="43"/>
  </w:num>
  <w:num w:numId="38">
    <w:abstractNumId w:val="45"/>
  </w:num>
  <w:num w:numId="39">
    <w:abstractNumId w:val="31"/>
  </w:num>
  <w:num w:numId="40">
    <w:abstractNumId w:val="35"/>
  </w:num>
  <w:num w:numId="41">
    <w:abstractNumId w:val="18"/>
  </w:num>
  <w:num w:numId="42">
    <w:abstractNumId w:val="29"/>
  </w:num>
  <w:num w:numId="43">
    <w:abstractNumId w:val="4"/>
  </w:num>
  <w:num w:numId="44">
    <w:abstractNumId w:val="21"/>
  </w:num>
  <w:num w:numId="45">
    <w:abstractNumId w:val="30"/>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0A52"/>
    <w:rsid w:val="00013A13"/>
    <w:rsid w:val="00027009"/>
    <w:rsid w:val="00027ECB"/>
    <w:rsid w:val="00030E8B"/>
    <w:rsid w:val="00031242"/>
    <w:rsid w:val="00032F2E"/>
    <w:rsid w:val="00033133"/>
    <w:rsid w:val="000342A6"/>
    <w:rsid w:val="000365FB"/>
    <w:rsid w:val="00036903"/>
    <w:rsid w:val="000415A8"/>
    <w:rsid w:val="00050B8A"/>
    <w:rsid w:val="00057777"/>
    <w:rsid w:val="00063D00"/>
    <w:rsid w:val="000775DA"/>
    <w:rsid w:val="00077AEB"/>
    <w:rsid w:val="00096913"/>
    <w:rsid w:val="00096CF8"/>
    <w:rsid w:val="000A333C"/>
    <w:rsid w:val="000B0798"/>
    <w:rsid w:val="000C3801"/>
    <w:rsid w:val="000D0B04"/>
    <w:rsid w:val="000D275B"/>
    <w:rsid w:val="000D696D"/>
    <w:rsid w:val="000E015D"/>
    <w:rsid w:val="000E14D4"/>
    <w:rsid w:val="000E1EF5"/>
    <w:rsid w:val="000E2E37"/>
    <w:rsid w:val="000F0A44"/>
    <w:rsid w:val="000F4C0D"/>
    <w:rsid w:val="001052C0"/>
    <w:rsid w:val="00127424"/>
    <w:rsid w:val="00134074"/>
    <w:rsid w:val="00134A8B"/>
    <w:rsid w:val="00140B3D"/>
    <w:rsid w:val="001506F7"/>
    <w:rsid w:val="00155F00"/>
    <w:rsid w:val="001570F2"/>
    <w:rsid w:val="001649AD"/>
    <w:rsid w:val="00170177"/>
    <w:rsid w:val="00174213"/>
    <w:rsid w:val="001754A5"/>
    <w:rsid w:val="00183FCE"/>
    <w:rsid w:val="00196F45"/>
    <w:rsid w:val="001A23AD"/>
    <w:rsid w:val="001A3336"/>
    <w:rsid w:val="001A4CD6"/>
    <w:rsid w:val="001B413D"/>
    <w:rsid w:val="001B7001"/>
    <w:rsid w:val="001C65D7"/>
    <w:rsid w:val="001D1A33"/>
    <w:rsid w:val="001D67DC"/>
    <w:rsid w:val="001E4669"/>
    <w:rsid w:val="001F3FE7"/>
    <w:rsid w:val="00213898"/>
    <w:rsid w:val="00214E34"/>
    <w:rsid w:val="00220341"/>
    <w:rsid w:val="00232C34"/>
    <w:rsid w:val="00235D16"/>
    <w:rsid w:val="0024033A"/>
    <w:rsid w:val="002572AE"/>
    <w:rsid w:val="002612E8"/>
    <w:rsid w:val="00271A96"/>
    <w:rsid w:val="00277C08"/>
    <w:rsid w:val="00277D13"/>
    <w:rsid w:val="00284A07"/>
    <w:rsid w:val="0028587E"/>
    <w:rsid w:val="00295FD0"/>
    <w:rsid w:val="00297670"/>
    <w:rsid w:val="002A00B1"/>
    <w:rsid w:val="002B4574"/>
    <w:rsid w:val="002C04B2"/>
    <w:rsid w:val="002C37C0"/>
    <w:rsid w:val="002C37EC"/>
    <w:rsid w:val="002C4F3C"/>
    <w:rsid w:val="002D1192"/>
    <w:rsid w:val="002D278B"/>
    <w:rsid w:val="002D2E85"/>
    <w:rsid w:val="002E362D"/>
    <w:rsid w:val="002E6484"/>
    <w:rsid w:val="002F4D26"/>
    <w:rsid w:val="002F5CDE"/>
    <w:rsid w:val="00304E51"/>
    <w:rsid w:val="0030660D"/>
    <w:rsid w:val="003132CD"/>
    <w:rsid w:val="003136E0"/>
    <w:rsid w:val="00313EC3"/>
    <w:rsid w:val="00320852"/>
    <w:rsid w:val="00321228"/>
    <w:rsid w:val="00325103"/>
    <w:rsid w:val="00330268"/>
    <w:rsid w:val="0033422D"/>
    <w:rsid w:val="00337251"/>
    <w:rsid w:val="00340AD2"/>
    <w:rsid w:val="00341755"/>
    <w:rsid w:val="00352BB2"/>
    <w:rsid w:val="003632AD"/>
    <w:rsid w:val="00364BB0"/>
    <w:rsid w:val="0037251D"/>
    <w:rsid w:val="00390C2D"/>
    <w:rsid w:val="003968B6"/>
    <w:rsid w:val="003A232D"/>
    <w:rsid w:val="003A32FF"/>
    <w:rsid w:val="003A6589"/>
    <w:rsid w:val="003B2A0B"/>
    <w:rsid w:val="003B5405"/>
    <w:rsid w:val="003B5933"/>
    <w:rsid w:val="003B6664"/>
    <w:rsid w:val="003B7AAB"/>
    <w:rsid w:val="003C71AF"/>
    <w:rsid w:val="003C78EB"/>
    <w:rsid w:val="003D0081"/>
    <w:rsid w:val="003D454E"/>
    <w:rsid w:val="003D50AD"/>
    <w:rsid w:val="003D6A00"/>
    <w:rsid w:val="003D6EA6"/>
    <w:rsid w:val="003E56C5"/>
    <w:rsid w:val="003F14E5"/>
    <w:rsid w:val="003F609D"/>
    <w:rsid w:val="003F61D7"/>
    <w:rsid w:val="00414324"/>
    <w:rsid w:val="00423161"/>
    <w:rsid w:val="00423CD7"/>
    <w:rsid w:val="00431D34"/>
    <w:rsid w:val="00433076"/>
    <w:rsid w:val="00451617"/>
    <w:rsid w:val="004618F0"/>
    <w:rsid w:val="00464FF4"/>
    <w:rsid w:val="00484252"/>
    <w:rsid w:val="004C37B1"/>
    <w:rsid w:val="004C4ECE"/>
    <w:rsid w:val="004C5004"/>
    <w:rsid w:val="004C7903"/>
    <w:rsid w:val="004C7AFF"/>
    <w:rsid w:val="004D199B"/>
    <w:rsid w:val="004D4DE1"/>
    <w:rsid w:val="004E30C1"/>
    <w:rsid w:val="004E6F73"/>
    <w:rsid w:val="004F27AC"/>
    <w:rsid w:val="004F35F2"/>
    <w:rsid w:val="00502CFE"/>
    <w:rsid w:val="005054AB"/>
    <w:rsid w:val="00506433"/>
    <w:rsid w:val="005143E6"/>
    <w:rsid w:val="005260B7"/>
    <w:rsid w:val="00531380"/>
    <w:rsid w:val="005371CB"/>
    <w:rsid w:val="00537EB4"/>
    <w:rsid w:val="0054193B"/>
    <w:rsid w:val="005507DA"/>
    <w:rsid w:val="00556554"/>
    <w:rsid w:val="00557FCA"/>
    <w:rsid w:val="0057083E"/>
    <w:rsid w:val="00570E89"/>
    <w:rsid w:val="00571AD4"/>
    <w:rsid w:val="00584752"/>
    <w:rsid w:val="00591F77"/>
    <w:rsid w:val="005A1F06"/>
    <w:rsid w:val="005A480C"/>
    <w:rsid w:val="005A4CDF"/>
    <w:rsid w:val="005A6276"/>
    <w:rsid w:val="005B144F"/>
    <w:rsid w:val="005B36DA"/>
    <w:rsid w:val="005B656B"/>
    <w:rsid w:val="005C1F0F"/>
    <w:rsid w:val="005C625A"/>
    <w:rsid w:val="005D3E69"/>
    <w:rsid w:val="005E0AF0"/>
    <w:rsid w:val="005E191A"/>
    <w:rsid w:val="005F66AD"/>
    <w:rsid w:val="006041B2"/>
    <w:rsid w:val="006057F0"/>
    <w:rsid w:val="0060674E"/>
    <w:rsid w:val="00614478"/>
    <w:rsid w:val="00621484"/>
    <w:rsid w:val="006255DB"/>
    <w:rsid w:val="00626372"/>
    <w:rsid w:val="00642B78"/>
    <w:rsid w:val="006440B4"/>
    <w:rsid w:val="006450A5"/>
    <w:rsid w:val="00657122"/>
    <w:rsid w:val="0065791F"/>
    <w:rsid w:val="00657F02"/>
    <w:rsid w:val="00660563"/>
    <w:rsid w:val="0066309C"/>
    <w:rsid w:val="00664309"/>
    <w:rsid w:val="0066430C"/>
    <w:rsid w:val="00664711"/>
    <w:rsid w:val="00670B10"/>
    <w:rsid w:val="006728A5"/>
    <w:rsid w:val="006730E3"/>
    <w:rsid w:val="00682861"/>
    <w:rsid w:val="006844BF"/>
    <w:rsid w:val="00694D7C"/>
    <w:rsid w:val="0069522F"/>
    <w:rsid w:val="00695A9A"/>
    <w:rsid w:val="006A636A"/>
    <w:rsid w:val="006C18B1"/>
    <w:rsid w:val="006C331F"/>
    <w:rsid w:val="006D1038"/>
    <w:rsid w:val="006D4306"/>
    <w:rsid w:val="006E5427"/>
    <w:rsid w:val="006F7144"/>
    <w:rsid w:val="0070173D"/>
    <w:rsid w:val="0070584B"/>
    <w:rsid w:val="007237BD"/>
    <w:rsid w:val="00725184"/>
    <w:rsid w:val="007372B5"/>
    <w:rsid w:val="00745ED5"/>
    <w:rsid w:val="007514F8"/>
    <w:rsid w:val="007557A7"/>
    <w:rsid w:val="0076038C"/>
    <w:rsid w:val="0076759F"/>
    <w:rsid w:val="00770E83"/>
    <w:rsid w:val="00773714"/>
    <w:rsid w:val="007744EC"/>
    <w:rsid w:val="00780382"/>
    <w:rsid w:val="00782400"/>
    <w:rsid w:val="00795AA6"/>
    <w:rsid w:val="007A397F"/>
    <w:rsid w:val="007A7BA0"/>
    <w:rsid w:val="007C6A9C"/>
    <w:rsid w:val="007D3C23"/>
    <w:rsid w:val="007E3A20"/>
    <w:rsid w:val="007F07AA"/>
    <w:rsid w:val="007F1095"/>
    <w:rsid w:val="0080717D"/>
    <w:rsid w:val="00810274"/>
    <w:rsid w:val="00854EE8"/>
    <w:rsid w:val="00855BBD"/>
    <w:rsid w:val="00857BDC"/>
    <w:rsid w:val="00864E62"/>
    <w:rsid w:val="00876052"/>
    <w:rsid w:val="00894D37"/>
    <w:rsid w:val="008B54AD"/>
    <w:rsid w:val="008B55C9"/>
    <w:rsid w:val="008C0190"/>
    <w:rsid w:val="008C15B3"/>
    <w:rsid w:val="008C185F"/>
    <w:rsid w:val="008C35D2"/>
    <w:rsid w:val="008C791C"/>
    <w:rsid w:val="008D11FB"/>
    <w:rsid w:val="008D53C3"/>
    <w:rsid w:val="008D71DE"/>
    <w:rsid w:val="008E3975"/>
    <w:rsid w:val="008E5D89"/>
    <w:rsid w:val="008F7884"/>
    <w:rsid w:val="00911901"/>
    <w:rsid w:val="0091674E"/>
    <w:rsid w:val="00920129"/>
    <w:rsid w:val="0093070D"/>
    <w:rsid w:val="0093578E"/>
    <w:rsid w:val="009534EB"/>
    <w:rsid w:val="009554B3"/>
    <w:rsid w:val="00966FDA"/>
    <w:rsid w:val="0098424C"/>
    <w:rsid w:val="009C08C8"/>
    <w:rsid w:val="009C36E7"/>
    <w:rsid w:val="009D2081"/>
    <w:rsid w:val="009D49EC"/>
    <w:rsid w:val="009E000C"/>
    <w:rsid w:val="009E1EE6"/>
    <w:rsid w:val="009F381E"/>
    <w:rsid w:val="00A06B69"/>
    <w:rsid w:val="00A12BB4"/>
    <w:rsid w:val="00A22B98"/>
    <w:rsid w:val="00A35F34"/>
    <w:rsid w:val="00A40DC7"/>
    <w:rsid w:val="00A42530"/>
    <w:rsid w:val="00A50C56"/>
    <w:rsid w:val="00A55BA0"/>
    <w:rsid w:val="00A80B6A"/>
    <w:rsid w:val="00A8138C"/>
    <w:rsid w:val="00A91238"/>
    <w:rsid w:val="00A924CA"/>
    <w:rsid w:val="00AB7CB4"/>
    <w:rsid w:val="00AC41C5"/>
    <w:rsid w:val="00AC459D"/>
    <w:rsid w:val="00AC4B8B"/>
    <w:rsid w:val="00AC5F1B"/>
    <w:rsid w:val="00AD1197"/>
    <w:rsid w:val="00AD2B94"/>
    <w:rsid w:val="00AE0E81"/>
    <w:rsid w:val="00AF52A1"/>
    <w:rsid w:val="00AF625F"/>
    <w:rsid w:val="00AF6EE4"/>
    <w:rsid w:val="00B02118"/>
    <w:rsid w:val="00B05E35"/>
    <w:rsid w:val="00B05E5E"/>
    <w:rsid w:val="00B10CAF"/>
    <w:rsid w:val="00B12265"/>
    <w:rsid w:val="00B12AE4"/>
    <w:rsid w:val="00B154D3"/>
    <w:rsid w:val="00B225DF"/>
    <w:rsid w:val="00B3038C"/>
    <w:rsid w:val="00B35EBF"/>
    <w:rsid w:val="00B40FEF"/>
    <w:rsid w:val="00B448B8"/>
    <w:rsid w:val="00B45572"/>
    <w:rsid w:val="00B549FD"/>
    <w:rsid w:val="00B56971"/>
    <w:rsid w:val="00B74FFD"/>
    <w:rsid w:val="00B808E1"/>
    <w:rsid w:val="00B819AE"/>
    <w:rsid w:val="00B81E01"/>
    <w:rsid w:val="00B87585"/>
    <w:rsid w:val="00B9083A"/>
    <w:rsid w:val="00B95B94"/>
    <w:rsid w:val="00B96B07"/>
    <w:rsid w:val="00B97052"/>
    <w:rsid w:val="00BA15D4"/>
    <w:rsid w:val="00BA5158"/>
    <w:rsid w:val="00BB316C"/>
    <w:rsid w:val="00BB31FC"/>
    <w:rsid w:val="00BC54E8"/>
    <w:rsid w:val="00BD2782"/>
    <w:rsid w:val="00BD6F10"/>
    <w:rsid w:val="00BE0C17"/>
    <w:rsid w:val="00BE68C3"/>
    <w:rsid w:val="00BF7E3A"/>
    <w:rsid w:val="00C00416"/>
    <w:rsid w:val="00C04C51"/>
    <w:rsid w:val="00C04CD2"/>
    <w:rsid w:val="00C13FA3"/>
    <w:rsid w:val="00C272E0"/>
    <w:rsid w:val="00C27464"/>
    <w:rsid w:val="00C3012D"/>
    <w:rsid w:val="00C41446"/>
    <w:rsid w:val="00C51395"/>
    <w:rsid w:val="00C567E1"/>
    <w:rsid w:val="00C64C18"/>
    <w:rsid w:val="00C67E5F"/>
    <w:rsid w:val="00C75A85"/>
    <w:rsid w:val="00C8643F"/>
    <w:rsid w:val="00C86A73"/>
    <w:rsid w:val="00C91322"/>
    <w:rsid w:val="00C92950"/>
    <w:rsid w:val="00C97FA3"/>
    <w:rsid w:val="00CA19C4"/>
    <w:rsid w:val="00CA544A"/>
    <w:rsid w:val="00CB090A"/>
    <w:rsid w:val="00CC54B0"/>
    <w:rsid w:val="00CD0893"/>
    <w:rsid w:val="00CE0A58"/>
    <w:rsid w:val="00CE3BFC"/>
    <w:rsid w:val="00D00039"/>
    <w:rsid w:val="00D004ED"/>
    <w:rsid w:val="00D056CA"/>
    <w:rsid w:val="00D22701"/>
    <w:rsid w:val="00D25585"/>
    <w:rsid w:val="00D26A5E"/>
    <w:rsid w:val="00D32C76"/>
    <w:rsid w:val="00D369A5"/>
    <w:rsid w:val="00D5202C"/>
    <w:rsid w:val="00D53C1F"/>
    <w:rsid w:val="00D61911"/>
    <w:rsid w:val="00D64C46"/>
    <w:rsid w:val="00D67925"/>
    <w:rsid w:val="00D755DC"/>
    <w:rsid w:val="00D91535"/>
    <w:rsid w:val="00D92653"/>
    <w:rsid w:val="00D93E60"/>
    <w:rsid w:val="00DA184C"/>
    <w:rsid w:val="00DC272F"/>
    <w:rsid w:val="00DE32F8"/>
    <w:rsid w:val="00DE4FDA"/>
    <w:rsid w:val="00DF7495"/>
    <w:rsid w:val="00DF7C29"/>
    <w:rsid w:val="00E02B17"/>
    <w:rsid w:val="00E04375"/>
    <w:rsid w:val="00E054BC"/>
    <w:rsid w:val="00E10933"/>
    <w:rsid w:val="00E16784"/>
    <w:rsid w:val="00E32F61"/>
    <w:rsid w:val="00E507DF"/>
    <w:rsid w:val="00E50C1A"/>
    <w:rsid w:val="00E55DA2"/>
    <w:rsid w:val="00E67006"/>
    <w:rsid w:val="00E76F13"/>
    <w:rsid w:val="00E80F95"/>
    <w:rsid w:val="00E907AC"/>
    <w:rsid w:val="00EA0917"/>
    <w:rsid w:val="00EA23DF"/>
    <w:rsid w:val="00EA6AD4"/>
    <w:rsid w:val="00EA7A77"/>
    <w:rsid w:val="00EB01A7"/>
    <w:rsid w:val="00EB7FA4"/>
    <w:rsid w:val="00EC1084"/>
    <w:rsid w:val="00EC140B"/>
    <w:rsid w:val="00EC2375"/>
    <w:rsid w:val="00EC74E4"/>
    <w:rsid w:val="00ED1D6D"/>
    <w:rsid w:val="00ED56BC"/>
    <w:rsid w:val="00EE1DAD"/>
    <w:rsid w:val="00EE1F37"/>
    <w:rsid w:val="00EF12E0"/>
    <w:rsid w:val="00EF6C1C"/>
    <w:rsid w:val="00F03A8E"/>
    <w:rsid w:val="00F05EA2"/>
    <w:rsid w:val="00F06C8F"/>
    <w:rsid w:val="00F1006A"/>
    <w:rsid w:val="00F16490"/>
    <w:rsid w:val="00F20397"/>
    <w:rsid w:val="00F21D21"/>
    <w:rsid w:val="00F2798A"/>
    <w:rsid w:val="00F37D52"/>
    <w:rsid w:val="00F40862"/>
    <w:rsid w:val="00F40A44"/>
    <w:rsid w:val="00F60843"/>
    <w:rsid w:val="00F74474"/>
    <w:rsid w:val="00F84320"/>
    <w:rsid w:val="00F84A98"/>
    <w:rsid w:val="00F9687E"/>
    <w:rsid w:val="00F97E34"/>
    <w:rsid w:val="00FA0EEA"/>
    <w:rsid w:val="00FB70AB"/>
    <w:rsid w:val="00FB7482"/>
    <w:rsid w:val="00FB7901"/>
    <w:rsid w:val="00FC2245"/>
    <w:rsid w:val="00FE5913"/>
    <w:rsid w:val="00FE597D"/>
    <w:rsid w:val="00FE6536"/>
    <w:rsid w:val="00FE7E78"/>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1271074-7B3C-4E5E-A1A8-FDE63E62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3">
    <w:name w:val="Grid Table 6 Colorful Accent 3"/>
    <w:basedOn w:val="Tablanormal"/>
    <w:uiPriority w:val="51"/>
    <w:rsid w:val="00FB7482"/>
    <w:pPr>
      <w:spacing w:after="0" w:line="240" w:lineRule="auto"/>
    </w:pPr>
    <w:rPr>
      <w:color w:val="7B7B7B" w:themeColor="accent3" w:themeShade="BF"/>
      <w:lang w:val="es-ES_trad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21">
    <w:name w:val="Tabla con cuadrícula121"/>
    <w:basedOn w:val="Tablanormal"/>
    <w:next w:val="Tablaconcuadrcula"/>
    <w:uiPriority w:val="59"/>
    <w:rsid w:val="005371CB"/>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74786453">
      <w:bodyDiv w:val="1"/>
      <w:marLeft w:val="0"/>
      <w:marRight w:val="0"/>
      <w:marTop w:val="0"/>
      <w:marBottom w:val="0"/>
      <w:divBdr>
        <w:top w:val="none" w:sz="0" w:space="0" w:color="auto"/>
        <w:left w:val="none" w:sz="0" w:space="0" w:color="auto"/>
        <w:bottom w:val="none" w:sz="0" w:space="0" w:color="auto"/>
        <w:right w:val="none" w:sz="0" w:space="0" w:color="auto"/>
      </w:divBdr>
    </w:div>
    <w:div w:id="257833162">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614750312">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98284147">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09423335">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90088.page" TargetMode="External"/><Relationship Id="rId13" Type="http://schemas.openxmlformats.org/officeDocument/2006/relationships/image" Target="media/image3.png"/><Relationship Id="rId18" Type="http://schemas.openxmlformats.org/officeDocument/2006/relationships/hyperlink" Target="http://consultas.ifai.org.mx/descargar.php?r=./pdf/resoluciones/2017/&amp;a=RRA%202536.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consultas.ifai.org.mx/descargar.php?r=./pdf/resoluciones/2017/&amp;a=RRA%2022.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saimex.org.mx/saimex/solicitud/downloadAttach/790129.page" TargetMode="External"/><Relationship Id="rId19"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hyperlink" Target="https://www.saimex.org.mx/saimex/solicitud/downloadAttach/778272.page" TargetMode="External"/><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transparencia.banobras.gob.mx/wp-content/uploads/2016/06/1.-DAGA-023-2013-F.pdf" TargetMode="External"/><Relationship Id="rId2" Type="http://schemas.openxmlformats.org/officeDocument/2006/relationships/hyperlink" Target="http://biblio.juridicas.unam.mx/libros/1/419/12.pdf" TargetMode="External"/><Relationship Id="rId1" Type="http://schemas.openxmlformats.org/officeDocument/2006/relationships/hyperlink" Target="http://www.oas.org/es/cidh/expresion/documentos_basicos/declaraciones.asp" TargetMode="External"/><Relationship Id="rId5" Type="http://schemas.openxmlformats.org/officeDocument/2006/relationships/hyperlink" Target="http://legislacion.edomex.gob.mx/sites/legislacion.edomex.gob.mx/files/files/pdf/rgl/vig/rglvig059.pdf" TargetMode="External"/><Relationship Id="rId4" Type="http://schemas.openxmlformats.org/officeDocument/2006/relationships/hyperlink" Target="http://transparenciafiscal.edomex.gob.mx/sites/transparenciafiscal.edomex.gob.mx/files/files/pdf/marco-programatico-presupuestal/presupuesto-egresos-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01293-DE44-4512-98D2-E58F3738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59</Pages>
  <Words>11085</Words>
  <Characters>60971</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7</cp:revision>
  <cp:lastPrinted>2019-05-03T20:02:00Z</cp:lastPrinted>
  <dcterms:created xsi:type="dcterms:W3CDTF">2019-11-28T19:06:00Z</dcterms:created>
  <dcterms:modified xsi:type="dcterms:W3CDTF">2020-05-06T00:52:00Z</dcterms:modified>
</cp:coreProperties>
</file>