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07D8139C" w:rsidR="0030072F" w:rsidRPr="0086018C" w:rsidRDefault="00FF7C70" w:rsidP="001A715B">
      <w:pPr>
        <w:widowControl w:val="0"/>
        <w:spacing w:before="100" w:beforeAutospacing="1" w:after="100" w:afterAutospacing="1" w:line="360" w:lineRule="auto"/>
        <w:ind w:right="-164"/>
        <w:jc w:val="both"/>
        <w:rPr>
          <w:rFonts w:ascii="Palatino Linotype" w:eastAsia="Calibri" w:hAnsi="Palatino Linotype" w:cs="Arial"/>
          <w:b/>
          <w:color w:val="000000"/>
        </w:rPr>
      </w:pPr>
      <w:r w:rsidRPr="0086018C">
        <w:rPr>
          <w:rFonts w:ascii="Palatino Linotype" w:hAnsi="Palatino Linotype" w:cs="Arial"/>
          <w:b/>
        </w:rPr>
        <w:t>VOTO PARTICULAR QUE FORMULA LA COMISIONADA EVA ABAID YAPUR,</w:t>
      </w:r>
      <w:r w:rsidR="0007653D" w:rsidRPr="0086018C">
        <w:rPr>
          <w:rFonts w:ascii="Palatino Linotype" w:hAnsi="Palatino Linotype" w:cs="Arial"/>
          <w:b/>
        </w:rPr>
        <w:t xml:space="preserve"> EN RELACIÓN CON LA RESOLUCIÓN DICTADA POR EL PLENO DEL INSTITUTO DE TRANSPARENCIA, ACCESO A LA INFORMACIÓN PÚBLICA Y PROTECCIÓN DE </w:t>
      </w:r>
      <w:r w:rsidR="000C2CF9" w:rsidRPr="0086018C">
        <w:rPr>
          <w:rFonts w:ascii="Palatino Linotype" w:hAnsi="Palatino Linotype" w:cs="Arial"/>
          <w:b/>
        </w:rPr>
        <w:t xml:space="preserve">DATOS PERSONALES DEL ESTADO DE MÉXICO Y MUNICIPIOS, EN LA </w:t>
      </w:r>
      <w:r w:rsidR="008A1ED5">
        <w:rPr>
          <w:rFonts w:ascii="Palatino Linotype" w:hAnsi="Palatino Linotype" w:cs="Arial"/>
          <w:b/>
        </w:rPr>
        <w:t>CUADRAGÉSIMA TERCERA</w:t>
      </w:r>
      <w:r w:rsidR="00E2288D">
        <w:rPr>
          <w:rFonts w:ascii="Palatino Linotype" w:hAnsi="Palatino Linotype" w:cs="Arial"/>
          <w:b/>
        </w:rPr>
        <w:t xml:space="preserve"> </w:t>
      </w:r>
      <w:r w:rsidR="000C2CF9" w:rsidRPr="0086018C">
        <w:rPr>
          <w:rFonts w:ascii="Palatino Linotype" w:hAnsi="Palatino Linotype" w:cs="Arial"/>
          <w:b/>
        </w:rPr>
        <w:t xml:space="preserve">SESIÓN ORDINARIA </w:t>
      </w:r>
      <w:r w:rsidR="00CD13BC" w:rsidRPr="0086018C">
        <w:rPr>
          <w:rFonts w:ascii="Palatino Linotype" w:hAnsi="Palatino Linotype" w:cs="Arial"/>
          <w:b/>
        </w:rPr>
        <w:t xml:space="preserve">DE </w:t>
      </w:r>
      <w:r w:rsidR="008A1ED5">
        <w:rPr>
          <w:rFonts w:ascii="Palatino Linotype" w:hAnsi="Palatino Linotype" w:cs="Arial"/>
          <w:b/>
        </w:rPr>
        <w:t>VEINTE</w:t>
      </w:r>
      <w:r w:rsidR="002E18A5">
        <w:rPr>
          <w:rFonts w:ascii="Palatino Linotype" w:hAnsi="Palatino Linotype" w:cs="Arial"/>
          <w:b/>
        </w:rPr>
        <w:t xml:space="preserve"> DE NOVIEMBRE</w:t>
      </w:r>
      <w:r w:rsidR="005D6A91">
        <w:rPr>
          <w:rFonts w:ascii="Palatino Linotype" w:hAnsi="Palatino Linotype" w:cs="Arial"/>
          <w:b/>
        </w:rPr>
        <w:t xml:space="preserve"> DE DOS MIL DIECINUEVE</w:t>
      </w:r>
      <w:r w:rsidR="00DA5209" w:rsidRPr="0086018C">
        <w:rPr>
          <w:rFonts w:ascii="Palatino Linotype" w:hAnsi="Palatino Linotype" w:cs="Arial"/>
          <w:b/>
        </w:rPr>
        <w:t xml:space="preserve">, </w:t>
      </w:r>
      <w:r w:rsidR="00D557C2" w:rsidRPr="0086018C">
        <w:rPr>
          <w:rFonts w:ascii="Palatino Linotype" w:hAnsi="Palatino Linotype" w:cs="Arial"/>
          <w:b/>
        </w:rPr>
        <w:t>EN</w:t>
      </w:r>
      <w:r w:rsidR="00037496">
        <w:rPr>
          <w:rFonts w:ascii="Palatino Linotype" w:hAnsi="Palatino Linotype" w:cs="Arial"/>
          <w:b/>
        </w:rPr>
        <w:t xml:space="preserve"> </w:t>
      </w:r>
      <w:r w:rsidR="009038F2">
        <w:rPr>
          <w:rFonts w:ascii="Palatino Linotype" w:hAnsi="Palatino Linotype" w:cs="Arial"/>
          <w:b/>
        </w:rPr>
        <w:t>EL</w:t>
      </w:r>
      <w:r w:rsidR="002D4526" w:rsidRPr="0086018C">
        <w:rPr>
          <w:rFonts w:ascii="Palatino Linotype" w:hAnsi="Palatino Linotype" w:cs="Arial"/>
          <w:b/>
        </w:rPr>
        <w:t xml:space="preserve"> RECURSO DE REVISIÓN</w:t>
      </w:r>
      <w:r w:rsidR="009C1FB9">
        <w:rPr>
          <w:rFonts w:ascii="Palatino Linotype" w:hAnsi="Palatino Linotype" w:cs="Arial"/>
          <w:b/>
        </w:rPr>
        <w:t xml:space="preserve"> </w:t>
      </w:r>
      <w:r w:rsidR="008A1ED5">
        <w:rPr>
          <w:rFonts w:ascii="Palatino Linotype" w:eastAsia="Calibri" w:hAnsi="Palatino Linotype" w:cs="Tahoma"/>
          <w:b/>
          <w:bCs/>
          <w:lang w:eastAsia="en-US"/>
        </w:rPr>
        <w:t>07355</w:t>
      </w:r>
      <w:r w:rsidR="00DE1735">
        <w:rPr>
          <w:rFonts w:ascii="Palatino Linotype" w:eastAsia="Calibri" w:hAnsi="Palatino Linotype" w:cs="Tahoma"/>
          <w:b/>
          <w:bCs/>
          <w:lang w:eastAsia="en-US"/>
        </w:rPr>
        <w:t>/INFOEM/IP/RR/2019</w:t>
      </w:r>
      <w:r w:rsidR="002D4526" w:rsidRPr="0086018C">
        <w:rPr>
          <w:rFonts w:ascii="Palatino Linotype" w:eastAsia="Calibri" w:hAnsi="Palatino Linotype" w:cs="Arial"/>
          <w:b/>
          <w:color w:val="000000"/>
        </w:rPr>
        <w:t>.</w:t>
      </w:r>
    </w:p>
    <w:p w14:paraId="75976F25" w14:textId="5222A869" w:rsidR="0030072F" w:rsidRPr="0086018C" w:rsidRDefault="0030072F" w:rsidP="001A715B">
      <w:pPr>
        <w:spacing w:before="100" w:beforeAutospacing="1" w:after="100" w:afterAutospacing="1" w:line="360" w:lineRule="auto"/>
        <w:jc w:val="both"/>
        <w:rPr>
          <w:rFonts w:ascii="Palatino Linotype" w:hAnsi="Palatino Linotype" w:cs="Arial"/>
        </w:rPr>
      </w:pPr>
      <w:r w:rsidRPr="0086018C">
        <w:rPr>
          <w:rFonts w:ascii="Palatino Linotype" w:hAnsi="Palatino Linotype" w:cs="Arial"/>
        </w:rPr>
        <w:t xml:space="preserve">Con fundamento en lo dispuesto por </w:t>
      </w:r>
      <w:r w:rsidR="00B47F5A" w:rsidRPr="0086018C">
        <w:rPr>
          <w:rFonts w:ascii="Palatino Linotype" w:hAnsi="Palatino Linotype" w:cs="Arial"/>
        </w:rPr>
        <w:t>el</w:t>
      </w:r>
      <w:r w:rsidRPr="0086018C">
        <w:rPr>
          <w:rFonts w:ascii="Palatino Linotype" w:hAnsi="Palatino Linotype" w:cs="Arial"/>
        </w:rPr>
        <w:t xml:space="preserve"> artículo </w:t>
      </w:r>
      <w:r w:rsidR="007D05D8" w:rsidRPr="0086018C">
        <w:rPr>
          <w:rFonts w:ascii="Palatino Linotype" w:hAnsi="Palatino Linotype" w:cs="Arial"/>
        </w:rPr>
        <w:t>14</w:t>
      </w:r>
      <w:r w:rsidR="00E42755" w:rsidRPr="0086018C">
        <w:rPr>
          <w:rFonts w:ascii="Palatino Linotype" w:hAnsi="Palatino Linotype" w:cs="Arial"/>
        </w:rPr>
        <w:t>,</w:t>
      </w:r>
      <w:r w:rsidRPr="0086018C">
        <w:rPr>
          <w:rFonts w:ascii="Palatino Linotype" w:hAnsi="Palatino Linotype" w:cs="Arial"/>
        </w:rPr>
        <w:t xml:space="preserve"> fracciones </w:t>
      </w:r>
      <w:r w:rsidR="007D05D8" w:rsidRPr="0086018C">
        <w:rPr>
          <w:rFonts w:ascii="Palatino Linotype" w:hAnsi="Palatino Linotype" w:cs="Arial"/>
        </w:rPr>
        <w:t xml:space="preserve">X y XI </w:t>
      </w:r>
      <w:r w:rsidRPr="0086018C">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86018C">
        <w:rPr>
          <w:rFonts w:ascii="Palatino Linotype" w:hAnsi="Palatino Linotype" w:cs="Arial"/>
        </w:rPr>
        <w:t xml:space="preserve">la que suscribe Comisionada </w:t>
      </w:r>
      <w:r w:rsidR="00FF7C70" w:rsidRPr="0086018C">
        <w:rPr>
          <w:rFonts w:ascii="Palatino Linotype" w:hAnsi="Palatino Linotype" w:cs="Arial"/>
          <w:b/>
        </w:rPr>
        <w:t>EVA ABAID YAPUR</w:t>
      </w:r>
      <w:r w:rsidR="00FF7C70" w:rsidRPr="0086018C">
        <w:rPr>
          <w:rFonts w:ascii="Palatino Linotype" w:hAnsi="Palatino Linotype" w:cs="Arial"/>
        </w:rPr>
        <w:t xml:space="preserve"> emite </w:t>
      </w:r>
      <w:r w:rsidR="00FF7C70" w:rsidRPr="0086018C">
        <w:rPr>
          <w:rFonts w:ascii="Palatino Linotype" w:hAnsi="Palatino Linotype" w:cs="Arial"/>
          <w:b/>
        </w:rPr>
        <w:t xml:space="preserve">VOTO PARTICULAR </w:t>
      </w:r>
      <w:r w:rsidRPr="0086018C">
        <w:rPr>
          <w:rFonts w:ascii="Palatino Linotype" w:hAnsi="Palatino Linotype" w:cs="Arial"/>
        </w:rPr>
        <w:t xml:space="preserve">respecto de la resolución dictada en </w:t>
      </w:r>
      <w:r w:rsidR="00DC2B73">
        <w:rPr>
          <w:rFonts w:ascii="Palatino Linotype" w:hAnsi="Palatino Linotype" w:cs="Arial"/>
        </w:rPr>
        <w:t xml:space="preserve">el recurso de revisión </w:t>
      </w:r>
      <w:r w:rsidR="008A1ED5">
        <w:rPr>
          <w:rFonts w:ascii="Palatino Linotype" w:eastAsia="Calibri" w:hAnsi="Palatino Linotype" w:cs="Tahoma"/>
          <w:b/>
          <w:bCs/>
          <w:lang w:eastAsia="en-US"/>
        </w:rPr>
        <w:t>07355</w:t>
      </w:r>
      <w:r w:rsidR="00DE1735">
        <w:rPr>
          <w:rFonts w:ascii="Palatino Linotype" w:eastAsia="Calibri" w:hAnsi="Palatino Linotype" w:cs="Tahoma"/>
          <w:b/>
          <w:bCs/>
          <w:lang w:eastAsia="en-US"/>
        </w:rPr>
        <w:t>/INFOEM/IP/RR/2019</w:t>
      </w:r>
      <w:r w:rsidRPr="0086018C">
        <w:rPr>
          <w:rFonts w:ascii="Palatino Linotype" w:hAnsi="Palatino Linotype" w:cs="Arial"/>
        </w:rPr>
        <w:t xml:space="preserve">, pronunciada por el Pleno de este Instituto ante el proyecto presentado por </w:t>
      </w:r>
      <w:r w:rsidR="008A1ED5">
        <w:rPr>
          <w:rFonts w:ascii="Palatino Linotype" w:hAnsi="Palatino Linotype" w:cs="Arial"/>
        </w:rPr>
        <w:t>la Comisionada Presidenta</w:t>
      </w:r>
      <w:r w:rsidR="002E18A5">
        <w:rPr>
          <w:rFonts w:ascii="Palatino Linotype" w:hAnsi="Palatino Linotype" w:cs="Arial"/>
        </w:rPr>
        <w:t xml:space="preserve"> </w:t>
      </w:r>
      <w:r w:rsidR="00BC4A25">
        <w:rPr>
          <w:rFonts w:ascii="Palatino Linotype" w:hAnsi="Palatino Linotype" w:cs="Arial"/>
          <w:b/>
        </w:rPr>
        <w:t>ZULEMA MARTÍNEZ SÁNCHEZ</w:t>
      </w:r>
      <w:r w:rsidR="00037496">
        <w:rPr>
          <w:rFonts w:ascii="Palatino Linotype" w:hAnsi="Palatino Linotype" w:cs="Arial"/>
          <w:b/>
        </w:rPr>
        <w:t>,</w:t>
      </w:r>
      <w:r w:rsidR="00037496">
        <w:rPr>
          <w:rFonts w:ascii="Palatino Linotype" w:hAnsi="Palatino Linotype" w:cs="Arial"/>
        </w:rPr>
        <w:t xml:space="preserve"> que es del tenor siguiente.</w:t>
      </w:r>
    </w:p>
    <w:p w14:paraId="3802A3D4" w14:textId="63A25BE8" w:rsidR="0007653D" w:rsidRPr="0086018C" w:rsidRDefault="0007653D" w:rsidP="001A715B">
      <w:pPr>
        <w:spacing w:before="100" w:beforeAutospacing="1" w:after="100" w:afterAutospacing="1" w:line="360" w:lineRule="auto"/>
        <w:jc w:val="both"/>
        <w:rPr>
          <w:rFonts w:ascii="Palatino Linotype" w:hAnsi="Palatino Linotype"/>
        </w:rPr>
      </w:pPr>
      <w:r w:rsidRPr="0086018C">
        <w:rPr>
          <w:rFonts w:ascii="Palatino Linotype" w:hAnsi="Palatino Linotype"/>
        </w:rPr>
        <w:t>Es de destacar, que la suscrita compart</w:t>
      </w:r>
      <w:r w:rsidR="00847E60" w:rsidRPr="0086018C">
        <w:rPr>
          <w:rFonts w:ascii="Palatino Linotype" w:hAnsi="Palatino Linotype"/>
        </w:rPr>
        <w:t>e</w:t>
      </w:r>
      <w:r w:rsidRPr="0086018C">
        <w:rPr>
          <w:rFonts w:ascii="Palatino Linotype" w:hAnsi="Palatino Linotype"/>
        </w:rPr>
        <w:t xml:space="preserve"> </w:t>
      </w:r>
      <w:r w:rsidR="00A04C79" w:rsidRPr="0086018C">
        <w:rPr>
          <w:rFonts w:ascii="Palatino Linotype" w:hAnsi="Palatino Linotype"/>
        </w:rPr>
        <w:t xml:space="preserve">esencialmente el estudio realizado en la resolución </w:t>
      </w:r>
      <w:r w:rsidRPr="0086018C">
        <w:rPr>
          <w:rFonts w:ascii="Palatino Linotype" w:hAnsi="Palatino Linotype"/>
        </w:rPr>
        <w:t>del recurso de revis</w:t>
      </w:r>
      <w:r w:rsidR="00D557C2" w:rsidRPr="0086018C">
        <w:rPr>
          <w:rFonts w:ascii="Palatino Linotype" w:hAnsi="Palatino Linotype"/>
        </w:rPr>
        <w:t xml:space="preserve">ión; empero, </w:t>
      </w:r>
      <w:r w:rsidRPr="0086018C">
        <w:rPr>
          <w:rFonts w:ascii="Palatino Linotype" w:hAnsi="Palatino Linotype"/>
        </w:rPr>
        <w:t>consider</w:t>
      </w:r>
      <w:r w:rsidR="00FF7C70" w:rsidRPr="0086018C">
        <w:rPr>
          <w:rFonts w:ascii="Palatino Linotype" w:hAnsi="Palatino Linotype"/>
        </w:rPr>
        <w:t>o</w:t>
      </w:r>
      <w:r w:rsidRPr="0086018C">
        <w:rPr>
          <w:rFonts w:ascii="Palatino Linotype" w:hAnsi="Palatino Linotype"/>
        </w:rPr>
        <w:t xml:space="preserve"> necesario precisar algunas </w:t>
      </w:r>
      <w:r w:rsidR="00416F64">
        <w:rPr>
          <w:rFonts w:ascii="Palatino Linotype" w:hAnsi="Palatino Linotype"/>
        </w:rPr>
        <w:t>cuestiones</w:t>
      </w:r>
      <w:r w:rsidRPr="0086018C">
        <w:rPr>
          <w:rFonts w:ascii="Palatino Linotype" w:hAnsi="Palatino Linotype"/>
        </w:rPr>
        <w:t xml:space="preserve"> de hecho y de derecho, </w:t>
      </w:r>
      <w:r w:rsidR="006301B2" w:rsidRPr="0086018C">
        <w:rPr>
          <w:rFonts w:ascii="Palatino Linotype" w:hAnsi="Palatino Linotype"/>
        </w:rPr>
        <w:t xml:space="preserve">tocante </w:t>
      </w:r>
      <w:r w:rsidR="00DC2B73">
        <w:rPr>
          <w:rFonts w:ascii="Palatino Linotype" w:hAnsi="Palatino Linotype"/>
        </w:rPr>
        <w:t>al estudio</w:t>
      </w:r>
      <w:r w:rsidR="005D6A91">
        <w:rPr>
          <w:rFonts w:ascii="Palatino Linotype" w:hAnsi="Palatino Linotype"/>
        </w:rPr>
        <w:t xml:space="preserve"> y lo ordenado en</w:t>
      </w:r>
      <w:r w:rsidR="001B4769">
        <w:rPr>
          <w:rFonts w:ascii="Palatino Linotype" w:hAnsi="Palatino Linotype"/>
        </w:rPr>
        <w:t xml:space="preserve"> la</w:t>
      </w:r>
      <w:r w:rsidRPr="0086018C">
        <w:rPr>
          <w:rFonts w:ascii="Palatino Linotype" w:hAnsi="Palatino Linotype"/>
        </w:rPr>
        <w:t xml:space="preserve"> resolución correspondiente.</w:t>
      </w:r>
    </w:p>
    <w:p w14:paraId="036E104D" w14:textId="1BC9BED7" w:rsidR="002E18A5" w:rsidRDefault="00275FC5" w:rsidP="001A715B">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w:t>
      </w:r>
      <w:r w:rsidR="001D532F">
        <w:rPr>
          <w:rFonts w:ascii="Palatino Linotype" w:hAnsi="Palatino Linotype"/>
        </w:rPr>
        <w:t>ón materia del presente voto, la</w:t>
      </w:r>
      <w:r w:rsidRPr="00D93A88">
        <w:rPr>
          <w:rFonts w:ascii="Palatino Linotype" w:hAnsi="Palatino Linotype"/>
        </w:rPr>
        <w:t xml:space="preserve"> particular </w:t>
      </w:r>
      <w:r w:rsidR="00CA19BB">
        <w:rPr>
          <w:rFonts w:ascii="Palatino Linotype" w:hAnsi="Palatino Linotype"/>
        </w:rPr>
        <w:t xml:space="preserve">requirió </w:t>
      </w:r>
      <w:r w:rsidR="008A1ED5" w:rsidRPr="007C7D2E">
        <w:rPr>
          <w:rFonts w:ascii="Palatino Linotype" w:hAnsi="Palatino Linotype"/>
        </w:rPr>
        <w:t>de</w:t>
      </w:r>
      <w:r w:rsidR="008A1ED5">
        <w:rPr>
          <w:rFonts w:ascii="Palatino Linotype" w:hAnsi="Palatino Linotype"/>
        </w:rPr>
        <w:t xml:space="preserve">l </w:t>
      </w:r>
      <w:r w:rsidR="008A1ED5" w:rsidRPr="008A1ED5">
        <w:rPr>
          <w:rFonts w:ascii="Palatino Linotype" w:hAnsi="Palatino Linotype"/>
          <w:b/>
        </w:rPr>
        <w:t>Sistema Municipal para el Desarrollo Integral de la Familia de Tecámac</w:t>
      </w:r>
      <w:r w:rsidR="00C13853">
        <w:rPr>
          <w:rFonts w:ascii="Palatino Linotype" w:hAnsi="Palatino Linotype"/>
        </w:rPr>
        <w:t xml:space="preserve">, en lo sucesivo </w:t>
      </w:r>
      <w:r w:rsidR="00C13853">
        <w:rPr>
          <w:rFonts w:ascii="Palatino Linotype" w:hAnsi="Palatino Linotype"/>
          <w:b/>
        </w:rPr>
        <w:t xml:space="preserve">EL </w:t>
      </w:r>
      <w:r w:rsidRPr="008C0700">
        <w:rPr>
          <w:rFonts w:ascii="Palatino Linotype" w:hAnsi="Palatino Linotype"/>
          <w:b/>
        </w:rPr>
        <w:t>SUJETO OBLIGADO</w:t>
      </w:r>
      <w:r>
        <w:rPr>
          <w:rFonts w:ascii="Palatino Linotype" w:hAnsi="Palatino Linotype"/>
          <w:b/>
        </w:rPr>
        <w:t>,</w:t>
      </w:r>
      <w:r w:rsidR="008F7530">
        <w:rPr>
          <w:rFonts w:ascii="Palatino Linotype" w:hAnsi="Palatino Linotype"/>
        </w:rPr>
        <w:t xml:space="preserve"> </w:t>
      </w:r>
      <w:r w:rsidR="0020637F">
        <w:rPr>
          <w:rFonts w:ascii="Palatino Linotype" w:hAnsi="Palatino Linotype"/>
        </w:rPr>
        <w:t xml:space="preserve">se le </w:t>
      </w:r>
      <w:r w:rsidR="002E18A5">
        <w:rPr>
          <w:rFonts w:ascii="Palatino Linotype" w:hAnsi="Palatino Linotype"/>
        </w:rPr>
        <w:t xml:space="preserve">hiciera de su </w:t>
      </w:r>
      <w:r w:rsidR="002E18A5">
        <w:rPr>
          <w:rFonts w:ascii="Palatino Linotype" w:hAnsi="Palatino Linotype"/>
        </w:rPr>
        <w:lastRenderedPageBreak/>
        <w:t xml:space="preserve">conocimiento </w:t>
      </w:r>
      <w:r w:rsidR="008A1ED5">
        <w:rPr>
          <w:rFonts w:ascii="Palatino Linotype" w:hAnsi="Palatino Linotype"/>
        </w:rPr>
        <w:t>el nombramiento de la servidora pública, así como las áreas que recibió en dicho nombramiento, la entrega de recepción que realizó de dichas áreas completa, así como la competencia laboral de haber ocupado un área que lo haya requerido conforme lo marca la Ley en la materia, también la Junta de Gobierno en que se otorgó el nombramiento con las áreas que recibió</w:t>
      </w:r>
      <w:r w:rsidR="003A4E87">
        <w:rPr>
          <w:rFonts w:ascii="Palatino Linotype" w:hAnsi="Palatino Linotype"/>
        </w:rPr>
        <w:t>.</w:t>
      </w:r>
    </w:p>
    <w:p w14:paraId="3E5CA3E3" w14:textId="4B4C0B1E" w:rsidR="003A4E87" w:rsidRPr="002E18A5" w:rsidRDefault="003A4E87" w:rsidP="001A715B">
      <w:pPr>
        <w:spacing w:before="100" w:beforeAutospacing="1" w:after="100" w:afterAutospacing="1" w:line="360" w:lineRule="auto"/>
        <w:jc w:val="both"/>
        <w:rPr>
          <w:rFonts w:ascii="Palatino Linotype" w:hAnsi="Palatino Linotype"/>
        </w:rPr>
      </w:pPr>
      <w:r>
        <w:rPr>
          <w:rFonts w:ascii="Palatino Linotype" w:hAnsi="Palatino Linotype"/>
          <w:color w:val="000000"/>
        </w:rPr>
        <w:t xml:space="preserve">Es así, que posteriormente </w:t>
      </w:r>
      <w:r w:rsidRPr="003A4E87">
        <w:rPr>
          <w:rFonts w:ascii="Palatino Linotype" w:hAnsi="Palatino Linotype"/>
          <w:b/>
          <w:color w:val="000000"/>
        </w:rPr>
        <w:t>EL SUJETO OBLIGADO</w:t>
      </w:r>
      <w:r>
        <w:rPr>
          <w:rFonts w:ascii="Palatino Linotype" w:hAnsi="Palatino Linotype"/>
          <w:color w:val="000000"/>
        </w:rPr>
        <w:t xml:space="preserve"> </w:t>
      </w:r>
      <w:r w:rsidR="008A1ED5">
        <w:rPr>
          <w:rFonts w:ascii="Palatino Linotype" w:hAnsi="Palatino Linotype"/>
          <w:color w:val="000000"/>
        </w:rPr>
        <w:t xml:space="preserve">remitió el oficio signado por la Secretaria de la Junta de Gobierno mediante el cual se le </w:t>
      </w:r>
      <w:r w:rsidR="00003D39">
        <w:rPr>
          <w:rFonts w:ascii="Palatino Linotype" w:hAnsi="Palatino Linotype"/>
          <w:color w:val="000000"/>
        </w:rPr>
        <w:t>otorgó el</w:t>
      </w:r>
      <w:r w:rsidR="008A1ED5">
        <w:rPr>
          <w:rFonts w:ascii="Palatino Linotype" w:hAnsi="Palatino Linotype"/>
          <w:color w:val="000000"/>
        </w:rPr>
        <w:t xml:space="preserve"> nombramiento a la servidor público mencionada dentro de la </w:t>
      </w:r>
      <w:r w:rsidR="008F523C">
        <w:rPr>
          <w:rFonts w:ascii="Palatino Linotype" w:hAnsi="Palatino Linotype"/>
          <w:color w:val="000000"/>
        </w:rPr>
        <w:t>solicitud</w:t>
      </w:r>
      <w:r w:rsidR="008A1ED5">
        <w:rPr>
          <w:rFonts w:ascii="Palatino Linotype" w:hAnsi="Palatino Linotype"/>
          <w:color w:val="000000"/>
        </w:rPr>
        <w:t>.</w:t>
      </w:r>
    </w:p>
    <w:p w14:paraId="7AF67FF2" w14:textId="7B253B72" w:rsidR="00310899" w:rsidRDefault="00A34EA2" w:rsidP="001A715B">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Acto seguido, </w:t>
      </w:r>
      <w:r w:rsidR="00531097">
        <w:rPr>
          <w:rFonts w:ascii="Palatino Linotype" w:hAnsi="Palatino Linotype" w:cs="Arial"/>
        </w:rPr>
        <w:t>la</w:t>
      </w:r>
      <w:r w:rsidR="00416F64">
        <w:rPr>
          <w:rFonts w:ascii="Palatino Linotype" w:hAnsi="Palatino Linotype" w:cs="Arial"/>
        </w:rPr>
        <w:t xml:space="preserve"> ahora</w:t>
      </w:r>
      <w:r w:rsidRPr="00A34EA2">
        <w:rPr>
          <w:rFonts w:ascii="Palatino Linotype" w:hAnsi="Palatino Linotype" w:cs="Arial"/>
          <w:b/>
        </w:rPr>
        <w:t xml:space="preserve"> RECURRENTE</w:t>
      </w:r>
      <w:r>
        <w:rPr>
          <w:rFonts w:ascii="Palatino Linotype" w:hAnsi="Palatino Linotype" w:cs="Arial"/>
        </w:rPr>
        <w:t xml:space="preserve"> se inconformó de la respuesta proporcionada, por lo que procedió a interponer el recurso de revisión</w:t>
      </w:r>
      <w:r w:rsidR="00672C7B">
        <w:rPr>
          <w:rFonts w:ascii="Palatino Linotype" w:hAnsi="Palatino Linotype" w:cs="Arial"/>
        </w:rPr>
        <w:t xml:space="preserve"> en el que medularmente </w:t>
      </w:r>
      <w:r w:rsidR="008F523C">
        <w:rPr>
          <w:rFonts w:ascii="Palatino Linotype" w:hAnsi="Palatino Linotype" w:cs="Arial"/>
        </w:rPr>
        <w:t>se inconforma de que no se le entrega de manera certera la información solicitada</w:t>
      </w:r>
      <w:r w:rsidR="00672C7B">
        <w:rPr>
          <w:rFonts w:ascii="Palatino Linotype" w:hAnsi="Palatino Linotype" w:cs="Arial"/>
          <w:b/>
        </w:rPr>
        <w:t>.</w:t>
      </w:r>
    </w:p>
    <w:p w14:paraId="6C468265" w14:textId="51DE5544" w:rsidR="002C77BC" w:rsidRDefault="007C0FDA" w:rsidP="002C77BC">
      <w:pPr>
        <w:spacing w:before="100" w:beforeAutospacing="1" w:after="100" w:afterAutospacing="1" w:line="360" w:lineRule="auto"/>
        <w:jc w:val="both"/>
        <w:rPr>
          <w:rFonts w:ascii="Palatino Linotype" w:eastAsia="Calibri" w:hAnsi="Palatino Linotype" w:cs="Tahoma"/>
          <w:bCs/>
          <w:i/>
          <w:sz w:val="22"/>
          <w:szCs w:val="22"/>
          <w:lang w:val="es-ES_tradnl" w:eastAsia="en-US"/>
        </w:rPr>
      </w:pPr>
      <w:r w:rsidRPr="0086018C">
        <w:rPr>
          <w:rFonts w:ascii="Palatino Linotype" w:hAnsi="Palatino Linotype" w:cs="Arial"/>
        </w:rPr>
        <w:t xml:space="preserve">Así, </w:t>
      </w:r>
      <w:r w:rsidR="00B5072E" w:rsidRPr="0086018C">
        <w:rPr>
          <w:rFonts w:ascii="Palatino Linotype" w:hAnsi="Palatino Linotype" w:cs="Arial"/>
        </w:rPr>
        <w:t>de</w:t>
      </w:r>
      <w:r w:rsidRPr="0086018C">
        <w:rPr>
          <w:rFonts w:ascii="Palatino Linotype" w:hAnsi="Palatino Linotype" w:cs="Arial"/>
        </w:rPr>
        <w:t xml:space="preserve">l estudio </w:t>
      </w:r>
      <w:r w:rsidR="00B5072E" w:rsidRPr="0086018C">
        <w:rPr>
          <w:rFonts w:ascii="Palatino Linotype" w:hAnsi="Palatino Linotype" w:cs="Arial"/>
        </w:rPr>
        <w:t>d</w:t>
      </w:r>
      <w:r w:rsidR="00B5072E" w:rsidRPr="0086018C">
        <w:rPr>
          <w:rFonts w:ascii="Palatino Linotype" w:hAnsi="Palatino Linotype"/>
        </w:rPr>
        <w:t>el expediente electrónico del SAIMEX</w:t>
      </w:r>
      <w:r w:rsidRPr="0086018C">
        <w:rPr>
          <w:rFonts w:ascii="Palatino Linotype" w:hAnsi="Palatino Linotype" w:cs="Arial"/>
        </w:rPr>
        <w:t xml:space="preserve">, </w:t>
      </w:r>
      <w:r w:rsidR="0007653D" w:rsidRPr="0086018C">
        <w:rPr>
          <w:rFonts w:ascii="Palatino Linotype" w:hAnsi="Palatino Linotype" w:cs="Arial"/>
        </w:rPr>
        <w:t xml:space="preserve">la Ponencia </w:t>
      </w:r>
      <w:proofErr w:type="spellStart"/>
      <w:r w:rsidR="0007653D" w:rsidRPr="0086018C">
        <w:rPr>
          <w:rFonts w:ascii="Palatino Linotype" w:hAnsi="Palatino Linotype" w:cs="Arial"/>
        </w:rPr>
        <w:t>Resolut</w:t>
      </w:r>
      <w:r w:rsidR="00414E48" w:rsidRPr="0086018C">
        <w:rPr>
          <w:rFonts w:ascii="Palatino Linotype" w:hAnsi="Palatino Linotype" w:cs="Arial"/>
        </w:rPr>
        <w:t>o</w:t>
      </w:r>
      <w:r w:rsidR="0007653D" w:rsidRPr="0086018C">
        <w:rPr>
          <w:rFonts w:ascii="Palatino Linotype" w:hAnsi="Palatino Linotype" w:cs="Arial"/>
        </w:rPr>
        <w:t>ra</w:t>
      </w:r>
      <w:proofErr w:type="spellEnd"/>
      <w:r w:rsidR="0007653D" w:rsidRPr="0086018C">
        <w:rPr>
          <w:rFonts w:ascii="Palatino Linotype" w:hAnsi="Palatino Linotype" w:cs="Arial"/>
        </w:rPr>
        <w:t xml:space="preserve"> determinó</w:t>
      </w:r>
      <w:r w:rsidR="003743CA" w:rsidRPr="003743CA">
        <w:rPr>
          <w:rFonts w:ascii="Palatino Linotype" w:hAnsi="Palatino Linotype" w:cs="Arial"/>
          <w:b/>
        </w:rPr>
        <w:t xml:space="preserve"> </w:t>
      </w:r>
      <w:r w:rsidR="00EF3C26">
        <w:rPr>
          <w:rFonts w:ascii="Palatino Linotype" w:hAnsi="Palatino Linotype" w:cs="Arial"/>
          <w:b/>
        </w:rPr>
        <w:t>MODIFICAR</w:t>
      </w:r>
      <w:r w:rsidR="003743CA" w:rsidRPr="003743CA">
        <w:rPr>
          <w:rFonts w:ascii="Palatino Linotype" w:hAnsi="Palatino Linotype" w:cs="Arial"/>
          <w:b/>
        </w:rPr>
        <w:t xml:space="preserve"> </w:t>
      </w:r>
      <w:r w:rsidR="00EF3C26">
        <w:rPr>
          <w:rFonts w:ascii="Palatino Linotype" w:hAnsi="Palatino Linotype" w:cs="Arial"/>
        </w:rPr>
        <w:t>la respuesta del</w:t>
      </w:r>
      <w:r w:rsidR="00470EE1">
        <w:rPr>
          <w:rFonts w:ascii="Palatino Linotype" w:hAnsi="Palatino Linotype" w:cs="Arial"/>
        </w:rPr>
        <w:t xml:space="preserve"> </w:t>
      </w:r>
      <w:r w:rsidR="00470EE1" w:rsidRPr="00470EE1">
        <w:rPr>
          <w:rFonts w:ascii="Palatino Linotype" w:hAnsi="Palatino Linotype" w:cs="Arial"/>
          <w:b/>
        </w:rPr>
        <w:t>SUJETO OBLIGADO</w:t>
      </w:r>
      <w:r w:rsidR="00672C7B">
        <w:rPr>
          <w:rFonts w:ascii="Palatino Linotype" w:hAnsi="Palatino Linotype" w:cs="Arial"/>
        </w:rPr>
        <w:t xml:space="preserve"> </w:t>
      </w:r>
      <w:r w:rsidR="00EF3C26">
        <w:rPr>
          <w:rFonts w:ascii="Palatino Linotype" w:hAnsi="Palatino Linotype" w:cs="Arial"/>
        </w:rPr>
        <w:t xml:space="preserve">ordenándole hiciera </w:t>
      </w:r>
      <w:r w:rsidR="00003D39">
        <w:rPr>
          <w:rFonts w:ascii="Palatino Linotype" w:hAnsi="Palatino Linotype" w:cs="Arial"/>
        </w:rPr>
        <w:t xml:space="preserve">entrega a </w:t>
      </w:r>
      <w:r w:rsidR="00003D39" w:rsidRPr="00003D39">
        <w:rPr>
          <w:rFonts w:ascii="Palatino Linotype" w:hAnsi="Palatino Linotype" w:cs="Arial"/>
          <w:b/>
        </w:rPr>
        <w:t>LA RECURRENTE</w:t>
      </w:r>
      <w:r w:rsidR="00EF3C26" w:rsidRPr="006A7471">
        <w:rPr>
          <w:rFonts w:ascii="Palatino Linotype" w:hAnsi="Palatino Linotype" w:cs="Arial"/>
        </w:rPr>
        <w:t xml:space="preserve"> en términos del Considerando Cuarto de la presente resolución previa búsqueda exhaustiva y razonable, </w:t>
      </w:r>
      <w:r w:rsidR="00EF3C26" w:rsidRPr="004C369A">
        <w:rPr>
          <w:rFonts w:ascii="Palatino Linotype" w:hAnsi="Palatino Linotype" w:cs="Arial"/>
          <w:bCs/>
        </w:rPr>
        <w:t xml:space="preserve">de ser procedente en versión pública, a través del </w:t>
      </w:r>
      <w:r w:rsidR="00EF3C26" w:rsidRPr="004C369A">
        <w:rPr>
          <w:rFonts w:ascii="Palatino Linotype" w:hAnsi="Palatino Linotype" w:cs="Arial"/>
          <w:b/>
          <w:bCs/>
        </w:rPr>
        <w:t>SAIMEX</w:t>
      </w:r>
      <w:r w:rsidR="00EF3C26" w:rsidRPr="006A7471">
        <w:rPr>
          <w:rFonts w:ascii="Palatino Linotype" w:hAnsi="Palatino Linotype" w:cs="Arial"/>
        </w:rPr>
        <w:t>, de lo siguiente:</w:t>
      </w:r>
      <w:r w:rsidR="002C77BC" w:rsidRPr="0071059B">
        <w:rPr>
          <w:rFonts w:ascii="Palatino Linotype" w:eastAsia="Calibri" w:hAnsi="Palatino Linotype" w:cs="Tahoma"/>
          <w:bCs/>
          <w:i/>
          <w:sz w:val="22"/>
          <w:szCs w:val="22"/>
          <w:lang w:val="es-ES_tradnl" w:eastAsia="en-US"/>
        </w:rPr>
        <w:t xml:space="preserve"> </w:t>
      </w:r>
    </w:p>
    <w:p w14:paraId="4A625676" w14:textId="77777777" w:rsidR="00EF3C26" w:rsidRPr="00EF3C26" w:rsidRDefault="00EF3C26" w:rsidP="00EF3C26">
      <w:pPr>
        <w:spacing w:before="100" w:beforeAutospacing="1" w:after="100" w:afterAutospacing="1"/>
        <w:ind w:left="851" w:right="757"/>
        <w:jc w:val="both"/>
        <w:rPr>
          <w:rFonts w:ascii="Palatino Linotype" w:eastAsia="Calibri" w:hAnsi="Palatino Linotype" w:cs="Tahoma"/>
          <w:bCs/>
          <w:i/>
          <w:sz w:val="22"/>
          <w:szCs w:val="22"/>
          <w:lang w:val="es-ES_tradnl" w:eastAsia="en-US"/>
        </w:rPr>
      </w:pPr>
      <w:r w:rsidRPr="00EF3C26">
        <w:rPr>
          <w:rFonts w:ascii="Palatino Linotype" w:eastAsia="Calibri" w:hAnsi="Palatino Linotype" w:cs="Tahoma"/>
          <w:bCs/>
          <w:i/>
          <w:sz w:val="22"/>
          <w:szCs w:val="22"/>
          <w:lang w:val="es-ES_tradnl" w:eastAsia="en-US"/>
        </w:rPr>
        <w:t>1.</w:t>
      </w:r>
      <w:r w:rsidRPr="00EF3C26">
        <w:rPr>
          <w:rFonts w:ascii="Palatino Linotype" w:eastAsia="Calibri" w:hAnsi="Palatino Linotype" w:cs="Tahoma"/>
          <w:bCs/>
          <w:i/>
          <w:sz w:val="22"/>
          <w:szCs w:val="22"/>
          <w:lang w:val="es-ES_tradnl" w:eastAsia="en-US"/>
        </w:rPr>
        <w:tab/>
        <w:t>Acta de entrega – recepción de la persona señalada en la solicitud de información.</w:t>
      </w:r>
    </w:p>
    <w:p w14:paraId="77B91C46" w14:textId="77777777" w:rsidR="00EF3C26" w:rsidRDefault="00EF3C26" w:rsidP="00EF3C26">
      <w:pPr>
        <w:spacing w:before="100" w:beforeAutospacing="1" w:after="100" w:afterAutospacing="1"/>
        <w:ind w:left="851" w:right="757"/>
        <w:jc w:val="both"/>
        <w:rPr>
          <w:rFonts w:ascii="Palatino Linotype" w:eastAsia="Calibri" w:hAnsi="Palatino Linotype" w:cs="Tahoma"/>
          <w:bCs/>
          <w:i/>
          <w:sz w:val="22"/>
          <w:szCs w:val="22"/>
          <w:lang w:val="es-ES_tradnl" w:eastAsia="en-US"/>
        </w:rPr>
      </w:pPr>
      <w:r w:rsidRPr="00EF3C26">
        <w:rPr>
          <w:rFonts w:ascii="Palatino Linotype" w:eastAsia="Calibri" w:hAnsi="Palatino Linotype" w:cs="Tahoma"/>
          <w:bCs/>
          <w:i/>
          <w:sz w:val="22"/>
          <w:szCs w:val="22"/>
          <w:lang w:val="es-ES_tradnl" w:eastAsia="en-US"/>
        </w:rPr>
        <w:t>2.</w:t>
      </w:r>
      <w:r w:rsidRPr="00EF3C26">
        <w:rPr>
          <w:rFonts w:ascii="Palatino Linotype" w:eastAsia="Calibri" w:hAnsi="Palatino Linotype" w:cs="Tahoma"/>
          <w:bCs/>
          <w:i/>
          <w:sz w:val="22"/>
          <w:szCs w:val="22"/>
          <w:lang w:val="es-ES_tradnl" w:eastAsia="en-US"/>
        </w:rPr>
        <w:tab/>
      </w:r>
      <w:r w:rsidRPr="0029198A">
        <w:rPr>
          <w:rFonts w:ascii="Palatino Linotype" w:eastAsia="Calibri" w:hAnsi="Palatino Linotype" w:cs="Tahoma"/>
          <w:b/>
          <w:bCs/>
          <w:i/>
          <w:sz w:val="22"/>
          <w:szCs w:val="22"/>
          <w:lang w:val="es-ES_tradnl" w:eastAsia="en-US"/>
        </w:rPr>
        <w:t>Título Profesional de la persona señalada en la solicitud de información</w:t>
      </w:r>
    </w:p>
    <w:p w14:paraId="3212BA4B" w14:textId="4705088C" w:rsidR="00EF3C26" w:rsidRPr="00EF3C26" w:rsidRDefault="00EF3C26" w:rsidP="00EF3C26">
      <w:pPr>
        <w:spacing w:before="100" w:beforeAutospacing="1" w:after="100" w:afterAutospacing="1"/>
        <w:ind w:left="851" w:right="757"/>
        <w:jc w:val="both"/>
        <w:rPr>
          <w:rFonts w:ascii="Palatino Linotype" w:hAnsi="Palatino Linotype" w:cs="Arial"/>
          <w:i/>
          <w:sz w:val="22"/>
          <w:szCs w:val="22"/>
        </w:rPr>
      </w:pPr>
      <w:r w:rsidRPr="00EF3C26">
        <w:rPr>
          <w:rFonts w:ascii="Palatino Linotype" w:hAnsi="Palatino Linotype" w:cs="Arial"/>
          <w:i/>
          <w:sz w:val="22"/>
          <w:szCs w:val="22"/>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w:t>
      </w:r>
      <w:r w:rsidRPr="00EF3C26">
        <w:rPr>
          <w:rFonts w:ascii="Palatino Linotype" w:hAnsi="Palatino Linotype" w:cs="Arial"/>
          <w:i/>
          <w:sz w:val="22"/>
          <w:szCs w:val="22"/>
        </w:rPr>
        <w:lastRenderedPageBreak/>
        <w:t>Estado de México y Municipios, en el que funde y motive las razones sobre los datos que se supriman o eliminen dentro del soporte documental respectivo objeto de las versiones públicas que se formulen y se pong</w:t>
      </w:r>
      <w:r>
        <w:rPr>
          <w:rFonts w:ascii="Palatino Linotype" w:hAnsi="Palatino Linotype" w:cs="Arial"/>
          <w:i/>
          <w:sz w:val="22"/>
          <w:szCs w:val="22"/>
        </w:rPr>
        <w:t>a a disposición del recurrente.</w:t>
      </w:r>
    </w:p>
    <w:p w14:paraId="7206EDF5" w14:textId="4FC41925" w:rsidR="00A02B98" w:rsidRPr="00FB1DF3" w:rsidRDefault="00EF3C26" w:rsidP="009F0F43">
      <w:pPr>
        <w:spacing w:before="100" w:beforeAutospacing="1" w:after="100" w:afterAutospacing="1"/>
        <w:ind w:left="851" w:right="757"/>
        <w:jc w:val="both"/>
        <w:rPr>
          <w:rFonts w:ascii="Palatino Linotype" w:hAnsi="Palatino Linotype" w:cs="Arial"/>
          <w:i/>
          <w:sz w:val="22"/>
          <w:szCs w:val="22"/>
        </w:rPr>
      </w:pPr>
      <w:r w:rsidRPr="00EF3C26">
        <w:rPr>
          <w:rFonts w:ascii="Palatino Linotype" w:hAnsi="Palatino Linotype" w:cs="Arial"/>
          <w:i/>
          <w:sz w:val="22"/>
          <w:szCs w:val="22"/>
        </w:rPr>
        <w:t>Para el caso de que no se cuente con la información solicitada en el punto 2, por no ser un requisito para ocupar el cargo, bastará con que el sujeto obligado se pronuncie al respecto.</w:t>
      </w:r>
      <w:r w:rsidR="00FB1DF3">
        <w:rPr>
          <w:rFonts w:ascii="Palatino Linotype" w:eastAsia="Calibri" w:hAnsi="Palatino Linotype" w:cs="Tahoma"/>
          <w:bCs/>
          <w:i/>
          <w:sz w:val="22"/>
          <w:szCs w:val="22"/>
          <w:lang w:val="es-ES_tradnl" w:eastAsia="en-US"/>
        </w:rPr>
        <w:t>” (Sic.)</w:t>
      </w:r>
    </w:p>
    <w:p w14:paraId="39014C19" w14:textId="1E472096" w:rsidR="00FB1DF3" w:rsidRDefault="00EF3C26" w:rsidP="009038F2">
      <w:pPr>
        <w:spacing w:before="100" w:beforeAutospacing="1" w:after="100" w:afterAutospacing="1" w:line="360" w:lineRule="auto"/>
        <w:jc w:val="both"/>
        <w:rPr>
          <w:rFonts w:ascii="Palatino Linotype" w:hAnsi="Palatino Linotype"/>
        </w:rPr>
      </w:pPr>
      <w:r>
        <w:rPr>
          <w:rFonts w:ascii="Palatino Linotype" w:hAnsi="Palatino Linotype"/>
        </w:rPr>
        <w:t>De lo anterior, se desprende de la solicitud de información formulada por la particular</w:t>
      </w:r>
      <w:r w:rsidR="00FB1DF3">
        <w:rPr>
          <w:rFonts w:ascii="Palatino Linotype" w:hAnsi="Palatino Linotype"/>
        </w:rPr>
        <w:t xml:space="preserve"> </w:t>
      </w:r>
      <w:r w:rsidR="0029198A">
        <w:rPr>
          <w:rFonts w:ascii="Palatino Linotype" w:hAnsi="Palatino Linotype"/>
        </w:rPr>
        <w:t>que lo requerido fue de man</w:t>
      </w:r>
      <w:r w:rsidR="00003D39">
        <w:rPr>
          <w:rFonts w:ascii="Palatino Linotype" w:hAnsi="Palatino Linotype"/>
        </w:rPr>
        <w:t>era clara y precisa lo que se muestra a continuación</w:t>
      </w:r>
      <w:r w:rsidR="0029198A">
        <w:rPr>
          <w:rFonts w:ascii="Palatino Linotype" w:hAnsi="Palatino Linotype"/>
        </w:rPr>
        <w:t>:</w:t>
      </w:r>
    </w:p>
    <w:p w14:paraId="26FE07BA" w14:textId="0AD7597E" w:rsidR="0029198A" w:rsidRPr="0029198A" w:rsidRDefault="0029198A" w:rsidP="0029198A">
      <w:pPr>
        <w:pStyle w:val="Prrafodelista"/>
        <w:numPr>
          <w:ilvl w:val="0"/>
          <w:numId w:val="20"/>
        </w:numPr>
        <w:spacing w:line="360" w:lineRule="auto"/>
        <w:ind w:left="567" w:right="757"/>
        <w:jc w:val="both"/>
        <w:rPr>
          <w:rFonts w:ascii="Palatino Linotype" w:hAnsi="Palatino Linotype"/>
        </w:rPr>
      </w:pPr>
      <w:r w:rsidRPr="0029198A">
        <w:rPr>
          <w:rFonts w:ascii="Palatino Linotype" w:hAnsi="Palatino Linotype"/>
        </w:rPr>
        <w:t>Nombramiento de la C. Verónica Iturbe Huerta,</w:t>
      </w:r>
    </w:p>
    <w:p w14:paraId="7A7B2FCD" w14:textId="7ED0E8D7" w:rsidR="0029198A" w:rsidRPr="0029198A" w:rsidRDefault="0029198A" w:rsidP="0029198A">
      <w:pPr>
        <w:pStyle w:val="Prrafodelista"/>
        <w:numPr>
          <w:ilvl w:val="0"/>
          <w:numId w:val="20"/>
        </w:numPr>
        <w:spacing w:line="360" w:lineRule="auto"/>
        <w:ind w:left="567" w:right="757"/>
        <w:jc w:val="both"/>
        <w:rPr>
          <w:rFonts w:ascii="Palatino Linotype" w:hAnsi="Palatino Linotype"/>
        </w:rPr>
      </w:pPr>
      <w:r w:rsidRPr="0029198A">
        <w:rPr>
          <w:rFonts w:ascii="Palatino Linotype" w:hAnsi="Palatino Linotype"/>
        </w:rPr>
        <w:t xml:space="preserve">Áreas que recibió en dicho nombramiento, </w:t>
      </w:r>
    </w:p>
    <w:p w14:paraId="62E5C561" w14:textId="59BD5938" w:rsidR="0029198A" w:rsidRPr="0029198A" w:rsidRDefault="0029198A" w:rsidP="0029198A">
      <w:pPr>
        <w:pStyle w:val="Prrafodelista"/>
        <w:numPr>
          <w:ilvl w:val="0"/>
          <w:numId w:val="20"/>
        </w:numPr>
        <w:spacing w:line="360" w:lineRule="auto"/>
        <w:ind w:left="567" w:right="757"/>
        <w:jc w:val="both"/>
        <w:rPr>
          <w:rFonts w:ascii="Palatino Linotype" w:hAnsi="Palatino Linotype"/>
        </w:rPr>
      </w:pPr>
      <w:r w:rsidRPr="0029198A">
        <w:rPr>
          <w:rFonts w:ascii="Palatino Linotype" w:hAnsi="Palatino Linotype"/>
        </w:rPr>
        <w:t xml:space="preserve">Entrega de recepción que realizó de dichas áreas completa, así como la </w:t>
      </w:r>
    </w:p>
    <w:p w14:paraId="23D20876" w14:textId="2B8EB923" w:rsidR="0029198A" w:rsidRPr="0029198A" w:rsidRDefault="0029198A" w:rsidP="0029198A">
      <w:pPr>
        <w:pStyle w:val="Prrafodelista"/>
        <w:numPr>
          <w:ilvl w:val="0"/>
          <w:numId w:val="20"/>
        </w:numPr>
        <w:spacing w:line="360" w:lineRule="auto"/>
        <w:ind w:left="567" w:right="757"/>
        <w:jc w:val="both"/>
        <w:rPr>
          <w:rFonts w:ascii="Palatino Linotype" w:hAnsi="Palatino Linotype"/>
        </w:rPr>
      </w:pPr>
      <w:r w:rsidRPr="0029198A">
        <w:rPr>
          <w:rFonts w:ascii="Palatino Linotype" w:hAnsi="Palatino Linotype"/>
        </w:rPr>
        <w:t>Competencia laboral de haber ocupado un área que lo haya requerido conforme lo marca la Ley en la materia</w:t>
      </w:r>
    </w:p>
    <w:p w14:paraId="63AFA043" w14:textId="4C409FBA" w:rsidR="0029198A" w:rsidRPr="0029198A" w:rsidRDefault="0029198A" w:rsidP="0029198A">
      <w:pPr>
        <w:pStyle w:val="Prrafodelista"/>
        <w:numPr>
          <w:ilvl w:val="0"/>
          <w:numId w:val="20"/>
        </w:numPr>
        <w:spacing w:before="100" w:beforeAutospacing="1" w:after="100" w:afterAutospacing="1" w:line="360" w:lineRule="auto"/>
        <w:ind w:left="567" w:right="757"/>
        <w:jc w:val="both"/>
        <w:rPr>
          <w:rFonts w:ascii="Palatino Linotype" w:hAnsi="Palatino Linotype"/>
        </w:rPr>
      </w:pPr>
      <w:r w:rsidRPr="0029198A">
        <w:rPr>
          <w:rFonts w:ascii="Palatino Linotype" w:hAnsi="Palatino Linotype"/>
        </w:rPr>
        <w:t>Junta de Gobierno en que se otorgó el nombramiento con las áreas que recibió.</w:t>
      </w:r>
    </w:p>
    <w:p w14:paraId="4F083483" w14:textId="2B9B32A9" w:rsidR="00FB1DF3" w:rsidRPr="00FB1DF3" w:rsidRDefault="00FB1DF3" w:rsidP="009038F2">
      <w:pPr>
        <w:spacing w:before="100" w:beforeAutospacing="1" w:after="100" w:afterAutospacing="1" w:line="360" w:lineRule="auto"/>
        <w:jc w:val="both"/>
        <w:rPr>
          <w:rFonts w:ascii="Palatino Linotype" w:hAnsi="Palatino Linotype"/>
        </w:rPr>
      </w:pPr>
      <w:r>
        <w:rPr>
          <w:rFonts w:ascii="Palatino Linotype" w:hAnsi="Palatino Linotype"/>
        </w:rPr>
        <w:t xml:space="preserve">Es así, </w:t>
      </w:r>
      <w:r w:rsidR="0029198A">
        <w:rPr>
          <w:rFonts w:ascii="Palatino Linotype" w:hAnsi="Palatino Linotype"/>
        </w:rPr>
        <w:t>que la que suscribe no coincide con que se haya ordenado como punto 2 dentro del resolutivo SEGUNDO, toda vez que no se</w:t>
      </w:r>
      <w:r w:rsidR="009D082E">
        <w:rPr>
          <w:rFonts w:ascii="Palatino Linotype" w:hAnsi="Palatino Linotype"/>
        </w:rPr>
        <w:t xml:space="preserve"> observa</w:t>
      </w:r>
      <w:r w:rsidR="0029198A">
        <w:rPr>
          <w:rFonts w:ascii="Palatino Linotype" w:hAnsi="Palatino Linotype"/>
        </w:rPr>
        <w:t xml:space="preserve"> que la particular haya solicitado el título profesional de la servidor público</w:t>
      </w:r>
      <w:r w:rsidR="0032742C">
        <w:rPr>
          <w:rFonts w:ascii="Palatino Linotype" w:hAnsi="Palatino Linotype"/>
        </w:rPr>
        <w:t xml:space="preserve">, aun y cuando la Ponencia </w:t>
      </w:r>
      <w:proofErr w:type="spellStart"/>
      <w:r w:rsidR="0032742C">
        <w:rPr>
          <w:rFonts w:ascii="Palatino Linotype" w:hAnsi="Palatino Linotype"/>
        </w:rPr>
        <w:t>Resolutora</w:t>
      </w:r>
      <w:proofErr w:type="spellEnd"/>
      <w:r w:rsidR="0032742C">
        <w:rPr>
          <w:rFonts w:ascii="Palatino Linotype" w:hAnsi="Palatino Linotype"/>
        </w:rPr>
        <w:t xml:space="preserve"> realizó el estudio </w:t>
      </w:r>
      <w:r w:rsidR="009D082E">
        <w:rPr>
          <w:rFonts w:ascii="Palatino Linotype" w:hAnsi="Palatino Linotype"/>
        </w:rPr>
        <w:t xml:space="preserve">encaminado a la obligatoriedad de contar con título profesional para desempeñar el cargo, no se advierte el motivo o razón por el cual </w:t>
      </w:r>
      <w:r w:rsidR="009D082E" w:rsidRPr="009D082E">
        <w:rPr>
          <w:rFonts w:ascii="Palatino Linotype" w:hAnsi="Palatino Linotype"/>
          <w:b/>
        </w:rPr>
        <w:t>EL SUJETO OBLIGADO</w:t>
      </w:r>
      <w:r w:rsidR="009D082E">
        <w:rPr>
          <w:rFonts w:ascii="Palatino Linotype" w:hAnsi="Palatino Linotype"/>
        </w:rPr>
        <w:t xml:space="preserve"> tenga que hacer entrega de dicho documento</w:t>
      </w:r>
      <w:r w:rsidR="0089758E">
        <w:rPr>
          <w:rFonts w:ascii="Palatino Linotype" w:hAnsi="Palatino Linotype"/>
        </w:rPr>
        <w:t>.</w:t>
      </w:r>
    </w:p>
    <w:p w14:paraId="7157A509" w14:textId="5D159F9B" w:rsidR="0089758E" w:rsidRDefault="00A02B98" w:rsidP="009D082E">
      <w:pPr>
        <w:spacing w:before="100" w:beforeAutospacing="1" w:after="100" w:afterAutospacing="1" w:line="360" w:lineRule="auto"/>
        <w:jc w:val="both"/>
      </w:pPr>
      <w:r>
        <w:rPr>
          <w:rFonts w:ascii="Palatino Linotype" w:hAnsi="Palatino Linotype"/>
        </w:rPr>
        <w:t xml:space="preserve">Es por lo anterior, que no </w:t>
      </w:r>
      <w:r w:rsidR="009D082E">
        <w:rPr>
          <w:rFonts w:ascii="Palatino Linotype" w:hAnsi="Palatino Linotype"/>
        </w:rPr>
        <w:t xml:space="preserve">se debe perder de contexto dentro de las resoluciones emitidas los principios por los cuales se deben basar, entre los cuales podemos </w:t>
      </w:r>
      <w:r w:rsidR="00003D39">
        <w:rPr>
          <w:rFonts w:ascii="Palatino Linotype" w:hAnsi="Palatino Linotype"/>
        </w:rPr>
        <w:t>encontrar los</w:t>
      </w:r>
      <w:r w:rsidR="009D082E">
        <w:rPr>
          <w:rFonts w:ascii="Palatino Linotype" w:hAnsi="Palatino Linotype"/>
        </w:rPr>
        <w:t xml:space="preserve"> de congruencia</w:t>
      </w:r>
      <w:r w:rsidR="00003D39">
        <w:rPr>
          <w:rFonts w:ascii="Palatino Linotype" w:hAnsi="Palatino Linotype"/>
        </w:rPr>
        <w:t xml:space="preserve"> y exhaustividad</w:t>
      </w:r>
      <w:r w:rsidR="009D082E">
        <w:rPr>
          <w:rFonts w:ascii="Palatino Linotype" w:hAnsi="Palatino Linotype"/>
        </w:rPr>
        <w:t xml:space="preserve"> mismo</w:t>
      </w:r>
      <w:r w:rsidR="00003D39">
        <w:rPr>
          <w:rFonts w:ascii="Palatino Linotype" w:hAnsi="Palatino Linotype"/>
        </w:rPr>
        <w:t>s</w:t>
      </w:r>
      <w:r w:rsidR="009D082E">
        <w:rPr>
          <w:rFonts w:ascii="Palatino Linotype" w:hAnsi="Palatino Linotype"/>
        </w:rPr>
        <w:t xml:space="preserve"> que medularmente consiste</w:t>
      </w:r>
      <w:r w:rsidR="00003D39">
        <w:rPr>
          <w:rFonts w:ascii="Palatino Linotype" w:hAnsi="Palatino Linotype"/>
        </w:rPr>
        <w:t>n</w:t>
      </w:r>
      <w:r w:rsidR="009D082E">
        <w:rPr>
          <w:rFonts w:ascii="Palatino Linotype" w:hAnsi="Palatino Linotype"/>
        </w:rPr>
        <w:t xml:space="preserve"> en tratar dentro de la resolución únicamente los puntos controvert</w:t>
      </w:r>
      <w:r w:rsidR="00003D39">
        <w:rPr>
          <w:rFonts w:ascii="Palatino Linotype" w:hAnsi="Palatino Linotype"/>
        </w:rPr>
        <w:t>idos en relación con la información solicitada.</w:t>
      </w:r>
    </w:p>
    <w:p w14:paraId="4A6340E1" w14:textId="77777777" w:rsidR="0089758E" w:rsidRPr="00CB3EA9" w:rsidRDefault="0089758E" w:rsidP="0089758E">
      <w:pPr>
        <w:spacing w:before="100" w:beforeAutospacing="1" w:after="100" w:afterAutospacing="1" w:line="360" w:lineRule="auto"/>
        <w:jc w:val="both"/>
        <w:rPr>
          <w:rFonts w:ascii="Palatino Linotype" w:hAnsi="Palatino Linotype" w:cs="Arial"/>
        </w:rPr>
      </w:pPr>
      <w:r w:rsidRPr="00CB3EA9">
        <w:rPr>
          <w:rFonts w:ascii="Palatino Linotype" w:hAnsi="Palatino Linotype"/>
        </w:rPr>
        <w:t xml:space="preserve">A fin de robustecer lo expuesto, conviene citar </w:t>
      </w:r>
      <w:r w:rsidRPr="00CB3EA9">
        <w:rPr>
          <w:rFonts w:ascii="Palatino Linotype" w:hAnsi="Palatino Linotype" w:cs="Segoe UI"/>
        </w:rPr>
        <w:t xml:space="preserve">el criterio orientador </w:t>
      </w:r>
      <w:r w:rsidRPr="00CB3EA9">
        <w:rPr>
          <w:rFonts w:ascii="Palatino Linotype" w:hAnsi="Palatino Linotype"/>
          <w:lang w:eastAsia="es-MX"/>
        </w:rPr>
        <w:t>002/2017 del Instituto Nacional de Acceso a la Información y Protección de Datos (INAI),</w:t>
      </w:r>
      <w:r w:rsidRPr="00CB3EA9">
        <w:rPr>
          <w:rFonts w:ascii="Palatino Linotype" w:hAnsi="Palatino Linotype" w:cs="Arial"/>
        </w:rPr>
        <w:t xml:space="preserve"> cuyo tenor es el siguiente:</w:t>
      </w:r>
    </w:p>
    <w:p w14:paraId="5CBCE642" w14:textId="77777777" w:rsidR="0089758E" w:rsidRPr="00003D39" w:rsidRDefault="0089758E" w:rsidP="0089758E">
      <w:pPr>
        <w:spacing w:before="100" w:beforeAutospacing="1" w:after="100" w:afterAutospacing="1"/>
        <w:ind w:left="851" w:right="899"/>
        <w:jc w:val="both"/>
        <w:rPr>
          <w:rFonts w:ascii="Palatino Linotype" w:hAnsi="Palatino Linotype" w:cs="Arial"/>
          <w:b/>
          <w:bCs/>
          <w:i/>
          <w:sz w:val="22"/>
          <w:szCs w:val="22"/>
        </w:rPr>
      </w:pPr>
      <w:r w:rsidRPr="00003D39">
        <w:rPr>
          <w:rFonts w:ascii="Palatino Linotype" w:hAnsi="Palatino Linotype" w:cs="Arial"/>
          <w:b/>
          <w:bCs/>
          <w:i/>
          <w:sz w:val="22"/>
          <w:szCs w:val="22"/>
        </w:rPr>
        <w:t>“Congruencia y exhaustividad.</w:t>
      </w:r>
      <w:r w:rsidRPr="00003D39">
        <w:rPr>
          <w:rFonts w:ascii="Palatino Linotype" w:hAnsi="Palatino Linotype" w:cs="Arial"/>
          <w:bCs/>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03D39">
        <w:rPr>
          <w:rFonts w:ascii="Palatino Linotype" w:hAnsi="Palatino Linotype" w:cs="Arial"/>
          <w:b/>
          <w:bCs/>
          <w:i/>
          <w:sz w:val="22"/>
          <w:szCs w:val="22"/>
        </w:rPr>
        <w:t>la congruencia implica que exista concordancia entre el requerimiento formulado por el particular y la respuesta proporcionada por el sujeto obligado;</w:t>
      </w:r>
      <w:r w:rsidRPr="00003D39">
        <w:rPr>
          <w:rFonts w:ascii="Palatino Linotype" w:hAnsi="Palatino Linotype" w:cs="Arial"/>
          <w:bCs/>
          <w:i/>
          <w:sz w:val="22"/>
          <w:szCs w:val="22"/>
        </w:rPr>
        <w:t xml:space="preserve"> mientras que </w:t>
      </w:r>
      <w:r w:rsidRPr="00003D39">
        <w:rPr>
          <w:rFonts w:ascii="Palatino Linotype" w:hAnsi="Palatino Linotype" w:cs="Arial"/>
          <w:b/>
          <w:bCs/>
          <w:i/>
          <w:sz w:val="22"/>
          <w:szCs w:val="22"/>
        </w:rPr>
        <w:t xml:space="preserve">la exhaustividad significa que dicha respuesta se refiera expresamente a cada uno de los puntos solicitados. </w:t>
      </w:r>
      <w:r w:rsidRPr="00003D39">
        <w:rPr>
          <w:rFonts w:ascii="Palatino Linotype" w:hAnsi="Palatino Linotype" w:cs="Arial"/>
          <w:bCs/>
          <w:i/>
          <w:sz w:val="22"/>
          <w:szCs w:val="22"/>
        </w:rPr>
        <w:t xml:space="preserve">Por lo anterior, los sujetos obligados cumplirán con los principios de congruencia y exhaustividad, </w:t>
      </w:r>
      <w:r w:rsidRPr="00003D39">
        <w:rPr>
          <w:rFonts w:ascii="Palatino Linotype" w:hAnsi="Palatino Linotype" w:cs="Arial"/>
          <w:b/>
          <w:bCs/>
          <w:i/>
          <w:sz w:val="22"/>
          <w:szCs w:val="22"/>
        </w:rPr>
        <w:t>cuando las respuestas que emitan guarden una relación lógica con lo solicitado y atiendan de manera puntual y expresa, cada uno de los contenidos de información.</w:t>
      </w:r>
    </w:p>
    <w:p w14:paraId="76FAD7EB" w14:textId="55DA48BE" w:rsidR="0089758E" w:rsidRDefault="0089758E" w:rsidP="0089758E">
      <w:pPr>
        <w:spacing w:before="100" w:beforeAutospacing="1" w:after="100" w:afterAutospacing="1"/>
        <w:ind w:left="851" w:right="899"/>
        <w:jc w:val="both"/>
        <w:rPr>
          <w:rFonts w:ascii="Palatino Linotype" w:hAnsi="Palatino Linotype" w:cs="Arial"/>
          <w:b/>
          <w:bCs/>
          <w:i/>
          <w:sz w:val="22"/>
          <w:szCs w:val="22"/>
        </w:rPr>
      </w:pPr>
      <w:r w:rsidRPr="00003D39">
        <w:rPr>
          <w:rFonts w:ascii="Palatino Linotype" w:hAnsi="Palatino Linotype" w:cs="Arial"/>
          <w:bCs/>
          <w:i/>
          <w:sz w:val="22"/>
          <w:szCs w:val="22"/>
        </w:rPr>
        <w:t xml:space="preserve">Resoluciones: </w:t>
      </w:r>
      <w:r w:rsidRPr="00003D39">
        <w:rPr>
          <w:rFonts w:ascii="Palatino Linotype" w:hAnsi="Palatino Linotype" w:cs="Arial"/>
          <w:bCs/>
          <w:i/>
          <w:sz w:val="22"/>
          <w:szCs w:val="22"/>
        </w:rPr>
        <w:sym w:font="Symbol" w:char="F0B7"/>
      </w:r>
      <w:r w:rsidRPr="00003D39">
        <w:rPr>
          <w:rFonts w:ascii="Palatino Linotype" w:hAnsi="Palatino Linotype" w:cs="Arial"/>
          <w:bCs/>
          <w:i/>
          <w:sz w:val="22"/>
          <w:szCs w:val="22"/>
        </w:rPr>
        <w:t xml:space="preserve"> RRA 0003/16. Comisión Nacional de las Zonas Áridas. 29 de junio de 2016. Por unanimidad. Comisionado Ponente Oscar Mauricio Guerra Ford. </w:t>
      </w:r>
      <w:r w:rsidRPr="00003D39">
        <w:rPr>
          <w:rFonts w:ascii="Palatino Linotype" w:hAnsi="Palatino Linotype" w:cs="Arial"/>
          <w:bCs/>
          <w:i/>
          <w:sz w:val="22"/>
          <w:szCs w:val="22"/>
        </w:rPr>
        <w:sym w:font="Symbol" w:char="F0B7"/>
      </w:r>
      <w:r w:rsidRPr="00003D39">
        <w:rPr>
          <w:rFonts w:ascii="Palatino Linotype" w:hAnsi="Palatino Linotype" w:cs="Arial"/>
          <w:bCs/>
          <w:i/>
          <w:sz w:val="22"/>
          <w:szCs w:val="22"/>
        </w:rPr>
        <w:t xml:space="preserve"> RRA 0100/16. Sindicato Nacional de Trabajadores de la Educación. 13 de julio de 2016. Por unanimidad. Comisionada Ponente. Areli Cano Guadiana. </w:t>
      </w:r>
      <w:r w:rsidRPr="00003D39">
        <w:rPr>
          <w:rFonts w:ascii="Palatino Linotype" w:hAnsi="Palatino Linotype" w:cs="Arial"/>
          <w:bCs/>
          <w:i/>
          <w:sz w:val="22"/>
          <w:szCs w:val="22"/>
        </w:rPr>
        <w:sym w:font="Symbol" w:char="F0B7"/>
      </w:r>
      <w:r w:rsidRPr="00003D39">
        <w:rPr>
          <w:rFonts w:ascii="Palatino Linotype" w:hAnsi="Palatino Linotype" w:cs="Arial"/>
          <w:bCs/>
          <w:i/>
          <w:sz w:val="22"/>
          <w:szCs w:val="22"/>
        </w:rPr>
        <w:t xml:space="preserve"> RRA 1419/16. Secretaría de Educación Pública. 14 de septiembre de 2016. Por unanimidad. Comisionado Ponente </w:t>
      </w:r>
      <w:proofErr w:type="spellStart"/>
      <w:r w:rsidRPr="00003D39">
        <w:rPr>
          <w:rFonts w:ascii="Palatino Linotype" w:hAnsi="Palatino Linotype" w:cs="Arial"/>
          <w:bCs/>
          <w:i/>
          <w:sz w:val="22"/>
          <w:szCs w:val="22"/>
        </w:rPr>
        <w:t>Rosendoevgueni</w:t>
      </w:r>
      <w:proofErr w:type="spellEnd"/>
      <w:r w:rsidRPr="00003D39">
        <w:rPr>
          <w:rFonts w:ascii="Palatino Linotype" w:hAnsi="Palatino Linotype" w:cs="Arial"/>
          <w:bCs/>
          <w:i/>
          <w:sz w:val="22"/>
          <w:szCs w:val="22"/>
        </w:rPr>
        <w:t xml:space="preserve"> Monterrey </w:t>
      </w:r>
      <w:proofErr w:type="spellStart"/>
      <w:r w:rsidRPr="00003D39">
        <w:rPr>
          <w:rFonts w:ascii="Palatino Linotype" w:hAnsi="Palatino Linotype" w:cs="Arial"/>
          <w:bCs/>
          <w:i/>
          <w:sz w:val="22"/>
          <w:szCs w:val="22"/>
        </w:rPr>
        <w:t>Chepov</w:t>
      </w:r>
      <w:proofErr w:type="spellEnd"/>
      <w:r w:rsidRPr="00003D39">
        <w:rPr>
          <w:rFonts w:ascii="Palatino Linotype" w:hAnsi="Palatino Linotype" w:cs="Arial"/>
          <w:b/>
          <w:bCs/>
          <w:i/>
          <w:sz w:val="22"/>
          <w:szCs w:val="22"/>
        </w:rPr>
        <w:t>.”</w:t>
      </w:r>
    </w:p>
    <w:p w14:paraId="4F7A8DD6" w14:textId="77777777" w:rsidR="0089758E" w:rsidRPr="0089758E" w:rsidRDefault="0089758E" w:rsidP="0089758E">
      <w:pPr>
        <w:spacing w:before="100" w:beforeAutospacing="1" w:after="100" w:afterAutospacing="1"/>
        <w:ind w:left="851" w:right="899"/>
        <w:jc w:val="both"/>
        <w:rPr>
          <w:rFonts w:ascii="Palatino Linotype" w:hAnsi="Palatino Linotype"/>
          <w:i/>
          <w:sz w:val="22"/>
          <w:szCs w:val="22"/>
        </w:rPr>
      </w:pPr>
    </w:p>
    <w:p w14:paraId="152DD109" w14:textId="03712149" w:rsidR="003F4CF7" w:rsidRPr="005F3F7B" w:rsidRDefault="005F3F7B" w:rsidP="009038F2">
      <w:pPr>
        <w:spacing w:before="100" w:beforeAutospacing="1" w:after="100" w:afterAutospacing="1" w:line="360" w:lineRule="auto"/>
        <w:jc w:val="both"/>
        <w:rPr>
          <w:rFonts w:ascii="Palatino Linotype" w:hAnsi="Palatino Linotype"/>
        </w:rPr>
      </w:pPr>
      <w:r>
        <w:rPr>
          <w:rFonts w:ascii="Palatino Linotype" w:hAnsi="Palatino Linotype"/>
        </w:rPr>
        <w:t>Es así, que</w:t>
      </w:r>
      <w:r w:rsidR="00003D39">
        <w:rPr>
          <w:rFonts w:ascii="Palatino Linotype" w:hAnsi="Palatino Linotype"/>
        </w:rPr>
        <w:t xml:space="preserve"> del análisis efectuado</w:t>
      </w:r>
      <w:r>
        <w:rPr>
          <w:rFonts w:ascii="Palatino Linotype" w:hAnsi="Palatino Linotype"/>
        </w:rPr>
        <w:t xml:space="preserve"> </w:t>
      </w:r>
      <w:r w:rsidR="009D082E">
        <w:rPr>
          <w:rFonts w:ascii="Palatino Linotype" w:hAnsi="Palatino Linotype"/>
        </w:rPr>
        <w:t>n</w:t>
      </w:r>
      <w:r w:rsidR="009F0F43">
        <w:rPr>
          <w:rFonts w:ascii="Palatino Linotype" w:hAnsi="Palatino Linotype"/>
        </w:rPr>
        <w:t>o se considera que al</w:t>
      </w:r>
      <w:r w:rsidR="009D082E">
        <w:rPr>
          <w:rFonts w:ascii="Palatino Linotype" w:hAnsi="Palatino Linotype"/>
        </w:rPr>
        <w:t xml:space="preserve"> ordenar el título profesional de la servidor público en cuestión </w:t>
      </w:r>
      <w:r w:rsidR="00003D39">
        <w:rPr>
          <w:rFonts w:ascii="Palatino Linotype" w:hAnsi="Palatino Linotype"/>
        </w:rPr>
        <w:t xml:space="preserve">se </w:t>
      </w:r>
      <w:r w:rsidR="009D082E">
        <w:rPr>
          <w:rFonts w:ascii="Palatino Linotype" w:hAnsi="Palatino Linotype"/>
        </w:rPr>
        <w:t xml:space="preserve">pudiera satisfacer el derecho de acceso a la información </w:t>
      </w:r>
      <w:r w:rsidR="009F0F43">
        <w:rPr>
          <w:rFonts w:ascii="Palatino Linotype" w:hAnsi="Palatino Linotype"/>
        </w:rPr>
        <w:t>pública accionada por la particular</w:t>
      </w:r>
      <w:r w:rsidR="00003D39">
        <w:rPr>
          <w:rFonts w:ascii="Palatino Linotype" w:hAnsi="Palatino Linotype"/>
        </w:rPr>
        <w:t>;</w:t>
      </w:r>
      <w:r>
        <w:rPr>
          <w:rFonts w:ascii="Palatino Linotype" w:hAnsi="Palatino Linotype"/>
        </w:rPr>
        <w:t xml:space="preserve"> </w:t>
      </w:r>
      <w:r w:rsidR="00003D39">
        <w:rPr>
          <w:rFonts w:ascii="Palatino Linotype" w:hAnsi="Palatino Linotype"/>
        </w:rPr>
        <w:t>toda vez qu</w:t>
      </w:r>
      <w:r w:rsidR="007461C1">
        <w:rPr>
          <w:rFonts w:ascii="Palatino Linotype" w:hAnsi="Palatino Linotype"/>
        </w:rPr>
        <w:t>e no se estima que se relacione</w:t>
      </w:r>
      <w:r w:rsidR="00003D39">
        <w:rPr>
          <w:rFonts w:ascii="Palatino Linotype" w:hAnsi="Palatino Linotype"/>
        </w:rPr>
        <w:t xml:space="preserve"> con algún punto requerido en la solicitud </w:t>
      </w:r>
      <w:r w:rsidR="001C5DED">
        <w:rPr>
          <w:rFonts w:ascii="Palatino Linotype" w:hAnsi="Palatino Linotype"/>
        </w:rPr>
        <w:t xml:space="preserve">por lo que se estima no se </w:t>
      </w:r>
      <w:proofErr w:type="spellStart"/>
      <w:r w:rsidR="001C5DED">
        <w:rPr>
          <w:rFonts w:ascii="Palatino Linotype" w:hAnsi="Palatino Linotype"/>
        </w:rPr>
        <w:t>otrga</w:t>
      </w:r>
      <w:proofErr w:type="spellEnd"/>
      <w:r w:rsidR="009038F2">
        <w:rPr>
          <w:rFonts w:ascii="Palatino Linotype" w:hAnsi="Palatino Linotype"/>
        </w:rPr>
        <w:t xml:space="preserve"> certeza jurídica </w:t>
      </w:r>
      <w:r w:rsidR="00FF063A">
        <w:rPr>
          <w:rFonts w:ascii="Palatino Linotype" w:hAnsi="Palatino Linotype"/>
        </w:rPr>
        <w:t>a las partes</w:t>
      </w:r>
      <w:r w:rsidR="009038F2">
        <w:rPr>
          <w:rFonts w:ascii="Palatino Linotype" w:hAnsi="Palatino Linotype"/>
          <w:color w:val="000000"/>
        </w:rPr>
        <w:t xml:space="preserve">, atendiendo a lo señalado en la fracción I del artículo 9 de la Ley </w:t>
      </w:r>
      <w:r w:rsidR="009038F2" w:rsidRPr="00FB66FE">
        <w:rPr>
          <w:rFonts w:ascii="Palatino Linotype" w:hAnsi="Palatino Linotype"/>
          <w:color w:val="000000"/>
        </w:rPr>
        <w:t>de Transparencia y Acceso a la Información Pública</w:t>
      </w:r>
      <w:r w:rsidR="009038F2">
        <w:rPr>
          <w:rFonts w:ascii="Palatino Linotype" w:hAnsi="Palatino Linotype"/>
          <w:color w:val="000000"/>
        </w:rPr>
        <w:t xml:space="preserve"> del Estado de México</w:t>
      </w:r>
      <w:r w:rsidR="009038F2" w:rsidRPr="00FB66FE">
        <w:rPr>
          <w:rFonts w:ascii="Palatino Linotype" w:hAnsi="Palatino Linotype"/>
          <w:color w:val="000000"/>
        </w:rPr>
        <w:t xml:space="preserve"> y Municipios</w:t>
      </w:r>
      <w:r w:rsidR="009038F2">
        <w:rPr>
          <w:rFonts w:ascii="Palatino Linotype" w:hAnsi="Palatino Linotype"/>
          <w:color w:val="000000"/>
        </w:rPr>
        <w:t xml:space="preserve"> que </w:t>
      </w:r>
      <w:r w:rsidR="009038F2" w:rsidRPr="00FB66FE">
        <w:rPr>
          <w:rFonts w:ascii="Palatino Linotype" w:hAnsi="Palatino Linotype"/>
          <w:color w:val="000000"/>
        </w:rPr>
        <w:t>establece lo siguiente:</w:t>
      </w:r>
    </w:p>
    <w:p w14:paraId="131CA23C" w14:textId="77777777" w:rsidR="009038F2" w:rsidRPr="00FB66FE" w:rsidRDefault="009038F2" w:rsidP="009F0F43">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t>Artículo 9.</w:t>
      </w:r>
      <w:r w:rsidRPr="00FB66FE">
        <w:rPr>
          <w:rFonts w:ascii="Palatino Linotype" w:hAnsi="Palatino Linotype"/>
          <w:i/>
          <w:color w:val="000000"/>
          <w:sz w:val="22"/>
        </w:rPr>
        <w:t xml:space="preserve"> El Instituto deberá regir su funcionamiento de acuerdo a los siguientes principios:</w:t>
      </w:r>
    </w:p>
    <w:p w14:paraId="63B0EAD5" w14:textId="1FB32FE4" w:rsidR="003F4CF7" w:rsidRPr="00827FC6" w:rsidRDefault="009038F2" w:rsidP="009F0F43">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064AF7AE" w14:textId="25AAF3AE" w:rsidR="00466EF6" w:rsidRDefault="009038F2" w:rsidP="001A715B">
      <w:pPr>
        <w:spacing w:before="100" w:beforeAutospacing="1" w:after="100" w:afterAutospacing="1" w:line="360" w:lineRule="auto"/>
        <w:jc w:val="both"/>
        <w:rPr>
          <w:rFonts w:ascii="Palatino Linotype" w:hAnsi="Palatino Linotype" w:cs="Arial"/>
        </w:rPr>
      </w:pPr>
      <w:r>
        <w:rPr>
          <w:rFonts w:ascii="Palatino Linotype" w:hAnsi="Palatino Linotype"/>
          <w:color w:val="000000"/>
        </w:rPr>
        <w:t>Por lo tanto,</w:t>
      </w:r>
      <w:r>
        <w:rPr>
          <w:rFonts w:ascii="Palatino Linotype" w:hAnsi="Palatino Linotype" w:cs="Arial"/>
        </w:rPr>
        <w:t xml:space="preserve"> la que suscribe emite </w:t>
      </w:r>
      <w:r w:rsidR="00FF063A">
        <w:rPr>
          <w:rFonts w:ascii="Palatino Linotype" w:hAnsi="Palatino Linotype" w:cs="Arial"/>
          <w:b/>
        </w:rPr>
        <w:t>VOTO</w:t>
      </w:r>
      <w:r w:rsidRPr="009A0480">
        <w:rPr>
          <w:rFonts w:ascii="Palatino Linotype" w:hAnsi="Palatino Linotype" w:cs="Arial"/>
          <w:b/>
        </w:rPr>
        <w:t xml:space="preserve"> PARTICULAR</w:t>
      </w:r>
      <w:r w:rsidRPr="00F74B57">
        <w:rPr>
          <w:rFonts w:ascii="Palatino Linotype" w:hAnsi="Palatino Linotype" w:cs="Arial"/>
        </w:rPr>
        <w:t xml:space="preserve"> </w:t>
      </w:r>
      <w:r>
        <w:rPr>
          <w:rFonts w:ascii="Palatino Linotype" w:hAnsi="Palatino Linotype" w:cs="Arial"/>
        </w:rPr>
        <w:t xml:space="preserve">a fin de precisar </w:t>
      </w:r>
      <w:r w:rsidR="00FF063A">
        <w:rPr>
          <w:rFonts w:ascii="Palatino Linotype" w:hAnsi="Palatino Linotype" w:cs="Arial"/>
        </w:rPr>
        <w:t>que</w:t>
      </w:r>
      <w:r w:rsidR="009338DC">
        <w:rPr>
          <w:rFonts w:ascii="Palatino Linotype" w:hAnsi="Palatino Linotype" w:cs="Arial"/>
        </w:rPr>
        <w:t xml:space="preserve"> </w:t>
      </w:r>
      <w:r w:rsidR="009F0F43">
        <w:rPr>
          <w:rFonts w:ascii="Palatino Linotype" w:hAnsi="Palatino Linotype" w:cs="Arial"/>
        </w:rPr>
        <w:t xml:space="preserve">para emitir los puntos </w:t>
      </w:r>
      <w:r w:rsidR="007461C1">
        <w:rPr>
          <w:rFonts w:ascii="Palatino Linotype" w:hAnsi="Palatino Linotype" w:cs="Arial"/>
        </w:rPr>
        <w:t>resolutivos</w:t>
      </w:r>
      <w:r w:rsidR="009F0F43">
        <w:rPr>
          <w:rFonts w:ascii="Palatino Linotype" w:hAnsi="Palatino Linotype" w:cs="Arial"/>
        </w:rPr>
        <w:t xml:space="preserve"> de la resolución de mérito se debieron tomar en cuenta únicamente los puntos que fueron peticionados por la particular al momento de ejercer su derecho al acceso a </w:t>
      </w:r>
      <w:r w:rsidR="001C5DED">
        <w:rPr>
          <w:rFonts w:ascii="Palatino Linotype" w:hAnsi="Palatino Linotype" w:cs="Arial"/>
        </w:rPr>
        <w:t>la información pública, ya que se estima que</w:t>
      </w:r>
      <w:r w:rsidR="009F0F43">
        <w:rPr>
          <w:rFonts w:ascii="Palatino Linotype" w:hAnsi="Palatino Linotype" w:cs="Arial"/>
        </w:rPr>
        <w:t>, no se coincide con que se haya ordenado el título profesional toda vez que</w:t>
      </w:r>
      <w:r w:rsidR="001C5DED">
        <w:rPr>
          <w:rFonts w:ascii="Palatino Linotype" w:hAnsi="Palatino Linotype" w:cs="Arial"/>
        </w:rPr>
        <w:t xml:space="preserve"> del análisis efectuado no se advierte que con la entrega de ello se colme alguna pretensión</w:t>
      </w:r>
      <w:r w:rsidR="009F0F43">
        <w:rPr>
          <w:rFonts w:ascii="Palatino Linotype" w:hAnsi="Palatino Linotype" w:cs="Arial"/>
        </w:rPr>
        <w:t xml:space="preserve">. </w:t>
      </w:r>
    </w:p>
    <w:p w14:paraId="50268C1F" w14:textId="77777777" w:rsidR="008F7530" w:rsidRDefault="008F7530" w:rsidP="00411080">
      <w:pPr>
        <w:jc w:val="center"/>
        <w:rPr>
          <w:rFonts w:ascii="Palatino Linotype" w:hAnsi="Palatino Linotype"/>
          <w:b/>
        </w:rPr>
      </w:pPr>
    </w:p>
    <w:p w14:paraId="71DA61C4" w14:textId="77777777" w:rsidR="008F7530" w:rsidRDefault="008F7530" w:rsidP="00411080">
      <w:pPr>
        <w:jc w:val="center"/>
        <w:rPr>
          <w:rFonts w:ascii="Palatino Linotype" w:hAnsi="Palatino Linotype"/>
          <w:b/>
        </w:rPr>
      </w:pPr>
    </w:p>
    <w:p w14:paraId="6CB5F0E3" w14:textId="3D3A9CAE" w:rsidR="00A77F5C" w:rsidRPr="0086018C" w:rsidRDefault="00A77F5C" w:rsidP="00411080">
      <w:pPr>
        <w:jc w:val="center"/>
        <w:rPr>
          <w:rFonts w:ascii="Palatino Linotype" w:hAnsi="Palatino Linotype"/>
          <w:b/>
        </w:rPr>
      </w:pPr>
      <w:r w:rsidRPr="0086018C">
        <w:rPr>
          <w:rFonts w:ascii="Palatino Linotype" w:hAnsi="Palatino Linotype"/>
          <w:b/>
        </w:rPr>
        <w:t>EVA ABAID YAPUR</w:t>
      </w:r>
    </w:p>
    <w:p w14:paraId="1AE72828" w14:textId="77777777" w:rsidR="00A77F5C" w:rsidRDefault="00A77F5C" w:rsidP="00411080">
      <w:pPr>
        <w:jc w:val="center"/>
        <w:rPr>
          <w:rFonts w:ascii="Palatino Linotype" w:hAnsi="Palatino Linotype"/>
          <w:b/>
        </w:rPr>
      </w:pPr>
      <w:r w:rsidRPr="0086018C">
        <w:rPr>
          <w:rFonts w:ascii="Palatino Linotype" w:hAnsi="Palatino Linotype"/>
          <w:b/>
        </w:rPr>
        <w:t>COMISIONADA</w:t>
      </w:r>
    </w:p>
    <w:p w14:paraId="64E306F9" w14:textId="748F6ACD" w:rsidR="00BD4F4B" w:rsidRDefault="00BD4F4B" w:rsidP="00411080">
      <w:pPr>
        <w:jc w:val="center"/>
        <w:rPr>
          <w:rFonts w:ascii="Palatino Linotype" w:hAnsi="Palatino Linotype"/>
          <w:b/>
        </w:rPr>
      </w:pPr>
      <w:r>
        <w:rPr>
          <w:rFonts w:ascii="Palatino Linotype" w:hAnsi="Palatino Linotype" w:cs="Arial"/>
          <w:b/>
        </w:rPr>
        <w:t>(RÚBRICA)</w:t>
      </w:r>
      <w:bookmarkStart w:id="0" w:name="_GoBack"/>
      <w:bookmarkEnd w:id="0"/>
    </w:p>
    <w:p w14:paraId="1A961507" w14:textId="77777777" w:rsidR="008F7530" w:rsidRPr="008F7530" w:rsidRDefault="008F7530" w:rsidP="00411080">
      <w:pPr>
        <w:jc w:val="center"/>
        <w:rPr>
          <w:rFonts w:ascii="Palatino Linotype" w:hAnsi="Palatino Linotype"/>
          <w:b/>
          <w:sz w:val="8"/>
          <w:szCs w:val="8"/>
        </w:rPr>
      </w:pPr>
    </w:p>
    <w:p w14:paraId="5401DD5A" w14:textId="2AD00D9A" w:rsidR="001C5DED" w:rsidRDefault="005F35CE" w:rsidP="008F7530">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FF7C70" w:rsidRPr="0086018C">
        <w:rPr>
          <w:rFonts w:ascii="Palatino Linotype" w:eastAsia="Calibri" w:hAnsi="Palatino Linotype" w:cs="Arial"/>
          <w:color w:val="000000" w:themeColor="text1"/>
          <w:sz w:val="20"/>
          <w:szCs w:val="20"/>
        </w:rPr>
        <w:t>sta hoja corresponde al voto particular emitido en</w:t>
      </w:r>
      <w:r w:rsidR="00224BB0">
        <w:rPr>
          <w:rFonts w:ascii="Palatino Linotype" w:eastAsia="Calibri" w:hAnsi="Palatino Linotype" w:cs="Arial"/>
          <w:color w:val="000000" w:themeColor="text1"/>
          <w:sz w:val="20"/>
          <w:szCs w:val="20"/>
        </w:rPr>
        <w:t xml:space="preserve"> la resolución</w:t>
      </w:r>
      <w:r w:rsidR="00FF7C70" w:rsidRPr="0086018C">
        <w:rPr>
          <w:rFonts w:ascii="Palatino Linotype" w:eastAsia="Calibri" w:hAnsi="Palatino Linotype" w:cs="Arial"/>
          <w:color w:val="000000" w:themeColor="text1"/>
          <w:sz w:val="20"/>
          <w:szCs w:val="20"/>
        </w:rPr>
        <w:t xml:space="preserve"> </w:t>
      </w:r>
      <w:r w:rsidR="00224BB0">
        <w:rPr>
          <w:rFonts w:ascii="Palatino Linotype" w:eastAsia="Calibri" w:hAnsi="Palatino Linotype" w:cs="Arial"/>
          <w:color w:val="000000" w:themeColor="text1"/>
          <w:sz w:val="20"/>
          <w:szCs w:val="20"/>
        </w:rPr>
        <w:t>d</w:t>
      </w:r>
      <w:r w:rsidR="003F4CF7">
        <w:rPr>
          <w:rFonts w:ascii="Palatino Linotype" w:eastAsia="Calibri" w:hAnsi="Palatino Linotype" w:cs="Arial"/>
          <w:color w:val="000000" w:themeColor="text1"/>
          <w:sz w:val="20"/>
          <w:szCs w:val="20"/>
        </w:rPr>
        <w:t>el</w:t>
      </w:r>
      <w:r w:rsidR="00893972">
        <w:rPr>
          <w:rFonts w:ascii="Palatino Linotype" w:eastAsia="Calibri" w:hAnsi="Palatino Linotype" w:cs="Arial"/>
          <w:color w:val="000000" w:themeColor="text1"/>
          <w:sz w:val="20"/>
          <w:szCs w:val="20"/>
        </w:rPr>
        <w:t xml:space="preserve"> </w:t>
      </w:r>
      <w:r w:rsidR="00893972" w:rsidRPr="00893972">
        <w:rPr>
          <w:rFonts w:ascii="Palatino Linotype" w:eastAsia="Calibri" w:hAnsi="Palatino Linotype" w:cs="Arial"/>
          <w:color w:val="000000" w:themeColor="text1"/>
          <w:sz w:val="20"/>
          <w:szCs w:val="20"/>
        </w:rPr>
        <w:t>recurso de revisión</w:t>
      </w:r>
      <w:r w:rsidR="001A715B">
        <w:rPr>
          <w:rFonts w:ascii="Palatino Linotype" w:eastAsia="Calibri" w:hAnsi="Palatino Linotype" w:cs="Arial"/>
          <w:color w:val="000000" w:themeColor="text1"/>
          <w:sz w:val="20"/>
          <w:szCs w:val="20"/>
        </w:rPr>
        <w:t xml:space="preserve"> </w:t>
      </w:r>
      <w:r w:rsidR="009F0F43">
        <w:rPr>
          <w:rFonts w:ascii="Palatino Linotype" w:eastAsia="Calibri" w:hAnsi="Palatino Linotype" w:cs="Arial"/>
          <w:color w:val="000000" w:themeColor="text1"/>
          <w:sz w:val="20"/>
          <w:szCs w:val="20"/>
        </w:rPr>
        <w:t>07355</w:t>
      </w:r>
      <w:r w:rsidR="001531E0">
        <w:rPr>
          <w:rFonts w:ascii="Palatino Linotype" w:eastAsia="Calibri" w:hAnsi="Palatino Linotype" w:cs="Arial"/>
          <w:color w:val="000000" w:themeColor="text1"/>
          <w:sz w:val="20"/>
          <w:szCs w:val="20"/>
        </w:rPr>
        <w:t>/INFOEM/IP/RR/2019</w:t>
      </w:r>
      <w:r w:rsidR="00A77F5C" w:rsidRPr="0086018C">
        <w:rPr>
          <w:rFonts w:ascii="Palatino Linotype" w:eastAsia="Calibri" w:hAnsi="Palatino Linotype" w:cs="Arial"/>
          <w:color w:val="000000" w:themeColor="text1"/>
          <w:sz w:val="20"/>
          <w:szCs w:val="20"/>
        </w:rPr>
        <w:t>, aprobado</w:t>
      </w:r>
      <w:r w:rsidR="003F4CF7">
        <w:rPr>
          <w:rFonts w:ascii="Palatino Linotype" w:eastAsia="Calibri" w:hAnsi="Palatino Linotype" w:cs="Arial"/>
          <w:color w:val="000000" w:themeColor="text1"/>
          <w:sz w:val="20"/>
          <w:szCs w:val="20"/>
        </w:rPr>
        <w:t xml:space="preserve"> el </w:t>
      </w:r>
      <w:r w:rsidR="009F0F43">
        <w:rPr>
          <w:rFonts w:ascii="Palatino Linotype" w:eastAsia="Calibri" w:hAnsi="Palatino Linotype" w:cs="Arial"/>
          <w:color w:val="000000" w:themeColor="text1"/>
          <w:sz w:val="20"/>
          <w:szCs w:val="20"/>
        </w:rPr>
        <w:t>veinte</w:t>
      </w:r>
      <w:r w:rsidR="009338DC">
        <w:rPr>
          <w:rFonts w:ascii="Palatino Linotype" w:eastAsia="Calibri" w:hAnsi="Palatino Linotype" w:cs="Arial"/>
          <w:color w:val="000000" w:themeColor="text1"/>
          <w:sz w:val="20"/>
          <w:szCs w:val="20"/>
        </w:rPr>
        <w:t xml:space="preserve"> de noviembre</w:t>
      </w:r>
      <w:r w:rsidR="001531E0">
        <w:rPr>
          <w:rFonts w:ascii="Palatino Linotype" w:eastAsia="Calibri" w:hAnsi="Palatino Linotype" w:cs="Arial"/>
          <w:color w:val="000000" w:themeColor="text1"/>
          <w:sz w:val="20"/>
          <w:szCs w:val="20"/>
        </w:rPr>
        <w:t xml:space="preserve"> </w:t>
      </w:r>
      <w:r w:rsidR="008F7530">
        <w:rPr>
          <w:rFonts w:ascii="Palatino Linotype" w:eastAsia="Calibri" w:hAnsi="Palatino Linotype" w:cs="Arial"/>
          <w:color w:val="000000" w:themeColor="text1"/>
          <w:sz w:val="20"/>
          <w:szCs w:val="20"/>
        </w:rPr>
        <w:t xml:space="preserve">de </w:t>
      </w:r>
      <w:r w:rsidR="008027AE">
        <w:rPr>
          <w:rFonts w:ascii="Palatino Linotype" w:eastAsia="Calibri" w:hAnsi="Palatino Linotype" w:cs="Arial"/>
          <w:color w:val="000000" w:themeColor="text1"/>
          <w:sz w:val="20"/>
          <w:szCs w:val="20"/>
        </w:rPr>
        <w:t>dos mil diecinueve</w:t>
      </w:r>
      <w:r w:rsidR="00FF7C70" w:rsidRPr="0086018C">
        <w:rPr>
          <w:rFonts w:ascii="Palatino Linotype" w:eastAsia="Calibri" w:hAnsi="Palatino Linotype" w:cs="Arial"/>
          <w:color w:val="000000" w:themeColor="text1"/>
          <w:sz w:val="20"/>
          <w:szCs w:val="20"/>
        </w:rPr>
        <w:t>.</w:t>
      </w:r>
    </w:p>
    <w:p w14:paraId="0AB16EA9" w14:textId="77777777" w:rsidR="008F7530" w:rsidRPr="008F7530" w:rsidRDefault="008F7530" w:rsidP="008F7530">
      <w:pPr>
        <w:jc w:val="both"/>
        <w:rPr>
          <w:rFonts w:ascii="Palatino Linotype" w:eastAsia="Calibri" w:hAnsi="Palatino Linotype" w:cs="Arial"/>
          <w:color w:val="000000" w:themeColor="text1"/>
          <w:sz w:val="8"/>
          <w:szCs w:val="8"/>
        </w:rPr>
      </w:pPr>
    </w:p>
    <w:p w14:paraId="5AE66B35" w14:textId="2A532F2E" w:rsidR="008F5190" w:rsidRPr="0086018C" w:rsidRDefault="009F2942" w:rsidP="008F7530">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w:t>
      </w:r>
      <w:r w:rsidR="00FF7C70" w:rsidRPr="0086018C">
        <w:rPr>
          <w:rFonts w:ascii="Palatino Linotype" w:eastAsia="Calibri" w:hAnsi="Palatino Linotype" w:cs="Arial"/>
          <w:color w:val="000000" w:themeColor="text1"/>
          <w:sz w:val="20"/>
          <w:szCs w:val="20"/>
        </w:rPr>
        <w:t>/</w:t>
      </w:r>
      <w:r w:rsidR="00401065">
        <w:rPr>
          <w:rFonts w:ascii="Palatino Linotype" w:eastAsia="Calibri" w:hAnsi="Palatino Linotype" w:cs="Arial"/>
          <w:color w:val="000000" w:themeColor="text1"/>
          <w:sz w:val="20"/>
          <w:szCs w:val="20"/>
        </w:rPr>
        <w:t>EJCA</w:t>
      </w:r>
    </w:p>
    <w:sectPr w:rsidR="008F5190" w:rsidRPr="0086018C" w:rsidSect="00037496">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06F41" w14:textId="77777777" w:rsidR="0073353E" w:rsidRDefault="0073353E" w:rsidP="00C80F8C">
      <w:r>
        <w:separator/>
      </w:r>
    </w:p>
  </w:endnote>
  <w:endnote w:type="continuationSeparator" w:id="0">
    <w:p w14:paraId="7A7B6575" w14:textId="77777777" w:rsidR="0073353E" w:rsidRDefault="007335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D4F4B">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D4F4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45785" w14:textId="77777777" w:rsidR="0073353E" w:rsidRDefault="0073353E" w:rsidP="00C80F8C">
      <w:r>
        <w:separator/>
      </w:r>
    </w:p>
  </w:footnote>
  <w:footnote w:type="continuationSeparator" w:id="0">
    <w:p w14:paraId="7528449D" w14:textId="77777777" w:rsidR="0073353E" w:rsidRDefault="0073353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BD4F4B">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04D6B3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516B7CC9" w:rsidR="0034309A" w:rsidRPr="008F7530" w:rsidRDefault="0034309A" w:rsidP="0034309A">
    <w:pPr>
      <w:pStyle w:val="Encabezado"/>
      <w:tabs>
        <w:tab w:val="clear" w:pos="4252"/>
        <w:tab w:val="clear" w:pos="8504"/>
        <w:tab w:val="left" w:pos="2326"/>
      </w:tabs>
      <w:jc w:val="right"/>
      <w:rPr>
        <w:rFonts w:ascii="Palatino Linotype" w:hAnsi="Palatino Linotype"/>
        <w:sz w:val="22"/>
      </w:rPr>
    </w:pPr>
  </w:p>
  <w:p w14:paraId="615FA058" w14:textId="05AAA49D" w:rsidR="00037496" w:rsidRDefault="00037496" w:rsidP="009038F2">
    <w:pPr>
      <w:pStyle w:val="Encabezado"/>
      <w:tabs>
        <w:tab w:val="clear" w:pos="4252"/>
        <w:tab w:val="clear" w:pos="8504"/>
        <w:tab w:val="left" w:pos="2326"/>
      </w:tabs>
      <w:jc w:val="right"/>
      <w:rPr>
        <w:rFonts w:ascii="Palatino Linotype" w:hAnsi="Palatino Linotype" w:cs="Arial"/>
        <w:sz w:val="20"/>
        <w:szCs w:val="20"/>
      </w:rPr>
    </w:pPr>
  </w:p>
  <w:p w14:paraId="5605195D" w14:textId="239F0190" w:rsidR="00EB7480" w:rsidRDefault="008F753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4EAFFDB3" w:rsidR="0030072F" w:rsidRDefault="00BD4F4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1.7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8F7530" w:rsidRPr="00706042">
      <w:rPr>
        <w:rFonts w:ascii="Palatino Linotype" w:hAnsi="Palatino Linotype" w:cs="Arial"/>
        <w:sz w:val="20"/>
        <w:szCs w:val="20"/>
      </w:rPr>
      <w:t>RECURSO DE REVISIÓN</w:t>
    </w:r>
    <w:r w:rsidR="008F7530">
      <w:rPr>
        <w:rFonts w:ascii="Palatino Linotype" w:hAnsi="Palatino Linotype" w:cs="Arial"/>
        <w:sz w:val="20"/>
        <w:szCs w:val="20"/>
      </w:rPr>
      <w:t xml:space="preserve"> 07355/INFOEM/IP/RR/2019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BD4F4B">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0C77"/>
    <w:multiLevelType w:val="hybridMultilevel"/>
    <w:tmpl w:val="B09A91E0"/>
    <w:lvl w:ilvl="0" w:tplc="E4A8A364">
      <w:numFmt w:val="bullet"/>
      <w:lvlText w:val=""/>
      <w:lvlJc w:val="left"/>
      <w:pPr>
        <w:ind w:left="927" w:hanging="360"/>
      </w:pPr>
      <w:rPr>
        <w:rFonts w:ascii="Symbol" w:eastAsia="Times New Roman" w:hAnsi="Symbol"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B15BE"/>
    <w:multiLevelType w:val="hybridMultilevel"/>
    <w:tmpl w:val="9FC0F8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5C4AAB"/>
    <w:multiLevelType w:val="hybridMultilevel"/>
    <w:tmpl w:val="6A583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2BDD6758"/>
    <w:multiLevelType w:val="hybridMultilevel"/>
    <w:tmpl w:val="85582B42"/>
    <w:lvl w:ilvl="0" w:tplc="D948193C">
      <w:start w:val="1"/>
      <w:numFmt w:val="decimal"/>
      <w:lvlText w:val="%1."/>
      <w:lvlJc w:val="left"/>
      <w:pPr>
        <w:ind w:left="720" w:hanging="360"/>
      </w:pPr>
      <w:rPr>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BA109E"/>
    <w:multiLevelType w:val="hybridMultilevel"/>
    <w:tmpl w:val="A612A92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2E860C08"/>
    <w:multiLevelType w:val="hybridMultilevel"/>
    <w:tmpl w:val="F0CC82E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538B4243"/>
    <w:multiLevelType w:val="hybridMultilevel"/>
    <w:tmpl w:val="43FED68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nsid w:val="539A73C3"/>
    <w:multiLevelType w:val="hybridMultilevel"/>
    <w:tmpl w:val="54EEB2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63B3C26"/>
    <w:multiLevelType w:val="hybridMultilevel"/>
    <w:tmpl w:val="54965B8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4"/>
  </w:num>
  <w:num w:numId="2">
    <w:abstractNumId w:val="3"/>
  </w:num>
  <w:num w:numId="3">
    <w:abstractNumId w:val="13"/>
  </w:num>
  <w:num w:numId="4">
    <w:abstractNumId w:val="1"/>
  </w:num>
  <w:num w:numId="5">
    <w:abstractNumId w:val="18"/>
  </w:num>
  <w:num w:numId="6">
    <w:abstractNumId w:val="14"/>
  </w:num>
  <w:num w:numId="7">
    <w:abstractNumId w:val="20"/>
  </w:num>
  <w:num w:numId="8">
    <w:abstractNumId w:val="21"/>
  </w:num>
  <w:num w:numId="9">
    <w:abstractNumId w:val="19"/>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12"/>
  </w:num>
  <w:num w:numId="15">
    <w:abstractNumId w:val="6"/>
  </w:num>
  <w:num w:numId="16">
    <w:abstractNumId w:val="5"/>
  </w:num>
  <w:num w:numId="17">
    <w:abstractNumId w:val="11"/>
  </w:num>
  <w:num w:numId="18">
    <w:abstractNumId w:val="7"/>
  </w:num>
  <w:num w:numId="19">
    <w:abstractNumId w:val="9"/>
  </w:num>
  <w:num w:numId="20">
    <w:abstractNumId w:val="10"/>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3D39"/>
    <w:rsid w:val="00006B66"/>
    <w:rsid w:val="0001751C"/>
    <w:rsid w:val="00017D16"/>
    <w:rsid w:val="00024ADF"/>
    <w:rsid w:val="00027B69"/>
    <w:rsid w:val="00037496"/>
    <w:rsid w:val="000412FB"/>
    <w:rsid w:val="00055107"/>
    <w:rsid w:val="00060328"/>
    <w:rsid w:val="0006079D"/>
    <w:rsid w:val="0006772D"/>
    <w:rsid w:val="0007653D"/>
    <w:rsid w:val="00080A1C"/>
    <w:rsid w:val="00082101"/>
    <w:rsid w:val="0008542A"/>
    <w:rsid w:val="0008745A"/>
    <w:rsid w:val="00092678"/>
    <w:rsid w:val="00095B30"/>
    <w:rsid w:val="000A32F3"/>
    <w:rsid w:val="000A73D1"/>
    <w:rsid w:val="000B01EA"/>
    <w:rsid w:val="000B3FFD"/>
    <w:rsid w:val="000C1A85"/>
    <w:rsid w:val="000C2CF9"/>
    <w:rsid w:val="000C4453"/>
    <w:rsid w:val="000D136C"/>
    <w:rsid w:val="000D25BF"/>
    <w:rsid w:val="000D66DE"/>
    <w:rsid w:val="000E2B1A"/>
    <w:rsid w:val="000E4AB7"/>
    <w:rsid w:val="000E4C17"/>
    <w:rsid w:val="0010060B"/>
    <w:rsid w:val="00102EEC"/>
    <w:rsid w:val="00105017"/>
    <w:rsid w:val="0010504F"/>
    <w:rsid w:val="0010583C"/>
    <w:rsid w:val="001059D0"/>
    <w:rsid w:val="00117749"/>
    <w:rsid w:val="00123644"/>
    <w:rsid w:val="0013735C"/>
    <w:rsid w:val="00140058"/>
    <w:rsid w:val="001531E0"/>
    <w:rsid w:val="001721A6"/>
    <w:rsid w:val="00173F95"/>
    <w:rsid w:val="00175DEE"/>
    <w:rsid w:val="00187FFD"/>
    <w:rsid w:val="001950C9"/>
    <w:rsid w:val="001A5699"/>
    <w:rsid w:val="001A715B"/>
    <w:rsid w:val="001B4769"/>
    <w:rsid w:val="001C5DED"/>
    <w:rsid w:val="001D3F57"/>
    <w:rsid w:val="001D532F"/>
    <w:rsid w:val="001E757E"/>
    <w:rsid w:val="001E763C"/>
    <w:rsid w:val="001F23BE"/>
    <w:rsid w:val="001F6280"/>
    <w:rsid w:val="001F7E6D"/>
    <w:rsid w:val="00202265"/>
    <w:rsid w:val="0020637F"/>
    <w:rsid w:val="0022354C"/>
    <w:rsid w:val="00224BB0"/>
    <w:rsid w:val="002314AA"/>
    <w:rsid w:val="0023504D"/>
    <w:rsid w:val="00237A37"/>
    <w:rsid w:val="0024119C"/>
    <w:rsid w:val="0025202C"/>
    <w:rsid w:val="002562CC"/>
    <w:rsid w:val="00265F75"/>
    <w:rsid w:val="00275FC5"/>
    <w:rsid w:val="00276D2A"/>
    <w:rsid w:val="00277874"/>
    <w:rsid w:val="0029198A"/>
    <w:rsid w:val="002940F8"/>
    <w:rsid w:val="002A062A"/>
    <w:rsid w:val="002B176C"/>
    <w:rsid w:val="002B7856"/>
    <w:rsid w:val="002C6612"/>
    <w:rsid w:val="002C77BC"/>
    <w:rsid w:val="002D3BBD"/>
    <w:rsid w:val="002D4526"/>
    <w:rsid w:val="002D604C"/>
    <w:rsid w:val="002D69E1"/>
    <w:rsid w:val="002E18A5"/>
    <w:rsid w:val="002E5711"/>
    <w:rsid w:val="002F5CF7"/>
    <w:rsid w:val="0030072F"/>
    <w:rsid w:val="003031E1"/>
    <w:rsid w:val="00303E1F"/>
    <w:rsid w:val="003056D9"/>
    <w:rsid w:val="003102FA"/>
    <w:rsid w:val="00310899"/>
    <w:rsid w:val="003169C7"/>
    <w:rsid w:val="00326AD1"/>
    <w:rsid w:val="0032742C"/>
    <w:rsid w:val="003307D4"/>
    <w:rsid w:val="00334580"/>
    <w:rsid w:val="00334D4B"/>
    <w:rsid w:val="00337BB0"/>
    <w:rsid w:val="00341887"/>
    <w:rsid w:val="0034309A"/>
    <w:rsid w:val="00351129"/>
    <w:rsid w:val="003603C8"/>
    <w:rsid w:val="0037321B"/>
    <w:rsid w:val="003743CA"/>
    <w:rsid w:val="0037575A"/>
    <w:rsid w:val="003A3EC6"/>
    <w:rsid w:val="003A4E87"/>
    <w:rsid w:val="003A6F70"/>
    <w:rsid w:val="003C23BE"/>
    <w:rsid w:val="003C28FC"/>
    <w:rsid w:val="003C2D10"/>
    <w:rsid w:val="003C7226"/>
    <w:rsid w:val="003D1C14"/>
    <w:rsid w:val="003E0A7C"/>
    <w:rsid w:val="003E7C23"/>
    <w:rsid w:val="003F0C49"/>
    <w:rsid w:val="003F4C9C"/>
    <w:rsid w:val="003F4CF7"/>
    <w:rsid w:val="00401065"/>
    <w:rsid w:val="0040475C"/>
    <w:rsid w:val="00410D1F"/>
    <w:rsid w:val="00411080"/>
    <w:rsid w:val="0041327F"/>
    <w:rsid w:val="00414E48"/>
    <w:rsid w:val="00414E7B"/>
    <w:rsid w:val="00416F64"/>
    <w:rsid w:val="004179B7"/>
    <w:rsid w:val="00422CE9"/>
    <w:rsid w:val="004251EE"/>
    <w:rsid w:val="004315BB"/>
    <w:rsid w:val="0044271B"/>
    <w:rsid w:val="00442EA9"/>
    <w:rsid w:val="00443646"/>
    <w:rsid w:val="0044475B"/>
    <w:rsid w:val="00450C8C"/>
    <w:rsid w:val="004525F5"/>
    <w:rsid w:val="00455CB3"/>
    <w:rsid w:val="004661D2"/>
    <w:rsid w:val="00466EF6"/>
    <w:rsid w:val="00470EE1"/>
    <w:rsid w:val="004776FF"/>
    <w:rsid w:val="004830EE"/>
    <w:rsid w:val="00493149"/>
    <w:rsid w:val="004B7325"/>
    <w:rsid w:val="004C40EA"/>
    <w:rsid w:val="004C5DE6"/>
    <w:rsid w:val="004C64D9"/>
    <w:rsid w:val="004D0A26"/>
    <w:rsid w:val="004E1B2C"/>
    <w:rsid w:val="00500FFD"/>
    <w:rsid w:val="005025BA"/>
    <w:rsid w:val="00505066"/>
    <w:rsid w:val="00516914"/>
    <w:rsid w:val="005236B6"/>
    <w:rsid w:val="005257FC"/>
    <w:rsid w:val="00531097"/>
    <w:rsid w:val="005318AB"/>
    <w:rsid w:val="005321E3"/>
    <w:rsid w:val="00552317"/>
    <w:rsid w:val="00552EFD"/>
    <w:rsid w:val="00562649"/>
    <w:rsid w:val="00575235"/>
    <w:rsid w:val="0058067E"/>
    <w:rsid w:val="0058639E"/>
    <w:rsid w:val="005870DF"/>
    <w:rsid w:val="0058776D"/>
    <w:rsid w:val="00592A18"/>
    <w:rsid w:val="005B773B"/>
    <w:rsid w:val="005C66D4"/>
    <w:rsid w:val="005C7D78"/>
    <w:rsid w:val="005D14C4"/>
    <w:rsid w:val="005D1946"/>
    <w:rsid w:val="005D20C2"/>
    <w:rsid w:val="005D6A91"/>
    <w:rsid w:val="005F0B50"/>
    <w:rsid w:val="005F35CE"/>
    <w:rsid w:val="005F3F7B"/>
    <w:rsid w:val="00612544"/>
    <w:rsid w:val="0061616C"/>
    <w:rsid w:val="006301B2"/>
    <w:rsid w:val="00634485"/>
    <w:rsid w:val="0063673D"/>
    <w:rsid w:val="00641575"/>
    <w:rsid w:val="00646A97"/>
    <w:rsid w:val="00663A16"/>
    <w:rsid w:val="006678E9"/>
    <w:rsid w:val="00672211"/>
    <w:rsid w:val="00672C7B"/>
    <w:rsid w:val="006824EF"/>
    <w:rsid w:val="00682D89"/>
    <w:rsid w:val="00684492"/>
    <w:rsid w:val="00684B8F"/>
    <w:rsid w:val="00694EB3"/>
    <w:rsid w:val="006967D4"/>
    <w:rsid w:val="00696991"/>
    <w:rsid w:val="006A0D56"/>
    <w:rsid w:val="006A496D"/>
    <w:rsid w:val="006A6FE9"/>
    <w:rsid w:val="006C0991"/>
    <w:rsid w:val="006C2DE2"/>
    <w:rsid w:val="006D6457"/>
    <w:rsid w:val="006E1D93"/>
    <w:rsid w:val="006E4874"/>
    <w:rsid w:val="006E6389"/>
    <w:rsid w:val="006E69EC"/>
    <w:rsid w:val="006F30F8"/>
    <w:rsid w:val="00702DEC"/>
    <w:rsid w:val="00704924"/>
    <w:rsid w:val="0071059B"/>
    <w:rsid w:val="00712BC2"/>
    <w:rsid w:val="0071346B"/>
    <w:rsid w:val="00721966"/>
    <w:rsid w:val="00724599"/>
    <w:rsid w:val="0073353E"/>
    <w:rsid w:val="00736C06"/>
    <w:rsid w:val="007416E3"/>
    <w:rsid w:val="00742010"/>
    <w:rsid w:val="007461C1"/>
    <w:rsid w:val="00772360"/>
    <w:rsid w:val="0078087A"/>
    <w:rsid w:val="00782352"/>
    <w:rsid w:val="007A4AB6"/>
    <w:rsid w:val="007B6E55"/>
    <w:rsid w:val="007C0FDA"/>
    <w:rsid w:val="007C3C0E"/>
    <w:rsid w:val="007C55DD"/>
    <w:rsid w:val="007D05D8"/>
    <w:rsid w:val="007D0FEE"/>
    <w:rsid w:val="007D516F"/>
    <w:rsid w:val="007E5B96"/>
    <w:rsid w:val="008027AE"/>
    <w:rsid w:val="00813335"/>
    <w:rsid w:val="00815919"/>
    <w:rsid w:val="00817883"/>
    <w:rsid w:val="008205F5"/>
    <w:rsid w:val="008217CD"/>
    <w:rsid w:val="00822F6A"/>
    <w:rsid w:val="00827787"/>
    <w:rsid w:val="00834789"/>
    <w:rsid w:val="00846A21"/>
    <w:rsid w:val="00847E60"/>
    <w:rsid w:val="008556C3"/>
    <w:rsid w:val="008562AB"/>
    <w:rsid w:val="00857921"/>
    <w:rsid w:val="0086018C"/>
    <w:rsid w:val="00876477"/>
    <w:rsid w:val="00892AFC"/>
    <w:rsid w:val="00893972"/>
    <w:rsid w:val="00896FFA"/>
    <w:rsid w:val="0089758E"/>
    <w:rsid w:val="008A1ED5"/>
    <w:rsid w:val="008C0700"/>
    <w:rsid w:val="008C0C70"/>
    <w:rsid w:val="008C17F2"/>
    <w:rsid w:val="008D1526"/>
    <w:rsid w:val="008D532B"/>
    <w:rsid w:val="008D584A"/>
    <w:rsid w:val="008D7F91"/>
    <w:rsid w:val="008F1BDD"/>
    <w:rsid w:val="008F5190"/>
    <w:rsid w:val="008F523C"/>
    <w:rsid w:val="008F7530"/>
    <w:rsid w:val="009038F2"/>
    <w:rsid w:val="009141A6"/>
    <w:rsid w:val="00926A92"/>
    <w:rsid w:val="0093343E"/>
    <w:rsid w:val="009338DC"/>
    <w:rsid w:val="00950555"/>
    <w:rsid w:val="00953EC8"/>
    <w:rsid w:val="00966E59"/>
    <w:rsid w:val="00973BF1"/>
    <w:rsid w:val="00975AA3"/>
    <w:rsid w:val="00975EB9"/>
    <w:rsid w:val="00976BAB"/>
    <w:rsid w:val="009773AF"/>
    <w:rsid w:val="00986740"/>
    <w:rsid w:val="00994FFE"/>
    <w:rsid w:val="009A271C"/>
    <w:rsid w:val="009A67F5"/>
    <w:rsid w:val="009B65F4"/>
    <w:rsid w:val="009C1066"/>
    <w:rsid w:val="009C1FB9"/>
    <w:rsid w:val="009C299B"/>
    <w:rsid w:val="009C2F32"/>
    <w:rsid w:val="009C46BF"/>
    <w:rsid w:val="009C4933"/>
    <w:rsid w:val="009C73B7"/>
    <w:rsid w:val="009D082E"/>
    <w:rsid w:val="009D63A9"/>
    <w:rsid w:val="009E5EDA"/>
    <w:rsid w:val="009F0F43"/>
    <w:rsid w:val="009F2942"/>
    <w:rsid w:val="00A02B98"/>
    <w:rsid w:val="00A032F1"/>
    <w:rsid w:val="00A04C79"/>
    <w:rsid w:val="00A14B1D"/>
    <w:rsid w:val="00A152A7"/>
    <w:rsid w:val="00A24EA2"/>
    <w:rsid w:val="00A34C3A"/>
    <w:rsid w:val="00A34EA2"/>
    <w:rsid w:val="00A3624F"/>
    <w:rsid w:val="00A40057"/>
    <w:rsid w:val="00A4593D"/>
    <w:rsid w:val="00A53958"/>
    <w:rsid w:val="00A53E9B"/>
    <w:rsid w:val="00A5418A"/>
    <w:rsid w:val="00A57A7A"/>
    <w:rsid w:val="00A60D1E"/>
    <w:rsid w:val="00A6652A"/>
    <w:rsid w:val="00A73612"/>
    <w:rsid w:val="00A77F5C"/>
    <w:rsid w:val="00A805F0"/>
    <w:rsid w:val="00A81140"/>
    <w:rsid w:val="00A81532"/>
    <w:rsid w:val="00A824CA"/>
    <w:rsid w:val="00A911A4"/>
    <w:rsid w:val="00A913AB"/>
    <w:rsid w:val="00A9597B"/>
    <w:rsid w:val="00A97B6B"/>
    <w:rsid w:val="00AA5409"/>
    <w:rsid w:val="00AB21DA"/>
    <w:rsid w:val="00AC03B3"/>
    <w:rsid w:val="00AC248E"/>
    <w:rsid w:val="00AC30E5"/>
    <w:rsid w:val="00AC3F99"/>
    <w:rsid w:val="00AD0AF6"/>
    <w:rsid w:val="00AD13E4"/>
    <w:rsid w:val="00AD3B94"/>
    <w:rsid w:val="00AD59F3"/>
    <w:rsid w:val="00AD6AAD"/>
    <w:rsid w:val="00AE2B18"/>
    <w:rsid w:val="00AF0B38"/>
    <w:rsid w:val="00AF3F82"/>
    <w:rsid w:val="00B106EA"/>
    <w:rsid w:val="00B11DB6"/>
    <w:rsid w:val="00B151A8"/>
    <w:rsid w:val="00B24B0E"/>
    <w:rsid w:val="00B27BE5"/>
    <w:rsid w:val="00B33501"/>
    <w:rsid w:val="00B337A5"/>
    <w:rsid w:val="00B35A45"/>
    <w:rsid w:val="00B36D1D"/>
    <w:rsid w:val="00B4641E"/>
    <w:rsid w:val="00B46E78"/>
    <w:rsid w:val="00B47F5A"/>
    <w:rsid w:val="00B5072E"/>
    <w:rsid w:val="00B53290"/>
    <w:rsid w:val="00B54145"/>
    <w:rsid w:val="00B54AFD"/>
    <w:rsid w:val="00B57FE6"/>
    <w:rsid w:val="00B64C77"/>
    <w:rsid w:val="00B650A8"/>
    <w:rsid w:val="00B672EA"/>
    <w:rsid w:val="00B80485"/>
    <w:rsid w:val="00B92807"/>
    <w:rsid w:val="00B95BF7"/>
    <w:rsid w:val="00BA68A2"/>
    <w:rsid w:val="00BB733E"/>
    <w:rsid w:val="00BC4A25"/>
    <w:rsid w:val="00BC5D71"/>
    <w:rsid w:val="00BD4F4B"/>
    <w:rsid w:val="00BD6845"/>
    <w:rsid w:val="00BD7483"/>
    <w:rsid w:val="00C13853"/>
    <w:rsid w:val="00C1644D"/>
    <w:rsid w:val="00C25A6E"/>
    <w:rsid w:val="00C30621"/>
    <w:rsid w:val="00C307F0"/>
    <w:rsid w:val="00C4493E"/>
    <w:rsid w:val="00C45D58"/>
    <w:rsid w:val="00C61141"/>
    <w:rsid w:val="00C62D72"/>
    <w:rsid w:val="00C67120"/>
    <w:rsid w:val="00C766EF"/>
    <w:rsid w:val="00C80F8C"/>
    <w:rsid w:val="00C8239C"/>
    <w:rsid w:val="00C92D88"/>
    <w:rsid w:val="00CA047D"/>
    <w:rsid w:val="00CA19BB"/>
    <w:rsid w:val="00CA44CE"/>
    <w:rsid w:val="00CB55DD"/>
    <w:rsid w:val="00CC5EAB"/>
    <w:rsid w:val="00CD13BC"/>
    <w:rsid w:val="00CF30E8"/>
    <w:rsid w:val="00CF52E6"/>
    <w:rsid w:val="00D01B99"/>
    <w:rsid w:val="00D2267B"/>
    <w:rsid w:val="00D22D87"/>
    <w:rsid w:val="00D34604"/>
    <w:rsid w:val="00D46C00"/>
    <w:rsid w:val="00D519F3"/>
    <w:rsid w:val="00D557C2"/>
    <w:rsid w:val="00D64F32"/>
    <w:rsid w:val="00D8548D"/>
    <w:rsid w:val="00D93CE4"/>
    <w:rsid w:val="00DA5209"/>
    <w:rsid w:val="00DB3CA6"/>
    <w:rsid w:val="00DC2B73"/>
    <w:rsid w:val="00DC4499"/>
    <w:rsid w:val="00DD6A6C"/>
    <w:rsid w:val="00DE1735"/>
    <w:rsid w:val="00DE4DBD"/>
    <w:rsid w:val="00DF5AE9"/>
    <w:rsid w:val="00DF733A"/>
    <w:rsid w:val="00E10A96"/>
    <w:rsid w:val="00E110E2"/>
    <w:rsid w:val="00E146AA"/>
    <w:rsid w:val="00E2288D"/>
    <w:rsid w:val="00E27F2A"/>
    <w:rsid w:val="00E313C4"/>
    <w:rsid w:val="00E42755"/>
    <w:rsid w:val="00E43B8E"/>
    <w:rsid w:val="00E45B76"/>
    <w:rsid w:val="00E46383"/>
    <w:rsid w:val="00E50E30"/>
    <w:rsid w:val="00E65D80"/>
    <w:rsid w:val="00E76ECF"/>
    <w:rsid w:val="00E80760"/>
    <w:rsid w:val="00E8209A"/>
    <w:rsid w:val="00E83F7D"/>
    <w:rsid w:val="00E9049A"/>
    <w:rsid w:val="00E91A10"/>
    <w:rsid w:val="00E937EF"/>
    <w:rsid w:val="00E96710"/>
    <w:rsid w:val="00EA27CB"/>
    <w:rsid w:val="00EA5EEB"/>
    <w:rsid w:val="00EA7874"/>
    <w:rsid w:val="00EB7480"/>
    <w:rsid w:val="00EB7DE6"/>
    <w:rsid w:val="00EB7F1A"/>
    <w:rsid w:val="00EC0002"/>
    <w:rsid w:val="00ED12FD"/>
    <w:rsid w:val="00ED3510"/>
    <w:rsid w:val="00ED5EE9"/>
    <w:rsid w:val="00EF3C26"/>
    <w:rsid w:val="00F055BE"/>
    <w:rsid w:val="00F06505"/>
    <w:rsid w:val="00F35AE1"/>
    <w:rsid w:val="00F35FB9"/>
    <w:rsid w:val="00F36CDE"/>
    <w:rsid w:val="00F40C05"/>
    <w:rsid w:val="00F44E84"/>
    <w:rsid w:val="00F525B6"/>
    <w:rsid w:val="00F548A9"/>
    <w:rsid w:val="00F54D8B"/>
    <w:rsid w:val="00F57D55"/>
    <w:rsid w:val="00F92952"/>
    <w:rsid w:val="00F92F15"/>
    <w:rsid w:val="00F9624E"/>
    <w:rsid w:val="00FA05FB"/>
    <w:rsid w:val="00FA501B"/>
    <w:rsid w:val="00FA5B44"/>
    <w:rsid w:val="00FA6221"/>
    <w:rsid w:val="00FB1DF3"/>
    <w:rsid w:val="00FB48D6"/>
    <w:rsid w:val="00FE7408"/>
    <w:rsid w:val="00FF063A"/>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3AAD47DC-0E22-4B9E-BADD-77457D05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Textoindependiente">
    <w:name w:val="Body Text"/>
    <w:basedOn w:val="Normal"/>
    <w:link w:val="TextoindependienteCar"/>
    <w:uiPriority w:val="1"/>
    <w:qFormat/>
    <w:rsid w:val="00A9597B"/>
    <w:pPr>
      <w:widowControl w:val="0"/>
      <w:ind w:left="20"/>
    </w:pPr>
    <w:rPr>
      <w:rFonts w:cstheme="minorBidi"/>
      <w:sz w:val="25"/>
      <w:szCs w:val="25"/>
      <w:lang w:val="en-US" w:eastAsia="en-US"/>
    </w:rPr>
  </w:style>
  <w:style w:type="character" w:customStyle="1" w:styleId="TextoindependienteCar">
    <w:name w:val="Texto independiente Car"/>
    <w:basedOn w:val="Fuentedeprrafopredeter"/>
    <w:link w:val="Textoindependiente"/>
    <w:uiPriority w:val="1"/>
    <w:rsid w:val="00A9597B"/>
    <w:rPr>
      <w:rFonts w:ascii="Times New Roman" w:eastAsia="Times New Roman" w:hAnsi="Times New Roman"/>
      <w:sz w:val="25"/>
      <w:szCs w:val="2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23007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6C25B-4150-43A2-9CB7-69C51B3E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5</Pages>
  <Words>1238</Words>
  <Characters>6812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2019-11-25T20:34:00Z</cp:lastPrinted>
  <dcterms:created xsi:type="dcterms:W3CDTF">2019-11-25T18:27:00Z</dcterms:created>
  <dcterms:modified xsi:type="dcterms:W3CDTF">2019-12-19T01:15:00Z</dcterms:modified>
</cp:coreProperties>
</file>