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F7" w:rsidRPr="00AD2A55" w:rsidRDefault="00AF50AE"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Resolución </w:t>
      </w:r>
      <w:r w:rsidR="00555CF7" w:rsidRPr="00AD2A55">
        <w:rPr>
          <w:rFonts w:ascii="Palatino Linotype" w:eastAsia="Times New Roman" w:hAnsi="Palatino Linotype" w:cs="Arial"/>
          <w:color w:val="000000"/>
          <w:sz w:val="24"/>
          <w:szCs w:val="24"/>
          <w:lang w:eastAsia="es-MX"/>
        </w:rPr>
        <w:t xml:space="preserve">del Pleno del Instituto de Transparencia, Acceso a la Información Pública y Protección de Datos Personales del Estado de México y Municipios, con domicilio en Metepec, Estado de México, </w:t>
      </w:r>
      <w:r w:rsidR="00555CF7" w:rsidRPr="00CC3652">
        <w:rPr>
          <w:rFonts w:ascii="Palatino Linotype" w:eastAsia="Times New Roman" w:hAnsi="Palatino Linotype" w:cs="Arial"/>
          <w:color w:val="000000"/>
          <w:sz w:val="24"/>
          <w:szCs w:val="24"/>
          <w:lang w:eastAsia="es-MX"/>
        </w:rPr>
        <w:t>a</w:t>
      </w:r>
      <w:r w:rsidR="00555CF7">
        <w:rPr>
          <w:rFonts w:ascii="Palatino Linotype" w:eastAsia="Times New Roman" w:hAnsi="Palatino Linotype" w:cs="Arial"/>
          <w:color w:val="000000"/>
          <w:sz w:val="24"/>
          <w:szCs w:val="24"/>
          <w:lang w:eastAsia="es-MX"/>
        </w:rPr>
        <w:t xml:space="preserve"> </w:t>
      </w:r>
      <w:r w:rsidR="00E83CAF" w:rsidRPr="00E83CAF">
        <w:rPr>
          <w:rFonts w:ascii="Palatino Linotype" w:eastAsia="Times New Roman" w:hAnsi="Palatino Linotype" w:cs="Arial"/>
          <w:color w:val="000000"/>
          <w:sz w:val="24"/>
          <w:szCs w:val="24"/>
          <w:lang w:eastAsia="es-MX"/>
        </w:rPr>
        <w:t>diecinueve de septiembre</w:t>
      </w:r>
      <w:r w:rsidR="00E83CAF">
        <w:rPr>
          <w:rFonts w:ascii="Palatino Linotype" w:eastAsia="Times New Roman" w:hAnsi="Palatino Linotype" w:cs="Arial"/>
          <w:color w:val="000000"/>
          <w:sz w:val="24"/>
          <w:szCs w:val="24"/>
          <w:lang w:eastAsia="es-MX"/>
        </w:rPr>
        <w:t xml:space="preserve"> </w:t>
      </w:r>
      <w:r w:rsidR="00555CF7" w:rsidRPr="00CC3652">
        <w:rPr>
          <w:rFonts w:ascii="Palatino Linotype" w:eastAsia="Times New Roman" w:hAnsi="Palatino Linotype" w:cs="Arial"/>
          <w:color w:val="000000"/>
          <w:sz w:val="24"/>
          <w:szCs w:val="24"/>
          <w:lang w:eastAsia="es-MX"/>
        </w:rPr>
        <w:t>de dos mil dieci</w:t>
      </w:r>
      <w:r w:rsidR="00555CF7">
        <w:rPr>
          <w:rFonts w:ascii="Palatino Linotype" w:eastAsia="Times New Roman" w:hAnsi="Palatino Linotype" w:cs="Arial"/>
          <w:color w:val="000000"/>
          <w:sz w:val="24"/>
          <w:szCs w:val="24"/>
          <w:lang w:eastAsia="es-MX"/>
        </w:rPr>
        <w:t>nueve</w:t>
      </w:r>
      <w:r w:rsidR="00555CF7" w:rsidRPr="00CC3652">
        <w:rPr>
          <w:rFonts w:ascii="Palatino Linotype" w:eastAsia="Times New Roman" w:hAnsi="Palatino Linotype" w:cs="Arial"/>
          <w:color w:val="000000"/>
          <w:sz w:val="24"/>
          <w:szCs w:val="24"/>
          <w:lang w:eastAsia="es-MX"/>
        </w:rPr>
        <w:t>.</w:t>
      </w:r>
    </w:p>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55CF7" w:rsidRPr="00286B5C" w:rsidRDefault="00555CF7" w:rsidP="00746E80">
      <w:pPr>
        <w:tabs>
          <w:tab w:val="left" w:pos="1701"/>
        </w:tabs>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017F1E">
        <w:rPr>
          <w:rFonts w:ascii="Palatino Linotype" w:hAnsi="Palatino Linotype" w:cs="Arial"/>
          <w:b/>
          <w:bCs/>
          <w:sz w:val="24"/>
          <w:szCs w:val="24"/>
          <w:lang w:eastAsia="es-MX"/>
        </w:rPr>
        <w:t>6100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sidR="002C1035">
        <w:rPr>
          <w:rFonts w:ascii="Palatino Linotype" w:hAnsi="Palatino Linotype" w:cs="Arial"/>
          <w:sz w:val="24"/>
          <w:szCs w:val="24"/>
        </w:rPr>
        <w:t xml:space="preserve"> </w:t>
      </w:r>
      <w:r w:rsidR="00544FF5">
        <w:rPr>
          <w:rFonts w:ascii="Palatino Linotype" w:hAnsi="Palatino Linotype" w:cs="Arial"/>
          <w:sz w:val="24"/>
          <w:szCs w:val="24"/>
        </w:rPr>
        <w:t>l</w:t>
      </w:r>
      <w:r w:rsidR="002C1035">
        <w:rPr>
          <w:rFonts w:ascii="Palatino Linotype" w:hAnsi="Palatino Linotype" w:cs="Arial"/>
          <w:sz w:val="24"/>
          <w:szCs w:val="24"/>
        </w:rPr>
        <w:t>a</w:t>
      </w:r>
      <w:r w:rsidR="00544FF5">
        <w:rPr>
          <w:rFonts w:ascii="Palatino Linotype" w:hAnsi="Palatino Linotype" w:cs="Arial"/>
          <w:sz w:val="24"/>
          <w:szCs w:val="24"/>
        </w:rPr>
        <w:t xml:space="preserve"> C.</w:t>
      </w:r>
      <w:r w:rsidR="00544FF5" w:rsidRPr="00017F1E">
        <w:rPr>
          <w:rFonts w:ascii="Palatino Linotype" w:hAnsi="Palatino Linotype" w:cs="Arial"/>
          <w:b/>
          <w:sz w:val="24"/>
          <w:szCs w:val="24"/>
        </w:rPr>
        <w:t xml:space="preserve"> </w:t>
      </w:r>
      <w:r w:rsidR="000D25D3">
        <w:rPr>
          <w:rFonts w:ascii="Palatino Linotype" w:hAnsi="Palatino Linotype" w:cs="Arial"/>
          <w:b/>
          <w:sz w:val="24"/>
          <w:szCs w:val="24"/>
        </w:rPr>
        <w:t>XXXXXXXXXXXXX</w:t>
      </w:r>
      <w:r w:rsidR="004B4EA9">
        <w:rPr>
          <w:rFonts w:ascii="Palatino Linotype" w:hAnsi="Palatino Linotype" w:cs="Arial"/>
          <w:b/>
          <w:sz w:val="24"/>
          <w:szCs w:val="24"/>
        </w:rPr>
        <w:t>,</w:t>
      </w:r>
      <w:r w:rsidR="00EF70D8">
        <w:rPr>
          <w:rFonts w:ascii="Palatino Linotype" w:hAnsi="Palatino Linotype" w:cs="Arial"/>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 xml:space="preserve">el </w:t>
      </w:r>
      <w:r w:rsidR="00544FF5">
        <w:rPr>
          <w:rFonts w:ascii="Palatino Linotype" w:hAnsi="Palatino Linotype" w:cs="Arial"/>
          <w:b/>
          <w:sz w:val="24"/>
          <w:szCs w:val="24"/>
        </w:rPr>
        <w:t>Recurrente</w:t>
      </w:r>
      <w:r w:rsidRPr="00AD2A55">
        <w:rPr>
          <w:rFonts w:ascii="Palatino Linotype" w:hAnsi="Palatino Linotype" w:cs="Arial"/>
          <w:sz w:val="24"/>
          <w:szCs w:val="24"/>
        </w:rPr>
        <w:t xml:space="preserve">, en contra de la </w:t>
      </w:r>
      <w:r w:rsidR="00664321">
        <w:rPr>
          <w:rFonts w:ascii="Palatino Linotype" w:hAnsi="Palatino Linotype" w:cs="Arial"/>
          <w:sz w:val="24"/>
          <w:szCs w:val="24"/>
        </w:rPr>
        <w:t xml:space="preserve">falta de </w:t>
      </w:r>
      <w:r w:rsidRPr="00AD2A55">
        <w:rPr>
          <w:rFonts w:ascii="Palatino Linotype" w:hAnsi="Palatino Linotype" w:cs="Arial"/>
          <w:sz w:val="24"/>
          <w:szCs w:val="24"/>
        </w:rPr>
        <w:t xml:space="preserve">respuesta del </w:t>
      </w:r>
      <w:r w:rsidRPr="00555CF7">
        <w:rPr>
          <w:rFonts w:ascii="Palatino Linotype" w:hAnsi="Palatino Linotype" w:cs="Arial"/>
          <w:b/>
          <w:sz w:val="24"/>
          <w:szCs w:val="24"/>
        </w:rPr>
        <w:t xml:space="preserve">Ayuntamiento de </w:t>
      </w:r>
      <w:r w:rsidR="00017F1E">
        <w:rPr>
          <w:rFonts w:ascii="Palatino Linotype" w:hAnsi="Palatino Linotype" w:cs="Arial"/>
          <w:b/>
          <w:sz w:val="24"/>
          <w:szCs w:val="24"/>
        </w:rPr>
        <w:t>Cuautitlán</w:t>
      </w:r>
      <w:r w:rsidR="004B4EA9" w:rsidRPr="00631855">
        <w:rPr>
          <w:rFonts w:ascii="Palatino Linotype" w:hAnsi="Palatino Linotype" w:cs="Arial"/>
          <w:sz w:val="24"/>
          <w:szCs w:val="24"/>
        </w:rPr>
        <w:t>,</w:t>
      </w:r>
      <w:r w:rsidR="004B4EA9"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sidR="00544FF5" w:rsidRPr="00AD2A55">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555CF7" w:rsidRPr="00AD2A55" w:rsidRDefault="00555CF7" w:rsidP="00746E80">
      <w:pPr>
        <w:tabs>
          <w:tab w:val="left" w:pos="6960"/>
        </w:tabs>
        <w:spacing w:after="0" w:line="360" w:lineRule="auto"/>
        <w:jc w:val="both"/>
        <w:rPr>
          <w:rFonts w:ascii="Palatino Linotype" w:hAnsi="Palatino Linotype" w:cs="Arial"/>
          <w:sz w:val="24"/>
          <w:szCs w:val="24"/>
        </w:rPr>
      </w:pPr>
    </w:p>
    <w:p w:rsidR="00555CF7" w:rsidRPr="007763F3" w:rsidRDefault="00555CF7" w:rsidP="00746E8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555CF7" w:rsidRPr="00D23436" w:rsidRDefault="00555CF7" w:rsidP="00746E80">
      <w:pPr>
        <w:spacing w:after="0" w:line="360" w:lineRule="auto"/>
        <w:rPr>
          <w:rFonts w:ascii="Palatino Linotype" w:hAnsi="Palatino Linotype" w:cs="Arial"/>
          <w:b/>
          <w:sz w:val="24"/>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017F1E">
        <w:rPr>
          <w:rFonts w:ascii="Palatino Linotype" w:hAnsi="Palatino Linotype" w:cs="Arial"/>
          <w:sz w:val="24"/>
          <w:szCs w:val="24"/>
        </w:rPr>
        <w:t>siete de junio</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Recurrente</w:t>
      </w:r>
      <w:r w:rsidR="00544FF5" w:rsidRPr="00AD2A55">
        <w:rPr>
          <w:rFonts w:ascii="Palatino Linotype" w:hAnsi="Palatino Linotype" w:cs="Arial"/>
          <w:sz w:val="24"/>
          <w:szCs w:val="24"/>
        </w:rPr>
        <w:t xml:space="preserve"> </w:t>
      </w:r>
      <w:r w:rsidRPr="00AD2A55">
        <w:rPr>
          <w:rFonts w:ascii="Palatino Linotype" w:hAnsi="Palatino Linotype" w:cs="Arial"/>
          <w:sz w:val="24"/>
          <w:szCs w:val="24"/>
        </w:rPr>
        <w:t>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017F1E" w:rsidRPr="00065F66">
        <w:rPr>
          <w:rFonts w:ascii="Palatino Linotype" w:hAnsi="Palatino Linotype" w:cs="Arial"/>
          <w:b/>
          <w:sz w:val="24"/>
          <w:szCs w:val="24"/>
        </w:rPr>
        <w:t>00115/CUAUTIT/IP/2019</w:t>
      </w:r>
      <w:r w:rsidRPr="00E60668">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555CF7" w:rsidRPr="00751E6A" w:rsidRDefault="00555CF7" w:rsidP="00746E80">
      <w:pPr>
        <w:spacing w:after="0" w:line="360" w:lineRule="auto"/>
        <w:ind w:left="851" w:right="850"/>
        <w:jc w:val="both"/>
        <w:rPr>
          <w:rFonts w:ascii="Palatino Linotype" w:hAnsi="Palatino Linotype" w:cs="Arial"/>
          <w:i/>
          <w:sz w:val="20"/>
          <w:szCs w:val="24"/>
        </w:rPr>
      </w:pPr>
    </w:p>
    <w:p w:rsidR="00555CF7" w:rsidRPr="00065F66" w:rsidRDefault="00555CF7" w:rsidP="00065F66">
      <w:pPr>
        <w:ind w:left="851" w:right="850"/>
        <w:jc w:val="both"/>
        <w:rPr>
          <w:rFonts w:ascii="Palatino Linotype" w:eastAsia="Times New Roman" w:hAnsi="Palatino Linotype" w:cs="Times New Roman"/>
          <w:i/>
          <w:lang w:eastAsia="es-MX"/>
        </w:rPr>
      </w:pPr>
      <w:r w:rsidRPr="00065F66">
        <w:rPr>
          <w:rFonts w:ascii="Palatino Linotype" w:eastAsia="Times New Roman" w:hAnsi="Palatino Linotype" w:cs="Times New Roman"/>
          <w:i/>
          <w:lang w:eastAsia="es-ES"/>
        </w:rPr>
        <w:t>“</w:t>
      </w:r>
      <w:r w:rsidR="00065F66" w:rsidRPr="00065F66">
        <w:rPr>
          <w:rFonts w:ascii="Palatino Linotype" w:eastAsia="Times New Roman" w:hAnsi="Palatino Linotype" w:cs="Times New Roman"/>
          <w:i/>
          <w:lang w:eastAsia="es-MX"/>
        </w:rPr>
        <w:t>todas las facturas del mes de enero, febrero, marzo y abril en versión publica con su respectivo acuerdo</w:t>
      </w:r>
      <w:r w:rsidRPr="00065F66">
        <w:rPr>
          <w:rFonts w:ascii="Palatino Linotype" w:eastAsia="Times New Roman" w:hAnsi="Palatino Linotype" w:cs="Times New Roman"/>
          <w:i/>
          <w:lang w:eastAsia="es-ES"/>
        </w:rPr>
        <w:t>”</w:t>
      </w:r>
      <w:r w:rsidRPr="00065F66">
        <w:rPr>
          <w:rFonts w:ascii="Palatino Linotype" w:eastAsia="Times New Roman" w:hAnsi="Palatino Linotype" w:cs="Times New Roman"/>
          <w:i/>
          <w:lang w:val="es-ES_tradnl" w:eastAsia="es-ES"/>
        </w:rPr>
        <w:t xml:space="preserve"> (sic).</w:t>
      </w:r>
    </w:p>
    <w:p w:rsidR="00555CF7" w:rsidRDefault="00555CF7" w:rsidP="00746E8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B6EFE" w:rsidRPr="00201765" w:rsidRDefault="006B6EFE" w:rsidP="006B6EF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electrónico del SAIMEX, se aprecia que la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555CF7" w:rsidRDefault="00555CF7" w:rsidP="00746E80">
      <w:pPr>
        <w:spacing w:after="0" w:line="360" w:lineRule="auto"/>
        <w:jc w:val="both"/>
        <w:rPr>
          <w:rFonts w:ascii="Palatino Linotype" w:hAnsi="Palatino Linotype" w:cs="Arial"/>
          <w:b/>
          <w:sz w:val="24"/>
          <w:szCs w:val="24"/>
        </w:rPr>
      </w:pPr>
    </w:p>
    <w:p w:rsidR="00555CF7" w:rsidRPr="00E60668" w:rsidRDefault="00E60668" w:rsidP="00746E80">
      <w:pPr>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SEGUNDO</w:t>
      </w:r>
      <w:r w:rsidR="006D1138">
        <w:rPr>
          <w:rFonts w:ascii="Palatino Linotype" w:hAnsi="Palatino Linotype" w:cs="Arial"/>
          <w:b/>
          <w:sz w:val="28"/>
          <w:szCs w:val="24"/>
        </w:rPr>
        <w:t xml:space="preserve">. </w:t>
      </w:r>
      <w:r w:rsidR="006D1138" w:rsidRPr="006D1138">
        <w:rPr>
          <w:rFonts w:ascii="Palatino Linotype" w:hAnsi="Palatino Linotype" w:cs="Arial"/>
          <w:b/>
          <w:sz w:val="24"/>
          <w:szCs w:val="24"/>
        </w:rPr>
        <w:t xml:space="preserve">De la </w:t>
      </w:r>
      <w:r w:rsidR="00065F66">
        <w:rPr>
          <w:rFonts w:ascii="Palatino Linotype" w:hAnsi="Palatino Linotype" w:cs="Arial"/>
          <w:b/>
          <w:sz w:val="24"/>
          <w:szCs w:val="24"/>
        </w:rPr>
        <w:t>solicitud de aclaración</w:t>
      </w:r>
      <w:r w:rsidR="00555CF7" w:rsidRPr="002751F6">
        <w:rPr>
          <w:rFonts w:ascii="Palatino Linotype" w:hAnsi="Palatino Linotype" w:cs="Arial"/>
          <w:b/>
          <w:sz w:val="24"/>
          <w:szCs w:val="24"/>
        </w:rPr>
        <w:t xml:space="preserve">. </w:t>
      </w:r>
    </w:p>
    <w:p w:rsidR="00065F66" w:rsidRDefault="00065F66"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En fecha doce de junio de dos mil diecinueve, el Sujeto Obligado informo al particular lo siguiente:</w:t>
      </w:r>
    </w:p>
    <w:p w:rsidR="00065F66" w:rsidRDefault="00065F66" w:rsidP="00746E80">
      <w:pPr>
        <w:spacing w:after="0" w:line="360" w:lineRule="auto"/>
        <w:jc w:val="both"/>
        <w:rPr>
          <w:rFonts w:ascii="Palatino Linotype" w:hAnsi="Palatino Linotype" w:cs="Arial"/>
          <w:sz w:val="24"/>
          <w:szCs w:val="24"/>
        </w:rPr>
      </w:pPr>
      <w:r>
        <w:rPr>
          <w:noProof/>
          <w:lang w:eastAsia="es-MX"/>
        </w:rPr>
        <w:drawing>
          <wp:inline distT="0" distB="0" distL="0" distR="0" wp14:anchorId="56C9DF2D" wp14:editId="3816798F">
            <wp:extent cx="5391150" cy="1999367"/>
            <wp:effectExtent l="190500" t="190500" r="190500" b="19177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471" t="42033" r="25595" b="25045"/>
                    <a:stretch/>
                  </pic:blipFill>
                  <pic:spPr bwMode="auto">
                    <a:xfrm>
                      <a:off x="0" y="0"/>
                      <a:ext cx="5422863" cy="201112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065F66" w:rsidRDefault="00065F66" w:rsidP="00746E80">
      <w:pPr>
        <w:spacing w:after="0" w:line="360" w:lineRule="auto"/>
        <w:jc w:val="both"/>
        <w:rPr>
          <w:rFonts w:ascii="Palatino Linotype" w:hAnsi="Palatino Linotype" w:cs="Arial"/>
          <w:b/>
          <w:sz w:val="24"/>
          <w:szCs w:val="24"/>
        </w:rPr>
      </w:pPr>
      <w:r w:rsidRPr="006D1138">
        <w:rPr>
          <w:rFonts w:ascii="Palatino Linotype" w:hAnsi="Palatino Linotype" w:cs="Arial"/>
          <w:b/>
          <w:sz w:val="24"/>
          <w:szCs w:val="24"/>
        </w:rPr>
        <w:t xml:space="preserve">De la </w:t>
      </w:r>
      <w:r>
        <w:rPr>
          <w:rFonts w:ascii="Palatino Linotype" w:hAnsi="Palatino Linotype" w:cs="Arial"/>
          <w:b/>
          <w:sz w:val="24"/>
          <w:szCs w:val="24"/>
        </w:rPr>
        <w:t>aclaración</w:t>
      </w:r>
      <w:r w:rsidRPr="002751F6">
        <w:rPr>
          <w:rFonts w:ascii="Palatino Linotype" w:hAnsi="Palatino Linotype" w:cs="Arial"/>
          <w:b/>
          <w:sz w:val="24"/>
          <w:szCs w:val="24"/>
        </w:rPr>
        <w:t>.</w:t>
      </w:r>
    </w:p>
    <w:p w:rsidR="00065F66" w:rsidRDefault="00065F66"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En fecha catorce de junio de la presente anualidad, el particular atendió la solicitud de información en los siguientes términos:</w:t>
      </w:r>
    </w:p>
    <w:p w:rsidR="00065F66" w:rsidRDefault="00065F66" w:rsidP="00746E80">
      <w:pPr>
        <w:spacing w:after="0" w:line="360" w:lineRule="auto"/>
        <w:jc w:val="both"/>
        <w:rPr>
          <w:rFonts w:ascii="Palatino Linotype" w:hAnsi="Palatino Linotype" w:cs="Arial"/>
          <w:sz w:val="24"/>
          <w:szCs w:val="24"/>
        </w:rPr>
      </w:pPr>
      <w:r>
        <w:rPr>
          <w:noProof/>
          <w:lang w:eastAsia="es-MX"/>
        </w:rPr>
        <w:drawing>
          <wp:inline distT="0" distB="0" distL="0" distR="0" wp14:anchorId="07DFAD33" wp14:editId="37522D8D">
            <wp:extent cx="5229225" cy="1568768"/>
            <wp:effectExtent l="190500" t="190500" r="180975" b="18415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275" t="43504" r="53042" b="35332"/>
                    <a:stretch/>
                  </pic:blipFill>
                  <pic:spPr bwMode="auto">
                    <a:xfrm>
                      <a:off x="0" y="0"/>
                      <a:ext cx="5243715" cy="157311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065F66" w:rsidRDefault="00065F66" w:rsidP="00746E80">
      <w:pPr>
        <w:spacing w:after="0" w:line="360" w:lineRule="auto"/>
        <w:jc w:val="both"/>
        <w:rPr>
          <w:rFonts w:ascii="Palatino Linotype" w:hAnsi="Palatino Linotype" w:cs="Arial"/>
          <w:sz w:val="24"/>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00046823" w:rsidRPr="00046823">
        <w:rPr>
          <w:rFonts w:ascii="Palatino Linotype" w:hAnsi="Palatino Linotype" w:cs="Arial"/>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00046823" w:rsidRPr="00046823">
        <w:rPr>
          <w:rFonts w:ascii="Palatino Linotype" w:hAnsi="Palatino Linotype" w:cs="Arial"/>
          <w:sz w:val="24"/>
          <w:szCs w:val="24"/>
        </w:rPr>
        <w:t>Recurrente</w:t>
      </w:r>
      <w:r w:rsidRPr="00AD2A55">
        <w:rPr>
          <w:rFonts w:ascii="Palatino Linotype" w:hAnsi="Palatino Linotype" w:cs="Arial"/>
          <w:sz w:val="24"/>
          <w:szCs w:val="24"/>
        </w:rPr>
        <w:t xml:space="preserve"> en fecha </w:t>
      </w:r>
      <w:r w:rsidR="00B72CA8">
        <w:rPr>
          <w:rFonts w:ascii="Palatino Linotype" w:hAnsi="Palatino Linotype" w:cs="Arial"/>
          <w:sz w:val="24"/>
          <w:szCs w:val="24"/>
        </w:rPr>
        <w:t>ocho de julio</w:t>
      </w:r>
      <w:r>
        <w:rPr>
          <w:rFonts w:ascii="Palatino Linotype" w:hAnsi="Palatino Linotype" w:cs="Arial"/>
          <w:sz w:val="24"/>
          <w:szCs w:val="24"/>
        </w:rPr>
        <w:t xml:space="preserve">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 xml:space="preserve">fue </w:t>
      </w:r>
      <w:r w:rsidRPr="00AD2A55">
        <w:rPr>
          <w:rFonts w:ascii="Palatino Linotype" w:hAnsi="Palatino Linotype" w:cs="Arial"/>
          <w:sz w:val="24"/>
          <w:szCs w:val="24"/>
        </w:rPr>
        <w:lastRenderedPageBreak/>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B72CA8">
        <w:rPr>
          <w:rFonts w:ascii="Palatino Linotype" w:hAnsi="Palatino Linotype" w:cs="Arial"/>
          <w:b/>
          <w:bCs/>
          <w:sz w:val="24"/>
          <w:szCs w:val="24"/>
          <w:lang w:eastAsia="es-MX"/>
        </w:rPr>
        <w:t>6100</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lo siguiente:</w:t>
      </w:r>
    </w:p>
    <w:p w:rsidR="00555CF7" w:rsidRPr="00AD2A55" w:rsidRDefault="00555CF7" w:rsidP="00746E80">
      <w:pPr>
        <w:spacing w:after="0" w:line="360" w:lineRule="auto"/>
        <w:jc w:val="both"/>
        <w:rPr>
          <w:rFonts w:ascii="Palatino Linotype" w:hAnsi="Palatino Linotype" w:cs="Arial"/>
          <w:sz w:val="24"/>
          <w:szCs w:val="24"/>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r w:rsidR="001C27FB">
        <w:rPr>
          <w:rFonts w:ascii="Palatino Linotype" w:hAnsi="Palatino Linotype" w:cs="Arial"/>
          <w:b/>
        </w:rPr>
        <w:t>A</w:t>
      </w:r>
    </w:p>
    <w:p w:rsidR="00555CF7" w:rsidRPr="00B72CA8" w:rsidRDefault="00555CF7" w:rsidP="00355345">
      <w:pPr>
        <w:pStyle w:val="Prrafodelista"/>
        <w:ind w:left="567" w:right="567"/>
        <w:jc w:val="both"/>
        <w:rPr>
          <w:rFonts w:ascii="Palatino Linotype" w:hAnsi="Palatino Linotype" w:cs="Arial"/>
          <w:i/>
          <w:sz w:val="22"/>
          <w:szCs w:val="22"/>
        </w:rPr>
      </w:pPr>
      <w:r w:rsidRPr="00B72CA8">
        <w:rPr>
          <w:rFonts w:ascii="Palatino Linotype" w:hAnsi="Palatino Linotype" w:cs="Arial"/>
          <w:i/>
          <w:sz w:val="22"/>
          <w:szCs w:val="22"/>
        </w:rPr>
        <w:t>“</w:t>
      </w:r>
      <w:r w:rsidR="00B72CA8" w:rsidRPr="00B72CA8">
        <w:rPr>
          <w:rFonts w:ascii="Palatino Linotype" w:hAnsi="Palatino Linotype"/>
          <w:i/>
          <w:color w:val="000000"/>
          <w:sz w:val="22"/>
          <w:szCs w:val="22"/>
        </w:rPr>
        <w:t>RESPUESTA</w:t>
      </w:r>
      <w:r w:rsidR="00B35278" w:rsidRPr="00B72CA8">
        <w:rPr>
          <w:rFonts w:ascii="Palatino Linotype" w:hAnsi="Palatino Linotype"/>
          <w:i/>
          <w:color w:val="000000"/>
          <w:sz w:val="22"/>
          <w:szCs w:val="22"/>
        </w:rPr>
        <w:t>.</w:t>
      </w:r>
      <w:r w:rsidRPr="00B72CA8">
        <w:rPr>
          <w:rFonts w:ascii="Palatino Linotype" w:hAnsi="Palatino Linotype" w:cs="Arial"/>
          <w:i/>
          <w:sz w:val="22"/>
          <w:szCs w:val="22"/>
        </w:rPr>
        <w:t>”</w:t>
      </w:r>
    </w:p>
    <w:p w:rsidR="00555CF7" w:rsidRPr="00775155" w:rsidRDefault="00555CF7" w:rsidP="00746E80">
      <w:pPr>
        <w:pStyle w:val="Prrafodelista"/>
        <w:spacing w:line="360" w:lineRule="auto"/>
        <w:ind w:left="0"/>
        <w:jc w:val="both"/>
        <w:rPr>
          <w:rFonts w:ascii="Palatino Linotype" w:hAnsi="Palatino Linotype" w:cs="Arial"/>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555CF7" w:rsidRDefault="00555CF7" w:rsidP="00355345">
      <w:pPr>
        <w:spacing w:after="0" w:line="240" w:lineRule="auto"/>
        <w:ind w:left="567" w:right="567"/>
        <w:jc w:val="both"/>
        <w:rPr>
          <w:rFonts w:ascii="Palatino Linotype" w:hAnsi="Palatino Linotype"/>
          <w:i/>
          <w:color w:val="000000"/>
        </w:rPr>
      </w:pPr>
      <w:r w:rsidRPr="00B72CA8">
        <w:rPr>
          <w:rFonts w:ascii="Palatino Linotype" w:hAnsi="Palatino Linotype" w:cs="Arial"/>
          <w:i/>
        </w:rPr>
        <w:t>“</w:t>
      </w:r>
      <w:r w:rsidR="00B72CA8" w:rsidRPr="00B72CA8">
        <w:rPr>
          <w:rFonts w:ascii="Palatino Linotype" w:hAnsi="Palatino Linotype"/>
          <w:i/>
          <w:color w:val="000000"/>
        </w:rPr>
        <w:t>RESPUESTA</w:t>
      </w:r>
      <w:r w:rsidRPr="00B72CA8">
        <w:rPr>
          <w:rFonts w:ascii="Palatino Linotype" w:hAnsi="Palatino Linotype"/>
          <w:i/>
          <w:color w:val="000000"/>
        </w:rPr>
        <w:t>” (sic)</w:t>
      </w:r>
    </w:p>
    <w:p w:rsidR="00B72CA8" w:rsidRPr="00B72CA8" w:rsidRDefault="00B72CA8" w:rsidP="00355345">
      <w:pPr>
        <w:spacing w:after="0" w:line="240" w:lineRule="auto"/>
        <w:ind w:left="567" w:right="567"/>
        <w:jc w:val="both"/>
        <w:rPr>
          <w:rFonts w:ascii="Palatino Linotype" w:hAnsi="Palatino Linotype"/>
          <w:i/>
          <w:color w:val="000000"/>
        </w:rPr>
      </w:pPr>
    </w:p>
    <w:p w:rsidR="00B72CA8" w:rsidRPr="00355345" w:rsidRDefault="00B72CA8" w:rsidP="00355345">
      <w:pPr>
        <w:spacing w:after="0" w:line="240" w:lineRule="auto"/>
        <w:ind w:left="567" w:right="567"/>
        <w:jc w:val="both"/>
        <w:rPr>
          <w:rFonts w:ascii="Palatino Linotype" w:hAnsi="Palatino Linotype"/>
          <w:i/>
          <w:color w:val="000000"/>
        </w:rPr>
      </w:pPr>
    </w:p>
    <w:p w:rsidR="00555CF7" w:rsidRPr="008B6600" w:rsidRDefault="00555CF7" w:rsidP="00746E8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Medio de</w:t>
      </w:r>
      <w:r w:rsidR="00F52D23">
        <w:rPr>
          <w:rFonts w:ascii="Palatino Linotype" w:hAnsi="Palatino Linotype" w:cs="Arial"/>
          <w:sz w:val="24"/>
          <w:szCs w:val="24"/>
        </w:rPr>
        <w:t xml:space="preserve"> </w:t>
      </w:r>
      <w:r w:rsidRPr="00AD2A55">
        <w:rPr>
          <w:rFonts w:ascii="Palatino Linotype" w:hAnsi="Palatino Linotype" w:cs="Arial"/>
          <w:sz w:val="24"/>
          <w:szCs w:val="24"/>
        </w:rPr>
        <w:t xml:space="preserve">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B72CA8">
        <w:rPr>
          <w:rFonts w:ascii="Palatino Linotype" w:hAnsi="Palatino Linotype" w:cs="Arial"/>
          <w:sz w:val="24"/>
          <w:szCs w:val="24"/>
        </w:rPr>
        <w:t>doce de julio</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555CF7" w:rsidRDefault="00555CF7" w:rsidP="00746E80">
      <w:pPr>
        <w:spacing w:after="0" w:line="360" w:lineRule="auto"/>
        <w:jc w:val="both"/>
        <w:rPr>
          <w:rFonts w:ascii="Palatino Linotype" w:hAnsi="Palatino Linotype" w:cs="Arial"/>
          <w:sz w:val="24"/>
          <w:szCs w:val="24"/>
        </w:rPr>
      </w:pPr>
    </w:p>
    <w:p w:rsidR="00555CF7" w:rsidRPr="008B6600" w:rsidRDefault="00555CF7" w:rsidP="00746E8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B72CA8" w:rsidRDefault="00555CF7" w:rsidP="00185E06">
      <w:pPr>
        <w:spacing w:after="0" w:line="360" w:lineRule="auto"/>
        <w:jc w:val="both"/>
        <w:rPr>
          <w:rFonts w:ascii="Palatino Linotype" w:hAnsi="Palatino Linotype" w:cs="Arial"/>
          <w:sz w:val="24"/>
          <w:szCs w:val="24"/>
        </w:rPr>
      </w:pPr>
      <w:r w:rsidRPr="00B05319">
        <w:rPr>
          <w:rFonts w:ascii="Palatino Linotype" w:hAnsi="Palatino Linotype" w:cs="Arial"/>
          <w:sz w:val="24"/>
          <w:szCs w:val="24"/>
        </w:rPr>
        <w:t xml:space="preserve">Una vez abierta la etapa de instrucción, en el sumario se observa que el </w:t>
      </w:r>
      <w:r w:rsidR="00046823" w:rsidRPr="00B05319">
        <w:rPr>
          <w:rFonts w:ascii="Palatino Linotype" w:hAnsi="Palatino Linotype" w:cs="Arial"/>
          <w:sz w:val="24"/>
          <w:szCs w:val="24"/>
        </w:rPr>
        <w:t>Sujeto Obligado</w:t>
      </w:r>
      <w:r w:rsidR="00B72CA8" w:rsidRPr="00B05319">
        <w:rPr>
          <w:rFonts w:ascii="Palatino Linotype" w:hAnsi="Palatino Linotype" w:cs="Arial"/>
          <w:sz w:val="24"/>
          <w:szCs w:val="24"/>
        </w:rPr>
        <w:t xml:space="preserve"> en fecha veintisiete de agosto de dos mil diecinueve,</w:t>
      </w:r>
      <w:r w:rsidR="00046823" w:rsidRPr="00B05319">
        <w:rPr>
          <w:rFonts w:ascii="Palatino Linotype" w:hAnsi="Palatino Linotype" w:cs="Arial"/>
          <w:sz w:val="24"/>
          <w:szCs w:val="24"/>
        </w:rPr>
        <w:t xml:space="preserve"> </w:t>
      </w:r>
      <w:r w:rsidR="00B72CA8" w:rsidRPr="00B05319">
        <w:rPr>
          <w:rFonts w:ascii="Palatino Linotype" w:hAnsi="Palatino Linotype" w:cs="Arial"/>
          <w:sz w:val="24"/>
          <w:szCs w:val="24"/>
        </w:rPr>
        <w:t xml:space="preserve">remitió un documento el cual a groso modo indica </w:t>
      </w:r>
      <w:r w:rsidR="00CD4391" w:rsidRPr="00B05319">
        <w:rPr>
          <w:rFonts w:ascii="Palatino Linotype" w:hAnsi="Palatino Linotype" w:cs="Arial"/>
          <w:sz w:val="24"/>
          <w:szCs w:val="24"/>
        </w:rPr>
        <w:t>qu</w:t>
      </w:r>
      <w:r w:rsidR="00CD4391">
        <w:rPr>
          <w:rFonts w:ascii="Palatino Linotype" w:hAnsi="Palatino Linotype" w:cs="Arial"/>
          <w:sz w:val="24"/>
          <w:szCs w:val="24"/>
        </w:rPr>
        <w:t xml:space="preserve">e </w:t>
      </w:r>
      <w:r w:rsidR="00B05319">
        <w:rPr>
          <w:rFonts w:ascii="Palatino Linotype" w:hAnsi="Palatino Linotype" w:cs="Arial"/>
          <w:sz w:val="24"/>
          <w:szCs w:val="24"/>
        </w:rPr>
        <w:t xml:space="preserve">por su parte emitió una solicitud de aclaración manifestando que precise de que áreas requiere la información, dando como respuesta que requiere la información de todas la áreas, argumentando el Sujeto Obligado que no se aprecian elementos que permitan identificar la información requerida, esto a su </w:t>
      </w:r>
      <w:r w:rsidR="00B05319">
        <w:rPr>
          <w:rFonts w:ascii="Palatino Linotype" w:hAnsi="Palatino Linotype" w:cs="Arial"/>
          <w:sz w:val="24"/>
          <w:szCs w:val="24"/>
        </w:rPr>
        <w:lastRenderedPageBreak/>
        <w:t>vez hace que dificulte dar contestación a la misma puesto que en el H. Ayuntamiento que es el Sujeto Obligado se encuentran diversas áreas que presentan facturas por lo cual la solicitud de recurrente es vaga.</w:t>
      </w:r>
    </w:p>
    <w:p w:rsidR="00B05319" w:rsidRDefault="00B05319" w:rsidP="00185E06">
      <w:pPr>
        <w:spacing w:after="0" w:line="360" w:lineRule="auto"/>
        <w:jc w:val="both"/>
        <w:rPr>
          <w:rFonts w:ascii="Palatino Linotype" w:hAnsi="Palatino Linotype" w:cs="Arial"/>
          <w:sz w:val="24"/>
          <w:szCs w:val="24"/>
        </w:rPr>
      </w:pPr>
    </w:p>
    <w:p w:rsidR="00B05319" w:rsidRDefault="00B05319" w:rsidP="00185E06">
      <w:pPr>
        <w:spacing w:after="0" w:line="360" w:lineRule="auto"/>
        <w:jc w:val="both"/>
        <w:rPr>
          <w:rFonts w:ascii="Palatino Linotype" w:hAnsi="Palatino Linotype" w:cs="Arial"/>
          <w:sz w:val="24"/>
          <w:szCs w:val="24"/>
        </w:rPr>
      </w:pPr>
      <w:r>
        <w:rPr>
          <w:rFonts w:ascii="Palatino Linotype" w:hAnsi="Palatino Linotype" w:cs="Arial"/>
          <w:sz w:val="24"/>
          <w:szCs w:val="24"/>
        </w:rPr>
        <w:t>La información mencionada no se puso a disposición del recurrente, sin embargo esta será adjuntada al momento de notificar la presente resolución.</w:t>
      </w:r>
    </w:p>
    <w:p w:rsidR="00185E06" w:rsidRDefault="00185E06" w:rsidP="00746E80">
      <w:pPr>
        <w:spacing w:after="0" w:line="360" w:lineRule="auto"/>
        <w:jc w:val="both"/>
        <w:rPr>
          <w:rFonts w:ascii="Palatino Linotype" w:hAnsi="Palatino Linotype" w:cs="Arial"/>
          <w:b/>
          <w:sz w:val="28"/>
          <w:szCs w:val="24"/>
        </w:rPr>
      </w:pPr>
    </w:p>
    <w:p w:rsidR="00555CF7" w:rsidRPr="00037272" w:rsidRDefault="00555CF7" w:rsidP="00746E80">
      <w:pPr>
        <w:spacing w:after="0" w:line="360" w:lineRule="auto"/>
        <w:jc w:val="both"/>
        <w:rPr>
          <w:rFonts w:ascii="Palatino Linotype" w:hAnsi="Palatino Linotype" w:cs="Arial"/>
          <w:b/>
          <w:sz w:val="28"/>
          <w:szCs w:val="24"/>
        </w:rPr>
      </w:pPr>
      <w:r w:rsidRPr="00A537C5">
        <w:rPr>
          <w:rFonts w:ascii="Palatino Linotype" w:hAnsi="Palatino Linotype" w:cs="Arial"/>
          <w:b/>
          <w:sz w:val="28"/>
          <w:szCs w:val="24"/>
        </w:rPr>
        <w:t>SEXTO.</w:t>
      </w:r>
      <w:r w:rsidRPr="00A537C5">
        <w:rPr>
          <w:rFonts w:ascii="Palatino Linotype" w:hAnsi="Palatino Linotype" w:cs="Arial"/>
          <w:b/>
          <w:sz w:val="24"/>
          <w:szCs w:val="24"/>
        </w:rPr>
        <w:t xml:space="preserve"> Del cierre de instrucción.</w:t>
      </w:r>
    </w:p>
    <w:p w:rsidR="00555CF7" w:rsidRDefault="00555CF7" w:rsidP="00746E8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A537C5">
        <w:rPr>
          <w:rFonts w:ascii="Palatino Linotype" w:hAnsi="Palatino Linotype" w:cs="Arial"/>
          <w:sz w:val="24"/>
          <w:szCs w:val="24"/>
        </w:rPr>
        <w:t>cinco de septiembre</w:t>
      </w:r>
      <w:r w:rsidR="00A4224F">
        <w:rPr>
          <w:rFonts w:ascii="Palatino Linotype" w:hAnsi="Palatino Linotype" w:cs="Arial"/>
          <w:sz w:val="24"/>
          <w:szCs w:val="24"/>
        </w:rPr>
        <w:t xml:space="preserve">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555CF7" w:rsidRDefault="00555CF7" w:rsidP="00746E80">
      <w:pPr>
        <w:spacing w:after="0" w:line="360" w:lineRule="auto"/>
        <w:jc w:val="both"/>
        <w:rPr>
          <w:rFonts w:ascii="Palatino Linotype" w:hAnsi="Palatino Linotype" w:cs="Arial"/>
          <w:sz w:val="24"/>
          <w:szCs w:val="24"/>
        </w:rPr>
      </w:pPr>
    </w:p>
    <w:p w:rsidR="00555CF7" w:rsidRPr="00037272" w:rsidRDefault="00555CF7" w:rsidP="00D31526">
      <w:pPr>
        <w:tabs>
          <w:tab w:val="left" w:pos="567"/>
        </w:tabs>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 xml:space="preserve">SÉPTIMO. </w:t>
      </w:r>
      <w:r w:rsidRPr="00D31526">
        <w:rPr>
          <w:rFonts w:ascii="Palatino Linotype" w:hAnsi="Palatino Linotype" w:cs="Arial"/>
          <w:b/>
          <w:sz w:val="24"/>
          <w:szCs w:val="24"/>
        </w:rPr>
        <w:t>De la prórroga para emitir resolución.</w:t>
      </w:r>
    </w:p>
    <w:p w:rsidR="00555CF7" w:rsidRPr="00037272" w:rsidRDefault="00555CF7" w:rsidP="00746E80">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En fecha</w:t>
      </w:r>
      <w:r w:rsidR="00A4224F">
        <w:rPr>
          <w:rFonts w:ascii="Palatino Linotype" w:eastAsiaTheme="minorEastAsia" w:hAnsi="Palatino Linotype"/>
          <w:sz w:val="24"/>
          <w:szCs w:val="24"/>
          <w:lang w:val="es-ES_tradnl" w:eastAsia="es-ES"/>
        </w:rPr>
        <w:t xml:space="preserve"> </w:t>
      </w:r>
      <w:r w:rsidR="00A537C5">
        <w:rPr>
          <w:rFonts w:ascii="Palatino Linotype" w:eastAsiaTheme="minorEastAsia" w:hAnsi="Palatino Linotype"/>
          <w:sz w:val="24"/>
          <w:szCs w:val="24"/>
          <w:lang w:val="es-ES_tradnl" w:eastAsia="es-ES"/>
        </w:rPr>
        <w:t>cinco de septiembre</w:t>
      </w:r>
      <w:r w:rsidR="00A4224F">
        <w:rPr>
          <w:rFonts w:ascii="Palatino Linotype" w:eastAsiaTheme="minorEastAsia" w:hAnsi="Palatino Linotype"/>
          <w:sz w:val="24"/>
          <w:szCs w:val="24"/>
          <w:lang w:val="es-ES_tradnl" w:eastAsia="es-ES"/>
        </w:rPr>
        <w:t xml:space="preserve"> </w:t>
      </w:r>
      <w:r w:rsidRPr="00037272">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555CF7" w:rsidRDefault="00555CF7" w:rsidP="00746E80">
      <w:pPr>
        <w:spacing w:after="0" w:line="360" w:lineRule="auto"/>
        <w:jc w:val="both"/>
        <w:rPr>
          <w:rFonts w:ascii="Palatino Linotype" w:hAnsi="Palatino Linotype" w:cs="Arial"/>
          <w:sz w:val="24"/>
          <w:szCs w:val="24"/>
        </w:rPr>
      </w:pPr>
    </w:p>
    <w:p w:rsidR="00185E06" w:rsidRDefault="00185E06" w:rsidP="00746E80">
      <w:pPr>
        <w:spacing w:after="0" w:line="360" w:lineRule="auto"/>
        <w:jc w:val="center"/>
        <w:rPr>
          <w:rFonts w:ascii="Palatino Linotype" w:hAnsi="Palatino Linotype" w:cs="Arial"/>
          <w:b/>
          <w:sz w:val="28"/>
          <w:szCs w:val="24"/>
        </w:rPr>
      </w:pPr>
    </w:p>
    <w:p w:rsidR="00555CF7" w:rsidRPr="008B6600" w:rsidRDefault="00555CF7" w:rsidP="00746E8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rsidR="00555CF7" w:rsidRPr="00AD2A55" w:rsidRDefault="00555CF7" w:rsidP="00746E80">
      <w:pPr>
        <w:spacing w:after="0" w:line="360" w:lineRule="auto"/>
        <w:jc w:val="center"/>
        <w:rPr>
          <w:rFonts w:ascii="Palatino Linotype" w:hAnsi="Palatino Linotype" w:cs="Arial"/>
          <w:b/>
          <w:sz w:val="24"/>
          <w:szCs w:val="24"/>
        </w:rPr>
      </w:pPr>
    </w:p>
    <w:p w:rsidR="00E4527B" w:rsidRPr="00A455CB" w:rsidRDefault="00E4527B" w:rsidP="00E4527B">
      <w:pPr>
        <w:spacing w:line="360" w:lineRule="auto"/>
        <w:jc w:val="both"/>
        <w:rPr>
          <w:rFonts w:ascii="Palatino Linotype" w:hAnsi="Palatino Linotype" w:cs="Arial"/>
        </w:rPr>
      </w:pPr>
      <w:r w:rsidRPr="00A455CB">
        <w:rPr>
          <w:rFonts w:ascii="Palatino Linotype" w:hAnsi="Palatino Linotype" w:cs="Arial"/>
          <w:b/>
          <w:sz w:val="28"/>
          <w:szCs w:val="28"/>
        </w:rPr>
        <w:t>PRIMERO</w:t>
      </w:r>
      <w:r w:rsidRPr="00A455CB">
        <w:rPr>
          <w:rFonts w:ascii="Palatino Linotype" w:hAnsi="Palatino Linotype" w:cs="Arial"/>
          <w:b/>
        </w:rPr>
        <w:t>.</w:t>
      </w:r>
      <w:r w:rsidRPr="00BC6657">
        <w:rPr>
          <w:rFonts w:ascii="Palatino Linotype" w:hAnsi="Palatino Linotype" w:cs="Arial"/>
          <w:b/>
          <w:sz w:val="24"/>
          <w:szCs w:val="24"/>
        </w:rPr>
        <w:t xml:space="preserve"> De la competencia</w:t>
      </w:r>
      <w:r w:rsidRPr="00BC6657">
        <w:rPr>
          <w:rFonts w:ascii="Palatino Linotype" w:hAnsi="Palatino Linotype" w:cs="Arial"/>
          <w:sz w:val="24"/>
          <w:szCs w:val="24"/>
        </w:rPr>
        <w:t>.</w:t>
      </w:r>
    </w:p>
    <w:p w:rsidR="00E4527B" w:rsidRPr="003B5B38" w:rsidRDefault="00E4527B" w:rsidP="00E4527B">
      <w:pPr>
        <w:spacing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55CF7" w:rsidRDefault="00555CF7" w:rsidP="00746E80">
      <w:pPr>
        <w:spacing w:after="0" w:line="360" w:lineRule="auto"/>
        <w:jc w:val="both"/>
        <w:rPr>
          <w:rFonts w:ascii="Palatino Linotype" w:hAnsi="Palatino Linotype" w:cs="Arial"/>
          <w:sz w:val="24"/>
          <w:szCs w:val="24"/>
        </w:rPr>
      </w:pPr>
    </w:p>
    <w:p w:rsidR="00555CF7" w:rsidRPr="00D31526" w:rsidRDefault="00555CF7" w:rsidP="00746E80">
      <w:pPr>
        <w:autoSpaceDE w:val="0"/>
        <w:autoSpaceDN w:val="0"/>
        <w:adjustRightInd w:val="0"/>
        <w:spacing w:after="0" w:line="360" w:lineRule="auto"/>
        <w:jc w:val="both"/>
        <w:rPr>
          <w:rFonts w:ascii="Palatino Linotype" w:hAnsi="Palatino Linotype" w:cs="Arial"/>
          <w:b/>
          <w:sz w:val="24"/>
          <w:szCs w:val="24"/>
        </w:rPr>
      </w:pPr>
      <w:r w:rsidRPr="00600F1D">
        <w:rPr>
          <w:rFonts w:ascii="Palatino Linotype" w:hAnsi="Palatino Linotype" w:cs="Arial"/>
          <w:b/>
          <w:sz w:val="28"/>
          <w:szCs w:val="28"/>
        </w:rPr>
        <w:t xml:space="preserve">SEGUNDO. </w:t>
      </w:r>
      <w:r w:rsidRPr="00D31526">
        <w:rPr>
          <w:rFonts w:ascii="Palatino Linotype" w:hAnsi="Palatino Linotype" w:cs="Arial"/>
          <w:b/>
          <w:sz w:val="24"/>
          <w:szCs w:val="24"/>
        </w:rPr>
        <w:t xml:space="preserve">De los alcances del Recurso de Revisión.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55CF7" w:rsidRDefault="00555CF7" w:rsidP="00746E80">
      <w:pPr>
        <w:pStyle w:val="Prrafodelista"/>
        <w:autoSpaceDE w:val="0"/>
        <w:autoSpaceDN w:val="0"/>
        <w:adjustRightInd w:val="0"/>
        <w:spacing w:line="360" w:lineRule="auto"/>
        <w:ind w:left="0"/>
        <w:jc w:val="both"/>
        <w:rPr>
          <w:rFonts w:ascii="Palatino Linotype" w:hAnsi="Palatino Linotype" w:cs="Arial"/>
        </w:rPr>
      </w:pPr>
    </w:p>
    <w:p w:rsidR="00555CF7" w:rsidRPr="00600F1D" w:rsidRDefault="00555CF7" w:rsidP="00746E80">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TERCERO. </w:t>
      </w:r>
      <w:r w:rsidRPr="00D31526">
        <w:rPr>
          <w:rFonts w:ascii="Palatino Linotype" w:hAnsi="Palatino Linotype" w:cs="Arial"/>
          <w:b/>
          <w:sz w:val="24"/>
          <w:szCs w:val="24"/>
        </w:rPr>
        <w:t xml:space="preserve">Del estudio de las causas de improcedencia.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A1C6F" w:rsidRDefault="00AA1C6F" w:rsidP="00746E80">
      <w:pPr>
        <w:autoSpaceDE w:val="0"/>
        <w:autoSpaceDN w:val="0"/>
        <w:adjustRightInd w:val="0"/>
        <w:spacing w:after="0" w:line="360" w:lineRule="auto"/>
        <w:jc w:val="both"/>
        <w:rPr>
          <w:rFonts w:ascii="Palatino Linotype" w:hAnsi="Palatino Linotype" w:cs="Arial"/>
          <w:sz w:val="24"/>
          <w:szCs w:val="24"/>
        </w:rPr>
      </w:pPr>
    </w:p>
    <w:p w:rsidR="00555CF7" w:rsidRPr="00AD2A55" w:rsidRDefault="00555CF7" w:rsidP="00746E80">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10"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11"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AD2A55">
        <w:rPr>
          <w:rFonts w:ascii="Palatino Linotype" w:hAnsi="Palatino Linotype"/>
          <w:i/>
        </w:rPr>
        <w:lastRenderedPageBreak/>
        <w:t>efectivamente sobre los derechos fundamentales reclamados como violados dentro del juicio de garantías.</w:t>
      </w:r>
    </w:p>
    <w:p w:rsidR="00555CF7" w:rsidRPr="00AD2A55" w:rsidRDefault="00555CF7" w:rsidP="00746E80">
      <w:pPr>
        <w:pStyle w:val="Prrafodelista"/>
        <w:autoSpaceDE w:val="0"/>
        <w:autoSpaceDN w:val="0"/>
        <w:adjustRightInd w:val="0"/>
        <w:spacing w:line="360" w:lineRule="auto"/>
        <w:ind w:left="0"/>
        <w:jc w:val="both"/>
        <w:rPr>
          <w:rFonts w:ascii="Palatino Linotype" w:hAnsi="Palatino Linotype" w:cs="Arial"/>
        </w:rPr>
      </w:pPr>
    </w:p>
    <w:p w:rsidR="00555CF7" w:rsidRPr="00AD2A55"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555CF7" w:rsidRPr="00AD2A55" w:rsidRDefault="00555CF7" w:rsidP="00746E80">
      <w:pPr>
        <w:pStyle w:val="Prrafodelista"/>
        <w:autoSpaceDE w:val="0"/>
        <w:autoSpaceDN w:val="0"/>
        <w:adjustRightInd w:val="0"/>
        <w:spacing w:line="360" w:lineRule="auto"/>
        <w:ind w:left="0"/>
        <w:jc w:val="both"/>
        <w:rPr>
          <w:rFonts w:ascii="Palatino Linotype" w:hAnsi="Palatino Linotype" w:cs="Arial"/>
        </w:rPr>
      </w:pP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555CF7" w:rsidRPr="00AD2A55" w:rsidRDefault="00555CF7" w:rsidP="00746E80">
      <w:pPr>
        <w:pStyle w:val="Prrafodelista"/>
        <w:autoSpaceDE w:val="0"/>
        <w:autoSpaceDN w:val="0"/>
        <w:adjustRightInd w:val="0"/>
        <w:spacing w:line="360" w:lineRule="auto"/>
        <w:ind w:right="850"/>
        <w:jc w:val="both"/>
        <w:rPr>
          <w:rFonts w:ascii="Palatino Linotype" w:hAnsi="Palatino Linotype" w:cs="Arial"/>
          <w:i/>
        </w:rPr>
      </w:pP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Pr>
          <w:rFonts w:ascii="Palatino Linotype" w:hAnsi="Palatino Linotype" w:cs="Arial"/>
          <w:b/>
          <w:sz w:val="24"/>
          <w:szCs w:val="24"/>
        </w:rPr>
        <w:t>la</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555CF7" w:rsidRPr="00AD2A55" w:rsidRDefault="00555CF7" w:rsidP="00746E80">
      <w:pPr>
        <w:autoSpaceDE w:val="0"/>
        <w:autoSpaceDN w:val="0"/>
        <w:adjustRightInd w:val="0"/>
        <w:spacing w:after="0" w:line="360" w:lineRule="auto"/>
        <w:jc w:val="both"/>
        <w:rPr>
          <w:rFonts w:ascii="Palatino Linotype" w:hAnsi="Palatino Linotype" w:cs="Arial"/>
          <w:sz w:val="24"/>
          <w:szCs w:val="24"/>
        </w:rPr>
      </w:pPr>
    </w:p>
    <w:p w:rsidR="00555CF7" w:rsidRPr="00600F1D" w:rsidRDefault="00555CF7" w:rsidP="00746E80">
      <w:pPr>
        <w:pStyle w:val="Prrafodelista"/>
        <w:autoSpaceDE w:val="0"/>
        <w:autoSpaceDN w:val="0"/>
        <w:adjustRightInd w:val="0"/>
        <w:spacing w:line="360" w:lineRule="auto"/>
        <w:ind w:left="0"/>
        <w:jc w:val="both"/>
        <w:rPr>
          <w:rFonts w:ascii="Palatino Linotype" w:hAnsi="Palatino Linotype" w:cs="Arial"/>
          <w:sz w:val="28"/>
          <w:szCs w:val="28"/>
        </w:rPr>
      </w:pPr>
      <w:r w:rsidRPr="00286B5C">
        <w:rPr>
          <w:rFonts w:ascii="Palatino Linotype" w:hAnsi="Palatino Linotype" w:cs="Arial"/>
          <w:b/>
          <w:sz w:val="28"/>
          <w:szCs w:val="28"/>
        </w:rPr>
        <w:t xml:space="preserve">CUARTO. </w:t>
      </w:r>
      <w:r w:rsidRPr="00286B5C">
        <w:rPr>
          <w:rFonts w:ascii="Palatino Linotype" w:hAnsi="Palatino Linotype" w:cs="Arial"/>
          <w:b/>
        </w:rPr>
        <w:t>Del estudio y resolución del asunto.</w:t>
      </w:r>
      <w:r w:rsidRPr="00D31526">
        <w:rPr>
          <w:rFonts w:ascii="Palatino Linotype" w:hAnsi="Palatino Linotype" w:cs="Arial"/>
        </w:rPr>
        <w:t xml:space="preserve"> </w:t>
      </w:r>
    </w:p>
    <w:p w:rsidR="00965992" w:rsidRDefault="00965992" w:rsidP="0096599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AD2A55">
        <w:rPr>
          <w:rFonts w:ascii="Palatino Linotype" w:hAnsi="Palatino Linotype" w:cs="Arial"/>
          <w:sz w:val="24"/>
          <w:szCs w:val="24"/>
        </w:rPr>
        <w:lastRenderedPageBreak/>
        <w:t>Federal, Local y demás leyes aplicables en la materia, así como en los tratados internacionales en los que el Estado Mexicano sea parte, en concordancia con el artículo 8 de la Ley de Transparencia local.</w:t>
      </w:r>
    </w:p>
    <w:p w:rsidR="00965992" w:rsidRDefault="00965992" w:rsidP="00965992">
      <w:pPr>
        <w:autoSpaceDE w:val="0"/>
        <w:autoSpaceDN w:val="0"/>
        <w:adjustRightInd w:val="0"/>
        <w:spacing w:after="0" w:line="360" w:lineRule="auto"/>
        <w:jc w:val="both"/>
        <w:rPr>
          <w:rFonts w:ascii="Palatino Linotype" w:hAnsi="Palatino Linotype" w:cs="Arial"/>
          <w:sz w:val="24"/>
          <w:szCs w:val="24"/>
        </w:rPr>
      </w:pPr>
    </w:p>
    <w:p w:rsidR="00965992" w:rsidRPr="00C174F2" w:rsidRDefault="00965992" w:rsidP="00965992">
      <w:pPr>
        <w:spacing w:after="0" w:line="360" w:lineRule="auto"/>
        <w:ind w:right="141"/>
        <w:jc w:val="both"/>
        <w:rPr>
          <w:rFonts w:ascii="Palatino Linotype" w:hAnsi="Palatino Linotype" w:cs="Arial"/>
          <w:sz w:val="24"/>
          <w:szCs w:val="24"/>
        </w:rPr>
      </w:pPr>
      <w:r>
        <w:rPr>
          <w:rFonts w:ascii="Palatino Linotype" w:hAnsi="Palatino Linotype" w:cs="Arial"/>
          <w:sz w:val="24"/>
          <w:szCs w:val="24"/>
          <w:lang w:val="es-ES_tradnl"/>
        </w:rPr>
        <w:t>Primeramente debemos señalar que de</w:t>
      </w:r>
      <w:r w:rsidRPr="00C174F2">
        <w:rPr>
          <w:rFonts w:ascii="Palatino Linotype" w:hAnsi="Palatino Linotype" w:cs="Arial"/>
          <w:sz w:val="24"/>
          <w:szCs w:val="24"/>
          <w:lang w:val="es-ES_tradnl"/>
        </w:rPr>
        <w:t xml:space="preserve"> la consulta al</w:t>
      </w:r>
      <w:r>
        <w:rPr>
          <w:rFonts w:ascii="Palatino Linotype" w:hAnsi="Palatino Linotype" w:cs="Arial"/>
          <w:sz w:val="24"/>
          <w:szCs w:val="24"/>
          <w:lang w:val="es-ES_tradnl"/>
        </w:rPr>
        <w:t xml:space="preserve"> sistema</w:t>
      </w:r>
      <w:r w:rsidRPr="00C174F2">
        <w:rPr>
          <w:rFonts w:ascii="Palatino Linotype" w:hAnsi="Palatino Linotype" w:cs="Arial"/>
          <w:sz w:val="24"/>
          <w:szCs w:val="24"/>
          <w:lang w:val="es-ES_tradnl"/>
        </w:rPr>
        <w:t xml:space="preserve"> SAIMEX no se advierte registro alguno que contenga respuesta a la solicitud de información </w:t>
      </w:r>
      <w:r>
        <w:rPr>
          <w:rFonts w:ascii="Palatino Linotype" w:hAnsi="Palatino Linotype" w:cs="Arial"/>
          <w:sz w:val="24"/>
          <w:szCs w:val="24"/>
          <w:lang w:val="es-ES_tradnl"/>
        </w:rPr>
        <w:t xml:space="preserve">por </w:t>
      </w:r>
      <w:r w:rsidRPr="00C174F2">
        <w:rPr>
          <w:rFonts w:ascii="Palatino Linotype" w:hAnsi="Palatino Linotype" w:cs="Arial"/>
          <w:sz w:val="24"/>
          <w:szCs w:val="24"/>
        </w:rPr>
        <w:t>parte del Sujeto Obligado.</w:t>
      </w:r>
    </w:p>
    <w:p w:rsidR="00965992" w:rsidRPr="00C174F2" w:rsidRDefault="00965992" w:rsidP="00965992">
      <w:pPr>
        <w:spacing w:before="240" w:after="240" w:line="360" w:lineRule="auto"/>
        <w:jc w:val="both"/>
        <w:rPr>
          <w:rFonts w:ascii="Palatino Linotype" w:hAnsi="Palatino Linotype" w:cs="Arial"/>
          <w:sz w:val="24"/>
          <w:szCs w:val="24"/>
        </w:rPr>
      </w:pPr>
      <w:r w:rsidRPr="00C174F2">
        <w:rPr>
          <w:rFonts w:ascii="Palatino Linotype" w:hAnsi="Palatino Linotype" w:cs="Arial"/>
          <w:sz w:val="24"/>
          <w:szCs w:val="24"/>
        </w:rPr>
        <w:t>En ese sentido, la Ley de Transparencia y Acceso a la Información Pública del Estado de México y Municipios,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rsidR="00965992" w:rsidRPr="006241FA" w:rsidRDefault="00965992" w:rsidP="00965992">
      <w:pPr>
        <w:ind w:left="851"/>
        <w:jc w:val="both"/>
        <w:rPr>
          <w:rFonts w:ascii="Palatino Linotype" w:hAnsi="Palatino Linotype" w:cs="Arial"/>
          <w:b/>
          <w:i/>
          <w:szCs w:val="20"/>
        </w:rPr>
      </w:pPr>
      <w:r w:rsidRPr="002006C6">
        <w:rPr>
          <w:rFonts w:ascii="Palatino Linotype" w:hAnsi="Palatino Linotype" w:cs="Arial"/>
          <w:i/>
          <w:szCs w:val="20"/>
        </w:rPr>
        <w:t>“</w:t>
      </w:r>
      <w:r>
        <w:rPr>
          <w:rFonts w:ascii="Palatino Linotype" w:hAnsi="Palatino Linotype" w:cs="Arial"/>
          <w:b/>
          <w:i/>
          <w:szCs w:val="20"/>
        </w:rPr>
        <w:t>Artículo 178</w:t>
      </w:r>
    </w:p>
    <w:p w:rsidR="00965992" w:rsidRPr="002006C6" w:rsidRDefault="00965992" w:rsidP="00965992">
      <w:pPr>
        <w:ind w:left="851" w:right="850"/>
        <w:jc w:val="both"/>
        <w:rPr>
          <w:rFonts w:ascii="Palatino Linotype" w:hAnsi="Palatino Linotype" w:cs="Arial"/>
          <w:i/>
          <w:szCs w:val="20"/>
        </w:rPr>
      </w:pPr>
      <w:r w:rsidRPr="002006C6">
        <w:rPr>
          <w:rFonts w:ascii="Palatino Linotype" w:hAnsi="Palatino Linotype" w:cs="Arial"/>
          <w:i/>
          <w:szCs w:val="20"/>
        </w:rPr>
        <w:t xml:space="preserve">A </w:t>
      </w:r>
      <w:r w:rsidRPr="002006C6">
        <w:rPr>
          <w:rFonts w:ascii="Palatino Linotype" w:hAnsi="Palatino Linotype" w:cs="Arial"/>
          <w:i/>
          <w:szCs w:val="20"/>
          <w:u w:val="single"/>
        </w:rPr>
        <w:t>falta de respuesta</w:t>
      </w:r>
      <w:r w:rsidRPr="002006C6">
        <w:rPr>
          <w:rFonts w:ascii="Palatino Linotype" w:hAnsi="Palatino Linotype" w:cs="Arial"/>
          <w:i/>
          <w:szCs w:val="20"/>
        </w:rPr>
        <w:t xml:space="preserve"> del sujeto obligado, dentro de los plazos establecidos en esta Ley, a una solicitud de acceso a la información pública, </w:t>
      </w:r>
      <w:r w:rsidRPr="002006C6">
        <w:rPr>
          <w:rFonts w:ascii="Palatino Linotype" w:hAnsi="Palatino Linotype" w:cs="Arial"/>
          <w:i/>
          <w:szCs w:val="20"/>
          <w:u w:val="single"/>
        </w:rPr>
        <w:t>el recurso podrá ser interpuesto en cualquier momento</w:t>
      </w:r>
      <w:r w:rsidRPr="002006C6">
        <w:rPr>
          <w:rFonts w:ascii="Palatino Linotype" w:hAnsi="Palatino Linotype" w:cs="Arial"/>
          <w:i/>
          <w:szCs w:val="20"/>
        </w:rPr>
        <w:t xml:space="preserve">, acompañado con el documento que pruebe la fecha en que se presentó la solicitud.” </w:t>
      </w:r>
    </w:p>
    <w:p w:rsidR="00965992" w:rsidRDefault="00965992" w:rsidP="00965992">
      <w:pPr>
        <w:tabs>
          <w:tab w:val="left" w:pos="142"/>
        </w:tabs>
        <w:ind w:left="851"/>
        <w:jc w:val="both"/>
        <w:rPr>
          <w:rFonts w:ascii="Palatino Linotype" w:hAnsi="Palatino Linotype" w:cs="Arial"/>
          <w:i/>
          <w:szCs w:val="20"/>
        </w:rPr>
      </w:pPr>
      <w:r w:rsidRPr="002006C6">
        <w:rPr>
          <w:rFonts w:ascii="Palatino Linotype" w:hAnsi="Palatino Linotype" w:cs="Arial"/>
          <w:i/>
          <w:szCs w:val="20"/>
        </w:rPr>
        <w:t>(Énfasis añadido)</w:t>
      </w:r>
    </w:p>
    <w:p w:rsidR="00965992" w:rsidRPr="00C174F2" w:rsidRDefault="00965992" w:rsidP="00965992">
      <w:pPr>
        <w:tabs>
          <w:tab w:val="left" w:pos="142"/>
        </w:tabs>
        <w:ind w:left="851"/>
        <w:jc w:val="both"/>
        <w:rPr>
          <w:rFonts w:ascii="Palatino Linotype" w:hAnsi="Palatino Linotype" w:cs="Arial"/>
          <w:i/>
          <w:sz w:val="24"/>
          <w:szCs w:val="24"/>
        </w:rPr>
      </w:pPr>
    </w:p>
    <w:p w:rsidR="00965992" w:rsidRPr="00C174F2" w:rsidRDefault="00965992" w:rsidP="00965992">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Lo anterior es así, en el entendido de que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w:t>
      </w:r>
      <w:r w:rsidRPr="00C174F2">
        <w:rPr>
          <w:rFonts w:ascii="Palatino Linotype" w:hAnsi="Palatino Linotype" w:cs="Arial"/>
          <w:sz w:val="24"/>
          <w:szCs w:val="24"/>
        </w:rPr>
        <w:lastRenderedPageBreak/>
        <w:t xml:space="preserve">tiende a realizar ese </w:t>
      </w:r>
      <w:r w:rsidRPr="00C174F2">
        <w:rPr>
          <w:rFonts w:ascii="Palatino Linotype" w:hAnsi="Palatino Linotype" w:cs="Arial"/>
          <w:i/>
          <w:sz w:val="24"/>
          <w:szCs w:val="24"/>
        </w:rPr>
        <w:t>Estado de Derecho</w:t>
      </w:r>
      <w:r w:rsidRPr="00C174F2">
        <w:rPr>
          <w:rFonts w:ascii="Palatino Linotype" w:hAnsi="Palatino Linotype" w:cs="Arial"/>
          <w:sz w:val="24"/>
          <w:szCs w:val="24"/>
        </w:rPr>
        <w:t xml:space="preserve"> en el que, el particular, tiene siempre una vía de defensa en contra de los actos autoritarios que le perjudican.</w:t>
      </w:r>
    </w:p>
    <w:p w:rsidR="00965992" w:rsidRPr="00C174F2" w:rsidRDefault="00965992" w:rsidP="00965992">
      <w:pPr>
        <w:spacing w:after="0" w:line="360" w:lineRule="auto"/>
        <w:jc w:val="both"/>
        <w:rPr>
          <w:rFonts w:ascii="Palatino Linotype" w:hAnsi="Palatino Linotype" w:cs="Arial"/>
          <w:sz w:val="24"/>
          <w:szCs w:val="24"/>
        </w:rPr>
      </w:pPr>
    </w:p>
    <w:p w:rsidR="00965992" w:rsidRDefault="00965992" w:rsidP="00965992">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tal tesitura, en el derecho de acceso a la información pública, la figura de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dichos casos y no optar por el desechamiento del mismo.</w:t>
      </w:r>
    </w:p>
    <w:p w:rsidR="00965992" w:rsidRPr="00C174F2" w:rsidRDefault="00965992" w:rsidP="00965992">
      <w:pPr>
        <w:spacing w:after="0" w:line="360" w:lineRule="auto"/>
        <w:jc w:val="both"/>
        <w:rPr>
          <w:rFonts w:ascii="Palatino Linotype" w:hAnsi="Palatino Linotype" w:cs="Arial"/>
          <w:sz w:val="24"/>
          <w:szCs w:val="24"/>
        </w:rPr>
      </w:pPr>
    </w:p>
    <w:p w:rsidR="00965992" w:rsidRDefault="00965992" w:rsidP="00965992">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postura que ha sido adoptada por este Órgano Garante mediante criterio número 001-15, aprobado por unanimidad por este Pleno</w:t>
      </w:r>
      <w:r w:rsidRPr="00C174F2">
        <w:rPr>
          <w:rStyle w:val="Refdenotaalpie"/>
          <w:rFonts w:ascii="Palatino Linotype" w:hAnsi="Palatino Linotype"/>
          <w:sz w:val="24"/>
          <w:szCs w:val="24"/>
        </w:rPr>
        <w:footnoteReference w:id="1"/>
      </w:r>
      <w:r w:rsidRPr="00C174F2">
        <w:rPr>
          <w:rFonts w:ascii="Palatino Linotype" w:hAnsi="Palatino Linotype" w:cs="Arial"/>
          <w:sz w:val="24"/>
          <w:szCs w:val="24"/>
        </w:rPr>
        <w:t>; criterio que establece:</w:t>
      </w:r>
    </w:p>
    <w:p w:rsidR="00965992" w:rsidRPr="00C174F2" w:rsidRDefault="00965992" w:rsidP="00965992">
      <w:pPr>
        <w:spacing w:after="0" w:line="360" w:lineRule="auto"/>
        <w:jc w:val="both"/>
        <w:rPr>
          <w:rFonts w:ascii="Palatino Linotype" w:hAnsi="Palatino Linotype" w:cs="Arial"/>
          <w:sz w:val="24"/>
          <w:szCs w:val="24"/>
        </w:rPr>
      </w:pPr>
    </w:p>
    <w:p w:rsidR="00965992" w:rsidRDefault="00965992" w:rsidP="00965992">
      <w:pPr>
        <w:spacing w:before="240" w:after="240"/>
        <w:ind w:left="567" w:right="49"/>
        <w:jc w:val="both"/>
        <w:rPr>
          <w:rFonts w:ascii="Palatino Linotype" w:hAnsi="Palatino Linotype" w:cs="Arial"/>
          <w:i/>
        </w:rPr>
      </w:pPr>
      <w:r w:rsidRPr="002006C6">
        <w:rPr>
          <w:rFonts w:ascii="Palatino Linotype" w:hAnsi="Palatino Linotype"/>
          <w:b/>
          <w:i/>
        </w:rPr>
        <w:t>“CRITERIO 0001-15 NEGATIVA FICTA. PLAZO PARA INTERPONER EL RECURSO DE REVISIÓN TRATÁNDOSE DE</w:t>
      </w:r>
      <w:r w:rsidRPr="002006C6">
        <w:rPr>
          <w:rFonts w:ascii="Palatino Linotype" w:hAnsi="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w:t>
      </w:r>
      <w:r w:rsidRPr="002006C6">
        <w:rPr>
          <w:rFonts w:ascii="Palatino Linotype" w:hAnsi="Palatino Linotype"/>
          <w:i/>
        </w:rPr>
        <w:lastRenderedPageBreak/>
        <w:t>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006C6">
        <w:rPr>
          <w:rFonts w:ascii="Palatino Linotype" w:hAnsi="Palatino Linotype" w:cs="Arial"/>
          <w:i/>
        </w:rPr>
        <w:t xml:space="preserve"> </w:t>
      </w:r>
    </w:p>
    <w:p w:rsidR="00965992" w:rsidRDefault="00965992" w:rsidP="00965992">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965992" w:rsidRPr="00F64316" w:rsidRDefault="00965992" w:rsidP="00965992">
      <w:pPr>
        <w:spacing w:after="0" w:line="360" w:lineRule="auto"/>
        <w:jc w:val="both"/>
        <w:rPr>
          <w:rFonts w:ascii="Palatino Linotype" w:hAnsi="Palatino Linotype"/>
          <w:sz w:val="24"/>
          <w:szCs w:val="24"/>
        </w:rPr>
      </w:pPr>
    </w:p>
    <w:p w:rsidR="00965992" w:rsidRDefault="00965992" w:rsidP="00965992">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rsidR="00965992" w:rsidRPr="002E35AF" w:rsidRDefault="00965992" w:rsidP="00965992">
      <w:pPr>
        <w:spacing w:after="0" w:line="360" w:lineRule="auto"/>
        <w:jc w:val="both"/>
        <w:rPr>
          <w:rFonts w:ascii="Palatino Linotype" w:hAnsi="Palatino Linotype" w:cs="Arial"/>
          <w:color w:val="000000" w:themeColor="text1"/>
          <w:sz w:val="24"/>
          <w:szCs w:val="24"/>
        </w:rPr>
      </w:pPr>
    </w:p>
    <w:p w:rsidR="00965992" w:rsidRPr="002E35AF" w:rsidRDefault="00965992" w:rsidP="0096599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rsidR="00965992" w:rsidRPr="002E35AF" w:rsidRDefault="00965992" w:rsidP="00965992">
      <w:pPr>
        <w:spacing w:after="0" w:line="240" w:lineRule="auto"/>
        <w:ind w:left="851" w:right="850"/>
        <w:jc w:val="both"/>
        <w:rPr>
          <w:rFonts w:ascii="Palatino Linotype" w:hAnsi="Palatino Linotype" w:cs="Arial"/>
          <w:i/>
        </w:rPr>
      </w:pPr>
      <w:r w:rsidRPr="002E35AF">
        <w:rPr>
          <w:rFonts w:ascii="Palatino Linotype" w:hAnsi="Palatino Linotype" w:cs="Arial"/>
          <w:i/>
        </w:rPr>
        <w:t>…</w:t>
      </w:r>
    </w:p>
    <w:p w:rsidR="00965992" w:rsidRPr="002E35AF" w:rsidRDefault="00965992" w:rsidP="0096599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65992" w:rsidRPr="002E35AF" w:rsidRDefault="00965992" w:rsidP="00965992">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w:t>
      </w:r>
      <w:r w:rsidRPr="002E35AF">
        <w:rPr>
          <w:rFonts w:ascii="Palatino Linotype" w:hAnsi="Palatino Linotype" w:cs="Arial"/>
          <w:bCs/>
          <w:i/>
          <w:color w:val="000000" w:themeColor="text1"/>
        </w:rPr>
        <w:lastRenderedPageBreak/>
        <w:t>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65992" w:rsidRPr="002E35AF" w:rsidRDefault="00965992" w:rsidP="0096599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965992" w:rsidRPr="002E35AF" w:rsidRDefault="00965992" w:rsidP="00965992">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rsidR="00965992" w:rsidRPr="002E35AF" w:rsidRDefault="00965992" w:rsidP="0096599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965992" w:rsidRPr="002E35AF" w:rsidRDefault="00965992" w:rsidP="0096599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65992" w:rsidRPr="002E35AF" w:rsidRDefault="00965992" w:rsidP="0096599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965992" w:rsidRPr="002E35AF" w:rsidRDefault="00965992" w:rsidP="0096599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965992" w:rsidRPr="002E35AF" w:rsidRDefault="00965992" w:rsidP="0096599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965992" w:rsidRPr="002E35AF" w:rsidRDefault="00965992" w:rsidP="0096599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965992" w:rsidRPr="002E35AF" w:rsidRDefault="00965992" w:rsidP="0096599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rsidR="00965992" w:rsidRPr="002E35AF" w:rsidRDefault="00965992" w:rsidP="00965992">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965992" w:rsidRPr="002E35AF" w:rsidRDefault="00965992" w:rsidP="00965992">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rsidR="00965992" w:rsidRPr="002E35AF" w:rsidRDefault="00965992" w:rsidP="00965992">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965992" w:rsidRPr="002E35AF" w:rsidRDefault="00965992" w:rsidP="0096599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rsidR="00965992" w:rsidRPr="002E35AF" w:rsidRDefault="00965992" w:rsidP="00965992">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965992" w:rsidRPr="002E35AF" w:rsidRDefault="00965992" w:rsidP="00965992">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lastRenderedPageBreak/>
        <w:t>Los sujetos obligados solo proporcionarán la información pública que generen, administren o posean en el ejercicio de sus atribuciones.</w:t>
      </w:r>
    </w:p>
    <w:p w:rsidR="00965992" w:rsidRPr="002E35AF" w:rsidRDefault="00965992" w:rsidP="00965992">
      <w:pPr>
        <w:spacing w:after="0" w:line="360" w:lineRule="auto"/>
        <w:ind w:left="851" w:right="851"/>
        <w:jc w:val="both"/>
        <w:rPr>
          <w:rFonts w:ascii="Palatino Linotype" w:hAnsi="Palatino Linotype" w:cs="Arial"/>
          <w:i/>
          <w:color w:val="000000" w:themeColor="text1"/>
        </w:rPr>
      </w:pPr>
    </w:p>
    <w:p w:rsidR="00965992" w:rsidRDefault="00965992" w:rsidP="00965992">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965992" w:rsidRDefault="00965992" w:rsidP="00965992">
      <w:pPr>
        <w:spacing w:after="0" w:line="360" w:lineRule="auto"/>
        <w:jc w:val="both"/>
        <w:rPr>
          <w:rFonts w:ascii="Palatino Linotype" w:hAnsi="Palatino Linotype" w:cs="Arial"/>
          <w:color w:val="000000" w:themeColor="text1"/>
          <w:sz w:val="24"/>
          <w:szCs w:val="24"/>
        </w:rPr>
      </w:pPr>
    </w:p>
    <w:p w:rsidR="00965992" w:rsidRDefault="00965992" w:rsidP="00965992">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rsidR="00965992" w:rsidRPr="00AD2A55" w:rsidRDefault="00965992" w:rsidP="00965992">
      <w:pPr>
        <w:autoSpaceDE w:val="0"/>
        <w:autoSpaceDN w:val="0"/>
        <w:adjustRightInd w:val="0"/>
        <w:spacing w:after="0" w:line="360" w:lineRule="auto"/>
        <w:jc w:val="both"/>
        <w:rPr>
          <w:rFonts w:ascii="Palatino Linotype" w:hAnsi="Palatino Linotype" w:cs="Arial"/>
          <w:sz w:val="24"/>
          <w:szCs w:val="24"/>
        </w:rPr>
      </w:pPr>
    </w:p>
    <w:p w:rsidR="00965992" w:rsidRDefault="00965992" w:rsidP="009659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Acotado lo anterior, nuestro estudio versará en determinar si el Sujeto obligado cuenta con las atribuciones de generar, poseer o administrar la información solicitada.</w:t>
      </w:r>
    </w:p>
    <w:p w:rsidR="00965992" w:rsidRPr="00AD2A55" w:rsidRDefault="00965992" w:rsidP="00965992">
      <w:pPr>
        <w:autoSpaceDE w:val="0"/>
        <w:autoSpaceDN w:val="0"/>
        <w:adjustRightInd w:val="0"/>
        <w:spacing w:after="0" w:line="360" w:lineRule="auto"/>
        <w:jc w:val="both"/>
        <w:rPr>
          <w:rFonts w:ascii="Palatino Linotype" w:hAnsi="Palatino Linotype" w:cs="Arial"/>
          <w:sz w:val="24"/>
          <w:szCs w:val="24"/>
        </w:rPr>
      </w:pPr>
    </w:p>
    <w:p w:rsidR="00965992" w:rsidRDefault="00965992" w:rsidP="00965992">
      <w:pPr>
        <w:autoSpaceDE w:val="0"/>
        <w:autoSpaceDN w:val="0"/>
        <w:adjustRightInd w:val="0"/>
        <w:spacing w:after="0" w:line="360" w:lineRule="auto"/>
        <w:jc w:val="both"/>
        <w:rPr>
          <w:rFonts w:ascii="Palatino Linotype" w:eastAsia="Times New Roman" w:hAnsi="Palatino Linotype" w:cs="Times New Roman"/>
          <w:sz w:val="24"/>
          <w:szCs w:val="24"/>
          <w:lang w:eastAsia="es-MX"/>
        </w:rPr>
      </w:pPr>
      <w:r w:rsidRPr="007C6121">
        <w:rPr>
          <w:rFonts w:ascii="Palatino Linotype" w:hAnsi="Palatino Linotype" w:cs="Arial"/>
          <w:color w:val="000000" w:themeColor="text1"/>
          <w:sz w:val="24"/>
          <w:szCs w:val="24"/>
        </w:rPr>
        <w:t>Por ello tenemos que los requerimientos solicitados fueron los siguientes:</w:t>
      </w:r>
      <w:r>
        <w:rPr>
          <w:rFonts w:ascii="Palatino Linotype" w:hAnsi="Palatino Linotype" w:cs="Arial"/>
          <w:sz w:val="24"/>
          <w:szCs w:val="24"/>
        </w:rPr>
        <w:t xml:space="preserve"> </w:t>
      </w:r>
      <w:r w:rsidR="00A537C5">
        <w:rPr>
          <w:rFonts w:ascii="Palatino Linotype" w:hAnsi="Palatino Linotype"/>
          <w:sz w:val="24"/>
          <w:szCs w:val="24"/>
        </w:rPr>
        <w:t>“</w:t>
      </w:r>
      <w:r w:rsidR="00A537C5" w:rsidRPr="00A537C5">
        <w:rPr>
          <w:rFonts w:ascii="Palatino Linotype" w:eastAsia="Times New Roman" w:hAnsi="Palatino Linotype" w:cs="Times New Roman"/>
          <w:sz w:val="24"/>
          <w:szCs w:val="24"/>
          <w:lang w:eastAsia="es-MX"/>
        </w:rPr>
        <w:t>todas las facturas del mes de enero, febrero, marzo y abril en versión publica con su respectivo acuerdo</w:t>
      </w:r>
      <w:r w:rsidR="00A537C5">
        <w:rPr>
          <w:rFonts w:ascii="Palatino Linotype" w:eastAsia="Times New Roman" w:hAnsi="Palatino Linotype" w:cs="Times New Roman"/>
          <w:sz w:val="24"/>
          <w:szCs w:val="24"/>
          <w:lang w:eastAsia="es-MX"/>
        </w:rPr>
        <w:t>”, por parte del Sujeto Obligado fue omiso en proporcionar una respuesta, que permitiera refrendar el compromiso o la disponibilidad de este para garantizar el derecho de acceso a la información re</w:t>
      </w:r>
      <w:r>
        <w:rPr>
          <w:rFonts w:ascii="Palatino Linotype" w:eastAsia="Times New Roman" w:hAnsi="Palatino Linotype" w:cs="Times New Roman"/>
          <w:sz w:val="24"/>
          <w:szCs w:val="24"/>
          <w:lang w:eastAsia="es-MX"/>
        </w:rPr>
        <w:t xml:space="preserve">querida por el Particular. </w:t>
      </w:r>
    </w:p>
    <w:p w:rsidR="00D66012" w:rsidRDefault="00D66012" w:rsidP="00965992">
      <w:pPr>
        <w:autoSpaceDE w:val="0"/>
        <w:autoSpaceDN w:val="0"/>
        <w:adjustRightInd w:val="0"/>
        <w:spacing w:after="0" w:line="360" w:lineRule="auto"/>
        <w:jc w:val="both"/>
        <w:rPr>
          <w:rFonts w:ascii="Palatino Linotype" w:eastAsia="Times New Roman" w:hAnsi="Palatino Linotype" w:cs="Times New Roman"/>
          <w:sz w:val="24"/>
          <w:szCs w:val="24"/>
          <w:lang w:eastAsia="es-MX"/>
        </w:rPr>
      </w:pPr>
    </w:p>
    <w:p w:rsidR="00D66012" w:rsidRDefault="00D66012" w:rsidP="00965992">
      <w:pPr>
        <w:autoSpaceDE w:val="0"/>
        <w:autoSpaceDN w:val="0"/>
        <w:adjustRightInd w:val="0"/>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La ley </w:t>
      </w:r>
      <w:r w:rsidR="00D52485">
        <w:rPr>
          <w:rFonts w:ascii="Palatino Linotype" w:eastAsia="Times New Roman" w:hAnsi="Palatino Linotype" w:cs="Times New Roman"/>
          <w:sz w:val="24"/>
          <w:szCs w:val="24"/>
          <w:lang w:eastAsia="es-MX"/>
        </w:rPr>
        <w:t>Orgánica</w:t>
      </w:r>
      <w:r>
        <w:rPr>
          <w:rFonts w:ascii="Palatino Linotype" w:eastAsia="Times New Roman" w:hAnsi="Palatino Linotype" w:cs="Times New Roman"/>
          <w:sz w:val="24"/>
          <w:szCs w:val="24"/>
          <w:lang w:eastAsia="es-MX"/>
        </w:rPr>
        <w:t xml:space="preserve"> Municipal del Estado de México se encarga de:</w:t>
      </w:r>
    </w:p>
    <w:p w:rsidR="001459C8" w:rsidRDefault="00D66012" w:rsidP="001459C8">
      <w:pPr>
        <w:autoSpaceDE w:val="0"/>
        <w:autoSpaceDN w:val="0"/>
        <w:adjustRightInd w:val="0"/>
        <w:spacing w:after="0" w:line="240" w:lineRule="auto"/>
        <w:ind w:left="851" w:right="850"/>
        <w:jc w:val="both"/>
        <w:rPr>
          <w:rFonts w:ascii="Palatino Linotype" w:hAnsi="Palatino Linotype"/>
          <w:b/>
          <w:i/>
        </w:rPr>
      </w:pPr>
      <w:r w:rsidRPr="001459C8">
        <w:rPr>
          <w:rFonts w:ascii="Palatino Linotype" w:hAnsi="Palatino Linotype"/>
          <w:b/>
          <w:i/>
        </w:rPr>
        <w:t xml:space="preserve">De la Tesorería Municipal </w:t>
      </w:r>
    </w:p>
    <w:p w:rsidR="001459C8" w:rsidRPr="001459C8" w:rsidRDefault="001459C8" w:rsidP="001459C8">
      <w:pPr>
        <w:autoSpaceDE w:val="0"/>
        <w:autoSpaceDN w:val="0"/>
        <w:adjustRightInd w:val="0"/>
        <w:spacing w:after="0" w:line="240" w:lineRule="auto"/>
        <w:ind w:left="851" w:right="850"/>
        <w:jc w:val="both"/>
        <w:rPr>
          <w:rFonts w:ascii="Palatino Linotype" w:hAnsi="Palatino Linotype"/>
          <w:b/>
          <w:i/>
        </w:rPr>
      </w:pPr>
    </w:p>
    <w:p w:rsidR="00D66012" w:rsidRDefault="00D66012" w:rsidP="001459C8">
      <w:pPr>
        <w:autoSpaceDE w:val="0"/>
        <w:autoSpaceDN w:val="0"/>
        <w:adjustRightInd w:val="0"/>
        <w:spacing w:after="0" w:line="240" w:lineRule="auto"/>
        <w:ind w:left="851" w:right="850"/>
        <w:jc w:val="both"/>
        <w:rPr>
          <w:rFonts w:ascii="Palatino Linotype" w:hAnsi="Palatino Linotype"/>
          <w:b/>
          <w:i/>
        </w:rPr>
      </w:pPr>
      <w:r w:rsidRPr="001459C8">
        <w:rPr>
          <w:rFonts w:ascii="Palatino Linotype" w:hAnsi="Palatino Linotype"/>
          <w:b/>
          <w:i/>
        </w:rPr>
        <w:t xml:space="preserve">Artículo 93.- La tesorería municipal es el órgano </w:t>
      </w:r>
      <w:r w:rsidRPr="001459C8">
        <w:rPr>
          <w:rFonts w:ascii="Palatino Linotype" w:hAnsi="Palatino Linotype"/>
          <w:i/>
        </w:rPr>
        <w:t>encargado</w:t>
      </w:r>
      <w:r w:rsidRPr="001459C8">
        <w:rPr>
          <w:rFonts w:ascii="Palatino Linotype" w:hAnsi="Palatino Linotype"/>
          <w:b/>
          <w:i/>
        </w:rPr>
        <w:t xml:space="preserve"> </w:t>
      </w:r>
      <w:r w:rsidRPr="001459C8">
        <w:rPr>
          <w:rFonts w:ascii="Palatino Linotype" w:hAnsi="Palatino Linotype"/>
          <w:i/>
        </w:rPr>
        <w:t>de la recaudación de los ingresos municipales y</w:t>
      </w:r>
      <w:r w:rsidRPr="001459C8">
        <w:rPr>
          <w:rFonts w:ascii="Palatino Linotype" w:hAnsi="Palatino Linotype"/>
          <w:b/>
          <w:i/>
        </w:rPr>
        <w:t xml:space="preserve"> responsable de realizar las erogaciones que haga el ayuntamiento.</w:t>
      </w:r>
    </w:p>
    <w:p w:rsidR="001459C8" w:rsidRPr="001459C8" w:rsidRDefault="001459C8" w:rsidP="001459C8">
      <w:pPr>
        <w:autoSpaceDE w:val="0"/>
        <w:autoSpaceDN w:val="0"/>
        <w:adjustRightInd w:val="0"/>
        <w:spacing w:after="0" w:line="240" w:lineRule="auto"/>
        <w:ind w:left="851" w:right="850"/>
        <w:jc w:val="both"/>
        <w:rPr>
          <w:rFonts w:ascii="Palatino Linotype" w:hAnsi="Palatino Linotype"/>
          <w:b/>
          <w:i/>
        </w:rPr>
      </w:pPr>
    </w:p>
    <w:p w:rsidR="00D66012" w:rsidRPr="001459C8" w:rsidRDefault="00D66012" w:rsidP="001459C8">
      <w:pPr>
        <w:autoSpaceDE w:val="0"/>
        <w:autoSpaceDN w:val="0"/>
        <w:adjustRightInd w:val="0"/>
        <w:spacing w:after="0" w:line="240" w:lineRule="auto"/>
        <w:ind w:left="851" w:right="850"/>
        <w:jc w:val="both"/>
        <w:rPr>
          <w:rFonts w:ascii="Palatino Linotype" w:hAnsi="Palatino Linotype"/>
          <w:i/>
        </w:rPr>
      </w:pPr>
      <w:r w:rsidRPr="001459C8">
        <w:rPr>
          <w:rFonts w:ascii="Palatino Linotype" w:hAnsi="Palatino Linotype"/>
          <w:i/>
        </w:rPr>
        <w:lastRenderedPageBreak/>
        <w:t xml:space="preserve">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w:t>
      </w:r>
    </w:p>
    <w:p w:rsidR="001459C8" w:rsidRDefault="001459C8" w:rsidP="001459C8">
      <w:pPr>
        <w:autoSpaceDE w:val="0"/>
        <w:autoSpaceDN w:val="0"/>
        <w:adjustRightInd w:val="0"/>
        <w:spacing w:after="0" w:line="240" w:lineRule="auto"/>
        <w:ind w:left="851" w:right="850"/>
        <w:jc w:val="both"/>
        <w:rPr>
          <w:rFonts w:ascii="Palatino Linotype" w:hAnsi="Palatino Linotype"/>
          <w:i/>
        </w:rPr>
      </w:pPr>
    </w:p>
    <w:p w:rsidR="00D66012" w:rsidRPr="001459C8" w:rsidRDefault="00D66012" w:rsidP="001459C8">
      <w:pPr>
        <w:autoSpaceDE w:val="0"/>
        <w:autoSpaceDN w:val="0"/>
        <w:adjustRightInd w:val="0"/>
        <w:spacing w:after="0" w:line="240" w:lineRule="auto"/>
        <w:ind w:left="851" w:right="850"/>
        <w:jc w:val="both"/>
        <w:rPr>
          <w:rFonts w:ascii="Palatino Linotype" w:hAnsi="Palatino Linotype"/>
          <w:b/>
          <w:i/>
        </w:rPr>
      </w:pPr>
      <w:r w:rsidRPr="001459C8">
        <w:rPr>
          <w:rFonts w:ascii="Palatino Linotype" w:hAnsi="Palatino Linotype"/>
          <w:b/>
          <w:i/>
        </w:rPr>
        <w:t>Artículo 95.- Son atribuciones del tesorero municipal:</w:t>
      </w:r>
    </w:p>
    <w:p w:rsidR="001459C8" w:rsidRPr="001459C8" w:rsidRDefault="001459C8" w:rsidP="001459C8">
      <w:pPr>
        <w:autoSpaceDE w:val="0"/>
        <w:autoSpaceDN w:val="0"/>
        <w:adjustRightInd w:val="0"/>
        <w:spacing w:after="0" w:line="240" w:lineRule="auto"/>
        <w:ind w:left="851" w:right="850"/>
        <w:jc w:val="both"/>
        <w:rPr>
          <w:rFonts w:ascii="Palatino Linotype" w:hAnsi="Palatino Linotype"/>
          <w:b/>
          <w:i/>
        </w:rPr>
      </w:pPr>
      <w:r w:rsidRPr="001459C8">
        <w:rPr>
          <w:rFonts w:ascii="Palatino Linotype" w:hAnsi="Palatino Linotype"/>
          <w:b/>
          <w:i/>
        </w:rPr>
        <w:t>…</w:t>
      </w:r>
    </w:p>
    <w:p w:rsidR="001459C8" w:rsidRPr="001459C8" w:rsidRDefault="001459C8" w:rsidP="001459C8">
      <w:pPr>
        <w:autoSpaceDE w:val="0"/>
        <w:autoSpaceDN w:val="0"/>
        <w:adjustRightInd w:val="0"/>
        <w:spacing w:after="0" w:line="240" w:lineRule="auto"/>
        <w:ind w:left="851" w:right="850"/>
        <w:jc w:val="both"/>
        <w:rPr>
          <w:rFonts w:ascii="Palatino Linotype" w:hAnsi="Palatino Linotype"/>
          <w:b/>
          <w:i/>
        </w:rPr>
      </w:pPr>
      <w:r w:rsidRPr="001459C8">
        <w:rPr>
          <w:rFonts w:ascii="Palatino Linotype" w:hAnsi="Palatino Linotype"/>
          <w:b/>
          <w:i/>
        </w:rPr>
        <w:t>I. Administrar la hacienda pública municipal, de conformidad con las disposiciones legales aplicables;</w:t>
      </w:r>
    </w:p>
    <w:p w:rsidR="001459C8" w:rsidRPr="001459C8" w:rsidRDefault="001459C8" w:rsidP="001459C8">
      <w:pPr>
        <w:autoSpaceDE w:val="0"/>
        <w:autoSpaceDN w:val="0"/>
        <w:adjustRightInd w:val="0"/>
        <w:spacing w:after="0" w:line="240" w:lineRule="auto"/>
        <w:ind w:left="851" w:right="850"/>
        <w:jc w:val="both"/>
        <w:rPr>
          <w:rFonts w:ascii="Palatino Linotype" w:eastAsia="Times New Roman" w:hAnsi="Palatino Linotype" w:cs="Times New Roman"/>
          <w:b/>
          <w:i/>
          <w:lang w:eastAsia="es-MX"/>
        </w:rPr>
      </w:pPr>
      <w:r w:rsidRPr="001459C8">
        <w:rPr>
          <w:rFonts w:ascii="Palatino Linotype" w:eastAsia="Times New Roman" w:hAnsi="Palatino Linotype" w:cs="Times New Roman"/>
          <w:b/>
          <w:i/>
          <w:lang w:eastAsia="es-MX"/>
        </w:rPr>
        <w:t>…</w:t>
      </w:r>
    </w:p>
    <w:p w:rsidR="001459C8" w:rsidRPr="001459C8" w:rsidRDefault="001459C8" w:rsidP="001459C8">
      <w:pPr>
        <w:autoSpaceDE w:val="0"/>
        <w:autoSpaceDN w:val="0"/>
        <w:adjustRightInd w:val="0"/>
        <w:spacing w:after="0" w:line="240" w:lineRule="auto"/>
        <w:ind w:left="851" w:right="850"/>
        <w:jc w:val="both"/>
        <w:rPr>
          <w:rFonts w:ascii="Palatino Linotype" w:hAnsi="Palatino Linotype"/>
          <w:b/>
          <w:i/>
        </w:rPr>
      </w:pPr>
      <w:r w:rsidRPr="001459C8">
        <w:rPr>
          <w:rFonts w:ascii="Palatino Linotype" w:hAnsi="Palatino Linotype"/>
          <w:b/>
          <w:i/>
        </w:rPr>
        <w:t>IV. Llevar los registros contables, financieros y administrativos de los ingresos, egresos, e inventarios;</w:t>
      </w:r>
    </w:p>
    <w:p w:rsidR="001459C8" w:rsidRPr="001459C8" w:rsidRDefault="001459C8" w:rsidP="001459C8">
      <w:pPr>
        <w:autoSpaceDE w:val="0"/>
        <w:autoSpaceDN w:val="0"/>
        <w:adjustRightInd w:val="0"/>
        <w:spacing w:after="0" w:line="240" w:lineRule="auto"/>
        <w:ind w:left="851" w:right="850"/>
        <w:jc w:val="both"/>
        <w:rPr>
          <w:rFonts w:ascii="Palatino Linotype" w:hAnsi="Palatino Linotype"/>
          <w:b/>
          <w:i/>
        </w:rPr>
      </w:pPr>
      <w:r w:rsidRPr="001459C8">
        <w:rPr>
          <w:rFonts w:ascii="Palatino Linotype" w:hAnsi="Palatino Linotype"/>
          <w:b/>
          <w:i/>
        </w:rPr>
        <w:t>…</w:t>
      </w:r>
    </w:p>
    <w:p w:rsidR="001459C8" w:rsidRPr="001459C8" w:rsidRDefault="001459C8" w:rsidP="001459C8">
      <w:pPr>
        <w:autoSpaceDE w:val="0"/>
        <w:autoSpaceDN w:val="0"/>
        <w:adjustRightInd w:val="0"/>
        <w:spacing w:after="0" w:line="240" w:lineRule="auto"/>
        <w:ind w:left="851" w:right="850"/>
        <w:jc w:val="both"/>
        <w:rPr>
          <w:rFonts w:ascii="Palatino Linotype" w:eastAsia="Times New Roman" w:hAnsi="Palatino Linotype" w:cs="Times New Roman"/>
          <w:b/>
          <w:i/>
          <w:lang w:eastAsia="es-MX"/>
        </w:rPr>
      </w:pPr>
      <w:r w:rsidRPr="001459C8">
        <w:rPr>
          <w:rFonts w:ascii="Palatino Linotype" w:hAnsi="Palatino Linotype"/>
          <w:b/>
          <w:i/>
        </w:rPr>
        <w:t>VI. Presentar anualmente al ayuntamiento un informe de la situación contable financiera de la Tesorería Municipal;</w:t>
      </w:r>
    </w:p>
    <w:p w:rsidR="00D66012" w:rsidRDefault="00D66012" w:rsidP="00965992">
      <w:pPr>
        <w:autoSpaceDE w:val="0"/>
        <w:autoSpaceDN w:val="0"/>
        <w:adjustRightInd w:val="0"/>
        <w:spacing w:after="0" w:line="360" w:lineRule="auto"/>
        <w:jc w:val="both"/>
        <w:rPr>
          <w:rFonts w:ascii="Palatino Linotype" w:eastAsia="Times New Roman" w:hAnsi="Palatino Linotype" w:cs="Times New Roman"/>
          <w:sz w:val="24"/>
          <w:szCs w:val="24"/>
          <w:lang w:eastAsia="es-MX"/>
        </w:rPr>
      </w:pPr>
    </w:p>
    <w:p w:rsidR="00D66012" w:rsidRDefault="00965992" w:rsidP="00965992">
      <w:pPr>
        <w:autoSpaceDE w:val="0"/>
        <w:autoSpaceDN w:val="0"/>
        <w:adjustRightInd w:val="0"/>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Ahora bien, dentro del Bando Municipal del Sujeto Obligado </w:t>
      </w:r>
      <w:r w:rsidR="00D66012">
        <w:rPr>
          <w:rFonts w:ascii="Palatino Linotype" w:eastAsia="Times New Roman" w:hAnsi="Palatino Linotype" w:cs="Times New Roman"/>
          <w:sz w:val="24"/>
          <w:szCs w:val="24"/>
          <w:lang w:eastAsia="es-MX"/>
        </w:rPr>
        <w:t>se encarga de:</w:t>
      </w:r>
    </w:p>
    <w:p w:rsidR="00D66012" w:rsidRPr="001459C8" w:rsidRDefault="00965992" w:rsidP="001459C8">
      <w:pPr>
        <w:autoSpaceDE w:val="0"/>
        <w:autoSpaceDN w:val="0"/>
        <w:adjustRightInd w:val="0"/>
        <w:spacing w:after="0" w:line="240" w:lineRule="auto"/>
        <w:ind w:left="851" w:right="850"/>
        <w:jc w:val="both"/>
        <w:rPr>
          <w:rFonts w:ascii="Palatino Linotype" w:hAnsi="Palatino Linotype"/>
          <w:i/>
        </w:rPr>
      </w:pPr>
      <w:r w:rsidRPr="001459C8">
        <w:rPr>
          <w:rFonts w:ascii="Palatino Linotype" w:hAnsi="Palatino Linotype"/>
          <w:i/>
        </w:rPr>
        <w:t xml:space="preserve">Capítulo II </w:t>
      </w:r>
    </w:p>
    <w:p w:rsidR="00D66012" w:rsidRPr="001459C8" w:rsidRDefault="00965992" w:rsidP="001459C8">
      <w:pPr>
        <w:autoSpaceDE w:val="0"/>
        <w:autoSpaceDN w:val="0"/>
        <w:adjustRightInd w:val="0"/>
        <w:spacing w:after="0" w:line="240" w:lineRule="auto"/>
        <w:ind w:left="851" w:right="850"/>
        <w:jc w:val="both"/>
        <w:rPr>
          <w:rFonts w:ascii="Palatino Linotype" w:hAnsi="Palatino Linotype"/>
          <w:i/>
        </w:rPr>
      </w:pPr>
      <w:r w:rsidRPr="001459C8">
        <w:rPr>
          <w:rFonts w:ascii="Palatino Linotype" w:hAnsi="Palatino Linotype"/>
          <w:i/>
        </w:rPr>
        <w:t xml:space="preserve">De la Tesorería Municipal </w:t>
      </w:r>
    </w:p>
    <w:p w:rsidR="00D66012" w:rsidRPr="001459C8" w:rsidRDefault="00965992" w:rsidP="001459C8">
      <w:pPr>
        <w:autoSpaceDE w:val="0"/>
        <w:autoSpaceDN w:val="0"/>
        <w:adjustRightInd w:val="0"/>
        <w:spacing w:after="0" w:line="240" w:lineRule="auto"/>
        <w:ind w:left="851" w:right="850"/>
        <w:jc w:val="both"/>
        <w:rPr>
          <w:rFonts w:ascii="Palatino Linotype" w:hAnsi="Palatino Linotype"/>
          <w:b/>
          <w:i/>
        </w:rPr>
      </w:pPr>
      <w:r w:rsidRPr="001459C8">
        <w:rPr>
          <w:rFonts w:ascii="Palatino Linotype" w:hAnsi="Palatino Linotype"/>
          <w:b/>
          <w:i/>
        </w:rPr>
        <w:t xml:space="preserve">Artículo 54. La Tesorería Municipal tendrá a su cargo </w:t>
      </w:r>
      <w:r w:rsidRPr="001459C8">
        <w:rPr>
          <w:rFonts w:ascii="Palatino Linotype" w:hAnsi="Palatino Linotype"/>
          <w:i/>
        </w:rPr>
        <w:t xml:space="preserve">recaudar los ingresos del Municipio, </w:t>
      </w:r>
      <w:r w:rsidRPr="001459C8">
        <w:rPr>
          <w:rFonts w:ascii="Palatino Linotype" w:hAnsi="Palatino Linotype"/>
          <w:b/>
          <w:i/>
        </w:rPr>
        <w:t xml:space="preserve">conducir la disciplina presupuestal de la administración pública municipal </w:t>
      </w:r>
      <w:r w:rsidRPr="001459C8">
        <w:rPr>
          <w:rFonts w:ascii="Palatino Linotype" w:hAnsi="Palatino Linotype"/>
          <w:i/>
        </w:rPr>
        <w:t xml:space="preserve">y coordinar las diferentes fuentes de captación de ingresos, en coordinación con las entidades federales, estatales y municipales, buscando lograr la realización de los objetivos contemplados en el Plan de Desarrollo Municipal a través de una </w:t>
      </w:r>
      <w:r w:rsidRPr="001459C8">
        <w:rPr>
          <w:rFonts w:ascii="Palatino Linotype" w:hAnsi="Palatino Linotype"/>
          <w:b/>
          <w:i/>
        </w:rPr>
        <w:t xml:space="preserve">adecuada implementación de los procesos de planeación y </w:t>
      </w:r>
      <w:r w:rsidR="00D66012" w:rsidRPr="001459C8">
        <w:rPr>
          <w:rFonts w:ascii="Palatino Linotype" w:hAnsi="Palatino Linotype"/>
          <w:b/>
          <w:i/>
        </w:rPr>
        <w:t>presupuestario</w:t>
      </w:r>
      <w:r w:rsidRPr="001459C8">
        <w:rPr>
          <w:rFonts w:ascii="Palatino Linotype" w:hAnsi="Palatino Linotype"/>
          <w:b/>
          <w:i/>
        </w:rPr>
        <w:t xml:space="preserve"> del gasto público del municipio, para la correcta administración de la hacienda municipal.</w:t>
      </w:r>
      <w:r w:rsidR="00D66012" w:rsidRPr="001459C8">
        <w:rPr>
          <w:rFonts w:ascii="Palatino Linotype" w:hAnsi="Palatino Linotype"/>
          <w:b/>
          <w:i/>
        </w:rPr>
        <w:t xml:space="preserve"> </w:t>
      </w:r>
    </w:p>
    <w:p w:rsidR="00D66012" w:rsidRPr="001459C8" w:rsidRDefault="00D66012" w:rsidP="001459C8">
      <w:pPr>
        <w:autoSpaceDE w:val="0"/>
        <w:autoSpaceDN w:val="0"/>
        <w:adjustRightInd w:val="0"/>
        <w:spacing w:after="0" w:line="240" w:lineRule="auto"/>
        <w:ind w:left="851" w:right="850"/>
        <w:jc w:val="both"/>
        <w:rPr>
          <w:rFonts w:ascii="Palatino Linotype" w:hAnsi="Palatino Linotype"/>
          <w:i/>
        </w:rPr>
      </w:pPr>
    </w:p>
    <w:p w:rsidR="00D66012" w:rsidRPr="001459C8" w:rsidRDefault="00D66012" w:rsidP="001459C8">
      <w:pPr>
        <w:autoSpaceDE w:val="0"/>
        <w:autoSpaceDN w:val="0"/>
        <w:adjustRightInd w:val="0"/>
        <w:spacing w:after="0" w:line="240" w:lineRule="auto"/>
        <w:ind w:left="851" w:right="850"/>
        <w:jc w:val="both"/>
        <w:rPr>
          <w:rFonts w:ascii="Palatino Linotype" w:hAnsi="Palatino Linotype"/>
          <w:i/>
        </w:rPr>
      </w:pPr>
    </w:p>
    <w:p w:rsidR="00965992" w:rsidRDefault="00D52485" w:rsidP="000B4F76">
      <w:pPr>
        <w:spacing w:after="0" w:line="360" w:lineRule="auto"/>
        <w:jc w:val="both"/>
        <w:rPr>
          <w:rFonts w:ascii="Palatino Linotype" w:hAnsi="Palatino Linotype"/>
          <w:sz w:val="24"/>
          <w:szCs w:val="24"/>
        </w:rPr>
      </w:pPr>
      <w:r w:rsidRPr="00D52485">
        <w:rPr>
          <w:rFonts w:ascii="Palatino Linotype" w:hAnsi="Palatino Linotype"/>
          <w:sz w:val="24"/>
          <w:szCs w:val="24"/>
        </w:rPr>
        <w:t xml:space="preserve">Conforme a la normatividad antes inserta, podemos apreciar que el Sujeto Obligado es responsable a través de la Tesorería Municipal de </w:t>
      </w:r>
      <w:r>
        <w:rPr>
          <w:rFonts w:ascii="Palatino Linotype" w:hAnsi="Palatino Linotype"/>
          <w:sz w:val="24"/>
          <w:szCs w:val="24"/>
        </w:rPr>
        <w:t xml:space="preserve">administrar la hacienda pública, mediante un adecuado uso de los Recursos Públicos conforme a las </w:t>
      </w:r>
      <w:r w:rsidR="000B4F76">
        <w:rPr>
          <w:rFonts w:ascii="Palatino Linotype" w:hAnsi="Palatino Linotype"/>
          <w:sz w:val="24"/>
          <w:szCs w:val="24"/>
        </w:rPr>
        <w:t>disipaciones</w:t>
      </w:r>
      <w:r>
        <w:rPr>
          <w:rFonts w:ascii="Palatino Linotype" w:hAnsi="Palatino Linotype"/>
          <w:sz w:val="24"/>
          <w:szCs w:val="24"/>
        </w:rPr>
        <w:t xml:space="preserve"> legales vigentes, este acto se lleva a cabo mediante diversas acciones, entre las cuales podemos encontrar en registro contable y financiero de los recursos, así mismo la contraloría municipal debe entregar un reporte financiero de la situación contable  que </w:t>
      </w:r>
      <w:r>
        <w:rPr>
          <w:rFonts w:ascii="Palatino Linotype" w:hAnsi="Palatino Linotype"/>
          <w:sz w:val="24"/>
          <w:szCs w:val="24"/>
        </w:rPr>
        <w:lastRenderedPageBreak/>
        <w:t>se llevado a cabo, por su parte el Bando Municipal del Sujeto Obligado establece que la Tesoreria Municipal es la encargada de llevar un correcto control del presupuesto, así como llevar los procesos de planeación y presupuesto del gasto, para la correcta administración de los recursos públicos.</w:t>
      </w:r>
    </w:p>
    <w:p w:rsidR="00D52485" w:rsidRDefault="00D52485" w:rsidP="000B4F76">
      <w:pPr>
        <w:spacing w:after="0" w:line="360" w:lineRule="auto"/>
        <w:jc w:val="both"/>
        <w:rPr>
          <w:rFonts w:ascii="Palatino Linotype" w:hAnsi="Palatino Linotype"/>
          <w:sz w:val="24"/>
          <w:szCs w:val="24"/>
        </w:rPr>
      </w:pPr>
    </w:p>
    <w:p w:rsidR="00D52485" w:rsidRDefault="00D52485" w:rsidP="000B4F76">
      <w:pPr>
        <w:spacing w:after="0" w:line="360" w:lineRule="auto"/>
        <w:jc w:val="both"/>
        <w:rPr>
          <w:rFonts w:ascii="Palatino Linotype" w:hAnsi="Palatino Linotype"/>
          <w:sz w:val="24"/>
          <w:szCs w:val="24"/>
        </w:rPr>
      </w:pPr>
      <w:r>
        <w:rPr>
          <w:rFonts w:ascii="Palatino Linotype" w:hAnsi="Palatino Linotype"/>
          <w:sz w:val="24"/>
          <w:szCs w:val="24"/>
        </w:rPr>
        <w:t xml:space="preserve">Por ende, es claro que el Sujeto Obligado cuenta con la obligación de llevar un registro y control de los documentos que comprueban los gastos que se realizan para la correcta administración de los recursos con los que cuenta el Ayuntamiento de Cuautitlán, por ende, es dable ordenar al Sujeto Obligado realice una búsqueda en la </w:t>
      </w:r>
      <w:r w:rsidR="000B4F76">
        <w:rPr>
          <w:rFonts w:ascii="Palatino Linotype" w:hAnsi="Palatino Linotype"/>
          <w:sz w:val="24"/>
          <w:szCs w:val="24"/>
        </w:rPr>
        <w:t>áreas</w:t>
      </w:r>
      <w:r>
        <w:rPr>
          <w:rFonts w:ascii="Palatino Linotype" w:hAnsi="Palatino Linotype"/>
          <w:sz w:val="24"/>
          <w:szCs w:val="24"/>
        </w:rPr>
        <w:t xml:space="preserve"> correspondientes de generar, poseer y administrar la información solicitada.</w:t>
      </w:r>
    </w:p>
    <w:p w:rsidR="000B4F76" w:rsidRDefault="000B4F76" w:rsidP="000B4F76">
      <w:pPr>
        <w:spacing w:after="0" w:line="360" w:lineRule="auto"/>
        <w:jc w:val="both"/>
        <w:rPr>
          <w:rFonts w:ascii="Palatino Linotype" w:hAnsi="Palatino Linotype"/>
          <w:sz w:val="24"/>
          <w:szCs w:val="24"/>
        </w:rPr>
      </w:pPr>
    </w:p>
    <w:p w:rsidR="000B4F76" w:rsidRDefault="000B4F76" w:rsidP="000B4F76">
      <w:pPr>
        <w:spacing w:after="0" w:line="360" w:lineRule="auto"/>
        <w:jc w:val="both"/>
        <w:rPr>
          <w:rFonts w:ascii="Palatino Linotype" w:hAnsi="Palatino Linotype"/>
          <w:sz w:val="24"/>
          <w:szCs w:val="24"/>
        </w:rPr>
      </w:pPr>
      <w:r>
        <w:rPr>
          <w:rFonts w:ascii="Palatino Linotype" w:hAnsi="Palatino Linotype"/>
          <w:sz w:val="24"/>
          <w:szCs w:val="24"/>
        </w:rPr>
        <w:t>Lo anterior, toda vez que el Sujeto Obligado fue omiso para proporcionar una respuesta y de las documentales del sistema SAIMEX, se aprecia que el Titular de la Unidad de Transparencia no llevo a cabo el procedimiento, para el turno de la solicitud de la información, como se muestra a continuación:</w:t>
      </w:r>
    </w:p>
    <w:p w:rsidR="000B4F76" w:rsidRPr="00D52485" w:rsidRDefault="00B12032" w:rsidP="000B4F76">
      <w:pPr>
        <w:spacing w:after="0" w:line="360" w:lineRule="auto"/>
        <w:jc w:val="both"/>
        <w:rPr>
          <w:rFonts w:ascii="Palatino Linotype" w:hAnsi="Palatino Linotype"/>
          <w:sz w:val="24"/>
          <w:szCs w:val="24"/>
        </w:rPr>
      </w:pPr>
      <w:r>
        <w:rPr>
          <w:rFonts w:ascii="Palatino Linotype" w:hAnsi="Palatino Linotype"/>
          <w:noProof/>
          <w:sz w:val="24"/>
          <w:szCs w:val="24"/>
          <w:lang w:eastAsia="es-MX"/>
        </w:rPr>
        <w:drawing>
          <wp:inline distT="0" distB="0" distL="0" distR="0">
            <wp:extent cx="5669280" cy="2926080"/>
            <wp:effectExtent l="0" t="0" r="762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9280" cy="2926080"/>
                    </a:xfrm>
                    <a:prstGeom prst="rect">
                      <a:avLst/>
                    </a:prstGeom>
                    <a:noFill/>
                    <a:ln>
                      <a:noFill/>
                    </a:ln>
                  </pic:spPr>
                </pic:pic>
              </a:graphicData>
            </a:graphic>
          </wp:inline>
        </w:drawing>
      </w:r>
      <w:bookmarkStart w:id="0" w:name="_GoBack"/>
      <w:bookmarkEnd w:id="0"/>
    </w:p>
    <w:p w:rsidR="00FE1C34" w:rsidRDefault="00FE1C34" w:rsidP="00FE1C34">
      <w:pPr>
        <w:spacing w:after="0" w:line="360" w:lineRule="auto"/>
        <w:jc w:val="both"/>
        <w:rPr>
          <w:rFonts w:ascii="Palatino Linotype" w:hAnsi="Palatino Linotype"/>
          <w:sz w:val="24"/>
          <w:szCs w:val="24"/>
        </w:rPr>
      </w:pPr>
      <w:r w:rsidRPr="00FE1C34">
        <w:rPr>
          <w:rFonts w:ascii="Palatino Linotype" w:hAnsi="Palatino Linotype"/>
          <w:sz w:val="24"/>
          <w:szCs w:val="24"/>
        </w:rPr>
        <w:lastRenderedPageBreak/>
        <w:t>De la imagen anterior se aprecia que el Sujeto Obligado no le dio el trámite correspondiente a la solicitud de información, se limitó únicamente a mencionar que el requerimiento no era claro, pues el particular manifestó que requería las facturas de todas las áreas del Sujeto Obligado, por lo que esta ponencia advierte que los motivos de inconformidad devienen fundados, ya que el Sujeto Obligado si cuenta con la información solicitada.</w:t>
      </w:r>
    </w:p>
    <w:p w:rsidR="00FE1C34" w:rsidRDefault="00FE1C34" w:rsidP="00FE1C34">
      <w:pPr>
        <w:spacing w:after="0" w:line="360" w:lineRule="auto"/>
        <w:jc w:val="both"/>
        <w:rPr>
          <w:rFonts w:ascii="Palatino Linotype" w:hAnsi="Palatino Linotype"/>
          <w:sz w:val="24"/>
          <w:szCs w:val="24"/>
        </w:rPr>
      </w:pPr>
    </w:p>
    <w:p w:rsidR="00FE1C34" w:rsidRPr="00FE1C34" w:rsidRDefault="00FE1C34" w:rsidP="00FE1C34">
      <w:pPr>
        <w:spacing w:after="0" w:line="360" w:lineRule="auto"/>
        <w:jc w:val="both"/>
        <w:rPr>
          <w:rFonts w:ascii="Palatino Linotype" w:hAnsi="Palatino Linotype"/>
          <w:sz w:val="24"/>
          <w:szCs w:val="24"/>
        </w:rPr>
      </w:pPr>
      <w:r>
        <w:rPr>
          <w:rFonts w:ascii="Palatino Linotype" w:hAnsi="Palatino Linotype"/>
          <w:sz w:val="24"/>
          <w:szCs w:val="24"/>
        </w:rPr>
        <w:t>De tal modo a continuación se establece el proceso que marca la Ley de Transparencia y Acceso a la Información Pública del Estado de México y Municipios, en donde enuncia lo siguiente:</w:t>
      </w:r>
    </w:p>
    <w:p w:rsidR="00FE1C34" w:rsidRDefault="00FE1C34" w:rsidP="00A537C5"/>
    <w:p w:rsidR="00FE1C34" w:rsidRPr="00FE1C34" w:rsidRDefault="00FE1C34" w:rsidP="00FE1C34">
      <w:pPr>
        <w:ind w:left="851" w:right="850"/>
        <w:jc w:val="both"/>
        <w:rPr>
          <w:rFonts w:ascii="Palatino Linotype" w:hAnsi="Palatino Linotype"/>
          <w:i/>
        </w:rPr>
      </w:pPr>
      <w:r w:rsidRPr="00FE1C34">
        <w:rPr>
          <w:rFonts w:ascii="Palatino Linotype" w:hAnsi="Palatino Linotype"/>
          <w:i/>
        </w:rPr>
        <w:t>Artículo 50. Los sujetos obligados contarán con un área responsable para la atención de las solicitudes de información, a la que se le denominará Unidad de Transparencia.</w:t>
      </w:r>
    </w:p>
    <w:p w:rsidR="00FE1C34" w:rsidRPr="00FE1C34" w:rsidRDefault="00FE1C34" w:rsidP="00FE1C34">
      <w:pPr>
        <w:ind w:left="851" w:right="850"/>
        <w:jc w:val="both"/>
        <w:rPr>
          <w:rFonts w:ascii="Palatino Linotype" w:hAnsi="Palatino Linotype"/>
          <w:i/>
        </w:rPr>
      </w:pPr>
      <w:r w:rsidRPr="00FE1C34">
        <w:rPr>
          <w:rFonts w:ascii="Palatino Linotype" w:hAnsi="Palatino Linotype"/>
          <w:i/>
        </w:rPr>
        <w:t xml:space="preserve">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w:t>
      </w:r>
    </w:p>
    <w:p w:rsidR="00FE1C34" w:rsidRPr="00FE1C34" w:rsidRDefault="00FE1C34" w:rsidP="00FE1C34">
      <w:pPr>
        <w:ind w:left="851" w:right="850"/>
        <w:jc w:val="both"/>
        <w:rPr>
          <w:rFonts w:ascii="Palatino Linotype" w:hAnsi="Palatino Linotype"/>
          <w:i/>
        </w:rPr>
      </w:pPr>
      <w:r w:rsidRPr="00FE1C34">
        <w:rPr>
          <w:rFonts w:ascii="Palatino Linotype" w:hAnsi="Palatino Linotype"/>
          <w:i/>
        </w:rPr>
        <w:t xml:space="preserve">Artículo 52.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p>
    <w:p w:rsidR="00FE1C34" w:rsidRPr="00FE1C34" w:rsidRDefault="00FE1C34" w:rsidP="00FE1C34">
      <w:pPr>
        <w:ind w:left="851" w:right="850"/>
        <w:jc w:val="both"/>
        <w:rPr>
          <w:rFonts w:ascii="Palatino Linotype" w:hAnsi="Palatino Linotype"/>
          <w:i/>
        </w:rPr>
      </w:pPr>
      <w:r w:rsidRPr="00FE1C34">
        <w:rPr>
          <w:rFonts w:ascii="Palatino Linotype" w:hAnsi="Palatino Linotype"/>
          <w:i/>
        </w:rPr>
        <w:t xml:space="preserve">Artículo 53. Las Unidades de Transparencia tendrán las siguientes funciones: </w:t>
      </w:r>
    </w:p>
    <w:p w:rsidR="00FE1C34" w:rsidRPr="00FE1C34" w:rsidRDefault="00FE1C34" w:rsidP="00FE1C34">
      <w:pPr>
        <w:ind w:left="851" w:right="850"/>
        <w:jc w:val="both"/>
        <w:rPr>
          <w:rFonts w:ascii="Palatino Linotype" w:hAnsi="Palatino Linotype"/>
          <w:i/>
        </w:rPr>
      </w:pPr>
      <w:r w:rsidRPr="00FE1C34">
        <w:rPr>
          <w:rFonts w:ascii="Palatino Linotype" w:hAnsi="Palatino Linotype"/>
          <w:i/>
        </w:rPr>
        <w:t xml:space="preserve">I. Recabar, difundir y actualizar la información relativa a las obligaciones de transparencia comunes y específicas a la que se refiere la Ley General, esta Ley, la </w:t>
      </w:r>
      <w:r w:rsidRPr="00FE1C34">
        <w:rPr>
          <w:rFonts w:ascii="Palatino Linotype" w:hAnsi="Palatino Linotype"/>
          <w:i/>
        </w:rPr>
        <w:lastRenderedPageBreak/>
        <w:t xml:space="preserve">que determine el Instituto y las demás disposiciones de la materia, así como propiciar que las áreas la actualicen periódicamente conforme a la normatividad aplicable; </w:t>
      </w:r>
    </w:p>
    <w:p w:rsidR="00FE1C34" w:rsidRPr="00FE1C34" w:rsidRDefault="00FE1C34" w:rsidP="00FE1C34">
      <w:pPr>
        <w:ind w:left="851" w:right="850"/>
        <w:jc w:val="both"/>
        <w:rPr>
          <w:rFonts w:ascii="Palatino Linotype" w:hAnsi="Palatino Linotype"/>
          <w:i/>
        </w:rPr>
      </w:pPr>
      <w:r w:rsidRPr="00FE1C34">
        <w:rPr>
          <w:rFonts w:ascii="Palatino Linotype" w:hAnsi="Palatino Linotype"/>
          <w:i/>
        </w:rPr>
        <w:t xml:space="preserve">II. Recibir, tramitar y dar respuesta a las solicitudes de acceso a la información; </w:t>
      </w:r>
    </w:p>
    <w:p w:rsidR="00FE1C34" w:rsidRPr="00FE1C34" w:rsidRDefault="00FE1C34" w:rsidP="00FE1C34">
      <w:pPr>
        <w:ind w:left="851" w:right="850"/>
        <w:jc w:val="both"/>
        <w:rPr>
          <w:rFonts w:ascii="Palatino Linotype" w:hAnsi="Palatino Linotype"/>
          <w:i/>
        </w:rPr>
      </w:pPr>
      <w:r w:rsidRPr="00FE1C34">
        <w:rPr>
          <w:rFonts w:ascii="Palatino Linotype" w:hAnsi="Palatino Linotype"/>
          <w:i/>
        </w:rPr>
        <w:t xml:space="preserve">III. Auxiliar a los particulares en la elaboración de solicitudes de acceso a la información y, en su caso, orientarlos sobre los sujetos obligados competentes conforme a la normatividad aplicable; </w:t>
      </w:r>
    </w:p>
    <w:p w:rsidR="00FE1C34" w:rsidRPr="00FE1C34" w:rsidRDefault="00FE1C34" w:rsidP="00FE1C34">
      <w:pPr>
        <w:ind w:left="851" w:right="850"/>
        <w:jc w:val="both"/>
        <w:rPr>
          <w:rFonts w:ascii="Palatino Linotype" w:hAnsi="Palatino Linotype"/>
          <w:i/>
        </w:rPr>
      </w:pPr>
      <w:r w:rsidRPr="00FE1C34">
        <w:rPr>
          <w:rFonts w:ascii="Palatino Linotype" w:hAnsi="Palatino Linotype"/>
          <w:i/>
        </w:rPr>
        <w:t xml:space="preserve">IV. Realizar, con efectividad, los trámites internos necesarios para la atención de las solicitudes de acceso a la información; </w:t>
      </w:r>
    </w:p>
    <w:p w:rsidR="00FE1C34" w:rsidRPr="00FE1C34" w:rsidRDefault="00FE1C34" w:rsidP="00FE1C34">
      <w:pPr>
        <w:ind w:left="851" w:right="850"/>
        <w:jc w:val="both"/>
        <w:rPr>
          <w:rFonts w:ascii="Palatino Linotype" w:hAnsi="Palatino Linotype"/>
          <w:i/>
        </w:rPr>
      </w:pPr>
      <w:r w:rsidRPr="00FE1C34">
        <w:rPr>
          <w:rFonts w:ascii="Palatino Linotype" w:hAnsi="Palatino Linotype"/>
          <w:i/>
        </w:rPr>
        <w:t xml:space="preserve">V. Entregar, en su caso, a los particulares la información solicitada; </w:t>
      </w:r>
    </w:p>
    <w:p w:rsidR="00FE1C34" w:rsidRPr="00FE1C34" w:rsidRDefault="00FE1C34" w:rsidP="00FE1C34">
      <w:pPr>
        <w:ind w:left="851" w:right="850"/>
        <w:jc w:val="both"/>
        <w:rPr>
          <w:rFonts w:ascii="Palatino Linotype" w:hAnsi="Palatino Linotype"/>
          <w:i/>
        </w:rPr>
      </w:pPr>
      <w:r w:rsidRPr="00FE1C34">
        <w:rPr>
          <w:rFonts w:ascii="Palatino Linotype" w:hAnsi="Palatino Linotype"/>
          <w:i/>
        </w:rPr>
        <w:t xml:space="preserve">VI. Efectuar las notificaciones a los solicitantes; </w:t>
      </w:r>
    </w:p>
    <w:p w:rsidR="00FE1C34" w:rsidRPr="00FE1C34" w:rsidRDefault="00FE1C34" w:rsidP="00FE1C34">
      <w:pPr>
        <w:ind w:left="851" w:right="850"/>
        <w:jc w:val="both"/>
        <w:rPr>
          <w:rFonts w:ascii="Palatino Linotype" w:hAnsi="Palatino Linotype"/>
          <w:i/>
        </w:rPr>
      </w:pPr>
      <w:r w:rsidRPr="00FE1C34">
        <w:rPr>
          <w:rFonts w:ascii="Palatino Linotype" w:hAnsi="Palatino Linotype"/>
          <w:i/>
        </w:rPr>
        <w:t xml:space="preserve">VII. Proponer al Comité de Transparencia, los procedimientos internos que aseguren la mayor eficiencia en la gestión de las solicitudes de acceso a la información, conforme a la normatividad aplicable; </w:t>
      </w:r>
    </w:p>
    <w:p w:rsidR="00FE1C34" w:rsidRPr="00FE1C34" w:rsidRDefault="00FE1C34" w:rsidP="00FE1C34">
      <w:pPr>
        <w:ind w:left="851" w:right="850"/>
        <w:jc w:val="both"/>
        <w:rPr>
          <w:rFonts w:ascii="Palatino Linotype" w:hAnsi="Palatino Linotype"/>
          <w:i/>
        </w:rPr>
      </w:pPr>
      <w:r w:rsidRPr="00FE1C34">
        <w:rPr>
          <w:rFonts w:ascii="Palatino Linotype" w:hAnsi="Palatino Linotype"/>
          <w:i/>
        </w:rPr>
        <w:t xml:space="preserve">VIII. Proponer a quien preside el Comité de Transparencia, personal habilitado que sea necesario para recibir y dar trámite a las solicitudes de acceso a la información; </w:t>
      </w:r>
    </w:p>
    <w:p w:rsidR="00FE1C34" w:rsidRPr="00FE1C34" w:rsidRDefault="00FE1C34" w:rsidP="00FE1C34">
      <w:pPr>
        <w:ind w:left="851" w:right="850"/>
        <w:jc w:val="both"/>
        <w:rPr>
          <w:rFonts w:ascii="Palatino Linotype" w:hAnsi="Palatino Linotype"/>
          <w:i/>
        </w:rPr>
      </w:pPr>
      <w:r w:rsidRPr="00FE1C34">
        <w:rPr>
          <w:rFonts w:ascii="Palatino Linotype" w:hAnsi="Palatino Linotype"/>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FE1C34" w:rsidRPr="00FE1C34" w:rsidRDefault="00FE1C34" w:rsidP="00FE1C34">
      <w:pPr>
        <w:ind w:left="851" w:right="850"/>
        <w:jc w:val="both"/>
        <w:rPr>
          <w:rFonts w:ascii="Palatino Linotype" w:hAnsi="Palatino Linotype"/>
          <w:i/>
        </w:rPr>
      </w:pPr>
      <w:r w:rsidRPr="00FE1C34">
        <w:rPr>
          <w:rFonts w:ascii="Palatino Linotype" w:hAnsi="Palatino Linotype"/>
          <w:i/>
        </w:rPr>
        <w:t xml:space="preserve">X. Presentar ante el Comité, el proyecto de clasificación de información; </w:t>
      </w:r>
    </w:p>
    <w:p w:rsidR="00FE1C34" w:rsidRPr="00FE1C34" w:rsidRDefault="00FE1C34" w:rsidP="00FE1C34">
      <w:pPr>
        <w:ind w:left="851" w:right="850"/>
        <w:jc w:val="both"/>
        <w:rPr>
          <w:rFonts w:ascii="Palatino Linotype" w:hAnsi="Palatino Linotype"/>
          <w:i/>
        </w:rPr>
      </w:pPr>
      <w:r w:rsidRPr="00FE1C34">
        <w:rPr>
          <w:rFonts w:ascii="Palatino Linotype" w:hAnsi="Palatino Linotype"/>
          <w:i/>
        </w:rPr>
        <w:t xml:space="preserve">XI. Promover e implementar políticas de transparencia proactiva procurando su accesibilidad; </w:t>
      </w:r>
    </w:p>
    <w:p w:rsidR="00FE1C34" w:rsidRPr="00FE1C34" w:rsidRDefault="00FE1C34" w:rsidP="00FE1C34">
      <w:pPr>
        <w:ind w:left="851" w:right="850"/>
        <w:jc w:val="both"/>
        <w:rPr>
          <w:rFonts w:ascii="Palatino Linotype" w:hAnsi="Palatino Linotype"/>
          <w:i/>
        </w:rPr>
      </w:pPr>
      <w:r w:rsidRPr="00FE1C34">
        <w:rPr>
          <w:rFonts w:ascii="Palatino Linotype" w:hAnsi="Palatino Linotype"/>
          <w:i/>
        </w:rPr>
        <w:t xml:space="preserve">XII. Fomentar la transparencia y accesibilidad al interior del sujeto obligado; </w:t>
      </w:r>
    </w:p>
    <w:p w:rsidR="00965992" w:rsidRDefault="00FE1C34" w:rsidP="00FE1C34">
      <w:pPr>
        <w:ind w:left="851" w:right="850"/>
        <w:jc w:val="both"/>
        <w:rPr>
          <w:rFonts w:ascii="Palatino Linotype" w:hAnsi="Palatino Linotype"/>
          <w:i/>
        </w:rPr>
      </w:pPr>
      <w:r w:rsidRPr="00FE1C34">
        <w:rPr>
          <w:rFonts w:ascii="Palatino Linotype" w:hAnsi="Palatino Linotype"/>
          <w:i/>
        </w:rPr>
        <w:t>XIII. Hacer del conocimiento de la instancia competente la probable responsabilidad por el incumplimiento de las obligaciones previstas en la presente Ley; y</w:t>
      </w:r>
    </w:p>
    <w:p w:rsidR="00FE1C34" w:rsidRDefault="00FE1C34" w:rsidP="00FE1C34">
      <w:pPr>
        <w:ind w:left="851" w:right="850"/>
        <w:jc w:val="both"/>
        <w:rPr>
          <w:rFonts w:ascii="Palatino Linotype" w:hAnsi="Palatino Linotype"/>
          <w:i/>
        </w:rPr>
      </w:pPr>
      <w:r w:rsidRPr="00FE1C34">
        <w:rPr>
          <w:rFonts w:ascii="Palatino Linotype" w:hAnsi="Palatino Linotype"/>
          <w:i/>
        </w:rPr>
        <w:t>XIV. Las demás que resulten necesarias para facilitar el acceso a la información y aquellas que se desprenden de la presente Ley y demás disposiciones jurídicas aplicables.</w:t>
      </w:r>
    </w:p>
    <w:p w:rsidR="007F0929" w:rsidRPr="00FE1C34" w:rsidRDefault="007F0929" w:rsidP="00FE1C34">
      <w:pPr>
        <w:ind w:left="851" w:right="850"/>
        <w:jc w:val="both"/>
        <w:rPr>
          <w:rFonts w:ascii="Palatino Linotype" w:hAnsi="Palatino Linotype"/>
          <w:i/>
        </w:rPr>
      </w:pPr>
    </w:p>
    <w:p w:rsidR="00965992" w:rsidRPr="000B4F76" w:rsidRDefault="00965992" w:rsidP="00965992">
      <w:pPr>
        <w:tabs>
          <w:tab w:val="left" w:pos="7938"/>
        </w:tabs>
        <w:spacing w:line="360" w:lineRule="auto"/>
        <w:jc w:val="both"/>
        <w:rPr>
          <w:rFonts w:ascii="Palatino Linotype" w:hAnsi="Palatino Linotype" w:cs="Arial"/>
          <w:sz w:val="24"/>
          <w:szCs w:val="24"/>
        </w:rPr>
      </w:pPr>
      <w:r w:rsidRPr="000B4F76">
        <w:rPr>
          <w:rFonts w:ascii="Palatino Linotype" w:hAnsi="Palatino Linotype" w:cs="Arial"/>
          <w:sz w:val="24"/>
          <w:szCs w:val="24"/>
        </w:rPr>
        <w:t xml:space="preserve">En otro orden de ideas, </w:t>
      </w:r>
      <w:r w:rsidRPr="000B4F76">
        <w:rPr>
          <w:rFonts w:ascii="Palatino Linotype" w:hAnsi="Palatino Linotype"/>
          <w:color w:val="000000"/>
          <w:sz w:val="24"/>
          <w:szCs w:val="24"/>
        </w:rPr>
        <w:t xml:space="preserve">los Ayuntamientos cuentan con la obligación de remitir la información patrimonial contable y administrativa, considerando entre otros el diario </w:t>
      </w:r>
      <w:r w:rsidRPr="000B4F76">
        <w:rPr>
          <w:rFonts w:ascii="Palatino Linotype" w:hAnsi="Palatino Linotype"/>
          <w:color w:val="000000"/>
          <w:sz w:val="24"/>
          <w:szCs w:val="24"/>
        </w:rPr>
        <w:lastRenderedPageBreak/>
        <w:t xml:space="preserve">general de pólizas de cada mes del periodo fiscal al OSFEM </w:t>
      </w:r>
      <w:r w:rsidRPr="000B4F76">
        <w:rPr>
          <w:rFonts w:ascii="Palatino Linotype" w:hAnsi="Palatino Linotype" w:cs="Arial"/>
          <w:sz w:val="24"/>
          <w:szCs w:val="24"/>
        </w:rPr>
        <w:t>de acuerdo a los Lineamientos para la Elaboración y Presentación del Informe Mensual Municipal 2019, emitidos por el Órgano Superior de Fiscalización del Estado de México, mismos que contienen los formatos e información que debe ser proporcionada para la integración de los informes mensuales que se entregan a éste de forma digitalizada, el diario general de pólizas, en donde se puede advertir la información solicitada, correspondiente a un periodo determinado; de tal manera, dichos formatos constituyen un soporte documental de que la información solicitada por el recurrente obra en los archivos del Sujeto Obligado, como se advierte a continuación:</w:t>
      </w:r>
    </w:p>
    <w:p w:rsidR="00965992" w:rsidRPr="00A455CB" w:rsidRDefault="00965992" w:rsidP="00965992">
      <w:pPr>
        <w:pStyle w:val="Prrafodelista"/>
        <w:autoSpaceDE w:val="0"/>
        <w:autoSpaceDN w:val="0"/>
        <w:adjustRightInd w:val="0"/>
        <w:spacing w:line="360" w:lineRule="auto"/>
        <w:ind w:left="0"/>
        <w:jc w:val="center"/>
        <w:rPr>
          <w:rFonts w:ascii="Palatino Linotype" w:hAnsi="Palatino Linotype" w:cs="Arial"/>
        </w:rPr>
      </w:pPr>
      <w:r w:rsidRPr="00A455CB">
        <w:rPr>
          <w:noProof/>
          <w:lang w:val="es-MX" w:eastAsia="es-MX"/>
        </w:rPr>
        <mc:AlternateContent>
          <mc:Choice Requires="wps">
            <w:drawing>
              <wp:anchor distT="0" distB="0" distL="114300" distR="114300" simplePos="0" relativeHeight="251659264" behindDoc="0" locked="0" layoutInCell="1" allowOverlap="1" wp14:anchorId="2DD0A431" wp14:editId="3837BEE6">
                <wp:simplePos x="0" y="0"/>
                <wp:positionH relativeFrom="column">
                  <wp:posOffset>974564</wp:posOffset>
                </wp:positionH>
                <wp:positionV relativeFrom="paragraph">
                  <wp:posOffset>4331260</wp:posOffset>
                </wp:positionV>
                <wp:extent cx="1762125" cy="295275"/>
                <wp:effectExtent l="19050" t="19050" r="28575" b="28575"/>
                <wp:wrapNone/>
                <wp:docPr id="12" name="Rectángulo 12"/>
                <wp:cNvGraphicFramePr/>
                <a:graphic xmlns:a="http://schemas.openxmlformats.org/drawingml/2006/main">
                  <a:graphicData uri="http://schemas.microsoft.com/office/word/2010/wordprocessingShape">
                    <wps:wsp>
                      <wps:cNvSpPr/>
                      <wps:spPr>
                        <a:xfrm>
                          <a:off x="0" y="0"/>
                          <a:ext cx="1762125" cy="2952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534FE0" id="Rectángulo 12" o:spid="_x0000_s1026" style="position:absolute;margin-left:76.75pt;margin-top:341.05pt;width:138.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3Z/ogIAAJMFAAAOAAAAZHJzL2Uyb0RvYy54bWysVMFu2zAMvQ/YPwi6r46Npl2NOkXQIsOA&#10;oi3aDj0rshQbkEVNUuJkf7Nv2Y+Nkmw36IodhuXgiCL5SD6RvLzad4rshHUt6IrmJzNKhOZQt3pT&#10;0W/Pq0+fKXGe6Zop0KKiB+Ho1eLjh8velKKABlQtLEEQ7creVLTx3pRZ5ngjOuZOwAiNSgm2Yx5F&#10;u8lqy3pE71RWzGZnWQ+2Nha4cA5vb5KSLiK+lIL7eymd8ERVFHPz8Wvjdx2+2eKSlRvLTNPyIQ32&#10;D1l0rNUYdIK6YZ6RrW3/gOpabsGB9CccugykbLmINWA1+exNNU8NMyLWguQ4M9Hk/h8sv9s9WNLW&#10;+HYFJZp1+EaPyNqvn3qzVUDwFinqjSvR8sk82EFyeAz17qXtwj9WQvaR1sNEq9h7wvEyPz8r8mJO&#10;CUddcTEvzucBNHv1Ntb5LwI6Eg4VtZhAZJPtbp1PpqNJCKZh1SqF96xUmvQI+nmOmEF2oNo6aKNg&#10;N+trZcmO4euvVjP8DYGPzDANpTGbUGOqKp78QYkU4FFIJAjrKFKE0JpigmWcC+3zpGpYLVK0+XGw&#10;0SPWrDQCBmSJWU7YA8BomUBG7MTAYB9cRezsyXn2t8SS8+QRI4P2k3PXarDvASisaoic7EeSEjWB&#10;pTXUB2wfC2munOGrFl/wljn/wCwOEo4cLgd/jx+pAF8KhhMlDdgf790He+xv1FLS42BW1H3fMiso&#10;UV81dv5FfnoaJjkKp/PzAgV7rFkfa/S2uwZ8/RzXkOHxGOy9Go/SQveCO2QZoqKKaY6xK8q9HYVr&#10;nxYGbiEulstohtNrmL/VT4YH8MBq6NDn/QuzZmhjjwNwB+MQs/JNNyfb4KlhufUg29jqr7wOfOPk&#10;x8YZtlRYLcdytHrdpYvfAAAA//8DAFBLAwQUAAYACAAAACEAweuhDeAAAAALAQAADwAAAGRycy9k&#10;b3ducmV2LnhtbEyPQUvDQBCF74L/YRnBi7SbpDaGmE0Ri3grGKW9TrLbJJidDdltG/31jic9Pubj&#10;zfeKzWwHcTaT7x0piJcRCEON0z21Cj7eXxYZCB+QNA6OjIIv42FTXl8VmGt3oTdzrkIruIR8jgq6&#10;EMZcSt90xqJfutEQ345ushg4Tq3UE1643A4yiaJUWuyJP3Q4mufONJ/VySqo9+Pwfdzaw7yvUsLd&#10;6w5pe6fU7c389AgimDn8wfCrz+pQslPtTqS9GDivV2tGFaRZEoNg4n4V87pawUOSpSDLQv7fUP4A&#10;AAD//wMAUEsBAi0AFAAGAAgAAAAhALaDOJL+AAAA4QEAABMAAAAAAAAAAAAAAAAAAAAAAFtDb250&#10;ZW50X1R5cGVzXS54bWxQSwECLQAUAAYACAAAACEAOP0h/9YAAACUAQAACwAAAAAAAAAAAAAAAAAv&#10;AQAAX3JlbHMvLnJlbHNQSwECLQAUAAYACAAAACEAh+92f6ICAACTBQAADgAAAAAAAAAAAAAAAAAu&#10;AgAAZHJzL2Uyb0RvYy54bWxQSwECLQAUAAYACAAAACEAweuhDeAAAAALAQAADwAAAAAAAAAAAAAA&#10;AAD8BAAAZHJzL2Rvd25yZXYueG1sUEsFBgAAAAAEAAQA8wAAAAkGAAAAAA==&#10;" filled="f" strokecolor="red" strokeweight="2.25pt"/>
            </w:pict>
          </mc:Fallback>
        </mc:AlternateContent>
      </w:r>
      <w:r w:rsidRPr="00A455CB">
        <w:rPr>
          <w:noProof/>
          <w:lang w:val="es-MX" w:eastAsia="es-MX"/>
        </w:rPr>
        <w:drawing>
          <wp:inline distT="0" distB="0" distL="0" distR="0" wp14:anchorId="4DA341E4" wp14:editId="0B23947C">
            <wp:extent cx="4484746" cy="4496937"/>
            <wp:effectExtent l="190500" t="190500" r="182880" b="1898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4623" t="7846" r="33639" b="12492"/>
                    <a:stretch/>
                  </pic:blipFill>
                  <pic:spPr bwMode="auto">
                    <a:xfrm>
                      <a:off x="0" y="0"/>
                      <a:ext cx="4515282" cy="452755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965992" w:rsidRPr="000B4F76" w:rsidRDefault="00965992" w:rsidP="000B4F76">
      <w:pPr>
        <w:spacing w:after="0" w:line="360" w:lineRule="auto"/>
        <w:jc w:val="both"/>
        <w:rPr>
          <w:rFonts w:ascii="Palatino Linotype" w:hAnsi="Palatino Linotype" w:cs="Arial"/>
          <w:i/>
          <w:sz w:val="24"/>
          <w:szCs w:val="24"/>
          <w:lang w:eastAsia="es-MX"/>
        </w:rPr>
      </w:pPr>
      <w:r w:rsidRPr="00A455CB">
        <w:rPr>
          <w:rFonts w:ascii="Palatino Linotype" w:hAnsi="Palatino Linotype"/>
        </w:rPr>
        <w:lastRenderedPageBreak/>
        <w:t>E</w:t>
      </w:r>
      <w:r w:rsidRPr="000B4F76">
        <w:rPr>
          <w:rFonts w:ascii="Palatino Linotype" w:hAnsi="Palatino Linotype"/>
          <w:sz w:val="24"/>
          <w:szCs w:val="24"/>
        </w:rPr>
        <w:t xml:space="preserve">s así como podemos concluir que la solicitud de información, debe ser remitida a las áreas competentes de contar con la información y derivado a que no giro los requerimientos a las diferentes áreas con la que cuenta el Sujeto Obligado, es necesario se realice el procedimiento correspondiente a fin de localizar </w:t>
      </w:r>
      <w:r w:rsidRPr="000B4F76">
        <w:rPr>
          <w:rFonts w:ascii="Palatino Linotype" w:hAnsi="Palatino Linotype" w:cs="Arial"/>
          <w:sz w:val="24"/>
          <w:szCs w:val="24"/>
          <w:lang w:eastAsia="es-MX"/>
        </w:rPr>
        <w:t>Pólizas contables de los finiquitos por las renuncias de los servidores públicos a la relación laboral con el Ayuntamiento de Valle de Chalco Solidaridad del 1º de enero al treinta de abril de 2019.</w:t>
      </w:r>
    </w:p>
    <w:p w:rsidR="00965992" w:rsidRPr="000B4F76" w:rsidRDefault="00965992" w:rsidP="000B4F76">
      <w:pPr>
        <w:spacing w:after="0" w:line="360" w:lineRule="auto"/>
        <w:jc w:val="both"/>
        <w:rPr>
          <w:rFonts w:ascii="Palatino Linotype" w:hAnsi="Palatino Linotype"/>
          <w:sz w:val="24"/>
          <w:szCs w:val="24"/>
        </w:rPr>
      </w:pPr>
    </w:p>
    <w:p w:rsidR="00965992" w:rsidRPr="000B4F76" w:rsidRDefault="00965992" w:rsidP="000B4F76">
      <w:pPr>
        <w:spacing w:after="0" w:line="360" w:lineRule="auto"/>
        <w:jc w:val="both"/>
        <w:rPr>
          <w:rFonts w:ascii="Palatino Linotype" w:hAnsi="Palatino Linotype"/>
          <w:sz w:val="24"/>
          <w:szCs w:val="24"/>
        </w:rPr>
      </w:pPr>
      <w:r w:rsidRPr="000B4F76">
        <w:rPr>
          <w:rFonts w:ascii="Palatino Linotype" w:hAnsi="Palatino Linotype"/>
          <w:sz w:val="24"/>
          <w:szCs w:val="24"/>
        </w:rPr>
        <w:t>Para el caso de la información que se ordena entregar, es necesario señalar que de ser el caso d</w:t>
      </w:r>
      <w:r w:rsidR="000B4F76">
        <w:rPr>
          <w:rFonts w:ascii="Palatino Linotype" w:hAnsi="Palatino Linotype"/>
          <w:sz w:val="24"/>
          <w:szCs w:val="24"/>
        </w:rPr>
        <w:t>e</w:t>
      </w:r>
      <w:r w:rsidRPr="000B4F76">
        <w:rPr>
          <w:rFonts w:ascii="Palatino Linotype" w:hAnsi="Palatino Linotype"/>
          <w:sz w:val="24"/>
          <w:szCs w:val="24"/>
        </w:rPr>
        <w:t xml:space="preserve"> que contenga información susceptible de testar, se deberá realizar la versión pública correspondiente.</w:t>
      </w:r>
    </w:p>
    <w:p w:rsidR="00965992" w:rsidRDefault="00965992" w:rsidP="00A537C5"/>
    <w:p w:rsidR="000B4F76" w:rsidRPr="00D6154F" w:rsidRDefault="000B4F76" w:rsidP="000B4F76">
      <w:pPr>
        <w:pStyle w:val="Prrafodelista"/>
        <w:numPr>
          <w:ilvl w:val="0"/>
          <w:numId w:val="26"/>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rsidR="000B4F76" w:rsidRPr="00D32F71" w:rsidRDefault="000B4F76" w:rsidP="000B4F76">
      <w:pPr>
        <w:spacing w:line="360" w:lineRule="auto"/>
        <w:ind w:left="709" w:right="141"/>
        <w:jc w:val="both"/>
        <w:rPr>
          <w:rFonts w:ascii="Palatino Linotype" w:hAnsi="Palatino Linotype"/>
          <w:b/>
          <w:i/>
          <w:color w:val="000000"/>
          <w:sz w:val="6"/>
        </w:rPr>
      </w:pPr>
    </w:p>
    <w:p w:rsidR="000B4F76" w:rsidRDefault="000B4F76" w:rsidP="000B4F76">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w:t>
      </w:r>
      <w:r>
        <w:rPr>
          <w:rFonts w:ascii="Palatino Linotype" w:hAnsi="Palatino Linotype" w:cs="Arial"/>
          <w:sz w:val="24"/>
          <w:szCs w:val="24"/>
        </w:rPr>
        <w:t>a lo</w:t>
      </w:r>
      <w:r w:rsidRPr="00822149">
        <w:rPr>
          <w:rFonts w:ascii="Palatino Linotype" w:hAnsi="Palatino Linotype" w:cs="Arial"/>
          <w:sz w:val="24"/>
          <w:szCs w:val="24"/>
        </w:rPr>
        <w:t xml:space="preserve">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rsidR="000B4F76" w:rsidRDefault="000B4F76" w:rsidP="000B4F76">
      <w:pPr>
        <w:spacing w:after="0" w:line="360" w:lineRule="auto"/>
        <w:jc w:val="both"/>
        <w:rPr>
          <w:rFonts w:ascii="Palatino Linotype" w:hAnsi="Palatino Linotype" w:cs="Arial"/>
          <w:sz w:val="24"/>
          <w:szCs w:val="24"/>
        </w:rPr>
      </w:pPr>
    </w:p>
    <w:p w:rsidR="000B4F76" w:rsidRPr="00542DCC" w:rsidRDefault="000B4F76" w:rsidP="000B4F76">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rsidR="000B4F76" w:rsidRPr="00542DCC" w:rsidRDefault="000B4F76" w:rsidP="000B4F7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0B4F76" w:rsidRPr="00542DCC" w:rsidRDefault="000B4F76" w:rsidP="000B4F7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lastRenderedPageBreak/>
        <w:t>IX. Datos personales: La información concerniente a una persona, identificada o identificable según lo dispuesto por la Ley de Protección de Datos Personales del Estado de México;</w:t>
      </w:r>
    </w:p>
    <w:p w:rsidR="000B4F76" w:rsidRDefault="000B4F76" w:rsidP="000B4F7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0B4F76" w:rsidRDefault="000B4F76" w:rsidP="000B4F76">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rsidR="000B4F76" w:rsidRPr="00A31C1A" w:rsidRDefault="000B4F76" w:rsidP="000B4F76">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B4F76" w:rsidRDefault="000B4F76" w:rsidP="000B4F7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0B4F76" w:rsidRPr="00542DCC" w:rsidRDefault="000B4F76" w:rsidP="000B4F7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rsidR="000B4F76" w:rsidRDefault="000B4F76" w:rsidP="000B4F76">
      <w:pPr>
        <w:autoSpaceDE w:val="0"/>
        <w:autoSpaceDN w:val="0"/>
        <w:adjustRightInd w:val="0"/>
        <w:spacing w:after="0" w:line="276" w:lineRule="auto"/>
        <w:ind w:left="567" w:right="284"/>
        <w:jc w:val="both"/>
        <w:rPr>
          <w:rFonts w:ascii="Palatino Linotype" w:hAnsi="Palatino Linotype" w:cs="Arial"/>
          <w:i/>
          <w:szCs w:val="24"/>
        </w:rPr>
      </w:pPr>
    </w:p>
    <w:p w:rsidR="000B4F76" w:rsidRPr="00A31C1A" w:rsidRDefault="000B4F76" w:rsidP="000B4F76">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0B4F76" w:rsidRDefault="000B4F76" w:rsidP="000B4F76">
      <w:pPr>
        <w:autoSpaceDE w:val="0"/>
        <w:autoSpaceDN w:val="0"/>
        <w:adjustRightInd w:val="0"/>
        <w:spacing w:after="0" w:line="276" w:lineRule="auto"/>
        <w:ind w:left="567" w:right="284"/>
        <w:jc w:val="both"/>
        <w:rPr>
          <w:rFonts w:ascii="Palatino Linotype" w:hAnsi="Palatino Linotype" w:cs="Arial"/>
          <w:b/>
          <w:i/>
          <w:szCs w:val="24"/>
        </w:rPr>
      </w:pPr>
    </w:p>
    <w:p w:rsidR="000B4F76" w:rsidRPr="00542DCC" w:rsidRDefault="000B4F76" w:rsidP="000B4F76">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rsidR="000B4F76" w:rsidRPr="00542DCC" w:rsidRDefault="000B4F76" w:rsidP="000B4F7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0B4F76" w:rsidRPr="00542DCC" w:rsidRDefault="000B4F76" w:rsidP="000B4F76">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rsidR="000B4F76" w:rsidRPr="00542DCC" w:rsidRDefault="000B4F76" w:rsidP="000B4F7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0B4F76" w:rsidRPr="00542DCC" w:rsidRDefault="000B4F76" w:rsidP="000B4F7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rsidR="000B4F76" w:rsidRPr="007B1AB1" w:rsidRDefault="000B4F76" w:rsidP="000B4F76">
      <w:pPr>
        <w:autoSpaceDE w:val="0"/>
        <w:autoSpaceDN w:val="0"/>
        <w:adjustRightInd w:val="0"/>
        <w:spacing w:after="0" w:line="360" w:lineRule="auto"/>
        <w:jc w:val="both"/>
        <w:rPr>
          <w:rFonts w:ascii="Palatino Linotype" w:hAnsi="Palatino Linotype" w:cs="Arial"/>
          <w:sz w:val="24"/>
          <w:szCs w:val="24"/>
        </w:rPr>
      </w:pPr>
    </w:p>
    <w:p w:rsidR="000B4F76" w:rsidRDefault="000B4F76" w:rsidP="000B4F76">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B4F76" w:rsidRDefault="000B4F76" w:rsidP="000B4F76">
      <w:pPr>
        <w:autoSpaceDE w:val="0"/>
        <w:autoSpaceDN w:val="0"/>
        <w:adjustRightInd w:val="0"/>
        <w:spacing w:after="0" w:line="240" w:lineRule="auto"/>
        <w:ind w:left="567" w:right="284"/>
        <w:jc w:val="both"/>
        <w:rPr>
          <w:rFonts w:ascii="Palatino Linotype" w:hAnsi="Palatino Linotype" w:cs="Arial"/>
          <w:i/>
          <w:szCs w:val="24"/>
        </w:rPr>
      </w:pPr>
    </w:p>
    <w:p w:rsidR="000B4F76" w:rsidRPr="00A31C1A" w:rsidRDefault="000B4F76" w:rsidP="000B4F76">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rsidR="000B4F76" w:rsidRDefault="000B4F76" w:rsidP="000B4F76">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rsidR="000B4F76" w:rsidRDefault="000B4F76" w:rsidP="000B4F7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0B4F76" w:rsidRDefault="000B4F76" w:rsidP="000B4F76">
      <w:pPr>
        <w:autoSpaceDE w:val="0"/>
        <w:autoSpaceDN w:val="0"/>
        <w:adjustRightInd w:val="0"/>
        <w:spacing w:after="0" w:line="276" w:lineRule="auto"/>
        <w:ind w:left="567" w:right="284"/>
        <w:jc w:val="both"/>
        <w:rPr>
          <w:rFonts w:ascii="Palatino Linotype" w:hAnsi="Palatino Linotype" w:cs="Arial"/>
          <w:i/>
          <w:szCs w:val="24"/>
        </w:rPr>
      </w:pPr>
    </w:p>
    <w:p w:rsidR="000B4F76" w:rsidRDefault="000B4F76" w:rsidP="000B4F76">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b/>
        </w:rPr>
        <w:lastRenderedPageBreak/>
        <w:t xml:space="preserve">Cabe señalar que los datos que puede contener el comprobante fiscal o factura emitida por un proveedor es: </w:t>
      </w:r>
      <w:r w:rsidRPr="00D60178">
        <w:rPr>
          <w:rFonts w:ascii="Palatino Linotype" w:hAnsi="Palatino Linotype" w:cs="Arial"/>
        </w:rPr>
        <w:t>versión, serie, folio, fecha</w:t>
      </w:r>
      <w:r>
        <w:rPr>
          <w:rFonts w:ascii="Palatino Linotype" w:hAnsi="Palatino Linotype" w:cs="Arial"/>
        </w:rPr>
        <w:t xml:space="preserve">, numero de aprobación, año de aprobación, tipo de comprobantes, forma de pago, condiciones de pago, subtotal, descuento total, método de pago, lugar de expedición, </w:t>
      </w:r>
      <w:r w:rsidRPr="008253D7">
        <w:rPr>
          <w:rFonts w:ascii="Palatino Linotype" w:hAnsi="Palatino Linotype" w:cs="Arial"/>
          <w:u w:val="single"/>
        </w:rPr>
        <w:t>número de cuenta con la que se realizó el pago,</w:t>
      </w:r>
      <w:r>
        <w:rPr>
          <w:rFonts w:ascii="Palatino Linotype" w:hAnsi="Palatino Linotype" w:cs="Arial"/>
        </w:rPr>
        <w:t xml:space="preserve"> tipo de cambio, moneda, folio fiscal del comprobante origen tratándose de pagos en parcialidades, monto del comprobante expedido por el valor total de la operación.</w:t>
      </w:r>
    </w:p>
    <w:p w:rsidR="000B4F76" w:rsidRDefault="000B4F76" w:rsidP="000B4F76">
      <w:pPr>
        <w:pStyle w:val="Prrafodelista"/>
        <w:autoSpaceDE w:val="0"/>
        <w:autoSpaceDN w:val="0"/>
        <w:adjustRightInd w:val="0"/>
        <w:spacing w:after="160" w:line="360" w:lineRule="auto"/>
        <w:ind w:left="0" w:right="50"/>
        <w:contextualSpacing/>
        <w:jc w:val="both"/>
        <w:rPr>
          <w:rFonts w:ascii="Palatino Linotype" w:hAnsi="Palatino Linotype" w:cs="Arial"/>
        </w:rPr>
      </w:pPr>
    </w:p>
    <w:p w:rsidR="000B4F76" w:rsidRDefault="000B4F76" w:rsidP="000B4F76">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De los anteriores puntos en su mayoría son públicos toda vez que se refieren al comprobante que se emite cuando un tercero “proveedor” proporciona un bien o un servicio a una dependencia del sector público, en este entendido, los datos personales que se reflejan resultan ser públicos, puesto que la Ley de Transparencia Local en su artículo 7</w:t>
      </w:r>
      <w:r>
        <w:rPr>
          <w:rStyle w:val="Refdenotaalpie"/>
          <w:rFonts w:ascii="Palatino Linotype" w:hAnsi="Palatino Linotype" w:cs="Arial"/>
        </w:rPr>
        <w:footnoteReference w:id="2"/>
      </w:r>
      <w:r>
        <w:rPr>
          <w:rFonts w:ascii="Palatino Linotype" w:hAnsi="Palatino Linotype" w:cs="Arial"/>
        </w:rPr>
        <w:t xml:space="preserve"> y 104</w:t>
      </w:r>
      <w:r>
        <w:rPr>
          <w:rStyle w:val="Refdenotaalpie"/>
          <w:rFonts w:ascii="Palatino Linotype" w:hAnsi="Palatino Linotype" w:cs="Arial"/>
        </w:rPr>
        <w:footnoteReference w:id="3"/>
      </w:r>
      <w:r>
        <w:rPr>
          <w:rFonts w:ascii="Palatino Linotype" w:hAnsi="Palatino Linotype" w:cs="Arial"/>
        </w:rPr>
        <w:t>, si bien es cierto que los proveedores no son instituciones públicas, también es cierto que por la prestación de sus servicios, reciben una cantidad monetaria y esta es considerada recursos públicos, por ende los datos personales de los proveedores deben hacerse públicos, de esta manera se estaría contribuyendo a la transparencia y rendición de cuentas.</w:t>
      </w:r>
    </w:p>
    <w:p w:rsidR="000B4F76" w:rsidRDefault="000B4F76" w:rsidP="000B4F76">
      <w:pPr>
        <w:pStyle w:val="Prrafodelista"/>
        <w:autoSpaceDE w:val="0"/>
        <w:autoSpaceDN w:val="0"/>
        <w:adjustRightInd w:val="0"/>
        <w:spacing w:after="160" w:line="360" w:lineRule="auto"/>
        <w:ind w:left="0" w:right="50"/>
        <w:contextualSpacing/>
        <w:jc w:val="both"/>
        <w:rPr>
          <w:rFonts w:ascii="Palatino Linotype" w:hAnsi="Palatino Linotype" w:cs="Arial"/>
        </w:rPr>
      </w:pPr>
    </w:p>
    <w:p w:rsidR="000B4F76" w:rsidRPr="00E06153" w:rsidRDefault="000B4F76" w:rsidP="000B4F76">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lastRenderedPageBreak/>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rsidR="000B4F76" w:rsidRPr="00AD2A55" w:rsidRDefault="000B4F76" w:rsidP="000B4F76">
      <w:pPr>
        <w:rPr>
          <w:lang w:val="es-ES" w:eastAsia="es-ES"/>
        </w:rPr>
      </w:pPr>
    </w:p>
    <w:p w:rsidR="000B4F76" w:rsidRPr="00AD2A55" w:rsidRDefault="000B4F76" w:rsidP="000B4F7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0B4F76" w:rsidRPr="00AD2A55" w:rsidRDefault="000B4F76" w:rsidP="000B4F7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0B4F76" w:rsidRPr="00AD2A55" w:rsidRDefault="000B4F76" w:rsidP="000B4F7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0B4F76" w:rsidRPr="00AD2A55" w:rsidRDefault="000B4F76" w:rsidP="000B4F7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0B4F76" w:rsidRPr="00AD2A55" w:rsidRDefault="000B4F76" w:rsidP="000B4F7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0B4F76" w:rsidRPr="00AD2A55" w:rsidRDefault="000B4F76" w:rsidP="000B4F7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0B4F76" w:rsidRDefault="000B4F76" w:rsidP="000B4F76">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0B4F76" w:rsidRDefault="000B4F76" w:rsidP="000B4F76">
      <w:pPr>
        <w:shd w:val="clear" w:color="auto" w:fill="FFFFFF"/>
        <w:spacing w:after="0" w:line="240" w:lineRule="auto"/>
        <w:ind w:left="851" w:right="851"/>
        <w:jc w:val="both"/>
        <w:rPr>
          <w:rFonts w:ascii="Palatino Linotype" w:eastAsia="Times New Roman" w:hAnsi="Palatino Linotype" w:cs="Arial"/>
          <w:i/>
          <w:iCs/>
          <w:color w:val="222222"/>
          <w:lang w:eastAsia="es-MX"/>
        </w:rPr>
      </w:pPr>
    </w:p>
    <w:p w:rsidR="000B4F76" w:rsidRPr="0020745E" w:rsidRDefault="000B4F76" w:rsidP="000B4F76">
      <w:pPr>
        <w:shd w:val="clear" w:color="auto" w:fill="FFFFFF"/>
        <w:spacing w:after="101" w:line="240" w:lineRule="auto"/>
        <w:ind w:hanging="576"/>
        <w:jc w:val="both"/>
        <w:rPr>
          <w:rFonts w:ascii="Arial" w:eastAsia="Times New Roman" w:hAnsi="Arial" w:cs="Arial"/>
          <w:color w:val="2F2F2F"/>
          <w:sz w:val="18"/>
          <w:szCs w:val="18"/>
          <w:lang w:eastAsia="es-MX"/>
        </w:rPr>
      </w:pPr>
    </w:p>
    <w:p w:rsidR="000B4F76" w:rsidRPr="00AD2A55" w:rsidRDefault="000B4F76" w:rsidP="000B4F7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0B4F76" w:rsidRPr="00AD2A55" w:rsidRDefault="000B4F76" w:rsidP="000B4F76">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0B4F76" w:rsidRPr="00AD2A55" w:rsidRDefault="000B4F76" w:rsidP="000B4F76">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0B4F76" w:rsidRPr="00AD2A55" w:rsidRDefault="000B4F76" w:rsidP="000B4F76">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0B4F76" w:rsidRPr="00AD2A55" w:rsidRDefault="000B4F76" w:rsidP="000B4F76">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III.  …</w:t>
      </w:r>
    </w:p>
    <w:p w:rsidR="000B4F76" w:rsidRPr="00AD2A55" w:rsidRDefault="000B4F76" w:rsidP="000B4F76">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La información confidencial no estará sujeta a temporalidad alguna y sólo podrán tener acceso a ella los titulares de la misma, sus representantes y los servidores públicos facultados para ello.”</w:t>
      </w:r>
    </w:p>
    <w:p w:rsidR="000B4F76" w:rsidRDefault="000B4F76" w:rsidP="000B4F76">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0B4F76" w:rsidRPr="00AD2A55" w:rsidRDefault="000B4F76" w:rsidP="000B4F76">
      <w:pPr>
        <w:shd w:val="clear" w:color="auto" w:fill="FFFFFF"/>
        <w:spacing w:after="0" w:line="240" w:lineRule="auto"/>
        <w:ind w:left="851" w:right="851"/>
        <w:jc w:val="both"/>
        <w:rPr>
          <w:rFonts w:ascii="Palatino Linotype" w:eastAsia="Times New Roman" w:hAnsi="Palatino Linotype" w:cs="Arial"/>
          <w:lang w:eastAsia="es-MX"/>
        </w:rPr>
      </w:pPr>
    </w:p>
    <w:p w:rsidR="000B4F76" w:rsidRDefault="000B4F76" w:rsidP="000B4F76">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0B4F76" w:rsidRPr="00AD2A55" w:rsidRDefault="000B4F76" w:rsidP="000B4F76">
      <w:pPr>
        <w:autoSpaceDE w:val="0"/>
        <w:autoSpaceDN w:val="0"/>
        <w:adjustRightInd w:val="0"/>
        <w:spacing w:after="0" w:line="360" w:lineRule="auto"/>
        <w:jc w:val="both"/>
        <w:rPr>
          <w:rFonts w:ascii="Palatino Linotype" w:hAnsi="Palatino Linotype" w:cs="Arial"/>
          <w:bCs/>
          <w:sz w:val="24"/>
          <w:szCs w:val="24"/>
        </w:rPr>
      </w:pPr>
    </w:p>
    <w:p w:rsidR="000B4F76" w:rsidRDefault="000B4F76" w:rsidP="000B4F76">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0B4F76" w:rsidRPr="00AD2A55" w:rsidRDefault="000B4F76" w:rsidP="000B4F76">
      <w:pPr>
        <w:autoSpaceDE w:val="0"/>
        <w:autoSpaceDN w:val="0"/>
        <w:adjustRightInd w:val="0"/>
        <w:spacing w:after="0" w:line="360" w:lineRule="auto"/>
        <w:jc w:val="both"/>
        <w:rPr>
          <w:rFonts w:ascii="Palatino Linotype" w:hAnsi="Palatino Linotype" w:cs="Arial"/>
          <w:bCs/>
          <w:sz w:val="24"/>
          <w:szCs w:val="24"/>
        </w:rPr>
      </w:pPr>
    </w:p>
    <w:p w:rsidR="000B4F76" w:rsidRDefault="000B4F76" w:rsidP="000B4F76">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0B4F76" w:rsidRDefault="000B4F76" w:rsidP="000B4F76">
      <w:pPr>
        <w:spacing w:after="0" w:line="360" w:lineRule="auto"/>
        <w:jc w:val="both"/>
        <w:rPr>
          <w:rFonts w:ascii="Palatino Linotype" w:hAnsi="Palatino Linotype" w:cs="Arial"/>
          <w:bCs/>
          <w:sz w:val="24"/>
          <w:szCs w:val="24"/>
        </w:rPr>
      </w:pPr>
    </w:p>
    <w:p w:rsidR="000B4F76" w:rsidRDefault="000B4F76" w:rsidP="000B4F76">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0B4F76" w:rsidRPr="00AD2A55" w:rsidRDefault="000B4F76" w:rsidP="000B4F76">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0B4F76" w:rsidRDefault="000B4F76" w:rsidP="000B4F76">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0B4F76" w:rsidRDefault="000B4F76" w:rsidP="000B4F76">
      <w:pPr>
        <w:spacing w:after="0" w:line="240" w:lineRule="auto"/>
        <w:ind w:left="851" w:right="850"/>
        <w:jc w:val="both"/>
        <w:rPr>
          <w:rFonts w:ascii="Palatino Linotype" w:hAnsi="Palatino Linotype" w:cs="Arial"/>
          <w:bCs/>
          <w:i/>
          <w:iCs/>
        </w:rPr>
      </w:pPr>
    </w:p>
    <w:p w:rsidR="000B4F76" w:rsidRPr="00AD2A55" w:rsidRDefault="000B4F76" w:rsidP="000B4F76">
      <w:pPr>
        <w:spacing w:after="0" w:line="240" w:lineRule="auto"/>
        <w:ind w:left="851" w:right="850"/>
        <w:jc w:val="both"/>
        <w:rPr>
          <w:rFonts w:ascii="Palatino Linotype" w:hAnsi="Palatino Linotype" w:cs="Arial"/>
          <w:bCs/>
          <w:i/>
          <w:iCs/>
        </w:rPr>
      </w:pPr>
    </w:p>
    <w:p w:rsidR="000B4F76" w:rsidRDefault="000B4F76" w:rsidP="000B4F76">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7F0929" w:rsidRDefault="007F0929" w:rsidP="007F0929"/>
    <w:p w:rsidR="007F0929" w:rsidRPr="007F0929" w:rsidRDefault="007F0929" w:rsidP="007F0929">
      <w:pPr>
        <w:pStyle w:val="Prrafodelista"/>
        <w:numPr>
          <w:ilvl w:val="0"/>
          <w:numId w:val="26"/>
        </w:numPr>
        <w:tabs>
          <w:tab w:val="left" w:pos="709"/>
        </w:tabs>
        <w:spacing w:line="360" w:lineRule="auto"/>
        <w:jc w:val="both"/>
        <w:rPr>
          <w:rFonts w:ascii="Palatino Linotype" w:hAnsi="Palatino Linotype"/>
          <w:i/>
        </w:rPr>
      </w:pPr>
      <w:r w:rsidRPr="007F0929">
        <w:rPr>
          <w:rFonts w:ascii="Palatino Linotype" w:hAnsi="Palatino Linotype"/>
          <w:i/>
        </w:rPr>
        <w:t>Vista al Órgano de Control Interno</w:t>
      </w:r>
    </w:p>
    <w:p w:rsidR="007F0929" w:rsidRPr="00A424DD" w:rsidRDefault="007F0929" w:rsidP="007F0929">
      <w:pPr>
        <w:tabs>
          <w:tab w:val="left" w:pos="709"/>
        </w:tabs>
        <w:spacing w:after="0" w:line="360" w:lineRule="auto"/>
        <w:jc w:val="both"/>
        <w:rPr>
          <w:rFonts w:ascii="Palatino Linotype" w:hAnsi="Palatino Linotype"/>
          <w:sz w:val="24"/>
          <w:szCs w:val="24"/>
        </w:rPr>
      </w:pPr>
    </w:p>
    <w:p w:rsidR="007F0929" w:rsidRDefault="007F0929" w:rsidP="007F0929">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74202">
        <w:rPr>
          <w:rFonts w:ascii="Palatino Linotype" w:hAnsi="Palatino Linotype"/>
          <w:sz w:val="24"/>
          <w:szCs w:val="24"/>
        </w:rPr>
        <w:t>Sujeto Obligado</w:t>
      </w:r>
      <w:r w:rsidRPr="00A424DD">
        <w:rPr>
          <w:rFonts w:ascii="Palatino Linotype" w:hAnsi="Palatino Linotype"/>
          <w:sz w:val="24"/>
          <w:szCs w:val="24"/>
        </w:rPr>
        <w:t>.</w:t>
      </w:r>
    </w:p>
    <w:p w:rsidR="007F0929" w:rsidRPr="00A424DD" w:rsidRDefault="007F0929" w:rsidP="007F0929">
      <w:pPr>
        <w:tabs>
          <w:tab w:val="left" w:pos="709"/>
        </w:tabs>
        <w:spacing w:after="0" w:line="360" w:lineRule="auto"/>
        <w:jc w:val="both"/>
        <w:rPr>
          <w:rFonts w:ascii="Palatino Linotype" w:hAnsi="Palatino Linotype"/>
          <w:sz w:val="24"/>
          <w:szCs w:val="24"/>
        </w:rPr>
      </w:pPr>
    </w:p>
    <w:p w:rsidR="007F0929" w:rsidRPr="00A424DD" w:rsidRDefault="007F0929" w:rsidP="007F0929">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7F0929" w:rsidRPr="00A424DD" w:rsidRDefault="007F0929" w:rsidP="007F0929">
      <w:pPr>
        <w:tabs>
          <w:tab w:val="left" w:pos="709"/>
        </w:tabs>
        <w:spacing w:after="0" w:line="360" w:lineRule="auto"/>
        <w:jc w:val="both"/>
        <w:rPr>
          <w:rFonts w:ascii="Palatino Linotype" w:hAnsi="Palatino Linotype"/>
          <w:sz w:val="24"/>
          <w:szCs w:val="24"/>
        </w:rPr>
      </w:pPr>
    </w:p>
    <w:p w:rsidR="007F0929" w:rsidRPr="00A424DD" w:rsidRDefault="007F0929" w:rsidP="007F0929">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rsidR="007F0929" w:rsidRPr="00A424DD" w:rsidRDefault="007F0929" w:rsidP="007F0929">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7F0929" w:rsidRPr="00A424DD" w:rsidRDefault="007F0929" w:rsidP="007F0929">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X</w:t>
      </w:r>
      <w:r w:rsidRPr="00A424DD">
        <w:rPr>
          <w:rFonts w:ascii="Palatino Linotype" w:hAnsi="Palatino Linotype"/>
          <w:i/>
          <w:szCs w:val="24"/>
        </w:rPr>
        <w:t xml:space="preserve">. Hacer del conocimiento del órgano de control interno o equivalente de cada Sujeto Obligado las infracciones a esta Ley; </w:t>
      </w:r>
    </w:p>
    <w:p w:rsidR="007F0929" w:rsidRPr="00A424DD" w:rsidRDefault="007F0929" w:rsidP="007F0929">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7F0929" w:rsidRPr="00A424DD" w:rsidRDefault="007F0929" w:rsidP="007F0929">
      <w:pPr>
        <w:tabs>
          <w:tab w:val="left" w:pos="709"/>
        </w:tabs>
        <w:spacing w:after="0" w:line="360" w:lineRule="auto"/>
        <w:jc w:val="both"/>
        <w:rPr>
          <w:rFonts w:ascii="Palatino Linotype" w:hAnsi="Palatino Linotype"/>
          <w:sz w:val="24"/>
          <w:szCs w:val="24"/>
        </w:rPr>
      </w:pPr>
    </w:p>
    <w:p w:rsidR="007F0929" w:rsidRPr="00A424DD" w:rsidRDefault="007F0929" w:rsidP="007F0929">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lastRenderedPageBreak/>
        <w:t xml:space="preserve">Asimismo, este Pleno hará del conocimiento del órgano de control de este Instituto de las infracciones en que el </w:t>
      </w:r>
      <w:r w:rsidRPr="00BB4433">
        <w:rPr>
          <w:rFonts w:ascii="Palatino Linotype" w:hAnsi="Palatino Linotype"/>
          <w:sz w:val="24"/>
          <w:szCs w:val="24"/>
        </w:rPr>
        <w:t>Sujeto Obligado</w:t>
      </w:r>
      <w:r w:rsidRPr="00A424DD">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7F0929" w:rsidRPr="00A424DD" w:rsidRDefault="007F0929" w:rsidP="007F0929">
      <w:pPr>
        <w:tabs>
          <w:tab w:val="left" w:pos="709"/>
        </w:tabs>
        <w:spacing w:after="0" w:line="360" w:lineRule="auto"/>
        <w:jc w:val="both"/>
        <w:rPr>
          <w:rFonts w:ascii="Palatino Linotype" w:hAnsi="Palatino Linotype"/>
          <w:sz w:val="24"/>
          <w:szCs w:val="24"/>
        </w:rPr>
      </w:pPr>
    </w:p>
    <w:p w:rsidR="007F0929" w:rsidRPr="00A424DD" w:rsidRDefault="007F0929" w:rsidP="007F0929">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F0929" w:rsidRPr="00A424DD" w:rsidRDefault="007F0929" w:rsidP="007F0929">
      <w:pPr>
        <w:tabs>
          <w:tab w:val="left" w:pos="709"/>
        </w:tabs>
        <w:spacing w:after="0" w:line="240" w:lineRule="auto"/>
        <w:ind w:left="567" w:right="567"/>
        <w:jc w:val="both"/>
        <w:rPr>
          <w:rFonts w:ascii="Palatino Linotype" w:hAnsi="Palatino Linotype"/>
          <w:i/>
          <w:szCs w:val="24"/>
        </w:rPr>
      </w:pPr>
    </w:p>
    <w:p w:rsidR="007F0929" w:rsidRPr="00A424DD" w:rsidRDefault="007F0929" w:rsidP="007F0929">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7F0929" w:rsidRPr="00A424DD" w:rsidRDefault="007F0929" w:rsidP="007F0929">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7F0929" w:rsidRPr="00A424DD" w:rsidRDefault="007F0929" w:rsidP="007F0929">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rsidR="007F0929" w:rsidRPr="00A424DD" w:rsidRDefault="007F0929" w:rsidP="007F0929">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II. La falta de respuesta a las solicitudes de información en los plazos señalados en la normatividad aplicable;</w:t>
      </w:r>
    </w:p>
    <w:p w:rsidR="007F0929" w:rsidRPr="00A424DD" w:rsidRDefault="007F0929" w:rsidP="007F0929">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7F0929" w:rsidRPr="00A424DD" w:rsidRDefault="007F0929" w:rsidP="007F0929">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223</w:t>
      </w:r>
      <w:r w:rsidRPr="00A424DD">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F0929" w:rsidRPr="00A424DD" w:rsidRDefault="007F0929" w:rsidP="007F0929">
      <w:pPr>
        <w:tabs>
          <w:tab w:val="left" w:pos="709"/>
        </w:tabs>
        <w:spacing w:after="0" w:line="240" w:lineRule="auto"/>
        <w:ind w:left="567" w:right="567"/>
        <w:jc w:val="both"/>
        <w:rPr>
          <w:rFonts w:ascii="Palatino Linotype" w:hAnsi="Palatino Linotype"/>
          <w:i/>
          <w:szCs w:val="24"/>
        </w:rPr>
      </w:pPr>
    </w:p>
    <w:p w:rsidR="007F0929" w:rsidRPr="007F0929" w:rsidRDefault="007F0929" w:rsidP="007F0929"/>
    <w:p w:rsidR="000B4F76" w:rsidRPr="00244637" w:rsidRDefault="000B4F76" w:rsidP="000B4F76"/>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el Recurrente en su medio de impugnación que fue materia de estudio, por ello </w:t>
      </w:r>
      <w:r w:rsidR="007F0929">
        <w:rPr>
          <w:rFonts w:ascii="Palatino Linotype" w:eastAsia="Times New Roman" w:hAnsi="Palatino Linotype" w:cs="Arial"/>
          <w:b/>
          <w:sz w:val="24"/>
          <w:szCs w:val="24"/>
          <w:lang w:eastAsia="es-ES"/>
        </w:rPr>
        <w:t>con fundamento en la fracción IV</w:t>
      </w:r>
      <w:r w:rsidRPr="00063CBF">
        <w:rPr>
          <w:rFonts w:ascii="Palatino Linotype" w:eastAsia="Times New Roman" w:hAnsi="Palatino Linotype" w:cs="Arial"/>
          <w:b/>
          <w:sz w:val="24"/>
          <w:szCs w:val="24"/>
          <w:lang w:eastAsia="es-ES"/>
        </w:rPr>
        <w:t xml:space="preserve"> del artículo 186, </w:t>
      </w:r>
      <w:r w:rsidRPr="00063CBF">
        <w:rPr>
          <w:rFonts w:ascii="Palatino Linotype" w:eastAsia="Times New Roman" w:hAnsi="Palatino Linotype" w:cs="Arial"/>
          <w:sz w:val="24"/>
          <w:szCs w:val="24"/>
          <w:lang w:eastAsia="es-ES"/>
        </w:rPr>
        <w:t xml:space="preserve">de la Ley de </w:t>
      </w:r>
      <w:r w:rsidRPr="00063CBF">
        <w:rPr>
          <w:rFonts w:ascii="Palatino Linotype" w:eastAsia="Times New Roman" w:hAnsi="Palatino Linotype" w:cs="Arial"/>
          <w:sz w:val="24"/>
          <w:szCs w:val="24"/>
          <w:lang w:eastAsia="es-ES"/>
        </w:rPr>
        <w:lastRenderedPageBreak/>
        <w:t xml:space="preserve">Transparencia y Acceso a la Información Pública del Estado de México y Municipios, se </w:t>
      </w:r>
      <w:r w:rsidR="007F0929">
        <w:rPr>
          <w:rFonts w:ascii="Palatino Linotype" w:eastAsia="Times New Roman" w:hAnsi="Palatino Linotype" w:cs="Arial"/>
          <w:b/>
          <w:sz w:val="24"/>
          <w:szCs w:val="24"/>
          <w:lang w:eastAsia="es-ES"/>
        </w:rPr>
        <w:t xml:space="preserve">ORDENA </w:t>
      </w:r>
      <w:r w:rsidR="007F0929">
        <w:rPr>
          <w:rFonts w:ascii="Palatino Linotype" w:eastAsia="Times New Roman" w:hAnsi="Palatino Linotype" w:cs="Arial"/>
          <w:sz w:val="24"/>
          <w:szCs w:val="24"/>
          <w:lang w:eastAsia="es-ES"/>
        </w:rPr>
        <w:t xml:space="preserve">de </w:t>
      </w:r>
      <w:r w:rsidRPr="00063CBF">
        <w:rPr>
          <w:rFonts w:ascii="Palatino Linotype" w:eastAsia="Times New Roman" w:hAnsi="Palatino Linotype" w:cs="Arial"/>
          <w:sz w:val="24"/>
          <w:szCs w:val="24"/>
          <w:lang w:eastAsia="es-ES"/>
        </w:rPr>
        <w:t>respuesta a la solicitud número</w:t>
      </w:r>
      <w:r w:rsidRPr="00063CBF">
        <w:rPr>
          <w:rFonts w:ascii="Palatino Linotype" w:eastAsia="Times New Roman" w:hAnsi="Palatino Linotype" w:cs="Times New Roman"/>
          <w:b/>
          <w:sz w:val="24"/>
          <w:szCs w:val="24"/>
          <w:lang w:eastAsia="es-ES"/>
        </w:rPr>
        <w:t xml:space="preserve"> </w:t>
      </w:r>
      <w:r w:rsidR="007F0929" w:rsidRPr="00065F66">
        <w:rPr>
          <w:rFonts w:ascii="Palatino Linotype" w:hAnsi="Palatino Linotype" w:cs="Arial"/>
          <w:b/>
          <w:sz w:val="24"/>
          <w:szCs w:val="24"/>
        </w:rPr>
        <w:t>00115/CUAUTIT/IP/2019</w:t>
      </w:r>
      <w:r w:rsidR="00167B0C">
        <w:rPr>
          <w:rFonts w:ascii="Palatino Linotype" w:hAnsi="Palatino Linotype" w:cs="Arial"/>
          <w:b/>
          <w:sz w:val="24"/>
          <w:szCs w:val="24"/>
        </w:rPr>
        <w:t xml:space="preserve"> </w:t>
      </w:r>
      <w:r w:rsidRPr="00063CBF">
        <w:rPr>
          <w:rFonts w:ascii="Palatino Linotype" w:eastAsia="Times New Roman" w:hAnsi="Palatino Linotype" w:cs="Times New Roman"/>
          <w:sz w:val="24"/>
          <w:szCs w:val="24"/>
          <w:lang w:eastAsia="es-ES"/>
        </w:rPr>
        <w:t>que ha sido materia del presente fallo.</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Por lo antes expuesto y fundado es de resolverse y,</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063CBF" w:rsidRDefault="00063CBF" w:rsidP="00063CBF">
      <w:pPr>
        <w:spacing w:after="0" w:line="360" w:lineRule="auto"/>
        <w:jc w:val="center"/>
        <w:rPr>
          <w:rFonts w:ascii="Palatino Linotype" w:eastAsia="Times New Roman" w:hAnsi="Palatino Linotype" w:cs="Times New Roman"/>
          <w:b/>
          <w:bCs/>
          <w:spacing w:val="60"/>
          <w:sz w:val="28"/>
          <w:szCs w:val="24"/>
          <w:lang w:val="es-ES_tradnl" w:eastAsia="es-ES"/>
        </w:rPr>
      </w:pPr>
      <w:r w:rsidRPr="00063CBF">
        <w:rPr>
          <w:rFonts w:ascii="Palatino Linotype" w:eastAsia="Times New Roman" w:hAnsi="Palatino Linotype" w:cs="Times New Roman"/>
          <w:b/>
          <w:bCs/>
          <w:spacing w:val="60"/>
          <w:sz w:val="28"/>
          <w:szCs w:val="24"/>
          <w:lang w:val="es-ES_tradnl" w:eastAsia="es-ES"/>
        </w:rPr>
        <w:t>SE    RESUELVE</w:t>
      </w:r>
    </w:p>
    <w:p w:rsidR="00063CBF" w:rsidRPr="00063CBF" w:rsidRDefault="00063CBF" w:rsidP="00063CBF">
      <w:pPr>
        <w:spacing w:after="0" w:line="360" w:lineRule="auto"/>
        <w:jc w:val="both"/>
        <w:rPr>
          <w:rFonts w:ascii="Palatino Linotype" w:eastAsia="Times New Roman" w:hAnsi="Palatino Linotype" w:cs="Times New Roman"/>
          <w:b/>
          <w:bCs/>
          <w:spacing w:val="60"/>
          <w:sz w:val="24"/>
          <w:szCs w:val="24"/>
          <w:lang w:val="es-ES_tradnl" w:eastAsia="es-ES"/>
        </w:rPr>
      </w:pPr>
    </w:p>
    <w:p w:rsidR="007F0929" w:rsidRPr="00D428DB" w:rsidRDefault="007F0929" w:rsidP="007F0929">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sz w:val="24"/>
          <w:szCs w:val="24"/>
        </w:rPr>
        <w:t>e</w:t>
      </w:r>
      <w:r w:rsidRPr="00D428DB">
        <w:rPr>
          <w:rFonts w:ascii="Palatino Linotype" w:eastAsia="Times New Roman" w:hAnsi="Palatino Linotype" w:cs="Arial"/>
          <w:sz w:val="24"/>
          <w:szCs w:val="24"/>
        </w:rPr>
        <w:t>l Recurrente</w:t>
      </w:r>
      <w:r>
        <w:rPr>
          <w:rFonts w:ascii="Palatino Linotype" w:eastAsia="Times New Roman" w:hAnsi="Palatino Linotype" w:cs="Arial"/>
          <w:sz w:val="24"/>
          <w:szCs w:val="24"/>
        </w:rPr>
        <w:t xml:space="preserve"> en términos del considerando cuarto de la presente resolución.</w:t>
      </w:r>
    </w:p>
    <w:p w:rsidR="007F0929" w:rsidRDefault="007F0929" w:rsidP="007F0929">
      <w:pPr>
        <w:spacing w:after="0" w:line="360" w:lineRule="auto"/>
        <w:jc w:val="both"/>
        <w:rPr>
          <w:rFonts w:ascii="Palatino Linotype" w:hAnsi="Palatino Linotype" w:cs="Arial"/>
          <w:b/>
          <w:bCs/>
          <w:sz w:val="28"/>
          <w:szCs w:val="28"/>
          <w:shd w:val="clear" w:color="auto" w:fill="FFFFFF"/>
        </w:rPr>
      </w:pPr>
    </w:p>
    <w:p w:rsidR="007F0929" w:rsidRDefault="007F0929" w:rsidP="007F0929">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w:t>
      </w:r>
      <w:r w:rsidRPr="00A073A6">
        <w:rPr>
          <w:rFonts w:ascii="Palatino Linotype" w:hAnsi="Palatino Linotype" w:cs="Arial"/>
          <w:sz w:val="24"/>
          <w:szCs w:val="24"/>
        </w:rPr>
        <w:t>ordena al Sujeto Obligado</w:t>
      </w:r>
      <w:r w:rsidRPr="00A073A6">
        <w:rPr>
          <w:rFonts w:ascii="Palatino Linotype" w:eastAsia="Times New Roman" w:hAnsi="Palatino Linotype" w:cs="Arial"/>
          <w:sz w:val="24"/>
          <w:szCs w:val="24"/>
        </w:rPr>
        <w:t>, atienda la solicitud de información número</w:t>
      </w:r>
      <w:r w:rsidRPr="00A073A6">
        <w:rPr>
          <w:rFonts w:ascii="Palatino Linotype" w:hAnsi="Palatino Linotype" w:cs="Arial"/>
          <w:sz w:val="24"/>
          <w:szCs w:val="24"/>
        </w:rPr>
        <w:t xml:space="preserve"> 00115/CUAUTIT/IP/2019</w:t>
      </w:r>
      <w:r w:rsidRPr="00A073A6">
        <w:rPr>
          <w:rFonts w:ascii="Palatino Linotype" w:eastAsia="Times New Roman" w:hAnsi="Palatino Linotype" w:cs="Arial"/>
          <w:sz w:val="24"/>
          <w:szCs w:val="24"/>
        </w:rPr>
        <w:t>, en términos del considerando cuarto de esta resolución y haga entrega vía SAIMEX</w:t>
      </w:r>
      <w:r>
        <w:rPr>
          <w:rFonts w:ascii="Palatino Linotype" w:eastAsia="Times New Roman" w:hAnsi="Palatino Linotype" w:cs="Arial"/>
          <w:b/>
          <w:sz w:val="24"/>
          <w:szCs w:val="24"/>
        </w:rPr>
        <w:t xml:space="preserve">, </w:t>
      </w:r>
      <w:r>
        <w:rPr>
          <w:rFonts w:ascii="Palatino Linotype" w:eastAsia="Times New Roman" w:hAnsi="Palatino Linotype" w:cs="Arial"/>
          <w:sz w:val="24"/>
          <w:szCs w:val="24"/>
        </w:rPr>
        <w:t>en versión pública de lo siguiente</w:t>
      </w:r>
      <w:r w:rsidRPr="00DE38A6">
        <w:rPr>
          <w:rFonts w:ascii="Palatino Linotype" w:hAnsi="Palatino Linotype"/>
          <w:sz w:val="24"/>
          <w:szCs w:val="24"/>
        </w:rPr>
        <w:t>:</w:t>
      </w:r>
    </w:p>
    <w:p w:rsidR="00A073A6" w:rsidRDefault="00A073A6" w:rsidP="007F0929">
      <w:pPr>
        <w:spacing w:after="0" w:line="360" w:lineRule="auto"/>
        <w:jc w:val="both"/>
        <w:rPr>
          <w:rFonts w:ascii="Palatino Linotype" w:hAnsi="Palatino Linotype"/>
          <w:sz w:val="24"/>
          <w:szCs w:val="24"/>
        </w:rPr>
      </w:pPr>
    </w:p>
    <w:p w:rsidR="00A073A6" w:rsidRPr="00A073A6" w:rsidRDefault="00A073A6" w:rsidP="00A073A6">
      <w:pPr>
        <w:pStyle w:val="Prrafodelista"/>
        <w:numPr>
          <w:ilvl w:val="0"/>
          <w:numId w:val="29"/>
        </w:numPr>
        <w:autoSpaceDE w:val="0"/>
        <w:autoSpaceDN w:val="0"/>
        <w:adjustRightInd w:val="0"/>
        <w:spacing w:line="360" w:lineRule="auto"/>
        <w:ind w:right="49"/>
        <w:jc w:val="both"/>
        <w:rPr>
          <w:rFonts w:ascii="Palatino Linotype" w:hAnsi="Palatino Linotype" w:cs="Arial"/>
          <w:i/>
        </w:rPr>
      </w:pPr>
      <w:r w:rsidRPr="00A073A6">
        <w:rPr>
          <w:rFonts w:ascii="Palatino Linotype" w:hAnsi="Palatino Linotype"/>
          <w:i/>
          <w:lang w:eastAsia="es-MX"/>
        </w:rPr>
        <w:t>Facturas del mes de enero, febrero, marzo y abril de 2019</w:t>
      </w:r>
    </w:p>
    <w:p w:rsidR="00A073A6" w:rsidRPr="00A073A6" w:rsidRDefault="00A073A6" w:rsidP="00A073A6">
      <w:pPr>
        <w:pStyle w:val="Prrafodelista"/>
        <w:autoSpaceDE w:val="0"/>
        <w:autoSpaceDN w:val="0"/>
        <w:adjustRightInd w:val="0"/>
        <w:spacing w:line="360" w:lineRule="auto"/>
        <w:ind w:left="720" w:right="49"/>
        <w:jc w:val="both"/>
        <w:rPr>
          <w:rFonts w:ascii="Palatino Linotype" w:hAnsi="Palatino Linotype" w:cs="Arial"/>
        </w:rPr>
      </w:pPr>
    </w:p>
    <w:p w:rsidR="00A073A6" w:rsidRPr="00A073A6" w:rsidRDefault="00A073A6" w:rsidP="00A073A6">
      <w:pPr>
        <w:autoSpaceDE w:val="0"/>
        <w:autoSpaceDN w:val="0"/>
        <w:adjustRightInd w:val="0"/>
        <w:spacing w:line="360" w:lineRule="auto"/>
        <w:ind w:right="49"/>
        <w:jc w:val="both"/>
        <w:rPr>
          <w:rFonts w:ascii="Palatino Linotype" w:hAnsi="Palatino Linotype" w:cs="Arial"/>
          <w:sz w:val="24"/>
          <w:szCs w:val="24"/>
        </w:rPr>
      </w:pPr>
      <w:r w:rsidRPr="00A073A6">
        <w:rPr>
          <w:rFonts w:ascii="Palatino Linotype" w:hAnsi="Palatino Linotype"/>
          <w:sz w:val="24"/>
          <w:szCs w:val="24"/>
        </w:rPr>
        <w:t>El acuerdo de clasificación que respalde la versión pública de la documentación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A073A6" w:rsidRPr="00A073A6" w:rsidRDefault="00A073A6" w:rsidP="00A073A6">
      <w:pPr>
        <w:autoSpaceDE w:val="0"/>
        <w:autoSpaceDN w:val="0"/>
        <w:adjustRightInd w:val="0"/>
        <w:spacing w:line="360" w:lineRule="auto"/>
        <w:ind w:left="360" w:right="49"/>
        <w:jc w:val="both"/>
        <w:rPr>
          <w:rFonts w:ascii="Palatino Linotype" w:hAnsi="Palatino Linotype" w:cs="Arial"/>
        </w:rPr>
      </w:pPr>
    </w:p>
    <w:p w:rsidR="00555CF7" w:rsidRPr="00907D37" w:rsidRDefault="00555CF7" w:rsidP="00746E80">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00A073A6" w:rsidRPr="00A073A6">
        <w:rPr>
          <w:rFonts w:ascii="Palatino Linotype" w:hAnsi="Palatino Linotype" w:cs="Arial"/>
          <w:sz w:val="24"/>
          <w:szCs w:val="24"/>
        </w:rPr>
        <w:t>Notifíquese</w:t>
      </w:r>
      <w:r w:rsidR="00A073A6" w:rsidRPr="00A073A6">
        <w:rPr>
          <w:rFonts w:ascii="Palatino Linotype" w:hAnsi="Palatino Linotype" w:cs="Arial"/>
          <w:i/>
          <w:sz w:val="24"/>
          <w:szCs w:val="24"/>
        </w:rPr>
        <w:t xml:space="preserve"> </w:t>
      </w:r>
      <w:r w:rsidRPr="00A073A6">
        <w:rPr>
          <w:rFonts w:ascii="Palatino Linotype" w:hAnsi="Palatino Linotype" w:cs="Arial"/>
          <w:sz w:val="24"/>
          <w:szCs w:val="24"/>
        </w:rPr>
        <w:t xml:space="preserve">la presente resolución al Titular de la Unidad de Transparencia del </w:t>
      </w:r>
      <w:r w:rsidR="00A073A6" w:rsidRPr="00A073A6">
        <w:rPr>
          <w:rFonts w:ascii="Palatino Linotype" w:hAnsi="Palatino Linotype" w:cs="Arial"/>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555CF7" w:rsidRPr="00BC7885" w:rsidRDefault="00555CF7" w:rsidP="00746E80">
      <w:pPr>
        <w:autoSpaceDE w:val="0"/>
        <w:autoSpaceDN w:val="0"/>
        <w:adjustRightInd w:val="0"/>
        <w:spacing w:after="0" w:line="360" w:lineRule="auto"/>
        <w:ind w:right="49"/>
        <w:jc w:val="both"/>
        <w:rPr>
          <w:rFonts w:ascii="Palatino Linotype" w:hAnsi="Palatino Linotype" w:cs="Arial"/>
          <w:b/>
          <w:sz w:val="24"/>
          <w:szCs w:val="24"/>
        </w:rPr>
      </w:pPr>
    </w:p>
    <w:p w:rsidR="00B05319" w:rsidRDefault="00555CF7" w:rsidP="00746E80">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00A073A6" w:rsidRPr="00A073A6">
        <w:rPr>
          <w:rFonts w:ascii="Palatino Linotype" w:hAnsi="Palatino Linotype" w:cs="Arial"/>
          <w:sz w:val="24"/>
          <w:szCs w:val="24"/>
        </w:rPr>
        <w:t xml:space="preserve">Notifíquese </w:t>
      </w:r>
      <w:r w:rsidRPr="00A073A6">
        <w:rPr>
          <w:rFonts w:ascii="Palatino Linotype" w:hAnsi="Palatino Linotype" w:cs="Arial"/>
          <w:sz w:val="24"/>
          <w:szCs w:val="24"/>
        </w:rPr>
        <w:t xml:space="preserve">al </w:t>
      </w:r>
      <w:r w:rsidR="00A073A6" w:rsidRPr="00A073A6">
        <w:rPr>
          <w:rFonts w:ascii="Palatino Linotype" w:hAnsi="Palatino Linotype" w:cs="Arial"/>
          <w:sz w:val="24"/>
          <w:szCs w:val="24"/>
        </w:rPr>
        <w:t xml:space="preserve">Recurrente </w:t>
      </w:r>
      <w:r w:rsidR="00BC7885" w:rsidRPr="00A073A6">
        <w:rPr>
          <w:rFonts w:ascii="Palatino Linotype" w:hAnsi="Palatino Linotype" w:cs="Arial"/>
          <w:sz w:val="24"/>
          <w:szCs w:val="24"/>
        </w:rPr>
        <w:t>l</w:t>
      </w:r>
      <w:r w:rsidR="00BC7885">
        <w:rPr>
          <w:rFonts w:ascii="Palatino Linotype" w:hAnsi="Palatino Linotype" w:cs="Arial"/>
          <w:sz w:val="24"/>
          <w:szCs w:val="24"/>
        </w:rPr>
        <w:t>a presente resolución</w:t>
      </w:r>
      <w:r w:rsidR="00B05319">
        <w:rPr>
          <w:rFonts w:ascii="Palatino Linotype" w:hAnsi="Palatino Linotype" w:cs="Arial"/>
          <w:sz w:val="24"/>
          <w:szCs w:val="24"/>
        </w:rPr>
        <w:t xml:space="preserve"> e informe justificado</w:t>
      </w:r>
      <w:r w:rsidR="0088605A">
        <w:rPr>
          <w:rFonts w:ascii="Palatino Linotype" w:hAnsi="Palatino Linotype" w:cs="Arial"/>
          <w:sz w:val="24"/>
          <w:szCs w:val="24"/>
        </w:rPr>
        <w:t xml:space="preserve"> mediante el SAIMEX </w:t>
      </w:r>
    </w:p>
    <w:p w:rsidR="00B05319" w:rsidRDefault="00B05319" w:rsidP="00746E80">
      <w:pPr>
        <w:autoSpaceDE w:val="0"/>
        <w:autoSpaceDN w:val="0"/>
        <w:adjustRightInd w:val="0"/>
        <w:spacing w:after="0" w:line="360" w:lineRule="auto"/>
        <w:ind w:right="49"/>
        <w:jc w:val="both"/>
        <w:rPr>
          <w:rFonts w:ascii="Palatino Linotype" w:hAnsi="Palatino Linotype" w:cs="Arial"/>
          <w:sz w:val="24"/>
          <w:szCs w:val="24"/>
        </w:rPr>
      </w:pPr>
    </w:p>
    <w:p w:rsidR="00555CF7" w:rsidRDefault="00B05319" w:rsidP="00746E80">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8"/>
        </w:rPr>
        <w:t>QUIN</w:t>
      </w:r>
      <w:r w:rsidRPr="000A5431">
        <w:rPr>
          <w:rFonts w:ascii="Palatino Linotype" w:hAnsi="Palatino Linotype" w:cs="Arial"/>
          <w:b/>
          <w:sz w:val="28"/>
          <w:szCs w:val="28"/>
        </w:rPr>
        <w:t>TO.</w:t>
      </w:r>
      <w:r>
        <w:rPr>
          <w:rFonts w:ascii="Palatino Linotype" w:hAnsi="Palatino Linotype" w:cs="Arial"/>
          <w:b/>
          <w:sz w:val="28"/>
          <w:szCs w:val="28"/>
        </w:rPr>
        <w:t xml:space="preserve"> </w:t>
      </w:r>
      <w:r>
        <w:rPr>
          <w:rFonts w:ascii="Palatino Linotype" w:hAnsi="Palatino Linotype" w:cs="Arial"/>
          <w:sz w:val="24"/>
          <w:szCs w:val="24"/>
        </w:rPr>
        <w:t>Há</w:t>
      </w:r>
      <w:r w:rsidR="00E447CF">
        <w:rPr>
          <w:rFonts w:ascii="Palatino Linotype" w:hAnsi="Palatino Linotype" w:cs="Arial"/>
          <w:sz w:val="24"/>
          <w:szCs w:val="24"/>
        </w:rPr>
        <w:t xml:space="preserve">gase </w:t>
      </w:r>
      <w:r w:rsidR="00BC7885">
        <w:rPr>
          <w:rFonts w:ascii="Palatino Linotype" w:hAnsi="Palatino Linotype" w:cs="Arial"/>
          <w:sz w:val="24"/>
          <w:szCs w:val="24"/>
        </w:rPr>
        <w:t>del conocimiento</w:t>
      </w:r>
      <w:r w:rsidR="00E447CF">
        <w:rPr>
          <w:rFonts w:ascii="Palatino Linotype" w:hAnsi="Palatino Linotype" w:cs="Arial"/>
          <w:sz w:val="24"/>
          <w:szCs w:val="24"/>
        </w:rPr>
        <w:t xml:space="preserve"> </w:t>
      </w:r>
      <w:r>
        <w:rPr>
          <w:rFonts w:ascii="Palatino Linotype" w:hAnsi="Palatino Linotype" w:cs="Arial"/>
          <w:sz w:val="24"/>
          <w:szCs w:val="24"/>
        </w:rPr>
        <w:t xml:space="preserve">del Recurrente </w:t>
      </w:r>
      <w:r w:rsidR="00E447CF">
        <w:rPr>
          <w:rFonts w:ascii="Palatino Linotype" w:hAnsi="Palatino Linotype" w:cs="Arial"/>
          <w:sz w:val="24"/>
          <w:szCs w:val="24"/>
        </w:rPr>
        <w:t xml:space="preserve">que en caso de considerar que </w:t>
      </w:r>
      <w:r>
        <w:rPr>
          <w:rFonts w:ascii="Palatino Linotype" w:hAnsi="Palatino Linotype" w:cs="Arial"/>
          <w:sz w:val="24"/>
          <w:szCs w:val="24"/>
        </w:rPr>
        <w:t xml:space="preserve">la presente resolución </w:t>
      </w:r>
      <w:r w:rsidR="00E447CF">
        <w:rPr>
          <w:rFonts w:ascii="Palatino Linotype" w:hAnsi="Palatino Linotype" w:cs="Arial"/>
          <w:sz w:val="24"/>
          <w:szCs w:val="24"/>
        </w:rPr>
        <w:t>le cau</w:t>
      </w:r>
      <w:r w:rsidR="0088605A">
        <w:rPr>
          <w:rFonts w:ascii="Palatino Linotype" w:hAnsi="Palatino Linotype" w:cs="Arial"/>
          <w:sz w:val="24"/>
          <w:szCs w:val="24"/>
        </w:rPr>
        <w:t>s</w:t>
      </w:r>
      <w:r w:rsidR="00E447CF">
        <w:rPr>
          <w:rFonts w:ascii="Palatino Linotype" w:hAnsi="Palatino Linotype" w:cs="Arial"/>
          <w:sz w:val="24"/>
          <w:szCs w:val="24"/>
        </w:rPr>
        <w:t>a algún perjuicio</w:t>
      </w:r>
      <w:r w:rsidR="004C5C38">
        <w:rPr>
          <w:rFonts w:ascii="Palatino Linotype" w:hAnsi="Palatino Linotype" w:cs="Arial"/>
          <w:sz w:val="24"/>
          <w:szCs w:val="24"/>
        </w:rPr>
        <w:t xml:space="preserve">, </w:t>
      </w:r>
      <w:r w:rsidR="00555CF7">
        <w:rPr>
          <w:rFonts w:ascii="Palatino Linotype" w:hAnsi="Palatino Linotype" w:cs="Arial"/>
          <w:sz w:val="24"/>
          <w:szCs w:val="24"/>
        </w:rPr>
        <w:t>de conformidad con lo establecido en el artículo 196 de la Ley de Transparencia y Acceso a la Información Pública del Estado de México y Municipios podrá promover el Juicio de Amparo en los términos de las leyes aplicables.</w:t>
      </w:r>
    </w:p>
    <w:p w:rsidR="00A073A6" w:rsidRDefault="00A073A6" w:rsidP="00746E80">
      <w:pPr>
        <w:autoSpaceDE w:val="0"/>
        <w:autoSpaceDN w:val="0"/>
        <w:adjustRightInd w:val="0"/>
        <w:spacing w:after="0" w:line="360" w:lineRule="auto"/>
        <w:ind w:right="49"/>
        <w:jc w:val="both"/>
        <w:rPr>
          <w:rFonts w:ascii="Palatino Linotype" w:hAnsi="Palatino Linotype" w:cs="Arial"/>
          <w:sz w:val="24"/>
          <w:szCs w:val="24"/>
        </w:rPr>
      </w:pPr>
    </w:p>
    <w:p w:rsidR="0089267D" w:rsidRDefault="00A073A6" w:rsidP="0089267D">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w:t>
      </w:r>
      <w:r w:rsidR="0089267D">
        <w:rPr>
          <w:rFonts w:ascii="Palatino Linotype" w:hAnsi="Palatino Linotype"/>
          <w:b/>
          <w:sz w:val="28"/>
          <w:szCs w:val="28"/>
        </w:rPr>
        <w:t>TO</w:t>
      </w:r>
      <w:r w:rsidR="0089267D" w:rsidRPr="00EA1719">
        <w:rPr>
          <w:rFonts w:ascii="Palatino Linotype" w:hAnsi="Palatino Linotype"/>
          <w:b/>
          <w:sz w:val="24"/>
          <w:szCs w:val="24"/>
        </w:rPr>
        <w:t xml:space="preserve">. </w:t>
      </w:r>
      <w:r w:rsidR="0089267D" w:rsidRPr="00A52A6A">
        <w:rPr>
          <w:rFonts w:ascii="Palatino Linotype" w:hAnsi="Palatino Linotype"/>
          <w:sz w:val="24"/>
          <w:szCs w:val="24"/>
          <w:lang w:eastAsia="es-ES_tradnl"/>
        </w:rPr>
        <w:t>Gírese</w:t>
      </w:r>
      <w:r w:rsidR="0089267D"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sidR="0089267D">
        <w:rPr>
          <w:rFonts w:ascii="Palatino Linotype" w:hAnsi="Palatino Linotype"/>
          <w:sz w:val="24"/>
          <w:szCs w:val="24"/>
          <w:lang w:eastAsia="es-ES_tradnl"/>
        </w:rPr>
        <w:t>érminos del considerando cuarto</w:t>
      </w:r>
      <w:r w:rsidR="0089267D" w:rsidRPr="00EA1719">
        <w:rPr>
          <w:rFonts w:ascii="Palatino Linotype" w:hAnsi="Palatino Linotype"/>
          <w:sz w:val="24"/>
          <w:szCs w:val="24"/>
          <w:lang w:eastAsia="es-ES_tradnl"/>
        </w:rPr>
        <w:t xml:space="preserve"> de la presente resolución.</w:t>
      </w:r>
    </w:p>
    <w:p w:rsidR="0089267D" w:rsidRDefault="0089267D" w:rsidP="00746E80">
      <w:pPr>
        <w:autoSpaceDE w:val="0"/>
        <w:autoSpaceDN w:val="0"/>
        <w:adjustRightInd w:val="0"/>
        <w:spacing w:after="0" w:line="360" w:lineRule="auto"/>
        <w:ind w:right="49"/>
        <w:jc w:val="both"/>
        <w:rPr>
          <w:rFonts w:ascii="Palatino Linotype" w:hAnsi="Palatino Linotype" w:cs="Arial"/>
          <w:sz w:val="24"/>
          <w:szCs w:val="24"/>
        </w:rPr>
      </w:pPr>
    </w:p>
    <w:p w:rsidR="00697745" w:rsidRDefault="00697745" w:rsidP="00746E80">
      <w:pPr>
        <w:autoSpaceDE w:val="0"/>
        <w:autoSpaceDN w:val="0"/>
        <w:adjustRightInd w:val="0"/>
        <w:spacing w:after="0" w:line="360" w:lineRule="auto"/>
        <w:ind w:right="49"/>
        <w:jc w:val="both"/>
        <w:rPr>
          <w:rFonts w:ascii="Palatino Linotype" w:hAnsi="Palatino Linotype" w:cs="Arial"/>
          <w:sz w:val="24"/>
          <w:szCs w:val="24"/>
        </w:rPr>
      </w:pP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E83CAF">
        <w:rPr>
          <w:rFonts w:ascii="Palatino Linotype" w:hAnsi="Palatino Linotype" w:cs="Arial"/>
          <w:sz w:val="24"/>
          <w:szCs w:val="24"/>
        </w:rPr>
        <w:t>TRIGÉSIMA CUARTA SESIÓN</w:t>
      </w:r>
      <w:r>
        <w:rPr>
          <w:rFonts w:ascii="Palatino Linotype" w:hAnsi="Palatino Linotype" w:cs="Arial"/>
          <w:sz w:val="24"/>
          <w:szCs w:val="24"/>
        </w:rPr>
        <w:t xml:space="preserve"> ORDINARIA CELEBRAD</w:t>
      </w:r>
      <w:r w:rsidR="00E83CAF">
        <w:rPr>
          <w:rFonts w:ascii="Palatino Linotype" w:hAnsi="Palatino Linotype" w:cs="Arial"/>
          <w:sz w:val="24"/>
          <w:szCs w:val="24"/>
        </w:rPr>
        <w:t xml:space="preserve">A EL </w:t>
      </w:r>
      <w:r w:rsidR="00E83CAF" w:rsidRPr="00E83CAF">
        <w:rPr>
          <w:rFonts w:ascii="Palatino Linotype" w:hAnsi="Palatino Linotype" w:cs="Arial"/>
          <w:sz w:val="24"/>
          <w:szCs w:val="24"/>
        </w:rPr>
        <w:t>DIECINUEVE DE SEPTIEMBRE</w:t>
      </w:r>
      <w:r w:rsidR="00E83CAF">
        <w:rPr>
          <w:rFonts w:ascii="Palatino Linotype" w:hAnsi="Palatino Linotype" w:cs="Arial"/>
          <w:sz w:val="24"/>
          <w:szCs w:val="24"/>
        </w:rPr>
        <w:t xml:space="preserve"> DE DOS MIL DIECINUEVE, ANTE EL SECRETARIO TÉCNICO DEL PLENO, ALEXIS TAPIA RA</w:t>
      </w:r>
      <w:r>
        <w:rPr>
          <w:rFonts w:ascii="Palatino Linotype" w:hAnsi="Palatino Linotype" w:cs="Arial"/>
          <w:sz w:val="24"/>
          <w:szCs w:val="24"/>
        </w:rPr>
        <w:t>MÍREZ. ---------------</w:t>
      </w:r>
      <w:r w:rsidR="00E83CAF">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Zulema Martínez Sánchez</w:t>
            </w:r>
          </w:p>
          <w:p w:rsidR="00555CF7" w:rsidRDefault="00555CF7" w:rsidP="00746E80">
            <w:pPr>
              <w:pStyle w:val="Sinespaciado"/>
              <w:jc w:val="center"/>
              <w:rPr>
                <w:rFonts w:ascii="Palatino Linotype" w:hAnsi="Palatino Linotype"/>
              </w:rPr>
            </w:pPr>
            <w:r>
              <w:rPr>
                <w:rFonts w:ascii="Palatino Linotype" w:hAnsi="Palatino Linotype"/>
              </w:rPr>
              <w:t>Comisionada Presidenta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r>
              <w:rPr>
                <w:rFonts w:ascii="Palatino Linotype" w:hAnsi="Palatino Linotype"/>
                <w:color w:val="FFFFFF" w:themeColor="background1"/>
              </w:rPr>
              <w:t>(Rúbrica)</w:t>
            </w:r>
          </w:p>
        </w:tc>
      </w:tr>
      <w:tr w:rsidR="00555CF7" w:rsidTr="0003122F">
        <w:trPr>
          <w:jc w:val="center"/>
        </w:trPr>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Eva Abaid Yapur</w:t>
            </w:r>
          </w:p>
          <w:p w:rsidR="00555CF7" w:rsidRDefault="00555CF7" w:rsidP="00746E80">
            <w:pPr>
              <w:pStyle w:val="Sinespaciado"/>
              <w:jc w:val="center"/>
              <w:rPr>
                <w:rFonts w:ascii="Palatino Linotype" w:hAnsi="Palatino Linotype"/>
              </w:rPr>
            </w:pPr>
            <w:r>
              <w:rPr>
                <w:rFonts w:ascii="Palatino Linotype" w:hAnsi="Palatino Linotype"/>
              </w:rPr>
              <w:t>Comisionada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Javier Martínez Cruz</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Comisionado</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José Guadalupe Luna Hernández</w:t>
            </w:r>
          </w:p>
          <w:p w:rsidR="00555CF7" w:rsidRDefault="00555CF7" w:rsidP="00746E80">
            <w:pPr>
              <w:pStyle w:val="Sinespaciado"/>
              <w:jc w:val="center"/>
              <w:rPr>
                <w:rFonts w:ascii="Palatino Linotype" w:hAnsi="Palatino Linotype"/>
              </w:rPr>
            </w:pPr>
            <w:r>
              <w:rPr>
                <w:rFonts w:ascii="Palatino Linotype" w:hAnsi="Palatino Linotype"/>
              </w:rPr>
              <w:t>Comisionado</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Luis Gustavo Parra Noriega</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 xml:space="preserve">Comisionado </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tc>
      </w:tr>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Alexis Tapia Ramírez</w:t>
            </w:r>
          </w:p>
          <w:p w:rsidR="00555CF7" w:rsidRDefault="00555CF7" w:rsidP="00746E80">
            <w:pPr>
              <w:pStyle w:val="Sinespaciado"/>
              <w:jc w:val="center"/>
              <w:rPr>
                <w:rFonts w:ascii="Palatino Linotype" w:hAnsi="Palatino Linotype"/>
              </w:rPr>
            </w:pPr>
            <w:r>
              <w:rPr>
                <w:rFonts w:ascii="Palatino Linotype" w:hAnsi="Palatino Linotype"/>
              </w:rPr>
              <w:t>Secretario Técnico del Pleno</w:t>
            </w:r>
          </w:p>
          <w:p w:rsidR="00555CF7" w:rsidRDefault="00555CF7" w:rsidP="00746E80">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555CF7" w:rsidRDefault="00555CF7" w:rsidP="00746E80">
      <w:pPr>
        <w:spacing w:after="0" w:line="276" w:lineRule="auto"/>
        <w:jc w:val="both"/>
        <w:rPr>
          <w:rFonts w:ascii="Palatino Linotype" w:hAnsi="Palatino Linotype" w:cs="Arial"/>
          <w:sz w:val="10"/>
          <w:szCs w:val="24"/>
        </w:rPr>
      </w:pPr>
    </w:p>
    <w:p w:rsidR="00555CF7" w:rsidRDefault="00555CF7" w:rsidP="00746E80">
      <w:pPr>
        <w:spacing w:after="0" w:line="276" w:lineRule="auto"/>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E83CAF">
        <w:rPr>
          <w:rFonts w:ascii="Palatino Linotype" w:hAnsi="Palatino Linotype" w:cs="Arial"/>
          <w:sz w:val="16"/>
          <w:szCs w:val="16"/>
        </w:rPr>
        <w:t>diecinueve de septiembre</w:t>
      </w:r>
      <w:r>
        <w:rPr>
          <w:rFonts w:ascii="Palatino Linotype" w:hAnsi="Palatino Linotype" w:cs="Arial"/>
          <w:sz w:val="16"/>
          <w:szCs w:val="16"/>
        </w:rPr>
        <w:t xml:space="preserve"> de dos mil diecinueve, emitida en el recurso de revisión 0</w:t>
      </w:r>
      <w:r w:rsidR="00E83CAF">
        <w:rPr>
          <w:rFonts w:ascii="Palatino Linotype" w:hAnsi="Palatino Linotype" w:cs="Arial"/>
          <w:sz w:val="16"/>
          <w:szCs w:val="16"/>
        </w:rPr>
        <w:t>6100</w:t>
      </w:r>
      <w:r>
        <w:rPr>
          <w:rFonts w:ascii="Palatino Linotype" w:hAnsi="Palatino Linotype" w:cs="Arial"/>
          <w:sz w:val="16"/>
          <w:szCs w:val="16"/>
        </w:rPr>
        <w:t>/INFOEM/IP/RR/2019.</w:t>
      </w:r>
    </w:p>
    <w:p w:rsidR="00555CF7" w:rsidRDefault="00555CF7" w:rsidP="00F13448">
      <w:pPr>
        <w:spacing w:after="0" w:line="276" w:lineRule="auto"/>
        <w:jc w:val="both"/>
      </w:pPr>
      <w:r>
        <w:rPr>
          <w:rFonts w:ascii="Palatino Linotype" w:hAnsi="Palatino Linotype" w:cs="Arial"/>
          <w:sz w:val="16"/>
          <w:szCs w:val="16"/>
        </w:rPr>
        <w:t>ZMS/OSAM/</w:t>
      </w:r>
      <w:r w:rsidR="0008736C">
        <w:rPr>
          <w:rFonts w:ascii="Palatino Linotype" w:hAnsi="Palatino Linotype" w:cs="Arial"/>
          <w:sz w:val="16"/>
          <w:szCs w:val="16"/>
        </w:rPr>
        <w:t>MOC</w:t>
      </w:r>
    </w:p>
    <w:p w:rsidR="00B70FF8" w:rsidRDefault="00B70FF8" w:rsidP="00746E80">
      <w:pPr>
        <w:spacing w:after="0"/>
      </w:pPr>
    </w:p>
    <w:sectPr w:rsidR="00B70FF8" w:rsidSect="0003122F">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0F5" w:rsidRDefault="00BD70F5" w:rsidP="00555CF7">
      <w:pPr>
        <w:spacing w:after="0" w:line="240" w:lineRule="auto"/>
      </w:pPr>
      <w:r>
        <w:separator/>
      </w:r>
    </w:p>
  </w:endnote>
  <w:endnote w:type="continuationSeparator" w:id="0">
    <w:p w:rsidR="00BD70F5" w:rsidRDefault="00BD70F5"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86B5C" w:rsidRPr="002D6DD8" w:rsidRDefault="00286B5C"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1B66">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11B66">
              <w:rPr>
                <w:rFonts w:ascii="Palatino Linotype" w:hAnsi="Palatino Linotype"/>
                <w:bCs/>
                <w:noProof/>
                <w:sz w:val="20"/>
              </w:rPr>
              <w:t>29</w:t>
            </w:r>
            <w:r>
              <w:rPr>
                <w:rFonts w:ascii="Palatino Linotype" w:hAnsi="Palatino Linotype"/>
                <w:bCs/>
                <w:noProof/>
                <w:sz w:val="20"/>
              </w:rPr>
              <w:fldChar w:fldCharType="end"/>
            </w:r>
          </w:p>
        </w:sdtContent>
      </w:sdt>
    </w:sdtContent>
  </w:sdt>
  <w:p w:rsidR="00286B5C" w:rsidRDefault="00286B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B5C" w:rsidRPr="000B69FA" w:rsidRDefault="00286B5C"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203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12032">
      <w:rPr>
        <w:rFonts w:ascii="Palatino Linotype" w:hAnsi="Palatino Linotype"/>
        <w:bCs/>
        <w:noProof/>
        <w:sz w:val="20"/>
      </w:rPr>
      <w:t>29</w:t>
    </w:r>
    <w:r>
      <w:rPr>
        <w:rFonts w:ascii="Palatino Linotype" w:hAnsi="Palatino Linotype"/>
        <w:bCs/>
        <w:noProof/>
        <w:sz w:val="20"/>
      </w:rPr>
      <w:fldChar w:fldCharType="end"/>
    </w:r>
  </w:p>
  <w:p w:rsidR="00286B5C" w:rsidRDefault="00286B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0F5" w:rsidRDefault="00BD70F5" w:rsidP="00555CF7">
      <w:pPr>
        <w:spacing w:after="0" w:line="240" w:lineRule="auto"/>
      </w:pPr>
      <w:r>
        <w:separator/>
      </w:r>
    </w:p>
  </w:footnote>
  <w:footnote w:type="continuationSeparator" w:id="0">
    <w:p w:rsidR="00BD70F5" w:rsidRDefault="00BD70F5" w:rsidP="00555CF7">
      <w:pPr>
        <w:spacing w:after="0" w:line="240" w:lineRule="auto"/>
      </w:pPr>
      <w:r>
        <w:continuationSeparator/>
      </w:r>
    </w:p>
  </w:footnote>
  <w:footnote w:id="1">
    <w:p w:rsidR="00965992" w:rsidRPr="00B07B6A" w:rsidRDefault="00965992" w:rsidP="00965992">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 w:id="2">
    <w:p w:rsidR="000B4F76" w:rsidRDefault="000B4F76" w:rsidP="000B4F76">
      <w:pPr>
        <w:pStyle w:val="Textonotapie"/>
      </w:pPr>
      <w:r>
        <w:rPr>
          <w:rStyle w:val="Refdenotaalpie"/>
        </w:rPr>
        <w:footnoteRef/>
      </w:r>
      <w:r>
        <w:t xml:space="preserve"> 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footnote>
  <w:footnote w:id="3">
    <w:p w:rsidR="000B4F76" w:rsidRDefault="000B4F76" w:rsidP="000B4F76">
      <w:pPr>
        <w:pStyle w:val="Textonotapie"/>
      </w:pPr>
      <w:r>
        <w:rPr>
          <w:rStyle w:val="Refdenotaalpie"/>
        </w:rPr>
        <w:footnoteRef/>
      </w:r>
      <w:r>
        <w:t xml:space="preserve"> Artículo 104. El Instituto, en el ámbito de su competencia, determinará los casos en que las personas físicas o jurídicas colectivas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017F1E" w:rsidTr="0003122F">
      <w:trPr>
        <w:trHeight w:val="227"/>
      </w:trPr>
      <w:tc>
        <w:tcPr>
          <w:tcW w:w="4962" w:type="dxa"/>
          <w:hideMark/>
        </w:tcPr>
        <w:p w:rsidR="00017F1E" w:rsidRDefault="00017F1E" w:rsidP="00017F1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017F1E" w:rsidRDefault="00017F1E" w:rsidP="00017F1E">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6100/INFOEM/IP/RR/2019</w:t>
          </w:r>
        </w:p>
      </w:tc>
    </w:tr>
    <w:tr w:rsidR="00017F1E" w:rsidTr="0003122F">
      <w:trPr>
        <w:trHeight w:val="242"/>
      </w:trPr>
      <w:tc>
        <w:tcPr>
          <w:tcW w:w="4962" w:type="dxa"/>
          <w:hideMark/>
        </w:tcPr>
        <w:p w:rsidR="00017F1E" w:rsidRDefault="00017F1E" w:rsidP="00017F1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017F1E" w:rsidRDefault="00017F1E" w:rsidP="00017F1E">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Cuautitlán</w:t>
          </w:r>
        </w:p>
      </w:tc>
    </w:tr>
    <w:tr w:rsidR="00286B5C" w:rsidTr="0003122F">
      <w:trPr>
        <w:trHeight w:val="342"/>
      </w:trPr>
      <w:tc>
        <w:tcPr>
          <w:tcW w:w="4962" w:type="dxa"/>
          <w:hideMark/>
        </w:tcPr>
        <w:p w:rsidR="00286B5C" w:rsidRDefault="00286B5C"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286B5C" w:rsidRDefault="00286B5C"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86B5C" w:rsidRPr="00AE046A" w:rsidRDefault="00286B5C"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86B5C" w:rsidTr="0003122F">
      <w:trPr>
        <w:trHeight w:val="227"/>
      </w:trPr>
      <w:tc>
        <w:tcPr>
          <w:tcW w:w="5104" w:type="dxa"/>
          <w:hideMark/>
        </w:tcPr>
        <w:p w:rsidR="00286B5C" w:rsidRDefault="00286B5C"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286B5C" w:rsidRDefault="00286B5C" w:rsidP="00017F1E">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sidR="00017F1E">
            <w:rPr>
              <w:rFonts w:ascii="Palatino Linotype" w:hAnsi="Palatino Linotype" w:cs="Arial"/>
              <w:bCs/>
              <w:sz w:val="24"/>
              <w:lang w:eastAsia="es-MX"/>
            </w:rPr>
            <w:t>6100</w:t>
          </w:r>
          <w:r>
            <w:rPr>
              <w:rFonts w:ascii="Palatino Linotype" w:hAnsi="Palatino Linotype" w:cs="Arial"/>
              <w:bCs/>
              <w:sz w:val="24"/>
              <w:lang w:eastAsia="es-MX"/>
            </w:rPr>
            <w:t>/INFOEM/IP/RR/2019</w:t>
          </w:r>
        </w:p>
      </w:tc>
    </w:tr>
    <w:tr w:rsidR="00286B5C" w:rsidTr="0003122F">
      <w:trPr>
        <w:trHeight w:val="242"/>
      </w:trPr>
      <w:tc>
        <w:tcPr>
          <w:tcW w:w="5104" w:type="dxa"/>
          <w:hideMark/>
        </w:tcPr>
        <w:p w:rsidR="00286B5C" w:rsidRDefault="00286B5C"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286B5C" w:rsidRDefault="00286B5C" w:rsidP="002C1035">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sidR="00017F1E">
            <w:rPr>
              <w:rFonts w:ascii="Palatino Linotype" w:hAnsi="Palatino Linotype" w:cs="Arial"/>
              <w:szCs w:val="20"/>
            </w:rPr>
            <w:t>Cuautitlán</w:t>
          </w:r>
        </w:p>
      </w:tc>
    </w:tr>
    <w:tr w:rsidR="00286B5C" w:rsidTr="0003122F">
      <w:trPr>
        <w:trHeight w:val="342"/>
      </w:trPr>
      <w:tc>
        <w:tcPr>
          <w:tcW w:w="5104" w:type="dxa"/>
        </w:tcPr>
        <w:p w:rsidR="00286B5C" w:rsidRDefault="00286B5C"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286B5C" w:rsidRPr="003D23D7" w:rsidRDefault="000D25D3" w:rsidP="00555CF7">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286B5C" w:rsidTr="0003122F">
      <w:trPr>
        <w:trHeight w:val="342"/>
      </w:trPr>
      <w:tc>
        <w:tcPr>
          <w:tcW w:w="5104" w:type="dxa"/>
        </w:tcPr>
        <w:p w:rsidR="00286B5C" w:rsidRDefault="00286B5C"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286B5C" w:rsidRDefault="00286B5C"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86B5C" w:rsidRPr="00C222C0" w:rsidRDefault="00286B5C">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4405"/>
    <w:multiLevelType w:val="hybridMultilevel"/>
    <w:tmpl w:val="6818E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4256A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806974"/>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4A159F"/>
    <w:multiLevelType w:val="hybridMultilevel"/>
    <w:tmpl w:val="DA7EAC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F97DF6"/>
    <w:multiLevelType w:val="hybridMultilevel"/>
    <w:tmpl w:val="8A1A8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455F8B"/>
    <w:multiLevelType w:val="hybridMultilevel"/>
    <w:tmpl w:val="71122F2A"/>
    <w:lvl w:ilvl="0" w:tplc="D5E070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4317490"/>
    <w:multiLevelType w:val="hybridMultilevel"/>
    <w:tmpl w:val="DE8E729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4D4DB8"/>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426848CA"/>
    <w:multiLevelType w:val="hybridMultilevel"/>
    <w:tmpl w:val="29341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FD2437"/>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D55909"/>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01185E"/>
    <w:multiLevelType w:val="hybridMultilevel"/>
    <w:tmpl w:val="2208CD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F32703D"/>
    <w:multiLevelType w:val="hybridMultilevel"/>
    <w:tmpl w:val="289AE0A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B05B7E"/>
    <w:multiLevelType w:val="hybridMultilevel"/>
    <w:tmpl w:val="6F989F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8563BC"/>
    <w:multiLevelType w:val="hybridMultilevel"/>
    <w:tmpl w:val="EF68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586F1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476C67"/>
    <w:multiLevelType w:val="hybridMultilevel"/>
    <w:tmpl w:val="E8F0D632"/>
    <w:lvl w:ilvl="0" w:tplc="05502272">
      <w:start w:val="1"/>
      <w:numFmt w:val="lowerRoman"/>
      <w:lvlText w:val="%1)"/>
      <w:lvlJc w:val="left"/>
      <w:pPr>
        <w:ind w:left="1364" w:hanging="72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1" w15:restartNumberingAfterBreak="0">
    <w:nsid w:val="6867173E"/>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72475AFD"/>
    <w:multiLevelType w:val="hybridMultilevel"/>
    <w:tmpl w:val="AC861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2BE30AA"/>
    <w:multiLevelType w:val="hybridMultilevel"/>
    <w:tmpl w:val="545CCBB8"/>
    <w:lvl w:ilvl="0" w:tplc="080A0013">
      <w:start w:val="1"/>
      <w:numFmt w:val="upp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5" w15:restartNumberingAfterBreak="0">
    <w:nsid w:val="731B3280"/>
    <w:multiLevelType w:val="hybridMultilevel"/>
    <w:tmpl w:val="4788B9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C842A1B"/>
    <w:multiLevelType w:val="hybridMultilevel"/>
    <w:tmpl w:val="98706670"/>
    <w:lvl w:ilvl="0" w:tplc="44A291B2">
      <w:start w:val="3"/>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19"/>
  </w:num>
  <w:num w:numId="5">
    <w:abstractNumId w:val="4"/>
  </w:num>
  <w:num w:numId="6">
    <w:abstractNumId w:val="3"/>
  </w:num>
  <w:num w:numId="7">
    <w:abstractNumId w:val="9"/>
  </w:num>
  <w:num w:numId="8">
    <w:abstractNumId w:val="13"/>
  </w:num>
  <w:num w:numId="9">
    <w:abstractNumId w:val="2"/>
  </w:num>
  <w:num w:numId="10">
    <w:abstractNumId w:val="14"/>
  </w:num>
  <w:num w:numId="11">
    <w:abstractNumId w:val="6"/>
  </w:num>
  <w:num w:numId="12">
    <w:abstractNumId w:val="16"/>
  </w:num>
  <w:num w:numId="13">
    <w:abstractNumId w:val="17"/>
  </w:num>
  <w:num w:numId="14">
    <w:abstractNumId w:val="8"/>
  </w:num>
  <w:num w:numId="15">
    <w:abstractNumId w:val="10"/>
  </w:num>
  <w:num w:numId="16">
    <w:abstractNumId w:val="22"/>
  </w:num>
  <w:num w:numId="17">
    <w:abstractNumId w:val="27"/>
  </w:num>
  <w:num w:numId="18">
    <w:abstractNumId w:val="20"/>
  </w:num>
  <w:num w:numId="19">
    <w:abstractNumId w:val="18"/>
  </w:num>
  <w:num w:numId="20">
    <w:abstractNumId w:val="11"/>
  </w:num>
  <w:num w:numId="21">
    <w:abstractNumId w:val="12"/>
  </w:num>
  <w:num w:numId="22">
    <w:abstractNumId w:val="28"/>
  </w:num>
  <w:num w:numId="23">
    <w:abstractNumId w:val="23"/>
  </w:num>
  <w:num w:numId="24">
    <w:abstractNumId w:val="26"/>
  </w:num>
  <w:num w:numId="25">
    <w:abstractNumId w:val="15"/>
  </w:num>
  <w:num w:numId="26">
    <w:abstractNumId w:val="7"/>
  </w:num>
  <w:num w:numId="27">
    <w:abstractNumId w:val="21"/>
  </w:num>
  <w:num w:numId="28">
    <w:abstractNumId w:val="2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059FF"/>
    <w:rsid w:val="00011B66"/>
    <w:rsid w:val="0001258F"/>
    <w:rsid w:val="00017F1E"/>
    <w:rsid w:val="0003122F"/>
    <w:rsid w:val="00046076"/>
    <w:rsid w:val="00046823"/>
    <w:rsid w:val="000543EA"/>
    <w:rsid w:val="00063CBF"/>
    <w:rsid w:val="00065F66"/>
    <w:rsid w:val="00077672"/>
    <w:rsid w:val="00085966"/>
    <w:rsid w:val="00086741"/>
    <w:rsid w:val="0008736C"/>
    <w:rsid w:val="0008774A"/>
    <w:rsid w:val="000933E0"/>
    <w:rsid w:val="00096831"/>
    <w:rsid w:val="000A5F8A"/>
    <w:rsid w:val="000A7847"/>
    <w:rsid w:val="000B2575"/>
    <w:rsid w:val="000B4F76"/>
    <w:rsid w:val="000B6C25"/>
    <w:rsid w:val="000C0274"/>
    <w:rsid w:val="000C027C"/>
    <w:rsid w:val="000C6C94"/>
    <w:rsid w:val="000D25D3"/>
    <w:rsid w:val="000E00CE"/>
    <w:rsid w:val="000E5164"/>
    <w:rsid w:val="000F1AD6"/>
    <w:rsid w:val="00104280"/>
    <w:rsid w:val="001063B8"/>
    <w:rsid w:val="001270E2"/>
    <w:rsid w:val="001320AE"/>
    <w:rsid w:val="00135876"/>
    <w:rsid w:val="001378C8"/>
    <w:rsid w:val="001459C8"/>
    <w:rsid w:val="001547AF"/>
    <w:rsid w:val="0016215F"/>
    <w:rsid w:val="00167B0C"/>
    <w:rsid w:val="001846CC"/>
    <w:rsid w:val="00185E06"/>
    <w:rsid w:val="001C27FB"/>
    <w:rsid w:val="001C53E8"/>
    <w:rsid w:val="001E2000"/>
    <w:rsid w:val="001E54AA"/>
    <w:rsid w:val="001E78E8"/>
    <w:rsid w:val="001F0DD6"/>
    <w:rsid w:val="001F2D06"/>
    <w:rsid w:val="001F3041"/>
    <w:rsid w:val="0020014D"/>
    <w:rsid w:val="0020245C"/>
    <w:rsid w:val="00261BE3"/>
    <w:rsid w:val="00267F31"/>
    <w:rsid w:val="002849AC"/>
    <w:rsid w:val="00286B5C"/>
    <w:rsid w:val="00297C99"/>
    <w:rsid w:val="002A2687"/>
    <w:rsid w:val="002B41C7"/>
    <w:rsid w:val="002C0521"/>
    <w:rsid w:val="002C1035"/>
    <w:rsid w:val="002D4ACE"/>
    <w:rsid w:val="002D6164"/>
    <w:rsid w:val="002E7384"/>
    <w:rsid w:val="002F3B19"/>
    <w:rsid w:val="00310C61"/>
    <w:rsid w:val="00315539"/>
    <w:rsid w:val="003274AD"/>
    <w:rsid w:val="00342881"/>
    <w:rsid w:val="00355345"/>
    <w:rsid w:val="0036437C"/>
    <w:rsid w:val="003B0C50"/>
    <w:rsid w:val="003B6778"/>
    <w:rsid w:val="003D5457"/>
    <w:rsid w:val="00403CCB"/>
    <w:rsid w:val="00424E71"/>
    <w:rsid w:val="00426F36"/>
    <w:rsid w:val="00446F7C"/>
    <w:rsid w:val="0045339C"/>
    <w:rsid w:val="00487366"/>
    <w:rsid w:val="004A1D22"/>
    <w:rsid w:val="004A3479"/>
    <w:rsid w:val="004B4EA9"/>
    <w:rsid w:val="004C5C38"/>
    <w:rsid w:val="004F3113"/>
    <w:rsid w:val="004F7FB4"/>
    <w:rsid w:val="00503574"/>
    <w:rsid w:val="0051142F"/>
    <w:rsid w:val="00512A61"/>
    <w:rsid w:val="00520888"/>
    <w:rsid w:val="005237C7"/>
    <w:rsid w:val="005272D9"/>
    <w:rsid w:val="00535AC7"/>
    <w:rsid w:val="00544FF5"/>
    <w:rsid w:val="00555CF7"/>
    <w:rsid w:val="00571A50"/>
    <w:rsid w:val="00593F09"/>
    <w:rsid w:val="005A65AE"/>
    <w:rsid w:val="005B1334"/>
    <w:rsid w:val="005C418E"/>
    <w:rsid w:val="005C614D"/>
    <w:rsid w:val="005C733A"/>
    <w:rsid w:val="00611293"/>
    <w:rsid w:val="006434B5"/>
    <w:rsid w:val="00664321"/>
    <w:rsid w:val="00665922"/>
    <w:rsid w:val="00682811"/>
    <w:rsid w:val="00690AA1"/>
    <w:rsid w:val="00691E3A"/>
    <w:rsid w:val="00692425"/>
    <w:rsid w:val="00693DF0"/>
    <w:rsid w:val="00697745"/>
    <w:rsid w:val="006B6EFE"/>
    <w:rsid w:val="006C0053"/>
    <w:rsid w:val="006D1138"/>
    <w:rsid w:val="006E345E"/>
    <w:rsid w:val="007063F9"/>
    <w:rsid w:val="00731D66"/>
    <w:rsid w:val="00746E80"/>
    <w:rsid w:val="007477E6"/>
    <w:rsid w:val="00751E6A"/>
    <w:rsid w:val="00770DAA"/>
    <w:rsid w:val="00771C2A"/>
    <w:rsid w:val="007851FC"/>
    <w:rsid w:val="00790E8D"/>
    <w:rsid w:val="0079716F"/>
    <w:rsid w:val="007B096A"/>
    <w:rsid w:val="007B3CEA"/>
    <w:rsid w:val="007B5DD8"/>
    <w:rsid w:val="007C1985"/>
    <w:rsid w:val="007D2D0F"/>
    <w:rsid w:val="007E349A"/>
    <w:rsid w:val="007F0929"/>
    <w:rsid w:val="007F5D74"/>
    <w:rsid w:val="0080162B"/>
    <w:rsid w:val="00814623"/>
    <w:rsid w:val="0082195B"/>
    <w:rsid w:val="00825502"/>
    <w:rsid w:val="0084599C"/>
    <w:rsid w:val="00854488"/>
    <w:rsid w:val="008641F1"/>
    <w:rsid w:val="00871D8B"/>
    <w:rsid w:val="0088605A"/>
    <w:rsid w:val="0089267D"/>
    <w:rsid w:val="008A42B6"/>
    <w:rsid w:val="008B5D78"/>
    <w:rsid w:val="008B6A7E"/>
    <w:rsid w:val="008C7044"/>
    <w:rsid w:val="008E02A0"/>
    <w:rsid w:val="008E2417"/>
    <w:rsid w:val="0091281B"/>
    <w:rsid w:val="00912FA9"/>
    <w:rsid w:val="009155EB"/>
    <w:rsid w:val="00927E9C"/>
    <w:rsid w:val="0093219E"/>
    <w:rsid w:val="0093286A"/>
    <w:rsid w:val="0094311A"/>
    <w:rsid w:val="00943436"/>
    <w:rsid w:val="009515BF"/>
    <w:rsid w:val="00952E65"/>
    <w:rsid w:val="00965992"/>
    <w:rsid w:val="009737A2"/>
    <w:rsid w:val="009A1AB5"/>
    <w:rsid w:val="009B624D"/>
    <w:rsid w:val="009E4FCA"/>
    <w:rsid w:val="009E6975"/>
    <w:rsid w:val="009F04E7"/>
    <w:rsid w:val="00A026E1"/>
    <w:rsid w:val="00A04846"/>
    <w:rsid w:val="00A073A6"/>
    <w:rsid w:val="00A3375C"/>
    <w:rsid w:val="00A4224F"/>
    <w:rsid w:val="00A455A6"/>
    <w:rsid w:val="00A52EC4"/>
    <w:rsid w:val="00A537C5"/>
    <w:rsid w:val="00A61439"/>
    <w:rsid w:val="00A638D7"/>
    <w:rsid w:val="00A64B3F"/>
    <w:rsid w:val="00AA1C6F"/>
    <w:rsid w:val="00AB720E"/>
    <w:rsid w:val="00AE1C64"/>
    <w:rsid w:val="00AF10CB"/>
    <w:rsid w:val="00AF50AE"/>
    <w:rsid w:val="00B05319"/>
    <w:rsid w:val="00B10227"/>
    <w:rsid w:val="00B12032"/>
    <w:rsid w:val="00B1415D"/>
    <w:rsid w:val="00B16AB4"/>
    <w:rsid w:val="00B262B3"/>
    <w:rsid w:val="00B35278"/>
    <w:rsid w:val="00B3553C"/>
    <w:rsid w:val="00B4247D"/>
    <w:rsid w:val="00B60B79"/>
    <w:rsid w:val="00B60DC3"/>
    <w:rsid w:val="00B65ACE"/>
    <w:rsid w:val="00B704D8"/>
    <w:rsid w:val="00B70FF8"/>
    <w:rsid w:val="00B72CA8"/>
    <w:rsid w:val="00B9677D"/>
    <w:rsid w:val="00BB6F26"/>
    <w:rsid w:val="00BB7035"/>
    <w:rsid w:val="00BC7885"/>
    <w:rsid w:val="00BD44C8"/>
    <w:rsid w:val="00BD6F68"/>
    <w:rsid w:val="00BD70F5"/>
    <w:rsid w:val="00BE2D21"/>
    <w:rsid w:val="00BE5DE1"/>
    <w:rsid w:val="00BF52EE"/>
    <w:rsid w:val="00C15C24"/>
    <w:rsid w:val="00C32075"/>
    <w:rsid w:val="00C4054D"/>
    <w:rsid w:val="00CC266D"/>
    <w:rsid w:val="00CD4391"/>
    <w:rsid w:val="00CE1EE8"/>
    <w:rsid w:val="00CE4883"/>
    <w:rsid w:val="00D14C94"/>
    <w:rsid w:val="00D31526"/>
    <w:rsid w:val="00D44063"/>
    <w:rsid w:val="00D50881"/>
    <w:rsid w:val="00D511C4"/>
    <w:rsid w:val="00D52485"/>
    <w:rsid w:val="00D66012"/>
    <w:rsid w:val="00D777EC"/>
    <w:rsid w:val="00D77F05"/>
    <w:rsid w:val="00D9164B"/>
    <w:rsid w:val="00DB08E2"/>
    <w:rsid w:val="00DC3E7E"/>
    <w:rsid w:val="00DD5C65"/>
    <w:rsid w:val="00DF523A"/>
    <w:rsid w:val="00DF7833"/>
    <w:rsid w:val="00E0249F"/>
    <w:rsid w:val="00E04833"/>
    <w:rsid w:val="00E447CF"/>
    <w:rsid w:val="00E4527B"/>
    <w:rsid w:val="00E47B9B"/>
    <w:rsid w:val="00E5350D"/>
    <w:rsid w:val="00E60668"/>
    <w:rsid w:val="00E82E3D"/>
    <w:rsid w:val="00E83CAF"/>
    <w:rsid w:val="00E92114"/>
    <w:rsid w:val="00E93CE5"/>
    <w:rsid w:val="00E94140"/>
    <w:rsid w:val="00EB4C77"/>
    <w:rsid w:val="00EC5033"/>
    <w:rsid w:val="00EC62B1"/>
    <w:rsid w:val="00EF0587"/>
    <w:rsid w:val="00EF1419"/>
    <w:rsid w:val="00EF70D8"/>
    <w:rsid w:val="00F13448"/>
    <w:rsid w:val="00F36D9D"/>
    <w:rsid w:val="00F40FDC"/>
    <w:rsid w:val="00F455B3"/>
    <w:rsid w:val="00F5087B"/>
    <w:rsid w:val="00F52D23"/>
    <w:rsid w:val="00F762DC"/>
    <w:rsid w:val="00FB735B"/>
    <w:rsid w:val="00FC6A8A"/>
    <w:rsid w:val="00FD1ACB"/>
    <w:rsid w:val="00FD24AC"/>
    <w:rsid w:val="00FE1C34"/>
    <w:rsid w:val="00FF7A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paragraph" w:styleId="Ttulo1">
    <w:name w:val="heading 1"/>
    <w:basedOn w:val="Normal"/>
    <w:next w:val="Normal"/>
    <w:link w:val="Ttulo1Car"/>
    <w:uiPriority w:val="9"/>
    <w:qFormat/>
    <w:rsid w:val="00F40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E00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aliases w:val="Hipervínculo1,Hipervínculo11,Hipervínculo12,Hipervínculo13,Hipervínculo14,Hipervínculo15"/>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55CF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5CF7"/>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F40FD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E00CE"/>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DD5C65"/>
  </w:style>
  <w:style w:type="table" w:customStyle="1" w:styleId="Tablaconcuadrcula1">
    <w:name w:val="Tabla con cuadrícula1"/>
    <w:basedOn w:val="Tablanormal"/>
    <w:next w:val="Tablaconcuadrcula"/>
    <w:uiPriority w:val="39"/>
    <w:rsid w:val="00DD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37C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237C7"/>
    <w:pPr>
      <w:spacing w:after="0" w:line="240" w:lineRule="auto"/>
    </w:pPr>
    <w:rPr>
      <w:rFonts w:ascii="Arial" w:hAnsi="Arial" w:cs="Arial"/>
      <w:sz w:val="18"/>
      <w:szCs w:val="18"/>
    </w:rPr>
  </w:style>
  <w:style w:type="character" w:customStyle="1" w:styleId="TextodegloboCar">
    <w:name w:val="Texto de globo Car"/>
    <w:basedOn w:val="Fuentedeprrafopredeter"/>
    <w:link w:val="Textodeglobo"/>
    <w:uiPriority w:val="99"/>
    <w:semiHidden/>
    <w:rsid w:val="005237C7"/>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669060863">
      <w:bodyDiv w:val="1"/>
      <w:marLeft w:val="0"/>
      <w:marRight w:val="0"/>
      <w:marTop w:val="0"/>
      <w:marBottom w:val="0"/>
      <w:divBdr>
        <w:top w:val="none" w:sz="0" w:space="0" w:color="auto"/>
        <w:left w:val="none" w:sz="0" w:space="0" w:color="auto"/>
        <w:bottom w:val="none" w:sz="0" w:space="0" w:color="auto"/>
        <w:right w:val="none" w:sz="0" w:space="0" w:color="auto"/>
      </w:divBdr>
    </w:div>
    <w:div w:id="739135156">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318607577">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92815-C205-4805-AD6B-6F78D43B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7266</Words>
  <Characters>39968</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2019-09-19T23:55:00Z</cp:lastPrinted>
  <dcterms:created xsi:type="dcterms:W3CDTF">2019-09-25T22:02:00Z</dcterms:created>
  <dcterms:modified xsi:type="dcterms:W3CDTF">2019-09-25T22:02:00Z</dcterms:modified>
</cp:coreProperties>
</file>