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E" w:rsidRPr="00826796" w:rsidRDefault="000F5E0E" w:rsidP="00826796">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826796">
        <w:rPr>
          <w:rFonts w:ascii="Palatino Linotype" w:eastAsiaTheme="minorEastAsia" w:hAnsi="Palatino Linotype"/>
          <w:b/>
          <w:sz w:val="24"/>
          <w:szCs w:val="24"/>
          <w:lang w:val="es-ES_tradnl" w:eastAsia="es-ES"/>
        </w:rPr>
        <w:t>LÍNEAS ARGUMENTATIVAS</w:t>
      </w:r>
    </w:p>
    <w:p w:rsidR="000F5E0E" w:rsidRDefault="000F5E0E" w:rsidP="00826796">
      <w:pPr>
        <w:spacing w:after="0" w:line="360" w:lineRule="auto"/>
        <w:jc w:val="both"/>
        <w:rPr>
          <w:rFonts w:ascii="Palatino Linotype" w:eastAsia="Arial Unicode MS" w:hAnsi="Palatino Linotype" w:cs="Arial"/>
          <w:sz w:val="24"/>
          <w:szCs w:val="24"/>
          <w:lang w:val="es-ES_tradnl" w:eastAsia="es-ES"/>
        </w:rPr>
      </w:pPr>
      <w:r w:rsidRPr="00826796">
        <w:rPr>
          <w:rFonts w:ascii="Palatino Linotype" w:eastAsia="Arial Unicode MS" w:hAnsi="Palatino Linotype" w:cs="Arial"/>
          <w:b/>
          <w:sz w:val="24"/>
          <w:szCs w:val="24"/>
          <w:lang w:val="es-ES_tradnl" w:eastAsia="es-ES"/>
        </w:rPr>
        <w:t>DEBERES DE LAS AUTORIDADES</w:t>
      </w:r>
      <w:r w:rsidRPr="00826796">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826796" w:rsidRPr="00826796" w:rsidRDefault="00826796" w:rsidP="00826796">
      <w:pPr>
        <w:spacing w:after="0" w:line="360" w:lineRule="auto"/>
        <w:jc w:val="both"/>
        <w:rPr>
          <w:rFonts w:ascii="Palatino Linotype" w:eastAsia="Arial Unicode MS" w:hAnsi="Palatino Linotype" w:cs="Arial"/>
          <w:sz w:val="24"/>
          <w:szCs w:val="24"/>
          <w:lang w:val="es-ES_tradnl" w:eastAsia="es-ES"/>
        </w:rPr>
      </w:pPr>
    </w:p>
    <w:p w:rsidR="000F5E0E" w:rsidRPr="00826796" w:rsidRDefault="000F5E0E" w:rsidP="00826796">
      <w:pPr>
        <w:spacing w:after="0" w:line="360" w:lineRule="auto"/>
        <w:jc w:val="both"/>
        <w:rPr>
          <w:rFonts w:ascii="Palatino Linotype" w:eastAsia="Calibri" w:hAnsi="Palatino Linotype" w:cs="Times New Roman"/>
          <w:sz w:val="24"/>
          <w:szCs w:val="24"/>
          <w:lang w:val="es-ES_tradnl" w:eastAsia="es-ES"/>
        </w:rPr>
      </w:pPr>
      <w:r w:rsidRPr="00826796">
        <w:rPr>
          <w:rFonts w:ascii="Palatino Linotype" w:eastAsia="Calibri" w:hAnsi="Palatino Linotype" w:cs="Times New Roman"/>
          <w:b/>
          <w:sz w:val="24"/>
          <w:szCs w:val="24"/>
          <w:lang w:val="es-ES_tradnl" w:eastAsia="es-ES"/>
        </w:rPr>
        <w:t>DE LA GARANTÍA DE PROPORCIONAR LA INFORMACIÓN PÚBLICA GUBERNAMENTAL.</w:t>
      </w:r>
      <w:r w:rsidRPr="0082679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0F5E0E" w:rsidRPr="00826796" w:rsidRDefault="00826796" w:rsidP="00826796">
      <w:pPr>
        <w:spacing w:before="240" w:after="240" w:line="360" w:lineRule="auto"/>
        <w:ind w:right="-142"/>
        <w:jc w:val="both"/>
        <w:rPr>
          <w:rFonts w:ascii="Palatino Linotype" w:eastAsia="Times New Roman" w:hAnsi="Palatino Linotype" w:cs="Arial"/>
          <w:color w:val="000000"/>
          <w:sz w:val="24"/>
          <w:szCs w:val="24"/>
          <w:lang w:val="es-ES" w:eastAsia="es-MX"/>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48274</wp:posOffset>
                </wp:positionH>
                <wp:positionV relativeFrom="paragraph">
                  <wp:posOffset>116962</wp:posOffset>
                </wp:positionV>
                <wp:extent cx="5476672" cy="4280170"/>
                <wp:effectExtent l="19050" t="19050" r="29210" b="25400"/>
                <wp:wrapNone/>
                <wp:docPr id="5" name="Conector recto 5"/>
                <wp:cNvGraphicFramePr/>
                <a:graphic xmlns:a="http://schemas.openxmlformats.org/drawingml/2006/main">
                  <a:graphicData uri="http://schemas.microsoft.com/office/word/2010/wordprocessingShape">
                    <wps:wsp>
                      <wps:cNvCnPr/>
                      <wps:spPr>
                        <a:xfrm flipH="1" flipV="1">
                          <a:off x="0" y="0"/>
                          <a:ext cx="5476672" cy="42801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EF65F" id="Conector recto 5"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3.8pt,9.2pt" to="435.0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" strokecolor="#5b9bd5 [3204]" strokeweight="3pt">
                <v:stroke joinstyle="miter"/>
              </v:line>
            </w:pict>
          </mc:Fallback>
        </mc:AlternateContent>
      </w:r>
    </w:p>
    <w:p w:rsidR="00413041" w:rsidRPr="00826796" w:rsidRDefault="00413041"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413041" w:rsidRPr="00826796" w:rsidRDefault="00413041"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413041" w:rsidRPr="00826796" w:rsidRDefault="00413041"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413041" w:rsidRPr="00826796" w:rsidRDefault="00413041"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0F5E0E" w:rsidRPr="00826796" w:rsidRDefault="000F5E0E"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0F5E0E" w:rsidRPr="00826796" w:rsidRDefault="000F5E0E" w:rsidP="00826796">
      <w:pPr>
        <w:spacing w:before="240" w:after="240" w:line="360" w:lineRule="auto"/>
        <w:ind w:right="-142"/>
        <w:jc w:val="both"/>
        <w:rPr>
          <w:rFonts w:ascii="Palatino Linotype" w:eastAsia="Times New Roman" w:hAnsi="Palatino Linotype" w:cs="Arial"/>
          <w:color w:val="000000"/>
          <w:sz w:val="24"/>
          <w:szCs w:val="24"/>
          <w:lang w:val="es-ES" w:eastAsia="es-MX"/>
        </w:rPr>
      </w:pPr>
    </w:p>
    <w:p w:rsidR="000F5E0E" w:rsidRPr="00826796" w:rsidRDefault="000F5E0E" w:rsidP="00826796">
      <w:pPr>
        <w:spacing w:before="240" w:after="240" w:line="360" w:lineRule="auto"/>
        <w:ind w:right="-142"/>
        <w:jc w:val="center"/>
        <w:rPr>
          <w:rFonts w:ascii="Palatino Linotype" w:eastAsiaTheme="minorEastAsia" w:hAnsi="Palatino Linotype"/>
          <w:sz w:val="24"/>
          <w:szCs w:val="24"/>
          <w:lang w:val="es-ES_tradnl" w:eastAsia="es-ES"/>
        </w:rPr>
      </w:pPr>
      <w:r w:rsidRPr="00826796">
        <w:rPr>
          <w:rFonts w:ascii="Palatino Linotype" w:eastAsiaTheme="minorEastAsia" w:hAnsi="Palatino Linotype"/>
          <w:b/>
          <w:sz w:val="24"/>
          <w:szCs w:val="24"/>
          <w:lang w:val="es-ES_tradnl" w:eastAsia="es-ES"/>
        </w:rPr>
        <w:lastRenderedPageBreak/>
        <w:t>Índice</w:t>
      </w:r>
      <w:r w:rsidRPr="00826796">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0F5E0E" w:rsidRPr="00826796" w:rsidRDefault="000F5E0E" w:rsidP="00826796">
          <w:pPr>
            <w:keepNext/>
            <w:keepLines/>
            <w:spacing w:before="240" w:after="0" w:line="360" w:lineRule="auto"/>
            <w:ind w:right="-142"/>
            <w:rPr>
              <w:rFonts w:ascii="Palatino Linotype" w:eastAsiaTheme="majorEastAsia" w:hAnsi="Palatino Linotype" w:cstheme="majorBidi"/>
              <w:b/>
              <w:sz w:val="24"/>
              <w:szCs w:val="24"/>
              <w:lang w:eastAsia="es-MX"/>
            </w:rPr>
          </w:pPr>
        </w:p>
        <w:p w:rsidR="00A56A4C" w:rsidRPr="00826796" w:rsidRDefault="000F5E0E" w:rsidP="00826796">
          <w:pPr>
            <w:pStyle w:val="TDC1"/>
            <w:tabs>
              <w:tab w:val="right" w:leader="dot" w:pos="8828"/>
            </w:tabs>
            <w:spacing w:line="360" w:lineRule="auto"/>
            <w:rPr>
              <w:rFonts w:ascii="Palatino Linotype" w:hAnsi="Palatino Linotype"/>
              <w:noProof/>
              <w:sz w:val="24"/>
              <w:szCs w:val="24"/>
            </w:rPr>
          </w:pPr>
          <w:r w:rsidRPr="00826796">
            <w:rPr>
              <w:rFonts w:ascii="Palatino Linotype" w:eastAsiaTheme="minorEastAsia" w:hAnsi="Palatino Linotype"/>
              <w:b/>
              <w:sz w:val="24"/>
              <w:szCs w:val="24"/>
              <w:lang w:val="es-ES_tradnl" w:eastAsia="es-ES"/>
            </w:rPr>
            <w:fldChar w:fldCharType="begin"/>
          </w:r>
          <w:r w:rsidRPr="00826796">
            <w:rPr>
              <w:rFonts w:ascii="Palatino Linotype" w:eastAsiaTheme="minorEastAsia" w:hAnsi="Palatino Linotype"/>
              <w:b/>
              <w:sz w:val="24"/>
              <w:szCs w:val="24"/>
              <w:lang w:val="es-ES_tradnl" w:eastAsia="es-ES"/>
            </w:rPr>
            <w:instrText xml:space="preserve"> TOC \o "1-3" \h \z \u </w:instrText>
          </w:r>
          <w:r w:rsidRPr="00826796">
            <w:rPr>
              <w:rFonts w:ascii="Palatino Linotype" w:eastAsiaTheme="minorEastAsia" w:hAnsi="Palatino Linotype"/>
              <w:b/>
              <w:sz w:val="24"/>
              <w:szCs w:val="24"/>
              <w:lang w:val="es-ES_tradnl" w:eastAsia="es-ES"/>
            </w:rPr>
            <w:fldChar w:fldCharType="separate"/>
          </w:r>
          <w:hyperlink w:anchor="_Toc10735999" w:history="1">
            <w:r w:rsidR="00A56A4C" w:rsidRPr="00826796">
              <w:rPr>
                <w:rStyle w:val="Hipervnculo"/>
                <w:rFonts w:ascii="Palatino Linotype" w:eastAsiaTheme="majorEastAsia" w:hAnsi="Palatino Linotype" w:cstheme="majorBidi"/>
                <w:b/>
                <w:noProof/>
                <w:sz w:val="24"/>
                <w:szCs w:val="24"/>
              </w:rPr>
              <w:t>A N T E C E D E N T E S</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_Toc10735999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3</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00" w:history="1">
            <w:r w:rsidR="00A56A4C" w:rsidRPr="00826796">
              <w:rPr>
                <w:rStyle w:val="Hipervnculo"/>
                <w:rFonts w:ascii="Palatino Linotype" w:eastAsiaTheme="majorEastAsia" w:hAnsi="Palatino Linotype" w:cstheme="majorBidi"/>
                <w:b/>
                <w:noProof/>
                <w:sz w:val="24"/>
                <w:szCs w:val="24"/>
              </w:rPr>
              <w:t>C O N S I D E R A N D O</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_Toc10736000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6</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2"/>
            <w:tabs>
              <w:tab w:val="right" w:leader="dot" w:pos="8828"/>
            </w:tabs>
            <w:spacing w:line="360" w:lineRule="auto"/>
            <w:rPr>
              <w:rFonts w:ascii="Palatino Linotype" w:hAnsi="Palatino Linotype"/>
              <w:noProof/>
              <w:sz w:val="24"/>
              <w:szCs w:val="24"/>
            </w:rPr>
          </w:pPr>
          <w:hyperlink w:anchor="_Toc10736001" w:history="1">
            <w:r w:rsidR="00A56A4C" w:rsidRPr="00826796">
              <w:rPr>
                <w:rStyle w:val="Hipervnculo"/>
                <w:rFonts w:ascii="Palatino Linotype" w:eastAsiaTheme="majorEastAsia" w:hAnsi="Palatino Linotype" w:cstheme="majorBidi"/>
                <w:b/>
                <w:noProof/>
                <w:sz w:val="24"/>
                <w:szCs w:val="24"/>
              </w:rPr>
              <w:t>PRIMERO. De la competencia.</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_Toc10736001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6</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2"/>
            <w:tabs>
              <w:tab w:val="right" w:leader="dot" w:pos="8828"/>
            </w:tabs>
            <w:spacing w:line="360" w:lineRule="auto"/>
            <w:rPr>
              <w:rFonts w:ascii="Palatino Linotype" w:hAnsi="Palatino Linotype"/>
              <w:noProof/>
              <w:sz w:val="24"/>
              <w:szCs w:val="24"/>
            </w:rPr>
          </w:pPr>
          <w:hyperlink w:anchor="_Toc10736002" w:history="1">
            <w:r w:rsidR="00A56A4C" w:rsidRPr="00826796">
              <w:rPr>
                <w:rStyle w:val="Hipervnculo"/>
                <w:rFonts w:ascii="Palatino Linotype" w:eastAsiaTheme="majorEastAsia" w:hAnsi="Palatino Linotype" w:cstheme="majorBidi"/>
                <w:b/>
                <w:noProof/>
                <w:sz w:val="24"/>
                <w:szCs w:val="24"/>
              </w:rPr>
              <w:t>SEGUNDO. De la oportunidad y procedencia.</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_Toc10736002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6</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03" w:history="1">
            <w:r w:rsidR="00A56A4C" w:rsidRPr="00826796">
              <w:rPr>
                <w:rStyle w:val="Hipervnculo"/>
                <w:rFonts w:ascii="Palatino Linotype" w:eastAsia="MS Mincho" w:hAnsi="Palatino Linotype" w:cstheme="majorBidi"/>
                <w:b/>
                <w:noProof/>
                <w:sz w:val="24"/>
                <w:szCs w:val="24"/>
                <w:lang w:val="es-ES_tradnl" w:eastAsia="es-ES"/>
              </w:rPr>
              <w:t>TERCERO. Del planteamiento de la Litis.</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_Toc10736003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10</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04" w:history="1">
            <w:r w:rsidR="00A56A4C" w:rsidRPr="00826796">
              <w:rPr>
                <w:rStyle w:val="Hipervnculo"/>
                <w:rFonts w:ascii="Palatino Linotype" w:eastAsia="MS Gothic" w:hAnsi="Palatino Linotype" w:cstheme="majorBidi"/>
                <w:b/>
                <w:noProof/>
                <w:sz w:val="24"/>
                <w:szCs w:val="24"/>
                <w:lang w:val="es-ES_tradnl" w:eastAsia="es-ES"/>
              </w:rPr>
              <w:t>CUARTO. Del estudio y resolución del recurso de revisión.</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_Toc10736004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12</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left" w:pos="440"/>
              <w:tab w:val="right" w:leader="dot" w:pos="8828"/>
            </w:tabs>
            <w:spacing w:line="360" w:lineRule="auto"/>
            <w:rPr>
              <w:rFonts w:ascii="Palatino Linotype" w:hAnsi="Palatino Linotype"/>
              <w:noProof/>
              <w:sz w:val="24"/>
              <w:szCs w:val="24"/>
            </w:rPr>
          </w:pPr>
          <w:hyperlink w:anchor="_Toc10736005" w:history="1">
            <w:r w:rsidR="00A56A4C" w:rsidRPr="00826796">
              <w:rPr>
                <w:rStyle w:val="Hipervnculo"/>
                <w:rFonts w:ascii="Palatino Linotype" w:hAnsi="Palatino Linotype"/>
                <w:b/>
                <w:i/>
                <w:noProof/>
                <w:sz w:val="24"/>
                <w:szCs w:val="24"/>
                <w:lang w:val="es-ES_tradnl" w:eastAsia="es-MX"/>
              </w:rPr>
              <w:t>I.</w:t>
            </w:r>
            <w:r w:rsidR="00A56A4C" w:rsidRPr="00826796">
              <w:rPr>
                <w:rFonts w:ascii="Palatino Linotype" w:hAnsi="Palatino Linotype"/>
                <w:noProof/>
                <w:sz w:val="24"/>
                <w:szCs w:val="24"/>
              </w:rPr>
              <w:tab/>
            </w:r>
            <w:r w:rsidR="00A56A4C" w:rsidRPr="00826796">
              <w:rPr>
                <w:rStyle w:val="Hipervnculo"/>
                <w:rFonts w:ascii="Palatino Linotype" w:eastAsia="MS Gothic" w:hAnsi="Palatino Linotype" w:cstheme="majorBidi"/>
                <w:b/>
                <w:i/>
                <w:noProof/>
                <w:sz w:val="24"/>
                <w:szCs w:val="24"/>
              </w:rPr>
              <w:t>El derecho de acceso a la información publica</w:t>
            </w:r>
            <w:r w:rsidR="00A56A4C" w:rsidRPr="00826796">
              <w:rPr>
                <w:rStyle w:val="Hipervnculo"/>
                <w:rFonts w:ascii="Palatino Linotype" w:eastAsia="MS Mincho" w:hAnsi="Palatino Linotype" w:cs="Arial"/>
                <w:b/>
                <w:i/>
                <w:noProof/>
                <w:sz w:val="24"/>
                <w:szCs w:val="24"/>
                <w:lang w:val="es-ES_tradnl" w:eastAsia="es-MX"/>
              </w:rPr>
              <w:t>.</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_Toc10736005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12</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2"/>
            <w:tabs>
              <w:tab w:val="right" w:leader="dot" w:pos="8828"/>
            </w:tabs>
            <w:spacing w:line="360" w:lineRule="auto"/>
            <w:rPr>
              <w:rFonts w:ascii="Palatino Linotype" w:hAnsi="Palatino Linotype"/>
              <w:noProof/>
              <w:sz w:val="24"/>
              <w:szCs w:val="24"/>
            </w:rPr>
          </w:pPr>
          <w:hyperlink w:anchor="_Toc10736006" w:history="1">
            <w:r w:rsidR="00A56A4C" w:rsidRPr="00826796">
              <w:rPr>
                <w:rStyle w:val="Hipervnculo"/>
                <w:rFonts w:ascii="Palatino Linotype" w:eastAsia="MS Mincho" w:hAnsi="Palatino Linotype" w:cstheme="majorBidi"/>
                <w:b/>
                <w:i/>
                <w:noProof/>
                <w:sz w:val="24"/>
                <w:szCs w:val="24"/>
                <w:lang w:val="es-ES_tradnl" w:eastAsia="es-ES"/>
              </w:rPr>
              <w:t>II. De la fuente obligacional del Sujeto Obligado.</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_Toc10736006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14</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left" w:pos="440"/>
              <w:tab w:val="right" w:leader="dot" w:pos="8828"/>
            </w:tabs>
            <w:spacing w:line="360" w:lineRule="auto"/>
            <w:rPr>
              <w:rFonts w:ascii="Palatino Linotype" w:hAnsi="Palatino Linotype"/>
              <w:noProof/>
              <w:sz w:val="24"/>
              <w:szCs w:val="24"/>
            </w:rPr>
          </w:pPr>
          <w:hyperlink w:anchor="_Toc10736007" w:history="1">
            <w:r w:rsidR="00A56A4C" w:rsidRPr="00826796">
              <w:rPr>
                <w:rStyle w:val="Hipervnculo"/>
                <w:rFonts w:ascii="Palatino Linotype" w:eastAsia="MS Mincho" w:hAnsi="Palatino Linotype"/>
                <w:b/>
                <w:i/>
                <w:noProof/>
                <w:sz w:val="24"/>
                <w:szCs w:val="24"/>
                <w:lang w:val="es-ES_tradnl" w:eastAsia="es-ES"/>
              </w:rPr>
              <w:t>a)</w:t>
            </w:r>
            <w:r w:rsidR="00A56A4C" w:rsidRPr="00826796">
              <w:rPr>
                <w:rFonts w:ascii="Palatino Linotype" w:hAnsi="Palatino Linotype"/>
                <w:noProof/>
                <w:sz w:val="24"/>
                <w:szCs w:val="24"/>
              </w:rPr>
              <w:tab/>
            </w:r>
            <w:r w:rsidR="00A56A4C" w:rsidRPr="00826796">
              <w:rPr>
                <w:rStyle w:val="Hipervnculo"/>
                <w:rFonts w:ascii="Palatino Linotype" w:eastAsia="MS Mincho" w:hAnsi="Palatino Linotype"/>
                <w:b/>
                <w:i/>
                <w:noProof/>
                <w:sz w:val="24"/>
                <w:szCs w:val="24"/>
                <w:lang w:val="es-ES_tradnl" w:eastAsia="es-ES"/>
              </w:rPr>
              <w:t>De la Nómina.</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_Toc10736007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20</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08" w:history="1">
            <w:r w:rsidR="00A56A4C" w:rsidRPr="00826796">
              <w:rPr>
                <w:rStyle w:val="Hipervnculo"/>
                <w:rFonts w:ascii="Palatino Linotype" w:eastAsia="MS Gothic" w:hAnsi="Palatino Linotype" w:cstheme="majorBidi"/>
                <w:b/>
                <w:noProof/>
                <w:sz w:val="24"/>
                <w:szCs w:val="24"/>
                <w:lang w:val="es-ES_tradnl"/>
              </w:rPr>
              <w:t>QUINTO. De la Versión Pública</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_Toc10736008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28</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09" w:history="1">
            <w:r w:rsidR="00A56A4C" w:rsidRPr="00826796">
              <w:rPr>
                <w:rStyle w:val="Hipervnculo"/>
                <w:rFonts w:ascii="Palatino Linotype" w:eastAsia="MS Gothic" w:hAnsi="Palatino Linotype" w:cstheme="majorBidi"/>
                <w:b/>
                <w:noProof/>
                <w:sz w:val="24"/>
                <w:szCs w:val="24"/>
                <w:lang w:val="es-ES_tradnl"/>
              </w:rPr>
              <w:t>SEXTO. Vista a los órganos de control interno.</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_Toc10736009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51</w:t>
            </w:r>
            <w:r w:rsidR="00A56A4C" w:rsidRPr="00826796">
              <w:rPr>
                <w:rFonts w:ascii="Palatino Linotype" w:hAnsi="Palatino Linotype"/>
                <w:noProof/>
                <w:webHidden/>
                <w:sz w:val="24"/>
                <w:szCs w:val="24"/>
              </w:rPr>
              <w:fldChar w:fldCharType="end"/>
            </w:r>
          </w:hyperlink>
        </w:p>
        <w:p w:rsidR="00A56A4C" w:rsidRPr="00826796" w:rsidRDefault="00C51024" w:rsidP="00826796">
          <w:pPr>
            <w:pStyle w:val="TDC1"/>
            <w:tabs>
              <w:tab w:val="right" w:leader="dot" w:pos="8828"/>
            </w:tabs>
            <w:spacing w:line="360" w:lineRule="auto"/>
            <w:rPr>
              <w:rFonts w:ascii="Palatino Linotype" w:hAnsi="Palatino Linotype"/>
              <w:noProof/>
              <w:sz w:val="24"/>
              <w:szCs w:val="24"/>
            </w:rPr>
          </w:pPr>
          <w:hyperlink w:anchor="_Toc10736010" w:history="1">
            <w:r w:rsidR="00A56A4C" w:rsidRPr="00826796">
              <w:rPr>
                <w:rStyle w:val="Hipervnculo"/>
                <w:rFonts w:ascii="Palatino Linotype" w:eastAsia="Calibri" w:hAnsi="Palatino Linotype" w:cstheme="majorBidi"/>
                <w:b/>
                <w:noProof/>
                <w:sz w:val="24"/>
                <w:szCs w:val="24"/>
                <w:lang w:val="es-ES" w:eastAsia="es-ES"/>
              </w:rPr>
              <w:t>R E S O L U T I V O S</w:t>
            </w:r>
            <w:r w:rsidR="00A56A4C" w:rsidRPr="00826796">
              <w:rPr>
                <w:rFonts w:ascii="Palatino Linotype" w:hAnsi="Palatino Linotype"/>
                <w:noProof/>
                <w:webHidden/>
                <w:sz w:val="24"/>
                <w:szCs w:val="24"/>
              </w:rPr>
              <w:tab/>
            </w:r>
            <w:r w:rsidR="00A56A4C" w:rsidRPr="00826796">
              <w:rPr>
                <w:rFonts w:ascii="Palatino Linotype" w:hAnsi="Palatino Linotype"/>
                <w:noProof/>
                <w:webHidden/>
                <w:sz w:val="24"/>
                <w:szCs w:val="24"/>
              </w:rPr>
              <w:fldChar w:fldCharType="begin"/>
            </w:r>
            <w:r w:rsidR="00A56A4C" w:rsidRPr="00826796">
              <w:rPr>
                <w:rFonts w:ascii="Palatino Linotype" w:hAnsi="Palatino Linotype"/>
                <w:noProof/>
                <w:webHidden/>
                <w:sz w:val="24"/>
                <w:szCs w:val="24"/>
              </w:rPr>
              <w:instrText xml:space="preserve"> PAGEREF _Toc10736010 \h </w:instrText>
            </w:r>
            <w:r w:rsidR="00A56A4C" w:rsidRPr="00826796">
              <w:rPr>
                <w:rFonts w:ascii="Palatino Linotype" w:hAnsi="Palatino Linotype"/>
                <w:noProof/>
                <w:webHidden/>
                <w:sz w:val="24"/>
                <w:szCs w:val="24"/>
              </w:rPr>
            </w:r>
            <w:r w:rsidR="00A56A4C" w:rsidRPr="00826796">
              <w:rPr>
                <w:rFonts w:ascii="Palatino Linotype" w:hAnsi="Palatino Linotype"/>
                <w:noProof/>
                <w:webHidden/>
                <w:sz w:val="24"/>
                <w:szCs w:val="24"/>
              </w:rPr>
              <w:fldChar w:fldCharType="separate"/>
            </w:r>
            <w:r w:rsidR="00F553B7">
              <w:rPr>
                <w:rFonts w:ascii="Palatino Linotype" w:hAnsi="Palatino Linotype"/>
                <w:noProof/>
                <w:webHidden/>
                <w:sz w:val="24"/>
                <w:szCs w:val="24"/>
              </w:rPr>
              <w:t>55</w:t>
            </w:r>
            <w:r w:rsidR="00A56A4C" w:rsidRPr="00826796">
              <w:rPr>
                <w:rFonts w:ascii="Palatino Linotype" w:hAnsi="Palatino Linotype"/>
                <w:noProof/>
                <w:webHidden/>
                <w:sz w:val="24"/>
                <w:szCs w:val="24"/>
              </w:rPr>
              <w:fldChar w:fldCharType="end"/>
            </w:r>
          </w:hyperlink>
        </w:p>
        <w:p w:rsidR="000F5E0E" w:rsidRPr="00826796" w:rsidRDefault="00826796" w:rsidP="00826796">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7456" behindDoc="0" locked="0" layoutInCell="1" allowOverlap="1">
                    <wp:simplePos x="0" y="0"/>
                    <wp:positionH relativeFrom="margin">
                      <wp:posOffset>-366</wp:posOffset>
                    </wp:positionH>
                    <wp:positionV relativeFrom="paragraph">
                      <wp:posOffset>102356</wp:posOffset>
                    </wp:positionV>
                    <wp:extent cx="5563641" cy="2275664"/>
                    <wp:effectExtent l="19050" t="19050" r="18415" b="29845"/>
                    <wp:wrapNone/>
                    <wp:docPr id="8" name="Conector recto 8"/>
                    <wp:cNvGraphicFramePr/>
                    <a:graphic xmlns:a="http://schemas.openxmlformats.org/drawingml/2006/main">
                      <a:graphicData uri="http://schemas.microsoft.com/office/word/2010/wordprocessingShape">
                        <wps:wsp>
                          <wps:cNvCnPr/>
                          <wps:spPr>
                            <a:xfrm flipH="1" flipV="1">
                              <a:off x="0" y="0"/>
                              <a:ext cx="5563641" cy="227566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965F7" id="Conector recto 8" o:spid="_x0000_s1026" style="position:absolute;flip:x 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8.05pt" to="438.05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" strokecolor="#5b9bd5 [3204]" strokeweight="3pt">
                    <v:stroke joinstyle="miter"/>
                    <w10:wrap anchorx="margin"/>
                  </v:line>
                </w:pict>
              </mc:Fallback>
            </mc:AlternateContent>
          </w:r>
          <w:r w:rsidR="000F5E0E" w:rsidRPr="00826796">
            <w:rPr>
              <w:rFonts w:ascii="Palatino Linotype" w:eastAsiaTheme="minorEastAsia" w:hAnsi="Palatino Linotype"/>
              <w:b/>
              <w:bCs/>
              <w:sz w:val="24"/>
              <w:szCs w:val="24"/>
              <w:lang w:val="es-ES" w:eastAsia="es-ES"/>
            </w:rPr>
            <w:fldChar w:fldCharType="end"/>
          </w:r>
        </w:p>
      </w:sdtContent>
    </w:sdt>
    <w:p w:rsidR="000F5E0E" w:rsidRPr="00826796" w:rsidRDefault="000F5E0E" w:rsidP="00826796">
      <w:pPr>
        <w:spacing w:before="240" w:after="240" w:line="360" w:lineRule="auto"/>
        <w:jc w:val="both"/>
        <w:rPr>
          <w:rFonts w:ascii="Palatino Linotype" w:eastAsiaTheme="minorEastAsia" w:hAnsi="Palatino Linotype"/>
          <w:sz w:val="24"/>
          <w:szCs w:val="24"/>
          <w:lang w:val="es-ES_tradnl" w:eastAsia="es-ES"/>
        </w:rPr>
      </w:pPr>
    </w:p>
    <w:p w:rsidR="000F5E0E" w:rsidRPr="00826796" w:rsidRDefault="000F5E0E" w:rsidP="00826796">
      <w:pPr>
        <w:spacing w:before="240" w:after="240" w:line="360" w:lineRule="auto"/>
        <w:jc w:val="both"/>
        <w:rPr>
          <w:rFonts w:ascii="Palatino Linotype" w:eastAsiaTheme="minorEastAsia" w:hAnsi="Palatino Linotype"/>
          <w:sz w:val="24"/>
          <w:szCs w:val="24"/>
          <w:lang w:val="es-ES_tradnl" w:eastAsia="es-ES"/>
        </w:rPr>
      </w:pPr>
    </w:p>
    <w:p w:rsidR="000F5E0E" w:rsidRPr="00826796" w:rsidRDefault="000F5E0E" w:rsidP="00826796">
      <w:pPr>
        <w:spacing w:before="240" w:after="240" w:line="360" w:lineRule="auto"/>
        <w:jc w:val="both"/>
        <w:rPr>
          <w:rFonts w:ascii="Palatino Linotype" w:eastAsiaTheme="minorEastAsia" w:hAnsi="Palatino Linotype"/>
          <w:sz w:val="24"/>
          <w:szCs w:val="24"/>
          <w:lang w:val="es-ES_tradnl" w:eastAsia="es-ES"/>
        </w:rPr>
      </w:pPr>
      <w:r w:rsidRPr="0082679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w:t>
      </w:r>
      <w:r w:rsidR="00826796">
        <w:rPr>
          <w:rFonts w:ascii="Palatino Linotype" w:eastAsiaTheme="minorEastAsia" w:hAnsi="Palatino Linotype"/>
          <w:sz w:val="24"/>
          <w:szCs w:val="24"/>
          <w:lang w:val="es-ES_tradnl" w:eastAsia="es-ES"/>
        </w:rPr>
        <w:t xml:space="preserve">stado de México; de fecha doce (12) de junio </w:t>
      </w:r>
      <w:r w:rsidRPr="00826796">
        <w:rPr>
          <w:rFonts w:ascii="Palatino Linotype" w:eastAsiaTheme="minorEastAsia" w:hAnsi="Palatino Linotype"/>
          <w:sz w:val="24"/>
          <w:szCs w:val="24"/>
          <w:lang w:val="es-ES_tradnl" w:eastAsia="es-ES"/>
        </w:rPr>
        <w:t>de dos mil diecinueve.</w:t>
      </w:r>
    </w:p>
    <w:p w:rsidR="000F5E0E" w:rsidRPr="00826796" w:rsidRDefault="000F5E0E" w:rsidP="00826796">
      <w:pPr>
        <w:spacing w:before="240" w:after="360" w:line="360" w:lineRule="auto"/>
        <w:jc w:val="both"/>
        <w:rPr>
          <w:rFonts w:ascii="Palatino Linotype" w:eastAsiaTheme="minorEastAsia" w:hAnsi="Palatino Linotype"/>
          <w:sz w:val="24"/>
          <w:szCs w:val="24"/>
          <w:lang w:val="es-ES_tradnl" w:eastAsia="es-ES"/>
        </w:rPr>
      </w:pPr>
      <w:r w:rsidRPr="00826796">
        <w:rPr>
          <w:rFonts w:ascii="Palatino Linotype" w:eastAsiaTheme="minorEastAsia" w:hAnsi="Palatino Linotype"/>
          <w:b/>
          <w:sz w:val="24"/>
          <w:szCs w:val="24"/>
          <w:lang w:val="es-ES_tradnl" w:eastAsia="es-ES"/>
        </w:rPr>
        <w:t>VISTO</w:t>
      </w:r>
      <w:r w:rsidRPr="00826796">
        <w:rPr>
          <w:rFonts w:ascii="Palatino Linotype" w:eastAsiaTheme="minorEastAsia" w:hAnsi="Palatino Linotype"/>
          <w:sz w:val="24"/>
          <w:szCs w:val="24"/>
          <w:lang w:val="es-ES_tradnl" w:eastAsia="es-ES"/>
        </w:rPr>
        <w:t xml:space="preserve"> el expediente electrónico formado con motivo del recurso de revisión </w:t>
      </w:r>
      <w:r w:rsidR="006C1483" w:rsidRPr="00826796">
        <w:rPr>
          <w:rFonts w:ascii="Palatino Linotype" w:eastAsiaTheme="minorEastAsia" w:hAnsi="Palatino Linotype" w:cs="Arial"/>
          <w:b/>
          <w:bCs/>
          <w:sz w:val="24"/>
          <w:szCs w:val="24"/>
          <w:lang w:val="es-ES_tradnl" w:eastAsia="es-ES"/>
        </w:rPr>
        <w:t>02293</w:t>
      </w:r>
      <w:r w:rsidRPr="00826796">
        <w:rPr>
          <w:rFonts w:ascii="Palatino Linotype" w:eastAsiaTheme="minorEastAsia" w:hAnsi="Palatino Linotype" w:cs="Arial"/>
          <w:b/>
          <w:bCs/>
          <w:sz w:val="24"/>
          <w:szCs w:val="24"/>
          <w:lang w:val="es-ES_tradnl" w:eastAsia="es-ES"/>
        </w:rPr>
        <w:t xml:space="preserve">/INFOEM/IP/RR/2019 </w:t>
      </w:r>
      <w:r w:rsidRPr="00826796">
        <w:rPr>
          <w:rFonts w:ascii="Palatino Linotype" w:eastAsiaTheme="minorEastAsia" w:hAnsi="Palatino Linotype"/>
          <w:sz w:val="24"/>
          <w:szCs w:val="24"/>
          <w:lang w:val="es-ES_tradnl" w:eastAsia="es-ES"/>
        </w:rPr>
        <w:t>promovido por</w:t>
      </w:r>
      <w:r w:rsidR="006C1483" w:rsidRPr="00826796">
        <w:rPr>
          <w:rFonts w:ascii="Palatino Linotype" w:eastAsiaTheme="minorEastAsia" w:hAnsi="Palatino Linotype"/>
          <w:sz w:val="24"/>
          <w:szCs w:val="24"/>
          <w:lang w:val="es-ES_tradnl" w:eastAsia="es-ES"/>
        </w:rPr>
        <w:t xml:space="preserve"> </w:t>
      </w:r>
      <w:r w:rsidR="00BF277F" w:rsidRPr="00BF277F">
        <w:rPr>
          <w:rFonts w:ascii="Palatino Linotype" w:eastAsiaTheme="minorEastAsia" w:hAnsi="Palatino Linotype"/>
          <w:b/>
          <w:sz w:val="24"/>
          <w:szCs w:val="24"/>
          <w:highlight w:val="black"/>
          <w:lang w:val="es-ES_tradnl" w:eastAsia="es-ES"/>
        </w:rPr>
        <w:t>-------------------------------</w:t>
      </w:r>
      <w:r w:rsidRPr="00826796">
        <w:rPr>
          <w:rFonts w:ascii="Palatino Linotype" w:eastAsiaTheme="minorEastAsia" w:hAnsi="Palatino Linotype"/>
          <w:b/>
          <w:sz w:val="24"/>
          <w:szCs w:val="24"/>
          <w:lang w:val="es-ES_tradnl" w:eastAsia="es-ES"/>
        </w:rPr>
        <w:t xml:space="preserve">, </w:t>
      </w:r>
      <w:r w:rsidRPr="00826796">
        <w:rPr>
          <w:rFonts w:ascii="Palatino Linotype" w:eastAsiaTheme="minorEastAsia" w:hAnsi="Palatino Linotype" w:cs="Arial"/>
          <w:sz w:val="24"/>
          <w:szCs w:val="24"/>
          <w:lang w:val="es-ES_tradnl" w:eastAsia="es-ES"/>
        </w:rPr>
        <w:t xml:space="preserve">en su calidad de </w:t>
      </w:r>
      <w:r w:rsidRPr="00826796">
        <w:rPr>
          <w:rFonts w:ascii="Palatino Linotype" w:eastAsiaTheme="minorEastAsia" w:hAnsi="Palatino Linotype" w:cs="Arial"/>
          <w:b/>
          <w:sz w:val="24"/>
          <w:szCs w:val="24"/>
          <w:lang w:val="es-ES_tradnl" w:eastAsia="es-ES"/>
        </w:rPr>
        <w:t>RECURRENTE</w:t>
      </w:r>
      <w:r w:rsidRPr="00826796">
        <w:rPr>
          <w:rFonts w:ascii="Palatino Linotype" w:eastAsiaTheme="minorEastAsia" w:hAnsi="Palatino Linotype" w:cs="Arial"/>
          <w:sz w:val="24"/>
          <w:szCs w:val="24"/>
          <w:lang w:val="es-ES_tradnl" w:eastAsia="es-ES"/>
        </w:rPr>
        <w:t>, en contra de la</w:t>
      </w:r>
      <w:r w:rsidR="006C1483" w:rsidRPr="00826796">
        <w:rPr>
          <w:rFonts w:ascii="Palatino Linotype" w:eastAsiaTheme="minorEastAsia" w:hAnsi="Palatino Linotype" w:cs="Arial"/>
          <w:sz w:val="24"/>
          <w:szCs w:val="24"/>
          <w:lang w:val="es-ES_tradnl" w:eastAsia="es-ES"/>
        </w:rPr>
        <w:t xml:space="preserve"> falta de</w:t>
      </w:r>
      <w:r w:rsidRPr="00826796">
        <w:rPr>
          <w:rFonts w:ascii="Palatino Linotype" w:eastAsiaTheme="minorEastAsia" w:hAnsi="Palatino Linotype" w:cs="Arial"/>
          <w:sz w:val="24"/>
          <w:szCs w:val="24"/>
          <w:lang w:val="es-ES_tradnl" w:eastAsia="es-ES"/>
        </w:rPr>
        <w:t xml:space="preserve"> respuesta del </w:t>
      </w:r>
      <w:r w:rsidRPr="00826796">
        <w:rPr>
          <w:rFonts w:ascii="Palatino Linotype" w:eastAsiaTheme="minorEastAsia" w:hAnsi="Palatino Linotype" w:cs="Arial"/>
          <w:b/>
          <w:sz w:val="24"/>
          <w:szCs w:val="24"/>
          <w:lang w:val="es-ES_tradnl" w:eastAsia="es-ES"/>
        </w:rPr>
        <w:t xml:space="preserve">Ayuntamiento de </w:t>
      </w:r>
      <w:r w:rsidR="006C1483" w:rsidRPr="00826796">
        <w:rPr>
          <w:rFonts w:ascii="Palatino Linotype" w:eastAsiaTheme="minorEastAsia" w:hAnsi="Palatino Linotype" w:cs="Arial"/>
          <w:b/>
          <w:sz w:val="24"/>
          <w:szCs w:val="24"/>
          <w:lang w:val="es-ES_tradnl" w:eastAsia="es-ES"/>
        </w:rPr>
        <w:t xml:space="preserve">Tecámac, </w:t>
      </w:r>
      <w:r w:rsidRPr="00826796">
        <w:rPr>
          <w:rFonts w:ascii="Palatino Linotype" w:eastAsiaTheme="minorEastAsia" w:hAnsi="Palatino Linotype"/>
          <w:sz w:val="24"/>
          <w:szCs w:val="24"/>
          <w:lang w:val="es-ES_tradnl" w:eastAsia="es-ES"/>
        </w:rPr>
        <w:t>en lo sucesivo el</w:t>
      </w:r>
      <w:r w:rsidRPr="00826796">
        <w:rPr>
          <w:rFonts w:ascii="Palatino Linotype" w:eastAsiaTheme="minorEastAsia" w:hAnsi="Palatino Linotype"/>
          <w:b/>
          <w:sz w:val="24"/>
          <w:szCs w:val="24"/>
          <w:lang w:val="es-ES_tradnl" w:eastAsia="es-ES"/>
        </w:rPr>
        <w:t xml:space="preserve"> SUJETO OBLIGADO, </w:t>
      </w:r>
      <w:r w:rsidRPr="00826796">
        <w:rPr>
          <w:rFonts w:ascii="Palatino Linotype" w:eastAsiaTheme="minorEastAsia" w:hAnsi="Palatino Linotype"/>
          <w:sz w:val="24"/>
          <w:szCs w:val="24"/>
          <w:lang w:val="es-ES_tradnl" w:eastAsia="es-ES"/>
        </w:rPr>
        <w:t xml:space="preserve">se procede a dictar la presente resolución, con base en los siguientes: </w:t>
      </w:r>
    </w:p>
    <w:p w:rsidR="000F5E0E" w:rsidRPr="00826796" w:rsidRDefault="000F5E0E" w:rsidP="0082679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1" w:name="_Toc10735999"/>
      <w:r w:rsidRPr="00826796">
        <w:rPr>
          <w:rFonts w:ascii="Palatino Linotype" w:eastAsiaTheme="majorEastAsia" w:hAnsi="Palatino Linotype" w:cstheme="majorBidi"/>
          <w:b/>
          <w:sz w:val="24"/>
          <w:szCs w:val="24"/>
        </w:rPr>
        <w:t>A N T E C E D E N T E S</w:t>
      </w:r>
      <w:bookmarkEnd w:id="1"/>
    </w:p>
    <w:p w:rsidR="000F5E0E" w:rsidRPr="00826796" w:rsidRDefault="000F5E0E" w:rsidP="00826796">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0F5E0E" w:rsidRPr="00826796" w:rsidRDefault="000F5E0E" w:rsidP="00826796">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26796">
        <w:rPr>
          <w:rFonts w:ascii="Palatino Linotype" w:eastAsia="Calibri" w:hAnsi="Palatino Linotype" w:cs="Arial"/>
          <w:sz w:val="24"/>
          <w:szCs w:val="24"/>
          <w:lang w:val="es-ES" w:eastAsia="es-ES"/>
        </w:rPr>
        <w:t xml:space="preserve">El día </w:t>
      </w:r>
      <w:r w:rsidR="006C1483" w:rsidRPr="00826796">
        <w:rPr>
          <w:rFonts w:ascii="Palatino Linotype" w:eastAsia="Calibri" w:hAnsi="Palatino Linotype" w:cs="Arial"/>
          <w:b/>
          <w:sz w:val="24"/>
          <w:szCs w:val="24"/>
          <w:lang w:val="es-ES" w:eastAsia="es-ES"/>
        </w:rPr>
        <w:t>doce (12) de marzo</w:t>
      </w:r>
      <w:r w:rsidRPr="00826796">
        <w:rPr>
          <w:rFonts w:ascii="Palatino Linotype" w:eastAsia="Calibri" w:hAnsi="Palatino Linotype" w:cs="Arial"/>
          <w:sz w:val="24"/>
          <w:szCs w:val="24"/>
          <w:lang w:val="es-ES" w:eastAsia="es-ES"/>
        </w:rPr>
        <w:t xml:space="preserve"> de dos mil diecinueve,</w:t>
      </w:r>
      <w:r w:rsidRPr="00826796">
        <w:rPr>
          <w:rFonts w:ascii="Palatino Linotype" w:eastAsia="Calibri" w:hAnsi="Palatino Linotype" w:cs="Times New Roman"/>
          <w:sz w:val="24"/>
          <w:szCs w:val="24"/>
          <w:lang w:val="es-ES" w:eastAsia="es-ES"/>
        </w:rPr>
        <w:t xml:space="preserve"> se</w:t>
      </w:r>
      <w:r w:rsidRPr="00826796">
        <w:rPr>
          <w:rFonts w:ascii="Palatino Linotype" w:eastAsiaTheme="minorEastAsia" w:hAnsi="Palatino Linotype"/>
          <w:b/>
          <w:sz w:val="24"/>
          <w:szCs w:val="24"/>
          <w:lang w:val="es-ES_tradnl" w:eastAsia="es-ES"/>
        </w:rPr>
        <w:t xml:space="preserve"> </w:t>
      </w:r>
      <w:r w:rsidRPr="00826796">
        <w:rPr>
          <w:rFonts w:ascii="Palatino Linotype" w:eastAsiaTheme="minorEastAsia" w:hAnsi="Palatino Linotype"/>
          <w:sz w:val="24"/>
          <w:szCs w:val="24"/>
          <w:lang w:val="es-ES_tradnl" w:eastAsia="es-ES"/>
        </w:rPr>
        <w:t xml:space="preserve">presentó </w:t>
      </w:r>
      <w:r w:rsidRPr="00826796">
        <w:rPr>
          <w:rFonts w:ascii="Palatino Linotype" w:eastAsia="Calibri" w:hAnsi="Palatino Linotype" w:cs="Arial"/>
          <w:sz w:val="24"/>
          <w:szCs w:val="24"/>
          <w:lang w:val="es-ES" w:eastAsia="es-ES"/>
        </w:rPr>
        <w:t xml:space="preserve">ante el </w:t>
      </w:r>
      <w:r w:rsidRPr="00826796">
        <w:rPr>
          <w:rFonts w:ascii="Palatino Linotype" w:eastAsia="Calibri" w:hAnsi="Palatino Linotype" w:cs="Arial"/>
          <w:b/>
          <w:sz w:val="24"/>
          <w:szCs w:val="24"/>
          <w:lang w:val="es-ES" w:eastAsia="es-ES"/>
        </w:rPr>
        <w:t>SUJETO OBLIGADO,</w:t>
      </w:r>
      <w:r w:rsidRPr="00826796">
        <w:rPr>
          <w:rFonts w:ascii="Palatino Linotype" w:eastAsia="Calibri" w:hAnsi="Palatino Linotype" w:cs="Arial"/>
          <w:sz w:val="24"/>
          <w:szCs w:val="24"/>
          <w:lang w:val="es-ES_tradnl" w:eastAsia="es-ES"/>
        </w:rPr>
        <w:t xml:space="preserve"> vía </w:t>
      </w:r>
      <w:r w:rsidRPr="00826796">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6C1483" w:rsidRPr="00826796">
        <w:rPr>
          <w:rFonts w:ascii="Palatino Linotype" w:eastAsia="Times New Roman" w:hAnsi="Palatino Linotype" w:cs="Arial"/>
          <w:b/>
          <w:sz w:val="24"/>
          <w:szCs w:val="24"/>
          <w:lang w:val="es-ES" w:eastAsia="es-ES"/>
        </w:rPr>
        <w:t>00260/TECAMAC</w:t>
      </w:r>
      <w:r w:rsidRPr="00826796">
        <w:rPr>
          <w:rFonts w:ascii="Palatino Linotype" w:eastAsia="Times New Roman" w:hAnsi="Palatino Linotype" w:cs="Arial"/>
          <w:b/>
          <w:sz w:val="24"/>
          <w:szCs w:val="24"/>
          <w:lang w:val="es-ES" w:eastAsia="es-ES"/>
        </w:rPr>
        <w:t>/IP/2019</w:t>
      </w:r>
      <w:r w:rsidRPr="00826796">
        <w:rPr>
          <w:rFonts w:ascii="Palatino Linotype" w:eastAsia="Calibri" w:hAnsi="Palatino Linotype" w:cs="Arial"/>
          <w:sz w:val="24"/>
          <w:szCs w:val="24"/>
          <w:lang w:val="es-ES" w:eastAsia="es-ES"/>
        </w:rPr>
        <w:t>, mediante la cual se requirió:</w:t>
      </w:r>
    </w:p>
    <w:p w:rsidR="000F5E0E" w:rsidRPr="00826796" w:rsidRDefault="000F5E0E" w:rsidP="00826796">
      <w:pPr>
        <w:spacing w:before="240" w:after="240" w:line="360" w:lineRule="auto"/>
        <w:ind w:right="-142"/>
        <w:contextualSpacing/>
        <w:jc w:val="both"/>
        <w:rPr>
          <w:rFonts w:ascii="Palatino Linotype" w:eastAsia="Calibri" w:hAnsi="Palatino Linotype" w:cs="Arial"/>
          <w:sz w:val="24"/>
          <w:szCs w:val="24"/>
          <w:lang w:val="es-ES" w:eastAsia="es-ES"/>
        </w:rPr>
      </w:pPr>
    </w:p>
    <w:p w:rsidR="000F5E0E" w:rsidRPr="00826796" w:rsidRDefault="000F5E0E" w:rsidP="00826796">
      <w:pPr>
        <w:spacing w:after="0" w:line="360" w:lineRule="auto"/>
        <w:ind w:left="567" w:right="616"/>
        <w:jc w:val="both"/>
        <w:rPr>
          <w:rFonts w:ascii="Palatino Linotype" w:eastAsia="Times New Roman" w:hAnsi="Palatino Linotype" w:cs="Times New Roman"/>
          <w:i/>
          <w:sz w:val="24"/>
          <w:szCs w:val="24"/>
          <w:lang w:eastAsia="es-MX"/>
        </w:rPr>
      </w:pPr>
      <w:r w:rsidRPr="00826796">
        <w:rPr>
          <w:rFonts w:ascii="Palatino Linotype" w:eastAsia="Times New Roman" w:hAnsi="Palatino Linotype" w:cs="Times New Roman"/>
          <w:i/>
          <w:sz w:val="24"/>
          <w:szCs w:val="24"/>
          <w:lang w:eastAsia="es-MX"/>
        </w:rPr>
        <w:t>“</w:t>
      </w:r>
      <w:r w:rsidR="006C1483" w:rsidRPr="00826796">
        <w:rPr>
          <w:rFonts w:ascii="Palatino Linotype" w:eastAsia="Times New Roman" w:hAnsi="Palatino Linotype" w:cs="Times New Roman"/>
          <w:b/>
          <w:i/>
          <w:sz w:val="24"/>
          <w:szCs w:val="24"/>
          <w:lang w:eastAsia="es-MX"/>
        </w:rPr>
        <w:t>NOMINA</w:t>
      </w:r>
      <w:r w:rsidR="006C1483" w:rsidRPr="00826796">
        <w:rPr>
          <w:rFonts w:ascii="Palatino Linotype" w:eastAsia="Times New Roman" w:hAnsi="Palatino Linotype" w:cs="Times New Roman"/>
          <w:i/>
          <w:sz w:val="24"/>
          <w:szCs w:val="24"/>
          <w:lang w:eastAsia="es-MX"/>
        </w:rPr>
        <w:t xml:space="preserve"> EN </w:t>
      </w:r>
      <w:r w:rsidR="006C1483" w:rsidRPr="00826796">
        <w:rPr>
          <w:rFonts w:ascii="Palatino Linotype" w:eastAsia="Times New Roman" w:hAnsi="Palatino Linotype" w:cs="Times New Roman"/>
          <w:b/>
          <w:i/>
          <w:sz w:val="24"/>
          <w:szCs w:val="24"/>
          <w:lang w:eastAsia="es-MX"/>
        </w:rPr>
        <w:t>EXCEL</w:t>
      </w:r>
      <w:r w:rsidR="006C1483" w:rsidRPr="00826796">
        <w:rPr>
          <w:rFonts w:ascii="Palatino Linotype" w:eastAsia="Times New Roman" w:hAnsi="Palatino Linotype" w:cs="Times New Roman"/>
          <w:i/>
          <w:sz w:val="24"/>
          <w:szCs w:val="24"/>
          <w:lang w:eastAsia="es-MX"/>
        </w:rPr>
        <w:t xml:space="preserve"> DE </w:t>
      </w:r>
      <w:r w:rsidR="006C1483" w:rsidRPr="00826796">
        <w:rPr>
          <w:rFonts w:ascii="Palatino Linotype" w:eastAsia="Times New Roman" w:hAnsi="Palatino Linotype" w:cs="Times New Roman"/>
          <w:b/>
          <w:i/>
          <w:sz w:val="24"/>
          <w:szCs w:val="24"/>
          <w:lang w:eastAsia="es-MX"/>
        </w:rPr>
        <w:t>TODO EL PERSONAL QUE LABORA EN LA PRESIDENCIA MUNICIPAL</w:t>
      </w:r>
      <w:r w:rsidR="006C1483" w:rsidRPr="00826796">
        <w:rPr>
          <w:rFonts w:ascii="Palatino Linotype" w:eastAsia="Times New Roman" w:hAnsi="Palatino Linotype" w:cs="Times New Roman"/>
          <w:i/>
          <w:sz w:val="24"/>
          <w:szCs w:val="24"/>
          <w:lang w:eastAsia="es-MX"/>
        </w:rPr>
        <w:t xml:space="preserve"> DE LA </w:t>
      </w:r>
      <w:r w:rsidR="006C1483" w:rsidRPr="00826796">
        <w:rPr>
          <w:rFonts w:ascii="Palatino Linotype" w:eastAsia="Times New Roman" w:hAnsi="Palatino Linotype" w:cs="Times New Roman"/>
          <w:b/>
          <w:i/>
          <w:sz w:val="24"/>
          <w:szCs w:val="24"/>
          <w:lang w:eastAsia="es-MX"/>
        </w:rPr>
        <w:t>SEGUNDA QUINCENA DE FEBRERO</w:t>
      </w:r>
      <w:r w:rsidR="006C1483" w:rsidRPr="00826796">
        <w:rPr>
          <w:rFonts w:ascii="Palatino Linotype" w:eastAsia="Times New Roman" w:hAnsi="Palatino Linotype" w:cs="Times New Roman"/>
          <w:i/>
          <w:sz w:val="24"/>
          <w:szCs w:val="24"/>
          <w:lang w:eastAsia="es-MX"/>
        </w:rPr>
        <w:t xml:space="preserve"> DE 2019</w:t>
      </w:r>
      <w:r w:rsidRPr="00826796">
        <w:rPr>
          <w:rFonts w:ascii="Palatino Linotype" w:eastAsia="Times New Roman" w:hAnsi="Palatino Linotype" w:cs="Times New Roman"/>
          <w:b/>
          <w:i/>
          <w:sz w:val="24"/>
          <w:szCs w:val="24"/>
          <w:lang w:eastAsia="es-MX"/>
        </w:rPr>
        <w:t>.</w:t>
      </w:r>
      <w:r w:rsidRPr="00826796">
        <w:rPr>
          <w:rFonts w:ascii="Palatino Linotype" w:eastAsia="Times New Roman" w:hAnsi="Palatino Linotype" w:cs="Times New Roman"/>
          <w:i/>
          <w:sz w:val="24"/>
          <w:szCs w:val="24"/>
          <w:lang w:eastAsia="es-MX"/>
        </w:rPr>
        <w:t>”(SIC)</w:t>
      </w:r>
    </w:p>
    <w:p w:rsidR="000F5E0E" w:rsidRPr="00826796" w:rsidRDefault="000F5E0E" w:rsidP="00826796">
      <w:pPr>
        <w:spacing w:after="0" w:line="360" w:lineRule="auto"/>
        <w:ind w:right="616"/>
        <w:jc w:val="both"/>
        <w:rPr>
          <w:rFonts w:ascii="Palatino Linotype" w:eastAsia="Times New Roman" w:hAnsi="Palatino Linotype" w:cs="Times New Roman"/>
          <w:i/>
          <w:sz w:val="24"/>
          <w:szCs w:val="24"/>
          <w:lang w:eastAsia="es-MX"/>
        </w:rPr>
      </w:pPr>
    </w:p>
    <w:p w:rsidR="000F5E0E" w:rsidRPr="00826796" w:rsidRDefault="000F5E0E" w:rsidP="00826796">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26796">
        <w:rPr>
          <w:rFonts w:ascii="Palatino Linotype" w:eastAsia="Times New Roman" w:hAnsi="Palatino Linotype" w:cs="Arial"/>
          <w:sz w:val="24"/>
          <w:szCs w:val="24"/>
          <w:lang w:val="es-ES" w:eastAsia="es-ES"/>
        </w:rPr>
        <w:lastRenderedPageBreak/>
        <w:t>Señaló como modalidad de entrega de la información</w:t>
      </w:r>
      <w:r w:rsidRPr="00826796">
        <w:rPr>
          <w:rFonts w:ascii="Palatino Linotype" w:eastAsia="Times New Roman" w:hAnsi="Palatino Linotype" w:cs="Arial"/>
          <w:b/>
          <w:sz w:val="24"/>
          <w:szCs w:val="24"/>
          <w:lang w:val="es-ES" w:eastAsia="es-ES"/>
        </w:rPr>
        <w:t>:</w:t>
      </w:r>
      <w:r w:rsidRPr="00826796">
        <w:rPr>
          <w:rFonts w:ascii="Palatino Linotype" w:eastAsia="Times New Roman" w:hAnsi="Palatino Linotype" w:cs="Arial"/>
          <w:sz w:val="24"/>
          <w:szCs w:val="24"/>
          <w:lang w:val="es-ES" w:eastAsia="es-ES"/>
        </w:rPr>
        <w:t xml:space="preserve"> a través del </w:t>
      </w:r>
      <w:r w:rsidRPr="00826796">
        <w:rPr>
          <w:rFonts w:ascii="Palatino Linotype" w:eastAsia="Times New Roman" w:hAnsi="Palatino Linotype" w:cs="Arial"/>
          <w:b/>
          <w:sz w:val="24"/>
          <w:szCs w:val="24"/>
          <w:lang w:val="es-ES" w:eastAsia="es-ES"/>
        </w:rPr>
        <w:t>SAIMEX</w:t>
      </w:r>
    </w:p>
    <w:p w:rsidR="000F5E0E" w:rsidRPr="00826796" w:rsidRDefault="000F5E0E" w:rsidP="00826796">
      <w:pPr>
        <w:spacing w:after="0" w:line="360" w:lineRule="auto"/>
        <w:contextualSpacing/>
        <w:jc w:val="both"/>
        <w:rPr>
          <w:rFonts w:ascii="Palatino Linotype" w:eastAsiaTheme="minorEastAsia" w:hAnsi="Palatino Linotype" w:cs="Arial"/>
          <w:i/>
          <w:sz w:val="24"/>
          <w:szCs w:val="24"/>
          <w:lang w:val="es-ES_tradnl" w:eastAsia="es-ES"/>
        </w:rPr>
      </w:pPr>
    </w:p>
    <w:p w:rsidR="006C1483" w:rsidRPr="00826796" w:rsidRDefault="000F5E0E" w:rsidP="00826796">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proofErr w:type="gramStart"/>
      <w:r w:rsidRPr="00826796">
        <w:rPr>
          <w:rFonts w:ascii="Palatino Linotype" w:eastAsiaTheme="minorEastAsia" w:hAnsi="Palatino Linotype" w:cs="Arial"/>
          <w:sz w:val="24"/>
          <w:szCs w:val="24"/>
          <w:lang w:val="es-ES_tradnl" w:eastAsia="es-ES"/>
        </w:rPr>
        <w:t xml:space="preserve">El  </w:t>
      </w:r>
      <w:r w:rsidRPr="00826796">
        <w:rPr>
          <w:rFonts w:ascii="Palatino Linotype" w:eastAsiaTheme="minorEastAsia" w:hAnsi="Palatino Linotype" w:cs="Arial"/>
          <w:b/>
          <w:sz w:val="24"/>
          <w:szCs w:val="24"/>
          <w:lang w:val="es-ES_tradnl" w:eastAsia="es-ES"/>
        </w:rPr>
        <w:t>SUJETO</w:t>
      </w:r>
      <w:proofErr w:type="gramEnd"/>
      <w:r w:rsidRPr="00826796">
        <w:rPr>
          <w:rFonts w:ascii="Palatino Linotype" w:eastAsiaTheme="minorEastAsia" w:hAnsi="Palatino Linotype" w:cs="Arial"/>
          <w:b/>
          <w:sz w:val="24"/>
          <w:szCs w:val="24"/>
          <w:lang w:val="es-ES_tradnl" w:eastAsia="es-ES"/>
        </w:rPr>
        <w:t xml:space="preserve"> OBLIGADO </w:t>
      </w:r>
      <w:r w:rsidR="006C1483" w:rsidRPr="00826796">
        <w:rPr>
          <w:rFonts w:ascii="Palatino Linotype" w:eastAsiaTheme="minorEastAsia" w:hAnsi="Palatino Linotype" w:cs="Arial"/>
          <w:sz w:val="24"/>
          <w:szCs w:val="24"/>
          <w:lang w:val="es-ES_tradnl" w:eastAsia="es-ES"/>
        </w:rPr>
        <w:t>fue omiso para</w:t>
      </w:r>
      <w:r w:rsidR="006C1483" w:rsidRPr="00826796">
        <w:rPr>
          <w:rFonts w:ascii="Palatino Linotype" w:eastAsiaTheme="minorEastAsia" w:hAnsi="Palatino Linotype" w:cs="Arial"/>
          <w:b/>
          <w:sz w:val="24"/>
          <w:szCs w:val="24"/>
          <w:lang w:val="es-ES_tradnl" w:eastAsia="es-ES"/>
        </w:rPr>
        <w:t xml:space="preserve"> </w:t>
      </w:r>
      <w:r w:rsidR="006C1483" w:rsidRPr="00826796">
        <w:rPr>
          <w:rFonts w:ascii="Palatino Linotype" w:eastAsiaTheme="minorEastAsia" w:hAnsi="Palatino Linotype" w:cs="Arial"/>
          <w:sz w:val="24"/>
          <w:szCs w:val="24"/>
          <w:lang w:val="es-ES_tradnl" w:eastAsia="es-ES"/>
        </w:rPr>
        <w:t>emitir</w:t>
      </w:r>
      <w:r w:rsidRPr="00826796">
        <w:rPr>
          <w:rFonts w:ascii="Palatino Linotype" w:eastAsiaTheme="minorEastAsia" w:hAnsi="Palatino Linotype" w:cs="Arial"/>
          <w:sz w:val="24"/>
          <w:szCs w:val="24"/>
          <w:lang w:val="es-ES_tradnl" w:eastAsia="es-ES"/>
        </w:rPr>
        <w:t xml:space="preserve"> su respectiva respuesta a la solicitud de información presentada por el particular</w:t>
      </w:r>
      <w:r w:rsidR="006C1483" w:rsidRPr="00826796">
        <w:rPr>
          <w:rFonts w:ascii="Palatino Linotype" w:eastAsiaTheme="minorEastAsia" w:hAnsi="Palatino Linotype" w:cs="Arial"/>
          <w:b/>
          <w:sz w:val="24"/>
          <w:szCs w:val="24"/>
          <w:lang w:val="es-ES_tradnl" w:eastAsia="es-ES"/>
        </w:rPr>
        <w:t>.</w:t>
      </w:r>
    </w:p>
    <w:p w:rsidR="006C1483" w:rsidRPr="00826796" w:rsidRDefault="006C1483" w:rsidP="00826796">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826796" w:rsidRDefault="000F5E0E" w:rsidP="00826796">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826796">
        <w:rPr>
          <w:rFonts w:ascii="Palatino Linotype" w:eastAsia="Calibri" w:hAnsi="Palatino Linotype" w:cs="Arial"/>
          <w:sz w:val="24"/>
          <w:szCs w:val="24"/>
          <w:lang w:val="es-AR" w:eastAsia="es-ES"/>
        </w:rPr>
        <w:t>El</w:t>
      </w:r>
      <w:r w:rsidRPr="00826796">
        <w:rPr>
          <w:rFonts w:ascii="Palatino Linotype" w:eastAsia="Times New Roman" w:hAnsi="Palatino Linotype" w:cs="Arial"/>
          <w:sz w:val="24"/>
          <w:szCs w:val="24"/>
          <w:lang w:val="es-ES" w:eastAsia="es-ES"/>
        </w:rPr>
        <w:t xml:space="preserve"> día </w:t>
      </w:r>
      <w:r w:rsidR="006C1483" w:rsidRPr="00826796">
        <w:rPr>
          <w:rFonts w:ascii="Palatino Linotype" w:eastAsia="Times New Roman" w:hAnsi="Palatino Linotype" w:cs="Arial"/>
          <w:b/>
          <w:sz w:val="24"/>
          <w:szCs w:val="24"/>
          <w:lang w:val="es-ES" w:eastAsia="es-ES"/>
        </w:rPr>
        <w:t>cuatro (04) de abril</w:t>
      </w:r>
      <w:r w:rsidRPr="00826796">
        <w:rPr>
          <w:rFonts w:ascii="Palatino Linotype" w:eastAsia="Times New Roman" w:hAnsi="Palatino Linotype" w:cs="Arial"/>
          <w:b/>
          <w:sz w:val="24"/>
          <w:szCs w:val="24"/>
          <w:lang w:val="es-ES" w:eastAsia="es-ES"/>
        </w:rPr>
        <w:t xml:space="preserve"> </w:t>
      </w:r>
      <w:r w:rsidRPr="00826796">
        <w:rPr>
          <w:rFonts w:ascii="Palatino Linotype" w:eastAsia="Times New Roman" w:hAnsi="Palatino Linotype" w:cs="Arial"/>
          <w:sz w:val="24"/>
          <w:szCs w:val="24"/>
          <w:lang w:val="es-ES" w:eastAsia="es-ES"/>
        </w:rPr>
        <w:t>de dos mil diecinueve, el particular interpuso el recurso de revisión, en contra de la</w:t>
      </w:r>
      <w:r w:rsidR="006C1483" w:rsidRPr="00826796">
        <w:rPr>
          <w:rFonts w:ascii="Palatino Linotype" w:eastAsia="Times New Roman" w:hAnsi="Palatino Linotype" w:cs="Arial"/>
          <w:sz w:val="24"/>
          <w:szCs w:val="24"/>
          <w:lang w:val="es-ES" w:eastAsia="es-ES"/>
        </w:rPr>
        <w:t xml:space="preserve"> falta de</w:t>
      </w:r>
      <w:r w:rsidRPr="00826796">
        <w:rPr>
          <w:rFonts w:ascii="Palatino Linotype" w:eastAsia="Times New Roman" w:hAnsi="Palatino Linotype" w:cs="Arial"/>
          <w:sz w:val="24"/>
          <w:szCs w:val="24"/>
          <w:lang w:val="es-ES" w:eastAsia="es-ES"/>
        </w:rPr>
        <w:t xml:space="preserve"> respuesta, señalando como:</w:t>
      </w:r>
      <w:bookmarkStart w:id="2" w:name="_Toc462307683"/>
      <w:bookmarkStart w:id="3" w:name="_Toc472427085"/>
      <w:bookmarkStart w:id="4" w:name="_Toc472500652"/>
    </w:p>
    <w:p w:rsidR="000F5E0E" w:rsidRPr="00826796" w:rsidRDefault="000F5E0E" w:rsidP="00826796">
      <w:pPr>
        <w:spacing w:before="240" w:after="240" w:line="360" w:lineRule="auto"/>
        <w:contextualSpacing/>
        <w:jc w:val="both"/>
        <w:rPr>
          <w:rFonts w:ascii="Palatino Linotype" w:eastAsiaTheme="minorEastAsia" w:hAnsi="Palatino Linotype" w:cs="Arial"/>
          <w:i/>
          <w:sz w:val="24"/>
          <w:szCs w:val="24"/>
          <w:lang w:val="es-ES_tradnl" w:eastAsia="es-ES"/>
        </w:rPr>
      </w:pPr>
    </w:p>
    <w:p w:rsidR="000F5E0E" w:rsidRPr="00826796" w:rsidRDefault="000F5E0E" w:rsidP="0082679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826796">
        <w:rPr>
          <w:rFonts w:ascii="Palatino Linotype" w:eastAsiaTheme="majorEastAsia" w:hAnsi="Palatino Linotype" w:cstheme="majorBidi"/>
          <w:b/>
          <w:sz w:val="24"/>
          <w:szCs w:val="24"/>
          <w:lang w:val="es-ES" w:eastAsia="es-ES"/>
        </w:rPr>
        <w:t>Acto impugnado</w:t>
      </w:r>
      <w:r w:rsidRPr="00826796">
        <w:rPr>
          <w:rFonts w:ascii="Palatino Linotype" w:eastAsiaTheme="majorEastAsia" w:hAnsi="Palatino Linotype" w:cstheme="majorBidi"/>
          <w:b/>
          <w:i/>
          <w:sz w:val="24"/>
          <w:szCs w:val="24"/>
          <w:lang w:val="es-ES" w:eastAsia="es-ES"/>
        </w:rPr>
        <w:t>:</w:t>
      </w:r>
      <w:bookmarkEnd w:id="2"/>
      <w:bookmarkEnd w:id="3"/>
      <w:bookmarkEnd w:id="4"/>
      <w:r w:rsidRPr="0082679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0F5E0E" w:rsidRPr="00826796" w:rsidRDefault="000F5E0E" w:rsidP="00826796">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0F5E0E" w:rsidRPr="00826796" w:rsidRDefault="000F5E0E" w:rsidP="0082679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826796">
        <w:rPr>
          <w:rFonts w:ascii="Palatino Linotype" w:eastAsiaTheme="majorEastAsia" w:hAnsi="Palatino Linotype" w:cstheme="majorBidi"/>
          <w:i/>
          <w:sz w:val="24"/>
          <w:szCs w:val="24"/>
          <w:lang w:val="es-ES" w:eastAsia="es-ES"/>
        </w:rPr>
        <w:t>“</w:t>
      </w:r>
      <w:r w:rsidR="006C1483" w:rsidRPr="00826796">
        <w:rPr>
          <w:rFonts w:ascii="Palatino Linotype" w:eastAsiaTheme="majorEastAsia" w:hAnsi="Palatino Linotype" w:cstheme="majorBidi"/>
          <w:i/>
          <w:sz w:val="24"/>
          <w:szCs w:val="24"/>
          <w:lang w:eastAsia="es-ES"/>
        </w:rPr>
        <w:t>NO SE ME ENTREGO LA INFORMACIÓN</w:t>
      </w:r>
      <w:r w:rsidRPr="00826796">
        <w:rPr>
          <w:rFonts w:ascii="Palatino Linotype" w:eastAsia="Times New Roman" w:hAnsi="Palatino Linotype" w:cs="Times New Roman"/>
          <w:i/>
          <w:sz w:val="24"/>
          <w:szCs w:val="24"/>
          <w:lang w:eastAsia="es-MX"/>
        </w:rPr>
        <w:t>.</w:t>
      </w:r>
      <w:r w:rsidRPr="00826796">
        <w:rPr>
          <w:rFonts w:ascii="Palatino Linotype" w:eastAsiaTheme="majorEastAsia" w:hAnsi="Palatino Linotype" w:cstheme="majorBidi"/>
          <w:i/>
          <w:sz w:val="24"/>
          <w:szCs w:val="24"/>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26796">
        <w:rPr>
          <w:rFonts w:ascii="Palatino Linotype" w:eastAsia="Calibri" w:hAnsi="Palatino Linotype" w:cs="Arial"/>
          <w:i/>
          <w:sz w:val="24"/>
          <w:szCs w:val="24"/>
          <w:lang w:val="es-ES" w:eastAsia="es-ES"/>
        </w:rPr>
        <w:t xml:space="preserve">; </w:t>
      </w:r>
      <w:r w:rsidRPr="00826796">
        <w:rPr>
          <w:rFonts w:ascii="Palatino Linotype" w:eastAsia="Calibri" w:hAnsi="Palatino Linotype" w:cs="Arial"/>
          <w:sz w:val="24"/>
          <w:szCs w:val="24"/>
          <w:lang w:val="es-ES" w:eastAsia="es-ES"/>
        </w:rPr>
        <w:t xml:space="preserve">y como </w:t>
      </w:r>
    </w:p>
    <w:p w:rsidR="000F5E0E" w:rsidRPr="00826796" w:rsidRDefault="000F5E0E" w:rsidP="00826796">
      <w:pPr>
        <w:spacing w:after="0" w:line="360" w:lineRule="auto"/>
        <w:ind w:right="-142"/>
        <w:contextualSpacing/>
        <w:jc w:val="both"/>
        <w:rPr>
          <w:rFonts w:ascii="Palatino Linotype" w:eastAsiaTheme="minorEastAsia" w:hAnsi="Palatino Linotype" w:cs="Arial"/>
          <w:i/>
          <w:sz w:val="24"/>
          <w:szCs w:val="24"/>
          <w:lang w:val="es-ES_tradnl" w:eastAsia="es-ES"/>
        </w:rPr>
      </w:pPr>
    </w:p>
    <w:p w:rsidR="000F5E0E" w:rsidRPr="00826796" w:rsidRDefault="000F5E0E" w:rsidP="00826796">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826796">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826796">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F5E0E" w:rsidRPr="00826796" w:rsidRDefault="000F5E0E" w:rsidP="00826796">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0F5E0E" w:rsidRPr="00826796" w:rsidRDefault="000F5E0E" w:rsidP="00826796">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826796">
        <w:rPr>
          <w:rFonts w:ascii="Palatino Linotype" w:eastAsiaTheme="minorEastAsia" w:hAnsi="Palatino Linotype"/>
          <w:i/>
          <w:sz w:val="24"/>
          <w:szCs w:val="24"/>
          <w:lang w:val="es-ES_tradnl" w:eastAsia="es-ES"/>
        </w:rPr>
        <w:t>“</w:t>
      </w:r>
      <w:r w:rsidR="006C1483" w:rsidRPr="00826796">
        <w:rPr>
          <w:rFonts w:ascii="Palatino Linotype" w:eastAsiaTheme="minorEastAsia" w:hAnsi="Palatino Linotype"/>
          <w:i/>
          <w:sz w:val="24"/>
          <w:szCs w:val="24"/>
          <w:lang w:eastAsia="es-ES"/>
        </w:rPr>
        <w:t>SE NIEGA MI DERECHO DE ACCESO A LA INFORMACIÓN PUBLICA</w:t>
      </w:r>
      <w:r w:rsidRPr="00826796">
        <w:rPr>
          <w:rFonts w:ascii="Palatino Linotype" w:eastAsiaTheme="minorEastAsia" w:hAnsi="Palatino Linotype"/>
          <w:i/>
          <w:sz w:val="24"/>
          <w:szCs w:val="24"/>
          <w:lang w:eastAsia="es-ES"/>
        </w:rPr>
        <w:t>.</w:t>
      </w:r>
      <w:r w:rsidRPr="00826796">
        <w:rPr>
          <w:rFonts w:ascii="Palatino Linotype" w:eastAsiaTheme="minorEastAsia" w:hAnsi="Palatino Linotype"/>
          <w:i/>
          <w:sz w:val="24"/>
          <w:szCs w:val="24"/>
          <w:lang w:val="es-ES_tradnl" w:eastAsia="es-ES"/>
        </w:rPr>
        <w:t xml:space="preserve">” </w:t>
      </w:r>
      <w:r w:rsidRPr="00826796">
        <w:rPr>
          <w:rFonts w:ascii="Palatino Linotype" w:eastAsiaTheme="minorEastAsia" w:hAnsi="Palatino Linotype" w:cs="Arial"/>
          <w:i/>
          <w:sz w:val="24"/>
          <w:szCs w:val="24"/>
          <w:lang w:val="es-ES_tradnl" w:eastAsia="es-ES"/>
        </w:rPr>
        <w:t>(Sic)</w:t>
      </w:r>
    </w:p>
    <w:p w:rsidR="000F5E0E" w:rsidRPr="00826796" w:rsidRDefault="000F5E0E" w:rsidP="00826796">
      <w:pPr>
        <w:spacing w:after="0" w:line="360" w:lineRule="auto"/>
        <w:ind w:right="-142"/>
        <w:contextualSpacing/>
        <w:jc w:val="both"/>
        <w:rPr>
          <w:rFonts w:ascii="Palatino Linotype" w:eastAsiaTheme="minorEastAsia" w:hAnsi="Palatino Linotype" w:cs="Arial"/>
          <w:sz w:val="24"/>
          <w:szCs w:val="24"/>
          <w:lang w:val="es-ES_tradnl" w:eastAsia="es-ES"/>
        </w:rPr>
      </w:pPr>
    </w:p>
    <w:p w:rsidR="000F5E0E" w:rsidRPr="00826796" w:rsidRDefault="000F5E0E" w:rsidP="00826796">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826796">
        <w:rPr>
          <w:rFonts w:ascii="Palatino Linotype" w:eastAsia="Times New Roman" w:hAnsi="Palatino Linotype" w:cs="Arial"/>
          <w:sz w:val="24"/>
          <w:szCs w:val="24"/>
          <w:lang w:val="es-ES" w:eastAsia="es-ES"/>
        </w:rPr>
        <w:t xml:space="preserve">Se registró el recurso de revisión bajo el número de expediente </w:t>
      </w:r>
      <w:r w:rsidRPr="00826796">
        <w:rPr>
          <w:rFonts w:ascii="Palatino Linotype" w:eastAsiaTheme="minorEastAsia" w:hAnsi="Palatino Linotype" w:cs="Arial"/>
          <w:bCs/>
          <w:sz w:val="24"/>
          <w:szCs w:val="24"/>
          <w:lang w:val="es-ES_tradnl" w:eastAsia="es-ES"/>
        </w:rPr>
        <w:t xml:space="preserve">al rubro indicado, asimismo con fundamento en lo dispuesto por el </w:t>
      </w:r>
      <w:r w:rsidRPr="00826796">
        <w:rPr>
          <w:rFonts w:ascii="Palatino Linotype" w:eastAsia="Calibri" w:hAnsi="Palatino Linotype" w:cs="Arial"/>
          <w:sz w:val="24"/>
          <w:szCs w:val="24"/>
          <w:lang w:val="es-ES" w:eastAsia="es-ES"/>
        </w:rPr>
        <w:t xml:space="preserve">artículo 185 fracción I de la </w:t>
      </w:r>
      <w:r w:rsidRPr="0082679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26796">
        <w:rPr>
          <w:rFonts w:ascii="Palatino Linotype" w:eastAsia="Times New Roman" w:hAnsi="Palatino Linotype" w:cs="Arial"/>
          <w:sz w:val="24"/>
          <w:szCs w:val="24"/>
          <w:lang w:val="es-ES" w:eastAsia="es-ES"/>
        </w:rPr>
        <w:t xml:space="preserve">se turnó al </w:t>
      </w:r>
      <w:r w:rsidRPr="00826796">
        <w:rPr>
          <w:rFonts w:ascii="Palatino Linotype" w:eastAsia="Times New Roman" w:hAnsi="Palatino Linotype" w:cs="Arial"/>
          <w:b/>
          <w:sz w:val="24"/>
          <w:szCs w:val="24"/>
          <w:lang w:val="es-ES" w:eastAsia="es-ES"/>
        </w:rPr>
        <w:t xml:space="preserve">Comisionado José Guadalupe Luna Hernández, </w:t>
      </w:r>
      <w:r w:rsidRPr="00826796">
        <w:rPr>
          <w:rFonts w:ascii="Palatino Linotype" w:eastAsia="Times New Roman" w:hAnsi="Palatino Linotype" w:cs="Arial"/>
          <w:sz w:val="24"/>
          <w:szCs w:val="24"/>
          <w:lang w:val="es-ES" w:eastAsia="es-ES"/>
        </w:rPr>
        <w:t xml:space="preserve">con el objeto de </w:t>
      </w:r>
      <w:r w:rsidRPr="00826796">
        <w:rPr>
          <w:rFonts w:ascii="Palatino Linotype" w:eastAsia="Times New Roman" w:hAnsi="Palatino Linotype" w:cs="Arial"/>
          <w:sz w:val="24"/>
          <w:szCs w:val="24"/>
          <w:lang w:eastAsia="es-ES"/>
        </w:rPr>
        <w:t>su análisis.</w:t>
      </w:r>
    </w:p>
    <w:p w:rsidR="000F5E0E" w:rsidRPr="00826796" w:rsidRDefault="000F5E0E" w:rsidP="00826796">
      <w:pPr>
        <w:spacing w:after="0" w:line="360" w:lineRule="auto"/>
        <w:ind w:right="-142"/>
        <w:contextualSpacing/>
        <w:rPr>
          <w:rFonts w:ascii="Palatino Linotype" w:eastAsiaTheme="minorEastAsia" w:hAnsi="Palatino Linotype"/>
          <w:i/>
          <w:color w:val="000000"/>
          <w:sz w:val="24"/>
          <w:szCs w:val="24"/>
          <w:lang w:val="es-ES_tradnl" w:eastAsia="es-ES"/>
        </w:rPr>
      </w:pPr>
    </w:p>
    <w:p w:rsidR="000F5E0E" w:rsidRPr="00826796" w:rsidRDefault="000F5E0E" w:rsidP="00826796">
      <w:pPr>
        <w:numPr>
          <w:ilvl w:val="0"/>
          <w:numId w:val="2"/>
        </w:numPr>
        <w:spacing w:before="240" w:after="240" w:line="360" w:lineRule="auto"/>
        <w:ind w:left="0" w:right="-142" w:firstLine="0"/>
        <w:contextualSpacing/>
        <w:jc w:val="both"/>
        <w:rPr>
          <w:rFonts w:ascii="Palatino Linotype" w:eastAsiaTheme="minorEastAsia" w:hAnsi="Palatino Linotype"/>
          <w:i/>
          <w:color w:val="000000"/>
          <w:sz w:val="24"/>
          <w:szCs w:val="24"/>
          <w:lang w:val="es-ES_tradnl" w:eastAsia="es-ES"/>
        </w:rPr>
      </w:pPr>
      <w:r w:rsidRPr="00826796">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C1483" w:rsidRPr="00826796">
        <w:rPr>
          <w:rFonts w:ascii="Palatino Linotype" w:eastAsia="Calibri" w:hAnsi="Palatino Linotype" w:cs="Arial"/>
          <w:b/>
          <w:sz w:val="24"/>
          <w:szCs w:val="24"/>
          <w:lang w:val="es-ES" w:eastAsia="es-ES"/>
        </w:rPr>
        <w:t>diez (10) de abril</w:t>
      </w:r>
      <w:r w:rsidRPr="00826796">
        <w:rPr>
          <w:rFonts w:ascii="Palatino Linotype" w:eastAsia="Calibri" w:hAnsi="Palatino Linotype" w:cs="Arial"/>
          <w:sz w:val="24"/>
          <w:szCs w:val="24"/>
          <w:lang w:val="es-ES" w:eastAsia="es-ES"/>
        </w:rPr>
        <w:t xml:space="preserve"> de dos mil diecinueve, puso a disposición de las partes el expediente electrónico </w:t>
      </w:r>
      <w:r w:rsidRPr="00826796">
        <w:rPr>
          <w:rFonts w:ascii="Palatino Linotype" w:eastAsia="Calibri" w:hAnsi="Palatino Linotype" w:cs="Arial"/>
          <w:sz w:val="24"/>
          <w:szCs w:val="24"/>
          <w:lang w:val="es-ES_tradnl" w:eastAsia="es-ES"/>
        </w:rPr>
        <w:t xml:space="preserve">vía </w:t>
      </w:r>
      <w:r w:rsidRPr="00826796">
        <w:rPr>
          <w:rFonts w:ascii="Palatino Linotype" w:eastAsia="Calibri" w:hAnsi="Palatino Linotype" w:cs="Arial"/>
          <w:sz w:val="24"/>
          <w:szCs w:val="24"/>
          <w:lang w:val="es-ES" w:eastAsia="es-ES"/>
        </w:rPr>
        <w:t xml:space="preserve">Sistema de Acceso a la Información Mexiquense </w:t>
      </w:r>
      <w:r w:rsidRPr="00826796">
        <w:rPr>
          <w:rFonts w:ascii="Palatino Linotype" w:eastAsia="Calibri" w:hAnsi="Palatino Linotype" w:cs="Arial"/>
          <w:b/>
          <w:sz w:val="24"/>
          <w:szCs w:val="24"/>
          <w:lang w:val="es-ES" w:eastAsia="es-ES"/>
        </w:rPr>
        <w:t xml:space="preserve">SAIMEX </w:t>
      </w:r>
      <w:r w:rsidRPr="0082679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26796">
        <w:rPr>
          <w:rFonts w:ascii="Palatino Linotype" w:eastAsia="Calibri" w:hAnsi="Palatino Linotype" w:cs="Arial"/>
          <w:b/>
          <w:sz w:val="24"/>
          <w:szCs w:val="24"/>
          <w:lang w:val="es-ES" w:eastAsia="es-ES"/>
        </w:rPr>
        <w:t>SUJETO OBLIGADO</w:t>
      </w:r>
      <w:r w:rsidRPr="00826796">
        <w:rPr>
          <w:rFonts w:ascii="Palatino Linotype" w:eastAsia="Calibri" w:hAnsi="Palatino Linotype" w:cs="Arial"/>
          <w:sz w:val="24"/>
          <w:szCs w:val="24"/>
          <w:lang w:val="es-ES" w:eastAsia="es-ES"/>
        </w:rPr>
        <w:t xml:space="preserve"> presentará el I</w:t>
      </w:r>
      <w:r w:rsidR="006C1483" w:rsidRPr="00826796">
        <w:rPr>
          <w:rFonts w:ascii="Palatino Linotype" w:eastAsia="Calibri" w:hAnsi="Palatino Linotype" w:cs="Arial"/>
          <w:sz w:val="24"/>
          <w:szCs w:val="24"/>
          <w:lang w:val="es-ES" w:eastAsia="es-ES"/>
        </w:rPr>
        <w:t>nforme Justificado procedente, situación que no ocurrió.</w:t>
      </w:r>
    </w:p>
    <w:p w:rsidR="000F5E0E" w:rsidRPr="00826796" w:rsidRDefault="000F5E0E" w:rsidP="00826796">
      <w:pPr>
        <w:spacing w:before="240" w:after="240" w:line="360" w:lineRule="auto"/>
        <w:ind w:right="-142"/>
        <w:contextualSpacing/>
        <w:jc w:val="both"/>
        <w:rPr>
          <w:rFonts w:ascii="Palatino Linotype" w:eastAsiaTheme="minorEastAsia" w:hAnsi="Palatino Linotype"/>
          <w:i/>
          <w:color w:val="000000"/>
          <w:sz w:val="24"/>
          <w:szCs w:val="24"/>
          <w:lang w:val="es-ES_tradnl" w:eastAsia="es-ES"/>
        </w:rPr>
      </w:pPr>
    </w:p>
    <w:p w:rsidR="000F5E0E" w:rsidRPr="00826796" w:rsidRDefault="000F5E0E" w:rsidP="00826796">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826796">
        <w:rPr>
          <w:rFonts w:ascii="Palatino Linotype" w:eastAsiaTheme="minorEastAsia" w:hAnsi="Palatino Linotype"/>
          <w:sz w:val="24"/>
          <w:szCs w:val="24"/>
          <w:lang w:val="es-ES_tradnl" w:eastAsia="es-ES"/>
        </w:rPr>
        <w:t>El Comisionado Ponente decretó el cierre de instrucción</w:t>
      </w:r>
      <w:r w:rsidRPr="00826796">
        <w:rPr>
          <w:rFonts w:ascii="Palatino Linotype" w:eastAsiaTheme="minorEastAsia" w:hAnsi="Palatino Linotype" w:cs="Arial"/>
          <w:sz w:val="24"/>
          <w:szCs w:val="24"/>
          <w:lang w:val="es-ES_tradnl" w:eastAsia="es-ES"/>
        </w:rPr>
        <w:t xml:space="preserve"> </w:t>
      </w:r>
      <w:r w:rsidRPr="00826796">
        <w:rPr>
          <w:rFonts w:ascii="Palatino Linotype" w:eastAsiaTheme="minorEastAsia" w:hAnsi="Palatino Linotype"/>
          <w:sz w:val="24"/>
          <w:szCs w:val="24"/>
          <w:lang w:val="es-ES_tradnl" w:eastAsia="es-ES"/>
        </w:rPr>
        <w:t xml:space="preserve">mediante acuerdo de fecha </w:t>
      </w:r>
      <w:r w:rsidR="006C1483" w:rsidRPr="00826796">
        <w:rPr>
          <w:rFonts w:ascii="Palatino Linotype" w:eastAsiaTheme="minorEastAsia" w:hAnsi="Palatino Linotype"/>
          <w:b/>
          <w:sz w:val="24"/>
          <w:szCs w:val="24"/>
          <w:lang w:val="es-ES_tradnl" w:eastAsia="es-ES"/>
        </w:rPr>
        <w:t>trece</w:t>
      </w:r>
      <w:r w:rsidRPr="00826796">
        <w:rPr>
          <w:rFonts w:ascii="Palatino Linotype" w:eastAsiaTheme="minorEastAsia" w:hAnsi="Palatino Linotype"/>
          <w:b/>
          <w:sz w:val="24"/>
          <w:szCs w:val="24"/>
          <w:lang w:val="es-ES_tradnl" w:eastAsia="es-ES"/>
        </w:rPr>
        <w:t xml:space="preserve"> </w:t>
      </w:r>
      <w:r w:rsidR="006C1483" w:rsidRPr="00826796">
        <w:rPr>
          <w:rFonts w:ascii="Palatino Linotype" w:eastAsiaTheme="minorEastAsia" w:hAnsi="Palatino Linotype"/>
          <w:b/>
          <w:sz w:val="24"/>
          <w:szCs w:val="24"/>
          <w:lang w:val="es-ES_tradnl" w:eastAsia="es-ES"/>
        </w:rPr>
        <w:t>(13) de mayo</w:t>
      </w:r>
      <w:r w:rsidRPr="00826796">
        <w:rPr>
          <w:rFonts w:ascii="Palatino Linotype" w:eastAsiaTheme="minorEastAsia" w:hAnsi="Palatino Linotype"/>
          <w:sz w:val="24"/>
          <w:szCs w:val="24"/>
          <w:lang w:val="es-ES_tradnl" w:eastAsia="es-ES"/>
        </w:rPr>
        <w:t xml:space="preserve"> de dos mil diecinueve, </w:t>
      </w:r>
      <w:r w:rsidRPr="00826796">
        <w:rPr>
          <w:rFonts w:ascii="Palatino Linotype" w:eastAsiaTheme="minorEastAsia" w:hAnsi="Palatino Linotype" w:cs="Arial"/>
          <w:sz w:val="24"/>
          <w:szCs w:val="24"/>
          <w:lang w:val="es-ES_tradnl" w:eastAsia="es-ES"/>
        </w:rPr>
        <w:t xml:space="preserve">por lo que, ordenó turnar el expediente a resolución; sin embargo, en fecha </w:t>
      </w:r>
      <w:r w:rsidR="006C1483" w:rsidRPr="00826796">
        <w:rPr>
          <w:rFonts w:ascii="Palatino Linotype" w:eastAsiaTheme="minorEastAsia" w:hAnsi="Palatino Linotype" w:cs="Arial"/>
          <w:b/>
          <w:sz w:val="24"/>
          <w:szCs w:val="24"/>
          <w:lang w:val="es-ES_tradnl" w:eastAsia="es-ES"/>
        </w:rPr>
        <w:t>siete</w:t>
      </w:r>
      <w:r w:rsidRPr="00826796">
        <w:rPr>
          <w:rFonts w:ascii="Palatino Linotype" w:eastAsiaTheme="minorEastAsia" w:hAnsi="Palatino Linotype" w:cs="Arial"/>
          <w:b/>
          <w:sz w:val="24"/>
          <w:szCs w:val="24"/>
          <w:lang w:val="es-ES_tradnl" w:eastAsia="es-ES"/>
        </w:rPr>
        <w:t xml:space="preserve"> (</w:t>
      </w:r>
      <w:r w:rsidR="006C1483" w:rsidRPr="00826796">
        <w:rPr>
          <w:rFonts w:ascii="Palatino Linotype" w:eastAsiaTheme="minorEastAsia" w:hAnsi="Palatino Linotype" w:cs="Arial"/>
          <w:b/>
          <w:sz w:val="24"/>
          <w:szCs w:val="24"/>
          <w:lang w:val="es-ES_tradnl" w:eastAsia="es-ES"/>
        </w:rPr>
        <w:t>07) de junio</w:t>
      </w:r>
      <w:r w:rsidRPr="00826796">
        <w:rPr>
          <w:rFonts w:ascii="Palatino Linotype" w:eastAsiaTheme="minorEastAsia" w:hAnsi="Palatino Linotype" w:cs="Arial"/>
          <w:b/>
          <w:sz w:val="24"/>
          <w:szCs w:val="24"/>
          <w:lang w:val="es-ES_tradnl" w:eastAsia="es-ES"/>
        </w:rPr>
        <w:t xml:space="preserve"> </w:t>
      </w:r>
      <w:r w:rsidRPr="00826796">
        <w:rPr>
          <w:rFonts w:ascii="Palatino Linotype" w:eastAsiaTheme="minorEastAsia" w:hAnsi="Palatino Linotype" w:cs="Arial"/>
          <w:sz w:val="24"/>
          <w:szCs w:val="24"/>
          <w:lang w:val="es-ES_tradnl" w:eastAsia="es-ES"/>
        </w:rPr>
        <w:t>de la presente anualidad se acordó la ampliación del plazo derivado del cumulo de información que se integra el informe justificado, a efecto de emitir un mejor estudio del asunto, por lo que no habiendo más que hacer constar, y - - - - - - - - - - - - - - - - - - - - - - - - - - - - - - - -</w:t>
      </w:r>
    </w:p>
    <w:p w:rsidR="00826796" w:rsidRDefault="00826796" w:rsidP="00826796">
      <w:pPr>
        <w:pStyle w:val="Prrafodelista"/>
        <w:rPr>
          <w:rFonts w:ascii="Palatino Linotype" w:eastAsia="Calibri" w:hAnsi="Palatino Linotype" w:cs="Arial"/>
          <w:sz w:val="24"/>
          <w:szCs w:val="24"/>
          <w:lang w:val="es-ES" w:eastAsia="es-ES"/>
        </w:rPr>
      </w:pPr>
    </w:p>
    <w:p w:rsidR="00826796" w:rsidRPr="00826796" w:rsidRDefault="00826796" w:rsidP="00826796">
      <w:pPr>
        <w:spacing w:before="240" w:after="240" w:line="360" w:lineRule="auto"/>
        <w:ind w:right="-142"/>
        <w:contextualSpacing/>
        <w:jc w:val="both"/>
        <w:rPr>
          <w:rFonts w:ascii="Palatino Linotype" w:eastAsia="Calibri" w:hAnsi="Palatino Linotype" w:cs="Arial"/>
          <w:sz w:val="24"/>
          <w:szCs w:val="24"/>
          <w:lang w:val="es-ES" w:eastAsia="es-ES"/>
        </w:rPr>
      </w:pPr>
    </w:p>
    <w:p w:rsidR="006C1483" w:rsidRPr="00826796" w:rsidRDefault="006C1483" w:rsidP="00826796">
      <w:pPr>
        <w:spacing w:before="240" w:after="240" w:line="360" w:lineRule="auto"/>
        <w:ind w:right="-142"/>
        <w:contextualSpacing/>
        <w:jc w:val="both"/>
        <w:rPr>
          <w:rFonts w:ascii="Palatino Linotype" w:eastAsia="Calibri" w:hAnsi="Palatino Linotype" w:cs="Arial"/>
          <w:sz w:val="24"/>
          <w:szCs w:val="24"/>
          <w:lang w:val="es-ES" w:eastAsia="es-ES"/>
        </w:rPr>
      </w:pPr>
    </w:p>
    <w:p w:rsidR="000F5E0E" w:rsidRDefault="000F5E0E" w:rsidP="00826796">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6" w:name="_Toc10736000"/>
      <w:r w:rsidRPr="00826796">
        <w:rPr>
          <w:rFonts w:ascii="Palatino Linotype" w:eastAsiaTheme="majorEastAsia" w:hAnsi="Palatino Linotype" w:cstheme="majorBidi"/>
          <w:b/>
          <w:sz w:val="24"/>
          <w:szCs w:val="24"/>
        </w:rPr>
        <w:t>C O N S I D E R A N D O</w:t>
      </w:r>
      <w:bookmarkEnd w:id="56"/>
    </w:p>
    <w:p w:rsidR="00826796" w:rsidRPr="00826796" w:rsidRDefault="00826796" w:rsidP="00826796">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0F5E0E" w:rsidRDefault="000F5E0E" w:rsidP="00826796">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0736001"/>
      <w:r w:rsidRPr="00826796">
        <w:rPr>
          <w:rFonts w:ascii="Palatino Linotype" w:eastAsiaTheme="majorEastAsia" w:hAnsi="Palatino Linotype" w:cstheme="majorBidi"/>
          <w:b/>
          <w:sz w:val="24"/>
          <w:szCs w:val="24"/>
        </w:rPr>
        <w:t>PRIMERO. De la competencia.</w:t>
      </w:r>
      <w:bookmarkEnd w:id="57"/>
    </w:p>
    <w:p w:rsidR="00826796" w:rsidRPr="00826796" w:rsidRDefault="00826796" w:rsidP="00826796">
      <w:pPr>
        <w:keepNext/>
        <w:keepLines/>
        <w:spacing w:before="40" w:after="0" w:line="360" w:lineRule="auto"/>
        <w:ind w:right="-142"/>
        <w:outlineLvl w:val="1"/>
        <w:rPr>
          <w:rFonts w:ascii="Palatino Linotype" w:eastAsiaTheme="majorEastAsia" w:hAnsi="Palatino Linotype" w:cstheme="majorBidi"/>
          <w:b/>
          <w:sz w:val="24"/>
          <w:szCs w:val="24"/>
        </w:rPr>
      </w:pPr>
    </w:p>
    <w:p w:rsidR="000F5E0E" w:rsidRPr="00826796" w:rsidRDefault="000F5E0E" w:rsidP="00826796">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2679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6796">
        <w:rPr>
          <w:rFonts w:ascii="Palatino Linotype" w:eastAsia="Calibri" w:hAnsi="Palatino Linotype" w:cs="Times New Roman"/>
          <w:b/>
          <w:sz w:val="24"/>
          <w:szCs w:val="24"/>
          <w:lang w:val="es-ES" w:eastAsia="es-ES"/>
        </w:rPr>
        <w:t>Constitución Política de los Estados Unidos Mexicanos</w:t>
      </w:r>
      <w:r w:rsidRPr="00826796">
        <w:rPr>
          <w:rFonts w:ascii="Palatino Linotype" w:eastAsia="Calibri" w:hAnsi="Palatino Linotype" w:cs="Times New Roman"/>
          <w:sz w:val="24"/>
          <w:szCs w:val="24"/>
          <w:lang w:val="es-ES" w:eastAsia="es-ES"/>
        </w:rPr>
        <w:t xml:space="preserve">; 5, párrafos </w:t>
      </w:r>
      <w:r w:rsidRPr="00826796">
        <w:rPr>
          <w:rFonts w:ascii="Palatino Linotype" w:eastAsiaTheme="minorEastAsia" w:hAnsi="Palatino Linotype" w:cs="Arial"/>
          <w:bCs/>
          <w:color w:val="222222"/>
          <w:sz w:val="24"/>
          <w:szCs w:val="24"/>
          <w:lang w:val="es-ES" w:eastAsia="es-ES"/>
        </w:rPr>
        <w:t xml:space="preserve">vigésimo, vigésimo primero y vigésimo segundo </w:t>
      </w:r>
      <w:r w:rsidRPr="00826796">
        <w:rPr>
          <w:rFonts w:ascii="Palatino Linotype" w:eastAsia="Calibri" w:hAnsi="Palatino Linotype" w:cs="Times New Roman"/>
          <w:sz w:val="24"/>
          <w:szCs w:val="24"/>
          <w:lang w:val="es-ES" w:eastAsia="es-ES"/>
        </w:rPr>
        <w:t xml:space="preserve">fracciones IV y V de la </w:t>
      </w:r>
      <w:r w:rsidRPr="00826796">
        <w:rPr>
          <w:rFonts w:ascii="Palatino Linotype" w:eastAsia="Calibri" w:hAnsi="Palatino Linotype" w:cs="Times New Roman"/>
          <w:b/>
          <w:sz w:val="24"/>
          <w:szCs w:val="24"/>
          <w:lang w:val="es-ES" w:eastAsia="es-ES"/>
        </w:rPr>
        <w:t>Constitución Política del Estado Libre y Soberano de México</w:t>
      </w:r>
      <w:r w:rsidRPr="0082679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26796">
        <w:rPr>
          <w:rFonts w:ascii="Palatino Linotype" w:eastAsia="Calibri" w:hAnsi="Palatino Linotype" w:cs="Arial"/>
          <w:sz w:val="24"/>
          <w:szCs w:val="24"/>
          <w:lang w:val="es-ES" w:eastAsia="es-ES"/>
        </w:rPr>
        <w:t xml:space="preserve">de la </w:t>
      </w:r>
      <w:r w:rsidRPr="00826796">
        <w:rPr>
          <w:rFonts w:ascii="Palatino Linotype" w:eastAsia="Calibri" w:hAnsi="Palatino Linotype" w:cs="Arial"/>
          <w:b/>
          <w:sz w:val="24"/>
          <w:szCs w:val="24"/>
          <w:lang w:val="es-ES" w:eastAsia="es-ES"/>
        </w:rPr>
        <w:t>Ley de Transparencia y Acceso a la Información Pública del Estado de México y Municipios</w:t>
      </w:r>
      <w:r w:rsidRPr="00826796">
        <w:rPr>
          <w:rFonts w:ascii="Palatino Linotype" w:eastAsia="Calibri" w:hAnsi="Palatino Linotype" w:cs="Arial"/>
          <w:sz w:val="24"/>
          <w:szCs w:val="24"/>
          <w:lang w:val="es-ES" w:eastAsia="es-ES"/>
        </w:rPr>
        <w:t xml:space="preserve">; y 7, 9 fracciones I y XXIV, y 11 del </w:t>
      </w:r>
      <w:r w:rsidRPr="0082679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26796">
        <w:rPr>
          <w:rFonts w:ascii="Palatino Linotype" w:eastAsiaTheme="minorEastAsia" w:hAnsi="Palatino Linotype"/>
          <w:sz w:val="24"/>
          <w:szCs w:val="24"/>
          <w:lang w:val="es-ES_tradnl" w:eastAsia="es-ES"/>
        </w:rPr>
        <w:t>.</w:t>
      </w:r>
    </w:p>
    <w:p w:rsidR="000F5E0E" w:rsidRPr="00826796" w:rsidRDefault="000F5E0E" w:rsidP="00826796">
      <w:pPr>
        <w:keepNext/>
        <w:keepLines/>
        <w:spacing w:before="40" w:after="0" w:line="360" w:lineRule="auto"/>
        <w:ind w:right="-142"/>
        <w:outlineLvl w:val="1"/>
        <w:rPr>
          <w:rFonts w:ascii="Palatino Linotype" w:eastAsiaTheme="majorEastAsia" w:hAnsi="Palatino Linotype" w:cstheme="majorBidi"/>
          <w:b/>
          <w:sz w:val="24"/>
          <w:szCs w:val="24"/>
        </w:rPr>
      </w:pPr>
    </w:p>
    <w:p w:rsidR="000F5E0E" w:rsidRPr="00826796" w:rsidRDefault="000F5E0E" w:rsidP="00826796">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10736002"/>
      <w:r w:rsidRPr="00826796">
        <w:rPr>
          <w:rFonts w:ascii="Palatino Linotype" w:eastAsiaTheme="majorEastAsia" w:hAnsi="Palatino Linotype" w:cstheme="majorBidi"/>
          <w:b/>
          <w:sz w:val="24"/>
          <w:szCs w:val="24"/>
        </w:rPr>
        <w:t>SEGUNDO. De la oportunidad y procedencia.</w:t>
      </w:r>
      <w:bookmarkEnd w:id="58"/>
    </w:p>
    <w:p w:rsidR="000F5E0E" w:rsidRPr="00826796" w:rsidRDefault="000F5E0E" w:rsidP="00826796">
      <w:pPr>
        <w:keepNext/>
        <w:keepLines/>
        <w:spacing w:before="40" w:after="0" w:line="360" w:lineRule="auto"/>
        <w:ind w:right="-142"/>
        <w:outlineLvl w:val="1"/>
        <w:rPr>
          <w:rFonts w:ascii="Palatino Linotype" w:eastAsiaTheme="majorEastAsia" w:hAnsi="Palatino Linotype" w:cstheme="majorBidi"/>
          <w:b/>
          <w:sz w:val="24"/>
          <w:szCs w:val="24"/>
        </w:rPr>
      </w:pPr>
    </w:p>
    <w:p w:rsidR="006C1483" w:rsidRPr="00826796" w:rsidRDefault="006C1483"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 xml:space="preserve">Es de precisar, que la Ley de Transparencia y Acceso a la Información Pública del </w:t>
      </w:r>
      <w:r w:rsidRPr="00826796">
        <w:rPr>
          <w:rFonts w:ascii="Palatino Linotype" w:eastAsia="Calibri" w:hAnsi="Palatino Linotype" w:cs="Times New Roman"/>
          <w:sz w:val="24"/>
          <w:szCs w:val="24"/>
          <w:lang w:val="es-ES_tradnl" w:eastAsia="es-ES"/>
        </w:rPr>
        <w:t>Estado</w:t>
      </w:r>
      <w:r w:rsidRPr="00826796">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826796">
        <w:rPr>
          <w:rFonts w:ascii="Palatino Linotype" w:eastAsia="Calibri" w:hAnsi="Palatino Linotype" w:cs="Arial"/>
          <w:b/>
          <w:sz w:val="24"/>
          <w:szCs w:val="24"/>
          <w:lang w:val="es-ES_tradnl" w:eastAsia="es-ES"/>
        </w:rPr>
        <w:t>SUJETO OBLIGADO</w:t>
      </w:r>
      <w:r w:rsidRPr="00826796">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C1483" w:rsidRPr="00826796" w:rsidRDefault="006C1483" w:rsidP="00826796">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826796" w:rsidRDefault="006C1483"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6C1483" w:rsidRPr="00826796" w:rsidRDefault="006C1483" w:rsidP="00826796">
      <w:pPr>
        <w:spacing w:after="0" w:line="360" w:lineRule="auto"/>
        <w:ind w:right="34"/>
        <w:contextualSpacing/>
        <w:jc w:val="both"/>
        <w:rPr>
          <w:rFonts w:ascii="Palatino Linotype" w:eastAsia="Calibri" w:hAnsi="Palatino Linotype" w:cs="Arial"/>
          <w:sz w:val="24"/>
          <w:szCs w:val="24"/>
          <w:lang w:val="es-ES_tradnl" w:eastAsia="es-ES"/>
        </w:rPr>
      </w:pPr>
    </w:p>
    <w:p w:rsidR="006C1483" w:rsidRPr="00826796" w:rsidRDefault="006C1483"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6C1483" w:rsidRPr="00826796" w:rsidRDefault="006C1483" w:rsidP="00826796">
      <w:pPr>
        <w:spacing w:after="0" w:line="360" w:lineRule="auto"/>
        <w:ind w:left="567" w:right="616"/>
        <w:contextualSpacing/>
        <w:jc w:val="center"/>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“Criterio 0001-15</w:t>
      </w:r>
    </w:p>
    <w:p w:rsidR="006C1483" w:rsidRPr="00826796" w:rsidRDefault="006C1483" w:rsidP="00826796">
      <w:pPr>
        <w:spacing w:after="0" w:line="360" w:lineRule="auto"/>
        <w:ind w:left="567" w:right="616"/>
        <w:contextualSpacing/>
        <w:jc w:val="both"/>
        <w:rPr>
          <w:rFonts w:ascii="Palatino Linotype" w:eastAsia="Calibri" w:hAnsi="Palatino Linotype" w:cs="Arial"/>
          <w:i/>
          <w:sz w:val="24"/>
          <w:szCs w:val="24"/>
          <w:lang w:val="es-ES_tradnl" w:eastAsia="es-ES"/>
        </w:rPr>
      </w:pPr>
      <w:r w:rsidRPr="00826796">
        <w:rPr>
          <w:rFonts w:ascii="Palatino Linotype" w:eastAsia="Calibri" w:hAnsi="Palatino Linotype" w:cs="Arial"/>
          <w:b/>
          <w:i/>
          <w:sz w:val="24"/>
          <w:szCs w:val="24"/>
          <w:lang w:val="es-ES_tradnl" w:eastAsia="es-ES"/>
        </w:rPr>
        <w:t>NEGATIVA FICTA. PLAZO PARA INTERPONER EL RECURSO DE REVISIÓN TRATÁNDOSE DE</w:t>
      </w:r>
      <w:r w:rsidRPr="00826796">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C1483" w:rsidRPr="00826796" w:rsidRDefault="006C1483" w:rsidP="00826796">
      <w:pPr>
        <w:spacing w:after="0" w:line="360" w:lineRule="auto"/>
        <w:ind w:right="616"/>
        <w:contextualSpacing/>
        <w:jc w:val="both"/>
        <w:rPr>
          <w:rFonts w:ascii="Palatino Linotype" w:eastAsia="Calibri" w:hAnsi="Palatino Linotype" w:cs="Arial"/>
          <w:i/>
          <w:sz w:val="24"/>
          <w:szCs w:val="24"/>
          <w:lang w:val="es-ES_tradnl" w:eastAsia="es-ES"/>
        </w:rPr>
      </w:pPr>
    </w:p>
    <w:p w:rsidR="006C1483" w:rsidRPr="00826796" w:rsidRDefault="006C1483"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6C1483" w:rsidRPr="00826796" w:rsidRDefault="006C1483" w:rsidP="00826796">
      <w:pPr>
        <w:spacing w:after="0" w:line="360" w:lineRule="auto"/>
        <w:ind w:right="34"/>
        <w:contextualSpacing/>
        <w:jc w:val="both"/>
        <w:rPr>
          <w:rFonts w:ascii="Palatino Linotype" w:eastAsia="Calibri" w:hAnsi="Palatino Linotype" w:cs="Arial"/>
          <w:sz w:val="24"/>
          <w:szCs w:val="24"/>
          <w:lang w:val="es-ES_tradnl" w:eastAsia="es-ES"/>
        </w:rPr>
      </w:pPr>
    </w:p>
    <w:p w:rsidR="00A623B7" w:rsidRPr="00826796" w:rsidRDefault="006C1483"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826796">
        <w:rPr>
          <w:rFonts w:ascii="Palatino Linotype" w:eastAsia="Calibri" w:hAnsi="Palatino Linotype" w:cs="Arial"/>
          <w:b/>
          <w:sz w:val="24"/>
          <w:szCs w:val="24"/>
          <w:lang w:val="es-ES_tradnl" w:eastAsia="es-ES"/>
        </w:rPr>
        <w:t xml:space="preserve">SUJETO OBLIGADO. </w:t>
      </w:r>
    </w:p>
    <w:p w:rsidR="00A623B7" w:rsidRPr="00826796" w:rsidRDefault="00A623B7" w:rsidP="00826796">
      <w:pPr>
        <w:pStyle w:val="Prrafodelista"/>
        <w:spacing w:line="360" w:lineRule="auto"/>
        <w:rPr>
          <w:rFonts w:ascii="Palatino Linotype" w:hAnsi="Palatino Linotype" w:cs="Arial"/>
          <w:sz w:val="24"/>
          <w:szCs w:val="24"/>
        </w:rPr>
      </w:pPr>
    </w:p>
    <w:p w:rsidR="000F5E0E" w:rsidRPr="00826796" w:rsidRDefault="00A623B7" w:rsidP="00826796">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826796">
        <w:rPr>
          <w:rFonts w:ascii="Palatino Linotype" w:hAnsi="Palatino Linotype" w:cs="Arial"/>
          <w:sz w:val="24"/>
          <w:szCs w:val="24"/>
        </w:rPr>
        <w:t>E</w:t>
      </w:r>
      <w:r w:rsidR="000F5E0E" w:rsidRPr="00826796">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0F5E0E" w:rsidRPr="00826796">
        <w:rPr>
          <w:rFonts w:ascii="Palatino Linotype" w:hAnsi="Palatino Linotype" w:cs="Arial"/>
          <w:b/>
          <w:sz w:val="24"/>
          <w:szCs w:val="24"/>
        </w:rPr>
        <w:t>Ley de Transparencia y Acceso a la Información Pública del Estado de México y Municipios</w:t>
      </w:r>
      <w:r w:rsidR="000F5E0E" w:rsidRPr="00826796">
        <w:rPr>
          <w:rFonts w:ascii="Palatino Linotype" w:hAnsi="Palatino Linotype" w:cs="Arial"/>
          <w:sz w:val="24"/>
          <w:szCs w:val="24"/>
        </w:rPr>
        <w:t xml:space="preserve">, y determinar la confirmación; revocación o modificación; </w:t>
      </w:r>
      <w:proofErr w:type="spellStart"/>
      <w:r w:rsidR="000F5E0E" w:rsidRPr="00826796">
        <w:rPr>
          <w:rFonts w:ascii="Palatino Linotype" w:hAnsi="Palatino Linotype" w:cs="Arial"/>
          <w:sz w:val="24"/>
          <w:szCs w:val="24"/>
        </w:rPr>
        <w:t>desechamiento</w:t>
      </w:r>
      <w:proofErr w:type="spellEnd"/>
      <w:r w:rsidR="000F5E0E" w:rsidRPr="00826796">
        <w:rPr>
          <w:rFonts w:ascii="Palatino Linotype" w:hAnsi="Palatino Linotype" w:cs="Arial"/>
          <w:sz w:val="24"/>
          <w:szCs w:val="24"/>
        </w:rPr>
        <w:t xml:space="preserve"> o sobreseimiento; y en su caso ordenar la entrega de la información.</w:t>
      </w:r>
    </w:p>
    <w:p w:rsidR="000F5E0E" w:rsidRPr="00826796" w:rsidRDefault="000F5E0E" w:rsidP="00826796">
      <w:pPr>
        <w:spacing w:line="360" w:lineRule="auto"/>
        <w:contextualSpacing/>
        <w:rPr>
          <w:rFonts w:ascii="Palatino Linotype" w:eastAsia="Calibri" w:hAnsi="Palatino Linotype" w:cs="Arial"/>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26796">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0F5E0E" w:rsidRPr="00826796" w:rsidRDefault="000F5E0E" w:rsidP="00826796">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10736003"/>
      <w:r w:rsidRPr="00826796">
        <w:rPr>
          <w:rFonts w:ascii="Palatino Linotype" w:eastAsia="MS Mincho" w:hAnsi="Palatino Linotype" w:cstheme="majorBidi"/>
          <w:b/>
          <w:sz w:val="24"/>
          <w:szCs w:val="24"/>
          <w:lang w:val="es-ES_tradnl" w:eastAsia="es-ES"/>
        </w:rPr>
        <w:t>TERCERO. Del planteamiento de la Litis.</w:t>
      </w:r>
      <w:bookmarkEnd w:id="59"/>
      <w:bookmarkEnd w:id="60"/>
    </w:p>
    <w:p w:rsidR="000F5E0E" w:rsidRPr="00826796" w:rsidRDefault="000F5E0E" w:rsidP="00826796">
      <w:pPr>
        <w:spacing w:after="0" w:line="360" w:lineRule="auto"/>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p>
    <w:p w:rsidR="000F5E0E" w:rsidRPr="00826796" w:rsidRDefault="000F5E0E" w:rsidP="00826796">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26796">
        <w:rPr>
          <w:rFonts w:ascii="Palatino Linotype" w:hAnsi="Palatino Linotype" w:cs="Arial"/>
          <w:sz w:val="24"/>
          <w:szCs w:val="24"/>
          <w:lang w:val="es-ES_tradnl"/>
        </w:rPr>
        <w:t xml:space="preserve">En consecuencia, la Litis del presente asunto corresponde en verificar si el </w:t>
      </w:r>
      <w:r w:rsidRPr="00826796">
        <w:rPr>
          <w:rFonts w:ascii="Palatino Linotype" w:hAnsi="Palatino Linotype" w:cs="Arial"/>
          <w:b/>
          <w:sz w:val="24"/>
          <w:szCs w:val="24"/>
          <w:lang w:val="es-ES_tradnl"/>
        </w:rPr>
        <w:t>SUJETO OBLIGADO</w:t>
      </w:r>
      <w:r w:rsidRPr="00826796">
        <w:rPr>
          <w:rFonts w:ascii="Palatino Linotype" w:hAnsi="Palatino Linotype" w:cs="Arial"/>
          <w:sz w:val="24"/>
          <w:szCs w:val="24"/>
          <w:lang w:val="es-ES_tradnl"/>
        </w:rPr>
        <w:t xml:space="preserve"> cuenta con la información de acuerdo con sus facultades, competencias y atribuciones, lo anterior, a efecto de verificar </w:t>
      </w:r>
      <w:r w:rsidR="00A623B7" w:rsidRPr="00826796">
        <w:rPr>
          <w:rFonts w:ascii="Palatino Linotype" w:hAnsi="Palatino Linotype" w:cs="Arial"/>
          <w:sz w:val="24"/>
          <w:szCs w:val="24"/>
          <w:lang w:val="es-ES_tradnl"/>
        </w:rPr>
        <w:t>si es</w:t>
      </w:r>
      <w:r w:rsidRPr="00826796">
        <w:rPr>
          <w:rFonts w:ascii="Palatino Linotype" w:hAnsi="Palatino Linotype" w:cs="Arial"/>
          <w:sz w:val="24"/>
          <w:szCs w:val="24"/>
          <w:lang w:val="es-ES_tradnl"/>
        </w:rPr>
        <w:t xml:space="preserve"> susceptible de entregar la información que está siendo requerida.</w:t>
      </w:r>
    </w:p>
    <w:p w:rsidR="000F5E0E" w:rsidRPr="00826796" w:rsidRDefault="000F5E0E" w:rsidP="0082679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A623B7" w:rsidRPr="00826796" w:rsidRDefault="00A623B7" w:rsidP="00826796">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826796">
        <w:rPr>
          <w:rFonts w:ascii="Palatino Linotype" w:eastAsiaTheme="minorEastAsia" w:hAnsi="Palatino Linotype" w:cs="Arial"/>
          <w:color w:val="222222"/>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623B7" w:rsidRPr="00826796" w:rsidRDefault="00A623B7" w:rsidP="00826796">
      <w:pPr>
        <w:spacing w:after="0" w:line="360" w:lineRule="auto"/>
        <w:contextualSpacing/>
        <w:jc w:val="both"/>
        <w:rPr>
          <w:rFonts w:ascii="Palatino Linotype" w:eastAsiaTheme="minorEastAsia" w:hAnsi="Palatino Linotype" w:cs="Arial"/>
          <w:sz w:val="24"/>
          <w:szCs w:val="24"/>
          <w:lang w:val="es-ES_tradnl" w:eastAsia="es-ES"/>
        </w:rPr>
      </w:pPr>
    </w:p>
    <w:p w:rsidR="00A623B7" w:rsidRPr="00826796" w:rsidRDefault="00A623B7" w:rsidP="00826796">
      <w:pPr>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826796">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826796">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623B7" w:rsidRPr="00826796" w:rsidRDefault="00A623B7" w:rsidP="00826796">
      <w:pPr>
        <w:spacing w:after="0" w:line="360" w:lineRule="auto"/>
        <w:ind w:right="567"/>
        <w:jc w:val="both"/>
        <w:rPr>
          <w:rFonts w:ascii="Palatino Linotype" w:eastAsia="Times New Roman" w:hAnsi="Palatino Linotype" w:cs="Arial"/>
          <w:color w:val="222222"/>
          <w:sz w:val="24"/>
          <w:szCs w:val="24"/>
          <w:lang w:val="es-ES" w:eastAsia="es-ES"/>
        </w:rPr>
      </w:pPr>
    </w:p>
    <w:p w:rsidR="00A623B7" w:rsidRPr="00826796" w:rsidRDefault="00A623B7" w:rsidP="00826796">
      <w:pPr>
        <w:numPr>
          <w:ilvl w:val="0"/>
          <w:numId w:val="2"/>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826796">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826796">
        <w:rPr>
          <w:rFonts w:ascii="Palatino Linotype" w:eastAsiaTheme="minorEastAsia" w:hAnsi="Palatino Linotype" w:cs="Arial"/>
          <w:b/>
          <w:bCs/>
          <w:color w:val="222222"/>
          <w:sz w:val="24"/>
          <w:szCs w:val="24"/>
          <w:lang w:val="es-ES_tradnl" w:eastAsia="es-ES"/>
        </w:rPr>
        <w:t>SUJETO OBLIGADO</w:t>
      </w:r>
      <w:r w:rsidRPr="00826796">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A623B7" w:rsidRPr="00826796" w:rsidRDefault="00A623B7" w:rsidP="00826796">
      <w:pPr>
        <w:pStyle w:val="Prrafodelista"/>
        <w:spacing w:line="360" w:lineRule="auto"/>
        <w:rPr>
          <w:rFonts w:ascii="Palatino Linotype" w:eastAsia="MS Mincho" w:hAnsi="Palatino Linotype" w:cs="Arial"/>
          <w:sz w:val="24"/>
          <w:szCs w:val="24"/>
          <w:lang w:val="es-ES_tradnl" w:eastAsia="es-ES"/>
        </w:rPr>
      </w:pPr>
    </w:p>
    <w:p w:rsidR="000F5E0E" w:rsidRPr="00826796" w:rsidRDefault="000F5E0E" w:rsidP="00826796">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826796">
        <w:rPr>
          <w:rFonts w:ascii="Palatino Linotype" w:eastAsia="MS Mincho" w:hAnsi="Palatino Linotype" w:cs="Times New Roman"/>
          <w:b/>
          <w:sz w:val="24"/>
          <w:szCs w:val="24"/>
          <w:lang w:val="es-ES_tradnl" w:eastAsia="es-ES"/>
        </w:rPr>
        <w:t>fr</w:t>
      </w:r>
      <w:r w:rsidR="00A623B7" w:rsidRPr="00826796">
        <w:rPr>
          <w:rFonts w:ascii="Palatino Linotype" w:eastAsia="MS Mincho" w:hAnsi="Palatino Linotype" w:cs="Times New Roman"/>
          <w:b/>
          <w:sz w:val="24"/>
          <w:szCs w:val="24"/>
          <w:lang w:val="es-ES_tradnl" w:eastAsia="es-ES"/>
        </w:rPr>
        <w:t>acción XI</w:t>
      </w:r>
      <w:r w:rsidRPr="00826796">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826796">
        <w:rPr>
          <w:rFonts w:ascii="Palatino Linotype" w:eastAsia="MS Mincho" w:hAnsi="Palatino Linotype" w:cs="Times New Roman"/>
          <w:sz w:val="24"/>
          <w:szCs w:val="24"/>
          <w:lang w:val="es-ES_tradnl" w:eastAsia="es-ES"/>
        </w:rPr>
        <w:t>.</w:t>
      </w:r>
    </w:p>
    <w:p w:rsidR="000F5E0E" w:rsidRPr="00826796" w:rsidRDefault="000F5E0E" w:rsidP="00826796">
      <w:pPr>
        <w:tabs>
          <w:tab w:val="left" w:pos="4185"/>
        </w:tabs>
        <w:spacing w:after="0" w:line="360" w:lineRule="auto"/>
        <w:ind w:right="-142"/>
        <w:contextualSpacing/>
        <w:rPr>
          <w:rFonts w:ascii="Palatino Linotype" w:eastAsia="Calibri" w:hAnsi="Palatino Linotype" w:cs="Arial"/>
          <w:sz w:val="24"/>
          <w:szCs w:val="24"/>
          <w:lang w:val="es-ES" w:eastAsia="es-ES"/>
        </w:rPr>
      </w:pPr>
    </w:p>
    <w:p w:rsidR="000F5E0E" w:rsidRPr="00826796" w:rsidRDefault="000F5E0E" w:rsidP="00826796">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0736004"/>
      <w:r w:rsidRPr="00826796">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0F5E0E" w:rsidRPr="00826796" w:rsidRDefault="000F5E0E" w:rsidP="00826796">
      <w:pPr>
        <w:spacing w:line="360" w:lineRule="auto"/>
        <w:rPr>
          <w:rFonts w:ascii="Palatino Linotype" w:hAnsi="Palatino Linotype"/>
          <w:sz w:val="24"/>
          <w:szCs w:val="24"/>
          <w:lang w:val="es-ES_tradnl" w:eastAsia="es-ES"/>
        </w:rPr>
      </w:pPr>
    </w:p>
    <w:p w:rsidR="000F5E0E" w:rsidRPr="00826796" w:rsidRDefault="000F5E0E" w:rsidP="00826796">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0736005"/>
      <w:r w:rsidRPr="00826796">
        <w:rPr>
          <w:rFonts w:ascii="Palatino Linotype" w:eastAsia="MS Gothic" w:hAnsi="Palatino Linotype" w:cstheme="majorBidi"/>
          <w:b/>
          <w:i/>
          <w:noProof/>
          <w:sz w:val="24"/>
          <w:szCs w:val="24"/>
        </w:rPr>
        <w:t>El derecho de acceso a la información publica</w:t>
      </w:r>
      <w:bookmarkEnd w:id="71"/>
      <w:r w:rsidRPr="00826796">
        <w:rPr>
          <w:rFonts w:ascii="Palatino Linotype" w:eastAsia="MS Mincho" w:hAnsi="Palatino Linotype" w:cs="Arial"/>
          <w:b/>
          <w:i/>
          <w:sz w:val="24"/>
          <w:szCs w:val="24"/>
          <w:lang w:val="es-ES_tradnl" w:eastAsia="es-MX"/>
        </w:rPr>
        <w:t>.</w:t>
      </w:r>
      <w:bookmarkEnd w:id="72"/>
    </w:p>
    <w:p w:rsidR="000F5E0E" w:rsidRPr="00826796" w:rsidRDefault="000F5E0E" w:rsidP="00826796">
      <w:pPr>
        <w:spacing w:after="0" w:line="360" w:lineRule="auto"/>
        <w:contextualSpacing/>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F5E0E" w:rsidRPr="00826796" w:rsidRDefault="000F5E0E" w:rsidP="00826796">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826796" w:rsidRDefault="000F5E0E" w:rsidP="00826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F5E0E" w:rsidRPr="00826796" w:rsidRDefault="000F5E0E" w:rsidP="00826796">
      <w:pPr>
        <w:spacing w:after="0" w:line="360" w:lineRule="auto"/>
        <w:ind w:right="49"/>
        <w:contextualSpacing/>
        <w:jc w:val="both"/>
        <w:rPr>
          <w:rFonts w:ascii="Palatino Linotype" w:eastAsia="MS Mincho" w:hAnsi="Palatino Linotype" w:cs="Times New Roman"/>
          <w:sz w:val="24"/>
          <w:szCs w:val="24"/>
          <w:lang w:val="es-ES_tradnl" w:eastAsia="es-ES"/>
        </w:rPr>
      </w:pPr>
    </w:p>
    <w:p w:rsidR="000F5E0E" w:rsidRPr="00826796" w:rsidRDefault="000F5E0E" w:rsidP="00826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0F5E0E" w:rsidRPr="00826796" w:rsidRDefault="000F5E0E" w:rsidP="00826796">
      <w:pPr>
        <w:spacing w:after="0" w:line="360" w:lineRule="auto"/>
        <w:contextualSpacing/>
        <w:rPr>
          <w:rFonts w:ascii="Palatino Linotype" w:eastAsia="MS Mincho" w:hAnsi="Palatino Linotype" w:cs="Times New Roman"/>
          <w:sz w:val="24"/>
          <w:szCs w:val="24"/>
          <w:lang w:val="es-ES_tradnl" w:eastAsia="es-ES"/>
        </w:rPr>
      </w:pPr>
    </w:p>
    <w:p w:rsidR="000F5E0E" w:rsidRPr="00826796" w:rsidRDefault="000F5E0E" w:rsidP="00826796">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A623B7" w:rsidRPr="00826796">
        <w:rPr>
          <w:rFonts w:ascii="Palatino Linotype" w:eastAsia="MS Mincho" w:hAnsi="Palatino Linotype" w:cs="Times New Roman"/>
          <w:sz w:val="24"/>
          <w:szCs w:val="24"/>
          <w:lang w:val="es-ES_tradnl" w:eastAsia="es-ES"/>
        </w:rPr>
        <w:t>Ley.” situación que no ocurrió en el presente caso.</w:t>
      </w:r>
    </w:p>
    <w:p w:rsidR="000F5E0E" w:rsidRPr="00826796" w:rsidRDefault="000F5E0E" w:rsidP="00826796">
      <w:pPr>
        <w:spacing w:after="0" w:line="360" w:lineRule="auto"/>
        <w:ind w:right="34"/>
        <w:contextualSpacing/>
        <w:jc w:val="both"/>
        <w:rPr>
          <w:rFonts w:ascii="Palatino Linotype" w:eastAsia="MS Mincho" w:hAnsi="Palatino Linotype" w:cs="Times New Roman"/>
          <w:sz w:val="24"/>
          <w:szCs w:val="24"/>
          <w:lang w:val="es-ES_tradnl" w:eastAsia="es-ES"/>
        </w:rPr>
      </w:pPr>
    </w:p>
    <w:p w:rsidR="00A623B7" w:rsidRDefault="00A623B7" w:rsidP="0082679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 xml:space="preserve">En el presente recurso es menester señalar que el </w:t>
      </w:r>
      <w:r w:rsidRPr="00826796">
        <w:rPr>
          <w:rFonts w:ascii="Palatino Linotype" w:eastAsia="MS Mincho" w:hAnsi="Palatino Linotype" w:cs="Arial"/>
          <w:b/>
          <w:sz w:val="24"/>
          <w:szCs w:val="24"/>
          <w:lang w:val="es-ES_tradnl" w:eastAsia="es-ES"/>
        </w:rPr>
        <w:t xml:space="preserve">SUJETO OBLIGADO </w:t>
      </w:r>
      <w:r w:rsidRPr="00826796">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proporcionar documento alguno que permita deducir dicha circunstancia; por lo que, resulta evidente que las razones o motivos de inconformidad hechos valer por la Recurrente resultan fundadas y procedentes, en virtud de que efectivamente </w:t>
      </w:r>
      <w:r w:rsidRPr="00826796">
        <w:rPr>
          <w:rFonts w:ascii="Palatino Linotype" w:eastAsia="MS Mincho" w:hAnsi="Palatino Linotype" w:cs="Arial"/>
          <w:b/>
          <w:sz w:val="24"/>
          <w:szCs w:val="24"/>
          <w:lang w:val="es-ES_tradnl" w:eastAsia="es-ES"/>
        </w:rPr>
        <w:t>SUJETO OBLIGADO</w:t>
      </w:r>
      <w:r w:rsidRPr="00826796">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826796" w:rsidRPr="00826796" w:rsidRDefault="00826796" w:rsidP="00826796">
      <w:pPr>
        <w:spacing w:after="0" w:line="360" w:lineRule="auto"/>
        <w:ind w:right="34"/>
        <w:contextualSpacing/>
        <w:jc w:val="both"/>
        <w:rPr>
          <w:rFonts w:ascii="Palatino Linotype" w:eastAsia="MS Mincho" w:hAnsi="Palatino Linotype" w:cs="Arial"/>
          <w:sz w:val="24"/>
          <w:szCs w:val="24"/>
          <w:lang w:val="es-ES_tradnl" w:eastAsia="es-ES"/>
        </w:rPr>
      </w:pPr>
    </w:p>
    <w:p w:rsidR="000F5E0E" w:rsidRPr="00826796" w:rsidRDefault="000F5E0E" w:rsidP="0082679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Times New Roman"/>
          <w:sz w:val="24"/>
          <w:szCs w:val="24"/>
          <w:lang w:val="es-ES_tradnl" w:eastAsia="es-ES"/>
        </w:rPr>
        <w:t>Derivado</w:t>
      </w:r>
      <w:r w:rsidRPr="00826796">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A623B7" w:rsidRPr="00826796" w:rsidRDefault="00A623B7" w:rsidP="00826796">
      <w:pPr>
        <w:spacing w:after="0" w:line="360" w:lineRule="auto"/>
        <w:ind w:right="34"/>
        <w:contextualSpacing/>
        <w:jc w:val="both"/>
        <w:rPr>
          <w:rFonts w:ascii="Palatino Linotype" w:eastAsia="MS Mincho" w:hAnsi="Palatino Linotype" w:cs="Arial"/>
          <w:sz w:val="24"/>
          <w:szCs w:val="24"/>
          <w:lang w:val="es-ES_tradnl" w:eastAsia="es-ES"/>
        </w:rPr>
      </w:pPr>
    </w:p>
    <w:p w:rsidR="000F5E0E" w:rsidRPr="00826796" w:rsidRDefault="000F5E0E" w:rsidP="00826796">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0F5E0E" w:rsidRPr="00826796" w:rsidRDefault="000F5E0E" w:rsidP="00826796">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3" w:name="_Toc10736006"/>
      <w:r w:rsidRPr="00826796">
        <w:rPr>
          <w:rFonts w:ascii="Palatino Linotype" w:eastAsia="MS Mincho" w:hAnsi="Palatino Linotype" w:cstheme="majorBidi"/>
          <w:b/>
          <w:i/>
          <w:sz w:val="24"/>
          <w:szCs w:val="24"/>
          <w:lang w:val="es-ES_tradnl" w:eastAsia="es-ES"/>
        </w:rPr>
        <w:t xml:space="preserve">II. </w:t>
      </w:r>
      <w:r w:rsidR="00A623B7" w:rsidRPr="00826796">
        <w:rPr>
          <w:rFonts w:ascii="Palatino Linotype" w:eastAsia="MS Mincho" w:hAnsi="Palatino Linotype" w:cstheme="majorBidi"/>
          <w:b/>
          <w:i/>
          <w:sz w:val="24"/>
          <w:szCs w:val="24"/>
          <w:lang w:val="es-ES_tradnl" w:eastAsia="es-ES"/>
        </w:rPr>
        <w:t>De la fuente obligacional del Sujeto Obligado.</w:t>
      </w:r>
      <w:bookmarkEnd w:id="73"/>
    </w:p>
    <w:p w:rsidR="000F5E0E" w:rsidRPr="00826796" w:rsidRDefault="000F5E0E" w:rsidP="00826796">
      <w:pPr>
        <w:spacing w:line="360" w:lineRule="auto"/>
        <w:rPr>
          <w:rFonts w:ascii="Palatino Linotype" w:hAnsi="Palatino Linotype"/>
          <w:sz w:val="24"/>
          <w:szCs w:val="24"/>
          <w:lang w:val="es-ES_tradnl" w:eastAsia="es-ES"/>
        </w:rPr>
      </w:pPr>
    </w:p>
    <w:p w:rsidR="00826796" w:rsidRDefault="00A623B7" w:rsidP="00826796">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826796">
        <w:rPr>
          <w:rFonts w:ascii="Palatino Linotype" w:eastAsia="MS Mincho" w:hAnsi="Palatino Linotype" w:cstheme="majorBidi"/>
          <w:sz w:val="24"/>
          <w:szCs w:val="24"/>
          <w:lang w:val="es-ES_tradnl" w:eastAsia="es-ES"/>
        </w:rPr>
        <w:t>Previo al análisis es necesario precisar la información a la que pretende acceder el particular, misma que resulta ser la correspondientes a:</w:t>
      </w:r>
    </w:p>
    <w:p w:rsidR="00826796" w:rsidRPr="00826796" w:rsidRDefault="00826796" w:rsidP="00826796">
      <w:pPr>
        <w:spacing w:after="120" w:line="360" w:lineRule="auto"/>
        <w:ind w:right="49"/>
        <w:contextualSpacing/>
        <w:jc w:val="both"/>
        <w:rPr>
          <w:rFonts w:ascii="Palatino Linotype" w:eastAsia="MS Mincho" w:hAnsi="Palatino Linotype" w:cstheme="majorBidi"/>
          <w:sz w:val="24"/>
          <w:szCs w:val="24"/>
          <w:lang w:val="es-ES_tradnl" w:eastAsia="es-ES"/>
        </w:rPr>
      </w:pPr>
    </w:p>
    <w:p w:rsidR="00826796" w:rsidRDefault="003A1D3B" w:rsidP="00826796">
      <w:pPr>
        <w:pStyle w:val="Prrafodelista"/>
        <w:numPr>
          <w:ilvl w:val="0"/>
          <w:numId w:val="7"/>
        </w:numPr>
        <w:spacing w:after="120" w:line="360" w:lineRule="auto"/>
        <w:ind w:right="616"/>
        <w:jc w:val="both"/>
        <w:rPr>
          <w:rFonts w:ascii="Palatino Linotype" w:eastAsia="MS Mincho" w:hAnsi="Palatino Linotype" w:cstheme="majorBidi"/>
          <w:b/>
          <w:sz w:val="24"/>
          <w:szCs w:val="24"/>
          <w:lang w:val="es-ES_tradnl" w:eastAsia="es-ES"/>
        </w:rPr>
      </w:pPr>
      <w:r w:rsidRPr="00826796">
        <w:rPr>
          <w:rFonts w:ascii="Palatino Linotype" w:eastAsia="MS Mincho" w:hAnsi="Palatino Linotype" w:cstheme="majorBidi"/>
          <w:b/>
          <w:sz w:val="24"/>
          <w:szCs w:val="24"/>
          <w:lang w:val="es-ES_tradnl" w:eastAsia="es-ES"/>
        </w:rPr>
        <w:t>Nómina</w:t>
      </w:r>
      <w:r w:rsidR="00A623B7" w:rsidRPr="00826796">
        <w:rPr>
          <w:rFonts w:ascii="Palatino Linotype" w:eastAsia="MS Mincho" w:hAnsi="Palatino Linotype" w:cstheme="majorBidi"/>
          <w:b/>
          <w:sz w:val="24"/>
          <w:szCs w:val="24"/>
          <w:lang w:val="es-ES_tradnl" w:eastAsia="es-ES"/>
        </w:rPr>
        <w:t xml:space="preserve"> de</w:t>
      </w:r>
      <w:r w:rsidRPr="00826796">
        <w:rPr>
          <w:rFonts w:ascii="Palatino Linotype" w:eastAsia="MS Mincho" w:hAnsi="Palatino Linotype" w:cstheme="majorBidi"/>
          <w:b/>
          <w:sz w:val="24"/>
          <w:szCs w:val="24"/>
          <w:lang w:val="es-ES_tradnl" w:eastAsia="es-ES"/>
        </w:rPr>
        <w:t xml:space="preserve"> todo el personal que labora en la presidencia municipal correspondiente a la segunda quincena del mes febrero 2019, en formato Excel.</w:t>
      </w:r>
    </w:p>
    <w:p w:rsidR="00826796" w:rsidRPr="00826796" w:rsidRDefault="00826796" w:rsidP="00826796">
      <w:pPr>
        <w:pStyle w:val="Prrafodelista"/>
        <w:spacing w:after="120" w:line="360" w:lineRule="auto"/>
        <w:ind w:right="616"/>
        <w:jc w:val="both"/>
        <w:rPr>
          <w:rFonts w:ascii="Palatino Linotype" w:eastAsia="MS Mincho" w:hAnsi="Palatino Linotype" w:cstheme="majorBidi"/>
          <w:b/>
          <w:sz w:val="24"/>
          <w:szCs w:val="24"/>
          <w:lang w:val="es-ES_tradnl" w:eastAsia="es-ES"/>
        </w:rPr>
      </w:pPr>
    </w:p>
    <w:p w:rsidR="003A1D3B" w:rsidRPr="00826796" w:rsidRDefault="003A1D3B" w:rsidP="0082679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3A1D3B" w:rsidRPr="00826796" w:rsidRDefault="003A1D3B" w:rsidP="00826796">
      <w:pPr>
        <w:spacing w:after="0" w:line="360" w:lineRule="auto"/>
        <w:contextualSpacing/>
        <w:rPr>
          <w:rFonts w:ascii="Palatino Linotype" w:eastAsia="MS Mincho" w:hAnsi="Palatino Linotype" w:cs="Arial"/>
          <w:sz w:val="24"/>
          <w:szCs w:val="24"/>
          <w:lang w:val="es-ES_tradnl" w:eastAsia="es-ES"/>
        </w:rPr>
      </w:pPr>
    </w:p>
    <w:p w:rsidR="003A1D3B" w:rsidRPr="00826796" w:rsidRDefault="003A1D3B" w:rsidP="00826796">
      <w:pPr>
        <w:spacing w:after="0" w:line="360" w:lineRule="auto"/>
        <w:ind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826796">
        <w:rPr>
          <w:rFonts w:ascii="Palatino Linotype" w:eastAsia="MS Mincho" w:hAnsi="Palatino Linotype" w:cs="Times New Roman"/>
          <w:b/>
          <w:i/>
          <w:sz w:val="24"/>
          <w:szCs w:val="24"/>
          <w:lang w:val="es-ES_tradnl" w:eastAsia="es-ES"/>
        </w:rPr>
        <w:t>proteger</w:t>
      </w:r>
      <w:r w:rsidRPr="00826796">
        <w:rPr>
          <w:rFonts w:ascii="Palatino Linotype" w:eastAsia="MS Mincho" w:hAnsi="Palatino Linotype" w:cs="Arial"/>
          <w:b/>
          <w:i/>
          <w:sz w:val="24"/>
          <w:szCs w:val="24"/>
          <w:lang w:val="es-ES_tradnl" w:eastAsia="es-ES"/>
        </w:rPr>
        <w:t xml:space="preserve"> los datos personales que obren en su poder</w:t>
      </w:r>
      <w:r w:rsidRPr="00826796">
        <w:rPr>
          <w:rFonts w:ascii="Palatino Linotype" w:eastAsia="MS Mincho" w:hAnsi="Palatino Linotype" w:cs="Arial"/>
          <w:i/>
          <w:sz w:val="24"/>
          <w:szCs w:val="24"/>
          <w:lang w:val="es-ES_tradnl" w:eastAsia="es-ES"/>
        </w:rPr>
        <w:t>:</w:t>
      </w:r>
    </w:p>
    <w:p w:rsidR="003A1D3B" w:rsidRPr="00826796" w:rsidRDefault="003A1D3B" w:rsidP="00826796">
      <w:pPr>
        <w:spacing w:after="0" w:line="360" w:lineRule="auto"/>
        <w:ind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w:t>
      </w:r>
    </w:p>
    <w:p w:rsidR="003A1D3B" w:rsidRPr="00826796" w:rsidRDefault="003A1D3B" w:rsidP="00826796">
      <w:pPr>
        <w:spacing w:after="0" w:line="360" w:lineRule="auto"/>
        <w:ind w:right="616"/>
        <w:jc w:val="both"/>
        <w:rPr>
          <w:rFonts w:ascii="Palatino Linotype" w:eastAsia="MS Mincho" w:hAnsi="Palatino Linotype" w:cs="Arial"/>
          <w:b/>
          <w:i/>
          <w:sz w:val="24"/>
          <w:szCs w:val="24"/>
          <w:lang w:val="es-ES_tradnl" w:eastAsia="es-ES"/>
        </w:rPr>
      </w:pPr>
      <w:r w:rsidRPr="00826796">
        <w:rPr>
          <w:rFonts w:ascii="Palatino Linotype" w:eastAsia="MS Mincho" w:hAnsi="Palatino Linotype" w:cs="Arial"/>
          <w:b/>
          <w:i/>
          <w:sz w:val="24"/>
          <w:szCs w:val="24"/>
          <w:lang w:val="es-ES_tradnl" w:eastAsia="es-ES"/>
        </w:rPr>
        <w:t xml:space="preserve">IV. </w:t>
      </w:r>
      <w:r w:rsidRPr="00826796">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3A1D3B" w:rsidRPr="00826796" w:rsidRDefault="003A1D3B" w:rsidP="00826796">
      <w:pPr>
        <w:spacing w:after="0" w:line="360" w:lineRule="auto"/>
        <w:ind w:right="616"/>
        <w:jc w:val="both"/>
        <w:rPr>
          <w:rFonts w:ascii="Palatino Linotype" w:eastAsia="MS Mincho" w:hAnsi="Palatino Linotype" w:cs="Arial"/>
          <w:b/>
          <w:i/>
          <w:sz w:val="24"/>
          <w:szCs w:val="24"/>
          <w:lang w:val="es-ES_tradnl" w:eastAsia="es-ES"/>
        </w:rPr>
      </w:pPr>
      <w:r w:rsidRPr="00826796">
        <w:rPr>
          <w:rFonts w:ascii="Palatino Linotype" w:eastAsia="MS Mincho" w:hAnsi="Palatino Linotype" w:cs="Arial"/>
          <w:b/>
          <w:i/>
          <w:sz w:val="24"/>
          <w:szCs w:val="24"/>
          <w:lang w:val="es-ES_tradnl" w:eastAsia="es-ES"/>
        </w:rPr>
        <w:t>…</w:t>
      </w:r>
    </w:p>
    <w:p w:rsidR="003A1D3B" w:rsidRPr="00826796" w:rsidRDefault="003A1D3B" w:rsidP="00826796">
      <w:pPr>
        <w:spacing w:after="0" w:line="360" w:lineRule="auto"/>
        <w:ind w:right="616"/>
        <w:jc w:val="both"/>
        <w:rPr>
          <w:rFonts w:ascii="Palatino Linotype" w:eastAsia="MS Mincho" w:hAnsi="Palatino Linotype" w:cs="Times New Roman"/>
          <w:b/>
          <w:i/>
          <w:sz w:val="24"/>
          <w:szCs w:val="24"/>
          <w:lang w:val="es-ES_tradnl" w:eastAsia="es-ES"/>
        </w:rPr>
      </w:pPr>
      <w:r w:rsidRPr="00826796">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826796">
        <w:rPr>
          <w:rFonts w:ascii="Palatino Linotype" w:eastAsia="MS Mincho" w:hAnsi="Palatino Linotype" w:cs="Times New Roman"/>
          <w:i/>
          <w:sz w:val="24"/>
          <w:szCs w:val="24"/>
          <w:lang w:val="es-ES_tradnl" w:eastAsia="es-ES"/>
        </w:rPr>
        <w:t xml:space="preserve">, </w:t>
      </w:r>
      <w:r w:rsidRPr="00826796">
        <w:rPr>
          <w:rFonts w:ascii="Palatino Linotype" w:eastAsia="MS Mincho" w:hAnsi="Palatino Linotype" w:cs="Times New Roman"/>
          <w:b/>
          <w:i/>
          <w:sz w:val="24"/>
          <w:szCs w:val="24"/>
          <w:lang w:val="es-ES_tradnl" w:eastAsia="es-ES"/>
        </w:rPr>
        <w:t>así como</w:t>
      </w:r>
      <w:r w:rsidRPr="00826796">
        <w:rPr>
          <w:rFonts w:ascii="Palatino Linotype" w:eastAsia="MS Mincho" w:hAnsi="Palatino Linotype" w:cs="Times New Roman"/>
          <w:i/>
          <w:sz w:val="24"/>
          <w:szCs w:val="24"/>
          <w:lang w:val="es-ES_tradnl" w:eastAsia="es-ES"/>
        </w:rPr>
        <w:t xml:space="preserve"> </w:t>
      </w:r>
      <w:r w:rsidRPr="00826796">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3A1D3B" w:rsidRPr="00826796" w:rsidRDefault="003A1D3B" w:rsidP="00826796">
      <w:pPr>
        <w:spacing w:after="0" w:line="360" w:lineRule="auto"/>
        <w:ind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3A1D3B" w:rsidRPr="00826796" w:rsidRDefault="003A1D3B" w:rsidP="00826796">
      <w:pPr>
        <w:spacing w:after="0" w:line="360" w:lineRule="auto"/>
        <w:ind w:right="757"/>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(Énfasis añadido)</w:t>
      </w:r>
    </w:p>
    <w:p w:rsidR="003A1D3B" w:rsidRPr="00826796" w:rsidRDefault="003A1D3B" w:rsidP="00826796">
      <w:pPr>
        <w:spacing w:after="0" w:line="360" w:lineRule="auto"/>
        <w:jc w:val="both"/>
        <w:rPr>
          <w:rFonts w:ascii="Palatino Linotype" w:eastAsia="MS Mincho" w:hAnsi="Palatino Linotype" w:cs="Arial"/>
          <w:sz w:val="24"/>
          <w:szCs w:val="24"/>
          <w:lang w:val="es-ES_tradnl" w:eastAsia="es-ES"/>
        </w:rPr>
      </w:pPr>
    </w:p>
    <w:p w:rsidR="003A1D3B" w:rsidRPr="00826796" w:rsidRDefault="003A1D3B" w:rsidP="00826796">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Ayuntamiento de Tecámac, con el fin de que los particulares conozcan toda aquella información que es considerada como pública. </w:t>
      </w:r>
    </w:p>
    <w:p w:rsidR="005D30E6" w:rsidRPr="00826796" w:rsidRDefault="005D30E6" w:rsidP="00826796">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sz w:val="24"/>
          <w:szCs w:val="24"/>
        </w:rPr>
      </w:pPr>
      <w:r w:rsidRPr="00826796">
        <w:rPr>
          <w:rFonts w:ascii="Palatino Linotype" w:eastAsia="Calibri" w:hAnsi="Palatino Linotype" w:cs="Arial"/>
          <w:color w:val="000000" w:themeColor="text1"/>
          <w:sz w:val="24"/>
          <w:szCs w:val="24"/>
        </w:rPr>
        <w:t>Ante ello el</w:t>
      </w:r>
      <w:r w:rsidRPr="00826796">
        <w:rPr>
          <w:rFonts w:ascii="Palatino Linotype" w:hAnsi="Palatino Linotype" w:cs="Arial"/>
          <w:color w:val="000000" w:themeColor="text1"/>
          <w:sz w:val="24"/>
          <w:szCs w:val="24"/>
        </w:rPr>
        <w:t xml:space="preserve"> </w:t>
      </w:r>
      <w:r w:rsidRPr="00826796">
        <w:rPr>
          <w:rFonts w:ascii="Palatino Linotype" w:hAnsi="Palatino Linotype" w:cs="Arial"/>
          <w:b/>
          <w:color w:val="000000" w:themeColor="text1"/>
          <w:sz w:val="24"/>
          <w:szCs w:val="24"/>
        </w:rPr>
        <w:t>SUJETO OBLIGADO</w:t>
      </w:r>
      <w:r w:rsidRPr="00826796">
        <w:rPr>
          <w:rFonts w:ascii="Palatino Linotype" w:hAnsi="Palatino Linotype" w:cs="Arial"/>
          <w:color w:val="000000" w:themeColor="text1"/>
          <w:sz w:val="24"/>
          <w:szCs w:val="24"/>
        </w:rPr>
        <w:t xml:space="preserve"> omitió enviar respuesta y tampoco envió informe justificado para manifestar lo que a su derecho asistiera y conviniera o bien para entregar lo solicitado, información a la que le reviste el carácter de </w:t>
      </w:r>
      <w:r w:rsidRPr="00826796">
        <w:rPr>
          <w:rFonts w:ascii="Palatino Linotype" w:hAnsi="Palatino Linotype" w:cs="Arial"/>
          <w:b/>
          <w:color w:val="000000" w:themeColor="text1"/>
          <w:sz w:val="24"/>
          <w:szCs w:val="24"/>
          <w:u w:val="single"/>
        </w:rPr>
        <w:t>pública</w:t>
      </w:r>
      <w:r w:rsidRPr="00826796">
        <w:rPr>
          <w:rFonts w:ascii="Palatino Linotype" w:hAnsi="Palatino Linotype" w:cs="Arial"/>
          <w:color w:val="000000" w:themeColor="text1"/>
          <w:sz w:val="24"/>
          <w:szCs w:val="24"/>
        </w:rPr>
        <w:t xml:space="preserve">, de conformidad con </w:t>
      </w:r>
      <w:r w:rsidRPr="00826796">
        <w:rPr>
          <w:rFonts w:ascii="Palatino Linotype" w:eastAsia="MS Mincho" w:hAnsi="Palatino Linotype" w:cs="Arial"/>
          <w:color w:val="000000" w:themeColor="text1"/>
          <w:sz w:val="24"/>
          <w:szCs w:val="24"/>
        </w:rPr>
        <w:t xml:space="preserve">el artículo 70 de la </w:t>
      </w:r>
      <w:r w:rsidRPr="00826796">
        <w:rPr>
          <w:rFonts w:ascii="Palatino Linotype" w:eastAsia="MS Mincho" w:hAnsi="Palatino Linotype" w:cs="Arial"/>
          <w:b/>
          <w:color w:val="000000" w:themeColor="text1"/>
          <w:sz w:val="24"/>
          <w:szCs w:val="24"/>
        </w:rPr>
        <w:t>Ley General de Transparencia y Acceso a la Información Pública</w:t>
      </w:r>
      <w:r w:rsidRPr="00826796">
        <w:rPr>
          <w:rFonts w:ascii="Palatino Linotype" w:eastAsia="MS Mincho" w:hAnsi="Palatino Linotype" w:cs="Arial"/>
          <w:color w:val="000000" w:themeColor="text1"/>
          <w:sz w:val="24"/>
          <w:szCs w:val="24"/>
        </w:rPr>
        <w:t xml:space="preserve"> que dispone lo siguiente:</w:t>
      </w:r>
    </w:p>
    <w:p w:rsidR="005D30E6" w:rsidRPr="00826796" w:rsidRDefault="005D30E6" w:rsidP="00826796">
      <w:pPr>
        <w:spacing w:before="240" w:after="240" w:line="360" w:lineRule="auto"/>
        <w:ind w:left="851"/>
        <w:contextualSpacing/>
        <w:jc w:val="both"/>
        <w:rPr>
          <w:rFonts w:ascii="Palatino Linotype" w:eastAsia="MS Mincho" w:hAnsi="Palatino Linotype" w:cs="Arial"/>
          <w:color w:val="000000" w:themeColor="text1"/>
          <w:sz w:val="24"/>
          <w:szCs w:val="24"/>
        </w:rPr>
      </w:pPr>
    </w:p>
    <w:p w:rsidR="005D30E6" w:rsidRPr="00826796" w:rsidRDefault="005D30E6" w:rsidP="00826796">
      <w:pPr>
        <w:spacing w:line="360" w:lineRule="auto"/>
        <w:ind w:left="567" w:right="616"/>
        <w:jc w:val="both"/>
        <w:rPr>
          <w:rFonts w:ascii="Palatino Linotype" w:eastAsia="Times New Roman" w:hAnsi="Palatino Linotype" w:cs="Arial"/>
          <w:i/>
          <w:color w:val="000000" w:themeColor="text1"/>
          <w:sz w:val="24"/>
          <w:szCs w:val="24"/>
          <w:lang w:val="es-ES"/>
        </w:rPr>
      </w:pPr>
      <w:r w:rsidRPr="00826796">
        <w:rPr>
          <w:rFonts w:ascii="Palatino Linotype" w:eastAsia="Times New Roman" w:hAnsi="Palatino Linotype" w:cs="Arial"/>
          <w:i/>
          <w:color w:val="000000" w:themeColor="text1"/>
          <w:sz w:val="24"/>
          <w:szCs w:val="24"/>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5D30E6" w:rsidRPr="00826796" w:rsidRDefault="005D30E6" w:rsidP="00826796">
      <w:pPr>
        <w:spacing w:line="360" w:lineRule="auto"/>
        <w:ind w:left="567" w:right="616"/>
        <w:jc w:val="both"/>
        <w:rPr>
          <w:rFonts w:ascii="Palatino Linotype" w:eastAsia="Times New Roman" w:hAnsi="Palatino Linotype" w:cs="Arial"/>
          <w:i/>
          <w:color w:val="000000" w:themeColor="text1"/>
          <w:sz w:val="24"/>
          <w:szCs w:val="24"/>
          <w:lang w:val="es-ES"/>
        </w:rPr>
      </w:pPr>
      <w:r w:rsidRPr="00826796">
        <w:rPr>
          <w:rFonts w:ascii="Palatino Linotype" w:eastAsia="Times New Roman" w:hAnsi="Palatino Linotype" w:cs="Arial"/>
          <w:i/>
          <w:color w:val="000000" w:themeColor="text1"/>
          <w:sz w:val="24"/>
          <w:szCs w:val="24"/>
          <w:lang w:val="es-ES"/>
        </w:rPr>
        <w:t>…</w:t>
      </w:r>
    </w:p>
    <w:p w:rsidR="005D30E6" w:rsidRPr="00826796" w:rsidRDefault="005D30E6" w:rsidP="00826796">
      <w:pPr>
        <w:spacing w:line="360" w:lineRule="auto"/>
        <w:ind w:left="567" w:right="616"/>
        <w:jc w:val="both"/>
        <w:rPr>
          <w:rFonts w:ascii="Palatino Linotype" w:eastAsia="Times New Roman" w:hAnsi="Palatino Linotype" w:cs="Arial"/>
          <w:b/>
          <w:i/>
          <w:color w:val="000000" w:themeColor="text1"/>
          <w:sz w:val="24"/>
          <w:szCs w:val="24"/>
          <w:lang w:val="es-ES"/>
        </w:rPr>
      </w:pPr>
      <w:r w:rsidRPr="00826796">
        <w:rPr>
          <w:rFonts w:ascii="Palatino Linotype" w:eastAsia="Times New Roman" w:hAnsi="Palatino Linotype" w:cs="Arial"/>
          <w:b/>
          <w:i/>
          <w:color w:val="000000" w:themeColor="text1"/>
          <w:sz w:val="24"/>
          <w:szCs w:val="24"/>
          <w:lang w:val="es-ES"/>
        </w:rPr>
        <w:t>VIII.</w:t>
      </w:r>
      <w:r w:rsidRPr="00826796">
        <w:rPr>
          <w:rFonts w:ascii="Palatino Linotype" w:eastAsia="Times New Roman" w:hAnsi="Palatino Linotype" w:cs="Arial"/>
          <w:b/>
          <w:i/>
          <w:color w:val="000000" w:themeColor="text1"/>
          <w:sz w:val="24"/>
          <w:szCs w:val="24"/>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5D30E6" w:rsidRPr="00826796" w:rsidRDefault="005D30E6" w:rsidP="00826796">
      <w:pPr>
        <w:spacing w:line="360" w:lineRule="auto"/>
        <w:ind w:left="567" w:right="616"/>
        <w:jc w:val="both"/>
        <w:rPr>
          <w:rFonts w:ascii="Palatino Linotype" w:eastAsia="Times New Roman" w:hAnsi="Palatino Linotype" w:cs="Arial"/>
          <w:color w:val="000000" w:themeColor="text1"/>
          <w:sz w:val="24"/>
          <w:szCs w:val="24"/>
          <w:lang w:val="es-ES"/>
        </w:rPr>
      </w:pPr>
      <w:r w:rsidRPr="00826796">
        <w:rPr>
          <w:rFonts w:ascii="Palatino Linotype" w:eastAsia="Times New Roman" w:hAnsi="Palatino Linotype" w:cs="Arial"/>
          <w:color w:val="000000" w:themeColor="text1"/>
          <w:sz w:val="24"/>
          <w:szCs w:val="24"/>
          <w:lang w:val="es-ES"/>
        </w:rPr>
        <w:t>…</w:t>
      </w:r>
    </w:p>
    <w:p w:rsidR="005D30E6" w:rsidRPr="00826796" w:rsidRDefault="005D30E6" w:rsidP="00826796">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sz w:val="24"/>
          <w:szCs w:val="24"/>
        </w:rPr>
      </w:pPr>
      <w:r w:rsidRPr="00826796">
        <w:rPr>
          <w:rFonts w:ascii="Palatino Linotype" w:eastAsia="MS Mincho" w:hAnsi="Palatino Linotype" w:cs="Arial"/>
          <w:color w:val="000000" w:themeColor="text1"/>
          <w:sz w:val="24"/>
          <w:szCs w:val="24"/>
        </w:rPr>
        <w:t xml:space="preserve">Robustece lo anterior, el artículo 92, fracción VIII de la </w:t>
      </w:r>
      <w:r w:rsidRPr="00826796">
        <w:rPr>
          <w:rFonts w:ascii="Palatino Linotype" w:eastAsia="MS Mincho" w:hAnsi="Palatino Linotype" w:cs="Arial"/>
          <w:b/>
          <w:color w:val="000000" w:themeColor="text1"/>
          <w:sz w:val="24"/>
          <w:szCs w:val="24"/>
        </w:rPr>
        <w:t>Ley de Transparencia y Acceso a la Información Pública del Estado de México y Municipios</w:t>
      </w:r>
      <w:r w:rsidRPr="00826796">
        <w:rPr>
          <w:rFonts w:ascii="Palatino Linotype" w:eastAsia="MS Mincho" w:hAnsi="Palatino Linotype" w:cs="Arial"/>
          <w:color w:val="000000" w:themeColor="text1"/>
          <w:sz w:val="24"/>
          <w:szCs w:val="24"/>
        </w:rPr>
        <w:t>, señala:</w:t>
      </w:r>
    </w:p>
    <w:p w:rsidR="005D30E6" w:rsidRPr="00826796" w:rsidRDefault="005D30E6" w:rsidP="00826796">
      <w:pPr>
        <w:spacing w:line="360" w:lineRule="auto"/>
        <w:contextualSpacing/>
        <w:jc w:val="both"/>
        <w:rPr>
          <w:rFonts w:ascii="Palatino Linotype" w:eastAsia="MS Mincho" w:hAnsi="Palatino Linotype" w:cs="Arial"/>
          <w:color w:val="000000" w:themeColor="text1"/>
          <w:sz w:val="24"/>
          <w:szCs w:val="24"/>
        </w:rPr>
      </w:pPr>
    </w:p>
    <w:p w:rsidR="005D30E6" w:rsidRPr="00826796" w:rsidRDefault="005D30E6" w:rsidP="00826796">
      <w:pPr>
        <w:spacing w:line="360" w:lineRule="auto"/>
        <w:ind w:left="567" w:right="567"/>
        <w:contextualSpacing/>
        <w:jc w:val="both"/>
        <w:rPr>
          <w:rFonts w:ascii="Palatino Linotype" w:eastAsia="MS Mincho" w:hAnsi="Palatino Linotype" w:cs="Arial"/>
          <w:i/>
          <w:color w:val="000000" w:themeColor="text1"/>
          <w:sz w:val="24"/>
          <w:szCs w:val="24"/>
        </w:rPr>
      </w:pPr>
      <w:r w:rsidRPr="00826796">
        <w:rPr>
          <w:rFonts w:ascii="Palatino Linotype" w:hAnsi="Palatino Linotype"/>
          <w:b/>
          <w:i/>
          <w:sz w:val="24"/>
          <w:szCs w:val="24"/>
        </w:rPr>
        <w:t>Artículo 92.</w:t>
      </w:r>
      <w:r w:rsidRPr="00826796">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D30E6" w:rsidRPr="00826796" w:rsidRDefault="005D30E6" w:rsidP="00826796">
      <w:pPr>
        <w:spacing w:line="360" w:lineRule="auto"/>
        <w:ind w:left="567" w:right="567"/>
        <w:jc w:val="both"/>
        <w:rPr>
          <w:rFonts w:ascii="Palatino Linotype" w:eastAsia="MS Mincho" w:hAnsi="Palatino Linotype" w:cs="Times New Roman"/>
          <w:i/>
          <w:color w:val="000000" w:themeColor="text1"/>
          <w:sz w:val="24"/>
          <w:szCs w:val="24"/>
        </w:rPr>
      </w:pPr>
      <w:r w:rsidRPr="00826796">
        <w:rPr>
          <w:rFonts w:ascii="Palatino Linotype" w:eastAsia="MS Mincho" w:hAnsi="Palatino Linotype" w:cs="Times New Roman"/>
          <w:i/>
          <w:color w:val="000000" w:themeColor="text1"/>
          <w:sz w:val="24"/>
          <w:szCs w:val="24"/>
        </w:rPr>
        <w:t>…</w:t>
      </w:r>
    </w:p>
    <w:p w:rsidR="00826796" w:rsidRDefault="005D30E6" w:rsidP="00826796">
      <w:pPr>
        <w:spacing w:line="360" w:lineRule="auto"/>
        <w:ind w:left="567" w:right="567"/>
        <w:jc w:val="both"/>
        <w:rPr>
          <w:rFonts w:ascii="Palatino Linotype" w:hAnsi="Palatino Linotype"/>
          <w:b/>
          <w:i/>
          <w:sz w:val="24"/>
          <w:szCs w:val="24"/>
        </w:rPr>
      </w:pPr>
      <w:r w:rsidRPr="00826796">
        <w:rPr>
          <w:rFonts w:ascii="Palatino Linotype" w:hAnsi="Palatino Linotype"/>
          <w:b/>
          <w:i/>
          <w:sz w:val="24"/>
          <w:szCs w:val="24"/>
        </w:rPr>
        <w:t>VIII.</w:t>
      </w:r>
      <w:r w:rsidRPr="00826796">
        <w:rPr>
          <w:rFonts w:ascii="Palatino Linotype" w:hAnsi="Palatino Linotype"/>
          <w:i/>
          <w:sz w:val="24"/>
          <w:szCs w:val="24"/>
        </w:rPr>
        <w:t xml:space="preserve"> </w:t>
      </w:r>
      <w:r w:rsidRPr="00826796">
        <w:rPr>
          <w:rFonts w:ascii="Palatino Linotype" w:hAnsi="Palatino Linotype"/>
          <w:b/>
          <w:i/>
          <w:sz w:val="24"/>
          <w:szCs w:val="24"/>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826796" w:rsidRPr="00826796" w:rsidRDefault="00826796" w:rsidP="00826796">
      <w:pPr>
        <w:spacing w:line="360" w:lineRule="auto"/>
        <w:ind w:left="567" w:right="567"/>
        <w:jc w:val="both"/>
        <w:rPr>
          <w:rFonts w:ascii="Palatino Linotype" w:hAnsi="Palatino Linotype"/>
          <w:b/>
          <w:i/>
          <w:sz w:val="24"/>
          <w:szCs w:val="24"/>
        </w:rPr>
      </w:pPr>
    </w:p>
    <w:p w:rsidR="005D30E6" w:rsidRPr="00826796" w:rsidRDefault="005D30E6" w:rsidP="00826796">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82679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5D30E6" w:rsidRPr="00826796" w:rsidRDefault="005D30E6" w:rsidP="00826796">
      <w:pPr>
        <w:spacing w:line="360" w:lineRule="auto"/>
        <w:ind w:left="567" w:right="567"/>
        <w:jc w:val="center"/>
        <w:rPr>
          <w:rFonts w:ascii="Palatino Linotype" w:hAnsi="Palatino Linotype" w:cs="Arial"/>
          <w:b/>
          <w:i/>
          <w:sz w:val="24"/>
          <w:szCs w:val="24"/>
          <w:lang w:val="es-ES"/>
        </w:rPr>
      </w:pPr>
      <w:r w:rsidRPr="00826796">
        <w:rPr>
          <w:rFonts w:ascii="Palatino Linotype" w:hAnsi="Palatino Linotype" w:cs="Arial"/>
          <w:b/>
          <w:i/>
          <w:sz w:val="24"/>
          <w:szCs w:val="24"/>
          <w:lang w:val="es-ES"/>
        </w:rPr>
        <w:t>“Criterio 01/2003.</w:t>
      </w:r>
    </w:p>
    <w:p w:rsidR="005D30E6" w:rsidRPr="00826796" w:rsidRDefault="005D30E6" w:rsidP="00826796">
      <w:pPr>
        <w:spacing w:line="360" w:lineRule="auto"/>
        <w:ind w:left="567" w:right="567"/>
        <w:jc w:val="both"/>
        <w:rPr>
          <w:rFonts w:ascii="Palatino Linotype" w:hAnsi="Palatino Linotype" w:cs="Arial"/>
          <w:i/>
          <w:sz w:val="24"/>
          <w:szCs w:val="24"/>
          <w:lang w:val="es-ES"/>
        </w:rPr>
      </w:pPr>
      <w:r w:rsidRPr="00826796">
        <w:rPr>
          <w:rFonts w:ascii="Palatino Linotype" w:hAnsi="Palatino Linotype" w:cs="Arial"/>
          <w:b/>
          <w:i/>
          <w:sz w:val="24"/>
          <w:szCs w:val="24"/>
          <w:lang w:val="es-ES"/>
        </w:rPr>
        <w:t>“INGRESOS DE LOS SERVIDORES PÚBLICOS. CONSTITUYEN INFORMACIÓN PÚBLICA AÚN Y CUANDO SU DIFUSIÓN PUEDE AFECTAR LA VIDA O LA SEGURIDAD DE AQUELLOS.</w:t>
      </w:r>
      <w:r w:rsidRPr="00826796">
        <w:rPr>
          <w:rFonts w:ascii="Palatino Linotype" w:hAnsi="Palatino Linotype" w:cs="Arial"/>
          <w:i/>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26796">
        <w:rPr>
          <w:rFonts w:ascii="Palatino Linotype" w:hAnsi="Palatino Linotype" w:cs="Arial"/>
          <w:b/>
          <w:i/>
          <w:sz w:val="24"/>
          <w:szCs w:val="24"/>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26796">
        <w:rPr>
          <w:rFonts w:ascii="Palatino Linotype" w:hAnsi="Palatino Linotype" w:cs="Arial"/>
          <w:i/>
          <w:sz w:val="24"/>
          <w:szCs w:val="24"/>
          <w:lang w:val="es-ES"/>
        </w:rPr>
        <w:t>…”</w:t>
      </w:r>
    </w:p>
    <w:p w:rsidR="005D30E6" w:rsidRPr="00826796" w:rsidRDefault="005D30E6" w:rsidP="00826796">
      <w:pPr>
        <w:spacing w:line="360" w:lineRule="auto"/>
        <w:ind w:left="567" w:right="567"/>
        <w:jc w:val="both"/>
        <w:rPr>
          <w:rFonts w:ascii="Palatino Linotype" w:hAnsi="Palatino Linotype" w:cs="Arial"/>
          <w:i/>
          <w:sz w:val="24"/>
          <w:szCs w:val="24"/>
          <w:lang w:val="es-ES"/>
        </w:rPr>
      </w:pPr>
    </w:p>
    <w:p w:rsidR="005D30E6" w:rsidRPr="00826796" w:rsidRDefault="005D30E6" w:rsidP="00826796">
      <w:pPr>
        <w:spacing w:line="360" w:lineRule="auto"/>
        <w:ind w:left="567" w:right="567"/>
        <w:jc w:val="center"/>
        <w:rPr>
          <w:rFonts w:ascii="Palatino Linotype" w:hAnsi="Palatino Linotype" w:cs="Arial"/>
          <w:b/>
          <w:i/>
          <w:sz w:val="24"/>
          <w:szCs w:val="24"/>
          <w:lang w:val="es-ES"/>
        </w:rPr>
      </w:pPr>
      <w:r w:rsidRPr="00826796">
        <w:rPr>
          <w:rFonts w:ascii="Palatino Linotype" w:hAnsi="Palatino Linotype" w:cs="Arial"/>
          <w:b/>
          <w:i/>
          <w:sz w:val="24"/>
          <w:szCs w:val="24"/>
          <w:lang w:val="es-ES"/>
        </w:rPr>
        <w:t>“Criterio 02/2003.</w:t>
      </w:r>
    </w:p>
    <w:p w:rsidR="005D30E6" w:rsidRPr="00826796" w:rsidRDefault="005D30E6" w:rsidP="00826796">
      <w:pPr>
        <w:spacing w:line="360" w:lineRule="auto"/>
        <w:ind w:left="567" w:right="567"/>
        <w:jc w:val="both"/>
        <w:rPr>
          <w:rFonts w:ascii="Palatino Linotype" w:hAnsi="Palatino Linotype" w:cs="Arial"/>
          <w:i/>
          <w:sz w:val="24"/>
          <w:szCs w:val="24"/>
          <w:lang w:val="es-ES"/>
        </w:rPr>
      </w:pPr>
      <w:r w:rsidRPr="00826796">
        <w:rPr>
          <w:rFonts w:ascii="Palatino Linotype" w:hAnsi="Palatino Linotype" w:cs="Arial"/>
          <w:b/>
          <w:i/>
          <w:sz w:val="24"/>
          <w:szCs w:val="24"/>
          <w:lang w:val="es-ES"/>
        </w:rPr>
        <w:t>INGRESOS DE LOS SERVIDORES PÚBLICOS, SON INFORMACIÓN PÚBLICA AÚN Y CUANDO CONSTITUYEN DATOS PERSONALES QUE SE REFIEREN AL PATRIMONIO DE AQUÉLLOS.</w:t>
      </w:r>
      <w:r w:rsidRPr="00826796">
        <w:rPr>
          <w:rFonts w:ascii="Palatino Linotype" w:hAnsi="Palatino Linotype" w:cs="Arial"/>
          <w:i/>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26796">
        <w:rPr>
          <w:rFonts w:ascii="Palatino Linotype" w:hAnsi="Palatino Linotype" w:cs="Arial"/>
          <w:b/>
          <w:i/>
          <w:sz w:val="24"/>
          <w:szCs w:val="24"/>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26796">
        <w:rPr>
          <w:rFonts w:ascii="Palatino Linotype" w:hAnsi="Palatino Linotype" w:cs="Arial"/>
          <w:i/>
          <w:sz w:val="24"/>
          <w:szCs w:val="24"/>
          <w:lang w:val="es-ES"/>
        </w:rPr>
        <w:t xml:space="preserve"> el sistema de compensación…”</w:t>
      </w:r>
    </w:p>
    <w:p w:rsidR="005D30E6" w:rsidRPr="00826796" w:rsidRDefault="005D30E6" w:rsidP="00826796">
      <w:pPr>
        <w:spacing w:line="360" w:lineRule="auto"/>
        <w:ind w:left="567" w:right="567"/>
        <w:jc w:val="both"/>
        <w:rPr>
          <w:rFonts w:ascii="Palatino Linotype" w:hAnsi="Palatino Linotype" w:cs="Arial"/>
          <w:i/>
          <w:sz w:val="24"/>
          <w:szCs w:val="24"/>
          <w:lang w:val="es-ES"/>
        </w:rPr>
      </w:pPr>
      <w:r w:rsidRPr="00826796">
        <w:rPr>
          <w:rFonts w:ascii="Palatino Linotype" w:hAnsi="Palatino Linotype" w:cs="Arial"/>
          <w:i/>
          <w:sz w:val="24"/>
          <w:szCs w:val="24"/>
          <w:lang w:val="es-ES"/>
        </w:rPr>
        <w:t>(Énfasis añadido)</w:t>
      </w:r>
    </w:p>
    <w:p w:rsidR="003A1D3B" w:rsidRDefault="005D30E6" w:rsidP="00826796">
      <w:pPr>
        <w:pStyle w:val="Ttulo1"/>
        <w:numPr>
          <w:ilvl w:val="0"/>
          <w:numId w:val="10"/>
        </w:numPr>
        <w:spacing w:line="360" w:lineRule="auto"/>
        <w:rPr>
          <w:rFonts w:ascii="Palatino Linotype" w:eastAsia="MS Mincho" w:hAnsi="Palatino Linotype"/>
          <w:b/>
          <w:i/>
          <w:color w:val="auto"/>
          <w:sz w:val="24"/>
          <w:szCs w:val="24"/>
          <w:lang w:val="es-ES_tradnl" w:eastAsia="es-ES"/>
        </w:rPr>
      </w:pPr>
      <w:bookmarkStart w:id="74" w:name="_Toc10736007"/>
      <w:r w:rsidRPr="00826796">
        <w:rPr>
          <w:rFonts w:ascii="Palatino Linotype" w:eastAsia="MS Mincho" w:hAnsi="Palatino Linotype"/>
          <w:b/>
          <w:i/>
          <w:color w:val="auto"/>
          <w:sz w:val="24"/>
          <w:szCs w:val="24"/>
          <w:lang w:val="es-ES_tradnl" w:eastAsia="es-ES"/>
        </w:rPr>
        <w:t>De la Nómina.</w:t>
      </w:r>
      <w:bookmarkEnd w:id="74"/>
    </w:p>
    <w:p w:rsidR="00826796" w:rsidRPr="00826796" w:rsidRDefault="00826796" w:rsidP="00826796">
      <w:pPr>
        <w:rPr>
          <w:lang w:val="es-ES_tradnl" w:eastAsia="es-ES"/>
        </w:rPr>
      </w:pPr>
    </w:p>
    <w:p w:rsidR="005D30E6" w:rsidRPr="00826796" w:rsidRDefault="005D30E6" w:rsidP="00826796">
      <w:pPr>
        <w:pStyle w:val="Prrafodelista"/>
        <w:numPr>
          <w:ilvl w:val="0"/>
          <w:numId w:val="2"/>
        </w:numPr>
        <w:spacing w:after="0" w:line="360" w:lineRule="auto"/>
        <w:ind w:left="0" w:firstLine="0"/>
        <w:jc w:val="both"/>
        <w:rPr>
          <w:rFonts w:ascii="Palatino Linotype" w:hAnsi="Palatino Linotype" w:cs="Bookman Old Style"/>
          <w:sz w:val="24"/>
          <w:szCs w:val="24"/>
        </w:rPr>
      </w:pPr>
      <w:r w:rsidRPr="00826796">
        <w:rPr>
          <w:rFonts w:ascii="Palatino Linotype" w:eastAsia="Arial Unicode MS" w:hAnsi="Palatino Linotype" w:cs="Arial"/>
          <w:sz w:val="24"/>
          <w:szCs w:val="24"/>
        </w:rPr>
        <w:t xml:space="preserve">Expuesto lo anterior, por cuanto hace a </w:t>
      </w:r>
      <w:r w:rsidR="00CC43FC" w:rsidRPr="00826796">
        <w:rPr>
          <w:rFonts w:ascii="Palatino Linotype" w:eastAsia="Arial Unicode MS" w:hAnsi="Palatino Linotype" w:cs="Arial"/>
          <w:sz w:val="24"/>
          <w:szCs w:val="24"/>
        </w:rPr>
        <w:t>la</w:t>
      </w:r>
      <w:r w:rsidRPr="00826796">
        <w:rPr>
          <w:rFonts w:ascii="Palatino Linotype" w:eastAsia="Arial Unicode MS" w:hAnsi="Palatino Linotype" w:cs="Arial"/>
          <w:sz w:val="24"/>
          <w:szCs w:val="24"/>
        </w:rPr>
        <w:t xml:space="preserve"> nómina</w:t>
      </w:r>
      <w:r w:rsidR="00CC43FC" w:rsidRPr="00826796">
        <w:rPr>
          <w:rFonts w:ascii="Palatino Linotype" w:eastAsia="Arial Unicode MS" w:hAnsi="Palatino Linotype" w:cs="Arial"/>
          <w:sz w:val="24"/>
          <w:szCs w:val="24"/>
        </w:rPr>
        <w:t xml:space="preserve"> general</w:t>
      </w:r>
      <w:r w:rsidRPr="00826796">
        <w:rPr>
          <w:rFonts w:ascii="Palatino Linotype" w:eastAsia="Arial Unicode MS" w:hAnsi="Palatino Linotype" w:cs="Arial"/>
          <w:sz w:val="24"/>
          <w:szCs w:val="24"/>
        </w:rPr>
        <w:t xml:space="preserve">; tenemos que </w:t>
      </w:r>
      <w:r w:rsidRPr="00826796">
        <w:rPr>
          <w:rFonts w:ascii="Palatino Linotype" w:hAnsi="Palatino Linotype" w:cs="Arial"/>
          <w:sz w:val="24"/>
          <w:szCs w:val="24"/>
        </w:rPr>
        <w:t xml:space="preserve">de acuerdo con el artículo 32 de la </w:t>
      </w:r>
      <w:r w:rsidRPr="00826796">
        <w:rPr>
          <w:rFonts w:ascii="Palatino Linotype" w:hAnsi="Palatino Linotype" w:cs="Arial"/>
          <w:b/>
          <w:sz w:val="24"/>
          <w:szCs w:val="24"/>
        </w:rPr>
        <w:t>Ley de Fiscalización Superior del Estado de México</w:t>
      </w:r>
      <w:r w:rsidRPr="00826796">
        <w:rPr>
          <w:rFonts w:ascii="Palatino Linotype" w:hAnsi="Palatino Linotype" w:cs="Arial"/>
          <w:sz w:val="24"/>
          <w:szCs w:val="24"/>
        </w:rPr>
        <w:t xml:space="preserve">, los Presidentes </w:t>
      </w:r>
      <w:r w:rsidRPr="00826796">
        <w:rPr>
          <w:rFonts w:ascii="Palatino Linotype" w:hAnsi="Palatino Linotype" w:cs="Bookman Old Style"/>
          <w:sz w:val="24"/>
          <w:szCs w:val="24"/>
        </w:rPr>
        <w:t>Municipales tienen la obligación de presentar a la Legislatura los informes mensuales de la cuenta pública, dentro de los veinte días posteriores al término del mes correspondiente.</w:t>
      </w:r>
    </w:p>
    <w:p w:rsidR="005D30E6" w:rsidRPr="00826796" w:rsidRDefault="005D30E6" w:rsidP="00826796">
      <w:pPr>
        <w:pStyle w:val="Prrafodelista"/>
        <w:spacing w:line="360" w:lineRule="auto"/>
        <w:ind w:left="0"/>
        <w:jc w:val="both"/>
        <w:rPr>
          <w:rFonts w:ascii="Palatino Linotype" w:hAnsi="Palatino Linotype" w:cs="Bookman Old Style"/>
          <w:sz w:val="24"/>
          <w:szCs w:val="24"/>
        </w:rPr>
      </w:pPr>
    </w:p>
    <w:p w:rsidR="005D30E6" w:rsidRPr="00826796" w:rsidRDefault="005D30E6" w:rsidP="00826796">
      <w:pPr>
        <w:pStyle w:val="Prrafodelista"/>
        <w:numPr>
          <w:ilvl w:val="0"/>
          <w:numId w:val="2"/>
        </w:numPr>
        <w:spacing w:after="0" w:line="360" w:lineRule="auto"/>
        <w:ind w:left="0" w:right="51" w:firstLine="0"/>
        <w:jc w:val="both"/>
        <w:rPr>
          <w:rFonts w:ascii="Palatino Linotype" w:hAnsi="Palatino Linotype" w:cs="Arial"/>
          <w:sz w:val="24"/>
          <w:szCs w:val="24"/>
        </w:rPr>
      </w:pPr>
      <w:r w:rsidRPr="00826796">
        <w:rPr>
          <w:rFonts w:ascii="Palatino Linotype" w:eastAsia="Times New Roman" w:hAnsi="Palatino Linotype" w:cs="Arial"/>
          <w:sz w:val="24"/>
          <w:szCs w:val="24"/>
        </w:rPr>
        <w:t xml:space="preserve">No se omite la definición de “nómina” </w:t>
      </w:r>
      <w:r w:rsidRPr="00826796">
        <w:rPr>
          <w:rFonts w:ascii="Palatino Linotype" w:hAnsi="Palatino Linotype"/>
          <w:sz w:val="24"/>
          <w:szCs w:val="24"/>
        </w:rPr>
        <w:t>de conformidad con</w:t>
      </w:r>
      <w:r w:rsidRPr="00826796">
        <w:rPr>
          <w:rFonts w:ascii="Palatino Linotype" w:hAnsi="Palatino Linotype" w:cs="Arial"/>
          <w:sz w:val="24"/>
          <w:szCs w:val="24"/>
        </w:rPr>
        <w:t xml:space="preserve"> el “Glosario de Términos para el Proceso de Planeación, Programación, </w:t>
      </w:r>
      <w:proofErr w:type="spellStart"/>
      <w:r w:rsidRPr="00826796">
        <w:rPr>
          <w:rFonts w:ascii="Palatino Linotype" w:hAnsi="Palatino Linotype" w:cs="Arial"/>
          <w:sz w:val="24"/>
          <w:szCs w:val="24"/>
        </w:rPr>
        <w:t>Presupuestación</w:t>
      </w:r>
      <w:proofErr w:type="spellEnd"/>
      <w:r w:rsidRPr="00826796">
        <w:rPr>
          <w:rFonts w:ascii="Palatino Linotype"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5D30E6" w:rsidRPr="00826796" w:rsidRDefault="005D30E6" w:rsidP="00826796">
      <w:pPr>
        <w:pStyle w:val="Prrafodelista"/>
        <w:spacing w:before="240" w:after="240" w:line="360" w:lineRule="auto"/>
        <w:ind w:left="851"/>
        <w:jc w:val="both"/>
        <w:rPr>
          <w:rFonts w:ascii="Palatino Linotype" w:hAnsi="Palatino Linotype" w:cs="Arial"/>
          <w:sz w:val="24"/>
          <w:szCs w:val="24"/>
        </w:rPr>
      </w:pPr>
    </w:p>
    <w:p w:rsidR="005D30E6" w:rsidRPr="00826796" w:rsidRDefault="005D30E6" w:rsidP="00826796">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sz w:val="24"/>
          <w:szCs w:val="24"/>
          <w:lang w:eastAsia="es-MX"/>
        </w:rPr>
      </w:pPr>
      <w:r w:rsidRPr="00826796">
        <w:rPr>
          <w:rFonts w:ascii="Palatino Linotype" w:hAnsi="Palatino Linotype" w:cs="Arial"/>
          <w:b/>
          <w:bCs/>
          <w:i/>
          <w:sz w:val="24"/>
          <w:szCs w:val="24"/>
          <w:lang w:eastAsia="es-MX"/>
        </w:rPr>
        <w:t xml:space="preserve">NÓMINA. </w:t>
      </w:r>
      <w:r w:rsidRPr="00826796">
        <w:rPr>
          <w:rFonts w:ascii="Palatino Linotype" w:hAnsi="Palatino Linotype" w:cs="Arial"/>
          <w:i/>
          <w:sz w:val="24"/>
          <w:szCs w:val="24"/>
          <w:lang w:eastAsia="es-MX"/>
        </w:rPr>
        <w:t>Listado general de los trabajadores de una institución, en</w:t>
      </w:r>
      <w:r w:rsidRPr="00826796">
        <w:rPr>
          <w:rFonts w:ascii="Palatino Linotype" w:hAnsi="Palatino Linotype" w:cs="Arial"/>
          <w:b/>
          <w:bCs/>
          <w:i/>
          <w:sz w:val="24"/>
          <w:szCs w:val="24"/>
          <w:lang w:eastAsia="es-MX"/>
        </w:rPr>
        <w:t xml:space="preserve"> </w:t>
      </w:r>
      <w:r w:rsidRPr="00826796">
        <w:rPr>
          <w:rFonts w:ascii="Palatino Linotype" w:hAnsi="Palatino Linotype" w:cs="Arial"/>
          <w:i/>
          <w:sz w:val="24"/>
          <w:szCs w:val="24"/>
          <w:lang w:eastAsia="es-MX"/>
        </w:rPr>
        <w:t>el cual se asientan las percepciones brutas, deducciones y</w:t>
      </w:r>
      <w:r w:rsidRPr="00826796">
        <w:rPr>
          <w:rFonts w:ascii="Palatino Linotype" w:hAnsi="Palatino Linotype" w:cs="Arial"/>
          <w:b/>
          <w:bCs/>
          <w:i/>
          <w:sz w:val="24"/>
          <w:szCs w:val="24"/>
          <w:lang w:eastAsia="es-MX"/>
        </w:rPr>
        <w:t xml:space="preserve"> </w:t>
      </w:r>
      <w:r w:rsidRPr="00826796">
        <w:rPr>
          <w:rFonts w:ascii="Palatino Linotype" w:hAnsi="Palatino Linotype" w:cs="Arial"/>
          <w:i/>
          <w:sz w:val="24"/>
          <w:szCs w:val="24"/>
          <w:lang w:eastAsia="es-MX"/>
        </w:rPr>
        <w:t>alcance neto de las mismas; la nómina es utilizada para</w:t>
      </w:r>
      <w:r w:rsidRPr="00826796">
        <w:rPr>
          <w:rFonts w:ascii="Palatino Linotype" w:hAnsi="Palatino Linotype" w:cs="Arial"/>
          <w:b/>
          <w:bCs/>
          <w:i/>
          <w:sz w:val="24"/>
          <w:szCs w:val="24"/>
          <w:lang w:eastAsia="es-MX"/>
        </w:rPr>
        <w:t xml:space="preserve"> </w:t>
      </w:r>
      <w:r w:rsidRPr="00826796">
        <w:rPr>
          <w:rFonts w:ascii="Palatino Linotype" w:hAnsi="Palatino Linotype" w:cs="Arial"/>
          <w:i/>
          <w:sz w:val="24"/>
          <w:szCs w:val="24"/>
          <w:lang w:eastAsia="es-MX"/>
        </w:rPr>
        <w:t>efectuar los pagos periódicos (semanales, quincenales o</w:t>
      </w:r>
      <w:r w:rsidRPr="00826796">
        <w:rPr>
          <w:rFonts w:ascii="Palatino Linotype" w:hAnsi="Palatino Linotype" w:cs="Arial"/>
          <w:b/>
          <w:bCs/>
          <w:i/>
          <w:sz w:val="24"/>
          <w:szCs w:val="24"/>
          <w:lang w:eastAsia="es-MX"/>
        </w:rPr>
        <w:t xml:space="preserve"> </w:t>
      </w:r>
      <w:r w:rsidRPr="00826796">
        <w:rPr>
          <w:rFonts w:ascii="Palatino Linotype" w:hAnsi="Palatino Linotype" w:cs="Arial"/>
          <w:i/>
          <w:sz w:val="24"/>
          <w:szCs w:val="24"/>
          <w:lang w:eastAsia="es-MX"/>
        </w:rPr>
        <w:t xml:space="preserve">mensuales) a los trabajadores por concepto de </w:t>
      </w:r>
      <w:r w:rsidRPr="00826796">
        <w:rPr>
          <w:rFonts w:ascii="Palatino Linotype" w:hAnsi="Palatino Linotype" w:cs="Arial"/>
          <w:b/>
          <w:i/>
          <w:sz w:val="24"/>
          <w:szCs w:val="24"/>
          <w:u w:val="single"/>
          <w:lang w:eastAsia="es-MX"/>
        </w:rPr>
        <w:t>sueldos y</w:t>
      </w:r>
      <w:r w:rsidRPr="00826796">
        <w:rPr>
          <w:rFonts w:ascii="Palatino Linotype" w:hAnsi="Palatino Linotype" w:cs="Arial"/>
          <w:b/>
          <w:bCs/>
          <w:i/>
          <w:sz w:val="24"/>
          <w:szCs w:val="24"/>
          <w:u w:val="single"/>
          <w:lang w:eastAsia="es-MX"/>
        </w:rPr>
        <w:t xml:space="preserve"> </w:t>
      </w:r>
      <w:r w:rsidRPr="00826796">
        <w:rPr>
          <w:rFonts w:ascii="Palatino Linotype" w:hAnsi="Palatino Linotype" w:cs="Arial"/>
          <w:b/>
          <w:i/>
          <w:sz w:val="24"/>
          <w:szCs w:val="24"/>
          <w:u w:val="single"/>
          <w:lang w:eastAsia="es-MX"/>
        </w:rPr>
        <w:t>salarios</w:t>
      </w:r>
      <w:r w:rsidRPr="00826796">
        <w:rPr>
          <w:rFonts w:ascii="Palatino Linotype" w:hAnsi="Palatino Linotype" w:cs="Arial"/>
          <w:i/>
          <w:sz w:val="24"/>
          <w:szCs w:val="24"/>
          <w:lang w:eastAsia="es-MX"/>
        </w:rPr>
        <w:t>.</w:t>
      </w:r>
    </w:p>
    <w:p w:rsidR="005D30E6" w:rsidRPr="00826796" w:rsidRDefault="005D30E6" w:rsidP="00826796">
      <w:pPr>
        <w:pStyle w:val="Prrafodelista"/>
        <w:spacing w:line="360" w:lineRule="auto"/>
        <w:ind w:left="0"/>
        <w:jc w:val="both"/>
        <w:rPr>
          <w:rFonts w:ascii="Palatino Linotype" w:hAnsi="Palatino Linotype" w:cs="Bookman Old Style"/>
          <w:sz w:val="24"/>
          <w:szCs w:val="24"/>
        </w:rPr>
      </w:pPr>
    </w:p>
    <w:p w:rsidR="005D30E6" w:rsidRPr="00826796" w:rsidRDefault="005D30E6" w:rsidP="00826796">
      <w:pPr>
        <w:pStyle w:val="Prrafodelista"/>
        <w:numPr>
          <w:ilvl w:val="0"/>
          <w:numId w:val="2"/>
        </w:numPr>
        <w:spacing w:before="240" w:after="360" w:line="360" w:lineRule="auto"/>
        <w:ind w:left="0" w:firstLine="0"/>
        <w:jc w:val="both"/>
        <w:rPr>
          <w:rFonts w:ascii="Palatino Linotype" w:eastAsia="Times New Roman" w:hAnsi="Palatino Linotype" w:cs="Arial"/>
          <w:color w:val="000000" w:themeColor="text1"/>
          <w:sz w:val="24"/>
          <w:szCs w:val="24"/>
          <w:lang w:val="es-ES"/>
        </w:rPr>
      </w:pPr>
      <w:r w:rsidRPr="00826796">
        <w:rPr>
          <w:rFonts w:ascii="Palatino Linotype" w:eastAsia="Times New Roman" w:hAnsi="Palatino Linotype" w:cs="Arial"/>
          <w:bCs/>
          <w:color w:val="000000" w:themeColor="text1"/>
          <w:sz w:val="24"/>
          <w:szCs w:val="24"/>
        </w:rPr>
        <w:t xml:space="preserve">Al respecto, el </w:t>
      </w:r>
      <w:r w:rsidRPr="00826796">
        <w:rPr>
          <w:rFonts w:ascii="Palatino Linotype" w:eastAsia="MS Mincho" w:hAnsi="Palatino Linotype" w:cs="Arial"/>
          <w:color w:val="000000" w:themeColor="text1"/>
          <w:sz w:val="24"/>
          <w:szCs w:val="24"/>
        </w:rPr>
        <w:t>artículo 3, fracción XXXII del Código Financiero del Estado de México y Municipios establece que se entenderá por remuneración:</w:t>
      </w:r>
    </w:p>
    <w:p w:rsidR="005D30E6" w:rsidRPr="00826796" w:rsidRDefault="005D30E6" w:rsidP="00826796">
      <w:pPr>
        <w:spacing w:line="360" w:lineRule="auto"/>
        <w:ind w:left="709" w:right="567"/>
        <w:contextualSpacing/>
        <w:jc w:val="both"/>
        <w:rPr>
          <w:rFonts w:ascii="Palatino Linotype" w:eastAsia="Times New Roman" w:hAnsi="Palatino Linotype" w:cs="Arial"/>
          <w:bCs/>
          <w:i/>
          <w:color w:val="000000" w:themeColor="text1"/>
          <w:sz w:val="24"/>
          <w:szCs w:val="24"/>
        </w:rPr>
      </w:pPr>
      <w:r w:rsidRPr="00826796">
        <w:rPr>
          <w:rFonts w:ascii="Palatino Linotype" w:eastAsia="Times New Roman" w:hAnsi="Palatino Linotype" w:cs="Arial"/>
          <w:bCs/>
          <w:i/>
          <w:color w:val="000000" w:themeColor="text1"/>
          <w:sz w:val="24"/>
          <w:szCs w:val="24"/>
        </w:rPr>
        <w:t>…</w:t>
      </w:r>
    </w:p>
    <w:p w:rsidR="005D30E6" w:rsidRPr="00826796" w:rsidRDefault="005D30E6" w:rsidP="00826796">
      <w:pPr>
        <w:spacing w:before="240" w:after="240" w:line="360" w:lineRule="auto"/>
        <w:ind w:left="567" w:right="567"/>
        <w:contextualSpacing/>
        <w:jc w:val="both"/>
        <w:rPr>
          <w:rFonts w:ascii="Palatino Linotype" w:eastAsia="MS Mincho" w:hAnsi="Palatino Linotype" w:cs="Times New Roman"/>
          <w:b/>
          <w:i/>
          <w:color w:val="000000" w:themeColor="text1"/>
          <w:sz w:val="24"/>
          <w:szCs w:val="24"/>
        </w:rPr>
      </w:pPr>
      <w:r w:rsidRPr="00826796">
        <w:rPr>
          <w:rFonts w:ascii="Palatino Linotype" w:eastAsia="MS Mincho" w:hAnsi="Palatino Linotype" w:cs="Times New Roman"/>
          <w:b/>
          <w:i/>
          <w:color w:val="000000" w:themeColor="text1"/>
          <w:sz w:val="24"/>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5D30E6" w:rsidRPr="00826796" w:rsidRDefault="005D30E6" w:rsidP="00826796">
      <w:pPr>
        <w:pStyle w:val="Prrafodelista"/>
        <w:spacing w:before="240" w:after="360" w:line="360" w:lineRule="auto"/>
        <w:ind w:left="0"/>
        <w:jc w:val="both"/>
        <w:rPr>
          <w:rFonts w:ascii="Palatino Linotype" w:eastAsia="Arial Unicode MS" w:hAnsi="Palatino Linotype" w:cs="Arial"/>
          <w:sz w:val="24"/>
          <w:szCs w:val="24"/>
        </w:rPr>
      </w:pPr>
    </w:p>
    <w:p w:rsidR="005D30E6" w:rsidRPr="00826796" w:rsidRDefault="005D30E6" w:rsidP="00826796">
      <w:pPr>
        <w:pStyle w:val="Prrafodelista"/>
        <w:numPr>
          <w:ilvl w:val="0"/>
          <w:numId w:val="2"/>
        </w:numPr>
        <w:spacing w:before="240" w:after="360" w:line="360" w:lineRule="auto"/>
        <w:ind w:left="0" w:firstLine="0"/>
        <w:jc w:val="both"/>
        <w:rPr>
          <w:rFonts w:ascii="Palatino Linotype" w:eastAsia="Arial Unicode MS" w:hAnsi="Palatino Linotype" w:cs="Arial"/>
          <w:sz w:val="24"/>
          <w:szCs w:val="24"/>
        </w:rPr>
      </w:pPr>
      <w:r w:rsidRPr="00826796">
        <w:rPr>
          <w:rFonts w:ascii="Palatino Linotype" w:hAnsi="Palatino Linotype" w:cs="Arial"/>
          <w:sz w:val="24"/>
          <w:szCs w:val="24"/>
        </w:rPr>
        <w:t>De igual manera el</w:t>
      </w:r>
      <w:r w:rsidRPr="00826796">
        <w:rPr>
          <w:rFonts w:ascii="Palatino Linotype" w:eastAsia="Arial Unicode MS" w:hAnsi="Palatino Linotype" w:cs="Arial"/>
          <w:sz w:val="24"/>
          <w:szCs w:val="24"/>
        </w:rPr>
        <w:t xml:space="preserve"> artículo 350 del </w:t>
      </w:r>
      <w:r w:rsidRPr="00826796">
        <w:rPr>
          <w:rFonts w:ascii="Palatino Linotype" w:eastAsia="Arial Unicode MS" w:hAnsi="Palatino Linotype" w:cs="Arial"/>
          <w:b/>
          <w:sz w:val="24"/>
          <w:szCs w:val="24"/>
        </w:rPr>
        <w:t>Código Financiero del Estado de México y Municipios</w:t>
      </w:r>
      <w:r w:rsidRPr="00826796">
        <w:rPr>
          <w:rFonts w:ascii="Palatino Linotype" w:eastAsia="Arial Unicode MS" w:hAnsi="Palatino Linotype" w:cs="Arial"/>
          <w:sz w:val="24"/>
          <w:szCs w:val="24"/>
        </w:rPr>
        <w:t xml:space="preserve">, señala que existe la obligación a cargo de las </w:t>
      </w:r>
      <w:r w:rsidR="00CC43FC" w:rsidRPr="00826796">
        <w:rPr>
          <w:rFonts w:ascii="Palatino Linotype" w:eastAsia="Arial Unicode MS" w:hAnsi="Palatino Linotype" w:cs="Arial"/>
          <w:sz w:val="24"/>
          <w:szCs w:val="24"/>
        </w:rPr>
        <w:t xml:space="preserve">entidades fiscalizables, </w:t>
      </w:r>
      <w:r w:rsidRPr="00826796">
        <w:rPr>
          <w:rFonts w:ascii="Palatino Linotype" w:eastAsia="Arial Unicode MS" w:hAnsi="Palatino Linotype" w:cs="Arial"/>
          <w:sz w:val="24"/>
          <w:szCs w:val="24"/>
        </w:rPr>
        <w:t>como lo es el Sujeto Obligado-, de informar al Órgano Superior de Fiscalización del Estado de México, todo lo relacionado con la información contable, presupuestal y financiera, en los términos siguientes:</w:t>
      </w:r>
    </w:p>
    <w:p w:rsidR="005D30E6" w:rsidRPr="00826796" w:rsidRDefault="005D30E6" w:rsidP="00826796">
      <w:pPr>
        <w:spacing w:line="360" w:lineRule="auto"/>
        <w:ind w:left="567" w:right="567"/>
        <w:jc w:val="both"/>
        <w:rPr>
          <w:rFonts w:ascii="Palatino Linotype" w:eastAsia="Calibri" w:hAnsi="Palatino Linotype" w:cs="Arial"/>
          <w:i/>
          <w:sz w:val="24"/>
          <w:szCs w:val="24"/>
        </w:rPr>
      </w:pPr>
      <w:r w:rsidRPr="00826796">
        <w:rPr>
          <w:rFonts w:ascii="Palatino Linotype" w:eastAsia="Calibri" w:hAnsi="Palatino Linotype" w:cs="Arial"/>
          <w:b/>
          <w:i/>
          <w:sz w:val="24"/>
          <w:szCs w:val="24"/>
        </w:rPr>
        <w:t>Artículo 350.-</w:t>
      </w:r>
      <w:r w:rsidRPr="00826796">
        <w:rPr>
          <w:rFonts w:ascii="Palatino Linotype" w:eastAsia="Calibri" w:hAnsi="Palatino Linotype" w:cs="Arial"/>
          <w:i/>
          <w:sz w:val="24"/>
          <w:szCs w:val="24"/>
        </w:rPr>
        <w:t xml:space="preserve"> Mensualmente dentro de los primeros veinte días hábiles, la Secretaría y </w:t>
      </w:r>
      <w:r w:rsidRPr="00826796">
        <w:rPr>
          <w:rFonts w:ascii="Palatino Linotype" w:eastAsia="Calibri" w:hAnsi="Palatino Linotype" w:cs="Arial"/>
          <w:b/>
          <w:i/>
          <w:sz w:val="24"/>
          <w:szCs w:val="24"/>
        </w:rPr>
        <w:t>las Tesorerías, enviarán para su análisis y evaluación</w:t>
      </w:r>
      <w:r w:rsidRPr="00826796">
        <w:rPr>
          <w:rFonts w:ascii="Palatino Linotype" w:eastAsia="Calibri" w:hAnsi="Palatino Linotype" w:cs="Arial"/>
          <w:i/>
          <w:sz w:val="24"/>
          <w:szCs w:val="24"/>
        </w:rPr>
        <w:t xml:space="preserve"> </w:t>
      </w:r>
      <w:r w:rsidRPr="00826796">
        <w:rPr>
          <w:rFonts w:ascii="Palatino Linotype" w:eastAsia="Calibri" w:hAnsi="Palatino Linotype" w:cs="Arial"/>
          <w:b/>
          <w:i/>
          <w:sz w:val="24"/>
          <w:szCs w:val="24"/>
        </w:rPr>
        <w:t>al Órgano Superior de Fiscalización del Estado de México</w:t>
      </w:r>
      <w:r w:rsidRPr="00826796">
        <w:rPr>
          <w:rFonts w:ascii="Palatino Linotype" w:eastAsia="Calibri" w:hAnsi="Palatino Linotype" w:cs="Arial"/>
          <w:i/>
          <w:sz w:val="24"/>
          <w:szCs w:val="24"/>
        </w:rPr>
        <w:t>, la siguiente información:</w:t>
      </w:r>
    </w:p>
    <w:p w:rsidR="005D30E6" w:rsidRPr="00826796" w:rsidRDefault="005D30E6" w:rsidP="00826796">
      <w:pPr>
        <w:spacing w:after="0" w:line="360" w:lineRule="auto"/>
        <w:ind w:left="567" w:right="567"/>
        <w:jc w:val="both"/>
        <w:rPr>
          <w:rFonts w:ascii="Palatino Linotype" w:eastAsia="Calibri" w:hAnsi="Palatino Linotype" w:cs="Arial"/>
          <w:i/>
          <w:sz w:val="24"/>
          <w:szCs w:val="24"/>
        </w:rPr>
      </w:pPr>
      <w:r w:rsidRPr="00826796">
        <w:rPr>
          <w:rFonts w:ascii="Palatino Linotype" w:eastAsia="Calibri" w:hAnsi="Palatino Linotype" w:cs="Arial"/>
          <w:i/>
          <w:sz w:val="24"/>
          <w:szCs w:val="24"/>
        </w:rPr>
        <w:t>I. Información patrimonial.</w:t>
      </w:r>
    </w:p>
    <w:p w:rsidR="005D30E6" w:rsidRPr="00826796" w:rsidRDefault="005D30E6" w:rsidP="00826796">
      <w:pPr>
        <w:spacing w:after="0" w:line="360" w:lineRule="auto"/>
        <w:ind w:left="567" w:right="567"/>
        <w:jc w:val="both"/>
        <w:rPr>
          <w:rFonts w:ascii="Palatino Linotype" w:eastAsia="Calibri" w:hAnsi="Palatino Linotype" w:cs="Arial"/>
          <w:i/>
          <w:sz w:val="24"/>
          <w:szCs w:val="24"/>
        </w:rPr>
      </w:pPr>
      <w:r w:rsidRPr="00826796">
        <w:rPr>
          <w:rFonts w:ascii="Palatino Linotype" w:eastAsia="Calibri" w:hAnsi="Palatino Linotype" w:cs="Arial"/>
          <w:i/>
          <w:sz w:val="24"/>
          <w:szCs w:val="24"/>
        </w:rPr>
        <w:t>II. Información presupuestal.</w:t>
      </w:r>
    </w:p>
    <w:p w:rsidR="005D30E6" w:rsidRPr="00826796" w:rsidRDefault="005D30E6" w:rsidP="00826796">
      <w:pPr>
        <w:spacing w:after="0" w:line="360" w:lineRule="auto"/>
        <w:ind w:left="567" w:right="567"/>
        <w:jc w:val="both"/>
        <w:rPr>
          <w:rFonts w:ascii="Palatino Linotype" w:eastAsia="Calibri" w:hAnsi="Palatino Linotype" w:cs="Arial"/>
          <w:i/>
          <w:sz w:val="24"/>
          <w:szCs w:val="24"/>
        </w:rPr>
      </w:pPr>
      <w:r w:rsidRPr="00826796">
        <w:rPr>
          <w:rFonts w:ascii="Palatino Linotype" w:eastAsia="Calibri" w:hAnsi="Palatino Linotype" w:cs="Arial"/>
          <w:i/>
          <w:sz w:val="24"/>
          <w:szCs w:val="24"/>
        </w:rPr>
        <w:t>III. Información de la obra pública.</w:t>
      </w:r>
    </w:p>
    <w:p w:rsidR="005D30E6" w:rsidRPr="00826796" w:rsidRDefault="005D30E6" w:rsidP="00826796">
      <w:pPr>
        <w:spacing w:after="0" w:line="360" w:lineRule="auto"/>
        <w:ind w:left="567" w:right="567"/>
        <w:jc w:val="both"/>
        <w:rPr>
          <w:rFonts w:ascii="Palatino Linotype" w:eastAsia="Calibri" w:hAnsi="Palatino Linotype" w:cs="Arial"/>
          <w:b/>
          <w:i/>
          <w:sz w:val="24"/>
          <w:szCs w:val="24"/>
          <w:u w:val="single"/>
        </w:rPr>
      </w:pPr>
      <w:r w:rsidRPr="00826796">
        <w:rPr>
          <w:rFonts w:ascii="Palatino Linotype" w:eastAsia="Calibri" w:hAnsi="Palatino Linotype" w:cs="Arial"/>
          <w:b/>
          <w:i/>
          <w:sz w:val="24"/>
          <w:szCs w:val="24"/>
          <w:u w:val="single"/>
        </w:rPr>
        <w:t>IV. Información de nómina.</w:t>
      </w:r>
    </w:p>
    <w:p w:rsidR="005D30E6" w:rsidRPr="00826796" w:rsidRDefault="005D30E6" w:rsidP="00826796">
      <w:pPr>
        <w:pStyle w:val="Prrafodelista"/>
        <w:spacing w:before="240" w:line="360" w:lineRule="auto"/>
        <w:ind w:left="0" w:right="49"/>
        <w:jc w:val="both"/>
        <w:rPr>
          <w:rFonts w:ascii="Palatino Linotype" w:eastAsia="Calibri" w:hAnsi="Palatino Linotype" w:cs="Arial"/>
          <w:sz w:val="24"/>
          <w:szCs w:val="24"/>
        </w:rPr>
      </w:pPr>
    </w:p>
    <w:p w:rsidR="005D30E6" w:rsidRPr="00826796" w:rsidRDefault="00826796" w:rsidP="00826796">
      <w:pPr>
        <w:pStyle w:val="Prrafodelista"/>
        <w:numPr>
          <w:ilvl w:val="0"/>
          <w:numId w:val="2"/>
        </w:numPr>
        <w:spacing w:before="240" w:after="0" w:line="360" w:lineRule="auto"/>
        <w:ind w:left="0" w:right="49" w:firstLine="0"/>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8480" behindDoc="0" locked="0" layoutInCell="1" allowOverlap="1">
                <wp:simplePos x="0" y="0"/>
                <wp:positionH relativeFrom="column">
                  <wp:posOffset>9363</wp:posOffset>
                </wp:positionH>
                <wp:positionV relativeFrom="paragraph">
                  <wp:posOffset>2192181</wp:posOffset>
                </wp:positionV>
                <wp:extent cx="5593404" cy="2996119"/>
                <wp:effectExtent l="19050" t="19050" r="26670" b="33020"/>
                <wp:wrapNone/>
                <wp:docPr id="10" name="Conector recto 10"/>
                <wp:cNvGraphicFramePr/>
                <a:graphic xmlns:a="http://schemas.openxmlformats.org/drawingml/2006/main">
                  <a:graphicData uri="http://schemas.microsoft.com/office/word/2010/wordprocessingShape">
                    <wps:wsp>
                      <wps:cNvCnPr/>
                      <wps:spPr>
                        <a:xfrm>
                          <a:off x="0" y="0"/>
                          <a:ext cx="5593404" cy="299611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55751" id="Conector recto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172.6pt" to="441.2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" strokecolor="#5b9bd5 [3204]" strokeweight="3pt">
                <v:stroke joinstyle="miter"/>
              </v:line>
            </w:pict>
          </mc:Fallback>
        </mc:AlternateContent>
      </w:r>
      <w:r w:rsidR="005D30E6" w:rsidRPr="00826796">
        <w:rPr>
          <w:rFonts w:ascii="Palatino Linotype" w:eastAsia="Calibri" w:hAnsi="Palatino Linotype" w:cs="Arial"/>
          <w:sz w:val="24"/>
          <w:szCs w:val="24"/>
        </w:rPr>
        <w:t xml:space="preserve">Es así que la Información correspondiente a la nómina, debe presentarse conforme a lo dispuesto por los </w:t>
      </w:r>
      <w:r w:rsidR="00CC43FC" w:rsidRPr="00826796">
        <w:rPr>
          <w:rFonts w:ascii="Palatino Linotype" w:eastAsia="Calibri" w:hAnsi="Palatino Linotype" w:cs="Arial"/>
          <w:i/>
          <w:sz w:val="24"/>
          <w:szCs w:val="24"/>
        </w:rPr>
        <w:t xml:space="preserve">Lineamientos para la Entrega del </w:t>
      </w:r>
      <w:r w:rsidR="005D30E6" w:rsidRPr="00826796">
        <w:rPr>
          <w:rFonts w:ascii="Palatino Linotype" w:eastAsia="Calibri" w:hAnsi="Palatino Linotype" w:cs="Arial"/>
          <w:i/>
          <w:sz w:val="24"/>
          <w:szCs w:val="24"/>
        </w:rPr>
        <w:t>Informe Mensual</w:t>
      </w:r>
      <w:r w:rsidR="00CC43FC" w:rsidRPr="00826796">
        <w:rPr>
          <w:rFonts w:ascii="Palatino Linotype" w:eastAsia="Calibri" w:hAnsi="Palatino Linotype" w:cs="Arial"/>
          <w:i/>
          <w:sz w:val="24"/>
          <w:szCs w:val="24"/>
        </w:rPr>
        <w:t xml:space="preserve"> Municipal</w:t>
      </w:r>
      <w:r w:rsidR="005D30E6" w:rsidRPr="00826796">
        <w:rPr>
          <w:rFonts w:ascii="Palatino Linotype" w:eastAsia="Calibri" w:hAnsi="Palatino Linotype" w:cs="Arial"/>
          <w:sz w:val="24"/>
          <w:szCs w:val="24"/>
        </w:rPr>
        <w:t xml:space="preserve">, emitidos por OSFEM en cada ejercicio fiscal y que se encuentran disponibles en su sitio de internet, con la finalidad de </w:t>
      </w:r>
      <w:r w:rsidR="005D30E6" w:rsidRPr="00826796">
        <w:rPr>
          <w:rFonts w:ascii="Palatino Linotype" w:hAnsi="Palatino Linotype"/>
          <w:sz w:val="24"/>
          <w:szCs w:val="24"/>
        </w:rPr>
        <w:t xml:space="preserve">definir los criterios, los formatos y la documentación necesaria para presentar los informes mensuales, que deben ser entregados </w:t>
      </w:r>
      <w:r w:rsidR="005D30E6" w:rsidRPr="00826796">
        <w:rPr>
          <w:rFonts w:ascii="Palatino Linotype" w:eastAsia="Arial Unicode MS" w:hAnsi="Palatino Linotype" w:cs="Arial"/>
          <w:sz w:val="24"/>
          <w:szCs w:val="24"/>
        </w:rPr>
        <w:t xml:space="preserve">a través de seis discos </w:t>
      </w:r>
      <w:r w:rsidR="005D30E6" w:rsidRPr="00826796">
        <w:rPr>
          <w:rFonts w:ascii="Palatino Linotype" w:hAnsi="Palatino Linotype"/>
          <w:sz w:val="24"/>
          <w:szCs w:val="24"/>
        </w:rPr>
        <w:t xml:space="preserve">dentro de los veinte días posteriores al término del mes correspondiente, </w:t>
      </w:r>
      <w:r w:rsidR="005D30E6" w:rsidRPr="00826796">
        <w:rPr>
          <w:rFonts w:ascii="Palatino Linotype" w:eastAsia="Calibri" w:hAnsi="Palatino Linotype" w:cs="Arial"/>
          <w:sz w:val="24"/>
          <w:szCs w:val="24"/>
        </w:rPr>
        <w:t>que contienen la siguiente información:</w:t>
      </w:r>
    </w:p>
    <w:p w:rsidR="001609EB" w:rsidRPr="00826796" w:rsidRDefault="00CC43FC" w:rsidP="00826796">
      <w:pPr>
        <w:spacing w:before="240" w:line="360" w:lineRule="auto"/>
        <w:ind w:right="49"/>
        <w:jc w:val="center"/>
        <w:rPr>
          <w:rFonts w:ascii="Palatino Linotype" w:eastAsia="Calibri" w:hAnsi="Palatino Linotype" w:cs="Arial"/>
          <w:sz w:val="24"/>
          <w:szCs w:val="24"/>
        </w:rPr>
      </w:pPr>
      <w:r w:rsidRPr="00826796">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22E4DF5" wp14:editId="657170E4">
                <wp:simplePos x="0" y="0"/>
                <wp:positionH relativeFrom="column">
                  <wp:posOffset>44220</wp:posOffset>
                </wp:positionH>
                <wp:positionV relativeFrom="paragraph">
                  <wp:posOffset>1622128</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98933" id="Rectángulo 3" o:spid="_x0000_s1026" style="position:absolute;margin-left:3.5pt;margin-top:127.75pt;width:206.3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" filled="f" strokecolor="#c00000" strokeweight="3pt"/>
            </w:pict>
          </mc:Fallback>
        </mc:AlternateContent>
      </w:r>
      <w:r w:rsidRPr="00826796">
        <w:rPr>
          <w:rFonts w:ascii="Palatino Linotype" w:hAnsi="Palatino Linotype"/>
          <w:noProof/>
          <w:sz w:val="24"/>
          <w:szCs w:val="24"/>
          <w:lang w:eastAsia="es-MX"/>
        </w:rPr>
        <w:drawing>
          <wp:inline distT="0" distB="0" distL="0" distR="0" wp14:anchorId="6EE045AE" wp14:editId="123D14AA">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5D30E6" w:rsidRPr="00826796" w:rsidRDefault="005D30E6" w:rsidP="00826796">
      <w:pPr>
        <w:pStyle w:val="Prrafodelista"/>
        <w:numPr>
          <w:ilvl w:val="0"/>
          <w:numId w:val="2"/>
        </w:numPr>
        <w:spacing w:before="240" w:after="0" w:line="360" w:lineRule="auto"/>
        <w:ind w:left="0" w:right="49" w:firstLine="0"/>
        <w:jc w:val="both"/>
        <w:rPr>
          <w:rFonts w:ascii="Palatino Linotype" w:eastAsia="Calibri" w:hAnsi="Palatino Linotype" w:cs="Arial"/>
          <w:sz w:val="24"/>
          <w:szCs w:val="24"/>
        </w:rPr>
      </w:pPr>
      <w:r w:rsidRPr="00826796">
        <w:rPr>
          <w:rFonts w:ascii="Palatino Linotype" w:eastAsia="Calibri" w:hAnsi="Palatino Linotype" w:cs="Arial"/>
          <w:sz w:val="24"/>
          <w:szCs w:val="24"/>
        </w:rPr>
        <w:t>En este contexto, se advierte que se desea acceder a la información que con motivo de la nómina genera el Sujeto Obligado, misma que es enviada al OSFEM para su análisis y evaluación, a través de la documentación siguiente:</w:t>
      </w:r>
    </w:p>
    <w:p w:rsidR="005D30E6" w:rsidRPr="00826796" w:rsidRDefault="001609EB" w:rsidP="00826796">
      <w:pPr>
        <w:spacing w:before="240" w:after="240" w:line="360" w:lineRule="auto"/>
        <w:jc w:val="both"/>
        <w:rPr>
          <w:rFonts w:ascii="Palatino Linotype" w:hAnsi="Palatino Linotype" w:cs="Arial"/>
          <w:sz w:val="24"/>
          <w:szCs w:val="24"/>
        </w:rPr>
      </w:pPr>
      <w:r w:rsidRPr="0082679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04810A14" wp14:editId="656C54AA">
                <wp:simplePos x="0" y="0"/>
                <wp:positionH relativeFrom="margin">
                  <wp:posOffset>25334</wp:posOffset>
                </wp:positionH>
                <wp:positionV relativeFrom="paragraph">
                  <wp:posOffset>522179</wp:posOffset>
                </wp:positionV>
                <wp:extent cx="2620370" cy="2405721"/>
                <wp:effectExtent l="19050" t="19050" r="27940" b="13970"/>
                <wp:wrapNone/>
                <wp:docPr id="2" name="Rectángulo 2"/>
                <wp:cNvGraphicFramePr/>
                <a:graphic xmlns:a="http://schemas.openxmlformats.org/drawingml/2006/main">
                  <a:graphicData uri="http://schemas.microsoft.com/office/word/2010/wordprocessingShape">
                    <wps:wsp>
                      <wps:cNvSpPr/>
                      <wps:spPr>
                        <a:xfrm>
                          <a:off x="0" y="0"/>
                          <a:ext cx="2620370" cy="2405721"/>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A9BEA" id="Rectángulo 2" o:spid="_x0000_s1026" style="position:absolute;margin-left:2pt;margin-top:41.1pt;width:206.35pt;height:18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" filled="f" strokecolor="#c00000" strokeweight="3pt">
                <w10:wrap anchorx="margin"/>
              </v:rect>
            </w:pict>
          </mc:Fallback>
        </mc:AlternateContent>
      </w:r>
      <w:r w:rsidR="00CC43FC" w:rsidRPr="00826796">
        <w:rPr>
          <w:rFonts w:ascii="Palatino Linotype" w:hAnsi="Palatino Linotype"/>
          <w:noProof/>
          <w:sz w:val="24"/>
          <w:szCs w:val="24"/>
          <w:lang w:eastAsia="es-MX"/>
        </w:rPr>
        <w:drawing>
          <wp:inline distT="0" distB="0" distL="0" distR="0" wp14:anchorId="7538B2B4" wp14:editId="586F0A85">
            <wp:extent cx="5546244" cy="250000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70" t="17078" r="27649" b="38601"/>
                    <a:stretch/>
                  </pic:blipFill>
                  <pic:spPr bwMode="auto">
                    <a:xfrm>
                      <a:off x="0" y="0"/>
                      <a:ext cx="5593060" cy="2521111"/>
                    </a:xfrm>
                    <a:prstGeom prst="rect">
                      <a:avLst/>
                    </a:prstGeom>
                    <a:ln>
                      <a:noFill/>
                    </a:ln>
                    <a:extLst>
                      <a:ext uri="{53640926-AAD7-44D8-BBD7-CCE9431645EC}">
                        <a14:shadowObscured xmlns:a14="http://schemas.microsoft.com/office/drawing/2010/main"/>
                      </a:ext>
                    </a:extLst>
                  </pic:spPr>
                </pic:pic>
              </a:graphicData>
            </a:graphic>
          </wp:inline>
        </w:drawing>
      </w:r>
    </w:p>
    <w:p w:rsidR="001609EB" w:rsidRPr="00826796" w:rsidRDefault="001609EB" w:rsidP="00826796">
      <w:pPr>
        <w:pStyle w:val="Prrafodelista"/>
        <w:spacing w:before="240" w:after="240" w:line="360" w:lineRule="auto"/>
        <w:ind w:left="0"/>
        <w:jc w:val="both"/>
        <w:rPr>
          <w:rFonts w:ascii="Palatino Linotype" w:hAnsi="Palatino Linotype"/>
          <w:sz w:val="24"/>
          <w:szCs w:val="24"/>
          <w:lang w:eastAsia="es-MX"/>
        </w:rPr>
      </w:pPr>
    </w:p>
    <w:p w:rsidR="005D30E6" w:rsidRPr="00826796" w:rsidRDefault="005D30E6" w:rsidP="00826796">
      <w:pPr>
        <w:pStyle w:val="Prrafodelista"/>
        <w:numPr>
          <w:ilvl w:val="0"/>
          <w:numId w:val="2"/>
        </w:numPr>
        <w:spacing w:before="240" w:after="240" w:line="360" w:lineRule="auto"/>
        <w:ind w:left="0" w:firstLine="0"/>
        <w:jc w:val="both"/>
        <w:rPr>
          <w:rFonts w:ascii="Palatino Linotype" w:hAnsi="Palatino Linotype"/>
          <w:sz w:val="24"/>
          <w:szCs w:val="24"/>
          <w:lang w:eastAsia="es-MX"/>
        </w:rPr>
      </w:pPr>
      <w:r w:rsidRPr="00826796">
        <w:rPr>
          <w:rFonts w:ascii="Palatino Linotype" w:hAnsi="Palatino Linotype" w:cs="Arial"/>
          <w:sz w:val="24"/>
          <w:szCs w:val="24"/>
        </w:rPr>
        <w:t xml:space="preserve">De la imagen anterior, se desprende que el Sujeto Obligado </w:t>
      </w:r>
      <w:r w:rsidRPr="00826796">
        <w:rPr>
          <w:rFonts w:ascii="Palatino Linotype" w:eastAsia="Calibri" w:hAnsi="Palatino Linotype" w:cs="Arial"/>
          <w:sz w:val="24"/>
          <w:szCs w:val="24"/>
        </w:rPr>
        <w:t xml:space="preserve">tiene la obligación de entregar mensualmente </w:t>
      </w:r>
      <w:r w:rsidRPr="00826796">
        <w:rPr>
          <w:rFonts w:ascii="Palatino Linotype" w:hAnsi="Palatino Linotype"/>
          <w:sz w:val="24"/>
          <w:szCs w:val="24"/>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rsidR="005D30E6" w:rsidRPr="00826796" w:rsidRDefault="005D30E6" w:rsidP="00826796">
      <w:pPr>
        <w:pStyle w:val="Prrafodelista"/>
        <w:spacing w:before="240" w:after="240" w:line="360" w:lineRule="auto"/>
        <w:ind w:left="0"/>
        <w:jc w:val="both"/>
        <w:rPr>
          <w:rFonts w:ascii="Palatino Linotype" w:hAnsi="Palatino Linotype"/>
          <w:sz w:val="24"/>
          <w:szCs w:val="24"/>
          <w:lang w:eastAsia="es-MX"/>
        </w:rPr>
      </w:pPr>
    </w:p>
    <w:p w:rsidR="001609EB" w:rsidRPr="00826796" w:rsidRDefault="00413041" w:rsidP="00826796">
      <w:pPr>
        <w:pStyle w:val="Prrafodelista"/>
        <w:numPr>
          <w:ilvl w:val="0"/>
          <w:numId w:val="2"/>
        </w:numPr>
        <w:spacing w:before="240" w:after="240" w:line="360" w:lineRule="auto"/>
        <w:ind w:left="0" w:firstLine="0"/>
        <w:jc w:val="both"/>
        <w:rPr>
          <w:rFonts w:ascii="Palatino Linotype" w:hAnsi="Palatino Linotype"/>
          <w:sz w:val="24"/>
          <w:szCs w:val="24"/>
          <w:lang w:eastAsia="es-MX"/>
        </w:rPr>
      </w:pPr>
      <w:r w:rsidRPr="00826796">
        <w:rPr>
          <w:rFonts w:ascii="Palatino Linotype" w:hAnsi="Palatino Linotype"/>
          <w:sz w:val="24"/>
          <w:szCs w:val="24"/>
        </w:rPr>
        <w:t xml:space="preserve">Ahora bien es de precisar que los lineamientos establecen el </w:t>
      </w:r>
      <w:r w:rsidR="005D30E6" w:rsidRPr="00826796">
        <w:rPr>
          <w:rFonts w:ascii="Palatino Linotype" w:hAnsi="Palatino Linotype"/>
          <w:sz w:val="24"/>
          <w:szCs w:val="24"/>
        </w:rPr>
        <w:t>formato de</w:t>
      </w:r>
      <w:r w:rsidR="001609EB" w:rsidRPr="00826796">
        <w:rPr>
          <w:rFonts w:ascii="Palatino Linotype" w:hAnsi="Palatino Linotype"/>
          <w:sz w:val="24"/>
          <w:szCs w:val="24"/>
        </w:rPr>
        <w:t>terminado</w:t>
      </w:r>
      <w:r w:rsidRPr="00826796">
        <w:rPr>
          <w:rFonts w:ascii="Palatino Linotype" w:hAnsi="Palatino Linotype"/>
          <w:sz w:val="24"/>
          <w:szCs w:val="24"/>
        </w:rPr>
        <w:t xml:space="preserve"> para generar la información como es </w:t>
      </w:r>
      <w:proofErr w:type="spellStart"/>
      <w:r w:rsidRPr="00826796">
        <w:rPr>
          <w:rFonts w:ascii="Palatino Linotype" w:hAnsi="Palatino Linotype"/>
          <w:sz w:val="24"/>
          <w:szCs w:val="24"/>
        </w:rPr>
        <w:t>pdf</w:t>
      </w:r>
      <w:proofErr w:type="spellEnd"/>
      <w:r w:rsidRPr="00826796">
        <w:rPr>
          <w:rFonts w:ascii="Palatino Linotype" w:hAnsi="Palatino Linotype"/>
          <w:sz w:val="24"/>
          <w:szCs w:val="24"/>
        </w:rPr>
        <w:t xml:space="preserve"> y </w:t>
      </w:r>
      <w:proofErr w:type="spellStart"/>
      <w:r w:rsidRPr="00826796">
        <w:rPr>
          <w:rFonts w:ascii="Palatino Linotype" w:hAnsi="Palatino Linotype"/>
          <w:sz w:val="24"/>
          <w:szCs w:val="24"/>
        </w:rPr>
        <w:t>xls</w:t>
      </w:r>
      <w:proofErr w:type="spellEnd"/>
      <w:r w:rsidRPr="00826796">
        <w:rPr>
          <w:rFonts w:ascii="Palatino Linotype" w:hAnsi="Palatino Linotype"/>
          <w:sz w:val="24"/>
          <w:szCs w:val="24"/>
        </w:rPr>
        <w:t xml:space="preserve"> que corresponde al formato Excel</w:t>
      </w:r>
      <w:r w:rsidR="001609EB" w:rsidRPr="00826796">
        <w:rPr>
          <w:rFonts w:ascii="Palatino Linotype" w:hAnsi="Palatino Linotype"/>
          <w:sz w:val="24"/>
          <w:szCs w:val="24"/>
        </w:rPr>
        <w:t>, por cuanto hace a la nómina general</w:t>
      </w:r>
      <w:r w:rsidR="005D30E6" w:rsidRPr="00826796">
        <w:rPr>
          <w:rFonts w:ascii="Palatino Linotype" w:hAnsi="Palatino Linotype"/>
          <w:sz w:val="24"/>
          <w:szCs w:val="24"/>
        </w:rPr>
        <w:t xml:space="preserve">, lo cierto es que deben presentarse conforme a la representación impresa, que se genera con motivo de la </w:t>
      </w:r>
      <w:r w:rsidR="001609EB" w:rsidRPr="00826796">
        <w:rPr>
          <w:rFonts w:ascii="Palatino Linotype" w:hAnsi="Palatino Linotype"/>
          <w:sz w:val="24"/>
          <w:szCs w:val="24"/>
        </w:rPr>
        <w:t>presentación ante el Órgano fiscalizador.</w:t>
      </w:r>
    </w:p>
    <w:p w:rsidR="00413041" w:rsidRPr="00826796" w:rsidRDefault="00826796" w:rsidP="00826796">
      <w:pPr>
        <w:pStyle w:val="Prrafodelista"/>
        <w:spacing w:line="360" w:lineRule="auto"/>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9362</wp:posOffset>
                </wp:positionH>
                <wp:positionV relativeFrom="paragraph">
                  <wp:posOffset>21859</wp:posOffset>
                </wp:positionV>
                <wp:extent cx="5554493" cy="3521413"/>
                <wp:effectExtent l="19050" t="19050" r="27305" b="22225"/>
                <wp:wrapNone/>
                <wp:docPr id="11" name="Conector recto 11"/>
                <wp:cNvGraphicFramePr/>
                <a:graphic xmlns:a="http://schemas.openxmlformats.org/drawingml/2006/main">
                  <a:graphicData uri="http://schemas.microsoft.com/office/word/2010/wordprocessingShape">
                    <wps:wsp>
                      <wps:cNvCnPr/>
                      <wps:spPr>
                        <a:xfrm>
                          <a:off x="0" y="0"/>
                          <a:ext cx="5554493" cy="35214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071A9" id="Conector recto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7pt" to="438.1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" strokecolor="#5b9bd5 [3204]" strokeweight="3pt">
                <v:stroke joinstyle="miter"/>
              </v:line>
            </w:pict>
          </mc:Fallback>
        </mc:AlternateContent>
      </w:r>
    </w:p>
    <w:p w:rsidR="00413041" w:rsidRPr="00826796" w:rsidRDefault="00413041" w:rsidP="00826796">
      <w:pPr>
        <w:pStyle w:val="Prrafodelista"/>
        <w:spacing w:before="240" w:after="240" w:line="360" w:lineRule="auto"/>
        <w:ind w:left="0"/>
        <w:jc w:val="both"/>
        <w:rPr>
          <w:rFonts w:ascii="Palatino Linotype" w:hAnsi="Palatino Linotype"/>
          <w:sz w:val="24"/>
          <w:szCs w:val="24"/>
          <w:lang w:eastAsia="es-MX"/>
        </w:rPr>
      </w:pPr>
      <w:r w:rsidRPr="00826796">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65408" behindDoc="0" locked="0" layoutInCell="1" allowOverlap="1" wp14:anchorId="5ADE2BAF" wp14:editId="183EBBEF">
                <wp:simplePos x="0" y="0"/>
                <wp:positionH relativeFrom="margin">
                  <wp:align>right</wp:align>
                </wp:positionH>
                <wp:positionV relativeFrom="paragraph">
                  <wp:posOffset>493395</wp:posOffset>
                </wp:positionV>
                <wp:extent cx="752475" cy="533400"/>
                <wp:effectExtent l="19050" t="19050" r="28575" b="19050"/>
                <wp:wrapNone/>
                <wp:docPr id="4" name="Elipse 4"/>
                <wp:cNvGraphicFramePr/>
                <a:graphic xmlns:a="http://schemas.openxmlformats.org/drawingml/2006/main">
                  <a:graphicData uri="http://schemas.microsoft.com/office/word/2010/wordprocessingShape">
                    <wps:wsp>
                      <wps:cNvSpPr/>
                      <wps:spPr>
                        <a:xfrm>
                          <a:off x="0" y="0"/>
                          <a:ext cx="752475" cy="53340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5845FD" id="Elipse 4" o:spid="_x0000_s1026" style="position:absolute;margin-left:8.05pt;margin-top:38.85pt;width:59.25pt;height:42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" filled="f" strokecolor="red" strokeweight="3pt">
                <v:stroke joinstyle="miter"/>
                <w10:wrap anchorx="margin"/>
              </v:oval>
            </w:pict>
          </mc:Fallback>
        </mc:AlternateContent>
      </w:r>
      <w:r w:rsidRPr="00826796">
        <w:rPr>
          <w:rFonts w:ascii="Palatino Linotype" w:eastAsia="Times New Roman" w:hAnsi="Palatino Linotype" w:cs="Times New Roman"/>
          <w:noProof/>
          <w:sz w:val="24"/>
          <w:szCs w:val="24"/>
          <w:lang w:eastAsia="es-MX"/>
        </w:rPr>
        <w:drawing>
          <wp:inline distT="0" distB="0" distL="0" distR="0" wp14:anchorId="5EE15EB4" wp14:editId="06FB14F5">
            <wp:extent cx="5612130" cy="428955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587" t="39529" r="34996" b="16415"/>
                    <a:stretch/>
                  </pic:blipFill>
                  <pic:spPr bwMode="auto">
                    <a:xfrm>
                      <a:off x="0" y="0"/>
                      <a:ext cx="5612130" cy="4289553"/>
                    </a:xfrm>
                    <a:prstGeom prst="rect">
                      <a:avLst/>
                    </a:prstGeom>
                    <a:ln>
                      <a:noFill/>
                    </a:ln>
                    <a:extLst>
                      <a:ext uri="{53640926-AAD7-44D8-BBD7-CCE9431645EC}">
                        <a14:shadowObscured xmlns:a14="http://schemas.microsoft.com/office/drawing/2010/main"/>
                      </a:ext>
                    </a:extLst>
                  </pic:spPr>
                </pic:pic>
              </a:graphicData>
            </a:graphic>
          </wp:inline>
        </w:drawing>
      </w:r>
    </w:p>
    <w:p w:rsidR="000F5E0E" w:rsidRPr="00826796" w:rsidRDefault="000F5E0E" w:rsidP="00826796">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rPr>
      </w:pPr>
      <w:r w:rsidRPr="00826796">
        <w:rPr>
          <w:rFonts w:ascii="Palatino Linotype" w:eastAsia="MS Mincho" w:hAnsi="Palatino Linotype" w:cs="Times New Roman"/>
          <w:sz w:val="24"/>
          <w:szCs w:val="24"/>
          <w:lang w:val="es-ES" w:eastAsia="es-ES"/>
        </w:rPr>
        <w:t xml:space="preserve">Así las cosas, se colige que el </w:t>
      </w:r>
      <w:r w:rsidRPr="00826796">
        <w:rPr>
          <w:rFonts w:ascii="Palatino Linotype" w:eastAsia="MS Mincho" w:hAnsi="Palatino Linotype" w:cs="Times New Roman"/>
          <w:b/>
          <w:sz w:val="24"/>
          <w:szCs w:val="24"/>
          <w:lang w:val="es-ES" w:eastAsia="es-ES"/>
        </w:rPr>
        <w:t xml:space="preserve">SUJETO OBLIGADO no </w:t>
      </w:r>
      <w:r w:rsidRPr="00826796">
        <w:rPr>
          <w:rFonts w:ascii="Palatino Linotype" w:eastAsia="MS Mincho" w:hAnsi="Palatino Linotype" w:cs="Times New Roman"/>
          <w:sz w:val="24"/>
          <w:szCs w:val="24"/>
          <w:lang w:val="es-ES" w:eastAsia="es-ES"/>
        </w:rPr>
        <w:t>cumple con la entrega de la información de manera</w:t>
      </w:r>
      <w:r w:rsidR="001609EB" w:rsidRPr="00826796">
        <w:rPr>
          <w:rFonts w:ascii="Palatino Linotype" w:eastAsia="MS Mincho" w:hAnsi="Palatino Linotype" w:cs="Times New Roman"/>
          <w:sz w:val="24"/>
          <w:szCs w:val="24"/>
          <w:lang w:val="es-ES" w:eastAsia="es-ES"/>
        </w:rPr>
        <w:t xml:space="preserve"> puntal, </w:t>
      </w:r>
      <w:r w:rsidRPr="00826796">
        <w:rPr>
          <w:rFonts w:ascii="Palatino Linotype" w:eastAsia="Times New Roman" w:hAnsi="Palatino Linotype" w:cs="Times New Roman"/>
          <w:color w:val="000000" w:themeColor="text1"/>
          <w:sz w:val="24"/>
          <w:szCs w:val="24"/>
        </w:rPr>
        <w:t>de acuerdo al contenido del artículo 92 de la Ley en la materia fracción VIII y X el cual establece lo correspondiente a las remuneraciones y el total de plaza y del personal de base y confianza, para mejor referencia se inserta el contenido.</w:t>
      </w:r>
    </w:p>
    <w:p w:rsidR="000F5E0E" w:rsidRPr="00826796" w:rsidRDefault="000F5E0E" w:rsidP="00826796">
      <w:pPr>
        <w:pStyle w:val="Prrafodelista"/>
        <w:spacing w:line="360" w:lineRule="auto"/>
        <w:ind w:left="567" w:right="616"/>
        <w:jc w:val="both"/>
        <w:rPr>
          <w:rFonts w:ascii="Palatino Linotype" w:eastAsia="Times New Roman" w:hAnsi="Palatino Linotype" w:cs="Times New Roman"/>
          <w:b/>
          <w:i/>
          <w:color w:val="000000" w:themeColor="text1"/>
          <w:sz w:val="24"/>
          <w:szCs w:val="24"/>
        </w:rPr>
      </w:pPr>
      <w:r w:rsidRPr="00826796">
        <w:rPr>
          <w:rFonts w:ascii="Palatino Linotype" w:eastAsia="Times New Roman" w:hAnsi="Palatino Linotype" w:cs="Times New Roman"/>
          <w:i/>
          <w:color w:val="000000" w:themeColor="text1"/>
          <w:sz w:val="24"/>
          <w:szCs w:val="24"/>
        </w:rPr>
        <w:t xml:space="preserve">Artículo 92. </w:t>
      </w:r>
      <w:r w:rsidRPr="00826796">
        <w:rPr>
          <w:rFonts w:ascii="Palatino Linotype" w:eastAsia="Times New Roman" w:hAnsi="Palatino Linotype" w:cs="Times New Roman"/>
          <w:b/>
          <w:i/>
          <w:color w:val="000000" w:themeColor="text1"/>
          <w:sz w:val="24"/>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826796">
        <w:rPr>
          <w:rFonts w:ascii="Palatino Linotype" w:eastAsia="Times New Roman" w:hAnsi="Palatino Linotype" w:cs="Times New Roman"/>
          <w:i/>
          <w:color w:val="000000" w:themeColor="text1"/>
          <w:sz w:val="24"/>
          <w:szCs w:val="24"/>
        </w:rPr>
        <w:t>documentos y políticas que a continuación se señalan</w:t>
      </w:r>
      <w:r w:rsidRPr="00826796">
        <w:rPr>
          <w:rFonts w:ascii="Palatino Linotype" w:eastAsia="Times New Roman" w:hAnsi="Palatino Linotype" w:cs="Times New Roman"/>
          <w:b/>
          <w:i/>
          <w:color w:val="000000" w:themeColor="text1"/>
          <w:sz w:val="24"/>
          <w:szCs w:val="24"/>
        </w:rPr>
        <w:t>:</w:t>
      </w:r>
    </w:p>
    <w:p w:rsidR="000F5E0E" w:rsidRPr="00826796" w:rsidRDefault="000F5E0E" w:rsidP="00826796">
      <w:pPr>
        <w:pStyle w:val="Prrafodelista"/>
        <w:spacing w:line="360" w:lineRule="auto"/>
        <w:rPr>
          <w:rFonts w:ascii="Palatino Linotype" w:eastAsia="Times New Roman" w:hAnsi="Palatino Linotype" w:cs="Times New Roman"/>
          <w:i/>
          <w:color w:val="000000" w:themeColor="text1"/>
          <w:sz w:val="24"/>
          <w:szCs w:val="24"/>
        </w:rPr>
      </w:pPr>
      <w:r w:rsidRPr="00826796">
        <w:rPr>
          <w:rFonts w:ascii="Palatino Linotype" w:eastAsia="Times New Roman" w:hAnsi="Palatino Linotype" w:cs="Times New Roman"/>
          <w:i/>
          <w:color w:val="000000" w:themeColor="text1"/>
          <w:sz w:val="24"/>
          <w:szCs w:val="24"/>
        </w:rPr>
        <w:t>…</w:t>
      </w:r>
    </w:p>
    <w:p w:rsidR="000F5E0E" w:rsidRPr="00826796" w:rsidRDefault="000F5E0E" w:rsidP="00826796">
      <w:pPr>
        <w:pStyle w:val="Prrafodelista"/>
        <w:spacing w:line="360" w:lineRule="auto"/>
        <w:ind w:left="567" w:right="616"/>
        <w:jc w:val="both"/>
        <w:rPr>
          <w:rFonts w:ascii="Palatino Linotype" w:eastAsia="Times New Roman" w:hAnsi="Palatino Linotype" w:cs="Times New Roman"/>
          <w:i/>
          <w:color w:val="000000" w:themeColor="text1"/>
          <w:sz w:val="24"/>
          <w:szCs w:val="24"/>
        </w:rPr>
      </w:pPr>
      <w:r w:rsidRPr="00826796">
        <w:rPr>
          <w:rFonts w:ascii="Palatino Linotype" w:eastAsia="Times New Roman" w:hAnsi="Palatino Linotype" w:cs="Times New Roman"/>
          <w:i/>
          <w:color w:val="000000" w:themeColor="text1"/>
          <w:sz w:val="24"/>
          <w:szCs w:val="24"/>
        </w:rPr>
        <w:t xml:space="preserve">VIII. </w:t>
      </w:r>
      <w:r w:rsidRPr="00826796">
        <w:rPr>
          <w:rFonts w:ascii="Palatino Linotype" w:eastAsia="Times New Roman" w:hAnsi="Palatino Linotype" w:cs="Times New Roman"/>
          <w:b/>
          <w:i/>
          <w:color w:val="000000" w:themeColor="text1"/>
          <w:sz w:val="24"/>
          <w:szCs w:val="24"/>
        </w:rPr>
        <w:t>La remuneración bruta y neta de todos los servidores público</w:t>
      </w:r>
      <w:r w:rsidRPr="00826796">
        <w:rPr>
          <w:rFonts w:ascii="Palatino Linotype" w:eastAsia="Times New Roman" w:hAnsi="Palatino Linotype" w:cs="Times New Roman"/>
          <w:i/>
          <w:color w:val="000000" w:themeColor="text1"/>
          <w:sz w:val="24"/>
          <w:szCs w:val="24"/>
        </w:rPr>
        <w:t>s de base o de confianza, de todas las percepciones, i</w:t>
      </w:r>
      <w:r w:rsidRPr="00826796">
        <w:rPr>
          <w:rFonts w:ascii="Palatino Linotype" w:eastAsia="Times New Roman" w:hAnsi="Palatino Linotype" w:cs="Times New Roman"/>
          <w:b/>
          <w:i/>
          <w:color w:val="000000" w:themeColor="text1"/>
          <w:sz w:val="24"/>
          <w:szCs w:val="24"/>
        </w:rPr>
        <w:t>ncluyendo sueldos, prestaciones, gratificaciones, primas, comisiones, dietas, bonos, estímulos, ingresos y sistemas de compensación</w:t>
      </w:r>
      <w:r w:rsidRPr="00826796">
        <w:rPr>
          <w:rFonts w:ascii="Palatino Linotype" w:eastAsia="Times New Roman" w:hAnsi="Palatino Linotype" w:cs="Times New Roman"/>
          <w:i/>
          <w:color w:val="000000" w:themeColor="text1"/>
          <w:sz w:val="24"/>
          <w:szCs w:val="24"/>
        </w:rPr>
        <w:t>, señalando la periodicidad de dicha remuneración.</w:t>
      </w:r>
    </w:p>
    <w:p w:rsidR="000F5E0E" w:rsidRPr="00826796" w:rsidRDefault="000F5E0E" w:rsidP="00826796">
      <w:pPr>
        <w:pStyle w:val="Prrafodelista"/>
        <w:spacing w:line="360" w:lineRule="auto"/>
        <w:ind w:left="567" w:right="616"/>
        <w:jc w:val="both"/>
        <w:rPr>
          <w:rFonts w:ascii="Palatino Linotype" w:eastAsia="Times New Roman" w:hAnsi="Palatino Linotype" w:cs="Times New Roman"/>
          <w:color w:val="000000" w:themeColor="text1"/>
          <w:sz w:val="24"/>
          <w:szCs w:val="24"/>
        </w:rPr>
      </w:pPr>
      <w:r w:rsidRPr="00826796">
        <w:rPr>
          <w:rFonts w:ascii="Palatino Linotype" w:eastAsia="Times New Roman" w:hAnsi="Palatino Linotype" w:cs="Times New Roman"/>
          <w:color w:val="000000" w:themeColor="text1"/>
          <w:sz w:val="24"/>
          <w:szCs w:val="24"/>
        </w:rPr>
        <w:t>…</w:t>
      </w:r>
    </w:p>
    <w:p w:rsidR="000F5E0E" w:rsidRPr="00826796" w:rsidRDefault="000F5E0E" w:rsidP="00826796">
      <w:pPr>
        <w:pStyle w:val="Prrafodelista"/>
        <w:spacing w:line="360" w:lineRule="auto"/>
        <w:rPr>
          <w:rFonts w:ascii="Palatino Linotype" w:eastAsia="Times New Roman" w:hAnsi="Palatino Linotype" w:cs="Times New Roman"/>
          <w:color w:val="000000" w:themeColor="text1"/>
          <w:sz w:val="24"/>
          <w:szCs w:val="24"/>
        </w:rPr>
      </w:pPr>
    </w:p>
    <w:p w:rsidR="000F5E0E" w:rsidRPr="00826796" w:rsidRDefault="000F5E0E" w:rsidP="00826796">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826796">
        <w:rPr>
          <w:rFonts w:ascii="Palatino Linotype" w:eastAsia="Times New Roman" w:hAnsi="Palatino Linotype" w:cs="Times New Roman"/>
          <w:color w:val="000000" w:themeColor="text1"/>
          <w:sz w:val="24"/>
          <w:szCs w:val="24"/>
        </w:rPr>
        <w:t xml:space="preserve">Luego entonces, es de observar que la información que fue solicitada se encuentra dentro del catálogo de obligaciones de transparencia común, por lo tanto el </w:t>
      </w:r>
      <w:r w:rsidRPr="00826796">
        <w:rPr>
          <w:rFonts w:ascii="Palatino Linotype" w:eastAsia="Times New Roman" w:hAnsi="Palatino Linotype" w:cs="Times New Roman"/>
          <w:b/>
          <w:color w:val="000000" w:themeColor="text1"/>
          <w:sz w:val="24"/>
          <w:szCs w:val="24"/>
        </w:rPr>
        <w:t>SUJETO OBLIGADO</w:t>
      </w:r>
      <w:r w:rsidRPr="00826796">
        <w:rPr>
          <w:rFonts w:ascii="Palatino Linotype" w:eastAsia="Times New Roman" w:hAnsi="Palatino Linotype" w:cs="Times New Roman"/>
          <w:color w:val="000000" w:themeColor="text1"/>
          <w:sz w:val="24"/>
          <w:szCs w:val="24"/>
        </w:rPr>
        <w:t xml:space="preserve"> para dar cumplimiento al derecho de acceso a la información deberá de </w:t>
      </w:r>
      <w:r w:rsidR="001609EB" w:rsidRPr="00826796">
        <w:rPr>
          <w:rFonts w:ascii="Palatino Linotype" w:eastAsia="Times New Roman" w:hAnsi="Palatino Linotype" w:cs="Times New Roman"/>
          <w:color w:val="000000" w:themeColor="text1"/>
          <w:sz w:val="24"/>
          <w:szCs w:val="24"/>
        </w:rPr>
        <w:t>proporcionar la información correspondiente a la Nómina</w:t>
      </w:r>
      <w:r w:rsidR="0067655D" w:rsidRPr="00826796">
        <w:rPr>
          <w:rFonts w:ascii="Palatino Linotype" w:eastAsia="Times New Roman" w:hAnsi="Palatino Linotype" w:cs="Times New Roman"/>
          <w:color w:val="000000" w:themeColor="text1"/>
          <w:sz w:val="24"/>
          <w:szCs w:val="24"/>
        </w:rPr>
        <w:t xml:space="preserve"> General del Ayuntamiento, correspondiente a la segunda quincena del mes de febrero de la presente anualidad, en formato Excel o bien el que se genere,</w:t>
      </w:r>
      <w:r w:rsidR="0067655D" w:rsidRPr="00826796">
        <w:rPr>
          <w:rFonts w:ascii="Palatino Linotype" w:eastAsia="MS Mincho" w:hAnsi="Palatino Linotype" w:cstheme="majorBidi"/>
          <w:b/>
          <w:sz w:val="24"/>
          <w:szCs w:val="24"/>
          <w:lang w:val="es-ES_tradnl" w:eastAsia="es-ES"/>
        </w:rPr>
        <w:t xml:space="preserve"> en versión pública y de manera disociada,</w:t>
      </w:r>
      <w:r w:rsidR="0067655D" w:rsidRPr="00826796">
        <w:rPr>
          <w:rFonts w:ascii="Palatino Linotype" w:eastAsia="Times New Roman" w:hAnsi="Palatino Linotype" w:cs="Times New Roman"/>
          <w:color w:val="000000" w:themeColor="text1"/>
          <w:sz w:val="24"/>
          <w:szCs w:val="24"/>
        </w:rPr>
        <w:t xml:space="preserve"> información q</w:t>
      </w:r>
      <w:r w:rsidRPr="00826796">
        <w:rPr>
          <w:rFonts w:ascii="Palatino Linotype" w:eastAsia="Times New Roman" w:hAnsi="Palatino Linotype" w:cs="Times New Roman"/>
          <w:color w:val="000000" w:themeColor="text1"/>
          <w:sz w:val="24"/>
          <w:szCs w:val="24"/>
        </w:rPr>
        <w:t>ue es generada de manera mensual y remita al Órgano de Fiscalización del Estado de México (OSFEM).</w:t>
      </w:r>
    </w:p>
    <w:p w:rsidR="00413041" w:rsidRPr="00826796" w:rsidRDefault="00413041" w:rsidP="00826796">
      <w:pPr>
        <w:spacing w:before="240" w:after="240" w:line="360" w:lineRule="auto"/>
        <w:contextualSpacing/>
        <w:jc w:val="both"/>
        <w:rPr>
          <w:rFonts w:ascii="Palatino Linotype" w:eastAsia="Times New Roman" w:hAnsi="Palatino Linotype" w:cs="Times New Roman"/>
          <w:color w:val="000000" w:themeColor="text1"/>
          <w:sz w:val="24"/>
          <w:szCs w:val="24"/>
        </w:rPr>
      </w:pPr>
    </w:p>
    <w:p w:rsidR="000F5E0E" w:rsidRPr="00826796" w:rsidRDefault="000F5E0E" w:rsidP="00826796">
      <w:pPr>
        <w:numPr>
          <w:ilvl w:val="0"/>
          <w:numId w:val="2"/>
        </w:numPr>
        <w:tabs>
          <w:tab w:val="left" w:pos="709"/>
        </w:tabs>
        <w:spacing w:before="240" w:after="0" w:line="360" w:lineRule="auto"/>
        <w:ind w:left="0" w:right="51" w:firstLine="0"/>
        <w:contextualSpacing/>
        <w:jc w:val="both"/>
        <w:rPr>
          <w:rFonts w:ascii="Palatino Linotype" w:hAnsi="Palatino Linotype"/>
          <w:sz w:val="24"/>
          <w:szCs w:val="24"/>
        </w:rPr>
      </w:pPr>
      <w:r w:rsidRPr="00826796">
        <w:rPr>
          <w:rFonts w:ascii="Palatino Linotype" w:hAnsi="Palatino Linotype"/>
          <w:sz w:val="24"/>
          <w:szCs w:val="24"/>
        </w:rPr>
        <w:t xml:space="preserve">Atento a lo anterior, de acuerdo a la fecha en que se deberá de dar cumplimiento a lo solicitado y de acuerdo a lo que establece calendario para la presentación del informes mensual ante órganos fiscalizador, el </w:t>
      </w:r>
      <w:r w:rsidRPr="00826796">
        <w:rPr>
          <w:rFonts w:ascii="Palatino Linotype" w:hAnsi="Palatino Linotype"/>
          <w:b/>
          <w:sz w:val="24"/>
          <w:szCs w:val="24"/>
        </w:rPr>
        <w:t>SUJETO OBLIGADO</w:t>
      </w:r>
      <w:r w:rsidRPr="00826796">
        <w:rPr>
          <w:rFonts w:ascii="Palatino Linotype" w:hAnsi="Palatino Linotype"/>
          <w:sz w:val="24"/>
          <w:szCs w:val="24"/>
        </w:rPr>
        <w:t xml:space="preserve"> ya debe de contar con la información.</w:t>
      </w:r>
    </w:p>
    <w:p w:rsidR="00B244B7" w:rsidRPr="00826796" w:rsidRDefault="0067655D" w:rsidP="00826796">
      <w:pPr>
        <w:tabs>
          <w:tab w:val="left" w:pos="993"/>
        </w:tabs>
        <w:spacing w:before="240" w:line="360" w:lineRule="auto"/>
        <w:ind w:right="567"/>
        <w:jc w:val="both"/>
        <w:rPr>
          <w:rFonts w:ascii="Palatino Linotype" w:hAnsi="Palatino Linotype"/>
          <w:i/>
          <w:sz w:val="24"/>
          <w:szCs w:val="24"/>
        </w:rPr>
      </w:pPr>
      <w:r w:rsidRPr="00826796">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-111210</wp:posOffset>
                </wp:positionH>
                <wp:positionV relativeFrom="paragraph">
                  <wp:posOffset>2263007</wp:posOffset>
                </wp:positionV>
                <wp:extent cx="4101153" cy="402609"/>
                <wp:effectExtent l="19050" t="19050" r="13970" b="16510"/>
                <wp:wrapNone/>
                <wp:docPr id="9" name="Rectángulo 9"/>
                <wp:cNvGraphicFramePr/>
                <a:graphic xmlns:a="http://schemas.openxmlformats.org/drawingml/2006/main">
                  <a:graphicData uri="http://schemas.microsoft.com/office/word/2010/wordprocessingShape">
                    <wps:wsp>
                      <wps:cNvSpPr/>
                      <wps:spPr>
                        <a:xfrm>
                          <a:off x="0" y="0"/>
                          <a:ext cx="4101153" cy="40260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20E1A" id="Rectángulo 9" o:spid="_x0000_s1026" style="position:absolute;margin-left:-8.75pt;margin-top:178.2pt;width:322.9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" filled="f" strokecolor="red" strokeweight="3pt"/>
            </w:pict>
          </mc:Fallback>
        </mc:AlternateContent>
      </w:r>
      <w:r w:rsidR="000F5E0E" w:rsidRPr="00826796">
        <w:rPr>
          <w:rFonts w:ascii="Palatino Linotype" w:hAnsi="Palatino Linotype"/>
          <w:noProof/>
          <w:sz w:val="24"/>
          <w:szCs w:val="24"/>
          <w:lang w:eastAsia="es-MX"/>
        </w:rPr>
        <w:drawing>
          <wp:inline distT="0" distB="0" distL="0" distR="0" wp14:anchorId="14C558ED" wp14:editId="71F12D53">
            <wp:extent cx="5165090" cy="5199797"/>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77" t="10939" r="25322" b="15683"/>
                    <a:stretch/>
                  </pic:blipFill>
                  <pic:spPr bwMode="auto">
                    <a:xfrm>
                      <a:off x="0" y="0"/>
                      <a:ext cx="5201723" cy="5236676"/>
                    </a:xfrm>
                    <a:prstGeom prst="rect">
                      <a:avLst/>
                    </a:prstGeom>
                    <a:ln>
                      <a:noFill/>
                    </a:ln>
                    <a:extLst>
                      <a:ext uri="{53640926-AAD7-44D8-BBD7-CCE9431645EC}">
                        <a14:shadowObscured xmlns:a14="http://schemas.microsoft.com/office/drawing/2010/main"/>
                      </a:ext>
                    </a:extLst>
                  </pic:spPr>
                </pic:pic>
              </a:graphicData>
            </a:graphic>
          </wp:inline>
        </w:drawing>
      </w:r>
    </w:p>
    <w:p w:rsidR="00B244B7" w:rsidRPr="00826796" w:rsidRDefault="00B244B7" w:rsidP="00826796">
      <w:pPr>
        <w:tabs>
          <w:tab w:val="left" w:pos="993"/>
        </w:tabs>
        <w:spacing w:before="240" w:line="360" w:lineRule="auto"/>
        <w:ind w:right="567"/>
        <w:jc w:val="both"/>
        <w:rPr>
          <w:rFonts w:ascii="Palatino Linotype" w:hAnsi="Palatino Linotype"/>
          <w:i/>
          <w:color w:val="FF0000"/>
          <w:sz w:val="24"/>
          <w:szCs w:val="24"/>
        </w:rPr>
      </w:pPr>
    </w:p>
    <w:p w:rsidR="0067655D" w:rsidRPr="00826796" w:rsidRDefault="000F5E0E" w:rsidP="00826796">
      <w:pPr>
        <w:keepNext/>
        <w:keepLines/>
        <w:spacing w:before="240" w:after="0" w:line="360" w:lineRule="auto"/>
        <w:outlineLvl w:val="0"/>
        <w:rPr>
          <w:rFonts w:ascii="Palatino Linotype" w:eastAsia="MS Gothic" w:hAnsi="Palatino Linotype" w:cstheme="majorBidi"/>
          <w:b/>
          <w:sz w:val="24"/>
          <w:szCs w:val="24"/>
          <w:lang w:val="es-ES_tradnl"/>
        </w:rPr>
      </w:pPr>
      <w:bookmarkStart w:id="75" w:name="_Toc536726465"/>
      <w:bookmarkStart w:id="76" w:name="_Toc10736008"/>
      <w:r w:rsidRPr="00826796">
        <w:rPr>
          <w:rFonts w:ascii="Palatino Linotype" w:eastAsia="MS Gothic" w:hAnsi="Palatino Linotype" w:cstheme="majorBidi"/>
          <w:b/>
          <w:sz w:val="24"/>
          <w:szCs w:val="24"/>
          <w:lang w:val="es-ES_tradnl"/>
        </w:rPr>
        <w:t>QUINTO. De la Versión Pública</w:t>
      </w:r>
      <w:bookmarkEnd w:id="75"/>
      <w:bookmarkEnd w:id="76"/>
      <w:r w:rsidRPr="00826796">
        <w:rPr>
          <w:rFonts w:ascii="Palatino Linotype" w:eastAsia="MS Gothic" w:hAnsi="Palatino Linotype" w:cstheme="majorBidi"/>
          <w:b/>
          <w:sz w:val="24"/>
          <w:szCs w:val="24"/>
          <w:lang w:val="es-ES_tradnl"/>
        </w:rPr>
        <w:t xml:space="preserve"> </w:t>
      </w:r>
    </w:p>
    <w:p w:rsidR="00826796" w:rsidRPr="00826796" w:rsidRDefault="000F5E0E" w:rsidP="00826796">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826796">
        <w:rPr>
          <w:rFonts w:ascii="Palatino Linotype" w:eastAsia="Calibri" w:hAnsi="Palatino Linotype" w:cs="Arial"/>
          <w:sz w:val="24"/>
          <w:szCs w:val="24"/>
          <w:lang w:val="es-ES_tradnl" w:eastAsia="es-MX"/>
        </w:rPr>
        <w:t xml:space="preserve">Como ya se ha señalado en el considerando anteriormente </w:t>
      </w:r>
      <w:r w:rsidRPr="00826796">
        <w:rPr>
          <w:rFonts w:ascii="Palatino Linotype" w:eastAsia="Calibri" w:hAnsi="Palatino Linotype" w:cs="Arial"/>
          <w:sz w:val="24"/>
          <w:szCs w:val="24"/>
          <w:lang w:val="es-ES" w:eastAsia="es-MX"/>
        </w:rPr>
        <w:t xml:space="preserve">el </w:t>
      </w:r>
      <w:r w:rsidRPr="00826796">
        <w:rPr>
          <w:rFonts w:ascii="Palatino Linotype" w:eastAsia="Calibri" w:hAnsi="Palatino Linotype" w:cs="Arial"/>
          <w:b/>
          <w:sz w:val="24"/>
          <w:szCs w:val="24"/>
          <w:lang w:val="es-ES" w:eastAsia="es-MX"/>
        </w:rPr>
        <w:t>SUJETO OBLIGADO,</w:t>
      </w:r>
      <w:r w:rsidRPr="00826796">
        <w:rPr>
          <w:rFonts w:ascii="Palatino Linotype" w:eastAsia="Calibri" w:hAnsi="Palatino Linotype" w:cs="Arial"/>
          <w:sz w:val="24"/>
          <w:szCs w:val="24"/>
          <w:lang w:val="es-ES" w:eastAsia="es-MX"/>
        </w:rPr>
        <w:t xml:space="preserve"> deberá entregar </w:t>
      </w:r>
      <w:r w:rsidR="0067655D" w:rsidRPr="00826796">
        <w:rPr>
          <w:rFonts w:ascii="Palatino Linotype" w:eastAsia="Calibri" w:hAnsi="Palatino Linotype" w:cs="Arial"/>
          <w:sz w:val="24"/>
          <w:szCs w:val="24"/>
          <w:lang w:val="es-ES" w:eastAsia="es-MX"/>
        </w:rPr>
        <w:t xml:space="preserve">en formato </w:t>
      </w:r>
      <w:proofErr w:type="spellStart"/>
      <w:r w:rsidR="0067655D" w:rsidRPr="00826796">
        <w:rPr>
          <w:rFonts w:ascii="Palatino Linotype" w:eastAsia="Calibri" w:hAnsi="Palatino Linotype" w:cs="Arial"/>
          <w:sz w:val="24"/>
          <w:szCs w:val="24"/>
          <w:lang w:val="es-ES" w:eastAsia="es-MX"/>
        </w:rPr>
        <w:t>excel</w:t>
      </w:r>
      <w:proofErr w:type="spellEnd"/>
      <w:r w:rsidRPr="00826796">
        <w:rPr>
          <w:rFonts w:ascii="Palatino Linotype" w:eastAsia="Calibri" w:hAnsi="Palatino Linotype" w:cs="Arial"/>
          <w:sz w:val="24"/>
          <w:szCs w:val="24"/>
          <w:lang w:val="es-ES" w:eastAsia="es-MX"/>
        </w:rPr>
        <w:t xml:space="preserve"> </w:t>
      </w:r>
      <w:r w:rsidR="0067655D" w:rsidRPr="00826796">
        <w:rPr>
          <w:rFonts w:ascii="Palatino Linotype" w:eastAsia="Calibri" w:hAnsi="Palatino Linotype" w:cs="Arial"/>
          <w:sz w:val="24"/>
          <w:szCs w:val="24"/>
          <w:lang w:val="es-ES" w:eastAsia="es-MX"/>
        </w:rPr>
        <w:t xml:space="preserve">la Nómina General de todo el personal </w:t>
      </w:r>
      <w:r w:rsidRPr="00826796">
        <w:rPr>
          <w:rFonts w:ascii="Palatino Linotype" w:eastAsia="Calibri" w:hAnsi="Palatino Linotype" w:cs="Arial"/>
          <w:sz w:val="24"/>
          <w:szCs w:val="24"/>
          <w:lang w:val="es-ES" w:eastAsia="es-MX"/>
        </w:rPr>
        <w:t>que laboran en el Ayuntamiento de</w:t>
      </w:r>
      <w:r w:rsidR="0067655D" w:rsidRPr="00826796">
        <w:rPr>
          <w:rFonts w:ascii="Palatino Linotype" w:eastAsia="Calibri" w:hAnsi="Palatino Linotype" w:cs="Arial"/>
          <w:sz w:val="24"/>
          <w:szCs w:val="24"/>
          <w:lang w:val="es-ES" w:eastAsia="es-MX"/>
        </w:rPr>
        <w:t xml:space="preserve"> Tecámac</w:t>
      </w:r>
      <w:r w:rsidR="0067655D" w:rsidRPr="00826796">
        <w:rPr>
          <w:rFonts w:ascii="Palatino Linotype" w:eastAsia="Calibri" w:hAnsi="Palatino Linotype" w:cs="Arial"/>
          <w:sz w:val="24"/>
          <w:szCs w:val="24"/>
          <w:lang w:val="es-ES_tradnl" w:eastAsia="es-MX"/>
        </w:rPr>
        <w:t>, correspondiente a la segunda quincena de febrero de la presente anualidad.</w:t>
      </w: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26796">
        <w:rPr>
          <w:rFonts w:ascii="Palatino Linotype" w:eastAsia="MS Mincho" w:hAnsi="Palatino Linotype" w:cs="Arial"/>
          <w:b/>
          <w:color w:val="000000"/>
          <w:sz w:val="24"/>
          <w:szCs w:val="24"/>
          <w:u w:val="single"/>
          <w:lang w:val="es-ES_tradnl" w:eastAsia="es-ES"/>
        </w:rPr>
        <w:t>versión pública</w:t>
      </w:r>
      <w:r w:rsidRPr="00826796">
        <w:rPr>
          <w:rFonts w:ascii="Palatino Linotype" w:eastAsia="MS Mincho" w:hAnsi="Palatino Linotype" w:cs="Arial"/>
          <w:color w:val="000000"/>
          <w:sz w:val="24"/>
          <w:szCs w:val="24"/>
          <w:lang w:val="es-ES_tradnl" w:eastAsia="es-ES"/>
        </w:rPr>
        <w:t xml:space="preserve"> </w:t>
      </w:r>
      <w:r w:rsidRPr="00826796">
        <w:rPr>
          <w:rFonts w:ascii="Palatino Linotype" w:eastAsia="MS Mincho" w:hAnsi="Palatino Linotype" w:cs="Arial"/>
          <w:sz w:val="24"/>
          <w:szCs w:val="24"/>
          <w:lang w:val="es-ES_tradnl" w:eastAsia="es-ES"/>
        </w:rPr>
        <w:t>del</w:t>
      </w:r>
      <w:r w:rsidRPr="00826796">
        <w:rPr>
          <w:rFonts w:ascii="Palatino Linotype" w:eastAsia="MS Mincho" w:hAnsi="Palatino Linotype" w:cs="Arial"/>
          <w:color w:val="000000"/>
          <w:sz w:val="24"/>
          <w:szCs w:val="24"/>
          <w:lang w:val="es-ES_tradnl" w:eastAsia="es-ES"/>
        </w:rPr>
        <w:t xml:space="preserve"> documento por las consideraciones que se estimen pertinentes.</w:t>
      </w:r>
    </w:p>
    <w:p w:rsidR="000F5E0E" w:rsidRPr="00826796" w:rsidRDefault="000F5E0E" w:rsidP="00826796">
      <w:pPr>
        <w:spacing w:after="0" w:line="360" w:lineRule="auto"/>
        <w:contextualSpacing/>
        <w:jc w:val="both"/>
        <w:rPr>
          <w:rFonts w:ascii="Palatino Linotype" w:eastAsia="MS Mincho" w:hAnsi="Palatino Linotype" w:cs="Times New Roman"/>
          <w:sz w:val="24"/>
          <w:szCs w:val="24"/>
          <w:lang w:val="es-ES_tradnl" w:eastAsia="es-ES"/>
        </w:rPr>
      </w:pPr>
    </w:p>
    <w:p w:rsidR="000F5E0E" w:rsidRPr="00826796" w:rsidRDefault="000F5E0E" w:rsidP="00826796">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826796">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0F5E0E" w:rsidRPr="00826796" w:rsidRDefault="000F5E0E" w:rsidP="00826796">
      <w:pPr>
        <w:spacing w:after="0" w:line="360" w:lineRule="auto"/>
        <w:rPr>
          <w:rFonts w:ascii="Palatino Linotype" w:eastAsia="MS Mincho" w:hAnsi="Palatino Linotype" w:cs="Times New Roman"/>
          <w:noProof/>
          <w:sz w:val="24"/>
          <w:szCs w:val="24"/>
          <w:lang w:val="es-ES_tradnl"/>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F5E0E" w:rsidRPr="00826796" w:rsidRDefault="000F5E0E" w:rsidP="00826796">
      <w:pPr>
        <w:spacing w:after="0" w:line="360" w:lineRule="auto"/>
        <w:contextualSpacing/>
        <w:jc w:val="both"/>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numPr>
          <w:ilvl w:val="0"/>
          <w:numId w:val="5"/>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826796">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0F5E0E" w:rsidRPr="00826796" w:rsidRDefault="000F5E0E" w:rsidP="00826796">
      <w:pPr>
        <w:spacing w:after="0" w:line="360" w:lineRule="auto"/>
        <w:rPr>
          <w:rFonts w:ascii="Palatino Linotype" w:eastAsia="MS Mincho" w:hAnsi="Palatino Linotype" w:cs="Times New Roman"/>
          <w:noProof/>
          <w:sz w:val="24"/>
          <w:szCs w:val="24"/>
          <w:lang w:val="es-ES_tradnl"/>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26796">
        <w:rPr>
          <w:rFonts w:ascii="Palatino Linotype" w:eastAsia="MS Mincho" w:hAnsi="Palatino Linotype" w:cs="Arial"/>
          <w:sz w:val="24"/>
          <w:szCs w:val="24"/>
          <w:lang w:val="es-ES_tradnl" w:eastAsia="es-ES"/>
        </w:rPr>
        <w:t>Acceso</w:t>
      </w:r>
      <w:r w:rsidRPr="00826796">
        <w:rPr>
          <w:rFonts w:ascii="Palatino Linotype" w:eastAsia="Calibri" w:hAnsi="Palatino Linotype" w:cs="Arial"/>
          <w:sz w:val="24"/>
          <w:szCs w:val="24"/>
          <w:lang w:val="es-ES_tradnl" w:eastAsia="es-MX"/>
        </w:rPr>
        <w:t xml:space="preserve"> a la Información Pública del Estado de México y Municipios.</w:t>
      </w:r>
    </w:p>
    <w:p w:rsidR="000F5E0E" w:rsidRPr="00826796" w:rsidRDefault="000F5E0E" w:rsidP="00826796">
      <w:pPr>
        <w:spacing w:after="0" w:line="360" w:lineRule="auto"/>
        <w:contextualSpacing/>
        <w:jc w:val="both"/>
        <w:rPr>
          <w:rFonts w:ascii="Palatino Linotype" w:eastAsia="Calibri" w:hAnsi="Palatino Linotype" w:cs="Arial"/>
          <w:sz w:val="24"/>
          <w:szCs w:val="24"/>
          <w:lang w:val="es-ES_tradnl" w:eastAsia="es-MX"/>
        </w:rPr>
      </w:pPr>
    </w:p>
    <w:p w:rsidR="000F5E0E" w:rsidRPr="00826796" w:rsidRDefault="000F5E0E" w:rsidP="00826796">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b/>
          <w:bCs/>
          <w:i/>
          <w:sz w:val="24"/>
          <w:szCs w:val="24"/>
          <w:lang w:val="es-ES_tradnl" w:eastAsia="es-ES"/>
        </w:rPr>
        <w:t xml:space="preserve">Artículo 3. </w:t>
      </w:r>
      <w:r w:rsidRPr="00826796">
        <w:rPr>
          <w:rFonts w:ascii="Palatino Linotype" w:eastAsia="MS Mincho" w:hAnsi="Palatino Linotype" w:cs="Arial"/>
          <w:i/>
          <w:sz w:val="24"/>
          <w:szCs w:val="24"/>
          <w:lang w:val="es-ES_tradnl" w:eastAsia="es-ES"/>
        </w:rPr>
        <w:t>Para los efectos de la presente Ley se entenderá por:</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 xml:space="preserve"> (…)</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XX. Información clasificada: Aquella considerada por la presente Ley como reservada o confidencial;</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826796">
        <w:rPr>
          <w:rFonts w:ascii="Palatino Linotype" w:eastAsia="Calibri" w:hAnsi="Palatino Linotype" w:cs="Arial"/>
          <w:i/>
          <w:sz w:val="24"/>
          <w:szCs w:val="24"/>
          <w:lang w:val="es-ES_tradnl" w:eastAsia="es-MX"/>
        </w:rPr>
        <w:t>jurídico</w:t>
      </w:r>
      <w:proofErr w:type="gramEnd"/>
      <w:r w:rsidRPr="00826796">
        <w:rPr>
          <w:rFonts w:ascii="Palatino Linotype" w:eastAsia="Calibri" w:hAnsi="Palatino Linotype" w:cs="Arial"/>
          <w:i/>
          <w:sz w:val="24"/>
          <w:szCs w:val="24"/>
          <w:lang w:val="es-ES_tradnl" w:eastAsia="es-MX"/>
        </w:rPr>
        <w:t xml:space="preserve"> colectiva identificada o identificable;</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0F5E0E" w:rsidRPr="00826796" w:rsidRDefault="000F5E0E" w:rsidP="00826796">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F5E0E" w:rsidRPr="00826796" w:rsidRDefault="000F5E0E" w:rsidP="0082679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26796">
        <w:rPr>
          <w:rFonts w:ascii="Palatino Linotype" w:eastAsia="MS Mincho" w:hAnsi="Palatino Linotype" w:cs="Arial"/>
          <w:sz w:val="24"/>
          <w:szCs w:val="24"/>
          <w:vertAlign w:val="superscript"/>
          <w:lang w:val="es-ES_tradnl" w:eastAsia="es-ES"/>
        </w:rPr>
        <w:footnoteReference w:id="1"/>
      </w:r>
      <w:r w:rsidRPr="00826796">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 xml:space="preserve">Una vez hecho lo </w:t>
      </w:r>
      <w:r w:rsidRPr="00826796">
        <w:rPr>
          <w:rFonts w:ascii="Palatino Linotype" w:eastAsia="MS Mincho" w:hAnsi="Palatino Linotype" w:cs="Times New Roman"/>
          <w:sz w:val="24"/>
          <w:szCs w:val="24"/>
          <w:lang w:val="es-ES_tradnl" w:eastAsia="es-ES"/>
        </w:rPr>
        <w:t>anterior</w:t>
      </w:r>
      <w:r w:rsidRPr="00826796">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0F5E0E" w:rsidRPr="00826796" w:rsidRDefault="000F5E0E" w:rsidP="00826796">
      <w:pPr>
        <w:spacing w:line="360" w:lineRule="auto"/>
        <w:rPr>
          <w:rFonts w:ascii="Palatino Linotype" w:eastAsia="Calibri" w:hAnsi="Palatino Linotype" w:cs="Arial"/>
          <w:sz w:val="24"/>
          <w:szCs w:val="24"/>
          <w:lang w:val="es-ES_tradnl" w:eastAsia="es-MX"/>
        </w:rPr>
      </w:pPr>
    </w:p>
    <w:p w:rsidR="000F5E0E" w:rsidRPr="00826796" w:rsidRDefault="000F5E0E" w:rsidP="00826796">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826796">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p>
    <w:p w:rsidR="000F5E0E" w:rsidRPr="00826796" w:rsidRDefault="000F5E0E" w:rsidP="00826796">
      <w:pPr>
        <w:spacing w:line="360" w:lineRule="auto"/>
        <w:rPr>
          <w:rFonts w:ascii="Palatino Linotype" w:eastAsia="MS Mincho" w:hAnsi="Palatino Linotype" w:cs="Times New Roman"/>
          <w:noProof/>
          <w:sz w:val="24"/>
          <w:szCs w:val="24"/>
          <w:lang w:val="es-ES_tradnl"/>
        </w:rPr>
      </w:pPr>
    </w:p>
    <w:p w:rsidR="000F5E0E" w:rsidRPr="00826796" w:rsidRDefault="000F5E0E" w:rsidP="00826796">
      <w:pPr>
        <w:numPr>
          <w:ilvl w:val="0"/>
          <w:numId w:val="6"/>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826796">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0F5E0E" w:rsidRPr="00826796" w:rsidRDefault="000F5E0E" w:rsidP="00826796">
      <w:pPr>
        <w:spacing w:after="0" w:line="360" w:lineRule="auto"/>
        <w:rPr>
          <w:rFonts w:ascii="Palatino Linotype" w:eastAsia="MS Mincho" w:hAnsi="Palatino Linotype" w:cs="Times New Roman"/>
          <w:noProof/>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26796">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26796">
        <w:rPr>
          <w:rFonts w:ascii="Palatino Linotype" w:eastAsia="MS Mincho" w:hAnsi="Palatino Linotype" w:cs="Times New Roman"/>
          <w:sz w:val="24"/>
          <w:szCs w:val="24"/>
          <w:lang w:val="es-ES_tradnl" w:eastAsia="es-ES"/>
        </w:rPr>
        <w:t>Desclasificación</w:t>
      </w:r>
      <w:r w:rsidRPr="00826796">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0F5E0E" w:rsidRPr="00826796" w:rsidRDefault="000F5E0E" w:rsidP="00826796">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826796" w:rsidRDefault="000F5E0E" w:rsidP="00826796">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26796">
        <w:rPr>
          <w:rFonts w:ascii="Palatino Linotype" w:eastAsia="MS Mincho" w:hAnsi="Palatino Linotype" w:cs="Bookman Old Style,Bold"/>
          <w:b/>
          <w:bCs/>
          <w:i/>
          <w:sz w:val="24"/>
          <w:szCs w:val="24"/>
          <w:lang w:val="es-ES_tradnl" w:eastAsia="es-ES"/>
        </w:rPr>
        <w:t xml:space="preserve">Artículo 128. </w:t>
      </w:r>
      <w:r w:rsidRPr="00826796">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826796">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Arial"/>
          <w:b/>
          <w:i/>
          <w:sz w:val="24"/>
          <w:szCs w:val="24"/>
          <w:lang w:val="es-ES_tradnl"/>
        </w:rPr>
        <w:t>Artículo 149</w:t>
      </w:r>
      <w:r w:rsidRPr="00826796">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0F5E0E" w:rsidRPr="00826796" w:rsidRDefault="000F5E0E" w:rsidP="00826796">
      <w:pPr>
        <w:spacing w:after="0" w:line="360" w:lineRule="auto"/>
        <w:ind w:left="567" w:right="616"/>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b/>
          <w:i/>
          <w:sz w:val="24"/>
          <w:szCs w:val="24"/>
          <w:lang w:val="es-ES_tradnl" w:eastAsia="es-ES"/>
        </w:rPr>
        <w:t>Segundo</w:t>
      </w:r>
      <w:r w:rsidRPr="00826796">
        <w:rPr>
          <w:rFonts w:ascii="Palatino Linotype" w:eastAsia="MS Mincho" w:hAnsi="Palatino Linotype" w:cs="Times New Roman"/>
          <w:i/>
          <w:sz w:val="24"/>
          <w:szCs w:val="24"/>
          <w:lang w:val="es-ES_tradnl" w:eastAsia="es-ES"/>
        </w:rPr>
        <w:t>. Para efectos de los presentes Lineamientos Generales, se entenderá por:</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Times New Roman"/>
          <w:b/>
          <w:i/>
          <w:sz w:val="24"/>
          <w:szCs w:val="24"/>
          <w:lang w:val="es-ES_tradnl" w:eastAsia="es-ES"/>
        </w:rPr>
        <w:t>IV. Comité de Transparencia</w:t>
      </w:r>
      <w:r w:rsidRPr="00826796">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26796">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826796">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Arial"/>
          <w:b/>
          <w:i/>
          <w:sz w:val="24"/>
          <w:szCs w:val="24"/>
          <w:lang w:val="es-ES_tradnl"/>
        </w:rPr>
        <w:t>Quincuagésimo sexto</w:t>
      </w:r>
      <w:r w:rsidRPr="00826796">
        <w:rPr>
          <w:rFonts w:ascii="Palatino Linotype" w:eastAsia="MS Mincho" w:hAnsi="Palatino Linotype" w:cs="Arial"/>
          <w:i/>
          <w:sz w:val="24"/>
          <w:szCs w:val="24"/>
          <w:lang w:val="es-ES_tradnl"/>
        </w:rPr>
        <w:t xml:space="preserve">. La versión pública del documento o expediente que contenga partes o secciones reservadas o </w:t>
      </w:r>
      <w:r w:rsidRPr="00826796">
        <w:rPr>
          <w:rFonts w:ascii="Palatino Linotype" w:eastAsia="MS Mincho" w:hAnsi="Palatino Linotype" w:cs="Arial"/>
          <w:b/>
          <w:i/>
          <w:sz w:val="24"/>
          <w:szCs w:val="24"/>
          <w:lang w:val="es-ES_tradnl"/>
        </w:rPr>
        <w:t>confidenciales</w:t>
      </w:r>
      <w:r w:rsidRPr="00826796">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Arial"/>
          <w:b/>
          <w:i/>
          <w:sz w:val="24"/>
          <w:szCs w:val="24"/>
          <w:lang w:val="es-ES_tradnl"/>
        </w:rPr>
        <w:t>Quincuagésimo séptimo</w:t>
      </w:r>
      <w:r w:rsidRPr="00826796">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826796">
        <w:rPr>
          <w:rFonts w:ascii="Palatino Linotype" w:eastAsia="MS Mincho" w:hAnsi="Palatino Linotype" w:cs="Arial"/>
          <w:i/>
          <w:sz w:val="24"/>
          <w:szCs w:val="24"/>
          <w:lang w:val="es-ES_tradnl"/>
        </w:rPr>
        <w:t>las  versiones</w:t>
      </w:r>
      <w:proofErr w:type="gramEnd"/>
      <w:r w:rsidRPr="00826796">
        <w:rPr>
          <w:rFonts w:ascii="Palatino Linotype" w:eastAsia="MS Mincho" w:hAnsi="Palatino Linotype" w:cs="Arial"/>
          <w:i/>
          <w:sz w:val="24"/>
          <w:szCs w:val="24"/>
          <w:lang w:val="es-ES_tradnl"/>
        </w:rPr>
        <w:t xml:space="preserve"> públicas la siguiente:</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rPr>
      </w:pPr>
      <w:r w:rsidRPr="00826796">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b/>
          <w:i/>
          <w:sz w:val="24"/>
          <w:szCs w:val="24"/>
          <w:lang w:val="es-ES_tradnl" w:eastAsia="es-ES"/>
        </w:rPr>
        <w:t>Quincuagésimo octavo.</w:t>
      </w:r>
      <w:r w:rsidRPr="00826796">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826796">
        <w:rPr>
          <w:rFonts w:ascii="Palatino Linotype" w:eastAsia="MS Mincho" w:hAnsi="Palatino Linotype" w:cs="Times New Roman"/>
          <w:sz w:val="24"/>
          <w:szCs w:val="24"/>
          <w:lang w:val="es-ES_tradnl" w:eastAsia="es-ES"/>
        </w:rPr>
        <w:t>integrantes</w:t>
      </w:r>
      <w:r w:rsidRPr="00826796">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0F5E0E" w:rsidRPr="00826796" w:rsidRDefault="000F5E0E" w:rsidP="0082679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826796">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 xml:space="preserve">Como se ha señalado antes, al hacer el juicio de subsunción o encaje entre el </w:t>
      </w:r>
      <w:r w:rsidRPr="00826796">
        <w:rPr>
          <w:rFonts w:ascii="Palatino Linotype" w:eastAsia="Times New Roman" w:hAnsi="Palatino Linotype" w:cs="Arial"/>
          <w:sz w:val="24"/>
          <w:szCs w:val="24"/>
          <w:lang w:val="es-ES_tradnl" w:eastAsia="es-MX"/>
        </w:rPr>
        <w:t>supuesto</w:t>
      </w:r>
      <w:r w:rsidRPr="00826796">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826796">
        <w:rPr>
          <w:rFonts w:ascii="Palatino Linotype" w:eastAsia="MS Mincho" w:hAnsi="Palatino Linotype" w:cs="Arial"/>
          <w:sz w:val="24"/>
          <w:szCs w:val="24"/>
          <w:lang w:val="es-ES_tradnl" w:eastAsia="es-ES"/>
        </w:rPr>
        <w:t>la  Ley</w:t>
      </w:r>
      <w:proofErr w:type="gramEnd"/>
      <w:r w:rsidRPr="00826796">
        <w:rPr>
          <w:rFonts w:ascii="Palatino Linotype" w:eastAsia="MS Mincho" w:hAnsi="Palatino Linotype" w:cs="Arial"/>
          <w:sz w:val="24"/>
          <w:szCs w:val="24"/>
          <w:lang w:val="es-ES_tradnl" w:eastAsia="es-ES"/>
        </w:rPr>
        <w:t xml:space="preserve"> en materia.</w:t>
      </w:r>
    </w:p>
    <w:p w:rsidR="000F5E0E" w:rsidRPr="00826796" w:rsidRDefault="000F5E0E" w:rsidP="00826796">
      <w:pPr>
        <w:spacing w:after="0" w:line="360" w:lineRule="auto"/>
        <w:contextualSpacing/>
        <w:jc w:val="both"/>
        <w:rPr>
          <w:rFonts w:ascii="Palatino Linotype" w:eastAsia="Calibri" w:hAnsi="Palatino Linotype" w:cs="Arial"/>
          <w:sz w:val="24"/>
          <w:szCs w:val="24"/>
          <w:lang w:val="es-ES_tradnl" w:eastAsia="es-MX"/>
        </w:rPr>
      </w:pPr>
    </w:p>
    <w:p w:rsidR="000F5E0E" w:rsidRPr="00826796" w:rsidRDefault="000F5E0E" w:rsidP="00826796">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826796">
        <w:rPr>
          <w:rFonts w:ascii="Palatino Linotype" w:eastAsia="MS Mincho" w:hAnsi="Palatino Linotype" w:cs="Bookman Old Style,Bold"/>
          <w:b/>
          <w:bCs/>
          <w:i/>
          <w:sz w:val="24"/>
          <w:szCs w:val="24"/>
          <w:lang w:val="es-ES_tradnl" w:eastAsia="es-ES"/>
        </w:rPr>
        <w:t xml:space="preserve">Artículo 131. </w:t>
      </w:r>
      <w:r w:rsidRPr="00826796">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826796">
        <w:rPr>
          <w:rFonts w:ascii="Palatino Linotype" w:eastAsia="MS Mincho" w:hAnsi="Palatino Linotype" w:cs="Bookman Old Style"/>
          <w:b/>
          <w:i/>
          <w:sz w:val="24"/>
          <w:szCs w:val="24"/>
          <w:lang w:val="es-ES_tradnl" w:eastAsia="es-ES"/>
        </w:rPr>
        <w:t>en tal caso deberá fundar y motivar debidamente la clasificación de la información,</w:t>
      </w:r>
      <w:r w:rsidRPr="00826796">
        <w:rPr>
          <w:rFonts w:ascii="Palatino Linotype" w:eastAsia="MS Mincho" w:hAnsi="Palatino Linotype" w:cs="Bookman Old Style"/>
          <w:i/>
          <w:sz w:val="24"/>
          <w:szCs w:val="24"/>
          <w:lang w:val="es-ES_tradnl" w:eastAsia="es-ES"/>
        </w:rPr>
        <w:t xml:space="preserve"> de conformidad con lo previsto en la presente Ley.</w:t>
      </w:r>
    </w:p>
    <w:p w:rsidR="000F5E0E" w:rsidRPr="00826796" w:rsidRDefault="00FA329E" w:rsidP="00826796">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ab/>
      </w: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826796">
        <w:rPr>
          <w:rFonts w:ascii="Palatino Linotype" w:eastAsia="Times New Roman" w:hAnsi="Palatino Linotype" w:cs="Arial"/>
          <w:sz w:val="24"/>
          <w:szCs w:val="24"/>
          <w:lang w:val="es-ES_tradnl" w:eastAsia="es-MX"/>
        </w:rPr>
        <w:t>la</w:t>
      </w:r>
      <w:r w:rsidRPr="00826796">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0F5E0E" w:rsidRPr="00826796" w:rsidRDefault="000F5E0E" w:rsidP="00826796">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826796">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0F5E0E" w:rsidRPr="00826796" w:rsidRDefault="000F5E0E" w:rsidP="00826796">
      <w:pPr>
        <w:spacing w:after="0" w:line="360" w:lineRule="auto"/>
        <w:contextualSpacing/>
        <w:rPr>
          <w:rFonts w:ascii="Palatino Linotype" w:eastAsia="Calibri" w:hAnsi="Palatino Linotype" w:cs="Arial"/>
          <w:sz w:val="24"/>
          <w:szCs w:val="24"/>
          <w:lang w:val="es-ES_tradnl" w:eastAsia="es-MX"/>
        </w:rPr>
      </w:pPr>
    </w:p>
    <w:p w:rsidR="000F5E0E" w:rsidRPr="00826796" w:rsidRDefault="000F5E0E" w:rsidP="00826796">
      <w:pPr>
        <w:spacing w:after="0" w:line="360" w:lineRule="auto"/>
        <w:ind w:left="567" w:right="616"/>
        <w:contextualSpacing/>
        <w:jc w:val="both"/>
        <w:rPr>
          <w:rFonts w:ascii="Palatino Linotype" w:eastAsia="Calibri" w:hAnsi="Palatino Linotype" w:cs="Arial"/>
          <w:sz w:val="24"/>
          <w:szCs w:val="24"/>
          <w:lang w:val="es-ES_tradnl" w:eastAsia="es-MX"/>
        </w:rPr>
      </w:pP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b/>
          <w:i/>
          <w:sz w:val="24"/>
          <w:szCs w:val="24"/>
          <w:lang w:val="es-ES_tradnl" w:eastAsia="es-ES"/>
        </w:rPr>
        <w:t>FUNDAMENTACIÓN Y MOTIVACIÓN.</w:t>
      </w:r>
      <w:r w:rsidRPr="00826796">
        <w:rPr>
          <w:rFonts w:ascii="Palatino Linotype" w:eastAsia="MS Mincho" w:hAnsi="Palatino Linotype" w:cs="Arial"/>
          <w:i/>
          <w:sz w:val="24"/>
          <w:szCs w:val="24"/>
          <w:lang w:val="es-ES_tradnl" w:eastAsia="es-ES"/>
        </w:rPr>
        <w:t xml:space="preserve"> La </w:t>
      </w:r>
      <w:r w:rsidRPr="00826796">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26796">
        <w:rPr>
          <w:rFonts w:ascii="Palatino Linotype" w:eastAsia="MS Mincho" w:hAnsi="Palatino Linotype" w:cs="Arial"/>
          <w:i/>
          <w:sz w:val="24"/>
          <w:szCs w:val="24"/>
          <w:lang w:val="es-ES_tradnl" w:eastAsia="es-ES"/>
        </w:rPr>
        <w:t>.</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SEGUNDO TRIBUNAL COLEGIADO DEL SEXTO CIRCUITO.</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26796">
        <w:rPr>
          <w:rFonts w:ascii="Palatino Linotype" w:eastAsia="MS Mincho" w:hAnsi="Palatino Linotype" w:cs="Arial"/>
          <w:i/>
          <w:sz w:val="24"/>
          <w:szCs w:val="24"/>
          <w:lang w:val="es-ES_tradnl" w:eastAsia="es-ES"/>
        </w:rPr>
        <w:t>Esponda</w:t>
      </w:r>
      <w:proofErr w:type="spellEnd"/>
      <w:r w:rsidRPr="00826796">
        <w:rPr>
          <w:rFonts w:ascii="Palatino Linotype" w:eastAsia="MS Mincho" w:hAnsi="Palatino Linotype" w:cs="Arial"/>
          <w:i/>
          <w:sz w:val="24"/>
          <w:szCs w:val="24"/>
          <w:lang w:val="es-ES_tradnl" w:eastAsia="es-ES"/>
        </w:rPr>
        <w:t xml:space="preserve"> Rincón.</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 xml:space="preserve">Amparo en revisión 333/88. </w:t>
      </w:r>
      <w:proofErr w:type="spellStart"/>
      <w:r w:rsidRPr="00826796">
        <w:rPr>
          <w:rFonts w:ascii="Palatino Linotype" w:eastAsia="MS Mincho" w:hAnsi="Palatino Linotype" w:cs="Arial"/>
          <w:i/>
          <w:sz w:val="24"/>
          <w:szCs w:val="24"/>
          <w:lang w:val="es-ES_tradnl" w:eastAsia="es-ES"/>
        </w:rPr>
        <w:t>Adilia</w:t>
      </w:r>
      <w:proofErr w:type="spellEnd"/>
      <w:r w:rsidRPr="00826796">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826796">
        <w:rPr>
          <w:rFonts w:ascii="Palatino Linotype" w:eastAsia="MS Mincho" w:hAnsi="Palatino Linotype" w:cs="Arial"/>
          <w:i/>
          <w:sz w:val="24"/>
          <w:szCs w:val="24"/>
          <w:lang w:val="es-ES_tradnl" w:eastAsia="es-ES"/>
        </w:rPr>
        <w:t>Goyzueta</w:t>
      </w:r>
      <w:proofErr w:type="spellEnd"/>
      <w:r w:rsidRPr="00826796">
        <w:rPr>
          <w:rFonts w:ascii="Palatino Linotype" w:eastAsia="MS Mincho" w:hAnsi="Palatino Linotype" w:cs="Arial"/>
          <w:i/>
          <w:sz w:val="24"/>
          <w:szCs w:val="24"/>
          <w:lang w:val="es-ES_tradnl" w:eastAsia="es-ES"/>
        </w:rPr>
        <w:t>. Secretario: Gonzalo Carrera Molina.</w:t>
      </w:r>
    </w:p>
    <w:p w:rsidR="000F5E0E" w:rsidRPr="00826796" w:rsidRDefault="000F5E0E" w:rsidP="00826796">
      <w:pPr>
        <w:spacing w:after="0" w:line="360" w:lineRule="auto"/>
        <w:ind w:left="567" w:right="616"/>
        <w:contextualSpacing/>
        <w:jc w:val="both"/>
        <w:rPr>
          <w:rFonts w:ascii="Palatino Linotype" w:eastAsia="MS Mincho" w:hAnsi="Palatino Linotype" w:cs="Arial"/>
          <w:i/>
          <w:sz w:val="24"/>
          <w:szCs w:val="24"/>
          <w:lang w:val="es-ES_tradnl" w:eastAsia="es-ES"/>
        </w:rPr>
      </w:pPr>
      <w:r w:rsidRPr="00826796">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826796">
        <w:rPr>
          <w:rFonts w:ascii="Palatino Linotype" w:eastAsia="MS Mincho" w:hAnsi="Palatino Linotype" w:cs="Arial"/>
          <w:i/>
          <w:sz w:val="24"/>
          <w:szCs w:val="24"/>
          <w:lang w:val="es-ES_tradnl" w:eastAsia="es-ES"/>
        </w:rPr>
        <w:t>Baigts</w:t>
      </w:r>
      <w:proofErr w:type="spellEnd"/>
      <w:r w:rsidRPr="00826796">
        <w:rPr>
          <w:rFonts w:ascii="Palatino Linotype" w:eastAsia="MS Mincho" w:hAnsi="Palatino Linotype" w:cs="Arial"/>
          <w:i/>
          <w:sz w:val="24"/>
          <w:szCs w:val="24"/>
          <w:lang w:val="es-ES_tradnl" w:eastAsia="es-ES"/>
        </w:rPr>
        <w:t xml:space="preserve"> Muñoz.</w:t>
      </w:r>
    </w:p>
    <w:p w:rsidR="000F5E0E" w:rsidRPr="00826796" w:rsidRDefault="000F5E0E" w:rsidP="00826796">
      <w:pPr>
        <w:spacing w:after="0" w:line="360" w:lineRule="auto"/>
        <w:ind w:right="618"/>
        <w:contextualSpacing/>
        <w:jc w:val="both"/>
        <w:rPr>
          <w:rFonts w:ascii="Palatino Linotype" w:eastAsia="MS Mincho" w:hAnsi="Palatino Linotype" w:cs="Arial"/>
          <w:i/>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826796">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F5E0E" w:rsidRPr="00826796" w:rsidRDefault="000F5E0E" w:rsidP="00826796">
      <w:pPr>
        <w:spacing w:after="0" w:line="360" w:lineRule="auto"/>
        <w:contextualSpacing/>
        <w:jc w:val="both"/>
        <w:rPr>
          <w:rFonts w:ascii="Palatino Linotype" w:eastAsia="Times New Roman"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26796">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826796">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826796">
        <w:rPr>
          <w:rFonts w:ascii="Palatino Linotype" w:eastAsia="MS Mincho" w:hAnsi="Palatino Linotype" w:cs="Times New Roman"/>
          <w:color w:val="000000"/>
          <w:sz w:val="24"/>
          <w:szCs w:val="24"/>
          <w:lang w:val="es-ES_tradnl" w:eastAsia="es-ES"/>
        </w:rPr>
        <w:footnoteReference w:id="2"/>
      </w:r>
      <w:r w:rsidRPr="00826796">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826796">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826796">
        <w:rPr>
          <w:rFonts w:ascii="Palatino Linotype" w:eastAsia="MS Mincho" w:hAnsi="Palatino Linotype" w:cs="Times New Roman"/>
          <w:color w:val="000000"/>
          <w:sz w:val="24"/>
          <w:szCs w:val="24"/>
          <w:lang w:val="es-ES_tradnl" w:eastAsia="es-ES"/>
        </w:rPr>
        <w:t xml:space="preserve"> </w:t>
      </w:r>
      <w:r w:rsidRPr="00826796">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826796">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826796">
        <w:rPr>
          <w:rFonts w:ascii="Palatino Linotype" w:eastAsia="Calibri" w:hAnsi="Palatino Linotype" w:cs="Arial"/>
          <w:bCs/>
          <w:sz w:val="24"/>
          <w:szCs w:val="24"/>
          <w:lang w:val="es-ES_tradnl" w:eastAsia="es-ES"/>
        </w:rPr>
        <w:t xml:space="preserve">ofrezcan la información requerida. </w:t>
      </w:r>
    </w:p>
    <w:p w:rsidR="000F5E0E" w:rsidRPr="00826796" w:rsidRDefault="000F5E0E" w:rsidP="00826796">
      <w:pPr>
        <w:spacing w:after="0" w:line="360" w:lineRule="auto"/>
        <w:contextualSpacing/>
        <w:rPr>
          <w:rFonts w:ascii="Palatino Linotype" w:eastAsia="Calibri" w:hAnsi="Palatino Linotype" w:cs="Arial"/>
          <w:bCs/>
          <w:sz w:val="24"/>
          <w:szCs w:val="24"/>
          <w:lang w:val="es-ES_tradnl" w:eastAsia="es-ES"/>
        </w:rPr>
      </w:pPr>
    </w:p>
    <w:p w:rsidR="000F5E0E" w:rsidRPr="00826796" w:rsidRDefault="000F5E0E" w:rsidP="0082679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0F5E0E" w:rsidRPr="00826796" w:rsidRDefault="000F5E0E" w:rsidP="00826796">
      <w:pPr>
        <w:spacing w:after="0" w:line="360" w:lineRule="auto"/>
        <w:contextualSpacing/>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Arial"/>
          <w:sz w:val="24"/>
          <w:szCs w:val="24"/>
          <w:lang w:val="es-ES_tradnl" w:eastAsia="es-MX"/>
        </w:rPr>
        <w:t xml:space="preserve">Por cuanto hace al </w:t>
      </w:r>
      <w:r w:rsidRPr="00826796">
        <w:rPr>
          <w:rFonts w:ascii="Palatino Linotype" w:eastAsia="MS Mincho" w:hAnsi="Palatino Linotype" w:cs="Arial"/>
          <w:b/>
          <w:sz w:val="24"/>
          <w:szCs w:val="24"/>
          <w:lang w:val="es-ES_tradnl" w:eastAsia="es-MX"/>
        </w:rPr>
        <w:t>Registro Federal de Contribuyentes</w:t>
      </w:r>
      <w:r w:rsidRPr="00826796">
        <w:rPr>
          <w:rFonts w:ascii="Palatino Linotype" w:eastAsia="MS Mincho" w:hAnsi="Palatino Linotype" w:cs="Arial"/>
          <w:sz w:val="24"/>
          <w:szCs w:val="24"/>
          <w:lang w:val="es-ES_tradnl" w:eastAsia="es-MX"/>
        </w:rPr>
        <w:t xml:space="preserve"> </w:t>
      </w:r>
      <w:r w:rsidRPr="00826796">
        <w:rPr>
          <w:rFonts w:ascii="Palatino Linotype" w:eastAsia="MS Mincho" w:hAnsi="Palatino Linotype" w:cs="Arial"/>
          <w:b/>
          <w:sz w:val="24"/>
          <w:szCs w:val="24"/>
          <w:lang w:val="es-ES_tradnl" w:eastAsia="es-MX"/>
        </w:rPr>
        <w:t>de las personas físicas</w:t>
      </w:r>
      <w:r w:rsidRPr="00826796">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26796">
        <w:rPr>
          <w:rFonts w:ascii="Palatino Linotype" w:eastAsia="MS Mincho" w:hAnsi="Palatino Linotype" w:cs="Times New Roman"/>
          <w:sz w:val="24"/>
          <w:szCs w:val="24"/>
          <w:lang w:val="es-ES_tradnl" w:eastAsia="es-ES"/>
        </w:rPr>
        <w:t xml:space="preserve"> y finalmente la </w:t>
      </w:r>
      <w:proofErr w:type="spellStart"/>
      <w:r w:rsidRPr="00826796">
        <w:rPr>
          <w:rFonts w:ascii="Palatino Linotype" w:eastAsia="MS Mincho" w:hAnsi="Palatino Linotype" w:cs="Times New Roman"/>
          <w:sz w:val="24"/>
          <w:szCs w:val="24"/>
          <w:lang w:val="es-ES_tradnl" w:eastAsia="es-ES"/>
        </w:rPr>
        <w:t>homoclave</w:t>
      </w:r>
      <w:proofErr w:type="spellEnd"/>
      <w:r w:rsidRPr="00826796">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0F5E0E" w:rsidRPr="00826796" w:rsidRDefault="000F5E0E" w:rsidP="00826796">
      <w:pPr>
        <w:spacing w:after="0" w:line="360" w:lineRule="auto"/>
        <w:contextualSpacing/>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0F5E0E" w:rsidRPr="00826796" w:rsidRDefault="000F5E0E" w:rsidP="00826796">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w:t>
      </w:r>
      <w:r w:rsidRPr="00826796">
        <w:rPr>
          <w:rFonts w:ascii="Palatino Linotype" w:eastAsia="MS Mincho" w:hAnsi="Palatino Linotype" w:cs="Arial"/>
          <w:b/>
          <w:bCs/>
          <w:i/>
          <w:sz w:val="24"/>
          <w:szCs w:val="24"/>
          <w:lang w:val="es-ES_tradnl" w:eastAsia="es-ES"/>
        </w:rPr>
        <w:t>Registro Federal de Contribuyentes (RFC) de personas físicas</w:t>
      </w:r>
      <w:r w:rsidRPr="00826796">
        <w:rPr>
          <w:rFonts w:ascii="Palatino Linotype" w:eastAsia="MS Mincho" w:hAnsi="Palatino Linotype" w:cs="Arial"/>
          <w:bCs/>
          <w:i/>
          <w:sz w:val="24"/>
          <w:szCs w:val="24"/>
          <w:lang w:val="es-ES_tradnl" w:eastAsia="es-ES"/>
        </w:rPr>
        <w:t xml:space="preserve">. El RFC es una clave de carácter fiscal, </w:t>
      </w:r>
      <w:proofErr w:type="gramStart"/>
      <w:r w:rsidRPr="00826796">
        <w:rPr>
          <w:rFonts w:ascii="Palatino Linotype" w:eastAsia="MS Mincho" w:hAnsi="Palatino Linotype" w:cs="Arial"/>
          <w:bCs/>
          <w:i/>
          <w:sz w:val="24"/>
          <w:szCs w:val="24"/>
          <w:lang w:val="es-ES_tradnl" w:eastAsia="es-ES"/>
        </w:rPr>
        <w:t>única</w:t>
      </w:r>
      <w:proofErr w:type="gramEnd"/>
      <w:r w:rsidRPr="00826796">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Resoluciones:</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w:t>
      </w:r>
      <w:r w:rsidRPr="00826796">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w:t>
      </w:r>
      <w:r w:rsidRPr="00826796">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826796">
        <w:rPr>
          <w:rFonts w:ascii="Palatino Linotype" w:eastAsia="MS Mincho" w:hAnsi="Palatino Linotype" w:cs="Arial"/>
          <w:bCs/>
          <w:i/>
          <w:sz w:val="24"/>
          <w:szCs w:val="24"/>
          <w:lang w:val="es-ES_tradnl" w:eastAsia="es-ES"/>
        </w:rPr>
        <w:t>Rosendoevgueni</w:t>
      </w:r>
      <w:proofErr w:type="spellEnd"/>
      <w:r w:rsidRPr="00826796">
        <w:rPr>
          <w:rFonts w:ascii="Palatino Linotype" w:eastAsia="MS Mincho" w:hAnsi="Palatino Linotype" w:cs="Arial"/>
          <w:bCs/>
          <w:i/>
          <w:sz w:val="24"/>
          <w:szCs w:val="24"/>
          <w:lang w:val="es-ES_tradnl" w:eastAsia="es-ES"/>
        </w:rPr>
        <w:t xml:space="preserve"> Monterrey </w:t>
      </w:r>
      <w:proofErr w:type="spellStart"/>
      <w:r w:rsidRPr="00826796">
        <w:rPr>
          <w:rFonts w:ascii="Palatino Linotype" w:eastAsia="MS Mincho" w:hAnsi="Palatino Linotype" w:cs="Arial"/>
          <w:bCs/>
          <w:i/>
          <w:sz w:val="24"/>
          <w:szCs w:val="24"/>
          <w:lang w:val="es-ES_tradnl" w:eastAsia="es-ES"/>
        </w:rPr>
        <w:t>Chepov</w:t>
      </w:r>
      <w:proofErr w:type="spellEnd"/>
      <w:r w:rsidRPr="00826796">
        <w:rPr>
          <w:rFonts w:ascii="Palatino Linotype" w:eastAsia="MS Mincho" w:hAnsi="Palatino Linotype" w:cs="Arial"/>
          <w:bCs/>
          <w:i/>
          <w:sz w:val="24"/>
          <w:szCs w:val="24"/>
          <w:lang w:val="es-ES_tradnl" w:eastAsia="es-ES"/>
        </w:rPr>
        <w:t xml:space="preserve">. </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w:t>
      </w:r>
      <w:r w:rsidRPr="00826796">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0F5E0E" w:rsidRPr="00826796" w:rsidRDefault="000F5E0E" w:rsidP="00826796">
      <w:pPr>
        <w:spacing w:after="0" w:line="360" w:lineRule="auto"/>
        <w:ind w:left="567" w:right="616"/>
        <w:jc w:val="both"/>
        <w:rPr>
          <w:rFonts w:ascii="Palatino Linotype" w:eastAsia="MS Mincho" w:hAnsi="Palatino Linotype" w:cs="Arial"/>
          <w:bCs/>
          <w:sz w:val="24"/>
          <w:szCs w:val="24"/>
          <w:lang w:val="es-ES_tradnl" w:eastAsia="es-ES"/>
        </w:rPr>
      </w:pPr>
      <w:r w:rsidRPr="00826796">
        <w:rPr>
          <w:rFonts w:ascii="Palatino Linotype" w:eastAsia="MS Mincho" w:hAnsi="Palatino Linotype" w:cs="Arial"/>
          <w:bCs/>
          <w:sz w:val="24"/>
          <w:szCs w:val="24"/>
          <w:lang w:val="es-ES_tradnl" w:eastAsia="es-ES"/>
        </w:rPr>
        <w:t>(Énfasis añadido)</w:t>
      </w:r>
    </w:p>
    <w:p w:rsidR="000F5E0E" w:rsidRPr="00826796" w:rsidRDefault="000F5E0E" w:rsidP="00826796">
      <w:pPr>
        <w:spacing w:after="0" w:line="360" w:lineRule="auto"/>
        <w:jc w:val="both"/>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26796">
        <w:rPr>
          <w:rFonts w:ascii="Palatino Linotype" w:eastAsia="MS Mincho" w:hAnsi="Palatino Linotype" w:cs="Arial"/>
          <w:sz w:val="24"/>
          <w:szCs w:val="24"/>
          <w:lang w:val="es-ES_tradnl" w:eastAsia="es-MX"/>
        </w:rPr>
        <w:t>homoclave</w:t>
      </w:r>
      <w:proofErr w:type="spellEnd"/>
      <w:r w:rsidRPr="00826796">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2679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26796">
        <w:rPr>
          <w:rFonts w:ascii="Palatino Linotype" w:eastAsia="MS Mincho" w:hAnsi="Palatino Linotype" w:cs="Arial"/>
          <w:sz w:val="24"/>
          <w:szCs w:val="24"/>
          <w:lang w:val="es-ES_tradnl" w:eastAsia="es-MX"/>
        </w:rPr>
        <w:t>.</w:t>
      </w:r>
    </w:p>
    <w:p w:rsidR="000F5E0E" w:rsidRPr="00826796" w:rsidRDefault="000F5E0E" w:rsidP="00826796">
      <w:pPr>
        <w:spacing w:after="0" w:line="360" w:lineRule="auto"/>
        <w:contextualSpacing/>
        <w:jc w:val="both"/>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 xml:space="preserve">Por cuanto hace a la </w:t>
      </w:r>
      <w:r w:rsidRPr="00826796">
        <w:rPr>
          <w:rFonts w:ascii="Palatino Linotype" w:eastAsia="MS Mincho" w:hAnsi="Palatino Linotype" w:cs="Arial"/>
          <w:b/>
          <w:sz w:val="24"/>
          <w:szCs w:val="24"/>
          <w:lang w:val="es-ES_tradnl" w:eastAsia="es-ES"/>
        </w:rPr>
        <w:t xml:space="preserve">Clave Única de Registro de Población, </w:t>
      </w:r>
      <w:r w:rsidRPr="00826796">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F5E0E" w:rsidRPr="00826796" w:rsidRDefault="000F5E0E" w:rsidP="00826796">
      <w:pPr>
        <w:spacing w:after="0" w:line="360" w:lineRule="auto"/>
        <w:jc w:val="both"/>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0F5E0E" w:rsidRPr="00826796" w:rsidRDefault="000F5E0E" w:rsidP="00826796">
      <w:pPr>
        <w:spacing w:after="0" w:line="360" w:lineRule="auto"/>
        <w:ind w:right="616"/>
        <w:rPr>
          <w:rFonts w:ascii="Palatino Linotype" w:eastAsia="MS Mincho" w:hAnsi="Palatino Linotype" w:cs="Arial"/>
          <w:sz w:val="24"/>
          <w:szCs w:val="24"/>
          <w:lang w:val="es-ES_tradnl" w:eastAsia="es-MX"/>
        </w:rPr>
      </w:pP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MX"/>
        </w:rPr>
      </w:pPr>
      <w:r w:rsidRPr="00826796">
        <w:rPr>
          <w:rFonts w:ascii="Palatino Linotype" w:eastAsia="MS Mincho" w:hAnsi="Palatino Linotype" w:cs="Arial,Bold"/>
          <w:b/>
          <w:bCs/>
          <w:i/>
          <w:sz w:val="24"/>
          <w:szCs w:val="24"/>
          <w:lang w:val="es-ES_tradnl" w:eastAsia="es-MX"/>
        </w:rPr>
        <w:t xml:space="preserve">“Artículo 86. </w:t>
      </w:r>
      <w:r w:rsidRPr="00826796">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MX"/>
        </w:rPr>
      </w:pP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MX"/>
        </w:rPr>
      </w:pPr>
      <w:r w:rsidRPr="00826796">
        <w:rPr>
          <w:rFonts w:ascii="Palatino Linotype" w:eastAsia="MS Mincho" w:hAnsi="Palatino Linotype" w:cs="Arial,Bold"/>
          <w:b/>
          <w:bCs/>
          <w:i/>
          <w:sz w:val="24"/>
          <w:szCs w:val="24"/>
          <w:lang w:val="es-ES_tradnl" w:eastAsia="es-MX"/>
        </w:rPr>
        <w:t xml:space="preserve">Artículo 91. </w:t>
      </w:r>
      <w:r w:rsidRPr="00826796">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0F5E0E" w:rsidRPr="00826796" w:rsidRDefault="000F5E0E" w:rsidP="00826796">
      <w:pPr>
        <w:spacing w:after="0" w:line="360" w:lineRule="auto"/>
        <w:ind w:left="567"/>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26796">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26796">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826796">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0F5E0E" w:rsidRPr="00826796" w:rsidRDefault="000F5E0E" w:rsidP="00826796">
      <w:pPr>
        <w:spacing w:after="0" w:line="360" w:lineRule="auto"/>
        <w:contextualSpacing/>
        <w:jc w:val="both"/>
        <w:rPr>
          <w:rFonts w:ascii="Palatino Linotype" w:eastAsia="MS Mincho" w:hAnsi="Palatino Linotype" w:cs="Times New Roman"/>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0F5E0E" w:rsidRPr="00826796" w:rsidRDefault="000F5E0E" w:rsidP="00826796">
      <w:pPr>
        <w:spacing w:after="0" w:line="360" w:lineRule="auto"/>
        <w:jc w:val="both"/>
        <w:rPr>
          <w:rFonts w:ascii="Palatino Linotype" w:eastAsia="MS Mincho" w:hAnsi="Palatino Linotype" w:cs="Arial"/>
          <w:sz w:val="24"/>
          <w:szCs w:val="24"/>
          <w:lang w:val="es-ES_tradnl" w:eastAsia="es-MX"/>
        </w:rPr>
      </w:pP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MX"/>
        </w:rPr>
      </w:pPr>
      <w:r w:rsidRPr="00826796">
        <w:rPr>
          <w:rFonts w:ascii="Palatino Linotype" w:eastAsia="MS Mincho" w:hAnsi="Palatino Linotype" w:cs="Arial"/>
          <w:bCs/>
          <w:i/>
          <w:sz w:val="24"/>
          <w:szCs w:val="24"/>
          <w:lang w:val="es-ES_tradnl" w:eastAsia="es-MX"/>
        </w:rPr>
        <w:t>“</w:t>
      </w:r>
      <w:r w:rsidRPr="00826796">
        <w:rPr>
          <w:rFonts w:ascii="Palatino Linotype" w:eastAsia="MS Mincho" w:hAnsi="Palatino Linotype" w:cs="Arial"/>
          <w:b/>
          <w:bCs/>
          <w:i/>
          <w:sz w:val="24"/>
          <w:szCs w:val="24"/>
          <w:lang w:val="es-ES_tradnl" w:eastAsia="es-MX"/>
        </w:rPr>
        <w:t>Clave Única de Registro de Población (CURP)</w:t>
      </w:r>
      <w:r w:rsidRPr="00826796">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MX"/>
        </w:rPr>
      </w:pPr>
      <w:r w:rsidRPr="00826796">
        <w:rPr>
          <w:rFonts w:ascii="Palatino Linotype" w:eastAsia="MS Mincho" w:hAnsi="Palatino Linotype" w:cs="Arial"/>
          <w:bCs/>
          <w:i/>
          <w:sz w:val="24"/>
          <w:szCs w:val="24"/>
          <w:lang w:val="es-ES_tradnl" w:eastAsia="es-MX"/>
        </w:rPr>
        <w:t>Resoluciones:</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MX"/>
        </w:rPr>
      </w:pPr>
      <w:r w:rsidRPr="00826796">
        <w:rPr>
          <w:rFonts w:ascii="Palatino Linotype" w:eastAsia="MS Mincho" w:hAnsi="Palatino Linotype" w:cs="Arial"/>
          <w:bCs/>
          <w:i/>
          <w:sz w:val="24"/>
          <w:szCs w:val="24"/>
          <w:lang w:val="es-ES_tradnl" w:eastAsia="es-MX"/>
        </w:rPr>
        <w:t>•</w:t>
      </w:r>
      <w:r w:rsidRPr="00826796">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826796">
        <w:rPr>
          <w:rFonts w:ascii="Palatino Linotype" w:eastAsia="MS Mincho" w:hAnsi="Palatino Linotype" w:cs="Arial"/>
          <w:bCs/>
          <w:i/>
          <w:sz w:val="24"/>
          <w:szCs w:val="24"/>
          <w:lang w:val="es-ES_tradnl" w:eastAsia="es-MX"/>
        </w:rPr>
        <w:t>Rosendoevgueni</w:t>
      </w:r>
      <w:proofErr w:type="spellEnd"/>
      <w:r w:rsidRPr="00826796">
        <w:rPr>
          <w:rFonts w:ascii="Palatino Linotype" w:eastAsia="MS Mincho" w:hAnsi="Palatino Linotype" w:cs="Arial"/>
          <w:bCs/>
          <w:i/>
          <w:sz w:val="24"/>
          <w:szCs w:val="24"/>
          <w:lang w:val="es-ES_tradnl" w:eastAsia="es-MX"/>
        </w:rPr>
        <w:t xml:space="preserve"> Monterrey </w:t>
      </w:r>
      <w:proofErr w:type="spellStart"/>
      <w:r w:rsidRPr="00826796">
        <w:rPr>
          <w:rFonts w:ascii="Palatino Linotype" w:eastAsia="MS Mincho" w:hAnsi="Palatino Linotype" w:cs="Arial"/>
          <w:bCs/>
          <w:i/>
          <w:sz w:val="24"/>
          <w:szCs w:val="24"/>
          <w:lang w:val="es-ES_tradnl" w:eastAsia="es-MX"/>
        </w:rPr>
        <w:t>Chepov</w:t>
      </w:r>
      <w:proofErr w:type="spellEnd"/>
      <w:r w:rsidRPr="00826796">
        <w:rPr>
          <w:rFonts w:ascii="Palatino Linotype" w:eastAsia="MS Mincho" w:hAnsi="Palatino Linotype" w:cs="Arial"/>
          <w:bCs/>
          <w:i/>
          <w:sz w:val="24"/>
          <w:szCs w:val="24"/>
          <w:lang w:val="es-ES_tradnl" w:eastAsia="es-MX"/>
        </w:rPr>
        <w:t>.</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MX"/>
        </w:rPr>
      </w:pPr>
      <w:r w:rsidRPr="00826796">
        <w:rPr>
          <w:rFonts w:ascii="Palatino Linotype" w:eastAsia="MS Mincho" w:hAnsi="Palatino Linotype" w:cs="Arial"/>
          <w:bCs/>
          <w:i/>
          <w:sz w:val="24"/>
          <w:szCs w:val="24"/>
          <w:lang w:val="es-ES_tradnl" w:eastAsia="es-MX"/>
        </w:rPr>
        <w:t>•</w:t>
      </w:r>
      <w:r w:rsidRPr="00826796">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0F5E0E" w:rsidRPr="00826796" w:rsidRDefault="000F5E0E" w:rsidP="00826796">
      <w:pPr>
        <w:spacing w:after="0" w:line="360" w:lineRule="auto"/>
        <w:ind w:left="567" w:right="616"/>
        <w:jc w:val="both"/>
        <w:rPr>
          <w:rFonts w:ascii="Palatino Linotype" w:eastAsia="MS Mincho" w:hAnsi="Palatino Linotype" w:cs="Arial"/>
          <w:i/>
          <w:sz w:val="24"/>
          <w:szCs w:val="24"/>
          <w:lang w:val="es-ES_tradnl" w:eastAsia="es-MX"/>
        </w:rPr>
      </w:pPr>
      <w:r w:rsidRPr="00826796">
        <w:rPr>
          <w:rFonts w:ascii="Palatino Linotype" w:eastAsia="MS Mincho" w:hAnsi="Palatino Linotype" w:cs="Arial"/>
          <w:bCs/>
          <w:i/>
          <w:sz w:val="24"/>
          <w:szCs w:val="24"/>
          <w:lang w:val="es-ES_tradnl" w:eastAsia="es-MX"/>
        </w:rPr>
        <w:t>•</w:t>
      </w:r>
      <w:r w:rsidRPr="00826796">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826796">
        <w:rPr>
          <w:rFonts w:ascii="Palatino Linotype" w:eastAsia="MS Mincho" w:hAnsi="Palatino Linotype" w:cs="Arial"/>
          <w:i/>
          <w:sz w:val="24"/>
          <w:szCs w:val="24"/>
          <w:lang w:val="es-ES_tradnl" w:eastAsia="es-MX"/>
        </w:rPr>
        <w:t>” (SIC)</w:t>
      </w:r>
    </w:p>
    <w:p w:rsidR="000F5E0E" w:rsidRPr="00826796" w:rsidRDefault="000F5E0E" w:rsidP="00826796">
      <w:pPr>
        <w:spacing w:after="0" w:line="360" w:lineRule="auto"/>
        <w:ind w:right="757"/>
        <w:jc w:val="both"/>
        <w:rPr>
          <w:rFonts w:ascii="Palatino Linotype" w:eastAsia="MS Mincho" w:hAnsi="Palatino Linotype" w:cs="Arial"/>
          <w:i/>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 xml:space="preserve">De lo anterior, se desprende que la </w:t>
      </w:r>
      <w:r w:rsidRPr="00826796">
        <w:rPr>
          <w:rFonts w:ascii="Palatino Linotype" w:eastAsia="MS Mincho" w:hAnsi="Palatino Linotype" w:cs="Times New Roman"/>
          <w:sz w:val="24"/>
          <w:szCs w:val="24"/>
          <w:lang w:val="es-ES_tradnl" w:eastAsia="es-MX"/>
        </w:rPr>
        <w:t xml:space="preserve">Clave Única de Registro de Población, </w:t>
      </w:r>
      <w:r w:rsidRPr="00826796">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F5E0E" w:rsidRPr="00826796" w:rsidRDefault="000F5E0E" w:rsidP="00826796">
      <w:pPr>
        <w:spacing w:after="0" w:line="360" w:lineRule="auto"/>
        <w:contextualSpacing/>
        <w:jc w:val="both"/>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 xml:space="preserve">Por cuanto hace a la </w:t>
      </w:r>
      <w:r w:rsidRPr="00826796">
        <w:rPr>
          <w:rFonts w:ascii="Palatino Linotype" w:eastAsia="MS Mincho" w:hAnsi="Palatino Linotype" w:cs="Arial"/>
          <w:b/>
          <w:sz w:val="24"/>
          <w:szCs w:val="24"/>
          <w:lang w:val="es-ES_tradnl" w:eastAsia="es-ES"/>
        </w:rPr>
        <w:t>Clave de cualquier tipo de seguridad social</w:t>
      </w:r>
      <w:r w:rsidRPr="00826796">
        <w:rPr>
          <w:rFonts w:ascii="Palatino Linotype" w:eastAsia="MS Mincho" w:hAnsi="Palatino Linotype" w:cs="Arial"/>
          <w:sz w:val="24"/>
          <w:szCs w:val="24"/>
          <w:lang w:val="es-ES_tradnl" w:eastAsia="es-ES"/>
        </w:rPr>
        <w:t xml:space="preserve"> (ISSEMYM, u otros), está integrado por una </w:t>
      </w:r>
      <w:r w:rsidRPr="00826796">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26796">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26796">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26796">
        <w:rPr>
          <w:rFonts w:ascii="Palatino Linotype" w:eastAsia="MS Mincho" w:hAnsi="Palatino Linotype" w:cs="Arial"/>
          <w:sz w:val="24"/>
          <w:szCs w:val="24"/>
          <w:lang w:val="es-ES_tradnl" w:eastAsia="es-MX"/>
        </w:rPr>
        <w:t>.</w:t>
      </w:r>
    </w:p>
    <w:p w:rsidR="000F5E0E" w:rsidRPr="00826796" w:rsidRDefault="000F5E0E" w:rsidP="00826796">
      <w:pPr>
        <w:spacing w:after="0" w:line="360" w:lineRule="auto"/>
        <w:contextualSpacing/>
        <w:rPr>
          <w:rFonts w:ascii="Palatino Linotype" w:eastAsia="MS Mincho" w:hAnsi="Palatino Linotype" w:cs="Arial"/>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ES"/>
        </w:rPr>
        <w:t xml:space="preserve">Respecto de los </w:t>
      </w:r>
      <w:r w:rsidRPr="00826796">
        <w:rPr>
          <w:rFonts w:ascii="Palatino Linotype" w:eastAsia="MS Mincho" w:hAnsi="Palatino Linotype" w:cs="Arial"/>
          <w:b/>
          <w:sz w:val="24"/>
          <w:szCs w:val="24"/>
          <w:lang w:val="es-ES_tradnl" w:eastAsia="es-ES"/>
        </w:rPr>
        <w:t>préstamos o descuentos</w:t>
      </w:r>
      <w:r w:rsidRPr="00826796">
        <w:rPr>
          <w:rFonts w:ascii="Palatino Linotype" w:eastAsia="MS Mincho" w:hAnsi="Palatino Linotype" w:cs="Arial"/>
          <w:sz w:val="24"/>
          <w:szCs w:val="24"/>
          <w:lang w:val="es-ES_tradnl" w:eastAsia="es-ES"/>
        </w:rPr>
        <w:t xml:space="preserve"> </w:t>
      </w:r>
      <w:r w:rsidRPr="00826796">
        <w:rPr>
          <w:rFonts w:ascii="Palatino Linotype" w:eastAsia="MS Mincho" w:hAnsi="Palatino Linotype" w:cs="Arial"/>
          <w:b/>
          <w:sz w:val="24"/>
          <w:szCs w:val="24"/>
          <w:lang w:val="es-ES_tradnl" w:eastAsia="es-ES"/>
        </w:rPr>
        <w:t>de carácter personal</w:t>
      </w:r>
      <w:r w:rsidRPr="00826796">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826796">
        <w:rPr>
          <w:rFonts w:ascii="Palatino Linotype" w:eastAsia="MS Mincho" w:hAnsi="Palatino Linotype" w:cs="Arial"/>
          <w:sz w:val="24"/>
          <w:szCs w:val="24"/>
          <w:lang w:val="es-ES_tradnl" w:eastAsia="es-MX"/>
        </w:rPr>
        <w:t>favorecer  en</w:t>
      </w:r>
      <w:proofErr w:type="gramEnd"/>
      <w:r w:rsidRPr="00826796">
        <w:rPr>
          <w:rFonts w:ascii="Palatino Linotype" w:eastAsia="MS Mincho" w:hAnsi="Palatino Linotype" w:cs="Arial"/>
          <w:sz w:val="24"/>
          <w:szCs w:val="24"/>
          <w:lang w:val="es-ES_tradnl" w:eastAsia="es-MX"/>
        </w:rPr>
        <w:t xml:space="preserve"> la transparencia y rendición de cuentas, sino, por el contrario con ello se violentaría la</w:t>
      </w:r>
      <w:r w:rsidRPr="00826796">
        <w:rPr>
          <w:rFonts w:ascii="Palatino Linotype" w:eastAsia="MS Mincho" w:hAnsi="Palatino Linotype" w:cs="Times New Roman"/>
          <w:sz w:val="24"/>
          <w:szCs w:val="24"/>
          <w:lang w:val="es-ES_tradnl" w:eastAsia="es-ES"/>
        </w:rPr>
        <w:t xml:space="preserve"> </w:t>
      </w:r>
      <w:r w:rsidRPr="00826796">
        <w:rPr>
          <w:rFonts w:ascii="Palatino Linotype" w:eastAsia="MS Mincho" w:hAnsi="Palatino Linotype" w:cs="Arial"/>
          <w:sz w:val="24"/>
          <w:szCs w:val="24"/>
          <w:lang w:val="es-ES_tradnl" w:eastAsia="es-MX"/>
        </w:rPr>
        <w:t>protección de información confidencial, porque incide en la intimidad de un individuo</w:t>
      </w:r>
      <w:r w:rsidRPr="00826796">
        <w:rPr>
          <w:rFonts w:ascii="Palatino Linotype" w:eastAsia="MS Mincho" w:hAnsi="Palatino Linotype" w:cs="Times New Roman"/>
          <w:sz w:val="24"/>
          <w:szCs w:val="24"/>
          <w:lang w:val="es-ES_tradnl" w:eastAsia="es-ES"/>
        </w:rPr>
        <w:t xml:space="preserve"> </w:t>
      </w:r>
      <w:r w:rsidRPr="00826796">
        <w:rPr>
          <w:rFonts w:ascii="Palatino Linotype" w:eastAsia="MS Mincho" w:hAnsi="Palatino Linotype" w:cs="Arial"/>
          <w:sz w:val="24"/>
          <w:szCs w:val="24"/>
          <w:lang w:val="es-ES_tradnl" w:eastAsia="es-MX"/>
        </w:rPr>
        <w:t>identificado.</w:t>
      </w:r>
    </w:p>
    <w:p w:rsidR="000F5E0E" w:rsidRPr="00826796" w:rsidRDefault="000F5E0E" w:rsidP="00826796">
      <w:pPr>
        <w:spacing w:after="0" w:line="360" w:lineRule="auto"/>
        <w:contextualSpacing/>
        <w:rPr>
          <w:rFonts w:ascii="Palatino Linotype" w:eastAsia="MS Mincho" w:hAnsi="Palatino Linotype" w:cs="Arial"/>
          <w:sz w:val="24"/>
          <w:szCs w:val="24"/>
          <w:lang w:val="es-ES_tradnl" w:eastAsia="es-MX"/>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MS Mincho" w:hAnsi="Palatino Linotype" w:cs="Arial"/>
          <w:sz w:val="24"/>
          <w:szCs w:val="24"/>
          <w:lang w:val="es-ES_tradnl" w:eastAsia="es-MX"/>
        </w:rPr>
        <w:t xml:space="preserve">Por su parte, el </w:t>
      </w:r>
      <w:r w:rsidRPr="00826796">
        <w:rPr>
          <w:rFonts w:ascii="Palatino Linotype" w:eastAsia="MS Mincho" w:hAnsi="Palatino Linotype" w:cs="Arial"/>
          <w:sz w:val="24"/>
          <w:szCs w:val="24"/>
          <w:lang w:val="es-ES_tradnl" w:eastAsia="es-ES"/>
        </w:rPr>
        <w:t>artículo 84 de la Ley del Trabajo de los Servidores Públicos del Estado y Municipios, señala:</w:t>
      </w:r>
    </w:p>
    <w:p w:rsidR="000F5E0E" w:rsidRPr="00826796" w:rsidRDefault="000F5E0E" w:rsidP="00826796">
      <w:pPr>
        <w:spacing w:after="0" w:line="360" w:lineRule="auto"/>
        <w:jc w:val="both"/>
        <w:rPr>
          <w:rFonts w:ascii="Palatino Linotype" w:eastAsia="MS Mincho" w:hAnsi="Palatino Linotype" w:cs="Arial"/>
          <w:sz w:val="24"/>
          <w:szCs w:val="24"/>
          <w:lang w:val="es-ES_tradnl" w:eastAsia="es-ES"/>
        </w:rPr>
      </w:pP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826796">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I. Gravámenes fiscales relacionados con el sueldo;</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III. Cuotas sindicales;</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0F5E0E" w:rsidRPr="00826796" w:rsidRDefault="000F5E0E" w:rsidP="00826796">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826796">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Cs/>
          <w:i/>
          <w:sz w:val="24"/>
          <w:szCs w:val="24"/>
          <w:lang w:val="es-ES_tradnl" w:eastAsia="es-ES"/>
        </w:rPr>
        <w:t>VII. Faltas de puntualidad o de asistencia injustificadas;</w:t>
      </w:r>
    </w:p>
    <w:p w:rsidR="000F5E0E" w:rsidRPr="00826796" w:rsidRDefault="000F5E0E" w:rsidP="00826796">
      <w:pPr>
        <w:spacing w:after="0" w:line="360" w:lineRule="auto"/>
        <w:ind w:left="567" w:right="616"/>
        <w:jc w:val="both"/>
        <w:rPr>
          <w:rFonts w:ascii="Palatino Linotype" w:eastAsia="MS Mincho" w:hAnsi="Palatino Linotype" w:cs="Arial"/>
          <w:bCs/>
          <w:i/>
          <w:sz w:val="24"/>
          <w:szCs w:val="24"/>
          <w:lang w:val="es-ES_tradnl" w:eastAsia="es-ES"/>
        </w:rPr>
      </w:pPr>
      <w:r w:rsidRPr="00826796">
        <w:rPr>
          <w:rFonts w:ascii="Palatino Linotype" w:eastAsia="MS Mincho" w:hAnsi="Palatino Linotype" w:cs="Arial"/>
          <w:b/>
          <w:bCs/>
          <w:i/>
          <w:sz w:val="24"/>
          <w:szCs w:val="24"/>
          <w:lang w:val="es-ES_tradnl" w:eastAsia="es-ES"/>
        </w:rPr>
        <w:t>VIII. Pensiones alimenticias ordenadas por la autoridad judicial;</w:t>
      </w:r>
      <w:r w:rsidRPr="00826796">
        <w:rPr>
          <w:rFonts w:ascii="Palatino Linotype" w:eastAsia="MS Mincho" w:hAnsi="Palatino Linotype" w:cs="Arial"/>
          <w:bCs/>
          <w:i/>
          <w:sz w:val="24"/>
          <w:szCs w:val="24"/>
          <w:lang w:val="es-ES_tradnl" w:eastAsia="es-ES"/>
        </w:rPr>
        <w:t xml:space="preserve"> o</w:t>
      </w:r>
    </w:p>
    <w:p w:rsidR="000F5E0E" w:rsidRPr="00826796" w:rsidRDefault="000F5E0E" w:rsidP="00826796">
      <w:pPr>
        <w:spacing w:after="0" w:line="360" w:lineRule="auto"/>
        <w:ind w:left="567" w:right="616"/>
        <w:jc w:val="both"/>
        <w:rPr>
          <w:rFonts w:ascii="Palatino Linotype" w:eastAsia="MS Mincho" w:hAnsi="Palatino Linotype" w:cs="Arial"/>
          <w:b/>
          <w:bCs/>
          <w:i/>
          <w:sz w:val="24"/>
          <w:szCs w:val="24"/>
          <w:lang w:val="es-ES_tradnl" w:eastAsia="es-ES"/>
        </w:rPr>
      </w:pPr>
      <w:r w:rsidRPr="00826796">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0F5E0E" w:rsidRPr="00826796" w:rsidRDefault="000F5E0E" w:rsidP="00826796">
      <w:pPr>
        <w:spacing w:after="0" w:line="360" w:lineRule="auto"/>
        <w:ind w:left="567" w:right="616"/>
        <w:jc w:val="both"/>
        <w:rPr>
          <w:rFonts w:ascii="Palatino Linotype" w:eastAsia="MS Mincho" w:hAnsi="Palatino Linotype" w:cs="Arial"/>
          <w:b/>
          <w:bCs/>
          <w:i/>
          <w:sz w:val="24"/>
          <w:szCs w:val="24"/>
          <w:lang w:val="es-ES_tradnl" w:eastAsia="es-ES"/>
        </w:rPr>
      </w:pPr>
      <w:r w:rsidRPr="00826796">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826796">
        <w:rPr>
          <w:rFonts w:ascii="Palatino Linotype" w:eastAsia="MS Mincho" w:hAnsi="Palatino Linotype" w:cs="Arial"/>
          <w:b/>
          <w:sz w:val="24"/>
          <w:szCs w:val="24"/>
          <w:lang w:val="es-ES_tradnl" w:eastAsia="es-ES"/>
        </w:rPr>
        <w:t>descuentos por pensiones alimenticias o créditos adquiridos</w:t>
      </w:r>
      <w:r w:rsidRPr="00826796">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0F5E0E" w:rsidRPr="00826796" w:rsidRDefault="000F5E0E" w:rsidP="00826796">
      <w:pPr>
        <w:spacing w:after="0" w:line="360" w:lineRule="auto"/>
        <w:contextualSpacing/>
        <w:jc w:val="both"/>
        <w:rPr>
          <w:rFonts w:ascii="Palatino Linotype" w:eastAsia="MS Mincho" w:hAnsi="Palatino Linotype" w:cs="Arial"/>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826796">
        <w:rPr>
          <w:rFonts w:ascii="Palatino Linotype" w:eastAsia="MS Mincho" w:hAnsi="Palatino Linotype" w:cs="Arial"/>
          <w:sz w:val="24"/>
          <w:szCs w:val="24"/>
          <w:lang w:val="es-ES_tradnl" w:eastAsia="es-ES"/>
        </w:rPr>
        <w:t xml:space="preserve">Por ende, en el presente caso, </w:t>
      </w:r>
      <w:r w:rsidRPr="00826796">
        <w:rPr>
          <w:rFonts w:ascii="Palatino Linotype" w:eastAsia="MS Mincho" w:hAnsi="Palatino Linotype" w:cs="Arial"/>
          <w:b/>
          <w:sz w:val="24"/>
          <w:szCs w:val="24"/>
          <w:lang w:val="es-ES_tradnl" w:eastAsia="es-ES"/>
        </w:rPr>
        <w:t>EL SUJETO OBLIGADO</w:t>
      </w:r>
      <w:r w:rsidRPr="00826796">
        <w:rPr>
          <w:rFonts w:ascii="Palatino Linotype" w:eastAsia="MS Mincho" w:hAnsi="Palatino Linotype" w:cs="Arial"/>
          <w:sz w:val="24"/>
          <w:szCs w:val="24"/>
          <w:lang w:val="es-ES_tradnl" w:eastAsia="es-ES"/>
        </w:rPr>
        <w:t xml:space="preserve"> debe </w:t>
      </w:r>
      <w:r w:rsidRPr="00826796">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26796">
        <w:rPr>
          <w:rFonts w:ascii="Palatino Linotype" w:eastAsia="MS Mincho" w:hAnsi="Palatino Linotype" w:cs="Arial"/>
          <w:b/>
          <w:sz w:val="24"/>
          <w:szCs w:val="24"/>
          <w:lang w:val="es-ES_tradnl" w:eastAsia="es-MX"/>
        </w:rPr>
        <w:t>EL SUJETO OBLIGADO</w:t>
      </w:r>
      <w:r w:rsidRPr="00826796">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26796">
        <w:rPr>
          <w:rFonts w:ascii="Palatino Linotype" w:eastAsia="MS Mincho" w:hAnsi="Palatino Linotype" w:cs="Arial"/>
          <w:b/>
          <w:sz w:val="24"/>
          <w:szCs w:val="24"/>
          <w:lang w:val="es-ES_tradnl" w:eastAsia="es-MX"/>
        </w:rPr>
        <w:t>SUJETO OBLIGADO</w:t>
      </w:r>
      <w:r w:rsidRPr="00826796">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826796">
        <w:rPr>
          <w:rFonts w:ascii="Palatino Linotype" w:eastAsia="MS Mincho" w:hAnsi="Palatino Linotype" w:cs="Arial"/>
          <w:color w:val="FF0000"/>
          <w:sz w:val="24"/>
          <w:szCs w:val="24"/>
          <w:lang w:val="es-ES_tradnl" w:eastAsia="es-MX"/>
        </w:rPr>
        <w:t>.</w:t>
      </w:r>
    </w:p>
    <w:p w:rsidR="000F5E0E" w:rsidRPr="00826796" w:rsidRDefault="000F5E0E" w:rsidP="00826796">
      <w:pPr>
        <w:pStyle w:val="Prrafodelista"/>
        <w:spacing w:line="360" w:lineRule="auto"/>
        <w:rPr>
          <w:rFonts w:ascii="Palatino Linotype" w:eastAsia="MS Mincho" w:hAnsi="Palatino Linotype" w:cs="Arial"/>
          <w:color w:val="FF0000"/>
          <w:sz w:val="24"/>
          <w:szCs w:val="24"/>
          <w:lang w:val="es-ES_tradnl" w:eastAsia="es-ES"/>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eastAsia="Times New Roman" w:hAnsi="Palatino Linotype" w:cs="Arial"/>
          <w:color w:val="222222"/>
          <w:sz w:val="24"/>
          <w:szCs w:val="24"/>
          <w:lang w:eastAsia="es-MX"/>
        </w:rPr>
        <w:t xml:space="preserve">En caso concreto es de observarse que la información que deberá entregar el </w:t>
      </w:r>
      <w:r w:rsidRPr="00826796">
        <w:rPr>
          <w:rFonts w:ascii="Palatino Linotype" w:eastAsia="Times New Roman" w:hAnsi="Palatino Linotype" w:cs="Arial"/>
          <w:b/>
          <w:color w:val="222222"/>
          <w:sz w:val="24"/>
          <w:szCs w:val="24"/>
          <w:lang w:eastAsia="es-MX"/>
        </w:rPr>
        <w:t xml:space="preserve">SUJETO OBLIGADO </w:t>
      </w:r>
      <w:r w:rsidRPr="00826796">
        <w:rPr>
          <w:rFonts w:ascii="Palatino Linotype" w:eastAsia="Times New Roman" w:hAnsi="Palatino Linotype" w:cs="Arial"/>
          <w:color w:val="222222"/>
          <w:sz w:val="24"/>
          <w:szCs w:val="24"/>
          <w:lang w:eastAsia="es-MX"/>
        </w:rPr>
        <w:t>en su versión pública y sustentada por el acuerdo emitido por el Comité de Transparencia refiere en su totalidad a</w:t>
      </w:r>
      <w:r w:rsidRPr="00826796">
        <w:rPr>
          <w:rFonts w:ascii="Palatino Linotype" w:hAnsi="Palatino Linotype"/>
          <w:sz w:val="24"/>
          <w:szCs w:val="24"/>
        </w:rPr>
        <w:t xml:space="preserve"> la </w:t>
      </w:r>
      <w:r w:rsidR="00FA329E" w:rsidRPr="00826796">
        <w:rPr>
          <w:rFonts w:ascii="Palatino Linotype" w:hAnsi="Palatino Linotype"/>
          <w:b/>
          <w:sz w:val="24"/>
          <w:szCs w:val="24"/>
          <w:u w:val="single"/>
        </w:rPr>
        <w:t>Comisaría General de Seguridad</w:t>
      </w:r>
      <w:r w:rsidRPr="00826796">
        <w:rPr>
          <w:rFonts w:ascii="Palatino Linotype" w:hAnsi="Palatino Linotype"/>
          <w:b/>
          <w:sz w:val="24"/>
          <w:szCs w:val="24"/>
          <w:u w:val="single"/>
        </w:rPr>
        <w:t xml:space="preserve"> Pública</w:t>
      </w:r>
      <w:r w:rsidR="00FA329E" w:rsidRPr="00826796">
        <w:rPr>
          <w:rFonts w:ascii="Palatino Linotype" w:hAnsi="Palatino Linotype"/>
          <w:b/>
          <w:sz w:val="24"/>
          <w:szCs w:val="24"/>
          <w:u w:val="single"/>
        </w:rPr>
        <w:t xml:space="preserve"> y Tránsito Municipal</w:t>
      </w:r>
      <w:r w:rsidRPr="00826796">
        <w:rPr>
          <w:rFonts w:ascii="Palatino Linotype" w:hAnsi="Palatino Linotype"/>
          <w:b/>
          <w:sz w:val="24"/>
          <w:szCs w:val="24"/>
          <w:u w:val="single"/>
        </w:rPr>
        <w:t xml:space="preserve"> del Ayuntamiento de</w:t>
      </w:r>
      <w:r w:rsidR="00FA329E" w:rsidRPr="00826796">
        <w:rPr>
          <w:rFonts w:ascii="Palatino Linotype" w:hAnsi="Palatino Linotype"/>
          <w:b/>
          <w:sz w:val="24"/>
          <w:szCs w:val="24"/>
          <w:u w:val="single"/>
        </w:rPr>
        <w:t xml:space="preserve"> Tecámac</w:t>
      </w:r>
      <w:r w:rsidRPr="00826796">
        <w:rPr>
          <w:rFonts w:ascii="Palatino Linotype" w:hAnsi="Palatino Linotype"/>
          <w:sz w:val="24"/>
          <w:szCs w:val="24"/>
        </w:rPr>
        <w:t xml:space="preserve">, la cual pone en riesgo a los integrantes de la mencionada </w:t>
      </w:r>
      <w:r w:rsidR="00FA329E" w:rsidRPr="00826796">
        <w:rPr>
          <w:rFonts w:ascii="Palatino Linotype" w:hAnsi="Palatino Linotype"/>
          <w:sz w:val="24"/>
          <w:szCs w:val="24"/>
        </w:rPr>
        <w:t xml:space="preserve">Área Administrativa </w:t>
      </w:r>
      <w:r w:rsidRPr="00826796">
        <w:rPr>
          <w:rFonts w:ascii="Palatino Linotype" w:hAnsi="Palatino Linotype"/>
          <w:sz w:val="24"/>
          <w:szCs w:val="24"/>
        </w:rPr>
        <w:t xml:space="preserve">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826796">
        <w:rPr>
          <w:rFonts w:ascii="Palatino Linotype" w:hAnsi="Palatino Linotype"/>
          <w:b/>
          <w:sz w:val="24"/>
          <w:szCs w:val="24"/>
          <w:u w:val="double"/>
        </w:rPr>
        <w:t>DISOCIARSE</w:t>
      </w:r>
      <w:r w:rsidRPr="00826796">
        <w:rPr>
          <w:rFonts w:ascii="Palatino Linotype" w:hAnsi="Palatino Linotype"/>
          <w:sz w:val="24"/>
          <w:szCs w:val="24"/>
        </w:rPr>
        <w:t>, es decir, los datos personales de los policías no pueden asociarse a sus titulares, ni permitir por su estructura, contenido o grado de desagregación, la identificación individual de los mismos, tal y como lo establece el artículo 4 fracción XVI de la</w:t>
      </w:r>
      <w:r w:rsidRPr="00826796">
        <w:rPr>
          <w:rFonts w:ascii="Palatino Linotype" w:hAnsi="Palatino Linotype"/>
          <w:b/>
          <w:sz w:val="24"/>
          <w:szCs w:val="24"/>
        </w:rPr>
        <w:t xml:space="preserve"> </w:t>
      </w:r>
      <w:r w:rsidRPr="00826796">
        <w:rPr>
          <w:rFonts w:ascii="Palatino Linotype" w:hAnsi="Palatino Linotype"/>
          <w:b/>
          <w:sz w:val="24"/>
          <w:szCs w:val="24"/>
          <w:shd w:val="clear" w:color="auto" w:fill="FFFFFF"/>
        </w:rPr>
        <w:t>Ley de Protección de Datos Personales en Posesión de Sujetos Obligados del Estado de México y Municipio</w:t>
      </w:r>
      <w:r w:rsidRPr="00826796">
        <w:rPr>
          <w:rFonts w:ascii="Palatino Linotype" w:hAnsi="Palatino Linotype"/>
          <w:b/>
          <w:sz w:val="24"/>
          <w:szCs w:val="24"/>
        </w:rPr>
        <w:t>s,</w:t>
      </w:r>
      <w:r w:rsidRPr="00826796">
        <w:rPr>
          <w:rFonts w:ascii="Palatino Linotype" w:hAnsi="Palatino Linotype"/>
          <w:sz w:val="24"/>
          <w:szCs w:val="24"/>
        </w:rPr>
        <w:t xml:space="preserve"> que refiere:</w:t>
      </w:r>
    </w:p>
    <w:p w:rsidR="000F5E0E" w:rsidRPr="00826796" w:rsidRDefault="000F5E0E" w:rsidP="00826796">
      <w:pPr>
        <w:spacing w:line="360" w:lineRule="auto"/>
        <w:ind w:left="567" w:right="616"/>
        <w:jc w:val="both"/>
        <w:rPr>
          <w:rFonts w:ascii="Palatino Linotype" w:hAnsi="Palatino Linotype"/>
          <w:sz w:val="24"/>
          <w:szCs w:val="24"/>
        </w:rPr>
      </w:pPr>
    </w:p>
    <w:p w:rsidR="000F5E0E" w:rsidRPr="00826796" w:rsidRDefault="000F5E0E" w:rsidP="00826796">
      <w:pPr>
        <w:spacing w:line="360" w:lineRule="auto"/>
        <w:ind w:left="567" w:right="616"/>
        <w:jc w:val="both"/>
        <w:rPr>
          <w:rFonts w:ascii="Palatino Linotype" w:hAnsi="Palatino Linotype"/>
          <w:i/>
          <w:sz w:val="24"/>
          <w:szCs w:val="24"/>
        </w:rPr>
      </w:pPr>
      <w:r w:rsidRPr="00826796">
        <w:rPr>
          <w:rFonts w:ascii="Palatino Linotype" w:hAnsi="Palatino Linotype"/>
          <w:i/>
          <w:sz w:val="24"/>
          <w:szCs w:val="24"/>
        </w:rPr>
        <w:t>“</w:t>
      </w:r>
      <w:r w:rsidRPr="00826796">
        <w:rPr>
          <w:rFonts w:ascii="Palatino Linotype" w:hAnsi="Palatino Linotype"/>
          <w:b/>
          <w:i/>
          <w:sz w:val="24"/>
          <w:szCs w:val="24"/>
        </w:rPr>
        <w:t>Artículo 4</w:t>
      </w:r>
      <w:r w:rsidRPr="00826796">
        <w:rPr>
          <w:rFonts w:ascii="Palatino Linotype" w:hAnsi="Palatino Linotype"/>
          <w:i/>
          <w:sz w:val="24"/>
          <w:szCs w:val="24"/>
        </w:rPr>
        <w:t>.- Para los efectos de esta Ley se entenderá por:</w:t>
      </w:r>
    </w:p>
    <w:p w:rsidR="000F5E0E" w:rsidRPr="00826796" w:rsidRDefault="000F5E0E" w:rsidP="00826796">
      <w:pPr>
        <w:spacing w:line="360" w:lineRule="auto"/>
        <w:ind w:left="567" w:right="616"/>
        <w:jc w:val="both"/>
        <w:rPr>
          <w:rFonts w:ascii="Palatino Linotype" w:hAnsi="Palatino Linotype"/>
          <w:i/>
          <w:sz w:val="24"/>
          <w:szCs w:val="24"/>
        </w:rPr>
      </w:pPr>
      <w:r w:rsidRPr="00826796">
        <w:rPr>
          <w:rFonts w:ascii="Palatino Linotype" w:hAnsi="Palatino Linotype"/>
          <w:i/>
          <w:sz w:val="24"/>
          <w:szCs w:val="24"/>
        </w:rPr>
        <w:t>…</w:t>
      </w:r>
    </w:p>
    <w:p w:rsidR="000F5E0E" w:rsidRPr="00826796" w:rsidRDefault="000F5E0E" w:rsidP="00826796">
      <w:pPr>
        <w:spacing w:line="360" w:lineRule="auto"/>
        <w:ind w:left="567" w:right="616"/>
        <w:jc w:val="both"/>
        <w:rPr>
          <w:rFonts w:ascii="Palatino Linotype" w:hAnsi="Palatino Linotype"/>
          <w:i/>
          <w:sz w:val="24"/>
          <w:szCs w:val="24"/>
        </w:rPr>
      </w:pPr>
      <w:r w:rsidRPr="00826796">
        <w:rPr>
          <w:rFonts w:ascii="Palatino Linotype" w:hAnsi="Palatino Linotype"/>
          <w:b/>
          <w:i/>
          <w:sz w:val="24"/>
          <w:szCs w:val="24"/>
        </w:rPr>
        <w:t>XVI. Disociación:</w:t>
      </w:r>
      <w:r w:rsidRPr="00826796">
        <w:rPr>
          <w:rFonts w:ascii="Palatino Linotype" w:hAnsi="Palatino Linotype"/>
          <w:i/>
          <w:sz w:val="24"/>
          <w:szCs w:val="24"/>
        </w:rPr>
        <w:t xml:space="preserve"> al procedimiento por el que los datos personales no pueden asociarse a la o el titular, ni permitir por su estructura, contenido o grado de desagregación, la identificación individual del mismo;”</w:t>
      </w: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hAnsi="Palatino Linotype"/>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0F5E0E" w:rsidRPr="00826796" w:rsidRDefault="000F5E0E" w:rsidP="00826796">
      <w:pPr>
        <w:pStyle w:val="Prrafodelista"/>
        <w:spacing w:after="200" w:line="360" w:lineRule="auto"/>
        <w:ind w:left="0"/>
        <w:jc w:val="both"/>
        <w:rPr>
          <w:rFonts w:ascii="Palatino Linotype" w:hAnsi="Palatino Linotype"/>
          <w:sz w:val="24"/>
          <w:szCs w:val="24"/>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hAnsi="Palatino Linotype"/>
          <w:sz w:val="24"/>
          <w:szCs w:val="24"/>
        </w:rPr>
        <w:t>Así las cosas, como ha quedado apuntado, el derecho de acceso a la información pública podrá ser restringido cuando se trate de información clasificada como reservada, delimitando una serie de hipótesis de hecho en las cuales descansa la posibilidad de reserva de la información.</w:t>
      </w:r>
    </w:p>
    <w:p w:rsidR="000F5E0E" w:rsidRPr="00826796" w:rsidRDefault="000F5E0E" w:rsidP="00826796">
      <w:pPr>
        <w:pStyle w:val="Prrafodelista"/>
        <w:spacing w:line="360" w:lineRule="auto"/>
        <w:rPr>
          <w:rFonts w:ascii="Palatino Linotype" w:hAnsi="Palatino Linotype"/>
          <w:sz w:val="24"/>
          <w:szCs w:val="24"/>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hAnsi="Palatino Linotype"/>
          <w:sz w:val="24"/>
          <w:szCs w:val="24"/>
        </w:rPr>
        <w:t xml:space="preserve">En el caso concreto, dentro de éstas hipótesis se encuentra aquélla que prevé que la información que generen, posean o administren los Sujetos Obligados, se considerará reservada cuando comprometa la seguridad pública, afecte cuestiones de prevención del delito, o bien, cuando al efectuar su publicación pudiera producir un daño mayor al </w:t>
      </w:r>
      <w:r w:rsidRPr="00826796">
        <w:rPr>
          <w:rFonts w:ascii="Palatino Linotype" w:hAnsi="Palatino Linotype"/>
          <w:b/>
          <w:sz w:val="24"/>
          <w:szCs w:val="24"/>
        </w:rPr>
        <w:t>SUJETO OBLIGADO</w:t>
      </w:r>
      <w:r w:rsidRPr="00826796">
        <w:rPr>
          <w:rFonts w:ascii="Palatino Linotype" w:hAnsi="Palatino Linotype"/>
          <w:sz w:val="24"/>
          <w:szCs w:val="24"/>
        </w:rPr>
        <w:t xml:space="preserve"> o sus elementos de seguridad.</w:t>
      </w:r>
    </w:p>
    <w:p w:rsidR="000F5E0E" w:rsidRPr="00826796" w:rsidRDefault="000F5E0E" w:rsidP="00826796">
      <w:pPr>
        <w:pStyle w:val="Prrafodelista"/>
        <w:spacing w:line="360" w:lineRule="auto"/>
        <w:rPr>
          <w:rFonts w:ascii="Palatino Linotype" w:hAnsi="Palatino Linotype"/>
          <w:sz w:val="24"/>
          <w:szCs w:val="24"/>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hAnsi="Palatino Linotype"/>
          <w:sz w:val="24"/>
          <w:szCs w:val="24"/>
        </w:rPr>
        <w:t xml:space="preserve">En el caso particular, resulta necesario limitar la publicación de cierta información, como lo sería dar a conocer lo que se ha denominado como “el estado de fuerza”, en virtud de que, el revelar </w:t>
      </w:r>
      <w:r w:rsidR="00413041" w:rsidRPr="00826796">
        <w:rPr>
          <w:rFonts w:ascii="Palatino Linotype" w:hAnsi="Palatino Linotype"/>
          <w:sz w:val="24"/>
          <w:szCs w:val="24"/>
        </w:rPr>
        <w:t xml:space="preserve">el cargo </w:t>
      </w:r>
      <w:r w:rsidRPr="00826796">
        <w:rPr>
          <w:rFonts w:ascii="Palatino Linotype" w:hAnsi="Palatino Linotype"/>
          <w:sz w:val="24"/>
          <w:szCs w:val="24"/>
        </w:rPr>
        <w:t>de los policías podría poner en riesgo la seguridad pública, toda vez que su difusión facilitaría a células delictivas el neutralizar las acciones implementadas o por implementar, para la preservación del orden y la paz pública, y proporcionaría la información que una institución tiene para prevenir y combatir la comisión de delitos.</w:t>
      </w:r>
    </w:p>
    <w:p w:rsidR="00AD7CD4" w:rsidRPr="00826796" w:rsidRDefault="00AD7CD4" w:rsidP="00826796">
      <w:pPr>
        <w:pStyle w:val="Prrafodelista"/>
        <w:spacing w:after="200" w:line="360" w:lineRule="auto"/>
        <w:ind w:left="426"/>
        <w:jc w:val="both"/>
        <w:rPr>
          <w:rFonts w:ascii="Palatino Linotype" w:hAnsi="Palatino Linotype"/>
          <w:sz w:val="24"/>
          <w:szCs w:val="24"/>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sz w:val="24"/>
          <w:szCs w:val="24"/>
        </w:rPr>
      </w:pPr>
      <w:r w:rsidRPr="00826796">
        <w:rPr>
          <w:rFonts w:ascii="Palatino Linotype" w:hAnsi="Palatino Linotype"/>
          <w:sz w:val="24"/>
          <w:szCs w:val="24"/>
        </w:rPr>
        <w:t xml:space="preserve">Por lo que, ante ésta situación, el </w:t>
      </w:r>
      <w:r w:rsidRPr="00826796">
        <w:rPr>
          <w:rFonts w:ascii="Palatino Linotype" w:hAnsi="Palatino Linotype"/>
          <w:b/>
          <w:sz w:val="24"/>
          <w:szCs w:val="24"/>
        </w:rPr>
        <w:t>SUJETO OBLIGADO</w:t>
      </w:r>
      <w:r w:rsidRPr="00826796">
        <w:rPr>
          <w:rFonts w:ascii="Palatino Linotype" w:hAnsi="Palatino Linotype"/>
          <w:sz w:val="24"/>
          <w:szCs w:val="24"/>
        </w:rPr>
        <w:t xml:space="preserve"> deberá disociar dicha información en dos partes, la primera deberá contener el nombre de los elementos de seguridad; y la segunda contendrá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0F5E0E" w:rsidRPr="00826796" w:rsidRDefault="000F5E0E" w:rsidP="00826796">
      <w:pPr>
        <w:pStyle w:val="Prrafodelista"/>
        <w:spacing w:line="360" w:lineRule="auto"/>
        <w:rPr>
          <w:rFonts w:ascii="Palatino Linotype" w:hAnsi="Palatino Linotype"/>
          <w:sz w:val="24"/>
          <w:szCs w:val="24"/>
        </w:rPr>
      </w:pPr>
    </w:p>
    <w:p w:rsidR="000F5E0E" w:rsidRPr="00826796" w:rsidRDefault="000F5E0E" w:rsidP="00826796">
      <w:pPr>
        <w:pStyle w:val="Prrafodelista"/>
        <w:numPr>
          <w:ilvl w:val="0"/>
          <w:numId w:val="2"/>
        </w:numPr>
        <w:spacing w:after="200" w:line="360" w:lineRule="auto"/>
        <w:ind w:left="0" w:firstLine="0"/>
        <w:jc w:val="both"/>
        <w:rPr>
          <w:rFonts w:ascii="Palatino Linotype" w:hAnsi="Palatino Linotype"/>
          <w:b/>
          <w:sz w:val="24"/>
          <w:szCs w:val="24"/>
        </w:rPr>
      </w:pPr>
      <w:r w:rsidRPr="00826796">
        <w:rPr>
          <w:rFonts w:ascii="Palatino Linotype" w:hAnsi="Palatino Linotype"/>
          <w:b/>
          <w:sz w:val="24"/>
          <w:szCs w:val="24"/>
        </w:rPr>
        <w:t>En ese sentido la documentación que deberá proporcionar el SUJETO OBLIGADO, con los datos disociados podrá consistir, a efecto de no hacer identificable a los servidores públicos, en un listado que contenga el nombre y otro que contenga la remuneración.</w:t>
      </w: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26796">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F5E0E" w:rsidRPr="00826796" w:rsidRDefault="000F5E0E" w:rsidP="00826796">
      <w:pPr>
        <w:spacing w:after="0" w:line="360" w:lineRule="auto"/>
        <w:contextualSpacing/>
        <w:jc w:val="both"/>
        <w:rPr>
          <w:rFonts w:ascii="Palatino Linotype" w:eastAsia="Calibri" w:hAnsi="Palatino Linotype" w:cs="Arial"/>
          <w:bCs/>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26796">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F5E0E" w:rsidRPr="00826796" w:rsidRDefault="000F5E0E" w:rsidP="00826796">
      <w:pPr>
        <w:spacing w:after="0" w:line="360" w:lineRule="auto"/>
        <w:contextualSpacing/>
        <w:jc w:val="both"/>
        <w:rPr>
          <w:rFonts w:ascii="Palatino Linotype" w:eastAsia="Calibri" w:hAnsi="Palatino Linotype" w:cs="Arial"/>
          <w:bCs/>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26796">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66A72" w:rsidRPr="00826796" w:rsidRDefault="00866A72" w:rsidP="00826796">
      <w:pPr>
        <w:pStyle w:val="Prrafodelista"/>
        <w:spacing w:line="360" w:lineRule="auto"/>
        <w:rPr>
          <w:rFonts w:ascii="Palatino Linotype" w:eastAsia="MS Mincho" w:hAnsi="Palatino Linotype" w:cs="Arial"/>
          <w:sz w:val="24"/>
          <w:szCs w:val="24"/>
          <w:lang w:val="es-ES_tradnl" w:eastAsia="es-MX"/>
        </w:rPr>
      </w:pPr>
    </w:p>
    <w:p w:rsidR="00866A72" w:rsidRPr="00826796" w:rsidRDefault="00866A72" w:rsidP="00826796">
      <w:pPr>
        <w:keepNext/>
        <w:keepLines/>
        <w:spacing w:before="240" w:after="0" w:line="360" w:lineRule="auto"/>
        <w:outlineLvl w:val="0"/>
        <w:rPr>
          <w:rFonts w:ascii="Palatino Linotype" w:eastAsia="MS Gothic" w:hAnsi="Palatino Linotype" w:cstheme="majorBidi"/>
          <w:b/>
          <w:sz w:val="24"/>
          <w:szCs w:val="24"/>
          <w:lang w:val="es-ES_tradnl"/>
        </w:rPr>
      </w:pPr>
      <w:bookmarkStart w:id="109" w:name="_Toc7696375"/>
      <w:bookmarkStart w:id="110" w:name="_Toc10736009"/>
      <w:r w:rsidRPr="00826796">
        <w:rPr>
          <w:rFonts w:ascii="Palatino Linotype" w:eastAsia="MS Gothic" w:hAnsi="Palatino Linotype" w:cstheme="majorBidi"/>
          <w:b/>
          <w:sz w:val="24"/>
          <w:szCs w:val="24"/>
          <w:lang w:val="es-ES_tradnl"/>
        </w:rPr>
        <w:t>SEXTO.</w:t>
      </w:r>
      <w:bookmarkStart w:id="111" w:name="_Toc486525259"/>
      <w:bookmarkStart w:id="112" w:name="_Toc503367745"/>
      <w:bookmarkStart w:id="113" w:name="_Toc509505058"/>
      <w:r w:rsidRPr="00826796">
        <w:rPr>
          <w:rFonts w:ascii="Palatino Linotype" w:eastAsia="MS Gothic" w:hAnsi="Palatino Linotype" w:cstheme="majorBidi"/>
          <w:b/>
          <w:sz w:val="24"/>
          <w:szCs w:val="24"/>
          <w:lang w:val="es-ES_tradnl"/>
        </w:rPr>
        <w:t xml:space="preserve"> Vista a los órganos de control interno</w:t>
      </w:r>
      <w:bookmarkEnd w:id="109"/>
      <w:bookmarkEnd w:id="111"/>
      <w:bookmarkEnd w:id="112"/>
      <w:bookmarkEnd w:id="113"/>
      <w:r w:rsidRPr="00826796">
        <w:rPr>
          <w:rFonts w:ascii="Palatino Linotype" w:eastAsia="MS Gothic" w:hAnsi="Palatino Linotype" w:cstheme="majorBidi"/>
          <w:b/>
          <w:sz w:val="24"/>
          <w:szCs w:val="24"/>
          <w:lang w:val="es-ES_tradnl"/>
        </w:rPr>
        <w:t>.</w:t>
      </w:r>
      <w:bookmarkEnd w:id="110"/>
    </w:p>
    <w:p w:rsidR="00866A72" w:rsidRPr="00826796" w:rsidRDefault="00866A72" w:rsidP="00826796">
      <w:pPr>
        <w:spacing w:after="0" w:line="360" w:lineRule="auto"/>
        <w:rPr>
          <w:rFonts w:ascii="Palatino Linotype" w:eastAsia="MS Mincho" w:hAnsi="Palatino Linotype" w:cs="Times New Roman"/>
          <w:sz w:val="24"/>
          <w:szCs w:val="24"/>
          <w:lang w:val="es-ES_tradnl"/>
        </w:rPr>
      </w:pPr>
    </w:p>
    <w:p w:rsidR="00866A72" w:rsidRPr="00826796" w:rsidRDefault="00866A72" w:rsidP="0082679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 xml:space="preserve">Es </w:t>
      </w:r>
      <w:r w:rsidRPr="00826796">
        <w:rPr>
          <w:rFonts w:ascii="Palatino Linotype" w:eastAsia="Times New Roman" w:hAnsi="Palatino Linotype" w:cs="Arial"/>
          <w:sz w:val="24"/>
          <w:szCs w:val="24"/>
          <w:lang w:val="es-ES_tradnl" w:eastAsia="es-ES"/>
        </w:rPr>
        <w:t>necesario</w:t>
      </w:r>
      <w:r w:rsidRPr="00826796">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826796">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826796">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66A72" w:rsidRPr="00826796" w:rsidRDefault="00866A72" w:rsidP="00826796">
      <w:pPr>
        <w:spacing w:after="0" w:line="360" w:lineRule="auto"/>
        <w:contextualSpacing/>
        <w:jc w:val="both"/>
        <w:rPr>
          <w:rFonts w:ascii="Palatino Linotype" w:eastAsia="MS Mincho" w:hAnsi="Palatino Linotype" w:cs="Times New Roman"/>
          <w:sz w:val="24"/>
          <w:szCs w:val="24"/>
          <w:lang w:val="es-ES_tradnl" w:eastAsia="es-ES"/>
        </w:rPr>
      </w:pPr>
    </w:p>
    <w:p w:rsidR="00866A72" w:rsidRPr="00826796" w:rsidRDefault="00866A72" w:rsidP="00826796">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866A72" w:rsidRPr="00826796" w:rsidRDefault="00866A72" w:rsidP="00826796">
      <w:pPr>
        <w:spacing w:after="0" w:line="360" w:lineRule="auto"/>
        <w:contextualSpacing/>
        <w:rPr>
          <w:rFonts w:ascii="Palatino Linotype" w:eastAsia="MS Mincho" w:hAnsi="Palatino Linotype" w:cs="Times New Roman"/>
          <w:noProof/>
          <w:sz w:val="24"/>
          <w:szCs w:val="24"/>
          <w:lang w:val="es-ES_tradnl" w:eastAsia="es-ES"/>
        </w:rPr>
      </w:pP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w:t>
      </w: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w:t>
      </w:r>
    </w:p>
    <w:p w:rsidR="00866A72" w:rsidRPr="00826796" w:rsidRDefault="00866A72" w:rsidP="00826796">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826796">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82679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866A72" w:rsidRPr="00826796" w:rsidRDefault="00866A72" w:rsidP="00826796">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826796">
        <w:rPr>
          <w:rFonts w:ascii="Palatino Linotype" w:eastAsia="MS Mincho" w:hAnsi="Palatino Linotype" w:cs="Times New Roman"/>
          <w:i/>
          <w:sz w:val="24"/>
          <w:szCs w:val="24"/>
          <w:lang w:val="es-ES_tradnl" w:eastAsia="es-ES"/>
        </w:rPr>
        <w:t>;</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826796">
        <w:rPr>
          <w:rFonts w:ascii="Palatino Linotype" w:eastAsia="MS Mincho" w:hAnsi="Palatino Linotype" w:cs="Times New Roman"/>
          <w:i/>
          <w:sz w:val="24"/>
          <w:szCs w:val="24"/>
          <w:lang w:val="es-ES_tradnl" w:eastAsia="es-ES"/>
        </w:rPr>
        <w:t>;</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w:t>
      </w:r>
    </w:p>
    <w:p w:rsidR="00866A72" w:rsidRPr="00826796" w:rsidRDefault="00866A72" w:rsidP="00826796">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66A72" w:rsidRPr="00826796" w:rsidRDefault="00866A72" w:rsidP="00826796">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826796">
        <w:rPr>
          <w:rFonts w:ascii="Palatino Linotype" w:eastAsia="MS Mincho" w:hAnsi="Palatino Linotype" w:cs="Times New Roman"/>
          <w:i/>
          <w:sz w:val="24"/>
          <w:szCs w:val="24"/>
          <w:lang w:val="es-ES_tradnl" w:eastAsia="es-ES"/>
        </w:rPr>
        <w:t>(Énfasis añadido)</w:t>
      </w:r>
    </w:p>
    <w:p w:rsidR="00866A72" w:rsidRPr="00826796" w:rsidRDefault="00866A72" w:rsidP="00826796">
      <w:pPr>
        <w:spacing w:after="0" w:line="360" w:lineRule="auto"/>
        <w:ind w:right="567"/>
        <w:contextualSpacing/>
        <w:jc w:val="both"/>
        <w:rPr>
          <w:rFonts w:ascii="Palatino Linotype" w:eastAsia="MS Mincho" w:hAnsi="Palatino Linotype" w:cs="Times New Roman"/>
          <w:i/>
          <w:sz w:val="24"/>
          <w:szCs w:val="24"/>
          <w:lang w:val="es-ES_tradnl" w:eastAsia="es-ES"/>
        </w:rPr>
      </w:pPr>
    </w:p>
    <w:p w:rsidR="00866A72" w:rsidRPr="00826796" w:rsidRDefault="00866A72" w:rsidP="00826796">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866A72" w:rsidRPr="00826796" w:rsidRDefault="00866A72" w:rsidP="00826796">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sz w:val="24"/>
          <w:szCs w:val="24"/>
          <w:lang w:val="es-ES_tradnl" w:eastAsia="es-ES"/>
        </w:rPr>
        <w:t>Consecuentemente</w:t>
      </w:r>
      <w:r w:rsidRPr="00826796">
        <w:rPr>
          <w:rFonts w:ascii="Palatino Linotype" w:eastAsia="MS Mincho" w:hAnsi="Palatino Linotype" w:cs="Arial"/>
          <w:color w:val="000000"/>
          <w:sz w:val="24"/>
          <w:szCs w:val="24"/>
          <w:lang w:val="es-ES_tradnl" w:eastAsia="es-ES"/>
        </w:rPr>
        <w:t xml:space="preserve">, en términos del artículo 179 fracciones VII y XI </w:t>
      </w:r>
      <w:r w:rsidRPr="00826796">
        <w:rPr>
          <w:rFonts w:ascii="Palatino Linotype" w:eastAsia="MS Mincho" w:hAnsi="Palatino Linotype" w:cs="Times New Roman"/>
          <w:sz w:val="24"/>
          <w:szCs w:val="24"/>
          <w:lang w:val="es-ES_tradnl" w:eastAsia="es-ES"/>
        </w:rPr>
        <w:t xml:space="preserve">resultan </w:t>
      </w:r>
      <w:r w:rsidRPr="00826796">
        <w:rPr>
          <w:rFonts w:ascii="Palatino Linotype" w:eastAsia="Times New Roman" w:hAnsi="Palatino Linotype" w:cs="Arial"/>
          <w:sz w:val="24"/>
          <w:szCs w:val="24"/>
          <w:lang w:val="es-ES_tradnl" w:eastAsia="es-ES"/>
        </w:rPr>
        <w:t>fundadas las</w:t>
      </w:r>
      <w:r w:rsidRPr="00826796">
        <w:rPr>
          <w:rFonts w:ascii="Palatino Linotype" w:eastAsia="Times New Roman" w:hAnsi="Palatino Linotype" w:cs="Arial"/>
          <w:b/>
          <w:sz w:val="24"/>
          <w:szCs w:val="24"/>
          <w:lang w:val="es-ES_tradnl" w:eastAsia="es-ES"/>
        </w:rPr>
        <w:t xml:space="preserve"> </w:t>
      </w:r>
      <w:r w:rsidRPr="00826796">
        <w:rPr>
          <w:rFonts w:ascii="Palatino Linotype" w:eastAsia="Times New Roman" w:hAnsi="Palatino Linotype" w:cs="Arial"/>
          <w:sz w:val="24"/>
          <w:szCs w:val="24"/>
          <w:lang w:val="es-ES_tradnl" w:eastAsia="es-ES"/>
        </w:rPr>
        <w:t xml:space="preserve">razones o motivos de inconformidad hechos valer por la recurrente </w:t>
      </w:r>
      <w:r w:rsidRPr="00826796">
        <w:rPr>
          <w:rFonts w:ascii="Palatino Linotype" w:eastAsia="Calibri" w:hAnsi="Palatino Linotype" w:cs="Arial"/>
          <w:sz w:val="24"/>
          <w:szCs w:val="24"/>
          <w:lang w:val="es-ES_tradnl" w:eastAsia="es-ES"/>
        </w:rPr>
        <w:t xml:space="preserve">en el recurso de revisión en merito, </w:t>
      </w:r>
      <w:r w:rsidRPr="00826796">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826796">
        <w:rPr>
          <w:rFonts w:ascii="Palatino Linotype" w:eastAsia="Calibri" w:hAnsi="Palatino Linotype" w:cs="Arial"/>
          <w:sz w:val="24"/>
          <w:szCs w:val="24"/>
          <w:lang w:val="es-ES_tradnl" w:eastAsia="es-ES"/>
        </w:rPr>
        <w:t xml:space="preserve"> </w:t>
      </w:r>
    </w:p>
    <w:p w:rsidR="00866A72" w:rsidRPr="00826796" w:rsidRDefault="00866A72" w:rsidP="00826796">
      <w:pPr>
        <w:spacing w:after="0" w:line="360" w:lineRule="auto"/>
        <w:contextualSpacing/>
        <w:rPr>
          <w:rFonts w:ascii="Palatino Linotype" w:eastAsia="MS Mincho" w:hAnsi="Palatino Linotype" w:cs="Times New Roman"/>
          <w:sz w:val="24"/>
          <w:szCs w:val="24"/>
          <w:lang w:val="es-ES_tradnl" w:eastAsia="es-ES"/>
        </w:rPr>
      </w:pPr>
    </w:p>
    <w:p w:rsidR="000F5E0E" w:rsidRPr="00826796" w:rsidRDefault="000F5E0E" w:rsidP="0082679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1"/>
      <w:bookmarkEnd w:id="62"/>
      <w:bookmarkEnd w:id="63"/>
      <w:bookmarkEnd w:id="64"/>
      <w:bookmarkEnd w:id="65"/>
      <w:bookmarkEnd w:id="66"/>
      <w:bookmarkEnd w:id="67"/>
      <w:bookmarkEnd w:id="68"/>
      <w:r w:rsidRPr="00826796">
        <w:rPr>
          <w:rFonts w:ascii="Palatino Linotype" w:eastAsia="Times New Roman" w:hAnsi="Palatino Linotype"/>
          <w:sz w:val="24"/>
          <w:szCs w:val="24"/>
          <w:lang w:val="es-ES_tradnl" w:eastAsia="es-ES"/>
        </w:rPr>
        <w:t xml:space="preserve">Consecuentemente, en términos del artículo </w:t>
      </w:r>
      <w:r w:rsidR="00866A72" w:rsidRPr="00826796">
        <w:rPr>
          <w:rFonts w:ascii="Palatino Linotype" w:eastAsia="Times New Roman" w:hAnsi="Palatino Linotype"/>
          <w:b/>
          <w:sz w:val="24"/>
          <w:szCs w:val="24"/>
          <w:lang w:val="es-ES_tradnl" w:eastAsia="es-ES"/>
        </w:rPr>
        <w:t xml:space="preserve">186 fracción IV </w:t>
      </w:r>
      <w:r w:rsidRPr="00826796">
        <w:rPr>
          <w:rFonts w:ascii="Palatino Linotype" w:eastAsia="Times New Roman" w:hAnsi="Palatino Linotype"/>
          <w:sz w:val="24"/>
          <w:szCs w:val="24"/>
          <w:lang w:val="es-ES_tradnl" w:eastAsia="es-ES"/>
        </w:rPr>
        <w:t xml:space="preserve">este Pleno determina </w:t>
      </w:r>
      <w:r w:rsidR="00866A72" w:rsidRPr="00826796">
        <w:rPr>
          <w:rFonts w:ascii="Palatino Linotype" w:eastAsia="Times New Roman" w:hAnsi="Palatino Linotype"/>
          <w:b/>
          <w:sz w:val="24"/>
          <w:szCs w:val="24"/>
          <w:lang w:val="es-ES_tradnl" w:eastAsia="es-ES"/>
        </w:rPr>
        <w:t xml:space="preserve">ORDENA </w:t>
      </w:r>
      <w:r w:rsidRPr="00826796">
        <w:rPr>
          <w:rFonts w:ascii="Palatino Linotype" w:eastAsia="Times New Roman" w:hAnsi="Palatino Linotype"/>
          <w:sz w:val="24"/>
          <w:szCs w:val="24"/>
          <w:lang w:val="es-ES_tradnl" w:eastAsia="es-ES"/>
        </w:rPr>
        <w:t>la</w:t>
      </w:r>
      <w:r w:rsidR="00866A72" w:rsidRPr="00826796">
        <w:rPr>
          <w:rFonts w:ascii="Palatino Linotype" w:eastAsia="Times New Roman" w:hAnsi="Palatino Linotype"/>
          <w:sz w:val="24"/>
          <w:szCs w:val="24"/>
          <w:lang w:val="es-ES_tradnl" w:eastAsia="es-ES"/>
        </w:rPr>
        <w:t xml:space="preserve"> entrega de la información correspondiente a la Nómina General de todo el personal que labora en el Ayuntamiento de Tecámac de la segunda quincena del mes de febrero de la presente anualidad,</w:t>
      </w:r>
      <w:r w:rsidRPr="00826796">
        <w:rPr>
          <w:rFonts w:ascii="Palatino Linotype" w:eastAsia="Times New Roman" w:hAnsi="Palatino Linotype"/>
          <w:sz w:val="24"/>
          <w:szCs w:val="24"/>
          <w:lang w:val="es-ES_tradnl" w:eastAsia="es-ES"/>
        </w:rPr>
        <w:t xml:space="preserve"> </w:t>
      </w:r>
      <w:r w:rsidRPr="00826796">
        <w:rPr>
          <w:rFonts w:ascii="Palatino Linotype" w:eastAsia="MS Mincho" w:hAnsi="Palatino Linotype" w:cs="Times New Roman"/>
          <w:sz w:val="24"/>
          <w:szCs w:val="24"/>
          <w:lang w:val="es-ES_tradnl" w:eastAsia="es-ES"/>
        </w:rPr>
        <w:t xml:space="preserve">toda vez </w:t>
      </w:r>
      <w:r w:rsidRPr="00826796">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0F5E0E" w:rsidRPr="00826796" w:rsidRDefault="000F5E0E" w:rsidP="00826796">
      <w:pPr>
        <w:spacing w:after="0" w:line="360" w:lineRule="auto"/>
        <w:ind w:right="49"/>
        <w:contextualSpacing/>
        <w:jc w:val="both"/>
        <w:rPr>
          <w:rFonts w:ascii="Palatino Linotype" w:eastAsia="Times New Roman" w:hAnsi="Palatino Linotype"/>
          <w:sz w:val="24"/>
          <w:szCs w:val="24"/>
          <w:lang w:val="es-ES_tradnl" w:eastAsia="es-ES"/>
        </w:rPr>
      </w:pPr>
    </w:p>
    <w:p w:rsidR="000F5E0E" w:rsidRPr="00826796" w:rsidRDefault="000F5E0E" w:rsidP="00826796">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826796">
        <w:rPr>
          <w:rFonts w:ascii="Palatino Linotype" w:eastAsia="Times New Roman" w:hAnsi="Palatino Linotype"/>
          <w:sz w:val="24"/>
          <w:szCs w:val="24"/>
          <w:lang w:val="es-ES_tradnl" w:eastAsia="es-ES"/>
        </w:rPr>
        <w:t xml:space="preserve">Por lo anteriormente expuesto y fundado este </w:t>
      </w:r>
      <w:r w:rsidRPr="00826796">
        <w:rPr>
          <w:rFonts w:ascii="Palatino Linotype" w:eastAsia="Times New Roman" w:hAnsi="Palatino Linotype"/>
          <w:b/>
          <w:sz w:val="24"/>
          <w:szCs w:val="24"/>
          <w:lang w:val="es-ES_tradnl" w:eastAsia="es-ES"/>
        </w:rPr>
        <w:t>ÓRGANO GARANTE</w:t>
      </w:r>
      <w:r w:rsidRPr="00826796">
        <w:rPr>
          <w:rFonts w:ascii="Palatino Linotype" w:eastAsia="Times New Roman" w:hAnsi="Palatino Linotype"/>
          <w:sz w:val="24"/>
          <w:szCs w:val="24"/>
          <w:lang w:val="es-ES_tradnl" w:eastAsia="es-ES"/>
        </w:rPr>
        <w:t xml:space="preserve"> emite los siguientes.</w:t>
      </w:r>
    </w:p>
    <w:p w:rsidR="000F5E0E" w:rsidRPr="00826796" w:rsidRDefault="00826796" w:rsidP="00826796">
      <w:pPr>
        <w:spacing w:after="0" w:line="360" w:lineRule="auto"/>
        <w:ind w:right="49"/>
        <w:jc w:val="both"/>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9362</wp:posOffset>
                </wp:positionH>
                <wp:positionV relativeFrom="paragraph">
                  <wp:posOffset>131540</wp:posOffset>
                </wp:positionV>
                <wp:extent cx="5554493" cy="3142034"/>
                <wp:effectExtent l="19050" t="19050" r="27305" b="20320"/>
                <wp:wrapNone/>
                <wp:docPr id="12" name="Conector recto 12"/>
                <wp:cNvGraphicFramePr/>
                <a:graphic xmlns:a="http://schemas.openxmlformats.org/drawingml/2006/main">
                  <a:graphicData uri="http://schemas.microsoft.com/office/word/2010/wordprocessingShape">
                    <wps:wsp>
                      <wps:cNvCnPr/>
                      <wps:spPr>
                        <a:xfrm>
                          <a:off x="0" y="0"/>
                          <a:ext cx="5554493" cy="31420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D5CF4" id="Conector recto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0.35pt" to="438.1pt,2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" strokecolor="#5b9bd5 [3204]" strokeweight="3pt">
                <v:stroke joinstyle="miter"/>
              </v:line>
            </w:pict>
          </mc:Fallback>
        </mc:AlternateContent>
      </w:r>
    </w:p>
    <w:p w:rsidR="000F5E0E" w:rsidRPr="00826796" w:rsidRDefault="000F5E0E" w:rsidP="00826796">
      <w:pPr>
        <w:spacing w:after="0" w:line="360" w:lineRule="auto"/>
        <w:ind w:right="49"/>
        <w:jc w:val="both"/>
        <w:rPr>
          <w:rFonts w:ascii="Palatino Linotype" w:eastAsia="Times New Roman" w:hAnsi="Palatino Linotype"/>
          <w:sz w:val="24"/>
          <w:szCs w:val="24"/>
          <w:lang w:val="es-ES_tradnl" w:eastAsia="es-ES"/>
        </w:rPr>
      </w:pPr>
    </w:p>
    <w:p w:rsidR="00AD7CD4" w:rsidRPr="00826796" w:rsidRDefault="00AD7CD4" w:rsidP="00826796">
      <w:pPr>
        <w:spacing w:after="0" w:line="360" w:lineRule="auto"/>
        <w:ind w:right="49"/>
        <w:jc w:val="both"/>
        <w:rPr>
          <w:rFonts w:ascii="Palatino Linotype" w:eastAsia="Times New Roman" w:hAnsi="Palatino Linotype"/>
          <w:sz w:val="24"/>
          <w:szCs w:val="24"/>
          <w:lang w:val="es-ES_tradnl" w:eastAsia="es-ES"/>
        </w:rPr>
      </w:pPr>
    </w:p>
    <w:p w:rsidR="00AD7CD4" w:rsidRDefault="00AD7CD4" w:rsidP="00826796">
      <w:pPr>
        <w:spacing w:after="0" w:line="360" w:lineRule="auto"/>
        <w:ind w:right="49"/>
        <w:jc w:val="both"/>
        <w:rPr>
          <w:rFonts w:ascii="Palatino Linotype" w:eastAsia="Times New Roman" w:hAnsi="Palatino Linotype"/>
          <w:sz w:val="24"/>
          <w:szCs w:val="24"/>
          <w:lang w:val="es-ES_tradnl" w:eastAsia="es-ES"/>
        </w:rPr>
      </w:pPr>
    </w:p>
    <w:p w:rsidR="00826796" w:rsidRDefault="00826796" w:rsidP="00826796">
      <w:pPr>
        <w:spacing w:after="0" w:line="360" w:lineRule="auto"/>
        <w:ind w:right="49"/>
        <w:jc w:val="both"/>
        <w:rPr>
          <w:rFonts w:ascii="Palatino Linotype" w:eastAsia="Times New Roman" w:hAnsi="Palatino Linotype"/>
          <w:sz w:val="24"/>
          <w:szCs w:val="24"/>
          <w:lang w:val="es-ES_tradnl" w:eastAsia="es-ES"/>
        </w:rPr>
      </w:pPr>
    </w:p>
    <w:p w:rsidR="00826796" w:rsidRPr="00826796" w:rsidRDefault="00826796" w:rsidP="00826796">
      <w:pPr>
        <w:spacing w:after="0" w:line="360" w:lineRule="auto"/>
        <w:ind w:right="49"/>
        <w:jc w:val="both"/>
        <w:rPr>
          <w:rFonts w:ascii="Palatino Linotype" w:eastAsia="Times New Roman" w:hAnsi="Palatino Linotype"/>
          <w:sz w:val="24"/>
          <w:szCs w:val="24"/>
          <w:lang w:val="es-ES_tradnl" w:eastAsia="es-ES"/>
        </w:rPr>
      </w:pPr>
    </w:p>
    <w:p w:rsidR="000F5E0E" w:rsidRPr="00826796" w:rsidRDefault="000F5E0E" w:rsidP="00826796">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4"/>
      <w:bookmarkEnd w:id="115"/>
      <w:bookmarkEnd w:id="116"/>
      <w:bookmarkEnd w:id="117"/>
      <w:bookmarkEnd w:id="118"/>
      <w:bookmarkEnd w:id="119"/>
      <w:bookmarkEnd w:id="120"/>
      <w:r w:rsidRPr="00826796">
        <w:rPr>
          <w:rFonts w:ascii="Palatino Linotype" w:eastAsia="Calibri" w:hAnsi="Palatino Linotype" w:cstheme="majorBidi"/>
          <w:b/>
          <w:sz w:val="24"/>
          <w:szCs w:val="24"/>
          <w:lang w:val="es-ES" w:eastAsia="es-ES"/>
        </w:rPr>
        <w:tab/>
      </w:r>
      <w:bookmarkStart w:id="124" w:name="_Toc10736010"/>
      <w:r w:rsidRPr="00826796">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826796">
        <w:rPr>
          <w:rFonts w:ascii="Palatino Linotype" w:eastAsia="Calibri" w:hAnsi="Palatino Linotype" w:cstheme="majorBidi"/>
          <w:b/>
          <w:sz w:val="24"/>
          <w:szCs w:val="24"/>
          <w:lang w:val="es-ES" w:eastAsia="es-ES"/>
        </w:rPr>
        <w:t xml:space="preserve"> </w:t>
      </w:r>
    </w:p>
    <w:p w:rsidR="000F5E0E" w:rsidRPr="00826796" w:rsidRDefault="000F5E0E" w:rsidP="00826796">
      <w:pPr>
        <w:spacing w:after="0" w:line="360" w:lineRule="auto"/>
        <w:ind w:right="-142"/>
        <w:rPr>
          <w:rFonts w:ascii="Palatino Linotype" w:eastAsiaTheme="minorEastAsia" w:hAnsi="Palatino Linotype"/>
          <w:sz w:val="24"/>
          <w:szCs w:val="24"/>
          <w:lang w:val="es-ES" w:eastAsia="es-ES"/>
        </w:rPr>
      </w:pPr>
    </w:p>
    <w:p w:rsidR="000F5E0E" w:rsidRPr="00826796" w:rsidRDefault="000F5E0E" w:rsidP="00826796">
      <w:pPr>
        <w:spacing w:before="240" w:after="360" w:line="360" w:lineRule="auto"/>
        <w:ind w:right="-142"/>
        <w:jc w:val="both"/>
        <w:rPr>
          <w:rFonts w:ascii="Palatino Linotype" w:eastAsia="Times New Roman" w:hAnsi="Palatino Linotype" w:cs="Arial"/>
          <w:sz w:val="24"/>
          <w:szCs w:val="24"/>
          <w:lang w:val="es-ES" w:eastAsia="es-ES"/>
        </w:rPr>
      </w:pPr>
      <w:r w:rsidRPr="00826796">
        <w:rPr>
          <w:rFonts w:ascii="Palatino Linotype" w:eastAsia="Times New Roman" w:hAnsi="Palatino Linotype" w:cs="Arial"/>
          <w:b/>
          <w:sz w:val="24"/>
          <w:szCs w:val="24"/>
          <w:lang w:val="es-ES_tradnl" w:eastAsia="es-ES"/>
        </w:rPr>
        <w:t>PRIMERO</w:t>
      </w:r>
      <w:r w:rsidRPr="00826796">
        <w:rPr>
          <w:rFonts w:ascii="Palatino Linotype" w:eastAsia="Times New Roman" w:hAnsi="Palatino Linotype" w:cs="Arial"/>
          <w:sz w:val="24"/>
          <w:szCs w:val="24"/>
          <w:lang w:val="es-ES" w:eastAsia="es-ES"/>
        </w:rPr>
        <w:t xml:space="preserve">. </w:t>
      </w:r>
      <w:r w:rsidRPr="00826796">
        <w:rPr>
          <w:rFonts w:ascii="Palatino Linotype" w:eastAsia="Times New Roman" w:hAnsi="Palatino Linotype" w:cs="Arial"/>
          <w:sz w:val="24"/>
          <w:szCs w:val="24"/>
        </w:rPr>
        <w:t>Resultan fundadas las</w:t>
      </w:r>
      <w:r w:rsidRPr="00826796">
        <w:rPr>
          <w:rFonts w:ascii="Palatino Linotype" w:eastAsia="Times New Roman" w:hAnsi="Palatino Linotype" w:cs="Arial"/>
          <w:b/>
          <w:sz w:val="24"/>
          <w:szCs w:val="24"/>
        </w:rPr>
        <w:t xml:space="preserve"> </w:t>
      </w:r>
      <w:r w:rsidRPr="00826796">
        <w:rPr>
          <w:rFonts w:ascii="Palatino Linotype" w:eastAsia="Times New Roman" w:hAnsi="Palatino Linotype" w:cs="Arial"/>
          <w:sz w:val="24"/>
          <w:szCs w:val="24"/>
          <w:lang w:val="es-ES"/>
        </w:rPr>
        <w:t xml:space="preserve">razones o motivos de inconformidad hechos valer </w:t>
      </w:r>
      <w:r w:rsidRPr="00826796">
        <w:rPr>
          <w:rFonts w:ascii="Palatino Linotype" w:eastAsia="Calibri" w:hAnsi="Palatino Linotype" w:cs="Arial"/>
          <w:sz w:val="24"/>
          <w:szCs w:val="24"/>
          <w:lang w:val="es-ES"/>
        </w:rPr>
        <w:t xml:space="preserve">en el recurso de revisión </w:t>
      </w:r>
      <w:r w:rsidR="00866A72" w:rsidRPr="00826796">
        <w:rPr>
          <w:rFonts w:ascii="Palatino Linotype" w:eastAsia="Calibri" w:hAnsi="Palatino Linotype" w:cs="Arial"/>
          <w:b/>
          <w:sz w:val="24"/>
          <w:szCs w:val="24"/>
          <w:lang w:val="es-ES"/>
        </w:rPr>
        <w:t>02293</w:t>
      </w:r>
      <w:r w:rsidRPr="00826796">
        <w:rPr>
          <w:rFonts w:ascii="Palatino Linotype" w:eastAsia="Calibri" w:hAnsi="Palatino Linotype" w:cs="Arial"/>
          <w:b/>
          <w:sz w:val="24"/>
          <w:szCs w:val="24"/>
          <w:lang w:val="es-ES"/>
        </w:rPr>
        <w:t xml:space="preserve">/INFOEM/IP/RR/2019 </w:t>
      </w:r>
      <w:r w:rsidRPr="00826796">
        <w:rPr>
          <w:rFonts w:ascii="Palatino Linotype" w:hAnsi="Palatino Linotype" w:cs="Arial"/>
          <w:bCs/>
          <w:sz w:val="24"/>
          <w:szCs w:val="24"/>
          <w:lang w:eastAsia="es-MX"/>
        </w:rPr>
        <w:t xml:space="preserve">en términos de los </w:t>
      </w:r>
      <w:r w:rsidRPr="00826796">
        <w:rPr>
          <w:rFonts w:ascii="Palatino Linotype" w:hAnsi="Palatino Linotype" w:cs="Arial"/>
          <w:b/>
          <w:bCs/>
          <w:sz w:val="24"/>
          <w:szCs w:val="24"/>
          <w:lang w:eastAsia="es-MX"/>
        </w:rPr>
        <w:t xml:space="preserve">Considerandos CUARTO y QUINTO </w:t>
      </w:r>
      <w:r w:rsidRPr="00826796">
        <w:rPr>
          <w:rFonts w:ascii="Palatino Linotype" w:hAnsi="Palatino Linotype" w:cs="Arial"/>
          <w:bCs/>
          <w:sz w:val="24"/>
          <w:szCs w:val="24"/>
          <w:lang w:eastAsia="es-MX"/>
        </w:rPr>
        <w:t>de la presente resolución.</w:t>
      </w:r>
    </w:p>
    <w:p w:rsidR="000F5E0E" w:rsidRPr="00826796" w:rsidRDefault="000F5E0E" w:rsidP="00826796">
      <w:pPr>
        <w:spacing w:before="240" w:after="360" w:line="360" w:lineRule="auto"/>
        <w:ind w:right="-142"/>
        <w:jc w:val="both"/>
        <w:rPr>
          <w:rFonts w:ascii="Palatino Linotype" w:eastAsia="Calibri" w:hAnsi="Palatino Linotype" w:cs="Arial"/>
          <w:sz w:val="24"/>
          <w:szCs w:val="24"/>
          <w:lang w:val="es-ES" w:eastAsia="es-ES"/>
        </w:rPr>
      </w:pPr>
      <w:r w:rsidRPr="00826796">
        <w:rPr>
          <w:rFonts w:ascii="Palatino Linotype" w:eastAsiaTheme="minorEastAsia" w:hAnsi="Palatino Linotype"/>
          <w:b/>
          <w:sz w:val="24"/>
          <w:szCs w:val="24"/>
          <w:lang w:val="es-ES_tradnl" w:eastAsia="es-ES"/>
        </w:rPr>
        <w:t>SEGUNDO.</w:t>
      </w:r>
      <w:r w:rsidRPr="00826796">
        <w:rPr>
          <w:rFonts w:ascii="Palatino Linotype" w:eastAsiaTheme="majorEastAsia" w:hAnsi="Palatino Linotype" w:cstheme="majorBidi"/>
          <w:b/>
          <w:color w:val="2E74B5" w:themeColor="accent1" w:themeShade="BF"/>
          <w:sz w:val="24"/>
          <w:szCs w:val="24"/>
          <w:lang w:val="es-ES_tradnl" w:eastAsia="es-ES"/>
        </w:rPr>
        <w:t xml:space="preserve"> </w:t>
      </w:r>
      <w:r w:rsidRPr="00826796">
        <w:rPr>
          <w:rFonts w:ascii="Palatino Linotype" w:eastAsia="Calibri" w:hAnsi="Palatino Linotype" w:cs="Arial"/>
          <w:sz w:val="24"/>
          <w:szCs w:val="24"/>
          <w:lang w:val="es-ES" w:eastAsia="es-ES"/>
        </w:rPr>
        <w:t>Se</w:t>
      </w:r>
      <w:r w:rsidRPr="00826796">
        <w:rPr>
          <w:rFonts w:ascii="Palatino Linotype" w:eastAsia="Calibri" w:hAnsi="Palatino Linotype" w:cs="Arial"/>
          <w:b/>
          <w:sz w:val="24"/>
          <w:szCs w:val="24"/>
          <w:lang w:val="es-ES" w:eastAsia="es-ES"/>
        </w:rPr>
        <w:t xml:space="preserve"> </w:t>
      </w:r>
      <w:r w:rsidR="00866A72" w:rsidRPr="00826796">
        <w:rPr>
          <w:rFonts w:ascii="Palatino Linotype" w:eastAsia="Calibri" w:hAnsi="Palatino Linotype" w:cs="Arial"/>
          <w:b/>
          <w:sz w:val="24"/>
          <w:szCs w:val="24"/>
          <w:lang w:val="es-ES" w:eastAsia="es-ES"/>
        </w:rPr>
        <w:t>ORDENA</w:t>
      </w:r>
      <w:r w:rsidRPr="00826796">
        <w:rPr>
          <w:rFonts w:ascii="Palatino Linotype" w:eastAsia="Calibri" w:hAnsi="Palatino Linotype" w:cs="Arial"/>
          <w:b/>
          <w:sz w:val="24"/>
          <w:szCs w:val="24"/>
          <w:lang w:val="es-ES" w:eastAsia="es-ES"/>
        </w:rPr>
        <w:t xml:space="preserve"> </w:t>
      </w:r>
      <w:r w:rsidRPr="00826796">
        <w:rPr>
          <w:rFonts w:ascii="Palatino Linotype" w:eastAsia="Calibri" w:hAnsi="Palatino Linotype" w:cs="Arial"/>
          <w:sz w:val="24"/>
          <w:szCs w:val="24"/>
          <w:lang w:val="es-ES" w:eastAsia="es-ES"/>
        </w:rPr>
        <w:t xml:space="preserve">al </w:t>
      </w:r>
      <w:r w:rsidRPr="00826796">
        <w:rPr>
          <w:rFonts w:ascii="Palatino Linotype" w:hAnsi="Palatino Linotype"/>
          <w:b/>
          <w:sz w:val="24"/>
          <w:szCs w:val="24"/>
        </w:rPr>
        <w:t xml:space="preserve">Ayuntamiento de </w:t>
      </w:r>
      <w:r w:rsidR="00866A72" w:rsidRPr="00826796">
        <w:rPr>
          <w:rFonts w:ascii="Palatino Linotype" w:hAnsi="Palatino Linotype"/>
          <w:b/>
          <w:sz w:val="24"/>
          <w:szCs w:val="24"/>
        </w:rPr>
        <w:t xml:space="preserve">Tecámac, </w:t>
      </w:r>
      <w:r w:rsidRPr="00826796">
        <w:rPr>
          <w:rFonts w:ascii="Palatino Linotype" w:eastAsia="Calibri" w:hAnsi="Palatino Linotype" w:cs="Arial"/>
          <w:sz w:val="24"/>
          <w:szCs w:val="24"/>
          <w:lang w:val="es-ES" w:eastAsia="es-ES"/>
        </w:rPr>
        <w:t xml:space="preserve">entregar vía Sistema de Acceso a la Información Mexiquense </w:t>
      </w:r>
      <w:r w:rsidRPr="00826796">
        <w:rPr>
          <w:rFonts w:ascii="Palatino Linotype" w:eastAsia="Calibri" w:hAnsi="Palatino Linotype" w:cs="Arial"/>
          <w:b/>
          <w:sz w:val="24"/>
          <w:szCs w:val="24"/>
          <w:lang w:val="es-ES" w:eastAsia="es-ES"/>
        </w:rPr>
        <w:t xml:space="preserve">(SAIMEX) </w:t>
      </w:r>
      <w:r w:rsidRPr="00826796">
        <w:rPr>
          <w:rFonts w:ascii="Palatino Linotype" w:eastAsia="Calibri" w:hAnsi="Palatino Linotype" w:cs="Arial"/>
          <w:sz w:val="24"/>
          <w:szCs w:val="24"/>
          <w:lang w:val="es-ES" w:eastAsia="es-ES"/>
        </w:rPr>
        <w:t xml:space="preserve">en versión pública, en formato Excel, la siguiente información: </w:t>
      </w:r>
    </w:p>
    <w:p w:rsidR="00F62729" w:rsidRPr="00826796" w:rsidRDefault="00866A72" w:rsidP="00826796">
      <w:pPr>
        <w:numPr>
          <w:ilvl w:val="0"/>
          <w:numId w:val="4"/>
        </w:numPr>
        <w:spacing w:before="240" w:after="360" w:line="360" w:lineRule="auto"/>
        <w:ind w:left="567" w:right="-142" w:firstLine="0"/>
        <w:contextualSpacing/>
        <w:jc w:val="both"/>
        <w:rPr>
          <w:rFonts w:ascii="Palatino Linotype" w:eastAsia="Calibri" w:hAnsi="Palatino Linotype" w:cs="Arial"/>
          <w:b/>
          <w:sz w:val="24"/>
          <w:szCs w:val="24"/>
          <w:lang w:val="es-ES" w:eastAsia="es-ES"/>
        </w:rPr>
      </w:pPr>
      <w:r w:rsidRPr="00826796">
        <w:rPr>
          <w:rFonts w:ascii="Palatino Linotype" w:eastAsia="Calibri" w:hAnsi="Palatino Linotype" w:cs="Arial"/>
          <w:b/>
          <w:sz w:val="24"/>
          <w:szCs w:val="24"/>
          <w:lang w:val="es-ES_tradnl" w:eastAsia="es-ES"/>
        </w:rPr>
        <w:t xml:space="preserve">Nomina General </w:t>
      </w:r>
      <w:r w:rsidR="007F681A" w:rsidRPr="00826796">
        <w:rPr>
          <w:rFonts w:ascii="Palatino Linotype" w:eastAsia="Times New Roman" w:hAnsi="Palatino Linotype"/>
          <w:b/>
          <w:sz w:val="24"/>
          <w:szCs w:val="24"/>
          <w:lang w:val="es-ES_tradnl" w:eastAsia="es-ES"/>
        </w:rPr>
        <w:t>de la segunda quincena del mes de febrero de la presente anualidad</w:t>
      </w:r>
      <w:r w:rsidR="00F62729" w:rsidRPr="00826796">
        <w:rPr>
          <w:rFonts w:ascii="Palatino Linotype" w:eastAsia="Calibri" w:hAnsi="Palatino Linotype" w:cs="Arial"/>
          <w:b/>
          <w:sz w:val="24"/>
          <w:szCs w:val="24"/>
          <w:lang w:val="es-ES_tradnl" w:eastAsia="es-ES"/>
        </w:rPr>
        <w:t xml:space="preserve">, del </w:t>
      </w:r>
      <w:r w:rsidR="007F681A" w:rsidRPr="00826796">
        <w:rPr>
          <w:rFonts w:ascii="Palatino Linotype" w:eastAsia="Calibri" w:hAnsi="Palatino Linotype" w:cs="Arial"/>
          <w:b/>
          <w:sz w:val="24"/>
          <w:szCs w:val="24"/>
          <w:lang w:val="es-ES_tradnl" w:eastAsia="es-ES"/>
        </w:rPr>
        <w:t xml:space="preserve">personal </w:t>
      </w:r>
      <w:r w:rsidR="00F62729" w:rsidRPr="00826796">
        <w:rPr>
          <w:rFonts w:ascii="Palatino Linotype" w:eastAsia="Calibri" w:hAnsi="Palatino Linotype" w:cs="Arial"/>
          <w:b/>
          <w:sz w:val="24"/>
          <w:szCs w:val="24"/>
          <w:lang w:val="es-ES_tradnl" w:eastAsia="es-ES"/>
        </w:rPr>
        <w:t>adscrito al área de la Presidencia Municipal.</w:t>
      </w:r>
    </w:p>
    <w:p w:rsidR="000F5E0E" w:rsidRPr="00826796" w:rsidRDefault="000F5E0E" w:rsidP="00826796">
      <w:pPr>
        <w:spacing w:before="240" w:after="360" w:line="360" w:lineRule="auto"/>
        <w:ind w:right="-142"/>
        <w:contextualSpacing/>
        <w:jc w:val="both"/>
        <w:rPr>
          <w:rFonts w:ascii="Palatino Linotype" w:eastAsia="Calibri" w:hAnsi="Palatino Linotype" w:cs="Arial"/>
          <w:b/>
          <w:sz w:val="24"/>
          <w:szCs w:val="24"/>
          <w:lang w:val="es-ES" w:eastAsia="es-ES"/>
        </w:rPr>
      </w:pPr>
    </w:p>
    <w:p w:rsidR="000F5E0E" w:rsidRPr="00826796" w:rsidRDefault="000F5E0E" w:rsidP="00826796">
      <w:pPr>
        <w:spacing w:before="240" w:after="360" w:line="360" w:lineRule="auto"/>
        <w:ind w:right="-142"/>
        <w:jc w:val="both"/>
        <w:rPr>
          <w:rFonts w:ascii="Palatino Linotype" w:eastAsia="Calibri" w:hAnsi="Palatino Linotype" w:cs="Arial"/>
          <w:sz w:val="24"/>
          <w:szCs w:val="24"/>
        </w:rPr>
      </w:pPr>
      <w:r w:rsidRPr="00826796">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w:t>
      </w:r>
      <w:r w:rsidR="000C4BC8" w:rsidRPr="00826796">
        <w:rPr>
          <w:rFonts w:ascii="Palatino Linotype" w:eastAsia="Calibri" w:hAnsi="Palatino Linotype" w:cs="Arial"/>
          <w:sz w:val="24"/>
          <w:szCs w:val="24"/>
        </w:rPr>
        <w:t xml:space="preserve"> del </w:t>
      </w:r>
      <w:r w:rsidR="000C4BC8" w:rsidRPr="00826796">
        <w:rPr>
          <w:rFonts w:ascii="Palatino Linotype" w:eastAsia="Calibri" w:hAnsi="Palatino Linotype" w:cs="Arial"/>
          <w:b/>
          <w:sz w:val="24"/>
          <w:szCs w:val="24"/>
        </w:rPr>
        <w:t>RECURRENTE.</w:t>
      </w:r>
    </w:p>
    <w:p w:rsidR="000F5E0E" w:rsidRPr="00826796" w:rsidRDefault="000F5E0E" w:rsidP="0082679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826796">
        <w:rPr>
          <w:rFonts w:ascii="Palatino Linotype" w:eastAsia="Palatino Linotype" w:hAnsi="Palatino Linotype" w:cs="Palatino Linotype"/>
          <w:b/>
          <w:sz w:val="24"/>
          <w:szCs w:val="24"/>
          <w:lang w:val="es-ES_tradnl" w:eastAsia="es-ES"/>
        </w:rPr>
        <w:t xml:space="preserve">TERCERO. Notifíquese </w:t>
      </w:r>
      <w:r w:rsidRPr="00826796">
        <w:rPr>
          <w:rFonts w:ascii="Palatino Linotype" w:eastAsia="Palatino Linotype" w:hAnsi="Palatino Linotype" w:cs="Palatino Linotype"/>
          <w:sz w:val="24"/>
          <w:szCs w:val="24"/>
          <w:lang w:val="es-ES_tradnl" w:eastAsia="es-ES"/>
        </w:rPr>
        <w:t xml:space="preserve">al Titular de la Unidad de Transparencia del </w:t>
      </w:r>
      <w:r w:rsidRPr="00826796">
        <w:rPr>
          <w:rFonts w:ascii="Palatino Linotype" w:eastAsia="Palatino Linotype" w:hAnsi="Palatino Linotype" w:cs="Palatino Linotype"/>
          <w:b/>
          <w:sz w:val="24"/>
          <w:szCs w:val="24"/>
          <w:lang w:val="es-ES_tradnl" w:eastAsia="es-ES"/>
        </w:rPr>
        <w:t>SUJETO OBLIGADO</w:t>
      </w:r>
      <w:r w:rsidRPr="0082679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2679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F5E0E" w:rsidRPr="00826796" w:rsidRDefault="000F5E0E" w:rsidP="00826796">
      <w:pPr>
        <w:spacing w:after="0" w:line="360" w:lineRule="auto"/>
        <w:jc w:val="both"/>
        <w:rPr>
          <w:rFonts w:ascii="Palatino Linotype" w:eastAsia="Times New Roman" w:hAnsi="Palatino Linotype" w:cs="Arial"/>
          <w:b/>
          <w:sz w:val="24"/>
          <w:szCs w:val="24"/>
          <w:lang w:val="es-ES_tradnl" w:eastAsia="es-ES"/>
        </w:rPr>
      </w:pPr>
    </w:p>
    <w:p w:rsidR="000F5E0E" w:rsidRPr="00826796" w:rsidRDefault="000F5E0E" w:rsidP="00826796">
      <w:pPr>
        <w:spacing w:after="0" w:line="360" w:lineRule="auto"/>
        <w:jc w:val="both"/>
        <w:rPr>
          <w:rFonts w:ascii="Palatino Linotype" w:eastAsiaTheme="minorEastAsia" w:hAnsi="Palatino Linotype"/>
          <w:sz w:val="24"/>
          <w:szCs w:val="24"/>
          <w:lang w:val="es-ES_tradnl" w:eastAsia="es-ES"/>
        </w:rPr>
      </w:pPr>
      <w:r w:rsidRPr="00826796">
        <w:rPr>
          <w:rFonts w:ascii="Palatino Linotype" w:eastAsia="Times New Roman" w:hAnsi="Palatino Linotype" w:cs="Arial"/>
          <w:b/>
          <w:sz w:val="24"/>
          <w:szCs w:val="24"/>
          <w:lang w:val="es-ES_tradnl" w:eastAsia="es-ES"/>
        </w:rPr>
        <w:t xml:space="preserve">CUARTO. </w:t>
      </w:r>
      <w:r w:rsidRPr="00826796">
        <w:rPr>
          <w:rFonts w:ascii="Palatino Linotype" w:eastAsia="Times New Roman" w:hAnsi="Palatino Linotype" w:cs="Times New Roman"/>
          <w:b/>
          <w:bCs/>
          <w:color w:val="222222"/>
          <w:sz w:val="24"/>
          <w:szCs w:val="24"/>
          <w:lang w:val="es-ES" w:eastAsia="es-ES"/>
        </w:rPr>
        <w:t>Notifíquese a</w:t>
      </w:r>
      <w:r w:rsidR="007F681A" w:rsidRPr="00826796">
        <w:rPr>
          <w:rFonts w:ascii="Palatino Linotype" w:eastAsiaTheme="minorEastAsia" w:hAnsi="Palatino Linotype"/>
          <w:b/>
          <w:sz w:val="24"/>
          <w:szCs w:val="24"/>
          <w:lang w:val="es-ES_tradnl" w:eastAsia="es-ES"/>
        </w:rPr>
        <w:t xml:space="preserve"> </w:t>
      </w:r>
      <w:r w:rsidR="00BF277F" w:rsidRPr="00BF277F">
        <w:rPr>
          <w:rFonts w:ascii="Palatino Linotype" w:eastAsia="Times New Roman" w:hAnsi="Palatino Linotype" w:cs="Times New Roman"/>
          <w:b/>
          <w:bCs/>
          <w:color w:val="222222"/>
          <w:sz w:val="24"/>
          <w:szCs w:val="24"/>
          <w:highlight w:val="black"/>
          <w:lang w:val="es-ES_tradnl" w:eastAsia="es-ES"/>
        </w:rPr>
        <w:t>---------------------------------------</w:t>
      </w:r>
      <w:r w:rsidRPr="00826796">
        <w:rPr>
          <w:rFonts w:ascii="Palatino Linotype" w:eastAsiaTheme="minorEastAsia" w:hAnsi="Palatino Linotype"/>
          <w:b/>
          <w:sz w:val="24"/>
          <w:szCs w:val="24"/>
          <w:lang w:val="es-ES_tradnl" w:eastAsia="es-ES"/>
        </w:rPr>
        <w:t xml:space="preserve">, </w:t>
      </w:r>
      <w:r w:rsidRPr="00826796">
        <w:rPr>
          <w:rFonts w:ascii="Palatino Linotype" w:eastAsiaTheme="minorEastAsia" w:hAnsi="Palatino Linotype"/>
          <w:sz w:val="24"/>
          <w:szCs w:val="24"/>
          <w:lang w:val="es-ES_tradnl" w:eastAsia="es-ES"/>
        </w:rPr>
        <w:t xml:space="preserve">la presente resolución. </w:t>
      </w:r>
    </w:p>
    <w:p w:rsidR="000F5E0E" w:rsidRPr="00826796" w:rsidRDefault="000F5E0E" w:rsidP="00826796">
      <w:pPr>
        <w:spacing w:after="0" w:line="360" w:lineRule="auto"/>
        <w:jc w:val="both"/>
        <w:rPr>
          <w:rFonts w:ascii="Palatino Linotype" w:eastAsiaTheme="minorEastAsia" w:hAnsi="Palatino Linotype"/>
          <w:sz w:val="24"/>
          <w:szCs w:val="24"/>
          <w:lang w:val="es-ES_tradnl" w:eastAsia="es-ES"/>
        </w:rPr>
      </w:pPr>
    </w:p>
    <w:p w:rsidR="000F5E0E" w:rsidRPr="00826796" w:rsidRDefault="000F5E0E" w:rsidP="00826796">
      <w:pPr>
        <w:spacing w:after="0" w:line="360" w:lineRule="auto"/>
        <w:jc w:val="both"/>
        <w:rPr>
          <w:rFonts w:ascii="Palatino Linotype" w:eastAsia="MS Mincho" w:hAnsi="Palatino Linotype" w:cs="Times New Roman"/>
          <w:sz w:val="24"/>
          <w:szCs w:val="24"/>
          <w:lang w:val="es-ES" w:eastAsia="es-ES"/>
        </w:rPr>
      </w:pPr>
      <w:r w:rsidRPr="00826796">
        <w:rPr>
          <w:rFonts w:ascii="Palatino Linotype" w:eastAsia="MS Mincho" w:hAnsi="Palatino Linotype" w:cs="Times New Roman"/>
          <w:b/>
          <w:sz w:val="24"/>
          <w:szCs w:val="24"/>
          <w:lang w:eastAsia="es-ES"/>
        </w:rPr>
        <w:t>QUINTO.</w:t>
      </w:r>
      <w:r w:rsidRPr="00826796">
        <w:rPr>
          <w:rFonts w:ascii="Palatino Linotype" w:eastAsia="MS Mincho" w:hAnsi="Palatino Linotype" w:cs="Times New Roman"/>
          <w:sz w:val="24"/>
          <w:szCs w:val="24"/>
          <w:lang w:eastAsia="es-ES"/>
        </w:rPr>
        <w:t xml:space="preserve"> </w:t>
      </w:r>
      <w:r w:rsidRPr="00826796">
        <w:rPr>
          <w:rFonts w:ascii="Palatino Linotype" w:eastAsia="MS Mincho" w:hAnsi="Palatino Linotype" w:cs="Times New Roman"/>
          <w:sz w:val="24"/>
          <w:szCs w:val="24"/>
          <w:lang w:val="es-ES" w:eastAsia="es-ES"/>
        </w:rPr>
        <w:t xml:space="preserve">Se hace del conocimiento de </w:t>
      </w:r>
      <w:r w:rsidR="00BF277F" w:rsidRPr="00BF277F">
        <w:rPr>
          <w:rFonts w:ascii="Palatino Linotype" w:eastAsiaTheme="minorEastAsia" w:hAnsi="Palatino Linotype"/>
          <w:b/>
          <w:sz w:val="24"/>
          <w:szCs w:val="24"/>
          <w:highlight w:val="black"/>
          <w:lang w:val="es-ES_tradnl" w:eastAsia="es-ES"/>
        </w:rPr>
        <w:t>------------------------------------</w:t>
      </w:r>
      <w:r w:rsidR="007F681A" w:rsidRPr="00826796">
        <w:rPr>
          <w:rFonts w:ascii="Palatino Linotype" w:eastAsia="MS Mincho" w:hAnsi="Palatino Linotype" w:cs="Times New Roman"/>
          <w:sz w:val="24"/>
          <w:szCs w:val="24"/>
          <w:lang w:val="es-ES" w:eastAsia="es-ES"/>
        </w:rPr>
        <w:t xml:space="preserve"> </w:t>
      </w:r>
      <w:r w:rsidRPr="0082679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26796">
        <w:rPr>
          <w:rFonts w:ascii="Palatino Linotype" w:eastAsia="MS Mincho" w:hAnsi="Palatino Linotype" w:cs="Times New Roman"/>
          <w:bCs/>
          <w:sz w:val="24"/>
          <w:szCs w:val="24"/>
          <w:lang w:val="es-ES" w:eastAsia="es-ES"/>
        </w:rPr>
        <w:t>vía juicio de amparo</w:t>
      </w:r>
      <w:r w:rsidRPr="00826796">
        <w:rPr>
          <w:rFonts w:ascii="Palatino Linotype" w:eastAsia="MS Mincho" w:hAnsi="Palatino Linotype" w:cs="Times New Roman"/>
          <w:sz w:val="24"/>
          <w:szCs w:val="24"/>
          <w:lang w:val="es-ES" w:eastAsia="es-ES"/>
        </w:rPr>
        <w:t> en los términos de las leyes aplicables.</w:t>
      </w:r>
    </w:p>
    <w:p w:rsidR="007F681A" w:rsidRPr="00826796" w:rsidRDefault="007F681A" w:rsidP="00826796">
      <w:pPr>
        <w:spacing w:after="0" w:line="360" w:lineRule="auto"/>
        <w:jc w:val="both"/>
        <w:rPr>
          <w:rFonts w:ascii="Palatino Linotype" w:eastAsia="MS Mincho" w:hAnsi="Palatino Linotype" w:cs="Times New Roman"/>
          <w:b/>
          <w:sz w:val="24"/>
          <w:szCs w:val="24"/>
          <w:lang w:val="es-ES_tradnl" w:eastAsia="es-ES"/>
        </w:rPr>
      </w:pPr>
    </w:p>
    <w:p w:rsidR="007F681A" w:rsidRPr="00826796" w:rsidRDefault="007F681A" w:rsidP="00826796">
      <w:pPr>
        <w:spacing w:after="0" w:line="360" w:lineRule="auto"/>
        <w:jc w:val="both"/>
        <w:rPr>
          <w:rFonts w:ascii="Palatino Linotype" w:eastAsia="MS Mincho" w:hAnsi="Palatino Linotype" w:cs="Times New Roman"/>
          <w:sz w:val="24"/>
          <w:szCs w:val="24"/>
          <w:lang w:val="es-ES_tradnl" w:eastAsia="es-ES"/>
        </w:rPr>
      </w:pPr>
      <w:r w:rsidRPr="00826796">
        <w:rPr>
          <w:rFonts w:ascii="Palatino Linotype" w:eastAsia="MS Mincho" w:hAnsi="Palatino Linotype" w:cs="Times New Roman"/>
          <w:b/>
          <w:sz w:val="24"/>
          <w:szCs w:val="24"/>
          <w:lang w:val="es-ES_tradnl" w:eastAsia="es-ES"/>
        </w:rPr>
        <w:t xml:space="preserve">SEXTO. </w:t>
      </w:r>
      <w:r w:rsidRPr="0082679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826796">
        <w:rPr>
          <w:rFonts w:ascii="Palatino Linotype" w:eastAsia="MS Mincho" w:hAnsi="Palatino Linotype" w:cs="Times New Roman"/>
          <w:b/>
          <w:sz w:val="24"/>
          <w:szCs w:val="24"/>
          <w:lang w:val="es-ES_tradnl" w:eastAsia="es-ES"/>
        </w:rPr>
        <w:t>SEXTO.</w:t>
      </w:r>
    </w:p>
    <w:p w:rsidR="007F681A" w:rsidRDefault="007F681A" w:rsidP="00826796">
      <w:pPr>
        <w:spacing w:after="0" w:line="360" w:lineRule="auto"/>
        <w:jc w:val="both"/>
        <w:rPr>
          <w:rFonts w:ascii="Palatino Linotype" w:eastAsia="MS Mincho" w:hAnsi="Palatino Linotype" w:cs="Times New Roman"/>
          <w:sz w:val="24"/>
          <w:szCs w:val="24"/>
          <w:lang w:val="es-ES" w:eastAsia="es-ES"/>
        </w:rPr>
      </w:pPr>
    </w:p>
    <w:p w:rsidR="00826796" w:rsidRPr="00826796" w:rsidRDefault="00826796" w:rsidP="00826796">
      <w:pPr>
        <w:spacing w:after="0" w:line="360" w:lineRule="auto"/>
        <w:jc w:val="both"/>
        <w:rPr>
          <w:rFonts w:ascii="Palatino Linotype" w:eastAsia="MS Mincho" w:hAnsi="Palatino Linotype" w:cs="Times New Roman"/>
          <w:sz w:val="24"/>
          <w:szCs w:val="24"/>
          <w:lang w:val="es-ES" w:eastAsia="es-ES"/>
        </w:rPr>
      </w:pPr>
    </w:p>
    <w:bookmarkEnd w:id="125"/>
    <w:bookmarkEnd w:id="126"/>
    <w:bookmarkEnd w:id="127"/>
    <w:bookmarkEnd w:id="128"/>
    <w:bookmarkEnd w:id="129"/>
    <w:bookmarkEnd w:id="130"/>
    <w:bookmarkEnd w:id="131"/>
    <w:bookmarkEnd w:id="132"/>
    <w:p w:rsidR="000F5E0E" w:rsidRDefault="000F5E0E" w:rsidP="00826796">
      <w:pPr>
        <w:spacing w:before="240" w:after="360" w:line="360" w:lineRule="auto"/>
        <w:ind w:right="-142"/>
        <w:jc w:val="both"/>
        <w:rPr>
          <w:rFonts w:ascii="Palatino Linotype" w:eastAsiaTheme="minorEastAsia" w:hAnsi="Palatino Linotype" w:cs="Arial"/>
          <w:sz w:val="24"/>
          <w:szCs w:val="24"/>
          <w:lang w:val="es-ES_tradnl" w:eastAsia="es-ES"/>
        </w:rPr>
      </w:pPr>
      <w:r w:rsidRPr="0082679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826796" w:rsidRPr="00826796">
        <w:rPr>
          <w:rFonts w:ascii="Palatino Linotype" w:eastAsiaTheme="minorEastAsia" w:hAnsi="Palatino Linotype"/>
          <w:sz w:val="24"/>
          <w:szCs w:val="24"/>
          <w:lang w:val="es-ES_tradnl" w:eastAsia="es-ES"/>
        </w:rPr>
        <w:t>MARTÍNEZ</w:t>
      </w:r>
      <w:r w:rsidRPr="00826796">
        <w:rPr>
          <w:rFonts w:ascii="Palatino Linotype" w:eastAsiaTheme="minorEastAsia" w:hAnsi="Palatino Linotype"/>
          <w:sz w:val="24"/>
          <w:szCs w:val="24"/>
          <w:lang w:val="es-ES_tradnl" w:eastAsia="es-ES"/>
        </w:rPr>
        <w:t xml:space="preserve"> </w:t>
      </w:r>
      <w:r w:rsidR="00826796" w:rsidRPr="00826796">
        <w:rPr>
          <w:rFonts w:ascii="Palatino Linotype" w:eastAsiaTheme="minorEastAsia" w:hAnsi="Palatino Linotype"/>
          <w:sz w:val="24"/>
          <w:szCs w:val="24"/>
          <w:lang w:val="es-ES_tradnl" w:eastAsia="es-ES"/>
        </w:rPr>
        <w:t>SÁNCHEZ</w:t>
      </w:r>
      <w:r w:rsidRPr="00826796">
        <w:rPr>
          <w:rFonts w:ascii="Palatino Linotype" w:eastAsiaTheme="minorEastAsia" w:hAnsi="Palatino Linotype"/>
          <w:sz w:val="24"/>
          <w:szCs w:val="24"/>
          <w:lang w:val="es-ES_tradnl" w:eastAsia="es-ES"/>
        </w:rPr>
        <w:t>; EVA ABAID YAPUR; JOSÉ GUADALUPE LUNA HERNÁNDEZ; JAVIER MARTÍNEZ CRUZ Y LUIS GUSTA</w:t>
      </w:r>
      <w:r w:rsidR="00826796">
        <w:rPr>
          <w:rFonts w:ascii="Palatino Linotype" w:eastAsiaTheme="minorEastAsia" w:hAnsi="Palatino Linotype"/>
          <w:sz w:val="24"/>
          <w:szCs w:val="24"/>
          <w:lang w:val="es-ES_tradnl" w:eastAsia="es-ES"/>
        </w:rPr>
        <w:t xml:space="preserve">VO PARRA NORIEGA; EN LA VIGESIMA SEGUNDA </w:t>
      </w:r>
      <w:r w:rsidRPr="00826796">
        <w:rPr>
          <w:rFonts w:ascii="Palatino Linotype" w:eastAsiaTheme="minorEastAsia" w:hAnsi="Palatino Linotype"/>
          <w:sz w:val="24"/>
          <w:szCs w:val="24"/>
          <w:lang w:val="es-ES_tradnl" w:eastAsia="es-ES"/>
        </w:rPr>
        <w:t>SESI</w:t>
      </w:r>
      <w:r w:rsidR="00826796">
        <w:rPr>
          <w:rFonts w:ascii="Palatino Linotype" w:eastAsiaTheme="minorEastAsia" w:hAnsi="Palatino Linotype"/>
          <w:sz w:val="24"/>
          <w:szCs w:val="24"/>
          <w:lang w:val="es-ES_tradnl" w:eastAsia="es-ES"/>
        </w:rPr>
        <w:t>ÓN ORDINARIA CELEBRADA EL DOCE (12) DE JUNIO</w:t>
      </w:r>
      <w:r w:rsidRPr="00826796">
        <w:rPr>
          <w:rFonts w:ascii="Palatino Linotype" w:eastAsiaTheme="minorEastAsia" w:hAnsi="Palatino Linotype"/>
          <w:sz w:val="24"/>
          <w:szCs w:val="24"/>
          <w:lang w:val="es-ES_tradnl" w:eastAsia="es-ES"/>
        </w:rPr>
        <w:t xml:space="preserve"> DE DOS MIL DIECINUEVE, ANTE EL SECRETARIO TÉCNICO DEL PLENO</w:t>
      </w:r>
      <w:r w:rsidR="00826796">
        <w:rPr>
          <w:rFonts w:ascii="Palatino Linotype" w:eastAsiaTheme="minorEastAsia" w:hAnsi="Palatino Linotype"/>
          <w:sz w:val="24"/>
          <w:szCs w:val="24"/>
          <w:lang w:val="es-ES_tradnl" w:eastAsia="es-ES"/>
        </w:rPr>
        <w:t>,</w:t>
      </w:r>
      <w:r w:rsidRPr="00826796">
        <w:rPr>
          <w:rFonts w:ascii="Palatino Linotype" w:eastAsiaTheme="minorEastAsia" w:hAnsi="Palatino Linotype"/>
          <w:sz w:val="24"/>
          <w:szCs w:val="24"/>
          <w:lang w:val="es-ES_tradnl" w:eastAsia="es-ES"/>
        </w:rPr>
        <w:t xml:space="preserve"> ALEXIS TAPIA RAMÍREZ.</w:t>
      </w:r>
      <w:r w:rsidRPr="00826796">
        <w:rPr>
          <w:rFonts w:ascii="Palatino Linotype" w:eastAsiaTheme="minorEastAsia" w:hAnsi="Palatino Linotype" w:cs="Arial"/>
          <w:sz w:val="24"/>
          <w:szCs w:val="24"/>
          <w:lang w:val="es-ES_tradnl" w:eastAsia="es-ES"/>
        </w:rPr>
        <w:t xml:space="preserve">  </w:t>
      </w:r>
    </w:p>
    <w:p w:rsidR="00826796" w:rsidRPr="00826796" w:rsidRDefault="00826796" w:rsidP="00826796">
      <w:pPr>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0F5E0E" w:rsidRPr="00826796" w:rsidTr="003A1D3B">
        <w:trPr>
          <w:trHeight w:val="1168"/>
        </w:trPr>
        <w:tc>
          <w:tcPr>
            <w:tcW w:w="8697" w:type="dxa"/>
            <w:gridSpan w:val="2"/>
            <w:vAlign w:val="center"/>
          </w:tcPr>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Zulema Martínez Sánchez</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Comisionada Presidenta</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tc>
      </w:tr>
      <w:tr w:rsidR="000F5E0E" w:rsidRPr="00826796" w:rsidTr="003A1D3B">
        <w:trPr>
          <w:trHeight w:val="1395"/>
        </w:trPr>
        <w:tc>
          <w:tcPr>
            <w:tcW w:w="4348" w:type="dxa"/>
            <w:vAlign w:val="center"/>
          </w:tcPr>
          <w:p w:rsidR="000F5E0E" w:rsidRDefault="000F5E0E"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826796" w:rsidRPr="00826796" w:rsidRDefault="00826796" w:rsidP="00826796">
            <w:pPr>
              <w:spacing w:line="360" w:lineRule="auto"/>
              <w:ind w:right="-142"/>
              <w:jc w:val="center"/>
              <w:rPr>
                <w:rFonts w:ascii="Palatino Linotype" w:eastAsiaTheme="minorEastAsia" w:hAnsi="Palatino Linotype" w:cs="Times New Roman"/>
                <w:b/>
              </w:rPr>
            </w:pPr>
          </w:p>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 xml:space="preserve">Eva </w:t>
            </w:r>
            <w:proofErr w:type="spellStart"/>
            <w:r w:rsidRPr="00826796">
              <w:rPr>
                <w:rFonts w:ascii="Palatino Linotype" w:eastAsiaTheme="minorEastAsia" w:hAnsi="Palatino Linotype" w:cs="Times New Roman"/>
                <w:b/>
              </w:rPr>
              <w:t>Abaid</w:t>
            </w:r>
            <w:proofErr w:type="spellEnd"/>
            <w:r w:rsidRPr="00826796">
              <w:rPr>
                <w:rFonts w:ascii="Palatino Linotype" w:eastAsiaTheme="minorEastAsia" w:hAnsi="Palatino Linotype" w:cs="Times New Roman"/>
                <w:b/>
              </w:rPr>
              <w:t xml:space="preserve"> </w:t>
            </w:r>
            <w:proofErr w:type="spellStart"/>
            <w:r w:rsidRPr="00826796">
              <w:rPr>
                <w:rFonts w:ascii="Palatino Linotype" w:eastAsiaTheme="minorEastAsia" w:hAnsi="Palatino Linotype" w:cs="Times New Roman"/>
                <w:b/>
              </w:rPr>
              <w:t>Yapur</w:t>
            </w:r>
            <w:proofErr w:type="spellEnd"/>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Comisionada</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tc>
        <w:tc>
          <w:tcPr>
            <w:tcW w:w="4349" w:type="dxa"/>
            <w:vAlign w:val="center"/>
          </w:tcPr>
          <w:p w:rsidR="000F5E0E" w:rsidRDefault="000F5E0E"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826796" w:rsidRPr="00826796" w:rsidRDefault="00826796" w:rsidP="00826796">
            <w:pPr>
              <w:spacing w:line="360" w:lineRule="auto"/>
              <w:ind w:right="-142"/>
              <w:jc w:val="center"/>
              <w:rPr>
                <w:rFonts w:ascii="Palatino Linotype" w:eastAsiaTheme="minorEastAsia" w:hAnsi="Palatino Linotype" w:cs="Times New Roman"/>
                <w:b/>
              </w:rPr>
            </w:pPr>
          </w:p>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José Guadalupe Luna Hernández</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Comisionado</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tc>
      </w:tr>
      <w:tr w:rsidR="000F5E0E" w:rsidRPr="00826796" w:rsidTr="003A1D3B">
        <w:trPr>
          <w:trHeight w:val="1451"/>
        </w:trPr>
        <w:tc>
          <w:tcPr>
            <w:tcW w:w="4348" w:type="dxa"/>
            <w:vAlign w:val="center"/>
          </w:tcPr>
          <w:p w:rsidR="000F5E0E" w:rsidRDefault="000F5E0E"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826796" w:rsidRPr="00826796" w:rsidRDefault="00826796" w:rsidP="00826796">
            <w:pPr>
              <w:spacing w:line="360" w:lineRule="auto"/>
              <w:ind w:right="-142"/>
              <w:jc w:val="center"/>
              <w:rPr>
                <w:rFonts w:ascii="Palatino Linotype" w:eastAsiaTheme="minorEastAsia" w:hAnsi="Palatino Linotype" w:cs="Times New Roman"/>
                <w:b/>
              </w:rPr>
            </w:pPr>
          </w:p>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Javier Martínez Cruz</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Comisionado</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tc>
        <w:tc>
          <w:tcPr>
            <w:tcW w:w="4349" w:type="dxa"/>
            <w:vAlign w:val="center"/>
          </w:tcPr>
          <w:p w:rsidR="000F5E0E" w:rsidRDefault="000F5E0E"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826796" w:rsidRPr="00826796" w:rsidRDefault="00826796" w:rsidP="00826796">
            <w:pPr>
              <w:spacing w:line="360" w:lineRule="auto"/>
              <w:ind w:right="-142"/>
              <w:rPr>
                <w:rFonts w:ascii="Palatino Linotype" w:eastAsiaTheme="minorEastAsia" w:hAnsi="Palatino Linotype" w:cs="Times New Roman"/>
                <w:b/>
              </w:rPr>
            </w:pPr>
          </w:p>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Luis Gustavo Parra Noriega</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Comisionado</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tc>
      </w:tr>
      <w:tr w:rsidR="000F5E0E" w:rsidRPr="00826796" w:rsidTr="003A1D3B">
        <w:trPr>
          <w:trHeight w:val="1263"/>
        </w:trPr>
        <w:tc>
          <w:tcPr>
            <w:tcW w:w="8697" w:type="dxa"/>
            <w:gridSpan w:val="2"/>
            <w:vAlign w:val="center"/>
          </w:tcPr>
          <w:p w:rsidR="000F5E0E" w:rsidRPr="00826796" w:rsidRDefault="000F5E0E"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826796" w:rsidRDefault="00826796" w:rsidP="00826796">
            <w:pPr>
              <w:spacing w:line="360" w:lineRule="auto"/>
              <w:ind w:right="-142"/>
              <w:jc w:val="center"/>
              <w:rPr>
                <w:rFonts w:ascii="Palatino Linotype" w:eastAsiaTheme="minorEastAsia" w:hAnsi="Palatino Linotype" w:cs="Times New Roman"/>
                <w:b/>
              </w:rPr>
            </w:pPr>
          </w:p>
          <w:p w:rsidR="000F5E0E" w:rsidRPr="00826796" w:rsidRDefault="000F5E0E" w:rsidP="00826796">
            <w:pPr>
              <w:spacing w:line="360" w:lineRule="auto"/>
              <w:ind w:right="-142"/>
              <w:jc w:val="center"/>
              <w:rPr>
                <w:rFonts w:ascii="Palatino Linotype" w:eastAsiaTheme="minorEastAsia" w:hAnsi="Palatino Linotype" w:cs="Times New Roman"/>
                <w:b/>
              </w:rPr>
            </w:pPr>
            <w:r w:rsidRPr="00826796">
              <w:rPr>
                <w:rFonts w:ascii="Palatino Linotype" w:eastAsiaTheme="minorEastAsia" w:hAnsi="Palatino Linotype" w:cs="Times New Roman"/>
                <w:b/>
              </w:rPr>
              <w:t>Alexis Tapia Ramírez</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Secretario Técnico del Pleno</w:t>
            </w:r>
          </w:p>
          <w:p w:rsidR="000F5E0E" w:rsidRPr="00826796" w:rsidRDefault="000F5E0E" w:rsidP="00826796">
            <w:pPr>
              <w:spacing w:line="360" w:lineRule="auto"/>
              <w:ind w:right="-142"/>
              <w:jc w:val="center"/>
              <w:rPr>
                <w:rFonts w:ascii="Palatino Linotype" w:eastAsiaTheme="minorEastAsia" w:hAnsi="Palatino Linotype" w:cs="Times New Roman"/>
              </w:rPr>
            </w:pPr>
            <w:r w:rsidRPr="00826796">
              <w:rPr>
                <w:rFonts w:ascii="Palatino Linotype" w:eastAsiaTheme="minorEastAsia" w:hAnsi="Palatino Linotype" w:cs="Times New Roman"/>
              </w:rPr>
              <w:t>(Rúbrica)</w:t>
            </w:r>
          </w:p>
          <w:p w:rsidR="000F5E0E" w:rsidRPr="00826796" w:rsidRDefault="000F5E0E" w:rsidP="00826796">
            <w:pPr>
              <w:spacing w:line="360" w:lineRule="auto"/>
              <w:ind w:right="-142"/>
              <w:jc w:val="center"/>
              <w:rPr>
                <w:rFonts w:ascii="Palatino Linotype" w:eastAsiaTheme="minorEastAsia" w:hAnsi="Palatino Linotype" w:cs="Times New Roman"/>
              </w:rPr>
            </w:pPr>
          </w:p>
          <w:p w:rsidR="000F5E0E" w:rsidRDefault="000F5E0E" w:rsidP="00826796">
            <w:pPr>
              <w:spacing w:line="360" w:lineRule="auto"/>
              <w:ind w:right="-142"/>
              <w:jc w:val="center"/>
              <w:rPr>
                <w:rFonts w:ascii="Palatino Linotype" w:eastAsiaTheme="minorEastAsia" w:hAnsi="Palatino Linotype" w:cs="Times New Roman"/>
              </w:rPr>
            </w:pPr>
          </w:p>
          <w:p w:rsidR="00826796" w:rsidRDefault="00826796" w:rsidP="00826796">
            <w:pPr>
              <w:spacing w:line="360" w:lineRule="auto"/>
              <w:ind w:right="-142"/>
              <w:jc w:val="center"/>
              <w:rPr>
                <w:rFonts w:ascii="Palatino Linotype" w:eastAsiaTheme="minorEastAsia" w:hAnsi="Palatino Linotype" w:cs="Times New Roman"/>
              </w:rPr>
            </w:pPr>
          </w:p>
          <w:p w:rsidR="00826796" w:rsidRPr="00826796" w:rsidRDefault="00826796" w:rsidP="00826796">
            <w:pPr>
              <w:spacing w:line="360" w:lineRule="auto"/>
              <w:ind w:right="-142"/>
              <w:jc w:val="center"/>
              <w:rPr>
                <w:rFonts w:ascii="Palatino Linotype" w:eastAsiaTheme="minorEastAsia" w:hAnsi="Palatino Linotype" w:cs="Times New Roman"/>
              </w:rPr>
            </w:pPr>
          </w:p>
        </w:tc>
      </w:tr>
    </w:tbl>
    <w:p w:rsidR="000F5E0E" w:rsidRPr="00826796" w:rsidRDefault="000F5E0E" w:rsidP="00826796">
      <w:pPr>
        <w:spacing w:before="240" w:after="240" w:line="360" w:lineRule="auto"/>
        <w:ind w:right="-142"/>
        <w:jc w:val="both"/>
        <w:rPr>
          <w:rFonts w:ascii="Palatino Linotype" w:hAnsi="Palatino Linotype"/>
          <w:sz w:val="24"/>
          <w:szCs w:val="24"/>
        </w:rPr>
      </w:pPr>
      <w:r w:rsidRPr="00826796">
        <w:rPr>
          <w:rFonts w:ascii="Palatino Linotype" w:eastAsia="Times New Roman" w:hAnsi="Palatino Linotype" w:cs="Arial"/>
          <w:sz w:val="24"/>
          <w:szCs w:val="24"/>
          <w:lang w:val="es-ES_tradnl" w:eastAsia="es-ES"/>
        </w:rPr>
        <w:t>Esta hoja corresponde</w:t>
      </w:r>
      <w:r w:rsidR="00826796">
        <w:rPr>
          <w:rFonts w:ascii="Palatino Linotype" w:eastAsia="Times New Roman" w:hAnsi="Palatino Linotype" w:cs="Arial"/>
          <w:sz w:val="24"/>
          <w:szCs w:val="24"/>
          <w:lang w:val="es-ES_tradnl" w:eastAsia="es-ES"/>
        </w:rPr>
        <w:t xml:space="preserve"> a la resolución de fecha doce (12) de junio</w:t>
      </w:r>
      <w:r w:rsidRPr="00826796">
        <w:rPr>
          <w:rFonts w:ascii="Palatino Linotype" w:eastAsia="Times New Roman" w:hAnsi="Palatino Linotype" w:cs="Arial"/>
          <w:sz w:val="24"/>
          <w:szCs w:val="24"/>
          <w:lang w:val="es-ES_tradnl" w:eastAsia="es-ES"/>
        </w:rPr>
        <w:t xml:space="preserve"> de dos mil diecinueve, emitida en el recurso de revisión </w:t>
      </w:r>
      <w:r w:rsidR="00826796">
        <w:rPr>
          <w:rFonts w:ascii="Palatino Linotype" w:eastAsia="Times New Roman" w:hAnsi="Palatino Linotype" w:cs="Arial"/>
          <w:b/>
          <w:sz w:val="24"/>
          <w:szCs w:val="24"/>
          <w:lang w:val="es-ES_tradnl" w:eastAsia="es-ES"/>
        </w:rPr>
        <w:t>02293</w:t>
      </w:r>
      <w:r w:rsidRPr="00826796">
        <w:rPr>
          <w:rFonts w:ascii="Palatino Linotype" w:eastAsia="Times New Roman" w:hAnsi="Palatino Linotype" w:cs="Arial"/>
          <w:b/>
          <w:sz w:val="24"/>
          <w:szCs w:val="24"/>
          <w:lang w:val="es-ES_tradnl" w:eastAsia="es-ES"/>
        </w:rPr>
        <w:t>/INFOEM/IP/RR/2019</w:t>
      </w:r>
      <w:r w:rsidRPr="00826796">
        <w:rPr>
          <w:rFonts w:ascii="Palatino Linotype" w:eastAsia="Times New Roman" w:hAnsi="Palatino Linotype" w:cs="Arial"/>
          <w:sz w:val="24"/>
          <w:szCs w:val="24"/>
          <w:lang w:val="es-ES_tradnl" w:eastAsia="es-ES"/>
        </w:rPr>
        <w:t xml:space="preserve">. </w:t>
      </w:r>
    </w:p>
    <w:p w:rsidR="000F5E0E" w:rsidRPr="00826796" w:rsidRDefault="000F5E0E" w:rsidP="00826796">
      <w:pPr>
        <w:spacing w:line="360" w:lineRule="auto"/>
        <w:rPr>
          <w:rFonts w:ascii="Palatino Linotype" w:hAnsi="Palatino Linotype"/>
          <w:sz w:val="24"/>
          <w:szCs w:val="24"/>
        </w:rPr>
      </w:pPr>
    </w:p>
    <w:p w:rsidR="004D3650" w:rsidRPr="00826796" w:rsidRDefault="004D3650" w:rsidP="00826796">
      <w:pPr>
        <w:spacing w:line="360" w:lineRule="auto"/>
        <w:rPr>
          <w:rFonts w:ascii="Palatino Linotype" w:hAnsi="Palatino Linotype"/>
          <w:sz w:val="24"/>
          <w:szCs w:val="24"/>
        </w:rPr>
      </w:pPr>
    </w:p>
    <w:sectPr w:rsidR="004D3650" w:rsidRPr="00826796" w:rsidSect="00826796">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B77" w:rsidRDefault="00FE5B77" w:rsidP="000F5E0E">
      <w:pPr>
        <w:spacing w:after="0" w:line="240" w:lineRule="auto"/>
      </w:pPr>
      <w:r>
        <w:separator/>
      </w:r>
    </w:p>
  </w:endnote>
  <w:endnote w:type="continuationSeparator" w:id="0">
    <w:p w:rsidR="00FE5B77" w:rsidRDefault="00FE5B77" w:rsidP="000F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826796" w:rsidRPr="00883450" w:rsidRDefault="0082679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1024">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1024">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826796" w:rsidRDefault="008267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96" w:rsidRPr="00883450" w:rsidRDefault="00826796" w:rsidP="003A1D3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1024" w:rsidRPr="00C5102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1024" w:rsidRPr="00C51024">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B77" w:rsidRDefault="00FE5B77" w:rsidP="000F5E0E">
      <w:pPr>
        <w:spacing w:after="0" w:line="240" w:lineRule="auto"/>
      </w:pPr>
      <w:r>
        <w:separator/>
      </w:r>
    </w:p>
  </w:footnote>
  <w:footnote w:type="continuationSeparator" w:id="0">
    <w:p w:rsidR="00FE5B77" w:rsidRDefault="00FE5B77" w:rsidP="000F5E0E">
      <w:pPr>
        <w:spacing w:after="0" w:line="240" w:lineRule="auto"/>
      </w:pPr>
      <w:r>
        <w:continuationSeparator/>
      </w:r>
    </w:p>
  </w:footnote>
  <w:footnote w:id="1">
    <w:p w:rsidR="00826796" w:rsidRDefault="00826796" w:rsidP="000F5E0E">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826796" w:rsidRDefault="00826796" w:rsidP="000F5E0E">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26796" w:rsidRPr="001E1F95" w:rsidRDefault="00826796" w:rsidP="000F5E0E">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826796" w:rsidRPr="00034B44" w:rsidRDefault="00826796" w:rsidP="000F5E0E">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26796" w:rsidRPr="00034B44" w:rsidRDefault="00826796" w:rsidP="000F5E0E">
      <w:pPr>
        <w:pStyle w:val="ADB1"/>
        <w:jc w:val="both"/>
        <w:rPr>
          <w:rFonts w:ascii="Palatino Linotype" w:hAnsi="Palatino Linotype"/>
          <w:sz w:val="18"/>
        </w:rPr>
      </w:pPr>
      <w:r w:rsidRPr="00034B44">
        <w:rPr>
          <w:rFonts w:ascii="Palatino Linotype" w:hAnsi="Palatino Linotype"/>
          <w:sz w:val="18"/>
        </w:rPr>
        <w:t xml:space="preserve"> (…)</w:t>
      </w:r>
    </w:p>
    <w:p w:rsidR="00826796" w:rsidRPr="00034B44" w:rsidRDefault="00826796" w:rsidP="000F5E0E">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96" w:rsidRDefault="00826796">
    <w:pPr>
      <w:pStyle w:val="Encabezado"/>
    </w:pPr>
  </w:p>
  <w:p w:rsidR="00826796" w:rsidRDefault="0082679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826796" w:rsidRPr="00EF13C1" w:rsidTr="003A1D3B">
      <w:trPr>
        <w:trHeight w:val="138"/>
      </w:trPr>
      <w:tc>
        <w:tcPr>
          <w:tcW w:w="2977" w:type="dxa"/>
          <w:vAlign w:val="center"/>
        </w:tcPr>
        <w:p w:rsidR="00826796" w:rsidRPr="00EF13C1" w:rsidRDefault="00826796" w:rsidP="003A1D3B">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826796" w:rsidRPr="00EF13C1" w:rsidRDefault="00826796" w:rsidP="003A1D3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02293/INFOEM/IP/RR/2019  </w:t>
          </w:r>
        </w:p>
      </w:tc>
    </w:tr>
    <w:tr w:rsidR="00826796" w:rsidRPr="00EF13C1" w:rsidTr="003A1D3B">
      <w:trPr>
        <w:gridAfter w:val="1"/>
        <w:wAfter w:w="142" w:type="dxa"/>
        <w:trHeight w:val="321"/>
      </w:trPr>
      <w:tc>
        <w:tcPr>
          <w:tcW w:w="2977" w:type="dxa"/>
          <w:vAlign w:val="center"/>
        </w:tcPr>
        <w:p w:rsidR="00826796" w:rsidRPr="00EF13C1" w:rsidRDefault="00826796" w:rsidP="003A1D3B">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26796" w:rsidRPr="00EF13C1" w:rsidRDefault="00826796" w:rsidP="006C1483">
          <w:pPr>
            <w:pStyle w:val="Encabezado"/>
            <w:ind w:right="-108"/>
            <w:jc w:val="right"/>
            <w:rPr>
              <w:rFonts w:ascii="Palatino Linotype" w:hAnsi="Palatino Linotype"/>
              <w:b/>
              <w:sz w:val="22"/>
              <w:szCs w:val="22"/>
            </w:rPr>
          </w:pPr>
          <w:r>
            <w:rPr>
              <w:rFonts w:ascii="Palatino Linotype" w:hAnsi="Palatino Linotype"/>
              <w:b/>
              <w:sz w:val="22"/>
              <w:szCs w:val="22"/>
            </w:rPr>
            <w:t>Ayuntamiento de Tecámac</w:t>
          </w:r>
        </w:p>
      </w:tc>
    </w:tr>
    <w:tr w:rsidR="00826796" w:rsidRPr="00EF13C1" w:rsidTr="003A1D3B">
      <w:trPr>
        <w:trHeight w:val="321"/>
      </w:trPr>
      <w:tc>
        <w:tcPr>
          <w:tcW w:w="2977" w:type="dxa"/>
          <w:vAlign w:val="center"/>
        </w:tcPr>
        <w:p w:rsidR="00826796" w:rsidRPr="00EF13C1" w:rsidRDefault="00826796" w:rsidP="003A1D3B">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826796" w:rsidRPr="00EF13C1" w:rsidRDefault="00826796" w:rsidP="003A1D3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26796" w:rsidRDefault="00826796" w:rsidP="003A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96" w:rsidRDefault="00826796" w:rsidP="003A1D3B">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826796" w:rsidRPr="00182113" w:rsidTr="003A1D3B">
      <w:trPr>
        <w:trHeight w:val="138"/>
      </w:trPr>
      <w:tc>
        <w:tcPr>
          <w:tcW w:w="2532" w:type="dxa"/>
          <w:vAlign w:val="center"/>
        </w:tcPr>
        <w:p w:rsidR="00826796" w:rsidRPr="00182113" w:rsidRDefault="00826796" w:rsidP="003A1D3B">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26796" w:rsidRPr="00182113" w:rsidRDefault="00826796" w:rsidP="003A1D3B">
          <w:pPr>
            <w:pStyle w:val="Encabezado"/>
            <w:jc w:val="center"/>
            <w:rPr>
              <w:rFonts w:ascii="Palatino Linotype" w:hAnsi="Palatino Linotype"/>
              <w:b/>
              <w:sz w:val="22"/>
              <w:szCs w:val="22"/>
            </w:rPr>
          </w:pPr>
        </w:p>
      </w:tc>
      <w:tc>
        <w:tcPr>
          <w:tcW w:w="4536" w:type="dxa"/>
          <w:vAlign w:val="center"/>
        </w:tcPr>
        <w:p w:rsidR="00826796" w:rsidRPr="005143E6" w:rsidRDefault="00826796" w:rsidP="003A1D3B">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02293/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26796" w:rsidRPr="00182113" w:rsidTr="003A1D3B">
      <w:trPr>
        <w:trHeight w:val="227"/>
      </w:trPr>
      <w:tc>
        <w:tcPr>
          <w:tcW w:w="2532" w:type="dxa"/>
          <w:vAlign w:val="center"/>
        </w:tcPr>
        <w:p w:rsidR="00826796" w:rsidRPr="00182113" w:rsidRDefault="00826796" w:rsidP="003A1D3B">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26796" w:rsidRPr="00182113" w:rsidRDefault="00826796" w:rsidP="003A1D3B">
          <w:pPr>
            <w:pStyle w:val="Encabezado"/>
            <w:jc w:val="center"/>
            <w:rPr>
              <w:rFonts w:ascii="Palatino Linotype" w:hAnsi="Palatino Linotype"/>
              <w:b/>
              <w:sz w:val="22"/>
              <w:szCs w:val="22"/>
            </w:rPr>
          </w:pPr>
        </w:p>
      </w:tc>
      <w:tc>
        <w:tcPr>
          <w:tcW w:w="4536" w:type="dxa"/>
          <w:vAlign w:val="center"/>
        </w:tcPr>
        <w:p w:rsidR="00826796" w:rsidRPr="00846952" w:rsidRDefault="00826796" w:rsidP="00BF277F">
          <w:pPr>
            <w:pStyle w:val="Encabezado"/>
            <w:ind w:right="34"/>
            <w:rPr>
              <w:rFonts w:ascii="Palatino Linotype" w:hAnsi="Palatino Linotype"/>
              <w:b/>
            </w:rPr>
          </w:pPr>
          <w:r>
            <w:rPr>
              <w:rFonts w:ascii="Palatino Linotype" w:hAnsi="Palatino Linotype"/>
              <w:b/>
              <w:sz w:val="22"/>
              <w:szCs w:val="22"/>
            </w:rPr>
            <w:t xml:space="preserve">                                </w:t>
          </w:r>
          <w:r w:rsidR="00BF277F" w:rsidRPr="00BF277F">
            <w:rPr>
              <w:rFonts w:ascii="Palatino Linotype" w:hAnsi="Palatino Linotype"/>
              <w:b/>
              <w:sz w:val="22"/>
              <w:szCs w:val="22"/>
              <w:highlight w:val="black"/>
            </w:rPr>
            <w:t>----------------------------------</w:t>
          </w:r>
        </w:p>
      </w:tc>
    </w:tr>
    <w:tr w:rsidR="00826796" w:rsidRPr="00182113" w:rsidTr="003A1D3B">
      <w:trPr>
        <w:trHeight w:val="232"/>
      </w:trPr>
      <w:tc>
        <w:tcPr>
          <w:tcW w:w="2532" w:type="dxa"/>
          <w:vAlign w:val="center"/>
        </w:tcPr>
        <w:p w:rsidR="00826796" w:rsidRPr="00182113" w:rsidRDefault="00826796" w:rsidP="003A1D3B">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26796" w:rsidRPr="00182113" w:rsidRDefault="00826796" w:rsidP="003A1D3B">
          <w:pPr>
            <w:pStyle w:val="Encabezado"/>
            <w:jc w:val="center"/>
            <w:rPr>
              <w:rFonts w:ascii="Palatino Linotype" w:hAnsi="Palatino Linotype"/>
              <w:b/>
              <w:sz w:val="22"/>
              <w:szCs w:val="22"/>
            </w:rPr>
          </w:pPr>
        </w:p>
      </w:tc>
      <w:tc>
        <w:tcPr>
          <w:tcW w:w="4536" w:type="dxa"/>
          <w:vAlign w:val="center"/>
        </w:tcPr>
        <w:p w:rsidR="00826796" w:rsidRPr="00182113" w:rsidRDefault="00826796" w:rsidP="003A1D3B">
          <w:pPr>
            <w:pStyle w:val="Encabezado"/>
            <w:ind w:right="34"/>
            <w:jc w:val="right"/>
            <w:rPr>
              <w:rFonts w:ascii="Palatino Linotype" w:hAnsi="Palatino Linotype"/>
              <w:b/>
              <w:sz w:val="22"/>
              <w:szCs w:val="22"/>
            </w:rPr>
          </w:pPr>
          <w:r>
            <w:rPr>
              <w:rFonts w:ascii="Palatino Linotype" w:hAnsi="Palatino Linotype"/>
              <w:b/>
              <w:sz w:val="22"/>
              <w:szCs w:val="22"/>
            </w:rPr>
            <w:t>Ayuntamiento de Tecámac</w:t>
          </w:r>
        </w:p>
      </w:tc>
    </w:tr>
    <w:tr w:rsidR="00826796" w:rsidRPr="00182113" w:rsidTr="003A1D3B">
      <w:trPr>
        <w:trHeight w:val="320"/>
      </w:trPr>
      <w:tc>
        <w:tcPr>
          <w:tcW w:w="2532" w:type="dxa"/>
          <w:vAlign w:val="center"/>
        </w:tcPr>
        <w:p w:rsidR="00826796" w:rsidRPr="00182113" w:rsidRDefault="00826796" w:rsidP="003A1D3B">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26796" w:rsidRPr="00182113" w:rsidRDefault="00826796" w:rsidP="003A1D3B">
          <w:pPr>
            <w:pStyle w:val="Encabezado"/>
            <w:jc w:val="center"/>
            <w:rPr>
              <w:rFonts w:ascii="Palatino Linotype" w:hAnsi="Palatino Linotype"/>
              <w:b/>
              <w:sz w:val="22"/>
              <w:szCs w:val="22"/>
            </w:rPr>
          </w:pPr>
        </w:p>
      </w:tc>
      <w:tc>
        <w:tcPr>
          <w:tcW w:w="4536" w:type="dxa"/>
          <w:vAlign w:val="center"/>
        </w:tcPr>
        <w:p w:rsidR="00826796" w:rsidRPr="00182113" w:rsidRDefault="00826796" w:rsidP="003A1D3B">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826796" w:rsidRDefault="008267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082146"/>
    <w:multiLevelType w:val="hybridMultilevel"/>
    <w:tmpl w:val="681C8E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A282743"/>
    <w:multiLevelType w:val="hybridMultilevel"/>
    <w:tmpl w:val="D20A84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0E"/>
    <w:rsid w:val="000C4BC8"/>
    <w:rsid w:val="000F5E0E"/>
    <w:rsid w:val="001609EB"/>
    <w:rsid w:val="00195B59"/>
    <w:rsid w:val="002D71C6"/>
    <w:rsid w:val="003A1D3B"/>
    <w:rsid w:val="00413041"/>
    <w:rsid w:val="004D3650"/>
    <w:rsid w:val="005320F2"/>
    <w:rsid w:val="005D30E6"/>
    <w:rsid w:val="0067655D"/>
    <w:rsid w:val="006C1483"/>
    <w:rsid w:val="007F681A"/>
    <w:rsid w:val="00826796"/>
    <w:rsid w:val="00866A72"/>
    <w:rsid w:val="009303AF"/>
    <w:rsid w:val="009E042B"/>
    <w:rsid w:val="00A56A4C"/>
    <w:rsid w:val="00A623B7"/>
    <w:rsid w:val="00A6434A"/>
    <w:rsid w:val="00AD7CD4"/>
    <w:rsid w:val="00B244B7"/>
    <w:rsid w:val="00BF277F"/>
    <w:rsid w:val="00C304D7"/>
    <w:rsid w:val="00C51024"/>
    <w:rsid w:val="00CC43FC"/>
    <w:rsid w:val="00E07CAE"/>
    <w:rsid w:val="00F553B7"/>
    <w:rsid w:val="00F62729"/>
    <w:rsid w:val="00FA329E"/>
    <w:rsid w:val="00FE5B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F6967-2B3B-4FEA-A70A-28B558ED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0E"/>
  </w:style>
  <w:style w:type="paragraph" w:styleId="Ttulo1">
    <w:name w:val="heading 1"/>
    <w:basedOn w:val="Normal"/>
    <w:next w:val="Normal"/>
    <w:link w:val="Ttulo1Car"/>
    <w:uiPriority w:val="9"/>
    <w:qFormat/>
    <w:rsid w:val="005D30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0E"/>
  </w:style>
  <w:style w:type="paragraph" w:styleId="Piedepgina">
    <w:name w:val="footer"/>
    <w:basedOn w:val="Normal"/>
    <w:link w:val="PiedepginaCar"/>
    <w:uiPriority w:val="99"/>
    <w:unhideWhenUsed/>
    <w:rsid w:val="000F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0E"/>
  </w:style>
  <w:style w:type="table" w:styleId="Tablaconcuadrcula">
    <w:name w:val="Table Grid"/>
    <w:basedOn w:val="Tablanormal"/>
    <w:uiPriority w:val="39"/>
    <w:rsid w:val="000F5E0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0F5E0E"/>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0F5E0E"/>
    <w:rPr>
      <w:vertAlign w:val="superscript"/>
    </w:rPr>
  </w:style>
  <w:style w:type="paragraph" w:customStyle="1" w:styleId="ADB1">
    <w:name w:val="ADB1"/>
    <w:basedOn w:val="Normal"/>
    <w:next w:val="Textonotapie"/>
    <w:uiPriority w:val="99"/>
    <w:unhideWhenUsed/>
    <w:qFormat/>
    <w:rsid w:val="000F5E0E"/>
    <w:pPr>
      <w:spacing w:after="0" w:line="240" w:lineRule="auto"/>
    </w:pPr>
    <w:rPr>
      <w:rFonts w:eastAsia="Cambria"/>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F5E0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F5E0E"/>
  </w:style>
  <w:style w:type="paragraph" w:styleId="Textonotapie">
    <w:name w:val="footnote text"/>
    <w:basedOn w:val="Normal"/>
    <w:link w:val="TextonotapieCar"/>
    <w:uiPriority w:val="99"/>
    <w:semiHidden/>
    <w:unhideWhenUsed/>
    <w:rsid w:val="000F5E0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5E0E"/>
    <w:rPr>
      <w:sz w:val="20"/>
      <w:szCs w:val="20"/>
    </w:rPr>
  </w:style>
  <w:style w:type="character" w:customStyle="1" w:styleId="Ttulo1Car">
    <w:name w:val="Título 1 Car"/>
    <w:basedOn w:val="Fuentedeprrafopredeter"/>
    <w:link w:val="Ttulo1"/>
    <w:uiPriority w:val="9"/>
    <w:rsid w:val="005D30E6"/>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56A4C"/>
    <w:pPr>
      <w:spacing w:after="100"/>
    </w:pPr>
  </w:style>
  <w:style w:type="paragraph" w:styleId="TDC2">
    <w:name w:val="toc 2"/>
    <w:basedOn w:val="Normal"/>
    <w:next w:val="Normal"/>
    <w:autoRedefine/>
    <w:uiPriority w:val="39"/>
    <w:unhideWhenUsed/>
    <w:rsid w:val="00A56A4C"/>
    <w:pPr>
      <w:spacing w:after="100"/>
      <w:ind w:left="220"/>
    </w:pPr>
  </w:style>
  <w:style w:type="character" w:styleId="Hipervnculo">
    <w:name w:val="Hyperlink"/>
    <w:basedOn w:val="Fuentedeprrafopredeter"/>
    <w:uiPriority w:val="99"/>
    <w:unhideWhenUsed/>
    <w:rsid w:val="00A56A4C"/>
    <w:rPr>
      <w:color w:val="0563C1" w:themeColor="hyperlink"/>
      <w:u w:val="single"/>
    </w:rPr>
  </w:style>
  <w:style w:type="paragraph" w:styleId="Textodeglobo">
    <w:name w:val="Balloon Text"/>
    <w:basedOn w:val="Normal"/>
    <w:link w:val="TextodegloboCar"/>
    <w:uiPriority w:val="99"/>
    <w:semiHidden/>
    <w:unhideWhenUsed/>
    <w:rsid w:val="00F553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CCEF0-EE42-46FC-B432-358B4EAB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58</Pages>
  <Words>10074</Words>
  <Characters>55413</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2019-06-14T00:17:00Z</cp:lastPrinted>
  <dcterms:created xsi:type="dcterms:W3CDTF">2019-06-07T18:25:00Z</dcterms:created>
  <dcterms:modified xsi:type="dcterms:W3CDTF">2019-07-09T22:46:00Z</dcterms:modified>
</cp:coreProperties>
</file>