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5F3EB7">
        <w:rPr>
          <w:rFonts w:ascii="Palatino Linotype" w:eastAsia="Times New Roman" w:hAnsi="Palatino Linotype" w:cs="Arial"/>
          <w:color w:val="000000"/>
          <w:szCs w:val="24"/>
          <w:lang w:eastAsia="es-MX"/>
        </w:rPr>
        <w:t>once de marzo de</w:t>
      </w:r>
      <w:r w:rsidR="00DA1EF2">
        <w:rPr>
          <w:rFonts w:ascii="Palatino Linotype" w:eastAsia="Times New Roman" w:hAnsi="Palatino Linotype" w:cs="Arial"/>
          <w:color w:val="000000"/>
          <w:szCs w:val="24"/>
          <w:lang w:eastAsia="es-MX"/>
        </w:rPr>
        <w:t xml:space="preserv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8C1B43">
        <w:rPr>
          <w:rFonts w:ascii="Palatino Linotype" w:hAnsi="Palatino Linotype" w:cs="Arial"/>
          <w:b/>
          <w:bCs/>
          <w:lang w:eastAsia="es-MX"/>
        </w:rPr>
        <w:t>11995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E664E7">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 xml:space="preserve">en contra de </w:t>
      </w:r>
      <w:r w:rsidR="00586AEE">
        <w:rPr>
          <w:rFonts w:ascii="Palatino Linotype" w:hAnsi="Palatino Linotype" w:cs="Arial"/>
          <w:szCs w:val="24"/>
        </w:rPr>
        <w:t>la</w:t>
      </w:r>
      <w:r w:rsidR="004644B4">
        <w:rPr>
          <w:rFonts w:ascii="Palatino Linotype" w:hAnsi="Palatino Linotype" w:cs="Arial"/>
          <w:szCs w:val="24"/>
        </w:rPr>
        <w:t xml:space="preserve"> de</w:t>
      </w:r>
      <w:r w:rsidRPr="00AC0CA2">
        <w:rPr>
          <w:rFonts w:ascii="Palatino Linotype" w:hAnsi="Palatino Linotype" w:cs="Arial"/>
          <w:szCs w:val="24"/>
        </w:rPr>
        <w:t xml:space="preserve"> respuesta</w:t>
      </w:r>
      <w:r w:rsidR="00E67266">
        <w:rPr>
          <w:rFonts w:ascii="Palatino Linotype" w:hAnsi="Palatino Linotype" w:cs="Arial"/>
          <w:szCs w:val="24"/>
        </w:rPr>
        <w:t>s</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5F6D69" w:rsidRPr="005F6D69">
        <w:rPr>
          <w:rFonts w:ascii="Palatino Linotype" w:hAnsi="Palatino Linotype" w:cs="Arial"/>
          <w:b/>
          <w:szCs w:val="24"/>
        </w:rPr>
        <w:t>Ayuntamiento de Zumpahuacán</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8C1B43">
        <w:rPr>
          <w:rFonts w:ascii="Palatino Linotype" w:hAnsi="Palatino Linotype" w:cs="Arial"/>
        </w:rPr>
        <w:t>veinte</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8C1B43" w:rsidRPr="008C1B43">
        <w:rPr>
          <w:rFonts w:ascii="Palatino Linotype" w:hAnsi="Palatino Linotype" w:cs="Arial"/>
          <w:b/>
          <w:sz w:val="24"/>
          <w:szCs w:val="24"/>
        </w:rPr>
        <w:t>00308/ZUMPAHUA/IP/2019</w:t>
      </w:r>
      <w:r w:rsidR="008C1B43">
        <w:rPr>
          <w:rFonts w:ascii="Palatino Linotype" w:hAnsi="Palatino Linotype" w:cs="Arial"/>
          <w:b/>
          <w:sz w:val="24"/>
          <w:szCs w:val="24"/>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8C1B43" w:rsidRPr="008C1B43">
        <w:rPr>
          <w:rFonts w:ascii="Palatino Linotype" w:eastAsia="Times New Roman" w:hAnsi="Palatino Linotype" w:cs="Times New Roman"/>
          <w:i/>
          <w:lang w:val="es-ES_tradnl" w:eastAsia="es-ES"/>
        </w:rPr>
        <w:t>1. Solicito el plan de capacitación en materia de transparencia, acceso a la información y protección de datos personales del municipio.</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w:t>
      </w:r>
      <w:r w:rsidR="00BB62B5">
        <w:rPr>
          <w:rFonts w:ascii="Palatino Linotype" w:hAnsi="Palatino Linotype" w:cs="Arial"/>
        </w:rPr>
        <w:t xml:space="preserve">a a la solicitud de información, sin embargo </w:t>
      </w:r>
      <w:r w:rsidR="008E35CC">
        <w:rPr>
          <w:rFonts w:ascii="Palatino Linotype" w:hAnsi="Palatino Linotype" w:cs="Arial"/>
        </w:rPr>
        <w:t>el Sujeto Obligado inserta un apartado denominado “</w:t>
      </w:r>
      <w:r w:rsidR="008E35CC">
        <w:rPr>
          <w:rFonts w:ascii="Palatino Linotype" w:hAnsi="Palatino Linotype" w:cs="Arial"/>
          <w:b/>
        </w:rPr>
        <w:t>No se da Curso a la Colicitud”</w:t>
      </w:r>
      <w:r w:rsidR="008E35CC">
        <w:rPr>
          <w:rFonts w:ascii="Palatino Linotype" w:hAnsi="Palatino Linotype" w:cs="Arial"/>
        </w:rPr>
        <w:t xml:space="preserve"> en el cual se en lo medular se expresa que no se especifica </w:t>
      </w:r>
      <w:r w:rsidR="00103D98">
        <w:rPr>
          <w:rFonts w:ascii="Palatino Linotype" w:hAnsi="Palatino Linotype" w:cs="Arial"/>
        </w:rPr>
        <w:t xml:space="preserve">el año fiscal de lo solicitado, además de un documento electrónico denominado </w:t>
      </w:r>
      <w:r w:rsidR="00103D98" w:rsidRPr="00103D98">
        <w:rPr>
          <w:rFonts w:ascii="Palatino Linotype" w:hAnsi="Palatino Linotype" w:cs="Arial"/>
          <w:b/>
          <w:u w:val="single"/>
        </w:rPr>
        <w:t>“NO SE ESPECIFICA EL AÑO FISCAL DE LO SOLICITADO.pdf”</w:t>
      </w:r>
      <w:r w:rsidR="00103D98" w:rsidRPr="00103D98">
        <w:rPr>
          <w:rFonts w:ascii="Palatino Linotype" w:hAnsi="Palatino Linotype" w:cs="Arial"/>
        </w:rPr>
        <w:t xml:space="preserve">, </w:t>
      </w:r>
      <w:r w:rsidR="00103D98">
        <w:rPr>
          <w:rFonts w:ascii="Palatino Linotype" w:hAnsi="Palatino Linotype" w:cs="Arial"/>
        </w:rPr>
        <w:t>tal como se muestra en las siguientes imágenes:</w:t>
      </w:r>
    </w:p>
    <w:p w:rsidR="00103D98" w:rsidRDefault="00103D98" w:rsidP="00EF4493">
      <w:pPr>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81792" behindDoc="0" locked="0" layoutInCell="1" allowOverlap="1">
                <wp:simplePos x="0" y="0"/>
                <wp:positionH relativeFrom="column">
                  <wp:posOffset>43814</wp:posOffset>
                </wp:positionH>
                <wp:positionV relativeFrom="paragraph">
                  <wp:posOffset>2733675</wp:posOffset>
                </wp:positionV>
                <wp:extent cx="5705475" cy="310515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5705475"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D837D" id="Conector recto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45pt,215.25pt" to="452.7pt,4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" strokecolor="#5b9bd5 [3204]" strokeweight=".5pt">
                <v:stroke joinstyle="miter"/>
              </v:line>
            </w:pict>
          </mc:Fallback>
        </mc:AlternateContent>
      </w:r>
      <w:r>
        <w:rPr>
          <w:rFonts w:ascii="Palatino Linotype" w:hAnsi="Palatino Linotype" w:cs="Arial"/>
          <w:noProof/>
          <w:lang w:eastAsia="es-MX"/>
        </w:rPr>
        <w:drawing>
          <wp:inline distT="0" distB="0" distL="0" distR="0">
            <wp:extent cx="5753100" cy="2486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486025"/>
                    </a:xfrm>
                    <a:prstGeom prst="rect">
                      <a:avLst/>
                    </a:prstGeom>
                    <a:noFill/>
                    <a:ln>
                      <a:noFill/>
                    </a:ln>
                  </pic:spPr>
                </pic:pic>
              </a:graphicData>
            </a:graphic>
          </wp:inline>
        </w:drawing>
      </w:r>
    </w:p>
    <w:p w:rsidR="00103D98" w:rsidRDefault="00A3570D" w:rsidP="00EF4493">
      <w:pPr>
        <w:spacing w:before="240" w:line="360" w:lineRule="auto"/>
        <w:jc w:val="both"/>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82816" behindDoc="0" locked="0" layoutInCell="1" allowOverlap="1">
                <wp:simplePos x="0" y="0"/>
                <wp:positionH relativeFrom="column">
                  <wp:posOffset>24765</wp:posOffset>
                </wp:positionH>
                <wp:positionV relativeFrom="paragraph">
                  <wp:posOffset>4902835</wp:posOffset>
                </wp:positionV>
                <wp:extent cx="5695950" cy="276225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569595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59997" id="Conector recto 1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5pt,386.05pt" to="450.45pt,6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" strokecolor="#5b9bd5 [3204]" strokeweight=".5pt">
                <v:stroke joinstyle="miter"/>
              </v:line>
            </w:pict>
          </mc:Fallback>
        </mc:AlternateContent>
      </w:r>
      <w:r w:rsidR="00103D98">
        <w:rPr>
          <w:rFonts w:ascii="Palatino Linotype" w:hAnsi="Palatino Linotype" w:cs="Arial"/>
          <w:noProof/>
          <w:lang w:eastAsia="es-MX"/>
        </w:rPr>
        <w:drawing>
          <wp:inline distT="0" distB="0" distL="0" distR="0">
            <wp:extent cx="5762625" cy="47815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781550"/>
                    </a:xfrm>
                    <a:prstGeom prst="rect">
                      <a:avLst/>
                    </a:prstGeom>
                    <a:noFill/>
                    <a:ln>
                      <a:noFill/>
                    </a:ln>
                  </pic:spPr>
                </pic:pic>
              </a:graphicData>
            </a:graphic>
          </wp:inline>
        </w:drawing>
      </w:r>
    </w:p>
    <w:p w:rsidR="00103D98" w:rsidRPr="008E35CC" w:rsidRDefault="00A3570D" w:rsidP="00EF4493">
      <w:pPr>
        <w:spacing w:before="240"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extent cx="5762625" cy="47720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772025"/>
                    </a:xfrm>
                    <a:prstGeom prst="rect">
                      <a:avLst/>
                    </a:prstGeom>
                    <a:noFill/>
                    <a:ln>
                      <a:noFill/>
                    </a:ln>
                  </pic:spPr>
                </pic:pic>
              </a:graphicData>
            </a:graphic>
          </wp:inline>
        </w:drawing>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7135EE">
        <w:rPr>
          <w:rFonts w:ascii="Palatino Linotype" w:hAnsi="Palatino Linotype" w:cs="Arial"/>
          <w:szCs w:val="24"/>
        </w:rPr>
        <w:t>dieciocho</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8C1B43">
        <w:rPr>
          <w:rFonts w:ascii="Palatino Linotype" w:hAnsi="Palatino Linotype"/>
          <w:b/>
          <w:sz w:val="24"/>
          <w:szCs w:val="24"/>
        </w:rPr>
        <w:t>11995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lastRenderedPageBreak/>
        <w:t>“</w:t>
      </w:r>
      <w:r w:rsidR="00A3570D" w:rsidRPr="00A3570D">
        <w:rPr>
          <w:rFonts w:ascii="Palatino Linotype" w:hAnsi="Palatino Linotype" w:cs="Arial"/>
          <w:i/>
        </w:rPr>
        <w:t>La solicitud que ingrese no fue contestada con los principios y apegados a la Ley de Transparencia.</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2270C" w:rsidRDefault="0072270C" w:rsidP="00A3570D">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A3570D" w:rsidRPr="00A3570D">
        <w:rPr>
          <w:rFonts w:ascii="Palatino Linotype" w:hAnsi="Palatino Linotype" w:cs="Arial"/>
          <w:i/>
        </w:rPr>
        <w:t>Los archivos adjuntados por el SO no contienen la información que he solicitado, hay archivos que no sean requeridos.</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A3570D" w:rsidRPr="00A3570D" w:rsidRDefault="00A3570D" w:rsidP="00A3570D">
      <w:pPr>
        <w:ind w:left="851" w:right="850"/>
        <w:jc w:val="both"/>
        <w:rPr>
          <w:rFonts w:ascii="Palatino Linotype" w:hAnsi="Palatino Linotype" w:cs="Arial"/>
          <w:i/>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A3570D">
        <w:rPr>
          <w:rFonts w:ascii="Palatino Linotype" w:hAnsi="Palatino Linotype" w:cs="Arial"/>
          <w:sz w:val="24"/>
          <w:szCs w:val="24"/>
        </w:rPr>
        <w:t>diez</w:t>
      </w:r>
      <w:r w:rsidR="007135EE">
        <w:rPr>
          <w:rFonts w:ascii="Palatino Linotype" w:hAnsi="Palatino Linotype" w:cs="Arial"/>
          <w:sz w:val="24"/>
          <w:szCs w:val="24"/>
        </w:rPr>
        <w:t xml:space="preserve"> de enero de dos mil veinte</w:t>
      </w:r>
      <w:r w:rsidR="00D317E2"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D50082" w:rsidRPr="00D50082" w:rsidRDefault="002873D1" w:rsidP="00D50082">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w:t>
      </w:r>
      <w:r w:rsidR="00A3570D">
        <w:rPr>
          <w:rFonts w:ascii="Palatino Linotype" w:hAnsi="Palatino Linotype" w:cs="Arial"/>
          <w:sz w:val="24"/>
          <w:szCs w:val="24"/>
        </w:rPr>
        <w:t>treinta y uno de enero</w:t>
      </w:r>
      <w:r>
        <w:rPr>
          <w:rFonts w:ascii="Palatino Linotype" w:hAnsi="Palatino Linotype" w:cs="Arial"/>
          <w:sz w:val="24"/>
          <w:szCs w:val="24"/>
        </w:rPr>
        <w:t xml:space="preserve">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135EE">
        <w:rPr>
          <w:rFonts w:ascii="Palatino Linotype" w:hAnsi="Palatino Linotype" w:cs="Arial"/>
          <w:sz w:val="24"/>
          <w:szCs w:val="24"/>
        </w:rPr>
        <w:t xml:space="preserve"> y III, 176, 178, 179 fracción VII</w:t>
      </w:r>
      <w:r w:rsidRPr="008F797B">
        <w:rPr>
          <w:rFonts w:ascii="Palatino Linotype" w:hAnsi="Palatino Linotype" w:cs="Arial"/>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00A3570D">
        <w:rPr>
          <w:rFonts w:ascii="Palatino Linotype" w:hAnsi="Palatino Linotype" w:cs="Times New Roman"/>
          <w:color w:val="000000" w:themeColor="text1"/>
          <w:w w:val="105"/>
          <w:sz w:val="24"/>
          <w:szCs w:val="25"/>
        </w:rPr>
        <w:t xml:space="preserve">te haría nugatorio </w:t>
      </w:r>
      <w:r w:rsidRPr="00187FF4">
        <w:rPr>
          <w:rFonts w:ascii="Palatino Linotype" w:hAnsi="Palatino Linotype" w:cs="Times New Roman"/>
          <w:color w:val="000000" w:themeColor="text1"/>
          <w:w w:val="105"/>
          <w:sz w:val="24"/>
          <w:szCs w:val="25"/>
        </w:rPr>
        <w:t>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sidR="00A3570D">
        <w:rPr>
          <w:rFonts w:ascii="Palatino Linotype" w:hAnsi="Palatino Linotype" w:cs="Times New Roman"/>
          <w:color w:val="000000" w:themeColor="text1"/>
          <w:w w:val="105"/>
          <w:sz w:val="24"/>
          <w:szCs w:val="25"/>
        </w:rPr>
        <w:t xml:space="preserve">o párrafo establece que </w:t>
      </w:r>
      <w:r>
        <w:rPr>
          <w:rFonts w:ascii="Palatino Linotype" w:hAnsi="Palatino Linotype" w:cs="Times New Roman"/>
          <w:color w:val="000000" w:themeColor="text1"/>
          <w:w w:val="105"/>
          <w:sz w:val="24"/>
          <w:szCs w:val="25"/>
        </w:rPr>
        <w:t xml:space="preserve">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sidR="00A3570D">
        <w:rPr>
          <w:rFonts w:ascii="Palatino Linotype" w:hAnsi="Palatino Linotype" w:cs="Times New Roman"/>
          <w:color w:val="000000" w:themeColor="text1"/>
          <w:w w:val="105"/>
          <w:sz w:val="24"/>
          <w:szCs w:val="25"/>
        </w:rPr>
        <w:t>s, entre ellos, el nombre del</w:t>
      </w:r>
      <w:r>
        <w:rPr>
          <w:rFonts w:ascii="Palatino Linotype" w:hAnsi="Palatino Linotype" w:cs="Times New Roman"/>
          <w:color w:val="000000" w:themeColor="text1"/>
          <w:w w:val="105"/>
          <w:sz w:val="24"/>
          <w:szCs w:val="25"/>
        </w:rPr>
        <w:t xml:space="preserve">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Default="00975EB7" w:rsidP="00975EB7">
      <w:pPr>
        <w:spacing w:after="0" w:line="360" w:lineRule="auto"/>
        <w:jc w:val="both"/>
        <w:rPr>
          <w:rFonts w:ascii="Palatino Linotype" w:hAnsi="Palatino Linotype" w:cs="Arial"/>
          <w:b/>
          <w:sz w:val="24"/>
          <w:szCs w:val="24"/>
        </w:rPr>
      </w:pPr>
      <w:r w:rsidRPr="001610BA">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Default="00975EB7" w:rsidP="00975EB7">
      <w:pPr>
        <w:spacing w:after="0" w:line="360" w:lineRule="auto"/>
        <w:jc w:val="both"/>
        <w:rPr>
          <w:rFonts w:ascii="Palatino Linotype" w:hAnsi="Palatino Linotype" w:cs="Arial"/>
          <w:b/>
          <w:sz w:val="24"/>
          <w:szCs w:val="24"/>
        </w:rPr>
      </w:pPr>
    </w:p>
    <w:p w:rsidR="00975EB7" w:rsidRPr="00226C6A"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En primera instancia, al referirnos al acto impugnado por el </w:t>
      </w:r>
      <w:r w:rsidRPr="00226C6A">
        <w:rPr>
          <w:rFonts w:ascii="Palatino Linotype" w:hAnsi="Palatino Linotype" w:cs="Arial"/>
          <w:b/>
        </w:rPr>
        <w:t>Recurrente</w:t>
      </w:r>
      <w:r w:rsidRPr="00226C6A">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 xml:space="preserve">Ley de Transparencia y Acceso a la Información Pública del Estado de México y </w:t>
      </w:r>
      <w:r w:rsidRPr="00226C6A">
        <w:rPr>
          <w:rFonts w:ascii="Palatino Linotype" w:eastAsia="Calibri" w:hAnsi="Palatino Linotype" w:cs="Arial"/>
          <w:b/>
          <w:color w:val="000000" w:themeColor="text1"/>
        </w:rPr>
        <w:lastRenderedPageBreak/>
        <w:t>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electrónico SAIMEX, se acredita que</w:t>
      </w:r>
      <w:r w:rsidRPr="00296F63">
        <w:rPr>
          <w:rFonts w:ascii="Palatino Linotype" w:hAnsi="Palatino Linotype"/>
        </w:rPr>
        <w:t xml:space="preserve"> el </w:t>
      </w:r>
      <w:r w:rsidRPr="00296F63">
        <w:rPr>
          <w:rFonts w:ascii="Palatino Linotype" w:hAnsi="Palatino Linotype" w:cs="Arial"/>
          <w:b/>
          <w:lang w:eastAsia="es-MX"/>
        </w:rPr>
        <w:t>sujeto obligado</w:t>
      </w:r>
      <w:r w:rsidRPr="00296F63">
        <w:rPr>
          <w:rFonts w:ascii="Palatino Linotype" w:hAnsi="Palatino Linotype" w:cs="Arial"/>
          <w:lang w:eastAsia="es-MX"/>
        </w:rPr>
        <w:t xml:space="preserve"> fue omiso en responder la solicitud de información hecha por el </w:t>
      </w:r>
      <w:r w:rsidRPr="00296F63">
        <w:rPr>
          <w:rFonts w:ascii="Palatino Linotype" w:hAnsi="Palatino Linotype" w:cs="Arial"/>
          <w:b/>
          <w:lang w:eastAsia="es-MX"/>
        </w:rPr>
        <w:t>recurrente</w:t>
      </w:r>
      <w:r w:rsidRPr="00296F63">
        <w:rPr>
          <w:rFonts w:ascii="Palatino Linotype" w:hAnsi="Palatino Linotype" w:cs="Arial"/>
          <w:lang w:eastAsia="es-MX"/>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296F63" w:rsidRDefault="00975EB7" w:rsidP="00975EB7">
      <w:pPr>
        <w:pStyle w:val="Prrafodelista"/>
        <w:spacing w:line="360" w:lineRule="auto"/>
        <w:ind w:left="0"/>
        <w:contextualSpacing/>
        <w:jc w:val="both"/>
        <w:rPr>
          <w:rFonts w:ascii="Palatino Linotype" w:hAnsi="Palatino Linotype" w:cs="Arial"/>
          <w:lang w:eastAsia="es-MX"/>
        </w:rPr>
      </w:pPr>
      <w:r w:rsidRPr="00296F63">
        <w:rPr>
          <w:rFonts w:ascii="Palatino Linotype" w:hAnsi="Palatino Linotype"/>
          <w:lang w:eastAsia="es-MX"/>
        </w:rPr>
        <w:t xml:space="preserve">De tal manera que se hace patente que la falta de respuesta del </w:t>
      </w:r>
      <w:r w:rsidRPr="00296F63">
        <w:rPr>
          <w:rFonts w:ascii="Palatino Linotype" w:hAnsi="Palatino Linotype"/>
          <w:b/>
          <w:lang w:eastAsia="es-MX"/>
        </w:rPr>
        <w:t>sujeto obligado</w:t>
      </w:r>
      <w:r w:rsidRPr="00296F63">
        <w:rPr>
          <w:rFonts w:ascii="Palatino Linotype" w:hAnsi="Palatino Linotype"/>
          <w:lang w:eastAsia="es-MX"/>
        </w:rPr>
        <w:t xml:space="preserve"> a la solicitud de información se traduce en el hecho de que fue omiso en dar atención a la </w:t>
      </w:r>
      <w:r>
        <w:rPr>
          <w:rFonts w:ascii="Palatino Linotype" w:hAnsi="Palatino Linotype"/>
          <w:lang w:eastAsia="es-MX"/>
        </w:rPr>
        <w:t>petición</w:t>
      </w:r>
      <w:r w:rsidRPr="00296F63">
        <w:rPr>
          <w:rFonts w:ascii="Palatino Linotype" w:hAnsi="Palatino Linotype"/>
          <w:lang w:eastAsia="es-MX"/>
        </w:rPr>
        <w:t xml:space="preserve"> en términos de la Ley de la materia, es decir, </w:t>
      </w:r>
      <w:r>
        <w:rPr>
          <w:rFonts w:ascii="Palatino Linotype" w:hAnsi="Palatino Linotype"/>
          <w:lang w:eastAsia="es-MX"/>
        </w:rPr>
        <w:t xml:space="preserve">omitió </w:t>
      </w:r>
      <w:r w:rsidRPr="00296F63">
        <w:rPr>
          <w:rFonts w:ascii="Palatino Linotype" w:hAnsi="Palatino Linotype"/>
          <w:lang w:eastAsia="es-MX"/>
        </w:rPr>
        <w:t>cumplir las obligaciones que dicho cuerpo legal le impone como sujeto obligado de la misma, tal y como lo 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008E0BB6">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Pr>
          <w:rFonts w:ascii="Palatino Linotype" w:hAnsi="Palatino Linotype" w:cs="Arial"/>
        </w:rPr>
        <w:lastRenderedPageBreak/>
        <w:t>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F60380" w:rsidRDefault="00F60380" w:rsidP="00975EB7">
      <w:pPr>
        <w:pStyle w:val="Prrafodelista"/>
        <w:autoSpaceDE w:val="0"/>
        <w:autoSpaceDN w:val="0"/>
        <w:adjustRightInd w:val="0"/>
        <w:spacing w:line="360" w:lineRule="auto"/>
        <w:ind w:left="0"/>
        <w:jc w:val="both"/>
        <w:rPr>
          <w:rFonts w:ascii="Palatino Linotype" w:hAnsi="Palatino Linotype" w:cs="Arial"/>
        </w:rPr>
      </w:pPr>
    </w:p>
    <w:p w:rsidR="00F60380" w:rsidRDefault="00F60380" w:rsidP="00F60380">
      <w:pPr>
        <w:spacing w:line="360" w:lineRule="auto"/>
        <w:ind w:right="51"/>
        <w:jc w:val="both"/>
        <w:rPr>
          <w:rFonts w:ascii="Palatino Linotype" w:hAnsi="Palatino Linotype"/>
        </w:rPr>
      </w:pPr>
      <w:r>
        <w:rPr>
          <w:rFonts w:ascii="Palatino Linotype" w:hAnsi="Palatino Linotype" w:cs="Arial"/>
        </w:rPr>
        <w:t xml:space="preserve">Asimismo respecto de la información solicitada resulta conveniente convocar lo que establece la </w:t>
      </w:r>
      <w:r w:rsidRPr="00BF0388">
        <w:rPr>
          <w:rFonts w:ascii="Palatino Linotype" w:hAnsi="Palatino Linotype"/>
        </w:rPr>
        <w:t>Ley de Transparencia y Acceso a la Información Pública del Estado de México y Municipios</w:t>
      </w:r>
      <w:r>
        <w:rPr>
          <w:rFonts w:ascii="Palatino Linotype" w:hAnsi="Palatino Linotype"/>
        </w:rPr>
        <w:t xml:space="preserve">, </w:t>
      </w:r>
      <w:r w:rsidR="007E0C5D">
        <w:rPr>
          <w:rFonts w:ascii="Palatino Linotype" w:hAnsi="Palatino Linotype"/>
        </w:rPr>
        <w:t>la cual para el caso en estudio prevé</w:t>
      </w:r>
      <w:r>
        <w:rPr>
          <w:rFonts w:ascii="Palatino Linotype" w:hAnsi="Palatino Linotype"/>
        </w:rPr>
        <w:t xml:space="preserve">: </w:t>
      </w:r>
    </w:p>
    <w:p w:rsidR="00F60380" w:rsidRDefault="00F60380" w:rsidP="00F60380">
      <w:pPr>
        <w:spacing w:line="360" w:lineRule="auto"/>
        <w:ind w:right="51"/>
        <w:jc w:val="both"/>
        <w:rPr>
          <w:rFonts w:ascii="Palatino Linotype" w:hAnsi="Palatino Linotype"/>
        </w:rPr>
      </w:pPr>
    </w:p>
    <w:p w:rsidR="00F60380" w:rsidRPr="0082174F" w:rsidRDefault="00F60380" w:rsidP="00F60380">
      <w:pPr>
        <w:spacing w:line="360" w:lineRule="auto"/>
        <w:ind w:right="51"/>
        <w:jc w:val="center"/>
        <w:rPr>
          <w:rFonts w:ascii="Palatino Linotype" w:hAnsi="Palatino Linotype"/>
          <w:b/>
        </w:rPr>
      </w:pPr>
      <w:r w:rsidRPr="0082174F">
        <w:rPr>
          <w:rFonts w:ascii="Palatino Linotype" w:hAnsi="Palatino Linotype"/>
          <w:b/>
        </w:rPr>
        <w:t>Ley de Transparencia y Acceso a la Información</w:t>
      </w:r>
    </w:p>
    <w:p w:rsidR="00F60380" w:rsidRPr="0082174F" w:rsidRDefault="00F60380" w:rsidP="00F60380">
      <w:pPr>
        <w:spacing w:line="360" w:lineRule="auto"/>
        <w:ind w:right="51"/>
        <w:jc w:val="center"/>
        <w:rPr>
          <w:rFonts w:ascii="Palatino Linotype" w:hAnsi="Palatino Linotype"/>
          <w:b/>
        </w:rPr>
      </w:pPr>
      <w:r w:rsidRPr="0082174F">
        <w:rPr>
          <w:rFonts w:ascii="Palatino Linotype" w:hAnsi="Palatino Linotype"/>
          <w:b/>
        </w:rPr>
        <w:t>Pública del Estado de México y Municipios</w:t>
      </w:r>
    </w:p>
    <w:p w:rsidR="00F60380" w:rsidRPr="0082174F" w:rsidRDefault="00F60380" w:rsidP="00F60380">
      <w:pPr>
        <w:spacing w:line="360" w:lineRule="auto"/>
        <w:ind w:right="51"/>
        <w:jc w:val="both"/>
        <w:rPr>
          <w:rFonts w:ascii="Palatino Linotype" w:hAnsi="Palatino Linotype"/>
        </w:rPr>
      </w:pPr>
    </w:p>
    <w:p w:rsidR="00F60380" w:rsidRPr="0082174F" w:rsidRDefault="00F60380" w:rsidP="00F60380">
      <w:pPr>
        <w:pStyle w:val="Prrafodelista"/>
        <w:autoSpaceDE w:val="0"/>
        <w:autoSpaceDN w:val="0"/>
        <w:adjustRightInd w:val="0"/>
        <w:spacing w:line="360" w:lineRule="auto"/>
        <w:ind w:left="1134" w:right="851"/>
        <w:jc w:val="center"/>
        <w:rPr>
          <w:rFonts w:ascii="Palatino Linotype" w:hAnsi="Palatino Linotype"/>
          <w:b/>
          <w:i/>
        </w:rPr>
      </w:pPr>
      <w:r w:rsidRPr="0082174F">
        <w:rPr>
          <w:rFonts w:ascii="Palatino Linotype" w:hAnsi="Palatino Linotype"/>
          <w:i/>
        </w:rPr>
        <w:t>“</w:t>
      </w:r>
      <w:r w:rsidRPr="0082174F">
        <w:rPr>
          <w:rFonts w:ascii="Palatino Linotype" w:hAnsi="Palatino Linotype"/>
          <w:b/>
          <w:i/>
        </w:rPr>
        <w:t>Capítulo II</w:t>
      </w:r>
    </w:p>
    <w:p w:rsidR="00F60380" w:rsidRDefault="00F60380" w:rsidP="00F60380">
      <w:pPr>
        <w:pStyle w:val="Prrafodelista"/>
        <w:autoSpaceDE w:val="0"/>
        <w:autoSpaceDN w:val="0"/>
        <w:adjustRightInd w:val="0"/>
        <w:spacing w:line="360" w:lineRule="auto"/>
        <w:ind w:left="1134" w:right="851"/>
        <w:jc w:val="center"/>
        <w:rPr>
          <w:rFonts w:ascii="Palatino Linotype" w:hAnsi="Palatino Linotype"/>
          <w:b/>
          <w:i/>
        </w:rPr>
      </w:pPr>
      <w:r w:rsidRPr="0082174F">
        <w:rPr>
          <w:rFonts w:ascii="Palatino Linotype" w:hAnsi="Palatino Linotype"/>
          <w:b/>
          <w:i/>
        </w:rPr>
        <w:t>De las Obligaciones de Transparencia Comunes</w:t>
      </w:r>
    </w:p>
    <w:p w:rsidR="00F60380" w:rsidRPr="0082174F" w:rsidRDefault="00F60380" w:rsidP="00F60380">
      <w:pPr>
        <w:pStyle w:val="Prrafodelista"/>
        <w:autoSpaceDE w:val="0"/>
        <w:autoSpaceDN w:val="0"/>
        <w:adjustRightInd w:val="0"/>
        <w:spacing w:line="360" w:lineRule="auto"/>
        <w:ind w:left="1134" w:right="851"/>
        <w:jc w:val="center"/>
        <w:rPr>
          <w:rFonts w:ascii="Palatino Linotype" w:hAnsi="Palatino Linotype"/>
          <w:b/>
          <w:i/>
        </w:rPr>
      </w:pPr>
    </w:p>
    <w:p w:rsidR="00F60380" w:rsidRPr="0082174F" w:rsidRDefault="00F60380" w:rsidP="00F60380">
      <w:pPr>
        <w:pStyle w:val="Prrafodelista"/>
        <w:autoSpaceDE w:val="0"/>
        <w:autoSpaceDN w:val="0"/>
        <w:adjustRightInd w:val="0"/>
        <w:spacing w:line="360" w:lineRule="auto"/>
        <w:ind w:left="1134" w:right="851"/>
        <w:jc w:val="both"/>
        <w:rPr>
          <w:rFonts w:ascii="Palatino Linotype" w:hAnsi="Palatino Linotype"/>
          <w:i/>
        </w:rPr>
      </w:pPr>
      <w:r w:rsidRPr="0082174F">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60380" w:rsidRPr="0082174F" w:rsidRDefault="00F60380" w:rsidP="00F60380">
      <w:pPr>
        <w:pStyle w:val="Prrafodelista"/>
        <w:autoSpaceDE w:val="0"/>
        <w:autoSpaceDN w:val="0"/>
        <w:adjustRightInd w:val="0"/>
        <w:spacing w:line="360" w:lineRule="auto"/>
        <w:ind w:left="1134" w:right="851"/>
        <w:jc w:val="both"/>
        <w:rPr>
          <w:rFonts w:ascii="Palatino Linotype" w:hAnsi="Palatino Linotype"/>
          <w:i/>
        </w:rPr>
      </w:pPr>
      <w:r w:rsidRPr="0082174F">
        <w:rPr>
          <w:rFonts w:ascii="Palatino Linotype" w:hAnsi="Palatino Linotype"/>
          <w:i/>
        </w:rPr>
        <w:t>…</w:t>
      </w:r>
    </w:p>
    <w:p w:rsidR="00F60380" w:rsidRDefault="00507992" w:rsidP="00F60380">
      <w:pPr>
        <w:pStyle w:val="Prrafodelista"/>
        <w:autoSpaceDE w:val="0"/>
        <w:autoSpaceDN w:val="0"/>
        <w:adjustRightInd w:val="0"/>
        <w:spacing w:line="360" w:lineRule="auto"/>
        <w:ind w:left="1134" w:right="851"/>
        <w:jc w:val="both"/>
        <w:rPr>
          <w:rFonts w:ascii="Palatino Linotype" w:hAnsi="Palatino Linotype"/>
          <w:i/>
        </w:rPr>
      </w:pPr>
      <w:r w:rsidRPr="00507992">
        <w:rPr>
          <w:rFonts w:ascii="Palatino Linotype" w:hAnsi="Palatino Linotype"/>
          <w:i/>
        </w:rPr>
        <w:t>III. Las facultades de cada área;</w:t>
      </w:r>
    </w:p>
    <w:p w:rsidR="007E0C5D" w:rsidRPr="007E0C5D" w:rsidRDefault="007E0C5D" w:rsidP="007E0C5D">
      <w:pPr>
        <w:pStyle w:val="Prrafodelista"/>
        <w:autoSpaceDE w:val="0"/>
        <w:autoSpaceDN w:val="0"/>
        <w:adjustRightInd w:val="0"/>
        <w:spacing w:line="360" w:lineRule="auto"/>
        <w:ind w:left="1134" w:right="851"/>
        <w:jc w:val="center"/>
        <w:rPr>
          <w:rFonts w:ascii="Palatino Linotype" w:hAnsi="Palatino Linotype"/>
          <w:b/>
          <w:i/>
        </w:rPr>
      </w:pPr>
      <w:r w:rsidRPr="007E0C5D">
        <w:rPr>
          <w:rFonts w:ascii="Palatino Linotype" w:hAnsi="Palatino Linotype"/>
          <w:b/>
          <w:i/>
        </w:rPr>
        <w:t>Capítulo III</w:t>
      </w:r>
    </w:p>
    <w:p w:rsidR="007E0C5D" w:rsidRPr="007E0C5D" w:rsidRDefault="007E0C5D" w:rsidP="007E0C5D">
      <w:pPr>
        <w:pStyle w:val="Prrafodelista"/>
        <w:autoSpaceDE w:val="0"/>
        <w:autoSpaceDN w:val="0"/>
        <w:adjustRightInd w:val="0"/>
        <w:spacing w:line="360" w:lineRule="auto"/>
        <w:ind w:left="1134" w:right="851"/>
        <w:jc w:val="center"/>
        <w:rPr>
          <w:rFonts w:ascii="Palatino Linotype" w:hAnsi="Palatino Linotype"/>
          <w:b/>
          <w:i/>
        </w:rPr>
      </w:pPr>
      <w:r w:rsidRPr="007E0C5D">
        <w:rPr>
          <w:rFonts w:ascii="Palatino Linotype" w:hAnsi="Palatino Linotype"/>
          <w:b/>
          <w:i/>
        </w:rPr>
        <w:t>De las Unidades de Transparencia</w:t>
      </w:r>
    </w:p>
    <w:p w:rsidR="007E0C5D" w:rsidRPr="007E0C5D" w:rsidRDefault="007E0C5D" w:rsidP="007E0C5D">
      <w:pPr>
        <w:pStyle w:val="Prrafodelista"/>
        <w:autoSpaceDE w:val="0"/>
        <w:autoSpaceDN w:val="0"/>
        <w:adjustRightInd w:val="0"/>
        <w:spacing w:line="360" w:lineRule="auto"/>
        <w:ind w:left="1134" w:right="851"/>
        <w:jc w:val="both"/>
        <w:rPr>
          <w:rFonts w:ascii="Palatino Linotype" w:hAnsi="Palatino Linotype"/>
          <w:i/>
        </w:rPr>
      </w:pPr>
      <w:r w:rsidRPr="007E0C5D">
        <w:rPr>
          <w:rFonts w:ascii="Palatino Linotype" w:hAnsi="Palatino Linotype"/>
          <w:i/>
        </w:rPr>
        <w:t xml:space="preserve">Artículo 50. </w:t>
      </w:r>
      <w:r w:rsidRPr="007E0C5D">
        <w:rPr>
          <w:rFonts w:ascii="Palatino Linotype" w:hAnsi="Palatino Linotype"/>
          <w:b/>
          <w:i/>
          <w:u w:val="single"/>
        </w:rPr>
        <w:t>Los sujetos obligados contarán con un área responsable para la atención de las solicitudes de información, a la que se le denominará Unidad de Transparencia.</w:t>
      </w:r>
    </w:p>
    <w:p w:rsidR="007E0C5D" w:rsidRPr="007E0C5D" w:rsidRDefault="007E0C5D" w:rsidP="007E0C5D">
      <w:pPr>
        <w:pStyle w:val="Prrafodelista"/>
        <w:autoSpaceDE w:val="0"/>
        <w:autoSpaceDN w:val="0"/>
        <w:adjustRightInd w:val="0"/>
        <w:spacing w:line="360" w:lineRule="auto"/>
        <w:ind w:left="1134" w:right="851"/>
        <w:jc w:val="both"/>
        <w:rPr>
          <w:rFonts w:ascii="Palatino Linotype" w:hAnsi="Palatino Linotype"/>
          <w:i/>
        </w:rPr>
      </w:pPr>
      <w:r w:rsidRPr="007E0C5D">
        <w:rPr>
          <w:rFonts w:ascii="Palatino Linotype" w:hAnsi="Palatino Linotype"/>
          <w:i/>
        </w:rPr>
        <w:t>Artículo 51. Los sujetos obligados d</w:t>
      </w:r>
      <w:r>
        <w:rPr>
          <w:rFonts w:ascii="Palatino Linotype" w:hAnsi="Palatino Linotype"/>
          <w:i/>
        </w:rPr>
        <w:t xml:space="preserve">esignaran a un responsable para </w:t>
      </w:r>
      <w:r w:rsidRPr="007E0C5D">
        <w:rPr>
          <w:rFonts w:ascii="Palatino Linotype" w:hAnsi="Palatino Linotype"/>
          <w:i/>
        </w:rPr>
        <w:t xml:space="preserve">atender la Unidad de Transparencia, </w:t>
      </w:r>
      <w:r>
        <w:rPr>
          <w:rFonts w:ascii="Palatino Linotype" w:hAnsi="Palatino Linotype"/>
          <w:i/>
        </w:rPr>
        <w:t xml:space="preserve">quien </w:t>
      </w:r>
      <w:r w:rsidRPr="007E0C5D">
        <w:rPr>
          <w:rFonts w:ascii="Palatino Linotype" w:hAnsi="Palatino Linotype"/>
          <w:b/>
          <w:i/>
          <w:u w:val="single"/>
        </w:rPr>
        <w:t>fungirá como enlace entre éstos y los solicitantes.</w:t>
      </w:r>
      <w:r w:rsidRPr="007E0C5D">
        <w:rPr>
          <w:rFonts w:ascii="Palatino Linotype" w:hAnsi="Palatino Linotype"/>
          <w:i/>
        </w:rPr>
        <w:t xml:space="preserve"> Dicha Unida</w:t>
      </w:r>
      <w:r>
        <w:rPr>
          <w:rFonts w:ascii="Palatino Linotype" w:hAnsi="Palatino Linotype"/>
          <w:i/>
        </w:rPr>
        <w:t xml:space="preserve">d será la encargada de tramitar </w:t>
      </w:r>
      <w:r w:rsidRPr="007E0C5D">
        <w:rPr>
          <w:rFonts w:ascii="Palatino Linotype" w:hAnsi="Palatino Linotype"/>
          <w:i/>
        </w:rPr>
        <w:t>internamente la solicitud de información</w:t>
      </w:r>
      <w:r>
        <w:rPr>
          <w:rFonts w:ascii="Palatino Linotype" w:hAnsi="Palatino Linotype"/>
          <w:i/>
        </w:rPr>
        <w:t xml:space="preserve"> y tendrá la responsabilidad de </w:t>
      </w:r>
      <w:r w:rsidRPr="007E0C5D">
        <w:rPr>
          <w:rFonts w:ascii="Palatino Linotype" w:hAnsi="Palatino Linotype"/>
          <w:i/>
        </w:rPr>
        <w:t>verificar en cada caso que la misma no sea confidencial o reservada.</w:t>
      </w:r>
    </w:p>
    <w:p w:rsidR="007E0C5D" w:rsidRPr="0082174F" w:rsidRDefault="007E0C5D" w:rsidP="007E0C5D">
      <w:pPr>
        <w:pStyle w:val="Prrafodelista"/>
        <w:autoSpaceDE w:val="0"/>
        <w:autoSpaceDN w:val="0"/>
        <w:adjustRightInd w:val="0"/>
        <w:spacing w:line="360" w:lineRule="auto"/>
        <w:ind w:left="1134" w:right="851"/>
        <w:jc w:val="both"/>
        <w:rPr>
          <w:rFonts w:ascii="Palatino Linotype" w:hAnsi="Palatino Linotype"/>
          <w:i/>
        </w:rPr>
      </w:pPr>
      <w:r w:rsidRPr="007E0C5D">
        <w:rPr>
          <w:rFonts w:ascii="Palatino Linotype" w:hAnsi="Palatino Linotype"/>
          <w:i/>
        </w:rPr>
        <w:t>Dicha Unidad contará con las facu</w:t>
      </w:r>
      <w:r>
        <w:rPr>
          <w:rFonts w:ascii="Palatino Linotype" w:hAnsi="Palatino Linotype"/>
          <w:i/>
        </w:rPr>
        <w:t xml:space="preserve">ltades internas necesarias para </w:t>
      </w:r>
      <w:r w:rsidRPr="007E0C5D">
        <w:rPr>
          <w:rFonts w:ascii="Palatino Linotype" w:hAnsi="Palatino Linotype"/>
          <w:i/>
        </w:rPr>
        <w:t>gestionar la atención a las solicitudes de</w:t>
      </w:r>
      <w:r>
        <w:rPr>
          <w:rFonts w:ascii="Palatino Linotype" w:hAnsi="Palatino Linotype"/>
          <w:i/>
        </w:rPr>
        <w:t xml:space="preserve"> información en los términos de </w:t>
      </w:r>
      <w:r w:rsidRPr="007E0C5D">
        <w:rPr>
          <w:rFonts w:ascii="Palatino Linotype" w:hAnsi="Palatino Linotype"/>
          <w:i/>
        </w:rPr>
        <w:t>la Ley General y la presente Ley.</w:t>
      </w:r>
    </w:p>
    <w:p w:rsidR="00975EB7" w:rsidRDefault="007E0C5D" w:rsidP="006B740B">
      <w:pPr>
        <w:keepNext/>
        <w:keepLines/>
        <w:spacing w:after="0" w:line="360" w:lineRule="auto"/>
        <w:jc w:val="both"/>
        <w:outlineLvl w:val="1"/>
        <w:rPr>
          <w:rFonts w:ascii="Palatino Linotype" w:eastAsia="Calibri" w:hAnsi="Palatino Linotype" w:cs="Arial"/>
          <w:sz w:val="24"/>
          <w:szCs w:val="24"/>
        </w:rPr>
      </w:pPr>
      <w:r>
        <w:rPr>
          <w:rFonts w:ascii="Palatino Linotype" w:eastAsia="Calibri" w:hAnsi="Palatino Linotype" w:cs="Arial"/>
          <w:sz w:val="24"/>
          <w:szCs w:val="24"/>
        </w:rPr>
        <w:lastRenderedPageBreak/>
        <w:t>Asimismo en el Bando Municipal de Zumpahuacan</w:t>
      </w:r>
      <w:r w:rsidR="005A2659">
        <w:rPr>
          <w:rFonts w:ascii="Palatino Linotype" w:eastAsia="Calibri" w:hAnsi="Palatino Linotype" w:cs="Arial"/>
          <w:sz w:val="24"/>
          <w:szCs w:val="24"/>
        </w:rPr>
        <w:t xml:space="preserve"> en su capítulo VII hace mención de la Unidad de Información, Planeaci</w:t>
      </w:r>
      <w:r w:rsidR="001265FB">
        <w:rPr>
          <w:rFonts w:ascii="Palatino Linotype" w:eastAsia="Calibri" w:hAnsi="Palatino Linotype" w:cs="Arial"/>
          <w:sz w:val="24"/>
          <w:szCs w:val="24"/>
        </w:rPr>
        <w:t>ón,</w:t>
      </w:r>
      <w:r w:rsidR="005A2659">
        <w:rPr>
          <w:rFonts w:ascii="Palatino Linotype" w:eastAsia="Calibri" w:hAnsi="Palatino Linotype" w:cs="Arial"/>
          <w:sz w:val="24"/>
          <w:szCs w:val="24"/>
        </w:rPr>
        <w:t xml:space="preserve"> Programación y Evaluación (UIPPE), la cual funge como </w:t>
      </w:r>
      <w:r w:rsidR="004D371E">
        <w:rPr>
          <w:rFonts w:ascii="Palatino Linotype" w:eastAsia="Calibri" w:hAnsi="Palatino Linotype" w:cs="Arial"/>
          <w:sz w:val="24"/>
          <w:szCs w:val="24"/>
        </w:rPr>
        <w:t>equivalente de la Unida de Transparencia, como se muestra a continuación:</w:t>
      </w:r>
    </w:p>
    <w:p w:rsidR="004D371E" w:rsidRPr="004D371E" w:rsidRDefault="004D371E" w:rsidP="004D371E">
      <w:pPr>
        <w:keepNext/>
        <w:keepLines/>
        <w:spacing w:after="0" w:line="360" w:lineRule="auto"/>
        <w:ind w:left="1134" w:right="992"/>
        <w:jc w:val="center"/>
        <w:outlineLvl w:val="1"/>
        <w:rPr>
          <w:rFonts w:ascii="Palatino Linotype" w:eastAsia="Calibri" w:hAnsi="Palatino Linotype" w:cs="Arial"/>
          <w:b/>
          <w:i/>
          <w:szCs w:val="24"/>
        </w:rPr>
      </w:pPr>
      <w:r w:rsidRPr="004D371E">
        <w:rPr>
          <w:rFonts w:ascii="Palatino Linotype" w:eastAsia="Calibri" w:hAnsi="Palatino Linotype" w:cs="Arial"/>
          <w:b/>
          <w:i/>
          <w:szCs w:val="24"/>
        </w:rPr>
        <w:t>CAPÍTULO VII. UNIDAD DE INFORMACIÓN, PLANEACIÓN, PROGRAMACIÓN Y EVALUACIÓN</w:t>
      </w:r>
    </w:p>
    <w:p w:rsidR="004D371E" w:rsidRPr="004D371E" w:rsidRDefault="004D371E" w:rsidP="004D371E">
      <w:pPr>
        <w:keepNext/>
        <w:keepLines/>
        <w:spacing w:after="0" w:line="360" w:lineRule="auto"/>
        <w:ind w:left="1134" w:right="992"/>
        <w:jc w:val="center"/>
        <w:outlineLvl w:val="1"/>
        <w:rPr>
          <w:rFonts w:ascii="Palatino Linotype" w:eastAsia="Calibri" w:hAnsi="Palatino Linotype" w:cs="Arial"/>
          <w:i/>
          <w:szCs w:val="24"/>
        </w:rPr>
      </w:pPr>
      <w:r w:rsidRPr="004D371E">
        <w:rPr>
          <w:rFonts w:ascii="Palatino Linotype" w:eastAsia="Calibri" w:hAnsi="Palatino Linotype" w:cs="Arial"/>
          <w:i/>
          <w:szCs w:val="24"/>
        </w:rPr>
        <w:t>(UIPPE)</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b/>
          <w:i/>
          <w:szCs w:val="24"/>
        </w:rPr>
        <w:t>Artículo 113.-</w:t>
      </w:r>
      <w:r w:rsidRPr="004D371E">
        <w:rPr>
          <w:rFonts w:ascii="Palatino Linotype" w:eastAsia="Calibri" w:hAnsi="Palatino Linotype" w:cs="Arial"/>
          <w:i/>
          <w:szCs w:val="24"/>
        </w:rPr>
        <w:t xml:space="preserve"> EL área de información, programación, planeación y evaluación UIPPE será un área cercana a los</w:t>
      </w:r>
      <w:r>
        <w:rPr>
          <w:rFonts w:ascii="Palatino Linotype" w:eastAsia="Calibri" w:hAnsi="Palatino Linotype" w:cs="Arial"/>
          <w:i/>
          <w:szCs w:val="24"/>
        </w:rPr>
        <w:t xml:space="preserve"> </w:t>
      </w:r>
      <w:r w:rsidRPr="004D371E">
        <w:rPr>
          <w:rFonts w:ascii="Palatino Linotype" w:eastAsia="Calibri" w:hAnsi="Palatino Linotype" w:cs="Arial"/>
          <w:i/>
          <w:szCs w:val="24"/>
        </w:rPr>
        <w:t>ciudadanos en el cumplimento de objetivos mediante la coordinación, eficaz y eficiente para la asignación y uso de</w:t>
      </w:r>
      <w:r>
        <w:rPr>
          <w:rFonts w:ascii="Palatino Linotype" w:eastAsia="Calibri" w:hAnsi="Palatino Linotype" w:cs="Arial"/>
          <w:i/>
          <w:szCs w:val="24"/>
        </w:rPr>
        <w:t xml:space="preserve"> </w:t>
      </w:r>
      <w:r w:rsidRPr="004D371E">
        <w:rPr>
          <w:rFonts w:ascii="Palatino Linotype" w:eastAsia="Calibri" w:hAnsi="Palatino Linotype" w:cs="Arial"/>
          <w:i/>
          <w:szCs w:val="24"/>
        </w:rPr>
        <w:t>recursos; con ello, se espera incrementar los índices de bienestar en las distintas comunidades del municipio.</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b/>
          <w:i/>
          <w:szCs w:val="24"/>
        </w:rPr>
        <w:t>Artículo 114.-</w:t>
      </w:r>
      <w:r w:rsidRPr="004D371E">
        <w:rPr>
          <w:rFonts w:ascii="Palatino Linotype" w:eastAsia="Calibri" w:hAnsi="Palatino Linotype" w:cs="Arial"/>
          <w:i/>
          <w:szCs w:val="24"/>
        </w:rPr>
        <w:t xml:space="preserve"> En los términos que establece la Constitución Políticas del Estado Libre y Soberano de México, la</w:t>
      </w:r>
      <w:r>
        <w:rPr>
          <w:rFonts w:ascii="Palatino Linotype" w:eastAsia="Calibri" w:hAnsi="Palatino Linotype" w:cs="Arial"/>
          <w:i/>
          <w:szCs w:val="24"/>
        </w:rPr>
        <w:t xml:space="preserve"> </w:t>
      </w:r>
      <w:r w:rsidRPr="004D371E">
        <w:rPr>
          <w:rFonts w:ascii="Palatino Linotype" w:eastAsia="Calibri" w:hAnsi="Palatino Linotype" w:cs="Arial"/>
          <w:i/>
          <w:szCs w:val="24"/>
        </w:rPr>
        <w:t>Ley Orgánica Municipal del Estado de México y Municipios; así como lo establecido en el Bando Municipal,</w:t>
      </w:r>
      <w:r>
        <w:rPr>
          <w:rFonts w:ascii="Palatino Linotype" w:eastAsia="Calibri" w:hAnsi="Palatino Linotype" w:cs="Arial"/>
          <w:i/>
          <w:szCs w:val="24"/>
        </w:rPr>
        <w:t xml:space="preserve"> </w:t>
      </w:r>
      <w:r w:rsidRPr="004D371E">
        <w:rPr>
          <w:rFonts w:ascii="Palatino Linotype" w:eastAsia="Calibri" w:hAnsi="Palatino Linotype" w:cs="Arial"/>
          <w:i/>
          <w:szCs w:val="24"/>
        </w:rPr>
        <w:t>corresponde al Ayuntamiento regular el proceso de organización e integración administrativa, ejecutiva y de control</w:t>
      </w:r>
      <w:r>
        <w:rPr>
          <w:rFonts w:ascii="Palatino Linotype" w:eastAsia="Calibri" w:hAnsi="Palatino Linotype" w:cs="Arial"/>
          <w:i/>
          <w:szCs w:val="24"/>
        </w:rPr>
        <w:t xml:space="preserve"> </w:t>
      </w:r>
      <w:r w:rsidRPr="004D371E">
        <w:rPr>
          <w:rFonts w:ascii="Palatino Linotype" w:eastAsia="Calibri" w:hAnsi="Palatino Linotype" w:cs="Arial"/>
          <w:i/>
          <w:szCs w:val="24"/>
        </w:rPr>
        <w:t>para la planeación del desarrollo Municipal.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I. Coordinar en su ámbito de competencia el sistema de planeación democrática para el desarrollo del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Municipio.</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II. Coordinador con la Unidad de Información, Planeación, Programación y Evaluación (UIPPE) la</w:t>
      </w:r>
      <w:r>
        <w:rPr>
          <w:rFonts w:ascii="Palatino Linotype" w:eastAsia="Calibri" w:hAnsi="Palatino Linotype" w:cs="Arial"/>
          <w:i/>
          <w:szCs w:val="24"/>
        </w:rPr>
        <w:t xml:space="preserve"> </w:t>
      </w:r>
      <w:r w:rsidRPr="004D371E">
        <w:rPr>
          <w:rFonts w:ascii="Palatino Linotype" w:eastAsia="Calibri" w:hAnsi="Palatino Linotype" w:cs="Arial"/>
          <w:i/>
          <w:szCs w:val="24"/>
        </w:rPr>
        <w:t>elaboración del Plan de Desarrollo Municipal.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III. Generar mecanismos de participación y consulta popular, a efecto de recabar propuestas planteadas</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por los distintos sectores de la sociedad en torno a la formulación del Plan del Desarrollo Municipal.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lastRenderedPageBreak/>
        <w:t>IV. Participar en la elaboración de los programas que emanen el Plan de Desarrollo Municipal,</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promoviendo y coordinando la participación de los distintos sectores de la sociedad en la definición,</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instrumentación y ejecución de obras y acciones.</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V. Participar en la evaluación del Plan de Desarrollo Municipal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VI. Fungir como receptor de las demandas sociales.</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t>Artículo 115.-</w:t>
      </w:r>
      <w:r w:rsidRPr="004D371E">
        <w:rPr>
          <w:rFonts w:ascii="Palatino Linotype" w:eastAsia="Calibri" w:hAnsi="Palatino Linotype" w:cs="Arial"/>
          <w:i/>
          <w:szCs w:val="24"/>
        </w:rPr>
        <w:t xml:space="preserve"> Se integrará el programa operativo anual que contemple metas por proyecto e impacto social, dicha</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acción deberá derivarse del Plan de Desarrollo Municipal. Los criterios metodológicos y la coordinación global del</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documento estarán a cargo de la Unidad de Planeación y Evaluación Municipal, quien diseñara las directrices para</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establecer los criterios de programación presupuesto y evaluación.</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Por tanto, todos los programas operativos anuales de cada una de las diferentes áreas de la administración pública</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Municipal deberán ser sometidos al conocimiento del Ayuntamiento para su análisis, evaluación, programación y</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aprobación.</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t>Artículo 116.-</w:t>
      </w:r>
      <w:r w:rsidRPr="004D371E">
        <w:rPr>
          <w:rFonts w:ascii="Palatino Linotype" w:eastAsia="Calibri" w:hAnsi="Palatino Linotype" w:cs="Arial"/>
          <w:i/>
          <w:szCs w:val="24"/>
        </w:rPr>
        <w:t xml:space="preserve"> El programa operativo anual define las tareas y el presupuesto para programar con base a objetivos y</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políticas públicas; acciones y proyectos a realizar e identificar, donde se va hacer y a quienes beneficiar.</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t>Artículo 117.-</w:t>
      </w:r>
      <w:r w:rsidRPr="004D371E">
        <w:rPr>
          <w:rFonts w:ascii="Palatino Linotype" w:eastAsia="Calibri" w:hAnsi="Palatino Linotype" w:cs="Arial"/>
          <w:i/>
          <w:szCs w:val="24"/>
        </w:rPr>
        <w:t xml:space="preserve"> El Ayuntamiento podrá celebrar convenios con particulares o con otros Ayuntamientos, con el</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4D371E">
        <w:rPr>
          <w:rFonts w:ascii="Palatino Linotype" w:eastAsia="Calibri" w:hAnsi="Palatino Linotype" w:cs="Arial"/>
          <w:i/>
          <w:szCs w:val="24"/>
        </w:rPr>
        <w:t>Gobierno del Estado y otros organismos públicos y privados, debidamente constituidos para la incorporación,</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ejecución de planes, programas y proyectos específicos</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lastRenderedPageBreak/>
        <w:t>Artículo118.-</w:t>
      </w:r>
      <w:r w:rsidRPr="004D371E">
        <w:rPr>
          <w:rFonts w:ascii="Palatino Linotype" w:eastAsia="Calibri" w:hAnsi="Palatino Linotype" w:cs="Arial"/>
          <w:i/>
          <w:szCs w:val="24"/>
        </w:rPr>
        <w:t xml:space="preserve"> Para la mejor estimulación, comprensión, programación encauzamiento de sus acciones</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gubernamentales, el Ayuntamiento podrá constituir comisiones de estudio y planeación, grupos o comités técnicos</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especializados consejos de participación ciudadana, y organizaciones sociales, conforme a los lineamientos del</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título III, capitulo quinto, sexto y séptimo de la ley Orgánica Municipal del Estado de México en vigor; así como lo</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 xml:space="preserve">que establece este Bando y los reglamentos en el mismo. </w:t>
      </w:r>
    </w:p>
    <w:p w:rsidR="004D371E" w:rsidRPr="004D371E" w:rsidRDefault="004D371E"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t>Artículo 119.-</w:t>
      </w:r>
      <w:r w:rsidRPr="004D371E">
        <w:rPr>
          <w:rFonts w:ascii="Palatino Linotype" w:eastAsia="Calibri" w:hAnsi="Palatino Linotype" w:cs="Arial"/>
          <w:i/>
          <w:szCs w:val="24"/>
        </w:rPr>
        <w:t xml:space="preserve"> Las comisión, consejos o comités que se constituyen por el Ayuntamiento con fundamentos para lo</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que fueron creadas, sus integrantes respetaran los dictámenes y acuerdos, las propuestas que de ella emanen, tendrá</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por objeto establecer recomendaciones que deberán ser analizadas por el Ayuntamiento y en las cuales se darán</w:t>
      </w:r>
      <w:r w:rsidR="006E276C">
        <w:rPr>
          <w:rFonts w:ascii="Palatino Linotype" w:eastAsia="Calibri" w:hAnsi="Palatino Linotype" w:cs="Arial"/>
          <w:i/>
          <w:szCs w:val="24"/>
        </w:rPr>
        <w:t xml:space="preserve"> </w:t>
      </w:r>
      <w:r w:rsidRPr="004D371E">
        <w:rPr>
          <w:rFonts w:ascii="Palatino Linotype" w:eastAsia="Calibri" w:hAnsi="Palatino Linotype" w:cs="Arial"/>
          <w:i/>
          <w:szCs w:val="24"/>
        </w:rPr>
        <w:t>inmediata respuesta.</w:t>
      </w:r>
    </w:p>
    <w:p w:rsidR="004D371E" w:rsidRDefault="006E276C" w:rsidP="004D371E">
      <w:pPr>
        <w:keepNext/>
        <w:keepLines/>
        <w:spacing w:after="0" w:line="360" w:lineRule="auto"/>
        <w:ind w:left="1134" w:right="992"/>
        <w:jc w:val="both"/>
        <w:outlineLvl w:val="1"/>
        <w:rPr>
          <w:rFonts w:ascii="Palatino Linotype" w:eastAsia="Calibri" w:hAnsi="Palatino Linotype" w:cs="Arial"/>
          <w:i/>
          <w:szCs w:val="24"/>
        </w:rPr>
      </w:pPr>
      <w:r w:rsidRPr="006E276C">
        <w:rPr>
          <w:rFonts w:ascii="Palatino Linotype" w:eastAsia="Calibri" w:hAnsi="Palatino Linotype" w:cs="Arial"/>
          <w:b/>
          <w:i/>
          <w:szCs w:val="24"/>
        </w:rPr>
        <w:t>Artículo</w:t>
      </w:r>
      <w:r w:rsidR="004D371E" w:rsidRPr="006E276C">
        <w:rPr>
          <w:rFonts w:ascii="Palatino Linotype" w:eastAsia="Calibri" w:hAnsi="Palatino Linotype" w:cs="Arial"/>
          <w:b/>
          <w:i/>
          <w:szCs w:val="24"/>
        </w:rPr>
        <w:t xml:space="preserve"> 120.-</w:t>
      </w:r>
      <w:r w:rsidR="004D371E" w:rsidRPr="004D371E">
        <w:rPr>
          <w:rFonts w:ascii="Palatino Linotype" w:eastAsia="Calibri" w:hAnsi="Palatino Linotype" w:cs="Arial"/>
          <w:i/>
          <w:szCs w:val="24"/>
        </w:rPr>
        <w:t xml:space="preserve"> El ejercicio del derecho a la información solo será restringido conforme no afecte el interés público o</w:t>
      </w:r>
      <w:r>
        <w:rPr>
          <w:rFonts w:ascii="Palatino Linotype" w:eastAsia="Calibri" w:hAnsi="Palatino Linotype" w:cs="Arial"/>
          <w:i/>
          <w:szCs w:val="24"/>
        </w:rPr>
        <w:t xml:space="preserve"> </w:t>
      </w:r>
      <w:r w:rsidR="004D371E" w:rsidRPr="004D371E">
        <w:rPr>
          <w:rFonts w:ascii="Palatino Linotype" w:eastAsia="Calibri" w:hAnsi="Palatino Linotype" w:cs="Arial"/>
          <w:i/>
          <w:szCs w:val="24"/>
        </w:rPr>
        <w:t>esté considerada como información clasificada conforme a la Ley de Transparencia y Acceso a la Información</w:t>
      </w:r>
      <w:r>
        <w:rPr>
          <w:rFonts w:ascii="Palatino Linotype" w:eastAsia="Calibri" w:hAnsi="Palatino Linotype" w:cs="Arial"/>
          <w:i/>
          <w:szCs w:val="24"/>
        </w:rPr>
        <w:t xml:space="preserve"> </w:t>
      </w:r>
      <w:r w:rsidR="004D371E" w:rsidRPr="004D371E">
        <w:rPr>
          <w:rFonts w:ascii="Palatino Linotype" w:eastAsia="Calibri" w:hAnsi="Palatino Linotype" w:cs="Arial"/>
          <w:i/>
          <w:szCs w:val="24"/>
        </w:rPr>
        <w:t>Pública del Estado de México, debiendo en estos casos la Unidad de Transparencia emitir una resolución</w:t>
      </w:r>
      <w:r>
        <w:rPr>
          <w:rFonts w:ascii="Palatino Linotype" w:eastAsia="Calibri" w:hAnsi="Palatino Linotype" w:cs="Arial"/>
          <w:i/>
          <w:szCs w:val="24"/>
        </w:rPr>
        <w:t xml:space="preserve"> </w:t>
      </w:r>
      <w:r w:rsidR="004D371E" w:rsidRPr="004D371E">
        <w:rPr>
          <w:rFonts w:ascii="Palatino Linotype" w:eastAsia="Calibri" w:hAnsi="Palatino Linotype" w:cs="Arial"/>
          <w:i/>
          <w:szCs w:val="24"/>
        </w:rPr>
        <w:t>debidamente fundada y motivada.</w:t>
      </w:r>
    </w:p>
    <w:p w:rsidR="006E276C" w:rsidRDefault="006E276C" w:rsidP="004D371E">
      <w:pPr>
        <w:keepNext/>
        <w:keepLines/>
        <w:spacing w:after="0" w:line="360" w:lineRule="auto"/>
        <w:ind w:left="1134" w:right="992"/>
        <w:jc w:val="both"/>
        <w:outlineLvl w:val="1"/>
        <w:rPr>
          <w:rFonts w:ascii="Palatino Linotype" w:eastAsia="Calibri" w:hAnsi="Palatino Linotype" w:cs="Arial"/>
          <w:i/>
          <w:szCs w:val="24"/>
        </w:rPr>
      </w:pPr>
    </w:p>
    <w:p w:rsidR="003E3894" w:rsidRPr="003E3894" w:rsidRDefault="003E3894" w:rsidP="003E3894">
      <w:pPr>
        <w:autoSpaceDE w:val="0"/>
        <w:autoSpaceDN w:val="0"/>
        <w:adjustRightInd w:val="0"/>
        <w:spacing w:line="360" w:lineRule="auto"/>
        <w:jc w:val="both"/>
        <w:rPr>
          <w:rFonts w:ascii="Palatino Linotype" w:hAnsi="Palatino Linotype" w:cs="Arial"/>
        </w:rPr>
      </w:pPr>
      <w:r w:rsidRPr="003E3894">
        <w:rPr>
          <w:rFonts w:ascii="Palatino Linotype" w:hAnsi="Palatino Linotype" w:cs="Arial"/>
        </w:rPr>
        <w:t>Por lo anterior es posible dilucidar que el Sujeto Obligado es competente para dar atención a la solicitud de información, materia del presente fallo, de ser procedente en versión pública.</w:t>
      </w: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6010FE">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E3894" w:rsidRDefault="003E3894" w:rsidP="00893572">
      <w:pPr>
        <w:tabs>
          <w:tab w:val="left" w:pos="8931"/>
        </w:tabs>
        <w:spacing w:before="240" w:line="360" w:lineRule="auto"/>
        <w:ind w:right="51"/>
        <w:jc w:val="both"/>
        <w:rPr>
          <w:rFonts w:ascii="Palatino Linotype" w:hAnsi="Palatino Linotype"/>
          <w:sz w:val="24"/>
          <w:szCs w:val="24"/>
        </w:rPr>
      </w:pPr>
    </w:p>
    <w:p w:rsidR="00124810"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3E3894" w:rsidRPr="00124810" w:rsidRDefault="003E3894" w:rsidP="00124810">
      <w:pPr>
        <w:tabs>
          <w:tab w:val="left" w:pos="8931"/>
        </w:tabs>
        <w:spacing w:before="240" w:line="360" w:lineRule="auto"/>
        <w:ind w:right="51"/>
        <w:jc w:val="both"/>
        <w:rPr>
          <w:rFonts w:ascii="Palatino Linotype" w:hAnsi="Palatino Linotype"/>
          <w:sz w:val="24"/>
          <w:szCs w:val="24"/>
        </w:rPr>
      </w:pPr>
    </w:p>
    <w:p w:rsidR="00EF4493" w:rsidRPr="00413327" w:rsidRDefault="00E83F42"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SE RESUELVE</w:t>
      </w:r>
    </w:p>
    <w:p w:rsidR="003E3894" w:rsidRPr="00434359" w:rsidRDefault="00EF4493" w:rsidP="003E3894">
      <w:pPr>
        <w:spacing w:line="360" w:lineRule="auto"/>
        <w:jc w:val="both"/>
        <w:rPr>
          <w:rFonts w:ascii="Palatino Linotype" w:hAnsi="Palatino Linotype" w:cs="Arial"/>
          <w:b/>
          <w:sz w:val="24"/>
          <w:szCs w:val="24"/>
        </w:rPr>
      </w:pPr>
      <w:r w:rsidRPr="00413327">
        <w:rPr>
          <w:rFonts w:ascii="Palatino Linotype" w:hAnsi="Palatino Linotype" w:cs="Arial"/>
          <w:b/>
          <w:sz w:val="24"/>
          <w:szCs w:val="24"/>
          <w:lang w:val="es-ES_tradnl"/>
        </w:rPr>
        <w:lastRenderedPageBreak/>
        <w:t>PRIMERO.</w:t>
      </w:r>
      <w:r w:rsidRPr="00413327">
        <w:rPr>
          <w:rFonts w:ascii="Palatino Linotype" w:hAnsi="Palatino Linotype" w:cs="Arial"/>
          <w:sz w:val="24"/>
          <w:szCs w:val="24"/>
          <w:lang w:val="es-ES_tradnl"/>
        </w:rPr>
        <w:t xml:space="preserve"> </w:t>
      </w:r>
      <w:r w:rsidR="003E3894" w:rsidRPr="00434359">
        <w:rPr>
          <w:rFonts w:ascii="Palatino Linotype" w:eastAsia="Arial Unicode MS" w:hAnsi="Palatino Linotype" w:cs="Arial"/>
          <w:sz w:val="24"/>
          <w:szCs w:val="24"/>
        </w:rPr>
        <w:t>Se</w:t>
      </w:r>
      <w:r w:rsidR="003E3894" w:rsidRPr="00434359">
        <w:rPr>
          <w:rFonts w:ascii="Palatino Linotype" w:hAnsi="Palatino Linotype" w:cs="Arial"/>
          <w:sz w:val="24"/>
          <w:szCs w:val="24"/>
          <w:lang w:val="es-ES_tradnl"/>
        </w:rPr>
        <w:t xml:space="preserve"> </w:t>
      </w:r>
      <w:r w:rsidR="003E3894" w:rsidRPr="00434359">
        <w:rPr>
          <w:rFonts w:ascii="Palatino Linotype" w:hAnsi="Palatino Linotype" w:cs="Arial"/>
          <w:b/>
          <w:sz w:val="24"/>
          <w:szCs w:val="24"/>
          <w:lang w:val="es-ES_tradnl"/>
        </w:rPr>
        <w:t>REVOCA</w:t>
      </w:r>
      <w:r w:rsidR="003E3894" w:rsidRPr="00434359">
        <w:rPr>
          <w:rFonts w:ascii="Palatino Linotype" w:hAnsi="Palatino Linotype" w:cs="Arial"/>
          <w:sz w:val="24"/>
          <w:szCs w:val="24"/>
          <w:lang w:val="es-ES_tradnl"/>
        </w:rPr>
        <w:t xml:space="preserve"> </w:t>
      </w:r>
      <w:r w:rsidR="003E3894" w:rsidRPr="00434359">
        <w:rPr>
          <w:rFonts w:ascii="Palatino Linotype" w:eastAsia="Arial Unicode MS" w:hAnsi="Palatino Linotype" w:cs="Arial"/>
          <w:sz w:val="24"/>
          <w:szCs w:val="24"/>
        </w:rPr>
        <w:t xml:space="preserve">la respuesta entregada por </w:t>
      </w:r>
      <w:r w:rsidR="003E3894" w:rsidRPr="00434359">
        <w:rPr>
          <w:rFonts w:ascii="Palatino Linotype" w:eastAsia="Arial Unicode MS" w:hAnsi="Palatino Linotype" w:cs="Arial"/>
          <w:b/>
          <w:sz w:val="24"/>
          <w:szCs w:val="24"/>
        </w:rPr>
        <w:t xml:space="preserve">el Sujeto Obligado </w:t>
      </w:r>
      <w:r w:rsidR="003E3894" w:rsidRPr="00434359">
        <w:rPr>
          <w:rFonts w:ascii="Palatino Linotype" w:eastAsia="Arial Unicode MS" w:hAnsi="Palatino Linotype" w:cs="Arial"/>
          <w:sz w:val="24"/>
          <w:szCs w:val="24"/>
        </w:rPr>
        <w:t xml:space="preserve">a la solicitud de información número </w:t>
      </w:r>
      <w:r w:rsidR="003E3894" w:rsidRPr="003E3894">
        <w:rPr>
          <w:rFonts w:ascii="Palatino Linotype" w:hAnsi="Palatino Linotype" w:cs="Arial"/>
          <w:b/>
          <w:sz w:val="24"/>
          <w:szCs w:val="24"/>
        </w:rPr>
        <w:t>00308/ZUMPAHUA/IP/2019</w:t>
      </w:r>
      <w:r w:rsidR="003E3894">
        <w:rPr>
          <w:rFonts w:ascii="Palatino Linotype" w:hAnsi="Palatino Linotype" w:cs="Arial"/>
          <w:b/>
          <w:sz w:val="24"/>
          <w:szCs w:val="24"/>
        </w:rPr>
        <w:t xml:space="preserve">, </w:t>
      </w:r>
      <w:r w:rsidR="003E3894" w:rsidRPr="00434359">
        <w:rPr>
          <w:rFonts w:ascii="Palatino Linotype" w:hAnsi="Palatino Linotype" w:cs="Arial"/>
          <w:sz w:val="24"/>
          <w:szCs w:val="24"/>
        </w:rPr>
        <w:t xml:space="preserve">ya que </w:t>
      </w:r>
      <w:r w:rsidR="003E3894" w:rsidRPr="00434359">
        <w:rPr>
          <w:rFonts w:ascii="Palatino Linotype" w:hAnsi="Palatino Linotype" w:cs="Arial"/>
          <w:sz w:val="24"/>
          <w:szCs w:val="24"/>
          <w:lang w:val="es-ES_tradnl"/>
        </w:rPr>
        <w:t xml:space="preserve">resultan fundadas las razones o motivos de inconformidad </w:t>
      </w:r>
      <w:r w:rsidR="003E3894" w:rsidRPr="00434359">
        <w:rPr>
          <w:rFonts w:ascii="Palatino Linotype" w:eastAsia="Arial Unicode MS" w:hAnsi="Palatino Linotype" w:cs="Arial"/>
          <w:sz w:val="24"/>
          <w:szCs w:val="24"/>
        </w:rPr>
        <w:t xml:space="preserve">que arguye el recurrente, en términos del </w:t>
      </w:r>
      <w:r w:rsidR="008D06B2">
        <w:rPr>
          <w:rFonts w:ascii="Palatino Linotype" w:hAnsi="Palatino Linotype" w:cs="Arial"/>
          <w:sz w:val="24"/>
          <w:szCs w:val="24"/>
        </w:rPr>
        <w:t>Considerando Quinto</w:t>
      </w:r>
      <w:r w:rsidR="003E3894" w:rsidRPr="00434359">
        <w:rPr>
          <w:rFonts w:ascii="Palatino Linotype" w:hAnsi="Palatino Linotype" w:cs="Arial"/>
          <w:sz w:val="24"/>
          <w:szCs w:val="24"/>
        </w:rPr>
        <w:t xml:space="preserve">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1A4006" w:rsidRPr="00F352EC" w:rsidRDefault="001A4006" w:rsidP="00F352EC">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a través del SAIMEX,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documentos donde conste lo siguiente:</w:t>
      </w:r>
    </w:p>
    <w:p w:rsidR="001A4006" w:rsidRDefault="001A4006" w:rsidP="001A4006">
      <w:pPr>
        <w:pStyle w:val="Prrafodelista"/>
        <w:numPr>
          <w:ilvl w:val="0"/>
          <w:numId w:val="38"/>
        </w:numPr>
        <w:autoSpaceDE w:val="0"/>
        <w:autoSpaceDN w:val="0"/>
        <w:adjustRightInd w:val="0"/>
        <w:spacing w:before="240" w:line="360" w:lineRule="auto"/>
        <w:ind w:right="49"/>
        <w:jc w:val="both"/>
        <w:rPr>
          <w:rFonts w:ascii="Palatino Linotype" w:hAnsi="Palatino Linotype"/>
          <w:i/>
          <w:lang w:val="es-ES_tradnl"/>
        </w:rPr>
      </w:pPr>
      <w:r>
        <w:rPr>
          <w:rFonts w:ascii="Palatino Linotype" w:hAnsi="Palatino Linotype"/>
          <w:i/>
          <w:lang w:val="es-ES_tradnl"/>
        </w:rPr>
        <w:t>P</w:t>
      </w:r>
      <w:r w:rsidRPr="001A4006">
        <w:rPr>
          <w:rFonts w:ascii="Palatino Linotype" w:hAnsi="Palatino Linotype"/>
          <w:i/>
          <w:lang w:val="es-ES_tradnl"/>
        </w:rPr>
        <w:t>lan de capacitación en materia de transparencia, acceso a la información y protección de</w:t>
      </w:r>
      <w:r>
        <w:rPr>
          <w:rFonts w:ascii="Palatino Linotype" w:hAnsi="Palatino Linotype"/>
          <w:i/>
          <w:lang w:val="es-ES_tradnl"/>
        </w:rPr>
        <w:t xml:space="preserve"> datos personales del municipio. </w:t>
      </w:r>
    </w:p>
    <w:p w:rsidR="001A4006" w:rsidRDefault="001A4006" w:rsidP="001A4006">
      <w:pPr>
        <w:pStyle w:val="Textonotapie"/>
        <w:rPr>
          <w:lang w:eastAsia="es-MX"/>
        </w:rPr>
      </w:pPr>
    </w:p>
    <w:p w:rsidR="001A4006" w:rsidRDefault="001A4006" w:rsidP="001A4006">
      <w:pPr>
        <w:pStyle w:val="Sinespaciado"/>
      </w:pPr>
    </w:p>
    <w:p w:rsidR="001A4006" w:rsidRDefault="001A4006" w:rsidP="001A4006">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A4006" w:rsidRPr="00D22D43" w:rsidRDefault="001A4006" w:rsidP="001A4006">
      <w:pPr>
        <w:pStyle w:val="Sinespaciado"/>
        <w:spacing w:line="360" w:lineRule="auto"/>
        <w:jc w:val="both"/>
        <w:rPr>
          <w:rFonts w:ascii="Palatino Linotype" w:hAnsi="Palatino Linotype"/>
        </w:rPr>
      </w:pPr>
    </w:p>
    <w:p w:rsidR="00E83F42" w:rsidRPr="005F3EB7" w:rsidRDefault="001A4006" w:rsidP="005F3EB7">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w:t>
      </w:r>
      <w:r w:rsidR="00E83F42">
        <w:rPr>
          <w:rFonts w:ascii="Palatino Linotype" w:hAnsi="Palatino Linotype" w:cs="Arial"/>
        </w:rPr>
        <w:t>IONADOS ZULEMA MARTÍNEZ SÁNCHEZ,</w:t>
      </w:r>
      <w:r w:rsidRPr="005B37EF">
        <w:rPr>
          <w:rFonts w:ascii="Palatino Linotype" w:hAnsi="Palatino Linotype" w:cs="Arial"/>
        </w:rPr>
        <w:t xml:space="preserve">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014DDD">
        <w:rPr>
          <w:rFonts w:ascii="Palatino Linotype" w:hAnsi="Palatino Linotype" w:cs="Arial"/>
        </w:rPr>
        <w:t xml:space="preserve"> </w:t>
      </w:r>
      <w:r w:rsidRPr="005B37EF">
        <w:rPr>
          <w:rFonts w:ascii="Palatino Linotype" w:hAnsi="Palatino Linotype" w:cs="Arial"/>
        </w:rPr>
        <w:t xml:space="preserve">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5F3EB7">
        <w:rPr>
          <w:rFonts w:ascii="Palatino Linotype" w:hAnsi="Palatino Linotype" w:cs="Arial"/>
        </w:rPr>
        <w:t>NOVENA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5F3EB7">
        <w:rPr>
          <w:rFonts w:ascii="Palatino Linotype" w:hAnsi="Palatino Linotype" w:cs="Arial"/>
        </w:rPr>
        <w:t>ONCE DE MARZO</w:t>
      </w:r>
      <w:r w:rsidR="00586AEE">
        <w:rPr>
          <w:rFonts w:ascii="Palatino Linotype" w:hAnsi="Palatino Linotype" w:cs="Arial"/>
        </w:rPr>
        <w:t xml:space="preserve"> </w:t>
      </w:r>
      <w:r w:rsidR="00C50F69">
        <w:rPr>
          <w:rFonts w:ascii="Palatino Linotype" w:hAnsi="Palatino Linotype" w:cs="Arial"/>
        </w:rPr>
        <w:t>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5F3EB7">
        <w:rPr>
          <w:rFonts w:ascii="Palatino Linotype" w:hAnsi="Palatino Linotype" w:cs="Arial"/>
          <w:sz w:val="24"/>
        </w:rPr>
        <w:t>-------------------------------------------------------------------------------------------------------------------------------------------------------------------------------------------------------------------------------------------------------------------------------------------------------------------------------------------------------------------------------------------------------------------------------------------------------------------------------------------------------------------------------------------------------------------------------------------------------------------------------------------------------------------------------------------------------------------------------------------------------------------------------------------------------------------------------------------------------------------------------------------------------------------------------------------------------------------------------------------------------------------------------------------------------------------------------------------------------------------------------------------------------------------------------------------------------------------------------------------------------------------------------------------------------------------------------------------------------------------------------------------------------------------------------------------------------------------------------------------------------------------------------------------------------------------------------------------------------------------------------------------------------------------------------------------------------------------------------------------------------------------------------------------------------------------------------------------------------------------------------------------------------------------------------------------------------------------------------------------------------------------------------------------</w:t>
      </w:r>
    </w:p>
    <w:p w:rsidR="00755B41" w:rsidRDefault="00755B41" w:rsidP="00755B41">
      <w:pPr>
        <w:spacing w:before="240" w:after="240" w:line="360" w:lineRule="auto"/>
        <w:ind w:right="49"/>
        <w:jc w:val="both"/>
        <w:rPr>
          <w:rFonts w:ascii="Palatino Linotype" w:hAnsi="Palatino Linotype" w:cs="Arial"/>
        </w:rPr>
      </w:pPr>
    </w:p>
    <w:p w:rsidR="00586AEE" w:rsidRPr="00755B41" w:rsidRDefault="00586AEE"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F3EB7">
        <w:rPr>
          <w:rFonts w:ascii="Palatino Linotype" w:hAnsi="Palatino Linotype" w:cs="Arial"/>
          <w:sz w:val="16"/>
          <w:szCs w:val="16"/>
        </w:rPr>
        <w:t>once de marzo de</w:t>
      </w:r>
      <w:r w:rsidRPr="00DF4D67">
        <w:rPr>
          <w:rFonts w:ascii="Palatino Linotype" w:hAnsi="Palatino Linotype" w:cs="Arial"/>
          <w:sz w:val="16"/>
          <w:szCs w:val="16"/>
        </w:rPr>
        <w:t xml:space="preserv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8D06B2">
        <w:rPr>
          <w:rFonts w:ascii="Palatino Linotype" w:hAnsi="Palatino Linotype" w:cs="Arial"/>
          <w:bCs/>
          <w:sz w:val="16"/>
          <w:szCs w:val="16"/>
          <w:lang w:eastAsia="es-MX"/>
        </w:rPr>
        <w:t>11995</w:t>
      </w:r>
      <w:r w:rsidR="00025E59">
        <w:rPr>
          <w:rFonts w:ascii="Palatino Linotype" w:hAnsi="Palatino Linotype" w:cs="Arial"/>
          <w:bCs/>
          <w:sz w:val="16"/>
          <w:szCs w:val="16"/>
          <w:lang w:eastAsia="es-MX"/>
        </w:rPr>
        <w:t>/INFOEM/IP/RR/2019</w:t>
      </w:r>
    </w:p>
    <w:p w:rsidR="00696FBF" w:rsidRPr="00C50F69" w:rsidRDefault="008D06B2"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OSAM/FJJC</w:t>
      </w:r>
    </w:p>
    <w:sectPr w:rsidR="00696FBF" w:rsidRPr="00C50F69" w:rsidSect="006F25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3B" w:rsidRDefault="00C02B3B" w:rsidP="00EF4493">
      <w:pPr>
        <w:spacing w:after="0" w:line="240" w:lineRule="auto"/>
      </w:pPr>
      <w:r>
        <w:separator/>
      </w:r>
    </w:p>
  </w:endnote>
  <w:endnote w:type="continuationSeparator" w:id="0">
    <w:p w:rsidR="00C02B3B" w:rsidRDefault="00C02B3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64E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64E7">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64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64E7">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3B" w:rsidRDefault="00C02B3B" w:rsidP="00EF4493">
      <w:pPr>
        <w:spacing w:after="0" w:line="240" w:lineRule="auto"/>
      </w:pPr>
      <w:r>
        <w:separator/>
      </w:r>
    </w:p>
  </w:footnote>
  <w:footnote w:type="continuationSeparator" w:id="0">
    <w:p w:rsidR="00C02B3B" w:rsidRDefault="00C02B3B"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8D06B2"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11995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5F6D69" w:rsidP="00761D7D">
          <w:pPr>
            <w:spacing w:after="120" w:line="256" w:lineRule="auto"/>
            <w:ind w:right="214"/>
            <w:jc w:val="both"/>
            <w:rPr>
              <w:rFonts w:ascii="Palatino Linotype" w:hAnsi="Palatino Linotype" w:cs="Arial"/>
            </w:rPr>
          </w:pPr>
          <w:r w:rsidRPr="005F6D69">
            <w:rPr>
              <w:rFonts w:ascii="Palatino Linotype" w:hAnsi="Palatino Linotype" w:cs="Arial"/>
              <w:szCs w:val="20"/>
            </w:rPr>
            <w:t>Ayuntamiento de Zumpahuacán</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1A4006"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11995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E664E7"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5F6D69" w:rsidP="003C3CA3">
          <w:pPr>
            <w:spacing w:after="120" w:line="256" w:lineRule="auto"/>
            <w:ind w:right="214"/>
            <w:jc w:val="both"/>
            <w:rPr>
              <w:rFonts w:ascii="Palatino Linotype" w:hAnsi="Palatino Linotype" w:cs="Arial"/>
              <w:szCs w:val="20"/>
            </w:rPr>
          </w:pPr>
          <w:r w:rsidRPr="005F6D69">
            <w:rPr>
              <w:rFonts w:ascii="Palatino Linotype" w:hAnsi="Palatino Linotype" w:cs="Arial"/>
              <w:szCs w:val="20"/>
            </w:rPr>
            <w:t>Ayuntamiento de Zumpahuacán</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E305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31"/>
  </w:num>
  <w:num w:numId="5">
    <w:abstractNumId w:val="17"/>
  </w:num>
  <w:num w:numId="6">
    <w:abstractNumId w:val="41"/>
  </w:num>
  <w:num w:numId="7">
    <w:abstractNumId w:val="3"/>
  </w:num>
  <w:num w:numId="8">
    <w:abstractNumId w:val="18"/>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3"/>
  </w:num>
  <w:num w:numId="21">
    <w:abstractNumId w:val="9"/>
  </w:num>
  <w:num w:numId="22">
    <w:abstractNumId w:val="32"/>
  </w:num>
  <w:num w:numId="23">
    <w:abstractNumId w:val="14"/>
  </w:num>
  <w:num w:numId="24">
    <w:abstractNumId w:val="38"/>
  </w:num>
  <w:num w:numId="25">
    <w:abstractNumId w:val="36"/>
  </w:num>
  <w:num w:numId="26">
    <w:abstractNumId w:val="5"/>
  </w:num>
  <w:num w:numId="27">
    <w:abstractNumId w:val="23"/>
  </w:num>
  <w:num w:numId="28">
    <w:abstractNumId w:val="35"/>
  </w:num>
  <w:num w:numId="29">
    <w:abstractNumId w:val="43"/>
  </w:num>
  <w:num w:numId="30">
    <w:abstractNumId w:val="26"/>
  </w:num>
  <w:num w:numId="31">
    <w:abstractNumId w:val="28"/>
  </w:num>
  <w:num w:numId="32">
    <w:abstractNumId w:val="40"/>
  </w:num>
  <w:num w:numId="33">
    <w:abstractNumId w:val="30"/>
  </w:num>
  <w:num w:numId="34">
    <w:abstractNumId w:val="19"/>
  </w:num>
  <w:num w:numId="35">
    <w:abstractNumId w:val="16"/>
  </w:num>
  <w:num w:numId="36">
    <w:abstractNumId w:val="10"/>
  </w:num>
  <w:num w:numId="37">
    <w:abstractNumId w:val="12"/>
  </w:num>
  <w:num w:numId="38">
    <w:abstractNumId w:val="37"/>
  </w:num>
  <w:num w:numId="39">
    <w:abstractNumId w:val="21"/>
  </w:num>
  <w:num w:numId="40">
    <w:abstractNumId w:val="27"/>
  </w:num>
  <w:num w:numId="41">
    <w:abstractNumId w:val="4"/>
  </w:num>
  <w:num w:numId="42">
    <w:abstractNumId w:val="15"/>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14DDD"/>
    <w:rsid w:val="000214BB"/>
    <w:rsid w:val="00025141"/>
    <w:rsid w:val="00025E59"/>
    <w:rsid w:val="00032B17"/>
    <w:rsid w:val="000337D4"/>
    <w:rsid w:val="0004651D"/>
    <w:rsid w:val="00055A0F"/>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30F9"/>
    <w:rsid w:val="000F6658"/>
    <w:rsid w:val="00103D98"/>
    <w:rsid w:val="00106E8D"/>
    <w:rsid w:val="001141ED"/>
    <w:rsid w:val="00114686"/>
    <w:rsid w:val="00124474"/>
    <w:rsid w:val="00124810"/>
    <w:rsid w:val="00124E05"/>
    <w:rsid w:val="00124E16"/>
    <w:rsid w:val="001265FB"/>
    <w:rsid w:val="001267CD"/>
    <w:rsid w:val="001278E0"/>
    <w:rsid w:val="001501CA"/>
    <w:rsid w:val="001633F9"/>
    <w:rsid w:val="00166EC3"/>
    <w:rsid w:val="00185C3A"/>
    <w:rsid w:val="00187FF4"/>
    <w:rsid w:val="00190B39"/>
    <w:rsid w:val="001A4006"/>
    <w:rsid w:val="001A5891"/>
    <w:rsid w:val="001A785D"/>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B759C"/>
    <w:rsid w:val="002D04E8"/>
    <w:rsid w:val="002E1AAC"/>
    <w:rsid w:val="002F7FF2"/>
    <w:rsid w:val="00306529"/>
    <w:rsid w:val="00325503"/>
    <w:rsid w:val="00326F0B"/>
    <w:rsid w:val="00344DF6"/>
    <w:rsid w:val="00355864"/>
    <w:rsid w:val="0036339D"/>
    <w:rsid w:val="0036453F"/>
    <w:rsid w:val="00364724"/>
    <w:rsid w:val="0036658A"/>
    <w:rsid w:val="00370AE0"/>
    <w:rsid w:val="00381A38"/>
    <w:rsid w:val="00394381"/>
    <w:rsid w:val="003A3011"/>
    <w:rsid w:val="003C3CA3"/>
    <w:rsid w:val="003E33B1"/>
    <w:rsid w:val="003E3894"/>
    <w:rsid w:val="003E6C68"/>
    <w:rsid w:val="003F128F"/>
    <w:rsid w:val="003F6FE0"/>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B13E8"/>
    <w:rsid w:val="004B2880"/>
    <w:rsid w:val="004C1447"/>
    <w:rsid w:val="004C565B"/>
    <w:rsid w:val="004D1716"/>
    <w:rsid w:val="004D371E"/>
    <w:rsid w:val="004F4459"/>
    <w:rsid w:val="005075CF"/>
    <w:rsid w:val="00507992"/>
    <w:rsid w:val="00513367"/>
    <w:rsid w:val="00515E81"/>
    <w:rsid w:val="00521B8E"/>
    <w:rsid w:val="00526446"/>
    <w:rsid w:val="00540B2F"/>
    <w:rsid w:val="00545C18"/>
    <w:rsid w:val="00546BD1"/>
    <w:rsid w:val="0055089B"/>
    <w:rsid w:val="005521BA"/>
    <w:rsid w:val="005569D6"/>
    <w:rsid w:val="005649E2"/>
    <w:rsid w:val="00583579"/>
    <w:rsid w:val="00586AEE"/>
    <w:rsid w:val="00586B5A"/>
    <w:rsid w:val="005A2659"/>
    <w:rsid w:val="005A5CE2"/>
    <w:rsid w:val="005A7CA3"/>
    <w:rsid w:val="005B3EB0"/>
    <w:rsid w:val="005B4B11"/>
    <w:rsid w:val="005D137B"/>
    <w:rsid w:val="005D5C8C"/>
    <w:rsid w:val="005D6AC6"/>
    <w:rsid w:val="005D72CE"/>
    <w:rsid w:val="005E56B2"/>
    <w:rsid w:val="005F3EB2"/>
    <w:rsid w:val="005F3EB7"/>
    <w:rsid w:val="005F6D69"/>
    <w:rsid w:val="0060353E"/>
    <w:rsid w:val="00604565"/>
    <w:rsid w:val="006046ED"/>
    <w:rsid w:val="00684514"/>
    <w:rsid w:val="00687109"/>
    <w:rsid w:val="00696FBF"/>
    <w:rsid w:val="00697A1C"/>
    <w:rsid w:val="006B11C6"/>
    <w:rsid w:val="006B2A06"/>
    <w:rsid w:val="006B740B"/>
    <w:rsid w:val="006D6D37"/>
    <w:rsid w:val="006E276C"/>
    <w:rsid w:val="006E6052"/>
    <w:rsid w:val="006F251D"/>
    <w:rsid w:val="006F2DE7"/>
    <w:rsid w:val="006F3C31"/>
    <w:rsid w:val="006F63D2"/>
    <w:rsid w:val="007135EE"/>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E0C5D"/>
    <w:rsid w:val="007F011C"/>
    <w:rsid w:val="0080077B"/>
    <w:rsid w:val="00803304"/>
    <w:rsid w:val="00815A0F"/>
    <w:rsid w:val="00817E7B"/>
    <w:rsid w:val="008229F9"/>
    <w:rsid w:val="008626E3"/>
    <w:rsid w:val="00877591"/>
    <w:rsid w:val="008860FD"/>
    <w:rsid w:val="00893572"/>
    <w:rsid w:val="008938CF"/>
    <w:rsid w:val="008A0849"/>
    <w:rsid w:val="008C1B43"/>
    <w:rsid w:val="008D06B2"/>
    <w:rsid w:val="008D16FA"/>
    <w:rsid w:val="008E0BB6"/>
    <w:rsid w:val="008E35CC"/>
    <w:rsid w:val="008E67E9"/>
    <w:rsid w:val="008F4D4B"/>
    <w:rsid w:val="009017C6"/>
    <w:rsid w:val="00903DAE"/>
    <w:rsid w:val="00905CA1"/>
    <w:rsid w:val="009404A3"/>
    <w:rsid w:val="009461B1"/>
    <w:rsid w:val="00975EB7"/>
    <w:rsid w:val="0097766B"/>
    <w:rsid w:val="00983BC6"/>
    <w:rsid w:val="009900EC"/>
    <w:rsid w:val="009A304B"/>
    <w:rsid w:val="009A7AB8"/>
    <w:rsid w:val="009B5455"/>
    <w:rsid w:val="009D55B4"/>
    <w:rsid w:val="009E56E2"/>
    <w:rsid w:val="009F286E"/>
    <w:rsid w:val="00A3570D"/>
    <w:rsid w:val="00A3752B"/>
    <w:rsid w:val="00A5380A"/>
    <w:rsid w:val="00A62BC0"/>
    <w:rsid w:val="00A67DDE"/>
    <w:rsid w:val="00A719CB"/>
    <w:rsid w:val="00A934FC"/>
    <w:rsid w:val="00A944BC"/>
    <w:rsid w:val="00AB45A4"/>
    <w:rsid w:val="00AC0CA2"/>
    <w:rsid w:val="00AC1824"/>
    <w:rsid w:val="00AD479B"/>
    <w:rsid w:val="00AE6BF4"/>
    <w:rsid w:val="00AF298F"/>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1F6D"/>
    <w:rsid w:val="00B94AF5"/>
    <w:rsid w:val="00BA7A9C"/>
    <w:rsid w:val="00BB502B"/>
    <w:rsid w:val="00BB62B5"/>
    <w:rsid w:val="00BC02DE"/>
    <w:rsid w:val="00BD0523"/>
    <w:rsid w:val="00BE1CF1"/>
    <w:rsid w:val="00BE6F62"/>
    <w:rsid w:val="00BF4A39"/>
    <w:rsid w:val="00C02B3B"/>
    <w:rsid w:val="00C07D1E"/>
    <w:rsid w:val="00C11C06"/>
    <w:rsid w:val="00C2405E"/>
    <w:rsid w:val="00C2663F"/>
    <w:rsid w:val="00C318E7"/>
    <w:rsid w:val="00C47430"/>
    <w:rsid w:val="00C50F69"/>
    <w:rsid w:val="00C64549"/>
    <w:rsid w:val="00C66054"/>
    <w:rsid w:val="00C67CCC"/>
    <w:rsid w:val="00C74C20"/>
    <w:rsid w:val="00C75866"/>
    <w:rsid w:val="00C76FD3"/>
    <w:rsid w:val="00C8176F"/>
    <w:rsid w:val="00C948EC"/>
    <w:rsid w:val="00CA4E2D"/>
    <w:rsid w:val="00CB17A8"/>
    <w:rsid w:val="00CB33B2"/>
    <w:rsid w:val="00CB5A0F"/>
    <w:rsid w:val="00CD0DB5"/>
    <w:rsid w:val="00CD400D"/>
    <w:rsid w:val="00CE2679"/>
    <w:rsid w:val="00CF17C0"/>
    <w:rsid w:val="00CF36A8"/>
    <w:rsid w:val="00D110B7"/>
    <w:rsid w:val="00D14C34"/>
    <w:rsid w:val="00D317E2"/>
    <w:rsid w:val="00D35DCB"/>
    <w:rsid w:val="00D41A59"/>
    <w:rsid w:val="00D43C37"/>
    <w:rsid w:val="00D449DB"/>
    <w:rsid w:val="00D50082"/>
    <w:rsid w:val="00D5314D"/>
    <w:rsid w:val="00D54F45"/>
    <w:rsid w:val="00D56BC0"/>
    <w:rsid w:val="00D56D1F"/>
    <w:rsid w:val="00D632D6"/>
    <w:rsid w:val="00D64AFF"/>
    <w:rsid w:val="00D66256"/>
    <w:rsid w:val="00D706AD"/>
    <w:rsid w:val="00D75807"/>
    <w:rsid w:val="00D87861"/>
    <w:rsid w:val="00D919D3"/>
    <w:rsid w:val="00DA1EF2"/>
    <w:rsid w:val="00DC00E5"/>
    <w:rsid w:val="00DC3C2C"/>
    <w:rsid w:val="00DD295B"/>
    <w:rsid w:val="00DD45BB"/>
    <w:rsid w:val="00DD53BB"/>
    <w:rsid w:val="00DE3168"/>
    <w:rsid w:val="00E026B4"/>
    <w:rsid w:val="00E15DE0"/>
    <w:rsid w:val="00E250DA"/>
    <w:rsid w:val="00E26222"/>
    <w:rsid w:val="00E31056"/>
    <w:rsid w:val="00E31918"/>
    <w:rsid w:val="00E47967"/>
    <w:rsid w:val="00E506CA"/>
    <w:rsid w:val="00E6268F"/>
    <w:rsid w:val="00E664E7"/>
    <w:rsid w:val="00E67266"/>
    <w:rsid w:val="00E6781A"/>
    <w:rsid w:val="00E73950"/>
    <w:rsid w:val="00E82558"/>
    <w:rsid w:val="00E83F42"/>
    <w:rsid w:val="00E87339"/>
    <w:rsid w:val="00E955A0"/>
    <w:rsid w:val="00EA0996"/>
    <w:rsid w:val="00EB293A"/>
    <w:rsid w:val="00EC4370"/>
    <w:rsid w:val="00ED040E"/>
    <w:rsid w:val="00ED5591"/>
    <w:rsid w:val="00EF3741"/>
    <w:rsid w:val="00EF4493"/>
    <w:rsid w:val="00EF5707"/>
    <w:rsid w:val="00EF674D"/>
    <w:rsid w:val="00EF7BB0"/>
    <w:rsid w:val="00F02CF6"/>
    <w:rsid w:val="00F21AB0"/>
    <w:rsid w:val="00F227CA"/>
    <w:rsid w:val="00F352EC"/>
    <w:rsid w:val="00F37D99"/>
    <w:rsid w:val="00F476C5"/>
    <w:rsid w:val="00F56D87"/>
    <w:rsid w:val="00F60380"/>
    <w:rsid w:val="00F66687"/>
    <w:rsid w:val="00F701B3"/>
    <w:rsid w:val="00F963A1"/>
    <w:rsid w:val="00FA0A8D"/>
    <w:rsid w:val="00FB0395"/>
    <w:rsid w:val="00FB2284"/>
    <w:rsid w:val="00FC75FB"/>
    <w:rsid w:val="00FC7A72"/>
    <w:rsid w:val="00FD2516"/>
    <w:rsid w:val="00FE3E65"/>
    <w:rsid w:val="00FE415E"/>
    <w:rsid w:val="00FE6E94"/>
    <w:rsid w:val="00FF2116"/>
    <w:rsid w:val="00FF4D77"/>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2736">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9340432">
      <w:bodyDiv w:val="1"/>
      <w:marLeft w:val="0"/>
      <w:marRight w:val="0"/>
      <w:marTop w:val="0"/>
      <w:marBottom w:val="0"/>
      <w:divBdr>
        <w:top w:val="none" w:sz="0" w:space="0" w:color="auto"/>
        <w:left w:val="none" w:sz="0" w:space="0" w:color="auto"/>
        <w:bottom w:val="none" w:sz="0" w:space="0" w:color="auto"/>
        <w:right w:val="none" w:sz="0" w:space="0" w:color="auto"/>
      </w:divBdr>
    </w:div>
    <w:div w:id="28220093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46915202">
      <w:bodyDiv w:val="1"/>
      <w:marLeft w:val="0"/>
      <w:marRight w:val="0"/>
      <w:marTop w:val="0"/>
      <w:marBottom w:val="0"/>
      <w:divBdr>
        <w:top w:val="none" w:sz="0" w:space="0" w:color="auto"/>
        <w:left w:val="none" w:sz="0" w:space="0" w:color="auto"/>
        <w:bottom w:val="none" w:sz="0" w:space="0" w:color="auto"/>
        <w:right w:val="none" w:sz="0" w:space="0" w:color="auto"/>
      </w:divBdr>
    </w:div>
    <w:div w:id="735401205">
      <w:bodyDiv w:val="1"/>
      <w:marLeft w:val="0"/>
      <w:marRight w:val="0"/>
      <w:marTop w:val="0"/>
      <w:marBottom w:val="0"/>
      <w:divBdr>
        <w:top w:val="none" w:sz="0" w:space="0" w:color="auto"/>
        <w:left w:val="none" w:sz="0" w:space="0" w:color="auto"/>
        <w:bottom w:val="none" w:sz="0" w:space="0" w:color="auto"/>
        <w:right w:val="none" w:sz="0" w:space="0" w:color="auto"/>
      </w:divBdr>
    </w:div>
    <w:div w:id="82080361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33976020">
      <w:bodyDiv w:val="1"/>
      <w:marLeft w:val="0"/>
      <w:marRight w:val="0"/>
      <w:marTop w:val="0"/>
      <w:marBottom w:val="0"/>
      <w:divBdr>
        <w:top w:val="none" w:sz="0" w:space="0" w:color="auto"/>
        <w:left w:val="none" w:sz="0" w:space="0" w:color="auto"/>
        <w:bottom w:val="none" w:sz="0" w:space="0" w:color="auto"/>
        <w:right w:val="none" w:sz="0" w:space="0" w:color="auto"/>
      </w:divBdr>
    </w:div>
    <w:div w:id="1062023360">
      <w:bodyDiv w:val="1"/>
      <w:marLeft w:val="0"/>
      <w:marRight w:val="0"/>
      <w:marTop w:val="0"/>
      <w:marBottom w:val="0"/>
      <w:divBdr>
        <w:top w:val="none" w:sz="0" w:space="0" w:color="auto"/>
        <w:left w:val="none" w:sz="0" w:space="0" w:color="auto"/>
        <w:bottom w:val="none" w:sz="0" w:space="0" w:color="auto"/>
        <w:right w:val="none" w:sz="0" w:space="0" w:color="auto"/>
      </w:divBdr>
    </w:div>
    <w:div w:id="1140922609">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14026408">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32002607">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18379610">
      <w:bodyDiv w:val="1"/>
      <w:marLeft w:val="0"/>
      <w:marRight w:val="0"/>
      <w:marTop w:val="0"/>
      <w:marBottom w:val="0"/>
      <w:divBdr>
        <w:top w:val="none" w:sz="0" w:space="0" w:color="auto"/>
        <w:left w:val="none" w:sz="0" w:space="0" w:color="auto"/>
        <w:bottom w:val="none" w:sz="0" w:space="0" w:color="auto"/>
        <w:right w:val="none" w:sz="0" w:space="0" w:color="auto"/>
      </w:divBdr>
    </w:div>
    <w:div w:id="1824740806">
      <w:bodyDiv w:val="1"/>
      <w:marLeft w:val="0"/>
      <w:marRight w:val="0"/>
      <w:marTop w:val="0"/>
      <w:marBottom w:val="0"/>
      <w:divBdr>
        <w:top w:val="none" w:sz="0" w:space="0" w:color="auto"/>
        <w:left w:val="none" w:sz="0" w:space="0" w:color="auto"/>
        <w:bottom w:val="none" w:sz="0" w:space="0" w:color="auto"/>
        <w:right w:val="none" w:sz="0" w:space="0" w:color="auto"/>
      </w:divBdr>
    </w:div>
    <w:div w:id="20713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4683-34F3-4D82-8358-E4BA7D5C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6090</Words>
  <Characters>33495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2020-03-13T16:42:00Z</cp:lastPrinted>
  <dcterms:created xsi:type="dcterms:W3CDTF">2020-04-23T07:14:00Z</dcterms:created>
  <dcterms:modified xsi:type="dcterms:W3CDTF">2020-04-23T07:14:00Z</dcterms:modified>
</cp:coreProperties>
</file>