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4851" w:rsidRPr="00C923DB" w:rsidRDefault="00A04851" w:rsidP="00A04851">
      <w:pPr>
        <w:spacing w:after="240" w:line="360" w:lineRule="auto"/>
        <w:jc w:val="both"/>
        <w:rPr>
          <w:rFonts w:ascii="Palatino Linotype" w:hAnsi="Palatino Linotype"/>
          <w:sz w:val="24"/>
          <w:szCs w:val="24"/>
        </w:rPr>
      </w:pPr>
      <w:r w:rsidRPr="00C923DB">
        <w:rPr>
          <w:rFonts w:ascii="Palatino Linotype" w:hAnsi="Palatino Linotype"/>
          <w:sz w:val="24"/>
          <w:szCs w:val="24"/>
        </w:rPr>
        <w:t xml:space="preserve">Resolución del Pleno del Instituto de Transparencia, Acceso a la Información Pública y Protección de Datos Personales del Estado de México y Municipios, con domicilio en Metepec, Estado de México, de fecha </w:t>
      </w:r>
      <w:r>
        <w:rPr>
          <w:rFonts w:ascii="Palatino Linotype" w:hAnsi="Palatino Linotype"/>
          <w:sz w:val="24"/>
          <w:szCs w:val="24"/>
        </w:rPr>
        <w:t>quince de enero de dos mil veinte.</w:t>
      </w:r>
    </w:p>
    <w:p w:rsidR="00A04851" w:rsidRPr="00C923DB" w:rsidRDefault="00A04851" w:rsidP="00A04851">
      <w:pPr>
        <w:spacing w:line="360" w:lineRule="auto"/>
        <w:jc w:val="both"/>
        <w:rPr>
          <w:rFonts w:ascii="Palatino Linotype" w:hAnsi="Palatino Linotype" w:cs="Arial"/>
          <w:sz w:val="24"/>
          <w:szCs w:val="24"/>
          <w:lang w:val="es-ES"/>
        </w:rPr>
      </w:pPr>
      <w:r w:rsidRPr="00C923DB">
        <w:rPr>
          <w:rFonts w:ascii="Palatino Linotype" w:hAnsi="Palatino Linotype"/>
          <w:sz w:val="24"/>
          <w:szCs w:val="24"/>
          <w:lang w:val="es-ES"/>
        </w:rPr>
        <w:t xml:space="preserve">VISTO el expediente formado con motivo del recurso de revisión </w:t>
      </w:r>
      <w:r>
        <w:rPr>
          <w:rFonts w:ascii="Palatino Linotype" w:hAnsi="Palatino Linotype"/>
          <w:b/>
          <w:sz w:val="24"/>
          <w:szCs w:val="24"/>
          <w:lang w:val="es-ES"/>
        </w:rPr>
        <w:t>08332</w:t>
      </w:r>
      <w:r w:rsidRPr="00C923DB">
        <w:rPr>
          <w:rFonts w:ascii="Palatino Linotype" w:hAnsi="Palatino Linotype"/>
          <w:b/>
          <w:sz w:val="24"/>
          <w:szCs w:val="24"/>
          <w:lang w:val="es-ES"/>
        </w:rPr>
        <w:t>/INFOEM/IP/RR/2019,</w:t>
      </w:r>
      <w:r w:rsidRPr="00C923DB">
        <w:rPr>
          <w:rFonts w:ascii="Palatino Linotype" w:hAnsi="Palatino Linotype"/>
          <w:sz w:val="24"/>
          <w:szCs w:val="24"/>
          <w:lang w:val="es-ES"/>
        </w:rPr>
        <w:t xml:space="preserve"> interpuesto por</w:t>
      </w:r>
      <w:r>
        <w:rPr>
          <w:rFonts w:ascii="Palatino Linotype" w:hAnsi="Palatino Linotype"/>
          <w:sz w:val="24"/>
          <w:szCs w:val="24"/>
          <w:lang w:val="es-ES"/>
        </w:rPr>
        <w:t xml:space="preserve"> </w:t>
      </w:r>
      <w:r w:rsidR="005726D9">
        <w:rPr>
          <w:rFonts w:ascii="Palatino Linotype" w:hAnsi="Palatino Linotype"/>
          <w:b/>
          <w:sz w:val="24"/>
          <w:szCs w:val="24"/>
          <w:lang w:val="es-ES"/>
        </w:rPr>
        <w:t>XXXXXXXXXXXXX</w:t>
      </w:r>
      <w:r>
        <w:rPr>
          <w:rFonts w:ascii="Palatino Linotype" w:hAnsi="Palatino Linotype"/>
          <w:b/>
          <w:sz w:val="24"/>
          <w:szCs w:val="24"/>
          <w:lang w:val="es-ES"/>
        </w:rPr>
        <w:t xml:space="preserve">, </w:t>
      </w:r>
      <w:r>
        <w:rPr>
          <w:rFonts w:ascii="Palatino Linotype" w:hAnsi="Palatino Linotype"/>
          <w:sz w:val="24"/>
          <w:szCs w:val="24"/>
          <w:lang w:val="es-ES"/>
        </w:rPr>
        <w:t>en</w:t>
      </w:r>
      <w:r w:rsidRPr="00C923DB">
        <w:rPr>
          <w:rFonts w:ascii="Palatino Linotype" w:hAnsi="Palatino Linotype"/>
          <w:sz w:val="24"/>
          <w:szCs w:val="24"/>
          <w:lang w:val="es-ES"/>
        </w:rPr>
        <w:t xml:space="preserve"> lo subsecuente </w:t>
      </w:r>
      <w:r>
        <w:rPr>
          <w:rFonts w:ascii="Palatino Linotype" w:hAnsi="Palatino Linotype"/>
          <w:b/>
          <w:sz w:val="24"/>
          <w:szCs w:val="24"/>
          <w:lang w:val="es-ES"/>
        </w:rPr>
        <w:t>EL</w:t>
      </w:r>
      <w:r w:rsidRPr="00C923DB">
        <w:rPr>
          <w:rFonts w:ascii="Palatino Linotype" w:hAnsi="Palatino Linotype"/>
          <w:b/>
          <w:sz w:val="24"/>
          <w:szCs w:val="24"/>
          <w:lang w:val="es-ES"/>
        </w:rPr>
        <w:t xml:space="preserve"> RECURRENTE,</w:t>
      </w:r>
      <w:r w:rsidRPr="00C923DB">
        <w:rPr>
          <w:rFonts w:ascii="Palatino Linotype" w:hAnsi="Palatino Linotype"/>
          <w:sz w:val="24"/>
          <w:szCs w:val="24"/>
          <w:lang w:val="es-ES"/>
        </w:rPr>
        <w:t xml:space="preserve"> </w:t>
      </w:r>
      <w:r w:rsidRPr="00C923DB">
        <w:rPr>
          <w:rFonts w:ascii="Palatino Linotype" w:hAnsi="Palatino Linotype" w:cs="Arial"/>
          <w:sz w:val="24"/>
          <w:szCs w:val="24"/>
          <w:lang w:val="es-ES"/>
        </w:rPr>
        <w:t>en cont</w:t>
      </w:r>
      <w:r>
        <w:rPr>
          <w:rFonts w:ascii="Palatino Linotype" w:hAnsi="Palatino Linotype" w:cs="Arial"/>
          <w:sz w:val="24"/>
          <w:szCs w:val="24"/>
          <w:lang w:val="es-ES"/>
        </w:rPr>
        <w:t xml:space="preserve">ra de la </w:t>
      </w:r>
      <w:r w:rsidR="00B80126">
        <w:rPr>
          <w:rFonts w:ascii="Palatino Linotype" w:hAnsi="Palatino Linotype" w:cs="Arial"/>
          <w:sz w:val="24"/>
          <w:szCs w:val="24"/>
          <w:lang w:val="es-ES"/>
        </w:rPr>
        <w:t xml:space="preserve">falta de </w:t>
      </w:r>
      <w:r>
        <w:rPr>
          <w:rFonts w:ascii="Palatino Linotype" w:hAnsi="Palatino Linotype" w:cs="Arial"/>
          <w:sz w:val="24"/>
          <w:szCs w:val="24"/>
          <w:lang w:val="es-ES"/>
        </w:rPr>
        <w:t>respuesta emitida por el</w:t>
      </w:r>
      <w:r w:rsidRPr="00C923DB">
        <w:rPr>
          <w:rFonts w:ascii="Palatino Linotype" w:hAnsi="Palatino Linotype" w:cs="Arial"/>
          <w:sz w:val="24"/>
          <w:szCs w:val="24"/>
          <w:lang w:val="es-ES"/>
        </w:rPr>
        <w:t xml:space="preserve"> </w:t>
      </w:r>
      <w:r w:rsidRPr="00A04851">
        <w:rPr>
          <w:rFonts w:ascii="Palatino Linotype" w:hAnsi="Palatino Linotype"/>
          <w:b/>
          <w:sz w:val="24"/>
          <w:szCs w:val="24"/>
          <w:lang w:val="es-ES_tradnl"/>
        </w:rPr>
        <w:t>Organismo Público Descentralizado para la Prestación de Los Servicios de Agua Potable Alcantarillado y Saneamiento del Municipio de Zumpango,</w:t>
      </w:r>
      <w:r>
        <w:rPr>
          <w:rFonts w:ascii="Palatino Linotype" w:hAnsi="Palatino Linotype"/>
          <w:b/>
          <w:sz w:val="24"/>
          <w:szCs w:val="24"/>
          <w:lang w:val="es-ES_tradnl"/>
        </w:rPr>
        <w:t xml:space="preserve"> </w:t>
      </w:r>
      <w:r w:rsidRPr="006D21CC">
        <w:rPr>
          <w:rFonts w:ascii="Palatino Linotype" w:hAnsi="Palatino Linotype" w:cs="Arial"/>
          <w:sz w:val="24"/>
          <w:szCs w:val="24"/>
          <w:lang w:val="es-ES"/>
        </w:rPr>
        <w:t>en lo suce</w:t>
      </w:r>
      <w:r w:rsidRPr="00C923DB">
        <w:rPr>
          <w:rFonts w:ascii="Palatino Linotype" w:hAnsi="Palatino Linotype" w:cs="Arial"/>
          <w:sz w:val="24"/>
          <w:szCs w:val="24"/>
          <w:lang w:val="es-ES"/>
        </w:rPr>
        <w:t xml:space="preserve">sivo </w:t>
      </w:r>
      <w:r w:rsidRPr="00C923DB">
        <w:rPr>
          <w:rFonts w:ascii="Palatino Linotype" w:hAnsi="Palatino Linotype" w:cs="Arial"/>
          <w:b/>
          <w:sz w:val="24"/>
          <w:szCs w:val="24"/>
          <w:lang w:val="es-ES"/>
        </w:rPr>
        <w:t xml:space="preserve">EL SUJETO OBLIGADO, </w:t>
      </w:r>
      <w:r w:rsidRPr="00C923DB">
        <w:rPr>
          <w:rFonts w:ascii="Palatino Linotype" w:hAnsi="Palatino Linotype" w:cs="Arial"/>
          <w:sz w:val="24"/>
          <w:szCs w:val="24"/>
          <w:lang w:val="es-ES"/>
        </w:rPr>
        <w:t>se procede a dictar la presente resolución con base en lo siguiente:</w:t>
      </w:r>
    </w:p>
    <w:p w:rsidR="00A04851" w:rsidRPr="005E7982" w:rsidRDefault="00A04851" w:rsidP="00A04851">
      <w:pPr>
        <w:tabs>
          <w:tab w:val="center" w:pos="4560"/>
          <w:tab w:val="left" w:pos="7888"/>
        </w:tabs>
        <w:spacing w:before="240" w:after="120" w:line="360" w:lineRule="auto"/>
        <w:jc w:val="center"/>
        <w:rPr>
          <w:rFonts w:ascii="Palatino Linotype" w:hAnsi="Palatino Linotype"/>
          <w:b/>
          <w:bCs/>
          <w:spacing w:val="60"/>
          <w:sz w:val="28"/>
        </w:rPr>
      </w:pPr>
      <w:r w:rsidRPr="005E7982">
        <w:rPr>
          <w:rFonts w:ascii="Palatino Linotype" w:hAnsi="Palatino Linotype"/>
          <w:b/>
          <w:bCs/>
          <w:spacing w:val="60"/>
          <w:sz w:val="28"/>
        </w:rPr>
        <w:t>RESULTANDO</w:t>
      </w:r>
    </w:p>
    <w:p w:rsidR="00A04851" w:rsidRPr="00C923DB" w:rsidRDefault="00A04851" w:rsidP="00A04851">
      <w:pPr>
        <w:spacing w:before="100" w:beforeAutospacing="1" w:after="100" w:afterAutospacing="1" w:line="360" w:lineRule="auto"/>
        <w:jc w:val="both"/>
        <w:rPr>
          <w:rFonts w:ascii="Palatino Linotype" w:hAnsi="Palatino Linotype" w:cs="Arial"/>
          <w:sz w:val="24"/>
          <w:szCs w:val="24"/>
          <w:lang w:val="es-ES"/>
        </w:rPr>
      </w:pPr>
      <w:r w:rsidRPr="00346EC2">
        <w:rPr>
          <w:rFonts w:ascii="Palatino Linotype" w:hAnsi="Palatino Linotype" w:cs="Arial"/>
          <w:b/>
          <w:sz w:val="28"/>
          <w:lang w:val="es-ES"/>
        </w:rPr>
        <w:t>I.</w:t>
      </w:r>
      <w:r>
        <w:rPr>
          <w:rFonts w:ascii="Palatino Linotype" w:hAnsi="Palatino Linotype" w:cs="Arial"/>
          <w:b/>
          <w:sz w:val="28"/>
          <w:lang w:val="es-ES"/>
        </w:rPr>
        <w:t xml:space="preserve"> </w:t>
      </w:r>
      <w:r w:rsidRPr="00C923DB">
        <w:rPr>
          <w:rFonts w:ascii="Palatino Linotype" w:hAnsi="Palatino Linotype" w:cs="Arial"/>
          <w:sz w:val="24"/>
          <w:szCs w:val="24"/>
          <w:lang w:val="es-ES"/>
        </w:rPr>
        <w:t>En fecha</w:t>
      </w:r>
      <w:r>
        <w:rPr>
          <w:rFonts w:ascii="Palatino Linotype" w:hAnsi="Palatino Linotype" w:cs="Arial"/>
          <w:sz w:val="24"/>
          <w:szCs w:val="24"/>
          <w:lang w:val="es-ES"/>
        </w:rPr>
        <w:t xml:space="preserve"> tres de octubre de dos mil diecinueve</w:t>
      </w:r>
      <w:r w:rsidRPr="00C923DB">
        <w:rPr>
          <w:rFonts w:ascii="Palatino Linotype" w:hAnsi="Palatino Linotype" w:cs="Arial"/>
          <w:sz w:val="24"/>
          <w:szCs w:val="24"/>
          <w:lang w:val="es-ES"/>
        </w:rPr>
        <w:t xml:space="preserve">, </w:t>
      </w:r>
      <w:r>
        <w:rPr>
          <w:rFonts w:ascii="Palatino Linotype" w:hAnsi="Palatino Linotype" w:cs="Arial"/>
          <w:b/>
          <w:sz w:val="24"/>
          <w:szCs w:val="24"/>
          <w:lang w:val="es-ES"/>
        </w:rPr>
        <w:t>EL</w:t>
      </w:r>
      <w:r w:rsidRPr="00C923DB">
        <w:rPr>
          <w:rFonts w:ascii="Palatino Linotype" w:hAnsi="Palatino Linotype" w:cs="Arial"/>
          <w:b/>
          <w:sz w:val="24"/>
          <w:szCs w:val="24"/>
          <w:lang w:val="es-ES"/>
        </w:rPr>
        <w:t xml:space="preserve"> RECURRENTE</w:t>
      </w:r>
      <w:r w:rsidRPr="00C923DB">
        <w:rPr>
          <w:rFonts w:ascii="Palatino Linotype" w:hAnsi="Palatino Linotype" w:cs="Arial"/>
          <w:sz w:val="24"/>
          <w:szCs w:val="24"/>
          <w:lang w:val="es-ES"/>
        </w:rPr>
        <w:t xml:space="preserve"> presentó a través </w:t>
      </w:r>
      <w:r>
        <w:rPr>
          <w:rFonts w:ascii="Palatino Linotype" w:hAnsi="Palatino Linotype" w:cs="Arial"/>
          <w:sz w:val="24"/>
          <w:szCs w:val="24"/>
          <w:lang w:val="es-ES"/>
        </w:rPr>
        <w:t>de</w:t>
      </w:r>
      <w:r w:rsidRPr="00C923DB">
        <w:rPr>
          <w:rFonts w:ascii="Palatino Linotype" w:hAnsi="Palatino Linotype" w:cs="Arial"/>
          <w:sz w:val="24"/>
          <w:szCs w:val="24"/>
          <w:lang w:val="es-ES"/>
        </w:rPr>
        <w:t xml:space="preserve">l Sistema de Acceso a la Información Mexiquense, en lo subsecuente </w:t>
      </w:r>
      <w:r w:rsidRPr="00C923DB">
        <w:rPr>
          <w:rFonts w:ascii="Palatino Linotype" w:hAnsi="Palatino Linotype" w:cs="Arial"/>
          <w:b/>
          <w:sz w:val="24"/>
          <w:szCs w:val="24"/>
          <w:lang w:val="es-ES"/>
        </w:rPr>
        <w:t>EL SAIMEX</w:t>
      </w:r>
      <w:r w:rsidRPr="00C923DB">
        <w:rPr>
          <w:rFonts w:ascii="Palatino Linotype" w:hAnsi="Palatino Linotype" w:cs="Arial"/>
          <w:sz w:val="24"/>
          <w:szCs w:val="24"/>
          <w:lang w:val="es-ES"/>
        </w:rPr>
        <w:t xml:space="preserve"> ante </w:t>
      </w:r>
      <w:r w:rsidRPr="00C923DB">
        <w:rPr>
          <w:rFonts w:ascii="Palatino Linotype" w:hAnsi="Palatino Linotype" w:cs="Arial"/>
          <w:b/>
          <w:sz w:val="24"/>
          <w:szCs w:val="24"/>
          <w:lang w:val="es-ES"/>
        </w:rPr>
        <w:t>EL SUJETO OBLIGADO</w:t>
      </w:r>
      <w:r w:rsidRPr="00C923DB">
        <w:rPr>
          <w:rFonts w:ascii="Palatino Linotype" w:hAnsi="Palatino Linotype" w:cs="Arial"/>
          <w:sz w:val="24"/>
          <w:szCs w:val="24"/>
          <w:lang w:val="es-ES"/>
        </w:rPr>
        <w:t xml:space="preserve">, </w:t>
      </w:r>
      <w:r w:rsidRPr="00C923DB">
        <w:rPr>
          <w:rFonts w:ascii="Palatino Linotype" w:hAnsi="Palatino Linotype"/>
          <w:sz w:val="24"/>
          <w:szCs w:val="24"/>
          <w:lang w:val="es-ES"/>
        </w:rPr>
        <w:t xml:space="preserve">la solicitud de acceso a información pública, a la que se le asignó el número </w:t>
      </w:r>
      <w:r>
        <w:rPr>
          <w:rFonts w:ascii="Palatino Linotype" w:hAnsi="Palatino Linotype" w:cs="Arial"/>
          <w:b/>
          <w:sz w:val="24"/>
          <w:szCs w:val="24"/>
          <w:lang w:val="es-ES"/>
        </w:rPr>
        <w:t>00130</w:t>
      </w:r>
      <w:r w:rsidRPr="00C923DB">
        <w:rPr>
          <w:rFonts w:ascii="Palatino Linotype" w:hAnsi="Palatino Linotype" w:cs="Arial"/>
          <w:b/>
          <w:sz w:val="24"/>
          <w:szCs w:val="24"/>
          <w:lang w:val="es-ES"/>
        </w:rPr>
        <w:t>/</w:t>
      </w:r>
      <w:r>
        <w:rPr>
          <w:rFonts w:ascii="Palatino Linotype" w:hAnsi="Palatino Linotype" w:cs="Arial"/>
          <w:b/>
          <w:sz w:val="24"/>
          <w:szCs w:val="24"/>
          <w:lang w:val="es-ES"/>
        </w:rPr>
        <w:t>OASZUMPANG/I</w:t>
      </w:r>
      <w:r w:rsidRPr="00C923DB">
        <w:rPr>
          <w:rFonts w:ascii="Palatino Linotype" w:hAnsi="Palatino Linotype" w:cs="Arial"/>
          <w:b/>
          <w:sz w:val="24"/>
          <w:szCs w:val="24"/>
          <w:lang w:val="es-ES"/>
        </w:rPr>
        <w:t xml:space="preserve">P/2019, </w:t>
      </w:r>
      <w:r w:rsidRPr="00C923DB">
        <w:rPr>
          <w:rFonts w:ascii="Palatino Linotype" w:hAnsi="Palatino Linotype" w:cs="Arial"/>
          <w:sz w:val="24"/>
          <w:szCs w:val="24"/>
          <w:lang w:val="es-ES"/>
        </w:rPr>
        <w:t>mediante la cual se requirió:</w:t>
      </w:r>
    </w:p>
    <w:p w:rsidR="00A04851" w:rsidRPr="00A04851" w:rsidRDefault="00A04851" w:rsidP="00A04851">
      <w:pPr>
        <w:pStyle w:val="Prrafodelista"/>
        <w:ind w:left="851" w:right="899"/>
        <w:jc w:val="both"/>
        <w:rPr>
          <w:rFonts w:ascii="Palatino Linotype" w:eastAsiaTheme="minorHAnsi" w:hAnsi="Palatino Linotype" w:cstheme="minorBidi"/>
          <w:i/>
          <w:color w:val="000000"/>
          <w:sz w:val="22"/>
          <w:szCs w:val="14"/>
          <w:lang w:val="es-ES_tradnl" w:eastAsia="es-ES_tradnl"/>
        </w:rPr>
      </w:pPr>
      <w:r w:rsidRPr="00346EC2">
        <w:rPr>
          <w:rFonts w:ascii="Palatino Linotype" w:eastAsiaTheme="minorHAnsi" w:hAnsi="Palatino Linotype" w:cstheme="minorBidi"/>
          <w:i/>
          <w:color w:val="000000"/>
          <w:sz w:val="22"/>
          <w:szCs w:val="14"/>
          <w:lang w:val="es-ES_tradnl" w:eastAsia="es-ES_tradnl"/>
        </w:rPr>
        <w:t>“</w:t>
      </w:r>
      <w:r w:rsidRPr="00A04851">
        <w:rPr>
          <w:rFonts w:ascii="Palatino Linotype" w:eastAsiaTheme="minorHAnsi" w:hAnsi="Palatino Linotype" w:cstheme="minorBidi"/>
          <w:i/>
          <w:color w:val="000000"/>
          <w:sz w:val="22"/>
          <w:szCs w:val="14"/>
          <w:lang w:val="es-ES_tradnl" w:eastAsia="es-ES_tradnl"/>
        </w:rPr>
        <w:t xml:space="preserve">solicito a </w:t>
      </w:r>
      <w:proofErr w:type="spellStart"/>
      <w:r w:rsidRPr="00A04851">
        <w:rPr>
          <w:rFonts w:ascii="Palatino Linotype" w:eastAsiaTheme="minorHAnsi" w:hAnsi="Palatino Linotype" w:cstheme="minorBidi"/>
          <w:i/>
          <w:color w:val="000000"/>
          <w:sz w:val="22"/>
          <w:szCs w:val="14"/>
          <w:lang w:val="es-ES_tradnl" w:eastAsia="es-ES_tradnl"/>
        </w:rPr>
        <w:t>cuanti</w:t>
      </w:r>
      <w:proofErr w:type="spellEnd"/>
      <w:r w:rsidRPr="00A04851">
        <w:rPr>
          <w:rFonts w:ascii="Palatino Linotype" w:eastAsiaTheme="minorHAnsi" w:hAnsi="Palatino Linotype" w:cstheme="minorBidi"/>
          <w:i/>
          <w:color w:val="000000"/>
          <w:sz w:val="22"/>
          <w:szCs w:val="14"/>
          <w:lang w:val="es-ES_tradnl" w:eastAsia="es-ES_tradnl"/>
        </w:rPr>
        <w:t xml:space="preserve"> ascendió el Pago por concepto de aguas nacionales del título de </w:t>
      </w:r>
      <w:proofErr w:type="spellStart"/>
      <w:r w:rsidRPr="00A04851">
        <w:rPr>
          <w:rFonts w:ascii="Palatino Linotype" w:eastAsiaTheme="minorHAnsi" w:hAnsi="Palatino Linotype" w:cstheme="minorBidi"/>
          <w:i/>
          <w:color w:val="000000"/>
          <w:sz w:val="22"/>
          <w:szCs w:val="14"/>
          <w:lang w:val="es-ES_tradnl" w:eastAsia="es-ES_tradnl"/>
        </w:rPr>
        <w:t>concesion</w:t>
      </w:r>
      <w:proofErr w:type="spellEnd"/>
      <w:r w:rsidRPr="00A04851">
        <w:rPr>
          <w:rFonts w:ascii="Palatino Linotype" w:eastAsiaTheme="minorHAnsi" w:hAnsi="Palatino Linotype" w:cstheme="minorBidi"/>
          <w:i/>
          <w:color w:val="000000"/>
          <w:sz w:val="22"/>
          <w:szCs w:val="14"/>
          <w:lang w:val="es-ES_tradnl" w:eastAsia="es-ES_tradnl"/>
        </w:rPr>
        <w:t xml:space="preserve"> 13MEX100335/26HMSG97 EN EL AÑO 2019, </w:t>
      </w:r>
      <w:proofErr w:type="spellStart"/>
      <w:r w:rsidRPr="00A04851">
        <w:rPr>
          <w:rFonts w:ascii="Palatino Linotype" w:eastAsiaTheme="minorHAnsi" w:hAnsi="Palatino Linotype" w:cstheme="minorBidi"/>
          <w:i/>
          <w:color w:val="000000"/>
          <w:sz w:val="22"/>
          <w:szCs w:val="14"/>
          <w:lang w:val="es-ES_tradnl" w:eastAsia="es-ES_tradnl"/>
        </w:rPr>
        <w:t>asi</w:t>
      </w:r>
      <w:proofErr w:type="spellEnd"/>
      <w:r w:rsidRPr="00A04851">
        <w:rPr>
          <w:rFonts w:ascii="Palatino Linotype" w:eastAsiaTheme="minorHAnsi" w:hAnsi="Palatino Linotype" w:cstheme="minorBidi"/>
          <w:i/>
          <w:color w:val="000000"/>
          <w:sz w:val="22"/>
          <w:szCs w:val="14"/>
          <w:lang w:val="es-ES_tradnl" w:eastAsia="es-ES_tradnl"/>
        </w:rPr>
        <w:t xml:space="preserve"> como la </w:t>
      </w:r>
      <w:proofErr w:type="spellStart"/>
      <w:r w:rsidRPr="00A04851">
        <w:rPr>
          <w:rFonts w:ascii="Palatino Linotype" w:eastAsiaTheme="minorHAnsi" w:hAnsi="Palatino Linotype" w:cstheme="minorBidi"/>
          <w:i/>
          <w:color w:val="000000"/>
          <w:sz w:val="22"/>
          <w:szCs w:val="14"/>
          <w:lang w:val="es-ES_tradnl" w:eastAsia="es-ES_tradnl"/>
        </w:rPr>
        <w:t>declaracion</w:t>
      </w:r>
      <w:proofErr w:type="spellEnd"/>
      <w:r w:rsidRPr="00A04851">
        <w:rPr>
          <w:rFonts w:ascii="Palatino Linotype" w:eastAsiaTheme="minorHAnsi" w:hAnsi="Palatino Linotype" w:cstheme="minorBidi"/>
          <w:i/>
          <w:color w:val="000000"/>
          <w:sz w:val="22"/>
          <w:szCs w:val="14"/>
          <w:lang w:val="es-ES_tradnl" w:eastAsia="es-ES_tradnl"/>
        </w:rPr>
        <w:t xml:space="preserve"> de pago de aguas nacionales.” (Sic)</w:t>
      </w:r>
    </w:p>
    <w:p w:rsidR="00A04851" w:rsidRPr="00C923DB" w:rsidRDefault="00A04851" w:rsidP="00A04851">
      <w:pPr>
        <w:spacing w:before="160"/>
        <w:ind w:right="709"/>
        <w:jc w:val="both"/>
        <w:rPr>
          <w:rFonts w:ascii="Palatino Linotype" w:hAnsi="Palatino Linotype"/>
          <w:sz w:val="24"/>
          <w:szCs w:val="24"/>
        </w:rPr>
      </w:pPr>
      <w:r w:rsidRPr="00C923DB">
        <w:rPr>
          <w:rFonts w:ascii="Palatino Linotype" w:hAnsi="Palatino Linotype"/>
          <w:b/>
          <w:sz w:val="24"/>
          <w:szCs w:val="24"/>
        </w:rPr>
        <w:t>Modalidad de entrega:</w:t>
      </w:r>
      <w:r>
        <w:rPr>
          <w:rFonts w:ascii="Palatino Linotype" w:hAnsi="Palatino Linotype"/>
          <w:sz w:val="24"/>
          <w:szCs w:val="24"/>
        </w:rPr>
        <w:t xml:space="preserve"> A través del </w:t>
      </w:r>
      <w:r w:rsidRPr="00A04851">
        <w:rPr>
          <w:rFonts w:ascii="Palatino Linotype" w:hAnsi="Palatino Linotype"/>
          <w:b/>
          <w:sz w:val="24"/>
          <w:szCs w:val="24"/>
        </w:rPr>
        <w:t>SAIMEX</w:t>
      </w:r>
      <w:r>
        <w:rPr>
          <w:rFonts w:ascii="Palatino Linotype" w:hAnsi="Palatino Linotype"/>
          <w:sz w:val="24"/>
          <w:szCs w:val="24"/>
        </w:rPr>
        <w:t>.</w:t>
      </w:r>
    </w:p>
    <w:p w:rsidR="00A04851" w:rsidRPr="001026F6" w:rsidRDefault="00A04851" w:rsidP="00A04851">
      <w:pPr>
        <w:spacing w:before="100" w:beforeAutospacing="1" w:after="100" w:afterAutospacing="1" w:line="360" w:lineRule="auto"/>
        <w:jc w:val="both"/>
        <w:rPr>
          <w:rFonts w:ascii="Palatino Linotype" w:hAnsi="Palatino Linotype" w:cs="Arial"/>
          <w:sz w:val="24"/>
          <w:szCs w:val="24"/>
        </w:rPr>
      </w:pPr>
      <w:bookmarkStart w:id="0" w:name="_Ref516764469"/>
      <w:r w:rsidRPr="005E7982">
        <w:rPr>
          <w:rFonts w:ascii="Palatino Linotype" w:hAnsi="Palatino Linotype"/>
          <w:b/>
          <w:sz w:val="28"/>
          <w:szCs w:val="28"/>
        </w:rPr>
        <w:lastRenderedPageBreak/>
        <w:t>II.</w:t>
      </w:r>
      <w:r w:rsidRPr="005E7982">
        <w:rPr>
          <w:rFonts w:ascii="Palatino Linotype" w:hAnsi="Palatino Linotype"/>
          <w:sz w:val="28"/>
          <w:szCs w:val="28"/>
        </w:rPr>
        <w:t xml:space="preserve"> </w:t>
      </w:r>
      <w:r w:rsidRPr="001026F6">
        <w:rPr>
          <w:rFonts w:ascii="Palatino Linotype" w:hAnsi="Palatino Linotype"/>
          <w:sz w:val="24"/>
          <w:szCs w:val="24"/>
        </w:rPr>
        <w:t xml:space="preserve">De las constancias que obran en </w:t>
      </w:r>
      <w:r w:rsidRPr="001026F6">
        <w:rPr>
          <w:rFonts w:ascii="Palatino Linotype" w:hAnsi="Palatino Linotype"/>
          <w:b/>
          <w:sz w:val="24"/>
          <w:szCs w:val="24"/>
        </w:rPr>
        <w:t>EL SAIMEX,</w:t>
      </w:r>
      <w:r w:rsidRPr="001026F6">
        <w:rPr>
          <w:rFonts w:ascii="Palatino Linotype" w:hAnsi="Palatino Linotype"/>
          <w:sz w:val="24"/>
          <w:szCs w:val="24"/>
        </w:rPr>
        <w:t xml:space="preserve"> se advierte que,</w:t>
      </w:r>
      <w:r w:rsidRPr="001026F6">
        <w:rPr>
          <w:rFonts w:ascii="Palatino Linotype" w:hAnsi="Palatino Linotype"/>
          <w:b/>
          <w:sz w:val="24"/>
          <w:szCs w:val="24"/>
        </w:rPr>
        <w:t xml:space="preserve"> </w:t>
      </w:r>
      <w:r w:rsidRPr="001026F6">
        <w:rPr>
          <w:rFonts w:ascii="Palatino Linotype" w:hAnsi="Palatino Linotype" w:cs="Arial"/>
          <w:sz w:val="24"/>
          <w:szCs w:val="24"/>
        </w:rPr>
        <w:t xml:space="preserve">en fecha </w:t>
      </w:r>
      <w:r>
        <w:rPr>
          <w:rFonts w:ascii="Palatino Linotype" w:hAnsi="Palatino Linotype" w:cs="Arial"/>
          <w:sz w:val="24"/>
          <w:szCs w:val="24"/>
        </w:rPr>
        <w:t xml:space="preserve">tres de octubre </w:t>
      </w:r>
      <w:r w:rsidRPr="001026F6">
        <w:rPr>
          <w:rFonts w:ascii="Palatino Linotype" w:hAnsi="Palatino Linotype" w:cs="Arial"/>
          <w:sz w:val="24"/>
          <w:szCs w:val="24"/>
        </w:rPr>
        <w:t xml:space="preserve">de dos mil diecinueve, el Titular de la Unidad de Transparencia del </w:t>
      </w:r>
      <w:r w:rsidRPr="001026F6">
        <w:rPr>
          <w:rFonts w:ascii="Palatino Linotype" w:hAnsi="Palatino Linotype" w:cs="Arial"/>
          <w:b/>
          <w:sz w:val="24"/>
          <w:szCs w:val="24"/>
        </w:rPr>
        <w:t>SUJETO OBLIGADO,</w:t>
      </w:r>
      <w:r>
        <w:rPr>
          <w:rFonts w:ascii="Palatino Linotype" w:hAnsi="Palatino Linotype" w:cs="Arial"/>
          <w:sz w:val="24"/>
          <w:szCs w:val="24"/>
        </w:rPr>
        <w:t xml:space="preserve"> turnó la solicitud</w:t>
      </w:r>
      <w:r w:rsidRPr="001026F6">
        <w:rPr>
          <w:rFonts w:ascii="Palatino Linotype" w:hAnsi="Palatino Linotype" w:cs="Arial"/>
          <w:sz w:val="24"/>
          <w:szCs w:val="24"/>
        </w:rPr>
        <w:t xml:space="preserve"> de información a</w:t>
      </w:r>
      <w:r>
        <w:rPr>
          <w:rFonts w:ascii="Palatino Linotype" w:hAnsi="Palatino Linotype" w:cs="Arial"/>
          <w:sz w:val="24"/>
          <w:szCs w:val="24"/>
        </w:rPr>
        <w:t xml:space="preserve"> las </w:t>
      </w:r>
      <w:r w:rsidRPr="001026F6">
        <w:rPr>
          <w:rFonts w:ascii="Palatino Linotype" w:hAnsi="Palatino Linotype" w:cs="Arial"/>
          <w:sz w:val="24"/>
          <w:szCs w:val="24"/>
        </w:rPr>
        <w:t>Servidor</w:t>
      </w:r>
      <w:r>
        <w:rPr>
          <w:rFonts w:ascii="Palatino Linotype" w:hAnsi="Palatino Linotype" w:cs="Arial"/>
          <w:sz w:val="24"/>
          <w:szCs w:val="24"/>
        </w:rPr>
        <w:t xml:space="preserve">as </w:t>
      </w:r>
      <w:r w:rsidRPr="001026F6">
        <w:rPr>
          <w:rFonts w:ascii="Palatino Linotype" w:hAnsi="Palatino Linotype" w:cs="Arial"/>
          <w:sz w:val="24"/>
          <w:szCs w:val="24"/>
        </w:rPr>
        <w:t>Públic</w:t>
      </w:r>
      <w:r>
        <w:rPr>
          <w:rFonts w:ascii="Palatino Linotype" w:hAnsi="Palatino Linotype" w:cs="Arial"/>
          <w:sz w:val="24"/>
          <w:szCs w:val="24"/>
        </w:rPr>
        <w:t>as</w:t>
      </w:r>
      <w:r w:rsidRPr="001026F6">
        <w:rPr>
          <w:rFonts w:ascii="Palatino Linotype" w:hAnsi="Palatino Linotype" w:cs="Arial"/>
          <w:sz w:val="24"/>
          <w:szCs w:val="24"/>
        </w:rPr>
        <w:t xml:space="preserve"> Habilitad</w:t>
      </w:r>
      <w:r>
        <w:rPr>
          <w:rFonts w:ascii="Palatino Linotype" w:hAnsi="Palatino Linotype" w:cs="Arial"/>
          <w:sz w:val="24"/>
          <w:szCs w:val="24"/>
        </w:rPr>
        <w:t>as</w:t>
      </w:r>
      <w:r w:rsidRPr="001026F6">
        <w:rPr>
          <w:rFonts w:ascii="Palatino Linotype" w:hAnsi="Palatino Linotype" w:cs="Arial"/>
          <w:sz w:val="24"/>
          <w:szCs w:val="24"/>
        </w:rPr>
        <w:t xml:space="preserve"> que estimó competente</w:t>
      </w:r>
      <w:r>
        <w:rPr>
          <w:rFonts w:ascii="Palatino Linotype" w:hAnsi="Palatino Linotype" w:cs="Arial"/>
          <w:sz w:val="24"/>
          <w:szCs w:val="24"/>
        </w:rPr>
        <w:t>s</w:t>
      </w:r>
      <w:r w:rsidRPr="001026F6">
        <w:rPr>
          <w:rFonts w:ascii="Palatino Linotype" w:hAnsi="Palatino Linotype" w:cs="Arial"/>
          <w:sz w:val="24"/>
          <w:szCs w:val="24"/>
        </w:rPr>
        <w:t>, a fin de colmar el derecho de acceso a la información del particular; tal y como, se aprecia en seguida:</w:t>
      </w:r>
    </w:p>
    <w:p w:rsidR="00A04851" w:rsidRDefault="00A04851" w:rsidP="00A04851">
      <w:pPr>
        <w:pStyle w:val="Prrafodelista"/>
        <w:spacing w:before="100" w:beforeAutospacing="1" w:after="100" w:afterAutospacing="1" w:line="360" w:lineRule="auto"/>
        <w:ind w:left="0"/>
        <w:jc w:val="center"/>
        <w:rPr>
          <w:rFonts w:ascii="Palatino Linotype" w:hAnsi="Palatino Linotype"/>
          <w:lang w:val="es-ES"/>
        </w:rPr>
      </w:pPr>
      <w:r>
        <w:rPr>
          <w:noProof/>
          <w:lang w:eastAsia="es-MX"/>
        </w:rPr>
        <w:drawing>
          <wp:inline distT="0" distB="0" distL="0" distR="0" wp14:anchorId="442FFAE1" wp14:editId="04125E65">
            <wp:extent cx="5096283" cy="95668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834" t="37806" r="8102" b="43546"/>
                    <a:stretch/>
                  </pic:blipFill>
                  <pic:spPr bwMode="auto">
                    <a:xfrm>
                      <a:off x="0" y="0"/>
                      <a:ext cx="5179780" cy="972358"/>
                    </a:xfrm>
                    <a:prstGeom prst="rect">
                      <a:avLst/>
                    </a:prstGeom>
                    <a:ln>
                      <a:noFill/>
                    </a:ln>
                    <a:extLst>
                      <a:ext uri="{53640926-AAD7-44D8-BBD7-CCE9431645EC}">
                        <a14:shadowObscured xmlns:a14="http://schemas.microsoft.com/office/drawing/2010/main"/>
                      </a:ext>
                    </a:extLst>
                  </pic:spPr>
                </pic:pic>
              </a:graphicData>
            </a:graphic>
          </wp:inline>
        </w:drawing>
      </w:r>
    </w:p>
    <w:p w:rsidR="00A04851" w:rsidRDefault="00A04851" w:rsidP="00A04851">
      <w:pPr>
        <w:pStyle w:val="Prrafodelista"/>
        <w:spacing w:before="100" w:beforeAutospacing="1" w:after="100" w:afterAutospacing="1" w:line="360" w:lineRule="auto"/>
        <w:ind w:left="0"/>
        <w:jc w:val="both"/>
        <w:rPr>
          <w:rFonts w:ascii="Palatino Linotype" w:hAnsi="Palatino Linotype" w:cs="Arial"/>
          <w:lang w:val="es-ES_tradnl"/>
        </w:rPr>
      </w:pPr>
      <w:r w:rsidRPr="001026F6">
        <w:rPr>
          <w:rFonts w:ascii="Palatino Linotype" w:hAnsi="Palatino Linotype"/>
          <w:b/>
          <w:sz w:val="28"/>
          <w:szCs w:val="28"/>
          <w:lang w:val="es-ES"/>
        </w:rPr>
        <w:t xml:space="preserve">III. </w:t>
      </w:r>
      <w:r>
        <w:rPr>
          <w:rFonts w:ascii="Palatino Linotype" w:hAnsi="Palatino Linotype" w:cs="Arial"/>
          <w:lang w:val="es-ES_tradnl"/>
        </w:rPr>
        <w:t xml:space="preserve">Del seguimiento establecido en el expediente electrónico del SAIMEX se puede advertir </w:t>
      </w:r>
      <w:r>
        <w:rPr>
          <w:rFonts w:ascii="Palatino Linotype" w:hAnsi="Palatino Linotype" w:cs="Arial"/>
          <w:b/>
          <w:lang w:val="es-ES_tradnl"/>
        </w:rPr>
        <w:t xml:space="preserve">EL SUJETO OBLIGADO </w:t>
      </w:r>
      <w:r>
        <w:rPr>
          <w:rFonts w:ascii="Palatino Linotype" w:hAnsi="Palatino Linotype" w:cs="Arial"/>
          <w:lang w:val="es-ES_tradnl"/>
        </w:rPr>
        <w:t>fue omiso en dar respuesta a la solicitud de información que le fue planteada.</w:t>
      </w:r>
    </w:p>
    <w:p w:rsidR="00A04851" w:rsidRPr="00C923DB" w:rsidRDefault="00A04851" w:rsidP="00A04851">
      <w:pPr>
        <w:spacing w:before="100" w:beforeAutospacing="1" w:after="100" w:afterAutospacing="1" w:line="360" w:lineRule="auto"/>
        <w:jc w:val="both"/>
        <w:rPr>
          <w:rFonts w:ascii="Palatino Linotype" w:hAnsi="Palatino Linotype" w:cs="Arial"/>
          <w:sz w:val="24"/>
          <w:szCs w:val="24"/>
        </w:rPr>
      </w:pPr>
      <w:r w:rsidRPr="00E36E39">
        <w:rPr>
          <w:rFonts w:ascii="Palatino Linotype" w:hAnsi="Palatino Linotype"/>
          <w:b/>
          <w:sz w:val="28"/>
          <w:szCs w:val="28"/>
        </w:rPr>
        <w:t>I</w:t>
      </w:r>
      <w:r>
        <w:rPr>
          <w:rFonts w:ascii="Palatino Linotype" w:hAnsi="Palatino Linotype"/>
          <w:b/>
          <w:sz w:val="28"/>
          <w:szCs w:val="28"/>
        </w:rPr>
        <w:t>V</w:t>
      </w:r>
      <w:r w:rsidRPr="00E36E39">
        <w:rPr>
          <w:rFonts w:ascii="Palatino Linotype" w:hAnsi="Palatino Linotype"/>
          <w:b/>
          <w:sz w:val="28"/>
          <w:szCs w:val="28"/>
        </w:rPr>
        <w:t xml:space="preserve">. </w:t>
      </w:r>
      <w:r w:rsidRPr="00C923DB">
        <w:rPr>
          <w:rFonts w:ascii="Palatino Linotype" w:hAnsi="Palatino Linotype"/>
          <w:sz w:val="24"/>
          <w:szCs w:val="24"/>
        </w:rPr>
        <w:t xml:space="preserve">Inconforme con la </w:t>
      </w:r>
      <w:r w:rsidRPr="00C923DB">
        <w:rPr>
          <w:rFonts w:ascii="Palatino Linotype" w:hAnsi="Palatino Linotype" w:cs="Arial"/>
          <w:sz w:val="24"/>
          <w:szCs w:val="24"/>
        </w:rPr>
        <w:t>respuesta en fecha</w:t>
      </w:r>
      <w:r>
        <w:rPr>
          <w:rFonts w:ascii="Palatino Linotype" w:hAnsi="Palatino Linotype" w:cs="Arial"/>
          <w:sz w:val="24"/>
          <w:szCs w:val="24"/>
        </w:rPr>
        <w:t xml:space="preserve"> veintiocho de octubre de </w:t>
      </w:r>
      <w:r w:rsidRPr="00C923DB">
        <w:rPr>
          <w:rFonts w:ascii="Palatino Linotype" w:hAnsi="Palatino Linotype" w:cs="Arial"/>
          <w:sz w:val="24"/>
          <w:szCs w:val="24"/>
        </w:rPr>
        <w:t xml:space="preserve">dos mil diecinueve, </w:t>
      </w:r>
      <w:r>
        <w:rPr>
          <w:rFonts w:ascii="Palatino Linotype" w:hAnsi="Palatino Linotype"/>
          <w:b/>
          <w:sz w:val="24"/>
          <w:szCs w:val="24"/>
        </w:rPr>
        <w:t xml:space="preserve">EL </w:t>
      </w:r>
      <w:r w:rsidRPr="00C923DB">
        <w:rPr>
          <w:rFonts w:ascii="Palatino Linotype" w:hAnsi="Palatino Linotype"/>
          <w:b/>
          <w:sz w:val="24"/>
          <w:szCs w:val="24"/>
        </w:rPr>
        <w:t>RECURRENTE</w:t>
      </w:r>
      <w:r w:rsidRPr="00C923DB">
        <w:rPr>
          <w:rFonts w:ascii="Palatino Linotype" w:hAnsi="Palatino Linotype"/>
          <w:sz w:val="24"/>
          <w:szCs w:val="24"/>
        </w:rPr>
        <w:t xml:space="preserve"> interpuso el recurso de revisión objeto del presente estudio, el cual fue registrado en </w:t>
      </w:r>
      <w:r w:rsidRPr="00C923DB">
        <w:rPr>
          <w:rFonts w:ascii="Palatino Linotype" w:hAnsi="Palatino Linotype"/>
          <w:b/>
          <w:sz w:val="24"/>
          <w:szCs w:val="24"/>
        </w:rPr>
        <w:t>EL SAIMEX</w:t>
      </w:r>
      <w:r w:rsidRPr="00C923DB">
        <w:rPr>
          <w:rFonts w:ascii="Palatino Linotype" w:hAnsi="Palatino Linotype"/>
          <w:sz w:val="24"/>
          <w:szCs w:val="24"/>
        </w:rPr>
        <w:t xml:space="preserve"> y se le asignó el número de expediente </w:t>
      </w:r>
      <w:r>
        <w:rPr>
          <w:rFonts w:ascii="Palatino Linotype" w:hAnsi="Palatino Linotype"/>
          <w:b/>
          <w:sz w:val="24"/>
          <w:szCs w:val="24"/>
        </w:rPr>
        <w:t>08332</w:t>
      </w:r>
      <w:r w:rsidRPr="00C923DB">
        <w:rPr>
          <w:rFonts w:ascii="Palatino Linotype" w:hAnsi="Palatino Linotype"/>
          <w:b/>
          <w:sz w:val="24"/>
          <w:szCs w:val="24"/>
        </w:rPr>
        <w:t xml:space="preserve">/INFOEM/IP/RR/2019, </w:t>
      </w:r>
      <w:r w:rsidRPr="00C923DB">
        <w:rPr>
          <w:rFonts w:ascii="Palatino Linotype" w:hAnsi="Palatino Linotype" w:cs="Arial"/>
          <w:sz w:val="24"/>
          <w:szCs w:val="24"/>
        </w:rPr>
        <w:t>en el que señaló como acto impugnado:</w:t>
      </w:r>
    </w:p>
    <w:p w:rsidR="00A04851" w:rsidRDefault="00A04851" w:rsidP="00A04851">
      <w:pPr>
        <w:ind w:left="851" w:right="902"/>
        <w:jc w:val="both"/>
        <w:rPr>
          <w:rFonts w:ascii="Palatino Linotype" w:hAnsi="Palatino Linotype"/>
          <w:i/>
          <w:color w:val="000000"/>
        </w:rPr>
      </w:pPr>
      <w:r>
        <w:rPr>
          <w:rFonts w:ascii="Palatino Linotype" w:hAnsi="Palatino Linotype"/>
          <w:i/>
          <w:color w:val="000000"/>
        </w:rPr>
        <w:t>“</w:t>
      </w:r>
      <w:r w:rsidRPr="00A04851">
        <w:rPr>
          <w:rFonts w:ascii="Palatino Linotype" w:hAnsi="Palatino Linotype"/>
          <w:i/>
          <w:color w:val="000000"/>
        </w:rPr>
        <w:t>NO ME NETREGARON LA INFORMACIÓN YA VAN 17 DÍAS Y NO CONTESTAN QUIERO QUE AL TITULAR DE TRANSPARENCIA SE PONGA A TRABAJAR Y PIDA LA INFORMACIÓN YA QUE LA NECESITO Y NO ME LA PROPORCIONA</w:t>
      </w:r>
      <w:r w:rsidRPr="003F1D96">
        <w:rPr>
          <w:rFonts w:ascii="Palatino Linotype" w:hAnsi="Palatino Linotype"/>
          <w:i/>
          <w:color w:val="000000"/>
        </w:rPr>
        <w:t>.</w:t>
      </w:r>
      <w:r>
        <w:rPr>
          <w:rFonts w:ascii="Palatino Linotype" w:hAnsi="Palatino Linotype"/>
          <w:i/>
          <w:color w:val="000000"/>
        </w:rPr>
        <w:t>” (Sic)</w:t>
      </w:r>
    </w:p>
    <w:p w:rsidR="00A04851" w:rsidRPr="00C923DB" w:rsidRDefault="00A04851" w:rsidP="00A04851">
      <w:pPr>
        <w:ind w:right="902"/>
        <w:jc w:val="both"/>
        <w:rPr>
          <w:rFonts w:ascii="Palatino Linotype" w:hAnsi="Palatino Linotype"/>
          <w:color w:val="000000"/>
          <w:sz w:val="24"/>
          <w:szCs w:val="24"/>
        </w:rPr>
      </w:pPr>
      <w:r>
        <w:rPr>
          <w:rFonts w:ascii="Palatino Linotype" w:hAnsi="Palatino Linotype"/>
          <w:color w:val="000000"/>
          <w:sz w:val="24"/>
          <w:szCs w:val="24"/>
        </w:rPr>
        <w:lastRenderedPageBreak/>
        <w:t>Asi</w:t>
      </w:r>
      <w:r w:rsidRPr="00C923DB">
        <w:rPr>
          <w:rFonts w:ascii="Palatino Linotype" w:hAnsi="Palatino Linotype"/>
          <w:color w:val="000000"/>
          <w:sz w:val="24"/>
          <w:szCs w:val="24"/>
        </w:rPr>
        <w:t>mismo</w:t>
      </w:r>
      <w:r>
        <w:rPr>
          <w:rFonts w:ascii="Palatino Linotype" w:hAnsi="Palatino Linotype"/>
          <w:color w:val="000000"/>
          <w:sz w:val="24"/>
          <w:szCs w:val="24"/>
        </w:rPr>
        <w:t>, señaló</w:t>
      </w:r>
      <w:r w:rsidRPr="00C923DB">
        <w:rPr>
          <w:rFonts w:ascii="Palatino Linotype" w:hAnsi="Palatino Linotype"/>
          <w:color w:val="000000"/>
          <w:sz w:val="24"/>
          <w:szCs w:val="24"/>
        </w:rPr>
        <w:t xml:space="preserve"> como razones o motivos de la inconformidad lo siguiente:</w:t>
      </w:r>
    </w:p>
    <w:p w:rsidR="00A04851" w:rsidRDefault="00A04851" w:rsidP="00A04851">
      <w:pPr>
        <w:ind w:left="851" w:right="902"/>
        <w:jc w:val="both"/>
        <w:rPr>
          <w:rFonts w:ascii="Palatino Linotype" w:hAnsi="Palatino Linotype"/>
          <w:i/>
          <w:color w:val="000000"/>
        </w:rPr>
      </w:pPr>
      <w:r>
        <w:rPr>
          <w:rFonts w:ascii="Palatino Linotype" w:hAnsi="Palatino Linotype"/>
          <w:i/>
          <w:color w:val="000000"/>
        </w:rPr>
        <w:t>“</w:t>
      </w:r>
      <w:r w:rsidRPr="00A04851">
        <w:rPr>
          <w:rFonts w:ascii="Palatino Linotype" w:hAnsi="Palatino Linotype"/>
          <w:i/>
          <w:color w:val="000000"/>
        </w:rPr>
        <w:t>NO ME NETREGARON LA INFORMACIÓN YA VAN 17 DÍAS Y NO CONTESTAN QUIERO QUE AL TITULAR DE TRANSPARENCIA SE PONGA A TRABAJAR Y PIDA LA INFORMACIÓN YA QUE LA NECESITO Y NO ME LA PROPORCIONA</w:t>
      </w:r>
      <w:r w:rsidRPr="003F1D96">
        <w:rPr>
          <w:rFonts w:ascii="Palatino Linotype" w:hAnsi="Palatino Linotype"/>
          <w:i/>
          <w:color w:val="000000"/>
        </w:rPr>
        <w:t>.</w:t>
      </w:r>
      <w:r>
        <w:rPr>
          <w:rFonts w:ascii="Palatino Linotype" w:hAnsi="Palatino Linotype"/>
          <w:i/>
          <w:color w:val="000000"/>
        </w:rPr>
        <w:t>” (Sic)</w:t>
      </w:r>
    </w:p>
    <w:p w:rsidR="00A04851" w:rsidRPr="00C923DB" w:rsidRDefault="00A04851" w:rsidP="00A04851">
      <w:pPr>
        <w:spacing w:before="100" w:beforeAutospacing="1" w:after="100" w:afterAutospacing="1" w:line="360" w:lineRule="auto"/>
        <w:jc w:val="both"/>
        <w:rPr>
          <w:rFonts w:ascii="Times" w:hAnsi="Times"/>
          <w:sz w:val="24"/>
          <w:szCs w:val="24"/>
          <w:lang w:val="es-ES_tradnl" w:eastAsia="es-ES_tradnl"/>
        </w:rPr>
      </w:pPr>
      <w:r>
        <w:rPr>
          <w:rFonts w:ascii="Palatino Linotype" w:hAnsi="Palatino Linotype" w:cs="Arial"/>
          <w:b/>
          <w:sz w:val="28"/>
          <w:szCs w:val="28"/>
        </w:rPr>
        <w:t>V</w:t>
      </w:r>
      <w:r w:rsidRPr="005E7982">
        <w:rPr>
          <w:rFonts w:ascii="Palatino Linotype" w:hAnsi="Palatino Linotype" w:cs="Arial"/>
          <w:b/>
          <w:sz w:val="28"/>
          <w:szCs w:val="28"/>
        </w:rPr>
        <w:t>.</w:t>
      </w:r>
      <w:r w:rsidRPr="005E7982">
        <w:rPr>
          <w:rFonts w:ascii="Palatino Linotype" w:hAnsi="Palatino Linotype" w:cs="Arial"/>
          <w:szCs w:val="20"/>
        </w:rPr>
        <w:t xml:space="preserve"> </w:t>
      </w:r>
      <w:bookmarkEnd w:id="0"/>
      <w:r w:rsidRPr="00C923DB">
        <w:rPr>
          <w:rFonts w:ascii="Palatino Linotype" w:hAnsi="Palatino Linotype" w:cs="Arial"/>
          <w:sz w:val="24"/>
          <w:szCs w:val="24"/>
          <w:lang w:val="es-ES"/>
        </w:rPr>
        <w:t xml:space="preserve">El </w:t>
      </w:r>
      <w:r>
        <w:rPr>
          <w:rFonts w:ascii="Palatino Linotype" w:hAnsi="Palatino Linotype" w:cs="Arial"/>
          <w:sz w:val="24"/>
          <w:szCs w:val="24"/>
          <w:lang w:val="es-ES"/>
        </w:rPr>
        <w:t>veinti</w:t>
      </w:r>
      <w:r w:rsidR="003725BD">
        <w:rPr>
          <w:rFonts w:ascii="Palatino Linotype" w:hAnsi="Palatino Linotype" w:cs="Arial"/>
          <w:sz w:val="24"/>
          <w:szCs w:val="24"/>
          <w:lang w:val="es-ES"/>
        </w:rPr>
        <w:t xml:space="preserve">ocho de </w:t>
      </w:r>
      <w:r>
        <w:rPr>
          <w:rFonts w:ascii="Palatino Linotype" w:hAnsi="Palatino Linotype" w:cs="Arial"/>
          <w:sz w:val="24"/>
          <w:szCs w:val="24"/>
          <w:lang w:val="es-ES"/>
        </w:rPr>
        <w:t xml:space="preserve">octubre de </w:t>
      </w:r>
      <w:r w:rsidRPr="00C923DB">
        <w:rPr>
          <w:rFonts w:ascii="Palatino Linotype" w:hAnsi="Palatino Linotype" w:cs="Arial"/>
          <w:sz w:val="24"/>
          <w:szCs w:val="24"/>
          <w:lang w:val="es-ES"/>
        </w:rPr>
        <w:t>dos mil diecinueve</w:t>
      </w:r>
      <w:r w:rsidRPr="00C923DB">
        <w:rPr>
          <w:rFonts w:ascii="Palatino Linotype" w:hAnsi="Palatino Linotype"/>
          <w:sz w:val="24"/>
          <w:szCs w:val="24"/>
          <w:lang w:val="es-ES"/>
        </w:rPr>
        <w:t>, el recurso de revisión</w:t>
      </w:r>
      <w:r w:rsidRPr="00C923DB">
        <w:rPr>
          <w:rFonts w:ascii="Palatino Linotype" w:hAnsi="Palatino Linotype" w:cs="Arial"/>
          <w:sz w:val="24"/>
          <w:szCs w:val="24"/>
          <w:lang w:val="es-ES_tradnl"/>
        </w:rPr>
        <w:t xml:space="preserve"> de que</w:t>
      </w:r>
      <w:r w:rsidRPr="00C923DB">
        <w:rPr>
          <w:rFonts w:ascii="Palatino Linotype" w:hAnsi="Palatino Linotype" w:cs="Arial"/>
          <w:sz w:val="24"/>
          <w:szCs w:val="24"/>
          <w:lang w:val="es-ES"/>
        </w:rPr>
        <w:t xml:space="preserve"> se trata</w:t>
      </w:r>
      <w:r w:rsidRPr="00C923DB">
        <w:rPr>
          <w:rFonts w:ascii="Palatino Linotype" w:hAnsi="Palatino Linotype" w:cs="Arial"/>
          <w:sz w:val="24"/>
          <w:szCs w:val="24"/>
          <w:lang w:val="es-ES_tradnl"/>
        </w:rPr>
        <w:t xml:space="preserve"> se envió electrónicamente al Instituto de </w:t>
      </w:r>
      <w:r w:rsidRPr="00C923DB">
        <w:rPr>
          <w:rFonts w:ascii="Palatino Linotype" w:eastAsia="Arial Unicode MS" w:hAnsi="Palatino Linotype" w:cs="Arial"/>
          <w:sz w:val="24"/>
          <w:szCs w:val="24"/>
          <w:lang w:val="es-ES"/>
        </w:rPr>
        <w:t>Transparencia</w:t>
      </w:r>
      <w:r w:rsidRPr="00C923DB">
        <w:rPr>
          <w:rFonts w:ascii="Palatino Linotype" w:hAnsi="Palatino Linotype" w:cs="Arial"/>
          <w:sz w:val="24"/>
          <w:szCs w:val="24"/>
          <w:lang w:val="es-ES_tradnl"/>
        </w:rPr>
        <w:t xml:space="preserve">, Acceso a la Información Pública y Protección de Datos Personales del Estado de México y Municipios y con fundamento en el artículo 185, fracción I de la </w:t>
      </w:r>
      <w:r w:rsidRPr="00C923DB">
        <w:rPr>
          <w:rFonts w:ascii="Palatino Linotype" w:hAnsi="Palatino Linotype"/>
          <w:sz w:val="24"/>
          <w:szCs w:val="24"/>
          <w:lang w:val="es-ES"/>
        </w:rPr>
        <w:t>Ley de Transparencia y Acceso a la Información Pública del Estado de México y Municipios</w:t>
      </w:r>
      <w:r w:rsidRPr="00C923DB">
        <w:rPr>
          <w:rFonts w:ascii="Palatino Linotype" w:hAnsi="Palatino Linotype" w:cs="Arial"/>
          <w:sz w:val="24"/>
          <w:szCs w:val="24"/>
          <w:lang w:val="es-ES_tradnl"/>
        </w:rPr>
        <w:t>, se turnó, a través del</w:t>
      </w:r>
      <w:r w:rsidRPr="00C923DB">
        <w:rPr>
          <w:rFonts w:ascii="Palatino Linotype" w:eastAsia="Arial Unicode MS" w:hAnsi="Palatino Linotype" w:cs="Arial"/>
          <w:sz w:val="24"/>
          <w:szCs w:val="24"/>
          <w:lang w:val="es-ES_tradnl"/>
        </w:rPr>
        <w:t xml:space="preserve"> </w:t>
      </w:r>
      <w:r w:rsidRPr="00C923DB">
        <w:rPr>
          <w:rFonts w:ascii="Palatino Linotype" w:eastAsia="Arial Unicode MS" w:hAnsi="Palatino Linotype" w:cs="Arial"/>
          <w:b/>
          <w:sz w:val="24"/>
          <w:szCs w:val="24"/>
          <w:lang w:val="es-ES_tradnl"/>
        </w:rPr>
        <w:t>SAIMEX</w:t>
      </w:r>
      <w:r w:rsidRPr="00C923DB">
        <w:rPr>
          <w:rFonts w:ascii="Palatino Linotype" w:hAnsi="Palatino Linotype"/>
          <w:sz w:val="24"/>
          <w:szCs w:val="24"/>
          <w:lang w:val="es-ES"/>
        </w:rPr>
        <w:t xml:space="preserve">, el recurso de revisión </w:t>
      </w:r>
      <w:r w:rsidR="003725BD">
        <w:rPr>
          <w:rFonts w:ascii="Palatino Linotype" w:hAnsi="Palatino Linotype"/>
          <w:b/>
          <w:sz w:val="24"/>
          <w:szCs w:val="24"/>
          <w:lang w:val="es-ES"/>
        </w:rPr>
        <w:t>08332</w:t>
      </w:r>
      <w:r w:rsidRPr="00C923DB">
        <w:rPr>
          <w:rFonts w:ascii="Palatino Linotype" w:hAnsi="Palatino Linotype"/>
          <w:b/>
          <w:sz w:val="24"/>
          <w:szCs w:val="24"/>
          <w:lang w:val="es-ES"/>
        </w:rPr>
        <w:t>/INFOEM/IP/RR/2019</w:t>
      </w:r>
      <w:r w:rsidRPr="00C923DB">
        <w:rPr>
          <w:rFonts w:ascii="Palatino Linotype" w:hAnsi="Palatino Linotype"/>
          <w:sz w:val="24"/>
          <w:szCs w:val="24"/>
          <w:lang w:val="es-ES"/>
        </w:rPr>
        <w:t xml:space="preserve"> a la </w:t>
      </w:r>
      <w:r w:rsidRPr="00C923DB">
        <w:rPr>
          <w:rFonts w:ascii="Palatino Linotype" w:hAnsi="Palatino Linotype" w:cs="Arial"/>
          <w:sz w:val="24"/>
          <w:szCs w:val="24"/>
          <w:lang w:val="es-ES_tradnl"/>
        </w:rPr>
        <w:t xml:space="preserve">Comisionada </w:t>
      </w:r>
      <w:r w:rsidRPr="00C923DB">
        <w:rPr>
          <w:rFonts w:ascii="Palatino Linotype" w:hAnsi="Palatino Linotype" w:cs="Arial"/>
          <w:b/>
          <w:sz w:val="24"/>
          <w:szCs w:val="24"/>
          <w:lang w:val="es-ES_tradnl"/>
        </w:rPr>
        <w:t xml:space="preserve">Eva </w:t>
      </w:r>
      <w:proofErr w:type="spellStart"/>
      <w:r w:rsidRPr="00C923DB">
        <w:rPr>
          <w:rFonts w:ascii="Palatino Linotype" w:hAnsi="Palatino Linotype" w:cs="Arial"/>
          <w:b/>
          <w:sz w:val="24"/>
          <w:szCs w:val="24"/>
          <w:lang w:val="es-ES_tradnl"/>
        </w:rPr>
        <w:t>Abaid</w:t>
      </w:r>
      <w:proofErr w:type="spellEnd"/>
      <w:r w:rsidRPr="00C923DB">
        <w:rPr>
          <w:rFonts w:ascii="Palatino Linotype" w:hAnsi="Palatino Linotype" w:cs="Arial"/>
          <w:b/>
          <w:sz w:val="24"/>
          <w:szCs w:val="24"/>
          <w:lang w:val="es-ES_tradnl"/>
        </w:rPr>
        <w:t xml:space="preserve"> </w:t>
      </w:r>
      <w:proofErr w:type="spellStart"/>
      <w:r w:rsidRPr="00C923DB">
        <w:rPr>
          <w:rFonts w:ascii="Palatino Linotype" w:hAnsi="Palatino Linotype" w:cs="Arial"/>
          <w:b/>
          <w:sz w:val="24"/>
          <w:szCs w:val="24"/>
          <w:lang w:val="es-ES_tradnl"/>
        </w:rPr>
        <w:t>Yapur</w:t>
      </w:r>
      <w:proofErr w:type="spellEnd"/>
      <w:r w:rsidRPr="00C923DB">
        <w:rPr>
          <w:rFonts w:ascii="Palatino Linotype" w:hAnsi="Palatino Linotype" w:cs="Arial"/>
          <w:b/>
          <w:sz w:val="24"/>
          <w:szCs w:val="24"/>
          <w:lang w:val="es-ES_tradnl"/>
        </w:rPr>
        <w:t xml:space="preserve">, </w:t>
      </w:r>
      <w:r w:rsidRPr="00C923DB">
        <w:rPr>
          <w:rFonts w:ascii="Palatino Linotype" w:hAnsi="Palatino Linotype" w:cs="Arial"/>
          <w:sz w:val="24"/>
          <w:szCs w:val="24"/>
          <w:lang w:val="es-ES_tradnl"/>
        </w:rPr>
        <w:t xml:space="preserve">a efecto de que se decretará su admisión o </w:t>
      </w:r>
      <w:proofErr w:type="spellStart"/>
      <w:r w:rsidRPr="00C923DB">
        <w:rPr>
          <w:rFonts w:ascii="Palatino Linotype" w:hAnsi="Palatino Linotype" w:cs="Arial"/>
          <w:sz w:val="24"/>
          <w:szCs w:val="24"/>
          <w:lang w:val="es-ES_tradnl"/>
        </w:rPr>
        <w:t>desechamiento</w:t>
      </w:r>
      <w:proofErr w:type="spellEnd"/>
      <w:r w:rsidRPr="00C923DB">
        <w:rPr>
          <w:rFonts w:ascii="Palatino Linotype" w:hAnsi="Palatino Linotype" w:cs="Arial"/>
          <w:sz w:val="24"/>
          <w:szCs w:val="24"/>
          <w:lang w:val="es-ES_tradnl"/>
        </w:rPr>
        <w:t>.</w:t>
      </w:r>
    </w:p>
    <w:p w:rsidR="00A04851" w:rsidRPr="00C923DB" w:rsidRDefault="00A04851" w:rsidP="00A04851">
      <w:pPr>
        <w:spacing w:before="100" w:beforeAutospacing="1" w:after="100" w:afterAutospacing="1" w:line="360" w:lineRule="auto"/>
        <w:jc w:val="both"/>
        <w:rPr>
          <w:rFonts w:ascii="Times" w:hAnsi="Times"/>
          <w:sz w:val="24"/>
          <w:szCs w:val="24"/>
          <w:lang w:val="es-ES_tradnl" w:eastAsia="es-ES_tradnl"/>
        </w:rPr>
      </w:pPr>
      <w:bookmarkStart w:id="1" w:name="_Ref507070922"/>
      <w:r w:rsidRPr="005E7982">
        <w:rPr>
          <w:rFonts w:ascii="Palatino Linotype" w:hAnsi="Palatino Linotype"/>
          <w:b/>
          <w:sz w:val="28"/>
          <w:szCs w:val="28"/>
        </w:rPr>
        <w:t>V</w:t>
      </w:r>
      <w:r>
        <w:rPr>
          <w:rFonts w:ascii="Palatino Linotype" w:hAnsi="Palatino Linotype"/>
          <w:b/>
          <w:sz w:val="28"/>
          <w:szCs w:val="28"/>
        </w:rPr>
        <w:t>I</w:t>
      </w:r>
      <w:r w:rsidRPr="005E7982">
        <w:rPr>
          <w:rFonts w:ascii="Palatino Linotype" w:hAnsi="Palatino Linotype"/>
          <w:b/>
          <w:sz w:val="28"/>
          <w:szCs w:val="28"/>
        </w:rPr>
        <w:t>.</w:t>
      </w:r>
      <w:r w:rsidRPr="005E7982">
        <w:rPr>
          <w:rFonts w:ascii="Palatino Linotype" w:hAnsi="Palatino Linotype"/>
        </w:rPr>
        <w:t xml:space="preserve"> </w:t>
      </w:r>
      <w:bookmarkEnd w:id="1"/>
      <w:r w:rsidRPr="00C923DB">
        <w:rPr>
          <w:rFonts w:ascii="Palatino Linotype" w:eastAsia="MS Mincho" w:hAnsi="Palatino Linotype" w:cs="Arial"/>
          <w:sz w:val="24"/>
          <w:szCs w:val="24"/>
          <w:lang w:val="es-ES_tradnl"/>
        </w:rPr>
        <w:t>De las constancias del expediente electrónico del</w:t>
      </w:r>
      <w:r w:rsidRPr="00C923DB">
        <w:rPr>
          <w:rFonts w:ascii="Palatino Linotype" w:eastAsia="MS Mincho" w:hAnsi="Palatino Linotype" w:cs="Arial"/>
          <w:b/>
          <w:sz w:val="24"/>
          <w:szCs w:val="24"/>
          <w:lang w:val="es-ES_tradnl"/>
        </w:rPr>
        <w:t xml:space="preserve"> SAIMEX</w:t>
      </w:r>
      <w:r w:rsidRPr="00C923DB">
        <w:rPr>
          <w:rFonts w:ascii="Palatino Linotype" w:eastAsia="MS Mincho" w:hAnsi="Palatino Linotype" w:cs="Arial"/>
          <w:sz w:val="24"/>
          <w:szCs w:val="24"/>
          <w:lang w:val="es-ES_tradnl"/>
        </w:rPr>
        <w:t xml:space="preserve">, se desprende que el </w:t>
      </w:r>
      <w:r w:rsidR="003725BD">
        <w:rPr>
          <w:rFonts w:ascii="Palatino Linotype" w:eastAsia="MS Mincho" w:hAnsi="Palatino Linotype" w:cs="Arial"/>
          <w:sz w:val="24"/>
          <w:szCs w:val="24"/>
          <w:lang w:val="es-ES_tradnl"/>
        </w:rPr>
        <w:t xml:space="preserve">uno de noviembre </w:t>
      </w:r>
      <w:r w:rsidRPr="00C923DB">
        <w:rPr>
          <w:rFonts w:ascii="Palatino Linotype" w:eastAsia="MS Mincho" w:hAnsi="Palatino Linotype" w:cs="Arial"/>
          <w:sz w:val="24"/>
          <w:szCs w:val="24"/>
          <w:lang w:val="es-ES_tradnl"/>
        </w:rPr>
        <w:t xml:space="preserve">de dos mil diecinueve,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C923DB">
        <w:rPr>
          <w:rFonts w:ascii="Palatino Linotype" w:eastAsia="MS Mincho" w:hAnsi="Palatino Linotype" w:cs="Arial"/>
          <w:b/>
          <w:sz w:val="24"/>
          <w:szCs w:val="24"/>
          <w:lang w:val="es-ES_tradnl"/>
        </w:rPr>
        <w:t xml:space="preserve">EL SUJETO OBLIGADO </w:t>
      </w:r>
      <w:r w:rsidRPr="00C923DB">
        <w:rPr>
          <w:rFonts w:ascii="Palatino Linotype" w:eastAsia="MS Mincho" w:hAnsi="Palatino Linotype" w:cs="Arial"/>
          <w:sz w:val="24"/>
          <w:szCs w:val="24"/>
          <w:lang w:val="es-ES_tradnl"/>
        </w:rPr>
        <w:t>rindiera su Informe Justificado respectivamente.</w:t>
      </w:r>
    </w:p>
    <w:p w:rsidR="00A04851" w:rsidRDefault="00A04851" w:rsidP="00A04851">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lang w:val="es-ES_tradnl"/>
        </w:rPr>
      </w:pPr>
      <w:r w:rsidRPr="005E7982">
        <w:rPr>
          <w:rFonts w:ascii="Palatino Linotype" w:hAnsi="Palatino Linotype" w:cs="Arial"/>
          <w:b/>
          <w:sz w:val="28"/>
          <w:szCs w:val="28"/>
        </w:rPr>
        <w:t>V</w:t>
      </w:r>
      <w:r>
        <w:rPr>
          <w:rFonts w:ascii="Palatino Linotype" w:hAnsi="Palatino Linotype" w:cs="Arial"/>
          <w:b/>
          <w:sz w:val="28"/>
          <w:szCs w:val="28"/>
        </w:rPr>
        <w:t>II</w:t>
      </w:r>
      <w:r w:rsidRPr="005E7982">
        <w:rPr>
          <w:rFonts w:ascii="Palatino Linotype" w:hAnsi="Palatino Linotype" w:cs="Arial"/>
          <w:b/>
          <w:sz w:val="28"/>
          <w:szCs w:val="28"/>
        </w:rPr>
        <w:t>.</w:t>
      </w:r>
      <w:r w:rsidRPr="005E7982">
        <w:rPr>
          <w:rFonts w:ascii="Palatino Linotype" w:hAnsi="Palatino Linotype" w:cs="Arial"/>
        </w:rPr>
        <w:t xml:space="preserve"> </w:t>
      </w:r>
      <w:r w:rsidRPr="00C923DB">
        <w:rPr>
          <w:rFonts w:ascii="Palatino Linotype" w:hAnsi="Palatino Linotype" w:cs="Arial"/>
        </w:rPr>
        <w:t>De</w:t>
      </w:r>
      <w:r w:rsidRPr="00C923DB">
        <w:rPr>
          <w:rFonts w:ascii="Palatino Linotype" w:hAnsi="Palatino Linotype" w:cs="Arial"/>
          <w:lang w:val="es-ES_tradnl"/>
        </w:rPr>
        <w:t xml:space="preserve"> las </w:t>
      </w:r>
      <w:r w:rsidRPr="00C923DB">
        <w:rPr>
          <w:rFonts w:ascii="Palatino Linotype" w:hAnsi="Palatino Linotype"/>
        </w:rPr>
        <w:t>constancias</w:t>
      </w:r>
      <w:r w:rsidRPr="00C923DB">
        <w:rPr>
          <w:rFonts w:ascii="Palatino Linotype" w:hAnsi="Palatino Linotype" w:cs="Arial"/>
          <w:lang w:val="es-ES_tradnl"/>
        </w:rPr>
        <w:t xml:space="preserve"> que obran en el </w:t>
      </w:r>
      <w:r w:rsidRPr="00C923DB">
        <w:rPr>
          <w:rFonts w:ascii="Palatino Linotype" w:hAnsi="Palatino Linotype" w:cs="Arial"/>
          <w:b/>
          <w:lang w:val="es-ES_tradnl"/>
        </w:rPr>
        <w:t>SAIMEX</w:t>
      </w:r>
      <w:r w:rsidRPr="00C923DB">
        <w:rPr>
          <w:rFonts w:ascii="Palatino Linotype" w:hAnsi="Palatino Linotype" w:cs="Arial"/>
          <w:lang w:val="es-ES_tradnl"/>
        </w:rPr>
        <w:t>, se advierte que,</w:t>
      </w:r>
      <w:r>
        <w:rPr>
          <w:rFonts w:ascii="Palatino Linotype" w:hAnsi="Palatino Linotype" w:cs="Arial"/>
          <w:lang w:val="es-ES_tradnl"/>
        </w:rPr>
        <w:t xml:space="preserve"> </w:t>
      </w:r>
      <w:r>
        <w:rPr>
          <w:rFonts w:ascii="Palatino Linotype" w:hAnsi="Palatino Linotype" w:cs="Arial"/>
          <w:b/>
        </w:rPr>
        <w:t>EL</w:t>
      </w:r>
      <w:r w:rsidRPr="00C923DB">
        <w:rPr>
          <w:rFonts w:ascii="Palatino Linotype" w:hAnsi="Palatino Linotype" w:cs="Arial"/>
          <w:b/>
        </w:rPr>
        <w:t xml:space="preserve"> RECURRENTE </w:t>
      </w:r>
      <w:r>
        <w:rPr>
          <w:rFonts w:ascii="Palatino Linotype" w:hAnsi="Palatino Linotype" w:cs="Arial"/>
        </w:rPr>
        <w:lastRenderedPageBreak/>
        <w:t>fue omiso</w:t>
      </w:r>
      <w:r w:rsidRPr="00C923DB">
        <w:rPr>
          <w:rFonts w:ascii="Palatino Linotype" w:hAnsi="Palatino Linotype" w:cs="Arial"/>
        </w:rPr>
        <w:t xml:space="preserve"> en realizar manifestaciones, alegatos y ofrecer las pruebas que a su derecho </w:t>
      </w:r>
      <w:r>
        <w:rPr>
          <w:rFonts w:ascii="Palatino Linotype" w:hAnsi="Palatino Linotype" w:cs="Arial"/>
          <w:lang w:val="es-ES_tradnl"/>
        </w:rPr>
        <w:t xml:space="preserve">conviniera; por su parte </w:t>
      </w:r>
      <w:r w:rsidRPr="00C923DB">
        <w:rPr>
          <w:rFonts w:ascii="Palatino Linotype" w:hAnsi="Palatino Linotype" w:cs="Arial"/>
          <w:b/>
          <w:lang w:val="es-ES_tradnl"/>
        </w:rPr>
        <w:t xml:space="preserve">EL SUJETO OBLIGADO </w:t>
      </w:r>
      <w:r>
        <w:rPr>
          <w:rFonts w:ascii="Palatino Linotype" w:hAnsi="Palatino Linotype" w:cs="Arial"/>
          <w:lang w:val="es-ES_tradnl"/>
        </w:rPr>
        <w:t xml:space="preserve">en fecha once de noviembre de dos mil diecinueve, rindió el Informe Justificado que correspondiente; mismo que al actualizar el supuesto previsto en la fracción III artículo 185 de la Ley de la materia; fue puesto a la vista del </w:t>
      </w:r>
      <w:r>
        <w:rPr>
          <w:rFonts w:ascii="Palatino Linotype" w:hAnsi="Palatino Linotype" w:cs="Arial"/>
          <w:b/>
          <w:lang w:val="es-ES_tradnl"/>
        </w:rPr>
        <w:t xml:space="preserve">RECURRENTE </w:t>
      </w:r>
      <w:r>
        <w:rPr>
          <w:rFonts w:ascii="Palatino Linotype" w:hAnsi="Palatino Linotype" w:cs="Arial"/>
          <w:lang w:val="es-ES_tradnl"/>
        </w:rPr>
        <w:t xml:space="preserve">en fecha doce de </w:t>
      </w:r>
      <w:r w:rsidR="00B80126">
        <w:rPr>
          <w:rFonts w:ascii="Palatino Linotype" w:hAnsi="Palatino Linotype" w:cs="Arial"/>
          <w:lang w:val="es-ES_tradnl"/>
        </w:rPr>
        <w:t>noviembre del presente año; sir</w:t>
      </w:r>
      <w:r>
        <w:rPr>
          <w:rFonts w:ascii="Palatino Linotype" w:hAnsi="Palatino Linotype" w:cs="Arial"/>
          <w:lang w:val="es-ES_tradnl"/>
        </w:rPr>
        <w:t>viendo de sustento la imagen siguiente:</w:t>
      </w:r>
    </w:p>
    <w:p w:rsidR="00A04851" w:rsidRPr="00C923DB" w:rsidRDefault="003725BD" w:rsidP="00A04851">
      <w:pPr>
        <w:tabs>
          <w:tab w:val="center" w:pos="4252"/>
          <w:tab w:val="right" w:pos="8504"/>
        </w:tabs>
        <w:spacing w:before="100" w:beforeAutospacing="1" w:after="100" w:afterAutospacing="1" w:line="360" w:lineRule="auto"/>
        <w:jc w:val="center"/>
        <w:rPr>
          <w:rFonts w:ascii="Palatino Linotype" w:eastAsia="MS Mincho" w:hAnsi="Palatino Linotype" w:cs="Arial"/>
          <w:sz w:val="24"/>
          <w:szCs w:val="24"/>
          <w:lang w:val="es-ES_tradnl"/>
        </w:rPr>
      </w:pPr>
      <w:r>
        <w:rPr>
          <w:noProof/>
          <w:lang w:eastAsia="es-MX"/>
        </w:rPr>
        <w:drawing>
          <wp:inline distT="0" distB="0" distL="0" distR="0" wp14:anchorId="0ACA9F82" wp14:editId="1B1EAF17">
            <wp:extent cx="5447091" cy="2378497"/>
            <wp:effectExtent l="0" t="0" r="127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041" t="18494" r="14757" b="23911"/>
                    <a:stretch/>
                  </pic:blipFill>
                  <pic:spPr bwMode="auto">
                    <a:xfrm>
                      <a:off x="0" y="0"/>
                      <a:ext cx="5458908" cy="2383657"/>
                    </a:xfrm>
                    <a:prstGeom prst="rect">
                      <a:avLst/>
                    </a:prstGeom>
                    <a:ln>
                      <a:noFill/>
                    </a:ln>
                    <a:extLst>
                      <a:ext uri="{53640926-AAD7-44D8-BBD7-CCE9431645EC}">
                        <a14:shadowObscured xmlns:a14="http://schemas.microsoft.com/office/drawing/2010/main"/>
                      </a:ext>
                    </a:extLst>
                  </pic:spPr>
                </pic:pic>
              </a:graphicData>
            </a:graphic>
          </wp:inline>
        </w:drawing>
      </w:r>
    </w:p>
    <w:p w:rsidR="00A04851" w:rsidRDefault="00A04851" w:rsidP="00A04851">
      <w:pPr>
        <w:pStyle w:val="Prrafodelista"/>
        <w:tabs>
          <w:tab w:val="left" w:pos="709"/>
        </w:tabs>
        <w:spacing w:before="200" w:after="200" w:line="360" w:lineRule="auto"/>
        <w:ind w:left="0"/>
        <w:jc w:val="both"/>
        <w:rPr>
          <w:rFonts w:ascii="Palatino Linotype" w:hAnsi="Palatino Linotype" w:cs="Arial"/>
        </w:rPr>
      </w:pPr>
      <w:r>
        <w:rPr>
          <w:rFonts w:ascii="Palatino Linotype" w:hAnsi="Palatino Linotype" w:cs="Arial"/>
          <w:b/>
          <w:sz w:val="28"/>
          <w:szCs w:val="28"/>
        </w:rPr>
        <w:t>VII</w:t>
      </w:r>
      <w:r w:rsidRPr="005E7982">
        <w:rPr>
          <w:rFonts w:ascii="Palatino Linotype" w:hAnsi="Palatino Linotype" w:cs="Arial"/>
          <w:b/>
          <w:sz w:val="28"/>
          <w:szCs w:val="28"/>
        </w:rPr>
        <w:t>.</w:t>
      </w:r>
      <w:r w:rsidRPr="005E7982">
        <w:rPr>
          <w:rFonts w:ascii="Palatino Linotype" w:hAnsi="Palatino Linotype" w:cs="Arial"/>
        </w:rPr>
        <w:t xml:space="preserve"> </w:t>
      </w:r>
      <w:bookmarkStart w:id="2" w:name="_Ref529870989"/>
      <w:r w:rsidRPr="005E7982">
        <w:rPr>
          <w:rFonts w:ascii="Palatino Linotype" w:hAnsi="Palatino Linotype" w:cs="Arial"/>
        </w:rPr>
        <w:t>Una vez analizado el estado procesal que guarda</w:t>
      </w:r>
      <w:r>
        <w:rPr>
          <w:rFonts w:ascii="Palatino Linotype" w:hAnsi="Palatino Linotype" w:cs="Arial"/>
        </w:rPr>
        <w:t>ba</w:t>
      </w:r>
      <w:r w:rsidRPr="005E7982">
        <w:rPr>
          <w:rFonts w:ascii="Palatino Linotype" w:hAnsi="Palatino Linotype" w:cs="Arial"/>
        </w:rPr>
        <w:t xml:space="preserve"> el expediente, en fecha</w:t>
      </w:r>
      <w:r>
        <w:rPr>
          <w:rFonts w:ascii="Palatino Linotype" w:hAnsi="Palatino Linotype" w:cs="Arial"/>
        </w:rPr>
        <w:t xml:space="preserve"> veinte de noviembre de </w:t>
      </w:r>
      <w:r w:rsidRPr="005E7982">
        <w:rPr>
          <w:rFonts w:ascii="Palatino Linotype" w:hAnsi="Palatino Linotype" w:cs="Arial"/>
          <w:lang w:val="es-ES_tradnl"/>
        </w:rPr>
        <w:t>dos mil diecinueve</w:t>
      </w:r>
      <w:r w:rsidRPr="005E7982">
        <w:rPr>
          <w:rFonts w:ascii="Palatino Linotype" w:hAnsi="Palatino Linotype" w:cs="Arial"/>
        </w:rPr>
        <w:t xml:space="preserve">, la Comisionada Ponente acordó el cierre de instrucción, así </w:t>
      </w:r>
      <w:r w:rsidRPr="005E7982">
        <w:rPr>
          <w:rFonts w:ascii="Palatino Linotype" w:hAnsi="Palatino Linotype" w:cs="Arial"/>
          <w:lang w:val="es-ES_tradnl"/>
        </w:rPr>
        <w:t>como</w:t>
      </w:r>
      <w:r w:rsidRPr="005E7982">
        <w:rPr>
          <w:rFonts w:ascii="Palatino Linotype" w:hAnsi="Palatino Linotype" w:cs="Arial"/>
        </w:rPr>
        <w:t xml:space="preserve"> la remisión del mismo a efecto </w:t>
      </w:r>
      <w:r w:rsidRPr="005E7982">
        <w:rPr>
          <w:rFonts w:ascii="Palatino Linotype" w:hAnsi="Palatino Linotype" w:cs="Arial"/>
          <w:lang w:val="es-ES_tradnl"/>
        </w:rPr>
        <w:t>de</w:t>
      </w:r>
      <w:r w:rsidRPr="005E7982">
        <w:rPr>
          <w:rFonts w:ascii="Palatino Linotype" w:hAnsi="Palatino Linotype" w:cs="Arial"/>
        </w:rPr>
        <w:t xml:space="preserve"> ser resuelto, de conformidad con lo establecido en el artículo 185</w:t>
      </w:r>
      <w:r>
        <w:rPr>
          <w:rFonts w:ascii="Palatino Linotype" w:hAnsi="Palatino Linotype" w:cs="Arial"/>
        </w:rPr>
        <w:t>,</w:t>
      </w:r>
      <w:r w:rsidRPr="005E7982">
        <w:rPr>
          <w:rFonts w:ascii="Palatino Linotype" w:hAnsi="Palatino Linotype" w:cs="Arial"/>
        </w:rPr>
        <w:t xml:space="preserve"> fracciones VI y VIII de la Ley de Transparencia y Acceso a la Información Pública del Estado de México y Municipio.</w:t>
      </w:r>
    </w:p>
    <w:p w:rsidR="00A04851" w:rsidRPr="00D81B07" w:rsidRDefault="00A04851" w:rsidP="00A04851">
      <w:pPr>
        <w:pStyle w:val="Prrafodelista"/>
        <w:tabs>
          <w:tab w:val="left" w:pos="709"/>
        </w:tabs>
        <w:spacing w:before="200" w:after="200" w:line="360" w:lineRule="auto"/>
        <w:ind w:left="0"/>
        <w:jc w:val="both"/>
        <w:rPr>
          <w:rFonts w:ascii="Palatino Linotype" w:hAnsi="Palatino Linotype" w:cs="Arial"/>
        </w:rPr>
      </w:pPr>
      <w:r>
        <w:rPr>
          <w:rFonts w:ascii="Palatino Linotype" w:hAnsi="Palatino Linotype" w:cs="Arial"/>
          <w:b/>
          <w:sz w:val="28"/>
          <w:szCs w:val="28"/>
        </w:rPr>
        <w:lastRenderedPageBreak/>
        <w:t>VIII</w:t>
      </w:r>
      <w:r w:rsidRPr="005E7982">
        <w:rPr>
          <w:rFonts w:ascii="Palatino Linotype" w:hAnsi="Palatino Linotype" w:cs="Arial"/>
          <w:b/>
          <w:sz w:val="28"/>
          <w:szCs w:val="28"/>
        </w:rPr>
        <w:t>.</w:t>
      </w:r>
      <w:r>
        <w:rPr>
          <w:rFonts w:ascii="Palatino Linotype" w:hAnsi="Palatino Linotype" w:cs="Arial"/>
        </w:rPr>
        <w:t xml:space="preserve"> </w:t>
      </w:r>
      <w:r>
        <w:rPr>
          <w:rFonts w:ascii="Palatino Linotype" w:hAnsi="Palatino Linotype"/>
        </w:rPr>
        <w:t>En fecha d</w:t>
      </w:r>
      <w:r w:rsidR="003725BD">
        <w:rPr>
          <w:rFonts w:ascii="Palatino Linotype" w:hAnsi="Palatino Linotype"/>
        </w:rPr>
        <w:t xml:space="preserve">ieciséis </w:t>
      </w:r>
      <w:r>
        <w:rPr>
          <w:rFonts w:ascii="Palatino Linotype" w:hAnsi="Palatino Linotype"/>
        </w:rPr>
        <w:t>de diciembre de dos mil diecinueve</w:t>
      </w:r>
      <w:r w:rsidRPr="00C37FD9">
        <w:rPr>
          <w:rFonts w:ascii="Palatino Linotype" w:hAnsi="Palatino Linotype"/>
        </w:rPr>
        <w:t>, la Comisionada Ponente acordó ampliar el plazo para resolver el recurso de revisión de mérito, por un periodo de hasta quince días hábiles, de conformidad con el artículo 181</w:t>
      </w:r>
      <w:r>
        <w:rPr>
          <w:rFonts w:ascii="Palatino Linotype" w:hAnsi="Palatino Linotype"/>
        </w:rPr>
        <w:t>,</w:t>
      </w:r>
      <w:r w:rsidRPr="00C37FD9">
        <w:rPr>
          <w:rFonts w:ascii="Palatino Linotype" w:hAnsi="Palatino Linotype"/>
        </w:rPr>
        <w:t xml:space="preserve"> tercer párrafo de la Ley de Transparencia y Acceso a la Información Pública del Estado de México y Municipios;</w:t>
      </w:r>
      <w:r>
        <w:rPr>
          <w:rFonts w:ascii="Palatino Linotype" w:hAnsi="Palatino Linotype"/>
        </w:rPr>
        <w:t xml:space="preserve"> y,</w:t>
      </w:r>
    </w:p>
    <w:bookmarkEnd w:id="2"/>
    <w:p w:rsidR="00A04851" w:rsidRPr="005E7982" w:rsidRDefault="00A04851" w:rsidP="00A04851">
      <w:pPr>
        <w:spacing w:before="120" w:after="120" w:line="360" w:lineRule="auto"/>
        <w:jc w:val="center"/>
        <w:rPr>
          <w:rFonts w:ascii="Palatino Linotype" w:hAnsi="Palatino Linotype"/>
          <w:b/>
          <w:bCs/>
          <w:spacing w:val="60"/>
          <w:sz w:val="28"/>
        </w:rPr>
      </w:pPr>
      <w:r w:rsidRPr="005E7982">
        <w:rPr>
          <w:rFonts w:ascii="Palatino Linotype" w:hAnsi="Palatino Linotype"/>
          <w:b/>
          <w:bCs/>
          <w:spacing w:val="60"/>
          <w:sz w:val="28"/>
        </w:rPr>
        <w:t>CONSIDERANDO</w:t>
      </w:r>
    </w:p>
    <w:p w:rsidR="00A04851" w:rsidRPr="005E7982" w:rsidRDefault="00A04851" w:rsidP="00A04851">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5E7982">
        <w:rPr>
          <w:rFonts w:ascii="Palatino Linotype" w:hAnsi="Palatino Linotype"/>
          <w:b/>
          <w:sz w:val="28"/>
          <w:szCs w:val="28"/>
        </w:rPr>
        <w:t>PRIMERO.</w:t>
      </w:r>
      <w:r w:rsidRPr="005E7982">
        <w:rPr>
          <w:rFonts w:ascii="Palatino Linotype" w:hAnsi="Palatino Linotype"/>
          <w:b/>
        </w:rPr>
        <w:t xml:space="preserve"> Competencia</w:t>
      </w:r>
      <w:r w:rsidRPr="005E7982">
        <w:rPr>
          <w:rFonts w:ascii="Palatino Linotype" w:hAnsi="Palatino Linotype"/>
        </w:rPr>
        <w:t>.</w:t>
      </w:r>
      <w:r w:rsidRPr="005E7982">
        <w:rPr>
          <w:rFonts w:ascii="Palatino Linotype" w:hAnsi="Palatino Linotype"/>
          <w:b/>
        </w:rPr>
        <w:t xml:space="preserve"> </w:t>
      </w:r>
      <w:r w:rsidRPr="005E7982">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w:t>
      </w:r>
      <w:r>
        <w:rPr>
          <w:rFonts w:ascii="Palatino Linotype" w:hAnsi="Palatino Linotype"/>
        </w:rPr>
        <w:t xml:space="preserve"> segundo</w:t>
      </w:r>
      <w:r w:rsidRPr="005E7982">
        <w:rPr>
          <w:rFonts w:ascii="Palatino Linotype" w:hAnsi="Palatino Linotype"/>
        </w:rPr>
        <w:t>, vigésimo</w:t>
      </w:r>
      <w:r>
        <w:rPr>
          <w:rFonts w:ascii="Palatino Linotype" w:hAnsi="Palatino Linotype"/>
        </w:rPr>
        <w:t xml:space="preserve"> tercero</w:t>
      </w:r>
      <w:r w:rsidRPr="005E7982">
        <w:rPr>
          <w:rFonts w:ascii="Palatino Linotype" w:hAnsi="Palatino Linotype"/>
        </w:rPr>
        <w:t xml:space="preserve"> y vigésimo </w:t>
      </w:r>
      <w:r>
        <w:rPr>
          <w:rFonts w:ascii="Palatino Linotype" w:hAnsi="Palatino Linotype"/>
        </w:rPr>
        <w:t>cuarto</w:t>
      </w:r>
      <w:r w:rsidRPr="005E7982">
        <w:rPr>
          <w:rFonts w:ascii="Palatino Linotype" w:hAnsi="Palatino Linotype"/>
        </w:rPr>
        <w:t>,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5E7982">
        <w:rPr>
          <w:rFonts w:ascii="Palatino Linotype" w:hAnsi="Palatino Linotype" w:cs="Arial"/>
        </w:rPr>
        <w:t>.</w:t>
      </w:r>
    </w:p>
    <w:p w:rsidR="00A04851" w:rsidRPr="005E7982" w:rsidRDefault="00A04851" w:rsidP="00A04851">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snapToGrid w:val="0"/>
        </w:rPr>
      </w:pPr>
      <w:r w:rsidRPr="005E7982">
        <w:rPr>
          <w:rFonts w:ascii="Palatino Linotype" w:hAnsi="Palatino Linotype" w:cs="Arial"/>
          <w:b/>
          <w:sz w:val="28"/>
          <w:szCs w:val="28"/>
        </w:rPr>
        <w:t>SEGUNDO.</w:t>
      </w:r>
      <w:r w:rsidRPr="005E7982">
        <w:rPr>
          <w:rFonts w:ascii="Palatino Linotype" w:hAnsi="Palatino Linotype" w:cs="Arial"/>
          <w:b/>
        </w:rPr>
        <w:t xml:space="preserve"> Interés.</w:t>
      </w:r>
      <w:r w:rsidRPr="005E7982">
        <w:rPr>
          <w:rFonts w:ascii="Palatino Linotype" w:hAnsi="Palatino Linotype" w:cs="Arial"/>
        </w:rPr>
        <w:t xml:space="preserve"> El </w:t>
      </w:r>
      <w:r w:rsidRPr="005E7982">
        <w:rPr>
          <w:rFonts w:ascii="Palatino Linotype" w:hAnsi="Palatino Linotype"/>
        </w:rPr>
        <w:t>recurso</w:t>
      </w:r>
      <w:r w:rsidRPr="005E7982">
        <w:rPr>
          <w:rFonts w:ascii="Palatino Linotype" w:hAnsi="Palatino Linotype" w:cs="Arial"/>
        </w:rPr>
        <w:t xml:space="preserve"> de revisión fue </w:t>
      </w:r>
      <w:r w:rsidRPr="005E7982">
        <w:rPr>
          <w:rFonts w:ascii="Palatino Linotype" w:hAnsi="Palatino Linotype"/>
        </w:rPr>
        <w:t>interpuesto</w:t>
      </w:r>
      <w:r w:rsidRPr="005E7982">
        <w:rPr>
          <w:rFonts w:ascii="Palatino Linotype" w:hAnsi="Palatino Linotype" w:cs="Arial"/>
        </w:rPr>
        <w:t xml:space="preserve"> por parte legítima en atención a que fue </w:t>
      </w:r>
      <w:r w:rsidRPr="005E7982">
        <w:rPr>
          <w:rFonts w:ascii="Palatino Linotype" w:hAnsi="Palatino Linotype"/>
        </w:rPr>
        <w:t>presentado</w:t>
      </w:r>
      <w:r w:rsidRPr="005E7982">
        <w:rPr>
          <w:rFonts w:ascii="Palatino Linotype" w:hAnsi="Palatino Linotype" w:cs="Arial"/>
        </w:rPr>
        <w:t xml:space="preserve"> por </w:t>
      </w:r>
      <w:r>
        <w:rPr>
          <w:rFonts w:ascii="Palatino Linotype" w:hAnsi="Palatino Linotype" w:cs="Arial"/>
          <w:b/>
        </w:rPr>
        <w:t>EL</w:t>
      </w:r>
      <w:r w:rsidRPr="00C229BC">
        <w:rPr>
          <w:rFonts w:ascii="Palatino Linotype" w:hAnsi="Palatino Linotype" w:cs="Arial"/>
          <w:b/>
        </w:rPr>
        <w:t xml:space="preserve"> RECURRENTE</w:t>
      </w:r>
      <w:r w:rsidRPr="005E7982">
        <w:rPr>
          <w:rFonts w:ascii="Palatino Linotype" w:hAnsi="Palatino Linotype" w:cs="Arial"/>
          <w:snapToGrid w:val="0"/>
        </w:rPr>
        <w:t xml:space="preserve">, </w:t>
      </w:r>
      <w:r w:rsidRPr="005E7982">
        <w:rPr>
          <w:rFonts w:ascii="Palatino Linotype" w:hAnsi="Palatino Linotype" w:cs="Arial"/>
        </w:rPr>
        <w:t>quien</w:t>
      </w:r>
      <w:r w:rsidRPr="005E7982">
        <w:rPr>
          <w:rFonts w:ascii="Palatino Linotype" w:hAnsi="Palatino Linotype" w:cs="Arial"/>
          <w:snapToGrid w:val="0"/>
        </w:rPr>
        <w:t xml:space="preserve"> </w:t>
      </w:r>
      <w:r w:rsidRPr="005E7982">
        <w:rPr>
          <w:rFonts w:ascii="Palatino Linotype" w:hAnsi="Palatino Linotype"/>
        </w:rPr>
        <w:t>formuló</w:t>
      </w:r>
      <w:r w:rsidRPr="005E7982">
        <w:rPr>
          <w:rFonts w:ascii="Palatino Linotype" w:hAnsi="Palatino Linotype" w:cs="Arial"/>
          <w:snapToGrid w:val="0"/>
        </w:rPr>
        <w:t xml:space="preserve"> la </w:t>
      </w:r>
      <w:r w:rsidRPr="005E7982">
        <w:rPr>
          <w:rFonts w:ascii="Palatino Linotype" w:hAnsi="Palatino Linotype" w:cs="Arial"/>
        </w:rPr>
        <w:t>solicitud</w:t>
      </w:r>
      <w:r w:rsidRPr="005E7982">
        <w:rPr>
          <w:rFonts w:ascii="Palatino Linotype" w:hAnsi="Palatino Linotype" w:cs="Arial"/>
          <w:snapToGrid w:val="0"/>
        </w:rPr>
        <w:t xml:space="preserve"> de información pública al </w:t>
      </w:r>
      <w:r w:rsidRPr="005E7982">
        <w:rPr>
          <w:rFonts w:ascii="Palatino Linotype" w:hAnsi="Palatino Linotype" w:cs="Arial"/>
          <w:b/>
          <w:snapToGrid w:val="0"/>
        </w:rPr>
        <w:t>SUJETO OBLIGADO.</w:t>
      </w:r>
      <w:r w:rsidRPr="005E7982">
        <w:rPr>
          <w:rFonts w:ascii="Palatino Linotype" w:hAnsi="Palatino Linotype" w:cs="Arial"/>
          <w:snapToGrid w:val="0"/>
        </w:rPr>
        <w:t xml:space="preserve"> </w:t>
      </w:r>
    </w:p>
    <w:p w:rsidR="003725BD" w:rsidRPr="0027505D" w:rsidRDefault="00A04851" w:rsidP="003725BD">
      <w:pPr>
        <w:pStyle w:val="Prrafodelista"/>
        <w:autoSpaceDE w:val="0"/>
        <w:autoSpaceDN w:val="0"/>
        <w:adjustRightInd w:val="0"/>
        <w:spacing w:before="100" w:beforeAutospacing="1" w:after="100" w:afterAutospacing="1" w:line="360" w:lineRule="auto"/>
        <w:ind w:left="0" w:right="49"/>
        <w:jc w:val="both"/>
        <w:rPr>
          <w:rFonts w:ascii="Palatino Linotype" w:hAnsi="Palatino Linotype" w:cs="Arial"/>
          <w:color w:val="000000"/>
          <w:lang w:val="es-ES"/>
        </w:rPr>
      </w:pPr>
      <w:r w:rsidRPr="005E7982">
        <w:rPr>
          <w:rFonts w:ascii="Palatino Linotype" w:hAnsi="Palatino Linotype" w:cs="Arial"/>
          <w:b/>
          <w:sz w:val="28"/>
          <w:szCs w:val="28"/>
        </w:rPr>
        <w:lastRenderedPageBreak/>
        <w:t>TERCERO.</w:t>
      </w:r>
      <w:r w:rsidRPr="005E7982">
        <w:rPr>
          <w:rFonts w:ascii="Palatino Linotype" w:hAnsi="Palatino Linotype" w:cs="Arial"/>
          <w:b/>
        </w:rPr>
        <w:t xml:space="preserve"> Oportunidad. </w:t>
      </w:r>
      <w:r w:rsidR="003725BD" w:rsidRPr="0027505D">
        <w:rPr>
          <w:rFonts w:ascii="Palatino Linotype" w:hAnsi="Palatino Linotype" w:cs="Arial"/>
          <w:color w:val="000000"/>
          <w:lang w:val="es-ES"/>
        </w:rPr>
        <w:t>Es de precisar que la Ley de Transparencia y Acceso a la Información Pública del Estado de México y Municipios, describe el mecanismo de procedencia de los recursos de revisión, como se puede apreciar en el siguiente artículo:</w:t>
      </w:r>
    </w:p>
    <w:p w:rsidR="003725BD" w:rsidRPr="0027505D" w:rsidRDefault="003725BD" w:rsidP="003725BD">
      <w:pPr>
        <w:autoSpaceDE w:val="0"/>
        <w:autoSpaceDN w:val="0"/>
        <w:adjustRightInd w:val="0"/>
        <w:spacing w:after="0" w:line="240" w:lineRule="auto"/>
        <w:ind w:left="851" w:right="902"/>
        <w:jc w:val="both"/>
        <w:rPr>
          <w:rFonts w:ascii="Palatino Linotype" w:eastAsia="Times New Roman" w:hAnsi="Palatino Linotype" w:cs="Arial"/>
          <w:i/>
          <w:color w:val="000000"/>
          <w:lang w:val="es-ES"/>
        </w:rPr>
      </w:pPr>
      <w:r w:rsidRPr="0027505D">
        <w:rPr>
          <w:rFonts w:ascii="Palatino Linotype" w:eastAsia="Times New Roman" w:hAnsi="Palatino Linotype" w:cs="Arial"/>
          <w:b/>
          <w:i/>
          <w:color w:val="000000"/>
          <w:lang w:val="es-ES"/>
        </w:rPr>
        <w:t>“Artículo 163.</w:t>
      </w:r>
      <w:r w:rsidRPr="0027505D">
        <w:rPr>
          <w:rFonts w:ascii="Palatino Linotype" w:eastAsia="Times New Roman" w:hAnsi="Palatino Linotype" w:cs="Arial"/>
          <w:i/>
          <w:color w:val="000000"/>
          <w:lang w:val="es-ES"/>
        </w:rPr>
        <w:t xml:space="preserve"> La Unidad </w:t>
      </w:r>
      <w:r w:rsidRPr="0027505D">
        <w:rPr>
          <w:rFonts w:ascii="Palatino Linotype" w:eastAsia="Times New Roman" w:hAnsi="Palatino Linotype" w:cs="Arial"/>
          <w:i/>
          <w:lang w:val="es-ES"/>
        </w:rPr>
        <w:t>de</w:t>
      </w:r>
      <w:r w:rsidRPr="0027505D">
        <w:rPr>
          <w:rFonts w:ascii="Palatino Linotype" w:eastAsia="Times New Roman" w:hAnsi="Palatino Linotype" w:cs="Arial"/>
          <w:i/>
          <w:color w:val="000000"/>
          <w:lang w:val="es-ES"/>
        </w:rPr>
        <w:t xml:space="preserve"> Transparencia deberá notificar la respuesta a la solicitud al interesado en el </w:t>
      </w:r>
      <w:r w:rsidRPr="0027505D">
        <w:rPr>
          <w:rFonts w:ascii="Palatino Linotype" w:eastAsia="Times New Roman" w:hAnsi="Palatino Linotype" w:cs="Arial"/>
          <w:i/>
          <w:lang w:val="es-ES"/>
        </w:rPr>
        <w:t>menor</w:t>
      </w:r>
      <w:r w:rsidRPr="0027505D">
        <w:rPr>
          <w:rFonts w:ascii="Palatino Linotype" w:eastAsia="Times New Roman" w:hAnsi="Palatino Linotype" w:cs="Arial"/>
          <w:i/>
          <w:color w:val="000000"/>
          <w:lang w:val="es-ES"/>
        </w:rPr>
        <w:t xml:space="preserve"> tiempo posible, que no podrá exceder de quince días hábiles, contados a partir del día siguiente a la presentación de aquélla.</w:t>
      </w:r>
    </w:p>
    <w:p w:rsidR="003725BD" w:rsidRPr="0027505D" w:rsidRDefault="003725BD" w:rsidP="003725BD">
      <w:pPr>
        <w:autoSpaceDE w:val="0"/>
        <w:autoSpaceDN w:val="0"/>
        <w:adjustRightInd w:val="0"/>
        <w:spacing w:after="0" w:line="240" w:lineRule="auto"/>
        <w:ind w:left="851" w:right="902"/>
        <w:jc w:val="both"/>
        <w:rPr>
          <w:rFonts w:ascii="Palatino Linotype" w:eastAsia="Times New Roman" w:hAnsi="Palatino Linotype" w:cs="Arial"/>
          <w:i/>
          <w:color w:val="000000"/>
          <w:lang w:val="es-ES"/>
        </w:rPr>
      </w:pPr>
    </w:p>
    <w:p w:rsidR="003725BD" w:rsidRPr="0027505D" w:rsidRDefault="003725BD" w:rsidP="003725BD">
      <w:pPr>
        <w:autoSpaceDE w:val="0"/>
        <w:autoSpaceDN w:val="0"/>
        <w:adjustRightInd w:val="0"/>
        <w:spacing w:after="0" w:line="240" w:lineRule="auto"/>
        <w:ind w:left="851" w:right="902"/>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 xml:space="preserve">Excepcionalmente, el plazo referido en el párrafo anterior podrá ampliarse hasta por siete días hábiles más, siempre y </w:t>
      </w:r>
      <w:r w:rsidRPr="0027505D">
        <w:rPr>
          <w:rFonts w:ascii="Palatino Linotype" w:eastAsia="Times New Roman" w:hAnsi="Palatino Linotype" w:cs="Arial"/>
          <w:i/>
          <w:lang w:val="es-ES"/>
        </w:rPr>
        <w:t>cuando</w:t>
      </w:r>
      <w:r w:rsidRPr="0027505D">
        <w:rPr>
          <w:rFonts w:ascii="Palatino Linotype" w:eastAsia="Times New Roman" w:hAnsi="Palatino Linotype" w:cs="Arial"/>
          <w:i/>
          <w:color w:val="000000"/>
          <w:lang w:val="es-ES"/>
        </w:rPr>
        <w:t xml:space="preserve">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 </w:t>
      </w:r>
    </w:p>
    <w:p w:rsidR="003725BD" w:rsidRPr="0027505D" w:rsidRDefault="003725BD" w:rsidP="003725BD">
      <w:pPr>
        <w:spacing w:before="100" w:beforeAutospacing="1" w:after="100" w:afterAutospacing="1" w:line="360" w:lineRule="auto"/>
        <w:jc w:val="both"/>
        <w:rPr>
          <w:rFonts w:ascii="Palatino Linotype" w:eastAsia="Times New Roman" w:hAnsi="Palatino Linotype" w:cs="Arial"/>
          <w:color w:val="000000"/>
          <w:sz w:val="24"/>
          <w:szCs w:val="24"/>
          <w:lang w:val="es-ES"/>
        </w:rPr>
      </w:pPr>
      <w:r w:rsidRPr="0027505D">
        <w:rPr>
          <w:rFonts w:ascii="Palatino Linotype" w:eastAsia="Times New Roman" w:hAnsi="Palatino Linotype" w:cs="Arial"/>
          <w:color w:val="000000"/>
          <w:sz w:val="24"/>
          <w:szCs w:val="24"/>
          <w:lang w:val="es-ES"/>
        </w:rPr>
        <w:t xml:space="preserve">De la interpretación al precepto legal inserto, se obtiene que, el plazo que les asiste a los Sujetos Obligados para entregar la respuesta a una solicitud de información pública es de quince días hábiles posteriores a la presentación de ésta; sin embargo, en aquellos casos en que transcurre el referido plazo de quince días hábiles, sin que los Sujetos Obligados entreguen la respuesta a la solicitud de información, ésta se considera negada; por lo que al solicitante le asiste el derecho para poder presentar el recurso de revisión correspondiente.  </w:t>
      </w:r>
    </w:p>
    <w:p w:rsidR="003725BD" w:rsidRPr="0027505D" w:rsidRDefault="003725BD" w:rsidP="003725BD">
      <w:pPr>
        <w:spacing w:before="100" w:beforeAutospacing="1" w:after="100" w:afterAutospacing="1" w:line="360" w:lineRule="auto"/>
        <w:jc w:val="both"/>
        <w:rPr>
          <w:rFonts w:ascii="Palatino Linotype" w:eastAsia="Times New Roman" w:hAnsi="Palatino Linotype" w:cs="Arial"/>
          <w:color w:val="000000"/>
          <w:sz w:val="24"/>
          <w:szCs w:val="24"/>
          <w:lang w:val="es-ES"/>
        </w:rPr>
      </w:pPr>
      <w:r w:rsidRPr="0027505D">
        <w:rPr>
          <w:rFonts w:ascii="Palatino Linotype" w:eastAsia="Times New Roman" w:hAnsi="Palatino Linotype" w:cs="Arial"/>
          <w:color w:val="000000"/>
          <w:sz w:val="24"/>
          <w:szCs w:val="24"/>
          <w:lang w:val="es-ES"/>
        </w:rPr>
        <w:t xml:space="preserve">Derivado de lo anterior, se constituye la figura jurídica de la </w:t>
      </w:r>
      <w:r w:rsidRPr="0027505D">
        <w:rPr>
          <w:rFonts w:ascii="Palatino Linotype" w:eastAsia="Times New Roman" w:hAnsi="Palatino Linotype" w:cs="Arial"/>
          <w:b/>
          <w:color w:val="000000"/>
          <w:sz w:val="24"/>
          <w:szCs w:val="24"/>
          <w:lang w:val="es-ES"/>
        </w:rPr>
        <w:t>NEGATIVA FICTA</w:t>
      </w:r>
      <w:r w:rsidRPr="0027505D">
        <w:rPr>
          <w:rFonts w:ascii="Palatino Linotype" w:eastAsia="Times New Roman" w:hAnsi="Palatino Linotype" w:cs="Arial"/>
          <w:color w:val="000000"/>
          <w:sz w:val="24"/>
          <w:szCs w:val="24"/>
          <w:lang w:val="es-ES"/>
        </w:rPr>
        <w:t>, cuya esencia consiste en atribuir un efecto negativo al silencio de la autoridad administrativa frente a las instancias y solicitudes que hagan los particulares.</w:t>
      </w:r>
    </w:p>
    <w:p w:rsidR="003725BD" w:rsidRPr="0027505D" w:rsidRDefault="003725BD" w:rsidP="003725BD">
      <w:pPr>
        <w:spacing w:before="100" w:beforeAutospacing="1" w:after="100" w:afterAutospacing="1" w:line="360" w:lineRule="auto"/>
        <w:jc w:val="both"/>
        <w:rPr>
          <w:rFonts w:ascii="Palatino Linotype" w:eastAsia="Times New Roman" w:hAnsi="Palatino Linotype" w:cs="Arial"/>
          <w:color w:val="000000"/>
          <w:sz w:val="24"/>
          <w:szCs w:val="24"/>
          <w:lang w:val="es-ES"/>
        </w:rPr>
      </w:pPr>
      <w:r w:rsidRPr="0027505D">
        <w:rPr>
          <w:rFonts w:ascii="Palatino Linotype" w:eastAsia="Times New Roman" w:hAnsi="Palatino Linotype" w:cs="Arial"/>
          <w:color w:val="000000"/>
          <w:sz w:val="24"/>
          <w:szCs w:val="24"/>
          <w:lang w:val="es-ES"/>
        </w:rPr>
        <w:lastRenderedPageBreak/>
        <w:t>Por su parte, el artículo 178 de la Ley de Transparencia y Acceso a la Información Pública del Estado de México y Municipios, establece:</w:t>
      </w: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b/>
          <w:i/>
          <w:color w:val="000000"/>
          <w:lang w:val="es-ES"/>
        </w:rPr>
        <w:t xml:space="preserve">“Artículo 178. </w:t>
      </w:r>
      <w:r w:rsidRPr="0027505D">
        <w:rPr>
          <w:rFonts w:ascii="Palatino Linotype" w:eastAsia="Times New Roman" w:hAnsi="Palatino Linotype" w:cs="Arial"/>
          <w:i/>
          <w:color w:val="000000"/>
          <w:lang w:val="es-ES"/>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b/>
          <w:i/>
          <w:color w:val="000000"/>
          <w:lang w:val="es-ES"/>
        </w:rPr>
        <w:t>A falta de respuesta del sujeto obligado, dentro de los plazos establecidos en esta Ley, a una solicitud de acceso a la información pública, el recurso podrá ser interpuesto en cualquier momento</w:t>
      </w:r>
      <w:r w:rsidRPr="0027505D">
        <w:rPr>
          <w:rFonts w:ascii="Palatino Linotype" w:eastAsia="Times New Roman" w:hAnsi="Palatino Linotype" w:cs="Arial"/>
          <w:i/>
          <w:color w:val="000000"/>
          <w:lang w:val="es-ES"/>
        </w:rPr>
        <w:t>, acompañado con el documento que pruebe la fecha en que presentó la solicitud.</w:t>
      </w: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En el caso de que se interponga ante la Unidad de Transparencia, ésta deberá remitir el recurso de revisión al Instituto a más tardar al día siguiente de haberlo recibido.”</w:t>
      </w:r>
    </w:p>
    <w:p w:rsidR="003725BD" w:rsidRPr="0027505D" w:rsidRDefault="003725BD" w:rsidP="003725BD">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 xml:space="preserve">(Énfasis añadido) </w:t>
      </w:r>
    </w:p>
    <w:p w:rsidR="003725BD" w:rsidRPr="0027505D" w:rsidRDefault="003725BD" w:rsidP="003725BD">
      <w:pPr>
        <w:spacing w:before="100" w:beforeAutospacing="1" w:after="100" w:afterAutospacing="1" w:line="360" w:lineRule="auto"/>
        <w:jc w:val="both"/>
        <w:rPr>
          <w:rFonts w:ascii="Palatino Linotype" w:eastAsia="Times New Roman" w:hAnsi="Palatino Linotype" w:cs="Arial"/>
          <w:color w:val="000000"/>
          <w:sz w:val="24"/>
          <w:szCs w:val="24"/>
          <w:lang w:val="es-ES"/>
        </w:rPr>
      </w:pPr>
      <w:r w:rsidRPr="0027505D">
        <w:rPr>
          <w:rFonts w:ascii="Palatino Linotype" w:eastAsia="Times New Roman" w:hAnsi="Palatino Linotype" w:cs="Arial"/>
          <w:color w:val="000000"/>
          <w:sz w:val="24"/>
          <w:szCs w:val="24"/>
          <w:lang w:val="es-ES"/>
        </w:rPr>
        <w:t xml:space="preserve">Es así que, el recurso de revisión se ha de interponer dentro del plazo de quince días hábiles contados a partir del día siguiente al en que el particular tiene conocimiento de la resolución respectiva, de ahí que, para que empiece a computarse necesariamente tiene que existir una respuesta expresa por parte del </w:t>
      </w:r>
      <w:r w:rsidRPr="0027505D">
        <w:rPr>
          <w:rFonts w:ascii="Palatino Linotype" w:eastAsia="Times New Roman" w:hAnsi="Palatino Linotype" w:cs="Arial"/>
          <w:b/>
          <w:color w:val="000000"/>
          <w:sz w:val="24"/>
          <w:szCs w:val="24"/>
          <w:lang w:val="es-ES"/>
        </w:rPr>
        <w:t>SUJETO OBLIGADO</w:t>
      </w:r>
      <w:r w:rsidRPr="0027505D">
        <w:rPr>
          <w:rFonts w:ascii="Palatino Linotype" w:eastAsia="Times New Roman" w:hAnsi="Palatino Linotype" w:cs="Arial"/>
          <w:color w:val="000000"/>
          <w:sz w:val="24"/>
          <w:szCs w:val="24"/>
          <w:lang w:val="es-ES"/>
        </w:rPr>
        <w:t xml:space="preserve">; sin embargo, tratándose de negativa ficta no existe resolución que se haga del conocimiento del particular a partir de la cual pueda computarse dicho término, por tal motivo es pertinente establecer que no existe plazo para la interposición del recurso de revisión y por tanto </w:t>
      </w:r>
      <w:r w:rsidRPr="0027505D">
        <w:rPr>
          <w:rFonts w:ascii="Palatino Linotype" w:eastAsia="Times New Roman" w:hAnsi="Palatino Linotype" w:cs="Arial"/>
          <w:b/>
          <w:color w:val="000000"/>
          <w:sz w:val="24"/>
          <w:szCs w:val="24"/>
          <w:lang w:val="es-ES"/>
        </w:rPr>
        <w:t xml:space="preserve">LA RECURRENTE </w:t>
      </w:r>
      <w:r w:rsidRPr="0027505D">
        <w:rPr>
          <w:rFonts w:ascii="Palatino Linotype" w:eastAsia="Times New Roman" w:hAnsi="Palatino Linotype" w:cs="Arial"/>
          <w:color w:val="000000"/>
          <w:sz w:val="24"/>
          <w:szCs w:val="24"/>
          <w:lang w:val="es-ES"/>
        </w:rPr>
        <w:t>está en la total libertad de presentar su medio de impugnación en cualquier momento, consecuentemente se tiene que dicho recurso se presentó oportunamente.</w:t>
      </w:r>
    </w:p>
    <w:p w:rsidR="003725BD" w:rsidRDefault="00A04851" w:rsidP="003725BD">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b/>
        </w:rPr>
      </w:pPr>
      <w:r w:rsidRPr="005E7982">
        <w:rPr>
          <w:rFonts w:ascii="Palatino Linotype" w:hAnsi="Palatino Linotype" w:cs="Arial"/>
          <w:b/>
          <w:sz w:val="28"/>
          <w:szCs w:val="28"/>
        </w:rPr>
        <w:lastRenderedPageBreak/>
        <w:t>CUARTO.</w:t>
      </w:r>
      <w:r>
        <w:rPr>
          <w:rFonts w:ascii="Palatino Linotype" w:hAnsi="Palatino Linotype" w:cs="Arial"/>
          <w:b/>
          <w:szCs w:val="28"/>
        </w:rPr>
        <w:t xml:space="preserve"> Procedibilidad.</w:t>
      </w:r>
      <w:r w:rsidRPr="00CE4839">
        <w:rPr>
          <w:rFonts w:ascii="Palatino Linotype" w:hAnsi="Palatino Linotype"/>
          <w:lang w:val="es-ES_tradnl"/>
        </w:rPr>
        <w:t xml:space="preserve"> </w:t>
      </w:r>
      <w:r w:rsidR="003725BD">
        <w:rPr>
          <w:rFonts w:ascii="Palatino Linotype" w:hAnsi="Palatino Linotype" w:cs="Arial"/>
        </w:rPr>
        <w:t xml:space="preserve">Esta Ponencia considera importante abordar el análisis de los requisitos de procedibilidad del recurso de revisión, así que, el artículo 180 de la </w:t>
      </w:r>
      <w:r w:rsidR="003725BD">
        <w:rPr>
          <w:rFonts w:ascii="Palatino Linotype" w:hAnsi="Palatino Linotype" w:cs="Arial"/>
          <w:lang w:eastAsia="es-MX"/>
        </w:rPr>
        <w:t xml:space="preserve">Ley de Transparencia y Acceso a la </w:t>
      </w:r>
      <w:r w:rsidR="003725BD">
        <w:rPr>
          <w:rFonts w:ascii="Palatino Linotype" w:hAnsi="Palatino Linotype" w:cs="Arial"/>
        </w:rPr>
        <w:t>Información</w:t>
      </w:r>
      <w:r w:rsidR="003725BD">
        <w:rPr>
          <w:rFonts w:ascii="Palatino Linotype" w:hAnsi="Palatino Linotype" w:cs="Arial"/>
          <w:lang w:eastAsia="es-MX"/>
        </w:rPr>
        <w:t xml:space="preserve"> Pública del Estado de México y Municipios, </w:t>
      </w:r>
      <w:r w:rsidR="003725BD">
        <w:rPr>
          <w:rFonts w:ascii="Palatino Linotype" w:hAnsi="Palatino Linotype" w:cs="Arial"/>
        </w:rPr>
        <w:t>establece lo siguiente:</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Artículo 180. </w:t>
      </w:r>
      <w:r>
        <w:rPr>
          <w:rFonts w:ascii="Palatino Linotype" w:hAnsi="Palatino Linotype"/>
          <w:i/>
        </w:rPr>
        <w:t xml:space="preserve">El </w:t>
      </w:r>
      <w:r>
        <w:rPr>
          <w:rFonts w:ascii="Palatino Linotype" w:hAnsi="Palatino Linotype" w:cs="Arial"/>
          <w:i/>
        </w:rPr>
        <w:t>recurso</w:t>
      </w:r>
      <w:r>
        <w:rPr>
          <w:rFonts w:ascii="Palatino Linotype" w:hAnsi="Palatino Linotype"/>
          <w:i/>
        </w:rPr>
        <w:t xml:space="preserve"> </w:t>
      </w:r>
      <w:r>
        <w:rPr>
          <w:rFonts w:ascii="Palatino Linotype" w:hAnsi="Palatino Linotype" w:cs="Arial"/>
          <w:i/>
          <w:color w:val="222222"/>
          <w:lang w:eastAsia="es-MX"/>
        </w:rPr>
        <w:t>de</w:t>
      </w:r>
      <w:r>
        <w:rPr>
          <w:rFonts w:ascii="Palatino Linotype" w:hAnsi="Palatino Linotype"/>
          <w:i/>
        </w:rPr>
        <w:t xml:space="preserve"> revisión contendrá:</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I. </w:t>
      </w:r>
      <w:r>
        <w:rPr>
          <w:rFonts w:ascii="Palatino Linotype" w:hAnsi="Palatino Linotype"/>
          <w:i/>
        </w:rPr>
        <w:t xml:space="preserve">El sujeto obligado ante </w:t>
      </w:r>
      <w:r>
        <w:rPr>
          <w:rFonts w:ascii="Palatino Linotype" w:hAnsi="Palatino Linotype" w:cs="Arial"/>
          <w:i/>
        </w:rPr>
        <w:t>la</w:t>
      </w:r>
      <w:r>
        <w:rPr>
          <w:rFonts w:ascii="Palatino Linotype" w:hAnsi="Palatino Linotype"/>
          <w:i/>
        </w:rPr>
        <w:t xml:space="preserve"> cual </w:t>
      </w:r>
      <w:r>
        <w:rPr>
          <w:rFonts w:ascii="Palatino Linotype" w:hAnsi="Palatino Linotype" w:cs="Arial"/>
          <w:i/>
          <w:color w:val="222222"/>
          <w:lang w:eastAsia="es-MX"/>
        </w:rPr>
        <w:t>se</w:t>
      </w:r>
      <w:r>
        <w:rPr>
          <w:rFonts w:ascii="Palatino Linotype" w:hAnsi="Palatino Linotype"/>
          <w:i/>
        </w:rPr>
        <w:t xml:space="preserve"> presentó la solicitud;</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II. El nombre del solicitante </w:t>
      </w:r>
      <w:r>
        <w:rPr>
          <w:rFonts w:ascii="Palatino Linotype" w:hAnsi="Palatino Linotype" w:cs="Arial"/>
          <w:b/>
          <w:i/>
          <w:color w:val="222222"/>
          <w:lang w:eastAsia="es-MX"/>
        </w:rPr>
        <w:t>que</w:t>
      </w:r>
      <w:r>
        <w:rPr>
          <w:rFonts w:ascii="Palatino Linotype" w:hAnsi="Palatino Linotype"/>
          <w:b/>
          <w:i/>
        </w:rPr>
        <w:t xml:space="preserve"> recurre </w:t>
      </w:r>
      <w:r>
        <w:rPr>
          <w:rFonts w:ascii="Palatino Linotype" w:hAnsi="Palatino Linotype"/>
          <w:i/>
        </w:rPr>
        <w:t>o de su representante y, en su caso, del tercero interesado, así como la dirección o medio que señale para recibir notificaciones;</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III. </w:t>
      </w:r>
      <w:r>
        <w:rPr>
          <w:rFonts w:ascii="Palatino Linotype" w:hAnsi="Palatino Linotype"/>
          <w:i/>
        </w:rPr>
        <w:t xml:space="preserve">El número de folio de </w:t>
      </w:r>
      <w:r>
        <w:rPr>
          <w:rFonts w:ascii="Palatino Linotype" w:hAnsi="Palatino Linotype" w:cs="Arial"/>
          <w:i/>
          <w:color w:val="222222"/>
          <w:lang w:eastAsia="es-MX"/>
        </w:rPr>
        <w:t>respuesta</w:t>
      </w:r>
      <w:r>
        <w:rPr>
          <w:rFonts w:ascii="Palatino Linotype" w:hAnsi="Palatino Linotype"/>
          <w:i/>
        </w:rPr>
        <w:t xml:space="preserve"> de la solicitud de acceso;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IV. </w:t>
      </w:r>
      <w:r>
        <w:rPr>
          <w:rFonts w:ascii="Palatino Linotype" w:hAnsi="Palatino Linotype"/>
          <w:i/>
        </w:rPr>
        <w:t xml:space="preserve">La fecha en que fue </w:t>
      </w:r>
      <w:r>
        <w:rPr>
          <w:rFonts w:ascii="Palatino Linotype" w:hAnsi="Palatino Linotype" w:cs="Arial"/>
          <w:i/>
          <w:color w:val="222222"/>
          <w:lang w:eastAsia="es-MX"/>
        </w:rPr>
        <w:t>notificada</w:t>
      </w:r>
      <w:r>
        <w:rPr>
          <w:rFonts w:ascii="Palatino Linotype" w:hAnsi="Palatino Linotype"/>
          <w:i/>
        </w:rPr>
        <w:t xml:space="preserve"> la respuesta al solicitante o tuvo conocimiento del acto reclamado, o de presentación de la solicitud, en caso de falta de respuesta;</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V. </w:t>
      </w:r>
      <w:r>
        <w:rPr>
          <w:rFonts w:ascii="Palatino Linotype" w:hAnsi="Palatino Linotype"/>
          <w:i/>
        </w:rPr>
        <w:t xml:space="preserve">El acto que se </w:t>
      </w:r>
      <w:r>
        <w:rPr>
          <w:rFonts w:ascii="Palatino Linotype" w:hAnsi="Palatino Linotype" w:cs="Arial"/>
          <w:i/>
          <w:color w:val="222222"/>
          <w:lang w:eastAsia="es-MX"/>
        </w:rPr>
        <w:t>recurre</w:t>
      </w:r>
      <w:r>
        <w:rPr>
          <w:rFonts w:ascii="Palatino Linotype" w:hAnsi="Palatino Linotype"/>
          <w:i/>
        </w:rPr>
        <w:t>;</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VI. </w:t>
      </w:r>
      <w:r>
        <w:rPr>
          <w:rFonts w:ascii="Palatino Linotype" w:hAnsi="Palatino Linotype"/>
          <w:i/>
        </w:rPr>
        <w:t xml:space="preserve">Las razones o </w:t>
      </w:r>
      <w:r>
        <w:rPr>
          <w:rFonts w:ascii="Palatino Linotype" w:hAnsi="Palatino Linotype" w:cs="Arial"/>
          <w:i/>
          <w:color w:val="222222"/>
          <w:lang w:eastAsia="es-MX"/>
        </w:rPr>
        <w:t>motivos</w:t>
      </w:r>
      <w:r>
        <w:rPr>
          <w:rFonts w:ascii="Palatino Linotype" w:hAnsi="Palatino Linotype"/>
          <w:i/>
        </w:rPr>
        <w:t xml:space="preserve"> de inconformidad;</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b/>
          <w:i/>
        </w:rPr>
      </w:pPr>
      <w:r>
        <w:rPr>
          <w:rFonts w:ascii="Palatino Linotype" w:hAnsi="Palatino Linotype"/>
          <w:b/>
          <w:i/>
        </w:rPr>
        <w:t xml:space="preserve">VII. </w:t>
      </w:r>
      <w:r>
        <w:rPr>
          <w:rFonts w:ascii="Palatino Linotype" w:hAnsi="Palatino Linotype"/>
          <w:i/>
        </w:rPr>
        <w:t>La copia de la respuesta que se impugna y, en su caso, de la notificación correspondiente, en el caso de respuesta de la solicitud; y</w:t>
      </w:r>
      <w:r>
        <w:rPr>
          <w:rFonts w:ascii="Palatino Linotype" w:hAnsi="Palatino Linotype"/>
          <w:b/>
          <w:i/>
        </w:rPr>
        <w:t xml:space="preserve"> </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b/>
          <w:i/>
        </w:rPr>
        <w:t xml:space="preserve">VIII. </w:t>
      </w:r>
      <w:r>
        <w:rPr>
          <w:rFonts w:ascii="Palatino Linotype" w:hAnsi="Palatino Linotype"/>
          <w:i/>
        </w:rPr>
        <w:t xml:space="preserve">Firma del recurrente, en su caso, cuando se presente por escrito, requisito sin el cual se dará trámite al recurso. </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 xml:space="preserve">Adicionalmente, se podrán anexar las pruebas y demás elementos que considere procedentes someter a juicio del Instituto. </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 xml:space="preserve">En ningún caso será necesario que el particular ratifique el recurso de revisión interpuesto. </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b/>
          <w:i/>
        </w:rPr>
        <w:t xml:space="preserve">En caso de </w:t>
      </w:r>
      <w:r>
        <w:rPr>
          <w:rFonts w:ascii="Palatino Linotype" w:hAnsi="Palatino Linotype" w:cs="Arial"/>
          <w:b/>
          <w:i/>
          <w:color w:val="222222"/>
          <w:lang w:eastAsia="es-MX"/>
        </w:rPr>
        <w:t>que</w:t>
      </w:r>
      <w:r>
        <w:rPr>
          <w:rFonts w:ascii="Palatino Linotype" w:hAnsi="Palatino Linotype"/>
          <w:b/>
          <w:i/>
        </w:rPr>
        <w:t xml:space="preserve"> el recurso se interponga de manera electrónica no será indispensable que contengan los requisitos establecidos en las fracciones II</w:t>
      </w:r>
      <w:r>
        <w:rPr>
          <w:rFonts w:ascii="Palatino Linotype" w:hAnsi="Palatino Linotype"/>
          <w:i/>
        </w:rPr>
        <w:t xml:space="preserve">, IV, VII y VIII. </w:t>
      </w:r>
    </w:p>
    <w:p w:rsidR="003725BD" w:rsidRDefault="003725BD" w:rsidP="003725BD">
      <w:pPr>
        <w:spacing w:after="0" w:line="240" w:lineRule="auto"/>
        <w:ind w:left="851" w:right="902"/>
        <w:jc w:val="both"/>
        <w:rPr>
          <w:rFonts w:ascii="Palatino Linotype" w:hAnsi="Palatino Linotype"/>
        </w:rPr>
      </w:pPr>
      <w:r>
        <w:rPr>
          <w:rFonts w:ascii="Palatino Linotype" w:hAnsi="Palatino Linotype"/>
        </w:rPr>
        <w:t>(Énfasis añadido)</w:t>
      </w:r>
    </w:p>
    <w:p w:rsidR="003725BD" w:rsidRPr="00B80126" w:rsidRDefault="003725BD" w:rsidP="003725BD">
      <w:pPr>
        <w:spacing w:before="100" w:beforeAutospacing="1" w:after="100" w:afterAutospacing="1" w:line="360" w:lineRule="auto"/>
        <w:jc w:val="both"/>
        <w:rPr>
          <w:rFonts w:ascii="Palatino Linotype" w:hAnsi="Palatino Linotype"/>
          <w:sz w:val="24"/>
          <w:szCs w:val="24"/>
        </w:rPr>
      </w:pPr>
      <w:r w:rsidRPr="00B80126">
        <w:rPr>
          <w:rFonts w:ascii="Palatino Linotype" w:hAnsi="Palatino Linotype"/>
          <w:sz w:val="24"/>
          <w:szCs w:val="24"/>
        </w:rPr>
        <w:t xml:space="preserve">En principio, de una interpretación del artículo transcrito se observa que los requisitos que </w:t>
      </w:r>
      <w:r w:rsidRPr="00B80126">
        <w:rPr>
          <w:rFonts w:ascii="Palatino Linotype" w:hAnsi="Palatino Linotype" w:cs="Arial"/>
          <w:sz w:val="24"/>
          <w:szCs w:val="24"/>
        </w:rPr>
        <w:t>deberán</w:t>
      </w:r>
      <w:r w:rsidRPr="00B80126">
        <w:rPr>
          <w:rFonts w:ascii="Palatino Linotype" w:hAnsi="Palatino Linotype"/>
          <w:sz w:val="24"/>
          <w:szCs w:val="24"/>
        </w:rPr>
        <w:t xml:space="preserve"> </w:t>
      </w:r>
      <w:r w:rsidRPr="00B80126">
        <w:rPr>
          <w:rFonts w:ascii="Palatino Linotype" w:hAnsi="Palatino Linotype" w:cs="Arial"/>
          <w:sz w:val="24"/>
          <w:szCs w:val="24"/>
        </w:rPr>
        <w:t>contener</w:t>
      </w:r>
      <w:r w:rsidRPr="00B80126">
        <w:rPr>
          <w:rFonts w:ascii="Palatino Linotype" w:hAnsi="Palatino Linotype"/>
          <w:sz w:val="24"/>
          <w:szCs w:val="24"/>
        </w:rPr>
        <w:t xml:space="preserve"> los recursos de revisión; sobre el particular, de la revisión del expediente electrónico del </w:t>
      </w:r>
      <w:r w:rsidRPr="00B80126">
        <w:rPr>
          <w:rFonts w:ascii="Palatino Linotype" w:hAnsi="Palatino Linotype"/>
          <w:b/>
          <w:sz w:val="24"/>
          <w:szCs w:val="24"/>
        </w:rPr>
        <w:t>SAIMEX</w:t>
      </w:r>
      <w:r w:rsidRPr="00B80126">
        <w:rPr>
          <w:rFonts w:ascii="Palatino Linotype" w:hAnsi="Palatino Linotype"/>
          <w:sz w:val="24"/>
          <w:szCs w:val="24"/>
        </w:rPr>
        <w:t xml:space="preserve"> se desprende que la parte solicitante y ahora </w:t>
      </w:r>
      <w:r w:rsidRPr="00B80126">
        <w:rPr>
          <w:rFonts w:ascii="Palatino Linotype" w:hAnsi="Palatino Linotype"/>
          <w:b/>
          <w:sz w:val="24"/>
          <w:szCs w:val="24"/>
        </w:rPr>
        <w:lastRenderedPageBreak/>
        <w:t>RECURRENTE</w:t>
      </w:r>
      <w:r w:rsidRPr="00B80126">
        <w:rPr>
          <w:rFonts w:ascii="Palatino Linotype" w:hAnsi="Palatino Linotype"/>
          <w:sz w:val="24"/>
          <w:szCs w:val="24"/>
        </w:rPr>
        <w:t xml:space="preserve">, en ejercicio de su derecho de acceso a la información pública, no proporcionó un nombre completo que lo hiera identificable sino por el contrario refirió un seudónimo; por lo que, no se tiene certeza sobre su identidad, lo que en estricto sentido, provoca que </w:t>
      </w:r>
      <w:r w:rsidRPr="00B80126">
        <w:rPr>
          <w:rFonts w:ascii="Palatino Linotype" w:hAnsi="Palatino Linotype" w:cs="Arial"/>
          <w:sz w:val="24"/>
          <w:szCs w:val="24"/>
        </w:rPr>
        <w:t>no</w:t>
      </w:r>
      <w:r w:rsidRPr="00B80126">
        <w:rPr>
          <w:rFonts w:ascii="Palatino Linotype" w:hAnsi="Palatino Linotype"/>
          <w:sz w:val="24"/>
          <w:szCs w:val="24"/>
        </w:rPr>
        <w:t xml:space="preserve"> se colmen los requisitos establecidos en el citado artículo 180 de la Ley de Transparencia.</w:t>
      </w:r>
    </w:p>
    <w:p w:rsidR="003725BD" w:rsidRPr="00B80126" w:rsidRDefault="003725BD" w:rsidP="003725BD">
      <w:pPr>
        <w:spacing w:before="200" w:after="200" w:line="360" w:lineRule="auto"/>
        <w:jc w:val="both"/>
        <w:rPr>
          <w:rFonts w:ascii="Palatino Linotype" w:hAnsi="Palatino Linotype" w:cs="Arial"/>
          <w:color w:val="000000"/>
          <w:sz w:val="24"/>
          <w:szCs w:val="24"/>
        </w:rPr>
      </w:pPr>
      <w:r w:rsidRPr="00B80126">
        <w:rPr>
          <w:rFonts w:ascii="Palatino Linotype" w:hAnsi="Palatino Linotype"/>
          <w:sz w:val="24"/>
          <w:szCs w:val="24"/>
        </w:rPr>
        <w:t xml:space="preserve">Empero lo anterior, debe destacarse que el artículo 15 de </w:t>
      </w:r>
      <w:r w:rsidRPr="00B80126">
        <w:rPr>
          <w:rFonts w:ascii="Palatino Linotype" w:hAnsi="Palatino Linotype" w:cs="Arial"/>
          <w:sz w:val="24"/>
          <w:szCs w:val="24"/>
          <w:lang w:eastAsia="es-MX"/>
        </w:rPr>
        <w:t xml:space="preserve">Ley de Transparencia y Acceso a la </w:t>
      </w:r>
      <w:r w:rsidRPr="00B80126">
        <w:rPr>
          <w:rFonts w:ascii="Palatino Linotype" w:hAnsi="Palatino Linotype" w:cs="Arial"/>
          <w:sz w:val="24"/>
          <w:szCs w:val="24"/>
        </w:rPr>
        <w:t>Información</w:t>
      </w:r>
      <w:r w:rsidRPr="00B80126">
        <w:rPr>
          <w:rFonts w:ascii="Palatino Linotype" w:hAnsi="Palatino Linotype" w:cs="Arial"/>
          <w:sz w:val="24"/>
          <w:szCs w:val="24"/>
          <w:lang w:eastAsia="es-MX"/>
        </w:rPr>
        <w:t xml:space="preserve"> Pública del Estado de México y Municipios </w:t>
      </w:r>
      <w:r w:rsidRPr="00B80126">
        <w:rPr>
          <w:rFonts w:ascii="Palatino Linotype" w:hAnsi="Palatino Linotype" w:cs="Arial"/>
          <w:iCs/>
          <w:sz w:val="24"/>
          <w:szCs w:val="24"/>
        </w:rPr>
        <w:t xml:space="preserve">prevé que, </w:t>
      </w:r>
      <w:r w:rsidRPr="00B80126">
        <w:rPr>
          <w:rFonts w:ascii="Palatino Linotype" w:hAnsi="Palatino Linotype"/>
          <w:sz w:val="24"/>
          <w:szCs w:val="24"/>
        </w:rPr>
        <w:t xml:space="preserve">toda persona tendrá acceso a la información </w:t>
      </w:r>
      <w:r w:rsidRPr="00B80126">
        <w:rPr>
          <w:rFonts w:ascii="Palatino Linotype" w:hAnsi="Palatino Linotype" w:cs="Arial"/>
          <w:color w:val="000000"/>
          <w:sz w:val="24"/>
          <w:szCs w:val="24"/>
        </w:rPr>
        <w:t xml:space="preserve">sin necesidad de acreditar interés alguno o justificar su utilización, de lo que se infiere que para el </w:t>
      </w:r>
      <w:r w:rsidRPr="00B80126">
        <w:rPr>
          <w:rFonts w:ascii="Palatino Linotype" w:hAnsi="Palatino Linotype"/>
          <w:sz w:val="24"/>
          <w:szCs w:val="24"/>
        </w:rPr>
        <w:t>ejercicio</w:t>
      </w:r>
      <w:r w:rsidRPr="00B80126">
        <w:rPr>
          <w:rFonts w:ascii="Palatino Linotype" w:hAnsi="Palatino Linotype" w:cs="Arial"/>
          <w:color w:val="000000"/>
          <w:sz w:val="24"/>
          <w:szCs w:val="24"/>
        </w:rPr>
        <w:t xml:space="preserve"> del derecho de acceso a la información pública, </w:t>
      </w:r>
      <w:r w:rsidRPr="00B80126">
        <w:rPr>
          <w:rFonts w:ascii="Palatino Linotype" w:hAnsi="Palatino Linotype" w:cs="Arial"/>
          <w:b/>
          <w:color w:val="000000"/>
          <w:sz w:val="24"/>
          <w:szCs w:val="24"/>
        </w:rPr>
        <w:t xml:space="preserve">el nombre no es un requisito </w:t>
      </w:r>
      <w:r w:rsidRPr="00B80126">
        <w:rPr>
          <w:rFonts w:ascii="Palatino Linotype" w:hAnsi="Palatino Linotype" w:cs="Arial"/>
          <w:b/>
          <w:i/>
          <w:color w:val="000000"/>
          <w:sz w:val="24"/>
          <w:szCs w:val="24"/>
        </w:rPr>
        <w:t>sine qua non</w:t>
      </w:r>
      <w:r w:rsidRPr="00B80126">
        <w:rPr>
          <w:rFonts w:ascii="Palatino Linotype" w:hAnsi="Palatino Linotype" w:cs="Arial"/>
          <w:color w:val="000000"/>
          <w:sz w:val="24"/>
          <w:szCs w:val="24"/>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t xml:space="preserve">Correlativo a ello, cabe mencionar que los artículos 6, Apartado A, fracciones I, III, V y VI de la </w:t>
      </w:r>
      <w:r w:rsidRPr="00B80126">
        <w:rPr>
          <w:rFonts w:ascii="Palatino Linotype" w:hAnsi="Palatino Linotype" w:cs="Arial"/>
          <w:sz w:val="24"/>
          <w:szCs w:val="24"/>
        </w:rPr>
        <w:t>Constitución</w:t>
      </w:r>
      <w:r w:rsidRPr="00B80126">
        <w:rPr>
          <w:rFonts w:ascii="Palatino Linotype" w:hAnsi="Palatino Linotype"/>
          <w:sz w:val="24"/>
          <w:szCs w:val="24"/>
        </w:rPr>
        <w:t xml:space="preserve"> Política de los Estados Unidos Mexicanos y 5 párrafos vigésimo, vigésimo primero y vigésimo segundo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3725BD" w:rsidRDefault="003725BD" w:rsidP="003725BD">
      <w:pPr>
        <w:spacing w:after="0" w:line="240" w:lineRule="auto"/>
        <w:ind w:left="851" w:right="902"/>
        <w:jc w:val="center"/>
        <w:rPr>
          <w:rFonts w:ascii="Palatino Linotype" w:hAnsi="Palatino Linotype" w:cs="Arial"/>
          <w:b/>
          <w:i/>
        </w:rPr>
      </w:pPr>
      <w:r>
        <w:rPr>
          <w:rFonts w:ascii="Palatino Linotype" w:hAnsi="Palatino Linotype" w:cs="Arial"/>
          <w:b/>
          <w:i/>
        </w:rPr>
        <w:lastRenderedPageBreak/>
        <w:t>Constitución Política de los Estados Unidos Mexicanos</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r>
        <w:rPr>
          <w:rFonts w:ascii="Palatino Linotype" w:hAnsi="Palatino Linotype" w:cs="Arial"/>
          <w:b/>
          <w:i/>
        </w:rPr>
        <w:t>Artículo 6o.</w:t>
      </w:r>
      <w:r>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Pr>
          <w:rFonts w:ascii="Palatino Linotype" w:hAnsi="Palatino Linotype" w:cs="Arial"/>
          <w:b/>
          <w:i/>
        </w:rPr>
        <w:t>El derecho a la información será garantizado por el Estado.</w:t>
      </w:r>
      <w:r>
        <w:rPr>
          <w:rFonts w:ascii="Palatino Linotype" w:hAnsi="Palatino Linotype" w:cs="Arial"/>
          <w:i/>
        </w:rPr>
        <w:t xml:space="preserve"> </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b/>
          <w:i/>
        </w:rPr>
        <w:t xml:space="preserve">Toda persona tiene </w:t>
      </w:r>
      <w:r>
        <w:rPr>
          <w:rFonts w:ascii="Palatino Linotype" w:hAnsi="Palatino Linotype"/>
          <w:b/>
          <w:i/>
        </w:rPr>
        <w:t>derecho</w:t>
      </w:r>
      <w:r>
        <w:rPr>
          <w:rFonts w:ascii="Palatino Linotype" w:hAnsi="Palatino Linotype" w:cs="Arial"/>
          <w:b/>
          <w:i/>
        </w:rPr>
        <w:t xml:space="preserve"> al libre acceso a información plural y oportuna, así como a buscar, recibir y difundir información e ideas de toda índole por cualquier medio de expresión</w:t>
      </w:r>
      <w:r>
        <w:rPr>
          <w:rFonts w:ascii="Palatino Linotype" w:hAnsi="Palatino Linotype" w:cs="Arial"/>
          <w:i/>
        </w:rPr>
        <w:t>.</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 xml:space="preserve">Para efectos de lo </w:t>
      </w:r>
      <w:r>
        <w:rPr>
          <w:rFonts w:ascii="Palatino Linotype" w:hAnsi="Palatino Linotype"/>
          <w:i/>
        </w:rPr>
        <w:t>dispuesto</w:t>
      </w:r>
      <w:r>
        <w:rPr>
          <w:rFonts w:ascii="Palatino Linotype" w:hAnsi="Palatino Linotype" w:cs="Arial"/>
          <w:i/>
        </w:rPr>
        <w:t xml:space="preserve"> en el presente artículo se observará lo siguiente:</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b/>
          <w:i/>
        </w:rPr>
        <w:t>A.</w:t>
      </w:r>
      <w:r>
        <w:rPr>
          <w:rFonts w:ascii="Palatino Linotype" w:hAnsi="Palatino Linotype" w:cs="Arial"/>
          <w:i/>
        </w:rPr>
        <w:t xml:space="preserve"> Para el ejercicio del derecho de acceso a la información, la Federación, los Estados y el Distrito Federal, en el ámbito de sus respectivas competencias, se regirán por los siguientes principios y bases:</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t>III. Toda persona, sin necesidad de acreditar interés alguno o justificar su utilización, tendrá acceso gratuito a la información pública, a sus datos personales o a la rectificación de éstos.</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lastRenderedPageBreak/>
        <w:t>VI. Las leyes determinarán la manera en que los sujetos obligados deberán hacer pública la información relativa a los recursos públicos que entreguen a personas físicas o morales</w:t>
      </w:r>
      <w:r>
        <w:rPr>
          <w:rFonts w:ascii="Palatino Linotype" w:hAnsi="Palatino Linotype" w:cs="Arial"/>
          <w:i/>
        </w:rPr>
        <w:t>.”</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t>La ley establecerá aquella información que se considere reservada o confidencial.</w:t>
      </w:r>
    </w:p>
    <w:p w:rsidR="003725BD" w:rsidRDefault="003725BD" w:rsidP="003725BD">
      <w:pPr>
        <w:spacing w:after="0" w:line="240" w:lineRule="auto"/>
        <w:ind w:left="851" w:right="902"/>
        <w:jc w:val="center"/>
        <w:rPr>
          <w:rFonts w:ascii="Palatino Linotype" w:hAnsi="Palatino Linotype" w:cs="Arial"/>
          <w:b/>
          <w:i/>
        </w:rPr>
      </w:pPr>
    </w:p>
    <w:p w:rsidR="003725BD" w:rsidRDefault="003725BD" w:rsidP="003725BD">
      <w:pPr>
        <w:spacing w:after="0" w:line="240" w:lineRule="auto"/>
        <w:ind w:left="851" w:right="902"/>
        <w:jc w:val="center"/>
        <w:rPr>
          <w:rFonts w:ascii="Palatino Linotype" w:hAnsi="Palatino Linotype" w:cs="Arial"/>
          <w:b/>
          <w:i/>
        </w:rPr>
      </w:pPr>
      <w:r>
        <w:rPr>
          <w:rFonts w:ascii="Palatino Linotype" w:hAnsi="Palatino Linotype" w:cs="Arial"/>
          <w:b/>
          <w:i/>
        </w:rPr>
        <w:t>Constitución Política del Estado Libre y Soberano de México</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r>
        <w:rPr>
          <w:rFonts w:ascii="Palatino Linotype" w:hAnsi="Palatino Linotype" w:cs="Arial"/>
          <w:b/>
          <w:i/>
        </w:rPr>
        <w:t xml:space="preserve">Artículo 5. </w:t>
      </w:r>
      <w:r>
        <w:rPr>
          <w:rFonts w:ascii="Palatino Linotype" w:hAnsi="Palatino Linotype" w:cs="Arial"/>
          <w:i/>
        </w:rPr>
        <w:t xml:space="preserve">… </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b/>
          <w:i/>
        </w:rPr>
        <w:t>El derecho a la información será garantizado por el Estado</w:t>
      </w:r>
      <w:r>
        <w:rPr>
          <w:rFonts w:ascii="Palatino Linotype" w:hAnsi="Palatino Linotype"/>
          <w:i/>
        </w:rPr>
        <w:t>. La ley establecerá las previsiones que permitan asegurar la protección, el respeto y la difusión de este derecho.</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Este derecho se regirá por los principios y bases siguientes:</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b/>
          <w:i/>
        </w:rPr>
        <w:t>I. Toda la información en posesión de cualquier autoridad, entidad, órgano y organismos de los Poderes Ejecutivo, Legislativo y Judicial, órganos autónomos, partidos políticos, fideicomisos y fondos públicos estatales y municipales,</w:t>
      </w:r>
      <w:r>
        <w:rPr>
          <w:rFonts w:ascii="Palatino Linotype" w:hAnsi="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Pr>
          <w:rFonts w:ascii="Palatino Linotype" w:hAnsi="Palatino Linotype" w:cs="Arial"/>
          <w:i/>
        </w:rPr>
        <w:t>determinará</w:t>
      </w:r>
      <w:r>
        <w:rPr>
          <w:rFonts w:ascii="Palatino Linotype" w:hAnsi="Palatino Linotype"/>
          <w:i/>
        </w:rPr>
        <w:t xml:space="preserve"> los supuestos específicos bajo los cuales procederá la declaración de inexistencia de la información.</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i/>
        </w:rPr>
        <w:t>…</w:t>
      </w:r>
    </w:p>
    <w:p w:rsidR="003725BD" w:rsidRDefault="003725BD" w:rsidP="003725BD">
      <w:pPr>
        <w:spacing w:after="0" w:line="240" w:lineRule="auto"/>
        <w:ind w:left="851" w:right="902"/>
        <w:jc w:val="both"/>
        <w:rPr>
          <w:rFonts w:ascii="Palatino Linotype" w:hAnsi="Palatino Linotype"/>
          <w:i/>
        </w:rPr>
      </w:pPr>
      <w:r>
        <w:rPr>
          <w:rFonts w:ascii="Palatino Linotype" w:hAnsi="Palatino Linotype"/>
          <w:b/>
          <w:i/>
        </w:rPr>
        <w:t>III. Toda persona, sin necesidad de acreditar interés alguno o justificar su utilización, tendrá acceso gratuito a la información pública, a sus datos personales o a la rectificación de éstos.</w:t>
      </w:r>
      <w:r>
        <w:rPr>
          <w:rFonts w:ascii="Palatino Linotype" w:hAnsi="Palatino Linotype"/>
          <w:i/>
        </w:rPr>
        <w:t>”</w:t>
      </w:r>
    </w:p>
    <w:p w:rsidR="003725BD" w:rsidRDefault="003725BD" w:rsidP="003725BD">
      <w:pPr>
        <w:spacing w:after="0" w:line="240" w:lineRule="auto"/>
        <w:ind w:left="851" w:right="902"/>
        <w:jc w:val="both"/>
        <w:rPr>
          <w:rFonts w:ascii="Palatino Linotype" w:hAnsi="Palatino Linotype"/>
        </w:rPr>
      </w:pPr>
      <w:r>
        <w:rPr>
          <w:rFonts w:ascii="Palatino Linotype" w:hAnsi="Palatino Linotype"/>
        </w:rPr>
        <w:lastRenderedPageBreak/>
        <w:t>(Énfasis añadido)</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t xml:space="preserve">Por otra parte, del </w:t>
      </w:r>
      <w:r w:rsidRPr="00B80126">
        <w:rPr>
          <w:rFonts w:ascii="Palatino Linotype" w:hAnsi="Palatino Linotype" w:cs="Arial"/>
          <w:sz w:val="24"/>
          <w:szCs w:val="24"/>
        </w:rPr>
        <w:t>contenido</w:t>
      </w:r>
      <w:r w:rsidRPr="00B80126">
        <w:rPr>
          <w:rFonts w:ascii="Palatino Linotype" w:hAnsi="Palatino Linotype"/>
          <w:sz w:val="24"/>
          <w:szCs w:val="24"/>
        </w:rPr>
        <w:t xml:space="preserve"> del artículo 1 de la Constitución Política de los Estados Unidos Mexicanos, se destaca lo siguiente:</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w:t>
      </w:r>
      <w:r>
        <w:rPr>
          <w:rFonts w:ascii="Palatino Linotype" w:hAnsi="Palatino Linotype" w:cs="Arial"/>
          <w:b/>
          <w:i/>
        </w:rPr>
        <w:t>Artículo 1o</w:t>
      </w:r>
      <w:r>
        <w:rPr>
          <w:rFonts w:ascii="Palatino Linotype" w:hAnsi="Palatino Linotype" w:cs="Arial"/>
          <w:i/>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3725BD" w:rsidRDefault="003725BD" w:rsidP="003725BD">
      <w:pPr>
        <w:spacing w:after="0" w:line="240" w:lineRule="auto"/>
        <w:ind w:left="851" w:right="902"/>
        <w:jc w:val="both"/>
        <w:rPr>
          <w:rFonts w:ascii="Palatino Linotype" w:hAnsi="Palatino Linotype" w:cs="Arial"/>
          <w:b/>
          <w:i/>
        </w:rPr>
      </w:pPr>
      <w:r>
        <w:rPr>
          <w:rFonts w:ascii="Palatino Linotype" w:hAnsi="Palatino Linotype" w:cs="Arial"/>
          <w:b/>
          <w:i/>
        </w:rPr>
        <w:t>Las normas relativas a los derechos humanos se interpretarán</w:t>
      </w:r>
      <w:r>
        <w:rPr>
          <w:rFonts w:ascii="Palatino Linotype" w:hAnsi="Palatino Linotype" w:cs="Arial"/>
          <w:i/>
        </w:rPr>
        <w:t xml:space="preserve"> de conformidad con esta Constitución y con los tratados internacionales de la </w:t>
      </w:r>
      <w:r>
        <w:rPr>
          <w:rFonts w:ascii="Palatino Linotype" w:hAnsi="Palatino Linotype" w:cs="Arial"/>
          <w:b/>
          <w:i/>
        </w:rPr>
        <w:t>materia favoreciendo en todo tiempo a las personas la protección más amplia.</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b/>
          <w:i/>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hAnsi="Palatino Linotype" w:cs="Arial"/>
          <w:i/>
        </w:rPr>
        <w:t>. En consecuencia, el Estado deberá prevenir, investigar, sancionar y reparar las violaciones a los derechos humanos, en los términos que establezca la ley.”</w:t>
      </w:r>
    </w:p>
    <w:p w:rsidR="003725BD" w:rsidRDefault="003725BD" w:rsidP="003725BD">
      <w:pPr>
        <w:spacing w:after="0" w:line="240" w:lineRule="auto"/>
        <w:ind w:left="851" w:right="902"/>
        <w:jc w:val="both"/>
        <w:rPr>
          <w:rFonts w:ascii="Palatino Linotype" w:hAnsi="Palatino Linotype"/>
        </w:rPr>
      </w:pPr>
      <w:r>
        <w:rPr>
          <w:rFonts w:ascii="Palatino Linotype" w:hAnsi="Palatino Linotype"/>
        </w:rPr>
        <w:t>(Énfasis añadido)</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t xml:space="preserve">En esa virtud, de una interpretación sistemática, armónica y progresiva del derecho humano de acceso a la información pública se reitera que toda persona, sin necesidad de acreditar interés </w:t>
      </w:r>
      <w:r w:rsidRPr="00B80126">
        <w:rPr>
          <w:rFonts w:ascii="Palatino Linotype" w:hAnsi="Palatino Linotype" w:cs="Arial"/>
          <w:sz w:val="24"/>
          <w:szCs w:val="24"/>
        </w:rPr>
        <w:t>alguno</w:t>
      </w:r>
      <w:r w:rsidRPr="00B80126">
        <w:rPr>
          <w:rFonts w:ascii="Palatino Linotype" w:hAnsi="Palatino Linotype"/>
          <w:sz w:val="24"/>
          <w:szCs w:val="24"/>
        </w:rPr>
        <w:t xml:space="preserve"> o justificar su utilización, deberá tener acceso a la información pública, es decir, dicho </w:t>
      </w:r>
      <w:r w:rsidRPr="00B80126">
        <w:rPr>
          <w:rFonts w:ascii="Palatino Linotype" w:hAnsi="Palatino Linotype" w:cs="Arial"/>
          <w:sz w:val="24"/>
          <w:szCs w:val="24"/>
        </w:rPr>
        <w:t>derecho</w:t>
      </w:r>
      <w:r w:rsidRPr="00B80126">
        <w:rPr>
          <w:rFonts w:ascii="Palatino Linotype" w:hAnsi="Palatino Linotype"/>
          <w:sz w:val="24"/>
          <w:szCs w:val="24"/>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lastRenderedPageBreak/>
        <w:t xml:space="preserve">Robustece lo anterior, el Criterio 6/2014 del entonces Instituto Federal de Acceso a la Información y </w:t>
      </w:r>
      <w:r w:rsidRPr="00B80126">
        <w:rPr>
          <w:rFonts w:ascii="Palatino Linotype" w:hAnsi="Palatino Linotype" w:cs="Arial"/>
          <w:sz w:val="24"/>
          <w:szCs w:val="24"/>
        </w:rPr>
        <w:t>Protección</w:t>
      </w:r>
      <w:r w:rsidRPr="00B80126">
        <w:rPr>
          <w:rFonts w:ascii="Palatino Linotype" w:hAnsi="Palatino Linotype"/>
          <w:sz w:val="24"/>
          <w:szCs w:val="24"/>
        </w:rPr>
        <w:t xml:space="preserve"> de Datos (IFAI) hoy Instituto Nacional de Transparencia, Acceso a la Información y Protección de Datos Personales (INAI), el cual se reproduce para una mayor referencia:</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rPr>
        <w:t>“</w:t>
      </w:r>
      <w:r>
        <w:rPr>
          <w:rFonts w:ascii="Palatino Linotype" w:hAnsi="Palatino Linotype" w:cs="Arial"/>
          <w:b/>
          <w:i/>
        </w:rPr>
        <w:t>Acceso a información gubernamental. No debe condicionarse a que el solicitante acredite su personalidad, demuestre interés alguno o justifique su utilización.</w:t>
      </w:r>
      <w:r>
        <w:rPr>
          <w:rFonts w:ascii="Palatino Linotype" w:hAnsi="Palatino Linotype" w:cs="Arial"/>
          <w:i/>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Resoluciones</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b/>
          <w:i/>
        </w:rPr>
        <w:t>• RDA 5275/13</w:t>
      </w:r>
      <w:r>
        <w:rPr>
          <w:rFonts w:ascii="Palatino Linotype" w:hAnsi="Palatino Linotype" w:cs="Arial"/>
          <w:i/>
        </w:rPr>
        <w:t>. Interpuesto en contra de la Secretaría de la Defensa Nacional. Comisionado Ponente Ángel Trinidad Zaldívar.</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 xml:space="preserve">• </w:t>
      </w:r>
      <w:r>
        <w:rPr>
          <w:rFonts w:ascii="Palatino Linotype" w:hAnsi="Palatino Linotype" w:cs="Arial"/>
          <w:b/>
          <w:i/>
        </w:rPr>
        <w:t>RDA 2937/13</w:t>
      </w:r>
      <w:r>
        <w:rPr>
          <w:rFonts w:ascii="Palatino Linotype" w:hAnsi="Palatino Linotype" w:cs="Arial"/>
          <w:i/>
        </w:rPr>
        <w:t xml:space="preserve">. Interpuesto en contra de LICONSA, S.A. de C.V. Comisionado. Ponente Gerardo </w:t>
      </w:r>
      <w:proofErr w:type="spellStart"/>
      <w:r>
        <w:rPr>
          <w:rFonts w:ascii="Palatino Linotype" w:hAnsi="Palatino Linotype" w:cs="Arial"/>
          <w:i/>
        </w:rPr>
        <w:t>Laveaga</w:t>
      </w:r>
      <w:proofErr w:type="spellEnd"/>
      <w:r>
        <w:rPr>
          <w:rFonts w:ascii="Palatino Linotype" w:hAnsi="Palatino Linotype" w:cs="Arial"/>
          <w:i/>
        </w:rPr>
        <w:t xml:space="preserve"> Rendón.</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 xml:space="preserve">• </w:t>
      </w:r>
      <w:r>
        <w:rPr>
          <w:rFonts w:ascii="Palatino Linotype" w:hAnsi="Palatino Linotype" w:cs="Arial"/>
          <w:b/>
          <w:i/>
        </w:rPr>
        <w:t>RDA 3609/12</w:t>
      </w:r>
      <w:r>
        <w:rPr>
          <w:rFonts w:ascii="Palatino Linotype" w:hAnsi="Palatino Linotype" w:cs="Arial"/>
          <w:i/>
        </w:rPr>
        <w:t xml:space="preserve">. Interpuesto en contra de la Secretaría de Educación Pública. Comisionada Ponente Sigrid </w:t>
      </w:r>
      <w:proofErr w:type="spellStart"/>
      <w:r>
        <w:rPr>
          <w:rFonts w:ascii="Palatino Linotype" w:hAnsi="Palatino Linotype" w:cs="Arial"/>
          <w:i/>
        </w:rPr>
        <w:t>Arzt</w:t>
      </w:r>
      <w:proofErr w:type="spellEnd"/>
      <w:r>
        <w:rPr>
          <w:rFonts w:ascii="Palatino Linotype" w:hAnsi="Palatino Linotype" w:cs="Arial"/>
          <w:i/>
        </w:rPr>
        <w:t xml:space="preserve"> Colunga.</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 xml:space="preserve">• </w:t>
      </w:r>
      <w:r>
        <w:rPr>
          <w:rFonts w:ascii="Palatino Linotype" w:hAnsi="Palatino Linotype" w:cs="Arial"/>
          <w:b/>
          <w:i/>
        </w:rPr>
        <w:t>RDA 3361/12</w:t>
      </w:r>
      <w:r>
        <w:rPr>
          <w:rFonts w:ascii="Palatino Linotype" w:hAnsi="Palatino Linotype" w:cs="Arial"/>
          <w:i/>
        </w:rPr>
        <w:t>. Interpuesto en contra del Servicio de Administración Tributaria. Comisionada Ponente María Elena Pérez-Jaén Zermeño.</w:t>
      </w:r>
    </w:p>
    <w:p w:rsidR="003725BD" w:rsidRDefault="003725BD" w:rsidP="003725BD">
      <w:pPr>
        <w:spacing w:after="0" w:line="240" w:lineRule="auto"/>
        <w:ind w:left="851" w:right="902"/>
        <w:jc w:val="both"/>
        <w:rPr>
          <w:rFonts w:ascii="Palatino Linotype" w:hAnsi="Palatino Linotype" w:cs="Arial"/>
          <w:i/>
        </w:rPr>
      </w:pPr>
      <w:r>
        <w:rPr>
          <w:rFonts w:ascii="Palatino Linotype" w:hAnsi="Palatino Linotype" w:cs="Arial"/>
          <w:i/>
        </w:rPr>
        <w:t xml:space="preserve">• </w:t>
      </w:r>
      <w:r>
        <w:rPr>
          <w:rFonts w:ascii="Palatino Linotype" w:hAnsi="Palatino Linotype" w:cs="Arial"/>
          <w:b/>
          <w:i/>
        </w:rPr>
        <w:t>RDA 0563/12</w:t>
      </w:r>
      <w:r>
        <w:rPr>
          <w:rFonts w:ascii="Palatino Linotype" w:hAnsi="Palatino Linotype" w:cs="Arial"/>
          <w:i/>
        </w:rPr>
        <w:t xml:space="preserve">. Interpuesto en contra de la Secretaría de la Función Pública. Comisionada Ponente Jacqueline </w:t>
      </w:r>
      <w:proofErr w:type="spellStart"/>
      <w:r>
        <w:rPr>
          <w:rFonts w:ascii="Palatino Linotype" w:hAnsi="Palatino Linotype" w:cs="Arial"/>
          <w:i/>
        </w:rPr>
        <w:t>Peschard</w:t>
      </w:r>
      <w:proofErr w:type="spellEnd"/>
      <w:r>
        <w:rPr>
          <w:rFonts w:ascii="Palatino Linotype" w:hAnsi="Palatino Linotype" w:cs="Arial"/>
          <w:i/>
        </w:rPr>
        <w:t xml:space="preserve"> Mariscal.” (SIC)</w:t>
      </w:r>
    </w:p>
    <w:p w:rsidR="003725BD" w:rsidRPr="00B80126" w:rsidRDefault="003725BD" w:rsidP="003725BD">
      <w:pPr>
        <w:spacing w:before="100" w:beforeAutospacing="1" w:after="100" w:afterAutospacing="1" w:line="360" w:lineRule="auto"/>
        <w:jc w:val="both"/>
        <w:rPr>
          <w:rFonts w:ascii="Palatino Linotype" w:hAnsi="Palatino Linotype"/>
          <w:sz w:val="24"/>
          <w:szCs w:val="24"/>
        </w:rPr>
      </w:pPr>
      <w:r w:rsidRPr="00B80126">
        <w:rPr>
          <w:rFonts w:ascii="Palatino Linotype" w:hAnsi="Palatino Linotype"/>
          <w:sz w:val="24"/>
          <w:szCs w:val="24"/>
        </w:rPr>
        <w:t xml:space="preserve">En ese orden de ideas, se estima que el requerimiento relativo al nombre como presupuesto de procedibilidad, </w:t>
      </w:r>
      <w:r w:rsidRPr="00B80126">
        <w:rPr>
          <w:rFonts w:ascii="Palatino Linotype" w:hAnsi="Palatino Linotype" w:cs="Arial"/>
          <w:sz w:val="24"/>
          <w:szCs w:val="24"/>
        </w:rPr>
        <w:t>podría</w:t>
      </w:r>
      <w:r w:rsidRPr="00B80126">
        <w:rPr>
          <w:rFonts w:ascii="Palatino Linotype" w:hAnsi="Palatino Linotype"/>
          <w:sz w:val="24"/>
          <w:szCs w:val="24"/>
        </w:rPr>
        <w:t xml:space="preserve"> limitar el ejercicio del derecho de acceso a la información pública, debido a que, el hecho de solicitar la identificación del hoy </w:t>
      </w:r>
      <w:r w:rsidRPr="00B80126">
        <w:rPr>
          <w:rFonts w:ascii="Palatino Linotype" w:hAnsi="Palatino Linotype" w:cs="Arial"/>
          <w:b/>
          <w:sz w:val="24"/>
          <w:szCs w:val="24"/>
        </w:rPr>
        <w:lastRenderedPageBreak/>
        <w:t>RECURRENTE</w:t>
      </w:r>
      <w:r w:rsidRPr="00B80126">
        <w:rPr>
          <w:rFonts w:ascii="Palatino Linotype" w:hAnsi="Palatino Linotype"/>
          <w:sz w:val="24"/>
          <w:szCs w:val="24"/>
        </w:rPr>
        <w:t xml:space="preserve"> a través de dicho dato personal, en ciertos extremos se equipara a una exigencia acerca de su interés o justificación de su utilización, lo que materialmente haría nugatorio un derecho fundamental.</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t xml:space="preserve">Aunado a ello, para el estudio de la materia sobre la que se resuelve el presente recurso de revisión, resulta intrascendente conocer el nombre de la persona que lo hubiere promovido, en virtud de que tanto la </w:t>
      </w:r>
      <w:r w:rsidRPr="00B80126">
        <w:rPr>
          <w:rFonts w:ascii="Palatino Linotype" w:hAnsi="Palatino Linotype" w:cs="Arial"/>
          <w:sz w:val="24"/>
          <w:szCs w:val="24"/>
        </w:rPr>
        <w:t>Constitución</w:t>
      </w:r>
      <w:r w:rsidRPr="00B80126">
        <w:rPr>
          <w:rFonts w:ascii="Palatino Linotype" w:hAnsi="Palatino Linotype"/>
          <w:sz w:val="24"/>
          <w:szCs w:val="24"/>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rsidR="003725BD" w:rsidRPr="00B80126" w:rsidRDefault="003725BD" w:rsidP="003725BD">
      <w:pPr>
        <w:spacing w:before="200" w:after="200" w:line="360" w:lineRule="auto"/>
        <w:jc w:val="both"/>
        <w:rPr>
          <w:rFonts w:ascii="Palatino Linotype" w:hAnsi="Palatino Linotype"/>
          <w:sz w:val="24"/>
          <w:szCs w:val="24"/>
        </w:rPr>
      </w:pPr>
      <w:r w:rsidRPr="00B80126">
        <w:rPr>
          <w:rFonts w:ascii="Palatino Linotype" w:hAnsi="Palatino Linotype"/>
          <w:sz w:val="24"/>
          <w:szCs w:val="24"/>
        </w:rPr>
        <w:t xml:space="preserve">Asimismo, se estima que el requisito relativo al nombre del solicitante no constituye un presupuesto indispensable de procedibilidad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w:t>
      </w:r>
      <w:r w:rsidRPr="00B80126">
        <w:rPr>
          <w:rFonts w:ascii="Palatino Linotype" w:hAnsi="Palatino Linotype"/>
          <w:sz w:val="24"/>
          <w:szCs w:val="24"/>
        </w:rPr>
        <w:lastRenderedPageBreak/>
        <w:t xml:space="preserve">de las que se desprende que </w:t>
      </w:r>
      <w:r w:rsidRPr="00B80126">
        <w:rPr>
          <w:rFonts w:ascii="Palatino Linotype" w:hAnsi="Palatino Linotype" w:cs="Arial"/>
          <w:b/>
          <w:sz w:val="24"/>
          <w:szCs w:val="24"/>
        </w:rPr>
        <w:t>EL RECURRENTE</w:t>
      </w:r>
      <w:r w:rsidRPr="00B80126">
        <w:rPr>
          <w:rFonts w:ascii="Palatino Linotype" w:hAnsi="Palatino Linotype"/>
          <w:sz w:val="24"/>
          <w:szCs w:val="24"/>
        </w:rPr>
        <w:t>, es la misma persona que realizó la solicitud de acceso a la información pública que ahora se impugna.</w:t>
      </w:r>
    </w:p>
    <w:p w:rsidR="003725BD" w:rsidRPr="00B80126" w:rsidRDefault="003725BD" w:rsidP="003725BD">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sidRPr="00B80126">
        <w:rPr>
          <w:rFonts w:ascii="Palatino Linotype" w:hAnsi="Palatino Linotype"/>
        </w:rPr>
        <w:t>En adición a lo anterior, el propio artículo 180 en su último párrafo establece que cuando el recurso se interponga de manera electrónica no será indispensable que contenga determinados requisitos, entre ellos, el nombre del hoy</w:t>
      </w:r>
      <w:r w:rsidRPr="00B80126">
        <w:rPr>
          <w:rFonts w:ascii="Palatino Linotype" w:hAnsi="Palatino Linotype" w:cs="Arial"/>
          <w:b/>
        </w:rPr>
        <w:t xml:space="preserve"> RECURRENTE</w:t>
      </w:r>
      <w:r w:rsidRPr="00B80126">
        <w:rPr>
          <w:rFonts w:ascii="Palatino Linotype" w:hAnsi="Palatino Linotype"/>
        </w:rPr>
        <w:t xml:space="preserve">, por lo que en el presente caso, al haber sido presentado el recurso de revisión vía </w:t>
      </w:r>
      <w:r w:rsidRPr="00B80126">
        <w:rPr>
          <w:rFonts w:ascii="Palatino Linotype" w:hAnsi="Palatino Linotype"/>
          <w:b/>
        </w:rPr>
        <w:t>SAIMEX</w:t>
      </w:r>
      <w:r w:rsidRPr="00B80126">
        <w:rPr>
          <w:rFonts w:ascii="Palatino Linotype" w:hAnsi="Palatino Linotype"/>
        </w:rPr>
        <w:t>, dicho requisito resulta innecesario.</w:t>
      </w:r>
    </w:p>
    <w:p w:rsidR="00D8575A" w:rsidRPr="0027505D" w:rsidRDefault="00A04851" w:rsidP="00D8575A">
      <w:pPr>
        <w:spacing w:before="100" w:beforeAutospacing="1" w:after="100" w:afterAutospacing="1" w:line="360" w:lineRule="auto"/>
        <w:jc w:val="both"/>
        <w:textAlignment w:val="baseline"/>
        <w:rPr>
          <w:rFonts w:ascii="Palatino Linotype" w:eastAsia="Times New Roman" w:hAnsi="Palatino Linotype" w:cs="Arial"/>
          <w:sz w:val="24"/>
          <w:szCs w:val="24"/>
          <w:lang w:val="es-ES" w:eastAsia="es-MX"/>
        </w:rPr>
      </w:pPr>
      <w:r w:rsidRPr="00D8575A">
        <w:rPr>
          <w:rFonts w:ascii="Palatino Linotype" w:hAnsi="Palatino Linotype" w:cs="Arial"/>
          <w:b/>
          <w:sz w:val="28"/>
          <w:szCs w:val="28"/>
        </w:rPr>
        <w:t>QUINTO.</w:t>
      </w:r>
      <w:r w:rsidRPr="00D8575A">
        <w:rPr>
          <w:rFonts w:ascii="Palatino Linotype" w:hAnsi="Palatino Linotype" w:cs="Arial"/>
          <w:b/>
          <w:color w:val="000000" w:themeColor="text1"/>
        </w:rPr>
        <w:t xml:space="preserve"> </w:t>
      </w:r>
      <w:r w:rsidR="00D8575A" w:rsidRPr="0027505D">
        <w:rPr>
          <w:rFonts w:ascii="Palatino Linotype" w:eastAsia="Times New Roman" w:hAnsi="Palatino Linotype" w:cs="Arial"/>
          <w:b/>
          <w:color w:val="000000" w:themeColor="text1"/>
          <w:sz w:val="24"/>
          <w:szCs w:val="24"/>
          <w:lang w:val="es-ES" w:eastAsia="es-MX"/>
        </w:rPr>
        <w:t>Estudio y resolución del asunto.</w:t>
      </w:r>
      <w:r w:rsidR="00D8575A" w:rsidRPr="0027505D">
        <w:rPr>
          <w:rFonts w:ascii="Palatino Linotype" w:eastAsia="Times New Roman" w:hAnsi="Palatino Linotype" w:cs="Arial"/>
          <w:color w:val="000000" w:themeColor="text1"/>
          <w:sz w:val="24"/>
          <w:szCs w:val="24"/>
          <w:lang w:val="es-ES" w:eastAsia="es-MX"/>
        </w:rPr>
        <w:t xml:space="preserve"> Del análisis efectuado, se advierte que el </w:t>
      </w:r>
      <w:r w:rsidR="00D8575A" w:rsidRPr="0027505D">
        <w:rPr>
          <w:rFonts w:ascii="Palatino Linotype" w:eastAsia="Times New Roman" w:hAnsi="Palatino Linotype" w:cs="Arial"/>
          <w:sz w:val="24"/>
          <w:szCs w:val="24"/>
          <w:lang w:val="es-ES" w:eastAsia="es-MX"/>
        </w:rPr>
        <w:t>presente recurso de revisión es procedente, pues se actualiza la hipótesis prevista en la fracción VII, del artículo 179 de la Ley de la materia, el cual a la letra dice:</w:t>
      </w:r>
    </w:p>
    <w:p w:rsidR="00D8575A" w:rsidRPr="0027505D" w:rsidRDefault="00D8575A" w:rsidP="00D8575A">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w:t>
      </w:r>
      <w:r w:rsidRPr="0027505D">
        <w:rPr>
          <w:rFonts w:ascii="Palatino Linotype" w:eastAsia="Times New Roman" w:hAnsi="Palatino Linotype" w:cs="Arial"/>
          <w:b/>
          <w:i/>
          <w:color w:val="000000"/>
          <w:lang w:val="es-ES"/>
        </w:rPr>
        <w:t>Artículo 179.</w:t>
      </w:r>
      <w:r w:rsidRPr="0027505D">
        <w:rPr>
          <w:rFonts w:ascii="Palatino Linotype" w:eastAsia="Times New Roman" w:hAnsi="Palatino Linotype" w:cs="Arial"/>
          <w:i/>
          <w:color w:val="000000"/>
          <w:lang w:val="es-ES"/>
        </w:rPr>
        <w:t xml:space="preserve"> El recurso de revisión es un medio de protección que la Ley otorga a los particulares, para hacer valer su derecho de acceso a la información pública, y procederá en contra de las siguientes causas:</w:t>
      </w:r>
    </w:p>
    <w:p w:rsidR="00D8575A" w:rsidRPr="0027505D" w:rsidRDefault="00D8575A" w:rsidP="00D8575A">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w:t>
      </w:r>
    </w:p>
    <w:p w:rsidR="00D8575A" w:rsidRPr="0027505D" w:rsidRDefault="00D8575A" w:rsidP="00D8575A">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b/>
          <w:i/>
          <w:color w:val="000000"/>
          <w:lang w:val="es-ES"/>
        </w:rPr>
        <w:t>VII. La falta de respuesta a una solicitud de acceso a la información</w:t>
      </w:r>
      <w:r w:rsidRPr="0027505D">
        <w:rPr>
          <w:rFonts w:ascii="Palatino Linotype" w:eastAsia="Times New Roman" w:hAnsi="Palatino Linotype" w:cs="Arial"/>
          <w:i/>
          <w:color w:val="000000"/>
          <w:lang w:val="es-ES"/>
        </w:rPr>
        <w:t>;</w:t>
      </w:r>
    </w:p>
    <w:p w:rsidR="00D8575A" w:rsidRPr="0027505D" w:rsidRDefault="00D8575A" w:rsidP="00D8575A">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b/>
          <w:i/>
          <w:color w:val="000000"/>
          <w:lang w:val="es-ES"/>
        </w:rPr>
        <w:t>…</w:t>
      </w:r>
      <w:r w:rsidRPr="0027505D">
        <w:rPr>
          <w:rFonts w:ascii="Palatino Linotype" w:eastAsia="Times New Roman" w:hAnsi="Palatino Linotype" w:cs="Arial"/>
          <w:i/>
          <w:color w:val="000000"/>
          <w:lang w:val="es-ES"/>
        </w:rPr>
        <w:t>”</w:t>
      </w:r>
    </w:p>
    <w:p w:rsidR="00D8575A" w:rsidRPr="0027505D" w:rsidRDefault="00D8575A" w:rsidP="00D8575A">
      <w:pPr>
        <w:spacing w:after="0" w:line="240" w:lineRule="auto"/>
        <w:ind w:left="851" w:right="901"/>
        <w:jc w:val="both"/>
        <w:rPr>
          <w:rFonts w:ascii="Palatino Linotype" w:eastAsia="Times New Roman" w:hAnsi="Palatino Linotype" w:cs="Arial"/>
          <w:i/>
          <w:color w:val="000000"/>
          <w:lang w:val="es-ES"/>
        </w:rPr>
      </w:pPr>
      <w:r w:rsidRPr="0027505D">
        <w:rPr>
          <w:rFonts w:ascii="Palatino Linotype" w:eastAsia="Times New Roman" w:hAnsi="Palatino Linotype" w:cs="Arial"/>
          <w:i/>
          <w:color w:val="000000"/>
          <w:lang w:val="es-ES"/>
        </w:rPr>
        <w:t>(Énfasis añadido)</w:t>
      </w:r>
    </w:p>
    <w:p w:rsidR="00D8575A" w:rsidRPr="0027505D" w:rsidRDefault="00D8575A" w:rsidP="00D8575A">
      <w:pPr>
        <w:widowControl w:val="0"/>
        <w:autoSpaceDE w:val="0"/>
        <w:autoSpaceDN w:val="0"/>
        <w:adjustRightInd w:val="0"/>
        <w:spacing w:before="100" w:beforeAutospacing="1" w:after="100" w:afterAutospacing="1" w:line="360" w:lineRule="auto"/>
        <w:jc w:val="both"/>
        <w:rPr>
          <w:rFonts w:ascii="Palatino Linotype" w:eastAsia="Times New Roman" w:hAnsi="Palatino Linotype" w:cs="Arial"/>
          <w:sz w:val="24"/>
          <w:szCs w:val="24"/>
          <w:lang w:val="es-ES"/>
        </w:rPr>
      </w:pPr>
      <w:r w:rsidRPr="0027505D">
        <w:rPr>
          <w:rFonts w:ascii="Palatino Linotype" w:eastAsia="Times New Roman" w:hAnsi="Palatino Linotype" w:cs="Arial"/>
          <w:sz w:val="24"/>
          <w:szCs w:val="24"/>
          <w:lang w:val="es-ES"/>
        </w:rPr>
        <w:t xml:space="preserve">El precepto legal citado, establece como supuesto de procedencia del recurso de revisión, en aquellos casos en que no se dé respuesta a lo solicitado; por lo que, en el presente caso, se actualiza dicha causal, ya que </w:t>
      </w:r>
      <w:r w:rsidRPr="0027505D">
        <w:rPr>
          <w:rFonts w:ascii="Palatino Linotype" w:eastAsia="Times New Roman" w:hAnsi="Palatino Linotype" w:cs="Arial"/>
          <w:b/>
          <w:sz w:val="24"/>
          <w:szCs w:val="24"/>
          <w:lang w:val="es-ES"/>
        </w:rPr>
        <w:t>EL SUJETO OBLIGADO</w:t>
      </w:r>
      <w:r w:rsidRPr="0027505D">
        <w:rPr>
          <w:rFonts w:ascii="Palatino Linotype" w:eastAsia="Times New Roman" w:hAnsi="Palatino Linotype" w:cs="Arial"/>
          <w:sz w:val="24"/>
          <w:szCs w:val="24"/>
          <w:lang w:val="es-ES"/>
        </w:rPr>
        <w:t xml:space="preserve"> omitió dar respuesta a lo requerido por </w:t>
      </w:r>
      <w:r w:rsidRPr="0027505D">
        <w:rPr>
          <w:rFonts w:ascii="Palatino Linotype" w:eastAsia="Times New Roman" w:hAnsi="Palatino Linotype" w:cs="Arial"/>
          <w:b/>
          <w:sz w:val="24"/>
          <w:szCs w:val="24"/>
          <w:lang w:val="es-ES"/>
        </w:rPr>
        <w:t xml:space="preserve">EL RECURRENTE </w:t>
      </w:r>
      <w:r w:rsidRPr="0027505D">
        <w:rPr>
          <w:rFonts w:ascii="Palatino Linotype" w:eastAsia="Times New Roman" w:hAnsi="Palatino Linotype" w:cs="Arial"/>
          <w:sz w:val="24"/>
          <w:szCs w:val="24"/>
          <w:lang w:val="es-ES"/>
        </w:rPr>
        <w:t xml:space="preserve">en su solicitud de información pública; atento a ello, </w:t>
      </w:r>
      <w:r w:rsidRPr="0027505D">
        <w:rPr>
          <w:rFonts w:ascii="Palatino Linotype" w:eastAsia="Times New Roman" w:hAnsi="Palatino Linotype" w:cs="Times New Roman"/>
          <w:sz w:val="24"/>
          <w:szCs w:val="24"/>
          <w:lang w:val="es-ES"/>
        </w:rPr>
        <w:t xml:space="preserve">este Órgano Garante </w:t>
      </w:r>
      <w:r w:rsidRPr="0027505D">
        <w:rPr>
          <w:rFonts w:ascii="Palatino Linotype" w:eastAsia="Times New Roman" w:hAnsi="Palatino Linotype" w:cs="Arial"/>
          <w:sz w:val="24"/>
          <w:szCs w:val="24"/>
          <w:lang w:val="es-ES"/>
        </w:rPr>
        <w:t xml:space="preserve">considera que las razones o motivos de </w:t>
      </w:r>
      <w:r w:rsidRPr="0027505D">
        <w:rPr>
          <w:rFonts w:ascii="Palatino Linotype" w:eastAsia="Times New Roman" w:hAnsi="Palatino Linotype" w:cs="Arial"/>
          <w:sz w:val="24"/>
          <w:szCs w:val="24"/>
          <w:lang w:val="es-ES"/>
        </w:rPr>
        <w:lastRenderedPageBreak/>
        <w:t xml:space="preserve">inconformidad son </w:t>
      </w:r>
      <w:r w:rsidRPr="0027505D">
        <w:rPr>
          <w:rFonts w:ascii="Palatino Linotype" w:eastAsia="Times New Roman" w:hAnsi="Palatino Linotype" w:cs="Arial"/>
          <w:b/>
          <w:sz w:val="24"/>
          <w:szCs w:val="24"/>
          <w:lang w:val="es-ES"/>
        </w:rPr>
        <w:t>fundados</w:t>
      </w:r>
      <w:r w:rsidRPr="0027505D">
        <w:rPr>
          <w:rFonts w:ascii="Palatino Linotype" w:eastAsia="Times New Roman" w:hAnsi="Palatino Linotype" w:cs="Arial"/>
          <w:sz w:val="24"/>
          <w:szCs w:val="24"/>
          <w:lang w:val="es-ES"/>
        </w:rPr>
        <w:t>.</w:t>
      </w:r>
    </w:p>
    <w:p w:rsidR="00D8575A" w:rsidRDefault="00D8575A" w:rsidP="00D8575A">
      <w:pPr>
        <w:spacing w:before="100" w:beforeAutospacing="1" w:after="100" w:afterAutospacing="1" w:line="360" w:lineRule="auto"/>
        <w:jc w:val="both"/>
        <w:rPr>
          <w:rFonts w:ascii="Palatino Linotype" w:hAnsi="Palatino Linotype"/>
          <w:sz w:val="24"/>
          <w:szCs w:val="24"/>
        </w:rPr>
      </w:pPr>
      <w:r w:rsidRPr="0027505D">
        <w:rPr>
          <w:rFonts w:ascii="Palatino Linotype" w:hAnsi="Palatino Linotype"/>
          <w:sz w:val="24"/>
          <w:szCs w:val="24"/>
        </w:rPr>
        <w:t xml:space="preserve">Es así que, de acuerdo a los motivos de inconformidad hechos valer por </w:t>
      </w:r>
      <w:r>
        <w:rPr>
          <w:rFonts w:ascii="Palatino Linotype" w:hAnsi="Palatino Linotype"/>
          <w:b/>
          <w:sz w:val="24"/>
          <w:szCs w:val="24"/>
        </w:rPr>
        <w:t>EL</w:t>
      </w:r>
      <w:r w:rsidRPr="0027505D">
        <w:rPr>
          <w:rFonts w:ascii="Palatino Linotype" w:hAnsi="Palatino Linotype"/>
          <w:b/>
          <w:sz w:val="24"/>
          <w:szCs w:val="24"/>
        </w:rPr>
        <w:t xml:space="preserve"> RECURRENTE</w:t>
      </w:r>
      <w:r w:rsidRPr="0027505D">
        <w:rPr>
          <w:rFonts w:ascii="Palatino Linotype" w:hAnsi="Palatino Linotype"/>
          <w:sz w:val="24"/>
          <w:szCs w:val="24"/>
        </w:rPr>
        <w:t xml:space="preserve">, ante la falta </w:t>
      </w:r>
      <w:r>
        <w:rPr>
          <w:rFonts w:ascii="Palatino Linotype" w:hAnsi="Palatino Linotype"/>
          <w:sz w:val="24"/>
          <w:szCs w:val="24"/>
        </w:rPr>
        <w:t xml:space="preserve">de respuesta a la solicitud </w:t>
      </w:r>
      <w:r w:rsidRPr="0027505D">
        <w:rPr>
          <w:rFonts w:ascii="Palatino Linotype" w:hAnsi="Palatino Linotype"/>
          <w:sz w:val="24"/>
          <w:szCs w:val="24"/>
        </w:rPr>
        <w:t>por parte del</w:t>
      </w:r>
      <w:r w:rsidRPr="0027505D">
        <w:rPr>
          <w:rFonts w:ascii="Palatino Linotype" w:hAnsi="Palatino Linotype"/>
          <w:b/>
          <w:sz w:val="24"/>
          <w:szCs w:val="24"/>
        </w:rPr>
        <w:t xml:space="preserve"> SUJETO OBLIGADO</w:t>
      </w:r>
      <w:r w:rsidRPr="0027505D">
        <w:rPr>
          <w:rFonts w:ascii="Palatino Linotype" w:hAnsi="Palatino Linotype"/>
          <w:sz w:val="24"/>
          <w:szCs w:val="24"/>
        </w:rPr>
        <w:t xml:space="preserve">, este Órgano Garante considera pertinente analizar si se encuentra constreñido a trasparentar sus acciones; así como, garantizar y respetar el derecho de acceso a la información pública. </w:t>
      </w:r>
    </w:p>
    <w:p w:rsidR="00D8575A" w:rsidRDefault="00D8575A" w:rsidP="00D8575A">
      <w:pPr>
        <w:spacing w:before="100" w:beforeAutospacing="1" w:after="100" w:afterAutospacing="1" w:line="360" w:lineRule="auto"/>
        <w:jc w:val="both"/>
        <w:rPr>
          <w:rFonts w:ascii="Palatino Linotype" w:hAnsi="Palatino Linotype"/>
          <w:sz w:val="24"/>
          <w:szCs w:val="24"/>
        </w:rPr>
      </w:pPr>
      <w:r w:rsidRPr="00D8575A">
        <w:rPr>
          <w:rFonts w:ascii="Palatino Linotype" w:hAnsi="Palatino Linotype"/>
          <w:sz w:val="24"/>
          <w:szCs w:val="24"/>
        </w:rPr>
        <w:t xml:space="preserve">En este punto, se considera importante destacar que en el apartado de requerimientos, el </w:t>
      </w:r>
      <w:r>
        <w:rPr>
          <w:rFonts w:ascii="Palatino Linotype" w:hAnsi="Palatino Linotype"/>
          <w:sz w:val="24"/>
          <w:szCs w:val="24"/>
        </w:rPr>
        <w:t xml:space="preserve">Titular de la Unidad de Transparencia del </w:t>
      </w:r>
      <w:r>
        <w:rPr>
          <w:rFonts w:ascii="Palatino Linotype" w:hAnsi="Palatino Linotype"/>
          <w:b/>
          <w:sz w:val="24"/>
          <w:szCs w:val="24"/>
        </w:rPr>
        <w:t xml:space="preserve">SUJETO OBLIGADO </w:t>
      </w:r>
      <w:r>
        <w:rPr>
          <w:rFonts w:ascii="Palatino Linotype" w:hAnsi="Palatino Linotype"/>
          <w:sz w:val="24"/>
          <w:szCs w:val="24"/>
        </w:rPr>
        <w:t>turno</w:t>
      </w:r>
      <w:r w:rsidR="00D2503D">
        <w:rPr>
          <w:rFonts w:ascii="Palatino Linotype" w:hAnsi="Palatino Linotype"/>
          <w:sz w:val="24"/>
          <w:szCs w:val="24"/>
        </w:rPr>
        <w:t xml:space="preserve"> la solicitud de información </w:t>
      </w:r>
      <w:r>
        <w:rPr>
          <w:rFonts w:ascii="Palatino Linotype" w:hAnsi="Palatino Linotype"/>
          <w:sz w:val="24"/>
          <w:szCs w:val="24"/>
        </w:rPr>
        <w:t xml:space="preserve">a las Servidoras Públicas Habilitadas de las áreas de </w:t>
      </w:r>
      <w:r w:rsidR="00D2503D">
        <w:rPr>
          <w:rFonts w:ascii="Palatino Linotype" w:hAnsi="Palatino Linotype"/>
          <w:sz w:val="24"/>
          <w:szCs w:val="24"/>
        </w:rPr>
        <w:t>Comercialización y Finanzas; donde únicamente la Directora de Finanzas atendió dicho requerimiento en los términos que a continuación se insertan:</w:t>
      </w:r>
    </w:p>
    <w:p w:rsidR="00D2503D" w:rsidRDefault="00D2503D" w:rsidP="00D2503D">
      <w:pPr>
        <w:spacing w:before="100" w:beforeAutospacing="1" w:after="100" w:afterAutospacing="1" w:line="360" w:lineRule="auto"/>
        <w:jc w:val="center"/>
        <w:rPr>
          <w:rFonts w:ascii="Palatino Linotype" w:hAnsi="Palatino Linotype"/>
          <w:sz w:val="24"/>
          <w:szCs w:val="24"/>
        </w:rPr>
      </w:pPr>
      <w:r>
        <w:rPr>
          <w:noProof/>
          <w:lang w:eastAsia="es-MX"/>
        </w:rPr>
        <w:drawing>
          <wp:inline distT="0" distB="0" distL="0" distR="0" wp14:anchorId="4425A9B3" wp14:editId="1EA88127">
            <wp:extent cx="5642610" cy="742384"/>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907" t="39318" r="9088" b="43312"/>
                    <a:stretch/>
                  </pic:blipFill>
                  <pic:spPr bwMode="auto">
                    <a:xfrm>
                      <a:off x="0" y="0"/>
                      <a:ext cx="5854103" cy="770210"/>
                    </a:xfrm>
                    <a:prstGeom prst="rect">
                      <a:avLst/>
                    </a:prstGeom>
                    <a:ln>
                      <a:noFill/>
                    </a:ln>
                    <a:extLst>
                      <a:ext uri="{53640926-AAD7-44D8-BBD7-CCE9431645EC}">
                        <a14:shadowObscured xmlns:a14="http://schemas.microsoft.com/office/drawing/2010/main"/>
                      </a:ext>
                    </a:extLst>
                  </pic:spPr>
                </pic:pic>
              </a:graphicData>
            </a:graphic>
          </wp:inline>
        </w:drawing>
      </w:r>
    </w:p>
    <w:p w:rsidR="004B1A75" w:rsidRDefault="004B1A75" w:rsidP="00D2503D">
      <w:pPr>
        <w:spacing w:before="100" w:beforeAutospacing="1" w:after="100" w:afterAutospacing="1" w:line="360" w:lineRule="auto"/>
        <w:jc w:val="center"/>
        <w:rPr>
          <w:rFonts w:ascii="Palatino Linotype" w:hAnsi="Palatino Linotype"/>
          <w:sz w:val="24"/>
          <w:szCs w:val="24"/>
        </w:rPr>
      </w:pPr>
      <w:r>
        <w:rPr>
          <w:noProof/>
          <w:lang w:eastAsia="es-MX"/>
        </w:rPr>
        <w:drawing>
          <wp:inline distT="0" distB="0" distL="0" distR="0" wp14:anchorId="5676572C" wp14:editId="72F352DC">
            <wp:extent cx="4310785" cy="1421394"/>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087" t="12503" r="36531" b="62068"/>
                    <a:stretch/>
                  </pic:blipFill>
                  <pic:spPr bwMode="auto">
                    <a:xfrm>
                      <a:off x="0" y="0"/>
                      <a:ext cx="4388293" cy="1446951"/>
                    </a:xfrm>
                    <a:prstGeom prst="rect">
                      <a:avLst/>
                    </a:prstGeom>
                    <a:ln>
                      <a:noFill/>
                    </a:ln>
                    <a:extLst>
                      <a:ext uri="{53640926-AAD7-44D8-BBD7-CCE9431645EC}">
                        <a14:shadowObscured xmlns:a14="http://schemas.microsoft.com/office/drawing/2010/main"/>
                      </a:ext>
                    </a:extLst>
                  </pic:spPr>
                </pic:pic>
              </a:graphicData>
            </a:graphic>
          </wp:inline>
        </w:drawing>
      </w:r>
    </w:p>
    <w:p w:rsidR="004B1A75" w:rsidRDefault="004B1A75" w:rsidP="00D2503D">
      <w:pPr>
        <w:spacing w:before="100" w:beforeAutospacing="1" w:after="100" w:afterAutospacing="1" w:line="360" w:lineRule="auto"/>
        <w:jc w:val="center"/>
        <w:rPr>
          <w:rFonts w:ascii="Palatino Linotype" w:hAnsi="Palatino Linotype"/>
          <w:sz w:val="24"/>
          <w:szCs w:val="24"/>
        </w:rPr>
      </w:pPr>
      <w:r>
        <w:rPr>
          <w:noProof/>
          <w:lang w:eastAsia="es-MX"/>
        </w:rPr>
        <w:lastRenderedPageBreak/>
        <w:drawing>
          <wp:inline distT="0" distB="0" distL="0" distR="0" wp14:anchorId="26877193" wp14:editId="6445DAAA">
            <wp:extent cx="5372739" cy="80575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192" t="38207" r="13545" b="47897"/>
                    <a:stretch/>
                  </pic:blipFill>
                  <pic:spPr bwMode="auto">
                    <a:xfrm>
                      <a:off x="0" y="0"/>
                      <a:ext cx="5566541" cy="834824"/>
                    </a:xfrm>
                    <a:prstGeom prst="rect">
                      <a:avLst/>
                    </a:prstGeom>
                    <a:ln>
                      <a:noFill/>
                    </a:ln>
                    <a:extLst>
                      <a:ext uri="{53640926-AAD7-44D8-BBD7-CCE9431645EC}">
                        <a14:shadowObscured xmlns:a14="http://schemas.microsoft.com/office/drawing/2010/main"/>
                      </a:ext>
                    </a:extLst>
                  </pic:spPr>
                </pic:pic>
              </a:graphicData>
            </a:graphic>
          </wp:inline>
        </w:drawing>
      </w:r>
    </w:p>
    <w:p w:rsidR="00705FD0" w:rsidRDefault="000B44F3" w:rsidP="00D8575A">
      <w:pPr>
        <w:spacing w:before="100" w:beforeAutospacing="1" w:after="100" w:afterAutospacing="1" w:line="360" w:lineRule="auto"/>
        <w:jc w:val="both"/>
        <w:rPr>
          <w:rFonts w:ascii="Palatino Linotype" w:hAnsi="Palatino Linotype"/>
          <w:sz w:val="24"/>
          <w:szCs w:val="24"/>
        </w:rPr>
      </w:pPr>
      <w:r>
        <w:rPr>
          <w:rFonts w:ascii="Palatino Linotype" w:hAnsi="Palatino Linotype"/>
          <w:sz w:val="24"/>
          <w:szCs w:val="24"/>
        </w:rPr>
        <w:t xml:space="preserve">Bajo ese tenor, es necesario precisar que dicho pronunciamiento es el que remitió </w:t>
      </w:r>
      <w:r>
        <w:rPr>
          <w:rFonts w:ascii="Palatino Linotype" w:hAnsi="Palatino Linotype"/>
          <w:b/>
          <w:sz w:val="24"/>
          <w:szCs w:val="24"/>
        </w:rPr>
        <w:t xml:space="preserve">EL SUJETO OBLIGADO </w:t>
      </w:r>
      <w:r>
        <w:rPr>
          <w:rFonts w:ascii="Palatino Linotype" w:hAnsi="Palatino Linotype"/>
          <w:sz w:val="24"/>
          <w:szCs w:val="24"/>
        </w:rPr>
        <w:t xml:space="preserve">como Informe Justificado; mismo que fue puesto a disposición del particular, sin que este último emitirá un pronunciamiento al respecto; </w:t>
      </w:r>
      <w:r w:rsidR="00D8575A" w:rsidRPr="00D8575A">
        <w:rPr>
          <w:rFonts w:ascii="Palatino Linotype" w:hAnsi="Palatino Linotype"/>
          <w:sz w:val="24"/>
          <w:szCs w:val="24"/>
        </w:rPr>
        <w:t xml:space="preserve">sin embargo, </w:t>
      </w:r>
      <w:r>
        <w:rPr>
          <w:rFonts w:ascii="Palatino Linotype" w:hAnsi="Palatino Linotype"/>
          <w:sz w:val="24"/>
          <w:szCs w:val="24"/>
        </w:rPr>
        <w:t xml:space="preserve">con ello </w:t>
      </w:r>
      <w:r w:rsidR="00D8575A" w:rsidRPr="00D8575A">
        <w:rPr>
          <w:rFonts w:ascii="Palatino Linotype" w:hAnsi="Palatino Linotype"/>
          <w:sz w:val="24"/>
          <w:szCs w:val="24"/>
        </w:rPr>
        <w:t>no</w:t>
      </w:r>
      <w:r>
        <w:rPr>
          <w:rFonts w:ascii="Palatino Linotype" w:hAnsi="Palatino Linotype"/>
          <w:sz w:val="24"/>
          <w:szCs w:val="24"/>
        </w:rPr>
        <w:t xml:space="preserve"> se puede tener por colmado el</w:t>
      </w:r>
      <w:r w:rsidR="00D8575A" w:rsidRPr="00D8575A">
        <w:rPr>
          <w:rFonts w:ascii="Palatino Linotype" w:hAnsi="Palatino Linotype"/>
          <w:sz w:val="24"/>
          <w:szCs w:val="24"/>
        </w:rPr>
        <w:t xml:space="preserve"> derecho de acceso </w:t>
      </w:r>
      <w:r>
        <w:rPr>
          <w:rFonts w:ascii="Palatino Linotype" w:hAnsi="Palatino Linotype"/>
          <w:sz w:val="24"/>
          <w:szCs w:val="24"/>
        </w:rPr>
        <w:t>a la información ejercido por el</w:t>
      </w:r>
      <w:r w:rsidR="00705FD0">
        <w:rPr>
          <w:rFonts w:ascii="Palatino Linotype" w:hAnsi="Palatino Linotype"/>
          <w:sz w:val="24"/>
          <w:szCs w:val="24"/>
        </w:rPr>
        <w:t xml:space="preserve"> particular; ello de conformidad con los argumentos siguientes:</w:t>
      </w:r>
    </w:p>
    <w:p w:rsidR="00D8575A" w:rsidRPr="0027505D" w:rsidRDefault="00D8575A" w:rsidP="00D8575A">
      <w:pPr>
        <w:spacing w:before="100" w:beforeAutospacing="1" w:after="100" w:afterAutospacing="1" w:line="360" w:lineRule="auto"/>
        <w:jc w:val="both"/>
        <w:rPr>
          <w:rFonts w:ascii="Palatino Linotype" w:hAnsi="Palatino Linotype"/>
          <w:sz w:val="24"/>
          <w:szCs w:val="24"/>
        </w:rPr>
      </w:pPr>
      <w:r w:rsidRPr="00D8575A">
        <w:rPr>
          <w:rFonts w:ascii="Palatino Linotype" w:eastAsia="Arial Unicode MS" w:hAnsi="Palatino Linotype" w:cs="Arial"/>
          <w:color w:val="000000"/>
          <w:sz w:val="24"/>
          <w:szCs w:val="24"/>
        </w:rPr>
        <w:t>E</w:t>
      </w:r>
      <w:r w:rsidR="00705FD0">
        <w:rPr>
          <w:rFonts w:ascii="Palatino Linotype" w:eastAsia="Arial Unicode MS" w:hAnsi="Palatino Linotype" w:cs="Arial"/>
          <w:color w:val="000000"/>
          <w:sz w:val="24"/>
          <w:szCs w:val="24"/>
        </w:rPr>
        <w:t xml:space="preserve">n primer término y dada la negativa del </w:t>
      </w:r>
      <w:r w:rsidR="00705FD0">
        <w:rPr>
          <w:rFonts w:ascii="Palatino Linotype" w:eastAsia="Arial Unicode MS" w:hAnsi="Palatino Linotype" w:cs="Arial"/>
          <w:b/>
          <w:color w:val="000000"/>
          <w:sz w:val="24"/>
          <w:szCs w:val="24"/>
        </w:rPr>
        <w:t xml:space="preserve">SUJETO OBLIGADO </w:t>
      </w:r>
      <w:r w:rsidR="00705FD0">
        <w:rPr>
          <w:rFonts w:ascii="Palatino Linotype" w:eastAsia="Arial Unicode MS" w:hAnsi="Palatino Linotype" w:cs="Arial"/>
          <w:color w:val="000000"/>
          <w:sz w:val="24"/>
          <w:szCs w:val="24"/>
        </w:rPr>
        <w:t xml:space="preserve">para atender la solicitud de información que le fuera planteada, </w:t>
      </w:r>
      <w:r w:rsidRPr="00D8575A">
        <w:rPr>
          <w:rFonts w:ascii="Palatino Linotype" w:hAnsi="Palatino Linotype"/>
          <w:sz w:val="24"/>
          <w:szCs w:val="24"/>
        </w:rPr>
        <w:t>es pertinente enfatizar lo que al derecho</w:t>
      </w:r>
      <w:r w:rsidRPr="0027505D">
        <w:rPr>
          <w:rFonts w:ascii="Palatino Linotype" w:hAnsi="Palatino Linotype"/>
          <w:sz w:val="24"/>
          <w:szCs w:val="24"/>
        </w:rPr>
        <w:t xml:space="preserve"> de acceso a la información pública, se refiere el artículo 6°, Apartado A de la Constitución Política de los Estados Unidos Mexicanos, que señala:</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w:t>
      </w:r>
      <w:r w:rsidRPr="0027505D">
        <w:rPr>
          <w:rFonts w:ascii="Palatino Linotype" w:hAnsi="Palatino Linotype" w:cs="Arial"/>
          <w:b/>
          <w:i/>
        </w:rPr>
        <w:t>Artículo 6o.</w:t>
      </w:r>
      <w:r w:rsidRPr="0027505D">
        <w:rPr>
          <w:rFonts w:ascii="Palatino Linotype" w:hAnsi="Palatino Linotype" w:cs="Arial"/>
          <w:i/>
        </w:rPr>
        <w:t xml:space="preserve">  . .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A.</w:t>
      </w:r>
      <w:r w:rsidRPr="0027505D">
        <w:rPr>
          <w:rFonts w:ascii="Palatino Linotype" w:hAnsi="Palatino Linotype" w:cs="Arial"/>
          <w:i/>
          <w:color w:val="000000"/>
          <w:lang w:eastAsia="es-MX"/>
        </w:rPr>
        <w:t xml:space="preserve"> Para el ejercicio del </w:t>
      </w:r>
      <w:r w:rsidRPr="0027505D">
        <w:rPr>
          <w:rFonts w:ascii="Palatino Linotype" w:hAnsi="Palatino Linotype" w:cs="Arial"/>
          <w:bCs/>
          <w:i/>
          <w:color w:val="000000"/>
        </w:rPr>
        <w:t>derecho</w:t>
      </w:r>
      <w:r w:rsidRPr="0027505D">
        <w:rPr>
          <w:rFonts w:ascii="Palatino Linotype" w:hAnsi="Palatino Linotype" w:cs="Arial"/>
          <w:i/>
          <w:color w:val="000000"/>
          <w:lang w:eastAsia="es-MX"/>
        </w:rPr>
        <w:t xml:space="preserve"> de acceso a la información, la Federación y las entidades federativas, en el ámbito de sus respectivas competencias, se regirán por los siguientes principios y bases:</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b/>
          <w:bCs/>
          <w:i/>
          <w:color w:val="000000"/>
          <w:lang w:eastAsia="es-MX"/>
        </w:rPr>
        <w:t xml:space="preserve">I. </w:t>
      </w:r>
      <w:r w:rsidRPr="0027505D">
        <w:rPr>
          <w:rFonts w:ascii="Palatino Linotype" w:hAnsi="Palatino Linotype" w:cs="Arial"/>
          <w:i/>
          <w:color w:val="000000"/>
          <w:lang w:eastAsia="es-MX"/>
        </w:rPr>
        <w:t xml:space="preserve">Toda la información en posesión de cualquier autoridad, entidad, órgano y organismo de los Poderes Ejecutivo, </w:t>
      </w:r>
      <w:r w:rsidRPr="0027505D">
        <w:rPr>
          <w:rFonts w:ascii="Palatino Linotype" w:hAnsi="Palatino Linotype" w:cs="Arial"/>
          <w:i/>
        </w:rPr>
        <w:t>Legislativo</w:t>
      </w:r>
      <w:r w:rsidRPr="0027505D">
        <w:rPr>
          <w:rFonts w:ascii="Palatino Linotype" w:hAnsi="Palatino Linotype" w:cs="Arial"/>
          <w:i/>
          <w:color w:val="000000"/>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27505D">
        <w:rPr>
          <w:rFonts w:ascii="Palatino Linotype" w:hAnsi="Palatino Linotype" w:cs="Arial"/>
          <w:i/>
        </w:rPr>
        <w:t xml:space="preserve"> </w:t>
      </w:r>
      <w:r w:rsidRPr="0027505D">
        <w:rPr>
          <w:rFonts w:ascii="Palatino Linotype" w:hAnsi="Palatino Linotype" w:cs="Arial"/>
          <w:i/>
          <w:color w:val="000000"/>
          <w:lang w:eastAsia="es-MX"/>
        </w:rPr>
        <w:t xml:space="preserve">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w:t>
      </w:r>
      <w:r w:rsidRPr="0027505D">
        <w:rPr>
          <w:rFonts w:ascii="Palatino Linotype" w:hAnsi="Palatino Linotype" w:cs="Arial"/>
          <w:i/>
          <w:color w:val="000000"/>
          <w:lang w:eastAsia="es-MX"/>
        </w:rPr>
        <w:lastRenderedPageBreak/>
        <w:t xml:space="preserve">determinará los supuestos específicos bajo los cuales procederá la declaración de inexistencia de la información.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 xml:space="preserve">II. </w:t>
      </w:r>
      <w:r w:rsidRPr="0027505D">
        <w:rPr>
          <w:rFonts w:ascii="Palatino Linotype" w:hAnsi="Palatino Linotype" w:cs="Arial"/>
          <w:i/>
          <w:color w:val="000000"/>
          <w:lang w:eastAsia="es-MX"/>
        </w:rPr>
        <w:t xml:space="preserve">La información que se refiere a la vida privada y los datos personales será protegida en los términos y con las excepciones que fijen las leyes.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 xml:space="preserve">III. </w:t>
      </w:r>
      <w:r w:rsidRPr="0027505D">
        <w:rPr>
          <w:rFonts w:ascii="Palatino Linotype" w:hAnsi="Palatino Linotype" w:cs="Arial"/>
          <w:i/>
          <w:color w:val="000000"/>
          <w:lang w:eastAsia="es-MX"/>
        </w:rPr>
        <w:t xml:space="preserve">Toda persona, sin necesidad de </w:t>
      </w:r>
      <w:r w:rsidRPr="0027505D">
        <w:rPr>
          <w:rFonts w:ascii="Palatino Linotype" w:hAnsi="Palatino Linotype" w:cs="Arial"/>
          <w:i/>
        </w:rPr>
        <w:t>acreditar</w:t>
      </w:r>
      <w:r w:rsidRPr="0027505D">
        <w:rPr>
          <w:rFonts w:ascii="Palatino Linotype" w:hAnsi="Palatino Linotype" w:cs="Arial"/>
          <w:i/>
          <w:color w:val="000000"/>
          <w:lang w:eastAsia="es-MX"/>
        </w:rPr>
        <w:t xml:space="preserve"> interés alguno o justificar su utilización, tendrá acceso gratuito a la información pública, a sus datos personales o a la rectificación de éstos.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 xml:space="preserve">IV. </w:t>
      </w:r>
      <w:r w:rsidRPr="0027505D">
        <w:rPr>
          <w:rFonts w:ascii="Palatino Linotype" w:hAnsi="Palatino Linotype" w:cs="Arial"/>
          <w:i/>
          <w:color w:val="000000"/>
          <w:lang w:eastAsia="es-MX"/>
        </w:rPr>
        <w:t xml:space="preserve">Se establecerán mecanismos de acceso a la información y procedimientos de revisión expeditos que se sustanciarán ante los organismos autónomos especializados e imparciales que establece esta Constitución.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 xml:space="preserve">V. </w:t>
      </w:r>
      <w:r w:rsidRPr="0027505D">
        <w:rPr>
          <w:rFonts w:ascii="Palatino Linotype" w:hAnsi="Palatino Linotype" w:cs="Arial"/>
          <w:i/>
          <w:color w:val="000000"/>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r w:rsidRPr="0027505D">
        <w:rPr>
          <w:rFonts w:ascii="Palatino Linotype" w:hAnsi="Palatino Linotype" w:cs="Arial"/>
          <w:b/>
          <w:bCs/>
          <w:i/>
          <w:color w:val="000000"/>
          <w:lang w:eastAsia="es-MX"/>
        </w:rPr>
        <w:t xml:space="preserve">VI. </w:t>
      </w:r>
      <w:r w:rsidRPr="0027505D">
        <w:rPr>
          <w:rFonts w:ascii="Palatino Linotype" w:hAnsi="Palatino Linotype" w:cs="Arial"/>
          <w:i/>
          <w:color w:val="000000"/>
          <w:lang w:eastAsia="es-MX"/>
        </w:rPr>
        <w:t xml:space="preserve">Las leyes determinarán la manera en que los sujetos obligados deberán hacer pública la información relativa a los recursos públicos que entreguen a personas físicas o morales. </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b/>
          <w:bCs/>
          <w:i/>
          <w:color w:val="000000"/>
          <w:lang w:eastAsia="es-MX"/>
        </w:rPr>
        <w:t xml:space="preserve">VII. </w:t>
      </w:r>
      <w:r w:rsidRPr="0027505D">
        <w:rPr>
          <w:rFonts w:ascii="Palatino Linotype" w:hAnsi="Palatino Linotype" w:cs="Arial"/>
          <w:i/>
          <w:color w:val="000000"/>
          <w:lang w:eastAsia="es-MX"/>
        </w:rPr>
        <w:t>La inobservancia a las disposiciones en materia de acceso a la información pública será sancionada en los términos que dispongan las leyes.</w:t>
      </w:r>
      <w:r w:rsidRPr="0027505D">
        <w:rPr>
          <w:rFonts w:ascii="Palatino Linotype" w:hAnsi="Palatino Linotype" w:cs="Arial"/>
          <w:i/>
        </w:rPr>
        <w:t xml:space="preserve">” </w:t>
      </w:r>
    </w:p>
    <w:p w:rsidR="00705FD0" w:rsidRPr="0027505D" w:rsidRDefault="00705FD0" w:rsidP="00705FD0">
      <w:pPr>
        <w:spacing w:after="0" w:line="240" w:lineRule="auto"/>
        <w:ind w:left="851" w:right="901"/>
        <w:jc w:val="both"/>
        <w:rPr>
          <w:rFonts w:ascii="Palatino Linotype" w:hAnsi="Palatino Linotype"/>
        </w:rPr>
      </w:pPr>
      <w:r w:rsidRPr="0027505D">
        <w:rPr>
          <w:rFonts w:ascii="Palatino Linotype" w:hAnsi="Palatino Linotype"/>
        </w:rPr>
        <w:t>(Énfasis añadido)</w:t>
      </w:r>
    </w:p>
    <w:p w:rsidR="00705FD0" w:rsidRPr="0027505D" w:rsidRDefault="00705FD0" w:rsidP="00705FD0">
      <w:pPr>
        <w:spacing w:after="0" w:line="240" w:lineRule="auto"/>
        <w:ind w:left="851" w:right="901"/>
        <w:jc w:val="both"/>
        <w:rPr>
          <w:rFonts w:ascii="Palatino Linotype" w:hAnsi="Palatino Linotype" w:cs="Arial"/>
          <w:i/>
          <w:color w:val="000000"/>
          <w:lang w:eastAsia="es-MX"/>
        </w:rPr>
      </w:pPr>
    </w:p>
    <w:p w:rsidR="00705FD0" w:rsidRPr="0027505D" w:rsidRDefault="00705FD0" w:rsidP="00705FD0">
      <w:pPr>
        <w:spacing w:after="0" w:line="360" w:lineRule="auto"/>
        <w:jc w:val="both"/>
        <w:rPr>
          <w:rFonts w:ascii="Palatino Linotype" w:hAnsi="Palatino Linotype"/>
          <w:sz w:val="24"/>
          <w:szCs w:val="24"/>
        </w:rPr>
      </w:pPr>
      <w:r w:rsidRPr="0027505D">
        <w:rPr>
          <w:rFonts w:ascii="Palatino Linotype" w:hAnsi="Palatino Linotype"/>
          <w:sz w:val="24"/>
          <w:szCs w:val="24"/>
        </w:rPr>
        <w:t>Por su parte, la Constitución Política del Estado Libre y Soberano de México, en su artículo 5°, en lo que interesa dispone lo siguiente:</w:t>
      </w:r>
    </w:p>
    <w:p w:rsidR="00705FD0" w:rsidRPr="0027505D" w:rsidRDefault="00705FD0" w:rsidP="00705FD0">
      <w:pPr>
        <w:spacing w:after="0" w:line="240" w:lineRule="auto"/>
        <w:ind w:left="851" w:right="901"/>
        <w:jc w:val="both"/>
        <w:rPr>
          <w:rFonts w:ascii="Palatino Linotype" w:hAnsi="Palatino Linotype" w:cs="Arial"/>
          <w:b/>
          <w:i/>
        </w:rPr>
      </w:pPr>
      <w:r w:rsidRPr="0027505D">
        <w:rPr>
          <w:rFonts w:ascii="Palatino Linotype" w:hAnsi="Palatino Linotype" w:cs="Arial"/>
          <w:i/>
        </w:rPr>
        <w:t>“</w:t>
      </w:r>
      <w:r w:rsidRPr="0027505D">
        <w:rPr>
          <w:rFonts w:ascii="Palatino Linotype" w:hAnsi="Palatino Linotype" w:cs="Arial"/>
          <w:b/>
          <w:i/>
        </w:rPr>
        <w:t xml:space="preserve">Artículo 5.  … </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 . .</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 xml:space="preserve">El derecho a la información será garantizado por el Estado. La ley establecerá las previsiones que permitan asegurar la protección, el respeto y la difusión de este derecho. </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Este derecho se regirá por los principios y bases siguientes:</w:t>
      </w:r>
    </w:p>
    <w:p w:rsidR="00705FD0" w:rsidRPr="0027505D" w:rsidRDefault="00705FD0" w:rsidP="00705FD0">
      <w:pPr>
        <w:spacing w:after="0" w:line="240" w:lineRule="auto"/>
        <w:ind w:left="851" w:right="901"/>
        <w:jc w:val="both"/>
        <w:rPr>
          <w:rFonts w:ascii="Palatino Linotype" w:hAnsi="Palatino Linotype"/>
        </w:rPr>
      </w:pPr>
      <w:r w:rsidRPr="0027505D">
        <w:rPr>
          <w:rFonts w:ascii="Palatino Linotype" w:hAnsi="Palatino Linotype" w:cs="Arial"/>
          <w:i/>
        </w:rPr>
        <w:lastRenderedPageBreak/>
        <w:t xml:space="preserve">I. </w:t>
      </w:r>
      <w:r w:rsidRPr="0027505D">
        <w:rPr>
          <w:rFonts w:ascii="Palatino Linotype" w:hAnsi="Palatino Linotype" w:cs="Arial"/>
          <w:b/>
          <w:i/>
        </w:rPr>
        <w:t>Toda la información en posesión de cualquier autoridad, entidad, órgano y organismos de los Poderes Ejecutivo, Legislativo y Judicial, órganos autónomos, partidos políticos, fideicomisos y fondos públicos estatales y municipales</w:t>
      </w:r>
      <w:r w:rsidRPr="0027505D">
        <w:rPr>
          <w:rFonts w:ascii="Palatino Linotype" w:hAnsi="Palatino Linotype" w:cs="Arial"/>
          <w:i/>
        </w:rPr>
        <w:t>,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27505D">
        <w:rPr>
          <w:rFonts w:ascii="Palatino Linotype" w:hAnsi="Palatino Linotype"/>
        </w:rPr>
        <w:t xml:space="preserve"> </w:t>
      </w:r>
    </w:p>
    <w:p w:rsidR="00705FD0" w:rsidRPr="0027505D" w:rsidRDefault="00705FD0" w:rsidP="00705FD0">
      <w:pPr>
        <w:spacing w:after="0" w:line="240" w:lineRule="auto"/>
        <w:ind w:left="851" w:right="901"/>
        <w:jc w:val="both"/>
        <w:rPr>
          <w:rFonts w:ascii="Palatino Linotype" w:hAnsi="Palatino Linotype"/>
        </w:rPr>
      </w:pPr>
      <w:r w:rsidRPr="0027505D">
        <w:rPr>
          <w:rFonts w:ascii="Palatino Linotype" w:hAnsi="Palatino Linotype"/>
        </w:rPr>
        <w:t>(Énfasis añadido)</w:t>
      </w:r>
    </w:p>
    <w:p w:rsidR="00705FD0" w:rsidRPr="0027505D" w:rsidRDefault="00705FD0" w:rsidP="00705FD0">
      <w:pPr>
        <w:spacing w:before="100" w:beforeAutospacing="1" w:after="100" w:afterAutospacing="1" w:line="360" w:lineRule="auto"/>
        <w:jc w:val="both"/>
        <w:rPr>
          <w:rFonts w:ascii="Palatino Linotype" w:hAnsi="Palatino Linotype"/>
          <w:sz w:val="24"/>
          <w:szCs w:val="24"/>
        </w:rPr>
      </w:pPr>
      <w:r w:rsidRPr="0027505D">
        <w:rPr>
          <w:rFonts w:ascii="Palatino Linotype" w:hAnsi="Palatino Linotype"/>
          <w:sz w:val="24"/>
          <w:szCs w:val="24"/>
        </w:rPr>
        <w:t>Asimismo, se tiene que la Ley de Transparencia y Acceso a la Información Pública del Estado de México y Municipios, prevé en su artículo 23, lo siguiente:</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w:t>
      </w:r>
      <w:r w:rsidRPr="0027505D">
        <w:rPr>
          <w:rFonts w:ascii="Palatino Linotype" w:hAnsi="Palatino Linotype" w:cs="Arial"/>
          <w:b/>
          <w:i/>
        </w:rPr>
        <w:t>Artículo 23.</w:t>
      </w:r>
      <w:r w:rsidRPr="0027505D">
        <w:rPr>
          <w:rFonts w:ascii="Palatino Linotype" w:hAnsi="Palatino Linotype" w:cs="Arial"/>
          <w:i/>
        </w:rPr>
        <w:t xml:space="preserve"> Son sujetos obligados a transparentar y permitir el acceso a su información y proteger los datos personales que obren en su poder:</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I. El Poder Ejecutivo del Estado de México, las dependencias, organismos auxiliares, órganos, entidades, fideicomisos y fondos públicos, así como la Procuraduría General de Justicia;</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II. El Poder Legislativo del Estado, los organismos, órganos y entidades de la Legislatura y sus dependencias;</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III. El Poder Judicial, sus organismos, órganos y entidades, así como el Consejo de la Judicatura del Estado;</w:t>
      </w:r>
    </w:p>
    <w:p w:rsidR="00705FD0" w:rsidRPr="0027505D" w:rsidRDefault="00705FD0" w:rsidP="00705FD0">
      <w:pPr>
        <w:spacing w:after="0" w:line="240" w:lineRule="auto"/>
        <w:ind w:left="851" w:right="901"/>
        <w:jc w:val="both"/>
        <w:rPr>
          <w:rFonts w:ascii="Palatino Linotype" w:hAnsi="Palatino Linotype" w:cs="Arial"/>
          <w:b/>
          <w:i/>
        </w:rPr>
      </w:pPr>
    </w:p>
    <w:p w:rsidR="00705FD0" w:rsidRPr="0027505D" w:rsidRDefault="00705FD0" w:rsidP="00705FD0">
      <w:pPr>
        <w:spacing w:after="0" w:line="240" w:lineRule="auto"/>
        <w:ind w:left="851" w:right="901"/>
        <w:jc w:val="both"/>
        <w:rPr>
          <w:rFonts w:ascii="Palatino Linotype" w:hAnsi="Palatino Linotype" w:cs="Arial"/>
          <w:b/>
          <w:i/>
        </w:rPr>
      </w:pPr>
      <w:r w:rsidRPr="0027505D">
        <w:rPr>
          <w:rFonts w:ascii="Palatino Linotype" w:hAnsi="Palatino Linotype" w:cs="Arial"/>
          <w:b/>
          <w:i/>
        </w:rPr>
        <w:t xml:space="preserve">IV. </w:t>
      </w:r>
      <w:r w:rsidRPr="00705FD0">
        <w:rPr>
          <w:rFonts w:ascii="Palatino Linotype" w:hAnsi="Palatino Linotype" w:cs="Arial"/>
          <w:i/>
        </w:rPr>
        <w:t xml:space="preserve">Los ayuntamientos y </w:t>
      </w:r>
      <w:r w:rsidRPr="0027505D">
        <w:rPr>
          <w:rFonts w:ascii="Palatino Linotype" w:hAnsi="Palatino Linotype" w:cs="Arial"/>
          <w:b/>
          <w:i/>
        </w:rPr>
        <w:t>las dependencias, organismos, órganos y entidades de la administración municipal;</w:t>
      </w:r>
    </w:p>
    <w:p w:rsidR="00705FD0" w:rsidRPr="0027505D" w:rsidRDefault="00705FD0" w:rsidP="00705FD0">
      <w:pPr>
        <w:spacing w:after="0" w:line="240" w:lineRule="auto"/>
        <w:ind w:left="851" w:right="901"/>
        <w:jc w:val="both"/>
        <w:rPr>
          <w:rFonts w:ascii="Palatino Linotype" w:hAnsi="Palatino Linotype" w:cs="Arial"/>
          <w:i/>
        </w:rPr>
      </w:pP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V. Los órganos autónomos;</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VI. Los tribunales administrativos y autoridades jurisdiccionales en materia laboral;</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lastRenderedPageBreak/>
        <w:t>VII. Los partidos políticos y agrupaciones políticas, en los términos de las disposiciones aplicables;</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VIII. Los fideicomisos y fondos públicos que cuenten con financiamiento público, parcial o total, o con participación de entidades de gobierno;</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IX. Los sindicatos que reciban y/o ejerzan recursos públicos en el ámbito estatal y municipal;</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X. Cualquier persona física o jurídico colectiva que reciba y ejerza recursos públicos en el ámbito estatal o municipal; y</w:t>
      </w: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XI. Cualquier otra autoridad, entidad, órgano u organismo de los poderes estatal o municipal, que reciba recursos públicos.</w:t>
      </w:r>
    </w:p>
    <w:p w:rsidR="00705FD0" w:rsidRPr="0027505D" w:rsidRDefault="00705FD0" w:rsidP="00705FD0">
      <w:pPr>
        <w:spacing w:after="0" w:line="240" w:lineRule="auto"/>
        <w:ind w:left="851" w:right="901"/>
        <w:jc w:val="both"/>
        <w:rPr>
          <w:rFonts w:ascii="Palatino Linotype" w:hAnsi="Palatino Linotype" w:cs="Arial"/>
          <w:b/>
          <w:i/>
        </w:rPr>
      </w:pPr>
    </w:p>
    <w:p w:rsidR="00705FD0" w:rsidRPr="0027505D" w:rsidRDefault="00705FD0" w:rsidP="00705FD0">
      <w:pPr>
        <w:spacing w:after="0" w:line="240" w:lineRule="auto"/>
        <w:ind w:left="851" w:right="901"/>
        <w:jc w:val="both"/>
        <w:rPr>
          <w:rFonts w:ascii="Palatino Linotype" w:hAnsi="Palatino Linotype" w:cs="Arial"/>
          <w:b/>
          <w:i/>
        </w:rPr>
      </w:pPr>
      <w:r w:rsidRPr="0027505D">
        <w:rPr>
          <w:rFonts w:ascii="Palatino Linotype" w:hAnsi="Palatino Linotype" w:cs="Arial"/>
          <w:b/>
          <w:i/>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705FD0" w:rsidRPr="0027505D" w:rsidRDefault="00705FD0" w:rsidP="00705FD0">
      <w:pPr>
        <w:spacing w:after="0" w:line="240" w:lineRule="auto"/>
        <w:ind w:left="851" w:right="901"/>
        <w:jc w:val="both"/>
        <w:rPr>
          <w:rFonts w:ascii="Palatino Linotype" w:hAnsi="Palatino Linotype" w:cs="Arial"/>
          <w:b/>
          <w:i/>
        </w:rPr>
      </w:pPr>
      <w:r w:rsidRPr="0027505D">
        <w:rPr>
          <w:rFonts w:ascii="Palatino Linotype" w:hAnsi="Palatino Linotype" w:cs="Arial"/>
          <w:b/>
          <w:i/>
        </w:rPr>
        <w:t>Los servidores públicos deberán transparentar sus acciones así como garantizar y respetar el derecho de acceso a la información pública.</w:t>
      </w:r>
    </w:p>
    <w:p w:rsidR="00705FD0" w:rsidRPr="0027505D" w:rsidRDefault="00705FD0" w:rsidP="00705FD0">
      <w:pPr>
        <w:spacing w:after="0" w:line="240" w:lineRule="auto"/>
        <w:ind w:left="851" w:right="901"/>
        <w:jc w:val="both"/>
        <w:rPr>
          <w:rFonts w:ascii="Palatino Linotype" w:hAnsi="Palatino Linotype" w:cs="Arial"/>
          <w:i/>
        </w:rPr>
      </w:pPr>
    </w:p>
    <w:p w:rsidR="00705FD0" w:rsidRPr="0027505D" w:rsidRDefault="00705FD0" w:rsidP="00705FD0">
      <w:pPr>
        <w:spacing w:after="0" w:line="240" w:lineRule="auto"/>
        <w:ind w:left="851" w:right="901"/>
        <w:jc w:val="both"/>
        <w:rPr>
          <w:rFonts w:ascii="Palatino Linotype" w:hAnsi="Palatino Linotype" w:cs="Arial"/>
          <w:i/>
        </w:rPr>
      </w:pPr>
      <w:r w:rsidRPr="0027505D">
        <w:rPr>
          <w:rFonts w:ascii="Palatino Linotype" w:hAnsi="Palatino Linotype" w:cs="Arial"/>
          <w:i/>
        </w:rPr>
        <w:t>(Énfasis añadido)</w:t>
      </w:r>
    </w:p>
    <w:p w:rsidR="00705FD0" w:rsidRDefault="00705FD0" w:rsidP="00705FD0">
      <w:pPr>
        <w:autoSpaceDE w:val="0"/>
        <w:autoSpaceDN w:val="0"/>
        <w:adjustRightInd w:val="0"/>
        <w:spacing w:before="100" w:beforeAutospacing="1" w:after="100" w:afterAutospacing="1" w:line="360" w:lineRule="auto"/>
        <w:ind w:right="51"/>
        <w:jc w:val="both"/>
        <w:rPr>
          <w:rFonts w:ascii="Palatino Linotype" w:eastAsia="Arial Unicode MS" w:hAnsi="Palatino Linotype" w:cs="Arial"/>
          <w:color w:val="000000"/>
          <w:sz w:val="24"/>
          <w:szCs w:val="24"/>
          <w:lang w:val="es-ES"/>
        </w:rPr>
      </w:pPr>
      <w:r w:rsidRPr="0027505D">
        <w:rPr>
          <w:rFonts w:ascii="Palatino Linotype" w:eastAsia="Times New Roman" w:hAnsi="Palatino Linotype" w:cs="Arial"/>
          <w:sz w:val="24"/>
          <w:szCs w:val="24"/>
          <w:lang w:val="es-ES"/>
        </w:rPr>
        <w:t xml:space="preserve">De los preceptos legales citados se establece que los </w:t>
      </w:r>
      <w:r>
        <w:rPr>
          <w:rFonts w:ascii="Palatino Linotype" w:eastAsia="Times New Roman" w:hAnsi="Palatino Linotype" w:cs="Arial"/>
          <w:sz w:val="24"/>
          <w:szCs w:val="24"/>
          <w:lang w:val="es-ES"/>
        </w:rPr>
        <w:t xml:space="preserve">Organismos de la administración municipal </w:t>
      </w:r>
      <w:r w:rsidRPr="0027505D">
        <w:rPr>
          <w:rFonts w:ascii="Palatino Linotype" w:eastAsia="Times New Roman" w:hAnsi="Palatino Linotype" w:cs="Arial"/>
          <w:sz w:val="24"/>
          <w:szCs w:val="24"/>
          <w:lang w:val="es-ES"/>
        </w:rPr>
        <w:t xml:space="preserve">se encuentran obligados a documentar y transparentar su actuar, así como a permitir el acceso a la información que generen, posean o administren; de ahí que la Ley de la materia delimita perfectamente los alcances de las obligaciones que corresponden a los </w:t>
      </w:r>
      <w:r>
        <w:rPr>
          <w:rFonts w:ascii="Palatino Linotype" w:eastAsia="Times New Roman" w:hAnsi="Palatino Linotype" w:cs="Arial"/>
          <w:sz w:val="24"/>
          <w:szCs w:val="24"/>
          <w:lang w:val="es-ES"/>
        </w:rPr>
        <w:t>organismos municipales</w:t>
      </w:r>
      <w:r w:rsidRPr="0027505D">
        <w:rPr>
          <w:rFonts w:ascii="Palatino Linotype" w:eastAsia="Times New Roman" w:hAnsi="Palatino Linotype" w:cs="Arial"/>
          <w:sz w:val="24"/>
          <w:szCs w:val="24"/>
          <w:lang w:val="es-ES"/>
        </w:rPr>
        <w:t xml:space="preserve">; por lo que, en ese tenor </w:t>
      </w:r>
      <w:r w:rsidRPr="0027505D">
        <w:rPr>
          <w:rFonts w:ascii="Palatino Linotype" w:eastAsia="Arial Unicode MS" w:hAnsi="Palatino Linotype" w:cs="Arial"/>
          <w:color w:val="000000"/>
          <w:sz w:val="24"/>
          <w:szCs w:val="24"/>
          <w:lang w:val="es-ES"/>
        </w:rPr>
        <w:t xml:space="preserve">es necesario referir el contenido del </w:t>
      </w:r>
      <w:r>
        <w:rPr>
          <w:rFonts w:ascii="Palatino Linotype" w:eastAsia="Arial Unicode MS" w:hAnsi="Palatino Linotype" w:cs="Arial"/>
          <w:color w:val="000000"/>
          <w:sz w:val="24"/>
          <w:szCs w:val="24"/>
          <w:lang w:val="es-ES"/>
        </w:rPr>
        <w:t>artículo 27, párrafo cuarto de la Constitución Federal, que a la letra reza lo siguiente:</w:t>
      </w:r>
    </w:p>
    <w:p w:rsidR="00705FD0" w:rsidRPr="00705FD0" w:rsidRDefault="00705FD0" w:rsidP="00705FD0">
      <w:pPr>
        <w:spacing w:after="0" w:line="240" w:lineRule="auto"/>
        <w:ind w:left="851" w:right="901"/>
        <w:jc w:val="both"/>
        <w:rPr>
          <w:rFonts w:ascii="Palatino Linotype" w:hAnsi="Palatino Linotype" w:cs="Arial"/>
          <w:i/>
        </w:rPr>
      </w:pPr>
      <w:r w:rsidRPr="00705FD0">
        <w:rPr>
          <w:rFonts w:ascii="Palatino Linotype" w:hAnsi="Palatino Linotype" w:cs="Arial"/>
          <w:b/>
          <w:i/>
        </w:rPr>
        <w:t>“Artículo 27.</w:t>
      </w:r>
      <w:r w:rsidRPr="00705FD0">
        <w:rPr>
          <w:rFonts w:ascii="Palatino Linotype" w:hAnsi="Palatino Linotype" w:cs="Arial"/>
          <w:i/>
        </w:rPr>
        <w:t xml:space="preserve"> La propiedad de las tierras y aguas comprendidas dentro de los límites del territorio nacional, corresponde originariamente a la Nación, la cual ha tenido y </w:t>
      </w:r>
      <w:r w:rsidRPr="00705FD0">
        <w:rPr>
          <w:rFonts w:ascii="Palatino Linotype" w:hAnsi="Palatino Linotype" w:cs="Arial"/>
          <w:i/>
        </w:rPr>
        <w:lastRenderedPageBreak/>
        <w:t>tiene el derecho de transmitir el dominio de ellas a los particulares, constituyendo la propiedad privada.</w:t>
      </w:r>
    </w:p>
    <w:p w:rsidR="00705FD0" w:rsidRPr="00705FD0" w:rsidRDefault="00705FD0" w:rsidP="00705FD0">
      <w:pPr>
        <w:spacing w:after="0" w:line="240" w:lineRule="auto"/>
        <w:ind w:left="851" w:right="901"/>
        <w:jc w:val="both"/>
        <w:rPr>
          <w:rFonts w:ascii="Palatino Linotype" w:hAnsi="Palatino Linotype" w:cs="Arial"/>
          <w:i/>
        </w:rPr>
      </w:pPr>
      <w:r w:rsidRPr="00705FD0">
        <w:rPr>
          <w:rFonts w:ascii="Palatino Linotype" w:hAnsi="Palatino Linotype" w:cs="Arial"/>
          <w:i/>
        </w:rPr>
        <w:t>…</w:t>
      </w:r>
    </w:p>
    <w:p w:rsidR="00705FD0" w:rsidRPr="00705FD0" w:rsidRDefault="00705FD0" w:rsidP="00705FD0">
      <w:pPr>
        <w:spacing w:after="0" w:line="240" w:lineRule="auto"/>
        <w:ind w:left="851" w:right="901"/>
        <w:jc w:val="both"/>
        <w:rPr>
          <w:rFonts w:ascii="Palatino Linotype" w:hAnsi="Palatino Linotype" w:cs="Arial"/>
          <w:i/>
        </w:rPr>
      </w:pPr>
      <w:r w:rsidRPr="00705FD0">
        <w:rPr>
          <w:rFonts w:ascii="Palatino Linotype" w:hAnsi="Palatino Linotype" w:cs="Arial"/>
          <w:i/>
        </w:rPr>
        <w:t>…</w:t>
      </w:r>
    </w:p>
    <w:p w:rsidR="00705FD0" w:rsidRPr="00705FD0" w:rsidRDefault="00705FD0" w:rsidP="00705FD0">
      <w:pPr>
        <w:spacing w:after="0" w:line="240" w:lineRule="auto"/>
        <w:ind w:left="851" w:right="901"/>
        <w:jc w:val="both"/>
        <w:rPr>
          <w:rFonts w:ascii="Palatino Linotype" w:hAnsi="Palatino Linotype" w:cs="Arial"/>
          <w:i/>
        </w:rPr>
      </w:pPr>
      <w:r w:rsidRPr="00705FD0">
        <w:rPr>
          <w:rFonts w:ascii="Palatino Linotype" w:hAnsi="Palatino Linotype" w:cs="Arial"/>
          <w:i/>
        </w:rPr>
        <w:t>…</w:t>
      </w:r>
    </w:p>
    <w:p w:rsidR="00705FD0" w:rsidRDefault="00705FD0" w:rsidP="00705FD0">
      <w:pPr>
        <w:spacing w:after="0" w:line="240" w:lineRule="auto"/>
        <w:ind w:left="851" w:right="901"/>
        <w:jc w:val="both"/>
        <w:rPr>
          <w:rFonts w:ascii="Palatino Linotype" w:hAnsi="Palatino Linotype" w:cs="Arial"/>
          <w:i/>
        </w:rPr>
      </w:pPr>
      <w:r w:rsidRPr="00705FD0">
        <w:rPr>
          <w:rFonts w:ascii="Palatino Linotype" w:hAnsi="Palatino Linotype" w:cs="Arial"/>
          <w:b/>
          <w:i/>
        </w:rPr>
        <w:t>Son propiedad de la Nación las aguas</w:t>
      </w:r>
      <w:r w:rsidRPr="00705FD0">
        <w:rPr>
          <w:rFonts w:ascii="Palatino Linotype" w:hAnsi="Palatino Linotype" w:cs="Arial"/>
          <w:i/>
        </w:rPr>
        <w:t xml:space="preserve"> de los mares territoriales en la extensión y términos que fije el Derecho Internacional; las aguas marinas interiores; las de las lagunas y esteros que se comuniquen permanente o intermitentemente con el mar; las de los lagos interiores de formación natural que estén ligados directamente a corrientes constantes; las de los ríos y sus afluentes directos o indirectos, desde el punto del cauce en que se inicien las primeras aguas permanentes, intermitentes o torrenciales, hasta su desembocadura en el mar, lagos, lagunas o esteros de propiedad nacional; </w:t>
      </w:r>
      <w:r w:rsidRPr="003D5C24">
        <w:rPr>
          <w:rFonts w:ascii="Palatino Linotype" w:hAnsi="Palatino Linotype" w:cs="Arial"/>
          <w:b/>
          <w:i/>
        </w:rPr>
        <w:t>las de las corrientes constantes o intermitentes y sus afluentes directos o indirectos</w:t>
      </w:r>
      <w:r w:rsidRPr="00705FD0">
        <w:rPr>
          <w:rFonts w:ascii="Palatino Linotype" w:hAnsi="Palatino Linotype" w:cs="Arial"/>
          <w:i/>
        </w:rPr>
        <w:t xml:space="preserve">, cuando el cauce de aquéllas en toda su extensión o en parte de ellas, sirva de límite al territorio nacional o a dos entidades federativas, o </w:t>
      </w:r>
      <w:r w:rsidRPr="003D5C24">
        <w:rPr>
          <w:rFonts w:ascii="Palatino Linotype" w:hAnsi="Palatino Linotype" w:cs="Arial"/>
          <w:b/>
          <w:i/>
        </w:rPr>
        <w:t>cuando pase de una entidad federativa a otra</w:t>
      </w:r>
      <w:r w:rsidRPr="00705FD0">
        <w:rPr>
          <w:rFonts w:ascii="Palatino Linotype" w:hAnsi="Palatino Linotype" w:cs="Arial"/>
          <w:i/>
        </w:rPr>
        <w:t xml:space="preserve"> o cruce la línea divisoria de la República; la de los lagos, lagunas o esteros cuyos vasos, zonas o riberas, estén cruzadas por líneas divisorias de dos o más entidades o entre la República y un país vecino, o cuando el límite de las riberas sirva de lindero entre dos entidades federativas o a la República con un país vecino; </w:t>
      </w:r>
      <w:r w:rsidRPr="003D5C24">
        <w:rPr>
          <w:rFonts w:ascii="Palatino Linotype" w:hAnsi="Palatino Linotype" w:cs="Arial"/>
          <w:b/>
          <w:i/>
        </w:rPr>
        <w:t>las de los manantiales que broten en las playas, zonas marítimas, cauces, vasos o riberas de los lagos, lagunas o esteros de propiedad nacional, y las que se extraigan de las minas</w:t>
      </w:r>
      <w:r w:rsidRPr="00705FD0">
        <w:rPr>
          <w:rFonts w:ascii="Palatino Linotype" w:hAnsi="Palatino Linotype" w:cs="Arial"/>
          <w:i/>
        </w:rPr>
        <w:t xml:space="preserve">; y los cauces, lechos o riberas de los lagos y corrientes interiores en la extensión que fija la ley. </w:t>
      </w:r>
      <w:r w:rsidRPr="003D5C24">
        <w:rPr>
          <w:rFonts w:ascii="Palatino Linotype" w:hAnsi="Palatino Linotype" w:cs="Arial"/>
          <w:b/>
          <w:i/>
        </w:rPr>
        <w:t>Las aguas del subsuelo</w:t>
      </w:r>
      <w:r w:rsidRPr="00705FD0">
        <w:rPr>
          <w:rFonts w:ascii="Palatino Linotype" w:hAnsi="Palatino Linotype" w:cs="Arial"/>
          <w:i/>
        </w:rPr>
        <w:t xml:space="preserve"> pueden ser libremente alumbradas mediante obras artificiales y apropiarse por el dueño del terreno, pero </w:t>
      </w:r>
      <w:r w:rsidRPr="003D5C24">
        <w:rPr>
          <w:rFonts w:ascii="Palatino Linotype" w:hAnsi="Palatino Linotype" w:cs="Arial"/>
          <w:b/>
          <w:i/>
        </w:rPr>
        <w:t>cuando lo exija el interés público o se afecten otros aprovechamientos, el Ejecutivo Federal podrá reglamentar su extracción y utilización y aún establecer zonas vedadas, al igual que para las demás aguas de propiedad nacional.</w:t>
      </w:r>
      <w:r w:rsidRPr="00705FD0">
        <w:rPr>
          <w:rFonts w:ascii="Palatino Linotype" w:hAnsi="Palatino Linotype" w:cs="Arial"/>
          <w:i/>
        </w:rPr>
        <w:t xml:space="preserve"> Cualesquiera otras aguas no incluidas en la enumeración anterior, se considerarán como parte integrante de la propiedad de los terrenos por los que corran o en los que se encuentren sus depósitos, pero si se localizaren en dos o más predios, el aprovechamiento de estas aguas se considerará de utilidad pública, y quedará sujeto a las disposiciones que dicten las entidades federativas.</w:t>
      </w:r>
      <w:r w:rsidR="003D5C24">
        <w:rPr>
          <w:rFonts w:ascii="Palatino Linotype" w:hAnsi="Palatino Linotype" w:cs="Arial"/>
          <w:i/>
        </w:rPr>
        <w:t xml:space="preserve">” </w:t>
      </w:r>
    </w:p>
    <w:p w:rsidR="003D5C24" w:rsidRDefault="003D5C24" w:rsidP="00705FD0">
      <w:pPr>
        <w:spacing w:after="0" w:line="240" w:lineRule="auto"/>
        <w:ind w:left="851" w:right="901"/>
        <w:jc w:val="both"/>
        <w:rPr>
          <w:rFonts w:ascii="Palatino Linotype" w:hAnsi="Palatino Linotype" w:cs="Arial"/>
          <w:i/>
        </w:rPr>
      </w:pPr>
    </w:p>
    <w:p w:rsidR="003D5C24" w:rsidRPr="00705FD0" w:rsidRDefault="003D5C24" w:rsidP="00705FD0">
      <w:pPr>
        <w:spacing w:after="0" w:line="240" w:lineRule="auto"/>
        <w:ind w:left="851" w:right="901"/>
        <w:jc w:val="both"/>
        <w:rPr>
          <w:rFonts w:ascii="Palatino Linotype" w:hAnsi="Palatino Linotype" w:cs="Arial"/>
          <w:i/>
        </w:rPr>
      </w:pPr>
      <w:r>
        <w:rPr>
          <w:rFonts w:ascii="Palatino Linotype" w:hAnsi="Palatino Linotype" w:cs="Arial"/>
          <w:i/>
        </w:rPr>
        <w:t>(Énfasis añadido)</w:t>
      </w:r>
    </w:p>
    <w:p w:rsidR="003D5C24" w:rsidRDefault="003D5C24" w:rsidP="003D5C24">
      <w:pPr>
        <w:spacing w:before="100" w:beforeAutospacing="1" w:after="100" w:afterAutospacing="1" w:line="360" w:lineRule="auto"/>
        <w:jc w:val="both"/>
        <w:rPr>
          <w:rFonts w:ascii="Palatino Linotype" w:eastAsia="Arial Unicode MS" w:hAnsi="Palatino Linotype" w:cs="Arial"/>
          <w:color w:val="000000"/>
          <w:sz w:val="24"/>
          <w:szCs w:val="24"/>
        </w:rPr>
      </w:pPr>
      <w:r w:rsidRPr="0027505D">
        <w:rPr>
          <w:rFonts w:ascii="Palatino Linotype" w:eastAsia="Arial Unicode MS" w:hAnsi="Palatino Linotype" w:cs="Arial"/>
          <w:color w:val="000000"/>
          <w:sz w:val="24"/>
          <w:szCs w:val="24"/>
        </w:rPr>
        <w:lastRenderedPageBreak/>
        <w:t xml:space="preserve">Por lo anterior, es claro que el máximo ordenamiento del país reconoce </w:t>
      </w:r>
      <w:r>
        <w:rPr>
          <w:rFonts w:ascii="Palatino Linotype" w:eastAsia="Arial Unicode MS" w:hAnsi="Palatino Linotype" w:cs="Arial"/>
          <w:color w:val="000000"/>
          <w:sz w:val="24"/>
          <w:szCs w:val="24"/>
        </w:rPr>
        <w:t>que la propiedad de las aguas corresponde a la nación; destacando incluso las aguas del subsuelo que se consideren de utilidad pública; en ese tenor, la Ley de Aguas Nacionales al respecto establece que:</w:t>
      </w:r>
    </w:p>
    <w:p w:rsid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“ARTÍCULO 3.</w:t>
      </w:r>
      <w:r w:rsidRPr="003D5C24">
        <w:rPr>
          <w:rFonts w:ascii="Palatino Linotype" w:hAnsi="Palatino Linotype" w:cs="Arial"/>
          <w:i/>
        </w:rPr>
        <w:t xml:space="preserve"> Para los efectos de esta Ley se entenderá por: </w:t>
      </w:r>
    </w:p>
    <w:p w:rsidR="003D5C24" w:rsidRDefault="003D5C24" w:rsidP="003D5C24">
      <w:pPr>
        <w:spacing w:after="0" w:line="240" w:lineRule="auto"/>
        <w:ind w:left="851" w:right="901"/>
        <w:jc w:val="both"/>
        <w:rPr>
          <w:rFonts w:ascii="Palatino Linotype" w:hAnsi="Palatino Linotype" w:cs="Arial"/>
          <w:i/>
        </w:rPr>
      </w:pPr>
    </w:p>
    <w:p w:rsid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I. "Aguas Nacionales":</w:t>
      </w:r>
      <w:r w:rsidRPr="003D5C24">
        <w:rPr>
          <w:rFonts w:ascii="Palatino Linotype" w:hAnsi="Palatino Linotype" w:cs="Arial"/>
          <w:i/>
        </w:rPr>
        <w:t xml:space="preserve"> Son aquellas referidas en el Párrafo Quinto del Artículo 27 de la Constitución Política de los Estados Unidos Mexicanos; </w:t>
      </w:r>
    </w:p>
    <w:p w:rsidR="003D5C24" w:rsidRDefault="003D5C24" w:rsidP="003D5C24">
      <w:pPr>
        <w:spacing w:after="0" w:line="240" w:lineRule="auto"/>
        <w:ind w:left="851" w:right="901"/>
        <w:jc w:val="both"/>
        <w:rPr>
          <w:rFonts w:ascii="Palatino Linotype" w:hAnsi="Palatino Linotype" w:cs="Arial"/>
          <w:i/>
        </w:rPr>
      </w:pPr>
    </w:p>
    <w:p w:rsidR="003D5C24" w:rsidRP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II. "Acuífero":</w:t>
      </w:r>
      <w:r w:rsidRPr="003D5C24">
        <w:rPr>
          <w:rFonts w:ascii="Palatino Linotype" w:hAnsi="Palatino Linotype" w:cs="Arial"/>
          <w:i/>
        </w:rPr>
        <w:t xml:space="preserve"> Cualquier formación geológica o conjunto de formaciones geológicas hidráulicamente conectados entre sí, por las que circulan o se almacenan aguas del subsuelo que pueden ser extraídas para su explotación, uso o aprovechamiento y cuyos límites laterales y verticales se definen convencionalmente para fines de evaluación, manejo y administración de las aguas nacionales del subsuelo;</w:t>
      </w:r>
    </w:p>
    <w:p w:rsidR="003D5C24" w:rsidRDefault="003D5C24" w:rsidP="003D5C24">
      <w:pPr>
        <w:spacing w:after="0" w:line="240" w:lineRule="auto"/>
        <w:ind w:left="851" w:right="901"/>
        <w:jc w:val="both"/>
        <w:rPr>
          <w:rFonts w:ascii="Palatino Linotype" w:hAnsi="Palatino Linotype" w:cs="Arial"/>
          <w:i/>
        </w:rPr>
      </w:pPr>
      <w:r>
        <w:rPr>
          <w:rFonts w:ascii="Palatino Linotype" w:hAnsi="Palatino Linotype" w:cs="Arial"/>
          <w:i/>
        </w:rPr>
        <w:t>…</w:t>
      </w:r>
    </w:p>
    <w:p w:rsid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VII. "Aprovechamiento":</w:t>
      </w:r>
      <w:r w:rsidRPr="003D5C24">
        <w:rPr>
          <w:rFonts w:ascii="Palatino Linotype" w:hAnsi="Palatino Linotype" w:cs="Arial"/>
          <w:i/>
        </w:rPr>
        <w:t xml:space="preserve"> Aplicación del agua en actividades que no impliquen consumo de la misma;</w:t>
      </w:r>
    </w:p>
    <w:p w:rsidR="003D5C24" w:rsidRPr="003D5C24" w:rsidRDefault="003D5C24" w:rsidP="003D5C24">
      <w:pPr>
        <w:spacing w:after="0" w:line="240" w:lineRule="auto"/>
        <w:ind w:left="851" w:right="901"/>
        <w:jc w:val="both"/>
        <w:rPr>
          <w:rFonts w:ascii="Palatino Linotype" w:hAnsi="Palatino Linotype" w:cs="Arial"/>
          <w:i/>
        </w:rPr>
      </w:pPr>
      <w:r>
        <w:rPr>
          <w:rFonts w:ascii="Palatino Linotype" w:hAnsi="Palatino Linotype" w:cs="Arial"/>
          <w:i/>
        </w:rPr>
        <w:t>…</w:t>
      </w:r>
    </w:p>
    <w:p w:rsidR="003D5C24" w:rsidRP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XIII. "Concesión":</w:t>
      </w:r>
      <w:r w:rsidRPr="003D5C24">
        <w:rPr>
          <w:rFonts w:ascii="Palatino Linotype" w:hAnsi="Palatino Linotype" w:cs="Arial"/>
          <w:i/>
        </w:rPr>
        <w:t xml:space="preserve"> </w:t>
      </w:r>
      <w:r w:rsidRPr="003D5C24">
        <w:rPr>
          <w:rFonts w:ascii="Palatino Linotype" w:hAnsi="Palatino Linotype" w:cs="Arial"/>
          <w:b/>
          <w:i/>
          <w:u w:val="single"/>
        </w:rPr>
        <w:t>Título que otorga el Ejecutivo Federal, a través de "la Comisión" o del Organismo de Cuenca que corresponda, conforme a sus respectivas competencias, para la explotación, uso o aprovechamiento de las aguas nacionales, y de sus bienes públicos inherentes</w:t>
      </w:r>
      <w:r w:rsidRPr="003D5C24">
        <w:rPr>
          <w:rFonts w:ascii="Palatino Linotype" w:hAnsi="Palatino Linotype" w:cs="Arial"/>
          <w:i/>
        </w:rPr>
        <w:t>, a las personas físicas o morales de carácter público y privado, excepto los títulos de asignación;</w:t>
      </w:r>
    </w:p>
    <w:p w:rsidR="003D5C24" w:rsidRDefault="003D5C24" w:rsidP="003D5C24">
      <w:pPr>
        <w:spacing w:after="0" w:line="240" w:lineRule="auto"/>
        <w:ind w:left="851" w:right="901"/>
        <w:jc w:val="both"/>
        <w:rPr>
          <w:rFonts w:ascii="Palatino Linotype" w:hAnsi="Palatino Linotype" w:cs="Arial"/>
          <w:i/>
        </w:rPr>
      </w:pPr>
      <w:r>
        <w:rPr>
          <w:rFonts w:ascii="Palatino Linotype" w:hAnsi="Palatino Linotype" w:cs="Arial"/>
          <w:i/>
        </w:rPr>
        <w:t>…</w:t>
      </w:r>
    </w:p>
    <w:p w:rsidR="003D5C24" w:rsidRPr="003D5C24" w:rsidRDefault="003D5C24" w:rsidP="003D5C24">
      <w:pPr>
        <w:spacing w:after="0" w:line="240" w:lineRule="auto"/>
        <w:ind w:left="851" w:right="901"/>
        <w:jc w:val="both"/>
        <w:rPr>
          <w:rFonts w:ascii="Palatino Linotype" w:hAnsi="Palatino Linotype" w:cs="Arial"/>
          <w:i/>
        </w:rPr>
      </w:pPr>
      <w:proofErr w:type="spellStart"/>
      <w:r w:rsidRPr="003D5C24">
        <w:rPr>
          <w:rFonts w:ascii="Palatino Linotype" w:hAnsi="Palatino Linotype" w:cs="Arial"/>
          <w:b/>
          <w:i/>
        </w:rPr>
        <w:t>LII."Uso</w:t>
      </w:r>
      <w:proofErr w:type="spellEnd"/>
      <w:r w:rsidRPr="003D5C24">
        <w:rPr>
          <w:rFonts w:ascii="Palatino Linotype" w:hAnsi="Palatino Linotype" w:cs="Arial"/>
          <w:b/>
          <w:i/>
        </w:rPr>
        <w:t>":</w:t>
      </w:r>
      <w:r w:rsidRPr="003D5C24">
        <w:rPr>
          <w:rFonts w:ascii="Palatino Linotype" w:hAnsi="Palatino Linotype" w:cs="Arial"/>
          <w:i/>
        </w:rPr>
        <w:t xml:space="preserve"> Aplicación del agua a una actividad que implique el consumo, parcial o total de ese recurso;</w:t>
      </w:r>
    </w:p>
    <w:p w:rsid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b/>
          <w:i/>
        </w:rPr>
        <w:t>LX. "Uso Público Urbano":</w:t>
      </w:r>
      <w:r w:rsidRPr="003D5C24">
        <w:rPr>
          <w:rFonts w:ascii="Palatino Linotype" w:hAnsi="Palatino Linotype" w:cs="Arial"/>
          <w:i/>
        </w:rPr>
        <w:t xml:space="preserve"> La aplicación de agua nacional para centros de población y asentamientos humanos, a través de la red municipal;</w:t>
      </w:r>
    </w:p>
    <w:p w:rsidR="003D5C24" w:rsidRDefault="003D5C24" w:rsidP="003D5C24">
      <w:pPr>
        <w:spacing w:after="0" w:line="240" w:lineRule="auto"/>
        <w:ind w:left="851" w:right="901"/>
        <w:jc w:val="both"/>
        <w:rPr>
          <w:rFonts w:ascii="Palatino Linotype" w:hAnsi="Palatino Linotype" w:cs="Arial"/>
          <w:i/>
        </w:rPr>
      </w:pPr>
    </w:p>
    <w:p w:rsidR="003D5C24" w:rsidRPr="003D5C24" w:rsidRDefault="003D5C24" w:rsidP="003D5C24">
      <w:pPr>
        <w:spacing w:after="0" w:line="240" w:lineRule="auto"/>
        <w:ind w:left="851" w:right="901"/>
        <w:jc w:val="both"/>
        <w:rPr>
          <w:rFonts w:ascii="Palatino Linotype" w:hAnsi="Palatino Linotype" w:cs="Arial"/>
          <w:i/>
        </w:rPr>
      </w:pPr>
      <w:r w:rsidRPr="001A22BF">
        <w:rPr>
          <w:rFonts w:ascii="Palatino Linotype" w:hAnsi="Palatino Linotype" w:cs="Arial"/>
          <w:b/>
          <w:i/>
        </w:rPr>
        <w:t xml:space="preserve">ARTÍCULO 9. "La Comisión" es un órgano administrativo desconcentrado de "la Secretaría", que se regula conforme a las disposiciones de esta Ley y </w:t>
      </w:r>
      <w:r w:rsidRPr="001A22BF">
        <w:rPr>
          <w:rFonts w:ascii="Palatino Linotype" w:hAnsi="Palatino Linotype" w:cs="Arial"/>
          <w:b/>
          <w:i/>
        </w:rPr>
        <w:lastRenderedPageBreak/>
        <w:t xml:space="preserve">sus reglamentos, </w:t>
      </w:r>
      <w:r w:rsidRPr="003D5C24">
        <w:rPr>
          <w:rFonts w:ascii="Palatino Linotype" w:hAnsi="Palatino Linotype" w:cs="Arial"/>
          <w:i/>
        </w:rPr>
        <w:t>de la Ley Orgánica de la Administración Pública Federal y de su Reglamento Interior.</w:t>
      </w:r>
    </w:p>
    <w:p w:rsidR="003D5C24" w:rsidRDefault="003D5C24" w:rsidP="003D5C24">
      <w:pPr>
        <w:spacing w:after="0" w:line="240" w:lineRule="auto"/>
        <w:ind w:left="851" w:right="901"/>
        <w:jc w:val="both"/>
        <w:rPr>
          <w:rFonts w:ascii="Palatino Linotype" w:hAnsi="Palatino Linotype" w:cs="Arial"/>
          <w:i/>
        </w:rPr>
      </w:pPr>
      <w:r w:rsidRPr="003D5C24">
        <w:rPr>
          <w:rFonts w:ascii="Palatino Linotype" w:hAnsi="Palatino Linotype" w:cs="Arial"/>
          <w:i/>
        </w:rPr>
        <w:t>…</w:t>
      </w:r>
    </w:p>
    <w:p w:rsidR="001A22BF" w:rsidRPr="001A22BF" w:rsidRDefault="001A22BF" w:rsidP="003D5C24">
      <w:pPr>
        <w:spacing w:after="0" w:line="240" w:lineRule="auto"/>
        <w:ind w:left="851" w:right="901"/>
        <w:jc w:val="both"/>
        <w:rPr>
          <w:rFonts w:ascii="Palatino Linotype" w:hAnsi="Palatino Linotype" w:cs="Arial"/>
          <w:b/>
          <w:i/>
        </w:rPr>
      </w:pPr>
      <w:r w:rsidRPr="001A22BF">
        <w:rPr>
          <w:rFonts w:ascii="Palatino Linotype" w:hAnsi="Palatino Linotype" w:cs="Arial"/>
          <w:b/>
          <w:i/>
        </w:rPr>
        <w:t>Son atribuciones de "la Comisión" en su Nivel Nacional, las siguientes:</w:t>
      </w:r>
    </w:p>
    <w:p w:rsidR="001A22BF" w:rsidRDefault="001A22BF" w:rsidP="003D5C24">
      <w:pPr>
        <w:spacing w:after="0" w:line="240" w:lineRule="auto"/>
        <w:ind w:left="851" w:right="901"/>
        <w:jc w:val="both"/>
        <w:rPr>
          <w:rFonts w:ascii="Palatino Linotype" w:hAnsi="Palatino Linotype" w:cs="Arial"/>
          <w:i/>
        </w:rPr>
      </w:pPr>
      <w:r>
        <w:rPr>
          <w:rFonts w:ascii="Palatino Linotype" w:hAnsi="Palatino Linotype" w:cs="Arial"/>
          <w:i/>
        </w:rPr>
        <w:t>…</w:t>
      </w:r>
    </w:p>
    <w:p w:rsidR="003D5C24" w:rsidRDefault="003D5C24" w:rsidP="003D5C24">
      <w:pPr>
        <w:spacing w:after="0" w:line="240" w:lineRule="auto"/>
        <w:ind w:left="851" w:right="901"/>
        <w:jc w:val="both"/>
        <w:rPr>
          <w:rFonts w:ascii="Palatino Linotype" w:hAnsi="Palatino Linotype" w:cs="Arial"/>
          <w:b/>
          <w:i/>
        </w:rPr>
      </w:pPr>
      <w:r w:rsidRPr="001A22BF">
        <w:rPr>
          <w:rFonts w:ascii="Palatino Linotype" w:hAnsi="Palatino Linotype" w:cs="Arial"/>
          <w:b/>
          <w:i/>
        </w:rPr>
        <w:t xml:space="preserve">XX. </w:t>
      </w:r>
      <w:r w:rsidRPr="001A22BF">
        <w:rPr>
          <w:rFonts w:ascii="Palatino Linotype" w:hAnsi="Palatino Linotype" w:cs="Arial"/>
          <w:b/>
          <w:i/>
          <w:u w:val="single"/>
        </w:rPr>
        <w:t>Expedir títulos de concesión</w:t>
      </w:r>
      <w:r w:rsidRPr="001A22BF">
        <w:rPr>
          <w:rFonts w:ascii="Palatino Linotype" w:hAnsi="Palatino Linotype" w:cs="Arial"/>
          <w:b/>
          <w:i/>
        </w:rPr>
        <w:t>, asignación o permiso de descarga a que se refiere la presente Ley y sus reglamentos, reconocer derechos y llevar el Registro Público de Derechos de Agua;</w:t>
      </w:r>
      <w:r w:rsidR="000A3BDF">
        <w:rPr>
          <w:rFonts w:ascii="Palatino Linotype" w:hAnsi="Palatino Linotype" w:cs="Arial"/>
          <w:b/>
          <w:i/>
        </w:rPr>
        <w:t xml:space="preserve">” </w:t>
      </w:r>
    </w:p>
    <w:p w:rsidR="000A3BDF" w:rsidRDefault="000A3BDF" w:rsidP="003D5C24">
      <w:pPr>
        <w:spacing w:after="0" w:line="240" w:lineRule="auto"/>
        <w:ind w:left="851" w:right="901"/>
        <w:jc w:val="both"/>
        <w:rPr>
          <w:rFonts w:ascii="Palatino Linotype" w:hAnsi="Palatino Linotype" w:cs="Arial"/>
          <w:i/>
        </w:rPr>
      </w:pPr>
    </w:p>
    <w:p w:rsidR="000A3BDF" w:rsidRPr="000A3BDF" w:rsidRDefault="000A3BDF" w:rsidP="003D5C24">
      <w:pPr>
        <w:spacing w:after="0" w:line="240" w:lineRule="auto"/>
        <w:ind w:left="851" w:right="901"/>
        <w:jc w:val="both"/>
        <w:rPr>
          <w:rFonts w:ascii="Palatino Linotype" w:hAnsi="Palatino Linotype" w:cs="Arial"/>
          <w:i/>
        </w:rPr>
      </w:pPr>
      <w:r>
        <w:rPr>
          <w:rFonts w:ascii="Palatino Linotype" w:hAnsi="Palatino Linotype" w:cs="Arial"/>
          <w:i/>
        </w:rPr>
        <w:t>(Énfasis añadido)</w:t>
      </w:r>
    </w:p>
    <w:p w:rsidR="001A22BF" w:rsidRDefault="0095696C" w:rsidP="003D5C24">
      <w:pPr>
        <w:spacing w:before="100" w:beforeAutospacing="1" w:after="100" w:afterAutospacing="1" w:line="360" w:lineRule="auto"/>
        <w:jc w:val="both"/>
        <w:rPr>
          <w:rFonts w:ascii="Palatino Linotype" w:eastAsia="Arial Unicode MS" w:hAnsi="Palatino Linotype" w:cs="Arial"/>
          <w:color w:val="000000"/>
          <w:sz w:val="24"/>
          <w:szCs w:val="24"/>
        </w:rPr>
      </w:pPr>
      <w:r>
        <w:rPr>
          <w:rFonts w:ascii="Palatino Linotype" w:eastAsia="Arial Unicode MS" w:hAnsi="Palatino Linotype" w:cs="Arial"/>
          <w:noProof/>
          <w:color w:val="000000"/>
          <w:sz w:val="24"/>
          <w:szCs w:val="24"/>
          <w:lang w:eastAsia="es-MX"/>
        </w:rPr>
        <mc:AlternateContent>
          <mc:Choice Requires="wps">
            <w:drawing>
              <wp:anchor distT="0" distB="0" distL="114300" distR="114300" simplePos="0" relativeHeight="251660288" behindDoc="0" locked="0" layoutInCell="1" allowOverlap="1">
                <wp:simplePos x="0" y="0"/>
                <wp:positionH relativeFrom="column">
                  <wp:posOffset>47021</wp:posOffset>
                </wp:positionH>
                <wp:positionV relativeFrom="paragraph">
                  <wp:posOffset>2285239</wp:posOffset>
                </wp:positionV>
                <wp:extent cx="5708210" cy="1842380"/>
                <wp:effectExtent l="0" t="0" r="26035" b="24765"/>
                <wp:wrapNone/>
                <wp:docPr id="17" name="Conector recto 17"/>
                <wp:cNvGraphicFramePr/>
                <a:graphic xmlns:a="http://schemas.openxmlformats.org/drawingml/2006/main">
                  <a:graphicData uri="http://schemas.microsoft.com/office/word/2010/wordprocessingShape">
                    <wps:wsp>
                      <wps:cNvCnPr/>
                      <wps:spPr>
                        <a:xfrm>
                          <a:off x="0" y="0"/>
                          <a:ext cx="5708210" cy="184238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B3C3CF" id="Conector recto 1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7pt,179.95pt" to="453.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" strokecolor="#5b9bd5 [3204]" strokeweight="1.5pt">
                <v:stroke joinstyle="miter"/>
              </v:line>
            </w:pict>
          </mc:Fallback>
        </mc:AlternateContent>
      </w:r>
      <w:r w:rsidR="001A22BF">
        <w:rPr>
          <w:rFonts w:ascii="Palatino Linotype" w:eastAsia="Arial Unicode MS" w:hAnsi="Palatino Linotype" w:cs="Arial"/>
          <w:color w:val="000000"/>
          <w:sz w:val="24"/>
          <w:szCs w:val="24"/>
        </w:rPr>
        <w:t xml:space="preserve">De la normativa inserta, se puede advertir que la Comisión Nacional del Agua es la responsable de expedir el Título de Concesión para el uso, aprovechamiento y disfrute de las </w:t>
      </w:r>
      <w:r w:rsidR="000A3BDF">
        <w:rPr>
          <w:rFonts w:ascii="Palatino Linotype" w:eastAsia="Arial Unicode MS" w:hAnsi="Palatino Linotype" w:cs="Arial"/>
          <w:color w:val="000000"/>
          <w:sz w:val="24"/>
          <w:szCs w:val="24"/>
        </w:rPr>
        <w:t xml:space="preserve">aguas nacionales; motivo por el cual personal de esta Ponencia Resolutora derivado de las manifestaciones expuestas en Informe Justificado de parte del </w:t>
      </w:r>
      <w:r w:rsidR="000A3BDF">
        <w:rPr>
          <w:rFonts w:ascii="Palatino Linotype" w:eastAsia="Arial Unicode MS" w:hAnsi="Palatino Linotype" w:cs="Arial"/>
          <w:b/>
          <w:color w:val="000000"/>
          <w:sz w:val="24"/>
          <w:szCs w:val="24"/>
        </w:rPr>
        <w:t xml:space="preserve">SUJETO OBIGADO </w:t>
      </w:r>
      <w:r w:rsidR="000A3BDF">
        <w:rPr>
          <w:rFonts w:ascii="Palatino Linotype" w:eastAsia="Arial Unicode MS" w:hAnsi="Palatino Linotype" w:cs="Arial"/>
          <w:color w:val="000000"/>
          <w:sz w:val="24"/>
          <w:szCs w:val="24"/>
        </w:rPr>
        <w:t xml:space="preserve">se dio a la tarea a verificar la existencia del Título de Concesión referido por </w:t>
      </w:r>
      <w:r w:rsidR="000A3BDF">
        <w:rPr>
          <w:rFonts w:ascii="Palatino Linotype" w:eastAsia="Arial Unicode MS" w:hAnsi="Palatino Linotype" w:cs="Arial"/>
          <w:b/>
          <w:color w:val="000000"/>
          <w:sz w:val="24"/>
          <w:szCs w:val="24"/>
        </w:rPr>
        <w:t xml:space="preserve">EL RECURRENTE; </w:t>
      </w:r>
      <w:r w:rsidR="000A3BDF">
        <w:rPr>
          <w:rFonts w:ascii="Palatino Linotype" w:eastAsia="Arial Unicode MS" w:hAnsi="Palatino Linotype" w:cs="Arial"/>
          <w:color w:val="000000"/>
          <w:sz w:val="24"/>
          <w:szCs w:val="24"/>
        </w:rPr>
        <w:t xml:space="preserve">encontrando que en la liga electrónica </w:t>
      </w:r>
      <w:hyperlink r:id="rId13" w:history="1">
        <w:r w:rsidR="000A3BDF" w:rsidRPr="000A3BDF">
          <w:rPr>
            <w:rFonts w:ascii="Palatino Linotype" w:eastAsia="Arial Unicode MS" w:hAnsi="Palatino Linotype" w:cs="Arial"/>
            <w:color w:val="000000"/>
            <w:sz w:val="24"/>
            <w:szCs w:val="24"/>
          </w:rPr>
          <w:t>https://app.conagua.gob.mx/consultarepda.aspx</w:t>
        </w:r>
      </w:hyperlink>
      <w:r w:rsidR="000A3BDF">
        <w:rPr>
          <w:rFonts w:ascii="Palatino Linotype" w:eastAsia="Arial Unicode MS" w:hAnsi="Palatino Linotype" w:cs="Arial"/>
          <w:color w:val="000000"/>
          <w:sz w:val="24"/>
          <w:szCs w:val="24"/>
        </w:rPr>
        <w:t>, se encontró lo siguiente:</w:t>
      </w:r>
    </w:p>
    <w:p w:rsidR="000A3BDF" w:rsidRDefault="000A3BDF" w:rsidP="000A3BDF">
      <w:pPr>
        <w:spacing w:before="100" w:beforeAutospacing="1" w:after="100" w:afterAutospacing="1" w:line="360" w:lineRule="auto"/>
        <w:jc w:val="center"/>
        <w:rPr>
          <w:rFonts w:ascii="Palatino Linotype" w:eastAsia="Arial Unicode MS" w:hAnsi="Palatino Linotype" w:cs="Arial"/>
          <w:color w:val="000000"/>
          <w:sz w:val="24"/>
          <w:szCs w:val="24"/>
        </w:rPr>
      </w:pPr>
      <w:r>
        <w:rPr>
          <w:noProof/>
          <w:lang w:eastAsia="es-MX"/>
        </w:rPr>
        <w:lastRenderedPageBreak/>
        <w:drawing>
          <wp:inline distT="0" distB="0" distL="0" distR="0" wp14:anchorId="20F8B80E" wp14:editId="02EA97A9">
            <wp:extent cx="5046756" cy="2679826"/>
            <wp:effectExtent l="0" t="0" r="190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519" t="3473" r="13312" b="22741"/>
                    <a:stretch/>
                  </pic:blipFill>
                  <pic:spPr bwMode="auto">
                    <a:xfrm>
                      <a:off x="0" y="0"/>
                      <a:ext cx="5085978" cy="2700653"/>
                    </a:xfrm>
                    <a:prstGeom prst="rect">
                      <a:avLst/>
                    </a:prstGeom>
                    <a:ln>
                      <a:noFill/>
                    </a:ln>
                    <a:extLst>
                      <a:ext uri="{53640926-AAD7-44D8-BBD7-CCE9431645EC}">
                        <a14:shadowObscured xmlns:a14="http://schemas.microsoft.com/office/drawing/2010/main"/>
                      </a:ext>
                    </a:extLst>
                  </pic:spPr>
                </pic:pic>
              </a:graphicData>
            </a:graphic>
          </wp:inline>
        </w:drawing>
      </w:r>
    </w:p>
    <w:p w:rsidR="000A3BDF" w:rsidRDefault="000A3BDF" w:rsidP="000A3BDF">
      <w:pPr>
        <w:spacing w:before="100" w:beforeAutospacing="1" w:after="100" w:afterAutospacing="1" w:line="360" w:lineRule="auto"/>
        <w:jc w:val="center"/>
        <w:rPr>
          <w:rFonts w:ascii="Palatino Linotype" w:eastAsia="Arial Unicode MS" w:hAnsi="Palatino Linotype" w:cs="Arial"/>
          <w:color w:val="000000"/>
          <w:sz w:val="24"/>
          <w:szCs w:val="24"/>
        </w:rPr>
      </w:pPr>
      <w:r>
        <w:rPr>
          <w:noProof/>
          <w:lang w:eastAsia="es-MX"/>
        </w:rPr>
        <w:drawing>
          <wp:inline distT="0" distB="0" distL="0" distR="0" wp14:anchorId="09AAB043" wp14:editId="0F62611F">
            <wp:extent cx="5013585" cy="1747319"/>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740" t="20840" r="13468" b="33443"/>
                    <a:stretch/>
                  </pic:blipFill>
                  <pic:spPr bwMode="auto">
                    <a:xfrm>
                      <a:off x="0" y="0"/>
                      <a:ext cx="5032915" cy="1754056"/>
                    </a:xfrm>
                    <a:prstGeom prst="rect">
                      <a:avLst/>
                    </a:prstGeom>
                    <a:ln>
                      <a:noFill/>
                    </a:ln>
                    <a:extLst>
                      <a:ext uri="{53640926-AAD7-44D8-BBD7-CCE9431645EC}">
                        <a14:shadowObscured xmlns:a14="http://schemas.microsoft.com/office/drawing/2010/main"/>
                      </a:ext>
                    </a:extLst>
                  </pic:spPr>
                </pic:pic>
              </a:graphicData>
            </a:graphic>
          </wp:inline>
        </w:drawing>
      </w:r>
    </w:p>
    <w:p w:rsidR="000A3BDF" w:rsidRPr="000A3BDF" w:rsidRDefault="000A3BDF" w:rsidP="000A3BDF">
      <w:pPr>
        <w:spacing w:before="100" w:beforeAutospacing="1" w:after="100" w:afterAutospacing="1" w:line="360" w:lineRule="auto"/>
        <w:jc w:val="center"/>
        <w:rPr>
          <w:rFonts w:ascii="Palatino Linotype" w:eastAsia="Arial Unicode MS" w:hAnsi="Palatino Linotype" w:cs="Arial"/>
          <w:color w:val="000000"/>
          <w:sz w:val="24"/>
          <w:szCs w:val="24"/>
        </w:rPr>
      </w:pPr>
      <w:r>
        <w:rPr>
          <w:noProof/>
          <w:lang w:eastAsia="es-MX"/>
        </w:rPr>
        <mc:AlternateContent>
          <mc:Choice Requires="wps">
            <w:drawing>
              <wp:anchor distT="0" distB="0" distL="114300" distR="114300" simplePos="0" relativeHeight="251659264" behindDoc="0" locked="0" layoutInCell="1" allowOverlap="1">
                <wp:simplePos x="0" y="0"/>
                <wp:positionH relativeFrom="column">
                  <wp:posOffset>377473</wp:posOffset>
                </wp:positionH>
                <wp:positionV relativeFrom="paragraph">
                  <wp:posOffset>588475</wp:posOffset>
                </wp:positionV>
                <wp:extent cx="5020146" cy="556788"/>
                <wp:effectExtent l="19050" t="19050" r="28575" b="15240"/>
                <wp:wrapNone/>
                <wp:docPr id="11" name="Rectángulo 11"/>
                <wp:cNvGraphicFramePr/>
                <a:graphic xmlns:a="http://schemas.openxmlformats.org/drawingml/2006/main">
                  <a:graphicData uri="http://schemas.microsoft.com/office/word/2010/wordprocessingShape">
                    <wps:wsp>
                      <wps:cNvSpPr/>
                      <wps:spPr>
                        <a:xfrm>
                          <a:off x="0" y="0"/>
                          <a:ext cx="5020146" cy="556788"/>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8A412B" id="Rectángulo 11" o:spid="_x0000_s1026" style="position:absolute;margin-left:29.7pt;margin-top:46.35pt;width:395.3pt;height:43.8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" filled="f" strokecolor="#1f4d78 [1604]" strokeweight="2.25pt"/>
            </w:pict>
          </mc:Fallback>
        </mc:AlternateContent>
      </w:r>
      <w:r>
        <w:rPr>
          <w:noProof/>
          <w:lang w:eastAsia="es-MX"/>
        </w:rPr>
        <w:drawing>
          <wp:inline distT="0" distB="0" distL="0" distR="0" wp14:anchorId="6F0C6C9F" wp14:editId="1AF92877">
            <wp:extent cx="5057260" cy="1195057"/>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270" t="25286" r="7138" b="49980"/>
                    <a:stretch/>
                  </pic:blipFill>
                  <pic:spPr bwMode="auto">
                    <a:xfrm>
                      <a:off x="0" y="0"/>
                      <a:ext cx="5109800" cy="1207472"/>
                    </a:xfrm>
                    <a:prstGeom prst="rect">
                      <a:avLst/>
                    </a:prstGeom>
                    <a:ln>
                      <a:noFill/>
                    </a:ln>
                    <a:extLst>
                      <a:ext uri="{53640926-AAD7-44D8-BBD7-CCE9431645EC}">
                        <a14:shadowObscured xmlns:a14="http://schemas.microsoft.com/office/drawing/2010/main"/>
                      </a:ext>
                    </a:extLst>
                  </pic:spPr>
                </pic:pic>
              </a:graphicData>
            </a:graphic>
          </wp:inline>
        </w:drawing>
      </w:r>
    </w:p>
    <w:p w:rsidR="00D8575A" w:rsidRDefault="0095696C"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rFonts w:ascii="Palatino Linotype" w:eastAsia="Calibri" w:hAnsi="Palatino Linotype" w:cs="Arial"/>
          <w:sz w:val="24"/>
          <w:szCs w:val="24"/>
        </w:rPr>
        <w:t xml:space="preserve">De las imágenes insertas se puede advertir que en el Registro Público de Derechos de </w:t>
      </w:r>
      <w:r>
        <w:rPr>
          <w:rFonts w:ascii="Palatino Linotype" w:eastAsia="Calibri" w:hAnsi="Palatino Linotype" w:cs="Arial"/>
          <w:sz w:val="24"/>
          <w:szCs w:val="24"/>
        </w:rPr>
        <w:lastRenderedPageBreak/>
        <w:t xml:space="preserve">Agua del Gobierno Federal se encuentra registrado el Título de Concesión referido por el particular en su solicitud de información a favor del Municipio de Zumpango; de ahí que </w:t>
      </w:r>
      <w:r w:rsidR="00A575B1">
        <w:rPr>
          <w:rFonts w:ascii="Palatino Linotype" w:eastAsia="Calibri" w:hAnsi="Palatino Linotype" w:cs="Arial"/>
          <w:sz w:val="24"/>
          <w:szCs w:val="24"/>
        </w:rPr>
        <w:t xml:space="preserve">convenga recordar que la Ley de Aguas Nacionales define como “Concesión” al Título </w:t>
      </w:r>
      <w:r w:rsidR="00A575B1">
        <w:rPr>
          <w:rFonts w:ascii="Palatino Linotype" w:eastAsia="Calibri" w:hAnsi="Palatino Linotype" w:cs="Arial"/>
          <w:sz w:val="24"/>
          <w:szCs w:val="24"/>
        </w:rPr>
        <w:tab/>
        <w:t>que otorga el Ejecutivo Federal a través de la Comisión Nacional del Agua para la explotación, uso o aprovechamiento de las aguas nacionales y de sus bienes públicos inherentes; por lo que, al obtener un aprovechamiento implícitamente se asume el pago del mismo; en ese tenor conviene traer a contexto lo establecido en la Ley Federal de Derechos, misma que en lo que nos interesa señala lo siguiente:</w:t>
      </w: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r w:rsidRPr="00A575B1">
        <w:rPr>
          <w:rFonts w:ascii="Palatino Linotype" w:hAnsi="Palatino Linotype"/>
          <w:b/>
          <w:i/>
        </w:rPr>
        <w:t>“Artículo 222.</w:t>
      </w:r>
      <w:r w:rsidRPr="00A575B1">
        <w:rPr>
          <w:rFonts w:ascii="Palatino Linotype" w:hAnsi="Palatino Linotype"/>
          <w:i/>
        </w:rPr>
        <w:t xml:space="preserve"> </w:t>
      </w:r>
      <w:r w:rsidRPr="00A575B1">
        <w:rPr>
          <w:rFonts w:ascii="Palatino Linotype" w:hAnsi="Palatino Linotype"/>
          <w:b/>
          <w:i/>
        </w:rPr>
        <w:t>Están obligadas al pago del derecho sobre agua</w:t>
      </w:r>
      <w:r w:rsidRPr="00A575B1">
        <w:rPr>
          <w:rFonts w:ascii="Palatino Linotype" w:hAnsi="Palatino Linotype"/>
          <w:i/>
        </w:rPr>
        <w:t xml:space="preserve">, </w:t>
      </w:r>
      <w:r w:rsidRPr="00A575B1">
        <w:rPr>
          <w:rFonts w:ascii="Palatino Linotype" w:hAnsi="Palatino Linotype"/>
          <w:b/>
          <w:i/>
        </w:rPr>
        <w:t>las personas</w:t>
      </w:r>
      <w:r w:rsidRPr="00A575B1">
        <w:rPr>
          <w:rFonts w:ascii="Palatino Linotype" w:hAnsi="Palatino Linotype"/>
          <w:i/>
        </w:rPr>
        <w:t xml:space="preserve"> físicas y morales </w:t>
      </w:r>
      <w:r w:rsidRPr="00A575B1">
        <w:rPr>
          <w:rFonts w:ascii="Palatino Linotype" w:hAnsi="Palatino Linotype"/>
          <w:b/>
          <w:i/>
        </w:rPr>
        <w:t xml:space="preserve">que usen, exploten o aprovechen aguas nacionales, bien sea de hecho </w:t>
      </w:r>
      <w:r w:rsidRPr="00A575B1">
        <w:rPr>
          <w:rFonts w:ascii="Palatino Linotype" w:hAnsi="Palatino Linotype"/>
          <w:b/>
          <w:i/>
          <w:u w:val="single"/>
        </w:rPr>
        <w:t>o al amparo de títulos de asignación, concesión, autorización o permiso, otorgados por el Gobierno Federal</w:t>
      </w:r>
      <w:r w:rsidRPr="00A575B1">
        <w:rPr>
          <w:rFonts w:ascii="Palatino Linotype" w:hAnsi="Palatino Linotype"/>
          <w:i/>
        </w:rPr>
        <w:t>, de acuerdo con la zona de disponibilidad de agua en que se efectúe su extracción.</w:t>
      </w: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p>
    <w:p w:rsidR="00A575B1" w:rsidRPr="00A575B1" w:rsidRDefault="00A575B1" w:rsidP="00A575B1">
      <w:pPr>
        <w:widowControl w:val="0"/>
        <w:autoSpaceDE w:val="0"/>
        <w:autoSpaceDN w:val="0"/>
        <w:adjustRightInd w:val="0"/>
        <w:spacing w:after="0" w:line="240" w:lineRule="auto"/>
        <w:ind w:left="851" w:right="899"/>
        <w:jc w:val="both"/>
        <w:rPr>
          <w:rFonts w:ascii="Palatino Linotype" w:hAnsi="Palatino Linotype"/>
          <w:b/>
          <w:i/>
        </w:rPr>
      </w:pPr>
      <w:r w:rsidRPr="00A575B1">
        <w:rPr>
          <w:rFonts w:ascii="Palatino Linotype" w:hAnsi="Palatino Linotype"/>
          <w:b/>
          <w:i/>
        </w:rPr>
        <w:t>Artículo 223.</w:t>
      </w:r>
      <w:r w:rsidRPr="00A575B1">
        <w:rPr>
          <w:rFonts w:ascii="Palatino Linotype" w:hAnsi="Palatino Linotype"/>
          <w:i/>
        </w:rPr>
        <w:t xml:space="preserve"> </w:t>
      </w:r>
      <w:r w:rsidRPr="00A575B1">
        <w:rPr>
          <w:rFonts w:ascii="Palatino Linotype" w:hAnsi="Palatino Linotype"/>
          <w:b/>
          <w:i/>
        </w:rPr>
        <w:t xml:space="preserve">Por la explotación, uso o aprovechamiento de aguas nacionales a que se refiere este Capítulo, se pagará el derecho sobre agua, de conformidad con la zona de disponibilidad de agua y la cuenca o acuífero en que se efectúe su extracción y de acuerdo con las siguientes cuotas: </w:t>
      </w: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p>
    <w:p w:rsidR="00A575B1" w:rsidRPr="00A575B1" w:rsidRDefault="00A575B1" w:rsidP="00A575B1">
      <w:pPr>
        <w:widowControl w:val="0"/>
        <w:autoSpaceDE w:val="0"/>
        <w:autoSpaceDN w:val="0"/>
        <w:adjustRightInd w:val="0"/>
        <w:spacing w:after="0" w:line="240" w:lineRule="auto"/>
        <w:ind w:left="851" w:right="899"/>
        <w:jc w:val="both"/>
        <w:rPr>
          <w:rFonts w:ascii="Palatino Linotype" w:hAnsi="Palatino Linotype"/>
          <w:b/>
          <w:i/>
        </w:rPr>
      </w:pPr>
      <w:r w:rsidRPr="00A575B1">
        <w:rPr>
          <w:rFonts w:ascii="Palatino Linotype" w:hAnsi="Palatino Linotype"/>
          <w:b/>
          <w:i/>
        </w:rPr>
        <w:t>A. Por las aguas provenientes de fuentes superficiales o extraídas del subsuelo, por cada metro cúbico:</w:t>
      </w: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p>
    <w:p w:rsidR="00A575B1" w:rsidRDefault="00A575B1" w:rsidP="00A575B1">
      <w:pPr>
        <w:widowControl w:val="0"/>
        <w:autoSpaceDE w:val="0"/>
        <w:autoSpaceDN w:val="0"/>
        <w:adjustRightInd w:val="0"/>
        <w:spacing w:after="0" w:line="240" w:lineRule="auto"/>
        <w:ind w:left="851" w:right="899"/>
        <w:jc w:val="center"/>
        <w:rPr>
          <w:rFonts w:ascii="Palatino Linotype" w:hAnsi="Palatino Linotype"/>
          <w:i/>
        </w:rPr>
      </w:pPr>
      <w:r>
        <w:rPr>
          <w:noProof/>
          <w:lang w:eastAsia="es-MX"/>
        </w:rPr>
        <w:drawing>
          <wp:inline distT="0" distB="0" distL="0" distR="0" wp14:anchorId="0F05EF69" wp14:editId="66DC1F57">
            <wp:extent cx="3634967" cy="769545"/>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929" t="48627" r="17288" b="27746"/>
                    <a:stretch/>
                  </pic:blipFill>
                  <pic:spPr bwMode="auto">
                    <a:xfrm>
                      <a:off x="0" y="0"/>
                      <a:ext cx="3636277" cy="769822"/>
                    </a:xfrm>
                    <a:prstGeom prst="rect">
                      <a:avLst/>
                    </a:prstGeom>
                    <a:ln>
                      <a:noFill/>
                    </a:ln>
                    <a:extLst>
                      <a:ext uri="{53640926-AAD7-44D8-BBD7-CCE9431645EC}">
                        <a14:shadowObscured xmlns:a14="http://schemas.microsoft.com/office/drawing/2010/main"/>
                      </a:ext>
                    </a:extLst>
                  </pic:spPr>
                </pic:pic>
              </a:graphicData>
            </a:graphic>
          </wp:inline>
        </w:drawing>
      </w: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p>
    <w:p w:rsidR="00A575B1" w:rsidRDefault="00A575B1" w:rsidP="00A575B1">
      <w:pPr>
        <w:widowControl w:val="0"/>
        <w:autoSpaceDE w:val="0"/>
        <w:autoSpaceDN w:val="0"/>
        <w:adjustRightInd w:val="0"/>
        <w:spacing w:after="0" w:line="240" w:lineRule="auto"/>
        <w:ind w:left="851" w:right="899"/>
        <w:jc w:val="both"/>
        <w:rPr>
          <w:rFonts w:ascii="Palatino Linotype" w:hAnsi="Palatino Linotype"/>
          <w:i/>
        </w:rPr>
      </w:pPr>
      <w:r w:rsidRPr="00A575B1">
        <w:rPr>
          <w:rFonts w:ascii="Palatino Linotype" w:hAnsi="Palatino Linotype"/>
          <w:i/>
        </w:rPr>
        <w:t xml:space="preserve">Las empresas públicas y privadas que tengan asignación o concesión para explotar, usar o aprovechar aguas nacionales, que cuenten con el permiso por parte de los </w:t>
      </w:r>
      <w:r w:rsidRPr="00A575B1">
        <w:rPr>
          <w:rFonts w:ascii="Palatino Linotype" w:hAnsi="Palatino Linotype"/>
          <w:i/>
        </w:rPr>
        <w:lastRenderedPageBreak/>
        <w:t>municipios u organismos operadores para la prestación de los servicios de agua potable, cumplan con las condiciones de calidad de agua para consumo humano establecidas en las normas oficiales mexicanas y suministren volúmenes de agua para consumo doméstico a centros o núcleos de población, cubrirán el derecho respecto de los volúmenes de agua suministrada, con las cuotas establecidas en el Apartado B, fracción I, de este artículo; para tales efectos, deberán contar con medidor que contabilice exclusivamente el volumen de agua que proporcionen para el citado uso. Los contribuyentes podrán aplicar las cuotas preferenciales que establece el Apartado B, fracción I de este artículo, siempre y cuando cumplan con todos los requisitos previstos en este párrafo.</w:t>
      </w:r>
    </w:p>
    <w:p w:rsidR="00837CB6" w:rsidRDefault="00837CB6" w:rsidP="00A575B1">
      <w:pPr>
        <w:widowControl w:val="0"/>
        <w:autoSpaceDE w:val="0"/>
        <w:autoSpaceDN w:val="0"/>
        <w:adjustRightInd w:val="0"/>
        <w:spacing w:after="0" w:line="240" w:lineRule="auto"/>
        <w:ind w:left="851" w:right="899"/>
        <w:jc w:val="both"/>
        <w:rPr>
          <w:rFonts w:ascii="Palatino Linotype" w:hAnsi="Palatino Linotype"/>
          <w:i/>
        </w:rPr>
      </w:pPr>
      <w:r>
        <w:rPr>
          <w:rFonts w:ascii="Palatino Linotype" w:hAnsi="Palatino Linotype"/>
          <w:i/>
        </w:rPr>
        <w:t>…</w:t>
      </w:r>
    </w:p>
    <w:p w:rsidR="00837CB6" w:rsidRDefault="00837CB6" w:rsidP="00A575B1">
      <w:pPr>
        <w:widowControl w:val="0"/>
        <w:autoSpaceDE w:val="0"/>
        <w:autoSpaceDN w:val="0"/>
        <w:adjustRightInd w:val="0"/>
        <w:spacing w:after="0" w:line="240" w:lineRule="auto"/>
        <w:ind w:left="851" w:right="899"/>
        <w:jc w:val="both"/>
        <w:rPr>
          <w:rFonts w:ascii="Palatino Linotype" w:hAnsi="Palatino Linotype"/>
          <w:i/>
        </w:rPr>
      </w:pPr>
    </w:p>
    <w:p w:rsidR="00837CB6" w:rsidRPr="00837CB6" w:rsidRDefault="00837CB6" w:rsidP="00A575B1">
      <w:pPr>
        <w:widowControl w:val="0"/>
        <w:autoSpaceDE w:val="0"/>
        <w:autoSpaceDN w:val="0"/>
        <w:adjustRightInd w:val="0"/>
        <w:spacing w:after="0" w:line="240" w:lineRule="auto"/>
        <w:ind w:left="851" w:right="899"/>
        <w:jc w:val="both"/>
        <w:rPr>
          <w:rFonts w:ascii="Palatino Linotype" w:hAnsi="Palatino Linotype"/>
          <w:b/>
          <w:i/>
        </w:rPr>
      </w:pPr>
      <w:r w:rsidRPr="00837CB6">
        <w:rPr>
          <w:rFonts w:ascii="Palatino Linotype" w:hAnsi="Palatino Linotype"/>
          <w:b/>
          <w:i/>
        </w:rPr>
        <w:t xml:space="preserve">B. Por las aguas provenientes de fuentes superficiales o extraídas del subsuelo, se pagará el derecho sobre agua por cada mil metros cúbicos, destinadas a: </w:t>
      </w:r>
    </w:p>
    <w:p w:rsidR="00837CB6" w:rsidRDefault="00837CB6" w:rsidP="00A575B1">
      <w:pPr>
        <w:widowControl w:val="0"/>
        <w:autoSpaceDE w:val="0"/>
        <w:autoSpaceDN w:val="0"/>
        <w:adjustRightInd w:val="0"/>
        <w:spacing w:after="0" w:line="240" w:lineRule="auto"/>
        <w:ind w:left="851" w:right="899"/>
        <w:jc w:val="both"/>
        <w:rPr>
          <w:rFonts w:ascii="Palatino Linotype" w:hAnsi="Palatino Linotype"/>
          <w:i/>
        </w:rPr>
      </w:pPr>
    </w:p>
    <w:p w:rsidR="00837CB6" w:rsidRPr="00837CB6" w:rsidRDefault="00837CB6" w:rsidP="00A575B1">
      <w:pPr>
        <w:widowControl w:val="0"/>
        <w:autoSpaceDE w:val="0"/>
        <w:autoSpaceDN w:val="0"/>
        <w:adjustRightInd w:val="0"/>
        <w:spacing w:after="0" w:line="240" w:lineRule="auto"/>
        <w:ind w:left="851" w:right="899"/>
        <w:jc w:val="both"/>
        <w:rPr>
          <w:rFonts w:ascii="Palatino Linotype" w:hAnsi="Palatino Linotype"/>
          <w:b/>
          <w:i/>
        </w:rPr>
      </w:pPr>
      <w:r w:rsidRPr="00837CB6">
        <w:rPr>
          <w:rFonts w:ascii="Palatino Linotype" w:hAnsi="Palatino Linotype"/>
          <w:b/>
          <w:i/>
        </w:rPr>
        <w:t xml:space="preserve">I. Uso de agua potable: </w:t>
      </w:r>
    </w:p>
    <w:p w:rsidR="00837CB6" w:rsidRDefault="00837CB6" w:rsidP="00A575B1">
      <w:pPr>
        <w:widowControl w:val="0"/>
        <w:autoSpaceDE w:val="0"/>
        <w:autoSpaceDN w:val="0"/>
        <w:adjustRightInd w:val="0"/>
        <w:spacing w:after="0" w:line="240" w:lineRule="auto"/>
        <w:ind w:left="851" w:right="899"/>
        <w:jc w:val="both"/>
        <w:rPr>
          <w:rFonts w:ascii="Palatino Linotype" w:hAnsi="Palatino Linotype"/>
          <w:i/>
        </w:rPr>
      </w:pPr>
    </w:p>
    <w:p w:rsidR="00837CB6" w:rsidRPr="00837CB6" w:rsidRDefault="00837CB6" w:rsidP="00A575B1">
      <w:pPr>
        <w:widowControl w:val="0"/>
        <w:autoSpaceDE w:val="0"/>
        <w:autoSpaceDN w:val="0"/>
        <w:adjustRightInd w:val="0"/>
        <w:spacing w:after="0" w:line="240" w:lineRule="auto"/>
        <w:ind w:left="851" w:right="899"/>
        <w:jc w:val="both"/>
        <w:rPr>
          <w:rFonts w:ascii="Palatino Linotype" w:hAnsi="Palatino Linotype"/>
          <w:b/>
          <w:i/>
        </w:rPr>
      </w:pPr>
      <w:r w:rsidRPr="00837CB6">
        <w:rPr>
          <w:rFonts w:ascii="Palatino Linotype" w:hAnsi="Palatino Linotype"/>
          <w:b/>
          <w:i/>
        </w:rPr>
        <w:t>a). Asignada a Entidades Federativas, Municipios, organismos paraestatales, paramunicipales.</w:t>
      </w:r>
    </w:p>
    <w:p w:rsidR="00837CB6" w:rsidRDefault="00837CB6" w:rsidP="00A575B1">
      <w:pPr>
        <w:widowControl w:val="0"/>
        <w:autoSpaceDE w:val="0"/>
        <w:autoSpaceDN w:val="0"/>
        <w:adjustRightInd w:val="0"/>
        <w:spacing w:after="0" w:line="240" w:lineRule="auto"/>
        <w:ind w:left="851" w:right="899"/>
        <w:jc w:val="both"/>
        <w:rPr>
          <w:rFonts w:ascii="Palatino Linotype" w:hAnsi="Palatino Linotype"/>
          <w:i/>
        </w:rPr>
      </w:pPr>
    </w:p>
    <w:p w:rsidR="00837CB6" w:rsidRPr="00A575B1" w:rsidRDefault="00837CB6" w:rsidP="00837CB6">
      <w:pPr>
        <w:widowControl w:val="0"/>
        <w:autoSpaceDE w:val="0"/>
        <w:autoSpaceDN w:val="0"/>
        <w:adjustRightInd w:val="0"/>
        <w:spacing w:after="0" w:line="240" w:lineRule="auto"/>
        <w:ind w:left="851" w:right="899"/>
        <w:jc w:val="center"/>
        <w:rPr>
          <w:rFonts w:ascii="Palatino Linotype" w:hAnsi="Palatino Linotype"/>
          <w:i/>
        </w:rPr>
      </w:pPr>
      <w:r>
        <w:rPr>
          <w:noProof/>
          <w:lang w:eastAsia="es-MX"/>
        </w:rPr>
        <w:drawing>
          <wp:inline distT="0" distB="0" distL="0" distR="0" wp14:anchorId="5737B773" wp14:editId="5DD0BC88">
            <wp:extent cx="4285097" cy="114979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853" t="40291" r="17217" b="29693"/>
                    <a:stretch/>
                  </pic:blipFill>
                  <pic:spPr bwMode="auto">
                    <a:xfrm>
                      <a:off x="0" y="0"/>
                      <a:ext cx="4308671" cy="1156115"/>
                    </a:xfrm>
                    <a:prstGeom prst="rect">
                      <a:avLst/>
                    </a:prstGeom>
                    <a:ln>
                      <a:noFill/>
                    </a:ln>
                    <a:extLst>
                      <a:ext uri="{53640926-AAD7-44D8-BBD7-CCE9431645EC}">
                        <a14:shadowObscured xmlns:a14="http://schemas.microsoft.com/office/drawing/2010/main"/>
                      </a:ext>
                    </a:extLst>
                  </pic:spPr>
                </pic:pic>
              </a:graphicData>
            </a:graphic>
          </wp:inline>
        </w:drawing>
      </w:r>
    </w:p>
    <w:p w:rsidR="00A575B1"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rFonts w:ascii="Palatino Linotype" w:eastAsia="Calibri" w:hAnsi="Palatino Linotype" w:cs="Arial"/>
          <w:sz w:val="24"/>
          <w:szCs w:val="24"/>
        </w:rPr>
        <w:t xml:space="preserve">Derivado de la normativa en estudio, esta Ponencia Resolutora advirtió la existencia del </w:t>
      </w:r>
      <w:r w:rsidRPr="00837CB6">
        <w:rPr>
          <w:rFonts w:ascii="Palatino Linotype" w:eastAsia="Calibri" w:hAnsi="Palatino Linotype" w:cs="Arial"/>
          <w:sz w:val="24"/>
          <w:szCs w:val="24"/>
        </w:rPr>
        <w:t>Manual de apoyo para el uso del Sistema de Declaraciones y Pago Electrónico “</w:t>
      </w:r>
      <w:proofErr w:type="spellStart"/>
      <w:r w:rsidRPr="00837CB6">
        <w:rPr>
          <w:rFonts w:ascii="Palatino Linotype" w:eastAsia="Calibri" w:hAnsi="Palatino Linotype" w:cs="Arial"/>
          <w:sz w:val="24"/>
          <w:szCs w:val="24"/>
        </w:rPr>
        <w:t>Declar@gua</w:t>
      </w:r>
      <w:proofErr w:type="spellEnd"/>
      <w:r w:rsidRPr="00837CB6">
        <w:rPr>
          <w:rFonts w:ascii="Palatino Linotype" w:eastAsia="Calibri" w:hAnsi="Palatino Linotype" w:cs="Arial"/>
          <w:sz w:val="24"/>
          <w:szCs w:val="24"/>
        </w:rPr>
        <w:t>”</w:t>
      </w:r>
      <w:r>
        <w:rPr>
          <w:rStyle w:val="Refdenotaalpie"/>
          <w:rFonts w:ascii="Palatino Linotype" w:eastAsia="Calibri" w:hAnsi="Palatino Linotype" w:cs="Arial"/>
          <w:sz w:val="24"/>
          <w:szCs w:val="24"/>
        </w:rPr>
        <w:footnoteReference w:id="1"/>
      </w:r>
      <w:r>
        <w:rPr>
          <w:rFonts w:ascii="Palatino Linotype" w:eastAsia="Calibri" w:hAnsi="Palatino Linotype" w:cs="Arial"/>
          <w:sz w:val="24"/>
          <w:szCs w:val="24"/>
        </w:rPr>
        <w:t>, mismo que establece lo siguiente:</w:t>
      </w:r>
    </w:p>
    <w:p w:rsidR="00837CB6" w:rsidRDefault="00837CB6" w:rsidP="00837CB6">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5C14C9BD" wp14:editId="578BC07F">
            <wp:extent cx="5532319" cy="3194462"/>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340" t="13201" r="22625" b="29283"/>
                    <a:stretch/>
                  </pic:blipFill>
                  <pic:spPr bwMode="auto">
                    <a:xfrm>
                      <a:off x="0" y="0"/>
                      <a:ext cx="5611478" cy="3240170"/>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837CB6">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drawing>
          <wp:inline distT="0" distB="0" distL="0" distR="0" wp14:anchorId="01A7A86F" wp14:editId="5EB269FF">
            <wp:extent cx="5445125" cy="2607398"/>
            <wp:effectExtent l="0" t="0" r="3175"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27" t="15700" r="2841" b="4259"/>
                    <a:stretch/>
                  </pic:blipFill>
                  <pic:spPr bwMode="auto">
                    <a:xfrm>
                      <a:off x="0" y="0"/>
                      <a:ext cx="5446232" cy="2607928"/>
                    </a:xfrm>
                    <a:prstGeom prst="rect">
                      <a:avLst/>
                    </a:prstGeom>
                    <a:ln>
                      <a:noFill/>
                    </a:ln>
                    <a:extLst>
                      <a:ext uri="{53640926-AAD7-44D8-BBD7-CCE9431645EC}">
                        <a14:shadowObscured xmlns:a14="http://schemas.microsoft.com/office/drawing/2010/main"/>
                      </a:ext>
                    </a:extLst>
                  </pic:spPr>
                </pic:pic>
              </a:graphicData>
            </a:graphic>
          </wp:inline>
        </w:drawing>
      </w:r>
    </w:p>
    <w:p w:rsidR="00D8575A"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lastRenderedPageBreak/>
        <w:drawing>
          <wp:inline distT="0" distB="0" distL="0" distR="0" wp14:anchorId="4FFCBF0F" wp14:editId="2C30DB1D">
            <wp:extent cx="5679941" cy="134191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95" t="18617" r="5413" b="43169"/>
                    <a:stretch/>
                  </pic:blipFill>
                  <pic:spPr bwMode="auto">
                    <a:xfrm>
                      <a:off x="0" y="0"/>
                      <a:ext cx="5727340" cy="1353109"/>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drawing>
          <wp:inline distT="0" distB="0" distL="0" distR="0" wp14:anchorId="60F7FA53" wp14:editId="53661FD2">
            <wp:extent cx="5552222" cy="139876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86" t="24175" r="4790" b="34972"/>
                    <a:stretch/>
                  </pic:blipFill>
                  <pic:spPr bwMode="auto">
                    <a:xfrm>
                      <a:off x="0" y="0"/>
                      <a:ext cx="5579751" cy="1405695"/>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drawing>
          <wp:inline distT="0" distB="0" distL="0" distR="0" wp14:anchorId="35E1B482" wp14:editId="0014D5A1">
            <wp:extent cx="5481142" cy="1555668"/>
            <wp:effectExtent l="0" t="0" r="5715"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70" t="11393" r="4718" b="50813"/>
                    <a:stretch/>
                  </pic:blipFill>
                  <pic:spPr bwMode="auto">
                    <a:xfrm>
                      <a:off x="0" y="0"/>
                      <a:ext cx="5507442" cy="1563133"/>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lastRenderedPageBreak/>
        <w:drawing>
          <wp:inline distT="0" distB="0" distL="0" distR="0" wp14:anchorId="135CD64A" wp14:editId="39EAF667">
            <wp:extent cx="5577629" cy="2024743"/>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36" t="27232" r="5020" b="25799"/>
                    <a:stretch/>
                  </pic:blipFill>
                  <pic:spPr bwMode="auto">
                    <a:xfrm>
                      <a:off x="0" y="0"/>
                      <a:ext cx="5606697" cy="2035295"/>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drawing>
          <wp:inline distT="0" distB="0" distL="0" distR="0" wp14:anchorId="06B5CFE9" wp14:editId="2043B3C9">
            <wp:extent cx="5634841" cy="1929130"/>
            <wp:effectExtent l="0" t="0" r="444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80" t="18200" r="2686" b="35252"/>
                    <a:stretch/>
                  </pic:blipFill>
                  <pic:spPr bwMode="auto">
                    <a:xfrm>
                      <a:off x="0" y="0"/>
                      <a:ext cx="5654680" cy="1935922"/>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drawing>
          <wp:inline distT="0" distB="0" distL="0" distR="0" wp14:anchorId="450812C0" wp14:editId="2F422626">
            <wp:extent cx="5532270" cy="189411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27" t="10004" r="4321" b="47337"/>
                    <a:stretch/>
                  </pic:blipFill>
                  <pic:spPr bwMode="auto">
                    <a:xfrm>
                      <a:off x="0" y="0"/>
                      <a:ext cx="5551260" cy="1900616"/>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noProof/>
          <w:lang w:eastAsia="es-MX"/>
        </w:rPr>
        <w:lastRenderedPageBreak/>
        <w:drawing>
          <wp:inline distT="0" distB="0" distL="0" distR="0" wp14:anchorId="6B4738DA" wp14:editId="4336C48F">
            <wp:extent cx="5440680" cy="1745673"/>
            <wp:effectExtent l="0" t="0" r="762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89" t="19451" r="3845" b="36219"/>
                    <a:stretch/>
                  </pic:blipFill>
                  <pic:spPr bwMode="auto">
                    <a:xfrm>
                      <a:off x="0" y="0"/>
                      <a:ext cx="5459527" cy="1751720"/>
                    </a:xfrm>
                    <a:prstGeom prst="rect">
                      <a:avLst/>
                    </a:prstGeom>
                    <a:ln>
                      <a:noFill/>
                    </a:ln>
                    <a:extLst>
                      <a:ext uri="{53640926-AAD7-44D8-BBD7-CCE9431645EC}">
                        <a14:shadowObscured xmlns:a14="http://schemas.microsoft.com/office/drawing/2010/main"/>
                      </a:ext>
                    </a:extLst>
                  </pic:spPr>
                </pic:pic>
              </a:graphicData>
            </a:graphic>
          </wp:inline>
        </w:drawing>
      </w:r>
    </w:p>
    <w:p w:rsidR="00837CB6" w:rsidRDefault="00837CB6"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drawing>
          <wp:inline distT="0" distB="0" distL="0" distR="0" wp14:anchorId="28E4F696" wp14:editId="66E9F6D8">
            <wp:extent cx="5201216" cy="255307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24" t="16672" r="5262" b="4959"/>
                    <a:stretch/>
                  </pic:blipFill>
                  <pic:spPr bwMode="auto">
                    <a:xfrm>
                      <a:off x="0" y="0"/>
                      <a:ext cx="5201890" cy="2553408"/>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2B47FD8F" wp14:editId="62A878DF">
            <wp:extent cx="5195454" cy="270700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4459" t="14727" r="15037" b="18023"/>
                    <a:stretch/>
                  </pic:blipFill>
                  <pic:spPr bwMode="auto">
                    <a:xfrm>
                      <a:off x="0" y="0"/>
                      <a:ext cx="5226263" cy="2723058"/>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B80126"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mc:AlternateContent>
          <mc:Choice Requires="wps">
            <w:drawing>
              <wp:anchor distT="0" distB="0" distL="114300" distR="114300" simplePos="0" relativeHeight="251663360" behindDoc="0" locked="0" layoutInCell="1" allowOverlap="1">
                <wp:simplePos x="0" y="0"/>
                <wp:positionH relativeFrom="column">
                  <wp:posOffset>329565</wp:posOffset>
                </wp:positionH>
                <wp:positionV relativeFrom="paragraph">
                  <wp:posOffset>1688465</wp:posOffset>
                </wp:positionV>
                <wp:extent cx="5486400" cy="2009775"/>
                <wp:effectExtent l="0" t="0" r="19050" b="28575"/>
                <wp:wrapNone/>
                <wp:docPr id="12" name="Conector recto 12"/>
                <wp:cNvGraphicFramePr/>
                <a:graphic xmlns:a="http://schemas.openxmlformats.org/drawingml/2006/main">
                  <a:graphicData uri="http://schemas.microsoft.com/office/word/2010/wordprocessingShape">
                    <wps:wsp>
                      <wps:cNvCnPr/>
                      <wps:spPr>
                        <a:xfrm>
                          <a:off x="0" y="0"/>
                          <a:ext cx="5486400" cy="20097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933B8E" id="Conector recto 1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5pt,132.95pt" to="457.95pt,2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" strokecolor="#5b9bd5 [3204]" strokeweight="1.5pt">
                <v:stroke joinstyle="miter"/>
              </v:line>
            </w:pict>
          </mc:Fallback>
        </mc:AlternateContent>
      </w:r>
      <w:r w:rsidR="00E350FC">
        <w:rPr>
          <w:noProof/>
          <w:lang w:eastAsia="es-MX"/>
        </w:rPr>
        <w:drawing>
          <wp:inline distT="0" distB="0" distL="0" distR="0" wp14:anchorId="54665ADD" wp14:editId="0BF09877">
            <wp:extent cx="5272405" cy="1591294"/>
            <wp:effectExtent l="0" t="0" r="444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632" t="39457" r="18395" b="27750"/>
                    <a:stretch/>
                  </pic:blipFill>
                  <pic:spPr bwMode="auto">
                    <a:xfrm>
                      <a:off x="0" y="0"/>
                      <a:ext cx="5339137" cy="1611435"/>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487813C3" wp14:editId="4C11C1FF">
            <wp:extent cx="5577484" cy="292133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162" t="20701" r="14873" b="23297"/>
                    <a:stretch/>
                  </pic:blipFill>
                  <pic:spPr bwMode="auto">
                    <a:xfrm>
                      <a:off x="0" y="0"/>
                      <a:ext cx="5622304" cy="2944806"/>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B80126"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mc:AlternateContent>
          <mc:Choice Requires="wps">
            <w:drawing>
              <wp:anchor distT="0" distB="0" distL="114300" distR="114300" simplePos="0" relativeHeight="251664384" behindDoc="0" locked="0" layoutInCell="1" allowOverlap="1">
                <wp:simplePos x="0" y="0"/>
                <wp:positionH relativeFrom="column">
                  <wp:posOffset>253365</wp:posOffset>
                </wp:positionH>
                <wp:positionV relativeFrom="paragraph">
                  <wp:posOffset>2226945</wp:posOffset>
                </wp:positionV>
                <wp:extent cx="5485856" cy="1333500"/>
                <wp:effectExtent l="0" t="0" r="19685" b="19050"/>
                <wp:wrapNone/>
                <wp:docPr id="13" name="Conector recto 13"/>
                <wp:cNvGraphicFramePr/>
                <a:graphic xmlns:a="http://schemas.openxmlformats.org/drawingml/2006/main">
                  <a:graphicData uri="http://schemas.microsoft.com/office/word/2010/wordprocessingShape">
                    <wps:wsp>
                      <wps:cNvCnPr/>
                      <wps:spPr>
                        <a:xfrm>
                          <a:off x="0" y="0"/>
                          <a:ext cx="5485856" cy="13335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961F4F" id="Conector recto 1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pt,175.35pt" to="451.9pt,2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" strokecolor="#5b9bd5 [3204]" strokeweight="1.5pt">
                <v:stroke joinstyle="miter"/>
              </v:line>
            </w:pict>
          </mc:Fallback>
        </mc:AlternateContent>
      </w:r>
      <w:r w:rsidR="00E350FC">
        <w:rPr>
          <w:noProof/>
          <w:lang w:eastAsia="es-MX"/>
        </w:rPr>
        <w:drawing>
          <wp:inline distT="0" distB="0" distL="0" distR="0" wp14:anchorId="094D2946" wp14:editId="6384FC6E">
            <wp:extent cx="5547318" cy="2297875"/>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756" t="22924" r="16515" b="42058"/>
                    <a:stretch/>
                  </pic:blipFill>
                  <pic:spPr bwMode="auto">
                    <a:xfrm>
                      <a:off x="0" y="0"/>
                      <a:ext cx="5612956" cy="2325064"/>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C50FA9"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mc:AlternateContent>
          <mc:Choice Requires="wps">
            <w:drawing>
              <wp:anchor distT="0" distB="0" distL="114300" distR="114300" simplePos="0" relativeHeight="251666432" behindDoc="0" locked="0" layoutInCell="1" allowOverlap="1">
                <wp:simplePos x="0" y="0"/>
                <wp:positionH relativeFrom="column">
                  <wp:posOffset>91440</wp:posOffset>
                </wp:positionH>
                <wp:positionV relativeFrom="paragraph">
                  <wp:posOffset>3629659</wp:posOffset>
                </wp:positionV>
                <wp:extent cx="5772150" cy="3076575"/>
                <wp:effectExtent l="0" t="0" r="19050" b="28575"/>
                <wp:wrapNone/>
                <wp:docPr id="15" name="Conector recto 15"/>
                <wp:cNvGraphicFramePr/>
                <a:graphic xmlns:a="http://schemas.openxmlformats.org/drawingml/2006/main">
                  <a:graphicData uri="http://schemas.microsoft.com/office/word/2010/wordprocessingShape">
                    <wps:wsp>
                      <wps:cNvCnPr/>
                      <wps:spPr>
                        <a:xfrm>
                          <a:off x="0" y="0"/>
                          <a:ext cx="5772150" cy="30765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C66F6C" id="Conector recto 15"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7.2pt,285.8pt" to="461.7pt,5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" strokecolor="#5b9bd5 [3204]" strokeweight="1.5pt">
                <v:stroke joinstyle="miter"/>
              </v:line>
            </w:pict>
          </mc:Fallback>
        </mc:AlternateContent>
      </w:r>
      <w:r w:rsidR="00E350FC">
        <w:rPr>
          <w:noProof/>
          <w:lang w:eastAsia="es-MX"/>
        </w:rPr>
        <w:drawing>
          <wp:inline distT="0" distB="0" distL="0" distR="0" wp14:anchorId="6630F49A" wp14:editId="07DACF2B">
            <wp:extent cx="5605780" cy="349134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756" t="20146" r="14568" b="9409"/>
                    <a:stretch/>
                  </pic:blipFill>
                  <pic:spPr bwMode="auto">
                    <a:xfrm>
                      <a:off x="0" y="0"/>
                      <a:ext cx="5641102" cy="3513344"/>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58815321" wp14:editId="196A5FBE">
            <wp:extent cx="5495735" cy="2968831"/>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459" t="21118" r="15504" b="11627"/>
                    <a:stretch/>
                  </pic:blipFill>
                  <pic:spPr bwMode="auto">
                    <a:xfrm>
                      <a:off x="0" y="0"/>
                      <a:ext cx="5521283" cy="2982632"/>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drawing>
          <wp:inline distT="0" distB="0" distL="0" distR="0" wp14:anchorId="73F80DAC" wp14:editId="5C6E97C0">
            <wp:extent cx="5465660" cy="3319153"/>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006" t="11393" r="15817" b="19689"/>
                    <a:stretch/>
                  </pic:blipFill>
                  <pic:spPr bwMode="auto">
                    <a:xfrm>
                      <a:off x="0" y="0"/>
                      <a:ext cx="5502601" cy="3341587"/>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566B085D" wp14:editId="17FF3D0B">
            <wp:extent cx="5572567" cy="2375065"/>
            <wp:effectExtent l="0" t="0" r="9525"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648" t="15839" r="15897" b="41366"/>
                    <a:stretch/>
                  </pic:blipFill>
                  <pic:spPr bwMode="auto">
                    <a:xfrm>
                      <a:off x="0" y="0"/>
                      <a:ext cx="5621470" cy="2395908"/>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C50FA9"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mc:AlternateContent>
          <mc:Choice Requires="wps">
            <w:drawing>
              <wp:anchor distT="0" distB="0" distL="114300" distR="114300" simplePos="0" relativeHeight="251667456" behindDoc="0" locked="0" layoutInCell="1" allowOverlap="1">
                <wp:simplePos x="0" y="0"/>
                <wp:positionH relativeFrom="column">
                  <wp:posOffset>158114</wp:posOffset>
                </wp:positionH>
                <wp:positionV relativeFrom="paragraph">
                  <wp:posOffset>1447164</wp:posOffset>
                </wp:positionV>
                <wp:extent cx="5705475" cy="2605405"/>
                <wp:effectExtent l="0" t="0" r="28575" b="23495"/>
                <wp:wrapNone/>
                <wp:docPr id="16" name="Conector recto 16"/>
                <wp:cNvGraphicFramePr/>
                <a:graphic xmlns:a="http://schemas.openxmlformats.org/drawingml/2006/main">
                  <a:graphicData uri="http://schemas.microsoft.com/office/word/2010/wordprocessingShape">
                    <wps:wsp>
                      <wps:cNvCnPr/>
                      <wps:spPr>
                        <a:xfrm>
                          <a:off x="0" y="0"/>
                          <a:ext cx="5705475" cy="260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481B0A" id="Conector recto 1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2.45pt,113.95pt" to="461.7pt,3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" strokecolor="#5b9bd5 [3204]" strokeweight="1.5pt">
                <v:stroke joinstyle="miter"/>
              </v:line>
            </w:pict>
          </mc:Fallback>
        </mc:AlternateContent>
      </w:r>
      <w:r w:rsidR="00E350FC">
        <w:rPr>
          <w:noProof/>
          <w:lang w:eastAsia="es-MX"/>
        </w:rPr>
        <w:drawing>
          <wp:inline distT="0" distB="0" distL="0" distR="0" wp14:anchorId="4D400640" wp14:editId="040F5ADB">
            <wp:extent cx="5716820" cy="14428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335" t="25426" r="15817" b="51787"/>
                    <a:stretch/>
                  </pic:blipFill>
                  <pic:spPr bwMode="auto">
                    <a:xfrm>
                      <a:off x="0" y="0"/>
                      <a:ext cx="5805855" cy="1465323"/>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B80126"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mc:AlternateContent>
          <mc:Choice Requires="wps">
            <w:drawing>
              <wp:anchor distT="0" distB="0" distL="114300" distR="114300" simplePos="0" relativeHeight="251665408" behindDoc="0" locked="0" layoutInCell="1" allowOverlap="1">
                <wp:simplePos x="0" y="0"/>
                <wp:positionH relativeFrom="column">
                  <wp:posOffset>215264</wp:posOffset>
                </wp:positionH>
                <wp:positionV relativeFrom="paragraph">
                  <wp:posOffset>3448685</wp:posOffset>
                </wp:positionV>
                <wp:extent cx="5648325" cy="3248025"/>
                <wp:effectExtent l="0" t="0" r="28575" b="28575"/>
                <wp:wrapNone/>
                <wp:docPr id="14" name="Conector recto 14"/>
                <wp:cNvGraphicFramePr/>
                <a:graphic xmlns:a="http://schemas.openxmlformats.org/drawingml/2006/main">
                  <a:graphicData uri="http://schemas.microsoft.com/office/word/2010/wordprocessingShape">
                    <wps:wsp>
                      <wps:cNvCnPr/>
                      <wps:spPr>
                        <a:xfrm>
                          <a:off x="0" y="0"/>
                          <a:ext cx="5648325" cy="32480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1F269E" id="Conector recto 1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271.55pt" to="461.7pt,5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" strokecolor="#5b9bd5 [3204]" strokeweight="1.5pt">
                <v:stroke joinstyle="miter"/>
              </v:line>
            </w:pict>
          </mc:Fallback>
        </mc:AlternateContent>
      </w:r>
      <w:r w:rsidR="00E350FC">
        <w:rPr>
          <w:noProof/>
          <w:lang w:eastAsia="es-MX"/>
        </w:rPr>
        <w:drawing>
          <wp:inline distT="0" distB="0" distL="0" distR="0" wp14:anchorId="521E70A8" wp14:editId="47D49B3C">
            <wp:extent cx="5589270" cy="3408218"/>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834" t="14310" r="15109" b="19407"/>
                    <a:stretch/>
                  </pic:blipFill>
                  <pic:spPr bwMode="auto">
                    <a:xfrm>
                      <a:off x="0" y="0"/>
                      <a:ext cx="5642764" cy="3440838"/>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3FC0BA1D" wp14:editId="6E6FA6C9">
            <wp:extent cx="5593489" cy="3283527"/>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068" t="16255" r="14793" b="16903"/>
                    <a:stretch/>
                  </pic:blipFill>
                  <pic:spPr bwMode="auto">
                    <a:xfrm>
                      <a:off x="0" y="0"/>
                      <a:ext cx="5623731" cy="3301280"/>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drawing>
          <wp:inline distT="0" distB="0" distL="0" distR="0" wp14:anchorId="1BA2B733" wp14:editId="2D760260">
            <wp:extent cx="5586730" cy="305195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772" t="10142" r="15581" b="27886"/>
                    <a:stretch/>
                  </pic:blipFill>
                  <pic:spPr bwMode="auto">
                    <a:xfrm>
                      <a:off x="0" y="0"/>
                      <a:ext cx="5620044" cy="3070158"/>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C50FA9"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mc:AlternateContent>
          <mc:Choice Requires="wps">
            <w:drawing>
              <wp:anchor distT="0" distB="0" distL="114300" distR="114300" simplePos="0" relativeHeight="251668480" behindDoc="0" locked="0" layoutInCell="1" allowOverlap="1">
                <wp:simplePos x="0" y="0"/>
                <wp:positionH relativeFrom="column">
                  <wp:posOffset>15240</wp:posOffset>
                </wp:positionH>
                <wp:positionV relativeFrom="paragraph">
                  <wp:posOffset>3610610</wp:posOffset>
                </wp:positionV>
                <wp:extent cx="5791200" cy="3086100"/>
                <wp:effectExtent l="0" t="0" r="19050" b="19050"/>
                <wp:wrapNone/>
                <wp:docPr id="46" name="Conector recto 46"/>
                <wp:cNvGraphicFramePr/>
                <a:graphic xmlns:a="http://schemas.openxmlformats.org/drawingml/2006/main">
                  <a:graphicData uri="http://schemas.microsoft.com/office/word/2010/wordprocessingShape">
                    <wps:wsp>
                      <wps:cNvCnPr/>
                      <wps:spPr>
                        <a:xfrm>
                          <a:off x="0" y="0"/>
                          <a:ext cx="5791200" cy="30861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153485" id="Conector recto 4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2pt,284.3pt" to="457.2pt,5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" strokecolor="#5b9bd5 [3204]" strokeweight="1.5pt">
                <v:stroke joinstyle="miter"/>
              </v:line>
            </w:pict>
          </mc:Fallback>
        </mc:AlternateContent>
      </w:r>
      <w:r w:rsidR="00E350FC">
        <w:rPr>
          <w:noProof/>
          <w:lang w:eastAsia="es-MX"/>
        </w:rPr>
        <w:drawing>
          <wp:inline distT="0" distB="0" distL="0" distR="0" wp14:anchorId="4A4B6803" wp14:editId="32525248">
            <wp:extent cx="5563413" cy="334290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632" t="16533" r="14172" b="13294"/>
                    <a:stretch/>
                  </pic:blipFill>
                  <pic:spPr bwMode="auto">
                    <a:xfrm>
                      <a:off x="0" y="0"/>
                      <a:ext cx="5598387" cy="3363919"/>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C50FA9"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mc:AlternateContent>
          <mc:Choice Requires="wps">
            <w:drawing>
              <wp:anchor distT="0" distB="0" distL="114300" distR="114300" simplePos="0" relativeHeight="251669504" behindDoc="0" locked="0" layoutInCell="1" allowOverlap="1">
                <wp:simplePos x="0" y="0"/>
                <wp:positionH relativeFrom="column">
                  <wp:posOffset>5714</wp:posOffset>
                </wp:positionH>
                <wp:positionV relativeFrom="paragraph">
                  <wp:posOffset>3134359</wp:posOffset>
                </wp:positionV>
                <wp:extent cx="5800725" cy="3571875"/>
                <wp:effectExtent l="0" t="0" r="28575" b="28575"/>
                <wp:wrapNone/>
                <wp:docPr id="47" name="Conector recto 47"/>
                <wp:cNvGraphicFramePr/>
                <a:graphic xmlns:a="http://schemas.openxmlformats.org/drawingml/2006/main">
                  <a:graphicData uri="http://schemas.microsoft.com/office/word/2010/wordprocessingShape">
                    <wps:wsp>
                      <wps:cNvCnPr/>
                      <wps:spPr>
                        <a:xfrm>
                          <a:off x="0" y="0"/>
                          <a:ext cx="5800725" cy="35718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6CF757" id="Conector recto 47"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5pt,246.8pt" to="457.2pt,5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" strokecolor="#5b9bd5 [3204]" strokeweight="1.5pt">
                <v:stroke joinstyle="miter"/>
              </v:line>
            </w:pict>
          </mc:Fallback>
        </mc:AlternateContent>
      </w:r>
      <w:r w:rsidR="00E350FC">
        <w:rPr>
          <w:noProof/>
          <w:lang w:eastAsia="es-MX"/>
        </w:rPr>
        <w:drawing>
          <wp:inline distT="0" distB="0" distL="0" distR="0" wp14:anchorId="6E6D0B6A" wp14:editId="562325A8">
            <wp:extent cx="5491572" cy="320633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677" t="20284" r="15039" b="11772"/>
                    <a:stretch/>
                  </pic:blipFill>
                  <pic:spPr bwMode="auto">
                    <a:xfrm>
                      <a:off x="0" y="0"/>
                      <a:ext cx="5521725" cy="3223943"/>
                    </a:xfrm>
                    <a:prstGeom prst="rect">
                      <a:avLst/>
                    </a:prstGeom>
                    <a:ln>
                      <a:noFill/>
                    </a:ln>
                    <a:extLst>
                      <a:ext uri="{53640926-AAD7-44D8-BBD7-CCE9431645EC}">
                        <a14:shadowObscured xmlns:a14="http://schemas.microsoft.com/office/drawing/2010/main"/>
                      </a:ext>
                    </a:extLst>
                  </pic:spPr>
                </pic:pic>
              </a:graphicData>
            </a:graphic>
          </wp:inline>
        </w:drawing>
      </w:r>
    </w:p>
    <w:p w:rsidR="00E350FC" w:rsidRDefault="00E350FC" w:rsidP="00E350FC">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5B497382" wp14:editId="0F7D0BEB">
            <wp:extent cx="5493302" cy="382979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866" t="20562" r="16278" b="17320"/>
                    <a:stretch/>
                  </pic:blipFill>
                  <pic:spPr bwMode="auto">
                    <a:xfrm>
                      <a:off x="0" y="0"/>
                      <a:ext cx="5556787" cy="3874052"/>
                    </a:xfrm>
                    <a:prstGeom prst="rect">
                      <a:avLst/>
                    </a:prstGeom>
                    <a:ln>
                      <a:noFill/>
                    </a:ln>
                    <a:extLst>
                      <a:ext uri="{53640926-AAD7-44D8-BBD7-CCE9431645EC}">
                        <a14:shadowObscured xmlns:a14="http://schemas.microsoft.com/office/drawing/2010/main"/>
                      </a:ext>
                    </a:extLst>
                  </pic:spPr>
                </pic:pic>
              </a:graphicData>
            </a:graphic>
          </wp:inline>
        </w:drawing>
      </w:r>
    </w:p>
    <w:p w:rsidR="001F4F16" w:rsidRDefault="00E350FC"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rFonts w:ascii="Palatino Linotype" w:eastAsia="Calibri" w:hAnsi="Palatino Linotype" w:cs="Arial"/>
          <w:sz w:val="24"/>
          <w:szCs w:val="24"/>
        </w:rPr>
        <w:t xml:space="preserve">En consecuencia de todo lo anterior, es evidente que por la concesión otorgada para el uso y aprovechamiento de aguas nacionales tiene que pagar los derechos correspondientes de manera trimestral y de acuerdo a lo establecido por el Manual en comento; motivo por el cual resulta importante referir que aun cuando la directora de Finanzas es la Servidora Pública Habilitada considerada competente para conocer de los egresos del </w:t>
      </w:r>
      <w:r w:rsidRPr="00E350FC">
        <w:rPr>
          <w:rFonts w:ascii="Palatino Linotype" w:eastAsia="Calibri" w:hAnsi="Palatino Linotype" w:cs="Arial"/>
          <w:b/>
          <w:sz w:val="24"/>
          <w:szCs w:val="24"/>
        </w:rPr>
        <w:t>SUJETO</w:t>
      </w:r>
      <w:r>
        <w:rPr>
          <w:rFonts w:ascii="Palatino Linotype" w:eastAsia="Calibri" w:hAnsi="Palatino Linotype" w:cs="Arial"/>
          <w:sz w:val="24"/>
          <w:szCs w:val="24"/>
        </w:rPr>
        <w:t xml:space="preserve"> </w:t>
      </w:r>
      <w:r w:rsidRPr="00E350FC">
        <w:rPr>
          <w:rFonts w:ascii="Palatino Linotype" w:eastAsia="Calibri" w:hAnsi="Palatino Linotype" w:cs="Arial"/>
          <w:b/>
          <w:sz w:val="24"/>
          <w:szCs w:val="24"/>
        </w:rPr>
        <w:t>OBLIGADO</w:t>
      </w:r>
      <w:r>
        <w:rPr>
          <w:rFonts w:ascii="Palatino Linotype" w:eastAsia="Calibri" w:hAnsi="Palatino Linotype" w:cs="Arial"/>
          <w:sz w:val="24"/>
          <w:szCs w:val="24"/>
        </w:rPr>
        <w:t xml:space="preserve"> lo cierto es que su respuesta no se encuentra debidamente fundada y motivada; razón por la cual, este Órgano Garante, en aras de garantizar el principio de máxima publicidad establecido en la fracción VII del artículo </w:t>
      </w:r>
      <w:r>
        <w:rPr>
          <w:rFonts w:ascii="Palatino Linotype" w:eastAsia="Calibri" w:hAnsi="Palatino Linotype" w:cs="Arial"/>
          <w:sz w:val="24"/>
          <w:szCs w:val="24"/>
        </w:rPr>
        <w:lastRenderedPageBreak/>
        <w:t xml:space="preserve">9 de la </w:t>
      </w:r>
      <w:r w:rsidR="001F4F16">
        <w:rPr>
          <w:rFonts w:ascii="Palatino Linotype" w:eastAsia="Calibri" w:hAnsi="Palatino Linotype" w:cs="Arial"/>
          <w:sz w:val="24"/>
          <w:szCs w:val="24"/>
        </w:rPr>
        <w:t>Ley de la materia, determina</w:t>
      </w:r>
      <w:r w:rsidR="00EA33AF">
        <w:rPr>
          <w:rFonts w:ascii="Palatino Linotype" w:eastAsia="Calibri" w:hAnsi="Palatino Linotype" w:cs="Arial"/>
          <w:sz w:val="24"/>
          <w:szCs w:val="24"/>
        </w:rPr>
        <w:t xml:space="preserve"> se realice </w:t>
      </w:r>
      <w:r w:rsidR="001F4F16" w:rsidRPr="001F4F16">
        <w:rPr>
          <w:rFonts w:ascii="Palatino Linotype" w:eastAsia="Calibri" w:hAnsi="Palatino Linotype" w:cs="Arial"/>
          <w:b/>
          <w:sz w:val="24"/>
          <w:szCs w:val="24"/>
        </w:rPr>
        <w:t>una nueva búsqueda exhaustiva y razonable</w:t>
      </w:r>
      <w:r w:rsidR="001F4F16">
        <w:rPr>
          <w:rFonts w:ascii="Palatino Linotype" w:eastAsia="Calibri" w:hAnsi="Palatino Linotype" w:cs="Arial"/>
          <w:sz w:val="24"/>
          <w:szCs w:val="24"/>
        </w:rPr>
        <w:t xml:space="preserve"> de la información solicitada; ello de conformidad con lo establecido en el diverso 162 de la Ley Sustantiva en cita.</w:t>
      </w:r>
    </w:p>
    <w:p w:rsidR="00EA33AF" w:rsidRPr="00EA33AF" w:rsidRDefault="00EA33AF" w:rsidP="00EA33AF">
      <w:pPr>
        <w:shd w:val="clear" w:color="auto" w:fill="FFFFFF"/>
        <w:spacing w:before="100" w:beforeAutospacing="1" w:after="100" w:afterAutospacing="1" w:line="360" w:lineRule="auto"/>
        <w:jc w:val="both"/>
        <w:rPr>
          <w:rFonts w:ascii="Palatino Linotype" w:hAnsi="Palatino Linotype" w:cs="Arial"/>
          <w:sz w:val="24"/>
          <w:szCs w:val="24"/>
        </w:rPr>
      </w:pPr>
      <w:r w:rsidRPr="00EA33AF">
        <w:rPr>
          <w:rFonts w:ascii="Palatino Linotype" w:hAnsi="Palatino Linotype" w:cs="Arial"/>
          <w:sz w:val="24"/>
          <w:szCs w:val="24"/>
        </w:rPr>
        <w:t>Sirviendo de sustento a lo anterior, el criterio de la Suprema Corte de Justicia de la Nación ha establecido jurisprudencia respecto a qué debe entenderse por fundamentación y motivación, en los siguientes términos:</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rPr>
        <w:t>“</w:t>
      </w:r>
      <w:r w:rsidRPr="00D07D6D">
        <w:rPr>
          <w:rFonts w:ascii="Palatino Linotype" w:hAnsi="Palatino Linotype" w:cs="Arial"/>
          <w:b/>
          <w:i/>
        </w:rPr>
        <w:t>FUNDAMENTACIÓN Y MOTIVACIÓN</w:t>
      </w:r>
      <w:r w:rsidRPr="00D07D6D">
        <w:rPr>
          <w:rFonts w:ascii="Palatino Linotype" w:hAnsi="Palatino Linotype" w:cs="Arial"/>
          <w:i/>
        </w:rPr>
        <w:t>.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EA33AF" w:rsidRDefault="00EA33AF" w:rsidP="00EA33AF">
      <w:pPr>
        <w:shd w:val="clear" w:color="auto" w:fill="FFFFFF"/>
        <w:spacing w:after="0" w:line="240" w:lineRule="auto"/>
        <w:ind w:left="851" w:right="902"/>
        <w:jc w:val="both"/>
        <w:rPr>
          <w:rFonts w:ascii="Palatino Linotype" w:hAnsi="Palatino Linotype" w:cs="Arial"/>
          <w:i/>
        </w:rPr>
      </w:pP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SEGUNDO TRIBUNAL COLEGIADO DEL SEXTO CIRCUITO.</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Amparo directo 194/88. Bufete Industrial Construcciones, S.A. de C.V. 28 de junio de 1988. Unanimidad de votos. Ponente: Gustavo Calvillo Rangel. Secretario: Jorge Alberto González Álvarez.</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 xml:space="preserve">Revisión fiscal 103/88. Instituto Mexicano del Seguro Social. 18 de octubre de 1988. Unanimidad de votos. Ponente: Arnoldo Nájera Virgen. Secretario: Alejandro </w:t>
      </w:r>
      <w:proofErr w:type="spellStart"/>
      <w:r w:rsidRPr="00D07D6D">
        <w:rPr>
          <w:rFonts w:ascii="Palatino Linotype" w:hAnsi="Palatino Linotype" w:cs="Arial"/>
          <w:i/>
        </w:rPr>
        <w:t>Esponda</w:t>
      </w:r>
      <w:proofErr w:type="spellEnd"/>
      <w:r w:rsidRPr="00D07D6D">
        <w:rPr>
          <w:rFonts w:ascii="Palatino Linotype" w:hAnsi="Palatino Linotype" w:cs="Arial"/>
          <w:i/>
        </w:rPr>
        <w:t xml:space="preserve"> Rincón.</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 xml:space="preserve">Amparo en revisión 333/88. </w:t>
      </w:r>
      <w:proofErr w:type="spellStart"/>
      <w:r w:rsidRPr="00D07D6D">
        <w:rPr>
          <w:rFonts w:ascii="Palatino Linotype" w:hAnsi="Palatino Linotype" w:cs="Arial"/>
          <w:i/>
        </w:rPr>
        <w:t>Adilia</w:t>
      </w:r>
      <w:proofErr w:type="spellEnd"/>
      <w:r w:rsidRPr="00D07D6D">
        <w:rPr>
          <w:rFonts w:ascii="Palatino Linotype" w:hAnsi="Palatino Linotype" w:cs="Arial"/>
          <w:i/>
        </w:rPr>
        <w:t xml:space="preserve"> Romero. 26 de octubre de 1988. Unanimidad de votos. Ponente: Arnoldo Nájera Virgen. Secretario: Enrique Crispín Campos Ramírez.</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 xml:space="preserve">Amparo en revisión 597/95. Emilio Maurer Bretón. 15 de noviembre de 1995. Unanimidad de votos. Ponente: Clementina Ramírez Moguel </w:t>
      </w:r>
      <w:proofErr w:type="spellStart"/>
      <w:r w:rsidRPr="00D07D6D">
        <w:rPr>
          <w:rFonts w:ascii="Palatino Linotype" w:hAnsi="Palatino Linotype" w:cs="Arial"/>
          <w:i/>
        </w:rPr>
        <w:t>Goyzueta</w:t>
      </w:r>
      <w:proofErr w:type="spellEnd"/>
      <w:r w:rsidRPr="00D07D6D">
        <w:rPr>
          <w:rFonts w:ascii="Palatino Linotype" w:hAnsi="Palatino Linotype" w:cs="Arial"/>
          <w:i/>
        </w:rPr>
        <w:t>. Secretario: Gonzalo Carrera Molina.</w:t>
      </w:r>
    </w:p>
    <w:p w:rsidR="00EA33AF" w:rsidRPr="00D07D6D" w:rsidRDefault="00EA33AF" w:rsidP="00EA33AF">
      <w:pPr>
        <w:shd w:val="clear" w:color="auto" w:fill="FFFFFF"/>
        <w:spacing w:after="0" w:line="240" w:lineRule="auto"/>
        <w:ind w:left="851" w:right="902"/>
        <w:jc w:val="both"/>
        <w:rPr>
          <w:rFonts w:ascii="Palatino Linotype" w:hAnsi="Palatino Linotype" w:cs="Arial"/>
          <w:i/>
        </w:rPr>
      </w:pPr>
      <w:r w:rsidRPr="00D07D6D">
        <w:rPr>
          <w:rFonts w:ascii="Palatino Linotype" w:hAnsi="Palatino Linotype" w:cs="Arial"/>
          <w:i/>
        </w:rPr>
        <w:t xml:space="preserve">Amparo directo 7/96. Pedro Vicente López Miro. 21 de febrero de 1996. Unanimidad de votos. Ponente: María Eugenia Estela Martínez Cardiel. Secretario: Enrique </w:t>
      </w:r>
      <w:proofErr w:type="spellStart"/>
      <w:r w:rsidRPr="00D07D6D">
        <w:rPr>
          <w:rFonts w:ascii="Palatino Linotype" w:hAnsi="Palatino Linotype" w:cs="Arial"/>
          <w:i/>
        </w:rPr>
        <w:t>Baigts</w:t>
      </w:r>
      <w:proofErr w:type="spellEnd"/>
      <w:r w:rsidRPr="00D07D6D">
        <w:rPr>
          <w:rFonts w:ascii="Palatino Linotype" w:hAnsi="Palatino Linotype" w:cs="Arial"/>
          <w:i/>
        </w:rPr>
        <w:t xml:space="preserve"> Muñoz.” (Sic)</w:t>
      </w:r>
    </w:p>
    <w:p w:rsidR="00EA33AF" w:rsidRPr="00EA33AF" w:rsidRDefault="00EA33AF" w:rsidP="00EA33AF">
      <w:pPr>
        <w:shd w:val="clear" w:color="auto" w:fill="FFFFFF"/>
        <w:spacing w:before="100" w:beforeAutospacing="1" w:after="100" w:afterAutospacing="1" w:line="360" w:lineRule="auto"/>
        <w:ind w:right="51"/>
        <w:jc w:val="both"/>
        <w:rPr>
          <w:rFonts w:ascii="Palatino Linotype" w:hAnsi="Palatino Linotype" w:cs="Arial"/>
          <w:i/>
          <w:sz w:val="24"/>
          <w:szCs w:val="24"/>
        </w:rPr>
      </w:pPr>
      <w:r w:rsidRPr="00EA33AF">
        <w:rPr>
          <w:rFonts w:ascii="Palatino Linotype" w:hAnsi="Palatino Linotype" w:cs="Arial"/>
          <w:sz w:val="24"/>
          <w:szCs w:val="24"/>
        </w:rPr>
        <w:lastRenderedPageBreak/>
        <w:t>De igual forma, el Cuarto Tribunal Colegiado en Materia Administrativa del Primer Circuito señala:</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w:t>
      </w:r>
      <w:r w:rsidRPr="00BA7D46">
        <w:rPr>
          <w:rFonts w:ascii="Palatino Linotype" w:hAnsi="Palatino Linotype" w:cs="Arial"/>
          <w:b/>
          <w:i/>
          <w:color w:val="000000"/>
          <w:sz w:val="22"/>
        </w:rPr>
        <w:t>FUNDAMENTACIÓN Y MOTIVACIÓN. EL ASPECTO FORMAL DE LA GARANTÍA Y SU FINALIDAD SE TRADUCEN EN EXPLICAR, JUSTIFICAR, POSIBILITAR LA DEFENSA Y COMUNICAR LA DECISIÓN</w:t>
      </w:r>
      <w:r w:rsidRPr="00BA7D46">
        <w:rPr>
          <w:rFonts w:ascii="Palatino Linotype" w:hAnsi="Palatino Linotype" w:cs="Arial"/>
          <w:i/>
          <w:color w:val="000000"/>
          <w:sz w:val="22"/>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EA33AF"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CUARTO TRIBUNAL COLEGIADO EN MATERIA ADMINISTRATIVA DEL PRIMER CIRCUITO.</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directo 447/2005. Bruno López Castro. 1o. de febrero de 2006. Unanimidad de votos. Ponente: Jean Claude </w:t>
      </w:r>
      <w:proofErr w:type="spellStart"/>
      <w:r w:rsidRPr="00BA7D46">
        <w:rPr>
          <w:rFonts w:ascii="Palatino Linotype" w:hAnsi="Palatino Linotype" w:cs="Arial"/>
          <w:i/>
          <w:color w:val="000000"/>
          <w:sz w:val="22"/>
        </w:rPr>
        <w:t>Tron</w:t>
      </w:r>
      <w:proofErr w:type="spellEnd"/>
      <w:r w:rsidRPr="00BA7D46">
        <w:rPr>
          <w:rFonts w:ascii="Palatino Linotype" w:hAnsi="Palatino Linotype" w:cs="Arial"/>
          <w:i/>
          <w:color w:val="000000"/>
          <w:sz w:val="22"/>
        </w:rPr>
        <w:t xml:space="preserve"> </w:t>
      </w:r>
      <w:proofErr w:type="spellStart"/>
      <w:r w:rsidRPr="00BA7D46">
        <w:rPr>
          <w:rFonts w:ascii="Palatino Linotype" w:hAnsi="Palatino Linotype" w:cs="Arial"/>
          <w:i/>
          <w:color w:val="000000"/>
          <w:sz w:val="22"/>
        </w:rPr>
        <w:t>Petit</w:t>
      </w:r>
      <w:proofErr w:type="spellEnd"/>
      <w:r w:rsidRPr="00BA7D46">
        <w:rPr>
          <w:rFonts w:ascii="Palatino Linotype" w:hAnsi="Palatino Linotype" w:cs="Arial"/>
          <w:i/>
          <w:color w:val="000000"/>
          <w:sz w:val="22"/>
        </w:rPr>
        <w:t>. Secretaria: Claudia Patricia Peraza Espinoza.</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en revisión 631/2005. Jesús Guillermo Mosqueda Martínez. 1o. de febrero de 2006. Unanimidad de votos. Ponente: Jean Claude </w:t>
      </w:r>
      <w:proofErr w:type="spellStart"/>
      <w:r w:rsidRPr="00BA7D46">
        <w:rPr>
          <w:rFonts w:ascii="Palatino Linotype" w:hAnsi="Palatino Linotype" w:cs="Arial"/>
          <w:i/>
          <w:color w:val="000000"/>
          <w:sz w:val="22"/>
        </w:rPr>
        <w:t>Tron</w:t>
      </w:r>
      <w:proofErr w:type="spellEnd"/>
      <w:r w:rsidRPr="00BA7D46">
        <w:rPr>
          <w:rFonts w:ascii="Palatino Linotype" w:hAnsi="Palatino Linotype" w:cs="Arial"/>
          <w:i/>
          <w:color w:val="000000"/>
          <w:sz w:val="22"/>
        </w:rPr>
        <w:t xml:space="preserve"> </w:t>
      </w:r>
      <w:proofErr w:type="spellStart"/>
      <w:r w:rsidRPr="00BA7D46">
        <w:rPr>
          <w:rFonts w:ascii="Palatino Linotype" w:hAnsi="Palatino Linotype" w:cs="Arial"/>
          <w:i/>
          <w:color w:val="000000"/>
          <w:sz w:val="22"/>
        </w:rPr>
        <w:t>Petit</w:t>
      </w:r>
      <w:proofErr w:type="spellEnd"/>
      <w:r w:rsidRPr="00BA7D46">
        <w:rPr>
          <w:rFonts w:ascii="Palatino Linotype" w:hAnsi="Palatino Linotype" w:cs="Arial"/>
          <w:i/>
          <w:color w:val="000000"/>
          <w:sz w:val="22"/>
        </w:rPr>
        <w:t>. Secretaria: Alma Margarita Flores Rodríguez.</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 xml:space="preserve">Amparo directo 400/2005. Pemex Exploración y Producción. 9 de febrero de 2006. Unanimidad de votos. Ponente: Jesús Antonio </w:t>
      </w:r>
      <w:proofErr w:type="spellStart"/>
      <w:r w:rsidRPr="00BA7D46">
        <w:rPr>
          <w:rFonts w:ascii="Palatino Linotype" w:hAnsi="Palatino Linotype" w:cs="Arial"/>
          <w:i/>
          <w:color w:val="000000"/>
          <w:sz w:val="22"/>
        </w:rPr>
        <w:t>Nazar</w:t>
      </w:r>
      <w:proofErr w:type="spellEnd"/>
      <w:r w:rsidRPr="00BA7D46">
        <w:rPr>
          <w:rFonts w:ascii="Palatino Linotype" w:hAnsi="Palatino Linotype" w:cs="Arial"/>
          <w:i/>
          <w:color w:val="000000"/>
          <w:sz w:val="22"/>
        </w:rPr>
        <w:t xml:space="preserve"> Sevilla. Secretaria: Ángela Alvarado Morales.</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lastRenderedPageBreak/>
        <w:t>Amparo directo 27/2006. Arturo Alarcón Carrillo. 15 de febrero de 2006. Unanimidad de votos. Ponente: Hilario Bárcenas Chávez. Secretaria: Karla Mariana Márquez Velasco.</w:t>
      </w:r>
    </w:p>
    <w:p w:rsidR="00EA33AF" w:rsidRPr="00BA7D46" w:rsidRDefault="00EA33AF" w:rsidP="00EA33AF">
      <w:pPr>
        <w:pStyle w:val="Textoindependiente2"/>
        <w:tabs>
          <w:tab w:val="left" w:pos="8172"/>
        </w:tabs>
        <w:spacing w:after="0" w:line="240" w:lineRule="auto"/>
        <w:ind w:left="851" w:right="902"/>
        <w:jc w:val="both"/>
        <w:rPr>
          <w:rFonts w:ascii="Palatino Linotype" w:hAnsi="Palatino Linotype" w:cs="Arial"/>
          <w:i/>
          <w:color w:val="000000"/>
          <w:sz w:val="22"/>
        </w:rPr>
      </w:pPr>
      <w:r w:rsidRPr="00BA7D46">
        <w:rPr>
          <w:rFonts w:ascii="Palatino Linotype" w:hAnsi="Palatino Linotype" w:cs="Arial"/>
          <w:i/>
          <w:color w:val="000000"/>
          <w:sz w:val="22"/>
        </w:rPr>
        <w:t>Amparo en revisión 78/2006. Juan Alcántara Gutiérrez. 1o. de marzo de 2006. Unanimidad de votos. Ponente: Hilario Bárcenas Chávez. Secretaria: Mariza Arellano Pompa.”</w:t>
      </w:r>
      <w:r>
        <w:rPr>
          <w:rFonts w:ascii="Palatino Linotype" w:hAnsi="Palatino Linotype" w:cs="Arial"/>
          <w:i/>
          <w:color w:val="000000"/>
          <w:sz w:val="22"/>
        </w:rPr>
        <w:t xml:space="preserve"> (Sic)</w:t>
      </w:r>
    </w:p>
    <w:p w:rsidR="00D8575A" w:rsidRDefault="001F4F16"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Pr>
          <w:rFonts w:ascii="Palatino Linotype" w:eastAsia="Calibri" w:hAnsi="Palatino Linotype" w:cs="Arial"/>
          <w:sz w:val="24"/>
          <w:szCs w:val="24"/>
        </w:rPr>
        <w:t xml:space="preserve">Bajo tales consideraciones, conviene precisar al </w:t>
      </w:r>
      <w:r>
        <w:rPr>
          <w:rFonts w:ascii="Palatino Linotype" w:eastAsia="Calibri" w:hAnsi="Palatino Linotype" w:cs="Arial"/>
          <w:b/>
          <w:sz w:val="24"/>
          <w:szCs w:val="24"/>
        </w:rPr>
        <w:t xml:space="preserve">SUJETO OBLIGADO </w:t>
      </w:r>
      <w:r>
        <w:rPr>
          <w:rFonts w:ascii="Palatino Linotype" w:eastAsia="Calibri" w:hAnsi="Palatino Linotype" w:cs="Arial"/>
          <w:sz w:val="24"/>
          <w:szCs w:val="24"/>
        </w:rPr>
        <w:t xml:space="preserve">que deberá hacer entrega del documento en el que conste el monto adeudado por el Título de Concesión señalado en la solicitud de información de origen a la fecha de presentación de la misma, es decir, al 3 de octubre de 2019; asimismo deberá hacer entrega del documento en el que conste el pago realizado por concepto del aprovechamiento del Título de Concesión referido y correspondiente al segundo trimestre del año; ello es así derivado de lo establecido en el Manual </w:t>
      </w:r>
      <w:r w:rsidRPr="001F4F16">
        <w:rPr>
          <w:rFonts w:ascii="Palatino Linotype" w:eastAsia="Calibri" w:hAnsi="Palatino Linotype" w:cs="Arial"/>
          <w:sz w:val="24"/>
          <w:szCs w:val="24"/>
        </w:rPr>
        <w:t>de apoyo para el uso del Sistema de Declaraciones y Pago Electrónico “</w:t>
      </w:r>
      <w:proofErr w:type="spellStart"/>
      <w:r w:rsidRPr="001F4F16">
        <w:rPr>
          <w:rFonts w:ascii="Palatino Linotype" w:eastAsia="Calibri" w:hAnsi="Palatino Linotype" w:cs="Arial"/>
          <w:sz w:val="24"/>
          <w:szCs w:val="24"/>
        </w:rPr>
        <w:t>Declar@gua</w:t>
      </w:r>
      <w:proofErr w:type="spellEnd"/>
      <w:r w:rsidRPr="001F4F16">
        <w:rPr>
          <w:rFonts w:ascii="Palatino Linotype" w:eastAsia="Calibri" w:hAnsi="Palatino Linotype" w:cs="Arial"/>
          <w:sz w:val="24"/>
          <w:szCs w:val="24"/>
        </w:rPr>
        <w:t>”</w:t>
      </w:r>
      <w:r>
        <w:rPr>
          <w:rFonts w:ascii="Palatino Linotype" w:eastAsia="Calibri" w:hAnsi="Palatino Linotype" w:cs="Arial"/>
          <w:sz w:val="24"/>
          <w:szCs w:val="24"/>
        </w:rPr>
        <w:t>,  donde puntualmente precisa que de acuerdo con lo establecido en la Ley Federal de Derechos, en su numeral 226 el contribuyente efectuará su pago a más tardar el último día hábil de la siguiente manera</w:t>
      </w:r>
      <w:r>
        <w:rPr>
          <w:rStyle w:val="Refdenotaalpie"/>
          <w:rFonts w:ascii="Palatino Linotype" w:eastAsia="Calibri" w:hAnsi="Palatino Linotype" w:cs="Arial"/>
          <w:sz w:val="24"/>
          <w:szCs w:val="24"/>
        </w:rPr>
        <w:footnoteReference w:id="2"/>
      </w:r>
      <w:r>
        <w:rPr>
          <w:rFonts w:ascii="Palatino Linotype" w:eastAsia="Calibri" w:hAnsi="Palatino Linotype" w:cs="Arial"/>
          <w:sz w:val="24"/>
          <w:szCs w:val="24"/>
        </w:rPr>
        <w:t>:</w:t>
      </w:r>
    </w:p>
    <w:p w:rsidR="001F4F16" w:rsidRPr="00E350FC" w:rsidRDefault="001F4F16" w:rsidP="001F4F16">
      <w:pPr>
        <w:widowControl w:val="0"/>
        <w:autoSpaceDE w:val="0"/>
        <w:autoSpaceDN w:val="0"/>
        <w:adjustRightInd w:val="0"/>
        <w:spacing w:before="100" w:beforeAutospacing="1" w:after="100" w:afterAutospacing="1" w:line="360" w:lineRule="auto"/>
        <w:jc w:val="center"/>
        <w:rPr>
          <w:rFonts w:ascii="Palatino Linotype" w:eastAsia="Calibri" w:hAnsi="Palatino Linotype" w:cs="Arial"/>
          <w:sz w:val="24"/>
          <w:szCs w:val="24"/>
        </w:rPr>
      </w:pPr>
      <w:r>
        <w:rPr>
          <w:noProof/>
          <w:lang w:eastAsia="es-MX"/>
        </w:rPr>
        <w:lastRenderedPageBreak/>
        <w:drawing>
          <wp:inline distT="0" distB="0" distL="0" distR="0" wp14:anchorId="39252647" wp14:editId="50D0FEAB">
            <wp:extent cx="5029139" cy="873659"/>
            <wp:effectExtent l="0" t="0" r="635"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583" t="25286" r="17221" b="53037"/>
                    <a:stretch/>
                  </pic:blipFill>
                  <pic:spPr bwMode="auto">
                    <a:xfrm>
                      <a:off x="0" y="0"/>
                      <a:ext cx="5074095" cy="881469"/>
                    </a:xfrm>
                    <a:prstGeom prst="rect">
                      <a:avLst/>
                    </a:prstGeom>
                    <a:ln>
                      <a:noFill/>
                    </a:ln>
                    <a:extLst>
                      <a:ext uri="{53640926-AAD7-44D8-BBD7-CCE9431645EC}">
                        <a14:shadowObscured xmlns:a14="http://schemas.microsoft.com/office/drawing/2010/main"/>
                      </a:ext>
                    </a:extLst>
                  </pic:spPr>
                </pic:pic>
              </a:graphicData>
            </a:graphic>
          </wp:inline>
        </w:drawing>
      </w:r>
    </w:p>
    <w:p w:rsidR="00EC20D9" w:rsidRDefault="00EC20D9" w:rsidP="00EC20D9">
      <w:pPr>
        <w:spacing w:before="240" w:after="240" w:line="360" w:lineRule="auto"/>
        <w:jc w:val="both"/>
        <w:rPr>
          <w:rFonts w:ascii="Palatino Linotype" w:hAnsi="Palatino Linotype" w:cs="Arial"/>
          <w:sz w:val="24"/>
          <w:szCs w:val="24"/>
        </w:rPr>
      </w:pPr>
      <w:r>
        <w:rPr>
          <w:rFonts w:ascii="Palatino Linotype" w:hAnsi="Palatino Linotype" w:cs="Arial"/>
          <w:sz w:val="24"/>
          <w:szCs w:val="24"/>
        </w:rPr>
        <w:t xml:space="preserve">Así, conviene precisar a las partes que el Reglamento Interior del Organismo Público Descentralizado para la prestación de los Servicios de Agua Potable, Alcantarillado y Saneamiento del Municipio de Zumpango, establece que la Dirección de Finanzas se auxilia a su vez de la </w:t>
      </w:r>
      <w:r w:rsidRPr="00EC20D9">
        <w:rPr>
          <w:rFonts w:ascii="Palatino Linotype" w:hAnsi="Palatino Linotype" w:cs="Arial"/>
          <w:sz w:val="24"/>
          <w:szCs w:val="24"/>
        </w:rPr>
        <w:t>Jefatura</w:t>
      </w:r>
      <w:r>
        <w:rPr>
          <w:rFonts w:ascii="Palatino Linotype" w:hAnsi="Palatino Linotype" w:cs="Arial"/>
          <w:sz w:val="24"/>
          <w:szCs w:val="24"/>
        </w:rPr>
        <w:t xml:space="preserve"> de Contabilidad y Presupuesto; la Jefatura de Ingresos; la </w:t>
      </w:r>
      <w:r w:rsidRPr="00EC20D9">
        <w:rPr>
          <w:rFonts w:ascii="Palatino Linotype" w:hAnsi="Palatino Linotype" w:cs="Arial"/>
          <w:sz w:val="24"/>
          <w:szCs w:val="24"/>
        </w:rPr>
        <w:t>Jefatura de Recursos Materiales y Prog</w:t>
      </w:r>
      <w:r>
        <w:rPr>
          <w:rFonts w:ascii="Palatino Linotype" w:hAnsi="Palatino Linotype" w:cs="Arial"/>
          <w:sz w:val="24"/>
          <w:szCs w:val="24"/>
        </w:rPr>
        <w:t>ramas Federales y Adquisiciones y de la Jefatura de Egresos</w:t>
      </w:r>
      <w:r w:rsidR="000605CE">
        <w:rPr>
          <w:rStyle w:val="Refdenotaalpie"/>
          <w:rFonts w:ascii="Palatino Linotype" w:hAnsi="Palatino Linotype" w:cs="Arial"/>
          <w:sz w:val="24"/>
          <w:szCs w:val="24"/>
        </w:rPr>
        <w:footnoteReference w:id="3"/>
      </w:r>
      <w:r>
        <w:rPr>
          <w:rFonts w:ascii="Palatino Linotype" w:hAnsi="Palatino Linotype" w:cs="Arial"/>
          <w:sz w:val="24"/>
          <w:szCs w:val="24"/>
        </w:rPr>
        <w:t xml:space="preserve">; áreas de las que no obra constancia en el expediente electrónico del recurso de revisión hubieran sido requeridas o que hubieran emitido un pronunciamiento respecto de la información solicitada; razón por la cual, se considera dable ordenar la búsqueda exhaustiva y razonable de la información para posterior entrega al </w:t>
      </w:r>
      <w:r>
        <w:rPr>
          <w:rFonts w:ascii="Palatino Linotype" w:hAnsi="Palatino Linotype" w:cs="Arial"/>
          <w:b/>
          <w:sz w:val="24"/>
          <w:szCs w:val="24"/>
        </w:rPr>
        <w:t xml:space="preserve">RECURRENTE </w:t>
      </w:r>
      <w:r w:rsidR="000605CE">
        <w:rPr>
          <w:rFonts w:ascii="Palatino Linotype" w:hAnsi="Palatino Linotype" w:cs="Arial"/>
          <w:sz w:val="24"/>
          <w:szCs w:val="24"/>
        </w:rPr>
        <w:t>en la modalidad elegida y en versión pública de ser procedente.</w:t>
      </w:r>
      <w:r>
        <w:rPr>
          <w:rFonts w:ascii="Palatino Linotype" w:hAnsi="Palatino Linotype" w:cs="Arial"/>
          <w:sz w:val="24"/>
          <w:szCs w:val="24"/>
        </w:rPr>
        <w:t xml:space="preserve"> </w:t>
      </w:r>
    </w:p>
    <w:p w:rsidR="00EC20D9" w:rsidRPr="00EC20D9" w:rsidRDefault="00EC20D9" w:rsidP="00EC20D9">
      <w:pPr>
        <w:spacing w:before="240" w:after="240" w:line="360" w:lineRule="auto"/>
        <w:jc w:val="both"/>
        <w:rPr>
          <w:rFonts w:ascii="Palatino Linotype" w:hAnsi="Palatino Linotype" w:cs="Arial"/>
          <w:b/>
          <w:sz w:val="24"/>
          <w:szCs w:val="24"/>
        </w:rPr>
      </w:pPr>
      <w:r>
        <w:rPr>
          <w:rFonts w:ascii="Palatino Linotype" w:hAnsi="Palatino Linotype" w:cs="Arial"/>
          <w:sz w:val="24"/>
          <w:szCs w:val="24"/>
        </w:rPr>
        <w:t>Entonces a consecuencia de lo antes expuesto, no se omite señalar que</w:t>
      </w:r>
      <w:r w:rsidRPr="00EC20D9">
        <w:rPr>
          <w:rFonts w:ascii="Palatino Linotype" w:hAnsi="Palatino Linotype" w:cs="Arial"/>
          <w:sz w:val="24"/>
          <w:szCs w:val="24"/>
        </w:rPr>
        <w:t xml:space="preserve"> para el caso de que</w:t>
      </w:r>
      <w:r>
        <w:rPr>
          <w:rFonts w:ascii="Palatino Linotype" w:hAnsi="Palatino Linotype" w:cs="Arial"/>
          <w:sz w:val="24"/>
          <w:szCs w:val="24"/>
        </w:rPr>
        <w:t xml:space="preserve"> una vez acreditada la búsqueda exhaustiva y razonable de la información </w:t>
      </w:r>
      <w:r w:rsidRPr="00EC20D9">
        <w:rPr>
          <w:rFonts w:ascii="Palatino Linotype" w:hAnsi="Palatino Linotype" w:cs="Arial"/>
          <w:b/>
          <w:sz w:val="24"/>
          <w:szCs w:val="24"/>
        </w:rPr>
        <w:t>EL</w:t>
      </w:r>
      <w:r w:rsidRPr="00EC20D9">
        <w:rPr>
          <w:rFonts w:ascii="Palatino Linotype" w:hAnsi="Palatino Linotype" w:cs="Arial"/>
          <w:sz w:val="24"/>
          <w:szCs w:val="24"/>
        </w:rPr>
        <w:t xml:space="preserve"> </w:t>
      </w:r>
      <w:r w:rsidRPr="00EC20D9">
        <w:rPr>
          <w:rFonts w:ascii="Palatino Linotype" w:hAnsi="Palatino Linotype" w:cs="Arial"/>
          <w:b/>
          <w:sz w:val="24"/>
          <w:szCs w:val="24"/>
        </w:rPr>
        <w:t>SUJETO OBLIGADO</w:t>
      </w:r>
      <w:r w:rsidRPr="00EC20D9">
        <w:rPr>
          <w:rFonts w:ascii="Palatino Linotype" w:hAnsi="Palatino Linotype" w:cs="Arial"/>
          <w:sz w:val="24"/>
          <w:szCs w:val="24"/>
        </w:rPr>
        <w:t xml:space="preserve"> no </w:t>
      </w:r>
      <w:r>
        <w:rPr>
          <w:rFonts w:ascii="Palatino Linotype" w:hAnsi="Palatino Linotype" w:cs="Arial"/>
          <w:sz w:val="24"/>
          <w:szCs w:val="24"/>
        </w:rPr>
        <w:t xml:space="preserve">localice </w:t>
      </w:r>
      <w:r w:rsidRPr="00EC20D9">
        <w:rPr>
          <w:rFonts w:ascii="Palatino Linotype" w:hAnsi="Palatino Linotype" w:cs="Arial"/>
          <w:sz w:val="24"/>
          <w:szCs w:val="24"/>
        </w:rPr>
        <w:t xml:space="preserve">la </w:t>
      </w:r>
      <w:r>
        <w:rPr>
          <w:rFonts w:ascii="Palatino Linotype" w:hAnsi="Palatino Linotype" w:cs="Arial"/>
          <w:sz w:val="24"/>
          <w:szCs w:val="24"/>
        </w:rPr>
        <w:t xml:space="preserve">requerida por el hoy </w:t>
      </w:r>
      <w:r>
        <w:rPr>
          <w:rFonts w:ascii="Palatino Linotype" w:hAnsi="Palatino Linotype" w:cs="Arial"/>
          <w:b/>
          <w:sz w:val="24"/>
          <w:szCs w:val="24"/>
        </w:rPr>
        <w:t xml:space="preserve">RECURRENTE, </w:t>
      </w:r>
      <w:r>
        <w:rPr>
          <w:rFonts w:ascii="Palatino Linotype" w:hAnsi="Palatino Linotype" w:cs="Arial"/>
          <w:sz w:val="24"/>
          <w:szCs w:val="24"/>
        </w:rPr>
        <w:t xml:space="preserve">este </w:t>
      </w:r>
      <w:r w:rsidRPr="00EC20D9">
        <w:rPr>
          <w:rFonts w:ascii="Palatino Linotype" w:hAnsi="Palatino Linotype" w:cs="Arial"/>
          <w:sz w:val="24"/>
          <w:szCs w:val="24"/>
        </w:rPr>
        <w:t xml:space="preserve">mediante su Comité de Transparencia </w:t>
      </w:r>
      <w:r w:rsidRPr="00EC20D9">
        <w:rPr>
          <w:rFonts w:ascii="Palatino Linotype" w:hAnsi="Palatino Linotype"/>
          <w:sz w:val="24"/>
          <w:szCs w:val="24"/>
        </w:rPr>
        <w:t xml:space="preserve">deberá emitir un Acuerdo en el que se declare </w:t>
      </w:r>
      <w:r w:rsidRPr="00EC20D9">
        <w:rPr>
          <w:rFonts w:ascii="Palatino Linotype" w:hAnsi="Palatino Linotype"/>
          <w:sz w:val="24"/>
          <w:szCs w:val="24"/>
        </w:rPr>
        <w:lastRenderedPageBreak/>
        <w:t xml:space="preserve">la </w:t>
      </w:r>
      <w:r w:rsidRPr="00EC20D9">
        <w:rPr>
          <w:rFonts w:ascii="Palatino Linotype" w:hAnsi="Palatino Linotype" w:cs="Arial"/>
          <w:sz w:val="24"/>
          <w:szCs w:val="24"/>
        </w:rPr>
        <w:t>Inexistencia de la Información correspondiente, la cual deberá realizarse conforme a lo dispuesto en los artículos 19, 49 fracciones II y XIII, 169 fracción II y 170 de la Ley de Transparencia y Acceso a la Información Pública del Estado de México y Municipios, que establecen la forma en que los Sujetos Obligados deben dar curso a las Declaratorias de Inexistencia; preceptos que se transcriben a continuación:</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bookmarkStart w:id="3" w:name="_GoBack"/>
      <w:bookmarkEnd w:id="3"/>
      <w:r w:rsidRPr="00EC20D9">
        <w:rPr>
          <w:rFonts w:ascii="Palatino Linotype" w:hAnsi="Palatino Linotype" w:cs="Arial"/>
          <w:b/>
          <w:i/>
        </w:rPr>
        <w:t xml:space="preserve">“Artículo 19. </w:t>
      </w:r>
      <w:r w:rsidRPr="00EC20D9">
        <w:rPr>
          <w:rFonts w:ascii="Palatino Linotype" w:hAnsi="Palatino Linotype" w:cs="Arial"/>
          <w:i/>
          <w:u w:val="single"/>
        </w:rPr>
        <w:t xml:space="preserve">Se presume que la información debe existir si se refiere a las facultades, competencias y funciones que los ordenamientos jurídicos aplicables otorgan a los sujetos obligados. </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rPr>
      </w:pPr>
      <w:r w:rsidRPr="00EC20D9">
        <w:rPr>
          <w:rFonts w:ascii="Palatino Linotype" w:hAnsi="Palatino Linotype" w:cs="Arial"/>
          <w:i/>
        </w:rPr>
        <w:t>…</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rPr>
        <w:t xml:space="preserve">Si el sujeto obligado, </w:t>
      </w:r>
      <w:r w:rsidRPr="00EC20D9">
        <w:rPr>
          <w:rFonts w:ascii="Palatino Linotype" w:hAnsi="Palatino Linotype" w:cs="Arial"/>
          <w:b/>
          <w:i/>
        </w:rPr>
        <w:t>en el ejercicio de sus atribuciones, debía generar, poseer o administrar la información, pero ésta no se encuentra</w:t>
      </w:r>
      <w:r w:rsidRPr="00EC20D9">
        <w:rPr>
          <w:rFonts w:ascii="Palatino Linotype" w:hAnsi="Palatino Linotype" w:cs="Arial"/>
          <w:i/>
        </w:rPr>
        <w:t xml:space="preserve">, </w:t>
      </w:r>
      <w:r w:rsidRPr="00EC20D9">
        <w:rPr>
          <w:rFonts w:ascii="Palatino Linotype" w:hAnsi="Palatino Linotype" w:cs="Arial"/>
          <w:i/>
          <w:u w:val="single"/>
        </w:rPr>
        <w:t>el Comité de transparencia deberá emitir un acuerdo de inexistencia, debidamente fundado y motivado, en el que detalle las razones del por qué no obra en sus archivos.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Artículo 49.</w:t>
      </w:r>
      <w:r w:rsidRPr="00EC20D9">
        <w:rPr>
          <w:rFonts w:ascii="Palatino Linotype" w:hAnsi="Palatino Linotype" w:cs="Arial"/>
          <w:i/>
        </w:rPr>
        <w:t xml:space="preserve"> Los </w:t>
      </w:r>
      <w:r w:rsidRPr="00EC20D9">
        <w:rPr>
          <w:rFonts w:ascii="Palatino Linotype" w:hAnsi="Palatino Linotype" w:cs="Arial"/>
          <w:i/>
          <w:u w:val="single"/>
        </w:rPr>
        <w:t>Comités de Transparencia</w:t>
      </w:r>
      <w:r w:rsidRPr="00EC20D9">
        <w:rPr>
          <w:rFonts w:ascii="Palatino Linotype" w:hAnsi="Palatino Linotype" w:cs="Arial"/>
          <w:i/>
        </w:rPr>
        <w:t xml:space="preserve"> tendrán las siguientes atribuciones: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II.</w:t>
      </w:r>
      <w:r w:rsidRPr="00EC20D9">
        <w:rPr>
          <w:rFonts w:ascii="Palatino Linotype" w:hAnsi="Palatino Linotype" w:cs="Arial"/>
          <w:i/>
          <w:u w:val="single"/>
        </w:rPr>
        <w:t xml:space="preserve"> Confirmar, modificar o revocar las determinaciones que en materia de ampliación del plazo de respuesta, clasificación de la información y declaración de inexistencia o de incompetencia realicen los titulares de las áreas de los sujetos obligados;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XIII.</w:t>
      </w:r>
      <w:r w:rsidRPr="00EC20D9">
        <w:rPr>
          <w:rFonts w:ascii="Palatino Linotype" w:hAnsi="Palatino Linotype" w:cs="Arial"/>
          <w:i/>
        </w:rPr>
        <w:t xml:space="preserve"> </w:t>
      </w:r>
      <w:r w:rsidRPr="00EC20D9">
        <w:rPr>
          <w:rFonts w:ascii="Palatino Linotype" w:hAnsi="Palatino Linotype" w:cs="Arial"/>
          <w:i/>
          <w:u w:val="single"/>
        </w:rPr>
        <w:t>Dictaminar las declaratorias de inexistencia de la información que les remitan las unidades administrativas y resolver en consecuencia;</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Artículo 169.</w:t>
      </w:r>
      <w:r w:rsidRPr="00EC20D9">
        <w:rPr>
          <w:rFonts w:ascii="Palatino Linotype" w:hAnsi="Palatino Linotype" w:cs="Arial"/>
          <w:i/>
        </w:rPr>
        <w:t xml:space="preserve"> </w:t>
      </w:r>
      <w:r w:rsidRPr="00EC20D9">
        <w:rPr>
          <w:rFonts w:ascii="Palatino Linotype" w:hAnsi="Palatino Linotype" w:cs="Arial"/>
          <w:i/>
          <w:u w:val="single"/>
        </w:rPr>
        <w:t>Cuando la información no se encuentre en los archivos del sujeto obligado, el Comité de Transparencia:</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I. Analizará el caso y tomará las medidas necesarias para localizar la información;</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II. Expedirá una resolución que confirme la inexistencia del documento;</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 xml:space="preserve">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w:t>
      </w:r>
      <w:r w:rsidRPr="00EC20D9">
        <w:rPr>
          <w:rFonts w:ascii="Palatino Linotype" w:hAnsi="Palatino Linotype" w:cs="Arial"/>
          <w:i/>
          <w:u w:val="single"/>
        </w:rPr>
        <w:lastRenderedPageBreak/>
        <w:t>por las cuales en el caso particular no ejerció dichas facultades, competencias o funciones, lo cual notificará al solicitante a través de la Unidad de Transparencia; y</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IV. Notificará al órgano interno de control o equivalente del sujeto obligado quien, en su caso, deberá iniciar el procedimiento de responsabilidad administrativa que corresponda.</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i/>
          <w:u w:val="single"/>
        </w:rPr>
        <w:t>La Unidad de Transparencia deberá notificarlo al solicitante por escrito, en un plazo que no exceda de quince días hábiles contados a partir del día siguiente a la presentación de la solicitud.</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
          <w:i/>
          <w:u w:val="single"/>
        </w:rPr>
      </w:pPr>
      <w:r w:rsidRPr="00EC20D9">
        <w:rPr>
          <w:rFonts w:ascii="Palatino Linotype" w:hAnsi="Palatino Linotype" w:cs="Arial"/>
          <w:i/>
          <w:u w:val="single"/>
        </w:rPr>
        <w:t>Este plazo podrá ampliarse hasta por otros siete días hábiles, siempre que existan razones para ello, debiendo notificarse por escrito al solicitante.</w:t>
      </w:r>
      <w:r w:rsidRPr="00EC20D9">
        <w:rPr>
          <w:rFonts w:ascii="Palatino Linotype" w:hAnsi="Palatino Linotype" w:cs="Arial"/>
          <w:b/>
          <w:i/>
          <w:u w:val="single"/>
        </w:rPr>
        <w:t xml:space="preserve"> </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u w:val="single"/>
        </w:rPr>
      </w:pPr>
      <w:r w:rsidRPr="00EC20D9">
        <w:rPr>
          <w:rFonts w:ascii="Palatino Linotype" w:hAnsi="Palatino Linotype" w:cs="Arial"/>
          <w:b/>
          <w:i/>
        </w:rPr>
        <w:t>Artículo 170.</w:t>
      </w:r>
      <w:r w:rsidRPr="00EC20D9">
        <w:rPr>
          <w:rFonts w:ascii="Palatino Linotype" w:hAnsi="Palatino Linotype" w:cs="Arial"/>
          <w:i/>
        </w:rPr>
        <w:t xml:space="preserve"> </w:t>
      </w:r>
      <w:r w:rsidRPr="00EC20D9">
        <w:rPr>
          <w:rFonts w:ascii="Palatino Linotype" w:hAnsi="Palatino Linotype" w:cs="Arial"/>
          <w:i/>
          <w:u w:val="single"/>
        </w:rPr>
        <w:t>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i/>
        </w:rPr>
      </w:pPr>
      <w:r w:rsidRPr="00EC20D9">
        <w:rPr>
          <w:rFonts w:ascii="Palatino Linotype" w:hAnsi="Palatino Linotype" w:cs="Arial"/>
          <w:i/>
        </w:rPr>
        <w:t>(Énfasis añadido)</w:t>
      </w:r>
    </w:p>
    <w:p w:rsidR="00EC20D9" w:rsidRPr="00EC20D9" w:rsidRDefault="00EC20D9" w:rsidP="00EC20D9">
      <w:pPr>
        <w:spacing w:before="240" w:after="240" w:line="360" w:lineRule="auto"/>
        <w:jc w:val="both"/>
        <w:rPr>
          <w:rFonts w:ascii="Palatino Linotype" w:hAnsi="Palatino Linotype" w:cs="Arial"/>
          <w:sz w:val="24"/>
          <w:szCs w:val="24"/>
        </w:rPr>
      </w:pPr>
      <w:r w:rsidRPr="00EC20D9">
        <w:rPr>
          <w:rFonts w:ascii="Palatino Linotype" w:hAnsi="Palatino Linotype" w:cs="Arial"/>
          <w:sz w:val="24"/>
          <w:szCs w:val="24"/>
        </w:rPr>
        <w:t>En observancia a lo anterior, resultan aplicables los criterios de interpretación en el orden administrativo número 0003-11 y 004-11 emitidos por Acuerdo del Pleno del Instituto de Transparencia y Acceso a la Información Pública del Estado de México y Municipios, que a la letra dicen:</w:t>
      </w:r>
    </w:p>
    <w:p w:rsidR="00EC20D9" w:rsidRPr="00EC20D9" w:rsidRDefault="00EC20D9" w:rsidP="00EC20D9">
      <w:pPr>
        <w:autoSpaceDE w:val="0"/>
        <w:autoSpaceDN w:val="0"/>
        <w:adjustRightInd w:val="0"/>
        <w:spacing w:after="0" w:line="240" w:lineRule="auto"/>
        <w:ind w:left="851" w:right="902"/>
        <w:jc w:val="center"/>
        <w:rPr>
          <w:rFonts w:ascii="Palatino Linotype" w:hAnsi="Palatino Linotype" w:cs="Arial"/>
          <w:b/>
          <w:bCs/>
          <w:i/>
        </w:rPr>
      </w:pPr>
      <w:r w:rsidRPr="00EC20D9">
        <w:rPr>
          <w:rFonts w:ascii="Palatino Linotype" w:hAnsi="Palatino Linotype" w:cs="Arial"/>
          <w:b/>
          <w:bCs/>
          <w:i/>
        </w:rPr>
        <w:t>“CRITERIO 003-11.</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u w:val="single"/>
        </w:rPr>
      </w:pPr>
      <w:r w:rsidRPr="00EC20D9">
        <w:rPr>
          <w:rFonts w:ascii="Palatino Linotype" w:hAnsi="Palatino Linotype" w:cs="Arial"/>
          <w:b/>
          <w:bCs/>
          <w:i/>
        </w:rPr>
        <w:t xml:space="preserve">“INEXISTENCIA, CONCEPTO DE, EN MATERIA DE TRANSPARENCIA. </w:t>
      </w:r>
      <w:r w:rsidRPr="00EC20D9">
        <w:rPr>
          <w:rFonts w:ascii="Palatino Linotype" w:hAnsi="Palatino Linotype" w:cs="Arial"/>
          <w:bCs/>
          <w:i/>
        </w:rPr>
        <w:t xml:space="preserve">La interpretación sistemática de los artículos 29 y 30, fracción VIII, de la Ley de Transparencia y Acceso a la Información Pública del Estado de México y Municipios, permite concluir que la inexistencia de la </w:t>
      </w:r>
      <w:r w:rsidRPr="00EC20D9">
        <w:rPr>
          <w:rFonts w:ascii="Palatino Linotype" w:hAnsi="Palatino Linotype" w:cs="Arial"/>
          <w:bCs/>
          <w:i/>
          <w:u w:val="single"/>
        </w:rPr>
        <w:t>información</w:t>
      </w:r>
      <w:r w:rsidRPr="00EC20D9">
        <w:rPr>
          <w:rFonts w:ascii="Palatino Linotype" w:hAnsi="Palatino Linotype" w:cs="Arial"/>
          <w:bCs/>
          <w:i/>
        </w:rPr>
        <w:t xml:space="preserve"> en el derecho de acceso a la información pública</w:t>
      </w:r>
      <w:r w:rsidRPr="00EC20D9">
        <w:rPr>
          <w:rFonts w:ascii="Palatino Linotype" w:hAnsi="Palatino Linotype" w:cs="Arial"/>
          <w:bCs/>
          <w:i/>
          <w:u w:val="single"/>
        </w:rPr>
        <w:t xml:space="preserve"> conlleva necesariamente a los siguientes supuestos: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Cs/>
          <w:i/>
        </w:rPr>
        <w:t xml:space="preserve">a) La existencia previa de la documentación y la falta posterior de la misma en los archivos del Sujeto Obligado, esto es, la información se generó, poseyó o administró —cuestión de hecho— en el marco de las atribuciones conferidas al Sujeto Obligado, </w:t>
      </w:r>
      <w:r w:rsidRPr="00EC20D9">
        <w:rPr>
          <w:rFonts w:ascii="Palatino Linotype" w:hAnsi="Palatino Linotype" w:cs="Arial"/>
          <w:bCs/>
          <w:i/>
        </w:rPr>
        <w:lastRenderedPageBreak/>
        <w:t>pero no la conserva por diversas razones (destrucción física, desaparición física, sustracción ilícita, baja documental, etcétera).</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
          <w:bCs/>
          <w:i/>
          <w:u w:val="single"/>
        </w:rPr>
      </w:pPr>
      <w:r w:rsidRPr="00EC20D9">
        <w:rPr>
          <w:rFonts w:ascii="Palatino Linotype" w:hAnsi="Palatino Linotype" w:cs="Arial"/>
          <w:bCs/>
          <w:i/>
        </w:rPr>
        <w:t xml:space="preserve">b) </w:t>
      </w:r>
      <w:r w:rsidRPr="00EC20D9">
        <w:rPr>
          <w:rFonts w:ascii="Palatino Linotype" w:hAnsi="Palatino Linotype" w:cs="Arial"/>
          <w:b/>
          <w:bCs/>
          <w:i/>
          <w:u w:val="single"/>
        </w:rPr>
        <w:t xml:space="preserve">En los casos en que por las atribuciones conferidas al Sujeto Obligado éste debió generar, administrar o poseer la información, pero en incumplimiento a la normatividad respectiva no llevó a cabo </w:t>
      </w:r>
      <w:proofErr w:type="gramStart"/>
      <w:r w:rsidRPr="00EC20D9">
        <w:rPr>
          <w:rFonts w:ascii="Palatino Linotype" w:hAnsi="Palatino Linotype" w:cs="Arial"/>
          <w:b/>
          <w:bCs/>
          <w:i/>
          <w:u w:val="single"/>
        </w:rPr>
        <w:t>ninguna</w:t>
      </w:r>
      <w:proofErr w:type="gramEnd"/>
      <w:r w:rsidRPr="00EC20D9">
        <w:rPr>
          <w:rFonts w:ascii="Palatino Linotype" w:hAnsi="Palatino Linotype" w:cs="Arial"/>
          <w:b/>
          <w:bCs/>
          <w:i/>
          <w:u w:val="single"/>
        </w:rPr>
        <w:t xml:space="preserve"> de esas acciones.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Cs/>
          <w:i/>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EC20D9" w:rsidRPr="00EC20D9" w:rsidRDefault="00EC20D9" w:rsidP="00EC20D9">
      <w:pPr>
        <w:autoSpaceDE w:val="0"/>
        <w:autoSpaceDN w:val="0"/>
        <w:adjustRightInd w:val="0"/>
        <w:spacing w:after="0" w:line="240" w:lineRule="auto"/>
        <w:ind w:left="851" w:right="902"/>
        <w:jc w:val="center"/>
        <w:rPr>
          <w:rFonts w:ascii="Palatino Linotype" w:hAnsi="Palatino Linotype" w:cs="Arial"/>
          <w:b/>
          <w:bCs/>
          <w:i/>
        </w:rPr>
      </w:pPr>
      <w:r w:rsidRPr="00EC20D9">
        <w:rPr>
          <w:rFonts w:ascii="Palatino Linotype" w:hAnsi="Palatino Linotype" w:cs="Arial"/>
          <w:b/>
          <w:bCs/>
          <w:i/>
        </w:rPr>
        <w:t>CRITERIO 004/2011</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
          <w:bCs/>
          <w:i/>
        </w:rPr>
        <w:t xml:space="preserve">INEXISTENCIA. DECLARATORIA DE LA. ALCANCES Y PROCEDIMIENTOS. </w:t>
      </w:r>
      <w:r w:rsidRPr="00EC20D9">
        <w:rPr>
          <w:rFonts w:ascii="Palatino Linotype" w:hAnsi="Palatino Linotype" w:cs="Arial"/>
          <w:bCs/>
          <w:i/>
        </w:rPr>
        <w:t xml:space="preserve">De la interpretación de los artículos 29 y 30, fracción VIII, de la Ley de Transparencia y Acceso a la Información Pública del Estado de México y Municipios, se concluye </w:t>
      </w:r>
      <w:r w:rsidRPr="00EC20D9">
        <w:rPr>
          <w:rFonts w:ascii="Palatino Linotype" w:hAnsi="Palatino Linotype" w:cs="Arial"/>
          <w:bCs/>
          <w:i/>
          <w:u w:val="single"/>
        </w:rPr>
        <w:t xml:space="preserve">que cuando el Titular de la Unidad de Información no localice la documentación solicitada, a pesar de haber sido </w:t>
      </w:r>
      <w:r w:rsidRPr="00EC20D9">
        <w:rPr>
          <w:rFonts w:ascii="Palatino Linotype" w:hAnsi="Palatino Linotype" w:cs="Arial"/>
          <w:bCs/>
          <w:i/>
        </w:rPr>
        <w:t>generada, poseída o</w:t>
      </w:r>
      <w:r w:rsidRPr="00EC20D9">
        <w:rPr>
          <w:rFonts w:ascii="Palatino Linotype" w:hAnsi="Palatino Linotype" w:cs="Arial"/>
          <w:bCs/>
          <w:i/>
          <w:u w:val="single"/>
        </w:rPr>
        <w:t xml:space="preserve"> administrada por el Sujeto Obligado, turnará la solicitud al Comité de Información el cual es el único competente para conocer y deliberar mediante resolución el dictamen de declaratoria de inexistencia</w:t>
      </w:r>
      <w:r w:rsidRPr="00EC20D9">
        <w:rPr>
          <w:rFonts w:ascii="Palatino Linotype" w:hAnsi="Palatino Linotype" w:cs="Arial"/>
          <w:bCs/>
          <w:i/>
        </w:rPr>
        <w:t xml:space="preserve">, la cual tiene como propósito que el particular tenga la certeza jurídica de que el Sujeto Obligado realizó una búsqueda exhaustiva y minuciosa de la información en los archivos a cargo. En consecuencia, </w:t>
      </w:r>
      <w:r w:rsidRPr="00EC20D9">
        <w:rPr>
          <w:rFonts w:ascii="Palatino Linotype" w:hAnsi="Palatino Linotype" w:cs="Arial"/>
          <w:bCs/>
          <w:i/>
          <w:u w:val="single"/>
        </w:rPr>
        <w:t>es deber del Comité de Información instruir una búsqueda exhaustiva a todas y cada una de las áreas que integran orgánica o funcionalmente al Sujeto Obligado, para localizar los documentos que contengan la información materia de una solicitud,</w:t>
      </w:r>
      <w:r w:rsidRPr="00EC20D9">
        <w:rPr>
          <w:rFonts w:ascii="Palatino Linotype" w:hAnsi="Palatino Linotype" w:cs="Arial"/>
          <w:bCs/>
          <w:i/>
        </w:rPr>
        <w:t xml:space="preserve">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Cs/>
          <w:i/>
        </w:rPr>
        <w:t>Bajo el entendido de que dicha búsqueda exhaustiva permitirá dos determinaciones:</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Cs/>
          <w:i/>
        </w:rPr>
        <w:t>a) Que se localice la documentación que contenga la información solicitada y de ser así la información pueda entregarse al solicitante en la forma en que se encuentra disponible, o</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u w:val="single"/>
        </w:rPr>
      </w:pPr>
      <w:r w:rsidRPr="00EC20D9">
        <w:rPr>
          <w:rFonts w:ascii="Palatino Linotype" w:hAnsi="Palatino Linotype" w:cs="Arial"/>
          <w:bCs/>
          <w:i/>
        </w:rPr>
        <w:t>b</w:t>
      </w:r>
      <w:r w:rsidRPr="00EC20D9">
        <w:rPr>
          <w:rFonts w:ascii="Palatino Linotype" w:hAnsi="Palatino Linotype" w:cs="Arial"/>
          <w:bCs/>
          <w:i/>
          <w:u w:val="single"/>
        </w:rPr>
        <w:t xml:space="preserve">) Que no se haya encontrado documento alguno que contenga la información requerida, por lo que agotadas las medidas necesarias de búsqueda de la información </w:t>
      </w:r>
      <w:r w:rsidRPr="00EC20D9">
        <w:rPr>
          <w:rFonts w:ascii="Palatino Linotype" w:hAnsi="Palatino Linotype" w:cs="Arial"/>
          <w:bCs/>
          <w:i/>
          <w:u w:val="single"/>
        </w:rPr>
        <w:lastRenderedPageBreak/>
        <w:t>y de no encontrarla, el Comité de Información deba emitir el dictamen de declaratoria de inexistencia y notificarlo al interesado.</w:t>
      </w:r>
    </w:p>
    <w:p w:rsidR="00EC20D9" w:rsidRPr="00EC20D9" w:rsidRDefault="00EC20D9" w:rsidP="00EC20D9">
      <w:pPr>
        <w:autoSpaceDE w:val="0"/>
        <w:autoSpaceDN w:val="0"/>
        <w:adjustRightInd w:val="0"/>
        <w:spacing w:after="0" w:line="240" w:lineRule="auto"/>
        <w:ind w:left="851" w:right="902"/>
        <w:jc w:val="both"/>
        <w:rPr>
          <w:rFonts w:ascii="Palatino Linotype" w:hAnsi="Palatino Linotype" w:cs="Arial"/>
          <w:bCs/>
          <w:i/>
        </w:rPr>
      </w:pPr>
      <w:r w:rsidRPr="00EC20D9">
        <w:rPr>
          <w:rFonts w:ascii="Palatino Linotype" w:hAnsi="Palatino Linotype" w:cs="Arial"/>
          <w:bCs/>
          <w:i/>
          <w:u w:val="single"/>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r w:rsidRPr="00EC20D9">
        <w:rPr>
          <w:rFonts w:ascii="Palatino Linotype" w:hAnsi="Palatino Linotype" w:cs="Arial"/>
          <w:bCs/>
          <w:i/>
        </w:rPr>
        <w:t>.”</w:t>
      </w:r>
    </w:p>
    <w:p w:rsidR="00EC20D9" w:rsidRPr="00EC20D9" w:rsidRDefault="00EC20D9" w:rsidP="00EC20D9">
      <w:pPr>
        <w:autoSpaceDE w:val="0"/>
        <w:autoSpaceDN w:val="0"/>
        <w:adjustRightInd w:val="0"/>
        <w:spacing w:after="0" w:line="240" w:lineRule="auto"/>
        <w:ind w:left="851" w:right="902"/>
        <w:jc w:val="both"/>
        <w:rPr>
          <w:rFonts w:ascii="Palatino Linotype" w:eastAsia="Calibri" w:hAnsi="Palatino Linotype" w:cs="Arial"/>
        </w:rPr>
      </w:pPr>
      <w:r w:rsidRPr="00EC20D9">
        <w:rPr>
          <w:rFonts w:ascii="Palatino Linotype" w:eastAsia="Calibri" w:hAnsi="Palatino Linotype" w:cs="Arial"/>
        </w:rPr>
        <w:t>(Énfasis añadido)</w:t>
      </w:r>
    </w:p>
    <w:p w:rsidR="00EC20D9" w:rsidRPr="00EB54F8" w:rsidRDefault="00EC20D9" w:rsidP="00EC20D9">
      <w:pPr>
        <w:autoSpaceDE w:val="0"/>
        <w:autoSpaceDN w:val="0"/>
        <w:adjustRightInd w:val="0"/>
        <w:spacing w:before="240" w:after="240" w:line="360" w:lineRule="auto"/>
        <w:ind w:right="49"/>
        <w:jc w:val="both"/>
        <w:rPr>
          <w:rFonts w:ascii="Palatino Linotype" w:eastAsia="Calibri" w:hAnsi="Palatino Linotype" w:cs="Arial"/>
          <w:sz w:val="24"/>
          <w:szCs w:val="24"/>
        </w:rPr>
      </w:pPr>
      <w:r w:rsidRPr="00EC20D9">
        <w:rPr>
          <w:rFonts w:ascii="Palatino Linotype" w:eastAsia="Calibri" w:hAnsi="Palatino Linotype" w:cs="Arial"/>
          <w:sz w:val="24"/>
          <w:szCs w:val="24"/>
        </w:rPr>
        <w:t xml:space="preserve">Lo anterior, atendiendo a que como se adujo existe obligatoriedad por parte del </w:t>
      </w:r>
      <w:r w:rsidRPr="00EC20D9">
        <w:rPr>
          <w:rFonts w:ascii="Palatino Linotype" w:eastAsia="Calibri" w:hAnsi="Palatino Linotype" w:cs="Arial"/>
          <w:b/>
          <w:sz w:val="24"/>
          <w:szCs w:val="24"/>
        </w:rPr>
        <w:t>SUJETO OBLIGADO</w:t>
      </w:r>
      <w:r w:rsidRPr="00EC20D9">
        <w:rPr>
          <w:rFonts w:ascii="Palatino Linotype" w:eastAsia="Calibri" w:hAnsi="Palatino Linotype" w:cs="Arial"/>
          <w:sz w:val="24"/>
          <w:szCs w:val="24"/>
        </w:rPr>
        <w:t xml:space="preserve"> para contar con la información que recibe de otras </w:t>
      </w:r>
      <w:r w:rsidR="000605CE">
        <w:rPr>
          <w:rFonts w:ascii="Palatino Linotype" w:eastAsia="Calibri" w:hAnsi="Palatino Linotype" w:cs="Arial"/>
          <w:sz w:val="24"/>
          <w:szCs w:val="24"/>
        </w:rPr>
        <w:t>áreas;</w:t>
      </w:r>
      <w:r w:rsidRPr="00EC20D9">
        <w:rPr>
          <w:rFonts w:ascii="Palatino Linotype" w:eastAsia="Calibri" w:hAnsi="Palatino Linotype" w:cs="Arial"/>
          <w:sz w:val="24"/>
          <w:szCs w:val="24"/>
        </w:rPr>
        <w:t xml:space="preserve"> </w:t>
      </w:r>
      <w:r w:rsidRPr="00EC20D9">
        <w:rPr>
          <w:rFonts w:ascii="Palatino Linotype" w:eastAsia="Calibri" w:hAnsi="Palatino Linotype" w:cs="Arial"/>
          <w:color w:val="000000"/>
          <w:sz w:val="24"/>
          <w:szCs w:val="24"/>
          <w:lang w:eastAsia="es-MX"/>
        </w:rPr>
        <w:t>por lo que, de no contar con ella, deberá fundar y motivar mediante el Acuerdo en el que se declare la inexistencia de la información.</w:t>
      </w:r>
    </w:p>
    <w:p w:rsidR="000605CE" w:rsidRPr="0027505D" w:rsidRDefault="000605CE" w:rsidP="000605CE">
      <w:pPr>
        <w:spacing w:before="100" w:beforeAutospacing="1" w:after="100" w:afterAutospacing="1" w:line="360" w:lineRule="auto"/>
        <w:jc w:val="both"/>
        <w:rPr>
          <w:rFonts w:ascii="Palatino Linotype" w:eastAsia="Arial Unicode MS" w:hAnsi="Palatino Linotype" w:cs="Arial"/>
          <w:sz w:val="24"/>
          <w:szCs w:val="24"/>
        </w:rPr>
      </w:pPr>
      <w:r w:rsidRPr="0027505D">
        <w:rPr>
          <w:rFonts w:ascii="Palatino Linotype" w:hAnsi="Palatino Linotype"/>
          <w:color w:val="000000"/>
          <w:sz w:val="24"/>
          <w:szCs w:val="24"/>
        </w:rPr>
        <w:t xml:space="preserve">Ahora </w:t>
      </w:r>
      <w:r w:rsidRPr="0027505D">
        <w:rPr>
          <w:rFonts w:ascii="Palatino Linotype" w:hAnsi="Palatino Linotype" w:cs="Arial"/>
          <w:noProof/>
          <w:sz w:val="24"/>
          <w:szCs w:val="24"/>
          <w:lang w:eastAsia="es-MX"/>
        </w:rPr>
        <w:t>bien</w:t>
      </w:r>
      <w:r w:rsidRPr="0027505D">
        <w:rPr>
          <w:rFonts w:ascii="Palatino Linotype" w:hAnsi="Palatino Linotype"/>
          <w:color w:val="000000"/>
          <w:sz w:val="24"/>
          <w:szCs w:val="24"/>
        </w:rPr>
        <w:t xml:space="preserve">, en relación a la </w:t>
      </w:r>
      <w:r w:rsidRPr="0027505D">
        <w:rPr>
          <w:rFonts w:ascii="Palatino Linotype" w:hAnsi="Palatino Linotype"/>
          <w:b/>
          <w:color w:val="000000"/>
          <w:sz w:val="24"/>
          <w:szCs w:val="24"/>
        </w:rPr>
        <w:t xml:space="preserve">versión pública </w:t>
      </w:r>
      <w:r w:rsidRPr="0027505D">
        <w:rPr>
          <w:rFonts w:ascii="Palatino Linotype" w:hAnsi="Palatino Linotype"/>
          <w:color w:val="000000"/>
          <w:sz w:val="24"/>
          <w:szCs w:val="24"/>
        </w:rPr>
        <w:t xml:space="preserve">de la información de la que se ordena su entrega, en términos del artículo 143 de la Ley de Transparencia y Acceso a la Información Pública del Estado de México y Municipios, esto es que, deberá </w:t>
      </w:r>
      <w:r w:rsidRPr="0027505D">
        <w:rPr>
          <w:rFonts w:ascii="Palatino Linotype" w:eastAsia="Arial Unicode MS" w:hAnsi="Palatino Linotype" w:cs="Arial"/>
          <w:sz w:val="24"/>
          <w:szCs w:val="24"/>
        </w:rPr>
        <w:t>omitirse, eliminarse o suprimirse la</w:t>
      </w:r>
      <w:r w:rsidRPr="0027505D">
        <w:rPr>
          <w:rFonts w:ascii="Palatino Linotype" w:hAnsi="Palatino Linotype"/>
          <w:color w:val="000000"/>
          <w:sz w:val="24"/>
          <w:szCs w:val="24"/>
        </w:rPr>
        <w:t xml:space="preserve"> información </w:t>
      </w:r>
      <w:r w:rsidRPr="0027505D">
        <w:rPr>
          <w:rFonts w:ascii="Palatino Linotype" w:hAnsi="Palatino Linotype"/>
          <w:b/>
          <w:color w:val="000000"/>
          <w:sz w:val="24"/>
          <w:szCs w:val="24"/>
        </w:rPr>
        <w:t>confidencial</w:t>
      </w:r>
      <w:r w:rsidRPr="0027505D">
        <w:rPr>
          <w:rFonts w:ascii="Palatino Linotype" w:eastAsia="Arial Unicode MS" w:hAnsi="Palatino Linotype" w:cs="Arial"/>
          <w:sz w:val="24"/>
          <w:szCs w:val="24"/>
        </w:rPr>
        <w:t xml:space="preserve">. </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rPr>
      </w:pPr>
      <w:r w:rsidRPr="0027505D">
        <w:rPr>
          <w:rFonts w:ascii="Palatino Linotype" w:eastAsia="Arial Unicode MS" w:hAnsi="Palatino Linotype" w:cs="Arial"/>
          <w:sz w:val="24"/>
          <w:szCs w:val="24"/>
        </w:rPr>
        <w:t xml:space="preserve">En ese sentido, </w:t>
      </w:r>
      <w:r w:rsidRPr="0027505D">
        <w:rPr>
          <w:rFonts w:ascii="Palatino Linotype" w:hAnsi="Palatino Linotype" w:cs="Arial"/>
          <w:sz w:val="24"/>
          <w:szCs w:val="24"/>
        </w:rPr>
        <w:t xml:space="preserve">sólo podrán ser testados los datos que actualicen las hipótesis normativas previstas en dicho precepto legal, y deberá procederse a su clasificación mediante las formalidades de Ley, es decir, que el Comité de Transparencia del </w:t>
      </w:r>
      <w:r w:rsidRPr="0027505D">
        <w:rPr>
          <w:rFonts w:ascii="Palatino Linotype" w:hAnsi="Palatino Linotype" w:cs="Arial"/>
          <w:b/>
          <w:sz w:val="24"/>
          <w:szCs w:val="24"/>
        </w:rPr>
        <w:t>SUJETO OBLIGADO</w:t>
      </w:r>
      <w:r w:rsidRPr="0027505D">
        <w:rPr>
          <w:rFonts w:ascii="Palatino Linotype" w:hAnsi="Palatino Linotype" w:cs="Arial"/>
          <w:sz w:val="24"/>
          <w:szCs w:val="24"/>
        </w:rPr>
        <w:t xml:space="preserve"> emita el Acuerdo de Clasificación correspondiente debidamente fundado y motivado, en el cual se sustente la versión pública, misma que deberá cumplir cabalmente con las formalidades previstas en el precepto antes referido, así </w:t>
      </w:r>
      <w:r w:rsidRPr="0027505D">
        <w:rPr>
          <w:rFonts w:ascii="Palatino Linotype" w:hAnsi="Palatino Linotype" w:cs="Arial"/>
          <w:sz w:val="24"/>
          <w:szCs w:val="24"/>
        </w:rPr>
        <w:lastRenderedPageBreak/>
        <w:t>como con los numerales aplicables de los LINEAMIENTOS GENERALES EN MATERIA DE CLASIFICACIÓN Y DESCLASIFICACIÓN DE LA INFORMACIÓN, ASÍ COMO PARA LA ELABORACIÓN DE VERSIONES PÚBLICAS, publicados en el Diario Oficial de la Federación en fecha 15 de abril de 2016, mediante Acuerdo del Consejo Nacional del Sistema Nacional de Transparencia, Acceso a la Información Pública y Protección de Datos Personales.</w:t>
      </w:r>
    </w:p>
    <w:p w:rsidR="000605CE" w:rsidRDefault="000605CE" w:rsidP="000605CE">
      <w:pPr>
        <w:spacing w:before="100" w:beforeAutospacing="1" w:after="100" w:afterAutospacing="1" w:line="360" w:lineRule="auto"/>
        <w:jc w:val="both"/>
        <w:rPr>
          <w:rFonts w:ascii="Palatino Linotype" w:hAnsi="Palatino Linotype"/>
          <w:sz w:val="24"/>
          <w:szCs w:val="24"/>
        </w:rPr>
      </w:pPr>
      <w:r w:rsidRPr="0027505D">
        <w:rPr>
          <w:rFonts w:ascii="Palatino Linotype" w:hAnsi="Palatino Linotype"/>
          <w:sz w:val="24"/>
          <w:szCs w:val="24"/>
        </w:rPr>
        <w:t xml:space="preserve">En el caso específico de los recibos de nómina, obran datos que son considerados </w:t>
      </w:r>
      <w:r w:rsidRPr="0027505D">
        <w:rPr>
          <w:rFonts w:ascii="Palatino Linotype" w:hAnsi="Palatino Linotype" w:cs="Arial"/>
          <w:sz w:val="24"/>
          <w:szCs w:val="24"/>
        </w:rPr>
        <w:t>confidenciales</w:t>
      </w:r>
      <w:r w:rsidRPr="0027505D">
        <w:rPr>
          <w:rFonts w:ascii="Palatino Linotype" w:hAnsi="Palatino Linotype"/>
          <w:sz w:val="24"/>
          <w:szCs w:val="24"/>
        </w:rPr>
        <w:t xml:space="preserve">, cuyo acceso </w:t>
      </w:r>
      <w:r w:rsidRPr="0027505D">
        <w:rPr>
          <w:rFonts w:ascii="Palatino Linotype" w:hAnsi="Palatino Linotype" w:cs="Arial"/>
          <w:sz w:val="24"/>
          <w:szCs w:val="24"/>
        </w:rPr>
        <w:t>debe</w:t>
      </w:r>
      <w:r w:rsidRPr="0027505D">
        <w:rPr>
          <w:rFonts w:ascii="Palatino Linotype" w:hAnsi="Palatino Linotype"/>
          <w:sz w:val="24"/>
          <w:szCs w:val="24"/>
        </w:rPr>
        <w:t xml:space="preserve"> ser restringido, los cuales </w:t>
      </w:r>
      <w:r w:rsidRPr="0027505D">
        <w:rPr>
          <w:rFonts w:ascii="Palatino Linotype" w:hAnsi="Palatino Linotype" w:cs="Arial"/>
          <w:sz w:val="24"/>
          <w:szCs w:val="24"/>
        </w:rPr>
        <w:t xml:space="preserve">deben testarse al momento de la elaboración de versiones públicas, como es el caso del </w:t>
      </w:r>
      <w:r w:rsidRPr="0027505D">
        <w:rPr>
          <w:rFonts w:ascii="Palatino Linotype" w:hAnsi="Palatino Linotype" w:cs="Arial"/>
          <w:b/>
          <w:sz w:val="24"/>
          <w:szCs w:val="24"/>
        </w:rPr>
        <w:t>Registro Federal de Contribuyentes</w:t>
      </w:r>
      <w:r>
        <w:rPr>
          <w:rFonts w:ascii="Palatino Linotype" w:hAnsi="Palatino Linotype" w:cs="Arial"/>
          <w:sz w:val="24"/>
          <w:szCs w:val="24"/>
        </w:rPr>
        <w:t xml:space="preserve"> (RFC) y </w:t>
      </w:r>
      <w:r w:rsidRPr="0027505D">
        <w:rPr>
          <w:rFonts w:ascii="Palatino Linotype" w:hAnsi="Palatino Linotype" w:cs="Arial"/>
          <w:sz w:val="24"/>
          <w:szCs w:val="24"/>
        </w:rPr>
        <w:t xml:space="preserve">la </w:t>
      </w:r>
      <w:r w:rsidRPr="0027505D">
        <w:rPr>
          <w:rFonts w:ascii="Palatino Linotype" w:hAnsi="Palatino Linotype" w:cs="Arial"/>
          <w:b/>
          <w:sz w:val="24"/>
          <w:szCs w:val="24"/>
        </w:rPr>
        <w:t>Clave Única de Registro de Población</w:t>
      </w:r>
      <w:r>
        <w:rPr>
          <w:rFonts w:ascii="Palatino Linotype" w:hAnsi="Palatino Linotype" w:cs="Arial"/>
          <w:sz w:val="24"/>
          <w:szCs w:val="24"/>
        </w:rPr>
        <w:t xml:space="preserve"> (CURP). </w:t>
      </w:r>
      <w:r w:rsidRPr="0027505D">
        <w:rPr>
          <w:rFonts w:ascii="Palatino Linotype" w:hAnsi="Palatino Linotype" w:cs="Arial"/>
          <w:sz w:val="24"/>
          <w:szCs w:val="24"/>
          <w:lang w:eastAsia="es-MX"/>
        </w:rPr>
        <w:t xml:space="preserve">Por cuanto hace al </w:t>
      </w:r>
      <w:r w:rsidRPr="0027505D">
        <w:rPr>
          <w:rFonts w:ascii="Palatino Linotype" w:hAnsi="Palatino Linotype" w:cs="Arial"/>
          <w:b/>
          <w:sz w:val="24"/>
          <w:szCs w:val="24"/>
          <w:lang w:eastAsia="es-MX"/>
        </w:rPr>
        <w:t>RFC</w:t>
      </w:r>
      <w:r w:rsidRPr="0027505D">
        <w:rPr>
          <w:rFonts w:ascii="Palatino Linotype" w:hAnsi="Palatino Linotype" w:cs="Arial"/>
          <w:sz w:val="24"/>
          <w:szCs w:val="24"/>
          <w:lang w:eastAsia="es-MX"/>
        </w:rPr>
        <w:t xml:space="preserve"> </w:t>
      </w:r>
      <w:r w:rsidRPr="0027505D">
        <w:rPr>
          <w:rFonts w:ascii="Palatino Linotype" w:hAnsi="Palatino Linotype" w:cs="Arial"/>
          <w:b/>
          <w:sz w:val="24"/>
          <w:szCs w:val="24"/>
          <w:lang w:eastAsia="es-MX"/>
        </w:rPr>
        <w:t>de las personas físicas</w:t>
      </w:r>
      <w:r w:rsidRPr="0027505D">
        <w:rPr>
          <w:rFonts w:ascii="Palatino Linotype" w:hAnsi="Palatino Linotype" w:cs="Arial"/>
          <w:sz w:val="24"/>
          <w:szCs w:val="24"/>
          <w:lang w:eastAsia="es-MX"/>
        </w:rPr>
        <w:t xml:space="preserve">, constituye un dato personal, ya que se genera con caracteres alfanuméricos obtenidos a partir del nombre en mayúsculas sin acentos ni diéresis y la fecha de nacimiento de cada persona; es decir la primera letra </w:t>
      </w:r>
      <w:r w:rsidRPr="0027505D">
        <w:rPr>
          <w:rFonts w:ascii="Palatino Linotype" w:hAnsi="Palatino Linotype" w:cs="Arial"/>
          <w:sz w:val="24"/>
          <w:szCs w:val="24"/>
        </w:rPr>
        <w:t>del</w:t>
      </w:r>
      <w:r w:rsidRPr="0027505D">
        <w:rPr>
          <w:rFonts w:ascii="Palatino Linotype" w:hAnsi="Palatino Linotype" w:cs="Arial"/>
          <w:sz w:val="24"/>
          <w:szCs w:val="24"/>
          <w:lang w:eastAsia="es-MX"/>
        </w:rPr>
        <w:t xml:space="preserve"> apellido paterno; seguida de la primera letra Vocal del primer apellido; seguida de la primera letra del segundo apellido y por último la primera letra del nombre, posterior la fecha de nacimiento año/mes/día</w:t>
      </w:r>
      <w:r w:rsidRPr="0027505D">
        <w:rPr>
          <w:rFonts w:ascii="Palatino Linotype" w:hAnsi="Palatino Linotype"/>
          <w:sz w:val="24"/>
          <w:szCs w:val="24"/>
        </w:rPr>
        <w:t xml:space="preserve"> y finalmente la </w:t>
      </w:r>
      <w:proofErr w:type="spellStart"/>
      <w:r w:rsidRPr="0027505D">
        <w:rPr>
          <w:rFonts w:ascii="Palatino Linotype" w:hAnsi="Palatino Linotype"/>
          <w:sz w:val="24"/>
          <w:szCs w:val="24"/>
        </w:rPr>
        <w:t>homoclave</w:t>
      </w:r>
      <w:proofErr w:type="spellEnd"/>
      <w:r w:rsidRPr="0027505D">
        <w:rPr>
          <w:rFonts w:ascii="Palatino Linotype" w:hAnsi="Palatino Linotype"/>
          <w:sz w:val="24"/>
          <w:szCs w:val="24"/>
        </w:rPr>
        <w:t>; la cual, para su obtención es necesario acreditar personalidad, fecha de nacimiento entre otros con documentos oficiales.</w:t>
      </w:r>
    </w:p>
    <w:p w:rsidR="000605CE" w:rsidRPr="0027505D" w:rsidRDefault="000605CE" w:rsidP="000605CE">
      <w:pPr>
        <w:spacing w:before="100" w:beforeAutospacing="1" w:after="100" w:afterAutospacing="1" w:line="360" w:lineRule="auto"/>
        <w:jc w:val="both"/>
        <w:rPr>
          <w:rFonts w:ascii="Palatino Linotype" w:hAnsi="Palatino Linotype"/>
          <w:b/>
          <w:bCs/>
          <w:color w:val="000000"/>
          <w:sz w:val="24"/>
          <w:szCs w:val="24"/>
        </w:rPr>
      </w:pPr>
      <w:r w:rsidRPr="0027505D">
        <w:rPr>
          <w:rFonts w:ascii="Palatino Linotype" w:hAnsi="Palatino Linotype" w:cs="Arial"/>
          <w:sz w:val="24"/>
          <w:szCs w:val="24"/>
          <w:lang w:eastAsia="es-MX"/>
        </w:rPr>
        <w:lastRenderedPageBreak/>
        <w:t xml:space="preserve">Al respecto, </w:t>
      </w:r>
      <w:r w:rsidRPr="0027505D">
        <w:rPr>
          <w:rFonts w:ascii="Palatino Linotype" w:hAnsi="Palatino Linotype" w:cs="Arial"/>
          <w:color w:val="000000"/>
          <w:sz w:val="24"/>
          <w:szCs w:val="24"/>
        </w:rPr>
        <w:t xml:space="preserve">es aplicable el Criterio 19/17 de la Segunda Época, emitido por </w:t>
      </w:r>
      <w:r w:rsidRPr="0027505D">
        <w:rPr>
          <w:rFonts w:ascii="Palatino Linotype" w:eastAsia="Arial Unicode MS" w:hAnsi="Palatino Linotype" w:cs="Arial"/>
          <w:color w:val="000000"/>
          <w:sz w:val="24"/>
          <w:szCs w:val="24"/>
        </w:rPr>
        <w:t xml:space="preserve">el Instituto Nacional de </w:t>
      </w:r>
      <w:r w:rsidRPr="0027505D">
        <w:rPr>
          <w:rFonts w:ascii="Palatino Linotype" w:hAnsi="Palatino Linotype"/>
          <w:bCs/>
          <w:sz w:val="24"/>
          <w:szCs w:val="24"/>
        </w:rPr>
        <w:t>Transparencia</w:t>
      </w:r>
      <w:r w:rsidRPr="0027505D">
        <w:rPr>
          <w:rFonts w:ascii="Palatino Linotype" w:eastAsia="Arial Unicode MS" w:hAnsi="Palatino Linotype" w:cs="Arial"/>
          <w:color w:val="000000"/>
          <w:sz w:val="24"/>
          <w:szCs w:val="24"/>
        </w:rPr>
        <w:t xml:space="preserve">, Acceso a la </w:t>
      </w:r>
      <w:r w:rsidRPr="0027505D">
        <w:rPr>
          <w:rFonts w:ascii="Palatino Linotype" w:hAnsi="Palatino Linotype" w:cs="Arial"/>
          <w:sz w:val="24"/>
          <w:szCs w:val="24"/>
        </w:rPr>
        <w:t>Información</w:t>
      </w:r>
      <w:r w:rsidRPr="0027505D">
        <w:rPr>
          <w:rFonts w:ascii="Palatino Linotype" w:eastAsia="Arial Unicode MS" w:hAnsi="Palatino Linotype" w:cs="Arial"/>
          <w:color w:val="000000"/>
          <w:sz w:val="24"/>
          <w:szCs w:val="24"/>
        </w:rPr>
        <w:t xml:space="preserve"> y Protección de Datos Personales,</w:t>
      </w:r>
      <w:r w:rsidRPr="0027505D">
        <w:rPr>
          <w:rFonts w:ascii="Palatino Linotype" w:hAnsi="Palatino Linotype"/>
          <w:bCs/>
          <w:color w:val="000000"/>
          <w:sz w:val="24"/>
          <w:szCs w:val="24"/>
        </w:rPr>
        <w:t xml:space="preserve"> que dice:</w:t>
      </w:r>
      <w:r w:rsidRPr="0027505D">
        <w:rPr>
          <w:rFonts w:ascii="Palatino Linotype" w:hAnsi="Palatino Linotype"/>
          <w:b/>
          <w:bCs/>
          <w:color w:val="000000"/>
          <w:sz w:val="24"/>
          <w:szCs w:val="24"/>
        </w:rPr>
        <w:t xml:space="preserve"> </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rPr>
      </w:pPr>
      <w:r w:rsidRPr="007B00AF">
        <w:rPr>
          <w:rFonts w:ascii="Palatino Linotype" w:hAnsi="Palatino Linotype" w:cs="Arial"/>
          <w:bCs/>
          <w:i/>
        </w:rPr>
        <w:t>“</w:t>
      </w:r>
      <w:r w:rsidRPr="007B00AF">
        <w:rPr>
          <w:rFonts w:ascii="Palatino Linotype" w:hAnsi="Palatino Linotype" w:cs="Arial"/>
          <w:b/>
          <w:bCs/>
          <w:i/>
        </w:rPr>
        <w:t>Registro Federal de Contribuyentes (RFC) de personas físicas. El RFC es una clave</w:t>
      </w:r>
      <w:r w:rsidRPr="007B00AF">
        <w:rPr>
          <w:rFonts w:ascii="Palatino Linotype" w:hAnsi="Palatino Linotype" w:cs="Arial"/>
          <w:bCs/>
          <w:i/>
        </w:rPr>
        <w:t xml:space="preserve"> de carácter fiscal, </w:t>
      </w:r>
      <w:proofErr w:type="gramStart"/>
      <w:r w:rsidRPr="007B00AF">
        <w:rPr>
          <w:rFonts w:ascii="Palatino Linotype" w:hAnsi="Palatino Linotype" w:cs="Arial"/>
          <w:bCs/>
          <w:i/>
        </w:rPr>
        <w:t>única</w:t>
      </w:r>
      <w:proofErr w:type="gramEnd"/>
      <w:r w:rsidRPr="007B00AF">
        <w:rPr>
          <w:rFonts w:ascii="Palatino Linotype" w:hAnsi="Palatino Linotype" w:cs="Arial"/>
          <w:bCs/>
          <w:i/>
        </w:rPr>
        <w:t xml:space="preserve"> e irrepetible, </w:t>
      </w:r>
      <w:r w:rsidRPr="007B00AF">
        <w:rPr>
          <w:rFonts w:ascii="Palatino Linotype" w:hAnsi="Palatino Linotype" w:cs="Arial"/>
          <w:b/>
          <w:bCs/>
          <w:i/>
        </w:rPr>
        <w:t>que permite identificar al titular, su edad y fecha de nacimiento</w:t>
      </w:r>
      <w:r w:rsidRPr="007B00AF">
        <w:rPr>
          <w:rFonts w:ascii="Palatino Linotype" w:hAnsi="Palatino Linotype" w:cs="Arial"/>
          <w:bCs/>
          <w:i/>
        </w:rPr>
        <w:t xml:space="preserve">, </w:t>
      </w:r>
      <w:r w:rsidRPr="007B00AF">
        <w:rPr>
          <w:rFonts w:ascii="Palatino Linotype" w:hAnsi="Palatino Linotype" w:cs="Arial"/>
          <w:i/>
          <w:lang w:eastAsia="es-MX"/>
        </w:rPr>
        <w:t>por</w:t>
      </w:r>
      <w:r w:rsidRPr="007B00AF">
        <w:rPr>
          <w:rFonts w:ascii="Palatino Linotype" w:hAnsi="Palatino Linotype" w:cs="Arial"/>
          <w:bCs/>
          <w:i/>
        </w:rPr>
        <w:t xml:space="preserve"> lo que </w:t>
      </w:r>
      <w:r w:rsidRPr="007B00AF">
        <w:rPr>
          <w:rFonts w:ascii="Palatino Linotype" w:hAnsi="Palatino Linotype" w:cs="Arial"/>
          <w:b/>
          <w:bCs/>
          <w:i/>
        </w:rPr>
        <w:t>es un dato personal de carácter confidencial</w:t>
      </w:r>
      <w:r w:rsidRPr="007B00AF">
        <w:rPr>
          <w:rFonts w:ascii="Palatino Linotype" w:hAnsi="Palatino Linotype" w:cs="Arial"/>
          <w:i/>
        </w:rPr>
        <w:t>.</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rPr>
      </w:pPr>
      <w:r w:rsidRPr="007B00AF">
        <w:rPr>
          <w:rFonts w:ascii="Palatino Linotype" w:hAnsi="Palatino Linotype" w:cs="Arial"/>
          <w:bCs/>
          <w:i/>
        </w:rPr>
        <w:t>Resoluciones:</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rPr>
      </w:pPr>
      <w:r w:rsidRPr="007B00AF">
        <w:rPr>
          <w:rFonts w:ascii="Palatino Linotype" w:hAnsi="Palatino Linotype" w:cs="Arial"/>
          <w:bCs/>
          <w:i/>
        </w:rPr>
        <w:t>• RRA 0189/</w:t>
      </w:r>
      <w:r w:rsidRPr="007B00AF">
        <w:rPr>
          <w:rFonts w:ascii="Palatino Linotype" w:hAnsi="Palatino Linotype" w:cs="Arial"/>
          <w:i/>
          <w:lang w:eastAsia="es-MX"/>
        </w:rPr>
        <w:t>17</w:t>
      </w:r>
      <w:r w:rsidRPr="007B00AF">
        <w:rPr>
          <w:rFonts w:ascii="Palatino Linotype" w:hAnsi="Palatino Linotype" w:cs="Arial"/>
          <w:bCs/>
          <w:i/>
        </w:rPr>
        <w:t>. Morena. 08 de febrero de 2017. Por unanimidad. Comisionado Ponente Joel Salas Suárez.</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rPr>
      </w:pPr>
      <w:r w:rsidRPr="007B00AF">
        <w:rPr>
          <w:rFonts w:ascii="Palatino Linotype" w:hAnsi="Palatino Linotype" w:cs="Arial"/>
          <w:bCs/>
          <w:i/>
        </w:rPr>
        <w:t xml:space="preserve">• RRA 0677/17. Universidad Nacional Autónoma de México. 08 de marzo de 2017. Por unanimidad. Comisionado Ponente </w:t>
      </w:r>
      <w:proofErr w:type="spellStart"/>
      <w:r w:rsidRPr="007B00AF">
        <w:rPr>
          <w:rFonts w:ascii="Palatino Linotype" w:hAnsi="Palatino Linotype" w:cs="Arial"/>
          <w:bCs/>
          <w:i/>
        </w:rPr>
        <w:t>Rosendoevgueni</w:t>
      </w:r>
      <w:proofErr w:type="spellEnd"/>
      <w:r w:rsidRPr="007B00AF">
        <w:rPr>
          <w:rFonts w:ascii="Palatino Linotype" w:hAnsi="Palatino Linotype" w:cs="Arial"/>
          <w:bCs/>
          <w:i/>
        </w:rPr>
        <w:t xml:space="preserve"> Monterrey </w:t>
      </w:r>
      <w:proofErr w:type="spellStart"/>
      <w:r w:rsidRPr="007B00AF">
        <w:rPr>
          <w:rFonts w:ascii="Palatino Linotype" w:hAnsi="Palatino Linotype" w:cs="Arial"/>
          <w:bCs/>
          <w:i/>
        </w:rPr>
        <w:t>Chepov</w:t>
      </w:r>
      <w:proofErr w:type="spellEnd"/>
      <w:r w:rsidRPr="007B00AF">
        <w:rPr>
          <w:rFonts w:ascii="Palatino Linotype" w:hAnsi="Palatino Linotype" w:cs="Arial"/>
          <w:bCs/>
          <w:i/>
        </w:rPr>
        <w:t xml:space="preserve">. </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rPr>
      </w:pPr>
      <w:r w:rsidRPr="007B00AF">
        <w:rPr>
          <w:rFonts w:ascii="Palatino Linotype" w:hAnsi="Palatino Linotype" w:cs="Arial"/>
          <w:bCs/>
          <w:i/>
        </w:rPr>
        <w:t xml:space="preserve">• RRA 1564/17. Tribunal Electoral del Poder Judicial de la Federación. 26 de abril de 2017. Por </w:t>
      </w:r>
      <w:r w:rsidRPr="007B00AF">
        <w:rPr>
          <w:rFonts w:ascii="Palatino Linotype" w:hAnsi="Palatino Linotype" w:cs="Arial"/>
          <w:i/>
          <w:lang w:eastAsia="es-MX"/>
        </w:rPr>
        <w:t>unanimidad</w:t>
      </w:r>
      <w:r w:rsidRPr="007B00AF">
        <w:rPr>
          <w:rFonts w:ascii="Palatino Linotype" w:hAnsi="Palatino Linotype" w:cs="Arial"/>
          <w:bCs/>
          <w:i/>
        </w:rPr>
        <w:t>. Comisionado Ponente Oscar Mauricio Guerra Ford.</w:t>
      </w:r>
      <w:r w:rsidRPr="007B00AF">
        <w:rPr>
          <w:rFonts w:ascii="Palatino Linotype" w:hAnsi="Palatino Linotype" w:cs="Arial"/>
          <w:i/>
        </w:rPr>
        <w:t>” (Sic)</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rPr>
      </w:pPr>
      <w:r w:rsidRPr="007B00AF">
        <w:rPr>
          <w:rFonts w:ascii="Palatino Linotype" w:hAnsi="Palatino Linotype" w:cs="Arial"/>
        </w:rPr>
        <w:t>(Énfasis añadido)</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lang w:eastAsia="es-MX"/>
        </w:rPr>
      </w:pPr>
      <w:r w:rsidRPr="0027505D">
        <w:rPr>
          <w:rFonts w:ascii="Palatino Linotype" w:hAnsi="Palatino Linotype" w:cs="Arial"/>
          <w:sz w:val="24"/>
          <w:szCs w:val="24"/>
          <w:lang w:eastAsia="es-MX"/>
        </w:rPr>
        <w:t xml:space="preserve">De lo anterior, se desprende que el RFC se vincula al nombre de su </w:t>
      </w:r>
      <w:r w:rsidRPr="0027505D">
        <w:rPr>
          <w:rFonts w:ascii="Palatino Linotype" w:hAnsi="Palatino Linotype"/>
          <w:bCs/>
          <w:sz w:val="24"/>
          <w:szCs w:val="24"/>
        </w:rPr>
        <w:t>titular</w:t>
      </w:r>
      <w:r w:rsidRPr="0027505D">
        <w:rPr>
          <w:rFonts w:ascii="Palatino Linotype" w:hAnsi="Palatino Linotype" w:cs="Arial"/>
          <w:sz w:val="24"/>
          <w:szCs w:val="24"/>
          <w:lang w:eastAsia="es-MX"/>
        </w:rPr>
        <w:t xml:space="preserve">, permitiendo identificar la edad de la persona y fecha de nacimiento, determinando </w:t>
      </w:r>
      <w:r w:rsidRPr="0027505D">
        <w:rPr>
          <w:rFonts w:ascii="Palatino Linotype" w:hAnsi="Palatino Linotype" w:cs="Arial"/>
          <w:sz w:val="24"/>
          <w:szCs w:val="24"/>
        </w:rPr>
        <w:t>la</w:t>
      </w:r>
      <w:r w:rsidRPr="0027505D">
        <w:rPr>
          <w:rFonts w:ascii="Palatino Linotype" w:hAnsi="Palatino Linotype" w:cs="Arial"/>
          <w:sz w:val="24"/>
          <w:szCs w:val="24"/>
          <w:lang w:eastAsia="es-MX"/>
        </w:rPr>
        <w:t xml:space="preserve"> identificación de dicha persona para efectos fiscales, por lo que éste constituye un dato personal que concierne a una persona física identificada e identificable en términos de los artículos 3, fracción IX de la Ley de Transparencia y Acceso a la Información Pública del Estado de México y </w:t>
      </w:r>
      <w:r w:rsidRPr="0027505D">
        <w:rPr>
          <w:rFonts w:ascii="Palatino Linotype" w:hAnsi="Palatino Linotype"/>
          <w:sz w:val="24"/>
          <w:szCs w:val="24"/>
          <w:lang w:eastAsia="es-MX"/>
        </w:rPr>
        <w:t>Municipios</w:t>
      </w:r>
      <w:r w:rsidRPr="0027505D">
        <w:rPr>
          <w:rFonts w:ascii="Palatino Linotype" w:hAnsi="Palatino Linotype" w:cs="Arial"/>
          <w:sz w:val="24"/>
          <w:szCs w:val="24"/>
          <w:lang w:eastAsia="es-MX"/>
        </w:rPr>
        <w:t xml:space="preserve"> y </w:t>
      </w:r>
      <w:r w:rsidRPr="0027505D">
        <w:rPr>
          <w:rFonts w:ascii="Palatino Linotype" w:hAnsi="Palatino Linotype" w:cs="Arial"/>
          <w:sz w:val="24"/>
          <w:szCs w:val="24"/>
        </w:rPr>
        <w:t>4, fracción XI</w:t>
      </w:r>
      <w:r w:rsidRPr="0027505D">
        <w:rPr>
          <w:rFonts w:ascii="Palatino Linotype" w:hAnsi="Palatino Linotype" w:cs="Arial"/>
          <w:sz w:val="24"/>
          <w:szCs w:val="24"/>
          <w:lang w:eastAsia="es-MX"/>
        </w:rPr>
        <w:t xml:space="preserve"> </w:t>
      </w:r>
      <w:r w:rsidRPr="0027505D">
        <w:rPr>
          <w:rFonts w:ascii="Palatino Linotype" w:hAnsi="Palatino Linotype" w:cs="Arial"/>
          <w:sz w:val="24"/>
          <w:szCs w:val="24"/>
        </w:rPr>
        <w:t>de la Ley de Protección de Datos Personales en Posesión de Sujetos Obligados del Estado de México y Municipios.</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lang w:eastAsia="es-MX"/>
        </w:rPr>
      </w:pPr>
      <w:r w:rsidRPr="0027505D">
        <w:rPr>
          <w:rFonts w:ascii="Palatino Linotype" w:hAnsi="Palatino Linotype" w:cs="Arial"/>
          <w:sz w:val="24"/>
          <w:szCs w:val="24"/>
          <w:lang w:eastAsia="es-MX"/>
        </w:rPr>
        <w:t xml:space="preserve">Por cuanto hace a la </w:t>
      </w:r>
      <w:r w:rsidRPr="0027505D">
        <w:rPr>
          <w:rFonts w:ascii="Palatino Linotype" w:hAnsi="Palatino Linotype" w:cs="Arial"/>
          <w:b/>
          <w:sz w:val="24"/>
          <w:szCs w:val="24"/>
        </w:rPr>
        <w:t xml:space="preserve">CURP, </w:t>
      </w:r>
      <w:r w:rsidRPr="0027505D">
        <w:rPr>
          <w:rFonts w:ascii="Palatino Linotype" w:hAnsi="Palatino Linotype" w:cs="Arial"/>
          <w:sz w:val="24"/>
          <w:szCs w:val="24"/>
          <w:lang w:eastAsia="es-MX"/>
        </w:rPr>
        <w:t xml:space="preserve">constituye un dato personal, ya que </w:t>
      </w:r>
      <w:r w:rsidRPr="0027505D">
        <w:rPr>
          <w:rFonts w:ascii="Palatino Linotype" w:hAnsi="Palatino Linotype"/>
          <w:sz w:val="24"/>
          <w:szCs w:val="24"/>
          <w:lang w:eastAsia="es-MX"/>
        </w:rPr>
        <w:t>tiene</w:t>
      </w:r>
      <w:r w:rsidRPr="0027505D">
        <w:rPr>
          <w:rFonts w:ascii="Palatino Linotype" w:hAnsi="Palatino Linotype" w:cs="Arial"/>
          <w:sz w:val="24"/>
          <w:szCs w:val="24"/>
          <w:lang w:eastAsia="es-MX"/>
        </w:rPr>
        <w:t xml:space="preserve"> como finalidad registrar a cada una de las personas que integran la población del país, con los datos </w:t>
      </w:r>
      <w:r w:rsidRPr="0027505D">
        <w:rPr>
          <w:rFonts w:ascii="Palatino Linotype" w:hAnsi="Palatino Linotype" w:cs="Arial"/>
          <w:sz w:val="24"/>
          <w:szCs w:val="24"/>
          <w:lang w:eastAsia="es-MX"/>
        </w:rPr>
        <w:lastRenderedPageBreak/>
        <w:t>que permitan certificar y acreditar fehacientemente su identidad, la cual servirá para identificarla de manera individual.</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lang w:eastAsia="es-MX"/>
        </w:rPr>
      </w:pPr>
      <w:r w:rsidRPr="0027505D">
        <w:rPr>
          <w:rFonts w:ascii="Palatino Linotype" w:hAnsi="Palatino Linotype" w:cs="Arial"/>
          <w:sz w:val="24"/>
          <w:szCs w:val="24"/>
          <w:lang w:eastAsia="es-MX"/>
        </w:rPr>
        <w:t xml:space="preserve">Lo </w:t>
      </w:r>
      <w:r w:rsidRPr="0027505D">
        <w:rPr>
          <w:rFonts w:ascii="Palatino Linotype" w:hAnsi="Palatino Linotype"/>
          <w:sz w:val="24"/>
          <w:szCs w:val="24"/>
          <w:lang w:eastAsia="es-MX"/>
        </w:rPr>
        <w:t>anterior</w:t>
      </w:r>
      <w:r w:rsidRPr="0027505D">
        <w:rPr>
          <w:rFonts w:ascii="Palatino Linotype" w:hAnsi="Palatino Linotype" w:cs="Arial"/>
          <w:sz w:val="24"/>
          <w:szCs w:val="24"/>
          <w:lang w:eastAsia="es-MX"/>
        </w:rPr>
        <w:t xml:space="preserve">, </w:t>
      </w:r>
      <w:r w:rsidRPr="0027505D">
        <w:rPr>
          <w:rFonts w:ascii="Palatino Linotype" w:hAnsi="Palatino Linotype" w:cs="Arial"/>
          <w:sz w:val="24"/>
          <w:szCs w:val="24"/>
        </w:rPr>
        <w:t>tiene</w:t>
      </w:r>
      <w:r w:rsidRPr="0027505D">
        <w:rPr>
          <w:rFonts w:ascii="Palatino Linotype" w:hAnsi="Palatino Linotype" w:cs="Arial"/>
          <w:sz w:val="24"/>
          <w:szCs w:val="24"/>
          <w:lang w:eastAsia="es-MX"/>
        </w:rPr>
        <w:t xml:space="preserve"> sustento en los artículos 86 y 91 de la Ley General de Población, la cual señala lo siguiente:</w:t>
      </w:r>
    </w:p>
    <w:p w:rsidR="000605CE" w:rsidRPr="00233A22"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233A22">
        <w:rPr>
          <w:rFonts w:ascii="Palatino Linotype" w:hAnsi="Palatino Linotype" w:cs="Arial,Bold"/>
          <w:bCs/>
          <w:i/>
          <w:lang w:eastAsia="es-MX"/>
        </w:rPr>
        <w:t>“</w:t>
      </w:r>
      <w:r w:rsidRPr="00233A22">
        <w:rPr>
          <w:rFonts w:ascii="Palatino Linotype" w:hAnsi="Palatino Linotype" w:cs="Arial,Bold"/>
          <w:b/>
          <w:bCs/>
          <w:i/>
          <w:lang w:eastAsia="es-MX"/>
        </w:rPr>
        <w:t xml:space="preserve">Artículo 86. </w:t>
      </w:r>
      <w:r w:rsidRPr="00233A22">
        <w:rPr>
          <w:rFonts w:ascii="Palatino Linotype" w:hAnsi="Palatino Linotype" w:cs="Arial"/>
          <w:i/>
          <w:lang w:eastAsia="es-MX"/>
        </w:rPr>
        <w:t>El Registro Nacional de Población tiene como finalidad registrar a cada una de las personas que integran la población del país, con los datos que permitan certificar y acreditar fehacientemente su identidad.</w:t>
      </w:r>
    </w:p>
    <w:p w:rsidR="000605CE" w:rsidRPr="00233A22"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233A22">
        <w:rPr>
          <w:rFonts w:ascii="Palatino Linotype" w:hAnsi="Palatino Linotype" w:cs="Arial,Bold"/>
          <w:b/>
          <w:bCs/>
          <w:i/>
          <w:lang w:eastAsia="es-MX"/>
        </w:rPr>
        <w:t xml:space="preserve">Artículo 91. </w:t>
      </w:r>
      <w:r w:rsidRPr="00233A22">
        <w:rPr>
          <w:rFonts w:ascii="Palatino Linotype" w:hAnsi="Palatino Linotype" w:cs="Arial"/>
          <w:b/>
          <w:i/>
          <w:lang w:eastAsia="es-MX"/>
        </w:rPr>
        <w:t>Al incorporar a una persona en el Registro Nacional de Población</w:t>
      </w:r>
      <w:r w:rsidRPr="00233A22">
        <w:rPr>
          <w:rFonts w:ascii="Palatino Linotype" w:hAnsi="Palatino Linotype" w:cs="Arial"/>
          <w:i/>
          <w:lang w:eastAsia="es-MX"/>
        </w:rPr>
        <w:t xml:space="preserve">, se le asignará una clave </w:t>
      </w:r>
      <w:r w:rsidRPr="00233A22">
        <w:rPr>
          <w:rFonts w:ascii="Palatino Linotype" w:hAnsi="Palatino Linotype" w:cs="Arial"/>
          <w:b/>
          <w:i/>
          <w:lang w:eastAsia="es-MX"/>
        </w:rPr>
        <w:t>que se denominará Clave Única de Registro de Población</w:t>
      </w:r>
      <w:r w:rsidRPr="00233A22">
        <w:rPr>
          <w:rFonts w:ascii="Palatino Linotype" w:hAnsi="Palatino Linotype" w:cs="Arial"/>
          <w:i/>
          <w:lang w:eastAsia="es-MX"/>
        </w:rPr>
        <w:t xml:space="preserve">. </w:t>
      </w:r>
      <w:r w:rsidRPr="00233A22">
        <w:rPr>
          <w:rFonts w:ascii="Palatino Linotype" w:hAnsi="Palatino Linotype" w:cs="Arial"/>
          <w:b/>
          <w:i/>
          <w:lang w:eastAsia="es-MX"/>
        </w:rPr>
        <w:t>Esta servirá para</w:t>
      </w:r>
      <w:r w:rsidRPr="00233A22">
        <w:rPr>
          <w:rFonts w:ascii="Palatino Linotype" w:hAnsi="Palatino Linotype" w:cs="Arial"/>
          <w:i/>
          <w:lang w:eastAsia="es-MX"/>
        </w:rPr>
        <w:t xml:space="preserve"> registrarla e </w:t>
      </w:r>
      <w:r w:rsidRPr="00233A22">
        <w:rPr>
          <w:rFonts w:ascii="Palatino Linotype" w:hAnsi="Palatino Linotype" w:cs="Arial"/>
          <w:b/>
          <w:i/>
          <w:lang w:eastAsia="es-MX"/>
        </w:rPr>
        <w:t>identificarla en forma individual</w:t>
      </w:r>
      <w:r w:rsidRPr="00233A22">
        <w:rPr>
          <w:rFonts w:ascii="Palatino Linotype" w:hAnsi="Palatino Linotype" w:cs="Arial"/>
          <w:i/>
          <w:lang w:eastAsia="es-MX"/>
        </w:rPr>
        <w:t xml:space="preserve">.” </w:t>
      </w:r>
    </w:p>
    <w:p w:rsidR="000605CE" w:rsidRPr="00E25F29" w:rsidRDefault="000605CE" w:rsidP="000605CE">
      <w:pPr>
        <w:autoSpaceDE w:val="0"/>
        <w:autoSpaceDN w:val="0"/>
        <w:adjustRightInd w:val="0"/>
        <w:spacing w:after="0" w:line="240" w:lineRule="auto"/>
        <w:ind w:left="851" w:right="902"/>
        <w:jc w:val="both"/>
        <w:rPr>
          <w:rFonts w:ascii="Palatino Linotype" w:hAnsi="Palatino Linotype" w:cs="Arial"/>
          <w:i/>
        </w:rPr>
      </w:pPr>
      <w:r w:rsidRPr="00E25F29">
        <w:rPr>
          <w:rFonts w:ascii="Palatino Linotype" w:hAnsi="Palatino Linotype" w:cs="Arial"/>
          <w:i/>
        </w:rPr>
        <w:t>(Énfasis añadido)</w:t>
      </w:r>
    </w:p>
    <w:p w:rsidR="000605CE" w:rsidRPr="0027505D" w:rsidRDefault="000605CE" w:rsidP="000605CE">
      <w:pPr>
        <w:spacing w:before="100" w:beforeAutospacing="1" w:after="100" w:afterAutospacing="1" w:line="360" w:lineRule="auto"/>
        <w:jc w:val="both"/>
        <w:rPr>
          <w:rFonts w:ascii="Palatino Linotype" w:hAnsi="Palatino Linotype"/>
          <w:sz w:val="24"/>
          <w:szCs w:val="24"/>
          <w:lang w:eastAsia="es-MX"/>
        </w:rPr>
      </w:pPr>
      <w:r w:rsidRPr="0027505D">
        <w:rPr>
          <w:rFonts w:ascii="Palatino Linotype" w:hAnsi="Palatino Linotype"/>
          <w:sz w:val="24"/>
          <w:szCs w:val="24"/>
          <w:lang w:eastAsia="es-MX"/>
        </w:rPr>
        <w:t xml:space="preserve">Ahora bien, la CURP, está integrada de 18 elementos representados por letras y números, que se generan a partir de los datos contenidos en un documento probatorio de </w:t>
      </w:r>
      <w:r w:rsidRPr="0027505D">
        <w:rPr>
          <w:rFonts w:ascii="Palatino Linotype" w:hAnsi="Palatino Linotype"/>
          <w:bCs/>
          <w:sz w:val="24"/>
          <w:szCs w:val="24"/>
        </w:rPr>
        <w:t>identidad</w:t>
      </w:r>
      <w:r w:rsidRPr="0027505D">
        <w:rPr>
          <w:rFonts w:ascii="Palatino Linotype" w:hAnsi="Palatino Linotype"/>
          <w:sz w:val="24"/>
          <w:szCs w:val="24"/>
          <w:lang w:eastAsia="es-MX"/>
        </w:rPr>
        <w:t xml:space="preserve"> (acta de nacimiento, carta de naturalización o documento migratorio), la </w:t>
      </w:r>
      <w:r w:rsidRPr="0027505D">
        <w:rPr>
          <w:rFonts w:ascii="Palatino Linotype" w:hAnsi="Palatino Linotype" w:cs="Arial"/>
          <w:sz w:val="24"/>
          <w:szCs w:val="24"/>
        </w:rPr>
        <w:t>cual</w:t>
      </w:r>
      <w:r w:rsidRPr="0027505D">
        <w:rPr>
          <w:rFonts w:ascii="Palatino Linotype" w:hAnsi="Palatino Linotype"/>
          <w:sz w:val="24"/>
          <w:szCs w:val="24"/>
          <w:lang w:eastAsia="es-MX"/>
        </w:rPr>
        <w:t xml:space="preserve"> se integra de</w:t>
      </w:r>
      <w:r w:rsidRPr="0027505D">
        <w:rPr>
          <w:rFonts w:ascii="Palatino Linotype" w:hAnsi="Palatino Linotype" w:cs="Arial"/>
          <w:sz w:val="24"/>
          <w:szCs w:val="24"/>
          <w:lang w:eastAsia="es-MX"/>
        </w:rPr>
        <w:t xml:space="preserve"> la primera letra del apellido paterno; seguida de la primera letra Vocal del primer apellido; seguida de la primera letra del segundo apellido y por último la primera letra del nombre; fecha de nacimiento año/mes/día</w:t>
      </w:r>
      <w:r w:rsidRPr="0027505D">
        <w:rPr>
          <w:rFonts w:ascii="Palatino Linotype" w:hAnsi="Palatino Linotype"/>
          <w:sz w:val="24"/>
          <w:szCs w:val="24"/>
          <w:lang w:eastAsia="es-MX"/>
        </w:rPr>
        <w:t xml:space="preserve">; sexo; Entidad Federativa de nacimiento; consonantes internas del nombre y apellidos; un diferenciador de homonimia y siglo; y un digito verificador, que garantizan la correcta integración. </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lang w:eastAsia="es-MX"/>
        </w:rPr>
      </w:pPr>
      <w:r w:rsidRPr="0027505D">
        <w:rPr>
          <w:rFonts w:ascii="Palatino Linotype" w:hAnsi="Palatino Linotype" w:cs="Arial"/>
          <w:sz w:val="24"/>
          <w:szCs w:val="24"/>
          <w:lang w:eastAsia="es-MX"/>
        </w:rPr>
        <w:lastRenderedPageBreak/>
        <w:t xml:space="preserve">Al respecto, el </w:t>
      </w:r>
      <w:r w:rsidRPr="0027505D">
        <w:rPr>
          <w:rFonts w:ascii="Palatino Linotype" w:eastAsia="Arial Unicode MS" w:hAnsi="Palatino Linotype" w:cs="Arial"/>
          <w:sz w:val="24"/>
          <w:szCs w:val="24"/>
        </w:rPr>
        <w:t>Instituto Nacional de Transparencia, Acceso a la Información y Protección de Datos Personales (INAI),</w:t>
      </w:r>
      <w:r w:rsidRPr="0027505D">
        <w:rPr>
          <w:rFonts w:ascii="Palatino Linotype" w:hAnsi="Palatino Linotype" w:cs="Arial"/>
          <w:sz w:val="24"/>
          <w:szCs w:val="24"/>
          <w:lang w:eastAsia="es-MX"/>
        </w:rPr>
        <w:t xml:space="preserve"> a través del Criterio 18/17 de la Segunda Época, señala literalmente lo siguiente:</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w:t>
      </w:r>
      <w:r w:rsidRPr="007B00AF">
        <w:rPr>
          <w:rFonts w:ascii="Palatino Linotype" w:hAnsi="Palatino Linotype" w:cs="Arial"/>
          <w:b/>
          <w:i/>
          <w:lang w:eastAsia="es-MX"/>
        </w:rPr>
        <w:t>Clave Única de Registro de Población (CURP).</w:t>
      </w:r>
      <w:r w:rsidRPr="007B00AF">
        <w:rPr>
          <w:rFonts w:ascii="Palatino Linotype" w:hAnsi="Palatino Linotype" w:cs="Arial"/>
          <w:i/>
          <w:lang w:eastAsia="es-MX"/>
        </w:rPr>
        <w:t xml:space="preserve"> </w:t>
      </w:r>
      <w:r w:rsidRPr="007B00AF">
        <w:rPr>
          <w:rFonts w:ascii="Palatino Linotype" w:hAnsi="Palatino Linotype" w:cs="Arial"/>
          <w:b/>
          <w:i/>
          <w:lang w:eastAsia="es-MX"/>
        </w:rPr>
        <w:t>La Clave Única de Registro de Población se integra por datos personales que sólo conciernen al particular titular</w:t>
      </w:r>
      <w:r w:rsidRPr="007B00AF">
        <w:rPr>
          <w:rFonts w:ascii="Palatino Linotype" w:hAnsi="Palatino Linotype" w:cs="Arial"/>
          <w:i/>
          <w:lang w:eastAsia="es-MX"/>
        </w:rPr>
        <w:t xml:space="preserve"> de la misma, </w:t>
      </w:r>
      <w:r w:rsidRPr="007B00AF">
        <w:rPr>
          <w:rFonts w:ascii="Palatino Linotype" w:hAnsi="Palatino Linotype" w:cs="Arial"/>
          <w:b/>
          <w:i/>
          <w:lang w:eastAsia="es-MX"/>
        </w:rPr>
        <w:t>como lo son su nombre, apellidos, fecha de nacimiento, lugar de nacimiento y sexo</w:t>
      </w:r>
      <w:r w:rsidRPr="007B00AF">
        <w:rPr>
          <w:rFonts w:ascii="Palatino Linotype" w:hAnsi="Palatino Linotype" w:cs="Arial"/>
          <w:i/>
          <w:lang w:eastAsia="es-MX"/>
        </w:rPr>
        <w:t xml:space="preserve">. Dichos datos, constituyen información que distingue plenamente a una persona física del resto de los habitantes del país, </w:t>
      </w:r>
      <w:r w:rsidRPr="007B00AF">
        <w:rPr>
          <w:rFonts w:ascii="Palatino Linotype" w:hAnsi="Palatino Linotype" w:cs="Arial"/>
          <w:b/>
          <w:i/>
          <w:lang w:eastAsia="es-MX"/>
        </w:rPr>
        <w:t>por lo que la CURP está considerada como información confidencial</w:t>
      </w:r>
      <w:r w:rsidRPr="007B00AF">
        <w:rPr>
          <w:rFonts w:ascii="Palatino Linotype" w:hAnsi="Palatino Linotype" w:cs="Arial"/>
          <w:i/>
          <w:lang w:eastAsia="es-MX"/>
        </w:rPr>
        <w:t xml:space="preserve">. </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lang w:eastAsia="es-MX"/>
        </w:rPr>
      </w:pPr>
      <w:r w:rsidRPr="007B00AF">
        <w:rPr>
          <w:rFonts w:ascii="Palatino Linotype" w:hAnsi="Palatino Linotype" w:cs="Arial"/>
          <w:bCs/>
          <w:i/>
          <w:lang w:eastAsia="es-MX"/>
        </w:rPr>
        <w:t>Resoluciones:</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lang w:eastAsia="es-MX"/>
        </w:rPr>
      </w:pPr>
      <w:r w:rsidRPr="007B00AF">
        <w:rPr>
          <w:rFonts w:ascii="Palatino Linotype" w:hAnsi="Palatino Linotype" w:cs="Arial"/>
          <w:bCs/>
          <w:i/>
          <w:lang w:eastAsia="es-MX"/>
        </w:rPr>
        <w:t xml:space="preserve">• RRA 3995/16. Secretaría de la Defensa Nacional. 1 de febrero de 2017. Por unanimidad. Comisionado Ponente </w:t>
      </w:r>
      <w:proofErr w:type="spellStart"/>
      <w:r w:rsidRPr="007B00AF">
        <w:rPr>
          <w:rFonts w:ascii="Palatino Linotype" w:hAnsi="Palatino Linotype" w:cs="Arial"/>
          <w:bCs/>
          <w:i/>
          <w:lang w:eastAsia="es-MX"/>
        </w:rPr>
        <w:t>Rosendoevgueni</w:t>
      </w:r>
      <w:proofErr w:type="spellEnd"/>
      <w:r w:rsidRPr="007B00AF">
        <w:rPr>
          <w:rFonts w:ascii="Palatino Linotype" w:hAnsi="Palatino Linotype" w:cs="Arial"/>
          <w:bCs/>
          <w:i/>
          <w:lang w:eastAsia="es-MX"/>
        </w:rPr>
        <w:t xml:space="preserve"> Monterrey </w:t>
      </w:r>
      <w:proofErr w:type="spellStart"/>
      <w:r w:rsidRPr="007B00AF">
        <w:rPr>
          <w:rFonts w:ascii="Palatino Linotype" w:hAnsi="Palatino Linotype" w:cs="Arial"/>
          <w:bCs/>
          <w:i/>
          <w:lang w:eastAsia="es-MX"/>
        </w:rPr>
        <w:t>Chepov</w:t>
      </w:r>
      <w:proofErr w:type="spellEnd"/>
      <w:r w:rsidRPr="007B00AF">
        <w:rPr>
          <w:rFonts w:ascii="Palatino Linotype" w:hAnsi="Palatino Linotype" w:cs="Arial"/>
          <w:bCs/>
          <w:i/>
          <w:lang w:eastAsia="es-MX"/>
        </w:rPr>
        <w:t>.</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lang w:eastAsia="es-MX"/>
        </w:rPr>
      </w:pPr>
      <w:r w:rsidRPr="007B00AF">
        <w:rPr>
          <w:rFonts w:ascii="Palatino Linotype" w:hAnsi="Palatino Linotype" w:cs="Arial"/>
          <w:bCs/>
          <w:i/>
          <w:lang w:eastAsia="es-MX"/>
        </w:rPr>
        <w:t xml:space="preserve">• RRA 0937/17. Senado de la República. 15 de marzo de 2017. Por unanimidad. Comisionada Ponente </w:t>
      </w:r>
      <w:r w:rsidRPr="007B00AF">
        <w:rPr>
          <w:rFonts w:ascii="Palatino Linotype" w:hAnsi="Palatino Linotype" w:cs="Arial"/>
          <w:i/>
          <w:lang w:eastAsia="es-MX"/>
        </w:rPr>
        <w:t>Ximena</w:t>
      </w:r>
      <w:r w:rsidRPr="007B00AF">
        <w:rPr>
          <w:rFonts w:ascii="Palatino Linotype" w:hAnsi="Palatino Linotype" w:cs="Arial"/>
          <w:bCs/>
          <w:i/>
          <w:lang w:eastAsia="es-MX"/>
        </w:rPr>
        <w:t xml:space="preserve"> Puente de la Mora. </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Cs/>
          <w:i/>
          <w:lang w:eastAsia="es-MX"/>
        </w:rPr>
        <w:t xml:space="preserve">• RRA 0478/17. Secretaría de Relaciones Exteriores. 26 de abril de 2017. Por unanimidad. </w:t>
      </w:r>
      <w:r w:rsidRPr="007B00AF">
        <w:rPr>
          <w:rFonts w:ascii="Palatino Linotype" w:hAnsi="Palatino Linotype" w:cs="Arial"/>
          <w:i/>
          <w:lang w:eastAsia="es-MX"/>
        </w:rPr>
        <w:t>Comisionada</w:t>
      </w:r>
      <w:r w:rsidRPr="007B00AF">
        <w:rPr>
          <w:rFonts w:ascii="Palatino Linotype" w:hAnsi="Palatino Linotype" w:cs="Arial"/>
          <w:bCs/>
          <w:i/>
          <w:lang w:eastAsia="es-MX"/>
        </w:rPr>
        <w:t xml:space="preserve"> Ponente Areli Cano Guadiana.</w:t>
      </w:r>
      <w:r w:rsidRPr="007B00AF">
        <w:rPr>
          <w:rFonts w:ascii="Palatino Linotype" w:hAnsi="Palatino Linotype" w:cs="Arial"/>
          <w:i/>
          <w:lang w:eastAsia="es-MX"/>
        </w:rPr>
        <w:t xml:space="preserve">” </w:t>
      </w:r>
      <w:r w:rsidRPr="007B00AF">
        <w:rPr>
          <w:rFonts w:ascii="Palatino Linotype" w:hAnsi="Palatino Linotype" w:cs="Arial"/>
          <w:i/>
        </w:rPr>
        <w:t>(Sic)</w:t>
      </w:r>
    </w:p>
    <w:p w:rsidR="000605CE" w:rsidRDefault="000605CE" w:rsidP="000605CE">
      <w:pPr>
        <w:autoSpaceDE w:val="0"/>
        <w:autoSpaceDN w:val="0"/>
        <w:adjustRightInd w:val="0"/>
        <w:spacing w:after="0" w:line="240" w:lineRule="auto"/>
        <w:ind w:left="851" w:right="902"/>
        <w:jc w:val="both"/>
        <w:rPr>
          <w:rFonts w:ascii="Palatino Linotype" w:hAnsi="Palatino Linotype" w:cs="Arial"/>
        </w:rPr>
      </w:pPr>
    </w:p>
    <w:p w:rsidR="000605CE" w:rsidRPr="00E25F29" w:rsidRDefault="000605CE" w:rsidP="000605CE">
      <w:pPr>
        <w:autoSpaceDE w:val="0"/>
        <w:autoSpaceDN w:val="0"/>
        <w:adjustRightInd w:val="0"/>
        <w:spacing w:after="0" w:line="240" w:lineRule="auto"/>
        <w:ind w:left="851" w:right="902"/>
        <w:jc w:val="both"/>
        <w:rPr>
          <w:rFonts w:ascii="Palatino Linotype" w:hAnsi="Palatino Linotype" w:cs="Arial"/>
          <w:i/>
        </w:rPr>
      </w:pPr>
      <w:r w:rsidRPr="00E25F29">
        <w:rPr>
          <w:rFonts w:ascii="Palatino Linotype" w:hAnsi="Palatino Linotype" w:cs="Arial"/>
          <w:i/>
        </w:rPr>
        <w:t>(Énfasis añadido)</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lang w:eastAsia="es-MX"/>
        </w:rPr>
      </w:pPr>
      <w:r w:rsidRPr="0027505D">
        <w:rPr>
          <w:rFonts w:ascii="Palatino Linotype" w:hAnsi="Palatino Linotype" w:cs="Arial"/>
          <w:sz w:val="24"/>
          <w:szCs w:val="24"/>
          <w:lang w:eastAsia="es-MX"/>
        </w:rPr>
        <w:t xml:space="preserve">De lo anterior, se desprende que la </w:t>
      </w:r>
      <w:r w:rsidRPr="0027505D">
        <w:rPr>
          <w:rFonts w:ascii="Palatino Linotype" w:hAnsi="Palatino Linotype"/>
          <w:sz w:val="24"/>
          <w:szCs w:val="24"/>
          <w:lang w:eastAsia="es-MX"/>
        </w:rPr>
        <w:t xml:space="preserve">CURP, </w:t>
      </w:r>
      <w:r w:rsidRPr="0027505D">
        <w:rPr>
          <w:rFonts w:ascii="Palatino Linotype" w:hAnsi="Palatino Linotype" w:cs="Arial"/>
          <w:sz w:val="24"/>
          <w:szCs w:val="24"/>
          <w:lang w:eastAsia="es-MX"/>
        </w:rPr>
        <w:t xml:space="preserve">se encuentra vinculada al nombre y apellidos de la persona, permitiendo identificar fecha y lugar de nacimiento, así como el sexo; datos que únicamente le atañen a su titular, por lo que, ésta constituye un dato </w:t>
      </w:r>
      <w:r w:rsidRPr="0027505D">
        <w:rPr>
          <w:rFonts w:ascii="Palatino Linotype" w:hAnsi="Palatino Linotype"/>
          <w:bCs/>
          <w:sz w:val="24"/>
          <w:szCs w:val="24"/>
        </w:rPr>
        <w:t>personal</w:t>
      </w:r>
      <w:r w:rsidRPr="0027505D">
        <w:rPr>
          <w:rFonts w:ascii="Palatino Linotype" w:hAnsi="Palatino Linotype" w:cs="Arial"/>
          <w:sz w:val="24"/>
          <w:szCs w:val="24"/>
          <w:lang w:eastAsia="es-MX"/>
        </w:rPr>
        <w:t xml:space="preserve"> que concierne a una persona física identificada e identificable en términos de los artículos 2, fracción II de la Ley de Transparencia y Acceso a la Información Pública del Estado de México y Municipios y </w:t>
      </w:r>
      <w:r w:rsidRPr="0027505D">
        <w:rPr>
          <w:rFonts w:ascii="Palatino Linotype" w:hAnsi="Palatino Linotype" w:cs="Arial"/>
          <w:sz w:val="24"/>
          <w:szCs w:val="24"/>
        </w:rPr>
        <w:t>4, fracción XI</w:t>
      </w:r>
      <w:r w:rsidRPr="0027505D">
        <w:rPr>
          <w:rFonts w:ascii="Palatino Linotype" w:hAnsi="Palatino Linotype" w:cs="Arial"/>
          <w:sz w:val="24"/>
          <w:szCs w:val="24"/>
          <w:lang w:eastAsia="es-MX"/>
        </w:rPr>
        <w:t xml:space="preserve"> </w:t>
      </w:r>
      <w:r w:rsidRPr="0027505D">
        <w:rPr>
          <w:rFonts w:ascii="Palatino Linotype" w:hAnsi="Palatino Linotype" w:cs="Arial"/>
          <w:sz w:val="24"/>
          <w:szCs w:val="24"/>
        </w:rPr>
        <w:t>de la Ley de Protección de Datos Personales en Posesión de Sujetos Obligados del Estado de México y Municipios</w:t>
      </w:r>
      <w:r w:rsidRPr="0027505D">
        <w:rPr>
          <w:rFonts w:ascii="Palatino Linotype" w:hAnsi="Palatino Linotype" w:cs="Arial"/>
          <w:sz w:val="24"/>
          <w:szCs w:val="24"/>
          <w:lang w:eastAsia="es-MX"/>
        </w:rPr>
        <w:t>.</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rPr>
      </w:pPr>
      <w:r w:rsidRPr="0027505D">
        <w:rPr>
          <w:rFonts w:ascii="Palatino Linotype" w:hAnsi="Palatino Linotype" w:cs="Arial"/>
          <w:sz w:val="24"/>
          <w:szCs w:val="24"/>
        </w:rPr>
        <w:lastRenderedPageBreak/>
        <w:t xml:space="preserve">Por </w:t>
      </w:r>
      <w:r w:rsidRPr="0027505D">
        <w:rPr>
          <w:rFonts w:ascii="Palatino Linotype" w:hAnsi="Palatino Linotype" w:cs="Arial"/>
          <w:sz w:val="24"/>
          <w:szCs w:val="24"/>
          <w:lang w:eastAsia="es-MX"/>
        </w:rPr>
        <w:t>ende</w:t>
      </w:r>
      <w:r w:rsidRPr="0027505D">
        <w:rPr>
          <w:rFonts w:ascii="Palatino Linotype" w:hAnsi="Palatino Linotype" w:cs="Arial"/>
          <w:sz w:val="24"/>
          <w:szCs w:val="24"/>
        </w:rPr>
        <w:t xml:space="preserve">, </w:t>
      </w:r>
      <w:r w:rsidRPr="0027505D">
        <w:rPr>
          <w:rFonts w:ascii="Palatino Linotype" w:hAnsi="Palatino Linotype" w:cs="Arial"/>
          <w:b/>
          <w:sz w:val="24"/>
          <w:szCs w:val="24"/>
        </w:rPr>
        <w:t>EL SUJETO OBLIGADO</w:t>
      </w:r>
      <w:r w:rsidRPr="0027505D">
        <w:rPr>
          <w:rFonts w:ascii="Palatino Linotype" w:hAnsi="Palatino Linotype" w:cs="Arial"/>
          <w:sz w:val="24"/>
          <w:szCs w:val="24"/>
        </w:rPr>
        <w:t xml:space="preserve"> debe testar los datos confidenciales, sin pasar por alto que la clasificación respectiva tiene que cumplirse a través de la forma y formalidades que la Ley impone; es decir, mediante Acuerdo debidamente fundado y motivado, en </w:t>
      </w:r>
      <w:r w:rsidRPr="0027505D">
        <w:rPr>
          <w:rFonts w:ascii="Palatino Linotype" w:hAnsi="Palatino Linotype" w:cs="Arial"/>
          <w:noProof/>
          <w:sz w:val="24"/>
          <w:szCs w:val="24"/>
          <w:lang w:eastAsia="es-MX"/>
        </w:rPr>
        <w:t>términos</w:t>
      </w:r>
      <w:r w:rsidRPr="0027505D">
        <w:rPr>
          <w:rFonts w:ascii="Palatino Linotype" w:hAnsi="Palatino Linotype" w:cs="Arial"/>
          <w:sz w:val="24"/>
          <w:szCs w:val="24"/>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0605CE" w:rsidRDefault="000605CE" w:rsidP="000605CE">
      <w:pPr>
        <w:spacing w:after="0" w:line="240" w:lineRule="auto"/>
        <w:ind w:left="851" w:right="902"/>
        <w:jc w:val="center"/>
        <w:rPr>
          <w:rFonts w:ascii="Palatino Linotype" w:hAnsi="Palatino Linotype" w:cs="Arial"/>
          <w:b/>
          <w:i/>
        </w:rPr>
      </w:pPr>
      <w:r w:rsidRPr="007B00AF">
        <w:rPr>
          <w:rFonts w:ascii="Palatino Linotype" w:hAnsi="Palatino Linotype" w:cs="Arial"/>
          <w:b/>
          <w:i/>
        </w:rPr>
        <w:t>Ley de Transparencia y Acceso a la Información Pública del Estado de México y Municipios</w:t>
      </w:r>
    </w:p>
    <w:p w:rsidR="000605CE" w:rsidRPr="007B00AF" w:rsidRDefault="000605CE" w:rsidP="000605CE">
      <w:pPr>
        <w:spacing w:after="0" w:line="240" w:lineRule="auto"/>
        <w:ind w:left="851" w:right="902"/>
        <w:jc w:val="center"/>
        <w:rPr>
          <w:rFonts w:ascii="Palatino Linotype" w:hAnsi="Palatino Linotype" w:cs="Arial"/>
          <w:b/>
          <w:i/>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w:t>
      </w:r>
      <w:r w:rsidRPr="007B00AF">
        <w:rPr>
          <w:rFonts w:ascii="Palatino Linotype" w:hAnsi="Palatino Linotype" w:cs="Arial"/>
          <w:b/>
          <w:i/>
          <w:lang w:eastAsia="es-MX"/>
        </w:rPr>
        <w:t xml:space="preserve">Artículo 49. </w:t>
      </w:r>
      <w:r w:rsidRPr="007B00AF">
        <w:rPr>
          <w:rFonts w:ascii="Palatino Linotype" w:hAnsi="Palatino Linotype" w:cs="Arial"/>
          <w:i/>
          <w:lang w:eastAsia="es-MX"/>
        </w:rPr>
        <w:t xml:space="preserve">Los </w:t>
      </w:r>
      <w:r w:rsidRPr="007B00AF">
        <w:rPr>
          <w:rFonts w:ascii="Palatino Linotype" w:hAnsi="Palatino Linotype" w:cs="Arial"/>
          <w:i/>
        </w:rPr>
        <w:t>Comités</w:t>
      </w:r>
      <w:r w:rsidRPr="007B00AF">
        <w:rPr>
          <w:rFonts w:ascii="Palatino Linotype" w:hAnsi="Palatino Linotype" w:cs="Arial"/>
          <w:i/>
          <w:lang w:eastAsia="es-MX"/>
        </w:rPr>
        <w:t xml:space="preserve"> de Transparencia </w:t>
      </w:r>
      <w:r w:rsidRPr="007B00AF">
        <w:rPr>
          <w:rFonts w:ascii="Palatino Linotype" w:hAnsi="Palatino Linotype"/>
          <w:i/>
        </w:rPr>
        <w:t>tendrán</w:t>
      </w:r>
      <w:r w:rsidRPr="007B00AF">
        <w:rPr>
          <w:rFonts w:ascii="Palatino Linotype" w:hAnsi="Palatino Linotype" w:cs="Arial"/>
          <w:i/>
          <w:lang w:eastAsia="es-MX"/>
        </w:rPr>
        <w:t xml:space="preserve"> las siguientes atribuciones:</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VIII.</w:t>
      </w:r>
      <w:r w:rsidRPr="007B00AF">
        <w:rPr>
          <w:rFonts w:ascii="Palatino Linotype" w:hAnsi="Palatino Linotype" w:cs="Arial"/>
          <w:i/>
          <w:lang w:eastAsia="es-MX"/>
        </w:rPr>
        <w:t xml:space="preserve"> </w:t>
      </w:r>
      <w:r w:rsidRPr="007B00AF">
        <w:rPr>
          <w:rFonts w:ascii="Palatino Linotype" w:hAnsi="Palatino Linotype" w:cs="Arial"/>
          <w:b/>
          <w:i/>
          <w:lang w:eastAsia="es-MX"/>
        </w:rPr>
        <w:t>Aprobar</w:t>
      </w:r>
      <w:r w:rsidRPr="007B00AF">
        <w:rPr>
          <w:rFonts w:ascii="Palatino Linotype" w:hAnsi="Palatino Linotype" w:cs="Arial"/>
          <w:i/>
          <w:lang w:eastAsia="es-MX"/>
        </w:rPr>
        <w:t xml:space="preserve">, </w:t>
      </w:r>
      <w:r w:rsidRPr="007B00AF">
        <w:rPr>
          <w:rFonts w:ascii="Palatino Linotype" w:hAnsi="Palatino Linotype" w:cs="Arial"/>
          <w:i/>
        </w:rPr>
        <w:t>modificar</w:t>
      </w:r>
      <w:r w:rsidRPr="007B00AF">
        <w:rPr>
          <w:rFonts w:ascii="Palatino Linotype" w:hAnsi="Palatino Linotype" w:cs="Arial"/>
          <w:i/>
          <w:lang w:eastAsia="es-MX"/>
        </w:rPr>
        <w:t xml:space="preserve"> o revocar la clasificación de la información;</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
          <w:i/>
          <w:lang w:eastAsia="es-MX"/>
        </w:rPr>
      </w:pPr>
      <w:r w:rsidRPr="007B00AF">
        <w:rPr>
          <w:rFonts w:ascii="Palatino Linotype" w:hAnsi="Palatino Linotype" w:cs="Arial"/>
          <w:b/>
          <w:i/>
          <w:lang w:eastAsia="es-MX"/>
        </w:rPr>
        <w:t>Artículo 132.</w:t>
      </w:r>
      <w:r w:rsidRPr="007B00AF">
        <w:rPr>
          <w:rFonts w:ascii="Palatino Linotype" w:hAnsi="Palatino Linotype" w:cs="Arial"/>
          <w:i/>
          <w:lang w:eastAsia="es-MX"/>
        </w:rPr>
        <w:t xml:space="preserve"> </w:t>
      </w:r>
      <w:r w:rsidRPr="007B00AF">
        <w:rPr>
          <w:rFonts w:ascii="Palatino Linotype" w:hAnsi="Palatino Linotype" w:cs="Arial"/>
          <w:b/>
          <w:i/>
          <w:lang w:eastAsia="es-MX"/>
        </w:rPr>
        <w:t>La clasificación de la información se llevará a cabo en el momento en que:</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II.</w:t>
      </w:r>
      <w:r w:rsidRPr="007B00AF">
        <w:rPr>
          <w:rFonts w:ascii="Palatino Linotype" w:hAnsi="Palatino Linotype" w:cs="Arial"/>
          <w:i/>
          <w:lang w:eastAsia="es-MX"/>
        </w:rPr>
        <w:t xml:space="preserve"> Se determine mediante resolución de autoridad competente; o</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III</w:t>
      </w:r>
      <w:r w:rsidRPr="007B00AF">
        <w:rPr>
          <w:rFonts w:ascii="Palatino Linotype" w:hAnsi="Palatino Linotype" w:cs="Arial"/>
          <w:i/>
          <w:lang w:eastAsia="es-MX"/>
        </w:rPr>
        <w:t xml:space="preserve">. </w:t>
      </w:r>
      <w:r w:rsidRPr="007B00AF">
        <w:rPr>
          <w:rFonts w:ascii="Palatino Linotype" w:hAnsi="Palatino Linotype" w:cs="Arial"/>
          <w:b/>
          <w:i/>
          <w:lang w:eastAsia="es-MX"/>
        </w:rPr>
        <w:t>Se generen versiones públicas para dar cumplimiento a las obligaciones de transparencia previstas en esta Ley</w:t>
      </w:r>
      <w:r w:rsidRPr="007B00AF">
        <w:rPr>
          <w:rFonts w:ascii="Palatino Linotype" w:hAnsi="Palatino Linotype" w:cs="Arial"/>
          <w:i/>
          <w:lang w:eastAsia="es-MX"/>
        </w:rPr>
        <w:t>.”</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Default="000605CE" w:rsidP="000605CE">
      <w:pPr>
        <w:spacing w:after="0" w:line="240" w:lineRule="auto"/>
        <w:ind w:left="851" w:right="902"/>
        <w:jc w:val="center"/>
        <w:rPr>
          <w:rFonts w:ascii="Palatino Linotype" w:hAnsi="Palatino Linotype" w:cs="Arial"/>
          <w:b/>
          <w:i/>
        </w:rPr>
      </w:pPr>
      <w:r w:rsidRPr="007B00AF">
        <w:rPr>
          <w:rFonts w:ascii="Palatino Linotype" w:hAnsi="Palatino Linotype" w:cs="Arial"/>
          <w:b/>
          <w:i/>
          <w:lang w:eastAsia="es-MX"/>
        </w:rPr>
        <w:t xml:space="preserve">Lineamientos Generales en materia de Clasificación y Desclasificación de la </w:t>
      </w:r>
      <w:r w:rsidRPr="007B00AF">
        <w:rPr>
          <w:rFonts w:ascii="Palatino Linotype" w:hAnsi="Palatino Linotype" w:cs="Arial"/>
          <w:b/>
          <w:i/>
        </w:rPr>
        <w:t>Información</w:t>
      </w:r>
    </w:p>
    <w:p w:rsidR="000605CE" w:rsidRPr="007B00AF" w:rsidRDefault="000605CE" w:rsidP="000605CE">
      <w:pPr>
        <w:spacing w:after="0" w:line="240" w:lineRule="auto"/>
        <w:ind w:left="851" w:right="902"/>
        <w:jc w:val="center"/>
        <w:rPr>
          <w:rFonts w:ascii="Palatino Linotype" w:hAnsi="Palatino Linotype" w:cs="Arial"/>
          <w:b/>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w:t>
      </w:r>
      <w:r w:rsidRPr="007B00AF">
        <w:rPr>
          <w:rFonts w:ascii="Palatino Linotype" w:hAnsi="Palatino Linotype" w:cs="Arial"/>
          <w:b/>
          <w:i/>
          <w:lang w:eastAsia="es-MX"/>
        </w:rPr>
        <w:t>Segundo.-</w:t>
      </w:r>
      <w:r w:rsidRPr="007B00AF">
        <w:rPr>
          <w:rFonts w:ascii="Palatino Linotype" w:hAnsi="Palatino Linotype" w:cs="Arial"/>
          <w:i/>
          <w:lang w:eastAsia="es-MX"/>
        </w:rPr>
        <w:t xml:space="preserve"> Para efectos de los </w:t>
      </w:r>
      <w:r w:rsidRPr="007B00AF">
        <w:rPr>
          <w:rFonts w:ascii="Palatino Linotype" w:hAnsi="Palatino Linotype" w:cs="Arial"/>
          <w:i/>
        </w:rPr>
        <w:t>presentes</w:t>
      </w:r>
      <w:r w:rsidRPr="007B00AF">
        <w:rPr>
          <w:rFonts w:ascii="Palatino Linotype" w:hAnsi="Palatino Linotype" w:cs="Arial"/>
          <w:i/>
          <w:lang w:eastAsia="es-MX"/>
        </w:rPr>
        <w:t xml:space="preserve"> Lineamientos Generales, se entenderá por:</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XVIII.</w:t>
      </w:r>
      <w:r w:rsidRPr="007B00AF">
        <w:rPr>
          <w:rFonts w:ascii="Palatino Linotype" w:hAnsi="Palatino Linotype" w:cs="Arial"/>
          <w:i/>
          <w:lang w:eastAsia="es-MX"/>
        </w:rPr>
        <w:t xml:space="preserve"> </w:t>
      </w:r>
      <w:r w:rsidRPr="007B00AF">
        <w:rPr>
          <w:rFonts w:ascii="Palatino Linotype" w:hAnsi="Palatino Linotype" w:cs="Arial"/>
          <w:b/>
          <w:i/>
          <w:lang w:eastAsia="es-MX"/>
        </w:rPr>
        <w:t>Versión pública:</w:t>
      </w:r>
      <w:r w:rsidRPr="007B00AF">
        <w:rPr>
          <w:rFonts w:ascii="Palatino Linotype" w:hAnsi="Palatino Linotype" w:cs="Arial"/>
          <w:i/>
          <w:lang w:eastAsia="es-MX"/>
        </w:rPr>
        <w:t xml:space="preserve"> El </w:t>
      </w:r>
      <w:r w:rsidRPr="007B00AF">
        <w:rPr>
          <w:rFonts w:ascii="Palatino Linotype" w:hAnsi="Palatino Linotype" w:cs="Arial"/>
          <w:bCs/>
          <w:i/>
          <w:noProof/>
        </w:rPr>
        <w:t>documento</w:t>
      </w:r>
      <w:r w:rsidRPr="007B00AF">
        <w:rPr>
          <w:rFonts w:ascii="Palatino Linotype" w:hAnsi="Palatino Linotype" w:cs="Arial"/>
          <w:i/>
          <w:lang w:eastAsia="es-MX"/>
        </w:rPr>
        <w:t xml:space="preserve"> a partir del que se otorga acceso a la información, en el que se testan partes o secciones clasificadas, indicando el contenido de éstas de manera genérica, </w:t>
      </w:r>
      <w:r w:rsidRPr="007B00AF">
        <w:rPr>
          <w:rFonts w:ascii="Palatino Linotype" w:hAnsi="Palatino Linotype" w:cs="Arial"/>
          <w:b/>
          <w:i/>
          <w:lang w:eastAsia="es-MX"/>
        </w:rPr>
        <w:t>fundando y motivando la</w:t>
      </w:r>
      <w:r w:rsidRPr="007B00AF">
        <w:rPr>
          <w:rFonts w:ascii="Palatino Linotype" w:hAnsi="Palatino Linotype" w:cs="Arial"/>
          <w:i/>
          <w:lang w:eastAsia="es-MX"/>
        </w:rPr>
        <w:t xml:space="preserve"> reserva o </w:t>
      </w:r>
      <w:r w:rsidRPr="007B00AF">
        <w:rPr>
          <w:rFonts w:ascii="Palatino Linotype" w:hAnsi="Palatino Linotype" w:cs="Arial"/>
          <w:b/>
          <w:i/>
          <w:lang w:eastAsia="es-MX"/>
        </w:rPr>
        <w:lastRenderedPageBreak/>
        <w:t>confidencialidad</w:t>
      </w:r>
      <w:r w:rsidRPr="007B00AF">
        <w:rPr>
          <w:rFonts w:ascii="Palatino Linotype" w:hAnsi="Palatino Linotype" w:cs="Arial"/>
          <w:i/>
          <w:lang w:eastAsia="es-MX"/>
        </w:rPr>
        <w:t xml:space="preserve">, a través de la resolución que para tal efecto emita el </w:t>
      </w:r>
      <w:r w:rsidRPr="007B00AF">
        <w:rPr>
          <w:rFonts w:ascii="Palatino Linotype" w:hAnsi="Palatino Linotype" w:cs="Arial"/>
          <w:bCs/>
          <w:i/>
          <w:noProof/>
        </w:rPr>
        <w:t>Comité</w:t>
      </w:r>
      <w:r w:rsidRPr="007B00AF">
        <w:rPr>
          <w:rFonts w:ascii="Palatino Linotype" w:hAnsi="Palatino Linotype" w:cs="Arial"/>
          <w:i/>
          <w:lang w:eastAsia="es-MX"/>
        </w:rPr>
        <w:t xml:space="preserve"> de Transparencia.</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Cuarto.</w:t>
      </w:r>
      <w:r w:rsidRPr="007B00AF">
        <w:rPr>
          <w:rFonts w:ascii="Palatino Linotype" w:hAnsi="Palatino Linotype" w:cs="Arial"/>
          <w:i/>
          <w:lang w:eastAsia="es-MX"/>
        </w:rPr>
        <w:t xml:space="preserve"> </w:t>
      </w:r>
      <w:r w:rsidRPr="007B00AF">
        <w:rPr>
          <w:rFonts w:ascii="Palatino Linotype" w:hAnsi="Palatino Linotype" w:cs="Arial"/>
          <w:b/>
          <w:i/>
          <w:lang w:eastAsia="es-MX"/>
        </w:rPr>
        <w:t>Para clasificar la información como</w:t>
      </w:r>
      <w:r w:rsidRPr="007B00AF">
        <w:rPr>
          <w:rFonts w:ascii="Palatino Linotype" w:hAnsi="Palatino Linotype" w:cs="Arial"/>
          <w:i/>
          <w:lang w:eastAsia="es-MX"/>
        </w:rPr>
        <w:t xml:space="preserve"> reservada o </w:t>
      </w:r>
      <w:r w:rsidRPr="007B00AF">
        <w:rPr>
          <w:rFonts w:ascii="Palatino Linotype" w:hAnsi="Palatino Linotype" w:cs="Arial"/>
          <w:b/>
          <w:i/>
          <w:lang w:eastAsia="es-MX"/>
        </w:rPr>
        <w:t xml:space="preserve">confidencial, de manera total o parcial, el titular del </w:t>
      </w:r>
      <w:r w:rsidRPr="007B00AF">
        <w:rPr>
          <w:rFonts w:ascii="Palatino Linotype" w:hAnsi="Palatino Linotype" w:cs="Arial"/>
          <w:b/>
          <w:bCs/>
          <w:i/>
          <w:noProof/>
        </w:rPr>
        <w:t>área</w:t>
      </w:r>
      <w:r w:rsidRPr="007B00AF">
        <w:rPr>
          <w:rFonts w:ascii="Palatino Linotype" w:hAnsi="Palatino Linotype" w:cs="Arial"/>
          <w:b/>
          <w:i/>
          <w:lang w:eastAsia="es-MX"/>
        </w:rPr>
        <w:t xml:space="preserve"> del sujeto </w:t>
      </w:r>
      <w:r w:rsidRPr="007B00AF">
        <w:rPr>
          <w:rFonts w:ascii="Palatino Linotype" w:hAnsi="Palatino Linotype" w:cs="Arial"/>
          <w:b/>
          <w:i/>
        </w:rPr>
        <w:t>obligado</w:t>
      </w:r>
      <w:r w:rsidRPr="007B00AF">
        <w:rPr>
          <w:rFonts w:ascii="Palatino Linotype" w:hAnsi="Palatino Linotype" w:cs="Arial"/>
          <w:b/>
          <w:i/>
          <w:lang w:eastAsia="es-MX"/>
        </w:rPr>
        <w:t xml:space="preserve"> deberá atender lo dispuesto por el Título Sexto de la Ley General</w:t>
      </w:r>
      <w:r w:rsidRPr="007B00AF">
        <w:rPr>
          <w:rFonts w:ascii="Palatino Linotype" w:hAnsi="Palatino Linotype" w:cs="Arial"/>
          <w:i/>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 xml:space="preserve">Los sujetos obligados deberán aplicar, de manera estricta, las excepciones al derecho de acceso a la </w:t>
      </w:r>
      <w:r w:rsidRPr="007B00AF">
        <w:rPr>
          <w:rFonts w:ascii="Palatino Linotype" w:hAnsi="Palatino Linotype" w:cs="Arial"/>
          <w:bCs/>
          <w:i/>
          <w:noProof/>
        </w:rPr>
        <w:t>información</w:t>
      </w:r>
      <w:r w:rsidRPr="007B00AF">
        <w:rPr>
          <w:rFonts w:ascii="Palatino Linotype" w:hAnsi="Palatino Linotype" w:cs="Arial"/>
          <w:i/>
          <w:lang w:eastAsia="es-MX"/>
        </w:rPr>
        <w:t xml:space="preserve"> y sólo </w:t>
      </w:r>
      <w:r w:rsidRPr="007B00AF">
        <w:rPr>
          <w:rFonts w:ascii="Palatino Linotype" w:hAnsi="Palatino Linotype" w:cs="Arial"/>
          <w:i/>
        </w:rPr>
        <w:t>podrán</w:t>
      </w:r>
      <w:r w:rsidRPr="007B00AF">
        <w:rPr>
          <w:rFonts w:ascii="Palatino Linotype" w:hAnsi="Palatino Linotype" w:cs="Arial"/>
          <w:i/>
          <w:lang w:eastAsia="es-MX"/>
        </w:rPr>
        <w:t xml:space="preserve"> invocarlas cuando acrediten su procedencia.</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Quinto.</w:t>
      </w:r>
      <w:r w:rsidRPr="007B00AF">
        <w:rPr>
          <w:rFonts w:ascii="Palatino Linotype" w:hAnsi="Palatino Linotype" w:cs="Arial"/>
          <w:i/>
          <w:lang w:eastAsia="es-MX"/>
        </w:rPr>
        <w:t xml:space="preserve"> La carga de la prueba para justificar toda negativa de acceso a la información, por actualizarse cualquiera de los supuestos de clasificación previstos en la Ley General, la Ley Federal y leyes estatales, </w:t>
      </w:r>
      <w:r w:rsidRPr="007B00AF">
        <w:rPr>
          <w:rFonts w:ascii="Palatino Linotype" w:hAnsi="Palatino Linotype" w:cs="Arial"/>
          <w:i/>
        </w:rPr>
        <w:t>corresponderá</w:t>
      </w:r>
      <w:r w:rsidRPr="007B00AF">
        <w:rPr>
          <w:rFonts w:ascii="Palatino Linotype" w:hAnsi="Palatino Linotype" w:cs="Arial"/>
          <w:i/>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Sexto.</w:t>
      </w:r>
      <w:r w:rsidRPr="007B00AF">
        <w:rPr>
          <w:rFonts w:ascii="Palatino Linotype" w:hAnsi="Palatino Linotype" w:cs="Arial"/>
          <w:i/>
          <w:lang w:eastAsia="es-MX"/>
        </w:rPr>
        <w:t xml:space="preserve"> Los sujetos obligados no podrán emitir acuerdos de carácter general ni particular que clasifiquen </w:t>
      </w:r>
      <w:r w:rsidRPr="007B00AF">
        <w:rPr>
          <w:rFonts w:ascii="Palatino Linotype" w:hAnsi="Palatino Linotype" w:cs="Arial"/>
          <w:bCs/>
          <w:i/>
          <w:noProof/>
        </w:rPr>
        <w:t>documentos</w:t>
      </w:r>
      <w:r w:rsidRPr="007B00AF">
        <w:rPr>
          <w:rFonts w:ascii="Palatino Linotype" w:hAnsi="Palatino Linotype" w:cs="Arial"/>
          <w:i/>
          <w:lang w:eastAsia="es-MX"/>
        </w:rPr>
        <w:t xml:space="preserve"> o expedientes como reservados, ni clasificar documentos antes de que se genere la información o cuando éstos no obren en sus archivos.</w:t>
      </w:r>
    </w:p>
    <w:p w:rsidR="000605CE" w:rsidRDefault="000605CE" w:rsidP="000605CE">
      <w:pPr>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 xml:space="preserve">La clasificación de </w:t>
      </w:r>
      <w:r w:rsidRPr="007B00AF">
        <w:rPr>
          <w:rFonts w:ascii="Palatino Linotype" w:hAnsi="Palatino Linotype" w:cs="Arial"/>
          <w:i/>
        </w:rPr>
        <w:t>información</w:t>
      </w:r>
      <w:r w:rsidRPr="007B00AF">
        <w:rPr>
          <w:rFonts w:ascii="Palatino Linotype" w:hAnsi="Palatino Linotype" w:cs="Arial"/>
          <w:i/>
          <w:lang w:eastAsia="es-MX"/>
        </w:rPr>
        <w:t xml:space="preserve"> se realizará conforme a un análisis caso por caso, mediante la aplicación </w:t>
      </w:r>
      <w:r w:rsidRPr="007B00AF">
        <w:rPr>
          <w:rFonts w:ascii="Palatino Linotype" w:hAnsi="Palatino Linotype" w:cs="Arial"/>
          <w:bCs/>
          <w:i/>
          <w:noProof/>
        </w:rPr>
        <w:t>de</w:t>
      </w:r>
      <w:r w:rsidRPr="007B00AF">
        <w:rPr>
          <w:rFonts w:ascii="Palatino Linotype" w:hAnsi="Palatino Linotype" w:cs="Arial"/>
          <w:i/>
          <w:lang w:eastAsia="es-MX"/>
        </w:rPr>
        <w:t xml:space="preserve"> la prueba de daño y de interés público.</w:t>
      </w:r>
    </w:p>
    <w:p w:rsidR="000605CE" w:rsidRPr="007B00AF" w:rsidRDefault="000605CE" w:rsidP="000605CE">
      <w:pPr>
        <w:spacing w:after="0" w:line="240" w:lineRule="auto"/>
        <w:ind w:left="851" w:right="902"/>
        <w:jc w:val="both"/>
        <w:rPr>
          <w:rFonts w:ascii="Palatino Linotype" w:hAnsi="Palatino Linotype" w:cs="Arial"/>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Séptimo.</w:t>
      </w:r>
      <w:r w:rsidRPr="007B00AF">
        <w:rPr>
          <w:rFonts w:ascii="Palatino Linotype" w:hAnsi="Palatino Linotype" w:cs="Arial"/>
          <w:i/>
          <w:lang w:eastAsia="es-MX"/>
        </w:rPr>
        <w:t xml:space="preserve"> La clasificación </w:t>
      </w:r>
      <w:r w:rsidRPr="007B00AF">
        <w:rPr>
          <w:rFonts w:ascii="Palatino Linotype" w:hAnsi="Palatino Linotype" w:cs="Arial"/>
          <w:bCs/>
          <w:i/>
          <w:noProof/>
        </w:rPr>
        <w:t>de</w:t>
      </w:r>
      <w:r w:rsidRPr="007B00AF">
        <w:rPr>
          <w:rFonts w:ascii="Palatino Linotype" w:hAnsi="Palatino Linotype" w:cs="Arial"/>
          <w:i/>
          <w:lang w:eastAsia="es-MX"/>
        </w:rPr>
        <w:t xml:space="preserve"> la </w:t>
      </w:r>
      <w:r w:rsidRPr="007B00AF">
        <w:rPr>
          <w:rFonts w:ascii="Palatino Linotype" w:hAnsi="Palatino Linotype" w:cs="Arial"/>
          <w:i/>
        </w:rPr>
        <w:t>información</w:t>
      </w:r>
      <w:r w:rsidRPr="007B00AF">
        <w:rPr>
          <w:rFonts w:ascii="Palatino Linotype" w:hAnsi="Palatino Linotype" w:cs="Arial"/>
          <w:i/>
          <w:lang w:eastAsia="es-MX"/>
        </w:rPr>
        <w:t xml:space="preserve"> se llevará a cabo en el momento en que:</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I.</w:t>
      </w:r>
      <w:r w:rsidRPr="007B00AF">
        <w:rPr>
          <w:rFonts w:ascii="Palatino Linotype" w:hAnsi="Palatino Linotype" w:cs="Arial"/>
          <w:i/>
          <w:lang w:eastAsia="es-MX"/>
        </w:rPr>
        <w:t xml:space="preserve"> Se reciba una solicitud de acceso a la información;</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II.</w:t>
      </w:r>
      <w:r w:rsidRPr="007B00AF">
        <w:rPr>
          <w:rFonts w:ascii="Palatino Linotype" w:hAnsi="Palatino Linotype" w:cs="Arial"/>
          <w:i/>
          <w:lang w:eastAsia="es-MX"/>
        </w:rPr>
        <w:t xml:space="preserve"> Se determine </w:t>
      </w:r>
      <w:r w:rsidRPr="007B00AF">
        <w:rPr>
          <w:rFonts w:ascii="Palatino Linotype" w:hAnsi="Palatino Linotype" w:cs="Arial"/>
          <w:bCs/>
          <w:i/>
          <w:noProof/>
        </w:rPr>
        <w:t>mediante</w:t>
      </w:r>
      <w:r w:rsidRPr="007B00AF">
        <w:rPr>
          <w:rFonts w:ascii="Palatino Linotype" w:hAnsi="Palatino Linotype" w:cs="Arial"/>
          <w:i/>
          <w:lang w:eastAsia="es-MX"/>
        </w:rPr>
        <w:t xml:space="preserve"> resolución de autoridad competente, o</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III.</w:t>
      </w:r>
      <w:r w:rsidRPr="007B00AF">
        <w:rPr>
          <w:rFonts w:ascii="Palatino Linotype" w:hAnsi="Palatino Linotype" w:cs="Arial"/>
          <w:i/>
          <w:lang w:eastAsia="es-MX"/>
        </w:rPr>
        <w:t xml:space="preserve"> Se generen </w:t>
      </w:r>
      <w:r w:rsidRPr="007B00AF">
        <w:rPr>
          <w:rFonts w:ascii="Palatino Linotype" w:hAnsi="Palatino Linotype" w:cs="Arial"/>
          <w:bCs/>
          <w:i/>
          <w:noProof/>
        </w:rPr>
        <w:t>versiones</w:t>
      </w:r>
      <w:r w:rsidRPr="007B00AF">
        <w:rPr>
          <w:rFonts w:ascii="Palatino Linotype" w:hAnsi="Palatino Linotype" w:cs="Arial"/>
          <w:i/>
          <w:lang w:eastAsia="es-MX"/>
        </w:rPr>
        <w:t xml:space="preserve"> públicas para dar cumplimiento a las obligaciones de transparencia previstas en la Ley General, la Ley Federal y las correspondientes de las entidades federativas.</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lastRenderedPageBreak/>
        <w:t xml:space="preserve">Los titulares de las áreas deberán revisar la clasificación al momento de la recepción de una solicitud de </w:t>
      </w:r>
      <w:r w:rsidRPr="007B00AF">
        <w:rPr>
          <w:rFonts w:ascii="Palatino Linotype" w:hAnsi="Palatino Linotype" w:cs="Arial"/>
          <w:bCs/>
          <w:i/>
          <w:noProof/>
        </w:rPr>
        <w:t>acceso</w:t>
      </w:r>
      <w:r w:rsidRPr="007B00AF">
        <w:rPr>
          <w:rFonts w:ascii="Palatino Linotype" w:hAnsi="Palatino Linotype" w:cs="Arial"/>
          <w:i/>
          <w:lang w:eastAsia="es-MX"/>
        </w:rPr>
        <w:t xml:space="preserve"> a la información, para verificar si encuadra en una causal de reserva o de confidencialidad.</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Octavo.</w:t>
      </w:r>
      <w:r w:rsidRPr="007B00AF">
        <w:rPr>
          <w:rFonts w:ascii="Palatino Linotype" w:hAnsi="Palatino Linotype" w:cs="Arial"/>
          <w:i/>
          <w:lang w:eastAsia="es-MX"/>
        </w:rPr>
        <w:t xml:space="preserve"> Para fundar la clasificación de la información se debe señalar el artículo, fracción, inciso, párrafo o numeral de la ley o tratado internacional suscrito por el Estado mexicano que </w:t>
      </w:r>
      <w:r w:rsidRPr="007B00AF">
        <w:rPr>
          <w:rFonts w:ascii="Palatino Linotype" w:hAnsi="Palatino Linotype" w:cs="Arial"/>
          <w:bCs/>
          <w:i/>
          <w:noProof/>
        </w:rPr>
        <w:t>expresamente</w:t>
      </w:r>
      <w:r w:rsidRPr="007B00AF">
        <w:rPr>
          <w:rFonts w:ascii="Palatino Linotype" w:hAnsi="Palatino Linotype" w:cs="Arial"/>
          <w:i/>
          <w:lang w:eastAsia="es-MX"/>
        </w:rPr>
        <w:t xml:space="preserve"> le otorga el carácter de reservada o confidencial.</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noProof/>
        </w:rPr>
      </w:pPr>
      <w:r w:rsidRPr="007B00AF">
        <w:rPr>
          <w:rFonts w:ascii="Palatino Linotype" w:hAnsi="Palatino Linotype" w:cs="Arial"/>
          <w:i/>
          <w:lang w:eastAsia="es-MX"/>
        </w:rPr>
        <w:t xml:space="preserve">Para </w:t>
      </w:r>
      <w:r w:rsidRPr="007B00AF">
        <w:rPr>
          <w:rFonts w:ascii="Palatino Linotype" w:hAnsi="Palatino Linotype" w:cs="Arial"/>
          <w:bCs/>
          <w:i/>
          <w:noProof/>
        </w:rPr>
        <w:t xml:space="preserve">motivar la clasificación se deberán señalar las razones o circunstancias especiales que lo </w:t>
      </w:r>
      <w:r w:rsidRPr="007B00AF">
        <w:rPr>
          <w:rFonts w:ascii="Palatino Linotype" w:hAnsi="Palatino Linotype" w:cs="Arial"/>
          <w:i/>
          <w:lang w:eastAsia="es-MX"/>
        </w:rPr>
        <w:t>llevaron</w:t>
      </w:r>
      <w:r w:rsidRPr="007B00AF">
        <w:rPr>
          <w:rFonts w:ascii="Palatino Linotype" w:hAnsi="Palatino Linotype" w:cs="Arial"/>
          <w:bCs/>
          <w:i/>
          <w:noProof/>
        </w:rPr>
        <w:t xml:space="preserve"> a concluir que el caso particular se ajusta al supuesto previsto por la norma legal invocada como fundamento.</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noProof/>
        </w:rPr>
      </w:pPr>
      <w:r w:rsidRPr="007B00AF">
        <w:rPr>
          <w:rFonts w:ascii="Palatino Linotype" w:hAnsi="Palatino Linotype" w:cs="Arial"/>
          <w:bCs/>
          <w:i/>
          <w:noProof/>
        </w:rPr>
        <w:t xml:space="preserve">En caso de referirse a información reservada, la motivación de la clasificación también deberá comprender las circunstancias que justifican el establecimiento de determinado plazo </w:t>
      </w:r>
      <w:r w:rsidRPr="007B00AF">
        <w:rPr>
          <w:rFonts w:ascii="Palatino Linotype" w:hAnsi="Palatino Linotype" w:cs="Arial"/>
          <w:i/>
          <w:lang w:eastAsia="es-MX"/>
        </w:rPr>
        <w:t>de</w:t>
      </w:r>
      <w:r w:rsidRPr="007B00AF">
        <w:rPr>
          <w:rFonts w:ascii="Palatino Linotype" w:hAnsi="Palatino Linotype" w:cs="Arial"/>
          <w:bCs/>
          <w:i/>
          <w:noProof/>
        </w:rPr>
        <w:t xml:space="preserve"> </w:t>
      </w:r>
      <w:r w:rsidRPr="007B00AF">
        <w:rPr>
          <w:rFonts w:ascii="Palatino Linotype" w:hAnsi="Palatino Linotype" w:cs="Arial"/>
          <w:i/>
          <w:lang w:eastAsia="es-MX"/>
        </w:rPr>
        <w:t>reserva</w:t>
      </w:r>
      <w:r w:rsidRPr="007B00AF">
        <w:rPr>
          <w:rFonts w:ascii="Palatino Linotype" w:hAnsi="Palatino Linotype" w:cs="Arial"/>
          <w:bCs/>
          <w:i/>
          <w:noProof/>
        </w:rPr>
        <w:t>.</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bCs/>
          <w:i/>
          <w:noProof/>
        </w:rPr>
      </w:pPr>
      <w:r w:rsidRPr="007B00AF">
        <w:rPr>
          <w:rFonts w:ascii="Palatino Linotype" w:hAnsi="Palatino Linotype" w:cs="Arial"/>
          <w:i/>
          <w:lang w:eastAsia="es-MX"/>
        </w:rPr>
        <w:t>Tratándose</w:t>
      </w:r>
      <w:r w:rsidRPr="007B00AF">
        <w:rPr>
          <w:rFonts w:ascii="Palatino Linotype" w:hAnsi="Palatino Linotype" w:cs="Arial"/>
          <w:bCs/>
          <w:i/>
          <w:noProof/>
        </w:rPr>
        <w:t xml:space="preserve"> de información clasificada como confidencial respecto de la cual se haya </w:t>
      </w:r>
      <w:r w:rsidRPr="007B00AF">
        <w:rPr>
          <w:rFonts w:ascii="Palatino Linotype" w:hAnsi="Palatino Linotype" w:cs="Arial"/>
          <w:i/>
          <w:lang w:eastAsia="es-MX"/>
        </w:rPr>
        <w:t>determinado</w:t>
      </w:r>
      <w:r w:rsidRPr="007B00AF">
        <w:rPr>
          <w:rFonts w:ascii="Palatino Linotype" w:hAnsi="Palatino Linotype" w:cs="Arial"/>
          <w:bCs/>
          <w:i/>
          <w:noProof/>
        </w:rPr>
        <w:t xml:space="preserve"> </w:t>
      </w:r>
      <w:r w:rsidRPr="007B00AF">
        <w:rPr>
          <w:rFonts w:ascii="Palatino Linotype" w:hAnsi="Palatino Linotype" w:cs="Arial"/>
          <w:i/>
          <w:lang w:eastAsia="es-MX"/>
        </w:rPr>
        <w:t>su</w:t>
      </w:r>
      <w:r w:rsidRPr="007B00AF">
        <w:rPr>
          <w:rFonts w:ascii="Palatino Linotype" w:hAnsi="Palatino Linotype" w:cs="Arial"/>
          <w:bCs/>
          <w:i/>
          <w:noProof/>
        </w:rPr>
        <w:t xml:space="preserve"> conservación permanente por tener valor histórico, ésta conservará tal carácter de conformidad con la normativa aplicable en materia de archivos.</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Cs/>
          <w:i/>
          <w:noProof/>
        </w:rPr>
        <w:t>Los documentos contenidos</w:t>
      </w:r>
      <w:r w:rsidRPr="007B00AF">
        <w:rPr>
          <w:rFonts w:ascii="Palatino Linotype" w:hAnsi="Palatino Linotype" w:cs="Arial"/>
          <w:i/>
          <w:lang w:eastAsia="es-MX"/>
        </w:rPr>
        <w:t xml:space="preserve"> en los archivos históricos y los identificados como históricos confidenciales no serán susceptibles de clasificación como reservados.</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Noveno.</w:t>
      </w:r>
      <w:r w:rsidRPr="007B00AF">
        <w:rPr>
          <w:rFonts w:ascii="Palatino Linotype" w:hAnsi="Palatino Linotype" w:cs="Arial"/>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t>Décimo.</w:t>
      </w:r>
      <w:r w:rsidRPr="007B00AF">
        <w:rPr>
          <w:rFonts w:ascii="Palatino Linotype" w:hAnsi="Palatino Linotype" w:cs="Arial"/>
          <w:i/>
          <w:lang w:eastAsia="es-MX"/>
        </w:rPr>
        <w:t xml:space="preserve"> Los titulares de las áreas, deberán tener conocimiento y llevar un registro del personal que, por la naturaleza de sus atribuciones, tenga acceso a los </w:t>
      </w:r>
      <w:r w:rsidRPr="007B00AF">
        <w:rPr>
          <w:rFonts w:ascii="Palatino Linotype" w:hAnsi="Palatino Linotype" w:cs="Arial"/>
          <w:i/>
        </w:rPr>
        <w:t>documentos</w:t>
      </w:r>
      <w:r w:rsidRPr="007B00AF">
        <w:rPr>
          <w:rFonts w:ascii="Palatino Linotype" w:hAnsi="Palatino Linotype" w:cs="Arial"/>
          <w:i/>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i/>
          <w:lang w:eastAsia="es-MX"/>
        </w:rPr>
        <w:t xml:space="preserve">En ausencia de los titulares de las áreas, la información será clasificada o desclasificada por la persona que lo supla, en términos de la normativa </w:t>
      </w:r>
      <w:r w:rsidRPr="007B00AF">
        <w:rPr>
          <w:rFonts w:ascii="Palatino Linotype" w:hAnsi="Palatino Linotype" w:cs="Arial"/>
          <w:i/>
        </w:rPr>
        <w:t>que</w:t>
      </w:r>
      <w:r w:rsidRPr="007B00AF">
        <w:rPr>
          <w:rFonts w:ascii="Palatino Linotype" w:hAnsi="Palatino Linotype" w:cs="Arial"/>
          <w:i/>
          <w:lang w:eastAsia="es-MX"/>
        </w:rPr>
        <w:t xml:space="preserve"> rija la actuación del sujeto obligado.</w:t>
      </w: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Pr="007B00AF"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7B00AF">
        <w:rPr>
          <w:rFonts w:ascii="Palatino Linotype" w:hAnsi="Palatino Linotype" w:cs="Arial"/>
          <w:b/>
          <w:i/>
          <w:lang w:eastAsia="es-MX"/>
        </w:rPr>
        <w:lastRenderedPageBreak/>
        <w:t>Décimo primero.</w:t>
      </w:r>
      <w:r w:rsidRPr="007B00AF">
        <w:rPr>
          <w:rFonts w:ascii="Palatino Linotype" w:hAnsi="Palatino Linotype" w:cs="Arial"/>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w:t>
      </w:r>
      <w:r>
        <w:rPr>
          <w:rFonts w:ascii="Palatino Linotype" w:hAnsi="Palatino Linotype" w:cs="Arial"/>
          <w:i/>
          <w:lang w:eastAsia="es-MX"/>
        </w:rPr>
        <w:t>de los presentes lineamientos.”</w:t>
      </w:r>
    </w:p>
    <w:p w:rsidR="000605CE"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p>
    <w:p w:rsidR="000605CE" w:rsidRPr="001339D2" w:rsidRDefault="000605CE" w:rsidP="000605CE">
      <w:pPr>
        <w:autoSpaceDE w:val="0"/>
        <w:autoSpaceDN w:val="0"/>
        <w:adjustRightInd w:val="0"/>
        <w:spacing w:after="0" w:line="240" w:lineRule="auto"/>
        <w:ind w:left="851" w:right="902"/>
        <w:jc w:val="both"/>
        <w:rPr>
          <w:rFonts w:ascii="Palatino Linotype" w:hAnsi="Palatino Linotype" w:cs="Arial"/>
          <w:i/>
          <w:lang w:eastAsia="es-MX"/>
        </w:rPr>
      </w:pPr>
      <w:r w:rsidRPr="001339D2">
        <w:rPr>
          <w:rFonts w:ascii="Palatino Linotype" w:hAnsi="Palatino Linotype" w:cs="Arial"/>
          <w:i/>
          <w:lang w:eastAsia="es-MX"/>
        </w:rPr>
        <w:t>(Énfasis Añadido)</w:t>
      </w:r>
    </w:p>
    <w:p w:rsidR="000605CE" w:rsidRDefault="000605CE" w:rsidP="000605CE">
      <w:pPr>
        <w:spacing w:before="100" w:beforeAutospacing="1" w:after="100" w:afterAutospacing="1" w:line="360" w:lineRule="auto"/>
        <w:jc w:val="both"/>
        <w:rPr>
          <w:rFonts w:ascii="Palatino Linotype" w:hAnsi="Palatino Linotype" w:cs="Arial"/>
          <w:sz w:val="24"/>
          <w:szCs w:val="24"/>
        </w:rPr>
      </w:pPr>
      <w:r w:rsidRPr="0027505D">
        <w:rPr>
          <w:rFonts w:ascii="Palatino Linotype" w:hAnsi="Palatino Linotype"/>
          <w:sz w:val="24"/>
          <w:szCs w:val="24"/>
        </w:rPr>
        <w:t xml:space="preserve">Es importante referir que, </w:t>
      </w:r>
      <w:r w:rsidRPr="0027505D">
        <w:rPr>
          <w:rFonts w:ascii="Palatino Linotype" w:hAnsi="Palatino Linotype"/>
          <w:b/>
          <w:sz w:val="24"/>
          <w:szCs w:val="24"/>
        </w:rPr>
        <w:t>EL SUJETO OBLIGADO</w:t>
      </w:r>
      <w:r w:rsidRPr="0027505D">
        <w:rPr>
          <w:rFonts w:ascii="Palatino Linotype" w:hAnsi="Palatino Linotype"/>
          <w:sz w:val="24"/>
          <w:szCs w:val="24"/>
        </w:rPr>
        <w:t xml:space="preserve"> deberá seguir el procedimiento legal establecido para su </w:t>
      </w:r>
      <w:r w:rsidRPr="0027505D">
        <w:rPr>
          <w:rFonts w:ascii="Palatino Linotype" w:hAnsi="Palatino Linotype"/>
          <w:sz w:val="24"/>
          <w:szCs w:val="24"/>
          <w:lang w:eastAsia="es-MX"/>
        </w:rPr>
        <w:t>clasificación</w:t>
      </w:r>
      <w:r w:rsidRPr="0027505D">
        <w:rPr>
          <w:rFonts w:ascii="Palatino Linotype" w:hAnsi="Palatino Linotype"/>
          <w:sz w:val="24"/>
          <w:szCs w:val="24"/>
        </w:rPr>
        <w:t>, esto es, que su Comité de</w:t>
      </w:r>
      <w:r w:rsidRPr="0027505D">
        <w:rPr>
          <w:rFonts w:ascii="Palatino Linotype" w:hAnsi="Palatino Linotype" w:cs="Arial"/>
          <w:sz w:val="24"/>
          <w:szCs w:val="24"/>
        </w:rPr>
        <w:t xml:space="preserve"> Transparencia emita un Acuerdo de Clasificación que cumpla con las formalidades previstas, antes citadas</w:t>
      </w:r>
      <w:r w:rsidRPr="0027505D">
        <w:rPr>
          <w:rFonts w:ascii="Palatino Linotype" w:hAnsi="Palatino Linotype" w:cs="Arial"/>
          <w:b/>
          <w:sz w:val="24"/>
          <w:szCs w:val="24"/>
        </w:rPr>
        <w:t xml:space="preserve"> </w:t>
      </w:r>
      <w:r w:rsidRPr="0027505D">
        <w:rPr>
          <w:rFonts w:ascii="Palatino Linotype" w:hAnsi="Palatino Linotype" w:cs="Arial"/>
          <w:sz w:val="24"/>
          <w:szCs w:val="24"/>
        </w:rPr>
        <w:t xml:space="preserve">que lo sustente, en el </w:t>
      </w:r>
      <w:r w:rsidRPr="0027505D">
        <w:rPr>
          <w:rFonts w:ascii="Palatino Linotype" w:hAnsi="Palatino Linotype" w:cs="Arial"/>
          <w:sz w:val="24"/>
          <w:szCs w:val="24"/>
          <w:lang w:eastAsia="es-MX"/>
        </w:rPr>
        <w:t>que</w:t>
      </w:r>
      <w:r w:rsidRPr="0027505D">
        <w:rPr>
          <w:rFonts w:ascii="Palatino Linotype" w:hAnsi="Palatino Linotype" w:cs="Arial"/>
          <w:sz w:val="24"/>
          <w:szCs w:val="24"/>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0605CE" w:rsidRPr="0027505D" w:rsidRDefault="000605CE" w:rsidP="000605CE">
      <w:pPr>
        <w:spacing w:before="100" w:beforeAutospacing="1" w:after="100" w:afterAutospacing="1" w:line="360" w:lineRule="auto"/>
        <w:jc w:val="both"/>
        <w:rPr>
          <w:rFonts w:ascii="Palatino Linotype" w:hAnsi="Palatino Linotype" w:cs="Arial"/>
          <w:sz w:val="24"/>
          <w:szCs w:val="24"/>
        </w:rPr>
      </w:pPr>
      <w:r w:rsidRPr="0027505D">
        <w:rPr>
          <w:rFonts w:ascii="Palatino Linotype" w:hAnsi="Palatino Linotype" w:cs="Arial"/>
          <w:color w:val="000000"/>
          <w:sz w:val="24"/>
          <w:szCs w:val="24"/>
        </w:rPr>
        <w:t xml:space="preserve">Finalmente, es de señalar que en razón de que </w:t>
      </w:r>
      <w:r w:rsidRPr="0027505D">
        <w:rPr>
          <w:rFonts w:ascii="Palatino Linotype" w:hAnsi="Palatino Linotype" w:cs="Arial"/>
          <w:b/>
          <w:color w:val="000000"/>
          <w:sz w:val="24"/>
          <w:szCs w:val="24"/>
        </w:rPr>
        <w:t xml:space="preserve">EL SUJETO OBLIGADO </w:t>
      </w:r>
      <w:r w:rsidRPr="0027505D">
        <w:rPr>
          <w:rFonts w:ascii="Palatino Linotype" w:hAnsi="Palatino Linotype" w:cs="Arial"/>
          <w:sz w:val="24"/>
          <w:szCs w:val="24"/>
        </w:rPr>
        <w:t xml:space="preserve">fue omiso en entregar la respuesta a la solicitud de información pública y dado que el recurso de revisión materia del presente asunto, </w:t>
      </w:r>
      <w:r w:rsidRPr="0027505D">
        <w:rPr>
          <w:rFonts w:ascii="Palatino Linotype" w:hAnsi="Palatino Linotype"/>
          <w:sz w:val="24"/>
          <w:szCs w:val="24"/>
        </w:rPr>
        <w:t xml:space="preserve">no es el medio para investigar y en su caso, sancionar a servidores públicos </w:t>
      </w:r>
      <w:r w:rsidRPr="0027505D">
        <w:rPr>
          <w:rFonts w:ascii="Palatino Linotype" w:hAnsi="Palatino Linotype"/>
          <w:b/>
          <w:sz w:val="24"/>
          <w:szCs w:val="24"/>
        </w:rPr>
        <w:t>por la omisión de la entrega de información pública</w:t>
      </w:r>
      <w:r w:rsidRPr="0027505D">
        <w:rPr>
          <w:rFonts w:ascii="Palatino Linotype" w:hAnsi="Palatino Linotype"/>
          <w:sz w:val="24"/>
          <w:szCs w:val="24"/>
        </w:rPr>
        <w:t xml:space="preserve">, toda vez que el artículo 163 de la Ley de la materia, prevé el plazo de respuesta y </w:t>
      </w:r>
      <w:r w:rsidRPr="0027505D">
        <w:rPr>
          <w:rFonts w:ascii="Palatino Linotype" w:hAnsi="Palatino Linotype"/>
          <w:sz w:val="24"/>
          <w:szCs w:val="24"/>
        </w:rPr>
        <w:lastRenderedPageBreak/>
        <w:t>atención a solicitudes de información; atento a ello, este Instituto en el ámbito de sus atribuciones, hará  d</w:t>
      </w:r>
      <w:r w:rsidRPr="0027505D">
        <w:rPr>
          <w:rFonts w:ascii="Palatino Linotype" w:hAnsi="Palatino Linotype" w:cs="Arial"/>
          <w:sz w:val="24"/>
          <w:szCs w:val="24"/>
        </w:rPr>
        <w:t xml:space="preserve">el conocimiento al Contralor de este Instituto a fin de que en términos del ordinal 190 de la Ley de la materia determine lo conducente. </w:t>
      </w:r>
    </w:p>
    <w:p w:rsidR="00A04851" w:rsidRPr="00127B05" w:rsidRDefault="00A04851"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sidRPr="00127B05">
        <w:rPr>
          <w:rFonts w:ascii="Palatino Linotype" w:eastAsia="Calibri" w:hAnsi="Palatino Linotype" w:cs="Arial"/>
          <w:sz w:val="24"/>
          <w:szCs w:val="24"/>
        </w:rPr>
        <w:t xml:space="preserve">Atento a lo anterior, se determina que las razones o motivos de inconformidad devienen </w:t>
      </w:r>
      <w:r w:rsidR="00EA33AF">
        <w:rPr>
          <w:rFonts w:ascii="Palatino Linotype" w:eastAsia="Calibri" w:hAnsi="Palatino Linotype" w:cs="Arial"/>
          <w:b/>
          <w:sz w:val="24"/>
          <w:szCs w:val="24"/>
        </w:rPr>
        <w:t>parcialmente f</w:t>
      </w:r>
      <w:r w:rsidR="000605CE">
        <w:rPr>
          <w:rFonts w:ascii="Palatino Linotype" w:eastAsia="Calibri" w:hAnsi="Palatino Linotype" w:cs="Arial"/>
          <w:b/>
          <w:sz w:val="24"/>
          <w:szCs w:val="24"/>
        </w:rPr>
        <w:t>undadas</w:t>
      </w:r>
      <w:r>
        <w:rPr>
          <w:rFonts w:ascii="Palatino Linotype" w:eastAsia="Calibri" w:hAnsi="Palatino Linotype" w:cs="Arial"/>
          <w:sz w:val="24"/>
          <w:szCs w:val="24"/>
        </w:rPr>
        <w:t>; por lo que, lo</w:t>
      </w:r>
      <w:r w:rsidRPr="00127B05">
        <w:rPr>
          <w:rFonts w:ascii="Palatino Linotype" w:eastAsia="Calibri" w:hAnsi="Palatino Linotype" w:cs="Arial"/>
          <w:sz w:val="24"/>
          <w:szCs w:val="24"/>
        </w:rPr>
        <w:t xml:space="preserve"> procedente de conformidad con </w:t>
      </w:r>
      <w:r w:rsidR="000605CE">
        <w:rPr>
          <w:rFonts w:ascii="Palatino Linotype" w:eastAsia="Calibri" w:hAnsi="Palatino Linotype" w:cs="Arial"/>
          <w:sz w:val="24"/>
          <w:szCs w:val="24"/>
        </w:rPr>
        <w:t>los artículos 179, fracción VII</w:t>
      </w:r>
      <w:r>
        <w:rPr>
          <w:rFonts w:ascii="Palatino Linotype" w:eastAsia="Calibri" w:hAnsi="Palatino Linotype" w:cs="Arial"/>
          <w:sz w:val="24"/>
          <w:szCs w:val="24"/>
        </w:rPr>
        <w:t xml:space="preserve"> y </w:t>
      </w:r>
      <w:r w:rsidRPr="00127B05">
        <w:rPr>
          <w:rFonts w:ascii="Palatino Linotype" w:eastAsia="Calibri" w:hAnsi="Palatino Linotype" w:cs="Arial"/>
          <w:sz w:val="24"/>
          <w:szCs w:val="24"/>
        </w:rPr>
        <w:t>186 fracción IV de la Ley de Transparencia y Acceso a la Información Pública del Estado de México y Municipios,</w:t>
      </w:r>
      <w:r>
        <w:rPr>
          <w:rFonts w:ascii="Palatino Linotype" w:eastAsia="Calibri" w:hAnsi="Palatino Linotype" w:cs="Arial"/>
          <w:sz w:val="24"/>
          <w:szCs w:val="24"/>
        </w:rPr>
        <w:t xml:space="preserve"> se</w:t>
      </w:r>
      <w:r w:rsidR="000605CE">
        <w:rPr>
          <w:rFonts w:ascii="Palatino Linotype" w:eastAsia="Calibri" w:hAnsi="Palatino Linotype" w:cs="Arial"/>
          <w:sz w:val="24"/>
          <w:szCs w:val="24"/>
        </w:rPr>
        <w:t xml:space="preserve"> </w:t>
      </w:r>
      <w:r w:rsidR="000605CE">
        <w:rPr>
          <w:rFonts w:ascii="Palatino Linotype" w:eastAsia="Calibri" w:hAnsi="Palatino Linotype" w:cs="Arial"/>
          <w:b/>
          <w:sz w:val="24"/>
          <w:szCs w:val="24"/>
        </w:rPr>
        <w:t>ORDENA</w:t>
      </w:r>
      <w:r w:rsidRPr="00127B05">
        <w:rPr>
          <w:rFonts w:ascii="Palatino Linotype" w:eastAsia="Calibri" w:hAnsi="Palatino Linotype" w:cs="Arial"/>
          <w:b/>
          <w:sz w:val="24"/>
          <w:szCs w:val="24"/>
        </w:rPr>
        <w:t xml:space="preserve"> </w:t>
      </w:r>
      <w:r w:rsidR="000605CE">
        <w:rPr>
          <w:rFonts w:ascii="Palatino Linotype" w:eastAsia="Calibri" w:hAnsi="Palatino Linotype" w:cs="Arial"/>
          <w:sz w:val="24"/>
          <w:szCs w:val="24"/>
        </w:rPr>
        <w:t xml:space="preserve">al </w:t>
      </w:r>
      <w:r w:rsidRPr="00127B05">
        <w:rPr>
          <w:rFonts w:ascii="Palatino Linotype" w:eastAsia="Calibri" w:hAnsi="Palatino Linotype" w:cs="Arial"/>
          <w:b/>
          <w:sz w:val="24"/>
          <w:szCs w:val="24"/>
        </w:rPr>
        <w:t>SUJETO OBLIGADO</w:t>
      </w:r>
      <w:r w:rsidR="000605CE">
        <w:rPr>
          <w:rFonts w:ascii="Palatino Linotype" w:eastAsia="Calibri" w:hAnsi="Palatino Linotype" w:cs="Arial"/>
          <w:sz w:val="24"/>
          <w:szCs w:val="24"/>
        </w:rPr>
        <w:t xml:space="preserve"> atienda </w:t>
      </w:r>
      <w:r w:rsidRPr="00127B05">
        <w:rPr>
          <w:rFonts w:ascii="Palatino Linotype" w:eastAsia="Calibri" w:hAnsi="Palatino Linotype" w:cs="Arial"/>
          <w:sz w:val="24"/>
          <w:szCs w:val="24"/>
        </w:rPr>
        <w:t xml:space="preserve">la solicitud de información y </w:t>
      </w:r>
      <w:r>
        <w:rPr>
          <w:rFonts w:ascii="Palatino Linotype" w:eastAsia="Calibri" w:hAnsi="Palatino Linotype" w:cs="Arial"/>
          <w:sz w:val="24"/>
          <w:szCs w:val="24"/>
        </w:rPr>
        <w:t xml:space="preserve">en aras de garantizar el principio de máxima publicidad a favor del </w:t>
      </w:r>
      <w:r>
        <w:rPr>
          <w:rFonts w:ascii="Palatino Linotype" w:eastAsia="Calibri" w:hAnsi="Palatino Linotype" w:cs="Arial"/>
          <w:b/>
          <w:sz w:val="24"/>
          <w:szCs w:val="24"/>
        </w:rPr>
        <w:t xml:space="preserve">RECURRENTE </w:t>
      </w:r>
      <w:r w:rsidR="000605CE">
        <w:rPr>
          <w:rFonts w:ascii="Palatino Linotype" w:eastAsia="Calibri" w:hAnsi="Palatino Linotype" w:cs="Arial"/>
          <w:sz w:val="24"/>
          <w:szCs w:val="24"/>
        </w:rPr>
        <w:t xml:space="preserve">haga entrega </w:t>
      </w:r>
      <w:r w:rsidRPr="00127B05">
        <w:rPr>
          <w:rFonts w:ascii="Palatino Linotype" w:eastAsia="Calibri" w:hAnsi="Palatino Linotype" w:cs="Arial"/>
          <w:sz w:val="24"/>
          <w:szCs w:val="24"/>
        </w:rPr>
        <w:t xml:space="preserve">de la </w:t>
      </w:r>
      <w:r w:rsidR="000605CE">
        <w:rPr>
          <w:rFonts w:ascii="Palatino Linotype" w:eastAsia="Calibri" w:hAnsi="Palatino Linotype" w:cs="Arial"/>
          <w:sz w:val="24"/>
          <w:szCs w:val="24"/>
        </w:rPr>
        <w:t xml:space="preserve">información </w:t>
      </w:r>
      <w:r w:rsidRPr="00127B05">
        <w:rPr>
          <w:rFonts w:ascii="Palatino Linotype" w:eastAsia="Calibri" w:hAnsi="Palatino Linotype" w:cs="Arial"/>
          <w:sz w:val="24"/>
          <w:szCs w:val="24"/>
        </w:rPr>
        <w:t xml:space="preserve">que ha quedo establecida en párrafos que anteceden. </w:t>
      </w:r>
    </w:p>
    <w:p w:rsidR="00A04851" w:rsidRDefault="00A04851" w:rsidP="00A04851">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eastAsia="Calibri" w:hAnsi="Palatino Linotype" w:cs="Arial"/>
        </w:rPr>
      </w:pPr>
      <w:r w:rsidRPr="005E7982">
        <w:rPr>
          <w:rFonts w:ascii="Palatino Linotype" w:eastAsia="Calibri" w:hAnsi="Palatino Linotype" w:cs="Arial"/>
        </w:rPr>
        <w:t xml:space="preserve">Así, con </w:t>
      </w:r>
      <w:r w:rsidRPr="005E7982">
        <w:rPr>
          <w:rFonts w:ascii="Palatino Linotype" w:hAnsi="Palatino Linotype" w:cs="Arial"/>
        </w:rPr>
        <w:t>fundamento</w:t>
      </w:r>
      <w:r w:rsidRPr="005E7982">
        <w:rPr>
          <w:rFonts w:ascii="Palatino Linotype" w:eastAsia="Calibri" w:hAnsi="Palatino Linotype" w:cs="Arial"/>
        </w:rPr>
        <w:t xml:space="preserve"> en lo prescrito en los artículos 5, </w:t>
      </w:r>
      <w:r w:rsidRPr="005E7982">
        <w:rPr>
          <w:rFonts w:ascii="Palatino Linotype" w:hAnsi="Palatino Linotype"/>
        </w:rPr>
        <w:t>párrafos vigésimo</w:t>
      </w:r>
      <w:r>
        <w:rPr>
          <w:rFonts w:ascii="Palatino Linotype" w:hAnsi="Palatino Linotype"/>
        </w:rPr>
        <w:t xml:space="preserve"> segundo</w:t>
      </w:r>
      <w:r w:rsidRPr="005E7982">
        <w:rPr>
          <w:rFonts w:ascii="Palatino Linotype" w:hAnsi="Palatino Linotype"/>
        </w:rPr>
        <w:t xml:space="preserve">, vigésimo </w:t>
      </w:r>
      <w:r>
        <w:rPr>
          <w:rFonts w:ascii="Palatino Linotype" w:hAnsi="Palatino Linotype"/>
        </w:rPr>
        <w:t>tercero</w:t>
      </w:r>
      <w:r w:rsidRPr="005E7982">
        <w:rPr>
          <w:rFonts w:ascii="Palatino Linotype" w:hAnsi="Palatino Linotype"/>
        </w:rPr>
        <w:t xml:space="preserve"> y vigésimo </w:t>
      </w:r>
      <w:r>
        <w:rPr>
          <w:rFonts w:ascii="Palatino Linotype" w:hAnsi="Palatino Linotype" w:cs="Arial"/>
        </w:rPr>
        <w:t>cuarto</w:t>
      </w:r>
      <w:r w:rsidRPr="005E7982">
        <w:rPr>
          <w:rFonts w:ascii="Palatino Linotype" w:hAnsi="Palatino Linotype" w:cs="Arial"/>
        </w:rPr>
        <w:t>,</w:t>
      </w:r>
      <w:r w:rsidRPr="005E7982">
        <w:rPr>
          <w:rFonts w:ascii="Palatino Linotype" w:hAnsi="Palatino Linotype"/>
        </w:rPr>
        <w:t xml:space="preserve"> </w:t>
      </w:r>
      <w:r w:rsidRPr="005E7982">
        <w:rPr>
          <w:rFonts w:ascii="Palatino Linotype" w:hAnsi="Palatino Linotype" w:cs="Arial"/>
        </w:rPr>
        <w:t>fracciones</w:t>
      </w:r>
      <w:r>
        <w:rPr>
          <w:rFonts w:ascii="Palatino Linotype" w:hAnsi="Palatino Linotype"/>
        </w:rPr>
        <w:t xml:space="preserve"> IV y V</w:t>
      </w:r>
      <w:r w:rsidRPr="005E7982">
        <w:rPr>
          <w:rFonts w:ascii="Palatino Linotype" w:eastAsia="Calibri" w:hAnsi="Palatino Linotype" w:cs="Arial"/>
        </w:rPr>
        <w:t xml:space="preserve"> de la Constitución Política del Estado Libre y Soberano de México y los artículos </w:t>
      </w:r>
      <w:r w:rsidRPr="005E7982">
        <w:rPr>
          <w:rFonts w:ascii="Palatino Linotype" w:hAnsi="Palatino Linotype"/>
        </w:rPr>
        <w:t xml:space="preserve">2, </w:t>
      </w:r>
      <w:r w:rsidRPr="005E7982">
        <w:rPr>
          <w:rFonts w:ascii="Palatino Linotype" w:hAnsi="Palatino Linotype" w:cs="Arial"/>
        </w:rPr>
        <w:t>fracción</w:t>
      </w:r>
      <w:r w:rsidRPr="005E7982">
        <w:rPr>
          <w:rFonts w:ascii="Palatino Linotype" w:hAnsi="Palatino Linotype"/>
        </w:rPr>
        <w:t xml:space="preserve"> II, 9, </w:t>
      </w:r>
      <w:r w:rsidRPr="005E7982">
        <w:rPr>
          <w:rFonts w:ascii="Palatino Linotype" w:hAnsi="Palatino Linotype" w:cs="Arial"/>
          <w:lang w:val="es-ES_tradnl"/>
        </w:rPr>
        <w:t>29</w:t>
      </w:r>
      <w:r w:rsidRPr="005E7982">
        <w:rPr>
          <w:rFonts w:ascii="Palatino Linotype" w:hAnsi="Palatino Linotype"/>
        </w:rPr>
        <w:t xml:space="preserve">, 36, fracciones I y II, 176, 178, 179, 181, 185, fracción I, 186 y 188 </w:t>
      </w:r>
      <w:r w:rsidRPr="005E7982">
        <w:rPr>
          <w:rFonts w:ascii="Palatino Linotype" w:eastAsia="Calibri" w:hAnsi="Palatino Linotype" w:cs="Arial"/>
        </w:rPr>
        <w:t xml:space="preserve">de la Ley de Transparencia y Acceso a la Información Pública del Estado de México y </w:t>
      </w:r>
      <w:r w:rsidRPr="005E7982">
        <w:rPr>
          <w:rFonts w:ascii="Palatino Linotype" w:hAnsi="Palatino Linotype" w:cs="Arial"/>
        </w:rPr>
        <w:t>Municipios</w:t>
      </w:r>
      <w:r w:rsidRPr="005E7982">
        <w:rPr>
          <w:rFonts w:ascii="Palatino Linotype" w:eastAsia="Calibri" w:hAnsi="Palatino Linotype" w:cs="Arial"/>
        </w:rPr>
        <w:t xml:space="preserve">, </w:t>
      </w:r>
      <w:r w:rsidRPr="005E7982">
        <w:rPr>
          <w:rFonts w:ascii="Palatino Linotype" w:hAnsi="Palatino Linotype"/>
        </w:rPr>
        <w:t>este</w:t>
      </w:r>
      <w:r w:rsidRPr="005E7982">
        <w:rPr>
          <w:rFonts w:ascii="Palatino Linotype" w:eastAsia="Calibri" w:hAnsi="Palatino Linotype" w:cs="Arial"/>
        </w:rPr>
        <w:t xml:space="preserve"> Pleno:</w:t>
      </w:r>
    </w:p>
    <w:p w:rsidR="00A04851" w:rsidRPr="005E7982" w:rsidRDefault="00A04851" w:rsidP="00A04851">
      <w:pPr>
        <w:spacing w:before="240" w:after="100" w:afterAutospacing="1" w:line="360" w:lineRule="auto"/>
        <w:jc w:val="center"/>
        <w:rPr>
          <w:rFonts w:ascii="Palatino Linotype" w:hAnsi="Palatino Linotype"/>
          <w:b/>
          <w:bCs/>
          <w:spacing w:val="60"/>
          <w:sz w:val="28"/>
        </w:rPr>
      </w:pPr>
      <w:r w:rsidRPr="005E7982">
        <w:rPr>
          <w:rFonts w:ascii="Palatino Linotype" w:hAnsi="Palatino Linotype"/>
          <w:b/>
          <w:bCs/>
          <w:spacing w:val="60"/>
          <w:sz w:val="28"/>
        </w:rPr>
        <w:t>RESUELVE</w:t>
      </w:r>
    </w:p>
    <w:p w:rsidR="00A04851" w:rsidRPr="00F30E4E" w:rsidRDefault="00A04851" w:rsidP="00A04851">
      <w:pPr>
        <w:spacing w:before="100" w:beforeAutospacing="1" w:after="100" w:afterAutospacing="1" w:line="360" w:lineRule="auto"/>
        <w:jc w:val="both"/>
        <w:rPr>
          <w:rFonts w:ascii="Palatino Linotype" w:hAnsi="Palatino Linotype" w:cs="Arial"/>
          <w:sz w:val="24"/>
        </w:rPr>
      </w:pPr>
      <w:r w:rsidRPr="00F30E4E">
        <w:rPr>
          <w:rFonts w:ascii="Palatino Linotype" w:hAnsi="Palatino Linotype" w:cs="Arial"/>
          <w:b/>
          <w:bCs/>
          <w:color w:val="222222"/>
          <w:sz w:val="28"/>
          <w:lang w:eastAsia="es-MX"/>
        </w:rPr>
        <w:t>PRIMERO</w:t>
      </w:r>
      <w:r w:rsidRPr="00F30E4E">
        <w:rPr>
          <w:rFonts w:ascii="Palatino Linotype" w:hAnsi="Palatino Linotype" w:cs="Arial"/>
        </w:rPr>
        <w:t xml:space="preserve">. </w:t>
      </w:r>
      <w:r w:rsidRPr="00F30E4E">
        <w:rPr>
          <w:rFonts w:ascii="Palatino Linotype" w:hAnsi="Palatino Linotype" w:cs="Arial"/>
          <w:sz w:val="24"/>
        </w:rPr>
        <w:t xml:space="preserve">Resultan </w:t>
      </w:r>
      <w:r w:rsidR="00EA33AF">
        <w:rPr>
          <w:rFonts w:ascii="Palatino Linotype" w:hAnsi="Palatino Linotype" w:cs="Arial"/>
          <w:b/>
          <w:sz w:val="24"/>
        </w:rPr>
        <w:t>parcialmente f</w:t>
      </w:r>
      <w:r w:rsidRPr="00F30E4E">
        <w:rPr>
          <w:rFonts w:ascii="Palatino Linotype" w:hAnsi="Palatino Linotype" w:cs="Arial"/>
          <w:b/>
          <w:sz w:val="24"/>
        </w:rPr>
        <w:t>undadas</w:t>
      </w:r>
      <w:r w:rsidRPr="00F30E4E">
        <w:rPr>
          <w:rFonts w:ascii="Palatino Linotype" w:hAnsi="Palatino Linotype" w:cs="Arial"/>
          <w:sz w:val="24"/>
        </w:rPr>
        <w:t xml:space="preserve"> las razones o motivos de inconformidad planteadas por </w:t>
      </w:r>
      <w:r w:rsidRPr="00F30E4E">
        <w:rPr>
          <w:rFonts w:ascii="Palatino Linotype" w:hAnsi="Palatino Linotype" w:cs="Arial"/>
          <w:b/>
          <w:sz w:val="24"/>
        </w:rPr>
        <w:t>EL RECURRENTE</w:t>
      </w:r>
      <w:r w:rsidRPr="00F30E4E">
        <w:rPr>
          <w:rFonts w:ascii="Palatino Linotype" w:hAnsi="Palatino Linotype" w:cs="Arial"/>
          <w:sz w:val="24"/>
        </w:rPr>
        <w:t xml:space="preserve"> en términos del Considerando </w:t>
      </w:r>
      <w:r w:rsidRPr="00F30E4E">
        <w:rPr>
          <w:rFonts w:ascii="Palatino Linotype" w:hAnsi="Palatino Linotype" w:cs="Arial"/>
          <w:b/>
          <w:sz w:val="24"/>
        </w:rPr>
        <w:t xml:space="preserve">QUINTO </w:t>
      </w:r>
      <w:r w:rsidRPr="00F30E4E">
        <w:rPr>
          <w:rFonts w:ascii="Palatino Linotype" w:hAnsi="Palatino Linotype" w:cs="Arial"/>
          <w:sz w:val="24"/>
        </w:rPr>
        <w:t>de esta Resolución.</w:t>
      </w:r>
    </w:p>
    <w:p w:rsidR="00A04851" w:rsidRPr="00F30E4E" w:rsidRDefault="00A04851" w:rsidP="00A04851">
      <w:pPr>
        <w:spacing w:before="100" w:beforeAutospacing="1" w:after="100" w:afterAutospacing="1" w:line="360" w:lineRule="auto"/>
        <w:jc w:val="both"/>
        <w:rPr>
          <w:rFonts w:ascii="Palatino Linotype" w:hAnsi="Palatino Linotype"/>
          <w:sz w:val="24"/>
          <w:szCs w:val="24"/>
          <w:shd w:val="clear" w:color="auto" w:fill="FFFFFF"/>
        </w:rPr>
      </w:pPr>
      <w:r w:rsidRPr="00F30E4E">
        <w:rPr>
          <w:rFonts w:ascii="Palatino Linotype" w:hAnsi="Palatino Linotype" w:cs="Arial"/>
          <w:b/>
          <w:sz w:val="28"/>
          <w:szCs w:val="28"/>
        </w:rPr>
        <w:lastRenderedPageBreak/>
        <w:t>SEGUNDO</w:t>
      </w:r>
      <w:r w:rsidRPr="00F30E4E">
        <w:rPr>
          <w:rFonts w:ascii="Palatino Linotype" w:hAnsi="Palatino Linotype" w:cs="Arial"/>
          <w:sz w:val="28"/>
          <w:szCs w:val="28"/>
        </w:rPr>
        <w:t>.</w:t>
      </w:r>
      <w:r w:rsidRPr="00F30E4E">
        <w:rPr>
          <w:rFonts w:ascii="Palatino Linotype" w:hAnsi="Palatino Linotype" w:cs="Arial"/>
        </w:rPr>
        <w:t xml:space="preserve"> </w:t>
      </w:r>
      <w:r w:rsidRPr="00F30E4E">
        <w:rPr>
          <w:rFonts w:ascii="Palatino Linotype" w:eastAsia="Calibri" w:hAnsi="Palatino Linotype" w:cs="Arial"/>
          <w:bCs/>
          <w:sz w:val="24"/>
          <w:szCs w:val="24"/>
        </w:rPr>
        <w:t>Se</w:t>
      </w:r>
      <w:r w:rsidRPr="00F30E4E">
        <w:rPr>
          <w:rFonts w:ascii="Palatino Linotype" w:eastAsia="Calibri" w:hAnsi="Palatino Linotype" w:cs="Arial"/>
          <w:b/>
          <w:bCs/>
          <w:sz w:val="24"/>
          <w:szCs w:val="24"/>
        </w:rPr>
        <w:t xml:space="preserve"> </w:t>
      </w:r>
      <w:r w:rsidR="000605CE">
        <w:rPr>
          <w:rFonts w:ascii="Palatino Linotype" w:eastAsia="Calibri" w:hAnsi="Palatino Linotype" w:cs="Arial"/>
          <w:b/>
          <w:sz w:val="24"/>
          <w:szCs w:val="24"/>
        </w:rPr>
        <w:t>ORDEN</w:t>
      </w:r>
      <w:r w:rsidRPr="00F30E4E">
        <w:rPr>
          <w:rFonts w:ascii="Palatino Linotype" w:eastAsia="Calibri" w:hAnsi="Palatino Linotype" w:cs="Arial"/>
          <w:b/>
          <w:sz w:val="24"/>
          <w:szCs w:val="24"/>
        </w:rPr>
        <w:t xml:space="preserve">A </w:t>
      </w:r>
      <w:r w:rsidR="000605CE">
        <w:rPr>
          <w:rFonts w:ascii="Palatino Linotype" w:eastAsia="Calibri" w:hAnsi="Palatino Linotype" w:cs="Arial"/>
          <w:sz w:val="24"/>
          <w:szCs w:val="24"/>
        </w:rPr>
        <w:t>al</w:t>
      </w:r>
      <w:r w:rsidRPr="00F30E4E">
        <w:rPr>
          <w:rFonts w:ascii="Palatino Linotype" w:eastAsia="Calibri" w:hAnsi="Palatino Linotype" w:cs="Arial"/>
          <w:sz w:val="24"/>
          <w:szCs w:val="24"/>
        </w:rPr>
        <w:t xml:space="preserve"> </w:t>
      </w:r>
      <w:r w:rsidRPr="00F30E4E">
        <w:rPr>
          <w:rFonts w:ascii="Palatino Linotype" w:eastAsia="Calibri" w:hAnsi="Palatino Linotype" w:cs="Arial"/>
          <w:b/>
          <w:sz w:val="24"/>
          <w:szCs w:val="24"/>
        </w:rPr>
        <w:t xml:space="preserve">SUJETO OBLIGADO </w:t>
      </w:r>
      <w:r w:rsidR="000605CE">
        <w:rPr>
          <w:rFonts w:ascii="Palatino Linotype" w:eastAsia="Calibri" w:hAnsi="Palatino Linotype" w:cs="Arial"/>
          <w:sz w:val="24"/>
          <w:szCs w:val="24"/>
        </w:rPr>
        <w:t xml:space="preserve">atienda la </w:t>
      </w:r>
      <w:r w:rsidRPr="00F30E4E">
        <w:rPr>
          <w:rFonts w:ascii="Palatino Linotype" w:eastAsia="Calibri" w:hAnsi="Palatino Linotype" w:cs="Arial"/>
          <w:sz w:val="24"/>
          <w:szCs w:val="24"/>
        </w:rPr>
        <w:t xml:space="preserve">solicitud de información </w:t>
      </w:r>
      <w:r w:rsidR="001A4835">
        <w:rPr>
          <w:rFonts w:ascii="Palatino Linotype" w:hAnsi="Palatino Linotype" w:cs="Arial"/>
          <w:b/>
          <w:sz w:val="24"/>
          <w:szCs w:val="24"/>
          <w:lang w:val="es-ES"/>
        </w:rPr>
        <w:t>00130</w:t>
      </w:r>
      <w:r w:rsidR="001A4835" w:rsidRPr="00C923DB">
        <w:rPr>
          <w:rFonts w:ascii="Palatino Linotype" w:hAnsi="Palatino Linotype" w:cs="Arial"/>
          <w:b/>
          <w:sz w:val="24"/>
          <w:szCs w:val="24"/>
          <w:lang w:val="es-ES"/>
        </w:rPr>
        <w:t>/</w:t>
      </w:r>
      <w:r w:rsidR="001A4835">
        <w:rPr>
          <w:rFonts w:ascii="Palatino Linotype" w:hAnsi="Palatino Linotype" w:cs="Arial"/>
          <w:b/>
          <w:sz w:val="24"/>
          <w:szCs w:val="24"/>
          <w:lang w:val="es-ES"/>
        </w:rPr>
        <w:t>OASZUMPANG/I</w:t>
      </w:r>
      <w:r w:rsidR="001A4835" w:rsidRPr="00C923DB">
        <w:rPr>
          <w:rFonts w:ascii="Palatino Linotype" w:hAnsi="Palatino Linotype" w:cs="Arial"/>
          <w:b/>
          <w:sz w:val="24"/>
          <w:szCs w:val="24"/>
          <w:lang w:val="es-ES"/>
        </w:rPr>
        <w:t>P/2019</w:t>
      </w:r>
      <w:r w:rsidRPr="00F30E4E">
        <w:rPr>
          <w:rFonts w:ascii="Palatino Linotype" w:hAnsi="Palatino Linotype" w:cs="Arial"/>
          <w:sz w:val="24"/>
          <w:szCs w:val="24"/>
        </w:rPr>
        <w:t xml:space="preserve">, en términos del Considerando </w:t>
      </w:r>
      <w:r w:rsidRPr="00F30E4E">
        <w:rPr>
          <w:rFonts w:ascii="Palatino Linotype" w:hAnsi="Palatino Linotype" w:cs="Arial"/>
          <w:b/>
          <w:sz w:val="24"/>
          <w:szCs w:val="24"/>
        </w:rPr>
        <w:t>QUINTO</w:t>
      </w:r>
      <w:r w:rsidRPr="00F30E4E">
        <w:rPr>
          <w:rFonts w:ascii="Palatino Linotype" w:hAnsi="Palatino Linotype" w:cs="Arial"/>
          <w:sz w:val="24"/>
          <w:szCs w:val="24"/>
        </w:rPr>
        <w:t xml:space="preserve"> y, haga entrega al </w:t>
      </w:r>
      <w:r w:rsidRPr="00F30E4E">
        <w:rPr>
          <w:rFonts w:ascii="Palatino Linotype" w:hAnsi="Palatino Linotype" w:cs="Arial"/>
          <w:b/>
          <w:sz w:val="24"/>
          <w:szCs w:val="24"/>
        </w:rPr>
        <w:t>RECURRENTE</w:t>
      </w:r>
      <w:r w:rsidRPr="00F30E4E">
        <w:rPr>
          <w:rFonts w:ascii="Palatino Linotype" w:hAnsi="Palatino Linotype" w:cs="Arial"/>
          <w:sz w:val="24"/>
          <w:szCs w:val="24"/>
        </w:rPr>
        <w:t xml:space="preserve">, </w:t>
      </w:r>
      <w:r w:rsidR="000605CE">
        <w:rPr>
          <w:rFonts w:ascii="Palatino Linotype" w:hAnsi="Palatino Linotype" w:cs="Arial"/>
          <w:sz w:val="24"/>
          <w:szCs w:val="24"/>
        </w:rPr>
        <w:t xml:space="preserve">previa </w:t>
      </w:r>
      <w:r w:rsidR="000605CE" w:rsidRPr="000605CE">
        <w:rPr>
          <w:rFonts w:ascii="Palatino Linotype" w:hAnsi="Palatino Linotype" w:cs="Arial"/>
          <w:b/>
          <w:sz w:val="24"/>
          <w:szCs w:val="24"/>
        </w:rPr>
        <w:t>búsqueda exhaustiva y razonable</w:t>
      </w:r>
      <w:r w:rsidR="000605CE">
        <w:rPr>
          <w:rFonts w:ascii="Palatino Linotype" w:hAnsi="Palatino Linotype" w:cs="Arial"/>
          <w:sz w:val="24"/>
          <w:szCs w:val="24"/>
        </w:rPr>
        <w:t xml:space="preserve">, </w:t>
      </w:r>
      <w:r w:rsidRPr="00F30E4E">
        <w:rPr>
          <w:rFonts w:ascii="Palatino Linotype" w:hAnsi="Palatino Linotype" w:cs="Arial"/>
          <w:sz w:val="24"/>
          <w:szCs w:val="24"/>
        </w:rPr>
        <w:t xml:space="preserve">vía </w:t>
      </w:r>
      <w:r w:rsidRPr="00F30E4E">
        <w:rPr>
          <w:rFonts w:ascii="Palatino Linotype" w:hAnsi="Palatino Linotype" w:cs="Arial"/>
          <w:b/>
          <w:sz w:val="24"/>
          <w:szCs w:val="24"/>
        </w:rPr>
        <w:t xml:space="preserve">SAIMEX </w:t>
      </w:r>
      <w:r w:rsidRPr="00F30E4E">
        <w:rPr>
          <w:rFonts w:ascii="Palatino Linotype" w:hAnsi="Palatino Linotype" w:cs="Arial"/>
          <w:sz w:val="24"/>
          <w:szCs w:val="24"/>
        </w:rPr>
        <w:t>y</w:t>
      </w:r>
      <w:r>
        <w:rPr>
          <w:rFonts w:ascii="Palatino Linotype" w:hAnsi="Palatino Linotype" w:cs="Arial"/>
          <w:sz w:val="24"/>
          <w:szCs w:val="24"/>
        </w:rPr>
        <w:t xml:space="preserve"> en</w:t>
      </w:r>
      <w:r w:rsidRPr="00F30E4E">
        <w:rPr>
          <w:rFonts w:ascii="Palatino Linotype" w:hAnsi="Palatino Linotype" w:cs="Arial"/>
          <w:sz w:val="24"/>
          <w:szCs w:val="24"/>
        </w:rPr>
        <w:t xml:space="preserve"> </w:t>
      </w:r>
      <w:r w:rsidR="000605CE">
        <w:rPr>
          <w:rFonts w:ascii="Palatino Linotype" w:hAnsi="Palatino Linotype" w:cs="Arial"/>
          <w:b/>
          <w:sz w:val="24"/>
          <w:szCs w:val="24"/>
        </w:rPr>
        <w:t xml:space="preserve">versión pública </w:t>
      </w:r>
      <w:r w:rsidR="000605CE">
        <w:rPr>
          <w:rFonts w:ascii="Palatino Linotype" w:hAnsi="Palatino Linotype" w:cs="Arial"/>
          <w:sz w:val="24"/>
          <w:szCs w:val="24"/>
        </w:rPr>
        <w:t>de ser procedente</w:t>
      </w:r>
      <w:r w:rsidRPr="00F30E4E">
        <w:rPr>
          <w:rFonts w:ascii="Palatino Linotype" w:hAnsi="Palatino Linotype" w:cs="Arial"/>
          <w:b/>
          <w:sz w:val="24"/>
          <w:szCs w:val="24"/>
        </w:rPr>
        <w:t xml:space="preserve"> </w:t>
      </w:r>
      <w:r w:rsidRPr="00F30E4E">
        <w:rPr>
          <w:rFonts w:ascii="Palatino Linotype" w:hAnsi="Palatino Linotype" w:cs="Arial"/>
          <w:sz w:val="24"/>
          <w:szCs w:val="24"/>
        </w:rPr>
        <w:t>de lo</w:t>
      </w:r>
      <w:r w:rsidRPr="00F30E4E">
        <w:rPr>
          <w:rFonts w:ascii="Palatino Linotype" w:hAnsi="Palatino Linotype" w:cs="Arial"/>
          <w:b/>
          <w:sz w:val="24"/>
          <w:szCs w:val="24"/>
        </w:rPr>
        <w:t xml:space="preserve"> </w:t>
      </w:r>
      <w:r w:rsidRPr="00F30E4E">
        <w:rPr>
          <w:rFonts w:ascii="Palatino Linotype" w:hAnsi="Palatino Linotype" w:cs="Arial"/>
          <w:sz w:val="24"/>
          <w:szCs w:val="24"/>
        </w:rPr>
        <w:t>siguiente</w:t>
      </w:r>
      <w:r w:rsidRPr="00F30E4E">
        <w:rPr>
          <w:rFonts w:ascii="Palatino Linotype" w:hAnsi="Palatino Linotype"/>
          <w:sz w:val="24"/>
          <w:szCs w:val="24"/>
          <w:shd w:val="clear" w:color="auto" w:fill="FFFFFF"/>
        </w:rPr>
        <w:t>:</w:t>
      </w:r>
    </w:p>
    <w:p w:rsidR="000605CE" w:rsidRDefault="000605CE" w:rsidP="000605CE">
      <w:pPr>
        <w:tabs>
          <w:tab w:val="left" w:pos="8222"/>
        </w:tabs>
        <w:spacing w:after="0" w:line="240" w:lineRule="auto"/>
        <w:ind w:left="851" w:right="899"/>
        <w:jc w:val="both"/>
        <w:rPr>
          <w:rFonts w:ascii="Palatino Linotype" w:eastAsia="Calibri" w:hAnsi="Palatino Linotype" w:cs="Arial"/>
          <w:i/>
        </w:rPr>
      </w:pPr>
      <w:r w:rsidRPr="000605CE">
        <w:rPr>
          <w:rFonts w:ascii="Palatino Linotype" w:eastAsia="Calibri" w:hAnsi="Palatino Linotype" w:cs="Arial"/>
          <w:i/>
        </w:rPr>
        <w:t>“a)</w:t>
      </w:r>
      <w:r>
        <w:rPr>
          <w:rFonts w:ascii="Palatino Linotype" w:eastAsia="Calibri" w:hAnsi="Palatino Linotype" w:cs="Arial"/>
          <w:i/>
        </w:rPr>
        <w:t xml:space="preserve"> El documento en el que conste </w:t>
      </w:r>
      <w:r w:rsidRPr="000605CE">
        <w:rPr>
          <w:rFonts w:ascii="Palatino Linotype" w:eastAsia="Calibri" w:hAnsi="Palatino Linotype" w:cs="Arial"/>
          <w:i/>
        </w:rPr>
        <w:t xml:space="preserve">el monto adeudado por el Título de Concesión señalado en la solicitud de información </w:t>
      </w:r>
      <w:r>
        <w:rPr>
          <w:rFonts w:ascii="Palatino Linotype" w:eastAsia="Calibri" w:hAnsi="Palatino Linotype" w:cs="Arial"/>
          <w:i/>
        </w:rPr>
        <w:t xml:space="preserve">al </w:t>
      </w:r>
      <w:r w:rsidRPr="000605CE">
        <w:rPr>
          <w:rFonts w:ascii="Palatino Linotype" w:eastAsia="Calibri" w:hAnsi="Palatino Linotype" w:cs="Arial"/>
          <w:i/>
        </w:rPr>
        <w:t>3 de octubre de 2019</w:t>
      </w:r>
      <w:r>
        <w:rPr>
          <w:rFonts w:ascii="Palatino Linotype" w:eastAsia="Calibri" w:hAnsi="Palatino Linotype" w:cs="Arial"/>
          <w:i/>
        </w:rPr>
        <w:t>.</w:t>
      </w:r>
    </w:p>
    <w:p w:rsidR="000605CE" w:rsidRDefault="000605CE" w:rsidP="000605CE">
      <w:pPr>
        <w:tabs>
          <w:tab w:val="left" w:pos="8222"/>
        </w:tabs>
        <w:spacing w:after="0" w:line="240" w:lineRule="auto"/>
        <w:ind w:left="851" w:right="899"/>
        <w:jc w:val="both"/>
        <w:rPr>
          <w:rFonts w:ascii="Palatino Linotype" w:eastAsia="Calibri" w:hAnsi="Palatino Linotype" w:cs="Arial"/>
          <w:i/>
        </w:rPr>
      </w:pPr>
    </w:p>
    <w:p w:rsidR="002E5537" w:rsidRDefault="00EA33AF" w:rsidP="000605CE">
      <w:pPr>
        <w:tabs>
          <w:tab w:val="left" w:pos="8222"/>
        </w:tabs>
        <w:spacing w:after="0" w:line="240" w:lineRule="auto"/>
        <w:ind w:left="851" w:right="899"/>
        <w:jc w:val="both"/>
        <w:rPr>
          <w:rFonts w:ascii="Palatino Linotype" w:eastAsia="Calibri" w:hAnsi="Palatino Linotype" w:cs="Arial"/>
          <w:i/>
        </w:rPr>
      </w:pPr>
      <w:r>
        <w:rPr>
          <w:rFonts w:ascii="Palatino Linotype" w:eastAsia="Calibri" w:hAnsi="Palatino Linotype" w:cs="Arial"/>
          <w:i/>
        </w:rPr>
        <w:t xml:space="preserve">b) Los documentos en los que </w:t>
      </w:r>
      <w:r w:rsidR="000605CE">
        <w:rPr>
          <w:rFonts w:ascii="Palatino Linotype" w:eastAsia="Calibri" w:hAnsi="Palatino Linotype" w:cs="Arial"/>
          <w:i/>
        </w:rPr>
        <w:t>conste</w:t>
      </w:r>
      <w:r>
        <w:rPr>
          <w:rFonts w:ascii="Palatino Linotype" w:eastAsia="Calibri" w:hAnsi="Palatino Linotype" w:cs="Arial"/>
          <w:i/>
        </w:rPr>
        <w:t xml:space="preserve">n los pagos realizados </w:t>
      </w:r>
      <w:r w:rsidR="000605CE">
        <w:rPr>
          <w:rFonts w:ascii="Palatino Linotype" w:eastAsia="Calibri" w:hAnsi="Palatino Linotype" w:cs="Arial"/>
          <w:i/>
        </w:rPr>
        <w:t xml:space="preserve">por </w:t>
      </w:r>
      <w:r w:rsidR="002E5537">
        <w:rPr>
          <w:rFonts w:ascii="Palatino Linotype" w:eastAsia="Calibri" w:hAnsi="Palatino Linotype" w:cs="Arial"/>
          <w:i/>
        </w:rPr>
        <w:t xml:space="preserve">concepto </w:t>
      </w:r>
      <w:r w:rsidR="002E5537" w:rsidRPr="000605CE">
        <w:rPr>
          <w:rFonts w:ascii="Palatino Linotype" w:eastAsia="Calibri" w:hAnsi="Palatino Linotype" w:cs="Arial"/>
          <w:i/>
        </w:rPr>
        <w:t xml:space="preserve">del </w:t>
      </w:r>
      <w:r w:rsidR="002E5537">
        <w:rPr>
          <w:rFonts w:ascii="Palatino Linotype" w:eastAsia="Calibri" w:hAnsi="Palatino Linotype" w:cs="Arial"/>
          <w:i/>
        </w:rPr>
        <w:t xml:space="preserve">uso y </w:t>
      </w:r>
      <w:r w:rsidR="002E5537" w:rsidRPr="000605CE">
        <w:rPr>
          <w:rFonts w:ascii="Palatino Linotype" w:eastAsia="Calibri" w:hAnsi="Palatino Linotype" w:cs="Arial"/>
          <w:i/>
        </w:rPr>
        <w:t>aprovechamiento del Título de Concesión referido</w:t>
      </w:r>
      <w:r w:rsidR="002E5537">
        <w:rPr>
          <w:rFonts w:ascii="Palatino Linotype" w:eastAsia="Calibri" w:hAnsi="Palatino Linotype" w:cs="Arial"/>
          <w:i/>
        </w:rPr>
        <w:t xml:space="preserve"> en la solicitud de información, </w:t>
      </w:r>
      <w:r w:rsidR="004F35E7">
        <w:rPr>
          <w:rFonts w:ascii="Palatino Linotype" w:eastAsia="Calibri" w:hAnsi="Palatino Linotype" w:cs="Arial"/>
          <w:i/>
        </w:rPr>
        <w:t xml:space="preserve">al </w:t>
      </w:r>
      <w:r w:rsidR="004F35E7" w:rsidRPr="000605CE">
        <w:rPr>
          <w:rFonts w:ascii="Palatino Linotype" w:eastAsia="Calibri" w:hAnsi="Palatino Linotype" w:cs="Arial"/>
          <w:i/>
        </w:rPr>
        <w:t>3 de octubre de 2019</w:t>
      </w:r>
      <w:r w:rsidR="002E5537" w:rsidRPr="00FA6277">
        <w:rPr>
          <w:rFonts w:ascii="Palatino Linotype" w:eastAsia="Calibri" w:hAnsi="Palatino Linotype" w:cs="Arial"/>
          <w:i/>
        </w:rPr>
        <w:t>.</w:t>
      </w:r>
      <w:r w:rsidR="002E5537">
        <w:rPr>
          <w:rFonts w:ascii="Palatino Linotype" w:eastAsia="Calibri" w:hAnsi="Palatino Linotype" w:cs="Arial"/>
          <w:i/>
        </w:rPr>
        <w:t xml:space="preserve"> </w:t>
      </w:r>
    </w:p>
    <w:p w:rsidR="002E5537" w:rsidRDefault="002E5537" w:rsidP="00A04851">
      <w:pPr>
        <w:spacing w:after="0" w:line="240" w:lineRule="auto"/>
        <w:ind w:left="851" w:right="902"/>
        <w:jc w:val="both"/>
        <w:rPr>
          <w:rFonts w:ascii="Palatino Linotype" w:hAnsi="Palatino Linotype" w:cs="Arial"/>
          <w:i/>
          <w:lang w:eastAsia="es-MX"/>
        </w:rPr>
      </w:pPr>
    </w:p>
    <w:p w:rsidR="00A04851" w:rsidRPr="000605CE" w:rsidRDefault="00A04851" w:rsidP="00A04851">
      <w:pPr>
        <w:spacing w:after="0" w:line="240" w:lineRule="auto"/>
        <w:ind w:left="851" w:right="902"/>
        <w:jc w:val="both"/>
        <w:rPr>
          <w:rFonts w:ascii="Palatino Linotype" w:hAnsi="Palatino Linotype" w:cs="Arial"/>
          <w:i/>
        </w:rPr>
      </w:pPr>
      <w:r w:rsidRPr="000605CE">
        <w:rPr>
          <w:rFonts w:ascii="Palatino Linotype" w:hAnsi="Palatino Linotype" w:cs="Arial"/>
          <w:i/>
          <w:lang w:eastAsia="es-MX"/>
        </w:rPr>
        <w:t>Debiendo</w:t>
      </w:r>
      <w:r w:rsidRPr="000605CE">
        <w:rPr>
          <w:rFonts w:ascii="Palatino Linotype" w:hAnsi="Palatino Linotype" w:cs="Arial"/>
          <w:i/>
        </w:rPr>
        <w:t xml:space="preserve"> notificar al </w:t>
      </w:r>
      <w:r w:rsidRPr="000605CE">
        <w:rPr>
          <w:rFonts w:ascii="Palatino Linotype" w:hAnsi="Palatino Linotype" w:cs="Arial"/>
          <w:b/>
          <w:i/>
        </w:rPr>
        <w:t>RECURRENTE</w:t>
      </w:r>
      <w:r w:rsidRPr="000605CE">
        <w:rPr>
          <w:rFonts w:ascii="Palatino Linotype" w:hAnsi="Palatino Linotype" w:cs="Arial"/>
          <w:i/>
        </w:rPr>
        <w:t xml:space="preserve"> el Acuerdo de Clasificación de la información que emita en su caso el Comité de Transparencia con motivo de la versión pública.</w:t>
      </w:r>
    </w:p>
    <w:p w:rsidR="00A04851" w:rsidRPr="002E5537" w:rsidRDefault="00A04851" w:rsidP="00A04851">
      <w:pPr>
        <w:spacing w:after="0" w:line="240" w:lineRule="auto"/>
        <w:ind w:left="851" w:right="902"/>
        <w:jc w:val="both"/>
        <w:rPr>
          <w:rFonts w:ascii="Palatino Linotype" w:hAnsi="Palatino Linotype" w:cs="Arial"/>
          <w:i/>
        </w:rPr>
      </w:pPr>
    </w:p>
    <w:p w:rsidR="00A04851" w:rsidRPr="002E5537" w:rsidRDefault="00A04851" w:rsidP="002E5537">
      <w:pPr>
        <w:spacing w:after="0" w:line="240" w:lineRule="auto"/>
        <w:ind w:left="851" w:right="902"/>
        <w:jc w:val="both"/>
        <w:rPr>
          <w:rFonts w:ascii="Palatino Linotype" w:hAnsi="Palatino Linotype"/>
          <w:bCs/>
          <w:i/>
        </w:rPr>
      </w:pPr>
      <w:r w:rsidRPr="002E5537">
        <w:rPr>
          <w:rFonts w:ascii="Palatino Linotype" w:hAnsi="Palatino Linotype"/>
          <w:bCs/>
          <w:i/>
        </w:rPr>
        <w:t xml:space="preserve">Para el caso de que </w:t>
      </w:r>
      <w:r w:rsidRPr="002E5537">
        <w:rPr>
          <w:rFonts w:ascii="Palatino Linotype" w:hAnsi="Palatino Linotype"/>
          <w:b/>
          <w:bCs/>
          <w:i/>
        </w:rPr>
        <w:t>EL SUJETO OBLIGADO</w:t>
      </w:r>
      <w:r w:rsidRPr="002E5537">
        <w:rPr>
          <w:rFonts w:ascii="Palatino Linotype" w:hAnsi="Palatino Linotype"/>
          <w:bCs/>
          <w:i/>
        </w:rPr>
        <w:t xml:space="preserve"> </w:t>
      </w:r>
      <w:r w:rsidR="002E5537">
        <w:rPr>
          <w:rFonts w:ascii="Palatino Linotype" w:hAnsi="Palatino Linotype"/>
          <w:bCs/>
          <w:i/>
        </w:rPr>
        <w:t xml:space="preserve">una vez acreditada la búsqueda exhaustiva y razonable de la información no la </w:t>
      </w:r>
      <w:r w:rsidRPr="002E5537">
        <w:rPr>
          <w:rFonts w:ascii="Palatino Linotype" w:hAnsi="Palatino Linotype"/>
          <w:bCs/>
          <w:i/>
        </w:rPr>
        <w:t xml:space="preserve">hubiera </w:t>
      </w:r>
      <w:r w:rsidR="002E5537">
        <w:rPr>
          <w:rFonts w:ascii="Palatino Linotype" w:hAnsi="Palatino Linotype"/>
          <w:bCs/>
          <w:i/>
        </w:rPr>
        <w:t xml:space="preserve">localizado, </w:t>
      </w:r>
      <w:r w:rsidRPr="002E5537">
        <w:rPr>
          <w:rFonts w:ascii="Palatino Linotype" w:hAnsi="Palatino Linotype"/>
          <w:bCs/>
          <w:i/>
        </w:rPr>
        <w:t xml:space="preserve">el Comité de Transparencia deberá emitir el Acuerdo de Inexistencia de la información en términos de los artículos 169 y 170 de la Ley de Transparencia y Acceso a la Información Pública del Estado de México y Municipios, debidamente fundado y motivado, mismo que deberá hacerse de conocimiento del </w:t>
      </w:r>
      <w:r w:rsidRPr="002E5537">
        <w:rPr>
          <w:rFonts w:ascii="Palatino Linotype" w:hAnsi="Palatino Linotype"/>
          <w:b/>
          <w:bCs/>
          <w:i/>
        </w:rPr>
        <w:t>RECURRENTE</w:t>
      </w:r>
      <w:r w:rsidRPr="002E5537">
        <w:rPr>
          <w:rFonts w:ascii="Palatino Linotype" w:hAnsi="Palatino Linotype"/>
          <w:bCs/>
          <w:i/>
        </w:rPr>
        <w:t>.</w:t>
      </w:r>
      <w:r w:rsidRPr="002E5537">
        <w:rPr>
          <w:rFonts w:ascii="Palatino Linotype" w:hAnsi="Palatino Linotype" w:cs="Arial"/>
          <w:i/>
        </w:rPr>
        <w:t>”</w:t>
      </w:r>
    </w:p>
    <w:p w:rsidR="00A04851" w:rsidRPr="00F30E4E" w:rsidRDefault="00A04851" w:rsidP="00A04851">
      <w:pPr>
        <w:spacing w:before="100" w:beforeAutospacing="1" w:after="100" w:afterAutospacing="1" w:line="360" w:lineRule="auto"/>
        <w:jc w:val="both"/>
        <w:rPr>
          <w:rFonts w:ascii="Palatino Linotype" w:hAnsi="Palatino Linotype"/>
          <w:color w:val="222222"/>
          <w:sz w:val="24"/>
          <w:szCs w:val="24"/>
          <w:shd w:val="clear" w:color="auto" w:fill="FFFFFF"/>
        </w:rPr>
      </w:pPr>
      <w:r w:rsidRPr="002E5537">
        <w:rPr>
          <w:rFonts w:ascii="Palatino Linotype" w:eastAsia="Calibri" w:hAnsi="Palatino Linotype" w:cs="Arial"/>
          <w:b/>
          <w:sz w:val="28"/>
          <w:szCs w:val="28"/>
        </w:rPr>
        <w:t>TERCERO</w:t>
      </w:r>
      <w:r w:rsidRPr="002E5537">
        <w:rPr>
          <w:rFonts w:ascii="Palatino Linotype" w:eastAsia="Calibri" w:hAnsi="Palatino Linotype" w:cs="Arial"/>
          <w:b/>
        </w:rPr>
        <w:t xml:space="preserve">. </w:t>
      </w:r>
      <w:r w:rsidRPr="002E5537">
        <w:rPr>
          <w:rFonts w:ascii="Palatino Linotype" w:eastAsia="Calibri" w:hAnsi="Palatino Linotype" w:cs="Arial"/>
          <w:b/>
          <w:sz w:val="24"/>
          <w:szCs w:val="24"/>
        </w:rPr>
        <w:t>Notifíquese</w:t>
      </w:r>
      <w:r w:rsidRPr="002E5537">
        <w:rPr>
          <w:rFonts w:ascii="Palatino Linotype" w:eastAsia="Calibri" w:hAnsi="Palatino Linotype" w:cs="Arial"/>
          <w:sz w:val="24"/>
          <w:szCs w:val="24"/>
        </w:rPr>
        <w:t xml:space="preserve"> </w:t>
      </w:r>
      <w:r w:rsidRPr="002E5537">
        <w:rPr>
          <w:rFonts w:ascii="Palatino Linotype" w:hAnsi="Palatino Linotype"/>
          <w:color w:val="222222"/>
          <w:sz w:val="24"/>
          <w:szCs w:val="24"/>
          <w:shd w:val="clear" w:color="auto" w:fill="FFFFFF"/>
        </w:rPr>
        <w:t>al Titular</w:t>
      </w:r>
      <w:r w:rsidRPr="00F30E4E">
        <w:rPr>
          <w:rFonts w:ascii="Palatino Linotype" w:hAnsi="Palatino Linotype"/>
          <w:color w:val="222222"/>
          <w:sz w:val="24"/>
          <w:szCs w:val="24"/>
          <w:shd w:val="clear" w:color="auto" w:fill="FFFFFF"/>
        </w:rPr>
        <w:t xml:space="preserve"> de la Unidad de Transparencia del</w:t>
      </w:r>
      <w:r w:rsidRPr="00F30E4E">
        <w:rPr>
          <w:rFonts w:ascii="Palatino Linotype" w:hAnsi="Palatino Linotype"/>
          <w:b/>
          <w:color w:val="222222"/>
          <w:sz w:val="24"/>
          <w:szCs w:val="24"/>
          <w:shd w:val="clear" w:color="auto" w:fill="FFFFFF"/>
        </w:rPr>
        <w:t> SUJETO OBLIGADO</w:t>
      </w:r>
      <w:r w:rsidRPr="00F30E4E">
        <w:rPr>
          <w:rFonts w:ascii="Palatino Linotype" w:hAnsi="Palatino Linotype"/>
          <w:color w:val="222222"/>
          <w:sz w:val="24"/>
          <w:szCs w:val="24"/>
          <w:shd w:val="clear" w:color="auto" w:fill="FFFFFF"/>
        </w:rPr>
        <w:t xml:space="preserve">, para que conforme a los artículos 186, último párrafo y 189, párrafo segundo de la Ley de </w:t>
      </w:r>
      <w:r w:rsidRPr="00F30E4E">
        <w:rPr>
          <w:rFonts w:ascii="Palatino Linotype" w:hAnsi="Palatino Linotype" w:cs="Arial"/>
          <w:sz w:val="24"/>
          <w:szCs w:val="24"/>
        </w:rPr>
        <w:t>Transparencia</w:t>
      </w:r>
      <w:r w:rsidRPr="00F30E4E">
        <w:rPr>
          <w:rFonts w:ascii="Palatino Linotype" w:hAnsi="Palatino Linotype"/>
          <w:color w:val="222222"/>
          <w:sz w:val="24"/>
          <w:szCs w:val="24"/>
          <w:shd w:val="clear" w:color="auto" w:fill="FFFFFF"/>
        </w:rPr>
        <w:t xml:space="preserve"> y Acceso a la Información Pública del Estado de México y Municipios, dé cumplimiento a lo ordenado dentro del plazo de diez días hábiles, debiendo informar a este Instituto en un plazo </w:t>
      </w:r>
      <w:r w:rsidRPr="00F30E4E">
        <w:rPr>
          <w:rFonts w:ascii="Palatino Linotype" w:hAnsi="Palatino Linotype"/>
          <w:color w:val="222222"/>
          <w:sz w:val="24"/>
          <w:szCs w:val="24"/>
          <w:lang w:eastAsia="es-ES_tradnl"/>
        </w:rPr>
        <w:t>de</w:t>
      </w:r>
      <w:r w:rsidRPr="00F30E4E">
        <w:rPr>
          <w:rFonts w:ascii="Palatino Linotype" w:hAnsi="Palatino Linotype"/>
          <w:color w:val="222222"/>
          <w:sz w:val="24"/>
          <w:szCs w:val="24"/>
          <w:shd w:val="clear" w:color="auto" w:fill="FFFFFF"/>
        </w:rPr>
        <w:t xml:space="preserve"> tres días hábiles siguientes sobre el cumplimiento dado a la presente resolución.</w:t>
      </w:r>
    </w:p>
    <w:p w:rsidR="00A04851" w:rsidRPr="00F30E4E" w:rsidRDefault="00A04851" w:rsidP="00A04851">
      <w:pPr>
        <w:spacing w:before="100" w:beforeAutospacing="1" w:after="100" w:afterAutospacing="1" w:line="360" w:lineRule="auto"/>
        <w:jc w:val="both"/>
        <w:rPr>
          <w:rFonts w:ascii="Palatino Linotype" w:eastAsia="Calibri" w:hAnsi="Palatino Linotype" w:cs="Arial"/>
          <w:sz w:val="24"/>
          <w:szCs w:val="24"/>
        </w:rPr>
      </w:pPr>
      <w:r w:rsidRPr="00F30E4E">
        <w:rPr>
          <w:rFonts w:ascii="Palatino Linotype" w:eastAsia="Calibri" w:hAnsi="Palatino Linotype" w:cs="Arial"/>
          <w:b/>
          <w:sz w:val="28"/>
          <w:szCs w:val="28"/>
        </w:rPr>
        <w:lastRenderedPageBreak/>
        <w:t>CUARTO</w:t>
      </w:r>
      <w:r w:rsidRPr="00F30E4E">
        <w:rPr>
          <w:rFonts w:ascii="Palatino Linotype" w:eastAsia="Calibri" w:hAnsi="Palatino Linotype" w:cs="Arial"/>
        </w:rPr>
        <w:t xml:space="preserve">. </w:t>
      </w:r>
      <w:r w:rsidRPr="00A12284">
        <w:rPr>
          <w:rFonts w:ascii="Palatino Linotype" w:eastAsia="Calibri" w:hAnsi="Palatino Linotype" w:cs="Arial"/>
          <w:b/>
          <w:sz w:val="24"/>
          <w:szCs w:val="24"/>
        </w:rPr>
        <w:t>Notifíquese</w:t>
      </w:r>
      <w:r w:rsidRPr="00F30E4E">
        <w:rPr>
          <w:rFonts w:ascii="Palatino Linotype" w:eastAsia="Calibri" w:hAnsi="Palatino Linotype" w:cs="Arial"/>
          <w:sz w:val="24"/>
          <w:szCs w:val="24"/>
        </w:rPr>
        <w:t xml:space="preserve"> al </w:t>
      </w:r>
      <w:r w:rsidRPr="00F30E4E">
        <w:rPr>
          <w:rFonts w:ascii="Palatino Linotype" w:eastAsia="Calibri" w:hAnsi="Palatino Linotype" w:cs="Arial"/>
          <w:b/>
          <w:sz w:val="24"/>
          <w:szCs w:val="24"/>
        </w:rPr>
        <w:t>RECURRENTE</w:t>
      </w:r>
      <w:r w:rsidRPr="00F30E4E">
        <w:rPr>
          <w:rFonts w:ascii="Palatino Linotype" w:eastAsia="Calibri" w:hAnsi="Palatino Linotype" w:cs="Arial"/>
          <w:sz w:val="24"/>
          <w:szCs w:val="24"/>
        </w:rPr>
        <w:t xml:space="preserve"> la presente resolución.</w:t>
      </w:r>
    </w:p>
    <w:p w:rsidR="00A04851" w:rsidRPr="004F35E7" w:rsidRDefault="00A04851" w:rsidP="00A04851">
      <w:pPr>
        <w:widowControl w:val="0"/>
        <w:autoSpaceDE w:val="0"/>
        <w:autoSpaceDN w:val="0"/>
        <w:adjustRightInd w:val="0"/>
        <w:spacing w:before="100" w:beforeAutospacing="1" w:after="100" w:afterAutospacing="1" w:line="360" w:lineRule="auto"/>
        <w:jc w:val="both"/>
        <w:rPr>
          <w:rFonts w:ascii="Palatino Linotype" w:eastAsia="Calibri" w:hAnsi="Palatino Linotype" w:cs="Arial"/>
          <w:sz w:val="24"/>
          <w:szCs w:val="24"/>
        </w:rPr>
      </w:pPr>
      <w:r w:rsidRPr="00F30E4E">
        <w:rPr>
          <w:rFonts w:ascii="Palatino Linotype" w:eastAsia="Calibri" w:hAnsi="Palatino Linotype" w:cs="Arial"/>
          <w:b/>
          <w:sz w:val="28"/>
          <w:szCs w:val="28"/>
        </w:rPr>
        <w:t>QUINTO</w:t>
      </w:r>
      <w:r w:rsidRPr="00F30E4E">
        <w:rPr>
          <w:rFonts w:ascii="Palatino Linotype" w:eastAsia="Calibri" w:hAnsi="Palatino Linotype" w:cs="Arial"/>
        </w:rPr>
        <w:t xml:space="preserve">. </w:t>
      </w:r>
      <w:r w:rsidRPr="00A12284">
        <w:rPr>
          <w:rFonts w:ascii="Palatino Linotype" w:eastAsia="Calibri" w:hAnsi="Palatino Linotype" w:cs="Arial"/>
          <w:b/>
          <w:sz w:val="24"/>
          <w:szCs w:val="24"/>
        </w:rPr>
        <w:t>Hágase del conocimiento</w:t>
      </w:r>
      <w:r w:rsidRPr="00F30E4E">
        <w:rPr>
          <w:rFonts w:ascii="Palatino Linotype" w:eastAsia="Calibri" w:hAnsi="Palatino Linotype" w:cs="Arial"/>
          <w:sz w:val="24"/>
          <w:szCs w:val="24"/>
        </w:rPr>
        <w:t xml:space="preserve"> del </w:t>
      </w:r>
      <w:r w:rsidRPr="00F30E4E">
        <w:rPr>
          <w:rFonts w:ascii="Palatino Linotype" w:eastAsia="Calibri" w:hAnsi="Palatino Linotype" w:cs="Arial"/>
          <w:b/>
          <w:sz w:val="24"/>
          <w:szCs w:val="24"/>
        </w:rPr>
        <w:t>RECURRENTE</w:t>
      </w:r>
      <w:r w:rsidRPr="00F30E4E">
        <w:rPr>
          <w:rFonts w:ascii="Palatino Linotype" w:eastAsia="Calibri" w:hAnsi="Palatino Linotype" w:cs="Arial"/>
          <w:sz w:val="24"/>
          <w:szCs w:val="24"/>
        </w:rPr>
        <w:t xml:space="preserve"> que</w:t>
      </w:r>
      <w:r w:rsidRPr="00CC1576">
        <w:rPr>
          <w:rFonts w:ascii="Palatino Linotype" w:eastAsia="Calibri" w:hAnsi="Palatino Linotype" w:cs="Arial"/>
          <w:sz w:val="24"/>
          <w:szCs w:val="24"/>
        </w:rPr>
        <w:t xml:space="preserve"> de conformidad con lo establecido en el artículo 196 de la Ley de Transparencia y Acceso a la Información Pública del Estado de México y Municipios, podrá impugnar la presente resolución vía </w:t>
      </w:r>
      <w:r w:rsidRPr="004F35E7">
        <w:rPr>
          <w:rFonts w:ascii="Palatino Linotype" w:eastAsia="Calibri" w:hAnsi="Palatino Linotype" w:cs="Arial"/>
          <w:sz w:val="24"/>
          <w:szCs w:val="24"/>
        </w:rPr>
        <w:t>Juicio de Amparo en los términos de las leyes aplicables.</w:t>
      </w:r>
    </w:p>
    <w:p w:rsidR="00EA33AF" w:rsidRDefault="00EA33AF" w:rsidP="00EA33AF">
      <w:pPr>
        <w:spacing w:before="100" w:beforeAutospacing="1" w:after="100" w:afterAutospacing="1" w:line="360" w:lineRule="auto"/>
        <w:jc w:val="both"/>
        <w:rPr>
          <w:rFonts w:ascii="Palatino Linotype" w:hAnsi="Palatino Linotype"/>
          <w:sz w:val="24"/>
          <w:szCs w:val="24"/>
          <w:lang w:eastAsia="es-ES_tradnl"/>
        </w:rPr>
      </w:pPr>
      <w:r w:rsidRPr="004F35E7">
        <w:rPr>
          <w:rFonts w:ascii="Palatino Linotype" w:hAnsi="Palatino Linotype" w:cs="Arial"/>
          <w:b/>
          <w:bCs/>
          <w:color w:val="222222"/>
          <w:sz w:val="28"/>
          <w:lang w:eastAsia="es-MX"/>
        </w:rPr>
        <w:t>SEXTO</w:t>
      </w:r>
      <w:r w:rsidRPr="004F35E7">
        <w:rPr>
          <w:rFonts w:ascii="Palatino Linotype" w:hAnsi="Palatino Linotype"/>
          <w:b/>
          <w:sz w:val="28"/>
          <w:szCs w:val="25"/>
        </w:rPr>
        <w:t xml:space="preserve">. </w:t>
      </w:r>
      <w:r w:rsidRPr="004F35E7">
        <w:rPr>
          <w:rFonts w:ascii="Palatino Linotype" w:hAnsi="Palatino Linotype"/>
          <w:b/>
          <w:sz w:val="24"/>
          <w:szCs w:val="24"/>
        </w:rPr>
        <w:t>Gírese</w:t>
      </w:r>
      <w:r w:rsidRPr="004F35E7">
        <w:rPr>
          <w:rFonts w:ascii="Palatino Linotype" w:hAnsi="Palatino Linotype"/>
          <w:sz w:val="24"/>
          <w:szCs w:val="24"/>
        </w:rPr>
        <w:t xml:space="preserve"> </w:t>
      </w:r>
      <w:r w:rsidRPr="00A12284">
        <w:rPr>
          <w:rFonts w:ascii="Palatino Linotype" w:hAnsi="Palatino Linotype"/>
          <w:b/>
          <w:sz w:val="24"/>
          <w:szCs w:val="24"/>
          <w:lang w:eastAsia="es-ES_tradnl"/>
        </w:rPr>
        <w:t>oficio</w:t>
      </w:r>
      <w:r w:rsidRPr="004F35E7">
        <w:rPr>
          <w:rFonts w:ascii="Palatino Linotype" w:hAnsi="Palatino Linotype"/>
          <w:sz w:val="24"/>
          <w:szCs w:val="24"/>
          <w:lang w:eastAsia="es-ES_tradnl"/>
        </w:rPr>
        <w:t xml:space="preserve"> al Titular de la Contraloría Interna y Órgano de Control y Vigilancia de este </w:t>
      </w:r>
      <w:r w:rsidRPr="004F35E7">
        <w:rPr>
          <w:rFonts w:ascii="Palatino Linotype" w:hAnsi="Palatino Linotype" w:cs="Arial"/>
          <w:sz w:val="24"/>
          <w:szCs w:val="24"/>
        </w:rPr>
        <w:t>Instituto</w:t>
      </w:r>
      <w:r w:rsidRPr="004F35E7">
        <w:rPr>
          <w:rFonts w:ascii="Palatino Linotype" w:hAnsi="Palatino Linotype"/>
          <w:sz w:val="24"/>
          <w:szCs w:val="24"/>
          <w:lang w:eastAsia="es-ES_tradnl"/>
        </w:rPr>
        <w:t xml:space="preserve">, de conformidad con el artículo 190 de la Ley de Transparencia y </w:t>
      </w:r>
      <w:r w:rsidRPr="004F35E7">
        <w:rPr>
          <w:rFonts w:ascii="Palatino Linotype" w:hAnsi="Palatino Linotype"/>
          <w:color w:val="222222"/>
          <w:sz w:val="24"/>
          <w:szCs w:val="24"/>
          <w:shd w:val="clear" w:color="auto" w:fill="FFFFFF"/>
        </w:rPr>
        <w:t>Acceso</w:t>
      </w:r>
      <w:r w:rsidRPr="004F35E7">
        <w:rPr>
          <w:rFonts w:ascii="Palatino Linotype" w:hAnsi="Palatino Linotype"/>
          <w:sz w:val="24"/>
          <w:szCs w:val="24"/>
          <w:lang w:eastAsia="es-ES_tradnl"/>
        </w:rPr>
        <w:t xml:space="preserve"> a la Información Pública del Estado de México y Municipios a fin de que determine lo conducente, en términos del Considerando </w:t>
      </w:r>
      <w:r w:rsidRPr="004F35E7">
        <w:rPr>
          <w:rFonts w:ascii="Palatino Linotype" w:hAnsi="Palatino Linotype"/>
          <w:b/>
          <w:sz w:val="24"/>
          <w:szCs w:val="24"/>
          <w:lang w:eastAsia="es-ES_tradnl"/>
        </w:rPr>
        <w:t>QUINTO</w:t>
      </w:r>
      <w:r w:rsidRPr="004F35E7">
        <w:rPr>
          <w:rFonts w:ascii="Palatino Linotype" w:hAnsi="Palatino Linotype"/>
          <w:sz w:val="24"/>
          <w:szCs w:val="24"/>
          <w:lang w:eastAsia="es-ES_tradnl"/>
        </w:rPr>
        <w:t xml:space="preserve"> de la presente resolución.</w:t>
      </w:r>
    </w:p>
    <w:p w:rsidR="00C50FA9" w:rsidRDefault="00C50FA9" w:rsidP="00C50FA9">
      <w:pPr>
        <w:spacing w:before="100" w:beforeAutospacing="1" w:after="100" w:afterAutospacing="1" w:line="360" w:lineRule="auto"/>
        <w:jc w:val="both"/>
        <w:rPr>
          <w:rFonts w:ascii="Palatino Linotype" w:hAnsi="Palatino Linotype" w:cs="Arial"/>
        </w:rPr>
      </w:pPr>
      <w:r w:rsidRPr="005E7982">
        <w:rPr>
          <w:rFonts w:ascii="Palatino Linotype" w:hAnsi="Palatino Linotype" w:cs="Arial"/>
        </w:rPr>
        <w:t xml:space="preserve">ASÍ LO RESUELVE, POR </w:t>
      </w:r>
      <w:r w:rsidRPr="008A08C0">
        <w:rPr>
          <w:rFonts w:ascii="Palatino Linotype" w:hAnsi="Palatino Linotype" w:cs="Arial"/>
        </w:rPr>
        <w:t>UNANIMIDAD</w:t>
      </w:r>
      <w:r w:rsidRPr="005E7982">
        <w:rPr>
          <w:rFonts w:ascii="Palatino Linotype" w:hAnsi="Palatino Linotype" w:cs="Arial"/>
        </w:rPr>
        <w:t xml:space="preserve"> DE VOTOS EL PLENO DEL</w:t>
      </w:r>
      <w:r w:rsidRPr="005E7982">
        <w:rPr>
          <w:rFonts w:ascii="Palatino Linotype" w:eastAsia="Arial Unicode MS" w:hAnsi="Palatino Linotype" w:cs="Arial"/>
        </w:rPr>
        <w:t xml:space="preserve"> INSTITUTO DE </w:t>
      </w:r>
      <w:r w:rsidRPr="005E7982">
        <w:rPr>
          <w:rFonts w:ascii="Palatino Linotype" w:hAnsi="Palatino Linotype"/>
        </w:rPr>
        <w:t>TRANSPARENCIA</w:t>
      </w:r>
      <w:r w:rsidRPr="005E7982">
        <w:rPr>
          <w:rFonts w:ascii="Palatino Linotype" w:eastAsia="Arial Unicode MS" w:hAnsi="Palatino Linotype" w:cs="Arial"/>
        </w:rPr>
        <w:t>, ACCESO A LA INFORMACIÓN PÚBLICA Y PROTECCIÓN DE DATOS PERSONALES DEL ESTADO DE MÉXICO Y MUNICIPIOS</w:t>
      </w:r>
      <w:r w:rsidRPr="005E7982">
        <w:rPr>
          <w:rFonts w:ascii="Palatino Linotype" w:hAnsi="Palatino Linotype" w:cs="Arial"/>
        </w:rPr>
        <w:t xml:space="preserve">, CONFORMADO POR LOS COMISIONADOS ZULEMA MARTÍNEZ SÁNCHEZ; EVA ABAID YAPUR; JOSÉ GUADALUPE LUNA HERNÁNDEZ, JAVIER MARTÍNEZ CRUZ Y LUIS GUSTAVO PARRA NORIEGA; </w:t>
      </w:r>
      <w:r w:rsidRPr="008A08C0">
        <w:rPr>
          <w:rFonts w:ascii="Palatino Linotype" w:hAnsi="Palatino Linotype" w:cs="Arial"/>
          <w:shd w:val="clear" w:color="auto" w:fill="FFFFFF" w:themeFill="background1"/>
        </w:rPr>
        <w:t xml:space="preserve">EN LA PRIMERA </w:t>
      </w:r>
      <w:r w:rsidRPr="008A08C0">
        <w:rPr>
          <w:rFonts w:ascii="Palatino Linotype" w:hAnsi="Palatino Linotype" w:cs="Arial"/>
        </w:rPr>
        <w:t>SESIÓN ORDINARIA CELEBRADA EL QUINCE DE ENERO DE DOS MIL VEINTE</w:t>
      </w:r>
      <w:r>
        <w:rPr>
          <w:rFonts w:ascii="Palatino Linotype" w:hAnsi="Palatino Linotype" w:cs="Arial"/>
        </w:rPr>
        <w:t xml:space="preserve">, </w:t>
      </w:r>
      <w:r w:rsidRPr="005E7982">
        <w:rPr>
          <w:rFonts w:ascii="Palatino Linotype" w:hAnsi="Palatino Linotype" w:cs="Arial"/>
        </w:rPr>
        <w:t xml:space="preserve">ANTE EL SECRETARIO TÉCNICO DEL PLENO, </w:t>
      </w:r>
      <w:r w:rsidRPr="005E7982">
        <w:rPr>
          <w:rFonts w:ascii="Palatino Linotype" w:eastAsia="Arial Unicode MS" w:hAnsi="Palatino Linotype" w:cs="Arial"/>
        </w:rPr>
        <w:t>ALEXIS</w:t>
      </w:r>
      <w:r w:rsidRPr="005E7982">
        <w:rPr>
          <w:rFonts w:ascii="Palatino Linotype" w:hAnsi="Palatino Linotype" w:cs="Arial"/>
        </w:rPr>
        <w:t xml:space="preserve"> TAPIA RAMÍREZ.</w:t>
      </w:r>
    </w:p>
    <w:p w:rsidR="00C50FA9" w:rsidRDefault="00C50FA9" w:rsidP="00C50FA9">
      <w:pPr>
        <w:spacing w:before="100" w:beforeAutospacing="1" w:after="100" w:afterAutospacing="1" w:line="360" w:lineRule="auto"/>
        <w:jc w:val="both"/>
        <w:rPr>
          <w:rFonts w:ascii="Palatino Linotype" w:hAnsi="Palatino Linotype" w:cs="Arial"/>
        </w:rPr>
      </w:pPr>
    </w:p>
    <w:tbl>
      <w:tblPr>
        <w:tblW w:w="10365" w:type="dxa"/>
        <w:jc w:val="center"/>
        <w:tblLayout w:type="fixed"/>
        <w:tblLook w:val="04A0" w:firstRow="1" w:lastRow="0" w:firstColumn="1" w:lastColumn="0" w:noHBand="0" w:noVBand="1"/>
      </w:tblPr>
      <w:tblGrid>
        <w:gridCol w:w="5182"/>
        <w:gridCol w:w="5183"/>
      </w:tblGrid>
      <w:tr w:rsidR="00A04851" w:rsidRPr="00BC6464" w:rsidTr="00EC20D9">
        <w:trPr>
          <w:jc w:val="center"/>
        </w:trPr>
        <w:tc>
          <w:tcPr>
            <w:tcW w:w="10365" w:type="dxa"/>
            <w:gridSpan w:val="2"/>
          </w:tcPr>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EC20D9">
            <w:pPr>
              <w:spacing w:after="0" w:line="240" w:lineRule="auto"/>
              <w:jc w:val="center"/>
              <w:rPr>
                <w:rFonts w:ascii="Palatino Linotype" w:hAnsi="Palatino Linotype" w:cs="Arial"/>
                <w:b/>
                <w:sz w:val="24"/>
                <w:szCs w:val="24"/>
              </w:rPr>
            </w:pPr>
          </w:p>
          <w:p w:rsidR="00C50FA9" w:rsidRPr="00BC6464" w:rsidRDefault="00C50FA9"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Zulema Martínez Sánchez</w:t>
            </w: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sz w:val="24"/>
                <w:szCs w:val="24"/>
              </w:rPr>
              <w:t>Comisionada Presidenta</w:t>
            </w: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 xml:space="preserve">(RÚBRICA) </w:t>
            </w:r>
          </w:p>
        </w:tc>
      </w:tr>
      <w:tr w:rsidR="00A04851" w:rsidRPr="00BC6464" w:rsidTr="00EC20D9">
        <w:trPr>
          <w:jc w:val="center"/>
        </w:trPr>
        <w:tc>
          <w:tcPr>
            <w:tcW w:w="5182" w:type="dxa"/>
          </w:tcPr>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 xml:space="preserve">Eva </w:t>
            </w:r>
            <w:proofErr w:type="spellStart"/>
            <w:r w:rsidRPr="00BC6464">
              <w:rPr>
                <w:rFonts w:ascii="Palatino Linotype" w:hAnsi="Palatino Linotype" w:cs="Arial"/>
                <w:b/>
                <w:sz w:val="24"/>
                <w:szCs w:val="24"/>
              </w:rPr>
              <w:t>Abaid</w:t>
            </w:r>
            <w:proofErr w:type="spellEnd"/>
            <w:r w:rsidRPr="00BC6464">
              <w:rPr>
                <w:rFonts w:ascii="Palatino Linotype" w:hAnsi="Palatino Linotype" w:cs="Arial"/>
                <w:b/>
                <w:sz w:val="24"/>
                <w:szCs w:val="24"/>
              </w:rPr>
              <w:t xml:space="preserve"> </w:t>
            </w:r>
            <w:proofErr w:type="spellStart"/>
            <w:r w:rsidRPr="00BC6464">
              <w:rPr>
                <w:rFonts w:ascii="Palatino Linotype" w:hAnsi="Palatino Linotype" w:cs="Arial"/>
                <w:b/>
                <w:sz w:val="24"/>
                <w:szCs w:val="24"/>
              </w:rPr>
              <w:t>Yapur</w:t>
            </w:r>
            <w:proofErr w:type="spellEnd"/>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sz w:val="24"/>
                <w:szCs w:val="24"/>
              </w:rPr>
              <w:t>Comisionada</w:t>
            </w: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(RÚBRICA)</w:t>
            </w:r>
          </w:p>
        </w:tc>
        <w:tc>
          <w:tcPr>
            <w:tcW w:w="5183" w:type="dxa"/>
          </w:tcPr>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José Guadalupe Luna Hernández</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sz w:val="24"/>
                <w:szCs w:val="24"/>
              </w:rPr>
              <w:t>Comisionado</w:t>
            </w: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(RÚBRICA)</w:t>
            </w:r>
          </w:p>
        </w:tc>
      </w:tr>
      <w:tr w:rsidR="00A04851" w:rsidRPr="00BC6464" w:rsidTr="00EC20D9">
        <w:trPr>
          <w:jc w:val="center"/>
        </w:trPr>
        <w:tc>
          <w:tcPr>
            <w:tcW w:w="5182" w:type="dxa"/>
          </w:tcPr>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Javier Martínez Cruz</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sz w:val="24"/>
                <w:szCs w:val="24"/>
              </w:rPr>
              <w:t>Comisionado</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b/>
                <w:sz w:val="24"/>
                <w:szCs w:val="24"/>
              </w:rPr>
              <w:t>(RÚBRICA)</w:t>
            </w:r>
          </w:p>
        </w:tc>
        <w:tc>
          <w:tcPr>
            <w:tcW w:w="5183" w:type="dxa"/>
          </w:tcPr>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Luis Gustavo Parra Noriega</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sz w:val="24"/>
                <w:szCs w:val="24"/>
              </w:rPr>
              <w:t>Comisionado</w:t>
            </w: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(RÚBRICA)</w:t>
            </w:r>
          </w:p>
        </w:tc>
      </w:tr>
      <w:tr w:rsidR="00A04851" w:rsidRPr="00BC6464" w:rsidTr="00EC20D9">
        <w:trPr>
          <w:jc w:val="center"/>
        </w:trPr>
        <w:tc>
          <w:tcPr>
            <w:tcW w:w="10365" w:type="dxa"/>
            <w:gridSpan w:val="2"/>
          </w:tcPr>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p>
          <w:p w:rsidR="00C50FA9" w:rsidRPr="00BC6464" w:rsidRDefault="00C50FA9" w:rsidP="00BC6464">
            <w:pPr>
              <w:spacing w:after="0" w:line="240" w:lineRule="auto"/>
              <w:rPr>
                <w:rFonts w:ascii="Palatino Linotype" w:hAnsi="Palatino Linotype" w:cs="Arial"/>
                <w:b/>
                <w:sz w:val="24"/>
                <w:szCs w:val="24"/>
              </w:rPr>
            </w:pPr>
          </w:p>
          <w:p w:rsidR="00A04851" w:rsidRPr="00BC6464" w:rsidRDefault="00A04851" w:rsidP="00EC20D9">
            <w:pPr>
              <w:spacing w:after="0" w:line="240" w:lineRule="auto"/>
              <w:jc w:val="center"/>
              <w:rPr>
                <w:rFonts w:ascii="Palatino Linotype" w:hAnsi="Palatino Linotype" w:cs="Arial"/>
                <w:b/>
                <w:sz w:val="24"/>
                <w:szCs w:val="24"/>
              </w:rPr>
            </w:pPr>
            <w:r w:rsidRPr="00BC6464">
              <w:rPr>
                <w:rFonts w:ascii="Palatino Linotype" w:hAnsi="Palatino Linotype" w:cs="Arial"/>
                <w:b/>
                <w:sz w:val="24"/>
                <w:szCs w:val="24"/>
              </w:rPr>
              <w:t>Alexis Tapia Ramírez</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sz w:val="24"/>
                <w:szCs w:val="24"/>
              </w:rPr>
              <w:t>Secretario Técnico del Pleno</w:t>
            </w:r>
          </w:p>
          <w:p w:rsidR="00A04851" w:rsidRPr="00BC6464" w:rsidRDefault="00A04851" w:rsidP="00EC20D9">
            <w:pPr>
              <w:spacing w:after="0" w:line="240" w:lineRule="auto"/>
              <w:jc w:val="center"/>
              <w:rPr>
                <w:rFonts w:ascii="Palatino Linotype" w:hAnsi="Palatino Linotype" w:cs="Arial"/>
                <w:sz w:val="24"/>
                <w:szCs w:val="24"/>
              </w:rPr>
            </w:pPr>
            <w:r w:rsidRPr="00BC6464">
              <w:rPr>
                <w:rFonts w:ascii="Palatino Linotype" w:hAnsi="Palatino Linotype" w:cs="Arial"/>
                <w:b/>
                <w:sz w:val="24"/>
                <w:szCs w:val="24"/>
              </w:rPr>
              <w:t>(RÚBRICA)</w:t>
            </w:r>
            <w:r w:rsidRPr="00BC6464">
              <w:rPr>
                <w:rFonts w:ascii="Palatino Linotype" w:hAnsi="Palatino Linotype" w:cs="Arial"/>
                <w:sz w:val="24"/>
                <w:szCs w:val="24"/>
              </w:rPr>
              <w:t xml:space="preserve"> </w:t>
            </w:r>
          </w:p>
          <w:p w:rsidR="00BC6464" w:rsidRPr="00BC6464" w:rsidRDefault="00BC6464" w:rsidP="00EC20D9">
            <w:pPr>
              <w:spacing w:after="0" w:line="240" w:lineRule="auto"/>
              <w:jc w:val="center"/>
              <w:rPr>
                <w:rFonts w:ascii="Palatino Linotype" w:hAnsi="Palatino Linotype" w:cs="Arial"/>
                <w:sz w:val="24"/>
                <w:szCs w:val="24"/>
              </w:rPr>
            </w:pPr>
          </w:p>
        </w:tc>
      </w:tr>
    </w:tbl>
    <w:p w:rsidR="00A04851" w:rsidRPr="00BC6464" w:rsidRDefault="00A04851" w:rsidP="00A04851">
      <w:pPr>
        <w:spacing w:after="0" w:line="240" w:lineRule="auto"/>
        <w:jc w:val="both"/>
        <w:rPr>
          <w:rFonts w:ascii="Palatino Linotype" w:hAnsi="Palatino Linotype" w:cs="Arial"/>
          <w:lang w:val="es-ES_tradnl"/>
        </w:rPr>
      </w:pPr>
      <w:r w:rsidRPr="00BC6464">
        <w:rPr>
          <w:rFonts w:ascii="Palatino Linotype" w:hAnsi="Palatino Linotype" w:cs="Arial"/>
        </w:rPr>
        <w:t xml:space="preserve">Esta hoja corresponde a la resolución de fecha </w:t>
      </w:r>
      <w:r w:rsidR="002E5537" w:rsidRPr="00BC6464">
        <w:rPr>
          <w:rFonts w:ascii="Palatino Linotype" w:hAnsi="Palatino Linotype" w:cs="Arial"/>
        </w:rPr>
        <w:t xml:space="preserve">quince de enero </w:t>
      </w:r>
      <w:r w:rsidRPr="00BC6464">
        <w:rPr>
          <w:rFonts w:ascii="Palatino Linotype" w:hAnsi="Palatino Linotype" w:cs="Arial"/>
        </w:rPr>
        <w:t xml:space="preserve">de dos mil </w:t>
      </w:r>
      <w:r w:rsidR="002E5537" w:rsidRPr="00BC6464">
        <w:rPr>
          <w:rFonts w:ascii="Palatino Linotype" w:hAnsi="Palatino Linotype" w:cs="Arial"/>
        </w:rPr>
        <w:t>veinte</w:t>
      </w:r>
      <w:r w:rsidRPr="00BC6464">
        <w:rPr>
          <w:rFonts w:ascii="Palatino Linotype" w:hAnsi="Palatino Linotype" w:cs="Arial"/>
        </w:rPr>
        <w:t xml:space="preserve">, emitida en el recurso de revisión </w:t>
      </w:r>
      <w:r w:rsidR="002E5537" w:rsidRPr="00BC6464">
        <w:rPr>
          <w:rFonts w:ascii="Palatino Linotype" w:hAnsi="Palatino Linotype" w:cs="Arial"/>
        </w:rPr>
        <w:t>08332</w:t>
      </w:r>
      <w:r w:rsidRPr="00BC6464">
        <w:rPr>
          <w:rFonts w:ascii="Palatino Linotype" w:hAnsi="Palatino Linotype" w:cs="Arial"/>
        </w:rPr>
        <w:t>/INFOEM/IP/RR/2019.</w:t>
      </w:r>
    </w:p>
    <w:p w:rsidR="00A04851" w:rsidRPr="00BC6464" w:rsidRDefault="00A04851" w:rsidP="00A04851">
      <w:pPr>
        <w:pStyle w:val="Piedepgina"/>
        <w:rPr>
          <w:sz w:val="22"/>
          <w:szCs w:val="22"/>
        </w:rPr>
      </w:pPr>
      <w:r w:rsidRPr="00BC6464">
        <w:rPr>
          <w:rFonts w:ascii="Palatino Linotype" w:hAnsi="Palatino Linotype" w:cs="Arial"/>
          <w:sz w:val="22"/>
          <w:szCs w:val="22"/>
        </w:rPr>
        <w:t>YSM/AMV</w:t>
      </w:r>
    </w:p>
    <w:sectPr w:rsidR="00A04851" w:rsidRPr="00BC6464" w:rsidSect="00EC20D9">
      <w:headerReference w:type="default" r:id="rId45"/>
      <w:footerReference w:type="default" r:id="rId46"/>
      <w:headerReference w:type="first" r:id="rId47"/>
      <w:footerReference w:type="first" r:id="rId48"/>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4CA3" w:rsidRDefault="005C4CA3" w:rsidP="00A04851">
      <w:pPr>
        <w:spacing w:after="0" w:line="240" w:lineRule="auto"/>
      </w:pPr>
      <w:r>
        <w:separator/>
      </w:r>
    </w:p>
  </w:endnote>
  <w:endnote w:type="continuationSeparator" w:id="0">
    <w:p w:rsidR="005C4CA3" w:rsidRDefault="005C4CA3" w:rsidP="00A048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20D9" w:rsidRPr="00A2780F" w:rsidRDefault="00EC20D9" w:rsidP="00EC20D9">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5726D9">
      <w:rPr>
        <w:rFonts w:ascii="Arial" w:hAnsi="Arial" w:cs="Arial"/>
        <w:b/>
        <w:bCs/>
        <w:noProof/>
        <w:sz w:val="20"/>
        <w:szCs w:val="20"/>
      </w:rPr>
      <w:t>46</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5726D9">
      <w:rPr>
        <w:rFonts w:ascii="Arial" w:hAnsi="Arial" w:cs="Arial"/>
        <w:b/>
        <w:bCs/>
        <w:noProof/>
        <w:sz w:val="20"/>
        <w:szCs w:val="20"/>
      </w:rPr>
      <w:t>60</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20D9" w:rsidRDefault="00EC20D9" w:rsidP="00EC20D9">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5726D9">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5726D9">
      <w:rPr>
        <w:rFonts w:ascii="Arial" w:hAnsi="Arial" w:cs="Arial"/>
        <w:b/>
        <w:bCs/>
        <w:noProof/>
        <w:sz w:val="20"/>
        <w:szCs w:val="20"/>
      </w:rPr>
      <w:t>60</w:t>
    </w:r>
    <w:r w:rsidRPr="00986599">
      <w:rPr>
        <w:rFonts w:ascii="Arial" w:hAnsi="Arial" w:cs="Arial"/>
        <w:b/>
        <w:bCs/>
        <w:sz w:val="20"/>
        <w:szCs w:val="20"/>
      </w:rPr>
      <w:fldChar w:fldCharType="end"/>
    </w:r>
  </w:p>
  <w:p w:rsidR="00EC20D9" w:rsidRPr="00070856" w:rsidRDefault="00EC20D9" w:rsidP="00EC20D9">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4CA3" w:rsidRDefault="005C4CA3" w:rsidP="00A04851">
      <w:pPr>
        <w:spacing w:after="0" w:line="240" w:lineRule="auto"/>
      </w:pPr>
      <w:r>
        <w:separator/>
      </w:r>
    </w:p>
  </w:footnote>
  <w:footnote w:type="continuationSeparator" w:id="0">
    <w:p w:rsidR="005C4CA3" w:rsidRDefault="005C4CA3" w:rsidP="00A04851">
      <w:pPr>
        <w:spacing w:after="0" w:line="240" w:lineRule="auto"/>
      </w:pPr>
      <w:r>
        <w:continuationSeparator/>
      </w:r>
    </w:p>
  </w:footnote>
  <w:footnote w:id="1">
    <w:p w:rsidR="00EC20D9" w:rsidRPr="00837CB6" w:rsidRDefault="00EC20D9" w:rsidP="00837CB6">
      <w:pPr>
        <w:pStyle w:val="Textonotapie"/>
        <w:jc w:val="both"/>
        <w:rPr>
          <w:rFonts w:ascii="Palatino Linotype" w:hAnsi="Palatino Linotype"/>
          <w:spacing w:val="-22"/>
          <w:sz w:val="16"/>
          <w:szCs w:val="16"/>
        </w:rPr>
      </w:pPr>
      <w:r w:rsidRPr="00837CB6">
        <w:rPr>
          <w:rStyle w:val="Refdenotaalpie"/>
          <w:rFonts w:ascii="Palatino Linotype" w:hAnsi="Palatino Linotype"/>
          <w:sz w:val="16"/>
          <w:szCs w:val="16"/>
        </w:rPr>
        <w:footnoteRef/>
      </w:r>
      <w:r w:rsidRPr="00837CB6">
        <w:rPr>
          <w:rFonts w:ascii="Palatino Linotype" w:hAnsi="Palatino Linotype"/>
          <w:sz w:val="16"/>
          <w:szCs w:val="16"/>
        </w:rPr>
        <w:t xml:space="preserve"> Consultable en la liga electrónica: </w:t>
      </w:r>
      <w:hyperlink r:id="rId1" w:history="1">
        <w:r w:rsidRPr="00837CB6">
          <w:rPr>
            <w:rStyle w:val="Hipervnculo"/>
            <w:rFonts w:ascii="Palatino Linotype" w:hAnsi="Palatino Linotype"/>
            <w:color w:val="auto"/>
            <w:spacing w:val="-22"/>
            <w:sz w:val="16"/>
            <w:szCs w:val="16"/>
          </w:rPr>
          <w:t>https://www.gob.mx/cms/uploads/attachment/file/183562/2016_Manual_Declaraci_n_normal_Aguas_Nacionales_General.pdf</w:t>
        </w:r>
      </w:hyperlink>
    </w:p>
  </w:footnote>
  <w:footnote w:id="2">
    <w:p w:rsidR="00EC20D9" w:rsidRPr="001F4F16" w:rsidRDefault="00EC20D9" w:rsidP="001F4F16">
      <w:pPr>
        <w:pStyle w:val="Textonotapie"/>
        <w:jc w:val="both"/>
        <w:rPr>
          <w:rFonts w:ascii="Palatino Linotype" w:hAnsi="Palatino Linotype"/>
          <w:sz w:val="16"/>
          <w:szCs w:val="16"/>
        </w:rPr>
      </w:pPr>
      <w:r>
        <w:rPr>
          <w:rStyle w:val="Refdenotaalpie"/>
        </w:rPr>
        <w:footnoteRef/>
      </w:r>
      <w:r>
        <w:t xml:space="preserve"> </w:t>
      </w:r>
      <w:r w:rsidRPr="001F4F16">
        <w:rPr>
          <w:rFonts w:ascii="Palatino Linotype" w:hAnsi="Palatino Linotype"/>
          <w:sz w:val="16"/>
          <w:szCs w:val="16"/>
        </w:rPr>
        <w:t>Se determinó la entrega de dicha información supliendo la deficiencia presentada en la solicitud de información del particular; de conformidad con lo establecido en los artículos 13 y 181, párrafo cuarto de la Ley de la materia; toda vez que, el solicitante n</w:t>
      </w:r>
      <w:r>
        <w:rPr>
          <w:rFonts w:ascii="Palatino Linotype" w:hAnsi="Palatino Linotype"/>
          <w:sz w:val="16"/>
          <w:szCs w:val="16"/>
        </w:rPr>
        <w:t xml:space="preserve">o es experto en la materia para requerir puntualmente al </w:t>
      </w:r>
      <w:r>
        <w:rPr>
          <w:rFonts w:ascii="Palatino Linotype" w:hAnsi="Palatino Linotype"/>
          <w:b/>
          <w:sz w:val="16"/>
          <w:szCs w:val="16"/>
        </w:rPr>
        <w:t xml:space="preserve">SUJETO OBLIGADO </w:t>
      </w:r>
      <w:r>
        <w:rPr>
          <w:rFonts w:ascii="Palatino Linotype" w:hAnsi="Palatino Linotype"/>
          <w:sz w:val="16"/>
          <w:szCs w:val="16"/>
        </w:rPr>
        <w:t>los documentos en específico o la temporalidad precisada en la normativa aplicable a cada asunto en concreto.</w:t>
      </w:r>
    </w:p>
  </w:footnote>
  <w:footnote w:id="3">
    <w:p w:rsidR="000605CE" w:rsidRPr="000605CE" w:rsidRDefault="000605CE" w:rsidP="000605CE">
      <w:pPr>
        <w:pStyle w:val="Textonotapie"/>
        <w:jc w:val="both"/>
        <w:rPr>
          <w:rFonts w:ascii="Palatino Linotype" w:hAnsi="Palatino Linotype"/>
          <w:sz w:val="16"/>
          <w:szCs w:val="16"/>
        </w:rPr>
      </w:pPr>
      <w:r>
        <w:rPr>
          <w:rStyle w:val="Refdenotaalpie"/>
        </w:rPr>
        <w:footnoteRef/>
      </w:r>
      <w:r>
        <w:t xml:space="preserve"> </w:t>
      </w:r>
      <w:r w:rsidRPr="000605CE">
        <w:rPr>
          <w:rFonts w:ascii="Palatino Linotype" w:hAnsi="Palatino Linotype"/>
          <w:b/>
          <w:sz w:val="16"/>
          <w:szCs w:val="16"/>
        </w:rPr>
        <w:t>Artículo 24</w:t>
      </w:r>
      <w:r w:rsidRPr="000605CE">
        <w:rPr>
          <w:rFonts w:ascii="Palatino Linotype" w:hAnsi="Palatino Linotype"/>
          <w:sz w:val="16"/>
          <w:szCs w:val="16"/>
        </w:rPr>
        <w:t>. Para el desempeño de sus atribuciones, la Dirección de Finanzas, contará con las siguientes unidades administrativas: I. Jefatura de Contabilidad y Presupuesto. II. Jefatura de Ingresos III. Jefatura de Recursos Materiales y Programas Federales y Adquisiciones. IV. Jefatura de Egresos.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20D9" w:rsidRPr="00C50FA9" w:rsidRDefault="00EC20D9" w:rsidP="00EC20D9">
    <w:pPr>
      <w:pStyle w:val="Encabezado"/>
      <w:tabs>
        <w:tab w:val="clear" w:pos="4252"/>
        <w:tab w:val="clear" w:pos="8504"/>
        <w:tab w:val="left" w:pos="2326"/>
      </w:tabs>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261"/>
      <w:gridCol w:w="2551"/>
      <w:gridCol w:w="3544"/>
    </w:tblGrid>
    <w:tr w:rsidR="00EC20D9" w:rsidRPr="007769F3" w:rsidTr="00A04851">
      <w:tc>
        <w:tcPr>
          <w:tcW w:w="3261" w:type="dxa"/>
        </w:tcPr>
        <w:p w:rsidR="00EC20D9" w:rsidRPr="007769F3" w:rsidRDefault="00EC20D9" w:rsidP="00EC20D9">
          <w:pPr>
            <w:spacing w:after="0" w:line="240" w:lineRule="auto"/>
            <w:rPr>
              <w:rFonts w:ascii="Palatino Linotype" w:hAnsi="Palatino Linotype"/>
              <w:b/>
              <w:lang w:val="es-ES_tradnl"/>
            </w:rPr>
          </w:pPr>
        </w:p>
      </w:tc>
      <w:tc>
        <w:tcPr>
          <w:tcW w:w="2551" w:type="dxa"/>
          <w:shd w:val="clear" w:color="auto" w:fill="auto"/>
        </w:tcPr>
        <w:p w:rsidR="00EC20D9" w:rsidRPr="007769F3" w:rsidRDefault="00EC20D9" w:rsidP="00EC20D9">
          <w:pPr>
            <w:spacing w:after="0" w:line="240" w:lineRule="auto"/>
            <w:rPr>
              <w:rFonts w:ascii="Palatino Linotype" w:hAnsi="Palatino Linotype"/>
              <w:b/>
              <w:lang w:val="es-ES_tradnl"/>
            </w:rPr>
          </w:pPr>
          <w:r w:rsidRPr="007769F3">
            <w:rPr>
              <w:rFonts w:ascii="Palatino Linotype" w:hAnsi="Palatino Linotype"/>
              <w:b/>
              <w:lang w:val="es-ES_tradnl"/>
            </w:rPr>
            <w:t>Recurso de revisión:</w:t>
          </w:r>
        </w:p>
      </w:tc>
      <w:tc>
        <w:tcPr>
          <w:tcW w:w="3544" w:type="dxa"/>
          <w:shd w:val="clear" w:color="auto" w:fill="auto"/>
          <w:vAlign w:val="center"/>
        </w:tcPr>
        <w:p w:rsidR="00EC20D9" w:rsidRPr="007769F3" w:rsidRDefault="00EC20D9" w:rsidP="00A04851">
          <w:pPr>
            <w:spacing w:after="0" w:line="240" w:lineRule="auto"/>
            <w:jc w:val="both"/>
            <w:rPr>
              <w:rFonts w:ascii="Palatino Linotype" w:hAnsi="Palatino Linotype"/>
              <w:b/>
              <w:lang w:val="es-ES_tradnl"/>
            </w:rPr>
          </w:pPr>
          <w:r>
            <w:rPr>
              <w:rFonts w:ascii="Palatino Linotype" w:hAnsi="Palatino Linotype"/>
              <w:b/>
              <w:lang w:val="es-ES_tradnl"/>
            </w:rPr>
            <w:t>08332/INFOEM/IP/RR/2019</w:t>
          </w:r>
        </w:p>
      </w:tc>
    </w:tr>
    <w:tr w:rsidR="00EC20D9" w:rsidRPr="007769F3" w:rsidTr="00A04851">
      <w:tc>
        <w:tcPr>
          <w:tcW w:w="3261" w:type="dxa"/>
        </w:tcPr>
        <w:p w:rsidR="00EC20D9" w:rsidRPr="007769F3" w:rsidRDefault="00EC20D9" w:rsidP="00EC20D9">
          <w:pPr>
            <w:spacing w:after="0" w:line="240" w:lineRule="auto"/>
            <w:rPr>
              <w:rFonts w:ascii="Palatino Linotype" w:hAnsi="Palatino Linotype"/>
              <w:b/>
              <w:lang w:val="es-ES_tradnl"/>
            </w:rPr>
          </w:pPr>
        </w:p>
      </w:tc>
      <w:tc>
        <w:tcPr>
          <w:tcW w:w="2551" w:type="dxa"/>
          <w:shd w:val="clear" w:color="auto" w:fill="auto"/>
        </w:tcPr>
        <w:p w:rsidR="00EC20D9" w:rsidRPr="007769F3" w:rsidRDefault="00EC20D9" w:rsidP="00EC20D9">
          <w:pPr>
            <w:spacing w:after="0" w:line="240" w:lineRule="auto"/>
            <w:rPr>
              <w:rFonts w:ascii="Palatino Linotype" w:hAnsi="Palatino Linotype"/>
              <w:b/>
              <w:lang w:val="es-ES_tradnl"/>
            </w:rPr>
          </w:pPr>
          <w:r w:rsidRPr="007769F3">
            <w:rPr>
              <w:rFonts w:ascii="Palatino Linotype" w:hAnsi="Palatino Linotype"/>
              <w:b/>
              <w:lang w:val="es-ES_tradnl"/>
            </w:rPr>
            <w:t>Sujeto Obligado:</w:t>
          </w:r>
        </w:p>
      </w:tc>
      <w:tc>
        <w:tcPr>
          <w:tcW w:w="3544" w:type="dxa"/>
          <w:shd w:val="clear" w:color="auto" w:fill="auto"/>
          <w:vAlign w:val="center"/>
        </w:tcPr>
        <w:p w:rsidR="00EC20D9" w:rsidRPr="007769F3" w:rsidRDefault="00EC20D9" w:rsidP="00EC20D9">
          <w:pPr>
            <w:spacing w:after="0" w:line="240" w:lineRule="auto"/>
            <w:jc w:val="both"/>
            <w:rPr>
              <w:rFonts w:ascii="Palatino Linotype" w:hAnsi="Palatino Linotype"/>
              <w:b/>
            </w:rPr>
          </w:pPr>
          <w:r w:rsidRPr="00A04851">
            <w:rPr>
              <w:rFonts w:ascii="Palatino Linotype" w:hAnsi="Palatino Linotype"/>
              <w:b/>
              <w:lang w:val="es-ES_tradnl"/>
            </w:rPr>
            <w:t>Organismo Público Descentralizado para la Prestación de Los Servicios de Agua Potable Alcantarillado y Saneamiento del Municipio de Zumpango</w:t>
          </w:r>
        </w:p>
      </w:tc>
    </w:tr>
    <w:tr w:rsidR="00EC20D9" w:rsidRPr="007769F3" w:rsidTr="00A04851">
      <w:trPr>
        <w:trHeight w:val="228"/>
      </w:trPr>
      <w:tc>
        <w:tcPr>
          <w:tcW w:w="3261" w:type="dxa"/>
        </w:tcPr>
        <w:p w:rsidR="00EC20D9" w:rsidRPr="007769F3" w:rsidRDefault="00EC20D9" w:rsidP="00EC20D9">
          <w:pPr>
            <w:spacing w:after="0" w:line="240" w:lineRule="auto"/>
            <w:rPr>
              <w:rFonts w:ascii="Palatino Linotype" w:hAnsi="Palatino Linotype"/>
              <w:b/>
              <w:lang w:val="es-ES_tradnl"/>
            </w:rPr>
          </w:pPr>
        </w:p>
      </w:tc>
      <w:tc>
        <w:tcPr>
          <w:tcW w:w="2551" w:type="dxa"/>
          <w:shd w:val="clear" w:color="auto" w:fill="auto"/>
        </w:tcPr>
        <w:p w:rsidR="00EC20D9" w:rsidRPr="007769F3" w:rsidRDefault="00EC20D9" w:rsidP="00EC20D9">
          <w:pPr>
            <w:spacing w:after="0" w:line="240" w:lineRule="auto"/>
            <w:rPr>
              <w:rFonts w:ascii="Palatino Linotype" w:hAnsi="Palatino Linotype"/>
              <w:b/>
              <w:lang w:val="es-ES_tradnl"/>
            </w:rPr>
          </w:pPr>
          <w:r w:rsidRPr="007769F3">
            <w:rPr>
              <w:rFonts w:ascii="Palatino Linotype" w:hAnsi="Palatino Linotype"/>
              <w:b/>
              <w:lang w:val="es-ES_tradnl"/>
            </w:rPr>
            <w:t>Comisionada ponente:</w:t>
          </w:r>
        </w:p>
      </w:tc>
      <w:tc>
        <w:tcPr>
          <w:tcW w:w="3544" w:type="dxa"/>
          <w:shd w:val="clear" w:color="auto" w:fill="auto"/>
        </w:tcPr>
        <w:p w:rsidR="00EC20D9" w:rsidRPr="007769F3" w:rsidRDefault="00EC20D9" w:rsidP="00EC20D9">
          <w:pPr>
            <w:spacing w:after="0" w:line="240" w:lineRule="auto"/>
            <w:jc w:val="both"/>
            <w:rPr>
              <w:rFonts w:ascii="Palatino Linotype" w:hAnsi="Palatino Linotype"/>
              <w:b/>
              <w:lang w:val="es-ES_tradnl"/>
            </w:rPr>
          </w:pPr>
          <w:r w:rsidRPr="007769F3">
            <w:rPr>
              <w:rFonts w:ascii="Palatino Linotype" w:hAnsi="Palatino Linotype"/>
              <w:b/>
              <w:lang w:val="es-ES_tradnl"/>
            </w:rPr>
            <w:t xml:space="preserve">Eva </w:t>
          </w:r>
          <w:proofErr w:type="spellStart"/>
          <w:r w:rsidRPr="007769F3">
            <w:rPr>
              <w:rFonts w:ascii="Palatino Linotype" w:hAnsi="Palatino Linotype"/>
              <w:b/>
              <w:lang w:val="es-ES_tradnl"/>
            </w:rPr>
            <w:t>Abaid</w:t>
          </w:r>
          <w:proofErr w:type="spellEnd"/>
          <w:r w:rsidRPr="007769F3">
            <w:rPr>
              <w:rFonts w:ascii="Palatino Linotype" w:hAnsi="Palatino Linotype"/>
              <w:b/>
              <w:lang w:val="es-ES_tradnl"/>
            </w:rPr>
            <w:t xml:space="preserve"> </w:t>
          </w:r>
          <w:proofErr w:type="spellStart"/>
          <w:r w:rsidRPr="007769F3">
            <w:rPr>
              <w:rFonts w:ascii="Palatino Linotype" w:hAnsi="Palatino Linotype"/>
              <w:b/>
              <w:lang w:val="es-ES_tradnl"/>
            </w:rPr>
            <w:t>Yapur</w:t>
          </w:r>
          <w:proofErr w:type="spellEnd"/>
        </w:p>
      </w:tc>
    </w:tr>
  </w:tbl>
  <w:p w:rsidR="00EC20D9" w:rsidRPr="00C50FA9" w:rsidRDefault="00EC20D9" w:rsidP="00EC20D9">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20D9" w:rsidRDefault="00EC20D9" w:rsidP="00EC20D9">
    <w:pPr>
      <w:rPr>
        <w:rFonts w:ascii="Palatino Linotype" w:hAnsi="Palatino Linotype"/>
        <w:sz w:val="28"/>
        <w:szCs w:val="28"/>
      </w:rPr>
    </w:pPr>
  </w:p>
  <w:tbl>
    <w:tblPr>
      <w:tblW w:w="9356" w:type="dxa"/>
      <w:tblInd w:w="-142" w:type="dxa"/>
      <w:tblLayout w:type="fixed"/>
      <w:tblLook w:val="04A0" w:firstRow="1" w:lastRow="0" w:firstColumn="1" w:lastColumn="0" w:noHBand="0" w:noVBand="1"/>
    </w:tblPr>
    <w:tblGrid>
      <w:gridCol w:w="3119"/>
      <w:gridCol w:w="2552"/>
      <w:gridCol w:w="3685"/>
    </w:tblGrid>
    <w:tr w:rsidR="00C50FA9" w:rsidRPr="008F2CCC" w:rsidTr="006112CC">
      <w:tc>
        <w:tcPr>
          <w:tcW w:w="3119" w:type="dxa"/>
          <w:vMerge w:val="restart"/>
        </w:tcPr>
        <w:p w:rsidR="00C50FA9" w:rsidRPr="008F2CCC" w:rsidRDefault="00C50FA9" w:rsidP="00C50FA9">
          <w:pPr>
            <w:spacing w:after="0" w:line="240" w:lineRule="auto"/>
            <w:ind w:right="34"/>
            <w:rPr>
              <w:rFonts w:ascii="Palatino Linotype" w:hAnsi="Palatino Linotype"/>
              <w:b/>
              <w:lang w:val="es-ES_tradnl"/>
            </w:rPr>
          </w:pPr>
        </w:p>
      </w:tc>
      <w:tc>
        <w:tcPr>
          <w:tcW w:w="2552" w:type="dxa"/>
          <w:shd w:val="clear" w:color="auto" w:fill="auto"/>
        </w:tcPr>
        <w:p w:rsidR="00C50FA9" w:rsidRPr="008F2CCC" w:rsidRDefault="00C50FA9" w:rsidP="00C50FA9">
          <w:pPr>
            <w:spacing w:after="0" w:line="240" w:lineRule="auto"/>
            <w:rPr>
              <w:rFonts w:ascii="Palatino Linotype" w:hAnsi="Palatino Linotype"/>
              <w:b/>
              <w:lang w:val="es-ES_tradnl"/>
            </w:rPr>
          </w:pPr>
          <w:r w:rsidRPr="008F2CCC">
            <w:rPr>
              <w:rFonts w:ascii="Palatino Linotype" w:hAnsi="Palatino Linotype"/>
              <w:b/>
              <w:lang w:val="es-ES_tradnl"/>
            </w:rPr>
            <w:t>Recurso</w:t>
          </w:r>
          <w:r>
            <w:rPr>
              <w:rFonts w:ascii="Palatino Linotype" w:hAnsi="Palatino Linotype"/>
              <w:b/>
              <w:lang w:val="es-ES_tradnl"/>
            </w:rPr>
            <w:t xml:space="preserve"> </w:t>
          </w:r>
          <w:r w:rsidRPr="008F2CCC">
            <w:rPr>
              <w:rFonts w:ascii="Palatino Linotype" w:hAnsi="Palatino Linotype"/>
              <w:b/>
              <w:lang w:val="es-ES_tradnl"/>
            </w:rPr>
            <w:t>de</w:t>
          </w:r>
          <w:r>
            <w:rPr>
              <w:rFonts w:ascii="Palatino Linotype" w:hAnsi="Palatino Linotype"/>
              <w:b/>
              <w:lang w:val="es-ES_tradnl"/>
            </w:rPr>
            <w:t xml:space="preserve"> </w:t>
          </w:r>
          <w:r w:rsidRPr="008F2CCC">
            <w:rPr>
              <w:rFonts w:ascii="Palatino Linotype" w:hAnsi="Palatino Linotype"/>
              <w:b/>
              <w:lang w:val="es-ES_tradnl"/>
            </w:rPr>
            <w:t>revisión:</w:t>
          </w:r>
        </w:p>
      </w:tc>
      <w:tc>
        <w:tcPr>
          <w:tcW w:w="3685" w:type="dxa"/>
          <w:shd w:val="clear" w:color="auto" w:fill="auto"/>
          <w:vAlign w:val="center"/>
        </w:tcPr>
        <w:p w:rsidR="00C50FA9" w:rsidRPr="008F2CCC" w:rsidRDefault="00C50FA9" w:rsidP="00C50FA9">
          <w:pPr>
            <w:spacing w:after="0" w:line="240" w:lineRule="auto"/>
            <w:jc w:val="both"/>
            <w:rPr>
              <w:rFonts w:ascii="Palatino Linotype" w:hAnsi="Palatino Linotype"/>
              <w:b/>
              <w:lang w:val="es-ES_tradnl"/>
            </w:rPr>
          </w:pPr>
          <w:r>
            <w:rPr>
              <w:rFonts w:ascii="Palatino Linotype" w:hAnsi="Palatino Linotype"/>
              <w:b/>
              <w:lang w:val="es-ES_tradnl"/>
            </w:rPr>
            <w:t>08332/INFOEM/IP/RR/2019</w:t>
          </w:r>
        </w:p>
      </w:tc>
    </w:tr>
    <w:tr w:rsidR="00C50FA9" w:rsidRPr="008F2CCC" w:rsidTr="006112CC">
      <w:tc>
        <w:tcPr>
          <w:tcW w:w="3119" w:type="dxa"/>
          <w:vMerge/>
        </w:tcPr>
        <w:p w:rsidR="00C50FA9" w:rsidRPr="008F2CCC" w:rsidRDefault="00C50FA9" w:rsidP="00C50FA9">
          <w:pPr>
            <w:spacing w:after="0" w:line="240" w:lineRule="auto"/>
            <w:rPr>
              <w:rFonts w:ascii="Palatino Linotype" w:hAnsi="Palatino Linotype"/>
              <w:b/>
              <w:lang w:val="es-ES_tradnl"/>
            </w:rPr>
          </w:pPr>
        </w:p>
      </w:tc>
      <w:tc>
        <w:tcPr>
          <w:tcW w:w="2552" w:type="dxa"/>
          <w:shd w:val="clear" w:color="auto" w:fill="auto"/>
        </w:tcPr>
        <w:p w:rsidR="00C50FA9" w:rsidRPr="008F2CCC" w:rsidRDefault="00C50FA9" w:rsidP="00C50FA9">
          <w:pPr>
            <w:spacing w:after="0" w:line="240" w:lineRule="auto"/>
            <w:rPr>
              <w:rFonts w:ascii="Palatino Linotype" w:hAnsi="Palatino Linotype"/>
              <w:b/>
              <w:lang w:val="es-ES_tradnl"/>
            </w:rPr>
          </w:pPr>
          <w:r w:rsidRPr="008F2CCC">
            <w:rPr>
              <w:rFonts w:ascii="Palatino Linotype" w:hAnsi="Palatino Linotype"/>
              <w:b/>
              <w:lang w:val="es-ES_tradnl"/>
            </w:rPr>
            <w:t>Recurrente:</w:t>
          </w:r>
        </w:p>
      </w:tc>
      <w:tc>
        <w:tcPr>
          <w:tcW w:w="3685" w:type="dxa"/>
          <w:shd w:val="clear" w:color="auto" w:fill="auto"/>
          <w:vAlign w:val="center"/>
        </w:tcPr>
        <w:p w:rsidR="00C50FA9" w:rsidRPr="008F2CCC" w:rsidRDefault="005726D9" w:rsidP="00C50FA9">
          <w:pPr>
            <w:spacing w:after="0" w:line="240" w:lineRule="auto"/>
            <w:ind w:left="34" w:right="-108"/>
            <w:jc w:val="both"/>
            <w:rPr>
              <w:rFonts w:ascii="Palatino Linotype" w:hAnsi="Palatino Linotype"/>
              <w:b/>
              <w:lang w:val="es-ES_tradnl"/>
            </w:rPr>
          </w:pPr>
          <w:r>
            <w:rPr>
              <w:rFonts w:ascii="Palatino Linotype" w:hAnsi="Palatino Linotype"/>
              <w:b/>
              <w:lang w:val="es-ES_tradnl"/>
            </w:rPr>
            <w:t>XXXXXXXXXXX</w:t>
          </w:r>
        </w:p>
      </w:tc>
    </w:tr>
    <w:tr w:rsidR="00C50FA9" w:rsidRPr="008F2CCC" w:rsidTr="006112CC">
      <w:trPr>
        <w:trHeight w:val="228"/>
      </w:trPr>
      <w:tc>
        <w:tcPr>
          <w:tcW w:w="3119" w:type="dxa"/>
          <w:vMerge/>
        </w:tcPr>
        <w:p w:rsidR="00C50FA9" w:rsidRPr="008F2CCC" w:rsidRDefault="00C50FA9" w:rsidP="00C50FA9">
          <w:pPr>
            <w:spacing w:after="0" w:line="240" w:lineRule="auto"/>
            <w:rPr>
              <w:rFonts w:ascii="Palatino Linotype" w:hAnsi="Palatino Linotype"/>
              <w:b/>
              <w:lang w:val="es-ES_tradnl"/>
            </w:rPr>
          </w:pPr>
        </w:p>
      </w:tc>
      <w:tc>
        <w:tcPr>
          <w:tcW w:w="2552" w:type="dxa"/>
          <w:shd w:val="clear" w:color="auto" w:fill="auto"/>
        </w:tcPr>
        <w:p w:rsidR="00C50FA9" w:rsidRPr="008F2CCC" w:rsidRDefault="00C50FA9" w:rsidP="00C50FA9">
          <w:pPr>
            <w:spacing w:after="0" w:line="240" w:lineRule="auto"/>
            <w:rPr>
              <w:rFonts w:ascii="Palatino Linotype" w:hAnsi="Palatino Linotype"/>
              <w:b/>
              <w:lang w:val="es-ES_tradnl"/>
            </w:rPr>
          </w:pPr>
          <w:r w:rsidRPr="008F2CCC">
            <w:rPr>
              <w:rFonts w:ascii="Palatino Linotype" w:hAnsi="Palatino Linotype"/>
              <w:b/>
              <w:lang w:val="es-ES_tradnl"/>
            </w:rPr>
            <w:t>Sujeto</w:t>
          </w:r>
          <w:r>
            <w:rPr>
              <w:rFonts w:ascii="Palatino Linotype" w:hAnsi="Palatino Linotype"/>
              <w:b/>
              <w:lang w:val="es-ES_tradnl"/>
            </w:rPr>
            <w:t xml:space="preserve"> </w:t>
          </w:r>
          <w:r w:rsidRPr="008F2CCC">
            <w:rPr>
              <w:rFonts w:ascii="Palatino Linotype" w:hAnsi="Palatino Linotype"/>
              <w:b/>
              <w:lang w:val="es-ES_tradnl"/>
            </w:rPr>
            <w:t>Obligado:</w:t>
          </w:r>
        </w:p>
      </w:tc>
      <w:tc>
        <w:tcPr>
          <w:tcW w:w="3685" w:type="dxa"/>
          <w:shd w:val="clear" w:color="auto" w:fill="auto"/>
          <w:vAlign w:val="center"/>
        </w:tcPr>
        <w:p w:rsidR="00C50FA9" w:rsidRPr="004C1DCD" w:rsidRDefault="00C50FA9" w:rsidP="00C50FA9">
          <w:pPr>
            <w:spacing w:after="0" w:line="240" w:lineRule="auto"/>
            <w:ind w:left="34" w:right="-108"/>
            <w:jc w:val="both"/>
            <w:rPr>
              <w:rFonts w:ascii="Palatino Linotype" w:hAnsi="Palatino Linotype"/>
              <w:b/>
              <w:lang w:val="es-ES_tradnl"/>
            </w:rPr>
          </w:pPr>
          <w:r w:rsidRPr="00A04851">
            <w:rPr>
              <w:rFonts w:ascii="Palatino Linotype" w:hAnsi="Palatino Linotype"/>
              <w:b/>
              <w:lang w:val="es-ES_tradnl"/>
            </w:rPr>
            <w:t>Organismo Público Descentralizado para la Prestación de Los Servicios de Agua Potable Alcantarillado y Saneamiento del Municipio de Zumpango</w:t>
          </w:r>
        </w:p>
      </w:tc>
    </w:tr>
    <w:tr w:rsidR="00C50FA9" w:rsidRPr="008F2CCC" w:rsidTr="006112CC">
      <w:tc>
        <w:tcPr>
          <w:tcW w:w="3119" w:type="dxa"/>
          <w:vMerge/>
        </w:tcPr>
        <w:p w:rsidR="00C50FA9" w:rsidRPr="008F2CCC" w:rsidRDefault="00C50FA9" w:rsidP="00C50FA9">
          <w:pPr>
            <w:spacing w:after="0" w:line="240" w:lineRule="auto"/>
            <w:rPr>
              <w:rFonts w:ascii="Palatino Linotype" w:hAnsi="Palatino Linotype"/>
              <w:b/>
              <w:lang w:val="es-ES_tradnl"/>
            </w:rPr>
          </w:pPr>
        </w:p>
      </w:tc>
      <w:tc>
        <w:tcPr>
          <w:tcW w:w="2552" w:type="dxa"/>
          <w:shd w:val="clear" w:color="auto" w:fill="auto"/>
        </w:tcPr>
        <w:p w:rsidR="00C50FA9" w:rsidRPr="008F2CCC" w:rsidRDefault="00C50FA9" w:rsidP="00C50FA9">
          <w:pPr>
            <w:spacing w:after="0" w:line="240" w:lineRule="auto"/>
            <w:rPr>
              <w:rFonts w:ascii="Palatino Linotype" w:hAnsi="Palatino Linotype"/>
              <w:b/>
              <w:lang w:val="es-ES_tradnl"/>
            </w:rPr>
          </w:pPr>
          <w:r w:rsidRPr="008F2CCC">
            <w:rPr>
              <w:rFonts w:ascii="Palatino Linotype" w:hAnsi="Palatino Linotype"/>
              <w:b/>
              <w:lang w:val="es-ES_tradnl"/>
            </w:rPr>
            <w:t>Comisionad</w:t>
          </w:r>
          <w:r>
            <w:rPr>
              <w:rFonts w:ascii="Palatino Linotype" w:hAnsi="Palatino Linotype"/>
              <w:b/>
              <w:lang w:val="es-ES_tradnl"/>
            </w:rPr>
            <w:t xml:space="preserve">a </w:t>
          </w:r>
          <w:r w:rsidRPr="008F2CCC">
            <w:rPr>
              <w:rFonts w:ascii="Palatino Linotype" w:hAnsi="Palatino Linotype"/>
              <w:b/>
              <w:lang w:val="es-ES_tradnl"/>
            </w:rPr>
            <w:t>ponente:</w:t>
          </w:r>
        </w:p>
      </w:tc>
      <w:tc>
        <w:tcPr>
          <w:tcW w:w="3685" w:type="dxa"/>
          <w:shd w:val="clear" w:color="auto" w:fill="auto"/>
        </w:tcPr>
        <w:p w:rsidR="00C50FA9" w:rsidRPr="008F2CCC" w:rsidRDefault="00C50FA9" w:rsidP="00C50FA9">
          <w:pPr>
            <w:spacing w:after="0" w:line="240" w:lineRule="auto"/>
            <w:jc w:val="both"/>
            <w:rPr>
              <w:rFonts w:ascii="Palatino Linotype" w:hAnsi="Palatino Linotype"/>
              <w:b/>
              <w:lang w:val="es-ES_tradnl"/>
            </w:rPr>
          </w:pPr>
          <w:r w:rsidRPr="00664658">
            <w:rPr>
              <w:rFonts w:ascii="Palatino Linotype" w:hAnsi="Palatino Linotype"/>
              <w:b/>
              <w:lang w:val="es-ES_tradnl"/>
            </w:rPr>
            <w:t>Eva</w:t>
          </w:r>
          <w:r>
            <w:rPr>
              <w:rFonts w:ascii="Palatino Linotype" w:hAnsi="Palatino Linotype"/>
              <w:b/>
              <w:lang w:val="es-ES_tradnl"/>
            </w:rPr>
            <w:t xml:space="preserve"> </w:t>
          </w:r>
          <w:proofErr w:type="spellStart"/>
          <w:r w:rsidRPr="00664658">
            <w:rPr>
              <w:rFonts w:ascii="Palatino Linotype" w:hAnsi="Palatino Linotype"/>
              <w:b/>
              <w:lang w:val="es-ES_tradnl"/>
            </w:rPr>
            <w:t>Abaid</w:t>
          </w:r>
          <w:proofErr w:type="spellEnd"/>
          <w:r>
            <w:rPr>
              <w:rFonts w:ascii="Palatino Linotype" w:hAnsi="Palatino Linotype"/>
              <w:b/>
              <w:lang w:val="es-ES_tradnl"/>
            </w:rPr>
            <w:t xml:space="preserve"> </w:t>
          </w:r>
          <w:proofErr w:type="spellStart"/>
          <w:r w:rsidRPr="00664658">
            <w:rPr>
              <w:rFonts w:ascii="Palatino Linotype" w:hAnsi="Palatino Linotype"/>
              <w:b/>
              <w:lang w:val="es-ES_tradnl"/>
            </w:rPr>
            <w:t>Yapur</w:t>
          </w:r>
          <w:proofErr w:type="spellEnd"/>
        </w:p>
      </w:tc>
    </w:tr>
  </w:tbl>
  <w:p w:rsidR="00C50FA9" w:rsidRPr="00C50FA9" w:rsidRDefault="00C50FA9" w:rsidP="00EC20D9">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D70CD2"/>
    <w:multiLevelType w:val="hybridMultilevel"/>
    <w:tmpl w:val="478E8EC6"/>
    <w:lvl w:ilvl="0" w:tplc="B3207C24">
      <w:start w:val="1"/>
      <w:numFmt w:val="decimal"/>
      <w:lvlText w:val="%1)"/>
      <w:lvlJc w:val="left"/>
      <w:pPr>
        <w:ind w:left="360" w:hanging="360"/>
      </w:pPr>
      <w:rPr>
        <w:b/>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1">
      <w:start w:val="1"/>
      <w:numFmt w:val="decimal"/>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nsid w:val="37B60CD1"/>
    <w:multiLevelType w:val="hybridMultilevel"/>
    <w:tmpl w:val="903257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4851"/>
    <w:rsid w:val="000605CE"/>
    <w:rsid w:val="00084F0D"/>
    <w:rsid w:val="000A3BDF"/>
    <w:rsid w:val="000B44F3"/>
    <w:rsid w:val="00114A42"/>
    <w:rsid w:val="001A22BF"/>
    <w:rsid w:val="001A4835"/>
    <w:rsid w:val="001F4F16"/>
    <w:rsid w:val="002E5537"/>
    <w:rsid w:val="00362A7E"/>
    <w:rsid w:val="003725BD"/>
    <w:rsid w:val="003D5C24"/>
    <w:rsid w:val="004B1A75"/>
    <w:rsid w:val="004F35E7"/>
    <w:rsid w:val="005422C6"/>
    <w:rsid w:val="005726D9"/>
    <w:rsid w:val="005C4CA3"/>
    <w:rsid w:val="00705FD0"/>
    <w:rsid w:val="00837CB6"/>
    <w:rsid w:val="008B505A"/>
    <w:rsid w:val="00903DB5"/>
    <w:rsid w:val="0095696C"/>
    <w:rsid w:val="00A04851"/>
    <w:rsid w:val="00A12284"/>
    <w:rsid w:val="00A575B1"/>
    <w:rsid w:val="00AD404F"/>
    <w:rsid w:val="00B80126"/>
    <w:rsid w:val="00BC6464"/>
    <w:rsid w:val="00C23B43"/>
    <w:rsid w:val="00C50FA9"/>
    <w:rsid w:val="00C9714C"/>
    <w:rsid w:val="00D2503D"/>
    <w:rsid w:val="00D8575A"/>
    <w:rsid w:val="00DF2136"/>
    <w:rsid w:val="00E350FC"/>
    <w:rsid w:val="00EA33AF"/>
    <w:rsid w:val="00EC20D9"/>
    <w:rsid w:val="00FA627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0C3C09E0-F0FF-42DE-B2F8-185537A89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485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04851"/>
    <w:pPr>
      <w:tabs>
        <w:tab w:val="center" w:pos="4252"/>
        <w:tab w:val="right" w:pos="8504"/>
      </w:tabs>
      <w:spacing w:after="0" w:line="240" w:lineRule="auto"/>
    </w:pPr>
    <w:rPr>
      <w:rFonts w:eastAsiaTheme="minorEastAsia"/>
      <w:sz w:val="24"/>
      <w:szCs w:val="24"/>
      <w:lang w:val="es-ES_tradnl" w:eastAsia="es-ES"/>
    </w:rPr>
  </w:style>
  <w:style w:type="character" w:customStyle="1" w:styleId="EncabezadoCar">
    <w:name w:val="Encabezado Car"/>
    <w:basedOn w:val="Fuentedeprrafopredeter"/>
    <w:link w:val="Encabezado"/>
    <w:uiPriority w:val="99"/>
    <w:rsid w:val="00A04851"/>
    <w:rPr>
      <w:rFonts w:eastAsiaTheme="minorEastAsia"/>
      <w:sz w:val="24"/>
      <w:szCs w:val="24"/>
      <w:lang w:val="es-ES_tradnl" w:eastAsia="es-ES"/>
    </w:rPr>
  </w:style>
  <w:style w:type="paragraph" w:styleId="Piedepgina">
    <w:name w:val="footer"/>
    <w:basedOn w:val="Normal"/>
    <w:link w:val="PiedepginaCar"/>
    <w:uiPriority w:val="99"/>
    <w:unhideWhenUsed/>
    <w:rsid w:val="00A04851"/>
    <w:pPr>
      <w:tabs>
        <w:tab w:val="center" w:pos="4252"/>
        <w:tab w:val="right" w:pos="8504"/>
      </w:tabs>
      <w:spacing w:after="0" w:line="240" w:lineRule="auto"/>
    </w:pPr>
    <w:rPr>
      <w:rFonts w:eastAsiaTheme="minorEastAsia"/>
      <w:sz w:val="24"/>
      <w:szCs w:val="24"/>
      <w:lang w:val="es-ES_tradnl" w:eastAsia="es-ES"/>
    </w:rPr>
  </w:style>
  <w:style w:type="character" w:customStyle="1" w:styleId="PiedepginaCar">
    <w:name w:val="Pie de página Car"/>
    <w:basedOn w:val="Fuentedeprrafopredeter"/>
    <w:link w:val="Piedepgina"/>
    <w:uiPriority w:val="99"/>
    <w:rsid w:val="00A04851"/>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04851"/>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04851"/>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04851"/>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A04851"/>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rsid w:val="00A04851"/>
    <w:rPr>
      <w:vertAlign w:val="superscript"/>
    </w:rPr>
  </w:style>
  <w:style w:type="paragraph" w:customStyle="1" w:styleId="m5212863947045306324gmail-msonormal">
    <w:name w:val="m_5212863947045306324gmail-msonormal"/>
    <w:basedOn w:val="Normal"/>
    <w:rsid w:val="00A0485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D8575A"/>
    <w:rPr>
      <w:color w:val="0563C1" w:themeColor="hyperlink"/>
      <w:u w:val="single"/>
    </w:rPr>
  </w:style>
  <w:style w:type="paragraph" w:styleId="Textodeglobo">
    <w:name w:val="Balloon Text"/>
    <w:basedOn w:val="Normal"/>
    <w:link w:val="TextodegloboCar"/>
    <w:uiPriority w:val="99"/>
    <w:semiHidden/>
    <w:unhideWhenUsed/>
    <w:rsid w:val="002E553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E5537"/>
    <w:rPr>
      <w:rFonts w:ascii="Segoe UI" w:hAnsi="Segoe UI" w:cs="Segoe UI"/>
      <w:sz w:val="18"/>
      <w:szCs w:val="18"/>
    </w:rPr>
  </w:style>
  <w:style w:type="paragraph" w:styleId="Textoindependiente2">
    <w:name w:val="Body Text 2"/>
    <w:basedOn w:val="Normal"/>
    <w:link w:val="Textoindependiente2Car"/>
    <w:uiPriority w:val="99"/>
    <w:unhideWhenUsed/>
    <w:rsid w:val="00EA33AF"/>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EA33AF"/>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7387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pp.conagua.gob.mx/consultarepda.aspx"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gob.mx/cms/uploads/attachment/file/183562/2016_Manual_Declaraci_n_normal_Aguas_Nacionales_General.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C15677-56A5-4BBA-97E8-EF2CA7AC6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60</Pages>
  <Words>11439</Words>
  <Characters>62919</Characters>
  <Application>Microsoft Office Word</Application>
  <DocSecurity>0</DocSecurity>
  <Lines>524</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cp:revision>
  <cp:lastPrinted>2020-01-17T00:25:00Z</cp:lastPrinted>
  <dcterms:created xsi:type="dcterms:W3CDTF">2019-12-20T00:27:00Z</dcterms:created>
  <dcterms:modified xsi:type="dcterms:W3CDTF">2020-01-30T18:41:00Z</dcterms:modified>
</cp:coreProperties>
</file>