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1F3C5" w14:textId="59378F58" w:rsidR="00154D81" w:rsidRPr="00E42755" w:rsidRDefault="00154D81" w:rsidP="008D0EB3">
      <w:pPr>
        <w:widowControl w:val="0"/>
        <w:spacing w:before="100" w:beforeAutospacing="1" w:after="100" w:afterAutospacing="1" w:line="360" w:lineRule="auto"/>
        <w:ind w:right="49"/>
        <w:jc w:val="both"/>
        <w:rPr>
          <w:rFonts w:ascii="Palatino Linotype" w:eastAsia="Calibri" w:hAnsi="Palatino Linotype" w:cs="Arial"/>
          <w:b/>
          <w:color w:val="000000"/>
        </w:rPr>
      </w:pPr>
      <w:r w:rsidRPr="00786706">
        <w:rPr>
          <w:rFonts w:ascii="Palatino Linotype" w:hAnsi="Palatino Linotype" w:cs="Arial"/>
          <w:b/>
        </w:rPr>
        <w:t>VOTO PARTICULAR QUE FORMULA LA COMISIONADA EVA ABAID YAPUR,</w:t>
      </w:r>
      <w:r w:rsidRPr="0007653D">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w:t>
      </w:r>
      <w:r w:rsidR="001B5788">
        <w:rPr>
          <w:rFonts w:ascii="Palatino Linotype" w:hAnsi="Palatino Linotype" w:cs="Arial"/>
          <w:b/>
        </w:rPr>
        <w:t xml:space="preserve">LA </w:t>
      </w:r>
      <w:r w:rsidR="00FA12BC">
        <w:rPr>
          <w:rFonts w:ascii="Palatino Linotype" w:hAnsi="Palatino Linotype" w:cs="Arial"/>
          <w:b/>
        </w:rPr>
        <w:t xml:space="preserve">TRIGÉSIMA </w:t>
      </w:r>
      <w:r w:rsidR="00FB109D">
        <w:rPr>
          <w:rFonts w:ascii="Palatino Linotype" w:hAnsi="Palatino Linotype" w:cs="Arial"/>
          <w:b/>
        </w:rPr>
        <w:t xml:space="preserve">CUARTA </w:t>
      </w:r>
      <w:r w:rsidRPr="0007653D">
        <w:rPr>
          <w:rFonts w:ascii="Palatino Linotype" w:hAnsi="Palatino Linotype" w:cs="Arial"/>
          <w:b/>
        </w:rPr>
        <w:t>SESIÓN ORDINARIA DE</w:t>
      </w:r>
      <w:r w:rsidR="003A218F">
        <w:rPr>
          <w:rFonts w:ascii="Palatino Linotype" w:hAnsi="Palatino Linotype" w:cs="Arial"/>
          <w:b/>
        </w:rPr>
        <w:t xml:space="preserve"> </w:t>
      </w:r>
      <w:r w:rsidR="00FB109D">
        <w:rPr>
          <w:rFonts w:ascii="Palatino Linotype" w:hAnsi="Palatino Linotype" w:cs="Arial"/>
          <w:b/>
        </w:rPr>
        <w:t xml:space="preserve">DIECINUEVE </w:t>
      </w:r>
      <w:r w:rsidR="003A218F">
        <w:rPr>
          <w:rFonts w:ascii="Palatino Linotype" w:hAnsi="Palatino Linotype" w:cs="Arial"/>
          <w:b/>
        </w:rPr>
        <w:t xml:space="preserve">DE </w:t>
      </w:r>
      <w:r w:rsidR="00FA12BC">
        <w:rPr>
          <w:rFonts w:ascii="Palatino Linotype" w:hAnsi="Palatino Linotype" w:cs="Arial"/>
          <w:b/>
        </w:rPr>
        <w:t xml:space="preserve">SEPTIEMBRE </w:t>
      </w:r>
      <w:r>
        <w:rPr>
          <w:rFonts w:ascii="Palatino Linotype" w:hAnsi="Palatino Linotype" w:cs="Arial"/>
          <w:b/>
        </w:rPr>
        <w:t>DE DOS MIL DIECINUEVE</w:t>
      </w:r>
      <w:r w:rsidRPr="0007653D">
        <w:rPr>
          <w:rFonts w:ascii="Palatino Linotype" w:hAnsi="Palatino Linotype" w:cs="Arial"/>
          <w:b/>
        </w:rPr>
        <w:t>, EN L</w:t>
      </w:r>
      <w:r w:rsidR="00B46721">
        <w:rPr>
          <w:rFonts w:ascii="Palatino Linotype" w:hAnsi="Palatino Linotype" w:cs="Arial"/>
          <w:b/>
        </w:rPr>
        <w:t>OS</w:t>
      </w:r>
      <w:r w:rsidRPr="0007653D">
        <w:rPr>
          <w:rFonts w:ascii="Palatino Linotype" w:hAnsi="Palatino Linotype" w:cs="Arial"/>
          <w:b/>
        </w:rPr>
        <w:t xml:space="preserve"> RECURSO</w:t>
      </w:r>
      <w:r w:rsidR="00B46721">
        <w:rPr>
          <w:rFonts w:ascii="Palatino Linotype" w:hAnsi="Palatino Linotype" w:cs="Arial"/>
          <w:b/>
        </w:rPr>
        <w:t>S</w:t>
      </w:r>
      <w:r w:rsidRPr="0007653D">
        <w:rPr>
          <w:rFonts w:ascii="Palatino Linotype" w:hAnsi="Palatino Linotype" w:cs="Arial"/>
          <w:b/>
        </w:rPr>
        <w:t xml:space="preserve"> DE REVISIÓN </w:t>
      </w:r>
      <w:r w:rsidR="00FA12BC">
        <w:rPr>
          <w:rFonts w:ascii="Palatino Linotype" w:hAnsi="Palatino Linotype" w:cs="Arial"/>
          <w:b/>
        </w:rPr>
        <w:t>0</w:t>
      </w:r>
      <w:r w:rsidR="00FB109D">
        <w:rPr>
          <w:rFonts w:ascii="Palatino Linotype" w:hAnsi="Palatino Linotype" w:cs="Arial"/>
          <w:b/>
        </w:rPr>
        <w:t>5409</w:t>
      </w:r>
      <w:r w:rsidR="00FA12BC">
        <w:rPr>
          <w:rFonts w:ascii="Palatino Linotype" w:hAnsi="Palatino Linotype" w:cs="Arial"/>
          <w:b/>
        </w:rPr>
        <w:t>/INFOEM/IP/RR/2019</w:t>
      </w:r>
      <w:r w:rsidR="00FB109D">
        <w:rPr>
          <w:rFonts w:ascii="Palatino Linotype" w:hAnsi="Palatino Linotype" w:cs="Arial"/>
          <w:b/>
        </w:rPr>
        <w:t xml:space="preserve">, </w:t>
      </w:r>
      <w:r w:rsidR="00FB109D" w:rsidRPr="00FB109D">
        <w:rPr>
          <w:rFonts w:ascii="Palatino Linotype" w:hAnsi="Palatino Linotype" w:cs="Arial"/>
          <w:b/>
        </w:rPr>
        <w:t xml:space="preserve">05410/INFOEM/IP/RR/2019, 05411/INFOEM/IP/RR/2019, 05460/INFOEM/IP/RR/2019 </w:t>
      </w:r>
      <w:r w:rsidR="00DC07EB" w:rsidRPr="00FB109D">
        <w:rPr>
          <w:rFonts w:ascii="Palatino Linotype" w:hAnsi="Palatino Linotype" w:cs="Arial"/>
          <w:b/>
        </w:rPr>
        <w:t xml:space="preserve">Y </w:t>
      </w:r>
      <w:r w:rsidR="00FB109D" w:rsidRPr="00FB109D">
        <w:rPr>
          <w:rFonts w:ascii="Palatino Linotype" w:hAnsi="Palatino Linotype" w:cs="Arial"/>
          <w:b/>
        </w:rPr>
        <w:t>05462/INFOEM/IP/RR/2019</w:t>
      </w:r>
      <w:r w:rsidR="00FA12BC">
        <w:rPr>
          <w:rFonts w:ascii="Palatino Linotype" w:hAnsi="Palatino Linotype" w:cs="Arial"/>
          <w:b/>
        </w:rPr>
        <w:t xml:space="preserve"> </w:t>
      </w:r>
      <w:r w:rsidR="00B46721">
        <w:rPr>
          <w:rFonts w:ascii="Palatino Linotype" w:hAnsi="Palatino Linotype" w:cs="Arial"/>
          <w:b/>
        </w:rPr>
        <w:t>ACUMULADOS</w:t>
      </w:r>
      <w:r w:rsidRPr="00E42755">
        <w:rPr>
          <w:rFonts w:ascii="Palatino Linotype" w:eastAsia="Calibri" w:hAnsi="Palatino Linotype" w:cs="Arial"/>
          <w:b/>
          <w:color w:val="000000"/>
        </w:rPr>
        <w:t>.</w:t>
      </w:r>
    </w:p>
    <w:p w14:paraId="236519A9" w14:textId="4008A979" w:rsidR="00154D81" w:rsidRPr="00E42755" w:rsidRDefault="00154D81" w:rsidP="008D0EB3">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 xml:space="preserve">del Reglamento Interior del Instituto de Transparencia, Acceso a la Información Pública y Protección de Datos Personales del Estado de México y Municipios, </w:t>
      </w:r>
      <w:r w:rsidRPr="00786706">
        <w:rPr>
          <w:rFonts w:ascii="Palatino Linotype" w:hAnsi="Palatino Linotype" w:cs="Arial"/>
        </w:rPr>
        <w:t xml:space="preserve">la que suscribe Comisionada </w:t>
      </w:r>
      <w:r w:rsidRPr="00786706">
        <w:rPr>
          <w:rFonts w:ascii="Palatino Linotype" w:hAnsi="Palatino Linotype" w:cs="Arial"/>
          <w:b/>
        </w:rPr>
        <w:t>EVA ABAID YAPUR</w:t>
      </w:r>
      <w:r w:rsidRPr="00786706">
        <w:rPr>
          <w:rFonts w:ascii="Palatino Linotype" w:hAnsi="Palatino Linotype" w:cs="Arial"/>
        </w:rPr>
        <w:t xml:space="preserve"> emite </w:t>
      </w:r>
      <w:r w:rsidRPr="00302453">
        <w:rPr>
          <w:rFonts w:ascii="Palatino Linotype" w:hAnsi="Palatino Linotype" w:cs="Arial"/>
          <w:b/>
        </w:rPr>
        <w:t xml:space="preserve">VOTO PARTICULAR </w:t>
      </w:r>
      <w:r w:rsidRPr="00E42755">
        <w:rPr>
          <w:rFonts w:ascii="Palatino Linotype" w:hAnsi="Palatino Linotype" w:cs="Arial"/>
        </w:rPr>
        <w:t>respecto de la resolución dictada en l</w:t>
      </w:r>
      <w:r w:rsidR="00B46721">
        <w:rPr>
          <w:rFonts w:ascii="Palatino Linotype" w:hAnsi="Palatino Linotype" w:cs="Arial"/>
        </w:rPr>
        <w:t>os</w:t>
      </w:r>
      <w:r w:rsidRPr="00E42755">
        <w:rPr>
          <w:rFonts w:ascii="Palatino Linotype" w:hAnsi="Palatino Linotype" w:cs="Arial"/>
        </w:rPr>
        <w:t xml:space="preserve"> recurso</w:t>
      </w:r>
      <w:r w:rsidR="00B46721">
        <w:rPr>
          <w:rFonts w:ascii="Palatino Linotype" w:hAnsi="Palatino Linotype" w:cs="Arial"/>
        </w:rPr>
        <w:t>s</w:t>
      </w:r>
      <w:r w:rsidRPr="00E42755">
        <w:rPr>
          <w:rFonts w:ascii="Palatino Linotype" w:hAnsi="Palatino Linotype" w:cs="Arial"/>
        </w:rPr>
        <w:t xml:space="preserve"> de revisión </w:t>
      </w:r>
      <w:r w:rsidR="00FB109D">
        <w:rPr>
          <w:rFonts w:ascii="Palatino Linotype" w:hAnsi="Palatino Linotype" w:cs="Arial"/>
          <w:b/>
        </w:rPr>
        <w:t>05409</w:t>
      </w:r>
      <w:r w:rsidR="00FA12BC">
        <w:rPr>
          <w:rFonts w:ascii="Palatino Linotype" w:hAnsi="Palatino Linotype" w:cs="Arial"/>
          <w:b/>
        </w:rPr>
        <w:t xml:space="preserve">/INFOEM/IP/RR/2019 </w:t>
      </w:r>
      <w:r w:rsidR="00FA12BC" w:rsidRPr="00DC07EB">
        <w:rPr>
          <w:rFonts w:ascii="Palatino Linotype" w:hAnsi="Palatino Linotype" w:cs="Arial"/>
          <w:b/>
        </w:rPr>
        <w:t>y a</w:t>
      </w:r>
      <w:r w:rsidR="00B46721" w:rsidRPr="00DC07EB">
        <w:rPr>
          <w:rFonts w:ascii="Palatino Linotype" w:eastAsia="Calibri" w:hAnsi="Palatino Linotype" w:cs="Arial"/>
          <w:b/>
          <w:color w:val="000000"/>
        </w:rPr>
        <w:t>cumulados</w:t>
      </w:r>
      <w:r w:rsidRPr="00E42755">
        <w:rPr>
          <w:rFonts w:ascii="Palatino Linotype" w:hAnsi="Palatino Linotype" w:cs="Arial"/>
        </w:rPr>
        <w:t xml:space="preserve">, pronunciada por el Pleno de este Instituto ante el proyecto </w:t>
      </w:r>
      <w:r w:rsidR="00806C7D">
        <w:rPr>
          <w:rFonts w:ascii="Palatino Linotype" w:hAnsi="Palatino Linotype" w:cs="Arial"/>
        </w:rPr>
        <w:t>que presenta</w:t>
      </w:r>
      <w:r w:rsidRPr="00E42755">
        <w:rPr>
          <w:rFonts w:ascii="Palatino Linotype" w:hAnsi="Palatino Linotype" w:cs="Arial"/>
        </w:rPr>
        <w:t xml:space="preserve"> </w:t>
      </w:r>
      <w:r w:rsidR="00FA12BC">
        <w:rPr>
          <w:rFonts w:ascii="Palatino Linotype" w:hAnsi="Palatino Linotype" w:cs="Arial"/>
        </w:rPr>
        <w:t xml:space="preserve">el </w:t>
      </w:r>
      <w:r w:rsidRPr="00E42755">
        <w:rPr>
          <w:rFonts w:ascii="Palatino Linotype" w:hAnsi="Palatino Linotype" w:cs="Arial"/>
        </w:rPr>
        <w:t>Comisionad</w:t>
      </w:r>
      <w:r w:rsidR="00FA12BC">
        <w:rPr>
          <w:rFonts w:ascii="Palatino Linotype" w:hAnsi="Palatino Linotype" w:cs="Arial"/>
        </w:rPr>
        <w:t xml:space="preserve">o </w:t>
      </w:r>
      <w:r w:rsidR="00FB109D">
        <w:rPr>
          <w:rFonts w:ascii="Palatino Linotype" w:hAnsi="Palatino Linotype" w:cs="Arial"/>
          <w:b/>
        </w:rPr>
        <w:t>JAVIER MARTÍNEZ CRUZ</w:t>
      </w:r>
      <w:r w:rsidRPr="0007653D">
        <w:rPr>
          <w:rFonts w:ascii="Palatino Linotype" w:hAnsi="Palatino Linotype" w:cs="Arial"/>
        </w:rPr>
        <w:t xml:space="preserve">, </w:t>
      </w:r>
      <w:r w:rsidRPr="00E42755">
        <w:rPr>
          <w:rFonts w:ascii="Palatino Linotype" w:hAnsi="Palatino Linotype" w:cs="Arial"/>
        </w:rPr>
        <w:t>que es del tenor siguiente:</w:t>
      </w:r>
    </w:p>
    <w:p w14:paraId="33F9D1B1" w14:textId="22AF3EE1" w:rsidR="00154D81" w:rsidRDefault="00154D81" w:rsidP="008D0EB3">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estudio realizado en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Pr="00D93A88">
        <w:rPr>
          <w:rFonts w:ascii="Palatino Linotype" w:hAnsi="Palatino Linotype"/>
        </w:rPr>
        <w:t xml:space="preserve"> necesario precisar algunas consideraciones de hecho y de derecho</w:t>
      </w:r>
      <w:r w:rsidR="002749AF">
        <w:rPr>
          <w:rFonts w:ascii="Palatino Linotype" w:hAnsi="Palatino Linotype"/>
        </w:rPr>
        <w:t xml:space="preserve">, tocante a parte de la información de la que se ordena la entrega. </w:t>
      </w:r>
    </w:p>
    <w:p w14:paraId="3400EEF7" w14:textId="5464C869" w:rsidR="002749AF" w:rsidRDefault="00154D81" w:rsidP="008D0EB3">
      <w:pPr>
        <w:spacing w:before="100" w:beforeAutospacing="1" w:after="100" w:afterAutospacing="1" w:line="360" w:lineRule="auto"/>
        <w:jc w:val="both"/>
        <w:rPr>
          <w:rFonts w:ascii="Palatino Linotype" w:eastAsia="Calibri" w:hAnsi="Palatino Linotype" w:cs="Tahoma"/>
          <w:bCs/>
          <w:szCs w:val="22"/>
          <w:lang w:eastAsia="en-US"/>
        </w:rPr>
      </w:pPr>
      <w:r>
        <w:rPr>
          <w:rFonts w:ascii="Palatino Linotype" w:hAnsi="Palatino Linotype"/>
        </w:rPr>
        <w:lastRenderedPageBreak/>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 xml:space="preserve">requirió del </w:t>
      </w:r>
      <w:r w:rsidR="002749AF" w:rsidRPr="002749AF">
        <w:rPr>
          <w:rFonts w:ascii="Palatino Linotype" w:hAnsi="Palatino Linotype"/>
          <w:b/>
        </w:rPr>
        <w:t xml:space="preserve">Ayuntamiento de </w:t>
      </w:r>
      <w:proofErr w:type="spellStart"/>
      <w:r w:rsidR="00FB109D">
        <w:rPr>
          <w:rFonts w:ascii="Palatino Linotype" w:hAnsi="Palatino Linotype"/>
          <w:b/>
        </w:rPr>
        <w:t>Tezoyuca</w:t>
      </w:r>
      <w:proofErr w:type="spellEnd"/>
      <w:r w:rsidR="002749AF">
        <w:rPr>
          <w:rFonts w:ascii="Palatino Linotype" w:hAnsi="Palatino Linotype"/>
        </w:rPr>
        <w:t xml:space="preserve">, en lo sucesivo </w:t>
      </w:r>
      <w:r w:rsidR="002749AF">
        <w:rPr>
          <w:rFonts w:ascii="Palatino Linotype" w:hAnsi="Palatino Linotype"/>
          <w:b/>
        </w:rPr>
        <w:t xml:space="preserve">EL </w:t>
      </w:r>
      <w:r w:rsidRPr="008C0700">
        <w:rPr>
          <w:rFonts w:ascii="Palatino Linotype" w:hAnsi="Palatino Linotype"/>
          <w:b/>
        </w:rPr>
        <w:t>SUJETO OBLIGADO</w:t>
      </w:r>
      <w:r>
        <w:rPr>
          <w:rFonts w:ascii="Palatino Linotype" w:hAnsi="Palatino Linotype"/>
        </w:rPr>
        <w:t>,</w:t>
      </w:r>
      <w:r w:rsidRPr="000D66DE">
        <w:rPr>
          <w:rFonts w:ascii="Palatino Linotype" w:hAnsi="Palatino Linotype" w:cs="Arial"/>
        </w:rPr>
        <w:t xml:space="preserve"> </w:t>
      </w:r>
      <w:r w:rsidR="002749AF" w:rsidRPr="00C70664">
        <w:rPr>
          <w:rFonts w:ascii="Palatino Linotype" w:eastAsia="Calibri" w:hAnsi="Palatino Linotype" w:cs="Tahoma"/>
          <w:bCs/>
          <w:szCs w:val="22"/>
          <w:lang w:eastAsia="en-US"/>
        </w:rPr>
        <w:t xml:space="preserve">la </w:t>
      </w:r>
      <w:r w:rsidR="0028501D">
        <w:rPr>
          <w:rFonts w:ascii="Palatino Linotype" w:eastAsia="Calibri" w:hAnsi="Palatino Linotype" w:cs="Tahoma"/>
          <w:bCs/>
          <w:szCs w:val="22"/>
          <w:lang w:eastAsia="en-US"/>
        </w:rPr>
        <w:t xml:space="preserve">información </w:t>
      </w:r>
      <w:r w:rsidR="00806C7D">
        <w:rPr>
          <w:rFonts w:ascii="Palatino Linotype" w:eastAsia="Calibri" w:hAnsi="Palatino Linotype" w:cs="Tahoma"/>
          <w:bCs/>
          <w:szCs w:val="22"/>
          <w:lang w:eastAsia="en-US"/>
        </w:rPr>
        <w:t>siguiente</w:t>
      </w:r>
      <w:r w:rsidR="002749AF" w:rsidRPr="00C70664">
        <w:rPr>
          <w:rFonts w:ascii="Palatino Linotype" w:eastAsia="Calibri" w:hAnsi="Palatino Linotype" w:cs="Tahoma"/>
          <w:bCs/>
          <w:szCs w:val="22"/>
          <w:lang w:eastAsia="en-US"/>
        </w:rPr>
        <w:t xml:space="preserve">: </w:t>
      </w:r>
    </w:p>
    <w:p w14:paraId="47C874AE" w14:textId="12E21AB4" w:rsidR="00FB109D" w:rsidRDefault="00FB109D" w:rsidP="008D0EB3">
      <w:pPr>
        <w:pStyle w:val="Prrafodelista"/>
        <w:numPr>
          <w:ilvl w:val="0"/>
          <w:numId w:val="20"/>
        </w:numPr>
        <w:tabs>
          <w:tab w:val="left" w:pos="851"/>
        </w:tabs>
        <w:spacing w:before="100" w:beforeAutospacing="1" w:after="100" w:afterAutospacing="1" w:line="360" w:lineRule="auto"/>
        <w:ind w:left="851" w:right="899" w:firstLine="0"/>
        <w:jc w:val="both"/>
        <w:rPr>
          <w:rFonts w:ascii="Palatino Linotype" w:eastAsia="Calibri" w:hAnsi="Palatino Linotype" w:cs="Tahoma"/>
          <w:i/>
          <w:iCs/>
          <w:sz w:val="22"/>
          <w:szCs w:val="22"/>
          <w:lang w:eastAsia="es-ES_tradnl"/>
        </w:rPr>
      </w:pPr>
      <w:r w:rsidRPr="00FB109D">
        <w:rPr>
          <w:rFonts w:ascii="Palatino Linotype" w:eastAsia="Calibri" w:hAnsi="Palatino Linotype" w:cs="Tahoma"/>
          <w:i/>
          <w:iCs/>
          <w:sz w:val="22"/>
          <w:szCs w:val="22"/>
          <w:lang w:eastAsia="es-ES_tradnl"/>
        </w:rPr>
        <w:t xml:space="preserve">Todos los contratos, adendas y/o cualquier otro acto jurídico celebrado por parte del Ayuntamiento de </w:t>
      </w:r>
      <w:proofErr w:type="spellStart"/>
      <w:r w:rsidRPr="00FB109D">
        <w:rPr>
          <w:rFonts w:ascii="Palatino Linotype" w:eastAsia="Calibri" w:hAnsi="Palatino Linotype" w:cs="Tahoma"/>
          <w:i/>
          <w:iCs/>
          <w:sz w:val="22"/>
          <w:szCs w:val="22"/>
          <w:lang w:eastAsia="es-ES_tradnl"/>
        </w:rPr>
        <w:t>Tezoyuca</w:t>
      </w:r>
      <w:proofErr w:type="spellEnd"/>
      <w:r w:rsidRPr="00FB109D">
        <w:rPr>
          <w:rFonts w:ascii="Palatino Linotype" w:eastAsia="Calibri" w:hAnsi="Palatino Linotype" w:cs="Tahoma"/>
          <w:i/>
          <w:iCs/>
          <w:sz w:val="22"/>
          <w:szCs w:val="22"/>
          <w:lang w:eastAsia="es-ES_tradnl"/>
        </w:rPr>
        <w:t xml:space="preserve"> con la persona física referida en la solicitud de acceso a la información, acompañado </w:t>
      </w:r>
      <w:r>
        <w:rPr>
          <w:rFonts w:ascii="Palatino Linotype" w:eastAsia="Calibri" w:hAnsi="Palatino Linotype" w:cs="Tahoma"/>
          <w:i/>
          <w:iCs/>
          <w:sz w:val="22"/>
          <w:szCs w:val="22"/>
          <w:lang w:eastAsia="es-ES_tradnl"/>
        </w:rPr>
        <w:t xml:space="preserve">de </w:t>
      </w:r>
      <w:r w:rsidRPr="00FB109D">
        <w:rPr>
          <w:rFonts w:ascii="Palatino Linotype" w:eastAsia="Calibri" w:hAnsi="Palatino Linotype" w:cs="Tahoma"/>
          <w:i/>
          <w:iCs/>
          <w:sz w:val="22"/>
          <w:szCs w:val="22"/>
          <w:lang w:eastAsia="es-ES_tradnl"/>
        </w:rPr>
        <w:t xml:space="preserve">los anexos respectivos a partir del primero de enero del año dos mil </w:t>
      </w:r>
      <w:r w:rsidR="002A04B1">
        <w:rPr>
          <w:rFonts w:ascii="Palatino Linotype" w:eastAsia="Calibri" w:hAnsi="Palatino Linotype" w:cs="Tahoma"/>
          <w:i/>
          <w:iCs/>
          <w:sz w:val="22"/>
          <w:szCs w:val="22"/>
          <w:lang w:eastAsia="es-ES_tradnl"/>
        </w:rPr>
        <w:t xml:space="preserve">trece </w:t>
      </w:r>
      <w:r w:rsidRPr="00FB109D">
        <w:rPr>
          <w:rFonts w:ascii="Palatino Linotype" w:eastAsia="Calibri" w:hAnsi="Palatino Linotype" w:cs="Tahoma"/>
          <w:i/>
          <w:iCs/>
          <w:sz w:val="22"/>
          <w:szCs w:val="22"/>
          <w:lang w:eastAsia="es-ES_tradnl"/>
        </w:rPr>
        <w:t xml:space="preserve">hasta el </w:t>
      </w:r>
      <w:r w:rsidR="002A04B1" w:rsidRPr="00FB109D">
        <w:rPr>
          <w:rFonts w:ascii="Palatino Linotype" w:eastAsia="Calibri" w:hAnsi="Palatino Linotype" w:cs="Tahoma"/>
          <w:i/>
          <w:iCs/>
          <w:sz w:val="22"/>
          <w:szCs w:val="22"/>
          <w:lang w:eastAsia="es-ES_tradnl"/>
        </w:rPr>
        <w:t>diecinueve de mayo del año dos mil diecinueve</w:t>
      </w:r>
      <w:r w:rsidR="002A04B1">
        <w:rPr>
          <w:rFonts w:ascii="Palatino Linotype" w:eastAsia="Calibri" w:hAnsi="Palatino Linotype" w:cs="Tahoma"/>
          <w:i/>
          <w:iCs/>
          <w:sz w:val="22"/>
          <w:szCs w:val="22"/>
          <w:lang w:eastAsia="es-ES_tradnl"/>
        </w:rPr>
        <w:t>.</w:t>
      </w:r>
    </w:p>
    <w:p w14:paraId="2428DFC0" w14:textId="4DECC9DA" w:rsidR="00FB109D" w:rsidRPr="002A04B1" w:rsidRDefault="00FB109D" w:rsidP="008D0EB3">
      <w:pPr>
        <w:pStyle w:val="Prrafodelista"/>
        <w:numPr>
          <w:ilvl w:val="0"/>
          <w:numId w:val="20"/>
        </w:numPr>
        <w:tabs>
          <w:tab w:val="left" w:pos="851"/>
        </w:tabs>
        <w:spacing w:before="100" w:beforeAutospacing="1" w:after="100" w:afterAutospacing="1" w:line="360" w:lineRule="auto"/>
        <w:ind w:left="851" w:right="899" w:firstLine="0"/>
        <w:jc w:val="both"/>
        <w:rPr>
          <w:rFonts w:ascii="Palatino Linotype" w:eastAsia="Calibri" w:hAnsi="Palatino Linotype" w:cs="Tahoma"/>
          <w:i/>
          <w:iCs/>
          <w:sz w:val="22"/>
          <w:szCs w:val="22"/>
          <w:lang w:eastAsia="es-ES_tradnl"/>
        </w:rPr>
      </w:pPr>
      <w:r w:rsidRPr="002A04B1">
        <w:rPr>
          <w:rFonts w:ascii="Palatino Linotype" w:eastAsia="Calibri" w:hAnsi="Palatino Linotype" w:cs="Tahoma"/>
          <w:i/>
          <w:iCs/>
          <w:sz w:val="22"/>
          <w:szCs w:val="22"/>
          <w:lang w:eastAsia="es-ES_tradnl"/>
        </w:rPr>
        <w:t xml:space="preserve">Todos los contratos, adendas y/o cualquier otro acto jurídico celebrado por parte del Ayuntamiento de </w:t>
      </w:r>
      <w:proofErr w:type="spellStart"/>
      <w:r w:rsidRPr="002A04B1">
        <w:rPr>
          <w:rFonts w:ascii="Palatino Linotype" w:eastAsia="Calibri" w:hAnsi="Palatino Linotype" w:cs="Tahoma"/>
          <w:i/>
          <w:iCs/>
          <w:sz w:val="22"/>
          <w:szCs w:val="22"/>
          <w:lang w:eastAsia="es-ES_tradnl"/>
        </w:rPr>
        <w:t>Tezoyuca</w:t>
      </w:r>
      <w:proofErr w:type="spellEnd"/>
      <w:r w:rsidRPr="002A04B1">
        <w:rPr>
          <w:rFonts w:ascii="Palatino Linotype" w:eastAsia="Calibri" w:hAnsi="Palatino Linotype" w:cs="Tahoma"/>
          <w:i/>
          <w:iCs/>
          <w:sz w:val="22"/>
          <w:szCs w:val="22"/>
          <w:lang w:eastAsia="es-ES_tradnl"/>
        </w:rPr>
        <w:t xml:space="preserve"> con las personas morales (empresas) señaladas en las solitudes de acceso a la información pública, acompañado de los anexos respectivos a partir del primero de enero del año dos mil </w:t>
      </w:r>
      <w:r w:rsidR="002A04B1" w:rsidRPr="002A04B1">
        <w:rPr>
          <w:rFonts w:ascii="Palatino Linotype" w:eastAsia="Calibri" w:hAnsi="Palatino Linotype" w:cs="Tahoma"/>
          <w:i/>
          <w:iCs/>
          <w:sz w:val="22"/>
          <w:szCs w:val="22"/>
          <w:lang w:eastAsia="es-ES_tradnl"/>
        </w:rPr>
        <w:t xml:space="preserve">trece </w:t>
      </w:r>
      <w:r w:rsidR="002A04B1">
        <w:rPr>
          <w:rFonts w:ascii="Palatino Linotype" w:eastAsia="Calibri" w:hAnsi="Palatino Linotype" w:cs="Tahoma"/>
          <w:i/>
          <w:iCs/>
          <w:sz w:val="22"/>
          <w:szCs w:val="22"/>
          <w:lang w:eastAsia="es-ES_tradnl"/>
        </w:rPr>
        <w:t xml:space="preserve">dieciséis </w:t>
      </w:r>
      <w:r w:rsidRPr="002A04B1">
        <w:rPr>
          <w:rFonts w:ascii="Palatino Linotype" w:eastAsia="Calibri" w:hAnsi="Palatino Linotype" w:cs="Tahoma"/>
          <w:i/>
          <w:iCs/>
          <w:sz w:val="22"/>
          <w:szCs w:val="22"/>
          <w:lang w:eastAsia="es-ES_tradnl"/>
        </w:rPr>
        <w:t>hasta el diecinueve de mayo del año dos mil diecinueve.</w:t>
      </w:r>
    </w:p>
    <w:p w14:paraId="4A089A29" w14:textId="0222F532" w:rsidR="002A04B1" w:rsidRDefault="00154D81" w:rsidP="008D0EB3">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su</w:t>
      </w:r>
      <w:r w:rsidR="008636EF">
        <w:rPr>
          <w:rFonts w:ascii="Palatino Linotype" w:hAnsi="Palatino Linotype" w:cs="Arial"/>
        </w:rPr>
        <w:t>s</w:t>
      </w:r>
      <w:r>
        <w:rPr>
          <w:rFonts w:ascii="Palatino Linotype" w:hAnsi="Palatino Linotype" w:cs="Arial"/>
        </w:rPr>
        <w:t xml:space="preserve"> respuesta</w:t>
      </w:r>
      <w:r w:rsidR="008636EF">
        <w:rPr>
          <w:rFonts w:ascii="Palatino Linotype" w:hAnsi="Palatino Linotype" w:cs="Arial"/>
        </w:rPr>
        <w:t>s</w:t>
      </w:r>
      <w:r>
        <w:rPr>
          <w:rFonts w:ascii="Palatino Linotype" w:hAnsi="Palatino Linotype" w:cs="Arial"/>
        </w:rPr>
        <w:t xml:space="preserve">, </w:t>
      </w:r>
      <w:r w:rsidRPr="00B57FE6">
        <w:rPr>
          <w:rFonts w:ascii="Palatino Linotype" w:hAnsi="Palatino Linotype" w:cs="Arial"/>
          <w:b/>
        </w:rPr>
        <w:t>EL SUJETO OBLIGADO</w:t>
      </w:r>
      <w:r w:rsidR="004B1041">
        <w:rPr>
          <w:rFonts w:ascii="Palatino Linotype" w:hAnsi="Palatino Linotype" w:cs="Arial"/>
        </w:rPr>
        <w:t xml:space="preserve">, </w:t>
      </w:r>
      <w:r w:rsidR="002A04B1">
        <w:rPr>
          <w:rFonts w:ascii="Palatino Linotype" w:hAnsi="Palatino Linotype" w:cs="Arial"/>
        </w:rPr>
        <w:t xml:space="preserve">señalo </w:t>
      </w:r>
      <w:r w:rsidR="002A04B1" w:rsidRPr="002A04B1">
        <w:rPr>
          <w:rFonts w:ascii="Palatino Linotype" w:hAnsi="Palatino Linotype" w:cs="Arial"/>
        </w:rPr>
        <w:t xml:space="preserve">que después de una búsqueda exhaustiva y razonable, la información requerida no fue encontrada, aunado a que </w:t>
      </w:r>
      <w:r w:rsidR="002A04B1">
        <w:rPr>
          <w:rFonts w:ascii="Palatino Linotype" w:hAnsi="Palatino Linotype" w:cs="Arial"/>
        </w:rPr>
        <w:t xml:space="preserve">el Tesorero Municipal refirió </w:t>
      </w:r>
      <w:r w:rsidR="002A04B1" w:rsidRPr="002A04B1">
        <w:rPr>
          <w:rFonts w:ascii="Palatino Linotype" w:hAnsi="Palatino Linotype" w:cs="Arial"/>
        </w:rPr>
        <w:t>que respecto de las solicitudes 00096/TEZOYUZA/IP/</w:t>
      </w:r>
      <w:r w:rsidR="002A04B1">
        <w:rPr>
          <w:rFonts w:ascii="Palatino Linotype" w:hAnsi="Palatino Linotype" w:cs="Arial"/>
        </w:rPr>
        <w:t>2019 y 00099/TEZOYUZA/IP/2019,</w:t>
      </w:r>
      <w:r w:rsidR="002A04B1" w:rsidRPr="002A04B1">
        <w:rPr>
          <w:rFonts w:ascii="Palatino Linotype" w:hAnsi="Palatino Linotype" w:cs="Arial"/>
        </w:rPr>
        <w:t xml:space="preserve"> no se tiene información de ningún servicio de dicha persona y empresa en el periodo que </w:t>
      </w:r>
      <w:r w:rsidR="002A04B1">
        <w:rPr>
          <w:rFonts w:ascii="Palatino Linotype" w:hAnsi="Palatino Linotype" w:cs="Arial"/>
        </w:rPr>
        <w:t xml:space="preserve">fue </w:t>
      </w:r>
      <w:r w:rsidR="002A04B1" w:rsidRPr="002A04B1">
        <w:rPr>
          <w:rFonts w:ascii="Palatino Linotype" w:hAnsi="Palatino Linotype" w:cs="Arial"/>
        </w:rPr>
        <w:t>solicita</w:t>
      </w:r>
      <w:r w:rsidR="002A04B1">
        <w:rPr>
          <w:rFonts w:ascii="Palatino Linotype" w:hAnsi="Palatino Linotype" w:cs="Arial"/>
        </w:rPr>
        <w:t>da</w:t>
      </w:r>
      <w:r w:rsidR="002A04B1" w:rsidRPr="002A04B1">
        <w:rPr>
          <w:rFonts w:ascii="Palatino Linotype" w:hAnsi="Palatino Linotype" w:cs="Arial"/>
        </w:rPr>
        <w:t>.</w:t>
      </w:r>
    </w:p>
    <w:p w14:paraId="55A20E5E" w14:textId="2C1ECAFB" w:rsidR="00FA12BC" w:rsidRDefault="00FA12BC" w:rsidP="008D0EB3">
      <w:pPr>
        <w:spacing w:before="100" w:beforeAutospacing="1" w:after="100" w:afterAutospacing="1" w:line="360" w:lineRule="auto"/>
        <w:mirrorIndents/>
        <w:jc w:val="both"/>
        <w:rPr>
          <w:rFonts w:ascii="Palatino Linotype" w:hAnsi="Palatino Linotype"/>
        </w:rPr>
      </w:pPr>
      <w:r w:rsidRPr="003E78C6">
        <w:rPr>
          <w:rFonts w:ascii="Palatino Linotype" w:hAnsi="Palatino Linotype"/>
        </w:rPr>
        <w:t>Inconforme con la</w:t>
      </w:r>
      <w:r>
        <w:rPr>
          <w:rFonts w:ascii="Palatino Linotype" w:hAnsi="Palatino Linotype"/>
        </w:rPr>
        <w:t>s</w:t>
      </w:r>
      <w:r w:rsidRPr="003E78C6">
        <w:rPr>
          <w:rFonts w:ascii="Palatino Linotype" w:hAnsi="Palatino Linotype"/>
        </w:rPr>
        <w:t xml:space="preserve"> respuesta</w:t>
      </w:r>
      <w:r>
        <w:rPr>
          <w:rFonts w:ascii="Palatino Linotype" w:hAnsi="Palatino Linotype"/>
        </w:rPr>
        <w:t>s</w:t>
      </w:r>
      <w:r w:rsidRPr="003E78C6">
        <w:rPr>
          <w:rFonts w:ascii="Palatino Linotype" w:hAnsi="Palatino Linotype"/>
        </w:rPr>
        <w:t xml:space="preserve">, </w:t>
      </w:r>
      <w:r>
        <w:rPr>
          <w:rFonts w:ascii="Palatino Linotype" w:hAnsi="Palatino Linotype"/>
          <w:b/>
        </w:rPr>
        <w:t>E</w:t>
      </w:r>
      <w:r w:rsidRPr="003E78C6">
        <w:rPr>
          <w:rFonts w:ascii="Palatino Linotype" w:hAnsi="Palatino Linotype"/>
          <w:b/>
        </w:rPr>
        <w:t>L RECURRENTE</w:t>
      </w:r>
      <w:r w:rsidRPr="003E78C6">
        <w:rPr>
          <w:rFonts w:ascii="Palatino Linotype" w:hAnsi="Palatino Linotype"/>
        </w:rPr>
        <w:t xml:space="preserve"> interpuso </w:t>
      </w:r>
      <w:r>
        <w:rPr>
          <w:rFonts w:ascii="Palatino Linotype" w:hAnsi="Palatino Linotype"/>
        </w:rPr>
        <w:t xml:space="preserve">los </w:t>
      </w:r>
      <w:r w:rsidRPr="003E78C6">
        <w:rPr>
          <w:rFonts w:ascii="Palatino Linotype" w:hAnsi="Palatino Linotype"/>
        </w:rPr>
        <w:t>recurso</w:t>
      </w:r>
      <w:r>
        <w:rPr>
          <w:rFonts w:ascii="Palatino Linotype" w:hAnsi="Palatino Linotype"/>
        </w:rPr>
        <w:t>s</w:t>
      </w:r>
      <w:r w:rsidRPr="003E78C6">
        <w:rPr>
          <w:rFonts w:ascii="Palatino Linotype" w:hAnsi="Palatino Linotype"/>
        </w:rPr>
        <w:t xml:space="preserve"> de revisión, </w:t>
      </w:r>
      <w:r>
        <w:rPr>
          <w:rFonts w:ascii="Palatino Linotype" w:hAnsi="Palatino Linotype"/>
        </w:rPr>
        <w:t>de mérito.</w:t>
      </w:r>
    </w:p>
    <w:p w14:paraId="2089EB10" w14:textId="7FDCC732" w:rsidR="00181E2F" w:rsidRDefault="00181E2F" w:rsidP="008D0EB3">
      <w:pPr>
        <w:spacing w:before="100" w:beforeAutospacing="1" w:after="100" w:afterAutospacing="1" w:line="360" w:lineRule="auto"/>
        <w:ind w:right="49"/>
        <w:jc w:val="both"/>
        <w:rPr>
          <w:rFonts w:ascii="Palatino Linotype" w:hAnsi="Palatino Linotype"/>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 del SAIMEX</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C82695">
        <w:rPr>
          <w:rFonts w:ascii="Palatino Linotype" w:hAnsi="Palatino Linotype" w:cs="Arial"/>
          <w:b/>
        </w:rPr>
        <w:t xml:space="preserve">REVOCAR </w:t>
      </w:r>
      <w:r>
        <w:rPr>
          <w:rFonts w:ascii="Palatino Linotype" w:hAnsi="Palatino Linotype" w:cs="Arial"/>
        </w:rPr>
        <w:t>la</w:t>
      </w:r>
      <w:r w:rsidR="00B24233">
        <w:rPr>
          <w:rFonts w:ascii="Palatino Linotype" w:hAnsi="Palatino Linotype" w:cs="Arial"/>
        </w:rPr>
        <w:t>s</w:t>
      </w:r>
      <w:r>
        <w:rPr>
          <w:rFonts w:ascii="Palatino Linotype" w:hAnsi="Palatino Linotype" w:cs="Arial"/>
        </w:rPr>
        <w:t xml:space="preserve"> respuesta</w:t>
      </w:r>
      <w:r w:rsidR="00B24233">
        <w:rPr>
          <w:rFonts w:ascii="Palatino Linotype" w:hAnsi="Palatino Linotype" w:cs="Arial"/>
        </w:rPr>
        <w:t>s</w:t>
      </w:r>
      <w:r>
        <w:rPr>
          <w:rFonts w:ascii="Palatino Linotype" w:hAnsi="Palatino Linotype" w:cs="Arial"/>
        </w:rPr>
        <w:t xml:space="preserve"> del </w:t>
      </w:r>
      <w:r w:rsidRPr="006879A6">
        <w:rPr>
          <w:rFonts w:ascii="Palatino Linotype" w:hAnsi="Palatino Linotype" w:cs="Arial"/>
          <w:b/>
        </w:rPr>
        <w:t xml:space="preserve">SUJETO OBLIGADO </w:t>
      </w:r>
      <w:r w:rsidR="00C82695">
        <w:rPr>
          <w:rFonts w:ascii="Palatino Linotype" w:hAnsi="Palatino Linotype" w:cs="Arial"/>
        </w:rPr>
        <w:t>y ordenar</w:t>
      </w:r>
      <w:r>
        <w:rPr>
          <w:rFonts w:ascii="Palatino Linotype" w:hAnsi="Palatino Linotype" w:cs="Arial"/>
        </w:rPr>
        <w:t xml:space="preserve"> </w:t>
      </w:r>
      <w:r w:rsidR="00C82695">
        <w:rPr>
          <w:rFonts w:ascii="Palatino Linotype" w:hAnsi="Palatino Linotype" w:cs="Arial"/>
        </w:rPr>
        <w:t xml:space="preserve">la </w:t>
      </w:r>
      <w:r w:rsidRPr="0022354C">
        <w:rPr>
          <w:rFonts w:ascii="Palatino Linotype" w:hAnsi="Palatino Linotype" w:cs="Arial"/>
        </w:rPr>
        <w:t xml:space="preserve">entrega, </w:t>
      </w:r>
      <w:r w:rsidR="00B06C4B">
        <w:rPr>
          <w:rFonts w:ascii="Palatino Linotype" w:hAnsi="Palatino Linotype"/>
        </w:rPr>
        <w:lastRenderedPageBreak/>
        <w:t>vía SAIME</w:t>
      </w:r>
      <w:r w:rsidR="004B1041">
        <w:rPr>
          <w:rFonts w:ascii="Palatino Linotype" w:hAnsi="Palatino Linotype"/>
        </w:rPr>
        <w:t>X</w:t>
      </w:r>
      <w:r w:rsidR="00B06C4B">
        <w:rPr>
          <w:rFonts w:ascii="Palatino Linotype" w:hAnsi="Palatino Linotype"/>
        </w:rPr>
        <w:t>,</w:t>
      </w:r>
      <w:r w:rsidR="00C82695">
        <w:rPr>
          <w:rFonts w:ascii="Palatino Linotype" w:hAnsi="Palatino Linotype"/>
        </w:rPr>
        <w:t xml:space="preserve"> en versión pública, del documento o </w:t>
      </w:r>
      <w:r w:rsidR="0097426F">
        <w:rPr>
          <w:rFonts w:ascii="Palatino Linotype" w:hAnsi="Palatino Linotype"/>
        </w:rPr>
        <w:t xml:space="preserve">documentos </w:t>
      </w:r>
      <w:r w:rsidR="00C82695">
        <w:rPr>
          <w:rFonts w:ascii="Palatino Linotype" w:hAnsi="Palatino Linotype"/>
        </w:rPr>
        <w:t>en donde conste lo siguiente</w:t>
      </w:r>
      <w:r w:rsidR="00B06C4B">
        <w:rPr>
          <w:rFonts w:ascii="Palatino Linotype" w:hAnsi="Palatino Linotype"/>
        </w:rPr>
        <w:t>:</w:t>
      </w:r>
    </w:p>
    <w:p w14:paraId="4BE8D3CF" w14:textId="0E0DCEBE" w:rsidR="00C82695" w:rsidRPr="00C82695" w:rsidRDefault="00C82695" w:rsidP="008D0EB3">
      <w:pPr>
        <w:pStyle w:val="Prrafodelista"/>
        <w:numPr>
          <w:ilvl w:val="0"/>
          <w:numId w:val="21"/>
        </w:numPr>
        <w:ind w:right="902"/>
        <w:jc w:val="both"/>
        <w:rPr>
          <w:rFonts w:ascii="Palatino Linotype" w:eastAsia="Calibri" w:hAnsi="Palatino Linotype" w:cs="Tahoma"/>
          <w:i/>
          <w:iCs/>
          <w:sz w:val="22"/>
          <w:szCs w:val="22"/>
          <w:lang w:eastAsia="es-ES_tradnl"/>
        </w:rPr>
      </w:pPr>
      <w:r w:rsidRPr="00C82695">
        <w:rPr>
          <w:rFonts w:ascii="Palatino Linotype" w:eastAsia="Calibri" w:hAnsi="Palatino Linotype" w:cs="Tahoma"/>
          <w:i/>
          <w:iCs/>
          <w:sz w:val="22"/>
          <w:szCs w:val="22"/>
          <w:lang w:eastAsia="es-ES_tradnl"/>
        </w:rPr>
        <w:t>Los contratos celebrados con el ciudadano referido en la solicitud 00099/TEZOYUCA/IP/2019 y de sus anexos; del periodo comprendido del primero de enero del año dos mil dieciséis al treinta y uno de diciembre del año dos mil dieciocho.</w:t>
      </w:r>
    </w:p>
    <w:p w14:paraId="3E129CE4" w14:textId="2B03A308" w:rsidR="00C82695" w:rsidRPr="00C82695" w:rsidRDefault="00C82695" w:rsidP="008D0EB3">
      <w:pPr>
        <w:pStyle w:val="Prrafodelista"/>
        <w:numPr>
          <w:ilvl w:val="0"/>
          <w:numId w:val="21"/>
        </w:numPr>
        <w:ind w:right="902"/>
        <w:jc w:val="both"/>
        <w:rPr>
          <w:rFonts w:ascii="Palatino Linotype" w:eastAsia="Calibri" w:hAnsi="Palatino Linotype" w:cs="Tahoma"/>
          <w:i/>
          <w:iCs/>
          <w:sz w:val="22"/>
          <w:szCs w:val="22"/>
          <w:lang w:eastAsia="es-ES_tradnl"/>
        </w:rPr>
      </w:pPr>
      <w:r w:rsidRPr="00C82695">
        <w:rPr>
          <w:rFonts w:ascii="Palatino Linotype" w:eastAsia="Calibri" w:hAnsi="Palatino Linotype" w:cs="Tahoma"/>
          <w:i/>
          <w:iCs/>
          <w:sz w:val="22"/>
          <w:szCs w:val="22"/>
          <w:lang w:eastAsia="es-ES_tradnl"/>
        </w:rPr>
        <w:t>Los contratos celebrados con el ciudadano referido en la solicitud 00095/TEZOYUCA/IP/2019 y de sus anexos; del periodo comprendido del primero de enero del año dos mil trece al diecinueve de mayo del año dos mil diecinueve.</w:t>
      </w:r>
    </w:p>
    <w:p w14:paraId="6B19B7DC" w14:textId="38AB405B" w:rsidR="00C82695" w:rsidRPr="00C82695" w:rsidRDefault="00C82695" w:rsidP="008D0EB3">
      <w:pPr>
        <w:pStyle w:val="Prrafodelista"/>
        <w:numPr>
          <w:ilvl w:val="0"/>
          <w:numId w:val="21"/>
        </w:numPr>
        <w:ind w:right="902"/>
        <w:jc w:val="both"/>
        <w:rPr>
          <w:rFonts w:ascii="Palatino Linotype" w:eastAsia="Calibri" w:hAnsi="Palatino Linotype" w:cs="Tahoma"/>
          <w:b/>
          <w:i/>
          <w:iCs/>
          <w:sz w:val="22"/>
          <w:szCs w:val="22"/>
          <w:lang w:eastAsia="es-ES_tradnl"/>
        </w:rPr>
      </w:pPr>
      <w:r w:rsidRPr="00C82695">
        <w:rPr>
          <w:rFonts w:ascii="Palatino Linotype" w:eastAsia="Calibri" w:hAnsi="Palatino Linotype" w:cs="Tahoma"/>
          <w:b/>
          <w:i/>
          <w:iCs/>
          <w:sz w:val="22"/>
          <w:szCs w:val="22"/>
          <w:lang w:eastAsia="es-ES_tradnl"/>
        </w:rPr>
        <w:t>Los contratos celebrados con la empresa “</w:t>
      </w:r>
      <w:r w:rsidR="004021C2">
        <w:rPr>
          <w:rFonts w:ascii="Palatino Linotype" w:eastAsia="Calibri" w:hAnsi="Palatino Linotype" w:cs="Tahoma"/>
          <w:b/>
          <w:i/>
          <w:iCs/>
          <w:sz w:val="22"/>
          <w:szCs w:val="22"/>
          <w:lang w:eastAsia="es-ES_tradnl"/>
        </w:rPr>
        <w:t>XXXXXXXX X.X. XX X.X</w:t>
      </w:r>
      <w:r w:rsidRPr="00C82695">
        <w:rPr>
          <w:rFonts w:ascii="Palatino Linotype" w:eastAsia="Calibri" w:hAnsi="Palatino Linotype" w:cs="Tahoma"/>
          <w:b/>
          <w:i/>
          <w:iCs/>
          <w:sz w:val="22"/>
          <w:szCs w:val="22"/>
          <w:lang w:eastAsia="es-ES_tradnl"/>
        </w:rPr>
        <w:t>.” y de sus anexos; del periodo comprendido del primero de enero del año dos mil dieciséis al treinta y uno de diciembre del año dos mil dieciocho.</w:t>
      </w:r>
    </w:p>
    <w:p w14:paraId="54AF5560" w14:textId="1670E124" w:rsidR="00C82695" w:rsidRDefault="00C82695" w:rsidP="008D0EB3">
      <w:pPr>
        <w:pStyle w:val="Prrafodelista"/>
        <w:numPr>
          <w:ilvl w:val="0"/>
          <w:numId w:val="21"/>
        </w:numPr>
        <w:ind w:right="902"/>
        <w:jc w:val="both"/>
        <w:rPr>
          <w:rFonts w:ascii="Palatino Linotype" w:eastAsia="Calibri" w:hAnsi="Palatino Linotype" w:cs="Tahoma"/>
          <w:i/>
          <w:iCs/>
          <w:sz w:val="22"/>
          <w:szCs w:val="22"/>
          <w:lang w:eastAsia="es-ES_tradnl"/>
        </w:rPr>
      </w:pPr>
      <w:r w:rsidRPr="00C82695">
        <w:rPr>
          <w:rFonts w:ascii="Palatino Linotype" w:eastAsia="Calibri" w:hAnsi="Palatino Linotype" w:cs="Tahoma"/>
          <w:b/>
          <w:i/>
          <w:iCs/>
          <w:sz w:val="22"/>
          <w:szCs w:val="22"/>
          <w:lang w:eastAsia="es-ES_tradnl"/>
        </w:rPr>
        <w:t>Los contratos celebrados con la empresa “</w:t>
      </w:r>
      <w:r w:rsidR="004021C2">
        <w:rPr>
          <w:rFonts w:ascii="Palatino Linotype" w:eastAsia="Calibri" w:hAnsi="Palatino Linotype" w:cs="Tahoma"/>
          <w:b/>
          <w:i/>
          <w:iCs/>
          <w:sz w:val="22"/>
          <w:szCs w:val="22"/>
          <w:lang w:eastAsia="es-ES_tradnl"/>
        </w:rPr>
        <w:t>XXXXXXXXXX</w:t>
      </w:r>
      <w:r w:rsidRPr="00C82695">
        <w:rPr>
          <w:rFonts w:ascii="Palatino Linotype" w:eastAsia="Calibri" w:hAnsi="Palatino Linotype" w:cs="Tahoma"/>
          <w:b/>
          <w:i/>
          <w:iCs/>
          <w:sz w:val="22"/>
          <w:szCs w:val="22"/>
          <w:lang w:eastAsia="es-ES_tradnl"/>
        </w:rPr>
        <w:t xml:space="preserve">, </w:t>
      </w:r>
      <w:r w:rsidR="004021C2">
        <w:rPr>
          <w:rFonts w:ascii="Palatino Linotype" w:eastAsia="Calibri" w:hAnsi="Palatino Linotype" w:cs="Tahoma"/>
          <w:b/>
          <w:i/>
          <w:iCs/>
          <w:sz w:val="22"/>
          <w:szCs w:val="22"/>
          <w:lang w:eastAsia="es-ES_tradnl"/>
        </w:rPr>
        <w:t>XXXXXXXXX</w:t>
      </w:r>
      <w:r w:rsidRPr="00C82695">
        <w:rPr>
          <w:rFonts w:ascii="Palatino Linotype" w:eastAsia="Calibri" w:hAnsi="Palatino Linotype" w:cs="Tahoma"/>
          <w:b/>
          <w:i/>
          <w:iCs/>
          <w:sz w:val="22"/>
          <w:szCs w:val="22"/>
          <w:lang w:eastAsia="es-ES_tradnl"/>
        </w:rPr>
        <w:t xml:space="preserve"> </w:t>
      </w:r>
      <w:r w:rsidR="004021C2">
        <w:rPr>
          <w:rFonts w:ascii="Palatino Linotype" w:eastAsia="Calibri" w:hAnsi="Palatino Linotype" w:cs="Tahoma"/>
          <w:b/>
          <w:i/>
          <w:iCs/>
          <w:sz w:val="22"/>
          <w:szCs w:val="22"/>
          <w:lang w:eastAsia="es-ES_tradnl"/>
        </w:rPr>
        <w:t>XXXXXXXXXXXXXXX X</w:t>
      </w:r>
      <w:r w:rsidRPr="00C82695">
        <w:rPr>
          <w:rFonts w:ascii="Palatino Linotype" w:eastAsia="Calibri" w:hAnsi="Palatino Linotype" w:cs="Tahoma"/>
          <w:b/>
          <w:i/>
          <w:iCs/>
          <w:sz w:val="22"/>
          <w:szCs w:val="22"/>
          <w:lang w:eastAsia="es-ES_tradnl"/>
        </w:rPr>
        <w:t xml:space="preserve"> </w:t>
      </w:r>
      <w:r w:rsidR="004021C2">
        <w:rPr>
          <w:rFonts w:ascii="Palatino Linotype" w:eastAsia="Calibri" w:hAnsi="Palatino Linotype" w:cs="Tahoma"/>
          <w:b/>
          <w:i/>
          <w:iCs/>
          <w:sz w:val="22"/>
          <w:szCs w:val="22"/>
          <w:lang w:eastAsia="es-ES_tradnl"/>
        </w:rPr>
        <w:t>XXXXXXXXXXXXXX</w:t>
      </w:r>
      <w:r w:rsidRPr="00C82695">
        <w:rPr>
          <w:rFonts w:ascii="Palatino Linotype" w:eastAsia="Calibri" w:hAnsi="Palatino Linotype" w:cs="Tahoma"/>
          <w:b/>
          <w:i/>
          <w:iCs/>
          <w:sz w:val="22"/>
          <w:szCs w:val="22"/>
          <w:lang w:eastAsia="es-ES_tradnl"/>
        </w:rPr>
        <w:t xml:space="preserve"> </w:t>
      </w:r>
      <w:r w:rsidR="004021C2">
        <w:rPr>
          <w:rFonts w:ascii="Palatino Linotype" w:eastAsia="Calibri" w:hAnsi="Palatino Linotype" w:cs="Tahoma"/>
          <w:b/>
          <w:i/>
          <w:iCs/>
          <w:sz w:val="22"/>
          <w:szCs w:val="22"/>
          <w:lang w:eastAsia="es-ES_tradnl"/>
        </w:rPr>
        <w:t>XXXX</w:t>
      </w:r>
      <w:r w:rsidRPr="00C82695">
        <w:rPr>
          <w:rFonts w:ascii="Palatino Linotype" w:eastAsia="Calibri" w:hAnsi="Palatino Linotype" w:cs="Tahoma"/>
          <w:b/>
          <w:i/>
          <w:iCs/>
          <w:sz w:val="22"/>
          <w:szCs w:val="22"/>
          <w:lang w:eastAsia="es-ES_tradnl"/>
        </w:rPr>
        <w:t>” y “</w:t>
      </w:r>
      <w:r w:rsidR="004021C2">
        <w:rPr>
          <w:rFonts w:ascii="Palatino Linotype" w:eastAsia="Calibri" w:hAnsi="Palatino Linotype" w:cs="Tahoma"/>
          <w:b/>
          <w:i/>
          <w:iCs/>
          <w:sz w:val="22"/>
          <w:szCs w:val="22"/>
          <w:lang w:eastAsia="es-ES_tradnl"/>
        </w:rPr>
        <w:t>XXXX</w:t>
      </w:r>
      <w:r w:rsidRPr="00C82695">
        <w:rPr>
          <w:rFonts w:ascii="Palatino Linotype" w:eastAsia="Calibri" w:hAnsi="Palatino Linotype" w:cs="Tahoma"/>
          <w:b/>
          <w:i/>
          <w:iCs/>
          <w:sz w:val="22"/>
          <w:szCs w:val="22"/>
          <w:lang w:eastAsia="es-ES_tradnl"/>
        </w:rPr>
        <w:t>”, y de sus anexos; del periodo comprendido del primero de enero del año dos mil trece al diecinueve de mayo del año dos mil diecinueve.</w:t>
      </w:r>
    </w:p>
    <w:p w14:paraId="4E0A4B32" w14:textId="77777777" w:rsidR="00C82695" w:rsidRPr="00C82695" w:rsidRDefault="00C82695" w:rsidP="008D0EB3">
      <w:pPr>
        <w:pStyle w:val="Prrafodelista"/>
        <w:ind w:left="1211" w:right="902"/>
        <w:jc w:val="both"/>
        <w:rPr>
          <w:rFonts w:ascii="Palatino Linotype" w:eastAsia="Calibri" w:hAnsi="Palatino Linotype" w:cs="Tahoma"/>
          <w:i/>
          <w:iCs/>
          <w:sz w:val="22"/>
          <w:szCs w:val="22"/>
          <w:lang w:eastAsia="es-ES_tradnl"/>
        </w:rPr>
      </w:pPr>
    </w:p>
    <w:p w14:paraId="656B37C9" w14:textId="77777777" w:rsidR="00C82695" w:rsidRDefault="00C82695" w:rsidP="008D0EB3">
      <w:pPr>
        <w:ind w:left="851" w:right="902"/>
        <w:jc w:val="both"/>
        <w:rPr>
          <w:rFonts w:ascii="Palatino Linotype" w:eastAsia="Calibri" w:hAnsi="Palatino Linotype" w:cs="Tahoma"/>
          <w:i/>
          <w:iCs/>
          <w:sz w:val="22"/>
          <w:szCs w:val="22"/>
          <w:lang w:eastAsia="es-ES_tradnl"/>
        </w:rPr>
      </w:pPr>
      <w:r w:rsidRPr="00C82695">
        <w:rPr>
          <w:rFonts w:ascii="Palatino Linotype" w:eastAsia="Calibri" w:hAnsi="Palatino Linotype" w:cs="Tahoma"/>
          <w:i/>
          <w:iCs/>
          <w:sz w:val="22"/>
          <w:szCs w:val="22"/>
          <w:lang w:eastAsia="es-ES_tradnl"/>
        </w:rPr>
        <w:t>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7BF39713" w14:textId="77777777" w:rsidR="00C82695" w:rsidRPr="00C82695" w:rsidRDefault="00C82695" w:rsidP="008D0EB3">
      <w:pPr>
        <w:ind w:left="851" w:right="902"/>
        <w:jc w:val="both"/>
        <w:rPr>
          <w:rFonts w:ascii="Palatino Linotype" w:eastAsia="Calibri" w:hAnsi="Palatino Linotype" w:cs="Tahoma"/>
          <w:i/>
          <w:iCs/>
          <w:sz w:val="22"/>
          <w:szCs w:val="22"/>
          <w:lang w:eastAsia="es-ES_tradnl"/>
        </w:rPr>
      </w:pPr>
    </w:p>
    <w:p w14:paraId="35773C38" w14:textId="5D481A25" w:rsidR="00B06C4B" w:rsidRDefault="00C82695" w:rsidP="008D0EB3">
      <w:pPr>
        <w:ind w:left="851" w:right="902"/>
        <w:jc w:val="both"/>
        <w:rPr>
          <w:rFonts w:ascii="Palatino Linotype" w:hAnsi="Palatino Linotype" w:cs="Arial"/>
          <w:lang w:val="es-MX"/>
        </w:rPr>
      </w:pPr>
      <w:r w:rsidRPr="00C82695">
        <w:rPr>
          <w:rFonts w:ascii="Palatino Linotype" w:eastAsia="Calibri" w:hAnsi="Palatino Linotype" w:cs="Tahoma"/>
          <w:i/>
          <w:iCs/>
          <w:sz w:val="22"/>
          <w:szCs w:val="22"/>
          <w:lang w:eastAsia="es-ES_tradnl"/>
        </w:rPr>
        <w:t>Para el caso de que no se haya generado o no se encuentre en posesión del Sujeto Obligado la información que se ordena en el numeral uno y dos, bastara que así se lo haga saber al recurrente.</w:t>
      </w:r>
    </w:p>
    <w:p w14:paraId="7A24B60F" w14:textId="5D05EE65" w:rsidR="004B1041" w:rsidRDefault="004B1041" w:rsidP="008D0EB3">
      <w:pPr>
        <w:spacing w:before="100" w:beforeAutospacing="1" w:after="100" w:afterAutospacing="1" w:line="360" w:lineRule="auto"/>
        <w:ind w:right="49"/>
        <w:jc w:val="both"/>
        <w:rPr>
          <w:rFonts w:ascii="Palatino Linotype" w:hAnsi="Palatino Linotype" w:cs="Arial"/>
        </w:rPr>
      </w:pPr>
      <w:r w:rsidRPr="009F71D8">
        <w:rPr>
          <w:rFonts w:ascii="Palatino Linotype" w:hAnsi="Palatino Linotype" w:cs="Arial"/>
        </w:rPr>
        <w:t xml:space="preserve">En ese sentido, la que suscribe reitera, que si bien coincide en términos generales con el </w:t>
      </w:r>
      <w:r>
        <w:rPr>
          <w:rFonts w:ascii="Palatino Linotype" w:hAnsi="Palatino Linotype" w:cs="Arial"/>
        </w:rPr>
        <w:t>sentido de la resolución en comento,</w:t>
      </w:r>
      <w:r w:rsidRPr="0061285F">
        <w:rPr>
          <w:rFonts w:ascii="Palatino Linotype" w:hAnsi="Palatino Linotype" w:cs="Arial"/>
        </w:rPr>
        <w:t xml:space="preserve"> estimo que la Ponencia </w:t>
      </w:r>
      <w:proofErr w:type="spellStart"/>
      <w:r w:rsidRPr="0061285F">
        <w:rPr>
          <w:rFonts w:ascii="Palatino Linotype" w:hAnsi="Palatino Linotype" w:cs="Arial"/>
        </w:rPr>
        <w:t>Resolutora</w:t>
      </w:r>
      <w:proofErr w:type="spellEnd"/>
      <w:r w:rsidRPr="0061285F">
        <w:rPr>
          <w:rFonts w:ascii="Palatino Linotype" w:hAnsi="Palatino Linotype" w:cs="Arial"/>
        </w:rPr>
        <w:t xml:space="preserve"> debió considerar que respecto de </w:t>
      </w:r>
      <w:r w:rsidR="003F1EA3">
        <w:rPr>
          <w:rFonts w:ascii="Palatino Linotype" w:hAnsi="Palatino Linotype" w:cs="Arial"/>
        </w:rPr>
        <w:t xml:space="preserve">los Contratos celebrados con las empresas señaladas en las </w:t>
      </w:r>
      <w:r w:rsidR="003F1EA3">
        <w:rPr>
          <w:rFonts w:ascii="Palatino Linotype" w:hAnsi="Palatino Linotype" w:cs="Arial"/>
        </w:rPr>
        <w:lastRenderedPageBreak/>
        <w:t>solicitudes acceso a la información, así como de sus anexos</w:t>
      </w:r>
      <w:r w:rsidRPr="0061285F">
        <w:rPr>
          <w:rFonts w:ascii="Palatino Linotype" w:hAnsi="Palatino Linotype" w:cs="Arial"/>
        </w:rPr>
        <w:t xml:space="preserve">, resultaba aplicable </w:t>
      </w:r>
      <w:r w:rsidR="003F1EA3">
        <w:rPr>
          <w:rFonts w:ascii="Palatino Linotype" w:hAnsi="Palatino Linotype"/>
        </w:rPr>
        <w:t xml:space="preserve">ordenar al </w:t>
      </w:r>
      <w:r w:rsidR="003F1EA3" w:rsidRPr="00BF349D">
        <w:rPr>
          <w:rFonts w:ascii="Palatino Linotype" w:hAnsi="Palatino Linotype"/>
          <w:b/>
        </w:rPr>
        <w:t>SUJETO OBLIGADO</w:t>
      </w:r>
      <w:r w:rsidR="003F1EA3">
        <w:rPr>
          <w:rFonts w:ascii="Palatino Linotype" w:hAnsi="Palatino Linotype"/>
        </w:rPr>
        <w:t xml:space="preserve"> realizara </w:t>
      </w:r>
      <w:r w:rsidR="003F1EA3" w:rsidRPr="00BF349D">
        <w:rPr>
          <w:rFonts w:ascii="Palatino Linotype" w:hAnsi="Palatino Linotype"/>
        </w:rPr>
        <w:t>una búsqueda exhaustiva</w:t>
      </w:r>
      <w:r w:rsidR="003F1EA3">
        <w:rPr>
          <w:rFonts w:ascii="Palatino Linotype" w:hAnsi="Palatino Linotype"/>
        </w:rPr>
        <w:t xml:space="preserve"> y razonable de la información y </w:t>
      </w:r>
      <w:r w:rsidR="003F1EA3" w:rsidRPr="00BF349D">
        <w:rPr>
          <w:rFonts w:ascii="Palatino Linotype" w:hAnsi="Palatino Linotype"/>
        </w:rPr>
        <w:t>en caso de no encontrarla, notificar el Acuerdo de Inexistencia corre</w:t>
      </w:r>
      <w:r w:rsidR="003F1EA3">
        <w:rPr>
          <w:rFonts w:ascii="Palatino Linotype" w:hAnsi="Palatino Linotype"/>
        </w:rPr>
        <w:t>spondiente, en el que fundara</w:t>
      </w:r>
      <w:r w:rsidR="003F1EA3" w:rsidRPr="00BF349D">
        <w:rPr>
          <w:rFonts w:ascii="Palatino Linotype" w:hAnsi="Palatino Linotype"/>
        </w:rPr>
        <w:t xml:space="preserve"> y motiv</w:t>
      </w:r>
      <w:r w:rsidR="003F1EA3">
        <w:rPr>
          <w:rFonts w:ascii="Palatino Linotype" w:hAnsi="Palatino Linotype"/>
        </w:rPr>
        <w:t>ara</w:t>
      </w:r>
      <w:r w:rsidR="003F1EA3" w:rsidRPr="00BF349D">
        <w:rPr>
          <w:rFonts w:ascii="Palatino Linotype" w:hAnsi="Palatino Linotype"/>
        </w:rPr>
        <w:t>, las circunstancias de la pre existencia de la documentación y la falta posterior de la misma, de conformidad la Ley de Transparencia y Acceso a la Información Pública del</w:t>
      </w:r>
      <w:r w:rsidR="003F1EA3">
        <w:rPr>
          <w:rFonts w:ascii="Palatino Linotype" w:hAnsi="Palatino Linotype"/>
        </w:rPr>
        <w:t xml:space="preserve"> Estado de México y Municipios. </w:t>
      </w:r>
    </w:p>
    <w:p w14:paraId="4B760735" w14:textId="553C3E29" w:rsidR="00460FFB" w:rsidRPr="00460FFB" w:rsidRDefault="004B1041" w:rsidP="008D0EB3">
      <w:pPr>
        <w:spacing w:before="100" w:beforeAutospacing="1" w:after="100" w:afterAutospacing="1" w:line="360" w:lineRule="auto"/>
        <w:ind w:right="49"/>
        <w:jc w:val="both"/>
        <w:rPr>
          <w:rFonts w:ascii="Palatino Linotype" w:hAnsi="Palatino Linotype" w:cs="Arial"/>
          <w:i/>
        </w:rPr>
      </w:pPr>
      <w:r w:rsidRPr="0061285F">
        <w:rPr>
          <w:rFonts w:ascii="Palatino Linotype" w:hAnsi="Palatino Linotype" w:cs="Arial"/>
        </w:rPr>
        <w:t xml:space="preserve">Lo anterior obedece a que, </w:t>
      </w:r>
      <w:r w:rsidR="0094032A" w:rsidRPr="0094032A">
        <w:rPr>
          <w:rFonts w:ascii="Palatino Linotype" w:hAnsi="Palatino Linotype" w:cs="Arial"/>
          <w:b/>
        </w:rPr>
        <w:t>EL SUJETO OBLIGADO</w:t>
      </w:r>
      <w:r w:rsidR="0094032A" w:rsidRPr="008D0EB3">
        <w:rPr>
          <w:rFonts w:ascii="Palatino Linotype" w:hAnsi="Palatino Linotype" w:cs="Arial"/>
        </w:rPr>
        <w:t xml:space="preserve"> </w:t>
      </w:r>
      <w:r w:rsidR="008D0EB3" w:rsidRPr="008D0EB3">
        <w:rPr>
          <w:rFonts w:ascii="Palatino Linotype" w:hAnsi="Palatino Linotype" w:cs="Arial"/>
        </w:rPr>
        <w:t>no niega contar con la información solicitada por el recurrente, sino por el contrario, se presume que dicha información la genera, posee o administra al proporcionar en el apartado de requerimientos del SAIMEX, en específico el Director de Obras Públicas al remitir un listado de las obras realizadas por la empresa “</w:t>
      </w:r>
      <w:r w:rsidR="004021C2">
        <w:rPr>
          <w:rFonts w:ascii="Palatino Linotype" w:hAnsi="Palatino Linotype" w:cs="Arial"/>
        </w:rPr>
        <w:t>XXXXXXXXXX</w:t>
      </w:r>
      <w:r w:rsidR="008D0EB3" w:rsidRPr="008D0EB3">
        <w:rPr>
          <w:rFonts w:ascii="Palatino Linotype" w:hAnsi="Palatino Linotype" w:cs="Arial"/>
        </w:rPr>
        <w:t xml:space="preserve">, </w:t>
      </w:r>
      <w:r w:rsidR="004021C2">
        <w:rPr>
          <w:rFonts w:ascii="Palatino Linotype" w:hAnsi="Palatino Linotype" w:cs="Arial"/>
        </w:rPr>
        <w:t>XXXXXXXXX</w:t>
      </w:r>
      <w:r w:rsidR="008D0EB3" w:rsidRPr="008D0EB3">
        <w:rPr>
          <w:rFonts w:ascii="Palatino Linotype" w:hAnsi="Palatino Linotype" w:cs="Arial"/>
        </w:rPr>
        <w:t xml:space="preserve"> </w:t>
      </w:r>
      <w:r w:rsidR="004021C2">
        <w:rPr>
          <w:rFonts w:ascii="Palatino Linotype" w:hAnsi="Palatino Linotype" w:cs="Arial"/>
        </w:rPr>
        <w:t>XXXXXXXXXXXXXXX X</w:t>
      </w:r>
      <w:r w:rsidR="008D0EB3" w:rsidRPr="008D0EB3">
        <w:rPr>
          <w:rFonts w:ascii="Palatino Linotype" w:hAnsi="Palatino Linotype" w:cs="Arial"/>
        </w:rPr>
        <w:t xml:space="preserve"> </w:t>
      </w:r>
      <w:r w:rsidR="004021C2">
        <w:rPr>
          <w:rFonts w:ascii="Palatino Linotype" w:hAnsi="Palatino Linotype" w:cs="Arial"/>
        </w:rPr>
        <w:t>XXXXXXXXXXXXXX</w:t>
      </w:r>
      <w:r w:rsidR="008D0EB3" w:rsidRPr="008D0EB3">
        <w:rPr>
          <w:rFonts w:ascii="Palatino Linotype" w:hAnsi="Palatino Linotype" w:cs="Arial"/>
        </w:rPr>
        <w:t xml:space="preserve"> </w:t>
      </w:r>
      <w:r w:rsidR="004021C2">
        <w:rPr>
          <w:rFonts w:ascii="Palatino Linotype" w:hAnsi="Palatino Linotype" w:cs="Arial"/>
        </w:rPr>
        <w:t>XXXX</w:t>
      </w:r>
      <w:r w:rsidR="008D0EB3" w:rsidRPr="008D0EB3">
        <w:rPr>
          <w:rFonts w:ascii="Palatino Linotype" w:hAnsi="Palatino Linotype" w:cs="Arial"/>
        </w:rPr>
        <w:t>” en los año 2016, 2017 y 2018, apreciándose en</w:t>
      </w:r>
      <w:r w:rsidR="008D0EB3">
        <w:rPr>
          <w:rFonts w:ascii="Palatino Linotype" w:hAnsi="Palatino Linotype" w:cs="Arial"/>
        </w:rPr>
        <w:t xml:space="preserve"> cada una el número de contrato </w:t>
      </w:r>
      <w:r w:rsidR="008D0EB3" w:rsidRPr="008D0EB3">
        <w:rPr>
          <w:rFonts w:ascii="Palatino Linotype" w:hAnsi="Palatino Linotype" w:cs="Arial"/>
        </w:rPr>
        <w:t>para cada una de las obras y el nombre de la persona responsab</w:t>
      </w:r>
      <w:r w:rsidR="0094032A">
        <w:rPr>
          <w:rFonts w:ascii="Palatino Linotype" w:hAnsi="Palatino Linotype" w:cs="Arial"/>
        </w:rPr>
        <w:t>le que se presume sea el represe</w:t>
      </w:r>
      <w:r w:rsidR="008D0EB3" w:rsidRPr="008D0EB3">
        <w:rPr>
          <w:rFonts w:ascii="Palatino Linotype" w:hAnsi="Palatino Linotype" w:cs="Arial"/>
        </w:rPr>
        <w:t>nta</w:t>
      </w:r>
      <w:r w:rsidR="0094032A">
        <w:rPr>
          <w:rFonts w:ascii="Palatino Linotype" w:hAnsi="Palatino Linotype" w:cs="Arial"/>
        </w:rPr>
        <w:t>n</w:t>
      </w:r>
      <w:r w:rsidR="008D0EB3" w:rsidRPr="008D0EB3">
        <w:rPr>
          <w:rFonts w:ascii="Palatino Linotype" w:hAnsi="Palatino Linotype" w:cs="Arial"/>
        </w:rPr>
        <w:t>te legal de la empresa alusiva, la cual no fue puesta a disposición del solicitante por parte del titular de la Unidad de Transparencia a pesar de que el Ser</w:t>
      </w:r>
      <w:r w:rsidR="0094032A">
        <w:rPr>
          <w:rFonts w:ascii="Palatino Linotype" w:hAnsi="Palatino Linotype" w:cs="Arial"/>
        </w:rPr>
        <w:t>vidor Público Habilitado entregó</w:t>
      </w:r>
      <w:r w:rsidR="008D0EB3" w:rsidRPr="008D0EB3">
        <w:rPr>
          <w:rFonts w:ascii="Palatino Linotype" w:hAnsi="Palatino Linotype" w:cs="Arial"/>
        </w:rPr>
        <w:t xml:space="preserve"> parte de la información requerida</w:t>
      </w:r>
      <w:r w:rsidR="008D0EB3">
        <w:rPr>
          <w:rFonts w:ascii="Palatino Linotype" w:hAnsi="Palatino Linotype" w:cs="Arial"/>
        </w:rPr>
        <w:t xml:space="preserve">; en razón a </w:t>
      </w:r>
      <w:r w:rsidR="0094032A">
        <w:rPr>
          <w:rFonts w:ascii="Palatino Linotype" w:hAnsi="Palatino Linotype" w:cs="Arial"/>
        </w:rPr>
        <w:t>ello, el Tesorero Municipal envió</w:t>
      </w:r>
      <w:r w:rsidR="008D0EB3" w:rsidRPr="008D0EB3">
        <w:rPr>
          <w:rFonts w:ascii="Palatino Linotype" w:hAnsi="Palatino Linotype" w:cs="Arial"/>
        </w:rPr>
        <w:t xml:space="preserve"> en el </w:t>
      </w:r>
      <w:r w:rsidR="008D0EB3">
        <w:rPr>
          <w:rFonts w:ascii="Palatino Linotype" w:hAnsi="Palatino Linotype" w:cs="Arial"/>
        </w:rPr>
        <w:t xml:space="preserve">mismo </w:t>
      </w:r>
      <w:r w:rsidR="008D0EB3" w:rsidRPr="008D0EB3">
        <w:rPr>
          <w:rFonts w:ascii="Palatino Linotype" w:hAnsi="Palatino Linotype" w:cs="Arial"/>
        </w:rPr>
        <w:t>apartado de requerimiento</w:t>
      </w:r>
      <w:r w:rsidR="008D0EB3">
        <w:rPr>
          <w:rFonts w:ascii="Palatino Linotype" w:hAnsi="Palatino Linotype" w:cs="Arial"/>
        </w:rPr>
        <w:t>s</w:t>
      </w:r>
      <w:r w:rsidR="008D0EB3" w:rsidRPr="008D0EB3">
        <w:rPr>
          <w:rFonts w:ascii="Palatino Linotype" w:hAnsi="Palatino Linotype" w:cs="Arial"/>
        </w:rPr>
        <w:t xml:space="preserve"> del SAIMEX información relacionada con la empresa “</w:t>
      </w:r>
      <w:r w:rsidR="004021C2">
        <w:rPr>
          <w:rFonts w:ascii="Palatino Linotype" w:hAnsi="Palatino Linotype" w:cs="Arial"/>
        </w:rPr>
        <w:t>XXXXXXXXX X.X XX X.X</w:t>
      </w:r>
      <w:r w:rsidR="008D0EB3" w:rsidRPr="008D0EB3">
        <w:rPr>
          <w:rFonts w:ascii="Palatino Linotype" w:hAnsi="Palatino Linotype" w:cs="Arial"/>
        </w:rPr>
        <w:t>.”, así como pólizas egresos, reporte de transferencia SPEI, facturas, diversos oficios y su respectiva acta constitutiva, de los años 2016, 2017 y 2018; sin embargo</w:t>
      </w:r>
      <w:r w:rsidR="0094032A">
        <w:rPr>
          <w:rFonts w:ascii="Palatino Linotype" w:hAnsi="Palatino Linotype" w:cs="Arial"/>
        </w:rPr>
        <w:t>,</w:t>
      </w:r>
      <w:r w:rsidR="008D0EB3" w:rsidRPr="008D0EB3">
        <w:rPr>
          <w:rFonts w:ascii="Palatino Linotype" w:hAnsi="Palatino Linotype" w:cs="Arial"/>
        </w:rPr>
        <w:t xml:space="preserve"> esta tampoco fue puesta a disposición del solicitante</w:t>
      </w:r>
      <w:r w:rsidR="00963424" w:rsidRPr="008D0EB3">
        <w:rPr>
          <w:rFonts w:ascii="Palatino Linotype" w:hAnsi="Palatino Linotype" w:cs="Arial"/>
        </w:rPr>
        <w:t xml:space="preserve">; </w:t>
      </w:r>
      <w:r w:rsidRPr="008D0EB3">
        <w:rPr>
          <w:rFonts w:ascii="Palatino Linotype" w:hAnsi="Palatino Linotype" w:cs="Arial"/>
        </w:rPr>
        <w:t xml:space="preserve">por lo que atendiendo a esto, </w:t>
      </w:r>
      <w:r w:rsidR="008D0EB3" w:rsidRPr="008D0EB3">
        <w:rPr>
          <w:rFonts w:ascii="Palatino Linotype" w:hAnsi="Palatino Linotype" w:cs="Arial"/>
        </w:rPr>
        <w:t xml:space="preserve">se acredita que </w:t>
      </w:r>
      <w:r w:rsidR="00806C7D" w:rsidRPr="008D0EB3">
        <w:rPr>
          <w:rFonts w:ascii="Palatino Linotype" w:hAnsi="Palatino Linotype" w:cs="Arial"/>
          <w:b/>
        </w:rPr>
        <w:t>EL SUJETO OBLIGADO</w:t>
      </w:r>
      <w:r w:rsidR="00963424" w:rsidRPr="008D0EB3">
        <w:rPr>
          <w:rFonts w:ascii="Palatino Linotype" w:hAnsi="Palatino Linotype" w:cs="Arial"/>
        </w:rPr>
        <w:t xml:space="preserve"> </w:t>
      </w:r>
      <w:r w:rsidR="008D0EB3" w:rsidRPr="008D0EB3">
        <w:rPr>
          <w:rFonts w:ascii="Palatino Linotype" w:hAnsi="Palatino Linotype" w:cs="Arial"/>
        </w:rPr>
        <w:lastRenderedPageBreak/>
        <w:t>cuenta dentro de sus archivos con la información requerida por el particular</w:t>
      </w:r>
      <w:r w:rsidR="005B49CD">
        <w:rPr>
          <w:rFonts w:ascii="Palatino Linotype" w:hAnsi="Palatino Linotype" w:cs="Arial"/>
        </w:rPr>
        <w:t xml:space="preserve">; ello, en razón </w:t>
      </w:r>
      <w:r w:rsidRPr="00577A8A">
        <w:rPr>
          <w:rFonts w:ascii="Palatino Linotype" w:hAnsi="Palatino Linotype" w:cs="Arial"/>
        </w:rPr>
        <w:t>de generar certeza de conformidad con lo señalado en el artículo 9</w:t>
      </w:r>
      <w:r w:rsidR="0094032A">
        <w:rPr>
          <w:rFonts w:ascii="Palatino Linotype" w:hAnsi="Palatino Linotype" w:cs="Arial"/>
        </w:rPr>
        <w:t>,</w:t>
      </w:r>
      <w:r w:rsidRPr="00577A8A">
        <w:rPr>
          <w:rFonts w:ascii="Palatino Linotype" w:hAnsi="Palatino Linotype" w:cs="Arial"/>
        </w:rPr>
        <w:t xml:space="preserve"> fracción I de la Ley de Transparencia y Acceso a la Info</w:t>
      </w:r>
      <w:r>
        <w:rPr>
          <w:rFonts w:ascii="Palatino Linotype" w:hAnsi="Palatino Linotype" w:cs="Arial"/>
        </w:rPr>
        <w:t>rmación Pública del Estado de Mé</w:t>
      </w:r>
      <w:r w:rsidRPr="00577A8A">
        <w:rPr>
          <w:rFonts w:ascii="Palatino Linotype" w:hAnsi="Palatino Linotype" w:cs="Arial"/>
        </w:rPr>
        <w:t>xic</w:t>
      </w:r>
      <w:r>
        <w:rPr>
          <w:rFonts w:ascii="Palatino Linotype" w:hAnsi="Palatino Linotype" w:cs="Arial"/>
        </w:rPr>
        <w:t>o</w:t>
      </w:r>
      <w:r w:rsidR="008D0EB3">
        <w:rPr>
          <w:rFonts w:ascii="Palatino Linotype" w:hAnsi="Palatino Linotype" w:cs="Arial"/>
        </w:rPr>
        <w:t xml:space="preserve"> y Municipios.</w:t>
      </w:r>
    </w:p>
    <w:p w14:paraId="052FCB2C" w14:textId="2B48F9F3" w:rsidR="00433C19" w:rsidRDefault="004B1041" w:rsidP="00433C19">
      <w:pPr>
        <w:spacing w:before="100" w:beforeAutospacing="1" w:after="100" w:afterAutospacing="1" w:line="360" w:lineRule="auto"/>
        <w:ind w:right="49"/>
        <w:jc w:val="both"/>
        <w:rPr>
          <w:rFonts w:ascii="Palatino Linotype" w:hAnsi="Palatino Linotype" w:cs="Arial"/>
        </w:rPr>
      </w:pPr>
      <w:r w:rsidRPr="00577A8A">
        <w:rPr>
          <w:rFonts w:ascii="Palatino Linotype" w:hAnsi="Palatino Linotype" w:cs="Arial"/>
        </w:rPr>
        <w:t xml:space="preserve">Atento a lo anterior, la que suscribe </w:t>
      </w:r>
      <w:r w:rsidR="008D0EB3">
        <w:rPr>
          <w:rFonts w:ascii="Palatino Linotype" w:hAnsi="Palatino Linotype" w:cs="Arial"/>
        </w:rPr>
        <w:t xml:space="preserve">reitera que </w:t>
      </w:r>
      <w:r w:rsidRPr="00577A8A">
        <w:rPr>
          <w:rFonts w:ascii="Palatino Linotype" w:hAnsi="Palatino Linotype" w:cs="Arial"/>
          <w:b/>
        </w:rPr>
        <w:t>EL SUJETO OBLIGADO</w:t>
      </w:r>
      <w:r w:rsidRPr="00577A8A">
        <w:rPr>
          <w:rFonts w:ascii="Palatino Linotype" w:hAnsi="Palatino Linotype" w:cs="Arial"/>
        </w:rPr>
        <w:t xml:space="preserve"> </w:t>
      </w:r>
      <w:r w:rsidR="008D0EB3">
        <w:rPr>
          <w:rFonts w:ascii="Palatino Linotype" w:hAnsi="Palatino Linotype" w:cs="Arial"/>
        </w:rPr>
        <w:t xml:space="preserve">asumió que cuenta con la información, toda vez que en el apartado de requerimientos hizo entrega de la información; sin embargo, esta no fue puesta a disposición del particular; por lo que se debió precisar tanto </w:t>
      </w:r>
      <w:r w:rsidR="00ED762B">
        <w:rPr>
          <w:rFonts w:ascii="Palatino Linotype" w:hAnsi="Palatino Linotype" w:cs="Arial"/>
        </w:rPr>
        <w:t xml:space="preserve">en estudio como en Resolutivos que para el caso de que el </w:t>
      </w:r>
      <w:r w:rsidR="00ED762B">
        <w:rPr>
          <w:rFonts w:ascii="Palatino Linotype" w:hAnsi="Palatino Linotype" w:cs="Arial"/>
          <w:b/>
        </w:rPr>
        <w:t xml:space="preserve">SUJETO OBLIGADO </w:t>
      </w:r>
      <w:r w:rsidR="008D0EB3">
        <w:rPr>
          <w:rFonts w:ascii="Palatino Linotype" w:hAnsi="Palatino Linotype" w:cs="Arial"/>
        </w:rPr>
        <w:t>no</w:t>
      </w:r>
      <w:r w:rsidR="00ED762B">
        <w:rPr>
          <w:rFonts w:ascii="Palatino Linotype" w:hAnsi="Palatino Linotype" w:cs="Arial"/>
        </w:rPr>
        <w:t xml:space="preserve"> localizara la información solicitada, debería emitir el Acuerdo de Inexistencia de la Información de conformidad con los artículos</w:t>
      </w:r>
      <w:r w:rsidR="00ED762B" w:rsidRPr="007B6526">
        <w:rPr>
          <w:rFonts w:ascii="Palatino Linotype" w:hAnsi="Palatino Linotype"/>
          <w:color w:val="222222"/>
        </w:rPr>
        <w:t xml:space="preserve"> </w:t>
      </w:r>
      <w:r w:rsidR="006E6F52">
        <w:rPr>
          <w:rFonts w:ascii="Palatino Linotype" w:hAnsi="Palatino Linotype"/>
          <w:color w:val="222222"/>
        </w:rPr>
        <w:t xml:space="preserve">18, </w:t>
      </w:r>
      <w:r w:rsidR="00ED762B" w:rsidRPr="007B6526">
        <w:rPr>
          <w:rFonts w:ascii="Palatino Linotype" w:hAnsi="Palatino Linotype"/>
          <w:color w:val="222222"/>
        </w:rPr>
        <w:t>19, 169 y 170 de la Ley de Transparencia y Acceso a la Información Pública del Estado de México y Municipios</w:t>
      </w:r>
      <w:r w:rsidR="00433C19">
        <w:rPr>
          <w:rFonts w:ascii="Palatino Linotype" w:hAnsi="Palatino Linotype"/>
          <w:color w:val="222222"/>
        </w:rPr>
        <w:t xml:space="preserve">, </w:t>
      </w:r>
      <w:r w:rsidR="00433C19">
        <w:rPr>
          <w:rFonts w:ascii="Palatino Linotype" w:hAnsi="Palatino Linotype" w:cs="Arial"/>
        </w:rPr>
        <w:t xml:space="preserve">esto en razón de que existe fuente obligacional que lo constriñe a contar con dichos documentos, mismos que </w:t>
      </w:r>
      <w:r w:rsidR="00433C19" w:rsidRPr="006E6F52">
        <w:rPr>
          <w:rFonts w:ascii="Palatino Linotype" w:hAnsi="Palatino Linotype" w:cs="Arial"/>
        </w:rPr>
        <w:t>establece</w:t>
      </w:r>
      <w:r w:rsidR="00433C19">
        <w:rPr>
          <w:rFonts w:ascii="Palatino Linotype" w:hAnsi="Palatino Linotype" w:cs="Arial"/>
        </w:rPr>
        <w:t>n</w:t>
      </w:r>
      <w:r w:rsidR="00433C19" w:rsidRPr="006E6F52">
        <w:rPr>
          <w:rFonts w:ascii="Palatino Linotype" w:hAnsi="Palatino Linotype" w:cs="Arial"/>
        </w:rPr>
        <w:t xml:space="preserve"> lo siguiente:</w:t>
      </w:r>
    </w:p>
    <w:p w14:paraId="69457B11" w14:textId="77777777" w:rsidR="0094032A" w:rsidRDefault="0094032A" w:rsidP="0094032A">
      <w:pPr>
        <w:ind w:left="851" w:right="899"/>
        <w:jc w:val="both"/>
        <w:rPr>
          <w:rFonts w:ascii="Palatino Linotype" w:hAnsi="Palatino Linotype" w:cs="Arial"/>
          <w:i/>
          <w:sz w:val="22"/>
        </w:rPr>
      </w:pPr>
      <w:r w:rsidRPr="00760E81">
        <w:rPr>
          <w:rFonts w:ascii="Palatino Linotype" w:hAnsi="Palatino Linotype" w:cs="Arial"/>
          <w:i/>
          <w:sz w:val="22"/>
        </w:rPr>
        <w:t>“</w:t>
      </w:r>
      <w:r w:rsidRPr="00760E81">
        <w:rPr>
          <w:rFonts w:ascii="Palatino Linotype" w:hAnsi="Palatino Linotype" w:cs="Arial"/>
          <w:b/>
          <w:i/>
          <w:sz w:val="22"/>
        </w:rPr>
        <w:t>Artículo 18</w:t>
      </w:r>
      <w:r w:rsidRPr="00760E81">
        <w:rPr>
          <w:rFonts w:ascii="Palatino Linotype" w:hAnsi="Palatino Linotype" w:cs="Arial"/>
          <w:i/>
          <w:sz w:val="22"/>
        </w:rPr>
        <w:t>. Los sujetos obligados deberán documentar todo acto que derive del ejercicio de sus facultades, competencias o funciones, considerando desde su origen la eventual publicidad y reutilización de la información que generen.</w:t>
      </w:r>
    </w:p>
    <w:p w14:paraId="298F2C78" w14:textId="77777777" w:rsidR="0094032A" w:rsidRPr="00760E81" w:rsidRDefault="0094032A" w:rsidP="0094032A">
      <w:pPr>
        <w:ind w:left="851" w:right="899"/>
        <w:jc w:val="both"/>
        <w:rPr>
          <w:rFonts w:ascii="Palatino Linotype" w:hAnsi="Palatino Linotype" w:cs="Arial"/>
          <w:i/>
          <w:sz w:val="22"/>
        </w:rPr>
      </w:pPr>
    </w:p>
    <w:p w14:paraId="74A9C3A5" w14:textId="77777777" w:rsidR="0094032A" w:rsidRPr="00760E81" w:rsidRDefault="0094032A" w:rsidP="0094032A">
      <w:pPr>
        <w:ind w:left="851" w:right="899"/>
        <w:jc w:val="both"/>
        <w:rPr>
          <w:rFonts w:ascii="Palatino Linotype" w:hAnsi="Palatino Linotype" w:cs="Arial"/>
          <w:i/>
          <w:sz w:val="22"/>
        </w:rPr>
      </w:pPr>
      <w:r w:rsidRPr="00760E81">
        <w:rPr>
          <w:rFonts w:ascii="Palatino Linotype" w:hAnsi="Palatino Linotype" w:cs="Arial"/>
          <w:b/>
          <w:i/>
          <w:sz w:val="22"/>
        </w:rPr>
        <w:t>Artículo 19</w:t>
      </w:r>
      <w:r w:rsidRPr="00760E81">
        <w:rPr>
          <w:rFonts w:ascii="Palatino Linotype" w:hAnsi="Palatino Linotype" w:cs="Arial"/>
          <w:i/>
          <w:sz w:val="22"/>
        </w:rPr>
        <w:t>. Se presume que la información debe existir si se refiere a las facultades, competencias y funciones que los ordenamientos jurídicos aplicables otorgan a los sujetos obligados.</w:t>
      </w:r>
    </w:p>
    <w:p w14:paraId="2FC378CB" w14:textId="77777777" w:rsidR="0094032A" w:rsidRPr="00760E81" w:rsidRDefault="0094032A" w:rsidP="0094032A">
      <w:pPr>
        <w:ind w:left="851" w:right="899"/>
        <w:jc w:val="both"/>
        <w:rPr>
          <w:rFonts w:ascii="Palatino Linotype" w:hAnsi="Palatino Linotype" w:cs="Arial"/>
          <w:i/>
          <w:sz w:val="22"/>
        </w:rPr>
      </w:pPr>
      <w:r w:rsidRPr="00760E81">
        <w:rPr>
          <w:rFonts w:ascii="Palatino Linotype" w:hAnsi="Palatino Linotype" w:cs="Arial"/>
          <w:i/>
          <w:sz w:val="22"/>
        </w:rPr>
        <w:t>En los casos en que ciertas facultades, competencias o funciones no se hayan ejercido, se debe motivar la respuesta en función de las causas que motiven tal circunstancia.</w:t>
      </w:r>
    </w:p>
    <w:p w14:paraId="78FDD44A" w14:textId="77777777" w:rsidR="0094032A" w:rsidRDefault="0094032A" w:rsidP="0094032A">
      <w:pPr>
        <w:ind w:left="851" w:right="899"/>
        <w:jc w:val="both"/>
        <w:rPr>
          <w:rFonts w:ascii="Palatino Linotype" w:hAnsi="Palatino Linotype" w:cs="Arial"/>
          <w:i/>
          <w:sz w:val="22"/>
        </w:rPr>
      </w:pPr>
      <w:r w:rsidRPr="00760E81">
        <w:rPr>
          <w:rFonts w:ascii="Palatino Linotype" w:hAnsi="Palatino Linotype" w:cs="Arial"/>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CC62533" w14:textId="77777777" w:rsidR="0094032A" w:rsidRPr="00760E81" w:rsidRDefault="0094032A" w:rsidP="0094032A">
      <w:pPr>
        <w:ind w:left="851" w:right="899"/>
        <w:jc w:val="both"/>
        <w:rPr>
          <w:rFonts w:ascii="Palatino Linotype" w:hAnsi="Palatino Linotype" w:cs="Arial"/>
          <w:i/>
          <w:sz w:val="22"/>
        </w:rPr>
      </w:pPr>
    </w:p>
    <w:p w14:paraId="188DFB5C" w14:textId="77777777" w:rsidR="0094032A" w:rsidRPr="00760E81" w:rsidRDefault="0094032A" w:rsidP="0094032A">
      <w:pPr>
        <w:ind w:left="851" w:right="899"/>
        <w:jc w:val="both"/>
        <w:rPr>
          <w:rFonts w:ascii="Palatino Linotype" w:hAnsi="Palatino Linotype" w:cs="Arial"/>
          <w:i/>
          <w:sz w:val="22"/>
        </w:rPr>
      </w:pPr>
      <w:r w:rsidRPr="00760E81">
        <w:rPr>
          <w:rFonts w:ascii="Palatino Linotype" w:hAnsi="Palatino Linotype" w:cs="Arial"/>
          <w:b/>
          <w:i/>
          <w:sz w:val="22"/>
        </w:rPr>
        <w:lastRenderedPageBreak/>
        <w:t>Artículo 169</w:t>
      </w:r>
      <w:r w:rsidRPr="00760E81">
        <w:rPr>
          <w:rFonts w:ascii="Palatino Linotype" w:hAnsi="Palatino Linotype" w:cs="Arial"/>
          <w:i/>
          <w:sz w:val="22"/>
        </w:rPr>
        <w:t>. Cuando la información no se encuentre en los archivos del sujeto obligado, el Comité de Transparencia:</w:t>
      </w:r>
    </w:p>
    <w:p w14:paraId="19F0A621" w14:textId="77777777" w:rsidR="0094032A" w:rsidRPr="00760E81" w:rsidRDefault="0094032A" w:rsidP="0094032A">
      <w:pPr>
        <w:ind w:left="851" w:right="899"/>
        <w:jc w:val="both"/>
        <w:rPr>
          <w:rFonts w:ascii="Palatino Linotype" w:hAnsi="Palatino Linotype" w:cs="Arial"/>
          <w:i/>
          <w:sz w:val="22"/>
        </w:rPr>
      </w:pPr>
      <w:r w:rsidRPr="00760E81">
        <w:rPr>
          <w:rFonts w:ascii="Palatino Linotype" w:hAnsi="Palatino Linotype" w:cs="Arial"/>
          <w:i/>
          <w:sz w:val="22"/>
        </w:rPr>
        <w:t>I. Analizará el caso y tomará las medidas necesarias para localizar la información;</w:t>
      </w:r>
    </w:p>
    <w:p w14:paraId="4022122F" w14:textId="77777777" w:rsidR="0094032A" w:rsidRPr="00760E81" w:rsidRDefault="0094032A" w:rsidP="0094032A">
      <w:pPr>
        <w:ind w:left="851" w:right="899"/>
        <w:jc w:val="both"/>
        <w:rPr>
          <w:rFonts w:ascii="Palatino Linotype" w:hAnsi="Palatino Linotype" w:cs="Arial"/>
          <w:i/>
          <w:sz w:val="22"/>
        </w:rPr>
      </w:pPr>
      <w:r w:rsidRPr="00760E81">
        <w:rPr>
          <w:rFonts w:ascii="Palatino Linotype" w:hAnsi="Palatino Linotype" w:cs="Arial"/>
          <w:i/>
          <w:sz w:val="22"/>
        </w:rPr>
        <w:t>II. Expedirá una resolución que confirme la inexistencia del documento;</w:t>
      </w:r>
    </w:p>
    <w:p w14:paraId="762078E0" w14:textId="77777777" w:rsidR="0094032A" w:rsidRPr="00760E81" w:rsidRDefault="0094032A" w:rsidP="0094032A">
      <w:pPr>
        <w:ind w:left="851" w:right="899"/>
        <w:jc w:val="both"/>
        <w:rPr>
          <w:rFonts w:ascii="Palatino Linotype" w:hAnsi="Palatino Linotype" w:cs="Arial"/>
          <w:i/>
          <w:sz w:val="22"/>
        </w:rPr>
      </w:pPr>
      <w:r w:rsidRPr="00760E81">
        <w:rPr>
          <w:rFonts w:ascii="Palatino Linotype"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6CA277A" w14:textId="77777777" w:rsidR="0094032A" w:rsidRPr="00760E81" w:rsidRDefault="0094032A" w:rsidP="0094032A">
      <w:pPr>
        <w:ind w:left="851" w:right="899"/>
        <w:jc w:val="both"/>
        <w:rPr>
          <w:rFonts w:ascii="Palatino Linotype" w:hAnsi="Palatino Linotype" w:cs="Arial"/>
          <w:i/>
          <w:sz w:val="22"/>
        </w:rPr>
      </w:pPr>
      <w:r w:rsidRPr="00760E81">
        <w:rPr>
          <w:rFonts w:ascii="Palatino Linotype" w:hAnsi="Palatino Linotype" w:cs="Arial"/>
          <w:i/>
          <w:sz w:val="22"/>
        </w:rPr>
        <w:t>IV. Notificará al órgano interno de control o equivalente del sujeto obligado quien, en su caso, deberá iniciar el procedimiento de responsabilidad administrativa que corresponda.</w:t>
      </w:r>
    </w:p>
    <w:p w14:paraId="24596823" w14:textId="77777777" w:rsidR="0094032A" w:rsidRPr="00760E81" w:rsidRDefault="0094032A" w:rsidP="0094032A">
      <w:pPr>
        <w:ind w:left="851" w:right="899"/>
        <w:jc w:val="both"/>
        <w:rPr>
          <w:rFonts w:ascii="Palatino Linotype" w:hAnsi="Palatino Linotype" w:cs="Arial"/>
          <w:i/>
          <w:sz w:val="22"/>
        </w:rPr>
      </w:pPr>
      <w:r w:rsidRPr="00760E81">
        <w:rPr>
          <w:rFonts w:ascii="Palatino Linotype" w:hAnsi="Palatino Linotype" w:cs="Arial"/>
          <w:i/>
          <w:sz w:val="22"/>
        </w:rPr>
        <w:t>La Unidad de Transparencia deberá notificarlo al solicitante por escrito, en un plazo que no exceda de quince días hábiles contados a partir del día siguiente a la presentación de la solicitud.</w:t>
      </w:r>
    </w:p>
    <w:p w14:paraId="14FCC103" w14:textId="77777777" w:rsidR="0094032A" w:rsidRDefault="0094032A" w:rsidP="0094032A">
      <w:pPr>
        <w:ind w:left="851" w:right="899"/>
        <w:jc w:val="both"/>
        <w:rPr>
          <w:rFonts w:ascii="Palatino Linotype" w:hAnsi="Palatino Linotype" w:cs="Arial"/>
          <w:i/>
          <w:sz w:val="22"/>
        </w:rPr>
      </w:pPr>
      <w:r w:rsidRPr="00760E81">
        <w:rPr>
          <w:rFonts w:ascii="Palatino Linotype" w:hAnsi="Palatino Linotype" w:cs="Arial"/>
          <w:i/>
          <w:sz w:val="22"/>
        </w:rPr>
        <w:t>Este plazo podrá ampliarse hasta por otros siete días hábiles, siempre que existan razones para ello, debiendo notificarse por escrito al solicitante.</w:t>
      </w:r>
    </w:p>
    <w:p w14:paraId="52FB9BD9" w14:textId="77777777" w:rsidR="00433C19" w:rsidRPr="00760E81" w:rsidRDefault="00433C19" w:rsidP="0094032A">
      <w:pPr>
        <w:ind w:left="851" w:right="899"/>
        <w:jc w:val="both"/>
        <w:rPr>
          <w:rFonts w:ascii="Palatino Linotype" w:hAnsi="Palatino Linotype" w:cs="Arial"/>
          <w:i/>
          <w:sz w:val="22"/>
        </w:rPr>
      </w:pPr>
    </w:p>
    <w:p w14:paraId="2F3F495E" w14:textId="3F854FB4" w:rsidR="0094032A" w:rsidRDefault="0094032A" w:rsidP="00433C19">
      <w:pPr>
        <w:ind w:left="851" w:right="902"/>
        <w:jc w:val="both"/>
        <w:rPr>
          <w:rFonts w:ascii="Palatino Linotype" w:hAnsi="Palatino Linotype"/>
          <w:color w:val="222222"/>
        </w:rPr>
      </w:pPr>
      <w:r w:rsidRPr="00433C19">
        <w:rPr>
          <w:rFonts w:ascii="Palatino Linotype" w:hAnsi="Palatino Linotype" w:cs="Arial"/>
          <w:b/>
          <w:i/>
          <w:sz w:val="22"/>
        </w:rPr>
        <w:t>Artículo 170</w:t>
      </w:r>
      <w:r w:rsidRPr="00760E81">
        <w:rPr>
          <w:rFonts w:ascii="Palatino Linotype" w:hAnsi="Palatino Linotype" w:cs="Arial"/>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6E6F52">
        <w:rPr>
          <w:rFonts w:ascii="Palatino Linotype" w:hAnsi="Palatino Linotype" w:cs="Arial"/>
          <w:i/>
        </w:rPr>
        <w:t>”</w:t>
      </w:r>
    </w:p>
    <w:p w14:paraId="1FDD498D" w14:textId="77777777" w:rsidR="006E6F52" w:rsidRPr="006E6F52" w:rsidRDefault="006E6F52" w:rsidP="008D0EB3">
      <w:pPr>
        <w:spacing w:before="100" w:beforeAutospacing="1" w:after="100" w:afterAutospacing="1" w:line="360" w:lineRule="auto"/>
        <w:jc w:val="both"/>
        <w:rPr>
          <w:rFonts w:ascii="Palatino Linotype" w:hAnsi="Palatino Linotype" w:cs="Arial"/>
        </w:rPr>
      </w:pPr>
      <w:r w:rsidRPr="006E6F52">
        <w:rPr>
          <w:rFonts w:ascii="Palatino Linotype" w:hAnsi="Palatino Linotype" w:cs="Arial"/>
        </w:rPr>
        <w:t>En tal caso, la declaratoria deberá realizarse conforme a lo dispuesto en el artículo 49 fracciones II y XIII de la Ley de Transparencia y Acceso a la Información Pública del Estado de México y Municipios, que establecen la forma en que los Sujetos Obligados deben dar curso a las Declaratorias de Inexistencia; preceptos que se transcriben a continuación:</w:t>
      </w:r>
    </w:p>
    <w:p w14:paraId="075B59A1" w14:textId="77777777" w:rsidR="006E6F52" w:rsidRPr="00760E81" w:rsidRDefault="006E6F52" w:rsidP="008D0EB3">
      <w:pPr>
        <w:ind w:left="851" w:right="902"/>
        <w:jc w:val="both"/>
        <w:rPr>
          <w:rFonts w:ascii="Palatino Linotype" w:hAnsi="Palatino Linotype" w:cs="Arial"/>
          <w:i/>
          <w:sz w:val="22"/>
        </w:rPr>
      </w:pPr>
      <w:r w:rsidRPr="00760E81">
        <w:rPr>
          <w:rFonts w:ascii="Palatino Linotype" w:hAnsi="Palatino Linotype" w:cs="Arial"/>
          <w:i/>
          <w:sz w:val="22"/>
        </w:rPr>
        <w:t>“</w:t>
      </w:r>
      <w:r w:rsidRPr="00AE50AA">
        <w:rPr>
          <w:rFonts w:ascii="Palatino Linotype" w:hAnsi="Palatino Linotype" w:cs="Arial"/>
          <w:b/>
          <w:i/>
          <w:sz w:val="22"/>
        </w:rPr>
        <w:t>Artículo 49</w:t>
      </w:r>
      <w:r w:rsidRPr="00760E81">
        <w:rPr>
          <w:rFonts w:ascii="Palatino Linotype" w:hAnsi="Palatino Linotype" w:cs="Arial"/>
          <w:i/>
          <w:sz w:val="22"/>
        </w:rPr>
        <w:t>. Los Comités de Transparencia tendrán las siguientes atribuciones:</w:t>
      </w:r>
    </w:p>
    <w:p w14:paraId="568A19D4" w14:textId="77777777" w:rsidR="006E6F52" w:rsidRPr="00760E81" w:rsidRDefault="006E6F52" w:rsidP="008D0EB3">
      <w:pPr>
        <w:ind w:left="851" w:right="902"/>
        <w:jc w:val="both"/>
        <w:rPr>
          <w:rFonts w:ascii="Palatino Linotype" w:hAnsi="Palatino Linotype" w:cs="Arial"/>
          <w:i/>
          <w:sz w:val="22"/>
        </w:rPr>
      </w:pPr>
      <w:r w:rsidRPr="00760E81">
        <w:rPr>
          <w:rFonts w:ascii="Palatino Linotype" w:hAnsi="Palatino Linotype" w:cs="Arial"/>
          <w:i/>
          <w:sz w:val="22"/>
        </w:rPr>
        <w:t>…</w:t>
      </w:r>
    </w:p>
    <w:p w14:paraId="0B0DB788" w14:textId="77777777" w:rsidR="006E6F52" w:rsidRPr="00760E81" w:rsidRDefault="006E6F52" w:rsidP="008D0EB3">
      <w:pPr>
        <w:ind w:left="851" w:right="902"/>
        <w:jc w:val="both"/>
        <w:rPr>
          <w:rFonts w:ascii="Palatino Linotype" w:hAnsi="Palatino Linotype" w:cs="Arial"/>
          <w:i/>
          <w:sz w:val="22"/>
        </w:rPr>
      </w:pPr>
      <w:r w:rsidRPr="00760E81">
        <w:rPr>
          <w:rFonts w:ascii="Palatino Linotype" w:hAnsi="Palatino Linotype" w:cs="Arial"/>
          <w:i/>
          <w:sz w:val="22"/>
        </w:rPr>
        <w:lastRenderedPageBreak/>
        <w:t>II. Confirmar, modificar o revocar las determinaciones que en materia de ampliación del plazo de respuesta, clasificación de la información y declaración de inexistencia o de incompetencia realicen los titulares de las áreas de los sujetos obligados;</w:t>
      </w:r>
    </w:p>
    <w:p w14:paraId="284683E5" w14:textId="77777777" w:rsidR="006E6F52" w:rsidRPr="00760E81" w:rsidRDefault="006E6F52" w:rsidP="008D0EB3">
      <w:pPr>
        <w:ind w:left="851" w:right="902"/>
        <w:jc w:val="both"/>
        <w:rPr>
          <w:rFonts w:ascii="Palatino Linotype" w:hAnsi="Palatino Linotype" w:cs="Arial"/>
          <w:i/>
          <w:sz w:val="22"/>
        </w:rPr>
      </w:pPr>
      <w:r w:rsidRPr="00760E81">
        <w:rPr>
          <w:rFonts w:ascii="Palatino Linotype" w:hAnsi="Palatino Linotype" w:cs="Arial"/>
          <w:i/>
          <w:sz w:val="22"/>
        </w:rPr>
        <w:t>…</w:t>
      </w:r>
    </w:p>
    <w:p w14:paraId="343EB777" w14:textId="77777777" w:rsidR="006E6F52" w:rsidRPr="006E6F52" w:rsidRDefault="006E6F52" w:rsidP="008D0EB3">
      <w:pPr>
        <w:ind w:left="851" w:right="902"/>
        <w:jc w:val="both"/>
        <w:rPr>
          <w:rFonts w:ascii="Palatino Linotype" w:hAnsi="Palatino Linotype" w:cs="Arial"/>
          <w:i/>
        </w:rPr>
      </w:pPr>
      <w:r w:rsidRPr="00760E81">
        <w:rPr>
          <w:rFonts w:ascii="Palatino Linotype" w:hAnsi="Palatino Linotype" w:cs="Arial"/>
          <w:i/>
          <w:sz w:val="22"/>
        </w:rPr>
        <w:t>XIII. Dictaminar las declaratorias de inexistencia de la información que les remitan las unidades administrativas y resolver en consecuencia;</w:t>
      </w:r>
    </w:p>
    <w:p w14:paraId="69080439" w14:textId="229DF968" w:rsidR="006E6F52" w:rsidRDefault="006E6F52" w:rsidP="008D0EB3">
      <w:pPr>
        <w:ind w:left="851" w:right="902"/>
        <w:jc w:val="both"/>
        <w:rPr>
          <w:rFonts w:ascii="Palatino Linotype" w:hAnsi="Palatino Linotype" w:cs="Arial"/>
        </w:rPr>
      </w:pPr>
      <w:r w:rsidRPr="006E6F52">
        <w:rPr>
          <w:rFonts w:ascii="Palatino Linotype" w:hAnsi="Palatino Linotype" w:cs="Arial"/>
          <w:i/>
        </w:rPr>
        <w:t>…”</w:t>
      </w:r>
    </w:p>
    <w:p w14:paraId="6EF9E419" w14:textId="50FA7E62" w:rsidR="00ED762B" w:rsidRDefault="003E3276" w:rsidP="008D0EB3">
      <w:pPr>
        <w:spacing w:before="100" w:beforeAutospacing="1" w:after="100" w:afterAutospacing="1" w:line="360" w:lineRule="auto"/>
        <w:jc w:val="both"/>
        <w:rPr>
          <w:rFonts w:ascii="Palatino Linotype" w:hAnsi="Palatino Linotype" w:cs="Arial"/>
        </w:rPr>
      </w:pPr>
      <w:r>
        <w:rPr>
          <w:rFonts w:ascii="Palatino Linotype" w:hAnsi="Palatino Linotype" w:cs="Arial"/>
        </w:rPr>
        <w:t>En conclusión,</w:t>
      </w:r>
      <w:r w:rsidR="00ED762B" w:rsidRPr="00E14680">
        <w:rPr>
          <w:rFonts w:ascii="Palatino Linotype" w:hAnsi="Palatino Linotype" w:cs="Arial"/>
        </w:rPr>
        <w:t xml:space="preserve"> la que suscribe emite </w:t>
      </w:r>
      <w:r w:rsidR="00ED762B" w:rsidRPr="00E14680">
        <w:rPr>
          <w:rFonts w:ascii="Palatino Linotype" w:hAnsi="Palatino Linotype" w:cs="Arial"/>
          <w:b/>
        </w:rPr>
        <w:t>VOTO PARTICULAR</w:t>
      </w:r>
      <w:r w:rsidR="00550D29">
        <w:rPr>
          <w:rFonts w:ascii="Palatino Linotype" w:hAnsi="Palatino Linotype" w:cs="Arial"/>
        </w:rPr>
        <w:t>, pues se insiste que</w:t>
      </w:r>
      <w:r w:rsidR="00ED762B" w:rsidRPr="00E14680">
        <w:rPr>
          <w:rFonts w:ascii="Palatino Linotype" w:hAnsi="Palatino Linotype" w:cs="Arial"/>
        </w:rPr>
        <w:t xml:space="preserve"> </w:t>
      </w:r>
      <w:r w:rsidR="00433C19" w:rsidRPr="00433C19">
        <w:rPr>
          <w:rFonts w:ascii="Palatino Linotype" w:hAnsi="Palatino Linotype" w:cs="Arial"/>
        </w:rPr>
        <w:t>el Sujeto Obligado</w:t>
      </w:r>
      <w:r w:rsidR="00433C19">
        <w:rPr>
          <w:rFonts w:ascii="Palatino Linotype" w:hAnsi="Palatino Linotype" w:cs="Arial"/>
        </w:rPr>
        <w:t xml:space="preserve"> </w:t>
      </w:r>
      <w:r w:rsidR="008D0EB3">
        <w:rPr>
          <w:rFonts w:ascii="Palatino Linotype" w:hAnsi="Palatino Linotype" w:cs="Arial"/>
        </w:rPr>
        <w:t xml:space="preserve">ya asumió contar </w:t>
      </w:r>
      <w:r w:rsidR="00ED762B">
        <w:rPr>
          <w:rFonts w:ascii="Palatino Linotype" w:hAnsi="Palatino Linotype" w:cs="Arial"/>
        </w:rPr>
        <w:t>con la información; por ello, lo procedente era</w:t>
      </w:r>
      <w:r w:rsidR="00ED762B" w:rsidRPr="00E14680">
        <w:rPr>
          <w:rFonts w:ascii="Palatino Linotype" w:hAnsi="Palatino Linotype" w:cs="Arial"/>
        </w:rPr>
        <w:t xml:space="preserve"> </w:t>
      </w:r>
      <w:r w:rsidR="00550D29">
        <w:rPr>
          <w:rFonts w:ascii="Palatino Linotype" w:hAnsi="Palatino Linotype" w:cs="Arial"/>
        </w:rPr>
        <w:t xml:space="preserve">ordenar la entrega </w:t>
      </w:r>
      <w:r w:rsidR="00433C19">
        <w:rPr>
          <w:rFonts w:ascii="Palatino Linotype" w:hAnsi="Palatino Linotype" w:cs="Arial"/>
        </w:rPr>
        <w:t xml:space="preserve">de la información y para el caso de que esta ya no obrara en los archivos del </w:t>
      </w:r>
      <w:r w:rsidR="00433C19" w:rsidRPr="00433C19">
        <w:rPr>
          <w:rFonts w:ascii="Palatino Linotype" w:hAnsi="Palatino Linotype" w:cs="Arial"/>
          <w:b/>
        </w:rPr>
        <w:t>SUJETO OBLIGADO</w:t>
      </w:r>
      <w:r w:rsidR="00433C19">
        <w:rPr>
          <w:rFonts w:ascii="Palatino Linotype" w:hAnsi="Palatino Linotype" w:cs="Arial"/>
        </w:rPr>
        <w:t xml:space="preserve"> era emitir </w:t>
      </w:r>
      <w:r w:rsidR="00ED762B" w:rsidRPr="00E14680">
        <w:rPr>
          <w:rFonts w:ascii="Palatino Linotype" w:hAnsi="Palatino Linotype" w:cs="Arial"/>
        </w:rPr>
        <w:t>el Acuerdo de Inexistencia</w:t>
      </w:r>
      <w:r w:rsidR="00ED762B">
        <w:rPr>
          <w:rFonts w:ascii="Palatino Linotype" w:hAnsi="Palatino Linotype" w:cs="Arial"/>
        </w:rPr>
        <w:t>.</w:t>
      </w:r>
    </w:p>
    <w:p w14:paraId="1996B94A" w14:textId="77777777" w:rsidR="00433C19" w:rsidRDefault="00433C19" w:rsidP="008D0EB3">
      <w:pPr>
        <w:spacing w:before="100" w:beforeAutospacing="1" w:after="100" w:afterAutospacing="1" w:line="360" w:lineRule="auto"/>
        <w:jc w:val="both"/>
        <w:rPr>
          <w:rFonts w:ascii="Palatino Linotype" w:hAnsi="Palatino Linotype" w:cs="Arial"/>
        </w:rPr>
      </w:pPr>
    </w:p>
    <w:tbl>
      <w:tblPr>
        <w:tblW w:w="4342" w:type="dxa"/>
        <w:jc w:val="center"/>
        <w:tblLayout w:type="fixed"/>
        <w:tblLook w:val="04A0" w:firstRow="1" w:lastRow="0" w:firstColumn="1" w:lastColumn="0" w:noHBand="0" w:noVBand="1"/>
      </w:tblPr>
      <w:tblGrid>
        <w:gridCol w:w="4342"/>
      </w:tblGrid>
      <w:tr w:rsidR="00715E28" w:rsidRPr="00BE15AA" w14:paraId="47BF8B25" w14:textId="77777777" w:rsidTr="00AD3261">
        <w:trPr>
          <w:trHeight w:val="1086"/>
          <w:jc w:val="center"/>
        </w:trPr>
        <w:tc>
          <w:tcPr>
            <w:tcW w:w="4342" w:type="dxa"/>
          </w:tcPr>
          <w:p w14:paraId="701B549E" w14:textId="77777777" w:rsidR="00760E81" w:rsidRDefault="00760E81" w:rsidP="008D0EB3">
            <w:pPr>
              <w:spacing w:before="100" w:beforeAutospacing="1" w:after="100" w:afterAutospacing="1" w:line="360" w:lineRule="auto"/>
              <w:ind w:right="49"/>
              <w:jc w:val="center"/>
              <w:rPr>
                <w:rFonts w:ascii="Palatino Linotype" w:hAnsi="Palatino Linotype"/>
                <w:b/>
              </w:rPr>
            </w:pPr>
          </w:p>
          <w:p w14:paraId="0BE0575A" w14:textId="77777777" w:rsidR="00DC07EB" w:rsidRDefault="00DC07EB" w:rsidP="008D0EB3">
            <w:pPr>
              <w:spacing w:before="100" w:beforeAutospacing="1" w:after="100" w:afterAutospacing="1" w:line="360" w:lineRule="auto"/>
              <w:ind w:right="49"/>
              <w:jc w:val="center"/>
              <w:rPr>
                <w:rFonts w:ascii="Palatino Linotype" w:hAnsi="Palatino Linotype"/>
                <w:b/>
              </w:rPr>
            </w:pPr>
          </w:p>
          <w:p w14:paraId="0533A529" w14:textId="77777777" w:rsidR="00433C19" w:rsidRDefault="00433C19" w:rsidP="008D0EB3">
            <w:pPr>
              <w:spacing w:before="100" w:beforeAutospacing="1" w:after="100" w:afterAutospacing="1" w:line="360" w:lineRule="auto"/>
              <w:ind w:right="49"/>
              <w:jc w:val="center"/>
              <w:rPr>
                <w:rFonts w:ascii="Palatino Linotype" w:hAnsi="Palatino Linotype"/>
                <w:b/>
              </w:rPr>
            </w:pPr>
          </w:p>
          <w:p w14:paraId="596882A5" w14:textId="77777777" w:rsidR="00715E28" w:rsidRPr="00BE15AA" w:rsidRDefault="00715E28" w:rsidP="008D0EB3">
            <w:pPr>
              <w:ind w:right="51"/>
              <w:jc w:val="center"/>
              <w:rPr>
                <w:rFonts w:ascii="Palatino Linotype" w:hAnsi="Palatino Linotype"/>
                <w:b/>
              </w:rPr>
            </w:pPr>
            <w:r w:rsidRPr="00BE15AA">
              <w:rPr>
                <w:rFonts w:ascii="Palatino Linotype" w:hAnsi="Palatino Linotype"/>
                <w:b/>
              </w:rPr>
              <w:t xml:space="preserve">EVA ABAID YAPUR </w:t>
            </w:r>
          </w:p>
          <w:p w14:paraId="70268730" w14:textId="77777777" w:rsidR="00C70664" w:rsidRDefault="00715E28" w:rsidP="00DC07EB">
            <w:pPr>
              <w:ind w:right="51"/>
              <w:jc w:val="center"/>
              <w:rPr>
                <w:rFonts w:ascii="Palatino Linotype" w:hAnsi="Palatino Linotype"/>
                <w:b/>
              </w:rPr>
            </w:pPr>
            <w:r w:rsidRPr="00BE15AA">
              <w:rPr>
                <w:rFonts w:ascii="Palatino Linotype" w:hAnsi="Palatino Linotype"/>
                <w:b/>
              </w:rPr>
              <w:t>COMISIONADA</w:t>
            </w:r>
          </w:p>
          <w:p w14:paraId="5DCACA4B" w14:textId="111D2DF5" w:rsidR="00486E36" w:rsidRPr="00BE15AA" w:rsidRDefault="00486E36" w:rsidP="00DC07EB">
            <w:pPr>
              <w:ind w:right="51"/>
              <w:jc w:val="center"/>
              <w:rPr>
                <w:rFonts w:ascii="Palatino Linotype" w:hAnsi="Palatino Linotype"/>
                <w:b/>
              </w:rPr>
            </w:pPr>
            <w:r>
              <w:rPr>
                <w:rFonts w:ascii="Palatino Linotype" w:hAnsi="Palatino Linotype"/>
                <w:b/>
              </w:rPr>
              <w:t>(RÚBRICA)</w:t>
            </w:r>
          </w:p>
        </w:tc>
      </w:tr>
    </w:tbl>
    <w:p w14:paraId="35CAE97D" w14:textId="77777777" w:rsidR="00DC07EB" w:rsidRDefault="00DC07EB" w:rsidP="008D0EB3">
      <w:pPr>
        <w:ind w:right="51"/>
        <w:jc w:val="both"/>
        <w:rPr>
          <w:rFonts w:ascii="Palatino Linotype" w:eastAsia="Calibri" w:hAnsi="Palatino Linotype" w:cs="Arial"/>
          <w:color w:val="000000" w:themeColor="text1"/>
          <w:sz w:val="20"/>
        </w:rPr>
      </w:pPr>
    </w:p>
    <w:p w14:paraId="446C3E12" w14:textId="77777777" w:rsidR="00DC07EB" w:rsidRDefault="00DC07EB" w:rsidP="008D0EB3">
      <w:pPr>
        <w:ind w:right="51"/>
        <w:jc w:val="both"/>
        <w:rPr>
          <w:rFonts w:ascii="Palatino Linotype" w:eastAsia="Calibri" w:hAnsi="Palatino Linotype" w:cs="Arial"/>
          <w:color w:val="000000" w:themeColor="text1"/>
          <w:sz w:val="20"/>
        </w:rPr>
      </w:pPr>
    </w:p>
    <w:p w14:paraId="07961454" w14:textId="77777777" w:rsidR="00DC07EB" w:rsidRDefault="00DC07EB" w:rsidP="008D0EB3">
      <w:pPr>
        <w:ind w:right="51"/>
        <w:jc w:val="both"/>
        <w:rPr>
          <w:rFonts w:ascii="Palatino Linotype" w:eastAsia="Calibri" w:hAnsi="Palatino Linotype" w:cs="Arial"/>
          <w:color w:val="000000" w:themeColor="text1"/>
          <w:sz w:val="20"/>
        </w:rPr>
      </w:pPr>
    </w:p>
    <w:p w14:paraId="1A49D380" w14:textId="50611729" w:rsidR="00715E28" w:rsidRDefault="00715E28" w:rsidP="008D0EB3">
      <w:pPr>
        <w:ind w:right="51"/>
        <w:jc w:val="both"/>
        <w:rPr>
          <w:rFonts w:ascii="Palatino Linotype" w:eastAsia="Calibri" w:hAnsi="Palatino Linotype" w:cs="Arial"/>
          <w:color w:val="000000" w:themeColor="text1"/>
          <w:sz w:val="20"/>
        </w:rPr>
      </w:pPr>
      <w:r w:rsidRPr="00164BF0">
        <w:rPr>
          <w:rFonts w:ascii="Palatino Linotype" w:eastAsia="Calibri" w:hAnsi="Palatino Linotype" w:cs="Arial"/>
          <w:color w:val="000000" w:themeColor="text1"/>
          <w:sz w:val="20"/>
        </w:rPr>
        <w:t xml:space="preserve">Esta hoja corresponde al </w:t>
      </w:r>
      <w:r w:rsidR="00F73859" w:rsidRPr="00164BF0">
        <w:rPr>
          <w:rFonts w:ascii="Palatino Linotype" w:eastAsia="Calibri" w:hAnsi="Palatino Linotype" w:cs="Arial"/>
          <w:color w:val="000000" w:themeColor="text1"/>
          <w:sz w:val="20"/>
        </w:rPr>
        <w:t xml:space="preserve">voto particular </w:t>
      </w:r>
      <w:r w:rsidRPr="00164BF0">
        <w:rPr>
          <w:rFonts w:ascii="Palatino Linotype" w:eastAsia="Calibri" w:hAnsi="Palatino Linotype" w:cs="Arial"/>
          <w:color w:val="000000" w:themeColor="text1"/>
          <w:sz w:val="20"/>
        </w:rPr>
        <w:t>emitido en la resolución de</w:t>
      </w:r>
      <w:r w:rsidR="0097426F">
        <w:rPr>
          <w:rFonts w:ascii="Palatino Linotype" w:eastAsia="Calibri" w:hAnsi="Palatino Linotype" w:cs="Arial"/>
          <w:color w:val="000000" w:themeColor="text1"/>
          <w:sz w:val="20"/>
        </w:rPr>
        <w:t xml:space="preserve"> </w:t>
      </w:r>
      <w:r w:rsidRPr="00164BF0">
        <w:rPr>
          <w:rFonts w:ascii="Palatino Linotype" w:eastAsia="Calibri" w:hAnsi="Palatino Linotype" w:cs="Arial"/>
          <w:color w:val="000000" w:themeColor="text1"/>
          <w:sz w:val="20"/>
        </w:rPr>
        <w:t>l</w:t>
      </w:r>
      <w:r w:rsidR="0097426F">
        <w:rPr>
          <w:rFonts w:ascii="Palatino Linotype" w:eastAsia="Calibri" w:hAnsi="Palatino Linotype" w:cs="Arial"/>
          <w:color w:val="000000" w:themeColor="text1"/>
          <w:sz w:val="20"/>
        </w:rPr>
        <w:t>os</w:t>
      </w:r>
      <w:r w:rsidRPr="00164BF0">
        <w:rPr>
          <w:rFonts w:ascii="Palatino Linotype" w:eastAsia="Calibri" w:hAnsi="Palatino Linotype" w:cs="Arial"/>
          <w:color w:val="000000" w:themeColor="text1"/>
          <w:sz w:val="20"/>
        </w:rPr>
        <w:t xml:space="preserve"> </w:t>
      </w:r>
      <w:r w:rsidR="0097426F">
        <w:rPr>
          <w:rFonts w:ascii="Palatino Linotype" w:eastAsia="Calibri" w:hAnsi="Palatino Linotype" w:cs="Arial"/>
          <w:color w:val="000000" w:themeColor="text1"/>
          <w:sz w:val="20"/>
        </w:rPr>
        <w:t>r</w:t>
      </w:r>
      <w:r w:rsidR="00C70664" w:rsidRPr="00164BF0">
        <w:rPr>
          <w:rFonts w:ascii="Palatino Linotype" w:eastAsia="Calibri" w:hAnsi="Palatino Linotype" w:cs="Arial"/>
          <w:color w:val="000000" w:themeColor="text1"/>
          <w:sz w:val="20"/>
        </w:rPr>
        <w:t>ecurso</w:t>
      </w:r>
      <w:r w:rsidR="0097426F">
        <w:rPr>
          <w:rFonts w:ascii="Palatino Linotype" w:eastAsia="Calibri" w:hAnsi="Palatino Linotype" w:cs="Arial"/>
          <w:color w:val="000000" w:themeColor="text1"/>
          <w:sz w:val="20"/>
        </w:rPr>
        <w:t>s</w:t>
      </w:r>
      <w:r w:rsidR="00C70664" w:rsidRPr="00164BF0">
        <w:rPr>
          <w:rFonts w:ascii="Palatino Linotype" w:eastAsia="Calibri" w:hAnsi="Palatino Linotype" w:cs="Arial"/>
          <w:color w:val="000000" w:themeColor="text1"/>
          <w:sz w:val="20"/>
        </w:rPr>
        <w:t xml:space="preserve"> </w:t>
      </w:r>
      <w:r w:rsidRPr="00164BF0">
        <w:rPr>
          <w:rFonts w:ascii="Palatino Linotype" w:eastAsia="Calibri" w:hAnsi="Palatino Linotype" w:cs="Arial"/>
          <w:color w:val="000000" w:themeColor="text1"/>
          <w:sz w:val="20"/>
        </w:rPr>
        <w:t xml:space="preserve">de </w:t>
      </w:r>
      <w:r w:rsidR="0097426F">
        <w:rPr>
          <w:rFonts w:ascii="Palatino Linotype" w:eastAsia="Calibri" w:hAnsi="Palatino Linotype" w:cs="Arial"/>
          <w:color w:val="000000" w:themeColor="text1"/>
          <w:sz w:val="20"/>
        </w:rPr>
        <w:t>r</w:t>
      </w:r>
      <w:r w:rsidR="00C70664" w:rsidRPr="00164BF0">
        <w:rPr>
          <w:rFonts w:ascii="Palatino Linotype" w:eastAsia="Calibri" w:hAnsi="Palatino Linotype" w:cs="Arial"/>
          <w:color w:val="000000" w:themeColor="text1"/>
          <w:sz w:val="20"/>
        </w:rPr>
        <w:t xml:space="preserve">evisión </w:t>
      </w:r>
      <w:r w:rsidRPr="00164BF0">
        <w:rPr>
          <w:rFonts w:ascii="Palatino Linotype" w:eastAsia="Calibri" w:hAnsi="Palatino Linotype" w:cs="Arial"/>
          <w:color w:val="000000" w:themeColor="text1"/>
          <w:sz w:val="20"/>
        </w:rPr>
        <w:t>0</w:t>
      </w:r>
      <w:r w:rsidR="008D0EB3">
        <w:rPr>
          <w:rFonts w:ascii="Palatino Linotype" w:eastAsia="Calibri" w:hAnsi="Palatino Linotype" w:cs="Arial"/>
          <w:color w:val="000000" w:themeColor="text1"/>
          <w:sz w:val="20"/>
        </w:rPr>
        <w:t>5409</w:t>
      </w:r>
      <w:r w:rsidRPr="00164BF0">
        <w:rPr>
          <w:rFonts w:ascii="Palatino Linotype" w:eastAsia="Calibri" w:hAnsi="Palatino Linotype" w:cs="Arial"/>
          <w:color w:val="000000" w:themeColor="text1"/>
          <w:sz w:val="20"/>
        </w:rPr>
        <w:t>/INFOEM/IP/RR/2019</w:t>
      </w:r>
      <w:r w:rsidR="008B2A15">
        <w:rPr>
          <w:rFonts w:ascii="Palatino Linotype" w:eastAsia="Calibri" w:hAnsi="Palatino Linotype" w:cs="Arial"/>
          <w:color w:val="000000" w:themeColor="text1"/>
          <w:sz w:val="20"/>
        </w:rPr>
        <w:t xml:space="preserve"> y acumulados</w:t>
      </w:r>
      <w:r w:rsidRPr="00164BF0">
        <w:rPr>
          <w:rFonts w:ascii="Palatino Linotype" w:eastAsia="Calibri" w:hAnsi="Palatino Linotype" w:cs="Arial"/>
          <w:color w:val="000000" w:themeColor="text1"/>
          <w:sz w:val="20"/>
        </w:rPr>
        <w:t xml:space="preserve">, aprobada el </w:t>
      </w:r>
      <w:r w:rsidR="008D0EB3">
        <w:rPr>
          <w:rFonts w:ascii="Palatino Linotype" w:eastAsia="Calibri" w:hAnsi="Palatino Linotype" w:cs="Arial"/>
          <w:color w:val="000000" w:themeColor="text1"/>
          <w:sz w:val="20"/>
        </w:rPr>
        <w:t xml:space="preserve">diecinueve </w:t>
      </w:r>
      <w:r w:rsidR="00C70664">
        <w:rPr>
          <w:rFonts w:ascii="Palatino Linotype" w:eastAsia="Calibri" w:hAnsi="Palatino Linotype" w:cs="Arial"/>
          <w:color w:val="000000" w:themeColor="text1"/>
          <w:sz w:val="20"/>
        </w:rPr>
        <w:t xml:space="preserve">de </w:t>
      </w:r>
      <w:r w:rsidR="0097426F">
        <w:rPr>
          <w:rFonts w:ascii="Palatino Linotype" w:eastAsia="Calibri" w:hAnsi="Palatino Linotype" w:cs="Arial"/>
          <w:color w:val="000000" w:themeColor="text1"/>
          <w:sz w:val="20"/>
        </w:rPr>
        <w:t xml:space="preserve">septiembre </w:t>
      </w:r>
      <w:r w:rsidRPr="00164BF0">
        <w:rPr>
          <w:rFonts w:ascii="Palatino Linotype" w:eastAsia="Calibri" w:hAnsi="Palatino Linotype" w:cs="Arial"/>
          <w:color w:val="000000" w:themeColor="text1"/>
          <w:sz w:val="20"/>
        </w:rPr>
        <w:t xml:space="preserve">de dos mil diecinueve. </w:t>
      </w:r>
    </w:p>
    <w:p w14:paraId="2E093729" w14:textId="77777777" w:rsidR="00164BF0" w:rsidRPr="00164BF0" w:rsidRDefault="00164BF0" w:rsidP="008D0EB3">
      <w:pPr>
        <w:ind w:right="51"/>
        <w:jc w:val="both"/>
        <w:rPr>
          <w:rFonts w:ascii="Palatino Linotype" w:eastAsia="Calibri" w:hAnsi="Palatino Linotype" w:cs="Arial"/>
          <w:color w:val="000000" w:themeColor="text1"/>
          <w:sz w:val="8"/>
          <w:szCs w:val="8"/>
        </w:rPr>
      </w:pPr>
    </w:p>
    <w:p w14:paraId="71833671" w14:textId="6B783A75" w:rsidR="00164BF0" w:rsidRPr="00164BF0" w:rsidRDefault="00C70664" w:rsidP="008D0EB3">
      <w:pPr>
        <w:ind w:right="51"/>
        <w:jc w:val="both"/>
        <w:rPr>
          <w:rFonts w:ascii="Palatino Linotype" w:hAnsi="Palatino Linotype"/>
          <w:sz w:val="20"/>
        </w:rPr>
      </w:pPr>
      <w:r>
        <w:rPr>
          <w:rFonts w:ascii="Palatino Linotype" w:eastAsia="Calibri" w:hAnsi="Palatino Linotype" w:cs="Arial"/>
          <w:color w:val="000000" w:themeColor="text1"/>
          <w:sz w:val="20"/>
        </w:rPr>
        <w:t>YSM/</w:t>
      </w:r>
      <w:r w:rsidR="0097426F">
        <w:rPr>
          <w:rFonts w:ascii="Palatino Linotype" w:eastAsia="Calibri" w:hAnsi="Palatino Linotype" w:cs="Arial"/>
          <w:color w:val="000000" w:themeColor="text1"/>
          <w:sz w:val="20"/>
        </w:rPr>
        <w:t>ATU/</w:t>
      </w:r>
      <w:r>
        <w:rPr>
          <w:rFonts w:ascii="Palatino Linotype" w:eastAsia="Calibri" w:hAnsi="Palatino Linotype" w:cs="Arial"/>
          <w:color w:val="000000" w:themeColor="text1"/>
          <w:sz w:val="20"/>
        </w:rPr>
        <w:t>IAHA</w:t>
      </w:r>
      <w:bookmarkStart w:id="0" w:name="_GoBack"/>
      <w:bookmarkEnd w:id="0"/>
    </w:p>
    <w:sectPr w:rsidR="00164BF0" w:rsidRPr="00164BF0" w:rsidSect="00806C7D">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77647" w14:textId="77777777" w:rsidR="00921803" w:rsidRDefault="00921803" w:rsidP="00C80F8C">
      <w:r>
        <w:separator/>
      </w:r>
    </w:p>
  </w:endnote>
  <w:endnote w:type="continuationSeparator" w:id="0">
    <w:p w14:paraId="7897C0ED" w14:textId="77777777" w:rsidR="00921803" w:rsidRDefault="0092180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021C2">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021C2">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3EEC0" w14:textId="77777777" w:rsidR="00921803" w:rsidRDefault="00921803" w:rsidP="00C80F8C">
      <w:r>
        <w:separator/>
      </w:r>
    </w:p>
  </w:footnote>
  <w:footnote w:type="continuationSeparator" w:id="0">
    <w:p w14:paraId="549D1AD3" w14:textId="77777777" w:rsidR="00921803" w:rsidRDefault="0092180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4021C2">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400451D5" w:rsidR="0034309A" w:rsidRDefault="0034309A" w:rsidP="00806C7D">
    <w:pPr>
      <w:pStyle w:val="Encabezado"/>
      <w:tabs>
        <w:tab w:val="clear" w:pos="4252"/>
        <w:tab w:val="clear" w:pos="8504"/>
        <w:tab w:val="left" w:pos="2326"/>
      </w:tabs>
      <w:ind w:right="190"/>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70CB262E" w:rsidR="0034309A" w:rsidRDefault="0034309A" w:rsidP="0034309A">
    <w:pPr>
      <w:pStyle w:val="Encabezado"/>
      <w:tabs>
        <w:tab w:val="clear" w:pos="4252"/>
        <w:tab w:val="clear" w:pos="8504"/>
        <w:tab w:val="left" w:pos="2326"/>
      </w:tabs>
      <w:jc w:val="right"/>
      <w:rPr>
        <w:rFonts w:ascii="Palatino Linotype" w:hAnsi="Palatino Linotype"/>
      </w:rPr>
    </w:pPr>
  </w:p>
  <w:p w14:paraId="71104997" w14:textId="3211301F" w:rsidR="00634485" w:rsidRDefault="00B46721" w:rsidP="00806C7D">
    <w:pPr>
      <w:pStyle w:val="Encabezado"/>
      <w:tabs>
        <w:tab w:val="clear" w:pos="4252"/>
        <w:tab w:val="clear" w:pos="8504"/>
        <w:tab w:val="left" w:pos="2326"/>
      </w:tabs>
      <w:ind w:right="49"/>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5605195D" w14:textId="6E229A78" w:rsidR="00EB7480" w:rsidRDefault="00B46721" w:rsidP="002749AF">
    <w:pPr>
      <w:pStyle w:val="Encabezado"/>
      <w:tabs>
        <w:tab w:val="clear" w:pos="4252"/>
        <w:tab w:val="clear" w:pos="8504"/>
        <w:tab w:val="left" w:pos="2326"/>
      </w:tabs>
      <w:ind w:right="49"/>
      <w:jc w:val="right"/>
      <w:rPr>
        <w:rFonts w:ascii="Palatino Linotype" w:hAnsi="Palatino Linotype" w:cs="Arial"/>
        <w:sz w:val="20"/>
        <w:szCs w:val="20"/>
      </w:rPr>
    </w:pPr>
    <w:r w:rsidRPr="00706042">
      <w:rPr>
        <w:rFonts w:ascii="Palatino Linotype" w:hAnsi="Palatino Linotype" w:cs="Arial"/>
        <w:sz w:val="20"/>
        <w:szCs w:val="20"/>
      </w:rPr>
      <w:t>RECURSO</w:t>
    </w:r>
    <w:r w:rsidR="00FA12BC">
      <w:rPr>
        <w:rFonts w:ascii="Palatino Linotype" w:hAnsi="Palatino Linotype" w:cs="Arial"/>
        <w:sz w:val="20"/>
        <w:szCs w:val="20"/>
      </w:rPr>
      <w:t>S</w:t>
    </w:r>
    <w:r w:rsidRPr="00706042">
      <w:rPr>
        <w:rFonts w:ascii="Palatino Linotype" w:hAnsi="Palatino Linotype" w:cs="Arial"/>
        <w:sz w:val="20"/>
        <w:szCs w:val="20"/>
      </w:rPr>
      <w:t xml:space="preserve"> DE REVISIÓN </w:t>
    </w:r>
    <w:r>
      <w:rPr>
        <w:rFonts w:ascii="Palatino Linotype" w:hAnsi="Palatino Linotype" w:cs="Arial"/>
        <w:sz w:val="20"/>
        <w:szCs w:val="20"/>
      </w:rPr>
      <w:t>0</w:t>
    </w:r>
    <w:r w:rsidR="00FB109D">
      <w:rPr>
        <w:rFonts w:ascii="Palatino Linotype" w:hAnsi="Palatino Linotype" w:cs="Arial"/>
        <w:sz w:val="20"/>
        <w:szCs w:val="20"/>
      </w:rPr>
      <w:t>5409</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9 Y</w:t>
    </w:r>
  </w:p>
  <w:p w14:paraId="333995A2" w14:textId="408CD0B9" w:rsidR="0030072F" w:rsidRDefault="004021C2" w:rsidP="002749AF">
    <w:pPr>
      <w:pStyle w:val="Encabezado"/>
      <w:tabs>
        <w:tab w:val="clear" w:pos="4252"/>
        <w:tab w:val="clear" w:pos="8504"/>
        <w:tab w:val="left" w:pos="2326"/>
      </w:tabs>
      <w:spacing w:after="240"/>
      <w:ind w:right="49"/>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95.75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r w:rsidR="00FA12BC">
      <w:rPr>
        <w:rFonts w:ascii="Palatino Linotype" w:hAnsi="Palatino Linotype" w:cs="Arial"/>
        <w:sz w:val="20"/>
        <w:szCs w:val="20"/>
      </w:rPr>
      <w:t xml:space="preserve"> </w:t>
    </w:r>
    <w:r w:rsidR="00806C7D">
      <w:rPr>
        <w:rFonts w:ascii="Palatino Linotype" w:hAnsi="Palatino Linotype" w:cs="Arial"/>
        <w:sz w:val="20"/>
        <w:szCs w:val="20"/>
      </w:rPr>
      <w:t>ACUMULADOS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4021C2">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EE6D2A"/>
    <w:multiLevelType w:val="hybridMultilevel"/>
    <w:tmpl w:val="28DE2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A0260F"/>
    <w:multiLevelType w:val="hybridMultilevel"/>
    <w:tmpl w:val="B798BF92"/>
    <w:lvl w:ilvl="0" w:tplc="D9ECBF96">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896E44"/>
    <w:multiLevelType w:val="hybridMultilevel"/>
    <w:tmpl w:val="D4AE8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5151A8"/>
    <w:multiLevelType w:val="hybridMultilevel"/>
    <w:tmpl w:val="CC6A7C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681C8D"/>
    <w:multiLevelType w:val="hybridMultilevel"/>
    <w:tmpl w:val="863C4AE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331F6D2F"/>
    <w:multiLevelType w:val="hybridMultilevel"/>
    <w:tmpl w:val="098E0118"/>
    <w:lvl w:ilvl="0" w:tplc="2FBA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42C07FBC"/>
    <w:multiLevelType w:val="hybridMultilevel"/>
    <w:tmpl w:val="CB0E80BE"/>
    <w:lvl w:ilvl="0" w:tplc="66C8927A">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442170DF"/>
    <w:multiLevelType w:val="hybridMultilevel"/>
    <w:tmpl w:val="B944E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A00210"/>
    <w:multiLevelType w:val="hybridMultilevel"/>
    <w:tmpl w:val="BE647E2E"/>
    <w:lvl w:ilvl="0" w:tplc="92F89BB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461B39FE"/>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5A9E1F68"/>
    <w:multiLevelType w:val="hybridMultilevel"/>
    <w:tmpl w:val="51C089DA"/>
    <w:lvl w:ilvl="0" w:tplc="6CB61D2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FE7647"/>
    <w:multiLevelType w:val="hybridMultilevel"/>
    <w:tmpl w:val="1EAAB2CE"/>
    <w:lvl w:ilvl="0" w:tplc="5A003678">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7631184D"/>
    <w:multiLevelType w:val="hybridMultilevel"/>
    <w:tmpl w:val="B6CA08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0" w15:restartNumberingAfterBreak="0">
    <w:nsid w:val="7F9428F3"/>
    <w:multiLevelType w:val="hybridMultilevel"/>
    <w:tmpl w:val="EC120EAC"/>
    <w:lvl w:ilvl="0" w:tplc="E4F8878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3"/>
  </w:num>
  <w:num w:numId="2">
    <w:abstractNumId w:val="2"/>
  </w:num>
  <w:num w:numId="3">
    <w:abstractNumId w:val="9"/>
  </w:num>
  <w:num w:numId="4">
    <w:abstractNumId w:val="0"/>
  </w:num>
  <w:num w:numId="5">
    <w:abstractNumId w:val="16"/>
  </w:num>
  <w:num w:numId="6">
    <w:abstractNumId w:val="14"/>
  </w:num>
  <w:num w:numId="7">
    <w:abstractNumId w:val="19"/>
  </w:num>
  <w:num w:numId="8">
    <w:abstractNumId w:val="20"/>
  </w:num>
  <w:num w:numId="9">
    <w:abstractNumId w:val="17"/>
  </w:num>
  <w:num w:numId="10">
    <w:abstractNumId w:val="1"/>
  </w:num>
  <w:num w:numId="11">
    <w:abstractNumId w:val="11"/>
  </w:num>
  <w:num w:numId="12">
    <w:abstractNumId w:val="5"/>
  </w:num>
  <w:num w:numId="13">
    <w:abstractNumId w:val="12"/>
  </w:num>
  <w:num w:numId="14">
    <w:abstractNumId w:val="18"/>
  </w:num>
  <w:num w:numId="15">
    <w:abstractNumId w:val="6"/>
  </w:num>
  <w:num w:numId="16">
    <w:abstractNumId w:val="15"/>
  </w:num>
  <w:num w:numId="17">
    <w:abstractNumId w:val="13"/>
  </w:num>
  <w:num w:numId="18">
    <w:abstractNumId w:val="4"/>
  </w:num>
  <w:num w:numId="19">
    <w:abstractNumId w:val="8"/>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27B69"/>
    <w:rsid w:val="000412FB"/>
    <w:rsid w:val="00055107"/>
    <w:rsid w:val="0006079D"/>
    <w:rsid w:val="000620AD"/>
    <w:rsid w:val="0007653D"/>
    <w:rsid w:val="00080A1C"/>
    <w:rsid w:val="00082101"/>
    <w:rsid w:val="0008542A"/>
    <w:rsid w:val="0008745A"/>
    <w:rsid w:val="00092678"/>
    <w:rsid w:val="00095B30"/>
    <w:rsid w:val="000A32F3"/>
    <w:rsid w:val="000B3FFD"/>
    <w:rsid w:val="000C1A85"/>
    <w:rsid w:val="000C2CF9"/>
    <w:rsid w:val="000C4453"/>
    <w:rsid w:val="000D136C"/>
    <w:rsid w:val="000D66DE"/>
    <w:rsid w:val="000E2B1A"/>
    <w:rsid w:val="000E4C17"/>
    <w:rsid w:val="001001C1"/>
    <w:rsid w:val="00102EEC"/>
    <w:rsid w:val="0010583C"/>
    <w:rsid w:val="001059D0"/>
    <w:rsid w:val="00117749"/>
    <w:rsid w:val="00123644"/>
    <w:rsid w:val="0013735C"/>
    <w:rsid w:val="00140058"/>
    <w:rsid w:val="00154D81"/>
    <w:rsid w:val="00164BF0"/>
    <w:rsid w:val="00175DEE"/>
    <w:rsid w:val="00181E2F"/>
    <w:rsid w:val="00187FFD"/>
    <w:rsid w:val="001950C9"/>
    <w:rsid w:val="001A1D01"/>
    <w:rsid w:val="001A5699"/>
    <w:rsid w:val="001B5788"/>
    <w:rsid w:val="001C1FFC"/>
    <w:rsid w:val="001D3F57"/>
    <w:rsid w:val="001E757E"/>
    <w:rsid w:val="001E763C"/>
    <w:rsid w:val="00202265"/>
    <w:rsid w:val="0022354C"/>
    <w:rsid w:val="00230146"/>
    <w:rsid w:val="002314AA"/>
    <w:rsid w:val="0023504D"/>
    <w:rsid w:val="00237A37"/>
    <w:rsid w:val="0024119C"/>
    <w:rsid w:val="0025202C"/>
    <w:rsid w:val="002562CC"/>
    <w:rsid w:val="00265F75"/>
    <w:rsid w:val="002749AF"/>
    <w:rsid w:val="0028501D"/>
    <w:rsid w:val="002940F8"/>
    <w:rsid w:val="002A04B1"/>
    <w:rsid w:val="002B176C"/>
    <w:rsid w:val="002B7856"/>
    <w:rsid w:val="002D3BBD"/>
    <w:rsid w:val="002D4526"/>
    <w:rsid w:val="002D69E1"/>
    <w:rsid w:val="002E5711"/>
    <w:rsid w:val="002F5CF7"/>
    <w:rsid w:val="0030072F"/>
    <w:rsid w:val="003031E1"/>
    <w:rsid w:val="00303E1F"/>
    <w:rsid w:val="003056D9"/>
    <w:rsid w:val="003102FA"/>
    <w:rsid w:val="003169C7"/>
    <w:rsid w:val="003307D4"/>
    <w:rsid w:val="003316CD"/>
    <w:rsid w:val="0034309A"/>
    <w:rsid w:val="003473CD"/>
    <w:rsid w:val="00351129"/>
    <w:rsid w:val="0036264C"/>
    <w:rsid w:val="0037321B"/>
    <w:rsid w:val="00384E10"/>
    <w:rsid w:val="003A218F"/>
    <w:rsid w:val="003A3EC6"/>
    <w:rsid w:val="003A6F70"/>
    <w:rsid w:val="003B4066"/>
    <w:rsid w:val="003C23BE"/>
    <w:rsid w:val="003C28FC"/>
    <w:rsid w:val="003C2D10"/>
    <w:rsid w:val="003C7226"/>
    <w:rsid w:val="003D1C14"/>
    <w:rsid w:val="003E3276"/>
    <w:rsid w:val="003E7C23"/>
    <w:rsid w:val="003F0C49"/>
    <w:rsid w:val="003F1EA3"/>
    <w:rsid w:val="003F1ED0"/>
    <w:rsid w:val="003F4C9C"/>
    <w:rsid w:val="004021C2"/>
    <w:rsid w:val="0040475C"/>
    <w:rsid w:val="00410D1F"/>
    <w:rsid w:val="0041327F"/>
    <w:rsid w:val="00414E48"/>
    <w:rsid w:val="00414E7B"/>
    <w:rsid w:val="004179B7"/>
    <w:rsid w:val="00420DD2"/>
    <w:rsid w:val="00422CE9"/>
    <w:rsid w:val="004315BB"/>
    <w:rsid w:val="00433C19"/>
    <w:rsid w:val="0044271B"/>
    <w:rsid w:val="00443646"/>
    <w:rsid w:val="0044475B"/>
    <w:rsid w:val="00451A36"/>
    <w:rsid w:val="004525F5"/>
    <w:rsid w:val="00455CB3"/>
    <w:rsid w:val="00460FFB"/>
    <w:rsid w:val="00462B67"/>
    <w:rsid w:val="004661D2"/>
    <w:rsid w:val="004776FF"/>
    <w:rsid w:val="004830EE"/>
    <w:rsid w:val="00486E36"/>
    <w:rsid w:val="00493149"/>
    <w:rsid w:val="004B1041"/>
    <w:rsid w:val="004B7325"/>
    <w:rsid w:val="004C40EA"/>
    <w:rsid w:val="004C64D9"/>
    <w:rsid w:val="004C73BD"/>
    <w:rsid w:val="004D0A26"/>
    <w:rsid w:val="00500FFD"/>
    <w:rsid w:val="00516914"/>
    <w:rsid w:val="005236B6"/>
    <w:rsid w:val="00524A5B"/>
    <w:rsid w:val="005318AB"/>
    <w:rsid w:val="005321E3"/>
    <w:rsid w:val="00550D29"/>
    <w:rsid w:val="00552317"/>
    <w:rsid w:val="00552EFD"/>
    <w:rsid w:val="00562649"/>
    <w:rsid w:val="00575235"/>
    <w:rsid w:val="0058067E"/>
    <w:rsid w:val="00580883"/>
    <w:rsid w:val="0058639E"/>
    <w:rsid w:val="005870DF"/>
    <w:rsid w:val="0058776D"/>
    <w:rsid w:val="00592A18"/>
    <w:rsid w:val="005B49CD"/>
    <w:rsid w:val="005B773B"/>
    <w:rsid w:val="005C66D4"/>
    <w:rsid w:val="005D14C4"/>
    <w:rsid w:val="005D1946"/>
    <w:rsid w:val="005F1613"/>
    <w:rsid w:val="00612544"/>
    <w:rsid w:val="0061616C"/>
    <w:rsid w:val="006301B2"/>
    <w:rsid w:val="00630BE8"/>
    <w:rsid w:val="00634485"/>
    <w:rsid w:val="0063673D"/>
    <w:rsid w:val="00646A97"/>
    <w:rsid w:val="006520A5"/>
    <w:rsid w:val="00663A16"/>
    <w:rsid w:val="006678E9"/>
    <w:rsid w:val="00672211"/>
    <w:rsid w:val="00677F95"/>
    <w:rsid w:val="006824EF"/>
    <w:rsid w:val="00682D89"/>
    <w:rsid w:val="00684492"/>
    <w:rsid w:val="00694EB3"/>
    <w:rsid w:val="006967D4"/>
    <w:rsid w:val="00696991"/>
    <w:rsid w:val="006A0D56"/>
    <w:rsid w:val="006A496D"/>
    <w:rsid w:val="006B6050"/>
    <w:rsid w:val="006C0991"/>
    <w:rsid w:val="006C19F9"/>
    <w:rsid w:val="006C2DE2"/>
    <w:rsid w:val="006D6457"/>
    <w:rsid w:val="006E4874"/>
    <w:rsid w:val="006E6389"/>
    <w:rsid w:val="006E69EC"/>
    <w:rsid w:val="006E6F52"/>
    <w:rsid w:val="006F30F8"/>
    <w:rsid w:val="00702DEC"/>
    <w:rsid w:val="00704924"/>
    <w:rsid w:val="00712BC2"/>
    <w:rsid w:val="0071346B"/>
    <w:rsid w:val="00715E28"/>
    <w:rsid w:val="00721966"/>
    <w:rsid w:val="00724599"/>
    <w:rsid w:val="00736C06"/>
    <w:rsid w:val="007416E3"/>
    <w:rsid w:val="00742010"/>
    <w:rsid w:val="00760E81"/>
    <w:rsid w:val="00770B41"/>
    <w:rsid w:val="00772360"/>
    <w:rsid w:val="0078087A"/>
    <w:rsid w:val="00782352"/>
    <w:rsid w:val="00792870"/>
    <w:rsid w:val="007A4AB6"/>
    <w:rsid w:val="007B6E55"/>
    <w:rsid w:val="007C0FDA"/>
    <w:rsid w:val="007C3C0E"/>
    <w:rsid w:val="007C55DD"/>
    <w:rsid w:val="007D05D8"/>
    <w:rsid w:val="007D0FEE"/>
    <w:rsid w:val="007E5B96"/>
    <w:rsid w:val="007E654D"/>
    <w:rsid w:val="00806C7D"/>
    <w:rsid w:val="00813335"/>
    <w:rsid w:val="0081567C"/>
    <w:rsid w:val="00816AB8"/>
    <w:rsid w:val="008217CD"/>
    <w:rsid w:val="00827787"/>
    <w:rsid w:val="00846A21"/>
    <w:rsid w:val="00847E60"/>
    <w:rsid w:val="008556C3"/>
    <w:rsid w:val="008562AB"/>
    <w:rsid w:val="008636EF"/>
    <w:rsid w:val="00876477"/>
    <w:rsid w:val="00892AFC"/>
    <w:rsid w:val="008B2A15"/>
    <w:rsid w:val="008C0700"/>
    <w:rsid w:val="008C0C70"/>
    <w:rsid w:val="008C17F2"/>
    <w:rsid w:val="008D0EB3"/>
    <w:rsid w:val="008D1526"/>
    <w:rsid w:val="008D584A"/>
    <w:rsid w:val="008F5190"/>
    <w:rsid w:val="008F78B7"/>
    <w:rsid w:val="009141A6"/>
    <w:rsid w:val="00921803"/>
    <w:rsid w:val="00926A92"/>
    <w:rsid w:val="0093343E"/>
    <w:rsid w:val="0094032A"/>
    <w:rsid w:val="00953EC8"/>
    <w:rsid w:val="00961978"/>
    <w:rsid w:val="00963424"/>
    <w:rsid w:val="00966E59"/>
    <w:rsid w:val="0097426F"/>
    <w:rsid w:val="00975942"/>
    <w:rsid w:val="00975AA3"/>
    <w:rsid w:val="00975EB9"/>
    <w:rsid w:val="00976BAB"/>
    <w:rsid w:val="009773AF"/>
    <w:rsid w:val="00986740"/>
    <w:rsid w:val="009870F0"/>
    <w:rsid w:val="00987F42"/>
    <w:rsid w:val="00994FFE"/>
    <w:rsid w:val="009A271C"/>
    <w:rsid w:val="009A67F5"/>
    <w:rsid w:val="009B65F4"/>
    <w:rsid w:val="009C299B"/>
    <w:rsid w:val="009C2F32"/>
    <w:rsid w:val="009C46BF"/>
    <w:rsid w:val="009C73B7"/>
    <w:rsid w:val="009D3297"/>
    <w:rsid w:val="009D63A9"/>
    <w:rsid w:val="009E5EDA"/>
    <w:rsid w:val="009F4628"/>
    <w:rsid w:val="00A032F1"/>
    <w:rsid w:val="00A04C79"/>
    <w:rsid w:val="00A14B1D"/>
    <w:rsid w:val="00A3624F"/>
    <w:rsid w:val="00A40057"/>
    <w:rsid w:val="00A4593D"/>
    <w:rsid w:val="00A53958"/>
    <w:rsid w:val="00A53E9B"/>
    <w:rsid w:val="00A60D1E"/>
    <w:rsid w:val="00A67BDA"/>
    <w:rsid w:val="00A73612"/>
    <w:rsid w:val="00A77F5C"/>
    <w:rsid w:val="00A805F0"/>
    <w:rsid w:val="00A81140"/>
    <w:rsid w:val="00A81532"/>
    <w:rsid w:val="00A824CA"/>
    <w:rsid w:val="00A913AB"/>
    <w:rsid w:val="00A97B6B"/>
    <w:rsid w:val="00AA5409"/>
    <w:rsid w:val="00AB21DA"/>
    <w:rsid w:val="00AB3DFA"/>
    <w:rsid w:val="00AC248E"/>
    <w:rsid w:val="00AC30E5"/>
    <w:rsid w:val="00AC3F99"/>
    <w:rsid w:val="00AD0AF6"/>
    <w:rsid w:val="00AD13E4"/>
    <w:rsid w:val="00AD59F3"/>
    <w:rsid w:val="00AD6AAD"/>
    <w:rsid w:val="00AE1831"/>
    <w:rsid w:val="00AE2B18"/>
    <w:rsid w:val="00AE50AA"/>
    <w:rsid w:val="00AF0B38"/>
    <w:rsid w:val="00AF3F82"/>
    <w:rsid w:val="00B06C4B"/>
    <w:rsid w:val="00B106EA"/>
    <w:rsid w:val="00B151A8"/>
    <w:rsid w:val="00B24233"/>
    <w:rsid w:val="00B27BE5"/>
    <w:rsid w:val="00B337A5"/>
    <w:rsid w:val="00B35A45"/>
    <w:rsid w:val="00B36D1D"/>
    <w:rsid w:val="00B4641E"/>
    <w:rsid w:val="00B46721"/>
    <w:rsid w:val="00B46E78"/>
    <w:rsid w:val="00B47F5A"/>
    <w:rsid w:val="00B5072E"/>
    <w:rsid w:val="00B53290"/>
    <w:rsid w:val="00B54145"/>
    <w:rsid w:val="00B57FE6"/>
    <w:rsid w:val="00B639C2"/>
    <w:rsid w:val="00B64C77"/>
    <w:rsid w:val="00B650A8"/>
    <w:rsid w:val="00B672EA"/>
    <w:rsid w:val="00B80485"/>
    <w:rsid w:val="00B95BF7"/>
    <w:rsid w:val="00BA1CAC"/>
    <w:rsid w:val="00BA737F"/>
    <w:rsid w:val="00BB733E"/>
    <w:rsid w:val="00BC5D71"/>
    <w:rsid w:val="00BD7483"/>
    <w:rsid w:val="00C1644D"/>
    <w:rsid w:val="00C21E0F"/>
    <w:rsid w:val="00C30621"/>
    <w:rsid w:val="00C307F0"/>
    <w:rsid w:val="00C4493E"/>
    <w:rsid w:val="00C45D58"/>
    <w:rsid w:val="00C70664"/>
    <w:rsid w:val="00C766EF"/>
    <w:rsid w:val="00C80F8C"/>
    <w:rsid w:val="00C82695"/>
    <w:rsid w:val="00C92D88"/>
    <w:rsid w:val="00CA047D"/>
    <w:rsid w:val="00CC2E05"/>
    <w:rsid w:val="00CC5EAB"/>
    <w:rsid w:val="00CD13BC"/>
    <w:rsid w:val="00CF30E8"/>
    <w:rsid w:val="00D01B99"/>
    <w:rsid w:val="00D13F39"/>
    <w:rsid w:val="00D2267B"/>
    <w:rsid w:val="00D22D87"/>
    <w:rsid w:val="00D34604"/>
    <w:rsid w:val="00D46C00"/>
    <w:rsid w:val="00D519F3"/>
    <w:rsid w:val="00D557C2"/>
    <w:rsid w:val="00D64F32"/>
    <w:rsid w:val="00D93CE4"/>
    <w:rsid w:val="00DA5209"/>
    <w:rsid w:val="00DB2D90"/>
    <w:rsid w:val="00DC07EB"/>
    <w:rsid w:val="00DC4499"/>
    <w:rsid w:val="00DD6A6C"/>
    <w:rsid w:val="00DF733A"/>
    <w:rsid w:val="00E00EB0"/>
    <w:rsid w:val="00E10A96"/>
    <w:rsid w:val="00E110E2"/>
    <w:rsid w:val="00E146AA"/>
    <w:rsid w:val="00E27F2A"/>
    <w:rsid w:val="00E313C4"/>
    <w:rsid w:val="00E42755"/>
    <w:rsid w:val="00E434A8"/>
    <w:rsid w:val="00E43B8E"/>
    <w:rsid w:val="00E45B76"/>
    <w:rsid w:val="00E46383"/>
    <w:rsid w:val="00E50E30"/>
    <w:rsid w:val="00E76ECF"/>
    <w:rsid w:val="00E80760"/>
    <w:rsid w:val="00E8209A"/>
    <w:rsid w:val="00E90727"/>
    <w:rsid w:val="00E91A10"/>
    <w:rsid w:val="00E96710"/>
    <w:rsid w:val="00EA27CB"/>
    <w:rsid w:val="00EA5EEB"/>
    <w:rsid w:val="00EA7874"/>
    <w:rsid w:val="00EB7480"/>
    <w:rsid w:val="00EB7DE6"/>
    <w:rsid w:val="00EB7F1A"/>
    <w:rsid w:val="00EC0002"/>
    <w:rsid w:val="00ED5EE9"/>
    <w:rsid w:val="00ED762B"/>
    <w:rsid w:val="00F06505"/>
    <w:rsid w:val="00F36CDE"/>
    <w:rsid w:val="00F40C05"/>
    <w:rsid w:val="00F44E84"/>
    <w:rsid w:val="00F548A9"/>
    <w:rsid w:val="00F54D8B"/>
    <w:rsid w:val="00F57D55"/>
    <w:rsid w:val="00F73859"/>
    <w:rsid w:val="00F92F15"/>
    <w:rsid w:val="00F9624E"/>
    <w:rsid w:val="00FA05FB"/>
    <w:rsid w:val="00FA12BC"/>
    <w:rsid w:val="00FA5B44"/>
    <w:rsid w:val="00FA6221"/>
    <w:rsid w:val="00FB109D"/>
    <w:rsid w:val="00FB48D6"/>
    <w:rsid w:val="00FE7408"/>
    <w:rsid w:val="00FF4757"/>
    <w:rsid w:val="00FF7C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9C8181C2-48E6-4FA4-8C70-88783E65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3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character" w:customStyle="1" w:styleId="il">
    <w:name w:val="il"/>
    <w:basedOn w:val="Fuentedeprrafopredeter"/>
    <w:rsid w:val="006E6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596779">
      <w:bodyDiv w:val="1"/>
      <w:marLeft w:val="0"/>
      <w:marRight w:val="0"/>
      <w:marTop w:val="0"/>
      <w:marBottom w:val="0"/>
      <w:divBdr>
        <w:top w:val="none" w:sz="0" w:space="0" w:color="auto"/>
        <w:left w:val="none" w:sz="0" w:space="0" w:color="auto"/>
        <w:bottom w:val="none" w:sz="0" w:space="0" w:color="auto"/>
        <w:right w:val="none" w:sz="0" w:space="0" w:color="auto"/>
      </w:divBdr>
      <w:divsChild>
        <w:div w:id="1306620816">
          <w:marLeft w:val="0"/>
          <w:marRight w:val="0"/>
          <w:marTop w:val="0"/>
          <w:marBottom w:val="0"/>
          <w:divBdr>
            <w:top w:val="none" w:sz="0" w:space="0" w:color="auto"/>
            <w:left w:val="none" w:sz="0" w:space="0" w:color="auto"/>
            <w:bottom w:val="none" w:sz="0" w:space="0" w:color="auto"/>
            <w:right w:val="none" w:sz="0" w:space="0" w:color="auto"/>
          </w:divBdr>
          <w:divsChild>
            <w:div w:id="932401863">
              <w:marLeft w:val="0"/>
              <w:marRight w:val="0"/>
              <w:marTop w:val="0"/>
              <w:marBottom w:val="0"/>
              <w:divBdr>
                <w:top w:val="none" w:sz="0" w:space="0" w:color="auto"/>
                <w:left w:val="none" w:sz="0" w:space="0" w:color="auto"/>
                <w:bottom w:val="none" w:sz="0" w:space="0" w:color="auto"/>
                <w:right w:val="none" w:sz="0" w:space="0" w:color="auto"/>
              </w:divBdr>
              <w:divsChild>
                <w:div w:id="107505669">
                  <w:marLeft w:val="0"/>
                  <w:marRight w:val="0"/>
                  <w:marTop w:val="0"/>
                  <w:marBottom w:val="0"/>
                  <w:divBdr>
                    <w:top w:val="none" w:sz="0" w:space="0" w:color="auto"/>
                    <w:left w:val="none" w:sz="0" w:space="0" w:color="auto"/>
                    <w:bottom w:val="none" w:sz="0" w:space="0" w:color="auto"/>
                    <w:right w:val="none" w:sz="0" w:space="0" w:color="auto"/>
                  </w:divBdr>
                  <w:divsChild>
                    <w:div w:id="972641529">
                      <w:marLeft w:val="0"/>
                      <w:marRight w:val="0"/>
                      <w:marTop w:val="120"/>
                      <w:marBottom w:val="0"/>
                      <w:divBdr>
                        <w:top w:val="none" w:sz="0" w:space="0" w:color="auto"/>
                        <w:left w:val="none" w:sz="0" w:space="0" w:color="auto"/>
                        <w:bottom w:val="none" w:sz="0" w:space="0" w:color="auto"/>
                        <w:right w:val="none" w:sz="0" w:space="0" w:color="auto"/>
                      </w:divBdr>
                      <w:divsChild>
                        <w:div w:id="1608805235">
                          <w:marLeft w:val="0"/>
                          <w:marRight w:val="0"/>
                          <w:marTop w:val="0"/>
                          <w:marBottom w:val="0"/>
                          <w:divBdr>
                            <w:top w:val="none" w:sz="0" w:space="0" w:color="auto"/>
                            <w:left w:val="none" w:sz="0" w:space="0" w:color="auto"/>
                            <w:bottom w:val="none" w:sz="0" w:space="0" w:color="auto"/>
                            <w:right w:val="none" w:sz="0" w:space="0" w:color="auto"/>
                          </w:divBdr>
                          <w:divsChild>
                            <w:div w:id="4608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86713-C57B-48AF-B39C-43E4D5E5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1763</Words>
  <Characters>9697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Itze Hdz.</cp:lastModifiedBy>
  <cp:revision>10</cp:revision>
  <cp:lastPrinted>2019-09-20T19:26:00Z</cp:lastPrinted>
  <dcterms:created xsi:type="dcterms:W3CDTF">2019-09-20T18:01:00Z</dcterms:created>
  <dcterms:modified xsi:type="dcterms:W3CDTF">2019-10-15T23:57:00Z</dcterms:modified>
</cp:coreProperties>
</file>