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bookmarkStart w:id="0" w:name="_GoBack"/>
      <w:bookmarkEnd w:id="0"/>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810627">
        <w:rPr>
          <w:rFonts w:ascii="Palatino Linotype" w:hAnsi="Palatino Linotype" w:cs="Arial"/>
          <w:b/>
          <w:sz w:val="24"/>
          <w:szCs w:val="24"/>
        </w:rPr>
        <w:t>1</w:t>
      </w:r>
      <w:r w:rsidR="00F64B90">
        <w:rPr>
          <w:rFonts w:ascii="Palatino Linotype" w:hAnsi="Palatino Linotype" w:cs="Arial"/>
          <w:b/>
          <w:sz w:val="24"/>
          <w:szCs w:val="24"/>
        </w:rPr>
        <w:t>617</w:t>
      </w:r>
      <w:r w:rsidR="009C41CC" w:rsidRPr="00B10C1A">
        <w:rPr>
          <w:rFonts w:ascii="Palatino Linotype" w:hAnsi="Palatino Linotype" w:cs="Arial"/>
          <w:b/>
          <w:sz w:val="24"/>
          <w:szCs w:val="24"/>
        </w:rPr>
        <w:t>/INFOEM/IP/RR/201</w:t>
      </w:r>
      <w:r w:rsidR="00955879">
        <w:rPr>
          <w:rFonts w:ascii="Palatino Linotype" w:hAnsi="Palatino Linotype" w:cs="Arial"/>
          <w:b/>
          <w:sz w:val="24"/>
          <w:szCs w:val="24"/>
        </w:rPr>
        <w:t>9</w:t>
      </w:r>
      <w:r w:rsidR="00D12DE7" w:rsidRPr="00B10C1A">
        <w:rPr>
          <w:rFonts w:ascii="Palatino Linotype" w:hAnsi="Palatino Linotype" w:cs="Arial"/>
          <w:b/>
          <w:sz w:val="24"/>
          <w:szCs w:val="24"/>
        </w:rPr>
        <w:t xml:space="preserve">.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w:t>
      </w:r>
      <w:r w:rsidR="00955879">
        <w:rPr>
          <w:rFonts w:ascii="Palatino Linotype" w:hAnsi="Palatino Linotype" w:cs="Arial"/>
          <w:sz w:val="24"/>
          <w:szCs w:val="24"/>
        </w:rPr>
        <w:t xml:space="preserve"> </w:t>
      </w:r>
      <w:r w:rsidRPr="00B10C1A">
        <w:rPr>
          <w:rFonts w:ascii="Palatino Linotype" w:hAnsi="Palatino Linotype" w:cs="Arial"/>
          <w:sz w:val="24"/>
          <w:szCs w:val="24"/>
        </w:rPr>
        <w:t>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810627" w:rsidRDefault="00810627" w:rsidP="0046491C">
      <w:pPr>
        <w:pStyle w:val="TtulodeTDC"/>
        <w:rPr>
          <w:rFonts w:cs="Arial"/>
          <w:b w:val="0"/>
          <w:szCs w:val="24"/>
        </w:rPr>
      </w:pPr>
    </w:p>
    <w:p w:rsidR="00007504" w:rsidRPr="00810627" w:rsidRDefault="0046491C" w:rsidP="0046491C">
      <w:pPr>
        <w:pStyle w:val="TtulodeTDC"/>
        <w:rPr>
          <w:rFonts w:cs="Arial"/>
          <w:szCs w:val="24"/>
        </w:rPr>
      </w:pPr>
      <w:r w:rsidRPr="00810627">
        <w:rPr>
          <w:rFonts w:cs="Arial"/>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46491C" w:rsidRPr="00810627" w:rsidRDefault="0046491C" w:rsidP="00007504">
          <w:pPr>
            <w:spacing w:after="0" w:line="360" w:lineRule="auto"/>
            <w:jc w:val="both"/>
            <w:rPr>
              <w:rFonts w:ascii="Palatino Linotype" w:hAnsi="Palatino Linotype"/>
              <w:sz w:val="24"/>
              <w:szCs w:val="24"/>
            </w:rPr>
          </w:pPr>
        </w:p>
        <w:p w:rsidR="00810627" w:rsidRPr="00810627" w:rsidRDefault="0046491C">
          <w:pPr>
            <w:pStyle w:val="TDC1"/>
            <w:rPr>
              <w:rFonts w:ascii="Palatino Linotype" w:eastAsiaTheme="minorEastAsia" w:hAnsi="Palatino Linotype"/>
              <w:noProof/>
              <w:sz w:val="24"/>
              <w:szCs w:val="24"/>
              <w:lang w:eastAsia="es-MX"/>
            </w:rPr>
          </w:pPr>
          <w:r w:rsidRPr="00810627">
            <w:rPr>
              <w:rFonts w:ascii="Palatino Linotype" w:hAnsi="Palatino Linotype"/>
              <w:sz w:val="24"/>
              <w:szCs w:val="24"/>
            </w:rPr>
            <w:fldChar w:fldCharType="begin"/>
          </w:r>
          <w:r w:rsidRPr="00810627">
            <w:rPr>
              <w:rFonts w:ascii="Palatino Linotype" w:hAnsi="Palatino Linotype"/>
              <w:sz w:val="24"/>
              <w:szCs w:val="24"/>
            </w:rPr>
            <w:instrText xml:space="preserve"> TOC \o "1-3" \h \z \u </w:instrText>
          </w:r>
          <w:r w:rsidRPr="00810627">
            <w:rPr>
              <w:rFonts w:ascii="Palatino Linotype" w:hAnsi="Palatino Linotype"/>
              <w:sz w:val="24"/>
              <w:szCs w:val="24"/>
            </w:rPr>
            <w:fldChar w:fldCharType="separate"/>
          </w:r>
          <w:hyperlink w:anchor="_Toc8153015" w:history="1">
            <w:r w:rsidR="00810627" w:rsidRPr="00810627">
              <w:rPr>
                <w:rStyle w:val="Hipervnculo"/>
                <w:rFonts w:ascii="Palatino Linotype" w:hAnsi="Palatino Linotype"/>
                <w:noProof/>
                <w:sz w:val="24"/>
                <w:szCs w:val="24"/>
              </w:rPr>
              <w:t>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Consideraciones Generales.</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_Toc8153015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840B54">
              <w:rPr>
                <w:rFonts w:ascii="Palatino Linotype" w:hAnsi="Palatino Linotype"/>
                <w:noProof/>
                <w:webHidden/>
                <w:sz w:val="24"/>
                <w:szCs w:val="24"/>
              </w:rPr>
              <w:t>2</w:t>
            </w:r>
            <w:r w:rsidR="00810627" w:rsidRPr="00810627">
              <w:rPr>
                <w:rFonts w:ascii="Palatino Linotype" w:hAnsi="Palatino Linotype"/>
                <w:noProof/>
                <w:webHidden/>
                <w:sz w:val="24"/>
                <w:szCs w:val="24"/>
              </w:rPr>
              <w:fldChar w:fldCharType="end"/>
            </w:r>
          </w:hyperlink>
        </w:p>
        <w:p w:rsidR="00810627" w:rsidRPr="00810627" w:rsidRDefault="00450308">
          <w:pPr>
            <w:pStyle w:val="TDC1"/>
            <w:rPr>
              <w:rFonts w:ascii="Palatino Linotype" w:eastAsiaTheme="minorEastAsia" w:hAnsi="Palatino Linotype"/>
              <w:noProof/>
              <w:sz w:val="24"/>
              <w:szCs w:val="24"/>
              <w:lang w:eastAsia="es-MX"/>
            </w:rPr>
          </w:pPr>
          <w:hyperlink w:anchor="_Toc8153016" w:history="1">
            <w:r w:rsidR="00810627" w:rsidRPr="00810627">
              <w:rPr>
                <w:rStyle w:val="Hipervnculo"/>
                <w:rFonts w:ascii="Palatino Linotype" w:hAnsi="Palatino Linotype"/>
                <w:noProof/>
                <w:sz w:val="24"/>
                <w:szCs w:val="24"/>
              </w:rPr>
              <w:t>II.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De los requerimientos planteados en el recurso de revisión.</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_Toc8153016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840B54">
              <w:rPr>
                <w:rFonts w:ascii="Palatino Linotype" w:hAnsi="Palatino Linotype"/>
                <w:noProof/>
                <w:webHidden/>
                <w:sz w:val="24"/>
                <w:szCs w:val="24"/>
              </w:rPr>
              <w:t>3</w:t>
            </w:r>
            <w:r w:rsidR="00810627" w:rsidRPr="00810627">
              <w:rPr>
                <w:rFonts w:ascii="Palatino Linotype" w:hAnsi="Palatino Linotype"/>
                <w:noProof/>
                <w:webHidden/>
                <w:sz w:val="24"/>
                <w:szCs w:val="24"/>
              </w:rPr>
              <w:fldChar w:fldCharType="end"/>
            </w:r>
          </w:hyperlink>
        </w:p>
        <w:p w:rsidR="00810627" w:rsidRPr="00810627" w:rsidRDefault="00450308">
          <w:pPr>
            <w:pStyle w:val="TDC1"/>
            <w:rPr>
              <w:rFonts w:ascii="Palatino Linotype" w:eastAsiaTheme="minorEastAsia" w:hAnsi="Palatino Linotype"/>
              <w:noProof/>
              <w:sz w:val="24"/>
              <w:szCs w:val="24"/>
              <w:lang w:eastAsia="es-MX"/>
            </w:rPr>
          </w:pPr>
          <w:hyperlink w:anchor="_Toc8153017" w:history="1">
            <w:r w:rsidR="00810627" w:rsidRPr="00810627">
              <w:rPr>
                <w:rStyle w:val="Hipervnculo"/>
                <w:rFonts w:ascii="Palatino Linotype" w:hAnsi="Palatino Linotype"/>
                <w:noProof/>
                <w:sz w:val="24"/>
                <w:szCs w:val="24"/>
              </w:rPr>
              <w:t>III.</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Los actos consentidos no deben invocarse en el derecho fundamental de acceder a la información pública gubernamental.</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_Toc8153017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840B54">
              <w:rPr>
                <w:rFonts w:ascii="Palatino Linotype" w:hAnsi="Palatino Linotype"/>
                <w:noProof/>
                <w:webHidden/>
                <w:sz w:val="24"/>
                <w:szCs w:val="24"/>
              </w:rPr>
              <w:t>6</w:t>
            </w:r>
            <w:r w:rsidR="00810627" w:rsidRPr="00810627">
              <w:rPr>
                <w:rFonts w:ascii="Palatino Linotype" w:hAnsi="Palatino Linotype"/>
                <w:noProof/>
                <w:webHidden/>
                <w:sz w:val="24"/>
                <w:szCs w:val="24"/>
              </w:rPr>
              <w:fldChar w:fldCharType="end"/>
            </w:r>
          </w:hyperlink>
        </w:p>
        <w:p w:rsidR="00810627" w:rsidRPr="00810627" w:rsidRDefault="00450308">
          <w:pPr>
            <w:pStyle w:val="TDC1"/>
            <w:rPr>
              <w:rFonts w:ascii="Palatino Linotype" w:eastAsiaTheme="minorEastAsia" w:hAnsi="Palatino Linotype"/>
              <w:noProof/>
              <w:sz w:val="24"/>
              <w:szCs w:val="24"/>
              <w:lang w:eastAsia="es-MX"/>
            </w:rPr>
          </w:pPr>
          <w:hyperlink w:anchor="_Toc8153018" w:history="1">
            <w:r w:rsidR="00810627" w:rsidRPr="00810627">
              <w:rPr>
                <w:rStyle w:val="Hipervnculo"/>
                <w:rFonts w:ascii="Palatino Linotype" w:hAnsi="Palatino Linotype"/>
                <w:noProof/>
                <w:sz w:val="24"/>
                <w:szCs w:val="24"/>
              </w:rPr>
              <w:t>IV.</w:t>
            </w:r>
            <w:r w:rsidR="00810627" w:rsidRPr="00810627">
              <w:rPr>
                <w:rFonts w:ascii="Palatino Linotype" w:eastAsiaTheme="minorEastAsia" w:hAnsi="Palatino Linotype"/>
                <w:noProof/>
                <w:sz w:val="24"/>
                <w:szCs w:val="24"/>
                <w:lang w:eastAsia="es-MX"/>
              </w:rPr>
              <w:tab/>
            </w:r>
            <w:r w:rsidR="00810627" w:rsidRPr="00810627">
              <w:rPr>
                <w:rStyle w:val="Hipervnculo"/>
                <w:rFonts w:ascii="Palatino Linotype" w:hAnsi="Palatino Linotype"/>
                <w:noProof/>
                <w:sz w:val="24"/>
                <w:szCs w:val="24"/>
              </w:rPr>
              <w:t>Conclusión</w:t>
            </w:r>
            <w:r w:rsidR="00810627" w:rsidRPr="00810627">
              <w:rPr>
                <w:rFonts w:ascii="Palatino Linotype" w:hAnsi="Palatino Linotype"/>
                <w:noProof/>
                <w:webHidden/>
                <w:sz w:val="24"/>
                <w:szCs w:val="24"/>
              </w:rPr>
              <w:tab/>
            </w:r>
            <w:r w:rsidR="00810627" w:rsidRPr="00810627">
              <w:rPr>
                <w:rFonts w:ascii="Palatino Linotype" w:hAnsi="Palatino Linotype"/>
                <w:noProof/>
                <w:webHidden/>
                <w:sz w:val="24"/>
                <w:szCs w:val="24"/>
              </w:rPr>
              <w:fldChar w:fldCharType="begin"/>
            </w:r>
            <w:r w:rsidR="00810627" w:rsidRPr="00810627">
              <w:rPr>
                <w:rFonts w:ascii="Palatino Linotype" w:hAnsi="Palatino Linotype"/>
                <w:noProof/>
                <w:webHidden/>
                <w:sz w:val="24"/>
                <w:szCs w:val="24"/>
              </w:rPr>
              <w:instrText xml:space="preserve"> PAGEREF _Toc8153018 \h </w:instrText>
            </w:r>
            <w:r w:rsidR="00810627" w:rsidRPr="00810627">
              <w:rPr>
                <w:rFonts w:ascii="Palatino Linotype" w:hAnsi="Palatino Linotype"/>
                <w:noProof/>
                <w:webHidden/>
                <w:sz w:val="24"/>
                <w:szCs w:val="24"/>
              </w:rPr>
            </w:r>
            <w:r w:rsidR="00810627" w:rsidRPr="00810627">
              <w:rPr>
                <w:rFonts w:ascii="Palatino Linotype" w:hAnsi="Palatino Linotype"/>
                <w:noProof/>
                <w:webHidden/>
                <w:sz w:val="24"/>
                <w:szCs w:val="24"/>
              </w:rPr>
              <w:fldChar w:fldCharType="separate"/>
            </w:r>
            <w:r w:rsidR="00840B54">
              <w:rPr>
                <w:rFonts w:ascii="Palatino Linotype" w:hAnsi="Palatino Linotype"/>
                <w:noProof/>
                <w:webHidden/>
                <w:sz w:val="24"/>
                <w:szCs w:val="24"/>
              </w:rPr>
              <w:t>14</w:t>
            </w:r>
            <w:r w:rsidR="00810627" w:rsidRPr="00810627">
              <w:rPr>
                <w:rFonts w:ascii="Palatino Linotype" w:hAnsi="Palatino Linotype"/>
                <w:noProof/>
                <w:webHidden/>
                <w:sz w:val="24"/>
                <w:szCs w:val="24"/>
              </w:rPr>
              <w:fldChar w:fldCharType="end"/>
            </w:r>
          </w:hyperlink>
        </w:p>
        <w:p w:rsidR="0046491C" w:rsidRPr="003B3FC7" w:rsidRDefault="0046491C" w:rsidP="0046491C">
          <w:pPr>
            <w:rPr>
              <w:rFonts w:ascii="Palatino Linotype" w:hAnsi="Palatino Linotype"/>
              <w:sz w:val="24"/>
              <w:szCs w:val="24"/>
            </w:rPr>
          </w:pPr>
          <w:r w:rsidRPr="00810627">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1" w:name="_Toc8153015"/>
      <w:r w:rsidRPr="00B10C1A">
        <w:rPr>
          <w:szCs w:val="24"/>
        </w:rPr>
        <w:t>Consideraciones Generales.</w:t>
      </w:r>
      <w:bookmarkEnd w:id="1"/>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E46E0C" w:rsidRDefault="0046491C" w:rsidP="009558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E46E0C">
        <w:rPr>
          <w:rFonts w:ascii="Palatino Linotype" w:hAnsi="Palatino Linotype" w:cs="Arial"/>
          <w:sz w:val="24"/>
          <w:szCs w:val="24"/>
        </w:rPr>
        <w:t>vigésima</w:t>
      </w:r>
      <w:r w:rsidR="00955879">
        <w:rPr>
          <w:rFonts w:ascii="Palatino Linotype" w:hAnsi="Palatino Linotype" w:cs="Arial"/>
          <w:sz w:val="24"/>
          <w:szCs w:val="24"/>
        </w:rPr>
        <w:t xml:space="preserve"> sesión ordinaria de fecha </w:t>
      </w:r>
      <w:r w:rsidR="00E46E0C">
        <w:rPr>
          <w:rFonts w:ascii="Palatino Linotype" w:hAnsi="Palatino Linotype" w:cs="Arial"/>
          <w:sz w:val="24"/>
          <w:szCs w:val="24"/>
        </w:rPr>
        <w:t>veintinueve</w:t>
      </w:r>
      <w:r w:rsidR="00044B99">
        <w:rPr>
          <w:rFonts w:ascii="Palatino Linotype" w:hAnsi="Palatino Linotype" w:cs="Arial"/>
          <w:sz w:val="24"/>
          <w:szCs w:val="24"/>
        </w:rPr>
        <w:t xml:space="preserve"> </w:t>
      </w:r>
      <w:r w:rsidR="00410C93" w:rsidRPr="00B10C1A">
        <w:rPr>
          <w:rFonts w:ascii="Palatino Linotype" w:hAnsi="Palatino Linotype" w:cs="Arial"/>
          <w:sz w:val="24"/>
          <w:szCs w:val="24"/>
        </w:rPr>
        <w:t>(</w:t>
      </w:r>
      <w:r w:rsidR="00E46E0C">
        <w:rPr>
          <w:rFonts w:ascii="Palatino Linotype" w:hAnsi="Palatino Linotype" w:cs="Arial"/>
          <w:sz w:val="24"/>
          <w:szCs w:val="24"/>
        </w:rPr>
        <w:t>29</w:t>
      </w:r>
      <w:r w:rsidRPr="00B10C1A">
        <w:rPr>
          <w:rFonts w:ascii="Palatino Linotype" w:hAnsi="Palatino Linotype" w:cs="Arial"/>
          <w:sz w:val="24"/>
          <w:szCs w:val="24"/>
        </w:rPr>
        <w:t xml:space="preserve">) de </w:t>
      </w:r>
      <w:r w:rsidR="00810627">
        <w:rPr>
          <w:rFonts w:ascii="Palatino Linotype" w:hAnsi="Palatino Linotype" w:cs="Arial"/>
          <w:sz w:val="24"/>
          <w:szCs w:val="24"/>
        </w:rPr>
        <w:t>mayo</w:t>
      </w:r>
      <w:r w:rsidR="00410C93" w:rsidRPr="00B10C1A">
        <w:rPr>
          <w:rFonts w:ascii="Palatino Linotype" w:hAnsi="Palatino Linotype" w:cs="Arial"/>
          <w:sz w:val="24"/>
          <w:szCs w:val="24"/>
        </w:rPr>
        <w:t xml:space="preserve"> de dos mil dieci</w:t>
      </w:r>
      <w:r w:rsidR="00137288">
        <w:rPr>
          <w:rFonts w:ascii="Palatino Linotype" w:hAnsi="Palatino Linotype" w:cs="Arial"/>
          <w:sz w:val="24"/>
          <w:szCs w:val="24"/>
        </w:rPr>
        <w:t>nueve</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810627">
        <w:rPr>
          <w:rFonts w:ascii="Palatino Linotype" w:hAnsi="Palatino Linotype" w:cs="Arial"/>
          <w:sz w:val="24"/>
          <w:szCs w:val="24"/>
        </w:rPr>
        <w:t xml:space="preserve">l </w:t>
      </w:r>
      <w:r w:rsidR="00E46E0C">
        <w:rPr>
          <w:rFonts w:ascii="Palatino Linotype" w:hAnsi="Palatino Linotype" w:cs="Arial"/>
          <w:b/>
          <w:sz w:val="24"/>
          <w:szCs w:val="24"/>
        </w:rPr>
        <w:t>Ayuntamiento de Capulhuac</w:t>
      </w:r>
      <w:r w:rsidR="00810627">
        <w:rPr>
          <w:rFonts w:ascii="Palatino Linotype" w:hAnsi="Palatino Linotype" w:cs="Arial"/>
          <w:b/>
          <w:sz w:val="24"/>
          <w:szCs w:val="24"/>
        </w:rPr>
        <w:t xml:space="preserve"> </w:t>
      </w:r>
      <w:r w:rsidRPr="00955879">
        <w:rPr>
          <w:rFonts w:ascii="Palatino Linotype" w:hAnsi="Palatino Linotype" w:cs="Arial"/>
          <w:sz w:val="24"/>
          <w:szCs w:val="24"/>
        </w:rPr>
        <w:t>procedimiento a</w:t>
      </w:r>
      <w:r w:rsidR="0000525F" w:rsidRPr="00955879">
        <w:rPr>
          <w:rFonts w:ascii="Palatino Linotype" w:hAnsi="Palatino Linotype" w:cs="Arial"/>
          <w:sz w:val="24"/>
          <w:szCs w:val="24"/>
        </w:rPr>
        <w:t>l</w:t>
      </w:r>
      <w:r w:rsidR="00902248" w:rsidRPr="00955879">
        <w:rPr>
          <w:rFonts w:ascii="Palatino Linotype" w:hAnsi="Palatino Linotype" w:cs="Arial"/>
          <w:sz w:val="24"/>
          <w:szCs w:val="24"/>
        </w:rPr>
        <w:t xml:space="preserve"> que se le asignó </w:t>
      </w:r>
      <w:r w:rsidR="0000525F" w:rsidRPr="00955879">
        <w:rPr>
          <w:rFonts w:ascii="Palatino Linotype" w:hAnsi="Palatino Linotype" w:cs="Arial"/>
          <w:sz w:val="24"/>
          <w:szCs w:val="24"/>
        </w:rPr>
        <w:t>el</w:t>
      </w:r>
      <w:r w:rsidRPr="00955879">
        <w:rPr>
          <w:rFonts w:ascii="Palatino Linotype" w:hAnsi="Palatino Linotype" w:cs="Arial"/>
          <w:sz w:val="24"/>
          <w:szCs w:val="24"/>
        </w:rPr>
        <w:t xml:space="preserve"> número de expediente </w:t>
      </w:r>
      <w:r w:rsidR="003B44CB" w:rsidRPr="00955879">
        <w:rPr>
          <w:rFonts w:ascii="Palatino Linotype" w:hAnsi="Palatino Linotype" w:cs="Arial"/>
          <w:b/>
          <w:bCs/>
          <w:lang w:eastAsia="es-MX"/>
        </w:rPr>
        <w:t>0</w:t>
      </w:r>
      <w:r w:rsidR="00810627">
        <w:rPr>
          <w:rFonts w:ascii="Palatino Linotype" w:hAnsi="Palatino Linotype" w:cs="Arial"/>
          <w:b/>
          <w:bCs/>
          <w:lang w:eastAsia="es-MX"/>
        </w:rPr>
        <w:t>1</w:t>
      </w:r>
      <w:r w:rsidR="00E46E0C">
        <w:rPr>
          <w:rFonts w:ascii="Palatino Linotype" w:hAnsi="Palatino Linotype" w:cs="Arial"/>
          <w:b/>
          <w:bCs/>
          <w:lang w:eastAsia="es-MX"/>
        </w:rPr>
        <w:t>617</w:t>
      </w:r>
      <w:r w:rsidR="00441939" w:rsidRPr="00955879">
        <w:rPr>
          <w:rFonts w:ascii="Palatino Linotype" w:hAnsi="Palatino Linotype" w:cs="Arial"/>
          <w:b/>
          <w:bCs/>
          <w:lang w:eastAsia="es-MX"/>
        </w:rPr>
        <w:t>/</w:t>
      </w:r>
      <w:r w:rsidR="00117841" w:rsidRPr="00955879">
        <w:rPr>
          <w:rFonts w:ascii="Palatino Linotype" w:hAnsi="Palatino Linotype" w:cs="Arial"/>
          <w:b/>
          <w:bCs/>
          <w:lang w:eastAsia="es-MX"/>
        </w:rPr>
        <w:t>INFOEM/IP/RR/201</w:t>
      </w:r>
      <w:r w:rsidR="00955879">
        <w:rPr>
          <w:rFonts w:ascii="Palatino Linotype" w:hAnsi="Palatino Linotype" w:cs="Arial"/>
          <w:b/>
          <w:bCs/>
          <w:lang w:eastAsia="es-MX"/>
        </w:rPr>
        <w:t>9</w:t>
      </w:r>
      <w:r w:rsidR="00117841" w:rsidRPr="00955879">
        <w:rPr>
          <w:rFonts w:ascii="Palatino Linotype" w:hAnsi="Palatino Linotype" w:cs="Arial"/>
          <w:b/>
          <w:bCs/>
          <w:lang w:eastAsia="es-MX"/>
        </w:rPr>
        <w:t>.</w:t>
      </w:r>
    </w:p>
    <w:p w:rsidR="00E46E0C" w:rsidRPr="00955879" w:rsidRDefault="00E46E0C" w:rsidP="00E46E0C">
      <w:pPr>
        <w:pStyle w:val="Prrafodelista"/>
        <w:spacing w:after="0" w:line="360" w:lineRule="auto"/>
        <w:ind w:left="426"/>
        <w:jc w:val="both"/>
        <w:rPr>
          <w:rFonts w:ascii="Palatino Linotype" w:hAnsi="Palatino Linotype" w:cs="Arial"/>
          <w:sz w:val="24"/>
          <w:szCs w:val="24"/>
        </w:rPr>
      </w:pPr>
    </w:p>
    <w:p w:rsidR="00AF3716" w:rsidRPr="00E46E0C" w:rsidRDefault="0085533E" w:rsidP="00BA5C93">
      <w:pPr>
        <w:pStyle w:val="Prrafodelista"/>
        <w:numPr>
          <w:ilvl w:val="0"/>
          <w:numId w:val="1"/>
        </w:numPr>
        <w:spacing w:after="0" w:line="360" w:lineRule="auto"/>
        <w:ind w:left="426"/>
        <w:jc w:val="both"/>
        <w:rPr>
          <w:rFonts w:ascii="Palatino Linotype" w:hAnsi="Palatino Linotype" w:cs="Arial"/>
          <w:b/>
          <w:i/>
          <w:sz w:val="24"/>
          <w:szCs w:val="24"/>
        </w:rPr>
      </w:pPr>
      <w:r w:rsidRPr="00BA5C93">
        <w:rPr>
          <w:rFonts w:ascii="Palatino Linotype" w:eastAsia="Times New Roman" w:hAnsi="Palatino Linotype" w:cs="Arial"/>
          <w:sz w:val="24"/>
          <w:szCs w:val="24"/>
          <w:lang w:val="es-ES_tradnl"/>
        </w:rPr>
        <w:t>La</w:t>
      </w:r>
      <w:r w:rsidRPr="00BA5C93">
        <w:rPr>
          <w:rFonts w:ascii="Palatino Linotype" w:hAnsi="Palatino Linotype" w:cs="Arial"/>
          <w:sz w:val="24"/>
          <w:szCs w:val="24"/>
        </w:rPr>
        <w:t xml:space="preserve"> resolución </w:t>
      </w:r>
      <w:r w:rsidR="00044B99" w:rsidRPr="00BA5C93">
        <w:rPr>
          <w:rFonts w:ascii="Palatino Linotype" w:hAnsi="Palatino Linotype" w:cs="Arial"/>
          <w:sz w:val="24"/>
          <w:szCs w:val="24"/>
        </w:rPr>
        <w:t xml:space="preserve"> </w:t>
      </w:r>
      <w:r w:rsidR="00BA5C93" w:rsidRPr="00BA5C93">
        <w:rPr>
          <w:rFonts w:ascii="Palatino Linotype" w:hAnsi="Palatino Linotype" w:cs="Arial"/>
          <w:sz w:val="24"/>
          <w:szCs w:val="24"/>
        </w:rPr>
        <w:t xml:space="preserve">determina </w:t>
      </w:r>
      <w:r w:rsidR="00E46E0C">
        <w:rPr>
          <w:rFonts w:ascii="Palatino Linotype" w:hAnsi="Palatino Linotype" w:cs="Arial"/>
          <w:sz w:val="24"/>
          <w:szCs w:val="24"/>
        </w:rPr>
        <w:t xml:space="preserve">modificar la respuesta y ordena al Sujeto Obligado atender la solicitud de acceso a la información pública </w:t>
      </w:r>
      <w:r w:rsidR="00E46E0C">
        <w:rPr>
          <w:rFonts w:ascii="Palatino Linotype" w:hAnsi="Palatino Linotype" w:cs="Arial"/>
          <w:b/>
          <w:sz w:val="24"/>
          <w:szCs w:val="24"/>
        </w:rPr>
        <w:t xml:space="preserve">00026/CAPULHUA/IP/2019 </w:t>
      </w:r>
      <w:r w:rsidR="00E46E0C">
        <w:rPr>
          <w:rFonts w:ascii="Palatino Linotype" w:hAnsi="Palatino Linotype" w:cs="Arial"/>
          <w:sz w:val="24"/>
          <w:szCs w:val="24"/>
        </w:rPr>
        <w:t xml:space="preserve">y en términos del Considerando </w:t>
      </w:r>
      <w:r w:rsidR="00E46E0C">
        <w:rPr>
          <w:rFonts w:ascii="Palatino Linotype" w:hAnsi="Palatino Linotype" w:cs="Arial"/>
          <w:b/>
          <w:sz w:val="24"/>
          <w:szCs w:val="24"/>
        </w:rPr>
        <w:t xml:space="preserve">QUINTO, </w:t>
      </w:r>
      <w:r w:rsidR="00E46E0C">
        <w:rPr>
          <w:rFonts w:ascii="Palatino Linotype" w:hAnsi="Palatino Linotype" w:cs="Arial"/>
          <w:sz w:val="24"/>
          <w:szCs w:val="24"/>
        </w:rPr>
        <w:t>haga entrega al recurrente, vía el SAIMEX y en versión pública lo siguiente:</w:t>
      </w:r>
      <w:r w:rsidR="00810627">
        <w:rPr>
          <w:rFonts w:ascii="Palatino Linotype" w:hAnsi="Palatino Linotype" w:cs="Arial"/>
          <w:sz w:val="24"/>
          <w:szCs w:val="24"/>
        </w:rPr>
        <w:t xml:space="preserve"> </w:t>
      </w:r>
      <w:r w:rsidR="00955879" w:rsidRPr="00BA5C93">
        <w:rPr>
          <w:rFonts w:ascii="Palatino Linotype" w:hAnsi="Palatino Linotype" w:cs="Arial"/>
          <w:sz w:val="24"/>
          <w:szCs w:val="24"/>
        </w:rPr>
        <w:t xml:space="preserve"> </w:t>
      </w:r>
    </w:p>
    <w:p w:rsidR="00E46E0C" w:rsidRPr="00E46E0C" w:rsidRDefault="00E46E0C" w:rsidP="00E46E0C">
      <w:pPr>
        <w:pStyle w:val="Prrafodelista"/>
        <w:rPr>
          <w:rFonts w:ascii="Palatino Linotype" w:hAnsi="Palatino Linotype" w:cs="Arial"/>
          <w:b/>
          <w:i/>
          <w:sz w:val="24"/>
          <w:szCs w:val="24"/>
        </w:rPr>
      </w:pPr>
    </w:p>
    <w:p w:rsidR="00E46E0C" w:rsidRPr="005539E5" w:rsidRDefault="00E46E0C" w:rsidP="00E46E0C">
      <w:pPr>
        <w:pStyle w:val="Prrafodelista"/>
        <w:spacing w:line="276" w:lineRule="auto"/>
        <w:ind w:left="851" w:right="616"/>
        <w:jc w:val="both"/>
        <w:rPr>
          <w:rFonts w:ascii="Palatino Linotype" w:hAnsi="Palatino Linotype" w:cs="Arial"/>
          <w:i/>
        </w:rPr>
      </w:pPr>
      <w:r w:rsidRPr="005539E5">
        <w:rPr>
          <w:rFonts w:ascii="Palatino Linotype" w:hAnsi="Palatino Linotype" w:cs="Arial"/>
          <w:i/>
        </w:rPr>
        <w:t>“El documento o documentos donde conste el sueldo bruto y neto de los servidores públicos adscritos a la Tesorera Municipal, correspondientes a la primera quincena de febrero de 2019.</w:t>
      </w:r>
    </w:p>
    <w:p w:rsidR="00E46E0C" w:rsidRPr="005539E5" w:rsidRDefault="00E46E0C" w:rsidP="00E46E0C">
      <w:pPr>
        <w:pStyle w:val="Prrafodelista"/>
        <w:spacing w:line="276" w:lineRule="auto"/>
        <w:ind w:left="851" w:right="616"/>
        <w:jc w:val="both"/>
        <w:rPr>
          <w:rFonts w:ascii="Palatino Linotype" w:hAnsi="Palatino Linotype" w:cs="Arial"/>
          <w:i/>
        </w:rPr>
      </w:pPr>
    </w:p>
    <w:p w:rsidR="00E46E0C" w:rsidRPr="005539E5" w:rsidRDefault="00E46E0C" w:rsidP="00E46E0C">
      <w:pPr>
        <w:ind w:left="851" w:right="616"/>
        <w:jc w:val="both"/>
        <w:rPr>
          <w:rFonts w:ascii="Palatino Linotype" w:hAnsi="Palatino Linotype" w:cs="Arial"/>
          <w:i/>
        </w:rPr>
      </w:pPr>
      <w:r w:rsidRPr="005539E5">
        <w:rPr>
          <w:rFonts w:ascii="Palatino Linotype" w:hAnsi="Palatino Linotype"/>
          <w:i/>
        </w:rPr>
        <w:t>Debiendo</w:t>
      </w:r>
      <w:r w:rsidRPr="005539E5">
        <w:rPr>
          <w:rFonts w:ascii="Palatino Linotype" w:hAnsi="Palatino Linotype" w:cs="Arial"/>
          <w:i/>
        </w:rPr>
        <w:t xml:space="preserve"> </w:t>
      </w:r>
      <w:r w:rsidRPr="005539E5">
        <w:rPr>
          <w:rFonts w:ascii="Palatino Linotype" w:hAnsi="Palatino Linotype" w:cs="Arial"/>
          <w:i/>
          <w:lang w:eastAsia="es-MX"/>
        </w:rPr>
        <w:t>notificar</w:t>
      </w:r>
      <w:r w:rsidRPr="005539E5">
        <w:rPr>
          <w:rFonts w:ascii="Palatino Linotype" w:hAnsi="Palatino Linotype" w:cs="Arial"/>
          <w:i/>
        </w:rPr>
        <w:t xml:space="preserve"> al</w:t>
      </w:r>
      <w:r w:rsidRPr="005539E5">
        <w:rPr>
          <w:rFonts w:ascii="Palatino Linotype" w:hAnsi="Palatino Linotype" w:cs="Arial"/>
          <w:b/>
          <w:i/>
        </w:rPr>
        <w:t xml:space="preserve"> RECURRENTE</w:t>
      </w:r>
      <w:r w:rsidRPr="005539E5">
        <w:rPr>
          <w:rFonts w:ascii="Palatino Linotype" w:hAnsi="Palatino Linotype" w:cs="Arial"/>
          <w:i/>
        </w:rPr>
        <w:t xml:space="preserve"> el Acuerdo de Clasificación de la información que apruebe su Comité de Transparencia con motivo de la versión pública.”</w:t>
      </w:r>
    </w:p>
    <w:p w:rsidR="00E46E0C" w:rsidRPr="00BA5C93" w:rsidRDefault="00E46E0C" w:rsidP="00E46E0C">
      <w:pPr>
        <w:pStyle w:val="Prrafodelista"/>
        <w:spacing w:after="0" w:line="360" w:lineRule="auto"/>
        <w:ind w:left="426"/>
        <w:jc w:val="both"/>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sidRPr="00B10C1A">
        <w:rPr>
          <w:rFonts w:ascii="Palatino Linotype" w:hAnsi="Palatino Linotype" w:cs="Arial"/>
          <w:sz w:val="24"/>
          <w:szCs w:val="24"/>
        </w:rPr>
        <w:t xml:space="preserve"> en sentido de la resolución </w:t>
      </w:r>
      <w:r w:rsidR="00FA799E">
        <w:rPr>
          <w:rFonts w:ascii="Palatino Linotype" w:hAnsi="Palatino Linotype" w:cs="Arial"/>
          <w:sz w:val="24"/>
          <w:szCs w:val="24"/>
        </w:rPr>
        <w:t>confirmar</w:t>
      </w:r>
      <w:r w:rsidRPr="00B10C1A">
        <w:rPr>
          <w:rFonts w:ascii="Palatino Linotype" w:hAnsi="Palatino Linotype" w:cs="Arial"/>
          <w:sz w:val="24"/>
          <w:szCs w:val="24"/>
        </w:rPr>
        <w:t xml:space="preserve">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respuesta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proporcionada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a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solicitud</w:t>
      </w:r>
      <w:r w:rsidR="00441939" w:rsidRPr="00B10C1A">
        <w:rPr>
          <w:rFonts w:ascii="Palatino Linotype" w:hAnsi="Palatino Linotype" w:cs="Arial"/>
          <w:sz w:val="24"/>
          <w:szCs w:val="24"/>
        </w:rPr>
        <w:t>es</w:t>
      </w:r>
      <w:r w:rsidRPr="00B10C1A">
        <w:rPr>
          <w:rFonts w:ascii="Palatino Linotype" w:hAnsi="Palatino Linotype" w:cs="Arial"/>
          <w:sz w:val="24"/>
          <w:szCs w:val="24"/>
        </w:rPr>
        <w:t>, lo cual he manifestado en diversas ocasiones señalando que no deben invocarse en el derecho de acceso a la información pública.</w:t>
      </w:r>
    </w:p>
    <w:p w:rsidR="00FA799E" w:rsidRPr="00FA799E" w:rsidRDefault="00FA799E" w:rsidP="00FA799E">
      <w:pPr>
        <w:pStyle w:val="Prrafodelista"/>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w:t>
      </w:r>
      <w:r w:rsidR="00FA799E">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920A6F" w:rsidRPr="00B10C1A" w:rsidRDefault="00920A6F"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2" w:name="_Toc8153016"/>
      <w:r w:rsidRPr="00B10C1A">
        <w:rPr>
          <w:szCs w:val="24"/>
        </w:rPr>
        <w:t>De los requerimientos planteados en el recurso de revisión.</w:t>
      </w:r>
      <w:bookmarkEnd w:id="2"/>
    </w:p>
    <w:p w:rsidR="0046491C" w:rsidRPr="00B10C1A" w:rsidRDefault="0046491C" w:rsidP="0046491C">
      <w:pPr>
        <w:pStyle w:val="Prrafodelista"/>
        <w:spacing w:line="360" w:lineRule="auto"/>
        <w:ind w:left="1080"/>
        <w:jc w:val="both"/>
        <w:rPr>
          <w:rFonts w:ascii="Palatino Linotype" w:hAnsi="Palatino Linotype" w:cs="Arial"/>
          <w:b/>
          <w:sz w:val="24"/>
          <w:szCs w:val="24"/>
        </w:rPr>
      </w:pPr>
    </w:p>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 solicitud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602B26" w:rsidRPr="00B10C1A" w:rsidRDefault="00731C92" w:rsidP="007A23D1">
      <w:pPr>
        <w:pStyle w:val="Prrafodelista"/>
        <w:spacing w:before="100" w:beforeAutospacing="1" w:after="100" w:afterAutospacing="1"/>
        <w:ind w:left="851" w:right="851"/>
        <w:jc w:val="both"/>
        <w:rPr>
          <w:rFonts w:ascii="Palatino Linotype" w:hAnsi="Palatino Linotype" w:cs="Arial"/>
          <w:i/>
        </w:rPr>
      </w:pPr>
      <w:r>
        <w:rPr>
          <w:rFonts w:ascii="Palatino Linotype" w:hAnsi="Palatino Linotype" w:cs="Arial"/>
          <w:i/>
        </w:rPr>
        <w:lastRenderedPageBreak/>
        <w:t>“</w:t>
      </w:r>
      <w:r w:rsidR="00E46E0C" w:rsidRPr="00E46E0C">
        <w:rPr>
          <w:rFonts w:ascii="Palatino Linotype" w:hAnsi="Palatino Linotype" w:cs="Arial"/>
          <w:i/>
        </w:rPr>
        <w:t>1.- si algún trabajador adscrito a la tesorería del municipio de capulhuac edo mex. cuenta o no con antecedentes penales. 2.-cargo de todo el personal adscrito ala tesorería municipal capulhuac así como las funciones que desempeña. 3.-antigüedad en la plaza o puesto de todo el personal adscrito a la tesorería municipal capulhuac 4.- sueldos y salarios brutos y netos que reciben con motivo de su calidad de servidor publico de todo el personal adscrito a la tesorera municipal 5.- grado maximo de estudios y copia simple del comprobante de todo el personal adscrito a la tesoreria municipal de capulhuac</w:t>
      </w:r>
      <w:r w:rsidR="007A23D1" w:rsidRPr="00B10C1A">
        <w:rPr>
          <w:rFonts w:ascii="Palatino Linotype" w:hAnsi="Palatino Linotype" w:cs="Arial"/>
          <w:i/>
        </w:rPr>
        <w:t>” (Sic)</w:t>
      </w:r>
    </w:p>
    <w:p w:rsidR="00AF3716" w:rsidRPr="00B10C1A" w:rsidRDefault="00AF3716" w:rsidP="007A23D1">
      <w:pPr>
        <w:pStyle w:val="Prrafodelista"/>
        <w:spacing w:before="100" w:beforeAutospacing="1" w:after="100" w:afterAutospacing="1"/>
        <w:ind w:left="851" w:right="851"/>
        <w:jc w:val="both"/>
        <w:rPr>
          <w:rFonts w:ascii="Palatino Linotype" w:hAnsi="Palatino Linotype" w:cs="Arial"/>
          <w:i/>
        </w:rPr>
      </w:pPr>
    </w:p>
    <w:p w:rsidR="007A23D1" w:rsidRPr="00B10C1A"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B10C1A" w:rsidRDefault="00BA5C93" w:rsidP="00117841">
      <w:pPr>
        <w:pStyle w:val="Prrafodelista"/>
        <w:numPr>
          <w:ilvl w:val="0"/>
          <w:numId w:val="1"/>
        </w:num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A consideración del particular, </w:t>
      </w:r>
      <w:r w:rsidR="002006FF" w:rsidRPr="00B10C1A">
        <w:rPr>
          <w:rFonts w:ascii="Palatino Linotype" w:hAnsi="Palatino Linotype" w:cs="Arial"/>
          <w:sz w:val="24"/>
          <w:szCs w:val="24"/>
          <w:lang w:eastAsia="es-MX"/>
        </w:rPr>
        <w:t xml:space="preserve">el </w:t>
      </w:r>
      <w:r w:rsidR="00FA799E">
        <w:rPr>
          <w:rFonts w:ascii="Palatino Linotype" w:hAnsi="Palatino Linotype" w:cs="Arial"/>
          <w:sz w:val="24"/>
          <w:szCs w:val="24"/>
          <w:lang w:eastAsia="es-MX"/>
        </w:rPr>
        <w:t>Sujeto Obligado</w:t>
      </w:r>
      <w:r w:rsidR="002006FF" w:rsidRPr="00B10C1A">
        <w:rPr>
          <w:rFonts w:ascii="Palatino Linotype" w:hAnsi="Palatino Linotype" w:cs="Arial"/>
          <w:b/>
          <w:sz w:val="24"/>
          <w:szCs w:val="24"/>
          <w:lang w:eastAsia="es-MX"/>
        </w:rPr>
        <w:t xml:space="preserve"> </w:t>
      </w:r>
      <w:r w:rsidR="002006FF" w:rsidRPr="00B10C1A">
        <w:rPr>
          <w:rFonts w:ascii="Palatino Linotype" w:hAnsi="Palatino Linotype" w:cs="Arial"/>
          <w:sz w:val="24"/>
          <w:szCs w:val="24"/>
          <w:lang w:eastAsia="es-MX"/>
        </w:rPr>
        <w:t xml:space="preserve">respondió </w:t>
      </w:r>
      <w:r w:rsidR="00A95990">
        <w:rPr>
          <w:rFonts w:ascii="Palatino Linotype" w:hAnsi="Palatino Linotype" w:cs="Arial"/>
          <w:sz w:val="24"/>
          <w:szCs w:val="24"/>
          <w:lang w:eastAsia="es-MX"/>
        </w:rPr>
        <w:t xml:space="preserve">parcialmente </w:t>
      </w:r>
      <w:r w:rsidR="007A23D1" w:rsidRPr="00B10C1A">
        <w:rPr>
          <w:rFonts w:ascii="Palatino Linotype" w:hAnsi="Palatino Linotype" w:cs="Arial"/>
          <w:sz w:val="24"/>
          <w:szCs w:val="24"/>
          <w:lang w:eastAsia="es-MX"/>
        </w:rPr>
        <w:t>al</w:t>
      </w:r>
      <w:r w:rsidR="002006FF" w:rsidRPr="00B10C1A">
        <w:rPr>
          <w:rFonts w:ascii="Palatino Linotype" w:hAnsi="Palatino Linotype" w:cs="Arial"/>
          <w:sz w:val="24"/>
          <w:szCs w:val="24"/>
          <w:lang w:eastAsia="es-MX"/>
        </w:rPr>
        <w:t xml:space="preserve"> requerimiento planteado, </w:t>
      </w:r>
      <w:r w:rsidR="00A95990">
        <w:rPr>
          <w:rFonts w:ascii="Palatino Linotype" w:hAnsi="Palatino Linotype" w:cs="Arial"/>
          <w:sz w:val="24"/>
          <w:szCs w:val="24"/>
          <w:lang w:eastAsia="es-MX"/>
        </w:rPr>
        <w:t>motivo por el cual, el Recurrente al momento de</w:t>
      </w:r>
      <w:r w:rsidR="004472A9" w:rsidRPr="00B10C1A">
        <w:rPr>
          <w:rFonts w:ascii="Palatino Linotype" w:hAnsi="Palatino Linotype" w:cs="Arial"/>
          <w:sz w:val="24"/>
          <w:szCs w:val="24"/>
          <w:lang w:eastAsia="es-MX"/>
        </w:rPr>
        <w:t xml:space="preserve"> 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E46E0C">
        <w:rPr>
          <w:rFonts w:ascii="Palatino Linotype" w:hAnsi="Palatino Linotype" w:cs="Arial"/>
          <w:sz w:val="24"/>
          <w:szCs w:val="24"/>
          <w:lang w:eastAsia="es-MX"/>
        </w:rPr>
        <w:t>no se dio respuesta al punto 4 de la solicitud</w:t>
      </w:r>
      <w:r w:rsidR="00731C92">
        <w:rPr>
          <w:rFonts w:ascii="Palatino Linotype" w:hAnsi="Palatino Linotype" w:cs="Arial"/>
          <w:sz w:val="24"/>
          <w:szCs w:val="24"/>
          <w:lang w:eastAsia="es-MX"/>
        </w:rPr>
        <w:t xml:space="preserve">. </w:t>
      </w:r>
    </w:p>
    <w:p w:rsidR="002006FF" w:rsidRPr="00B10C1A" w:rsidRDefault="002006FF" w:rsidP="00634736">
      <w:pPr>
        <w:spacing w:line="276" w:lineRule="auto"/>
        <w:ind w:left="993" w:right="1041"/>
        <w:jc w:val="both"/>
        <w:rPr>
          <w:rFonts w:ascii="Palatino Linotype" w:hAnsi="Palatino Linotype" w:cs="Arial"/>
          <w:i/>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B10C1A" w:rsidRDefault="00D73077" w:rsidP="00D73077">
      <w:pPr>
        <w:pStyle w:val="Prrafodelista"/>
        <w:spacing w:after="0" w:line="360" w:lineRule="auto"/>
        <w:ind w:left="360"/>
        <w:jc w:val="both"/>
        <w:rPr>
          <w:rFonts w:ascii="Palatino Linotype" w:hAnsi="Palatino Linotype" w:cs="Arial"/>
          <w:sz w:val="24"/>
          <w:szCs w:val="24"/>
        </w:rPr>
      </w:pPr>
    </w:p>
    <w:p w:rsidR="008253DA" w:rsidRPr="008253DA" w:rsidRDefault="0046491C" w:rsidP="008253DA">
      <w:pPr>
        <w:spacing w:before="240" w:after="240" w:line="360" w:lineRule="auto"/>
        <w:ind w:left="851" w:right="616"/>
        <w:jc w:val="both"/>
        <w:rPr>
          <w:rFonts w:ascii="Palatino Linotype" w:hAnsi="Palatino Linotype"/>
          <w:i/>
        </w:rPr>
      </w:pPr>
      <w:r w:rsidRPr="00B10C1A">
        <w:rPr>
          <w:rFonts w:ascii="Palatino Linotype" w:hAnsi="Palatino Linotype" w:cs="Arial"/>
          <w:i/>
          <w:sz w:val="24"/>
          <w:szCs w:val="24"/>
        </w:rPr>
        <w:t>“</w:t>
      </w:r>
      <w:r w:rsidR="008253DA" w:rsidRPr="008253DA">
        <w:rPr>
          <w:rFonts w:ascii="Palatino Linotype" w:hAnsi="Palatino Linotype"/>
          <w:i/>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jurisprudencial número VI.3o.C. J/60, publicada en el Semanario </w:t>
      </w:r>
      <w:r w:rsidR="008253DA" w:rsidRPr="008253DA">
        <w:rPr>
          <w:rFonts w:ascii="Palatino Linotype" w:hAnsi="Palatino Linotype"/>
          <w:i/>
        </w:rPr>
        <w:lastRenderedPageBreak/>
        <w:t>Judicial de la Federación y su Gaceta bajo el número de registro 176,608 que a la letra dice:</w:t>
      </w:r>
    </w:p>
    <w:p w:rsidR="008253DA" w:rsidRDefault="008253DA" w:rsidP="008253DA">
      <w:pPr>
        <w:spacing w:before="240" w:after="240" w:line="360" w:lineRule="auto"/>
        <w:ind w:left="851" w:right="616"/>
        <w:jc w:val="both"/>
        <w:rPr>
          <w:rFonts w:ascii="Palatino Linotype" w:hAnsi="Palatino Linotype"/>
          <w:i/>
        </w:rPr>
      </w:pPr>
      <w:r w:rsidRPr="008253DA">
        <w:rPr>
          <w:rFonts w:ascii="Palatino Linotype" w:hAnsi="Palatino Linotype"/>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6491C" w:rsidRPr="00B10C1A" w:rsidRDefault="0046491C" w:rsidP="008253DA">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B10C1A">
        <w:rPr>
          <w:rFonts w:ascii="Palatino Linotype" w:eastAsia="Calibri" w:hAnsi="Palatino Linotype" w:cs="Times New Roman"/>
          <w:sz w:val="24"/>
          <w:szCs w:val="24"/>
          <w:lang w:val="es-ES" w:eastAsia="es-ES"/>
        </w:rPr>
        <w:t xml:space="preserve"> Por lo que la mayoría consideró que 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00857D4E">
        <w:rPr>
          <w:rFonts w:ascii="Palatino Linotype" w:eastAsia="Calibri" w:hAnsi="Palatino Linotype" w:cs="Times New Roman"/>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w:t>
      </w:r>
      <w:r w:rsidR="00857D4E">
        <w:rPr>
          <w:rFonts w:ascii="Palatino Linotype" w:eastAsia="Calibri" w:hAnsi="Palatino Linotype" w:cs="Times New Roman"/>
          <w:sz w:val="24"/>
          <w:szCs w:val="24"/>
          <w:lang w:val="es-ES" w:eastAsia="es-ES"/>
        </w:rPr>
        <w:t>confirmada</w:t>
      </w:r>
      <w:r w:rsidRPr="00B10C1A">
        <w:rPr>
          <w:rFonts w:ascii="Palatino Linotype" w:eastAsia="Calibri" w:hAnsi="Palatino Linotype" w:cs="Times New Roman"/>
          <w:sz w:val="24"/>
          <w:szCs w:val="24"/>
          <w:lang w:val="es-ES" w:eastAsia="es-ES"/>
        </w:rPr>
        <w:t>, sin embargo, en el derecho de acceso a la información, considero, es innecesario señalar la figura de actos consentidos.</w:t>
      </w:r>
    </w:p>
    <w:p w:rsidR="0046491C" w:rsidRPr="00B10C1A" w:rsidRDefault="0046491C" w:rsidP="0046491C">
      <w:pPr>
        <w:pStyle w:val="Ttulo1"/>
        <w:numPr>
          <w:ilvl w:val="0"/>
          <w:numId w:val="12"/>
        </w:numPr>
        <w:rPr>
          <w:szCs w:val="24"/>
        </w:rPr>
      </w:pPr>
      <w:bookmarkStart w:id="3" w:name="_Toc8153017"/>
      <w:r w:rsidRPr="00B10C1A">
        <w:rPr>
          <w:szCs w:val="24"/>
        </w:rPr>
        <w:lastRenderedPageBreak/>
        <w:t>Los actos consentidos no deben invocarse en el derecho fundamental de acceder a la información pública gubernamental.</w:t>
      </w:r>
      <w:bookmarkEnd w:id="3"/>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A95990" w:rsidRPr="00A95990" w:rsidRDefault="00A95990" w:rsidP="00A95990">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A95990" w:rsidRPr="00A95990" w:rsidRDefault="00A95990" w:rsidP="00A95990">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w:t>
      </w:r>
      <w:r w:rsidRPr="00B10C1A">
        <w:rPr>
          <w:rFonts w:ascii="Palatino Linotype" w:hAnsi="Palatino Linotype" w:cs="Arial"/>
          <w:sz w:val="24"/>
          <w:szCs w:val="24"/>
        </w:rPr>
        <w:lastRenderedPageBreak/>
        <w:t xml:space="preserve">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B10C1A" w:rsidRDefault="00EB3B6B" w:rsidP="00EB3B6B">
      <w:pPr>
        <w:pStyle w:val="Prrafodelista"/>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A97D8B" w:rsidRPr="00A97D8B" w:rsidRDefault="00A97D8B" w:rsidP="00A97D8B">
      <w:pPr>
        <w:pStyle w:val="Prrafodelista"/>
        <w:rPr>
          <w:rFonts w:ascii="Palatino Linotype" w:hAnsi="Palatino Linotype" w:cs="Arial"/>
          <w:sz w:val="24"/>
          <w:szCs w:val="24"/>
        </w:rPr>
      </w:pPr>
    </w:p>
    <w:p w:rsidR="0046491C"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A95990" w:rsidRPr="00B10C1A" w:rsidRDefault="00A95990"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 xml:space="preserve">suponiendo en el peor de los casos, que en efecto, no se hubiera ordenado la información solicitada por no impugnar la falta de entrega de los documentos </w:t>
      </w:r>
      <w:r w:rsidRPr="00B10C1A">
        <w:rPr>
          <w:rFonts w:ascii="Palatino Linotype" w:hAnsi="Palatino Linotype" w:cs="Arial"/>
          <w:sz w:val="24"/>
          <w:szCs w:val="24"/>
        </w:rPr>
        <w:lastRenderedPageBreak/>
        <w:t>solicitados, debilita la efectividad de esta garantía al hacerla depender de un hecho desconocido y, por lo tanto de dudosa acreditación, además que se insiste fue en todo momento innecesario señalar el argumento de actos consentidos.</w:t>
      </w:r>
    </w:p>
    <w:p w:rsidR="0046491C" w:rsidRPr="00B10C1A" w:rsidRDefault="0046491C"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B10C1A" w:rsidRDefault="0046491C" w:rsidP="0046491C">
      <w:pPr>
        <w:pStyle w:val="Prrafodelista"/>
        <w:spacing w:line="360" w:lineRule="auto"/>
        <w:jc w:val="both"/>
        <w:rPr>
          <w:rFonts w:ascii="Palatino Linotype" w:hAnsi="Palatino Linotype" w:cs="Arial"/>
          <w:sz w:val="24"/>
          <w:szCs w:val="24"/>
        </w:rPr>
      </w:pPr>
    </w:p>
    <w:p w:rsidR="00007504"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Cotta que “la obligatoriedad de la </w:t>
      </w:r>
      <w:r w:rsidRPr="00B10C1A">
        <w:rPr>
          <w:rFonts w:ascii="Palatino Linotype" w:hAnsi="Palatino Linotype" w:cs="Arial"/>
          <w:sz w:val="24"/>
          <w:szCs w:val="24"/>
        </w:rPr>
        <w:lastRenderedPageBreak/>
        <w:t>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B10C1A" w:rsidRDefault="00AE1193" w:rsidP="00AE1193">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 xml:space="preserve">de reacción ante el riesgo de vulneración del derecho, de forma que se impida la consumación de la </w:t>
      </w:r>
      <w:r w:rsidRPr="00B10C1A">
        <w:rPr>
          <w:rFonts w:ascii="Palatino Linotype" w:hAnsi="Palatino Linotype" w:cs="Arial"/>
          <w:b/>
          <w:sz w:val="24"/>
          <w:szCs w:val="24"/>
        </w:rPr>
        <w:lastRenderedPageBreak/>
        <w:t>violación. En este último sentido, su cumplimiento es inmediatamente exigible, ya que como la conducta estatal debe encaminarse a resguardar a las personas de las interferencias a sus derechos provenientes de los propios 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00A97D8B">
        <w:rPr>
          <w:rFonts w:ascii="Palatino Linotype" w:hAnsi="Palatino Linotype" w:cs="Arial"/>
          <w:sz w:val="24"/>
          <w:szCs w:val="24"/>
        </w:rPr>
        <w:t>Sujetos Obligados</w:t>
      </w:r>
      <w:r w:rsidRPr="00B10C1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w:t>
      </w:r>
      <w:r w:rsidRPr="00B10C1A">
        <w:rPr>
          <w:rFonts w:ascii="Palatino Linotype" w:hAnsi="Palatino Linotype" w:cs="Arial"/>
          <w:sz w:val="24"/>
          <w:szCs w:val="24"/>
        </w:rPr>
        <w:lastRenderedPageBreak/>
        <w:t>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BE3B45" w:rsidRPr="00B10C1A" w:rsidRDefault="00BE3B45" w:rsidP="00BE3B45">
      <w:pPr>
        <w:pStyle w:val="Prrafodelista"/>
        <w:spacing w:after="0" w:line="360" w:lineRule="auto"/>
        <w:ind w:left="360"/>
        <w:jc w:val="both"/>
        <w:rPr>
          <w:rFonts w:ascii="Palatino Linotype" w:hAnsi="Palatino Linotype" w:cs="Arial"/>
          <w:sz w:val="24"/>
          <w:szCs w:val="24"/>
        </w:rPr>
      </w:pP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B10C1A">
        <w:rPr>
          <w:rStyle w:val="Refdenotaalpie"/>
          <w:rFonts w:ascii="Palatino Linotype" w:hAnsi="Palatino Linotype" w:cs="Arial"/>
          <w:i/>
        </w:rPr>
        <w:footnoteReference w:id="5"/>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w:t>
      </w:r>
      <w:r w:rsidRPr="00B10C1A">
        <w:rPr>
          <w:rFonts w:ascii="Palatino Linotype" w:hAnsi="Palatino Linotype" w:cs="Arial"/>
          <w:sz w:val="24"/>
          <w:szCs w:val="24"/>
        </w:rPr>
        <w:lastRenderedPageBreak/>
        <w:t>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A8499A" w:rsidRDefault="00A8499A" w:rsidP="00A8499A">
      <w:pPr>
        <w:spacing w:after="0" w:line="360" w:lineRule="auto"/>
        <w:jc w:val="both"/>
        <w:rPr>
          <w:rFonts w:ascii="Palatino Linotype" w:hAnsi="Palatino Linotype" w:cs="Arial"/>
          <w:sz w:val="24"/>
          <w:szCs w:val="24"/>
        </w:rPr>
      </w:pPr>
    </w:p>
    <w:p w:rsidR="00A8499A" w:rsidRPr="00A8499A" w:rsidRDefault="00A8499A" w:rsidP="00A8499A">
      <w:pPr>
        <w:spacing w:after="0" w:line="360" w:lineRule="auto"/>
        <w:jc w:val="both"/>
        <w:rPr>
          <w:rFonts w:ascii="Palatino Linotype" w:hAnsi="Palatino Linotype" w:cs="Arial"/>
          <w:sz w:val="24"/>
          <w:szCs w:val="24"/>
        </w:rPr>
      </w:pPr>
    </w:p>
    <w:p w:rsidR="00A97D8B" w:rsidRDefault="00A97D8B" w:rsidP="003B3FC7">
      <w:pPr>
        <w:pStyle w:val="Ttulo1"/>
        <w:numPr>
          <w:ilvl w:val="0"/>
          <w:numId w:val="12"/>
        </w:numPr>
        <w:rPr>
          <w:b w:val="0"/>
          <w:color w:val="000000" w:themeColor="text1"/>
          <w:szCs w:val="24"/>
        </w:rPr>
      </w:pPr>
      <w:bookmarkStart w:id="4" w:name="_Toc485633205"/>
      <w:bookmarkStart w:id="5" w:name="_Toc517097953"/>
      <w:bookmarkStart w:id="6" w:name="_Toc8153018"/>
      <w:r w:rsidRPr="00E20DC1">
        <w:rPr>
          <w:color w:val="000000" w:themeColor="text1"/>
          <w:szCs w:val="24"/>
        </w:rPr>
        <w:t>Conclusión</w:t>
      </w:r>
      <w:bookmarkEnd w:id="4"/>
      <w:bookmarkEnd w:id="5"/>
      <w:bookmarkEnd w:id="6"/>
    </w:p>
    <w:p w:rsidR="00A97D8B" w:rsidRPr="001A3406" w:rsidRDefault="00A97D8B" w:rsidP="00A97D8B"/>
    <w:p w:rsidR="00145D32" w:rsidRPr="00A8499A" w:rsidRDefault="00301086" w:rsidP="00A8499A">
      <w:pPr>
        <w:pStyle w:val="Prrafodelista"/>
        <w:numPr>
          <w:ilvl w:val="0"/>
          <w:numId w:val="1"/>
        </w:numPr>
        <w:spacing w:after="0" w:line="360" w:lineRule="auto"/>
        <w:ind w:left="426"/>
        <w:jc w:val="both"/>
        <w:rPr>
          <w:rFonts w:ascii="Palatino Linotype" w:hAnsi="Palatino Linotype"/>
          <w:sz w:val="24"/>
          <w:szCs w:val="24"/>
        </w:rPr>
      </w:pPr>
      <w:r w:rsidRPr="00B10C1A">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A8499A">
        <w:rPr>
          <w:rFonts w:ascii="Palatino Linotype" w:hAnsi="Palatino Linotype" w:cs="Arial"/>
          <w:sz w:val="24"/>
          <w:szCs w:val="24"/>
        </w:rPr>
        <w:t>erecho, en lugar de vulnerarlo. A</w:t>
      </w:r>
      <w:r w:rsidR="00A97D8B" w:rsidRPr="00A8499A">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45D32" w:rsidRPr="00B10C1A" w:rsidRDefault="00145D32" w:rsidP="00145D32">
      <w:pPr>
        <w:pStyle w:val="Prrafodelista"/>
        <w:ind w:left="0"/>
        <w:rPr>
          <w:rFonts w:ascii="Palatino Linotype" w:eastAsia="Calibri" w:hAnsi="Palatino Linotype" w:cs="Arial"/>
          <w:sz w:val="24"/>
          <w:szCs w:val="24"/>
        </w:rPr>
      </w:pPr>
    </w:p>
    <w:p w:rsidR="00145D32" w:rsidRPr="00B10C1A" w:rsidRDefault="00145D32" w:rsidP="00145D32">
      <w:pPr>
        <w:pStyle w:val="Prrafodelista"/>
        <w:spacing w:before="240" w:after="240" w:line="360" w:lineRule="auto"/>
        <w:ind w:left="0"/>
        <w:jc w:val="both"/>
        <w:rPr>
          <w:rFonts w:ascii="Palatino Linotype" w:hAnsi="Palatino Linotype" w:cs="Arial"/>
          <w:color w:val="000000" w:themeColor="text1"/>
          <w:sz w:val="24"/>
          <w:szCs w:val="24"/>
        </w:rPr>
      </w:pPr>
    </w:p>
    <w:p w:rsidR="00232B6D" w:rsidRPr="00B10C1A" w:rsidRDefault="00232B6D" w:rsidP="00232B6D">
      <w:pPr>
        <w:spacing w:after="0" w:line="360" w:lineRule="auto"/>
        <w:contextualSpacing/>
        <w:jc w:val="both"/>
        <w:rPr>
          <w:rFonts w:ascii="Palatino Linotype" w:hAnsi="Palatino Linotype"/>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232B6D" w:rsidRDefault="00232B6D" w:rsidP="00D33AF9">
      <w:pPr>
        <w:jc w:val="center"/>
        <w:rPr>
          <w:rFonts w:ascii="Palatino Linotype" w:hAnsi="Palatino Linotype"/>
          <w:b/>
          <w:sz w:val="24"/>
          <w:szCs w:val="24"/>
        </w:rPr>
      </w:pPr>
    </w:p>
    <w:p w:rsidR="00840B54" w:rsidRDefault="00840B54" w:rsidP="00D33AF9">
      <w:pPr>
        <w:jc w:val="center"/>
        <w:rPr>
          <w:rFonts w:ascii="Palatino Linotype" w:hAnsi="Palatino Linotype"/>
          <w:b/>
          <w:sz w:val="24"/>
          <w:szCs w:val="24"/>
        </w:rPr>
      </w:pPr>
    </w:p>
    <w:p w:rsidR="00A8499A" w:rsidRPr="00B10C1A" w:rsidRDefault="00A8499A" w:rsidP="00D33AF9">
      <w:pPr>
        <w:jc w:val="center"/>
        <w:rPr>
          <w:rFonts w:ascii="Palatino Linotype" w:hAnsi="Palatino Linotype"/>
          <w:b/>
          <w:sz w:val="24"/>
          <w:szCs w:val="24"/>
        </w:rPr>
      </w:pPr>
    </w:p>
    <w:p w:rsidR="00232B6D" w:rsidRPr="00B10C1A" w:rsidRDefault="00232B6D" w:rsidP="00E67B8D">
      <w:pPr>
        <w:rPr>
          <w:rFonts w:ascii="Palatino Linotype" w:hAnsi="Palatino Linotype"/>
          <w:sz w:val="20"/>
          <w:szCs w:val="20"/>
        </w:rPr>
      </w:pPr>
    </w:p>
    <w:p w:rsidR="00D02E7A" w:rsidRDefault="00EB3B6B" w:rsidP="00E67B8D">
      <w:pPr>
        <w:rPr>
          <w:rFonts w:ascii="Palatino Linotype" w:hAnsi="Palatino Linotype"/>
          <w:sz w:val="20"/>
          <w:szCs w:val="20"/>
        </w:rPr>
      </w:pPr>
      <w:r w:rsidRPr="00B10C1A">
        <w:rPr>
          <w:rFonts w:ascii="Palatino Linotype" w:hAnsi="Palatino Linotype"/>
          <w:sz w:val="20"/>
          <w:szCs w:val="20"/>
        </w:rPr>
        <w:t>SAVAP/SEV</w:t>
      </w:r>
    </w:p>
    <w:sectPr w:rsidR="00D02E7A"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08" w:rsidRDefault="00450308" w:rsidP="00E706DA">
      <w:pPr>
        <w:spacing w:after="0" w:line="240" w:lineRule="auto"/>
      </w:pPr>
      <w:r>
        <w:separator/>
      </w:r>
    </w:p>
  </w:endnote>
  <w:endnote w:type="continuationSeparator" w:id="0">
    <w:p w:rsidR="00450308" w:rsidRDefault="00450308"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4411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44111">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08" w:rsidRDefault="00450308" w:rsidP="00E706DA">
      <w:pPr>
        <w:spacing w:after="0" w:line="240" w:lineRule="auto"/>
      </w:pPr>
      <w:r>
        <w:separator/>
      </w:r>
    </w:p>
  </w:footnote>
  <w:footnote w:type="continuationSeparator" w:id="0">
    <w:p w:rsidR="00450308" w:rsidRDefault="00450308"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4503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4503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4503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35F7E"/>
    <w:multiLevelType w:val="hybridMultilevel"/>
    <w:tmpl w:val="36444B1E"/>
    <w:lvl w:ilvl="0" w:tplc="27B489D0">
      <w:start w:val="3"/>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10"/>
  </w:num>
  <w:num w:numId="5">
    <w:abstractNumId w:val="13"/>
  </w:num>
  <w:num w:numId="6">
    <w:abstractNumId w:val="15"/>
  </w:num>
  <w:num w:numId="7">
    <w:abstractNumId w:val="18"/>
  </w:num>
  <w:num w:numId="8">
    <w:abstractNumId w:val="16"/>
  </w:num>
  <w:num w:numId="9">
    <w:abstractNumId w:val="21"/>
  </w:num>
  <w:num w:numId="10">
    <w:abstractNumId w:val="4"/>
  </w:num>
  <w:num w:numId="11">
    <w:abstractNumId w:val="20"/>
  </w:num>
  <w:num w:numId="12">
    <w:abstractNumId w:val="8"/>
  </w:num>
  <w:num w:numId="13">
    <w:abstractNumId w:val="11"/>
  </w:num>
  <w:num w:numId="14">
    <w:abstractNumId w:val="7"/>
  </w:num>
  <w:num w:numId="15">
    <w:abstractNumId w:val="1"/>
  </w:num>
  <w:num w:numId="16">
    <w:abstractNumId w:val="19"/>
  </w:num>
  <w:num w:numId="17">
    <w:abstractNumId w:val="3"/>
  </w:num>
  <w:num w:numId="18">
    <w:abstractNumId w:val="23"/>
  </w:num>
  <w:num w:numId="19">
    <w:abstractNumId w:val="17"/>
  </w:num>
  <w:num w:numId="20">
    <w:abstractNumId w:val="22"/>
  </w:num>
  <w:num w:numId="21">
    <w:abstractNumId w:val="9"/>
  </w:num>
  <w:num w:numId="22">
    <w:abstractNumId w:val="5"/>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44B99"/>
    <w:rsid w:val="00073F0D"/>
    <w:rsid w:val="000951B4"/>
    <w:rsid w:val="0009696B"/>
    <w:rsid w:val="00097F15"/>
    <w:rsid w:val="000A620C"/>
    <w:rsid w:val="000A7B66"/>
    <w:rsid w:val="000F0579"/>
    <w:rsid w:val="000F6CBB"/>
    <w:rsid w:val="00106DB8"/>
    <w:rsid w:val="00117841"/>
    <w:rsid w:val="00122625"/>
    <w:rsid w:val="00127BDE"/>
    <w:rsid w:val="00137288"/>
    <w:rsid w:val="00144111"/>
    <w:rsid w:val="00145D32"/>
    <w:rsid w:val="00150050"/>
    <w:rsid w:val="00172CB0"/>
    <w:rsid w:val="001D3F34"/>
    <w:rsid w:val="001D6B24"/>
    <w:rsid w:val="002006FF"/>
    <w:rsid w:val="002036ED"/>
    <w:rsid w:val="00232B6D"/>
    <w:rsid w:val="00232CA3"/>
    <w:rsid w:val="002620E9"/>
    <w:rsid w:val="00281310"/>
    <w:rsid w:val="002B1625"/>
    <w:rsid w:val="002D0298"/>
    <w:rsid w:val="002E7894"/>
    <w:rsid w:val="003007A7"/>
    <w:rsid w:val="00301086"/>
    <w:rsid w:val="00302274"/>
    <w:rsid w:val="003605A5"/>
    <w:rsid w:val="003747A5"/>
    <w:rsid w:val="003B3FC7"/>
    <w:rsid w:val="003B44CB"/>
    <w:rsid w:val="003C4797"/>
    <w:rsid w:val="003D6E63"/>
    <w:rsid w:val="00410C93"/>
    <w:rsid w:val="0043522D"/>
    <w:rsid w:val="00441939"/>
    <w:rsid w:val="004472A9"/>
    <w:rsid w:val="00450308"/>
    <w:rsid w:val="0045568A"/>
    <w:rsid w:val="00456B87"/>
    <w:rsid w:val="0046491C"/>
    <w:rsid w:val="00476094"/>
    <w:rsid w:val="004A6FD9"/>
    <w:rsid w:val="004D7218"/>
    <w:rsid w:val="00511A5B"/>
    <w:rsid w:val="00547195"/>
    <w:rsid w:val="005474BE"/>
    <w:rsid w:val="00556CD4"/>
    <w:rsid w:val="005646BF"/>
    <w:rsid w:val="00570595"/>
    <w:rsid w:val="005833D9"/>
    <w:rsid w:val="005A3267"/>
    <w:rsid w:val="005C24FF"/>
    <w:rsid w:val="005C2977"/>
    <w:rsid w:val="005D7E6E"/>
    <w:rsid w:val="005E124F"/>
    <w:rsid w:val="005F5DBB"/>
    <w:rsid w:val="00602B26"/>
    <w:rsid w:val="00606E42"/>
    <w:rsid w:val="00616E9B"/>
    <w:rsid w:val="00634736"/>
    <w:rsid w:val="006728FD"/>
    <w:rsid w:val="006773D4"/>
    <w:rsid w:val="006D7989"/>
    <w:rsid w:val="00717C0D"/>
    <w:rsid w:val="0072136B"/>
    <w:rsid w:val="00731C92"/>
    <w:rsid w:val="00754C1A"/>
    <w:rsid w:val="00770016"/>
    <w:rsid w:val="00770B87"/>
    <w:rsid w:val="00782DE6"/>
    <w:rsid w:val="00790E37"/>
    <w:rsid w:val="00794A84"/>
    <w:rsid w:val="007A0940"/>
    <w:rsid w:val="007A23D1"/>
    <w:rsid w:val="00810627"/>
    <w:rsid w:val="0082270E"/>
    <w:rsid w:val="008253DA"/>
    <w:rsid w:val="008275ED"/>
    <w:rsid w:val="00840B54"/>
    <w:rsid w:val="00850252"/>
    <w:rsid w:val="0085533E"/>
    <w:rsid w:val="00856FA1"/>
    <w:rsid w:val="00857D4E"/>
    <w:rsid w:val="00864971"/>
    <w:rsid w:val="008822B3"/>
    <w:rsid w:val="008B03B6"/>
    <w:rsid w:val="008C13C7"/>
    <w:rsid w:val="008D7AF8"/>
    <w:rsid w:val="008F3E81"/>
    <w:rsid w:val="008F735D"/>
    <w:rsid w:val="008F7578"/>
    <w:rsid w:val="00900E75"/>
    <w:rsid w:val="00902248"/>
    <w:rsid w:val="00920A6F"/>
    <w:rsid w:val="00926781"/>
    <w:rsid w:val="00955879"/>
    <w:rsid w:val="00957232"/>
    <w:rsid w:val="0097278E"/>
    <w:rsid w:val="00996597"/>
    <w:rsid w:val="009C3135"/>
    <w:rsid w:val="009C41CC"/>
    <w:rsid w:val="009E7FFA"/>
    <w:rsid w:val="00A6310D"/>
    <w:rsid w:val="00A63717"/>
    <w:rsid w:val="00A8499A"/>
    <w:rsid w:val="00A95990"/>
    <w:rsid w:val="00A97D8B"/>
    <w:rsid w:val="00AB023D"/>
    <w:rsid w:val="00AC381E"/>
    <w:rsid w:val="00AD5651"/>
    <w:rsid w:val="00AE1193"/>
    <w:rsid w:val="00AF3716"/>
    <w:rsid w:val="00B10A66"/>
    <w:rsid w:val="00B10C1A"/>
    <w:rsid w:val="00B27292"/>
    <w:rsid w:val="00B4109D"/>
    <w:rsid w:val="00B46F4B"/>
    <w:rsid w:val="00BA3A9C"/>
    <w:rsid w:val="00BA5C93"/>
    <w:rsid w:val="00BC5B58"/>
    <w:rsid w:val="00BC7B0C"/>
    <w:rsid w:val="00BE3B45"/>
    <w:rsid w:val="00C03D41"/>
    <w:rsid w:val="00C128C9"/>
    <w:rsid w:val="00C526F2"/>
    <w:rsid w:val="00C91180"/>
    <w:rsid w:val="00CE0823"/>
    <w:rsid w:val="00CE60A9"/>
    <w:rsid w:val="00D01FF9"/>
    <w:rsid w:val="00D02E7A"/>
    <w:rsid w:val="00D10627"/>
    <w:rsid w:val="00D12DE7"/>
    <w:rsid w:val="00D26449"/>
    <w:rsid w:val="00D33AF9"/>
    <w:rsid w:val="00D72985"/>
    <w:rsid w:val="00D73077"/>
    <w:rsid w:val="00D7508B"/>
    <w:rsid w:val="00DB4794"/>
    <w:rsid w:val="00DF6F7E"/>
    <w:rsid w:val="00E46E0C"/>
    <w:rsid w:val="00E67B8D"/>
    <w:rsid w:val="00E702DD"/>
    <w:rsid w:val="00E706DA"/>
    <w:rsid w:val="00E83E93"/>
    <w:rsid w:val="00EA4F61"/>
    <w:rsid w:val="00EB0906"/>
    <w:rsid w:val="00EB3B6B"/>
    <w:rsid w:val="00ED4A1D"/>
    <w:rsid w:val="00F130BF"/>
    <w:rsid w:val="00F21D90"/>
    <w:rsid w:val="00F53A7A"/>
    <w:rsid w:val="00F64B90"/>
    <w:rsid w:val="00F65F7E"/>
    <w:rsid w:val="00F857BC"/>
    <w:rsid w:val="00FA799E"/>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2950</Words>
  <Characters>16225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2019-06-03T21:49:00Z</cp:lastPrinted>
  <dcterms:created xsi:type="dcterms:W3CDTF">2019-06-20T00:14:00Z</dcterms:created>
  <dcterms:modified xsi:type="dcterms:W3CDTF">2019-06-20T00:14:00Z</dcterms:modified>
</cp:coreProperties>
</file>