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a</w:t>
      </w:r>
      <w:r w:rsidR="00C50B3E">
        <w:rPr>
          <w:rFonts w:ascii="Palatino Linotype" w:hAnsi="Palatino Linotype"/>
          <w:sz w:val="24"/>
          <w:szCs w:val="24"/>
          <w:lang w:eastAsia="es-MX"/>
        </w:rPr>
        <w:t xml:space="preserve"> </w:t>
      </w:r>
      <w:r w:rsidR="001C3289" w:rsidRPr="001C3289">
        <w:rPr>
          <w:rFonts w:ascii="Palatino Linotype" w:hAnsi="Palatino Linotype"/>
          <w:sz w:val="24"/>
          <w:szCs w:val="24"/>
          <w:lang w:eastAsia="es-MX"/>
        </w:rPr>
        <w:t>veintiséis de junio</w:t>
      </w:r>
      <w:r w:rsidR="00C50B3E">
        <w:rPr>
          <w:rFonts w:ascii="Palatino Linotype" w:hAnsi="Palatino Linotype"/>
          <w:sz w:val="24"/>
          <w:szCs w:val="24"/>
          <w:lang w:eastAsia="es-MX"/>
        </w:rPr>
        <w:t xml:space="preserve"> </w:t>
      </w:r>
      <w:r w:rsidR="00B3452B">
        <w:rPr>
          <w:rFonts w:ascii="Palatino Linotype" w:hAnsi="Palatino Linotype"/>
          <w:sz w:val="24"/>
          <w:szCs w:val="24"/>
          <w:lang w:eastAsia="es-MX"/>
        </w:rPr>
        <w:t>d</w:t>
      </w:r>
      <w:r w:rsidR="00182616">
        <w:rPr>
          <w:rFonts w:ascii="Palatino Linotype" w:hAnsi="Palatino Linotype"/>
          <w:sz w:val="24"/>
          <w:szCs w:val="24"/>
          <w:lang w:eastAsia="es-MX"/>
        </w:rPr>
        <w:t>e</w:t>
      </w:r>
      <w:r w:rsidR="00BF123B" w:rsidRPr="00C35F18">
        <w:rPr>
          <w:rFonts w:ascii="Palatino Linotype" w:hAnsi="Palatino Linotype"/>
          <w:sz w:val="24"/>
          <w:szCs w:val="24"/>
          <w:lang w:eastAsia="es-MX"/>
        </w:rPr>
        <w:t xml:space="preserve"> dos mil </w:t>
      </w:r>
      <w:r w:rsidR="005D517E">
        <w:rPr>
          <w:rFonts w:ascii="Palatino Linotype" w:hAnsi="Palatino Linotype"/>
          <w:sz w:val="24"/>
          <w:szCs w:val="24"/>
          <w:lang w:eastAsia="es-MX"/>
        </w:rPr>
        <w:t xml:space="preserve">diecinueve. </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555F06">
        <w:rPr>
          <w:rFonts w:ascii="Palatino Linotype" w:hAnsi="Palatino Linotype"/>
          <w:b/>
          <w:bCs/>
          <w:sz w:val="24"/>
          <w:szCs w:val="24"/>
          <w:lang w:eastAsia="es-MX"/>
        </w:rPr>
        <w:t>0</w:t>
      </w:r>
      <w:r w:rsidR="006A4A68">
        <w:rPr>
          <w:rFonts w:ascii="Palatino Linotype" w:hAnsi="Palatino Linotype"/>
          <w:b/>
          <w:bCs/>
          <w:sz w:val="24"/>
          <w:szCs w:val="24"/>
          <w:lang w:eastAsia="es-MX"/>
        </w:rPr>
        <w:t>2546</w:t>
      </w:r>
      <w:r w:rsidR="00555F06">
        <w:rPr>
          <w:rFonts w:ascii="Palatino Linotype" w:hAnsi="Palatino Linotype"/>
          <w:b/>
          <w:bCs/>
          <w:sz w:val="24"/>
          <w:szCs w:val="24"/>
          <w:lang w:eastAsia="es-MX"/>
        </w:rPr>
        <w:t>/INFOEM/IP/RR/2019</w:t>
      </w:r>
      <w:r w:rsidR="003C3124">
        <w:rPr>
          <w:rFonts w:ascii="Palatino Linotype" w:hAnsi="Palatino Linotype"/>
          <w:sz w:val="24"/>
          <w:szCs w:val="24"/>
        </w:rPr>
        <w:t>, interpuest</w:t>
      </w:r>
      <w:r w:rsidR="0016423B">
        <w:rPr>
          <w:rFonts w:ascii="Palatino Linotype" w:hAnsi="Palatino Linotype"/>
          <w:sz w:val="24"/>
          <w:szCs w:val="24"/>
        </w:rPr>
        <w:t>o por</w:t>
      </w:r>
      <w:r w:rsidR="001D2B28">
        <w:rPr>
          <w:rFonts w:ascii="Palatino Linotype" w:hAnsi="Palatino Linotype"/>
          <w:sz w:val="24"/>
          <w:szCs w:val="24"/>
        </w:rPr>
        <w:t xml:space="preserve"> el </w:t>
      </w:r>
      <w:r w:rsidR="001D2B28" w:rsidRPr="001D2B28">
        <w:rPr>
          <w:rFonts w:ascii="Palatino Linotype" w:hAnsi="Palatino Linotype"/>
          <w:b/>
          <w:sz w:val="24"/>
          <w:szCs w:val="24"/>
        </w:rPr>
        <w:t>C.</w:t>
      </w:r>
      <w:r w:rsidR="005E3F88">
        <w:rPr>
          <w:rFonts w:ascii="Palatino Linotype" w:hAnsi="Palatino Linotype"/>
          <w:b/>
          <w:sz w:val="24"/>
          <w:szCs w:val="24"/>
        </w:rPr>
        <w:t xml:space="preserve"> </w:t>
      </w:r>
      <w:r w:rsidR="00E14099">
        <w:rPr>
          <w:rFonts w:ascii="Palatino Linotype" w:hAnsi="Palatino Linotype"/>
          <w:b/>
          <w:sz w:val="24"/>
          <w:szCs w:val="24"/>
        </w:rPr>
        <w:t>XXXXXXXXXXXXX</w:t>
      </w:r>
      <w:bookmarkStart w:id="0" w:name="_GoBack"/>
      <w:bookmarkEnd w:id="0"/>
      <w:r w:rsidR="00DB501C" w:rsidRPr="00DB501C">
        <w:rPr>
          <w:rFonts w:ascii="Palatino Linotype" w:hAnsi="Palatino Linotype"/>
          <w:b/>
          <w:sz w:val="24"/>
          <w:szCs w:val="24"/>
        </w:rPr>
        <w:t xml:space="preserve"> </w:t>
      </w:r>
      <w:r w:rsidRPr="00C35F18">
        <w:rPr>
          <w:rFonts w:ascii="Palatino Linotype" w:hAnsi="Palatino Linotype"/>
          <w:sz w:val="24"/>
          <w:szCs w:val="24"/>
        </w:rPr>
        <w:t xml:space="preserve">en lo sucesivo </w:t>
      </w:r>
      <w:r w:rsidR="00555F06" w:rsidRPr="00555F06">
        <w:rPr>
          <w:rFonts w:ascii="Palatino Linotype" w:hAnsi="Palatino Linotype"/>
          <w:b/>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00E95C59">
        <w:rPr>
          <w:rFonts w:ascii="Palatino Linotype" w:hAnsi="Palatino Linotype"/>
          <w:sz w:val="24"/>
          <w:szCs w:val="24"/>
        </w:rPr>
        <w:t xml:space="preserve">falta de </w:t>
      </w:r>
      <w:r w:rsidRPr="00216B8D">
        <w:rPr>
          <w:rFonts w:ascii="Palatino Linotype" w:hAnsi="Palatino Linotype"/>
          <w:sz w:val="24"/>
          <w:szCs w:val="24"/>
        </w:rPr>
        <w:t>respuesta de</w:t>
      </w:r>
      <w:r w:rsidR="009151CF">
        <w:rPr>
          <w:rFonts w:ascii="Palatino Linotype" w:hAnsi="Palatino Linotype"/>
          <w:sz w:val="24"/>
          <w:szCs w:val="24"/>
        </w:rPr>
        <w:t>l</w:t>
      </w:r>
      <w:r w:rsidR="00E95C59">
        <w:rPr>
          <w:rFonts w:ascii="Palatino Linotype" w:hAnsi="Palatino Linotype"/>
          <w:sz w:val="24"/>
          <w:szCs w:val="24"/>
        </w:rPr>
        <w:t xml:space="preserve"> </w:t>
      </w:r>
      <w:r w:rsidR="00EC18D8" w:rsidRPr="00EC18D8">
        <w:rPr>
          <w:rFonts w:ascii="Palatino Linotype" w:hAnsi="Palatino Linotype" w:cs="Arial"/>
          <w:b/>
          <w:sz w:val="24"/>
          <w:szCs w:val="24"/>
        </w:rPr>
        <w:t>Ayuntamiento de Tenango del Aire</w:t>
      </w:r>
      <w:r w:rsidRPr="00216B8D">
        <w:rPr>
          <w:rFonts w:ascii="Palatino Linotype" w:hAnsi="Palatino Linotype"/>
          <w:sz w:val="24"/>
          <w:szCs w:val="24"/>
        </w:rPr>
        <w:t>, en lo subsecuente</w:t>
      </w:r>
      <w:r w:rsidR="00FD55D4">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27C5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EC18D8" w:rsidRPr="00EC18D8">
        <w:rPr>
          <w:rFonts w:ascii="Palatino Linotype" w:hAnsi="Palatino Linotype"/>
          <w:sz w:val="24"/>
          <w:szCs w:val="24"/>
        </w:rPr>
        <w:t>veintiuno de marzo de dos mil diecinueve</w:t>
      </w:r>
      <w:r w:rsidR="00555F06">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5E3F88">
        <w:rPr>
          <w:rFonts w:ascii="Palatino Linotype" w:hAnsi="Palatino Linotype"/>
          <w:b/>
          <w:sz w:val="24"/>
          <w:szCs w:val="24"/>
        </w:rPr>
        <w:t xml:space="preserve"> </w:t>
      </w:r>
      <w:r w:rsidR="00EC18D8" w:rsidRPr="00EC18D8">
        <w:rPr>
          <w:rFonts w:ascii="Palatino Linotype" w:hAnsi="Palatino Linotype"/>
          <w:b/>
          <w:sz w:val="24"/>
          <w:szCs w:val="24"/>
        </w:rPr>
        <w:t>00031/TENAAIR/IP/2019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C35F18" w:rsidRDefault="00C35F18" w:rsidP="0014447C">
      <w:pPr>
        <w:pStyle w:val="Sinespaciado"/>
        <w:spacing w:line="360" w:lineRule="auto"/>
        <w:jc w:val="both"/>
        <w:rPr>
          <w:rFonts w:ascii="Palatino Linotype" w:hAnsi="Palatino Linotype"/>
          <w:sz w:val="24"/>
          <w:szCs w:val="24"/>
        </w:rPr>
      </w:pPr>
    </w:p>
    <w:p w:rsidR="00795F0C" w:rsidRPr="002B2410" w:rsidRDefault="00795F0C" w:rsidP="00795F0C">
      <w:pPr>
        <w:spacing w:line="360" w:lineRule="auto"/>
        <w:ind w:left="567" w:right="567"/>
        <w:jc w:val="both"/>
        <w:rPr>
          <w:rFonts w:ascii="Palatino Linotype" w:hAnsi="Palatino Linotype" w:cs="Tahoma"/>
          <w:bCs/>
          <w:i/>
        </w:rPr>
      </w:pPr>
      <w:r w:rsidRPr="002B2410">
        <w:rPr>
          <w:rFonts w:ascii="Palatino Linotype" w:hAnsi="Palatino Linotype" w:cs="Tahoma"/>
          <w:bCs/>
          <w:i/>
        </w:rPr>
        <w:t xml:space="preserve">“Buenas tardes, con fundamentos en su articulo 92 fracciones VIII, IX y X, solicito la siguiente información respecto a la administración municipal de tenango del aire 2019-2021.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Los gastos de representación y viáticos, así como el </w:t>
      </w:r>
      <w:r w:rsidRPr="002B2410">
        <w:rPr>
          <w:rFonts w:ascii="Palatino Linotype" w:hAnsi="Palatino Linotype" w:cs="Tahoma"/>
          <w:bCs/>
          <w:i/>
        </w:rPr>
        <w:lastRenderedPageBreak/>
        <w:t>objeto e informe de comisión correspondiente y El número total de las plazas y del personal de base y de confianza, especificando el total de las vacantes, por nivel de puesto, para cada unidad administrativa. El forma digital y desglosada. Gracias” (Sic.)</w:t>
      </w:r>
    </w:p>
    <w:p w:rsidR="0016423B" w:rsidRDefault="0016423B" w:rsidP="0014447C">
      <w:pPr>
        <w:pStyle w:val="Sinespaciado"/>
        <w:spacing w:line="360" w:lineRule="auto"/>
        <w:jc w:val="both"/>
        <w:rPr>
          <w:rFonts w:ascii="Palatino Linotype" w:eastAsia="Times New Roman" w:hAnsi="Palatino Linotype" w:cs="Times New Roman"/>
          <w:i/>
          <w:lang w:val="es-ES_tradnl" w:eastAsia="es-ES"/>
        </w:rPr>
      </w:pPr>
    </w:p>
    <w:p w:rsidR="007E2E80" w:rsidRDefault="007E2E80" w:rsidP="0014447C">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sidR="00C47EEF">
        <w:rPr>
          <w:rFonts w:ascii="Palatino Linotype" w:eastAsia="Times New Roman" w:hAnsi="Palatino Linotype" w:cs="Times New Roman"/>
          <w:b/>
          <w:sz w:val="24"/>
          <w:szCs w:val="24"/>
          <w:lang w:val="es-ES_tradnl" w:eastAsia="es-ES"/>
        </w:rPr>
        <w:t xml:space="preserve"> </w:t>
      </w:r>
      <w:r w:rsidR="00795F0C">
        <w:rPr>
          <w:rFonts w:ascii="Palatino Linotype" w:eastAsia="Times New Roman" w:hAnsi="Palatino Linotype" w:cs="Times New Roman"/>
          <w:b/>
          <w:sz w:val="24"/>
          <w:szCs w:val="24"/>
          <w:lang w:val="es-ES_tradnl" w:eastAsia="es-ES"/>
        </w:rPr>
        <w:t>A través del SAIMEX.</w:t>
      </w:r>
    </w:p>
    <w:p w:rsidR="006A58E4" w:rsidRDefault="006A58E4"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00238F" w:rsidRPr="002B52D6" w:rsidRDefault="002B52D6" w:rsidP="0014447C">
      <w:pPr>
        <w:pStyle w:val="Sinespaciado"/>
        <w:spacing w:line="360" w:lineRule="auto"/>
        <w:jc w:val="both"/>
        <w:rPr>
          <w:rFonts w:ascii="Palatino Linotype" w:hAnsi="Palatino Linotype"/>
          <w:b/>
          <w:sz w:val="26"/>
          <w:szCs w:val="26"/>
        </w:rPr>
      </w:pPr>
      <w:r w:rsidRPr="002B52D6">
        <w:rPr>
          <w:rFonts w:ascii="Palatino Linotype" w:hAnsi="Palatino Linotype"/>
          <w:b/>
          <w:sz w:val="26"/>
          <w:szCs w:val="26"/>
        </w:rPr>
        <w:t>SEGUNDO</w:t>
      </w:r>
      <w:r w:rsidR="007E2E80" w:rsidRPr="002B52D6">
        <w:rPr>
          <w:rFonts w:ascii="Palatino Linotype" w:hAnsi="Palatino Linotype"/>
          <w:b/>
          <w:sz w:val="26"/>
          <w:szCs w:val="26"/>
        </w:rPr>
        <w:t xml:space="preserve">. </w:t>
      </w:r>
      <w:r w:rsidR="00DA21DB" w:rsidRPr="002B52D6">
        <w:rPr>
          <w:rFonts w:ascii="Palatino Linotype" w:hAnsi="Palatino Linotype"/>
          <w:b/>
          <w:sz w:val="26"/>
          <w:szCs w:val="26"/>
        </w:rPr>
        <w:t xml:space="preserve">De la </w:t>
      </w:r>
      <w:r w:rsidR="007E2E80" w:rsidRPr="002B52D6">
        <w:rPr>
          <w:rFonts w:ascii="Palatino Linotype" w:hAnsi="Palatino Linotype"/>
          <w:b/>
          <w:sz w:val="26"/>
          <w:szCs w:val="26"/>
        </w:rPr>
        <w:t>respuesta del Sujeto Obligado.</w:t>
      </w:r>
    </w:p>
    <w:p w:rsidR="0000238F" w:rsidRPr="009978AF" w:rsidRDefault="0000238F" w:rsidP="0014447C">
      <w:pPr>
        <w:pStyle w:val="Sinespaciado"/>
        <w:spacing w:line="360" w:lineRule="auto"/>
        <w:jc w:val="both"/>
        <w:rPr>
          <w:rFonts w:ascii="Palatino Linotype" w:hAnsi="Palatino Linotype"/>
          <w:b/>
          <w:sz w:val="12"/>
          <w:szCs w:val="26"/>
        </w:rPr>
      </w:pPr>
    </w:p>
    <w:p w:rsidR="008758DC" w:rsidRPr="009C4628" w:rsidRDefault="0000238F" w:rsidP="0000238F">
      <w:pPr>
        <w:spacing w:after="0" w:line="360" w:lineRule="auto"/>
        <w:jc w:val="both"/>
        <w:rPr>
          <w:rFonts w:ascii="Palatino Linotype" w:hAnsi="Palatino Linotype" w:cs="Arial"/>
          <w:sz w:val="24"/>
        </w:rPr>
      </w:pPr>
      <w:r w:rsidRPr="009C4628">
        <w:rPr>
          <w:rFonts w:ascii="Palatino Linotype" w:hAnsi="Palatino Linotype" w:cs="Arial"/>
          <w:sz w:val="24"/>
        </w:rPr>
        <w:t xml:space="preserve">Del expediente electrónico que obra en </w:t>
      </w:r>
      <w:r w:rsidRPr="009C4628">
        <w:rPr>
          <w:rFonts w:ascii="Palatino Linotype" w:hAnsi="Palatino Linotype" w:cs="Arial"/>
          <w:b/>
          <w:sz w:val="24"/>
        </w:rPr>
        <w:t>SAIMEX</w:t>
      </w:r>
      <w:r w:rsidRPr="009C4628">
        <w:rPr>
          <w:rFonts w:ascii="Palatino Linotype" w:hAnsi="Palatino Linotype" w:cs="Arial"/>
          <w:sz w:val="24"/>
        </w:rPr>
        <w:t xml:space="preserve">, se observa que </w:t>
      </w:r>
      <w:r w:rsidRPr="009C4628">
        <w:rPr>
          <w:rFonts w:ascii="Palatino Linotype" w:hAnsi="Palatino Linotype" w:cs="Arial"/>
          <w:b/>
          <w:sz w:val="24"/>
        </w:rPr>
        <w:t>El Sujeto Obligado</w:t>
      </w:r>
      <w:r w:rsidRPr="009C4628">
        <w:rPr>
          <w:rFonts w:ascii="Palatino Linotype" w:hAnsi="Palatino Linotype" w:cs="Arial"/>
          <w:sz w:val="24"/>
        </w:rPr>
        <w:t xml:space="preserve"> fue om</w:t>
      </w:r>
      <w:r>
        <w:rPr>
          <w:rFonts w:ascii="Palatino Linotype" w:hAnsi="Palatino Linotype" w:cs="Arial"/>
          <w:sz w:val="24"/>
        </w:rPr>
        <w:t>iso en dar respuesta a la solicitud</w:t>
      </w:r>
      <w:r w:rsidRPr="009C4628">
        <w:rPr>
          <w:rFonts w:ascii="Palatino Linotype" w:hAnsi="Palatino Linotype" w:cs="Arial"/>
          <w:sz w:val="24"/>
        </w:rPr>
        <w:t xml:space="preserve"> de información.</w:t>
      </w:r>
    </w:p>
    <w:p w:rsidR="001B5DCE" w:rsidRDefault="001B5DCE" w:rsidP="0014447C">
      <w:pPr>
        <w:pStyle w:val="Sinespaciado"/>
        <w:spacing w:line="360" w:lineRule="auto"/>
        <w:jc w:val="both"/>
        <w:rPr>
          <w:rFonts w:ascii="Palatino Linotype" w:hAnsi="Palatino Linotype"/>
          <w:b/>
          <w:sz w:val="26"/>
          <w:szCs w:val="26"/>
        </w:rPr>
      </w:pPr>
    </w:p>
    <w:p w:rsidR="007E2E80" w:rsidRPr="002B52D6" w:rsidRDefault="00E5746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2B52D6">
        <w:rPr>
          <w:rFonts w:ascii="Palatino Linotype" w:hAnsi="Palatino Linotype"/>
          <w:b/>
          <w:sz w:val="26"/>
          <w:szCs w:val="26"/>
        </w:rPr>
        <w:t>. Del recurso de revisión.</w:t>
      </w:r>
    </w:p>
    <w:p w:rsidR="009978AF" w:rsidRPr="009978AF" w:rsidRDefault="009978AF" w:rsidP="0014447C">
      <w:pPr>
        <w:pStyle w:val="Sinespaciado"/>
        <w:spacing w:line="360" w:lineRule="auto"/>
        <w:jc w:val="both"/>
        <w:rPr>
          <w:rFonts w:ascii="Palatino Linotype" w:hAnsi="Palatino Linotype"/>
          <w:b/>
          <w:sz w:val="12"/>
          <w:szCs w:val="26"/>
        </w:rPr>
      </w:pPr>
    </w:p>
    <w:p w:rsidR="007E2E80" w:rsidRPr="00D04234" w:rsidRDefault="007E2E80" w:rsidP="00323D35">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w:t>
      </w:r>
      <w:r w:rsidR="003C042D">
        <w:rPr>
          <w:rFonts w:ascii="Palatino Linotype" w:hAnsi="Palatino Linotype"/>
          <w:sz w:val="24"/>
          <w:szCs w:val="24"/>
        </w:rPr>
        <w:t xml:space="preserve"> falta de respuesta </w:t>
      </w:r>
      <w:r w:rsidR="00D04234">
        <w:rPr>
          <w:rFonts w:ascii="Palatino Linotype" w:hAnsi="Palatino Linotype"/>
          <w:sz w:val="24"/>
          <w:szCs w:val="24"/>
        </w:rPr>
        <w:t xml:space="preserve">por </w:t>
      </w:r>
      <w:r w:rsidR="003C042D">
        <w:rPr>
          <w:rFonts w:ascii="Palatino Linotype" w:hAnsi="Palatino Linotype"/>
          <w:sz w:val="24"/>
          <w:szCs w:val="24"/>
        </w:rPr>
        <w:t>parte d</w:t>
      </w:r>
      <w:r w:rsidR="00D04234">
        <w:rPr>
          <w:rFonts w:ascii="Palatino Linotype" w:hAnsi="Palatino Linotype"/>
          <w:sz w:val="24"/>
          <w:szCs w:val="24"/>
        </w:rPr>
        <w:t>el Sujeto O</w:t>
      </w:r>
      <w:r w:rsidRPr="00D04234">
        <w:rPr>
          <w:rFonts w:ascii="Palatino Linotype" w:hAnsi="Palatino Linotype"/>
          <w:sz w:val="24"/>
          <w:szCs w:val="24"/>
        </w:rPr>
        <w:t xml:space="preserve">bligado, </w:t>
      </w:r>
      <w:r w:rsidR="002B52D6">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C24D1D">
        <w:rPr>
          <w:rFonts w:ascii="Palatino Linotype" w:hAnsi="Palatino Linotype"/>
          <w:sz w:val="24"/>
          <w:szCs w:val="24"/>
        </w:rPr>
        <w:t>veintitrés</w:t>
      </w:r>
      <w:r w:rsidR="00741A50">
        <w:rPr>
          <w:rFonts w:ascii="Palatino Linotype" w:hAnsi="Palatino Linotype"/>
          <w:sz w:val="24"/>
          <w:szCs w:val="24"/>
        </w:rPr>
        <w:t xml:space="preserve"> de abril</w:t>
      </w:r>
      <w:r w:rsidR="00041664">
        <w:rPr>
          <w:rFonts w:ascii="Palatino Linotype" w:hAnsi="Palatino Linotype"/>
          <w:sz w:val="24"/>
          <w:szCs w:val="24"/>
        </w:rPr>
        <w:t xml:space="preserve"> de dos mil diecinueve</w:t>
      </w:r>
      <w:r w:rsidR="00E57465">
        <w:rPr>
          <w:rFonts w:ascii="Palatino Linotype" w:hAnsi="Palatino Linotype"/>
          <w:sz w:val="24"/>
          <w:szCs w:val="24"/>
        </w:rPr>
        <w:t>,</w:t>
      </w:r>
      <w:r w:rsidR="00323D35">
        <w:rPr>
          <w:rFonts w:ascii="Palatino Linotype" w:hAnsi="Palatino Linotype"/>
          <w:sz w:val="24"/>
          <w:szCs w:val="24"/>
        </w:rPr>
        <w:t xml:space="preserve"> </w:t>
      </w:r>
      <w:r w:rsidR="00852DE6">
        <w:rPr>
          <w:rFonts w:ascii="Palatino Linotype" w:hAnsi="Palatino Linotype"/>
          <w:sz w:val="24"/>
          <w:szCs w:val="24"/>
        </w:rPr>
        <w:t>el cual</w:t>
      </w:r>
      <w:r w:rsidRPr="00D04234">
        <w:rPr>
          <w:rFonts w:ascii="Palatino Linotype" w:hAnsi="Palatino Linotype"/>
          <w:sz w:val="24"/>
          <w:szCs w:val="24"/>
        </w:rPr>
        <w:t xml:space="preserve"> </w:t>
      </w:r>
      <w:r w:rsidR="00852DE6">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sidR="0075676A">
        <w:rPr>
          <w:rFonts w:ascii="Palatino Linotype" w:hAnsi="Palatino Linotype"/>
          <w:b/>
          <w:bCs/>
          <w:sz w:val="24"/>
          <w:szCs w:val="24"/>
          <w:lang w:eastAsia="es-MX"/>
        </w:rPr>
        <w:t>0</w:t>
      </w:r>
      <w:r w:rsidR="006A4A68">
        <w:rPr>
          <w:rFonts w:ascii="Palatino Linotype" w:hAnsi="Palatino Linotype"/>
          <w:b/>
          <w:bCs/>
          <w:sz w:val="24"/>
          <w:szCs w:val="24"/>
          <w:lang w:eastAsia="es-MX"/>
        </w:rPr>
        <w:t>2546</w:t>
      </w:r>
      <w:r w:rsidR="00E57465">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95F0C" w:rsidRPr="002B2410" w:rsidRDefault="00795F0C" w:rsidP="00795F0C">
      <w:pPr>
        <w:autoSpaceDE w:val="0"/>
        <w:autoSpaceDN w:val="0"/>
        <w:adjustRightInd w:val="0"/>
        <w:spacing w:line="360" w:lineRule="auto"/>
        <w:ind w:left="567" w:right="567"/>
        <w:jc w:val="both"/>
        <w:rPr>
          <w:rFonts w:ascii="Palatino Linotype" w:hAnsi="Palatino Linotype" w:cs="Tahoma"/>
          <w:i/>
        </w:rPr>
      </w:pPr>
      <w:r w:rsidRPr="002B2410">
        <w:rPr>
          <w:rFonts w:ascii="Palatino Linotype" w:hAnsi="Palatino Linotype" w:cs="Tahoma"/>
          <w:i/>
        </w:rPr>
        <w:t>“No se recibio respuesta por parte del sujeto obligado.”</w:t>
      </w:r>
      <w:r w:rsidRPr="002B2410">
        <w:rPr>
          <w:rFonts w:ascii="Palatino Linotype" w:hAnsi="Palatino Linotype" w:cs="Tahoma"/>
        </w:rPr>
        <w:t xml:space="preserve"> </w:t>
      </w:r>
      <w:r w:rsidRPr="002B2410">
        <w:rPr>
          <w:rFonts w:ascii="Palatino Linotype" w:hAnsi="Palatino Linotype" w:cs="Tahoma"/>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95F0C" w:rsidRPr="002B2410" w:rsidRDefault="00795F0C" w:rsidP="00795F0C">
      <w:pPr>
        <w:autoSpaceDE w:val="0"/>
        <w:autoSpaceDN w:val="0"/>
        <w:adjustRightInd w:val="0"/>
        <w:spacing w:line="360" w:lineRule="auto"/>
        <w:ind w:left="567" w:right="567"/>
        <w:jc w:val="both"/>
        <w:rPr>
          <w:rFonts w:ascii="Palatino Linotype" w:hAnsi="Palatino Linotype" w:cs="Tahoma"/>
          <w:i/>
        </w:rPr>
      </w:pPr>
      <w:r w:rsidRPr="002B2410">
        <w:rPr>
          <w:rFonts w:ascii="Palatino Linotype" w:hAnsi="Palatino Linotype" w:cs="Tahoma"/>
          <w:i/>
        </w:rPr>
        <w:t>“No se recibio respuesta por parte del sujeto obligado.” (Sic.)</w:t>
      </w:r>
    </w:p>
    <w:p w:rsidR="007E2E80" w:rsidRPr="00D46905" w:rsidRDefault="007E2E80" w:rsidP="0014447C">
      <w:pPr>
        <w:spacing w:line="240" w:lineRule="auto"/>
        <w:ind w:left="851" w:right="850"/>
        <w:jc w:val="both"/>
        <w:rPr>
          <w:rFonts w:ascii="Palatino Linotype" w:hAnsi="Palatino Linotype" w:cs="Arial"/>
          <w:i/>
          <w:sz w:val="24"/>
        </w:rPr>
      </w:pPr>
    </w:p>
    <w:p w:rsidR="00BE6D77" w:rsidRPr="004657BE" w:rsidRDefault="00BE6D77" w:rsidP="004657BE">
      <w:pPr>
        <w:pStyle w:val="Sinespaciado"/>
        <w:spacing w:line="360" w:lineRule="auto"/>
        <w:jc w:val="both"/>
        <w:rPr>
          <w:rFonts w:ascii="Palatino Linotype" w:hAnsi="Palatino Linotype"/>
          <w:sz w:val="24"/>
          <w:szCs w:val="24"/>
        </w:rPr>
      </w:pPr>
    </w:p>
    <w:p w:rsidR="007E2E80" w:rsidRDefault="00E57465"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7E2E80" w:rsidRPr="004657BE">
        <w:rPr>
          <w:rFonts w:ascii="Palatino Linotype" w:hAnsi="Palatino Linotype"/>
          <w:b/>
          <w:sz w:val="26"/>
          <w:szCs w:val="26"/>
        </w:rPr>
        <w:t xml:space="preserve">.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9978AF" w:rsidRPr="009978AF" w:rsidRDefault="009978AF" w:rsidP="004657BE">
      <w:pPr>
        <w:pStyle w:val="Sinespaciado"/>
        <w:spacing w:line="360" w:lineRule="auto"/>
        <w:jc w:val="both"/>
        <w:rPr>
          <w:rFonts w:ascii="Palatino Linotype" w:hAnsi="Palatino Linotype"/>
          <w:b/>
          <w:sz w:val="12"/>
          <w:szCs w:val="26"/>
        </w:rPr>
      </w:pP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5C3F8C" w:rsidRPr="005C3F8C">
        <w:rPr>
          <w:rFonts w:ascii="Palatino Linotype" w:hAnsi="Palatino Linotype"/>
          <w:sz w:val="24"/>
          <w:szCs w:val="24"/>
        </w:rPr>
        <w:t>veinticinco de abril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Default="00BE6D77" w:rsidP="004657BE">
      <w:pPr>
        <w:pStyle w:val="Sinespaciado"/>
        <w:spacing w:line="360" w:lineRule="auto"/>
        <w:jc w:val="both"/>
        <w:rPr>
          <w:rFonts w:ascii="Palatino Linotype" w:hAnsi="Palatino Linotype"/>
          <w:sz w:val="24"/>
          <w:szCs w:val="24"/>
        </w:rPr>
      </w:pPr>
    </w:p>
    <w:p w:rsidR="007E2E80" w:rsidRDefault="00E5746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QUINTO</w:t>
      </w:r>
      <w:r w:rsidR="007E2E80" w:rsidRPr="0014447C">
        <w:rPr>
          <w:rFonts w:ascii="Palatino Linotype" w:hAnsi="Palatino Linotype"/>
          <w:b/>
          <w:sz w:val="26"/>
          <w:szCs w:val="26"/>
        </w:rPr>
        <w:t>. De la etapa de instrucción.</w:t>
      </w:r>
    </w:p>
    <w:p w:rsidR="009978AF" w:rsidRPr="009978AF" w:rsidRDefault="009978AF" w:rsidP="0014447C">
      <w:pPr>
        <w:pStyle w:val="Sinespaciado"/>
        <w:spacing w:line="360" w:lineRule="auto"/>
        <w:jc w:val="both"/>
        <w:rPr>
          <w:rFonts w:ascii="Palatino Linotype" w:hAnsi="Palatino Linotype"/>
          <w:b/>
          <w:sz w:val="12"/>
          <w:szCs w:val="26"/>
        </w:rPr>
      </w:pPr>
    </w:p>
    <w:p w:rsidR="00323D35" w:rsidRDefault="00323D35" w:rsidP="00323D35">
      <w:pPr>
        <w:spacing w:after="0" w:line="360" w:lineRule="auto"/>
        <w:jc w:val="both"/>
        <w:rPr>
          <w:rFonts w:ascii="Palatino Linotype" w:hAnsi="Palatino Linotype" w:cs="Arial"/>
          <w:sz w:val="24"/>
          <w:szCs w:val="24"/>
        </w:rPr>
      </w:pPr>
      <w:r w:rsidRPr="009C4628">
        <w:rPr>
          <w:rFonts w:ascii="Palatino Linotype" w:hAnsi="Palatino Linotype" w:cs="Arial"/>
          <w:sz w:val="24"/>
          <w:szCs w:val="24"/>
        </w:rPr>
        <w:t xml:space="preserve">Una vez transcurrido el término legal referido, de las constancias que obran en el SAIMEX, se advierte que tanto el </w:t>
      </w:r>
      <w:r w:rsidRPr="009C4628">
        <w:rPr>
          <w:rFonts w:ascii="Palatino Linotype" w:hAnsi="Palatino Linotype" w:cs="Arial"/>
          <w:b/>
          <w:sz w:val="24"/>
          <w:szCs w:val="24"/>
        </w:rPr>
        <w:t>Sujeto Obligado</w:t>
      </w:r>
      <w:r w:rsidRPr="009C4628">
        <w:rPr>
          <w:rFonts w:ascii="Palatino Linotype" w:hAnsi="Palatino Linotype" w:cs="Arial"/>
          <w:sz w:val="24"/>
          <w:szCs w:val="24"/>
        </w:rPr>
        <w:t xml:space="preserve"> como </w:t>
      </w:r>
      <w:r w:rsidR="00E57465">
        <w:rPr>
          <w:rFonts w:ascii="Palatino Linotype" w:hAnsi="Palatino Linotype" w:cs="Arial"/>
          <w:b/>
          <w:sz w:val="24"/>
          <w:szCs w:val="24"/>
        </w:rPr>
        <w:t>E</w:t>
      </w:r>
      <w:r w:rsidRPr="00E57465">
        <w:rPr>
          <w:rFonts w:ascii="Palatino Linotype" w:hAnsi="Palatino Linotype" w:cs="Arial"/>
          <w:b/>
          <w:sz w:val="24"/>
          <w:szCs w:val="24"/>
        </w:rPr>
        <w:t>l</w:t>
      </w:r>
      <w:r w:rsidRPr="009C4628">
        <w:rPr>
          <w:rFonts w:ascii="Palatino Linotype" w:hAnsi="Palatino Linotype" w:cs="Arial"/>
          <w:sz w:val="24"/>
          <w:szCs w:val="24"/>
        </w:rPr>
        <w:t xml:space="preserve"> </w:t>
      </w:r>
      <w:r w:rsidRPr="009C4628">
        <w:rPr>
          <w:rFonts w:ascii="Palatino Linotype" w:hAnsi="Palatino Linotype" w:cs="Arial"/>
          <w:b/>
          <w:sz w:val="24"/>
          <w:szCs w:val="24"/>
        </w:rPr>
        <w:t>Recurrente</w:t>
      </w:r>
      <w:r w:rsidRPr="009C4628">
        <w:rPr>
          <w:rFonts w:ascii="Palatino Linotype" w:hAnsi="Palatino Linotype" w:cs="Arial"/>
          <w:sz w:val="24"/>
          <w:szCs w:val="24"/>
        </w:rPr>
        <w:t>, presentar</w:t>
      </w:r>
      <w:r w:rsidR="005C3F8C">
        <w:rPr>
          <w:rFonts w:ascii="Palatino Linotype" w:hAnsi="Palatino Linotype" w:cs="Arial"/>
          <w:sz w:val="24"/>
          <w:szCs w:val="24"/>
        </w:rPr>
        <w:t>on</w:t>
      </w:r>
      <w:r w:rsidRPr="009C4628">
        <w:rPr>
          <w:rFonts w:ascii="Palatino Linotype" w:hAnsi="Palatino Linotype" w:cs="Arial"/>
          <w:sz w:val="24"/>
          <w:szCs w:val="24"/>
        </w:rPr>
        <w:t xml:space="preserve"> manifestaciones, tal c</w:t>
      </w:r>
      <w:r w:rsidR="00E57465">
        <w:rPr>
          <w:rFonts w:ascii="Palatino Linotype" w:hAnsi="Palatino Linotype" w:cs="Arial"/>
          <w:sz w:val="24"/>
          <w:szCs w:val="24"/>
        </w:rPr>
        <w:t xml:space="preserve">omo se observa </w:t>
      </w:r>
      <w:r w:rsidR="005C3F8C">
        <w:rPr>
          <w:rFonts w:ascii="Palatino Linotype" w:hAnsi="Palatino Linotype" w:cs="Arial"/>
          <w:sz w:val="24"/>
          <w:szCs w:val="24"/>
        </w:rPr>
        <w:t>a continuación</w:t>
      </w:r>
      <w:r w:rsidRPr="009C4628">
        <w:rPr>
          <w:rFonts w:ascii="Palatino Linotype" w:hAnsi="Palatino Linotype" w:cs="Arial"/>
          <w:sz w:val="24"/>
          <w:szCs w:val="24"/>
        </w:rPr>
        <w:t>:</w:t>
      </w:r>
    </w:p>
    <w:p w:rsidR="005C3F8C" w:rsidRDefault="005C3F8C" w:rsidP="00323D35">
      <w:pPr>
        <w:spacing w:after="0" w:line="360" w:lineRule="auto"/>
        <w:jc w:val="both"/>
        <w:rPr>
          <w:rFonts w:ascii="Palatino Linotype" w:hAnsi="Palatino Linotype" w:cs="Arial"/>
          <w:sz w:val="24"/>
          <w:szCs w:val="24"/>
        </w:rPr>
      </w:pPr>
    </w:p>
    <w:p w:rsidR="005C3F8C" w:rsidRPr="00120D28" w:rsidRDefault="005C3F8C" w:rsidP="005C3F8C">
      <w:pPr>
        <w:spacing w:line="360" w:lineRule="auto"/>
        <w:jc w:val="both"/>
        <w:rPr>
          <w:rFonts w:ascii="Palatino Linotype" w:eastAsia="Calibri" w:hAnsi="Palatino Linotype" w:cs="Tahoma"/>
          <w:b/>
          <w:bCs/>
        </w:rPr>
      </w:pPr>
      <w:r w:rsidRPr="00120D28">
        <w:rPr>
          <w:rFonts w:ascii="Palatino Linotype" w:eastAsia="Calibri" w:hAnsi="Palatino Linotype" w:cs="Tahoma"/>
          <w:b/>
          <w:bCs/>
        </w:rPr>
        <w:t>Manifestaciones del Recurrente.</w:t>
      </w:r>
    </w:p>
    <w:p w:rsidR="005C3F8C" w:rsidRPr="00120D28" w:rsidRDefault="005C3F8C" w:rsidP="005C3F8C">
      <w:pPr>
        <w:spacing w:line="360" w:lineRule="auto"/>
        <w:jc w:val="both"/>
        <w:rPr>
          <w:rFonts w:ascii="Palatino Linotype" w:eastAsia="Calibri" w:hAnsi="Palatino Linotype" w:cs="Tahoma"/>
          <w:bCs/>
          <w:lang w:val="es-ES_tradnl"/>
        </w:rPr>
      </w:pPr>
      <w:r w:rsidRPr="00120D28">
        <w:rPr>
          <w:rFonts w:ascii="Palatino Linotype" w:eastAsia="Calibri" w:hAnsi="Palatino Linotype" w:cs="Tahoma"/>
          <w:bCs/>
          <w:lang w:val="es-ES_tradnl"/>
        </w:rPr>
        <w:t xml:space="preserve">Con fecha veintinueve de abril de dos mil diecinueve, a través del </w:t>
      </w:r>
      <w:r w:rsidRPr="00120D28">
        <w:rPr>
          <w:rFonts w:ascii="Palatino Linotype" w:eastAsia="Calibri" w:hAnsi="Palatino Linotype" w:cs="Tahoma"/>
          <w:bCs/>
        </w:rPr>
        <w:t>Sistema de Acceso a la Información Mexiquense (SAIMEX)</w:t>
      </w:r>
      <w:r w:rsidRPr="00120D28">
        <w:rPr>
          <w:rFonts w:ascii="Palatino Linotype" w:eastAsia="Calibri" w:hAnsi="Palatino Linotype" w:cs="Tahoma"/>
          <w:bCs/>
          <w:lang w:val="es-ES_tradnl"/>
        </w:rPr>
        <w:t>, se recibió en este Instituto un archivo electrónico remitido por el Recurrente que consiste en lo siguiente:</w:t>
      </w:r>
    </w:p>
    <w:p w:rsidR="005C3F8C" w:rsidRPr="00120D28" w:rsidRDefault="005C3F8C" w:rsidP="005C3F8C">
      <w:pPr>
        <w:spacing w:line="360" w:lineRule="auto"/>
        <w:jc w:val="both"/>
        <w:rPr>
          <w:rFonts w:ascii="Palatino Linotype" w:eastAsia="Calibri" w:hAnsi="Palatino Linotype" w:cs="Tahoma"/>
          <w:bCs/>
          <w:lang w:val="es-ES_tradnl"/>
        </w:rPr>
      </w:pPr>
    </w:p>
    <w:p w:rsidR="005C3F8C" w:rsidRDefault="005C3F8C" w:rsidP="005C3F8C">
      <w:pPr>
        <w:pStyle w:val="Prrafodelista"/>
        <w:numPr>
          <w:ilvl w:val="0"/>
          <w:numId w:val="25"/>
        </w:numPr>
        <w:spacing w:line="360" w:lineRule="auto"/>
        <w:contextualSpacing/>
        <w:jc w:val="both"/>
        <w:rPr>
          <w:rFonts w:ascii="Palatino Linotype" w:eastAsia="Calibri" w:hAnsi="Palatino Linotype" w:cs="Tahoma"/>
          <w:bCs/>
          <w:iCs/>
          <w:sz w:val="20"/>
          <w:szCs w:val="22"/>
          <w:lang w:eastAsia="en-US"/>
        </w:rPr>
      </w:pPr>
      <w:r w:rsidRPr="002B2410">
        <w:rPr>
          <w:rFonts w:ascii="Palatino Linotype" w:eastAsia="Calibri" w:hAnsi="Palatino Linotype" w:cs="Tahoma"/>
          <w:b/>
          <w:bCs/>
          <w:i/>
          <w:iCs/>
          <w:sz w:val="20"/>
          <w:szCs w:val="22"/>
          <w:lang w:eastAsia="en-US"/>
        </w:rPr>
        <w:t>“Manifestaciones.pdf”</w:t>
      </w:r>
      <w:r w:rsidRPr="002B2410">
        <w:rPr>
          <w:rFonts w:ascii="Palatino Linotype" w:eastAsia="Calibri" w:hAnsi="Palatino Linotype" w:cs="Tahoma"/>
          <w:bCs/>
          <w:i/>
          <w:iCs/>
          <w:sz w:val="20"/>
          <w:szCs w:val="22"/>
          <w:lang w:eastAsia="en-US"/>
        </w:rPr>
        <w:t>:</w:t>
      </w:r>
      <w:r w:rsidRPr="002B2410">
        <w:rPr>
          <w:rFonts w:ascii="Palatino Linotype" w:eastAsia="Calibri" w:hAnsi="Palatino Linotype" w:cs="Tahoma"/>
          <w:bCs/>
          <w:iCs/>
          <w:sz w:val="20"/>
          <w:szCs w:val="22"/>
          <w:lang w:eastAsia="en-US"/>
        </w:rPr>
        <w:t xml:space="preserve"> contiene un documento en formato pdf, de una sola foja, de donde se desprende la solicitud para que se sancione al Sujeto Obligado, ante la falta de respuesta a la su solicitud.</w:t>
      </w:r>
    </w:p>
    <w:p w:rsidR="005C3F8C" w:rsidRPr="005C3F8C" w:rsidRDefault="005C3F8C" w:rsidP="005C3F8C">
      <w:pPr>
        <w:pStyle w:val="Prrafodelista"/>
        <w:spacing w:line="360" w:lineRule="auto"/>
        <w:ind w:left="720"/>
        <w:contextualSpacing/>
        <w:jc w:val="both"/>
        <w:rPr>
          <w:rFonts w:ascii="Palatino Linotype" w:eastAsia="Calibri" w:hAnsi="Palatino Linotype" w:cs="Tahoma"/>
          <w:bCs/>
          <w:iCs/>
          <w:sz w:val="20"/>
          <w:szCs w:val="22"/>
          <w:lang w:eastAsia="en-US"/>
        </w:rPr>
      </w:pPr>
    </w:p>
    <w:p w:rsidR="005C3F8C" w:rsidRPr="00120D28" w:rsidRDefault="005C3F8C" w:rsidP="005C3F8C">
      <w:pPr>
        <w:spacing w:line="360" w:lineRule="auto"/>
        <w:jc w:val="both"/>
        <w:rPr>
          <w:rFonts w:ascii="Palatino Linotype" w:eastAsia="Calibri" w:hAnsi="Palatino Linotype" w:cs="Tahoma"/>
          <w:b/>
          <w:bCs/>
        </w:rPr>
      </w:pPr>
      <w:r w:rsidRPr="00120D28">
        <w:rPr>
          <w:rFonts w:ascii="Palatino Linotype" w:eastAsia="Calibri" w:hAnsi="Palatino Linotype" w:cs="Tahoma"/>
          <w:b/>
          <w:bCs/>
        </w:rPr>
        <w:t xml:space="preserve"> Informe Justificado. </w:t>
      </w:r>
    </w:p>
    <w:p w:rsidR="005C3F8C" w:rsidRDefault="005C3F8C" w:rsidP="005C3F8C">
      <w:pPr>
        <w:spacing w:line="360" w:lineRule="auto"/>
        <w:jc w:val="both"/>
        <w:rPr>
          <w:rFonts w:ascii="Palatino Linotype" w:eastAsia="Calibri" w:hAnsi="Palatino Linotype" w:cs="Tahoma"/>
          <w:bCs/>
          <w:lang w:val="es-ES_tradnl"/>
        </w:rPr>
      </w:pPr>
      <w:r w:rsidRPr="00120D28">
        <w:rPr>
          <w:rFonts w:ascii="Palatino Linotype" w:eastAsia="Calibri" w:hAnsi="Palatino Linotype" w:cs="Tahoma"/>
          <w:bCs/>
          <w:lang w:val="es-ES_tradnl"/>
        </w:rPr>
        <w:lastRenderedPageBreak/>
        <w:t xml:space="preserve">Con fecha tres de junio de dos mil diecinueve, a través del </w:t>
      </w:r>
      <w:r w:rsidRPr="00120D28">
        <w:rPr>
          <w:rFonts w:ascii="Palatino Linotype" w:eastAsia="Calibri" w:hAnsi="Palatino Linotype" w:cs="Tahoma"/>
          <w:bCs/>
        </w:rPr>
        <w:t>Sistema de Acceso a la Información Mexiquense (SAIMEX)</w:t>
      </w:r>
      <w:r w:rsidRPr="00120D28">
        <w:rPr>
          <w:rFonts w:ascii="Palatino Linotype" w:eastAsia="Calibri" w:hAnsi="Palatino Linotype" w:cs="Tahoma"/>
          <w:bCs/>
          <w:lang w:val="es-ES_tradnl"/>
        </w:rPr>
        <w:t>, el Sujeto Obligado, remitió un documento en formato pdf, en los siguientes términos:</w:t>
      </w:r>
    </w:p>
    <w:p w:rsidR="004979B9" w:rsidRDefault="004979B9" w:rsidP="005C3F8C">
      <w:pPr>
        <w:spacing w:line="360" w:lineRule="auto"/>
        <w:jc w:val="both"/>
        <w:rPr>
          <w:rFonts w:ascii="Palatino Linotype" w:eastAsia="Calibri" w:hAnsi="Palatino Linotype" w:cs="Tahoma"/>
          <w:bCs/>
          <w:lang w:val="es-ES_tradnl"/>
        </w:rPr>
      </w:pPr>
    </w:p>
    <w:p w:rsidR="005C3F8C" w:rsidRPr="002B2410" w:rsidRDefault="005C3F8C" w:rsidP="005C3F8C">
      <w:pPr>
        <w:pStyle w:val="Prrafodelista"/>
        <w:numPr>
          <w:ilvl w:val="0"/>
          <w:numId w:val="26"/>
        </w:numPr>
        <w:spacing w:line="360" w:lineRule="auto"/>
        <w:contextualSpacing/>
        <w:jc w:val="both"/>
        <w:rPr>
          <w:rFonts w:ascii="Palatino Linotype" w:eastAsia="Calibri" w:hAnsi="Palatino Linotype" w:cs="Tahoma"/>
          <w:b/>
          <w:bCs/>
          <w:i/>
          <w:sz w:val="20"/>
          <w:szCs w:val="22"/>
          <w:lang w:val="es-ES_tradnl" w:eastAsia="en-US"/>
        </w:rPr>
      </w:pPr>
      <w:r w:rsidRPr="002B2410">
        <w:rPr>
          <w:rFonts w:ascii="Palatino Linotype" w:eastAsia="Calibri" w:hAnsi="Palatino Linotype" w:cs="Tahoma"/>
          <w:b/>
          <w:bCs/>
          <w:i/>
          <w:sz w:val="20"/>
          <w:szCs w:val="22"/>
          <w:lang w:val="es-ES_tradnl" w:eastAsia="en-US"/>
        </w:rPr>
        <w:t xml:space="preserve">“Solicitud de Prórroga.pdf”: </w:t>
      </w:r>
      <w:r w:rsidRPr="002B2410">
        <w:rPr>
          <w:rFonts w:ascii="Palatino Linotype" w:eastAsia="Calibri" w:hAnsi="Palatino Linotype" w:cs="Tahoma"/>
          <w:bCs/>
          <w:sz w:val="20"/>
          <w:szCs w:val="22"/>
          <w:lang w:val="es-ES_tradnl" w:eastAsia="en-US"/>
        </w:rPr>
        <w:t>contiene un oficio número MTA/UT/2019/09, signado por el Titular de la Unidad de Transparencia, por el que precisó:</w:t>
      </w:r>
    </w:p>
    <w:p w:rsidR="005C3F8C" w:rsidRPr="002B2410" w:rsidRDefault="005C3F8C" w:rsidP="005C3F8C">
      <w:pPr>
        <w:pStyle w:val="Prrafodelista"/>
        <w:spacing w:line="360" w:lineRule="auto"/>
        <w:jc w:val="both"/>
        <w:rPr>
          <w:rFonts w:ascii="Palatino Linotype" w:eastAsia="Calibri" w:hAnsi="Palatino Linotype" w:cs="Tahoma"/>
          <w:bCs/>
          <w:i/>
          <w:sz w:val="20"/>
          <w:szCs w:val="22"/>
          <w:lang w:val="es-ES_tradnl" w:eastAsia="en-US"/>
        </w:rPr>
      </w:pPr>
      <w:r w:rsidRPr="002B2410">
        <w:rPr>
          <w:rFonts w:ascii="Palatino Linotype" w:eastAsia="Calibri" w:hAnsi="Palatino Linotype" w:cs="Tahoma"/>
          <w:b/>
          <w:bCs/>
          <w:i/>
          <w:sz w:val="20"/>
          <w:szCs w:val="22"/>
          <w:lang w:val="es-ES_tradnl" w:eastAsia="en-US"/>
        </w:rPr>
        <w:t>“</w:t>
      </w:r>
      <w:r w:rsidRPr="002B2410">
        <w:rPr>
          <w:rFonts w:ascii="Palatino Linotype" w:eastAsia="Calibri" w:hAnsi="Palatino Linotype" w:cs="Tahoma"/>
          <w:bCs/>
          <w:i/>
          <w:sz w:val="20"/>
          <w:szCs w:val="22"/>
          <w:lang w:val="es-ES_tradnl" w:eastAsia="en-US"/>
        </w:rPr>
        <w:t>La Unidad de Transparencia sigue trabajando y estaremos atendiendo su(s) solicitud(es) tan pronto nos sea posible, sin más por el momento agradezco de antemano sus finas atenciones, quedado como siempre a sus apreciables órdenes.”</w:t>
      </w:r>
    </w:p>
    <w:p w:rsidR="00CE207D" w:rsidRDefault="00CE207D" w:rsidP="0014447C">
      <w:pPr>
        <w:pStyle w:val="Sinespaciado"/>
        <w:spacing w:line="360" w:lineRule="auto"/>
        <w:jc w:val="both"/>
        <w:rPr>
          <w:rFonts w:ascii="Palatino Linotype" w:hAnsi="Palatino Linotype"/>
          <w:b/>
          <w:sz w:val="26"/>
          <w:szCs w:val="26"/>
        </w:rPr>
      </w:pPr>
    </w:p>
    <w:p w:rsidR="00323D35" w:rsidRPr="00CE207D" w:rsidRDefault="00E5746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SEXTO</w:t>
      </w:r>
      <w:r w:rsidR="00423C27" w:rsidRPr="0014447C">
        <w:rPr>
          <w:rFonts w:ascii="Palatino Linotype" w:hAnsi="Palatino Linotype"/>
          <w:b/>
          <w:sz w:val="26"/>
          <w:szCs w:val="26"/>
        </w:rPr>
        <w:t>. Del cierre de instrucción.</w:t>
      </w:r>
      <w:r w:rsidR="00423C27" w:rsidRPr="0014447C">
        <w:rPr>
          <w:rFonts w:ascii="Palatino Linotype" w:hAnsi="Palatino Linotype"/>
          <w:b/>
          <w:sz w:val="26"/>
          <w:szCs w:val="26"/>
        </w:rPr>
        <w:tab/>
      </w:r>
    </w:p>
    <w:p w:rsidR="00423C27" w:rsidRPr="0014447C"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4979B9" w:rsidRPr="004979B9">
        <w:rPr>
          <w:rFonts w:ascii="Palatino Linotype" w:hAnsi="Palatino Linotype"/>
          <w:sz w:val="24"/>
          <w:szCs w:val="24"/>
        </w:rPr>
        <w:t>diecisiete de junio del dos mil diecinueve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CE207D" w:rsidRDefault="00CE207D" w:rsidP="0014447C">
      <w:pPr>
        <w:pStyle w:val="Sinespaciado"/>
        <w:spacing w:line="360" w:lineRule="auto"/>
        <w:jc w:val="both"/>
        <w:rPr>
          <w:rFonts w:ascii="Palatino Linotype" w:hAnsi="Palatino Linotype"/>
          <w:sz w:val="24"/>
          <w:szCs w:val="24"/>
        </w:rPr>
      </w:pPr>
    </w:p>
    <w:p w:rsidR="00915450" w:rsidRPr="009026F3" w:rsidRDefault="00D77749" w:rsidP="00915450">
      <w:pPr>
        <w:spacing w:line="360" w:lineRule="auto"/>
        <w:jc w:val="both"/>
        <w:rPr>
          <w:rFonts w:ascii="Palatino Linotype" w:hAnsi="Palatino Linotype" w:cs="Arial"/>
          <w:b/>
          <w:sz w:val="24"/>
          <w:szCs w:val="24"/>
        </w:rPr>
      </w:pPr>
      <w:r w:rsidRPr="009026F3">
        <w:rPr>
          <w:rFonts w:ascii="Palatino Linotype" w:hAnsi="Palatino Linotype" w:cs="Arial"/>
          <w:b/>
          <w:sz w:val="26"/>
          <w:szCs w:val="26"/>
        </w:rPr>
        <w:t>S</w:t>
      </w:r>
      <w:r w:rsidR="009978AF" w:rsidRPr="009026F3">
        <w:rPr>
          <w:rFonts w:ascii="Palatino Linotype" w:hAnsi="Palatino Linotype" w:cs="Arial"/>
          <w:b/>
          <w:sz w:val="26"/>
          <w:szCs w:val="26"/>
        </w:rPr>
        <w:t>É</w:t>
      </w:r>
      <w:r w:rsidRPr="009026F3">
        <w:rPr>
          <w:rFonts w:ascii="Palatino Linotype" w:hAnsi="Palatino Linotype" w:cs="Arial"/>
          <w:b/>
          <w:sz w:val="26"/>
          <w:szCs w:val="26"/>
        </w:rPr>
        <w:t>PTI</w:t>
      </w:r>
      <w:r w:rsidR="009978AF" w:rsidRPr="009026F3">
        <w:rPr>
          <w:rFonts w:ascii="Palatino Linotype" w:hAnsi="Palatino Linotype" w:cs="Arial"/>
          <w:b/>
          <w:sz w:val="26"/>
          <w:szCs w:val="26"/>
        </w:rPr>
        <w:t>MO</w:t>
      </w:r>
      <w:r w:rsidR="00915450" w:rsidRPr="009026F3">
        <w:rPr>
          <w:rFonts w:ascii="Palatino Linotype" w:hAnsi="Palatino Linotype" w:cs="Arial"/>
          <w:b/>
          <w:sz w:val="26"/>
          <w:szCs w:val="26"/>
        </w:rPr>
        <w:t>. De la ampliación del término para resolver</w:t>
      </w:r>
      <w:r w:rsidR="00915450" w:rsidRPr="009026F3">
        <w:rPr>
          <w:rFonts w:ascii="Palatino Linotype" w:hAnsi="Palatino Linotype" w:cs="Arial"/>
          <w:b/>
          <w:sz w:val="24"/>
          <w:szCs w:val="24"/>
        </w:rPr>
        <w:t>.</w:t>
      </w:r>
    </w:p>
    <w:p w:rsidR="00915450" w:rsidRDefault="00915450" w:rsidP="00915450">
      <w:pPr>
        <w:spacing w:line="360" w:lineRule="auto"/>
        <w:jc w:val="both"/>
        <w:rPr>
          <w:rFonts w:ascii="Palatino Linotype" w:hAnsi="Palatino Linotype" w:cs="Arial"/>
          <w:sz w:val="24"/>
          <w:szCs w:val="24"/>
        </w:rPr>
      </w:pPr>
      <w:r w:rsidRPr="009026F3">
        <w:rPr>
          <w:rFonts w:ascii="Palatino Linotype" w:hAnsi="Palatino Linotype" w:cs="Arial"/>
          <w:sz w:val="24"/>
          <w:szCs w:val="24"/>
        </w:rPr>
        <w:t xml:space="preserve">En fecha </w:t>
      </w:r>
      <w:r w:rsidR="00C24D1D">
        <w:rPr>
          <w:rFonts w:ascii="Palatino Linotype" w:hAnsi="Palatino Linotype" w:cs="Arial"/>
          <w:sz w:val="24"/>
          <w:szCs w:val="24"/>
        </w:rPr>
        <w:t>doce</w:t>
      </w:r>
      <w:r w:rsidR="00CE207D">
        <w:rPr>
          <w:rFonts w:ascii="Palatino Linotype" w:hAnsi="Palatino Linotype" w:cs="Arial"/>
          <w:sz w:val="24"/>
          <w:szCs w:val="24"/>
        </w:rPr>
        <w:t xml:space="preserve"> de junio</w:t>
      </w:r>
      <w:r w:rsidR="00EB5002" w:rsidRPr="009026F3">
        <w:rPr>
          <w:rFonts w:ascii="Palatino Linotype" w:hAnsi="Palatino Linotype" w:cs="Arial"/>
          <w:sz w:val="24"/>
          <w:szCs w:val="24"/>
        </w:rPr>
        <w:t xml:space="preserve"> </w:t>
      </w:r>
      <w:r w:rsidRPr="009026F3">
        <w:rPr>
          <w:rFonts w:ascii="Palatino Linotype" w:hAnsi="Palatino Linotype" w:cs="Arial"/>
          <w:sz w:val="24"/>
          <w:szCs w:val="24"/>
        </w:rPr>
        <w:t>de dos mil dieci</w:t>
      </w:r>
      <w:r w:rsidR="00EB5002" w:rsidRPr="009026F3">
        <w:rPr>
          <w:rFonts w:ascii="Palatino Linotype" w:hAnsi="Palatino Linotype" w:cs="Arial"/>
          <w:sz w:val="24"/>
          <w:szCs w:val="24"/>
        </w:rPr>
        <w:t>nueve</w:t>
      </w:r>
      <w:r w:rsidRPr="009026F3">
        <w:rPr>
          <w:rFonts w:ascii="Palatino Linotype" w:hAnsi="Palatino Linotype" w:cs="Arial"/>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4979B9" w:rsidRDefault="004979B9" w:rsidP="00915450">
      <w:pPr>
        <w:spacing w:line="360" w:lineRule="auto"/>
        <w:jc w:val="both"/>
        <w:rPr>
          <w:rFonts w:ascii="Palatino Linotype" w:hAnsi="Palatino Linotype" w:cs="Arial"/>
          <w:sz w:val="24"/>
          <w:szCs w:val="24"/>
        </w:rPr>
      </w:pPr>
    </w:p>
    <w:p w:rsidR="004979B9" w:rsidRDefault="004979B9" w:rsidP="00915450">
      <w:pPr>
        <w:spacing w:line="360" w:lineRule="auto"/>
        <w:jc w:val="both"/>
        <w:rPr>
          <w:rFonts w:ascii="Palatino Linotype" w:hAnsi="Palatino Linotype" w:cs="Arial"/>
          <w:sz w:val="24"/>
          <w:szCs w:val="24"/>
        </w:rPr>
      </w:pPr>
    </w:p>
    <w:p w:rsidR="004979B9" w:rsidRPr="004979B9" w:rsidRDefault="004979B9" w:rsidP="004979B9">
      <w:pPr>
        <w:spacing w:line="360" w:lineRule="auto"/>
        <w:jc w:val="both"/>
        <w:rPr>
          <w:rFonts w:ascii="Palatino Linotype" w:hAnsi="Palatino Linotype" w:cs="Arial"/>
          <w:b/>
          <w:sz w:val="28"/>
          <w:szCs w:val="24"/>
        </w:rPr>
      </w:pPr>
      <w:r>
        <w:rPr>
          <w:rFonts w:ascii="Palatino Linotype" w:hAnsi="Palatino Linotype" w:cs="Arial"/>
          <w:b/>
          <w:sz w:val="28"/>
          <w:szCs w:val="24"/>
        </w:rPr>
        <w:lastRenderedPageBreak/>
        <w:t>OCTAVO</w:t>
      </w:r>
      <w:r w:rsidRPr="004979B9">
        <w:rPr>
          <w:rFonts w:ascii="Palatino Linotype" w:hAnsi="Palatino Linotype" w:cs="Arial"/>
          <w:b/>
          <w:sz w:val="28"/>
          <w:szCs w:val="24"/>
        </w:rPr>
        <w:t>. Del returno del recurso de revisión.</w:t>
      </w:r>
    </w:p>
    <w:p w:rsidR="004979B9" w:rsidRDefault="001036CF" w:rsidP="004979B9">
      <w:pPr>
        <w:spacing w:line="360" w:lineRule="auto"/>
        <w:jc w:val="both"/>
        <w:rPr>
          <w:rFonts w:ascii="Palatino Linotype" w:hAnsi="Palatino Linotype" w:cs="Arial"/>
          <w:sz w:val="24"/>
          <w:szCs w:val="24"/>
        </w:rPr>
      </w:pPr>
      <w:r>
        <w:rPr>
          <w:rFonts w:ascii="Palatino Linotype" w:hAnsi="Palatino Linotype" w:cs="Arial"/>
          <w:sz w:val="24"/>
          <w:szCs w:val="24"/>
        </w:rPr>
        <w:t>En la  Vigésima Cuarta Sesión Ordinaria</w:t>
      </w:r>
      <w:r w:rsidR="004979B9" w:rsidRPr="004979B9">
        <w:rPr>
          <w:rFonts w:ascii="Palatino Linotype" w:hAnsi="Palatino Linotype" w:cs="Arial"/>
          <w:sz w:val="24"/>
          <w:szCs w:val="24"/>
        </w:rPr>
        <w:t>, se returno el presente recurso de revisión a la Ponencia de la Comisionada Presidenta Zulema Martínez Sánchez, para su presentación, discusión y aprobación ante el Pleno del Instituto.</w:t>
      </w:r>
    </w:p>
    <w:p w:rsidR="001036CF" w:rsidRDefault="001036CF" w:rsidP="0014447C">
      <w:pPr>
        <w:pStyle w:val="Sinespaciado"/>
        <w:spacing w:line="360" w:lineRule="auto"/>
        <w:jc w:val="center"/>
        <w:rPr>
          <w:rFonts w:ascii="Palatino Linotype" w:hAnsi="Palatino Linotype"/>
          <w:b/>
          <w:sz w:val="28"/>
          <w:szCs w:val="28"/>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0E631B" w:rsidRDefault="000E631B" w:rsidP="0014447C">
      <w:pPr>
        <w:pStyle w:val="Sinespaciado"/>
        <w:spacing w:line="360" w:lineRule="auto"/>
        <w:jc w:val="both"/>
        <w:rPr>
          <w:rFonts w:ascii="Palatino Linotype" w:hAnsi="Palatino Linotype"/>
          <w:b/>
          <w:sz w:val="26"/>
          <w:szCs w:val="26"/>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21396E" w:rsidRPr="00937BFA"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4F71B4">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fracción </w:t>
      </w:r>
      <w:r w:rsidR="006E2615">
        <w:rPr>
          <w:rFonts w:ascii="Palatino Linotype" w:hAnsi="Palatino Linotype"/>
          <w:sz w:val="24"/>
          <w:szCs w:val="24"/>
        </w:rPr>
        <w:t>VI</w:t>
      </w:r>
      <w:r w:rsidRPr="0014447C">
        <w:rPr>
          <w:rFonts w:ascii="Palatino Linotype" w:hAnsi="Palatino Linotype"/>
          <w:sz w:val="24"/>
          <w:szCs w:val="24"/>
        </w:rPr>
        <w:t>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21396E" w:rsidRDefault="00937BFA" w:rsidP="0014447C">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w:t>
      </w:r>
      <w:r w:rsidRPr="0014447C">
        <w:rPr>
          <w:rFonts w:ascii="Palatino Linotype" w:hAnsi="Palatino Linotype"/>
          <w:sz w:val="24"/>
          <w:szCs w:val="24"/>
        </w:rPr>
        <w:lastRenderedPageBreak/>
        <w:t>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D77749" w:rsidRPr="0014447C" w:rsidRDefault="00D77749"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sidR="0021396E">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CE207D" w:rsidRDefault="00CE207D" w:rsidP="0014447C">
      <w:pPr>
        <w:pStyle w:val="Sinespaciado"/>
        <w:spacing w:line="360" w:lineRule="auto"/>
        <w:jc w:val="both"/>
        <w:rPr>
          <w:rFonts w:ascii="Palatino Linotype" w:hAnsi="Palatino Linotype"/>
          <w:b/>
          <w:sz w:val="26"/>
          <w:szCs w:val="26"/>
        </w:rPr>
      </w:pPr>
    </w:p>
    <w:p w:rsidR="007E2E80" w:rsidRPr="0014447C" w:rsidRDefault="00BC64D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B519E6" w:rsidRPr="00517C0D" w:rsidRDefault="00B519E6" w:rsidP="00B519E6">
      <w:pPr>
        <w:spacing w:after="0" w:line="360" w:lineRule="auto"/>
        <w:jc w:val="both"/>
        <w:rPr>
          <w:rFonts w:ascii="Palatino Linotype" w:hAnsi="Palatino Linotype" w:cs="Arial"/>
          <w:sz w:val="24"/>
          <w:szCs w:val="24"/>
        </w:rPr>
      </w:pPr>
      <w:r w:rsidRPr="00517C0D">
        <w:rPr>
          <w:rFonts w:ascii="Palatino Linotype" w:hAnsi="Palatino Linotype" w:cs="Arial"/>
          <w:sz w:val="24"/>
          <w:szCs w:val="24"/>
        </w:rPr>
        <w:t>Se deriva al análisis del presente recurso, que en primera instancia, al refe</w:t>
      </w:r>
      <w:r w:rsidR="006E2615">
        <w:rPr>
          <w:rFonts w:ascii="Palatino Linotype" w:hAnsi="Palatino Linotype" w:cs="Arial"/>
          <w:sz w:val="24"/>
          <w:szCs w:val="24"/>
        </w:rPr>
        <w:t>rirnos al acto impugnado por El</w:t>
      </w:r>
      <w:r w:rsidR="00BB1D9B">
        <w:rPr>
          <w:rFonts w:ascii="Palatino Linotype" w:hAnsi="Palatino Linotype" w:cs="Arial"/>
          <w:sz w:val="24"/>
          <w:szCs w:val="24"/>
        </w:rPr>
        <w:t xml:space="preserve"> Recurrente</w:t>
      </w:r>
      <w:r w:rsidRPr="00517C0D">
        <w:rPr>
          <w:rFonts w:ascii="Palatino Linotype" w:hAnsi="Palatino Linotype" w:cs="Arial"/>
          <w:sz w:val="24"/>
          <w:szCs w:val="24"/>
        </w:rPr>
        <w:t xml:space="preserve">, encadenado con los motivos o razones de inconformidad emitidos, se distingue que se adolece, de forma principal de la falta de </w:t>
      </w:r>
      <w:r w:rsidRPr="00517C0D">
        <w:rPr>
          <w:rFonts w:ascii="Palatino Linotype" w:hAnsi="Palatino Linotype" w:cs="Arial"/>
          <w:sz w:val="24"/>
          <w:szCs w:val="24"/>
        </w:rPr>
        <w:lastRenderedPageBreak/>
        <w:t xml:space="preserve">respuesta a la solicitud de acceso a la información formulada, actualizando con ello lo </w:t>
      </w:r>
      <w:r w:rsidRPr="00517C0D">
        <w:rPr>
          <w:rFonts w:ascii="Palatino Linotype" w:eastAsia="Calibri" w:hAnsi="Palatino Linotype" w:cs="Arial"/>
          <w:sz w:val="24"/>
          <w:szCs w:val="24"/>
        </w:rPr>
        <w:t xml:space="preserve">establecido en la fracción VII del artículo 179 de la </w:t>
      </w:r>
      <w:r w:rsidRPr="00517C0D">
        <w:rPr>
          <w:rFonts w:ascii="Palatino Linotype" w:eastAsia="Calibri" w:hAnsi="Palatino Linotype" w:cs="Arial"/>
          <w:b/>
          <w:sz w:val="24"/>
          <w:szCs w:val="24"/>
        </w:rPr>
        <w:t>Ley de Transparencia y Acceso a la Información Pública del Estado de México y Municipios</w:t>
      </w:r>
      <w:r w:rsidRPr="00517C0D">
        <w:rPr>
          <w:rFonts w:ascii="Palatino Linotype" w:eastAsia="Calibri" w:hAnsi="Palatino Linotype" w:cs="Arial"/>
          <w:sz w:val="24"/>
          <w:szCs w:val="24"/>
        </w:rPr>
        <w:t>,</w:t>
      </w:r>
      <w:r w:rsidRPr="00517C0D">
        <w:rPr>
          <w:rFonts w:ascii="Palatino Linotype" w:eastAsia="Calibri" w:hAnsi="Palatino Linotype" w:cs="Arial"/>
          <w:b/>
          <w:sz w:val="24"/>
          <w:szCs w:val="24"/>
        </w:rPr>
        <w:t xml:space="preserve"> </w:t>
      </w:r>
      <w:r w:rsidRPr="00517C0D">
        <w:rPr>
          <w:rFonts w:ascii="Palatino Linotype" w:hAnsi="Palatino Linotype" w:cs="Arial"/>
          <w:sz w:val="24"/>
          <w:szCs w:val="24"/>
        </w:rPr>
        <w:t>resultando procedente la interposición del recurso de revisión cuando no se dé respuesta a una solicitud de información.</w:t>
      </w:r>
    </w:p>
    <w:p w:rsidR="00B519E6" w:rsidRPr="001A2E44" w:rsidRDefault="00B519E6" w:rsidP="00B519E6">
      <w:pPr>
        <w:pStyle w:val="Prrafodelista"/>
        <w:autoSpaceDE w:val="0"/>
        <w:autoSpaceDN w:val="0"/>
        <w:adjustRightInd w:val="0"/>
        <w:spacing w:line="360" w:lineRule="auto"/>
        <w:ind w:left="0"/>
        <w:jc w:val="both"/>
        <w:rPr>
          <w:rFonts w:ascii="Palatino Linotype" w:hAnsi="Palatino Linotype" w:cs="Arial"/>
        </w:rPr>
      </w:pPr>
    </w:p>
    <w:p w:rsidR="00B519E6" w:rsidRPr="001A2E44" w:rsidRDefault="00B519E6" w:rsidP="00B519E6">
      <w:pPr>
        <w:pStyle w:val="Prrafodelista"/>
        <w:autoSpaceDE w:val="0"/>
        <w:autoSpaceDN w:val="0"/>
        <w:adjustRightInd w:val="0"/>
        <w:spacing w:line="360" w:lineRule="auto"/>
        <w:ind w:left="0"/>
        <w:jc w:val="both"/>
        <w:rPr>
          <w:rFonts w:ascii="Palatino Linotype" w:hAnsi="Palatino Linotype" w:cs="Arial"/>
        </w:rPr>
      </w:pPr>
      <w:r w:rsidRPr="001A2E44">
        <w:rPr>
          <w:rFonts w:ascii="Palatino Linotype" w:hAnsi="Palatino Linotype" w:cs="Arial"/>
        </w:rPr>
        <w:t xml:space="preserve">Establecido lo anterior, resulta evidente que las razones o motivos de </w:t>
      </w:r>
      <w:r w:rsidRPr="001A2E44">
        <w:rPr>
          <w:rFonts w:ascii="Palatino Linotype" w:hAnsi="Palatino Linotype"/>
        </w:rPr>
        <w:t xml:space="preserve">inconformidad hechos valer, resultan </w:t>
      </w:r>
      <w:r w:rsidRPr="001A2E44">
        <w:rPr>
          <w:rFonts w:ascii="Palatino Linotype" w:hAnsi="Palatino Linotype"/>
          <w:b/>
        </w:rPr>
        <w:t>fundadas y procedentes</w:t>
      </w:r>
      <w:r w:rsidRPr="001A2E44">
        <w:rPr>
          <w:rFonts w:ascii="Palatino Linotype" w:hAnsi="Palatino Linotype"/>
        </w:rPr>
        <w:t xml:space="preserve">, en virtud de que como atestigua en las constancias que obran en el expediente electrónico SAIMEX, se acredita que el </w:t>
      </w:r>
      <w:r>
        <w:rPr>
          <w:rFonts w:ascii="Palatino Linotype" w:hAnsi="Palatino Linotype" w:cs="Arial"/>
          <w:lang w:eastAsia="es-MX"/>
        </w:rPr>
        <w:t>S</w:t>
      </w:r>
      <w:r w:rsidRPr="00B519E6">
        <w:rPr>
          <w:rFonts w:ascii="Palatino Linotype" w:hAnsi="Palatino Linotype" w:cs="Arial"/>
          <w:lang w:eastAsia="es-MX"/>
        </w:rPr>
        <w:t xml:space="preserve">ujeto </w:t>
      </w:r>
      <w:r>
        <w:rPr>
          <w:rFonts w:ascii="Palatino Linotype" w:hAnsi="Palatino Linotype" w:cs="Arial"/>
          <w:lang w:eastAsia="es-MX"/>
        </w:rPr>
        <w:t>O</w:t>
      </w:r>
      <w:r w:rsidRPr="00B519E6">
        <w:rPr>
          <w:rFonts w:ascii="Palatino Linotype" w:hAnsi="Palatino Linotype" w:cs="Arial"/>
          <w:lang w:eastAsia="es-MX"/>
        </w:rPr>
        <w:t xml:space="preserve">bligado </w:t>
      </w:r>
      <w:r w:rsidRPr="001A2E44">
        <w:rPr>
          <w:rFonts w:ascii="Palatino Linotype" w:hAnsi="Palatino Linotype" w:cs="Arial"/>
          <w:lang w:eastAsia="es-MX"/>
        </w:rPr>
        <w:t xml:space="preserve">fue omiso en responder la solicitud de información hecha por </w:t>
      </w:r>
      <w:r w:rsidR="006E2615">
        <w:rPr>
          <w:rFonts w:ascii="Palatino Linotype" w:hAnsi="Palatino Linotype" w:cs="Arial"/>
          <w:lang w:eastAsia="es-MX"/>
        </w:rPr>
        <w:t>El</w:t>
      </w:r>
      <w:r w:rsidR="009E4E76">
        <w:rPr>
          <w:rFonts w:ascii="Palatino Linotype" w:hAnsi="Palatino Linotype" w:cs="Arial"/>
          <w:lang w:eastAsia="es-MX"/>
        </w:rPr>
        <w:t xml:space="preserve"> Recurrente.</w:t>
      </w: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Así las cosas, ante la omisión del Sujeto</w:t>
      </w:r>
      <w:r w:rsidR="006E2615">
        <w:rPr>
          <w:rFonts w:ascii="Palatino Linotype" w:eastAsia="Times New Roman" w:hAnsi="Palatino Linotype" w:cs="Times New Roman"/>
          <w:sz w:val="24"/>
          <w:szCs w:val="24"/>
          <w:lang w:eastAsia="es-ES"/>
        </w:rPr>
        <w:t xml:space="preserve"> Obligado para dar respuesta a El</w:t>
      </w:r>
      <w:r w:rsidR="009E4E76">
        <w:rPr>
          <w:rFonts w:ascii="Palatino Linotype" w:eastAsia="Times New Roman" w:hAnsi="Palatino Linotype" w:cs="Times New Roman"/>
          <w:sz w:val="24"/>
          <w:szCs w:val="24"/>
          <w:lang w:eastAsia="es-ES"/>
        </w:rPr>
        <w:t xml:space="preserve"> </w:t>
      </w:r>
      <w:r w:rsidRPr="009C4628">
        <w:rPr>
          <w:rFonts w:ascii="Palatino Linotype" w:eastAsia="Times New Roman" w:hAnsi="Palatino Linotype" w:cs="Times New Roman"/>
          <w:sz w:val="24"/>
          <w:szCs w:val="24"/>
          <w:lang w:eastAsia="es-ES"/>
        </w:rPr>
        <w:t xml:space="preserve">Recurrente, se advierte lo que en la doctrina se le conoce como </w:t>
      </w:r>
      <w:r w:rsidRPr="009C4628">
        <w:rPr>
          <w:rFonts w:ascii="Palatino Linotype" w:eastAsia="Times New Roman" w:hAnsi="Palatino Linotype" w:cs="Times New Roman"/>
          <w:i/>
          <w:sz w:val="24"/>
          <w:szCs w:val="24"/>
          <w:lang w:eastAsia="es-ES"/>
        </w:rPr>
        <w:t>negativa ficta</w:t>
      </w:r>
      <w:r w:rsidRPr="009C4628">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r w:rsidRPr="00117C14">
        <w:rPr>
          <w:rFonts w:ascii="Palatino Linotype" w:eastAsia="Times New Roman" w:hAnsi="Palatino Linotype" w:cs="Times New Roman"/>
          <w:sz w:val="24"/>
          <w:szCs w:val="24"/>
          <w:lang w:eastAsia="es-ES"/>
        </w:rPr>
        <w:t xml:space="preserve">En este sentido la </w:t>
      </w:r>
      <w:r w:rsidRPr="00117C14">
        <w:rPr>
          <w:rFonts w:ascii="Palatino Linotype" w:eastAsia="Times New Roman" w:hAnsi="Palatino Linotype" w:cs="Times New Roman"/>
          <w:i/>
          <w:sz w:val="24"/>
          <w:szCs w:val="24"/>
          <w:lang w:eastAsia="es-ES"/>
        </w:rPr>
        <w:t>negativa ficta</w:t>
      </w:r>
      <w:r w:rsidRPr="00117C14">
        <w:rPr>
          <w:rFonts w:ascii="Palatino Linotype" w:eastAsia="Times New Roman" w:hAnsi="Palatino Linotype" w:cs="Times New Roman"/>
          <w:sz w:val="24"/>
          <w:szCs w:val="24"/>
          <w:lang w:eastAsia="es-ES"/>
        </w:rPr>
        <w:t xml:space="preserve"> constituye una presunción</w:t>
      </w:r>
      <w:r w:rsidRPr="009C4628">
        <w:rPr>
          <w:rFonts w:ascii="Palatino Linotype" w:eastAsia="Times New Roman" w:hAnsi="Palatino Linotype" w:cs="Times New Roman"/>
          <w:sz w:val="24"/>
          <w:szCs w:val="24"/>
          <w:lang w:eastAsia="es-ES"/>
        </w:rPr>
        <w:t xml:space="preserve"> legal, en el entendido de que donde no hubo respuesta por parte del Sujeto Obligado</w:t>
      </w:r>
      <w:r w:rsidRPr="009C4628">
        <w:rPr>
          <w:rFonts w:ascii="Palatino Linotype" w:eastAsia="Times New Roman" w:hAnsi="Palatino Linotype" w:cs="Times New Roman"/>
          <w:b/>
          <w:sz w:val="24"/>
          <w:szCs w:val="24"/>
          <w:lang w:eastAsia="es-ES"/>
        </w:rPr>
        <w:t xml:space="preserve"> </w:t>
      </w:r>
      <w:r w:rsidRPr="009C4628">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9C4628">
        <w:rPr>
          <w:rFonts w:ascii="Palatino Linotype" w:eastAsia="Times New Roman" w:hAnsi="Palatino Linotype" w:cs="Times New Roman"/>
          <w:i/>
          <w:sz w:val="24"/>
          <w:szCs w:val="24"/>
          <w:lang w:eastAsia="es-ES"/>
        </w:rPr>
        <w:t>Estado de Derecho</w:t>
      </w:r>
      <w:r w:rsidRPr="009C4628">
        <w:rPr>
          <w:rFonts w:ascii="Palatino Linotype" w:eastAsia="Times New Roman" w:hAnsi="Palatino Linotype" w:cs="Times New Roman"/>
          <w:sz w:val="24"/>
          <w:szCs w:val="24"/>
          <w:lang w:eastAsia="es-ES"/>
        </w:rPr>
        <w:t xml:space="preserve"> en el que, el particular, tiene siempre una vía de defensa.</w:t>
      </w: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lastRenderedPageBreak/>
        <w:t xml:space="preserve">En este sentido en el marco del derecho de acceso a la información pública, la figura de la </w:t>
      </w:r>
      <w:r w:rsidRPr="009C4628">
        <w:rPr>
          <w:rFonts w:ascii="Palatino Linotype" w:eastAsia="Times New Roman" w:hAnsi="Palatino Linotype" w:cs="Times New Roman"/>
          <w:i/>
          <w:sz w:val="24"/>
          <w:szCs w:val="24"/>
          <w:lang w:eastAsia="es-ES"/>
        </w:rPr>
        <w:t>negativa ficta</w:t>
      </w:r>
      <w:r w:rsidRPr="009C4628">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w:t>
      </w:r>
      <w:r w:rsidR="00E80DE9">
        <w:rPr>
          <w:rFonts w:ascii="Palatino Linotype" w:eastAsia="Times New Roman" w:hAnsi="Palatino Linotype" w:cs="Times New Roman"/>
          <w:sz w:val="24"/>
          <w:szCs w:val="24"/>
          <w:lang w:eastAsia="es-ES"/>
        </w:rPr>
        <w:t xml:space="preserve">etos Obligados, conforme a los </w:t>
      </w:r>
      <w:r w:rsidRPr="009C4628">
        <w:rPr>
          <w:rFonts w:ascii="Palatino Linotype" w:eastAsia="Times New Roman" w:hAnsi="Palatino Linotype" w:cs="Times New Roman"/>
          <w:sz w:val="24"/>
          <w:szCs w:val="24"/>
          <w:lang w:eastAsia="es-ES"/>
        </w:rPr>
        <w:t xml:space="preserve">artículos 4, 12, </w:t>
      </w:r>
      <w:r w:rsidR="005E37FE">
        <w:rPr>
          <w:rFonts w:ascii="Palatino Linotype" w:eastAsia="Times New Roman" w:hAnsi="Palatino Linotype" w:cs="Times New Roman"/>
          <w:sz w:val="24"/>
          <w:szCs w:val="24"/>
          <w:lang w:eastAsia="es-ES"/>
        </w:rPr>
        <w:t xml:space="preserve">24, último párrafo y 160, de la </w:t>
      </w:r>
      <w:r w:rsidRPr="009C4628">
        <w:rPr>
          <w:rFonts w:ascii="Palatino Linotype" w:eastAsia="Times New Roman" w:hAnsi="Palatino Linotype" w:cs="Times New Roman"/>
          <w:sz w:val="24"/>
          <w:szCs w:val="24"/>
          <w:lang w:eastAsia="es-ES"/>
        </w:rPr>
        <w:t>Ley local en la materia, que a la letra citan:</w:t>
      </w:r>
    </w:p>
    <w:p w:rsidR="002D0152" w:rsidRPr="009C4628" w:rsidRDefault="002D0152" w:rsidP="002D0152">
      <w:pPr>
        <w:pStyle w:val="Sinespaciado"/>
      </w:pP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4.</w:t>
      </w:r>
      <w:r w:rsidRPr="009C4628">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12.</w:t>
      </w:r>
      <w:r w:rsidRPr="009C4628">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2D0152" w:rsidRPr="009C4628" w:rsidRDefault="002D0152" w:rsidP="002D0152">
      <w:pPr>
        <w:spacing w:after="0" w:line="240" w:lineRule="auto"/>
        <w:ind w:left="567" w:right="567"/>
        <w:jc w:val="both"/>
        <w:rPr>
          <w:rFonts w:ascii="Palatino Linotype" w:eastAsia="Times New Roman" w:hAnsi="Palatino Linotype" w:cs="Times New Roman"/>
          <w:b/>
          <w:i/>
          <w:lang w:eastAsia="es-ES"/>
        </w:rPr>
      </w:pPr>
      <w:r w:rsidRPr="009C4628">
        <w:rPr>
          <w:rFonts w:ascii="Palatino Linotype" w:eastAsia="Times New Roman" w:hAnsi="Palatino Linotype" w:cs="Times New Roman"/>
          <w:b/>
          <w:i/>
          <w:lang w:eastAsia="es-ES"/>
        </w:rPr>
        <w:lastRenderedPageBreak/>
        <w:t xml:space="preserve">Artículo 24. </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160.</w:t>
      </w:r>
      <w:r w:rsidRPr="009C4628">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9C4628">
        <w:rPr>
          <w:rFonts w:ascii="Palatino Linotype" w:eastAsia="Times New Roman" w:hAnsi="Palatino Linotype" w:cs="Times New Roman"/>
          <w:bCs/>
          <w:sz w:val="24"/>
          <w:szCs w:val="24"/>
          <w:lang w:eastAsia="es-ES"/>
        </w:rPr>
        <w:t>de la Ley local en la materia, que se reproduce de la siguiente forma</w:t>
      </w:r>
      <w:r w:rsidRPr="009C4628">
        <w:rPr>
          <w:rFonts w:ascii="Palatino Linotype" w:eastAsia="Times New Roman" w:hAnsi="Palatino Linotype" w:cs="Times New Roman"/>
          <w:sz w:val="24"/>
          <w:szCs w:val="24"/>
          <w:lang w:eastAsia="es-ES"/>
        </w:rPr>
        <w:t>:</w:t>
      </w:r>
    </w:p>
    <w:p w:rsidR="002D0152" w:rsidRPr="009C4628" w:rsidRDefault="002D0152" w:rsidP="002D0152">
      <w:pPr>
        <w:pStyle w:val="Sinespaciado"/>
      </w:pPr>
    </w:p>
    <w:p w:rsidR="002D0152" w:rsidRPr="009C4628" w:rsidRDefault="002D0152" w:rsidP="002D0152">
      <w:pPr>
        <w:spacing w:after="0" w:line="240" w:lineRule="auto"/>
        <w:ind w:left="567" w:right="567"/>
        <w:jc w:val="both"/>
        <w:rPr>
          <w:rFonts w:ascii="Palatino Linotype" w:eastAsia="Times New Roman" w:hAnsi="Palatino Linotype" w:cs="Arial"/>
          <w:i/>
          <w:lang w:eastAsia="es-ES"/>
        </w:rPr>
      </w:pPr>
      <w:r w:rsidRPr="009C4628">
        <w:rPr>
          <w:rFonts w:ascii="Palatino Linotype" w:eastAsia="Times New Roman" w:hAnsi="Palatino Linotype" w:cs="Arial"/>
          <w:b/>
          <w:i/>
          <w:lang w:eastAsia="es-ES"/>
        </w:rPr>
        <w:t>Artículo 166.</w:t>
      </w:r>
      <w:r w:rsidRPr="009C4628">
        <w:rPr>
          <w:rFonts w:ascii="Palatino Linotype" w:eastAsia="Times New Roman" w:hAnsi="Palatino Linotype" w:cs="Arial"/>
          <w:i/>
          <w:lang w:eastAsia="es-ES"/>
        </w:rPr>
        <w:t xml:space="preserve"> </w:t>
      </w:r>
      <w:r w:rsidRPr="009C4628">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2D0152" w:rsidRPr="009C4628" w:rsidRDefault="002D0152" w:rsidP="002D0152">
      <w:pPr>
        <w:spacing w:after="0" w:line="360" w:lineRule="auto"/>
        <w:rPr>
          <w:rFonts w:ascii="Palatino Linotype" w:eastAsia="Times New Roman" w:hAnsi="Palatino Linotype" w:cs="Times New Roman"/>
          <w:sz w:val="24"/>
          <w:szCs w:val="24"/>
          <w:lang w:eastAsia="es-ES"/>
        </w:rPr>
      </w:pP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rsidR="002D0152" w:rsidRPr="009C4628" w:rsidRDefault="002D0152" w:rsidP="002D0152">
      <w:pPr>
        <w:pStyle w:val="Sinespaciado"/>
      </w:pP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lastRenderedPageBreak/>
        <w:t>A</w:t>
      </w:r>
      <w:r w:rsidRPr="009C4628">
        <w:rPr>
          <w:rFonts w:ascii="Palatino Linotype" w:eastAsia="Times New Roman" w:hAnsi="Palatino Linotype" w:cs="Times New Roman"/>
          <w:b/>
          <w:bCs/>
          <w:i/>
          <w:lang w:eastAsia="es-ES"/>
        </w:rPr>
        <w:t>rtículo 24.</w:t>
      </w:r>
      <w:r w:rsidRPr="009C4628">
        <w:rPr>
          <w:rFonts w:ascii="Palatino Linotype" w:eastAsia="Times New Roman" w:hAnsi="Palatino Linotype" w:cs="Times New Roman"/>
          <w:bCs/>
          <w:i/>
          <w:lang w:eastAsia="es-ES"/>
        </w:rPr>
        <w:t xml:space="preserve"> </w:t>
      </w:r>
      <w:r w:rsidRPr="009C4628">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Cs/>
          <w:i/>
          <w:lang w:eastAsia="es-ES"/>
        </w:rPr>
        <w:t>(..</w:t>
      </w:r>
      <w:r w:rsidRPr="009C4628">
        <w:rPr>
          <w:rFonts w:ascii="Palatino Linotype" w:eastAsia="Times New Roman" w:hAnsi="Palatino Linotype" w:cs="Times New Roman"/>
          <w:i/>
          <w:lang w:eastAsia="es-ES"/>
        </w:rPr>
        <w:t>.)</w:t>
      </w:r>
    </w:p>
    <w:p w:rsidR="002D0152" w:rsidRPr="009C4628" w:rsidRDefault="002D0152" w:rsidP="002D0152">
      <w:pPr>
        <w:spacing w:after="0" w:line="240" w:lineRule="auto"/>
        <w:ind w:left="567" w:right="567"/>
        <w:jc w:val="both"/>
        <w:rPr>
          <w:rFonts w:ascii="Palatino Linotype" w:eastAsia="Times New Roman" w:hAnsi="Palatino Linotype" w:cs="Times New Roman"/>
          <w:bCs/>
          <w:i/>
          <w:lang w:eastAsia="es-ES"/>
        </w:rPr>
      </w:pPr>
      <w:r w:rsidRPr="009C4628">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2D0152" w:rsidRDefault="002D0152" w:rsidP="002D0152">
      <w:pPr>
        <w:pStyle w:val="Prrafodelista"/>
        <w:autoSpaceDE w:val="0"/>
        <w:autoSpaceDN w:val="0"/>
        <w:adjustRightInd w:val="0"/>
        <w:spacing w:line="360" w:lineRule="auto"/>
        <w:ind w:left="0"/>
        <w:jc w:val="both"/>
        <w:rPr>
          <w:rFonts w:ascii="Palatino Linotype" w:hAnsi="Palatino Linotype" w:cs="Arial"/>
        </w:rPr>
      </w:pPr>
    </w:p>
    <w:p w:rsidR="0090033B" w:rsidRPr="0090033B" w:rsidRDefault="0090033B" w:rsidP="0090033B">
      <w:pPr>
        <w:tabs>
          <w:tab w:val="left" w:pos="4962"/>
        </w:tabs>
        <w:spacing w:line="360" w:lineRule="auto"/>
        <w:jc w:val="both"/>
        <w:rPr>
          <w:rFonts w:ascii="Palatino Linotype" w:eastAsia="Calibri" w:hAnsi="Palatino Linotype" w:cs="Tahoma"/>
          <w:b/>
          <w:sz w:val="24"/>
        </w:rPr>
      </w:pPr>
      <w:r w:rsidRPr="0090033B">
        <w:rPr>
          <w:rFonts w:ascii="Palatino Linotype" w:eastAsia="Calibri" w:hAnsi="Palatino Linotype" w:cs="Tahoma"/>
          <w:iCs/>
          <w:sz w:val="24"/>
          <w:lang w:val="es-ES" w:eastAsia="es-ES_tradnl"/>
        </w:rPr>
        <w:t xml:space="preserve">El Particular, a través del Sistema de Acceso a la Información Mexiquense (SAIMEX), solicitó al </w:t>
      </w:r>
      <w:r w:rsidRPr="0090033B">
        <w:rPr>
          <w:rFonts w:ascii="Palatino Linotype" w:eastAsia="Calibri" w:hAnsi="Palatino Linotype" w:cs="Tahoma"/>
          <w:sz w:val="24"/>
        </w:rPr>
        <w:t xml:space="preserve">Sujeto Obligado, </w:t>
      </w:r>
      <w:r w:rsidRPr="0090033B">
        <w:rPr>
          <w:rFonts w:ascii="Palatino Linotype" w:eastAsia="Calibri" w:hAnsi="Palatino Linotype" w:cs="Tahoma"/>
          <w:b/>
          <w:sz w:val="24"/>
        </w:rPr>
        <w:t xml:space="preserve">que le informara en relación a la administración municipal del periodo del 2019 – 2021, tres aspectos; primero, la remuneración bruta y neta de todos los servidores públicos de base o de confianza, dando muestra de todas las percepciones que reciben y los periodos por los cuales los perciben; segundo, el monto de gastos de representación y viáticos, señalando su objeto y el informe de comisión correspondiente; por último el total de plazas,  de personal de base, personal de confianza y el total de vacantes identificando el nivel de puesto para cada unidad administrativa; toda esta información la solicitó desglosada y digita. </w:t>
      </w:r>
    </w:p>
    <w:p w:rsidR="0090033B" w:rsidRPr="00120D28" w:rsidRDefault="0090033B" w:rsidP="0090033B">
      <w:pPr>
        <w:pStyle w:val="Sinespaciado"/>
      </w:pPr>
    </w:p>
    <w:p w:rsidR="0090033B" w:rsidRPr="0090033B" w:rsidRDefault="0090033B" w:rsidP="0090033B">
      <w:pPr>
        <w:tabs>
          <w:tab w:val="left" w:pos="4962"/>
        </w:tabs>
        <w:spacing w:line="360" w:lineRule="auto"/>
        <w:jc w:val="both"/>
        <w:rPr>
          <w:rFonts w:ascii="Palatino Linotype" w:eastAsia="Calibri" w:hAnsi="Palatino Linotype" w:cs="Tahoma"/>
          <w:iCs/>
          <w:sz w:val="24"/>
          <w:lang w:val="es-ES" w:eastAsia="es-ES_tradnl"/>
        </w:rPr>
      </w:pPr>
      <w:r w:rsidRPr="0090033B">
        <w:rPr>
          <w:rFonts w:ascii="Palatino Linotype" w:eastAsia="Calibri" w:hAnsi="Palatino Linotype" w:cs="Tahoma"/>
          <w:iCs/>
          <w:sz w:val="24"/>
          <w:lang w:val="es-ES" w:eastAsia="es-ES_tradnl"/>
        </w:rPr>
        <w:t xml:space="preserve">Concluido el plazo para otorgar respuesta, </w:t>
      </w:r>
      <w:r w:rsidRPr="0090033B">
        <w:rPr>
          <w:rFonts w:ascii="Palatino Linotype" w:eastAsia="Calibri" w:hAnsi="Palatino Linotype" w:cs="Tahoma"/>
          <w:b/>
          <w:iCs/>
          <w:sz w:val="24"/>
          <w:lang w:val="es-ES" w:eastAsia="es-ES_tradnl"/>
        </w:rPr>
        <w:t>el Sujeto Obligado fue omiso en atender la solicitud de acceso a la información pública que nos ocupa</w:t>
      </w:r>
      <w:r w:rsidRPr="0090033B">
        <w:rPr>
          <w:rFonts w:ascii="Palatino Linotype" w:eastAsia="Calibri" w:hAnsi="Palatino Linotype" w:cs="Tahoma"/>
          <w:iCs/>
          <w:sz w:val="24"/>
          <w:lang w:val="es-ES" w:eastAsia="es-ES_tradnl"/>
        </w:rPr>
        <w:t>; razón por la cual, el Particular presentó Recurso de Revisión ante este Instituto, en el que manifestó como a</w:t>
      </w:r>
      <w:r w:rsidRPr="0090033B">
        <w:rPr>
          <w:rFonts w:ascii="Palatino Linotype" w:eastAsia="Calibri" w:hAnsi="Palatino Linotype" w:cs="Tahoma"/>
          <w:b/>
          <w:iCs/>
          <w:sz w:val="24"/>
          <w:lang w:val="es-ES" w:eastAsia="es-ES_tradnl"/>
        </w:rPr>
        <w:t>gravio la falta de respuesta del Sujeto Obligado a su solicitud</w:t>
      </w:r>
      <w:r w:rsidRPr="0090033B">
        <w:rPr>
          <w:rFonts w:ascii="Palatino Linotype" w:eastAsia="Calibri" w:hAnsi="Palatino Linotype" w:cs="Tahoma"/>
          <w:iCs/>
          <w:sz w:val="24"/>
          <w:lang w:val="es-ES" w:eastAsia="es-ES_tradnl"/>
        </w:rPr>
        <w:t xml:space="preserve"> de acceso a la información dentro de los plazos previstos por la Ley de Transparencia y Acceso a la Información Pública del Estado de México y Municipios.</w:t>
      </w:r>
    </w:p>
    <w:p w:rsidR="0090033B" w:rsidRPr="00120D28" w:rsidRDefault="0090033B" w:rsidP="0090033B">
      <w:pPr>
        <w:tabs>
          <w:tab w:val="left" w:pos="4962"/>
        </w:tabs>
        <w:spacing w:line="360" w:lineRule="auto"/>
        <w:jc w:val="both"/>
        <w:rPr>
          <w:rFonts w:ascii="Palatino Linotype" w:eastAsia="Calibri" w:hAnsi="Palatino Linotype" w:cs="Tahoma"/>
          <w:b/>
          <w:iCs/>
          <w:lang w:val="es-ES" w:eastAsia="es-ES_tradnl"/>
        </w:rPr>
      </w:pPr>
    </w:p>
    <w:p w:rsidR="0090033B" w:rsidRPr="00120D28" w:rsidRDefault="0090033B" w:rsidP="0090033B">
      <w:pPr>
        <w:tabs>
          <w:tab w:val="left" w:pos="4962"/>
        </w:tabs>
        <w:spacing w:line="360" w:lineRule="auto"/>
        <w:jc w:val="both"/>
        <w:rPr>
          <w:rFonts w:ascii="Palatino Linotype" w:eastAsia="Calibri" w:hAnsi="Palatino Linotype" w:cs="Tahoma"/>
          <w:b/>
          <w:iCs/>
          <w:lang w:val="es-ES" w:eastAsia="es-ES_tradnl"/>
        </w:rPr>
      </w:pPr>
      <w:r w:rsidRPr="00120D28">
        <w:rPr>
          <w:rFonts w:ascii="Palatino Linotype" w:eastAsia="Calibri" w:hAnsi="Palatino Linotype" w:cs="Tahoma"/>
          <w:iCs/>
          <w:lang w:val="es-ES" w:eastAsia="es-ES_tradnl"/>
        </w:rPr>
        <w:lastRenderedPageBreak/>
        <w:t xml:space="preserve">Ante la admisión del Recurso de Revisión, el Sujeto Obligado </w:t>
      </w:r>
      <w:r w:rsidRPr="00120D28">
        <w:rPr>
          <w:rFonts w:ascii="Palatino Linotype" w:eastAsia="Calibri" w:hAnsi="Palatino Linotype" w:cs="Tahoma"/>
          <w:b/>
          <w:iCs/>
          <w:lang w:val="es-ES" w:eastAsia="es-ES_tradnl"/>
        </w:rPr>
        <w:t>rindió Informe Justificado, sin embargo, no proporcionó información alguna a fin de satisfacer la solicitud del Recurrente.</w:t>
      </w:r>
    </w:p>
    <w:p w:rsidR="0090033B" w:rsidRPr="00120D28" w:rsidRDefault="0090033B" w:rsidP="0090033B">
      <w:pPr>
        <w:pStyle w:val="Sinespaciado"/>
        <w:rPr>
          <w:lang w:val="es-ES" w:eastAsia="es-ES_tradnl"/>
        </w:rPr>
      </w:pPr>
    </w:p>
    <w:p w:rsidR="0090033B" w:rsidRPr="00120D28" w:rsidRDefault="0090033B" w:rsidP="00543DDF">
      <w:pPr>
        <w:pStyle w:val="Sinespaciado"/>
        <w:rPr>
          <w:lang w:val="es-ES"/>
        </w:rPr>
      </w:pPr>
    </w:p>
    <w:p w:rsidR="0090033B" w:rsidRPr="00120D28" w:rsidRDefault="0090033B" w:rsidP="0090033B">
      <w:pPr>
        <w:spacing w:line="360" w:lineRule="auto"/>
        <w:ind w:right="-93"/>
        <w:jc w:val="both"/>
        <w:rPr>
          <w:rFonts w:ascii="Palatino Linotype" w:hAnsi="Palatino Linotype" w:cs="Tahoma"/>
          <w:lang w:val="es-ES"/>
        </w:rPr>
      </w:pPr>
      <w:r w:rsidRPr="00120D28">
        <w:rPr>
          <w:rFonts w:ascii="Palatino Linotype" w:hAnsi="Palatino Linotype" w:cs="Tahoma"/>
          <w:lang w:val="es-ES"/>
        </w:rPr>
        <w:t>Una vez que se han expuestos antecedentes, es procedente entrar al análisis de los agravios que dan motivo a la presente Resolución; por lo que es menester destacar la fuente obligacional del Sujeto Obligado, así como de la competencia con la que cuenta para generar o poseer la información que el hoy Recurrente solicitó y la naturaleza de la información solicitada, en los términos siguientes:</w:t>
      </w:r>
    </w:p>
    <w:p w:rsidR="0090033B" w:rsidRPr="00120D28" w:rsidRDefault="0090033B" w:rsidP="00143FED">
      <w:pPr>
        <w:pStyle w:val="Sinespaciado"/>
      </w:pPr>
    </w:p>
    <w:p w:rsidR="0090033B" w:rsidRPr="00120D28" w:rsidRDefault="0090033B" w:rsidP="0090033B">
      <w:pPr>
        <w:spacing w:line="360" w:lineRule="auto"/>
        <w:ind w:right="-93"/>
        <w:jc w:val="both"/>
        <w:rPr>
          <w:rFonts w:ascii="Palatino Linotype" w:eastAsia="Calibri" w:hAnsi="Palatino Linotype" w:cs="Tahoma"/>
          <w:bCs/>
        </w:rPr>
      </w:pPr>
      <w:r w:rsidRPr="00120D28">
        <w:rPr>
          <w:rFonts w:ascii="Palatino Linotype" w:eastAsia="Calibri" w:hAnsi="Palatino Linotype" w:cs="Tahoma"/>
          <w:bCs/>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0090033B" w:rsidRPr="00120D28" w:rsidRDefault="0090033B" w:rsidP="0090033B">
      <w:pPr>
        <w:spacing w:line="360" w:lineRule="auto"/>
        <w:ind w:right="-93"/>
        <w:jc w:val="both"/>
        <w:rPr>
          <w:rFonts w:ascii="Palatino Linotype" w:eastAsia="Calibri" w:hAnsi="Palatino Linotype" w:cs="Tahoma"/>
          <w:bCs/>
        </w:rPr>
      </w:pPr>
    </w:p>
    <w:p w:rsidR="0090033B" w:rsidRPr="00120D28" w:rsidRDefault="0090033B" w:rsidP="0090033B">
      <w:pPr>
        <w:pStyle w:val="Prrafodelista"/>
        <w:numPr>
          <w:ilvl w:val="0"/>
          <w:numId w:val="27"/>
        </w:numPr>
        <w:spacing w:line="360" w:lineRule="auto"/>
        <w:ind w:right="-93"/>
        <w:jc w:val="both"/>
        <w:rPr>
          <w:rFonts w:ascii="Palatino Linotype" w:eastAsia="Calibri" w:hAnsi="Palatino Linotype" w:cs="Tahoma"/>
          <w:bCs/>
          <w:szCs w:val="22"/>
          <w:lang w:eastAsia="en-US"/>
        </w:rPr>
      </w:pPr>
      <w:r w:rsidRPr="00120D28">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rsidR="0090033B" w:rsidRPr="00120D28" w:rsidRDefault="0090033B" w:rsidP="0090033B">
      <w:pPr>
        <w:spacing w:line="360" w:lineRule="auto"/>
        <w:ind w:left="360" w:right="-93"/>
        <w:jc w:val="both"/>
        <w:rPr>
          <w:rFonts w:ascii="Palatino Linotype" w:eastAsia="Calibri" w:hAnsi="Palatino Linotype" w:cs="Tahoma"/>
          <w:bCs/>
        </w:rPr>
      </w:pPr>
    </w:p>
    <w:p w:rsidR="0090033B" w:rsidRPr="00120D28" w:rsidRDefault="0090033B" w:rsidP="0090033B">
      <w:pPr>
        <w:pStyle w:val="Prrafodelista"/>
        <w:numPr>
          <w:ilvl w:val="0"/>
          <w:numId w:val="27"/>
        </w:numPr>
        <w:spacing w:line="360" w:lineRule="auto"/>
        <w:ind w:right="-93"/>
        <w:jc w:val="both"/>
        <w:rPr>
          <w:rFonts w:ascii="Palatino Linotype" w:eastAsia="Calibri" w:hAnsi="Palatino Linotype" w:cs="Tahoma"/>
          <w:bCs/>
          <w:szCs w:val="22"/>
          <w:lang w:eastAsia="en-US"/>
        </w:rPr>
      </w:pPr>
      <w:r w:rsidRPr="00120D28">
        <w:rPr>
          <w:rFonts w:ascii="Palatino Linotype" w:eastAsia="Calibri" w:hAnsi="Palatino Linotype" w:cs="Tahoma"/>
          <w:bCs/>
          <w:szCs w:val="22"/>
          <w:lang w:eastAsia="en-US"/>
        </w:rPr>
        <w:t>Transparentar la gestión pública, mediante la difusión de la información generada por los Sujetos Obligados, y</w:t>
      </w:r>
    </w:p>
    <w:p w:rsidR="0090033B" w:rsidRPr="00120D28" w:rsidRDefault="0090033B" w:rsidP="0090033B">
      <w:pPr>
        <w:pStyle w:val="Prrafodelista"/>
        <w:spacing w:line="360" w:lineRule="auto"/>
        <w:jc w:val="both"/>
        <w:rPr>
          <w:rFonts w:ascii="Palatino Linotype" w:eastAsia="Calibri" w:hAnsi="Palatino Linotype" w:cs="Tahoma"/>
          <w:bCs/>
          <w:szCs w:val="22"/>
          <w:lang w:eastAsia="en-US"/>
        </w:rPr>
      </w:pPr>
    </w:p>
    <w:p w:rsidR="0090033B" w:rsidRPr="00120D28" w:rsidRDefault="0090033B" w:rsidP="0090033B">
      <w:pPr>
        <w:pStyle w:val="Prrafodelista"/>
        <w:numPr>
          <w:ilvl w:val="0"/>
          <w:numId w:val="27"/>
        </w:numPr>
        <w:spacing w:line="360" w:lineRule="auto"/>
        <w:ind w:right="-93"/>
        <w:jc w:val="both"/>
        <w:rPr>
          <w:rFonts w:ascii="Palatino Linotype" w:eastAsia="Calibri" w:hAnsi="Palatino Linotype" w:cs="Tahoma"/>
          <w:bCs/>
          <w:szCs w:val="22"/>
          <w:lang w:eastAsia="en-US"/>
        </w:rPr>
      </w:pPr>
      <w:r w:rsidRPr="00120D28">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rsidR="0090033B" w:rsidRPr="00120D28" w:rsidRDefault="0090033B" w:rsidP="0090033B">
      <w:pPr>
        <w:spacing w:line="360" w:lineRule="auto"/>
        <w:ind w:right="-93"/>
        <w:jc w:val="both"/>
        <w:rPr>
          <w:rFonts w:ascii="Palatino Linotype" w:eastAsia="Calibri" w:hAnsi="Palatino Linotype" w:cs="Tahoma"/>
          <w:bCs/>
        </w:rPr>
      </w:pPr>
      <w:r w:rsidRPr="00120D28">
        <w:rPr>
          <w:rFonts w:ascii="Palatino Linotype" w:eastAsia="Calibri" w:hAnsi="Palatino Linotype" w:cs="Tahoma"/>
          <w:bCs/>
        </w:rPr>
        <w:lastRenderedPageBreak/>
        <w:t xml:space="preserve">Conforme a lo anterior, se deprende que </w:t>
      </w:r>
      <w:r w:rsidRPr="00120D28">
        <w:rPr>
          <w:rFonts w:ascii="Palatino Linotype" w:eastAsia="Calibri" w:hAnsi="Palatino Linotype" w:cs="Tahoma"/>
          <w:b/>
          <w:bCs/>
        </w:rPr>
        <w:t>los objetivos de la Ley de la materia,</w:t>
      </w:r>
      <w:r w:rsidRPr="00120D28">
        <w:rPr>
          <w:rFonts w:ascii="Palatino Linotype" w:eastAsia="Calibri" w:hAnsi="Palatino Linotype" w:cs="Tahoma"/>
          <w:bC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0090033B" w:rsidRPr="00120D28" w:rsidRDefault="0090033B" w:rsidP="00143FED">
      <w:pPr>
        <w:pStyle w:val="Sinespaciado"/>
      </w:pPr>
    </w:p>
    <w:p w:rsidR="0090033B" w:rsidRPr="00120D28" w:rsidRDefault="0090033B" w:rsidP="0090033B">
      <w:pPr>
        <w:spacing w:line="360" w:lineRule="auto"/>
        <w:ind w:right="-93"/>
        <w:jc w:val="both"/>
        <w:rPr>
          <w:rFonts w:ascii="Palatino Linotype" w:eastAsia="Calibri" w:hAnsi="Palatino Linotype" w:cs="Tahoma"/>
          <w:bCs/>
        </w:rPr>
      </w:pPr>
      <w:r w:rsidRPr="00120D28">
        <w:rPr>
          <w:rFonts w:ascii="Palatino Linotype" w:eastAsia="Calibri" w:hAnsi="Palatino Linotype" w:cs="Tahoma"/>
          <w:bCs/>
        </w:rPr>
        <w:t xml:space="preserve">En ese orden de ideas, para la atención de las solicitud de acceso a la información, debe privilegiarse el </w:t>
      </w:r>
      <w:r w:rsidRPr="00120D28">
        <w:rPr>
          <w:rFonts w:ascii="Palatino Linotype" w:eastAsia="Calibri" w:hAnsi="Palatino Linotype" w:cs="Tahoma"/>
          <w:b/>
          <w:bCs/>
        </w:rPr>
        <w:t>principio de máxima publicidad,</w:t>
      </w:r>
      <w:r w:rsidRPr="00120D28">
        <w:rPr>
          <w:rFonts w:ascii="Palatino Linotype" w:eastAsia="Calibri" w:hAnsi="Palatino Linotype" w:cs="Tahoma"/>
          <w:bCs/>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0090033B" w:rsidRPr="00120D28" w:rsidRDefault="0090033B" w:rsidP="00143FED">
      <w:pPr>
        <w:pStyle w:val="Sinespaciado"/>
      </w:pPr>
    </w:p>
    <w:p w:rsidR="0090033B" w:rsidRPr="00120D28" w:rsidRDefault="0090033B" w:rsidP="0090033B">
      <w:pPr>
        <w:spacing w:line="360" w:lineRule="auto"/>
        <w:ind w:right="-93"/>
        <w:jc w:val="both"/>
        <w:rPr>
          <w:rFonts w:ascii="Palatino Linotype" w:eastAsia="Calibri" w:hAnsi="Palatino Linotype" w:cs="Tahoma"/>
          <w:bCs/>
        </w:rPr>
      </w:pPr>
      <w:r w:rsidRPr="00120D28">
        <w:rPr>
          <w:rFonts w:ascii="Palatino Linotype" w:eastAsia="Calibri" w:hAnsi="Palatino Linotype" w:cs="Tahoma"/>
          <w:bC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0090033B" w:rsidRPr="00120D28" w:rsidRDefault="0090033B" w:rsidP="00143FED">
      <w:pPr>
        <w:pStyle w:val="Sinespaciado"/>
      </w:pPr>
    </w:p>
    <w:p w:rsidR="0090033B" w:rsidRPr="00120D28" w:rsidRDefault="0090033B" w:rsidP="0090033B">
      <w:pPr>
        <w:pStyle w:val="Prrafodelista"/>
        <w:numPr>
          <w:ilvl w:val="0"/>
          <w:numId w:val="28"/>
        </w:numPr>
        <w:spacing w:line="360" w:lineRule="auto"/>
        <w:ind w:right="-93"/>
        <w:jc w:val="both"/>
        <w:rPr>
          <w:rFonts w:ascii="Palatino Linotype" w:eastAsia="Calibri" w:hAnsi="Palatino Linotype" w:cs="Tahoma"/>
          <w:bCs/>
          <w:szCs w:val="22"/>
          <w:lang w:eastAsia="en-US"/>
        </w:rPr>
      </w:pPr>
      <w:r w:rsidRPr="00120D28">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0090033B" w:rsidRPr="00120D28" w:rsidRDefault="0090033B" w:rsidP="0090033B">
      <w:pPr>
        <w:pStyle w:val="Prrafodelista"/>
        <w:spacing w:line="360" w:lineRule="auto"/>
        <w:ind w:right="-93"/>
        <w:jc w:val="both"/>
        <w:rPr>
          <w:rFonts w:ascii="Palatino Linotype" w:eastAsia="Calibri" w:hAnsi="Palatino Linotype" w:cs="Tahoma"/>
          <w:bCs/>
          <w:szCs w:val="22"/>
          <w:lang w:eastAsia="en-US"/>
        </w:rPr>
      </w:pPr>
    </w:p>
    <w:p w:rsidR="0090033B" w:rsidRPr="00120D28" w:rsidRDefault="0090033B" w:rsidP="0090033B">
      <w:pPr>
        <w:pStyle w:val="Prrafodelista"/>
        <w:numPr>
          <w:ilvl w:val="0"/>
          <w:numId w:val="28"/>
        </w:numPr>
        <w:spacing w:line="360" w:lineRule="auto"/>
        <w:ind w:right="-93"/>
        <w:jc w:val="both"/>
        <w:rPr>
          <w:rFonts w:ascii="Palatino Linotype" w:eastAsia="Calibri" w:hAnsi="Palatino Linotype" w:cs="Tahoma"/>
          <w:bCs/>
          <w:szCs w:val="22"/>
          <w:lang w:eastAsia="en-US"/>
        </w:rPr>
      </w:pPr>
      <w:r w:rsidRPr="00120D28">
        <w:rPr>
          <w:rFonts w:ascii="Palatino Linotype" w:eastAsia="Calibri" w:hAnsi="Palatino Linotype" w:cs="Tahoma"/>
          <w:bCs/>
          <w:szCs w:val="22"/>
          <w:lang w:eastAsia="en-US"/>
        </w:rPr>
        <w:t xml:space="preserve">La respuesta a los requerimientos deberá notificarse al interesado en el menor tiempo posible, periodo que no podrá exceder </w:t>
      </w:r>
      <w:r w:rsidRPr="00120D28">
        <w:rPr>
          <w:rFonts w:ascii="Palatino Linotype" w:eastAsia="Calibri" w:hAnsi="Palatino Linotype" w:cs="Tahoma"/>
          <w:b/>
          <w:bCs/>
          <w:szCs w:val="22"/>
          <w:lang w:eastAsia="en-US"/>
        </w:rPr>
        <w:t xml:space="preserve">quince días hábiles, contados a </w:t>
      </w:r>
      <w:r w:rsidRPr="00120D28">
        <w:rPr>
          <w:rFonts w:ascii="Palatino Linotype" w:eastAsia="Calibri" w:hAnsi="Palatino Linotype" w:cs="Tahoma"/>
          <w:b/>
          <w:bCs/>
          <w:szCs w:val="22"/>
          <w:lang w:eastAsia="en-US"/>
        </w:rPr>
        <w:lastRenderedPageBreak/>
        <w:t>partir del día siguiente a la presentación de éste.</w:t>
      </w:r>
      <w:r w:rsidRPr="00120D28">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rsidR="0090033B" w:rsidRPr="00120D28" w:rsidRDefault="0090033B" w:rsidP="0090033B">
      <w:pPr>
        <w:pStyle w:val="Prrafodelista"/>
        <w:spacing w:line="360" w:lineRule="auto"/>
        <w:jc w:val="both"/>
        <w:rPr>
          <w:rFonts w:ascii="Palatino Linotype" w:eastAsia="Calibri" w:hAnsi="Palatino Linotype" w:cs="Tahoma"/>
          <w:bCs/>
          <w:szCs w:val="22"/>
          <w:lang w:eastAsia="en-US"/>
        </w:rPr>
      </w:pPr>
    </w:p>
    <w:p w:rsidR="0090033B" w:rsidRPr="00120D28" w:rsidRDefault="0090033B" w:rsidP="0090033B">
      <w:pPr>
        <w:pStyle w:val="Prrafodelista"/>
        <w:numPr>
          <w:ilvl w:val="0"/>
          <w:numId w:val="28"/>
        </w:numPr>
        <w:spacing w:line="360" w:lineRule="auto"/>
        <w:ind w:right="-93"/>
        <w:jc w:val="both"/>
        <w:rPr>
          <w:rFonts w:ascii="Palatino Linotype" w:eastAsia="Calibri" w:hAnsi="Palatino Linotype" w:cs="Tahoma"/>
          <w:b/>
          <w:bCs/>
          <w:szCs w:val="22"/>
          <w:lang w:eastAsia="en-US"/>
        </w:rPr>
      </w:pPr>
      <w:r w:rsidRPr="00120D28">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120D28">
        <w:rPr>
          <w:rFonts w:ascii="Palatino Linotype" w:eastAsia="Calibri" w:hAnsi="Palatino Linotype" w:cs="Tahoma"/>
          <w:b/>
          <w:bCs/>
          <w:szCs w:val="22"/>
          <w:lang w:eastAsia="en-US"/>
        </w:rPr>
        <w:t>proporcionen las expresiones documentales</w:t>
      </w:r>
      <w:r w:rsidRPr="00120D28">
        <w:rPr>
          <w:rFonts w:ascii="Palatino Linotype" w:eastAsia="Calibri" w:hAnsi="Palatino Linotype" w:cs="Tahoma"/>
          <w:bCs/>
          <w:szCs w:val="22"/>
          <w:lang w:eastAsia="en-US"/>
        </w:rPr>
        <w:t xml:space="preserve"> </w:t>
      </w:r>
      <w:r w:rsidRPr="00120D28">
        <w:rPr>
          <w:rFonts w:ascii="Palatino Linotype" w:eastAsia="Calibri" w:hAnsi="Palatino Linotype" w:cs="Tahoma"/>
          <w:b/>
          <w:bCs/>
          <w:szCs w:val="22"/>
          <w:lang w:eastAsia="en-US"/>
        </w:rPr>
        <w:t>que se encuentren en sus archivos o que estén constreñidos a elaborar;</w:t>
      </w:r>
    </w:p>
    <w:p w:rsidR="0090033B" w:rsidRPr="00120D28" w:rsidRDefault="0090033B" w:rsidP="0090033B">
      <w:pPr>
        <w:pStyle w:val="Prrafodelista"/>
        <w:spacing w:line="360" w:lineRule="auto"/>
        <w:jc w:val="both"/>
        <w:rPr>
          <w:rFonts w:ascii="Palatino Linotype" w:eastAsia="Calibri" w:hAnsi="Palatino Linotype" w:cs="Tahoma"/>
          <w:b/>
          <w:bCs/>
          <w:szCs w:val="22"/>
          <w:lang w:eastAsia="en-US"/>
        </w:rPr>
      </w:pPr>
    </w:p>
    <w:p w:rsidR="0090033B" w:rsidRPr="00120D28" w:rsidRDefault="0090033B" w:rsidP="0090033B">
      <w:pPr>
        <w:pStyle w:val="Prrafodelista"/>
        <w:numPr>
          <w:ilvl w:val="0"/>
          <w:numId w:val="28"/>
        </w:numPr>
        <w:spacing w:line="360" w:lineRule="auto"/>
        <w:ind w:right="-93"/>
        <w:jc w:val="both"/>
        <w:rPr>
          <w:rFonts w:ascii="Palatino Linotype" w:eastAsia="Calibri" w:hAnsi="Palatino Linotype" w:cs="Tahoma"/>
          <w:b/>
          <w:bCs/>
          <w:szCs w:val="22"/>
          <w:lang w:eastAsia="en-US"/>
        </w:rPr>
      </w:pPr>
      <w:r w:rsidRPr="00120D28">
        <w:rPr>
          <w:rFonts w:ascii="Palatino Linotype" w:eastAsia="Calibri" w:hAnsi="Palatino Linotype" w:cs="Tahoma"/>
          <w:bCs/>
          <w:szCs w:val="22"/>
          <w:lang w:eastAsia="en-U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0090033B" w:rsidRPr="00120D28" w:rsidRDefault="0090033B" w:rsidP="0090033B">
      <w:pPr>
        <w:pStyle w:val="Prrafodelista"/>
        <w:spacing w:line="360" w:lineRule="auto"/>
        <w:jc w:val="both"/>
        <w:rPr>
          <w:rFonts w:ascii="Palatino Linotype" w:eastAsia="Calibri" w:hAnsi="Palatino Linotype" w:cs="Tahoma"/>
          <w:b/>
          <w:bCs/>
          <w:szCs w:val="22"/>
          <w:lang w:eastAsia="en-US"/>
        </w:rPr>
      </w:pPr>
    </w:p>
    <w:p w:rsidR="0090033B" w:rsidRPr="00120D28" w:rsidRDefault="0090033B" w:rsidP="0090033B">
      <w:pPr>
        <w:pStyle w:val="Prrafodelista"/>
        <w:numPr>
          <w:ilvl w:val="0"/>
          <w:numId w:val="28"/>
        </w:numPr>
        <w:spacing w:line="360" w:lineRule="auto"/>
        <w:ind w:right="-28"/>
        <w:jc w:val="both"/>
        <w:rPr>
          <w:rFonts w:ascii="Palatino Linotype" w:eastAsia="Calibri" w:hAnsi="Palatino Linotype" w:cs="Tahoma"/>
          <w:b/>
          <w:bCs/>
          <w:szCs w:val="22"/>
          <w:lang w:eastAsia="en-US"/>
        </w:rPr>
      </w:pPr>
      <w:r w:rsidRPr="00120D28">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0090033B" w:rsidRPr="00120D28" w:rsidRDefault="0090033B" w:rsidP="0090033B">
      <w:pPr>
        <w:spacing w:line="360" w:lineRule="auto"/>
        <w:ind w:right="-28"/>
        <w:jc w:val="both"/>
        <w:rPr>
          <w:rFonts w:ascii="Palatino Linotype" w:eastAsia="Calibri" w:hAnsi="Palatino Linotype" w:cs="Tahoma"/>
          <w:b/>
          <w:bCs/>
        </w:rPr>
      </w:pPr>
    </w:p>
    <w:p w:rsidR="0090033B" w:rsidRPr="00120D28" w:rsidRDefault="0090033B" w:rsidP="0090033B">
      <w:pPr>
        <w:pStyle w:val="Prrafodelista"/>
        <w:numPr>
          <w:ilvl w:val="0"/>
          <w:numId w:val="28"/>
        </w:numPr>
        <w:spacing w:line="360" w:lineRule="auto"/>
        <w:ind w:right="-93"/>
        <w:contextualSpacing/>
        <w:jc w:val="both"/>
        <w:rPr>
          <w:rFonts w:ascii="Palatino Linotype" w:eastAsia="Calibri" w:hAnsi="Palatino Linotype" w:cs="Tahoma"/>
          <w:b/>
          <w:bCs/>
          <w:szCs w:val="22"/>
          <w:lang w:eastAsia="en-US"/>
        </w:rPr>
      </w:pPr>
      <w:r w:rsidRPr="00120D28">
        <w:rPr>
          <w:rFonts w:ascii="Palatino Linotype" w:eastAsia="Calibri" w:hAnsi="Palatino Linotype" w:cs="Tahoma"/>
          <w:b/>
          <w:bCs/>
          <w:szCs w:val="22"/>
          <w:lang w:eastAsia="en-US"/>
        </w:rPr>
        <w:t>ANÁLISIS DE LA FALTA DE RESPUESTA DEL SUJETO OBLIGADO.</w:t>
      </w:r>
    </w:p>
    <w:p w:rsidR="0090033B" w:rsidRPr="00143FED" w:rsidRDefault="0090033B" w:rsidP="0090033B">
      <w:pPr>
        <w:spacing w:line="360" w:lineRule="auto"/>
        <w:ind w:right="-93"/>
        <w:jc w:val="both"/>
        <w:rPr>
          <w:rFonts w:ascii="Palatino Linotype" w:eastAsia="Calibri" w:hAnsi="Palatino Linotype" w:cs="Tahoma"/>
          <w:bCs/>
          <w:sz w:val="24"/>
        </w:rPr>
      </w:pPr>
      <w:r w:rsidRPr="00143FED">
        <w:rPr>
          <w:rFonts w:ascii="Palatino Linotype" w:eastAsia="Calibri" w:hAnsi="Palatino Linotype" w:cs="Tahoma"/>
          <w:bCs/>
          <w:sz w:val="24"/>
        </w:rPr>
        <w:lastRenderedPageBreak/>
        <w:t xml:space="preserve">Bajo esta perspectiva, es preciso indicar que el agravio del cual se inconforma el hoy Recurrente </w:t>
      </w:r>
      <w:r w:rsidRPr="00143FED">
        <w:rPr>
          <w:rFonts w:ascii="Palatino Linotype" w:eastAsia="Calibri" w:hAnsi="Palatino Linotype" w:cs="Tahoma"/>
          <w:b/>
          <w:bCs/>
          <w:sz w:val="24"/>
        </w:rPr>
        <w:t xml:space="preserve">consiste en la falta de respuesta a su solicitud por parte del </w:t>
      </w:r>
      <w:r w:rsidRPr="00143FED">
        <w:rPr>
          <w:rFonts w:ascii="Palatino Linotype" w:eastAsia="Calibri" w:hAnsi="Palatino Linotype" w:cs="Tahoma"/>
          <w:b/>
          <w:sz w:val="24"/>
        </w:rPr>
        <w:t>Ayuntamiento de Tenango del Aire</w:t>
      </w:r>
      <w:r w:rsidRPr="00143FED">
        <w:rPr>
          <w:rFonts w:ascii="Palatino Linotype" w:eastAsia="Calibri" w:hAnsi="Palatino Linotype" w:cs="Tahoma"/>
          <w:bCs/>
          <w:sz w:val="24"/>
        </w:rPr>
        <w:t>, se estudia en los siguientes términos:</w:t>
      </w:r>
    </w:p>
    <w:p w:rsidR="0090033B" w:rsidRPr="00143FED" w:rsidRDefault="0090033B" w:rsidP="00143FED">
      <w:pPr>
        <w:pStyle w:val="Sinespaciado"/>
        <w:rPr>
          <w:sz w:val="24"/>
        </w:rPr>
      </w:pPr>
    </w:p>
    <w:p w:rsidR="0090033B" w:rsidRPr="00143FED" w:rsidRDefault="0090033B" w:rsidP="0090033B">
      <w:pPr>
        <w:spacing w:line="360" w:lineRule="auto"/>
        <w:ind w:right="-93"/>
        <w:jc w:val="both"/>
        <w:rPr>
          <w:rFonts w:ascii="Palatino Linotype" w:eastAsia="Calibri" w:hAnsi="Palatino Linotype" w:cs="Tahoma"/>
          <w:bCs/>
          <w:sz w:val="24"/>
        </w:rPr>
      </w:pPr>
      <w:r w:rsidRPr="00143FED">
        <w:rPr>
          <w:rFonts w:ascii="Palatino Linotype" w:eastAsia="Calibri" w:hAnsi="Palatino Linotype" w:cs="Tahoma"/>
          <w:bCs/>
          <w:sz w:val="24"/>
        </w:rPr>
        <w:t xml:space="preserve">El Instituto verificó, dentro de las actuaciones que conforman el expediente electrónico a través del Sistema de Acceso a la Información Mexiquense (SAIMEX), el </w:t>
      </w:r>
      <w:r w:rsidRPr="00143FED">
        <w:rPr>
          <w:rFonts w:ascii="Palatino Linotype" w:eastAsia="Calibri" w:hAnsi="Palatino Linotype" w:cs="Tahoma"/>
          <w:b/>
          <w:bCs/>
          <w:sz w:val="24"/>
        </w:rPr>
        <w:t>Sujeto Obligado fue omiso en registrar respuesta o prórroga a la solicitud interpuesta por el hoy Recurrente</w:t>
      </w:r>
      <w:r w:rsidRPr="00143FED">
        <w:rPr>
          <w:rFonts w:ascii="Palatino Linotype" w:eastAsia="Calibri" w:hAnsi="Palatino Linotype" w:cs="Tahoma"/>
          <w:bCs/>
          <w:sz w:val="24"/>
        </w:rPr>
        <w:t xml:space="preserve"> </w:t>
      </w:r>
      <w:r w:rsidRPr="00143FED">
        <w:rPr>
          <w:rFonts w:ascii="Palatino Linotype" w:hAnsi="Palatino Linotype" w:cs="Tahoma"/>
          <w:sz w:val="24"/>
          <w:lang w:val="es-ES"/>
        </w:rPr>
        <w:t>durante el plazo de ley y hasta la fecha de emisión de la presente Resolución.</w:t>
      </w:r>
    </w:p>
    <w:p w:rsidR="0090033B" w:rsidRPr="00143FED" w:rsidRDefault="0090033B" w:rsidP="00143FED">
      <w:pPr>
        <w:pStyle w:val="Sinespaciado"/>
        <w:rPr>
          <w:sz w:val="24"/>
        </w:rPr>
      </w:pPr>
    </w:p>
    <w:p w:rsidR="0090033B" w:rsidRPr="00143FED" w:rsidRDefault="0090033B" w:rsidP="0090033B">
      <w:pPr>
        <w:spacing w:line="360" w:lineRule="auto"/>
        <w:ind w:right="-93"/>
        <w:jc w:val="both"/>
        <w:rPr>
          <w:rFonts w:ascii="Palatino Linotype" w:eastAsia="Calibri" w:hAnsi="Palatino Linotype" w:cs="Tahoma"/>
          <w:bCs/>
          <w:sz w:val="24"/>
        </w:rPr>
      </w:pPr>
      <w:r w:rsidRPr="00143FED">
        <w:rPr>
          <w:rFonts w:ascii="Palatino Linotype" w:eastAsia="Calibri" w:hAnsi="Palatino Linotype" w:cs="Tahoma"/>
          <w:bCs/>
          <w:sz w:val="24"/>
        </w:rPr>
        <w:t xml:space="preserve">De la misma forma se aprecia que el Sujeto Obligado fue omiso en turnar el requerimiento al área competente, para que pudiera dar atención a la solicitud de información motivo del presente Recurso de Revisión, lo anterior de conformidad con las disipaciones que rigen materia. </w:t>
      </w:r>
    </w:p>
    <w:p w:rsidR="0090033B" w:rsidRPr="00143FED" w:rsidRDefault="0090033B" w:rsidP="00143FED">
      <w:pPr>
        <w:pStyle w:val="Sinespaciado"/>
        <w:rPr>
          <w:sz w:val="24"/>
        </w:rPr>
      </w:pPr>
    </w:p>
    <w:p w:rsidR="0090033B" w:rsidRPr="00143FED" w:rsidRDefault="0090033B" w:rsidP="0090033B">
      <w:pPr>
        <w:spacing w:line="360" w:lineRule="auto"/>
        <w:ind w:right="-93"/>
        <w:jc w:val="both"/>
        <w:rPr>
          <w:rFonts w:ascii="Palatino Linotype" w:eastAsia="Calibri" w:hAnsi="Palatino Linotype" w:cs="Tahoma"/>
          <w:bCs/>
          <w:sz w:val="24"/>
        </w:rPr>
      </w:pPr>
      <w:r w:rsidRPr="00143FED">
        <w:rPr>
          <w:rFonts w:ascii="Palatino Linotype" w:eastAsia="Calibri" w:hAnsi="Palatino Linotype" w:cs="Tahoma"/>
          <w:bCs/>
          <w:sz w:val="24"/>
        </w:rPr>
        <w:t xml:space="preserve">En ese orden de ideas y de acuerdo con los artículos 163 y 3° fracción X de la Ley de Transparencia y Acceso a la Información Pública del Estado de México y Municipios, el plazo con el que contaba el Sujeto Obligado para emitir contestación a la solicitud de acceso a la información comenzó el </w:t>
      </w:r>
      <w:r w:rsidRPr="00143FED">
        <w:rPr>
          <w:rFonts w:ascii="Palatino Linotype" w:eastAsia="Calibri" w:hAnsi="Palatino Linotype" w:cs="Tahoma"/>
          <w:b/>
          <w:bCs/>
          <w:sz w:val="24"/>
        </w:rPr>
        <w:t>veintidós de marzo de dos mil diecinueve</w:t>
      </w:r>
      <w:r w:rsidRPr="00143FED">
        <w:rPr>
          <w:rFonts w:ascii="Palatino Linotype" w:eastAsia="Calibri" w:hAnsi="Palatino Linotype" w:cs="Tahoma"/>
          <w:bCs/>
          <w:sz w:val="24"/>
        </w:rPr>
        <w:t xml:space="preserve"> y feneció el </w:t>
      </w:r>
      <w:r w:rsidRPr="00143FED">
        <w:rPr>
          <w:rFonts w:ascii="Palatino Linotype" w:eastAsia="Calibri" w:hAnsi="Palatino Linotype" w:cs="Tahoma"/>
          <w:b/>
          <w:bCs/>
          <w:sz w:val="24"/>
        </w:rPr>
        <w:t xml:space="preserve">once de abril  del mismo año; </w:t>
      </w:r>
      <w:r w:rsidRPr="00143FED">
        <w:rPr>
          <w:rFonts w:ascii="Palatino Linotype" w:eastAsia="Calibri" w:hAnsi="Palatino Linotype" w:cs="Tahoma"/>
          <w:bCs/>
          <w:sz w:val="24"/>
        </w:rPr>
        <w:t xml:space="preserve">lo anterior, sin contar los días veintitrés, veinticuatro, treinta y treinta y uno de marzo, así como seis y siete de abril del año en curso, al ser inhábiles de conformidad con el Calendario Oficial en Materia de Transparencia, Acceso a la Información Pública del Estado de México y Municipios, para el año dos mil diecinueve y enero dos mil veinte, publicado en el Periódico Oficial del Gobierno </w:t>
      </w:r>
      <w:r w:rsidRPr="00143FED">
        <w:rPr>
          <w:rFonts w:ascii="Palatino Linotype" w:eastAsia="Calibri" w:hAnsi="Palatino Linotype" w:cs="Tahoma"/>
          <w:bCs/>
          <w:sz w:val="24"/>
        </w:rPr>
        <w:lastRenderedPageBreak/>
        <w:t>del Estado de México “Gaceta del Gobierno”, el diecinueve de diciembre de dos mil dieciocho.</w:t>
      </w:r>
    </w:p>
    <w:p w:rsidR="0090033B" w:rsidRPr="00143FED" w:rsidRDefault="0090033B" w:rsidP="0090033B">
      <w:pPr>
        <w:spacing w:line="360" w:lineRule="auto"/>
        <w:ind w:right="-93"/>
        <w:jc w:val="both"/>
        <w:rPr>
          <w:rFonts w:ascii="Palatino Linotype" w:eastAsia="Calibri" w:hAnsi="Palatino Linotype" w:cs="Tahoma"/>
          <w:bCs/>
          <w:sz w:val="24"/>
        </w:rPr>
      </w:pPr>
    </w:p>
    <w:p w:rsidR="0090033B" w:rsidRPr="00143FED" w:rsidRDefault="0090033B" w:rsidP="0090033B">
      <w:pPr>
        <w:spacing w:line="360" w:lineRule="auto"/>
        <w:ind w:right="-93"/>
        <w:jc w:val="both"/>
        <w:rPr>
          <w:rFonts w:ascii="Palatino Linotype" w:eastAsia="Calibri" w:hAnsi="Palatino Linotype" w:cs="Tahoma"/>
          <w:b/>
          <w:bCs/>
          <w:sz w:val="24"/>
        </w:rPr>
      </w:pPr>
      <w:r w:rsidRPr="00143FED">
        <w:rPr>
          <w:rFonts w:ascii="Palatino Linotype" w:eastAsia="Calibri" w:hAnsi="Palatino Linotype" w:cs="Tahoma"/>
          <w:bCs/>
          <w:sz w:val="24"/>
        </w:rPr>
        <w:t xml:space="preserve">Así, se advierte que, tal como lo indicó el Particular, el </w:t>
      </w:r>
      <w:r w:rsidRPr="00143FED">
        <w:rPr>
          <w:rFonts w:ascii="Palatino Linotype" w:eastAsia="Calibri" w:hAnsi="Palatino Linotype" w:cs="Tahoma"/>
          <w:sz w:val="24"/>
        </w:rPr>
        <w:t xml:space="preserve">Sujeto Obligado </w:t>
      </w:r>
      <w:r w:rsidRPr="00143FED">
        <w:rPr>
          <w:rFonts w:ascii="Palatino Linotype" w:eastAsia="Calibri" w:hAnsi="Palatino Linotype" w:cs="Tahoma"/>
          <w:bCs/>
          <w:sz w:val="24"/>
        </w:rPr>
        <w:t xml:space="preserve">no atendió su solicitud, ni solicitó una prórroga para dar contestación a la misma, dentro de los plazos establecidos en el artículo 163 de la Ley de la materia, pues tenía hasta el </w:t>
      </w:r>
      <w:r w:rsidRPr="00143FED">
        <w:rPr>
          <w:rFonts w:ascii="Palatino Linotype" w:eastAsia="Calibri" w:hAnsi="Palatino Linotype" w:cs="Tahoma"/>
          <w:b/>
          <w:bCs/>
          <w:sz w:val="24"/>
        </w:rPr>
        <w:t>once de abril de dos mil diecinueve</w:t>
      </w:r>
      <w:r w:rsidRPr="00143FED">
        <w:rPr>
          <w:rFonts w:ascii="Palatino Linotype" w:eastAsia="Calibri" w:hAnsi="Palatino Linotype" w:cs="Tahoma"/>
          <w:bCs/>
          <w:sz w:val="24"/>
        </w:rPr>
        <w:t xml:space="preserve"> para notificar alguna de las dos situaciones; de igual manera; por lo que, es evidente que </w:t>
      </w:r>
      <w:r w:rsidRPr="00143FED">
        <w:rPr>
          <w:rFonts w:ascii="Palatino Linotype" w:eastAsia="Calibri" w:hAnsi="Palatino Linotype" w:cs="Tahoma"/>
          <w:b/>
          <w:bCs/>
          <w:sz w:val="24"/>
        </w:rPr>
        <w:t>el agravio hecho valer por el Recurrente resulta fundado.</w:t>
      </w:r>
    </w:p>
    <w:p w:rsidR="0090033B" w:rsidRPr="00120D28" w:rsidRDefault="0090033B" w:rsidP="0090033B">
      <w:pPr>
        <w:pStyle w:val="Prrafodelista"/>
        <w:numPr>
          <w:ilvl w:val="0"/>
          <w:numId w:val="32"/>
        </w:numPr>
        <w:tabs>
          <w:tab w:val="left" w:pos="4962"/>
        </w:tabs>
        <w:spacing w:line="360" w:lineRule="auto"/>
        <w:contextualSpacing/>
        <w:jc w:val="both"/>
        <w:rPr>
          <w:rFonts w:ascii="Palatino Linotype" w:eastAsia="Calibri" w:hAnsi="Palatino Linotype" w:cs="Tahoma"/>
          <w:b/>
          <w:iCs/>
          <w:szCs w:val="22"/>
          <w:lang w:eastAsia="es-ES_tradnl"/>
        </w:rPr>
      </w:pPr>
      <w:r w:rsidRPr="00120D28">
        <w:rPr>
          <w:rFonts w:ascii="Palatino Linotype" w:eastAsia="Calibri" w:hAnsi="Palatino Linotype" w:cs="Tahoma"/>
          <w:b/>
          <w:iCs/>
          <w:szCs w:val="22"/>
          <w:lang w:eastAsia="es-ES_tradnl"/>
        </w:rPr>
        <w:t>ANÁLISIS DE LA INFORMACIÓN SOLICITADA POR EL PARTICULAR.</w:t>
      </w:r>
    </w:p>
    <w:p w:rsidR="0090033B" w:rsidRPr="00120D28" w:rsidRDefault="0090033B" w:rsidP="0090033B">
      <w:pPr>
        <w:tabs>
          <w:tab w:val="left" w:pos="4962"/>
        </w:tabs>
        <w:spacing w:line="360" w:lineRule="auto"/>
        <w:ind w:left="360"/>
        <w:jc w:val="both"/>
        <w:rPr>
          <w:rFonts w:ascii="Palatino Linotype" w:eastAsia="Calibri" w:hAnsi="Palatino Linotype" w:cs="Tahoma"/>
          <w:iCs/>
          <w:lang w:eastAsia="es-ES_tradnl"/>
        </w:rPr>
      </w:pPr>
    </w:p>
    <w:p w:rsidR="0090033B" w:rsidRPr="00143FED" w:rsidRDefault="0090033B" w:rsidP="0090033B">
      <w:pPr>
        <w:spacing w:line="360" w:lineRule="auto"/>
        <w:ind w:right="-93"/>
        <w:jc w:val="both"/>
        <w:rPr>
          <w:rFonts w:ascii="Palatino Linotype" w:eastAsia="Calibri" w:hAnsi="Palatino Linotype" w:cs="Tahoma"/>
          <w:iCs/>
          <w:sz w:val="24"/>
          <w:szCs w:val="24"/>
          <w:lang w:eastAsia="es-ES_tradnl"/>
        </w:rPr>
      </w:pPr>
      <w:r w:rsidRPr="00143FED">
        <w:rPr>
          <w:rFonts w:ascii="Palatino Linotype" w:eastAsia="Calibri" w:hAnsi="Palatino Linotype" w:cs="Tahoma"/>
          <w:iCs/>
          <w:sz w:val="24"/>
          <w:szCs w:val="24"/>
          <w:lang w:eastAsia="es-ES_tradnl"/>
        </w:rPr>
        <w:t>Por principio se especifica que el Particular solicitó del Sujeto Obligado, le informará respecto  a la administración del 2019 -2021, la siguiente información:</w:t>
      </w:r>
    </w:p>
    <w:p w:rsidR="0090033B" w:rsidRPr="00143FED" w:rsidRDefault="0090033B" w:rsidP="00143FED">
      <w:pPr>
        <w:pStyle w:val="Sinespaciado"/>
        <w:rPr>
          <w:sz w:val="24"/>
          <w:szCs w:val="24"/>
          <w:lang w:eastAsia="es-ES_tradnl"/>
        </w:rPr>
      </w:pPr>
    </w:p>
    <w:p w:rsidR="0090033B" w:rsidRPr="00143FED" w:rsidRDefault="0090033B" w:rsidP="0090033B">
      <w:pPr>
        <w:pStyle w:val="Prrafodelista"/>
        <w:numPr>
          <w:ilvl w:val="0"/>
          <w:numId w:val="33"/>
        </w:numPr>
        <w:spacing w:line="360" w:lineRule="auto"/>
        <w:ind w:right="-93"/>
        <w:contextualSpacing/>
        <w:jc w:val="both"/>
        <w:rPr>
          <w:rFonts w:ascii="Palatino Linotype" w:eastAsia="Calibri" w:hAnsi="Palatino Linotype" w:cs="Tahoma"/>
          <w:iCs/>
          <w:lang w:eastAsia="es-ES_tradnl"/>
        </w:rPr>
      </w:pPr>
      <w:r w:rsidRPr="00143FED">
        <w:rPr>
          <w:rFonts w:ascii="Palatino Linotype" w:eastAsia="Calibri" w:hAnsi="Palatino Linotype" w:cs="Tahoma"/>
          <w:iCs/>
          <w:lang w:eastAsia="es-ES_tradnl"/>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90033B" w:rsidRPr="00143FED" w:rsidRDefault="0090033B" w:rsidP="0090033B">
      <w:pPr>
        <w:pStyle w:val="Prrafodelista"/>
        <w:numPr>
          <w:ilvl w:val="0"/>
          <w:numId w:val="33"/>
        </w:numPr>
        <w:spacing w:line="360" w:lineRule="auto"/>
        <w:ind w:right="-93"/>
        <w:contextualSpacing/>
        <w:jc w:val="both"/>
        <w:rPr>
          <w:rFonts w:ascii="Palatino Linotype" w:eastAsia="Calibri" w:hAnsi="Palatino Linotype" w:cs="Tahoma"/>
          <w:iCs/>
          <w:lang w:eastAsia="es-ES_tradnl"/>
        </w:rPr>
      </w:pPr>
      <w:r w:rsidRPr="00143FED">
        <w:rPr>
          <w:rFonts w:ascii="Palatino Linotype" w:eastAsia="Calibri" w:hAnsi="Palatino Linotype" w:cs="Tahoma"/>
          <w:iCs/>
          <w:lang w:eastAsia="es-ES_tradnl"/>
        </w:rPr>
        <w:t xml:space="preserve">Los gastos de representación y viáticos, así como el objeto e informe de comisión correspondiente y </w:t>
      </w:r>
    </w:p>
    <w:p w:rsidR="0090033B" w:rsidRPr="00143FED" w:rsidRDefault="0090033B" w:rsidP="0090033B">
      <w:pPr>
        <w:pStyle w:val="Prrafodelista"/>
        <w:numPr>
          <w:ilvl w:val="0"/>
          <w:numId w:val="33"/>
        </w:numPr>
        <w:spacing w:line="360" w:lineRule="auto"/>
        <w:ind w:right="-93"/>
        <w:contextualSpacing/>
        <w:jc w:val="both"/>
        <w:rPr>
          <w:rFonts w:ascii="Palatino Linotype" w:eastAsia="Calibri" w:hAnsi="Palatino Linotype" w:cs="Tahoma"/>
          <w:iCs/>
          <w:lang w:eastAsia="es-ES_tradnl"/>
        </w:rPr>
      </w:pPr>
      <w:r w:rsidRPr="00143FED">
        <w:rPr>
          <w:rFonts w:ascii="Palatino Linotype" w:eastAsia="Calibri" w:hAnsi="Palatino Linotype" w:cs="Tahoma"/>
          <w:iCs/>
          <w:lang w:eastAsia="es-ES_tradnl"/>
        </w:rPr>
        <w:t xml:space="preserve">El número total de las plazas y del personal de base y de confianza, especificando el total de las vacantes, por nivel de puesto, para cada unidad administrativa. </w:t>
      </w:r>
    </w:p>
    <w:p w:rsidR="0090033B" w:rsidRPr="00143FED" w:rsidRDefault="0090033B" w:rsidP="0090033B">
      <w:pPr>
        <w:spacing w:line="360" w:lineRule="auto"/>
        <w:ind w:right="-93"/>
        <w:jc w:val="both"/>
        <w:rPr>
          <w:rFonts w:ascii="Palatino Linotype" w:eastAsia="Calibri" w:hAnsi="Palatino Linotype" w:cs="Tahoma"/>
          <w:iCs/>
          <w:sz w:val="24"/>
          <w:szCs w:val="24"/>
          <w:lang w:eastAsia="es-ES_tradnl"/>
        </w:rPr>
      </w:pPr>
    </w:p>
    <w:p w:rsidR="0090033B" w:rsidRPr="00143FED" w:rsidRDefault="0090033B" w:rsidP="0090033B">
      <w:pPr>
        <w:spacing w:line="360" w:lineRule="auto"/>
        <w:ind w:right="-93"/>
        <w:jc w:val="both"/>
        <w:rPr>
          <w:rFonts w:ascii="Palatino Linotype" w:eastAsia="Calibri" w:hAnsi="Palatino Linotype" w:cs="Tahoma"/>
          <w:iCs/>
          <w:sz w:val="24"/>
          <w:szCs w:val="24"/>
          <w:lang w:eastAsia="es-ES_tradnl"/>
        </w:rPr>
      </w:pPr>
      <w:r w:rsidRPr="00143FED">
        <w:rPr>
          <w:rFonts w:ascii="Palatino Linotype" w:eastAsia="Calibri" w:hAnsi="Palatino Linotype" w:cs="Tahoma"/>
          <w:iCs/>
          <w:sz w:val="24"/>
          <w:szCs w:val="24"/>
          <w:lang w:eastAsia="es-ES_tradnl"/>
        </w:rPr>
        <w:lastRenderedPageBreak/>
        <w:t xml:space="preserve">Toda la anterior en forma digital y desglosada; al respecto es necesario precisar, que de la lectura de la solicitud del Particular, se deduce que la temporalidad de la información que solicita, es la que va de la administración actual (2019-2021), es decir, la que inició el primero de enero de dos mil diecinueve a la fecha en la que tuvo lugar la solicitud, es decir, al veintiuno de marzo del mismo año. </w:t>
      </w:r>
    </w:p>
    <w:p w:rsidR="0090033B" w:rsidRPr="00143FED" w:rsidRDefault="0090033B" w:rsidP="00143FED">
      <w:pPr>
        <w:pStyle w:val="Sinespaciado"/>
        <w:rPr>
          <w:sz w:val="24"/>
          <w:szCs w:val="24"/>
          <w:lang w:eastAsia="es-ES_tradnl"/>
        </w:rPr>
      </w:pPr>
    </w:p>
    <w:p w:rsidR="0090033B" w:rsidRPr="00143FED" w:rsidRDefault="0090033B" w:rsidP="0090033B">
      <w:pPr>
        <w:spacing w:line="360" w:lineRule="auto"/>
        <w:ind w:right="-93"/>
        <w:jc w:val="both"/>
        <w:rPr>
          <w:rFonts w:ascii="Palatino Linotype" w:eastAsia="Calibri" w:hAnsi="Palatino Linotype" w:cs="Tahoma"/>
          <w:iCs/>
          <w:sz w:val="24"/>
          <w:szCs w:val="24"/>
          <w:lang w:eastAsia="es-ES_tradnl"/>
        </w:rPr>
      </w:pPr>
      <w:r w:rsidRPr="00143FED">
        <w:rPr>
          <w:rFonts w:ascii="Palatino Linotype" w:eastAsia="Calibri" w:hAnsi="Palatino Linotype" w:cs="Tahoma"/>
          <w:iCs/>
          <w:sz w:val="24"/>
          <w:szCs w:val="24"/>
          <w:lang w:eastAsia="es-ES_tradnl"/>
        </w:rPr>
        <w:t xml:space="preserve">Sin embargo del análisis de los elementos que comprenden la solicitud del Particular, se precisa que por cuanto hace al </w:t>
      </w:r>
      <w:r w:rsidRPr="00143FED">
        <w:rPr>
          <w:rFonts w:ascii="Palatino Linotype" w:eastAsia="Calibri" w:hAnsi="Palatino Linotype" w:cs="Tahoma"/>
          <w:b/>
          <w:iCs/>
          <w:sz w:val="24"/>
          <w:szCs w:val="24"/>
          <w:lang w:eastAsia="es-ES_tradnl"/>
        </w:rPr>
        <w:t>numeral 1 y 2</w:t>
      </w:r>
      <w:r w:rsidRPr="00143FED">
        <w:rPr>
          <w:rFonts w:ascii="Palatino Linotype" w:eastAsia="Calibri" w:hAnsi="Palatino Linotype" w:cs="Tahoma"/>
          <w:iCs/>
          <w:sz w:val="24"/>
          <w:szCs w:val="24"/>
          <w:lang w:eastAsia="es-ES_tradnl"/>
        </w:rPr>
        <w:t xml:space="preserve"> estos deben ser atendidos por el periodo comprendido </w:t>
      </w:r>
      <w:r w:rsidRPr="00143FED">
        <w:rPr>
          <w:rFonts w:ascii="Palatino Linotype" w:eastAsia="Calibri" w:hAnsi="Palatino Linotype" w:cs="Tahoma"/>
          <w:b/>
          <w:iCs/>
          <w:sz w:val="24"/>
          <w:szCs w:val="24"/>
          <w:lang w:eastAsia="es-ES_tradnl"/>
        </w:rPr>
        <w:t>del primero de enero al veintiuno de marzo del dos mil diecinueve</w:t>
      </w:r>
      <w:r w:rsidRPr="00143FED">
        <w:rPr>
          <w:rFonts w:ascii="Palatino Linotype" w:eastAsia="Calibri" w:hAnsi="Palatino Linotype" w:cs="Tahoma"/>
          <w:iCs/>
          <w:sz w:val="24"/>
          <w:szCs w:val="24"/>
          <w:lang w:eastAsia="es-ES_tradnl"/>
        </w:rPr>
        <w:t xml:space="preserve">, sin embargo por cuanto hace al </w:t>
      </w:r>
      <w:r w:rsidRPr="00143FED">
        <w:rPr>
          <w:rFonts w:ascii="Palatino Linotype" w:eastAsia="Calibri" w:hAnsi="Palatino Linotype" w:cs="Tahoma"/>
          <w:b/>
          <w:iCs/>
          <w:sz w:val="24"/>
          <w:szCs w:val="24"/>
          <w:lang w:eastAsia="es-ES_tradnl"/>
        </w:rPr>
        <w:t>numeral 3</w:t>
      </w:r>
      <w:r w:rsidRPr="00143FED">
        <w:rPr>
          <w:rFonts w:ascii="Palatino Linotype" w:eastAsia="Calibri" w:hAnsi="Palatino Linotype" w:cs="Tahoma"/>
          <w:iCs/>
          <w:sz w:val="24"/>
          <w:szCs w:val="24"/>
          <w:lang w:eastAsia="es-ES_tradnl"/>
        </w:rPr>
        <w:t xml:space="preserve">, al tratarse de información que puede sufrir modificaciones ya que las plazas pueden ocuparse o no, se determina que deberá estar actualizada </w:t>
      </w:r>
      <w:r w:rsidRPr="00143FED">
        <w:rPr>
          <w:rFonts w:ascii="Palatino Linotype" w:eastAsia="Calibri" w:hAnsi="Palatino Linotype" w:cs="Tahoma"/>
          <w:b/>
          <w:iCs/>
          <w:sz w:val="24"/>
          <w:szCs w:val="24"/>
          <w:lang w:eastAsia="es-ES_tradnl"/>
        </w:rPr>
        <w:t>a la fecha en la que tuvo lugar la solicitud del particular, al veintiuno de marzo del dos mil diecinueve.</w:t>
      </w:r>
      <w:r w:rsidRPr="00143FED">
        <w:rPr>
          <w:rFonts w:ascii="Palatino Linotype" w:eastAsia="Calibri" w:hAnsi="Palatino Linotype" w:cs="Tahoma"/>
          <w:iCs/>
          <w:sz w:val="24"/>
          <w:szCs w:val="24"/>
          <w:lang w:eastAsia="es-ES_tradnl"/>
        </w:rPr>
        <w:t xml:space="preserve"> </w:t>
      </w:r>
    </w:p>
    <w:p w:rsidR="0090033B" w:rsidRPr="00143FED" w:rsidRDefault="0090033B" w:rsidP="00143FED">
      <w:pPr>
        <w:pStyle w:val="Sinespaciado"/>
        <w:rPr>
          <w:sz w:val="24"/>
          <w:szCs w:val="24"/>
          <w:lang w:val="es-ES_tradnl" w:eastAsia="es-ES_tradnl"/>
        </w:rPr>
      </w:pPr>
    </w:p>
    <w:p w:rsidR="0090033B" w:rsidRPr="00143FED" w:rsidRDefault="0090033B" w:rsidP="0090033B">
      <w:pPr>
        <w:spacing w:line="360" w:lineRule="auto"/>
        <w:ind w:right="-93"/>
        <w:jc w:val="both"/>
        <w:rPr>
          <w:rFonts w:ascii="Palatino Linotype" w:eastAsia="Calibri" w:hAnsi="Palatino Linotype" w:cs="Tahoma"/>
          <w:bCs/>
          <w:iCs/>
          <w:sz w:val="24"/>
          <w:szCs w:val="24"/>
          <w:lang w:val="es-ES_tradnl" w:eastAsia="es-ES_tradnl"/>
        </w:rPr>
      </w:pPr>
      <w:r w:rsidRPr="00143FED">
        <w:rPr>
          <w:rFonts w:ascii="Palatino Linotype" w:eastAsia="Calibri" w:hAnsi="Palatino Linotype" w:cs="Tahoma"/>
          <w:bCs/>
          <w:iCs/>
          <w:sz w:val="24"/>
          <w:szCs w:val="24"/>
          <w:lang w:val="es-ES_tradnl" w:eastAsia="es-ES_tradnl"/>
        </w:rPr>
        <w:t xml:space="preserve">En otro tenor, resulta menester precisar que el Sujeto Obligado solicitó a través de informe justificado, que fue remitido por el Sistema de Acceso a la Información Mexiquense (SAIMEX), una prorroga; sin embargo la misma, resultó improcedente, debido a que no atendió las consideraciones que para tales efectos determina el artículo 163 de la </w:t>
      </w:r>
      <w:r w:rsidRPr="00143FED">
        <w:rPr>
          <w:rFonts w:ascii="Palatino Linotype" w:eastAsia="Calibri" w:hAnsi="Palatino Linotype" w:cs="Tahoma"/>
          <w:bCs/>
          <w:iCs/>
          <w:sz w:val="24"/>
          <w:szCs w:val="24"/>
          <w:lang w:val="es-ES_tradnl"/>
        </w:rPr>
        <w:t>Ley de Transparencia y Acceso a la Información Pública del Estado de México y Municipios</w:t>
      </w:r>
      <w:r w:rsidRPr="00143FED">
        <w:rPr>
          <w:rFonts w:ascii="Palatino Linotype" w:eastAsia="Calibri" w:hAnsi="Palatino Linotype" w:cs="Tahoma"/>
          <w:bCs/>
          <w:iCs/>
          <w:sz w:val="24"/>
          <w:szCs w:val="24"/>
          <w:lang w:val="es-ES_tradnl" w:eastAsia="es-ES_tradnl"/>
        </w:rPr>
        <w:t>, por lo que se tiene por no atendida la solicitud de información.</w:t>
      </w:r>
    </w:p>
    <w:p w:rsidR="0090033B" w:rsidRPr="00143FED" w:rsidRDefault="0090033B" w:rsidP="00143FED">
      <w:pPr>
        <w:pStyle w:val="Sinespaciado"/>
        <w:rPr>
          <w:sz w:val="24"/>
          <w:szCs w:val="24"/>
          <w:lang w:val="es-ES_tradnl" w:eastAsia="es-ES_tradnl"/>
        </w:rPr>
      </w:pPr>
    </w:p>
    <w:p w:rsidR="0090033B" w:rsidRPr="00143FED" w:rsidRDefault="0090033B" w:rsidP="0090033B">
      <w:pPr>
        <w:spacing w:line="360" w:lineRule="auto"/>
        <w:ind w:right="-93"/>
        <w:jc w:val="both"/>
        <w:rPr>
          <w:rFonts w:ascii="Palatino Linotype" w:eastAsia="Calibri" w:hAnsi="Palatino Linotype" w:cs="Tahoma"/>
          <w:bCs/>
          <w:iCs/>
          <w:sz w:val="24"/>
          <w:szCs w:val="24"/>
          <w:lang w:val="es-ES_tradnl" w:eastAsia="es-ES_tradnl"/>
        </w:rPr>
      </w:pPr>
      <w:r w:rsidRPr="00143FED">
        <w:rPr>
          <w:rFonts w:ascii="Palatino Linotype" w:eastAsia="Calibri" w:hAnsi="Palatino Linotype" w:cs="Tahoma"/>
          <w:bCs/>
          <w:iCs/>
          <w:sz w:val="24"/>
          <w:szCs w:val="24"/>
          <w:lang w:val="es-ES_tradnl" w:eastAsia="es-ES_tradnl"/>
        </w:rPr>
        <w:t>Ahora bien, procede el análisis de la naturaleza de cada uno de los elementos que conforman la solicitud del Recurrente.</w:t>
      </w:r>
    </w:p>
    <w:p w:rsidR="0090033B" w:rsidRPr="00120D28" w:rsidRDefault="0090033B" w:rsidP="0090033B">
      <w:pPr>
        <w:spacing w:line="360" w:lineRule="auto"/>
        <w:ind w:right="-93"/>
        <w:jc w:val="both"/>
        <w:rPr>
          <w:rFonts w:ascii="Palatino Linotype" w:eastAsia="Calibri" w:hAnsi="Palatino Linotype" w:cs="Tahoma"/>
          <w:bCs/>
          <w:iCs/>
          <w:lang w:val="es-ES_tradnl" w:eastAsia="es-ES_tradnl"/>
        </w:rPr>
      </w:pPr>
    </w:p>
    <w:p w:rsidR="0090033B" w:rsidRPr="00120D28" w:rsidRDefault="0090033B" w:rsidP="0090033B">
      <w:pPr>
        <w:pStyle w:val="Prrafodelista"/>
        <w:numPr>
          <w:ilvl w:val="0"/>
          <w:numId w:val="36"/>
        </w:numPr>
        <w:spacing w:line="360" w:lineRule="auto"/>
        <w:ind w:right="-93"/>
        <w:contextualSpacing/>
        <w:jc w:val="both"/>
        <w:rPr>
          <w:rFonts w:ascii="Palatino Linotype" w:eastAsia="Calibri" w:hAnsi="Palatino Linotype" w:cs="Tahoma"/>
          <w:b/>
          <w:iCs/>
          <w:szCs w:val="22"/>
          <w:lang w:eastAsia="es-ES_tradnl"/>
        </w:rPr>
      </w:pPr>
      <w:r w:rsidRPr="00120D28">
        <w:rPr>
          <w:rFonts w:ascii="Palatino Linotype" w:eastAsia="Calibri" w:hAnsi="Palatino Linotype" w:cs="Tahoma"/>
          <w:b/>
          <w:iCs/>
          <w:szCs w:val="22"/>
          <w:lang w:eastAsia="es-ES_tradnl"/>
        </w:rPr>
        <w:lastRenderedPageBreak/>
        <w:t>LA REMUNERACIÓN BRUTA Y NETA DE TODOS LOS SERVIDORES PÚBLICOS DE BASE O DE CONFIANZA, DE TODAS LAS PERCEPCIONES, INCLUYENDO SUELDOS, PRESTACIONES, GRATIFICACIONES, PRIMAS, COMISIONES, DIETAS, BONOS, ESTÍMULOS, INGRESOS Y SISTEMAS DE COMPENSACIÓN, SEÑALANDO LA PER</w:t>
      </w:r>
      <w:r>
        <w:rPr>
          <w:rFonts w:ascii="Palatino Linotype" w:eastAsia="Calibri" w:hAnsi="Palatino Linotype" w:cs="Tahoma"/>
          <w:b/>
          <w:iCs/>
          <w:szCs w:val="22"/>
          <w:lang w:eastAsia="es-ES_tradnl"/>
        </w:rPr>
        <w:t>IODICIDAD DE DICHA REMUNERACIÓN.</w:t>
      </w:r>
      <w:r w:rsidRPr="00120D28">
        <w:rPr>
          <w:rFonts w:ascii="Palatino Linotype" w:eastAsia="Calibri" w:hAnsi="Palatino Linotype" w:cs="Tahoma"/>
          <w:b/>
          <w:iCs/>
          <w:szCs w:val="22"/>
          <w:lang w:eastAsia="es-ES_tradnl"/>
        </w:rPr>
        <w:t xml:space="preserve"> </w:t>
      </w:r>
    </w:p>
    <w:p w:rsidR="0090033B" w:rsidRPr="00120D28" w:rsidRDefault="0090033B" w:rsidP="00143FED">
      <w:pPr>
        <w:pStyle w:val="Sinespaciado"/>
        <w:rPr>
          <w:lang w:eastAsia="es-ES_tradnl"/>
        </w:rPr>
      </w:pPr>
    </w:p>
    <w:p w:rsidR="0090033B" w:rsidRPr="00143FED" w:rsidRDefault="0090033B" w:rsidP="0090033B">
      <w:pPr>
        <w:spacing w:line="360" w:lineRule="auto"/>
        <w:ind w:right="-93"/>
        <w:jc w:val="both"/>
        <w:rPr>
          <w:rFonts w:ascii="Palatino Linotype" w:eastAsia="Calibri" w:hAnsi="Palatino Linotype" w:cs="Tahoma"/>
          <w:iCs/>
          <w:sz w:val="24"/>
          <w:szCs w:val="24"/>
          <w:lang w:eastAsia="es-ES_tradnl"/>
        </w:rPr>
      </w:pPr>
      <w:r w:rsidRPr="00143FED">
        <w:rPr>
          <w:rFonts w:ascii="Palatino Linotype" w:eastAsia="Calibri" w:hAnsi="Palatino Linotype" w:cs="Tahoma"/>
          <w:iCs/>
          <w:sz w:val="24"/>
          <w:szCs w:val="24"/>
          <w:lang w:eastAsia="es-ES_tradnl"/>
        </w:rPr>
        <w:t xml:space="preserve">Por cuanto hace al primer elemento, correspondiente a las remuneraciones de todos los servidores públicos, donde se muestre documento que dé cuenta de estas, señalando las percepciones netas y brutas, así como demás prestaciones; se advierte que esta información es pública, en términos de </w:t>
      </w:r>
      <w:r w:rsidRPr="00143FED">
        <w:rPr>
          <w:rFonts w:ascii="Palatino Linotype" w:eastAsia="Calibri" w:hAnsi="Palatino Linotype" w:cs="Tahoma"/>
          <w:bCs/>
          <w:iCs/>
          <w:sz w:val="24"/>
          <w:szCs w:val="24"/>
          <w:lang w:val="es-ES_tradnl" w:eastAsia="es-ES_tradnl"/>
        </w:rPr>
        <w:t xml:space="preserve">lo dispuesto por el artículo 92 en su fracción VII de la </w:t>
      </w:r>
      <w:r w:rsidRPr="00143FED">
        <w:rPr>
          <w:rFonts w:ascii="Palatino Linotype" w:eastAsia="Calibri" w:hAnsi="Palatino Linotype" w:cs="Tahoma"/>
          <w:bCs/>
          <w:iCs/>
          <w:sz w:val="24"/>
          <w:szCs w:val="24"/>
          <w:lang w:val="es-ES_tradnl"/>
        </w:rPr>
        <w:t>Ley de Transparencia y Acceso a la Información Pública del Estado de México y Municipios, que a la letra dispone:</w:t>
      </w:r>
    </w:p>
    <w:p w:rsidR="0090033B" w:rsidRPr="00143FED" w:rsidRDefault="0090033B" w:rsidP="0090033B">
      <w:pPr>
        <w:autoSpaceDE w:val="0"/>
        <w:autoSpaceDN w:val="0"/>
        <w:adjustRightInd w:val="0"/>
        <w:spacing w:line="360" w:lineRule="auto"/>
        <w:ind w:left="567" w:right="539"/>
        <w:jc w:val="center"/>
        <w:rPr>
          <w:rFonts w:ascii="Palatino Linotype" w:hAnsi="Palatino Linotype" w:cs="Bookman Old Style"/>
          <w:i/>
          <w:color w:val="000000"/>
          <w:sz w:val="24"/>
          <w:szCs w:val="24"/>
        </w:rPr>
      </w:pPr>
      <w:r w:rsidRPr="00143FED">
        <w:rPr>
          <w:rFonts w:ascii="Palatino Linotype" w:hAnsi="Palatino Linotype" w:cs="Bookman Old Style"/>
          <w:b/>
          <w:bCs/>
          <w:i/>
          <w:color w:val="000000"/>
          <w:sz w:val="24"/>
          <w:szCs w:val="24"/>
        </w:rPr>
        <w:t>“Capítulo II</w:t>
      </w:r>
    </w:p>
    <w:p w:rsidR="0090033B" w:rsidRPr="00143FED" w:rsidRDefault="0090033B" w:rsidP="0090033B">
      <w:pPr>
        <w:autoSpaceDE w:val="0"/>
        <w:autoSpaceDN w:val="0"/>
        <w:adjustRightInd w:val="0"/>
        <w:spacing w:line="360" w:lineRule="auto"/>
        <w:ind w:left="567" w:right="539"/>
        <w:jc w:val="center"/>
        <w:rPr>
          <w:rFonts w:ascii="Palatino Linotype" w:hAnsi="Palatino Linotype" w:cs="Bookman Old Style"/>
          <w:i/>
          <w:color w:val="000000"/>
          <w:sz w:val="24"/>
          <w:szCs w:val="24"/>
        </w:rPr>
      </w:pPr>
      <w:r w:rsidRPr="00143FED">
        <w:rPr>
          <w:rFonts w:ascii="Palatino Linotype" w:hAnsi="Palatino Linotype" w:cs="Bookman Old Style"/>
          <w:b/>
          <w:bCs/>
          <w:i/>
          <w:color w:val="000000"/>
          <w:sz w:val="24"/>
          <w:szCs w:val="24"/>
        </w:rPr>
        <w:t>De las Obligaciones de Transparencia Comunes</w:t>
      </w:r>
    </w:p>
    <w:p w:rsidR="0090033B" w:rsidRPr="00143FED" w:rsidRDefault="0090033B" w:rsidP="0090033B">
      <w:pPr>
        <w:spacing w:line="360" w:lineRule="auto"/>
        <w:ind w:left="567" w:right="539"/>
        <w:jc w:val="both"/>
        <w:rPr>
          <w:rFonts w:ascii="Palatino Linotype" w:hAnsi="Palatino Linotype" w:cs="Bookman Old Style"/>
          <w:i/>
          <w:color w:val="000000"/>
          <w:sz w:val="24"/>
          <w:szCs w:val="24"/>
        </w:rPr>
      </w:pPr>
      <w:r w:rsidRPr="00143FED">
        <w:rPr>
          <w:rFonts w:ascii="Palatino Linotype" w:hAnsi="Palatino Linotype" w:cs="Bookman Old Style"/>
          <w:b/>
          <w:bCs/>
          <w:i/>
          <w:color w:val="000000"/>
          <w:sz w:val="24"/>
          <w:szCs w:val="24"/>
        </w:rPr>
        <w:t xml:space="preserve">Artículo 92. </w:t>
      </w:r>
      <w:r w:rsidRPr="00143FED">
        <w:rPr>
          <w:rFonts w:ascii="Palatino Linotype" w:hAnsi="Palatino Linotype" w:cs="Bookman Old Style"/>
          <w:b/>
          <w:i/>
          <w:color w:val="000000"/>
          <w:sz w:val="24"/>
          <w:szCs w:val="24"/>
        </w:rPr>
        <w:t>Los sujetos obligados deberán poner a disposición del público de manera permanente y actualizada de forma sencilla, precisa y entendible</w:t>
      </w:r>
      <w:r w:rsidRPr="00143FED">
        <w:rPr>
          <w:rFonts w:ascii="Palatino Linotype" w:hAnsi="Palatino Linotype" w:cs="Bookman Old Style"/>
          <w:i/>
          <w:color w:val="000000"/>
          <w:sz w:val="24"/>
          <w:szCs w:val="24"/>
        </w:rPr>
        <w:t>, en los respectivos medios electrónicos, de acuerdo con sus facultades, atribuciones, funciones u objeto social, según corresponda, la información, por lo menos, de los temas, documentos y políticas que a continuación se señalan:</w:t>
      </w:r>
    </w:p>
    <w:p w:rsidR="0090033B" w:rsidRPr="00143FED" w:rsidRDefault="0090033B" w:rsidP="0090033B">
      <w:pPr>
        <w:autoSpaceDE w:val="0"/>
        <w:autoSpaceDN w:val="0"/>
        <w:adjustRightInd w:val="0"/>
        <w:spacing w:line="360" w:lineRule="auto"/>
        <w:ind w:left="567" w:right="539"/>
        <w:jc w:val="both"/>
        <w:rPr>
          <w:rFonts w:ascii="Palatino Linotype" w:hAnsi="Palatino Linotype" w:cs="Bookman Old Style"/>
          <w:b/>
          <w:i/>
          <w:color w:val="000000"/>
          <w:sz w:val="24"/>
          <w:szCs w:val="24"/>
        </w:rPr>
      </w:pPr>
      <w:r w:rsidRPr="00143FED">
        <w:rPr>
          <w:rFonts w:ascii="Palatino Linotype" w:hAnsi="Palatino Linotype" w:cs="Bookman Old Style"/>
          <w:b/>
          <w:i/>
          <w:color w:val="000000"/>
          <w:sz w:val="24"/>
          <w:szCs w:val="24"/>
        </w:rPr>
        <w:t>I a VII…</w:t>
      </w:r>
    </w:p>
    <w:p w:rsidR="0090033B" w:rsidRPr="00143FED" w:rsidRDefault="0090033B" w:rsidP="0090033B">
      <w:pPr>
        <w:autoSpaceDE w:val="0"/>
        <w:autoSpaceDN w:val="0"/>
        <w:adjustRightInd w:val="0"/>
        <w:spacing w:line="360" w:lineRule="auto"/>
        <w:ind w:left="567" w:right="539"/>
        <w:jc w:val="both"/>
        <w:rPr>
          <w:rFonts w:ascii="Palatino Linotype" w:hAnsi="Palatino Linotype" w:cs="Bookman Old Style"/>
          <w:i/>
          <w:color w:val="000000"/>
          <w:sz w:val="24"/>
          <w:szCs w:val="24"/>
        </w:rPr>
      </w:pPr>
      <w:r w:rsidRPr="00143FED">
        <w:rPr>
          <w:rFonts w:ascii="Palatino Linotype" w:hAnsi="Palatino Linotype" w:cs="Bookman Old Style"/>
          <w:b/>
          <w:i/>
          <w:color w:val="000000"/>
          <w:sz w:val="24"/>
          <w:szCs w:val="24"/>
        </w:rPr>
        <w:t>VIII.</w:t>
      </w:r>
      <w:r w:rsidRPr="00143FED">
        <w:rPr>
          <w:rFonts w:ascii="Palatino Linotype" w:hAnsi="Palatino Linotype" w:cs="Bookman Old Style"/>
          <w:i/>
          <w:color w:val="000000"/>
          <w:sz w:val="24"/>
          <w:szCs w:val="24"/>
        </w:rPr>
        <w:t xml:space="preserve"> La remuneración bruta y neta de todos los servidores públicos de base o de confianza, de todas las percepciones, incluyendo sueldos, prestaciones, </w:t>
      </w:r>
      <w:r w:rsidRPr="00143FED">
        <w:rPr>
          <w:rFonts w:ascii="Palatino Linotype" w:hAnsi="Palatino Linotype" w:cs="Bookman Old Style"/>
          <w:i/>
          <w:color w:val="000000"/>
          <w:sz w:val="24"/>
          <w:szCs w:val="24"/>
        </w:rPr>
        <w:lastRenderedPageBreak/>
        <w:t xml:space="preserve">gratificaciones, primas, comisiones, dietas, bonos, estímulos, ingresos y sistemas de compensación, señalando la periodicidad de dicha remuneración; </w:t>
      </w:r>
    </w:p>
    <w:p w:rsidR="0090033B" w:rsidRPr="00143FED" w:rsidRDefault="0090033B" w:rsidP="0090033B">
      <w:pPr>
        <w:pStyle w:val="Default"/>
        <w:spacing w:line="360" w:lineRule="auto"/>
        <w:ind w:left="567" w:right="539"/>
        <w:jc w:val="both"/>
        <w:rPr>
          <w:rFonts w:ascii="Palatino Linotype" w:hAnsi="Palatino Linotype" w:cs="Bookman Old Style"/>
          <w:i/>
        </w:rPr>
      </w:pPr>
      <w:r w:rsidRPr="00143FED">
        <w:rPr>
          <w:rFonts w:ascii="Palatino Linotype" w:hAnsi="Palatino Linotype" w:cs="Bookman Old Style"/>
          <w:b/>
          <w:bCs/>
          <w:i/>
        </w:rPr>
        <w:t>IX a LII.</w:t>
      </w:r>
      <w:r w:rsidRPr="00143FED">
        <w:rPr>
          <w:rFonts w:ascii="Palatino Linotype" w:hAnsi="Palatino Linotype" w:cs="Bookman Old Style"/>
          <w:i/>
        </w:rPr>
        <w:t>”</w:t>
      </w:r>
    </w:p>
    <w:p w:rsidR="0090033B" w:rsidRPr="00143FED" w:rsidRDefault="0090033B" w:rsidP="0090033B">
      <w:pPr>
        <w:spacing w:line="360" w:lineRule="auto"/>
        <w:ind w:left="567" w:right="567"/>
        <w:jc w:val="both"/>
        <w:rPr>
          <w:rFonts w:ascii="Palatino Linotype" w:eastAsia="Calibri" w:hAnsi="Palatino Linotype" w:cs="Tahoma"/>
          <w:bCs/>
          <w:i/>
          <w:sz w:val="24"/>
          <w:szCs w:val="24"/>
          <w:lang w:val="es-ES"/>
        </w:rPr>
      </w:pPr>
      <w:r w:rsidRPr="00143FED">
        <w:rPr>
          <w:rFonts w:ascii="Palatino Linotype" w:eastAsia="Calibri" w:hAnsi="Palatino Linotype" w:cs="Tahoma"/>
          <w:bCs/>
          <w:i/>
          <w:sz w:val="24"/>
          <w:szCs w:val="24"/>
          <w:lang w:val="es-ES"/>
        </w:rPr>
        <w:t>(Énfasis añadido)</w:t>
      </w:r>
    </w:p>
    <w:p w:rsidR="0090033B" w:rsidRDefault="0090033B" w:rsidP="0090033B">
      <w:pPr>
        <w:spacing w:line="360" w:lineRule="auto"/>
        <w:ind w:right="-93"/>
        <w:contextualSpacing/>
        <w:jc w:val="both"/>
        <w:rPr>
          <w:rFonts w:ascii="Palatino Linotype" w:eastAsia="Calibri" w:hAnsi="Palatino Linotype" w:cs="Tahoma"/>
          <w:bCs/>
          <w:iCs/>
          <w:sz w:val="24"/>
          <w:szCs w:val="24"/>
          <w:lang w:val="es-ES" w:eastAsia="es-ES_tradnl"/>
        </w:rPr>
      </w:pPr>
      <w:r w:rsidRPr="00143FED">
        <w:rPr>
          <w:rFonts w:ascii="Palatino Linotype" w:eastAsia="Calibri" w:hAnsi="Palatino Linotype" w:cs="Tahoma"/>
          <w:bCs/>
          <w:iCs/>
          <w:sz w:val="24"/>
          <w:szCs w:val="24"/>
          <w:lang w:val="es-ES_tradnl" w:eastAsia="es-ES_tradnl"/>
        </w:rPr>
        <w:t xml:space="preserve">En relación al artículo en cita, se colige la existencia de la fuente obligacional, que por disposición expresa de la Ley, constriñe al Sujeto Obligado a publicar la información solicitada por el Recurrente en relación a las remuneraciones de todos los servidores públicos, ya que la misma tiene el carácter de información pública, por lo que este Órgano Garante en el análisis, del presente asunto, visitó el sitio </w:t>
      </w:r>
      <w:r w:rsidRPr="00143FED">
        <w:rPr>
          <w:rFonts w:ascii="Palatino Linotype" w:eastAsia="Calibri" w:hAnsi="Palatino Linotype" w:cs="Tahoma"/>
          <w:bCs/>
          <w:iCs/>
          <w:sz w:val="24"/>
          <w:szCs w:val="24"/>
          <w:lang w:val="es-ES" w:eastAsia="es-ES_tradnl"/>
        </w:rPr>
        <w:t>Información Pública de Oficio Mexiquense (Ipomex) a fin de verificar el cumplimiento de la normatividad en la materia, a lo que resulto que el Sujeto Obligado no cuenta con la información actualizada en el apartado correspondiente a “</w:t>
      </w:r>
      <w:r w:rsidRPr="00143FED">
        <w:rPr>
          <w:rFonts w:ascii="Palatino Linotype" w:eastAsia="Calibri" w:hAnsi="Palatino Linotype" w:cs="Tahoma"/>
          <w:bCs/>
          <w:i/>
          <w:iCs/>
          <w:sz w:val="24"/>
          <w:szCs w:val="24"/>
          <w:lang w:val="es-ES" w:eastAsia="es-ES_tradnl"/>
        </w:rPr>
        <w:t xml:space="preserve">Remuneraciones”, </w:t>
      </w:r>
      <w:r w:rsidRPr="00143FED">
        <w:rPr>
          <w:rFonts w:ascii="Palatino Linotype" w:eastAsia="Calibri" w:hAnsi="Palatino Linotype" w:cs="Tahoma"/>
          <w:bCs/>
          <w:iCs/>
          <w:sz w:val="24"/>
          <w:szCs w:val="24"/>
          <w:lang w:val="es-ES" w:eastAsia="es-ES_tradnl"/>
        </w:rPr>
        <w:t>para mayor referencia se inserta impresión de pantalla:</w:t>
      </w:r>
    </w:p>
    <w:p w:rsidR="00F54DE5" w:rsidRPr="00143FED" w:rsidRDefault="00F54DE5" w:rsidP="0090033B">
      <w:pPr>
        <w:spacing w:line="360" w:lineRule="auto"/>
        <w:ind w:right="-93"/>
        <w:contextualSpacing/>
        <w:jc w:val="both"/>
        <w:rPr>
          <w:rFonts w:ascii="Palatino Linotype" w:eastAsia="Calibri" w:hAnsi="Palatino Linotype" w:cs="Tahoma"/>
          <w:bCs/>
          <w:iCs/>
          <w:sz w:val="24"/>
          <w:szCs w:val="24"/>
          <w:lang w:val="es-ES" w:eastAsia="es-ES_tradnl"/>
        </w:rPr>
      </w:pPr>
      <w:r w:rsidRPr="00120D28">
        <w:rPr>
          <w:rFonts w:ascii="Palatino Linotype" w:hAnsi="Palatino Linotype"/>
          <w:noProof/>
          <w:lang w:eastAsia="es-MX"/>
        </w:rPr>
        <w:drawing>
          <wp:anchor distT="0" distB="0" distL="114300" distR="114300" simplePos="0" relativeHeight="251658240" behindDoc="0" locked="0" layoutInCell="1" allowOverlap="1" wp14:anchorId="159BCD9D" wp14:editId="152BCEF0">
            <wp:simplePos x="0" y="0"/>
            <wp:positionH relativeFrom="page">
              <wp:align>center</wp:align>
            </wp:positionH>
            <wp:positionV relativeFrom="paragraph">
              <wp:posOffset>5604</wp:posOffset>
            </wp:positionV>
            <wp:extent cx="3760470" cy="347472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9964" t="16709" r="26913" b="12451"/>
                    <a:stretch/>
                  </pic:blipFill>
                  <pic:spPr bwMode="auto">
                    <a:xfrm>
                      <a:off x="0" y="0"/>
                      <a:ext cx="3760928" cy="3475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033B" w:rsidRPr="00120D28" w:rsidRDefault="0090033B" w:rsidP="0090033B">
      <w:pPr>
        <w:spacing w:line="360" w:lineRule="auto"/>
        <w:ind w:right="-93"/>
        <w:contextualSpacing/>
        <w:jc w:val="both"/>
        <w:rPr>
          <w:rFonts w:ascii="Palatino Linotype" w:eastAsia="Calibri" w:hAnsi="Palatino Linotype" w:cs="Tahoma"/>
          <w:bCs/>
          <w:iCs/>
          <w:lang w:val="es-ES" w:eastAsia="es-ES_tradnl"/>
        </w:rPr>
      </w:pPr>
    </w:p>
    <w:p w:rsidR="0090033B" w:rsidRDefault="0090033B" w:rsidP="0090033B">
      <w:pPr>
        <w:spacing w:line="360" w:lineRule="auto"/>
        <w:ind w:right="-93"/>
        <w:contextualSpacing/>
        <w:jc w:val="center"/>
        <w:rPr>
          <w:rFonts w:ascii="Palatino Linotype" w:eastAsia="Calibri" w:hAnsi="Palatino Linotype" w:cs="Tahoma"/>
          <w:bCs/>
          <w:i/>
          <w:iCs/>
          <w:lang w:val="es-ES" w:eastAsia="es-ES_tradnl"/>
        </w:rPr>
      </w:pPr>
    </w:p>
    <w:p w:rsidR="00742711" w:rsidRDefault="00742711" w:rsidP="0090033B">
      <w:pPr>
        <w:spacing w:line="360" w:lineRule="auto"/>
        <w:ind w:right="-93"/>
        <w:contextualSpacing/>
        <w:jc w:val="center"/>
        <w:rPr>
          <w:rFonts w:ascii="Palatino Linotype" w:eastAsia="Calibri" w:hAnsi="Palatino Linotype" w:cs="Tahoma"/>
          <w:bCs/>
          <w:i/>
          <w:iCs/>
          <w:lang w:val="es-ES" w:eastAsia="es-ES_tradnl"/>
        </w:rPr>
      </w:pPr>
    </w:p>
    <w:p w:rsidR="00742711" w:rsidRDefault="00742711" w:rsidP="0090033B">
      <w:pPr>
        <w:spacing w:line="360" w:lineRule="auto"/>
        <w:ind w:right="-93"/>
        <w:contextualSpacing/>
        <w:jc w:val="center"/>
        <w:rPr>
          <w:rFonts w:ascii="Palatino Linotype" w:eastAsia="Calibri" w:hAnsi="Palatino Linotype" w:cs="Tahoma"/>
          <w:bCs/>
          <w:i/>
          <w:iCs/>
          <w:lang w:val="es-ES" w:eastAsia="es-ES_tradnl"/>
        </w:rPr>
      </w:pPr>
    </w:p>
    <w:p w:rsidR="00742711" w:rsidRDefault="00742711" w:rsidP="0090033B">
      <w:pPr>
        <w:spacing w:line="360" w:lineRule="auto"/>
        <w:ind w:right="-93"/>
        <w:contextualSpacing/>
        <w:jc w:val="center"/>
        <w:rPr>
          <w:rFonts w:ascii="Palatino Linotype" w:eastAsia="Calibri" w:hAnsi="Palatino Linotype" w:cs="Tahoma"/>
          <w:bCs/>
          <w:i/>
          <w:iCs/>
          <w:lang w:val="es-ES" w:eastAsia="es-ES_tradnl"/>
        </w:rPr>
      </w:pPr>
    </w:p>
    <w:p w:rsidR="00742711" w:rsidRDefault="00742711" w:rsidP="0090033B">
      <w:pPr>
        <w:spacing w:line="360" w:lineRule="auto"/>
        <w:ind w:right="-93"/>
        <w:contextualSpacing/>
        <w:jc w:val="center"/>
        <w:rPr>
          <w:rFonts w:ascii="Palatino Linotype" w:eastAsia="Calibri" w:hAnsi="Palatino Linotype" w:cs="Tahoma"/>
          <w:bCs/>
          <w:i/>
          <w:iCs/>
          <w:lang w:val="es-ES" w:eastAsia="es-ES_tradnl"/>
        </w:rPr>
      </w:pPr>
    </w:p>
    <w:p w:rsidR="00742711" w:rsidRDefault="00742711" w:rsidP="0090033B">
      <w:pPr>
        <w:spacing w:line="360" w:lineRule="auto"/>
        <w:ind w:right="-93"/>
        <w:contextualSpacing/>
        <w:jc w:val="center"/>
        <w:rPr>
          <w:rFonts w:ascii="Palatino Linotype" w:eastAsia="Calibri" w:hAnsi="Palatino Linotype" w:cs="Tahoma"/>
          <w:bCs/>
          <w:i/>
          <w:iCs/>
          <w:lang w:val="es-ES" w:eastAsia="es-ES_tradnl"/>
        </w:rPr>
      </w:pPr>
    </w:p>
    <w:p w:rsidR="00742711" w:rsidRDefault="00742711" w:rsidP="0090033B">
      <w:pPr>
        <w:spacing w:line="360" w:lineRule="auto"/>
        <w:ind w:right="-93"/>
        <w:contextualSpacing/>
        <w:jc w:val="center"/>
        <w:rPr>
          <w:rFonts w:ascii="Palatino Linotype" w:eastAsia="Calibri" w:hAnsi="Palatino Linotype" w:cs="Tahoma"/>
          <w:bCs/>
          <w:i/>
          <w:iCs/>
          <w:lang w:val="es-ES" w:eastAsia="es-ES_tradnl"/>
        </w:rPr>
      </w:pPr>
    </w:p>
    <w:p w:rsidR="00742711" w:rsidRDefault="00742711" w:rsidP="0090033B">
      <w:pPr>
        <w:spacing w:line="360" w:lineRule="auto"/>
        <w:ind w:right="-93"/>
        <w:contextualSpacing/>
        <w:jc w:val="center"/>
        <w:rPr>
          <w:rFonts w:ascii="Palatino Linotype" w:eastAsia="Calibri" w:hAnsi="Palatino Linotype" w:cs="Tahoma"/>
          <w:bCs/>
          <w:i/>
          <w:iCs/>
          <w:lang w:val="es-ES" w:eastAsia="es-ES_tradnl"/>
        </w:rPr>
      </w:pPr>
    </w:p>
    <w:p w:rsidR="00742711" w:rsidRDefault="00742711" w:rsidP="0090033B">
      <w:pPr>
        <w:spacing w:line="360" w:lineRule="auto"/>
        <w:ind w:right="-93"/>
        <w:contextualSpacing/>
        <w:jc w:val="center"/>
        <w:rPr>
          <w:rFonts w:ascii="Palatino Linotype" w:eastAsia="Calibri" w:hAnsi="Palatino Linotype" w:cs="Tahoma"/>
          <w:bCs/>
          <w:i/>
          <w:iCs/>
          <w:lang w:val="es-ES" w:eastAsia="es-ES_tradnl"/>
        </w:rPr>
      </w:pPr>
    </w:p>
    <w:p w:rsidR="0090033B" w:rsidRPr="00120D28" w:rsidRDefault="0090033B" w:rsidP="0090033B">
      <w:pPr>
        <w:spacing w:line="360" w:lineRule="auto"/>
        <w:ind w:right="-93"/>
        <w:jc w:val="center"/>
        <w:rPr>
          <w:rFonts w:ascii="Palatino Linotype" w:eastAsia="Calibri" w:hAnsi="Palatino Linotype" w:cs="Tahoma"/>
          <w:bCs/>
          <w:iCs/>
          <w:lang w:val="es-ES" w:eastAsia="es-ES_tradnl"/>
        </w:rPr>
      </w:pPr>
      <w:r w:rsidRPr="00120D28">
        <w:rPr>
          <w:rFonts w:ascii="Palatino Linotype" w:eastAsia="Calibri" w:hAnsi="Palatino Linotype" w:cs="Tahoma"/>
          <w:bCs/>
          <w:iCs/>
          <w:lang w:val="es-ES" w:eastAsia="es-ES_tradnl"/>
        </w:rPr>
        <w:lastRenderedPageBreak/>
        <w:t xml:space="preserve">(Imagen extraída del sitio Información Pública de Oficio Mexiquense (Ipomex), véase: </w:t>
      </w:r>
      <w:hyperlink r:id="rId9" w:history="1">
        <w:r w:rsidRPr="00120D28">
          <w:rPr>
            <w:rStyle w:val="Hipervnculo"/>
            <w:rFonts w:ascii="Palatino Linotype" w:eastAsiaTheme="majorEastAsia" w:hAnsi="Palatino Linotype"/>
          </w:rPr>
          <w:t>https://www.ipomex.org.mx/ipo3/lgt/indice/TENANGODELAIRE/art_92_viii.web</w:t>
        </w:r>
      </w:hyperlink>
      <w:r w:rsidRPr="00120D28">
        <w:rPr>
          <w:rFonts w:ascii="Palatino Linotype" w:hAnsi="Palatino Linotype"/>
        </w:rPr>
        <w:t xml:space="preserve"> )</w:t>
      </w:r>
    </w:p>
    <w:p w:rsidR="0090033B" w:rsidRPr="00120D28" w:rsidRDefault="0090033B" w:rsidP="00F54DE5">
      <w:pPr>
        <w:pStyle w:val="Sinespaciado"/>
        <w:rPr>
          <w:lang w:val="es-ES" w:eastAsia="es-ES_tradnl"/>
        </w:rPr>
      </w:pPr>
    </w:p>
    <w:p w:rsidR="0090033B" w:rsidRPr="00F54DE5" w:rsidRDefault="0090033B" w:rsidP="0090033B">
      <w:pPr>
        <w:spacing w:line="360" w:lineRule="auto"/>
        <w:ind w:right="-93"/>
        <w:contextualSpacing/>
        <w:jc w:val="both"/>
        <w:rPr>
          <w:rFonts w:ascii="Palatino Linotype" w:eastAsia="Calibri" w:hAnsi="Palatino Linotype" w:cs="Tahoma"/>
          <w:bCs/>
          <w:iCs/>
          <w:sz w:val="24"/>
          <w:lang w:val="es-ES" w:eastAsia="es-ES_tradnl"/>
        </w:rPr>
      </w:pPr>
      <w:r w:rsidRPr="00F54DE5">
        <w:rPr>
          <w:rFonts w:ascii="Palatino Linotype" w:eastAsia="Calibri" w:hAnsi="Palatino Linotype" w:cs="Tahoma"/>
          <w:bCs/>
          <w:iCs/>
          <w:sz w:val="24"/>
          <w:lang w:val="es-ES" w:eastAsia="es-ES_tradnl"/>
        </w:rPr>
        <w:t>Derivado de lo anterior se advierte que en el sitio Información Pública de Oficio Mexiquense (Ipomex), la información solicitada por el Recurrente no se encuentra publicada en el sitio de información pública.</w:t>
      </w:r>
    </w:p>
    <w:p w:rsidR="0090033B" w:rsidRPr="00F54DE5" w:rsidRDefault="0090033B" w:rsidP="0090033B">
      <w:pPr>
        <w:spacing w:line="360" w:lineRule="auto"/>
        <w:ind w:right="-93"/>
        <w:contextualSpacing/>
        <w:jc w:val="both"/>
        <w:rPr>
          <w:rFonts w:ascii="Palatino Linotype" w:eastAsia="Calibri" w:hAnsi="Palatino Linotype" w:cs="Tahoma"/>
          <w:bCs/>
          <w:iCs/>
          <w:sz w:val="24"/>
          <w:lang w:val="es-ES" w:eastAsia="es-ES_tradnl"/>
        </w:rPr>
      </w:pPr>
    </w:p>
    <w:p w:rsidR="0090033B" w:rsidRPr="00F54DE5" w:rsidRDefault="0090033B" w:rsidP="0090033B">
      <w:pPr>
        <w:spacing w:line="360" w:lineRule="auto"/>
        <w:ind w:right="-93"/>
        <w:contextualSpacing/>
        <w:jc w:val="both"/>
        <w:rPr>
          <w:rFonts w:ascii="Palatino Linotype" w:eastAsia="Arial Unicode MS" w:hAnsi="Palatino Linotype" w:cs="Arial"/>
          <w:b/>
          <w:bCs/>
          <w:sz w:val="24"/>
        </w:rPr>
      </w:pPr>
      <w:r w:rsidRPr="00F54DE5">
        <w:rPr>
          <w:rFonts w:ascii="Palatino Linotype" w:eastAsia="Calibri" w:hAnsi="Palatino Linotype" w:cs="Tahoma"/>
          <w:bCs/>
          <w:sz w:val="24"/>
        </w:rPr>
        <w:t>Ahora bien, en relación a los documentos que den cuenta de las remuneraciones brutas y netas de todos los servidores públicos, ya sea de base o de confianza, en los que se muestren los sueldos, prestaciones, gratificaciones, primas, comisiones y demás prestaciones, así como la periodicidad de las mismas, esta constituye como se puntualizó anteriormente información pública, al respecto, esta ponencia precisa, de manera enunciativa, mas no limitativa, que el documento que puede dar cuenta y satisfacer la solicitud del Particular, podría ser  la nómina.</w:t>
      </w:r>
    </w:p>
    <w:p w:rsidR="0090033B" w:rsidRPr="00F54DE5" w:rsidRDefault="0090033B" w:rsidP="0090033B">
      <w:pPr>
        <w:spacing w:line="360" w:lineRule="auto"/>
        <w:ind w:right="-93"/>
        <w:contextualSpacing/>
        <w:jc w:val="both"/>
        <w:rPr>
          <w:rFonts w:ascii="Palatino Linotype" w:eastAsia="Arial Unicode MS" w:hAnsi="Palatino Linotype" w:cs="Arial"/>
          <w:b/>
          <w:bCs/>
          <w:sz w:val="24"/>
        </w:rPr>
      </w:pPr>
    </w:p>
    <w:p w:rsidR="0090033B" w:rsidRPr="00F54DE5" w:rsidRDefault="0090033B" w:rsidP="0090033B">
      <w:pPr>
        <w:spacing w:line="360" w:lineRule="auto"/>
        <w:ind w:right="-93"/>
        <w:contextualSpacing/>
        <w:jc w:val="both"/>
        <w:rPr>
          <w:rFonts w:ascii="Palatino Linotype" w:eastAsia="Calibri" w:hAnsi="Palatino Linotype" w:cs="Tahoma"/>
          <w:b/>
          <w:bCs/>
          <w:sz w:val="24"/>
        </w:rPr>
      </w:pPr>
      <w:r w:rsidRPr="00F54DE5">
        <w:rPr>
          <w:rFonts w:ascii="Palatino Linotype" w:eastAsia="Calibri" w:hAnsi="Palatino Linotype" w:cs="Tahoma"/>
          <w:bCs/>
          <w:sz w:val="24"/>
        </w:rPr>
        <w:t>Bajo este tenor, el Glosario de términos más usuales en la Administración Pública Federal, emitido por la Secretaría de Hacienda y Crédito Público (</w:t>
      </w:r>
      <w:hyperlink r:id="rId10" w:history="1">
        <w:r w:rsidRPr="00F54DE5">
          <w:rPr>
            <w:rStyle w:val="Hipervnculo"/>
            <w:rFonts w:ascii="Palatino Linotype" w:hAnsi="Palatino Linotype"/>
            <w:sz w:val="24"/>
          </w:rPr>
          <w:t>http://www.apartados.hacienda.gob.mx/contabilidad/documentos/informe_cuenta/1998/cuenta_publica/Glosario/s.htm</w:t>
        </w:r>
      </w:hyperlink>
      <w:r w:rsidRPr="00F54DE5">
        <w:rPr>
          <w:rFonts w:ascii="Palatino Linotype" w:eastAsia="Calibri" w:hAnsi="Palatino Linotype" w:cs="Tahoma"/>
          <w:bCs/>
          <w:sz w:val="24"/>
        </w:rPr>
        <w:t>), establece que el salario es la retribución que debe pagar el patrón al trabajador por su trabajo.</w:t>
      </w:r>
    </w:p>
    <w:p w:rsidR="0090033B" w:rsidRPr="00F54DE5" w:rsidRDefault="0090033B" w:rsidP="0090033B">
      <w:pPr>
        <w:spacing w:line="360" w:lineRule="auto"/>
        <w:ind w:right="-93"/>
        <w:contextualSpacing/>
        <w:jc w:val="both"/>
        <w:rPr>
          <w:rFonts w:ascii="Palatino Linotype" w:eastAsia="Calibri" w:hAnsi="Palatino Linotype" w:cs="Tahoma"/>
          <w:bCs/>
          <w:sz w:val="24"/>
        </w:rPr>
      </w:pPr>
    </w:p>
    <w:p w:rsidR="0090033B" w:rsidRPr="00F54DE5" w:rsidRDefault="0090033B" w:rsidP="0090033B">
      <w:pPr>
        <w:spacing w:line="360" w:lineRule="auto"/>
        <w:ind w:right="-93"/>
        <w:contextualSpacing/>
        <w:jc w:val="both"/>
        <w:rPr>
          <w:rFonts w:ascii="Palatino Linotype" w:eastAsia="Calibri" w:hAnsi="Palatino Linotype" w:cs="Tahoma"/>
          <w:bCs/>
          <w:sz w:val="24"/>
        </w:rPr>
      </w:pPr>
      <w:r w:rsidRPr="00F54DE5">
        <w:rPr>
          <w:rFonts w:ascii="Palatino Linotype" w:eastAsia="Calibri" w:hAnsi="Palatino Linotype" w:cs="Tahoma"/>
          <w:bCs/>
          <w:sz w:val="24"/>
        </w:rPr>
        <w:t>Al respecto, el Glosario localizado en la página de Transparencia Presupuestaria de la Secretaría de Hacienda y Crédito Público (</w:t>
      </w:r>
      <w:hyperlink r:id="rId11" w:history="1">
        <w:r w:rsidRPr="00F54DE5">
          <w:rPr>
            <w:rStyle w:val="Hipervnculo"/>
            <w:rFonts w:ascii="Palatino Linotype" w:eastAsia="Calibri" w:hAnsi="Palatino Linotype" w:cs="Tahoma"/>
            <w:bCs/>
            <w:sz w:val="24"/>
          </w:rPr>
          <w:t>http://www.transparenciapresupuestaria.gob.mx/es/PTP/Glosario</w:t>
        </w:r>
      </w:hyperlink>
      <w:r w:rsidRPr="00F54DE5">
        <w:rPr>
          <w:rFonts w:ascii="Palatino Linotype" w:eastAsia="Calibri" w:hAnsi="Palatino Linotype" w:cs="Tahoma"/>
          <w:bCs/>
          <w:sz w:val="24"/>
        </w:rPr>
        <w:t xml:space="preserve">,), establece que la </w:t>
      </w:r>
      <w:r w:rsidRPr="00F54DE5">
        <w:rPr>
          <w:rFonts w:ascii="Palatino Linotype" w:eastAsia="Calibri" w:hAnsi="Palatino Linotype" w:cs="Tahoma"/>
          <w:bCs/>
          <w:sz w:val="24"/>
        </w:rPr>
        <w:lastRenderedPageBreak/>
        <w:t xml:space="preserve">Nómina es el documento contable que contiene la relación de los trabajadores con las percepciones monetarias de cada uno; además, que también se refiere al recibo individual y justificativo que </w:t>
      </w:r>
      <w:r w:rsidRPr="00F54DE5">
        <w:rPr>
          <w:rFonts w:ascii="Palatino Linotype" w:eastAsia="Calibri" w:hAnsi="Palatino Linotype" w:cs="Tahoma"/>
          <w:b/>
          <w:bCs/>
          <w:sz w:val="24"/>
        </w:rPr>
        <w:t>indica los sueldos de los trabajadores,</w:t>
      </w:r>
      <w:r w:rsidRPr="00F54DE5">
        <w:rPr>
          <w:rFonts w:ascii="Palatino Linotype" w:eastAsia="Calibri" w:hAnsi="Palatino Linotype" w:cs="Tahoma"/>
          <w:bCs/>
          <w:sz w:val="24"/>
        </w:rPr>
        <w:t xml:space="preserve"> incluyendo las prestaciones y deducciones correspondientes.</w:t>
      </w:r>
    </w:p>
    <w:p w:rsidR="0090033B" w:rsidRPr="00F54DE5" w:rsidRDefault="0090033B" w:rsidP="0090033B">
      <w:pPr>
        <w:spacing w:line="360" w:lineRule="auto"/>
        <w:ind w:right="-93"/>
        <w:contextualSpacing/>
        <w:jc w:val="both"/>
        <w:rPr>
          <w:rFonts w:ascii="Palatino Linotype" w:eastAsia="Calibri" w:hAnsi="Palatino Linotype" w:cs="Tahoma"/>
          <w:bCs/>
          <w:sz w:val="24"/>
        </w:rPr>
      </w:pPr>
    </w:p>
    <w:p w:rsidR="0090033B" w:rsidRPr="00F54DE5" w:rsidRDefault="0090033B" w:rsidP="0090033B">
      <w:pPr>
        <w:spacing w:line="360" w:lineRule="auto"/>
        <w:ind w:right="-93"/>
        <w:contextualSpacing/>
        <w:jc w:val="both"/>
        <w:rPr>
          <w:rFonts w:ascii="Palatino Linotype" w:eastAsia="Calibri" w:hAnsi="Palatino Linotype" w:cs="Tahoma"/>
          <w:bCs/>
          <w:sz w:val="24"/>
        </w:rPr>
      </w:pPr>
      <w:r w:rsidRPr="00F54DE5">
        <w:rPr>
          <w:rFonts w:ascii="Palatino Linotype" w:eastAsia="Calibri" w:hAnsi="Palatino Linotype" w:cs="Tahoma"/>
          <w:bCs/>
          <w:sz w:val="24"/>
        </w:rPr>
        <w:t>Conforme a lo anterior, se puede advertir que la nómina se puede referir al recibo individual que contiene las prestaciones y deducciones de un trabajador.</w:t>
      </w:r>
    </w:p>
    <w:p w:rsidR="0090033B" w:rsidRPr="00F54DE5" w:rsidRDefault="0090033B" w:rsidP="0090033B">
      <w:pPr>
        <w:spacing w:line="360" w:lineRule="auto"/>
        <w:ind w:right="-93"/>
        <w:contextualSpacing/>
        <w:jc w:val="both"/>
        <w:rPr>
          <w:rFonts w:ascii="Palatino Linotype" w:eastAsia="Calibri" w:hAnsi="Palatino Linotype" w:cs="Tahoma"/>
          <w:bCs/>
          <w:sz w:val="24"/>
        </w:rPr>
      </w:pPr>
    </w:p>
    <w:p w:rsidR="0090033B" w:rsidRPr="00F54DE5" w:rsidRDefault="0090033B" w:rsidP="0090033B">
      <w:pPr>
        <w:spacing w:line="360" w:lineRule="auto"/>
        <w:ind w:right="-93"/>
        <w:contextualSpacing/>
        <w:jc w:val="both"/>
        <w:rPr>
          <w:rFonts w:ascii="Palatino Linotype" w:eastAsia="Calibri" w:hAnsi="Palatino Linotype" w:cs="Tahoma"/>
          <w:bCs/>
          <w:sz w:val="24"/>
        </w:rPr>
      </w:pPr>
      <w:r w:rsidRPr="00F54DE5">
        <w:rPr>
          <w:rFonts w:ascii="Palatino Linotype" w:eastAsia="Calibri" w:hAnsi="Palatino Linotype" w:cs="Tahoma"/>
          <w:bCs/>
          <w:sz w:val="24"/>
        </w:rPr>
        <w:t xml:space="preserve">De tal suerte que el recibo de nómina es un documento que puede dar cuenta de lo solicitado por el Recurrente, así, respecto los recibos de nómina, resulta necesario traer a colación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rsidR="0090033B" w:rsidRPr="00F54DE5" w:rsidRDefault="0090033B" w:rsidP="0090033B">
      <w:pPr>
        <w:spacing w:line="360" w:lineRule="auto"/>
        <w:ind w:right="-93"/>
        <w:contextualSpacing/>
        <w:jc w:val="both"/>
        <w:rPr>
          <w:rFonts w:ascii="Palatino Linotype" w:eastAsia="Calibri" w:hAnsi="Palatino Linotype" w:cs="Tahoma"/>
          <w:bCs/>
          <w:sz w:val="24"/>
        </w:rPr>
      </w:pPr>
    </w:p>
    <w:p w:rsidR="0090033B" w:rsidRPr="00F54DE5" w:rsidRDefault="0090033B" w:rsidP="0090033B">
      <w:pPr>
        <w:spacing w:line="360" w:lineRule="auto"/>
        <w:ind w:right="-93"/>
        <w:contextualSpacing/>
        <w:jc w:val="both"/>
        <w:rPr>
          <w:rFonts w:ascii="Palatino Linotype" w:eastAsia="Calibri" w:hAnsi="Palatino Linotype" w:cs="Tahoma"/>
          <w:bCs/>
          <w:sz w:val="24"/>
        </w:rPr>
      </w:pPr>
      <w:r w:rsidRPr="00F54DE5">
        <w:rPr>
          <w:rFonts w:ascii="Palatino Linotype" w:eastAsia="Calibri" w:hAnsi="Palatino Linotype" w:cs="Tahoma"/>
          <w:bCs/>
          <w:sz w:val="24"/>
        </w:rPr>
        <w:t xml:space="preserve">En orden de ideas, el artículo 3°, fracción XXXII, del Código Financiero del Estado de México y Municipios establece que la remuneración consiste en los pagos hechos </w:t>
      </w:r>
      <w:r w:rsidRPr="00F54DE5">
        <w:rPr>
          <w:rFonts w:ascii="Palatino Linotype" w:eastAsia="Calibri" w:hAnsi="Palatino Linotype" w:cs="Tahoma"/>
          <w:b/>
          <w:bCs/>
          <w:sz w:val="24"/>
        </w:rPr>
        <w:t>por concepto de sueldo</w:t>
      </w:r>
      <w:r w:rsidRPr="00F54DE5">
        <w:rPr>
          <w:rFonts w:ascii="Palatino Linotype" w:eastAsia="Calibri" w:hAnsi="Palatino Linotype" w:cs="Tahoma"/>
          <w:bCs/>
          <w:sz w:val="24"/>
        </w:rPr>
        <w:t>, compensaciones, gratificaciones, habitación, primas, comisiones, prestaciones, en especie y cualquier otra percepción o prestación que se entregue al servidor por su trabajo.</w:t>
      </w:r>
    </w:p>
    <w:p w:rsidR="0090033B" w:rsidRPr="00F54DE5" w:rsidRDefault="0090033B" w:rsidP="0090033B">
      <w:pPr>
        <w:spacing w:line="360" w:lineRule="auto"/>
        <w:ind w:right="-93"/>
        <w:contextualSpacing/>
        <w:jc w:val="both"/>
        <w:rPr>
          <w:rFonts w:ascii="Palatino Linotype" w:eastAsia="Calibri" w:hAnsi="Palatino Linotype" w:cs="Tahoma"/>
          <w:bCs/>
          <w:sz w:val="24"/>
        </w:rPr>
      </w:pPr>
    </w:p>
    <w:p w:rsidR="0090033B" w:rsidRPr="00F54DE5" w:rsidRDefault="0090033B" w:rsidP="0090033B">
      <w:pPr>
        <w:spacing w:line="360" w:lineRule="auto"/>
        <w:ind w:right="-93"/>
        <w:contextualSpacing/>
        <w:jc w:val="both"/>
        <w:rPr>
          <w:rFonts w:ascii="Palatino Linotype" w:eastAsia="Calibri" w:hAnsi="Palatino Linotype" w:cs="Tahoma"/>
          <w:bCs/>
          <w:sz w:val="24"/>
        </w:rPr>
      </w:pPr>
      <w:r w:rsidRPr="00F54DE5">
        <w:rPr>
          <w:rFonts w:ascii="Palatino Linotype" w:eastAsia="Calibri" w:hAnsi="Palatino Linotype" w:cs="Tahoma"/>
          <w:bCs/>
          <w:sz w:val="24"/>
        </w:rPr>
        <w:lastRenderedPageBreak/>
        <w:t xml:space="preserve">De igual forma, la Ley del Trabajo de los Servidores Públicos del Estado y Municipios, en su artículo 220 K, establece los documentos que tiene la obligación de conservar el Sujeto Obligado, entre los que se encuentran los recibos de pagos: </w:t>
      </w:r>
    </w:p>
    <w:p w:rsidR="0090033B" w:rsidRPr="00120D28" w:rsidRDefault="0090033B" w:rsidP="0090033B">
      <w:pPr>
        <w:tabs>
          <w:tab w:val="left" w:pos="4962"/>
        </w:tabs>
        <w:spacing w:line="360" w:lineRule="auto"/>
        <w:ind w:left="567" w:right="539"/>
        <w:contextualSpacing/>
        <w:jc w:val="both"/>
        <w:rPr>
          <w:rFonts w:ascii="Palatino Linotype" w:hAnsi="Palatino Linotype" w:cs="Tahoma"/>
        </w:rPr>
      </w:pPr>
    </w:p>
    <w:p w:rsidR="0090033B" w:rsidRPr="00EA4E63" w:rsidRDefault="0090033B" w:rsidP="0090033B">
      <w:pPr>
        <w:tabs>
          <w:tab w:val="left" w:pos="4962"/>
        </w:tabs>
        <w:spacing w:line="360" w:lineRule="auto"/>
        <w:ind w:left="567" w:right="567"/>
        <w:contextualSpacing/>
        <w:jc w:val="both"/>
        <w:rPr>
          <w:rFonts w:ascii="Palatino Linotype" w:hAnsi="Palatino Linotype" w:cs="Tahoma"/>
          <w:i/>
        </w:rPr>
      </w:pPr>
      <w:r w:rsidRPr="00EA4E63">
        <w:rPr>
          <w:rFonts w:ascii="Palatino Linotype" w:hAnsi="Palatino Linotype" w:cs="Tahoma"/>
          <w:i/>
        </w:rPr>
        <w:t>“ARTÍCULO 220 K.- La institución o dependencia pública tiene la obligación de conservar y exhibir en el proceso los documentos que a continuación se precisan:</w:t>
      </w:r>
    </w:p>
    <w:p w:rsidR="0090033B" w:rsidRPr="00EA4E63" w:rsidRDefault="0090033B" w:rsidP="0090033B">
      <w:pPr>
        <w:tabs>
          <w:tab w:val="left" w:pos="4962"/>
        </w:tabs>
        <w:spacing w:line="360" w:lineRule="auto"/>
        <w:ind w:left="567" w:right="567"/>
        <w:contextualSpacing/>
        <w:jc w:val="both"/>
        <w:rPr>
          <w:rFonts w:ascii="Palatino Linotype" w:hAnsi="Palatino Linotype" w:cs="Tahoma"/>
          <w:i/>
        </w:rPr>
      </w:pPr>
      <w:r w:rsidRPr="00EA4E63">
        <w:rPr>
          <w:rFonts w:ascii="Palatino Linotype" w:hAnsi="Palatino Linotype" w:cs="Tahoma"/>
          <w:i/>
        </w:rPr>
        <w:t>I. Contratos, Nombramientos o Formato Único de Movimientos de Personal, cuando no exista Convenio de condiciones generales de trabajo aplicable;</w:t>
      </w:r>
    </w:p>
    <w:p w:rsidR="0090033B" w:rsidRPr="00EA4E63" w:rsidRDefault="0090033B" w:rsidP="0090033B">
      <w:pPr>
        <w:tabs>
          <w:tab w:val="left" w:pos="4962"/>
        </w:tabs>
        <w:spacing w:line="360" w:lineRule="auto"/>
        <w:ind w:left="567" w:right="567"/>
        <w:contextualSpacing/>
        <w:jc w:val="both"/>
        <w:rPr>
          <w:rFonts w:ascii="Palatino Linotype" w:hAnsi="Palatino Linotype" w:cs="Tahoma"/>
          <w:b/>
          <w:i/>
          <w:u w:val="single"/>
        </w:rPr>
      </w:pPr>
      <w:r w:rsidRPr="00EA4E63">
        <w:rPr>
          <w:rFonts w:ascii="Palatino Linotype" w:hAnsi="Palatino Linotype" w:cs="Tahoma"/>
          <w:b/>
          <w:i/>
          <w:u w:val="single"/>
        </w:rPr>
        <w:t>II. Recibos de pagos de salarios o las constancias documentales del pago de salario cuando sea por depósito o mediante información electrónica;</w:t>
      </w:r>
    </w:p>
    <w:p w:rsidR="0090033B" w:rsidRPr="00EA4E63" w:rsidRDefault="0090033B" w:rsidP="0090033B">
      <w:pPr>
        <w:tabs>
          <w:tab w:val="left" w:pos="4962"/>
        </w:tabs>
        <w:spacing w:line="360" w:lineRule="auto"/>
        <w:ind w:left="567" w:right="567"/>
        <w:contextualSpacing/>
        <w:jc w:val="both"/>
        <w:rPr>
          <w:rFonts w:ascii="Palatino Linotype" w:hAnsi="Palatino Linotype" w:cs="Tahoma"/>
          <w:i/>
        </w:rPr>
      </w:pPr>
      <w:r w:rsidRPr="00EA4E63">
        <w:rPr>
          <w:rFonts w:ascii="Palatino Linotype" w:hAnsi="Palatino Linotype" w:cs="Tahoma"/>
          <w:i/>
        </w:rPr>
        <w:t>III. Controles de asistencia o la información magnética o electrónica de asistencia de los servidores públicos;</w:t>
      </w:r>
    </w:p>
    <w:p w:rsidR="0090033B" w:rsidRPr="00EA4E63" w:rsidRDefault="0090033B" w:rsidP="0090033B">
      <w:pPr>
        <w:tabs>
          <w:tab w:val="left" w:pos="4962"/>
        </w:tabs>
        <w:spacing w:line="360" w:lineRule="auto"/>
        <w:ind w:left="567" w:right="567"/>
        <w:contextualSpacing/>
        <w:jc w:val="both"/>
        <w:rPr>
          <w:rFonts w:ascii="Palatino Linotype" w:hAnsi="Palatino Linotype" w:cs="Tahoma"/>
          <w:i/>
        </w:rPr>
      </w:pPr>
      <w:r w:rsidRPr="00EA4E63">
        <w:rPr>
          <w:rFonts w:ascii="Palatino Linotype" w:hAnsi="Palatino Linotype" w:cs="Tahoma"/>
          <w:b/>
          <w:i/>
          <w:u w:val="single"/>
        </w:rPr>
        <w:t>IV. Recibos o las constancias de depósito o del medio de información magnética o electrónica que sean utilizadas para el pago de salarios, prima vacacional, aguinaldo y demás prestaciones establecidas en la presente ley;</w:t>
      </w:r>
      <w:r w:rsidRPr="00EA4E63">
        <w:rPr>
          <w:rFonts w:ascii="Palatino Linotype" w:hAnsi="Palatino Linotype" w:cs="Tahoma"/>
          <w:i/>
        </w:rPr>
        <w:t xml:space="preserve"> y</w:t>
      </w:r>
    </w:p>
    <w:p w:rsidR="0090033B" w:rsidRPr="00EA4E63" w:rsidRDefault="0090033B" w:rsidP="0090033B">
      <w:pPr>
        <w:tabs>
          <w:tab w:val="left" w:pos="4962"/>
        </w:tabs>
        <w:spacing w:line="360" w:lineRule="auto"/>
        <w:ind w:left="567" w:right="567"/>
        <w:contextualSpacing/>
        <w:jc w:val="both"/>
        <w:rPr>
          <w:rFonts w:ascii="Palatino Linotype" w:hAnsi="Palatino Linotype" w:cs="Tahoma"/>
          <w:i/>
        </w:rPr>
      </w:pPr>
      <w:r w:rsidRPr="00EA4E63">
        <w:rPr>
          <w:rFonts w:ascii="Palatino Linotype" w:hAnsi="Palatino Linotype" w:cs="Tahoma"/>
          <w:i/>
        </w:rPr>
        <w:t>V. Los demás que señalen las leyes.</w:t>
      </w:r>
    </w:p>
    <w:p w:rsidR="0090033B" w:rsidRPr="00EA4E63" w:rsidRDefault="0090033B" w:rsidP="0090033B">
      <w:pPr>
        <w:tabs>
          <w:tab w:val="left" w:pos="4962"/>
        </w:tabs>
        <w:spacing w:line="360" w:lineRule="auto"/>
        <w:ind w:left="567" w:right="567"/>
        <w:contextualSpacing/>
        <w:jc w:val="both"/>
        <w:rPr>
          <w:rFonts w:ascii="Palatino Linotype" w:hAnsi="Palatino Linotype" w:cs="Tahoma"/>
          <w:i/>
        </w:rPr>
      </w:pPr>
      <w:r w:rsidRPr="00EA4E63">
        <w:rPr>
          <w:rFonts w:ascii="Palatino Linotype" w:hAnsi="Palatino Linotype" w:cs="Tahoma"/>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EA4E63">
        <w:rPr>
          <w:rFonts w:ascii="Palatino Linotype" w:hAnsi="Palatino Linotype" w:cs="Tahoma"/>
          <w:i/>
        </w:rPr>
        <w:cr/>
        <w:t>…”</w:t>
      </w:r>
    </w:p>
    <w:p w:rsidR="0090033B" w:rsidRDefault="0090033B" w:rsidP="0090033B">
      <w:pPr>
        <w:tabs>
          <w:tab w:val="left" w:pos="4962"/>
        </w:tabs>
        <w:spacing w:line="360" w:lineRule="auto"/>
        <w:ind w:left="567" w:right="567"/>
        <w:contextualSpacing/>
        <w:jc w:val="both"/>
        <w:rPr>
          <w:rFonts w:ascii="Palatino Linotype" w:hAnsi="Palatino Linotype" w:cs="Tahoma"/>
        </w:rPr>
      </w:pPr>
    </w:p>
    <w:p w:rsidR="0090033B" w:rsidRPr="00E25DAA" w:rsidRDefault="0090033B" w:rsidP="0090033B">
      <w:pPr>
        <w:spacing w:line="360" w:lineRule="auto"/>
        <w:ind w:right="-91"/>
        <w:contextualSpacing/>
        <w:jc w:val="both"/>
        <w:rPr>
          <w:rFonts w:ascii="Palatino Linotype" w:eastAsia="Calibri" w:hAnsi="Palatino Linotype" w:cs="Tahoma"/>
          <w:bCs/>
          <w:sz w:val="24"/>
        </w:rPr>
      </w:pPr>
      <w:r w:rsidRPr="00E25DAA">
        <w:rPr>
          <w:rFonts w:ascii="Palatino Linotype" w:eastAsia="Calibri" w:hAnsi="Palatino Linotype" w:cs="Tahoma"/>
          <w:bCs/>
          <w:sz w:val="24"/>
        </w:rPr>
        <w:lastRenderedPageBreak/>
        <w:t>Del precepto legal citado,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90033B" w:rsidRPr="00120D28" w:rsidRDefault="0090033B" w:rsidP="0090033B">
      <w:pPr>
        <w:spacing w:line="360" w:lineRule="auto"/>
        <w:ind w:right="-93"/>
        <w:contextualSpacing/>
        <w:jc w:val="both"/>
        <w:rPr>
          <w:rFonts w:ascii="Palatino Linotype" w:eastAsia="Calibri" w:hAnsi="Palatino Linotype" w:cs="Tahoma"/>
          <w:bCs/>
        </w:rPr>
      </w:pPr>
    </w:p>
    <w:p w:rsidR="0090033B" w:rsidRPr="00120D28" w:rsidRDefault="0090033B" w:rsidP="0090033B">
      <w:pPr>
        <w:pStyle w:val="Prrafodelista"/>
        <w:numPr>
          <w:ilvl w:val="0"/>
          <w:numId w:val="35"/>
        </w:numPr>
        <w:spacing w:line="360" w:lineRule="auto"/>
        <w:ind w:right="-93"/>
        <w:contextualSpacing/>
        <w:jc w:val="both"/>
        <w:rPr>
          <w:rFonts w:ascii="Palatino Linotype" w:eastAsia="Calibri" w:hAnsi="Palatino Linotype" w:cs="Tahoma"/>
          <w:b/>
          <w:bCs/>
          <w:szCs w:val="22"/>
          <w:lang w:val="es-ES_tradnl" w:eastAsia="en-US"/>
        </w:rPr>
      </w:pPr>
      <w:r w:rsidRPr="00120D28">
        <w:rPr>
          <w:rFonts w:ascii="Palatino Linotype" w:eastAsia="Calibri" w:hAnsi="Palatino Linotype" w:cs="Tahoma"/>
          <w:b/>
          <w:bCs/>
          <w:szCs w:val="22"/>
          <w:lang w:val="es-ES_tradnl" w:eastAsia="en-US"/>
        </w:rPr>
        <w:t>Información sobre el personal de seguridad pública.</w:t>
      </w:r>
    </w:p>
    <w:p w:rsidR="0090033B" w:rsidRPr="00120D28" w:rsidRDefault="0090033B" w:rsidP="0090033B">
      <w:pPr>
        <w:spacing w:line="360" w:lineRule="auto"/>
        <w:ind w:right="-93"/>
        <w:contextualSpacing/>
        <w:jc w:val="both"/>
        <w:rPr>
          <w:rFonts w:ascii="Palatino Linotype" w:eastAsia="Calibri" w:hAnsi="Palatino Linotype" w:cs="Tahoma"/>
          <w:b/>
          <w:bCs/>
          <w:lang w:val="es-ES_tradnl"/>
        </w:rPr>
      </w:pPr>
    </w:p>
    <w:p w:rsidR="0090033B" w:rsidRPr="00E25DAA" w:rsidRDefault="0090033B" w:rsidP="0090033B">
      <w:pPr>
        <w:spacing w:line="360" w:lineRule="auto"/>
        <w:ind w:right="-93"/>
        <w:contextualSpacing/>
        <w:jc w:val="both"/>
        <w:rPr>
          <w:rFonts w:ascii="Palatino Linotype" w:eastAsia="Calibri" w:hAnsi="Palatino Linotype" w:cs="Tahoma"/>
          <w:bCs/>
          <w:i/>
          <w:sz w:val="24"/>
        </w:rPr>
      </w:pPr>
      <w:r w:rsidRPr="00E25DAA">
        <w:rPr>
          <w:rFonts w:ascii="Palatino Linotype" w:eastAsia="Calibri" w:hAnsi="Palatino Linotype" w:cs="Tahoma"/>
          <w:bCs/>
          <w:sz w:val="24"/>
        </w:rPr>
        <w:t xml:space="preserve">Finalmente, no pasa desapercibido que el Particular al solicitar </w:t>
      </w:r>
      <w:r w:rsidRPr="00E25DAA">
        <w:rPr>
          <w:rFonts w:ascii="Palatino Linotype" w:eastAsia="Calibri" w:hAnsi="Palatino Linotype" w:cs="Tahoma"/>
          <w:b/>
          <w:bCs/>
          <w:sz w:val="24"/>
        </w:rPr>
        <w:t>las remuneraciones brutas y netas de todos los servidores públicos de base uy de confianza</w:t>
      </w:r>
      <w:r w:rsidRPr="00E25DAA">
        <w:rPr>
          <w:rFonts w:ascii="Palatino Linotype" w:eastAsia="Calibri" w:hAnsi="Palatino Linotype" w:cs="Tahoma"/>
          <w:bCs/>
          <w:sz w:val="24"/>
        </w:rPr>
        <w:t>, es posible que dentro de la información solicitada, se encuentren policías; por lo que es preciso que el Sujeto Obligado en el momento de dar cumplimiento a la presente observe puntualmente lo dispuesto por  la Ley de Transparencia y Acceso a la Información Pública del Estado de México y Municipios así como los Lineamientos Generales en Materia de Clasificación y Desclasificación de la Información, así como para la Elaboración de Versiones Públicas.</w:t>
      </w:r>
    </w:p>
    <w:p w:rsidR="0090033B" w:rsidRPr="00E25DAA" w:rsidRDefault="0090033B" w:rsidP="0090033B">
      <w:pPr>
        <w:spacing w:line="360" w:lineRule="auto"/>
        <w:ind w:right="-93"/>
        <w:contextualSpacing/>
        <w:jc w:val="both"/>
        <w:rPr>
          <w:rFonts w:ascii="Palatino Linotype" w:eastAsia="Calibri" w:hAnsi="Palatino Linotype" w:cs="Tahoma"/>
          <w:bCs/>
          <w:sz w:val="24"/>
        </w:rPr>
      </w:pPr>
    </w:p>
    <w:p w:rsidR="0090033B" w:rsidRPr="00E25DAA" w:rsidRDefault="0090033B" w:rsidP="0090033B">
      <w:pPr>
        <w:spacing w:line="360" w:lineRule="auto"/>
        <w:ind w:right="-93"/>
        <w:contextualSpacing/>
        <w:jc w:val="both"/>
        <w:rPr>
          <w:rFonts w:ascii="Palatino Linotype" w:eastAsia="Calibri" w:hAnsi="Palatino Linotype" w:cs="Tahoma"/>
          <w:bCs/>
          <w:sz w:val="24"/>
        </w:rPr>
      </w:pPr>
      <w:r w:rsidRPr="00E25DAA">
        <w:rPr>
          <w:rFonts w:ascii="Palatino Linotype" w:eastAsia="Calibri" w:hAnsi="Palatino Linotype" w:cs="Tahoma"/>
          <w:bCs/>
          <w:sz w:val="24"/>
        </w:rPr>
        <w:t>Por lo que es necesario ordenar la entrega de la información del personal de seguridad pública de acuerdo a las consideraciones que a continuación se exponen.</w:t>
      </w:r>
    </w:p>
    <w:p w:rsidR="0090033B" w:rsidRPr="00120D28" w:rsidRDefault="0090033B" w:rsidP="0090033B">
      <w:pPr>
        <w:spacing w:line="360" w:lineRule="auto"/>
        <w:ind w:right="-93"/>
        <w:contextualSpacing/>
        <w:jc w:val="both"/>
        <w:rPr>
          <w:rFonts w:ascii="Palatino Linotype" w:eastAsia="Calibri" w:hAnsi="Palatino Linotype" w:cs="Tahoma"/>
          <w:bCs/>
        </w:rPr>
      </w:pPr>
    </w:p>
    <w:p w:rsidR="0090033B" w:rsidRPr="00E25DAA" w:rsidRDefault="0090033B" w:rsidP="0090033B">
      <w:pPr>
        <w:spacing w:line="360" w:lineRule="auto"/>
        <w:ind w:right="-93"/>
        <w:contextualSpacing/>
        <w:jc w:val="both"/>
        <w:rPr>
          <w:rFonts w:ascii="Palatino Linotype" w:eastAsia="Calibri" w:hAnsi="Palatino Linotype" w:cs="Tahoma"/>
          <w:bCs/>
          <w:sz w:val="24"/>
        </w:rPr>
      </w:pPr>
      <w:r w:rsidRPr="00E25DAA">
        <w:rPr>
          <w:rFonts w:ascii="Palatino Linotype" w:eastAsia="Calibri" w:hAnsi="Palatino Linotype" w:cs="Tahoma"/>
          <w:bCs/>
          <w:sz w:val="24"/>
        </w:rPr>
        <w:t>Se llevó a cabo la búsqueda en el Bando Municipal del</w:t>
      </w:r>
      <w:r w:rsidRPr="00E25DAA">
        <w:rPr>
          <w:rFonts w:ascii="Palatino Linotype" w:eastAsia="Calibri" w:hAnsi="Palatino Linotype" w:cs="Tahoma"/>
          <w:sz w:val="24"/>
        </w:rPr>
        <w:t xml:space="preserve"> Ayuntamiento de Tenango del Aire</w:t>
      </w:r>
      <w:r w:rsidRPr="00E25DAA">
        <w:rPr>
          <w:rFonts w:ascii="Palatino Linotype" w:eastAsia="Calibri" w:hAnsi="Palatino Linotype" w:cs="Tahoma"/>
          <w:bCs/>
          <w:sz w:val="24"/>
        </w:rPr>
        <w:t xml:space="preserve">, visible en </w:t>
      </w:r>
      <w:hyperlink r:id="rId12" w:history="1">
        <w:r w:rsidRPr="00E25DAA">
          <w:rPr>
            <w:rStyle w:val="Hipervnculo"/>
            <w:rFonts w:ascii="Palatino Linotype" w:eastAsiaTheme="majorEastAsia" w:hAnsi="Palatino Linotype"/>
            <w:sz w:val="24"/>
          </w:rPr>
          <w:t>http://legislacion.edomex.gob.mx/sites/legislacion.edomex.gob.mx/files/files/pdf/bdo/</w:t>
        </w:r>
        <w:r w:rsidRPr="00E25DAA">
          <w:rPr>
            <w:rStyle w:val="Hipervnculo"/>
            <w:rFonts w:ascii="Palatino Linotype" w:eastAsiaTheme="majorEastAsia" w:hAnsi="Palatino Linotype"/>
            <w:sz w:val="24"/>
          </w:rPr>
          <w:lastRenderedPageBreak/>
          <w:t>bdo2019/bdo091.pdf</w:t>
        </w:r>
      </w:hyperlink>
      <w:r w:rsidRPr="00E25DAA">
        <w:rPr>
          <w:rFonts w:ascii="Palatino Linotype" w:eastAsia="Calibri" w:hAnsi="Palatino Linotype" w:cs="Tahoma"/>
          <w:bCs/>
          <w:sz w:val="24"/>
        </w:rPr>
        <w:t xml:space="preserve">, en cuyo artículo 25 referente a la estructura orgánica de la Administración Pública Municipal, dentro de las dependencias municipales centralizadas se encuentran las </w:t>
      </w:r>
      <w:r w:rsidRPr="00E25DAA">
        <w:rPr>
          <w:rFonts w:ascii="Palatino Linotype" w:eastAsia="Calibri" w:hAnsi="Palatino Linotype" w:cs="Tahoma"/>
          <w:b/>
          <w:bCs/>
          <w:sz w:val="24"/>
        </w:rPr>
        <w:t>Dirección de Seguridad Pública y Vialidad Municipal; y la Secretaría Técnica del Consejo de Seguridad Publica.</w:t>
      </w:r>
    </w:p>
    <w:p w:rsidR="0090033B" w:rsidRPr="00120D28" w:rsidRDefault="0090033B" w:rsidP="0090033B">
      <w:pPr>
        <w:spacing w:line="360" w:lineRule="auto"/>
        <w:ind w:right="-93"/>
        <w:contextualSpacing/>
        <w:jc w:val="both"/>
        <w:rPr>
          <w:rFonts w:ascii="Palatino Linotype" w:eastAsia="Calibri" w:hAnsi="Palatino Linotype" w:cs="Tahoma"/>
          <w:bCs/>
        </w:rPr>
      </w:pPr>
    </w:p>
    <w:p w:rsidR="0090033B" w:rsidRPr="00E25DAA" w:rsidRDefault="0090033B" w:rsidP="0090033B">
      <w:pPr>
        <w:spacing w:line="360" w:lineRule="auto"/>
        <w:ind w:right="-93"/>
        <w:contextualSpacing/>
        <w:jc w:val="both"/>
        <w:rPr>
          <w:rFonts w:ascii="Palatino Linotype" w:eastAsia="Calibri" w:hAnsi="Palatino Linotype" w:cs="Tahoma"/>
          <w:bCs/>
          <w:sz w:val="24"/>
        </w:rPr>
      </w:pPr>
      <w:r w:rsidRPr="00E25DAA">
        <w:rPr>
          <w:rFonts w:ascii="Palatino Linotype" w:eastAsia="Calibri" w:hAnsi="Palatino Linotype" w:cs="Tahoma"/>
          <w:bCs/>
          <w:sz w:val="24"/>
        </w:rPr>
        <w:t xml:space="preserve">Por su parte, el artículo 293  del mismo Bando, señala a la </w:t>
      </w:r>
      <w:r w:rsidRPr="00E25DAA">
        <w:rPr>
          <w:rFonts w:ascii="Palatino Linotype" w:eastAsia="Calibri" w:hAnsi="Palatino Linotype" w:cs="Tahoma"/>
          <w:b/>
          <w:bCs/>
          <w:sz w:val="24"/>
        </w:rPr>
        <w:t>Dirección de Seguridad Pública y Vialidad Municipal</w:t>
      </w:r>
      <w:r w:rsidRPr="00E25DAA">
        <w:rPr>
          <w:rFonts w:ascii="Palatino Linotype" w:eastAsia="Calibri" w:hAnsi="Palatino Linotype" w:cs="Tahoma"/>
          <w:bCs/>
          <w:sz w:val="24"/>
        </w:rPr>
        <w:t xml:space="preserve">, como el órgano destinado a mantener la tranquilidad y el orden </w:t>
      </w:r>
      <w:r w:rsidR="00E25DAA" w:rsidRPr="00E25DAA">
        <w:rPr>
          <w:rFonts w:ascii="Palatino Linotype" w:eastAsia="Calibri" w:hAnsi="Palatino Linotype" w:cs="Tahoma"/>
          <w:bCs/>
          <w:sz w:val="24"/>
        </w:rPr>
        <w:t>público</w:t>
      </w:r>
      <w:r w:rsidRPr="00E25DAA">
        <w:rPr>
          <w:rFonts w:ascii="Palatino Linotype" w:eastAsia="Calibri" w:hAnsi="Palatino Linotype" w:cs="Tahoma"/>
          <w:bCs/>
          <w:sz w:val="24"/>
        </w:rPr>
        <w:t xml:space="preserve"> dentro del territorio municipal, teniendo como funciones la vigilancia y defensa a fin de prevenir y evitar delitos.</w:t>
      </w:r>
    </w:p>
    <w:p w:rsidR="0090033B" w:rsidRPr="00120D28" w:rsidRDefault="0090033B" w:rsidP="00D6480E">
      <w:pPr>
        <w:pStyle w:val="Sinespaciado"/>
      </w:pPr>
    </w:p>
    <w:p w:rsidR="005F46FC" w:rsidRPr="005F46FC" w:rsidRDefault="005F46FC" w:rsidP="005F46FC">
      <w:pPr>
        <w:pStyle w:val="Sinespaciado"/>
        <w:spacing w:line="360" w:lineRule="auto"/>
        <w:jc w:val="both"/>
        <w:rPr>
          <w:rFonts w:ascii="Palatino Linotype" w:hAnsi="Palatino Linotype"/>
          <w:sz w:val="24"/>
        </w:rPr>
      </w:pPr>
      <w:r w:rsidRPr="005F46FC">
        <w:rPr>
          <w:rFonts w:ascii="Palatino Linotype" w:hAnsi="Palatino Linotype"/>
          <w:sz w:val="24"/>
        </w:rPr>
        <w:t xml:space="preserve">Asimismo, a </w:t>
      </w:r>
      <w:r w:rsidRPr="005F46FC">
        <w:rPr>
          <w:rFonts w:ascii="Palatino Linotype" w:hAnsi="Palatino Linotype"/>
          <w:b/>
          <w:sz w:val="24"/>
          <w:u w:val="single"/>
        </w:rPr>
        <w:t xml:space="preserve">fin de salvaguardar la información de los servidores públicos que prestan sus servicios </w:t>
      </w:r>
      <w:r w:rsidRPr="005F46FC">
        <w:rPr>
          <w:rFonts w:ascii="Palatino Linotype" w:hAnsi="Palatino Linotype" w:cs="Arial"/>
          <w:b/>
          <w:color w:val="000000" w:themeColor="text1"/>
          <w:sz w:val="24"/>
          <w:u w:val="single"/>
        </w:rPr>
        <w:t>de Seguridad Pública</w:t>
      </w:r>
      <w:r w:rsidRPr="005F46FC">
        <w:rPr>
          <w:rFonts w:ascii="Palatino Linotype" w:hAnsi="Palatino Linotype"/>
          <w:b/>
          <w:sz w:val="24"/>
          <w:u w:val="single"/>
        </w:rPr>
        <w:t>, los datos correspondientes al personal adscrito a esta área deberán ser entregados de forma disociada y testando el nombre de los policías, con el objeto de no identificar al servidor público con su cargo y sueldo</w:t>
      </w:r>
      <w:r w:rsidRPr="005F46FC">
        <w:rPr>
          <w:rFonts w:ascii="Palatino Linotype" w:hAnsi="Palatino Linotype"/>
          <w:sz w:val="24"/>
        </w:rPr>
        <w:t>, tal y como se establece en el artículo 52, de la Ley de Transparencia y Acceso a la Información Pública del Estado de México y Municipios, que a la letra dispone lo siguiente:</w:t>
      </w:r>
    </w:p>
    <w:p w:rsidR="005F46FC" w:rsidRPr="002931AC" w:rsidRDefault="005F46FC" w:rsidP="005F46FC">
      <w:pPr>
        <w:pStyle w:val="Sinespaciado"/>
      </w:pPr>
    </w:p>
    <w:p w:rsidR="005F46FC" w:rsidRDefault="005F46FC" w:rsidP="005F46FC">
      <w:pPr>
        <w:pStyle w:val="Sinespaciado"/>
        <w:ind w:left="567" w:right="567"/>
        <w:jc w:val="both"/>
        <w:rPr>
          <w:rFonts w:ascii="Palatino Linotype" w:hAnsi="Palatino Linotype"/>
          <w:i/>
        </w:rPr>
      </w:pPr>
      <w:r w:rsidRPr="002931AC">
        <w:rPr>
          <w:rFonts w:ascii="Palatino Linotype" w:hAnsi="Palatino Linotype"/>
          <w:b/>
          <w:bCs/>
          <w:i/>
        </w:rPr>
        <w:t xml:space="preserve">Artículo 52. </w:t>
      </w:r>
      <w:r w:rsidRPr="002931AC">
        <w:rPr>
          <w:rFonts w:ascii="Palatino Linotype" w:hAnsi="Palatino Linotype"/>
          <w:i/>
        </w:rPr>
        <w:t xml:space="preserve">Las solicitudes de acceso a la información y las respuestas que se les dé, incluyendo, en su caso, la información entregada, así como las resoluciones a los recursos que en su caso se promuevan serán públicas, y </w:t>
      </w:r>
      <w:r w:rsidRPr="002931AC">
        <w:rPr>
          <w:rFonts w:ascii="Palatino Linotype" w:hAnsi="Palatino Linotype"/>
          <w:i/>
          <w:u w:val="single"/>
        </w:rPr>
        <w:t xml:space="preserve">de ser el caso que contenga datos personales que deban ser protegidos se podrá dar su acceso en su versión pública, siempre y cuando la resolución de referencia </w:t>
      </w:r>
      <w:r w:rsidRPr="002931AC">
        <w:rPr>
          <w:rFonts w:ascii="Palatino Linotype" w:hAnsi="Palatino Linotype"/>
          <w:b/>
          <w:i/>
          <w:u w:val="single"/>
        </w:rPr>
        <w:t>se someta a un proceso de disociación</w:t>
      </w:r>
      <w:r w:rsidRPr="002931AC">
        <w:rPr>
          <w:rFonts w:ascii="Palatino Linotype" w:hAnsi="Palatino Linotype"/>
          <w:i/>
          <w:u w:val="single"/>
        </w:rPr>
        <w:t>, es decir, no haga identificable al titular de tales datos personales</w:t>
      </w:r>
      <w:r w:rsidRPr="002931AC">
        <w:rPr>
          <w:rFonts w:ascii="Palatino Linotype" w:hAnsi="Palatino Linotype"/>
          <w:i/>
        </w:rPr>
        <w:t>.</w:t>
      </w:r>
    </w:p>
    <w:p w:rsidR="005F46FC" w:rsidRDefault="005F46FC" w:rsidP="005F46FC">
      <w:pPr>
        <w:pStyle w:val="Sinespaciado"/>
        <w:spacing w:line="360" w:lineRule="auto"/>
        <w:jc w:val="both"/>
        <w:rPr>
          <w:rFonts w:ascii="Palatino Linotype" w:hAnsi="Palatino Linotype"/>
        </w:rPr>
      </w:pPr>
    </w:p>
    <w:p w:rsidR="005F46FC" w:rsidRPr="005F46FC" w:rsidRDefault="005F46FC" w:rsidP="005F46FC">
      <w:pPr>
        <w:pStyle w:val="Sinespaciado"/>
        <w:spacing w:line="360" w:lineRule="auto"/>
        <w:jc w:val="both"/>
        <w:rPr>
          <w:rFonts w:ascii="Palatino Linotype" w:hAnsi="Palatino Linotype"/>
          <w:sz w:val="24"/>
        </w:rPr>
      </w:pPr>
      <w:r w:rsidRPr="005F46FC">
        <w:rPr>
          <w:rFonts w:ascii="Palatino Linotype" w:hAnsi="Palatino Linotype"/>
          <w:sz w:val="24"/>
        </w:rPr>
        <w:t xml:space="preserve">Lo anterior, considerando que el número de Habitantes del Municipio de </w:t>
      </w:r>
      <w:r w:rsidR="00BE12A1">
        <w:rPr>
          <w:rFonts w:ascii="Palatino Linotype" w:hAnsi="Palatino Linotype"/>
          <w:sz w:val="24"/>
        </w:rPr>
        <w:t>Tenango del Aire</w:t>
      </w:r>
      <w:r w:rsidRPr="005F46FC">
        <w:rPr>
          <w:rFonts w:ascii="Palatino Linotype" w:hAnsi="Palatino Linotype"/>
          <w:sz w:val="24"/>
        </w:rPr>
        <w:t xml:space="preserve">, asciende a </w:t>
      </w:r>
      <w:r w:rsidR="00BE12A1">
        <w:rPr>
          <w:rFonts w:ascii="Palatino Linotype" w:hAnsi="Palatino Linotype"/>
          <w:sz w:val="24"/>
        </w:rPr>
        <w:t>12,470</w:t>
      </w:r>
      <w:r w:rsidRPr="005F46FC">
        <w:rPr>
          <w:rFonts w:ascii="Palatino Linotype" w:hAnsi="Palatino Linotype"/>
          <w:sz w:val="24"/>
        </w:rPr>
        <w:t xml:space="preserve"> (</w:t>
      </w:r>
      <w:r w:rsidR="00BE12A1">
        <w:rPr>
          <w:rFonts w:ascii="Palatino Linotype" w:hAnsi="Palatino Linotype"/>
          <w:sz w:val="24"/>
        </w:rPr>
        <w:t>doce mil cuatrocientos setenta</w:t>
      </w:r>
      <w:r w:rsidRPr="005F46FC">
        <w:rPr>
          <w:rFonts w:ascii="Palatino Linotype" w:hAnsi="Palatino Linotype"/>
          <w:sz w:val="24"/>
        </w:rPr>
        <w:t xml:space="preserve">), de conformidad con el último </w:t>
      </w:r>
      <w:r w:rsidRPr="005F46FC">
        <w:rPr>
          <w:rFonts w:ascii="Palatino Linotype" w:hAnsi="Palatino Linotype"/>
          <w:sz w:val="24"/>
        </w:rPr>
        <w:lastRenderedPageBreak/>
        <w:t>censo elaborado por el Instituto Nacional de Estadística y Geografía (INEGI), en al año 2015, como se muestra en la página oficial de dicho Instituto</w:t>
      </w:r>
      <w:r w:rsidRPr="005F46FC">
        <w:rPr>
          <w:rStyle w:val="Refdenotaalpie"/>
          <w:rFonts w:ascii="Palatino Linotype" w:hAnsi="Palatino Linotype"/>
          <w:sz w:val="24"/>
        </w:rPr>
        <w:footnoteReference w:id="2"/>
      </w:r>
      <w:r w:rsidRPr="005F46FC">
        <w:rPr>
          <w:rFonts w:ascii="Palatino Linotype" w:hAnsi="Palatino Linotype"/>
          <w:sz w:val="24"/>
        </w:rPr>
        <w:t>.</w:t>
      </w:r>
    </w:p>
    <w:p w:rsidR="0090033B" w:rsidRDefault="0090033B" w:rsidP="00EC395C">
      <w:pPr>
        <w:pStyle w:val="Sinespaciado"/>
        <w:rPr>
          <w:lang w:eastAsia="es-ES_tradnl"/>
        </w:rPr>
      </w:pPr>
    </w:p>
    <w:p w:rsidR="00EC395C" w:rsidRDefault="00EC395C" w:rsidP="00EC395C">
      <w:pPr>
        <w:tabs>
          <w:tab w:val="left" w:pos="4962"/>
        </w:tabs>
        <w:spacing w:line="360" w:lineRule="auto"/>
        <w:contextualSpacing/>
        <w:jc w:val="both"/>
        <w:rPr>
          <w:rFonts w:ascii="Palatino Linotype" w:hAnsi="Palatino Linotype" w:cs="Tahoma"/>
          <w:sz w:val="24"/>
          <w:lang w:val="es-ES"/>
        </w:rPr>
      </w:pPr>
      <w:r w:rsidRPr="00EC395C">
        <w:rPr>
          <w:rFonts w:ascii="Palatino Linotype" w:eastAsia="Calibri" w:hAnsi="Palatino Linotype" w:cs="Tahoma"/>
          <w:bCs/>
          <w:sz w:val="24"/>
        </w:rPr>
        <w:t>En este contexto</w:t>
      </w:r>
      <w:r w:rsidRPr="00EC395C">
        <w:rPr>
          <w:rFonts w:ascii="Palatino Linotype" w:hAnsi="Palatino Linotype" w:cs="Tahoma"/>
          <w:sz w:val="24"/>
          <w:lang w:val="es-ES"/>
        </w:rPr>
        <w:t>, el artículo 140, fracción</w:t>
      </w:r>
      <w:r w:rsidR="00AD153F">
        <w:rPr>
          <w:rFonts w:ascii="Palatino Linotype" w:hAnsi="Palatino Linotype" w:cs="Tahoma"/>
          <w:sz w:val="24"/>
          <w:lang w:val="es-ES"/>
        </w:rPr>
        <w:t xml:space="preserve"> I y</w:t>
      </w:r>
      <w:r w:rsidRPr="00EC395C">
        <w:rPr>
          <w:rFonts w:ascii="Palatino Linotype" w:hAnsi="Palatino Linotype" w:cs="Tahoma"/>
          <w:sz w:val="24"/>
          <w:lang w:val="es-ES"/>
        </w:rPr>
        <w:t xml:space="preserve"> IV, de la Ley de Transparencia y Acceso a la Información Pública del Estado de México y Municipios, dispone que el acceso a la información pública será restringido excepcionalmente, cuando ponga en riesgo la vida, la seguridad o la salud de una persona física.</w:t>
      </w:r>
    </w:p>
    <w:p w:rsidR="00EC395C" w:rsidRDefault="00EC395C" w:rsidP="00EC395C">
      <w:pPr>
        <w:pStyle w:val="Sinespaciado"/>
        <w:rPr>
          <w:lang w:val="es-ES"/>
        </w:rPr>
      </w:pPr>
    </w:p>
    <w:p w:rsidR="00EC395C" w:rsidRDefault="00EC395C" w:rsidP="00EC395C">
      <w:pPr>
        <w:tabs>
          <w:tab w:val="left" w:pos="4962"/>
        </w:tabs>
        <w:spacing w:line="360" w:lineRule="auto"/>
        <w:contextualSpacing/>
        <w:jc w:val="both"/>
        <w:rPr>
          <w:rFonts w:ascii="Palatino Linotype" w:hAnsi="Palatino Linotype" w:cs="Tahoma"/>
          <w:sz w:val="24"/>
          <w:lang w:val="es-ES"/>
        </w:rPr>
      </w:pPr>
      <w:r w:rsidRPr="00EC395C">
        <w:rPr>
          <w:rFonts w:ascii="Palatino Linotype" w:hAnsi="Palatino Linotype" w:cs="Tahoma"/>
          <w:sz w:val="24"/>
          <w:lang w:val="es-ES"/>
        </w:rPr>
        <w:t>En ese sentido, hacer identificable a un servidor público que realiza funciones tendientes a garantizar de manera directa la seguridad pública, pone en riesgo su vida, su seguridad o su salud, por lo que el nombre de un policía, si bien es información de naturaleza pública, dado el contexto que actualmente vive la Entidad, es susceptible de clasificarse como reservado en términos del artículo 140, fracción</w:t>
      </w:r>
      <w:r w:rsidR="00AD153F">
        <w:rPr>
          <w:rFonts w:ascii="Palatino Linotype" w:hAnsi="Palatino Linotype" w:cs="Tahoma"/>
          <w:sz w:val="24"/>
          <w:lang w:val="es-ES"/>
        </w:rPr>
        <w:t xml:space="preserve"> I y</w:t>
      </w:r>
      <w:r w:rsidRPr="00EC395C">
        <w:rPr>
          <w:rFonts w:ascii="Palatino Linotype" w:hAnsi="Palatino Linotype" w:cs="Tahoma"/>
          <w:sz w:val="24"/>
          <w:lang w:val="es-ES"/>
        </w:rPr>
        <w:t xml:space="preserve"> IV, de la Ley de Transparencia y Acceso a la Información Pública del Estado de México y Municipios</w:t>
      </w:r>
    </w:p>
    <w:p w:rsidR="00EC395C" w:rsidRDefault="00EC395C" w:rsidP="00EC395C">
      <w:pPr>
        <w:tabs>
          <w:tab w:val="left" w:pos="4962"/>
        </w:tabs>
        <w:spacing w:line="360" w:lineRule="auto"/>
        <w:contextualSpacing/>
        <w:jc w:val="both"/>
        <w:rPr>
          <w:rFonts w:ascii="Palatino Linotype" w:hAnsi="Palatino Linotype" w:cs="Tahoma"/>
          <w:sz w:val="24"/>
          <w:lang w:val="es-ES"/>
        </w:rPr>
      </w:pPr>
    </w:p>
    <w:p w:rsidR="00EC395C" w:rsidRDefault="00D6480E" w:rsidP="00EC395C">
      <w:pPr>
        <w:tabs>
          <w:tab w:val="left" w:pos="4962"/>
        </w:tabs>
        <w:spacing w:line="360" w:lineRule="auto"/>
        <w:contextualSpacing/>
        <w:jc w:val="both"/>
        <w:rPr>
          <w:rFonts w:ascii="Palatino Linotype" w:hAnsi="Palatino Linotype" w:cs="Tahoma"/>
          <w:sz w:val="24"/>
          <w:lang w:val="es-ES"/>
        </w:rPr>
      </w:pPr>
      <w:r w:rsidRPr="00D6480E">
        <w:rPr>
          <w:rFonts w:ascii="Palatino Linotype" w:hAnsi="Palatino Linotype" w:cs="Tahoma"/>
          <w:sz w:val="24"/>
          <w:lang w:val="es-ES"/>
        </w:rPr>
        <w:t xml:space="preserve">Por tanto, si bien el nombre de los policías del Ayuntamiento actualiza el supuesto de reserva establecido en el artículo 140, </w:t>
      </w:r>
      <w:r w:rsidR="00AD153F" w:rsidRPr="00AD153F">
        <w:rPr>
          <w:rFonts w:ascii="Palatino Linotype" w:hAnsi="Palatino Linotype" w:cs="Tahoma"/>
          <w:sz w:val="24"/>
          <w:lang w:val="es-ES"/>
        </w:rPr>
        <w:t>fracción I y IV</w:t>
      </w:r>
      <w:r w:rsidRPr="00D6480E">
        <w:rPr>
          <w:rFonts w:ascii="Palatino Linotype" w:hAnsi="Palatino Linotype" w:cs="Tahoma"/>
          <w:sz w:val="24"/>
          <w:lang w:val="es-ES"/>
        </w:rPr>
        <w:t>, de la Ley de Transparencia y Acceso a la Información Pública del Estado de México y Municipios, lo cierto es que el cargo y las percepciones de los servidores públicos son de carácter público, tal como lo señala el artículo 92, fracción VIII, de la Ley en cita.</w:t>
      </w:r>
    </w:p>
    <w:p w:rsidR="00EC395C" w:rsidRPr="00EC395C" w:rsidRDefault="00EC395C" w:rsidP="00EC395C">
      <w:pPr>
        <w:tabs>
          <w:tab w:val="left" w:pos="4962"/>
        </w:tabs>
        <w:spacing w:line="360" w:lineRule="auto"/>
        <w:contextualSpacing/>
        <w:jc w:val="both"/>
        <w:rPr>
          <w:rFonts w:ascii="Palatino Linotype" w:hAnsi="Palatino Linotype" w:cs="Tahoma"/>
          <w:sz w:val="24"/>
          <w:lang w:val="es-ES"/>
        </w:rPr>
      </w:pPr>
      <w:r w:rsidRPr="00EC395C">
        <w:rPr>
          <w:rFonts w:ascii="Palatino Linotype" w:hAnsi="Palatino Linotype" w:cs="Tahoma"/>
          <w:sz w:val="24"/>
          <w:lang w:val="es-ES"/>
        </w:rPr>
        <w:t xml:space="preserve"> </w:t>
      </w:r>
    </w:p>
    <w:p w:rsidR="00EC395C" w:rsidRPr="00120D28" w:rsidRDefault="00EC395C" w:rsidP="0090033B">
      <w:pPr>
        <w:spacing w:line="360" w:lineRule="auto"/>
        <w:ind w:right="-93"/>
        <w:jc w:val="both"/>
        <w:rPr>
          <w:rFonts w:ascii="Palatino Linotype" w:eastAsia="Calibri" w:hAnsi="Palatino Linotype" w:cs="Tahoma"/>
          <w:iCs/>
          <w:lang w:eastAsia="es-ES_tradnl"/>
        </w:rPr>
      </w:pPr>
    </w:p>
    <w:p w:rsidR="0090033B" w:rsidRDefault="0090033B" w:rsidP="0090033B">
      <w:pPr>
        <w:pStyle w:val="Prrafodelista"/>
        <w:numPr>
          <w:ilvl w:val="0"/>
          <w:numId w:val="36"/>
        </w:numPr>
        <w:spacing w:line="360" w:lineRule="auto"/>
        <w:ind w:right="-93"/>
        <w:contextualSpacing/>
        <w:jc w:val="both"/>
        <w:rPr>
          <w:rFonts w:ascii="Palatino Linotype" w:eastAsia="Calibri" w:hAnsi="Palatino Linotype" w:cs="Tahoma"/>
          <w:b/>
          <w:iCs/>
          <w:szCs w:val="22"/>
          <w:lang w:eastAsia="es-ES_tradnl"/>
        </w:rPr>
      </w:pPr>
      <w:r w:rsidRPr="00120D28">
        <w:rPr>
          <w:rFonts w:ascii="Palatino Linotype" w:eastAsia="Calibri" w:hAnsi="Palatino Linotype" w:cs="Tahoma"/>
          <w:b/>
          <w:iCs/>
          <w:szCs w:val="22"/>
          <w:lang w:eastAsia="es-ES_tradnl"/>
        </w:rPr>
        <w:lastRenderedPageBreak/>
        <w:t>LOS GASTOS DE REPRESENTACIÓN Y VIÁTICOS, ASÍ COMO EL OBJETO E INFORME DE COMISIÓN CORRESPONDIENTE</w:t>
      </w:r>
      <w:r>
        <w:rPr>
          <w:rFonts w:ascii="Palatino Linotype" w:eastAsia="Calibri" w:hAnsi="Palatino Linotype" w:cs="Tahoma"/>
          <w:b/>
          <w:iCs/>
          <w:szCs w:val="22"/>
          <w:lang w:eastAsia="es-ES_tradnl"/>
        </w:rPr>
        <w:t>.</w:t>
      </w:r>
    </w:p>
    <w:p w:rsidR="0090033B" w:rsidRPr="001F432F" w:rsidRDefault="0090033B" w:rsidP="0090033B">
      <w:pPr>
        <w:pStyle w:val="Prrafodelista"/>
        <w:spacing w:line="360" w:lineRule="auto"/>
        <w:ind w:right="-93"/>
        <w:jc w:val="both"/>
        <w:rPr>
          <w:rFonts w:ascii="Palatino Linotype" w:eastAsia="Calibri" w:hAnsi="Palatino Linotype" w:cs="Tahoma"/>
          <w:b/>
          <w:iCs/>
          <w:sz w:val="28"/>
          <w:szCs w:val="22"/>
          <w:lang w:eastAsia="es-ES_tradnl"/>
        </w:rPr>
      </w:pPr>
    </w:p>
    <w:p w:rsidR="0090033B" w:rsidRPr="001F432F" w:rsidRDefault="0090033B" w:rsidP="0090033B">
      <w:pPr>
        <w:spacing w:line="360" w:lineRule="auto"/>
        <w:ind w:right="-93"/>
        <w:jc w:val="both"/>
        <w:rPr>
          <w:rFonts w:ascii="Palatino Linotype" w:eastAsia="Calibri" w:hAnsi="Palatino Linotype" w:cs="Tahoma"/>
          <w:iCs/>
          <w:sz w:val="24"/>
          <w:lang w:eastAsia="es-ES_tradnl"/>
        </w:rPr>
      </w:pPr>
      <w:r w:rsidRPr="001F432F">
        <w:rPr>
          <w:rFonts w:ascii="Palatino Linotype" w:eastAsia="Calibri" w:hAnsi="Palatino Linotype" w:cs="Tahoma"/>
          <w:iCs/>
          <w:sz w:val="24"/>
          <w:lang w:eastAsia="es-ES_tradnl"/>
        </w:rPr>
        <w:t>Ahora bien, por lo que respecta a los gastos de representación y viáticos, se precisa, que esta información también resulta de carácter público, ya que en términos del artículo 92 fracción IX se prevé que los gastos de representación y viáticos, así como el objeto e informe de la comisión correspondiente, es información publica y por lo tanto, el Sujeto Obligado se encuentra constreñido a poner a disposición del público de manera permanente y actualizada los documentos que den cuenta de la misma.</w:t>
      </w:r>
    </w:p>
    <w:p w:rsidR="0090033B" w:rsidRDefault="0090033B" w:rsidP="001F432F">
      <w:pPr>
        <w:pStyle w:val="Sinespaciado"/>
        <w:rPr>
          <w:lang w:eastAsia="es-ES_tradnl"/>
        </w:rPr>
      </w:pPr>
    </w:p>
    <w:p w:rsidR="0090033B" w:rsidRPr="001F432F" w:rsidRDefault="0090033B" w:rsidP="0090033B">
      <w:pPr>
        <w:spacing w:line="360" w:lineRule="auto"/>
        <w:ind w:right="-93"/>
        <w:jc w:val="both"/>
        <w:rPr>
          <w:rFonts w:ascii="Palatino Linotype" w:eastAsia="Calibri" w:hAnsi="Palatino Linotype" w:cs="Tahoma"/>
          <w:bCs/>
          <w:i/>
          <w:iCs/>
          <w:sz w:val="24"/>
          <w:lang w:val="es-ES" w:eastAsia="es-ES_tradnl"/>
        </w:rPr>
      </w:pPr>
      <w:r w:rsidRPr="001F432F">
        <w:rPr>
          <w:rFonts w:ascii="Palatino Linotype" w:eastAsia="Calibri" w:hAnsi="Palatino Linotype" w:cs="Tahoma"/>
          <w:iCs/>
          <w:sz w:val="24"/>
          <w:lang w:eastAsia="es-ES_tradnl"/>
        </w:rPr>
        <w:t xml:space="preserve">Bajo esta directriz, durante el análisis al presente asunto, se vistió el sitio </w:t>
      </w:r>
      <w:r w:rsidRPr="001F432F">
        <w:rPr>
          <w:rFonts w:ascii="Palatino Linotype" w:eastAsia="Calibri" w:hAnsi="Palatino Linotype" w:cs="Tahoma"/>
          <w:iCs/>
          <w:sz w:val="24"/>
          <w:lang w:val="es-ES" w:eastAsia="es-ES_tradnl"/>
        </w:rPr>
        <w:t xml:space="preserve">Información Pública de Oficio Mexiquense (Ipomex) a fin de verificar si la información se encontraba publicada, al respecto se inserta impresión de pantalla de los apartados correspondientes a </w:t>
      </w:r>
      <w:r w:rsidRPr="001F432F">
        <w:rPr>
          <w:rFonts w:ascii="Palatino Linotype" w:eastAsia="Calibri" w:hAnsi="Palatino Linotype" w:cs="Tahoma"/>
          <w:bCs/>
          <w:i/>
          <w:iCs/>
          <w:sz w:val="24"/>
          <w:lang w:val="es-ES" w:eastAsia="es-ES_tradnl"/>
        </w:rPr>
        <w:t>“Gastos por concepto de viáticos y gastos de representación”:</w:t>
      </w:r>
    </w:p>
    <w:p w:rsidR="0090033B" w:rsidRDefault="000F404B" w:rsidP="0090033B">
      <w:pPr>
        <w:spacing w:line="360" w:lineRule="auto"/>
        <w:ind w:right="-93"/>
        <w:jc w:val="both"/>
        <w:rPr>
          <w:rFonts w:ascii="Palatino Linotype" w:eastAsia="Calibri" w:hAnsi="Palatino Linotype" w:cs="Tahoma"/>
          <w:bCs/>
          <w:i/>
          <w:iCs/>
          <w:lang w:val="es-ES" w:eastAsia="es-ES_tradnl"/>
        </w:rPr>
      </w:pPr>
      <w:r>
        <w:rPr>
          <w:rFonts w:ascii="Palatino Linotype" w:eastAsia="Calibri" w:hAnsi="Palatino Linotype" w:cs="Tahoma"/>
          <w:bCs/>
          <w:i/>
          <w:iCs/>
          <w:noProof/>
          <w:lang w:eastAsia="es-MX"/>
        </w:rPr>
        <mc:AlternateContent>
          <mc:Choice Requires="wps">
            <w:drawing>
              <wp:anchor distT="0" distB="0" distL="114300" distR="114300" simplePos="0" relativeHeight="251659264" behindDoc="0" locked="0" layoutInCell="1" allowOverlap="1">
                <wp:simplePos x="0" y="0"/>
                <wp:positionH relativeFrom="column">
                  <wp:posOffset>231830</wp:posOffset>
                </wp:positionH>
                <wp:positionV relativeFrom="paragraph">
                  <wp:posOffset>134454</wp:posOffset>
                </wp:positionV>
                <wp:extent cx="5629524" cy="1423284"/>
                <wp:effectExtent l="0" t="0" r="28575" b="24765"/>
                <wp:wrapNone/>
                <wp:docPr id="7" name="Conector recto 7"/>
                <wp:cNvGraphicFramePr/>
                <a:graphic xmlns:a="http://schemas.openxmlformats.org/drawingml/2006/main">
                  <a:graphicData uri="http://schemas.microsoft.com/office/word/2010/wordprocessingShape">
                    <wps:wsp>
                      <wps:cNvCnPr/>
                      <wps:spPr>
                        <a:xfrm>
                          <a:off x="0" y="0"/>
                          <a:ext cx="5629524" cy="14232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F042C2"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25pt,10.6pt" to="461.5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" strokecolor="black [3200]" strokeweight=".5pt">
                <v:stroke joinstyle="miter"/>
              </v:line>
            </w:pict>
          </mc:Fallback>
        </mc:AlternateContent>
      </w:r>
    </w:p>
    <w:p w:rsidR="0090033B" w:rsidRDefault="0090033B" w:rsidP="0090033B">
      <w:pPr>
        <w:spacing w:line="360" w:lineRule="auto"/>
        <w:ind w:right="-93"/>
        <w:jc w:val="center"/>
        <w:rPr>
          <w:rFonts w:ascii="Palatino Linotype" w:eastAsia="Calibri" w:hAnsi="Palatino Linotype" w:cs="Tahoma"/>
          <w:bCs/>
          <w:i/>
          <w:iCs/>
          <w:lang w:val="es-ES" w:eastAsia="es-ES_tradnl"/>
        </w:rPr>
      </w:pPr>
      <w:r w:rsidRPr="00120D28">
        <w:rPr>
          <w:rFonts w:ascii="Palatino Linotype" w:hAnsi="Palatino Linotype"/>
          <w:noProof/>
          <w:lang w:eastAsia="es-MX"/>
        </w:rPr>
        <w:lastRenderedPageBreak/>
        <w:drawing>
          <wp:inline distT="0" distB="0" distL="0" distR="0" wp14:anchorId="097AFCF5" wp14:editId="4E46EE76">
            <wp:extent cx="4532244" cy="4665096"/>
            <wp:effectExtent l="0" t="0" r="1905"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057" t="15073" r="31241" b="6783"/>
                    <a:stretch/>
                  </pic:blipFill>
                  <pic:spPr bwMode="auto">
                    <a:xfrm>
                      <a:off x="0" y="0"/>
                      <a:ext cx="4546720" cy="4679996"/>
                    </a:xfrm>
                    <a:prstGeom prst="rect">
                      <a:avLst/>
                    </a:prstGeom>
                    <a:ln>
                      <a:noFill/>
                    </a:ln>
                    <a:extLst>
                      <a:ext uri="{53640926-AAD7-44D8-BBD7-CCE9431645EC}">
                        <a14:shadowObscured xmlns:a14="http://schemas.microsoft.com/office/drawing/2010/main"/>
                      </a:ext>
                    </a:extLst>
                  </pic:spPr>
                </pic:pic>
              </a:graphicData>
            </a:graphic>
          </wp:inline>
        </w:drawing>
      </w:r>
    </w:p>
    <w:p w:rsidR="0090033B" w:rsidRPr="001F432F" w:rsidRDefault="0090033B" w:rsidP="0090033B">
      <w:pPr>
        <w:spacing w:line="360" w:lineRule="auto"/>
        <w:ind w:right="-93"/>
        <w:jc w:val="center"/>
        <w:rPr>
          <w:rFonts w:ascii="Palatino Linotype" w:hAnsi="Palatino Linotype"/>
          <w:sz w:val="24"/>
        </w:rPr>
      </w:pPr>
      <w:r w:rsidRPr="001F432F">
        <w:rPr>
          <w:rFonts w:ascii="Palatino Linotype" w:eastAsia="Calibri" w:hAnsi="Palatino Linotype" w:cs="Tahoma"/>
          <w:bCs/>
          <w:iCs/>
          <w:sz w:val="24"/>
          <w:lang w:val="es-ES" w:eastAsia="es-ES_tradnl"/>
        </w:rPr>
        <w:t xml:space="preserve">(Imagen extraída del sitio Información Pública de Oficio Mexiquense (Ipomex), véase: </w:t>
      </w:r>
      <w:hyperlink r:id="rId14" w:history="1">
        <w:r w:rsidRPr="001F432F">
          <w:rPr>
            <w:rStyle w:val="Hipervnculo"/>
            <w:rFonts w:ascii="Palatino Linotype" w:eastAsiaTheme="majorEastAsia" w:hAnsi="Palatino Linotype"/>
            <w:sz w:val="24"/>
          </w:rPr>
          <w:t>https://www.ipomex.org.mx/ipo3/lgt/indice/TENANGODELAIRE/art_92_ix.web</w:t>
        </w:r>
      </w:hyperlink>
      <w:r w:rsidRPr="001F432F">
        <w:rPr>
          <w:rFonts w:ascii="Palatino Linotype" w:hAnsi="Palatino Linotype"/>
          <w:sz w:val="24"/>
        </w:rPr>
        <w:t>)</w:t>
      </w:r>
    </w:p>
    <w:p w:rsidR="0090033B" w:rsidRPr="001F432F" w:rsidRDefault="0090033B" w:rsidP="0090033B">
      <w:pPr>
        <w:spacing w:line="360" w:lineRule="auto"/>
        <w:ind w:right="-93"/>
        <w:jc w:val="center"/>
        <w:rPr>
          <w:rFonts w:ascii="Palatino Linotype" w:eastAsia="Calibri" w:hAnsi="Palatino Linotype" w:cs="Tahoma"/>
          <w:bCs/>
          <w:iCs/>
          <w:sz w:val="24"/>
          <w:lang w:val="es-ES" w:eastAsia="es-ES_tradnl"/>
        </w:rPr>
      </w:pPr>
    </w:p>
    <w:p w:rsidR="0090033B" w:rsidRPr="001F432F" w:rsidRDefault="0090033B" w:rsidP="0090033B">
      <w:pPr>
        <w:spacing w:line="360" w:lineRule="auto"/>
        <w:ind w:right="-93"/>
        <w:jc w:val="both"/>
        <w:rPr>
          <w:rFonts w:ascii="Palatino Linotype" w:eastAsia="Calibri" w:hAnsi="Palatino Linotype" w:cs="Tahoma"/>
          <w:bCs/>
          <w:iCs/>
          <w:sz w:val="24"/>
          <w:lang w:val="es-ES" w:eastAsia="es-ES_tradnl"/>
        </w:rPr>
      </w:pPr>
      <w:r w:rsidRPr="001F432F">
        <w:rPr>
          <w:rFonts w:ascii="Palatino Linotype" w:eastAsia="Calibri" w:hAnsi="Palatino Linotype" w:cs="Tahoma"/>
          <w:bCs/>
          <w:iCs/>
          <w:sz w:val="24"/>
          <w:lang w:val="es-ES" w:eastAsia="es-ES_tradnl"/>
        </w:rPr>
        <w:t xml:space="preserve">De la anterior se desprende que en el sitio Información Pública de Oficio Mexiquense (Ipomex), no se encuentra la información relativa a los gastos por concepto de viáticos y representación, aunado de que existe la obligación expresa en la Ley que rige nuestra materia. </w:t>
      </w:r>
    </w:p>
    <w:p w:rsidR="0090033B" w:rsidRPr="001F432F" w:rsidRDefault="0090033B" w:rsidP="0090033B">
      <w:pPr>
        <w:spacing w:line="360" w:lineRule="auto"/>
        <w:ind w:right="-93"/>
        <w:jc w:val="both"/>
        <w:rPr>
          <w:rFonts w:ascii="Palatino Linotype" w:eastAsia="Calibri" w:hAnsi="Palatino Linotype" w:cs="Tahoma"/>
          <w:i/>
          <w:sz w:val="24"/>
          <w:lang w:val="es-ES"/>
        </w:rPr>
      </w:pPr>
      <w:r w:rsidRPr="001F432F">
        <w:rPr>
          <w:rFonts w:ascii="Palatino Linotype" w:eastAsia="Calibri" w:hAnsi="Palatino Linotype" w:cs="Tahoma"/>
          <w:sz w:val="24"/>
          <w:lang w:val="es-ES"/>
        </w:rPr>
        <w:lastRenderedPageBreak/>
        <w:t>Ahora bien, de manera enunciativa mas no limitativa, se aprecia que el documento que puede dar cuenta del gasto por concepto de viáticos puede ser el denominado “</w:t>
      </w:r>
      <w:r w:rsidRPr="001F432F">
        <w:rPr>
          <w:rFonts w:ascii="Palatino Linotype" w:eastAsia="Calibri" w:hAnsi="Palatino Linotype" w:cs="Tahoma"/>
          <w:i/>
          <w:sz w:val="24"/>
          <w:lang w:val="es-ES"/>
        </w:rPr>
        <w:t xml:space="preserve">Estado Analítico del Ejercicio del Presupuesto de Egresos Clasificación por Objeto del Gasto”, </w:t>
      </w:r>
      <w:r w:rsidRPr="001F432F">
        <w:rPr>
          <w:rFonts w:ascii="Palatino Linotype" w:eastAsia="Calibri" w:hAnsi="Palatino Linotype" w:cs="Tahoma"/>
          <w:sz w:val="24"/>
          <w:lang w:val="es-ES"/>
        </w:rPr>
        <w:t xml:space="preserve">el cual de conformidad con los Lineamientos para la entrega del informe Mensual Municipal 2019 expedido por el </w:t>
      </w:r>
      <w:r w:rsidRPr="001F432F">
        <w:rPr>
          <w:rFonts w:ascii="Palatino Linotype" w:eastAsia="Calibri" w:hAnsi="Palatino Linotype" w:cs="Tahoma"/>
          <w:bCs/>
          <w:sz w:val="24"/>
          <w:lang w:val="es-ES"/>
        </w:rPr>
        <w:t xml:space="preserve">Órgano Superior de Fiscalización del Estado de México (OSFEM), y que es visible en el enlace: </w:t>
      </w:r>
      <w:hyperlink r:id="rId15" w:history="1">
        <w:r w:rsidRPr="001F432F">
          <w:rPr>
            <w:rStyle w:val="Hipervnculo"/>
            <w:rFonts w:ascii="Palatino Linotype" w:eastAsiaTheme="majorEastAsia" w:hAnsi="Palatino Linotype"/>
            <w:sz w:val="24"/>
          </w:rPr>
          <w:t>https://www.osfem.gob.mx/04_Normatividad/doc/Normatividad/2019/19.-LineamInfMensualMpal_2019.pdf</w:t>
        </w:r>
      </w:hyperlink>
      <w:r w:rsidRPr="001F432F">
        <w:rPr>
          <w:rFonts w:ascii="Palatino Linotype" w:hAnsi="Palatino Linotype"/>
          <w:sz w:val="24"/>
        </w:rPr>
        <w:t>, se encuentra dentro de los formatos que deben entregarse al Órgano Fiscalizador y que en su contenido, se advierte egreso en materia de viáticos, para mayor referencia de inserta un fragmento de interés:</w:t>
      </w:r>
    </w:p>
    <w:p w:rsidR="0090033B" w:rsidRDefault="0090033B" w:rsidP="0090033B">
      <w:pPr>
        <w:spacing w:line="360" w:lineRule="auto"/>
        <w:ind w:right="-93"/>
        <w:jc w:val="both"/>
      </w:pPr>
    </w:p>
    <w:p w:rsidR="0090033B" w:rsidRDefault="0090033B" w:rsidP="0090033B">
      <w:pPr>
        <w:spacing w:line="360" w:lineRule="auto"/>
        <w:ind w:right="-93"/>
        <w:jc w:val="both"/>
      </w:pPr>
    </w:p>
    <w:p w:rsidR="0090033B" w:rsidRDefault="0090033B" w:rsidP="0090033B">
      <w:pPr>
        <w:spacing w:line="360" w:lineRule="auto"/>
        <w:ind w:right="-93"/>
        <w:jc w:val="center"/>
      </w:pPr>
      <w:r>
        <w:rPr>
          <w:noProof/>
          <w:lang w:eastAsia="es-MX"/>
        </w:rPr>
        <w:drawing>
          <wp:inline distT="0" distB="0" distL="0" distR="0" wp14:anchorId="12370C32" wp14:editId="64DBA025">
            <wp:extent cx="3899853" cy="3058049"/>
            <wp:effectExtent l="0" t="0" r="571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102" t="17019" r="20737" b="3292"/>
                    <a:stretch/>
                  </pic:blipFill>
                  <pic:spPr bwMode="auto">
                    <a:xfrm>
                      <a:off x="0" y="0"/>
                      <a:ext cx="3908244" cy="3064629"/>
                    </a:xfrm>
                    <a:prstGeom prst="rect">
                      <a:avLst/>
                    </a:prstGeom>
                    <a:ln>
                      <a:noFill/>
                    </a:ln>
                    <a:extLst>
                      <a:ext uri="{53640926-AAD7-44D8-BBD7-CCE9431645EC}">
                        <a14:shadowObscured xmlns:a14="http://schemas.microsoft.com/office/drawing/2010/main"/>
                      </a:ext>
                    </a:extLst>
                  </pic:spPr>
                </pic:pic>
              </a:graphicData>
            </a:graphic>
          </wp:inline>
        </w:drawing>
      </w:r>
    </w:p>
    <w:p w:rsidR="0090033B" w:rsidRDefault="0090033B" w:rsidP="0090033B">
      <w:pPr>
        <w:spacing w:line="360" w:lineRule="auto"/>
        <w:ind w:right="-93"/>
        <w:jc w:val="both"/>
      </w:pPr>
    </w:p>
    <w:p w:rsidR="0090033B" w:rsidRPr="001F432F" w:rsidRDefault="0090033B" w:rsidP="0090033B">
      <w:pPr>
        <w:spacing w:line="360" w:lineRule="auto"/>
        <w:ind w:right="-93"/>
        <w:jc w:val="both"/>
        <w:rPr>
          <w:rFonts w:ascii="Palatino Linotype" w:eastAsia="Calibri" w:hAnsi="Palatino Linotype" w:cs="Tahoma"/>
          <w:b/>
          <w:bCs/>
          <w:iCs/>
          <w:sz w:val="24"/>
          <w:lang w:val="es-ES" w:eastAsia="es-ES_tradnl"/>
        </w:rPr>
      </w:pPr>
      <w:r w:rsidRPr="001F432F">
        <w:rPr>
          <w:rFonts w:ascii="Palatino Linotype" w:eastAsia="Calibri" w:hAnsi="Palatino Linotype" w:cs="Tahoma"/>
          <w:bCs/>
          <w:iCs/>
          <w:sz w:val="24"/>
          <w:lang w:val="es-ES" w:eastAsia="es-ES_tradnl"/>
        </w:rPr>
        <w:lastRenderedPageBreak/>
        <w:t xml:space="preserve">En este tenor, es procedente concluir que el Sujeto Obligado, conoce y está obligado a dar cuenta de la información que solicitó el Particular, razón por la cual resulta dable, </w:t>
      </w:r>
      <w:r w:rsidRPr="001F432F">
        <w:rPr>
          <w:rFonts w:ascii="Palatino Linotype" w:eastAsia="Calibri" w:hAnsi="Palatino Linotype" w:cs="Tahoma"/>
          <w:b/>
          <w:bCs/>
          <w:iCs/>
          <w:sz w:val="24"/>
          <w:lang w:val="es-ES" w:eastAsia="es-ES_tradnl"/>
        </w:rPr>
        <w:t xml:space="preserve">ordenar la entrega del documento o documentos que den cuenta de los gastos de representación y viáticos, así como los informes de la comisión correspondiente, por el </w:t>
      </w:r>
      <w:r w:rsidRPr="001F432F">
        <w:rPr>
          <w:rFonts w:ascii="Palatino Linotype" w:eastAsia="Calibri" w:hAnsi="Palatino Linotype" w:cs="Tahoma"/>
          <w:b/>
          <w:iCs/>
          <w:sz w:val="24"/>
          <w:lang w:eastAsia="es-ES_tradnl"/>
        </w:rPr>
        <w:t>periodo comprendido del primero de enero al veintiuno de marzo de dos mil diecinueve, para el caso de que dicha documentación contenga datos personales confidenciales, se deberá entregar en versión pública y acompañarse de su debido acuerdo que para tales efectos emita el Comité de Transparencia</w:t>
      </w:r>
      <w:r w:rsidRPr="001F432F">
        <w:rPr>
          <w:rFonts w:ascii="Palatino Linotype" w:eastAsia="Calibri" w:hAnsi="Palatino Linotype" w:cs="Tahoma"/>
          <w:iCs/>
          <w:sz w:val="24"/>
          <w:lang w:eastAsia="es-ES_tradnl"/>
        </w:rPr>
        <w:t>.</w:t>
      </w:r>
    </w:p>
    <w:p w:rsidR="0090033B" w:rsidRPr="00120D28" w:rsidRDefault="0090033B" w:rsidP="0090033B">
      <w:pPr>
        <w:spacing w:line="360" w:lineRule="auto"/>
        <w:ind w:right="-93"/>
        <w:jc w:val="both"/>
        <w:rPr>
          <w:rFonts w:ascii="Palatino Linotype" w:eastAsia="Calibri" w:hAnsi="Palatino Linotype" w:cs="Tahoma"/>
          <w:b/>
          <w:iCs/>
          <w:lang w:eastAsia="es-ES_tradnl"/>
        </w:rPr>
      </w:pPr>
    </w:p>
    <w:p w:rsidR="0090033B" w:rsidRPr="00B6310F" w:rsidRDefault="0090033B" w:rsidP="0090033B">
      <w:pPr>
        <w:pStyle w:val="Prrafodelista"/>
        <w:numPr>
          <w:ilvl w:val="0"/>
          <w:numId w:val="36"/>
        </w:numPr>
        <w:spacing w:line="360" w:lineRule="auto"/>
        <w:ind w:right="-93"/>
        <w:contextualSpacing/>
        <w:jc w:val="both"/>
        <w:rPr>
          <w:rFonts w:ascii="Palatino Linotype" w:eastAsia="Calibri" w:hAnsi="Palatino Linotype" w:cs="Tahoma"/>
          <w:b/>
          <w:iCs/>
          <w:szCs w:val="22"/>
          <w:lang w:eastAsia="es-ES_tradnl"/>
        </w:rPr>
      </w:pPr>
      <w:r w:rsidRPr="00B6310F">
        <w:rPr>
          <w:rFonts w:ascii="Palatino Linotype" w:eastAsia="Calibri" w:hAnsi="Palatino Linotype" w:cs="Tahoma"/>
          <w:b/>
          <w:iCs/>
          <w:szCs w:val="22"/>
          <w:lang w:eastAsia="es-ES_tradnl"/>
        </w:rPr>
        <w:t xml:space="preserve">EL NÚMERO TOTAL DE LAS PLAZAS Y DEL PERSONAL DE BASE Y DE CONFIANZA, ESPECIFICANDO EL TOTAL DE LAS VACANTES, POR NIVEL DE PUESTO, PARA CADA UNIDAD ADMINISTRATIVA. </w:t>
      </w:r>
    </w:p>
    <w:p w:rsidR="0090033B" w:rsidRDefault="0090033B" w:rsidP="0090033B">
      <w:pPr>
        <w:spacing w:line="360" w:lineRule="auto"/>
        <w:ind w:right="-93"/>
        <w:jc w:val="both"/>
        <w:rPr>
          <w:rFonts w:ascii="Palatino Linotype" w:eastAsia="Calibri" w:hAnsi="Palatino Linotype" w:cs="Tahoma"/>
          <w:bCs/>
          <w:iCs/>
          <w:lang w:val="es-ES_tradnl" w:eastAsia="es-ES_tradnl"/>
        </w:rPr>
      </w:pPr>
    </w:p>
    <w:p w:rsidR="0090033B" w:rsidRPr="001F432F" w:rsidRDefault="0090033B" w:rsidP="0090033B">
      <w:pPr>
        <w:spacing w:line="360" w:lineRule="auto"/>
        <w:ind w:right="-93"/>
        <w:jc w:val="both"/>
        <w:rPr>
          <w:rFonts w:ascii="Palatino Linotype" w:eastAsia="Calibri" w:hAnsi="Palatino Linotype" w:cs="Tahoma"/>
          <w:bCs/>
          <w:iCs/>
          <w:sz w:val="24"/>
          <w:lang w:val="es-ES_tradnl" w:eastAsia="es-ES_tradnl"/>
        </w:rPr>
      </w:pPr>
      <w:r w:rsidRPr="001F432F">
        <w:rPr>
          <w:rFonts w:ascii="Palatino Linotype" w:eastAsia="Calibri" w:hAnsi="Palatino Linotype" w:cs="Tahoma"/>
          <w:bCs/>
          <w:iCs/>
          <w:sz w:val="24"/>
          <w:lang w:val="es-ES_tradnl" w:eastAsia="es-ES_tradnl"/>
        </w:rPr>
        <w:t xml:space="preserve">E tercer elemento que compone la solicitud del Particular, versa en relación al número total de plazas, del personal de base y de confianza, así como la especificación del total de vacantes, por nivel de puesto para cada unidad administrativa; al respecto, es necesario precisar que al igual que los dos puntos anteriores, esta información también resulta pública, asimismo constituye una obligación en materia de Transparencia y Acceso a Información Publica, lo anterior en términos del artículo 92 de la </w:t>
      </w:r>
      <w:r w:rsidRPr="001F432F">
        <w:rPr>
          <w:rFonts w:ascii="Palatino Linotype" w:eastAsia="Calibri" w:hAnsi="Palatino Linotype" w:cs="Tahoma"/>
          <w:bCs/>
          <w:iCs/>
          <w:sz w:val="24"/>
          <w:lang w:val="es-ES_tradnl"/>
        </w:rPr>
        <w:t>Ley de Transparencia y Acceso a la Información Pública del Estado de México y Municipios</w:t>
      </w:r>
      <w:r w:rsidRPr="001F432F">
        <w:rPr>
          <w:rFonts w:ascii="Palatino Linotype" w:eastAsia="Calibri" w:hAnsi="Palatino Linotype" w:cs="Tahoma"/>
          <w:bCs/>
          <w:iCs/>
          <w:sz w:val="24"/>
          <w:lang w:val="es-ES_tradnl" w:eastAsia="es-ES_tradnl"/>
        </w:rPr>
        <w:t>, previamente citado, ya que en su fracción X prevé que esta información resulta pública.</w:t>
      </w:r>
    </w:p>
    <w:p w:rsidR="0090033B" w:rsidRDefault="0090033B" w:rsidP="0090033B">
      <w:pPr>
        <w:spacing w:line="360" w:lineRule="auto"/>
        <w:ind w:right="-93"/>
        <w:jc w:val="both"/>
        <w:rPr>
          <w:rFonts w:ascii="Palatino Linotype" w:eastAsia="Calibri" w:hAnsi="Palatino Linotype" w:cs="Tahoma"/>
          <w:bCs/>
          <w:iCs/>
          <w:lang w:val="es-ES_tradnl" w:eastAsia="es-ES_tradnl"/>
        </w:rPr>
      </w:pPr>
    </w:p>
    <w:p w:rsidR="0090033B" w:rsidRPr="001F432F" w:rsidRDefault="0090033B" w:rsidP="0090033B">
      <w:pPr>
        <w:spacing w:line="360" w:lineRule="auto"/>
        <w:ind w:right="-93"/>
        <w:jc w:val="both"/>
        <w:rPr>
          <w:rFonts w:ascii="Palatino Linotype" w:eastAsia="Calibri" w:hAnsi="Palatino Linotype" w:cs="Tahoma"/>
          <w:bCs/>
          <w:iCs/>
          <w:sz w:val="24"/>
          <w:lang w:val="es-ES_tradnl" w:eastAsia="es-ES_tradnl"/>
        </w:rPr>
      </w:pPr>
      <w:r w:rsidRPr="001F432F">
        <w:rPr>
          <w:rFonts w:ascii="Palatino Linotype" w:eastAsia="Calibri" w:hAnsi="Palatino Linotype" w:cs="Tahoma"/>
          <w:bCs/>
          <w:iCs/>
          <w:sz w:val="24"/>
          <w:lang w:val="es-ES_tradnl" w:eastAsia="es-ES_tradnl"/>
        </w:rPr>
        <w:lastRenderedPageBreak/>
        <w:t xml:space="preserve">En atención a la obligación prevista en el artículo previamente referido, se visitó el sitio de </w:t>
      </w:r>
      <w:r w:rsidRPr="001F432F">
        <w:rPr>
          <w:rFonts w:ascii="Palatino Linotype" w:eastAsia="Calibri" w:hAnsi="Palatino Linotype" w:cs="Tahoma"/>
          <w:bCs/>
          <w:iCs/>
          <w:sz w:val="24"/>
          <w:lang w:val="es-ES" w:eastAsia="es-ES_tradnl"/>
        </w:rPr>
        <w:t xml:space="preserve">Información Pública de Oficio Mexiquense (Ipomex) a fin de verificar la publicación de la información de cuenta, específicamente en sus apartados correspondientes a </w:t>
      </w:r>
      <w:r w:rsidRPr="001F432F">
        <w:rPr>
          <w:rFonts w:ascii="Palatino Linotype" w:eastAsia="Calibri" w:hAnsi="Palatino Linotype" w:cs="Tahoma"/>
          <w:bCs/>
          <w:i/>
          <w:iCs/>
          <w:sz w:val="24"/>
          <w:lang w:val="es-ES" w:eastAsia="es-ES_tradnl"/>
        </w:rPr>
        <w:t xml:space="preserve">“Plazas vacantes” </w:t>
      </w:r>
      <w:r w:rsidRPr="001F432F">
        <w:rPr>
          <w:rFonts w:ascii="Palatino Linotype" w:eastAsia="Calibri" w:hAnsi="Palatino Linotype" w:cs="Tahoma"/>
          <w:bCs/>
          <w:iCs/>
          <w:sz w:val="24"/>
          <w:lang w:val="es-ES" w:eastAsia="es-ES_tradnl"/>
        </w:rPr>
        <w:t>y</w:t>
      </w:r>
      <w:r w:rsidRPr="001F432F">
        <w:rPr>
          <w:rFonts w:ascii="Palatino Linotype" w:eastAsia="Calibri" w:hAnsi="Palatino Linotype" w:cs="Tahoma"/>
          <w:bCs/>
          <w:i/>
          <w:iCs/>
          <w:sz w:val="24"/>
          <w:lang w:val="es-ES" w:eastAsia="es-ES_tradnl"/>
        </w:rPr>
        <w:t xml:space="preserve"> “Total de plazas vacantes y ocupadas”, </w:t>
      </w:r>
      <w:r w:rsidRPr="001F432F">
        <w:rPr>
          <w:rFonts w:ascii="Palatino Linotype" w:eastAsia="Calibri" w:hAnsi="Palatino Linotype" w:cs="Tahoma"/>
          <w:bCs/>
          <w:iCs/>
          <w:sz w:val="24"/>
          <w:lang w:val="es-ES" w:eastAsia="es-ES_tradnl"/>
        </w:rPr>
        <w:t>para mayor referencia se inserta captura de pantalla:</w:t>
      </w:r>
    </w:p>
    <w:p w:rsidR="0090033B" w:rsidRPr="00120D28" w:rsidRDefault="0090033B" w:rsidP="0090033B">
      <w:pPr>
        <w:spacing w:line="360" w:lineRule="auto"/>
        <w:ind w:right="-93"/>
        <w:jc w:val="center"/>
        <w:rPr>
          <w:rFonts w:ascii="Palatino Linotype" w:eastAsia="Calibri" w:hAnsi="Palatino Linotype" w:cs="Tahoma"/>
          <w:bCs/>
          <w:iCs/>
          <w:lang w:val="es-ES_tradnl" w:eastAsia="es-ES_tradnl"/>
        </w:rPr>
      </w:pPr>
      <w:r w:rsidRPr="00120D28">
        <w:rPr>
          <w:rFonts w:ascii="Palatino Linotype" w:hAnsi="Palatino Linotype"/>
          <w:noProof/>
          <w:lang w:eastAsia="es-MX"/>
        </w:rPr>
        <w:drawing>
          <wp:inline distT="0" distB="0" distL="0" distR="0" wp14:anchorId="589B9E4E" wp14:editId="651501A2">
            <wp:extent cx="4469587" cy="4497672"/>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828" t="16985" r="26630" b="6907"/>
                    <a:stretch/>
                  </pic:blipFill>
                  <pic:spPr bwMode="auto">
                    <a:xfrm>
                      <a:off x="0" y="0"/>
                      <a:ext cx="4479587" cy="4507734"/>
                    </a:xfrm>
                    <a:prstGeom prst="rect">
                      <a:avLst/>
                    </a:prstGeom>
                    <a:ln>
                      <a:noFill/>
                    </a:ln>
                    <a:extLst>
                      <a:ext uri="{53640926-AAD7-44D8-BBD7-CCE9431645EC}">
                        <a14:shadowObscured xmlns:a14="http://schemas.microsoft.com/office/drawing/2010/main"/>
                      </a:ext>
                    </a:extLst>
                  </pic:spPr>
                </pic:pic>
              </a:graphicData>
            </a:graphic>
          </wp:inline>
        </w:drawing>
      </w:r>
    </w:p>
    <w:p w:rsidR="0090033B" w:rsidRPr="001F432F" w:rsidRDefault="0090033B" w:rsidP="0090033B">
      <w:pPr>
        <w:spacing w:line="360" w:lineRule="auto"/>
        <w:ind w:right="-93"/>
        <w:jc w:val="center"/>
        <w:rPr>
          <w:rFonts w:ascii="Palatino Linotype" w:hAnsi="Palatino Linotype"/>
          <w:sz w:val="24"/>
        </w:rPr>
      </w:pPr>
      <w:r w:rsidRPr="001F432F">
        <w:rPr>
          <w:rFonts w:ascii="Palatino Linotype" w:eastAsia="Calibri" w:hAnsi="Palatino Linotype" w:cs="Tahoma"/>
          <w:bCs/>
          <w:iCs/>
          <w:sz w:val="24"/>
          <w:lang w:val="es-ES" w:eastAsia="es-ES_tradnl"/>
        </w:rPr>
        <w:t>(Imagen extraída del sitio Información Pública de Oficio Mexiquense (Ipomex), véase:</w:t>
      </w:r>
      <w:r w:rsidRPr="001F432F">
        <w:rPr>
          <w:rFonts w:ascii="Palatino Linotype" w:hAnsi="Palatino Linotype"/>
          <w:sz w:val="24"/>
        </w:rPr>
        <w:t xml:space="preserve"> </w:t>
      </w:r>
      <w:hyperlink r:id="rId18" w:history="1">
        <w:r w:rsidRPr="001F432F">
          <w:rPr>
            <w:rStyle w:val="Hipervnculo"/>
            <w:rFonts w:ascii="Palatino Linotype" w:eastAsiaTheme="majorEastAsia" w:hAnsi="Palatino Linotype"/>
            <w:sz w:val="24"/>
          </w:rPr>
          <w:t>https://www.ipomex.org.mx/ipo3/lgt/indice/TENANGODELAIRE/art_92_x_a.web</w:t>
        </w:r>
      </w:hyperlink>
      <w:r w:rsidRPr="001F432F">
        <w:rPr>
          <w:rFonts w:ascii="Palatino Linotype" w:hAnsi="Palatino Linotype"/>
          <w:sz w:val="24"/>
        </w:rPr>
        <w:t>)</w:t>
      </w:r>
    </w:p>
    <w:p w:rsidR="0090033B" w:rsidRPr="00120D28" w:rsidRDefault="0090033B" w:rsidP="0090033B">
      <w:pPr>
        <w:spacing w:line="360" w:lineRule="auto"/>
        <w:ind w:right="-93"/>
        <w:jc w:val="center"/>
        <w:rPr>
          <w:rFonts w:ascii="Palatino Linotype" w:hAnsi="Palatino Linotype"/>
        </w:rPr>
      </w:pPr>
      <w:r w:rsidRPr="00120D28">
        <w:rPr>
          <w:rFonts w:ascii="Palatino Linotype" w:hAnsi="Palatino Linotype"/>
          <w:noProof/>
          <w:lang w:eastAsia="es-MX"/>
        </w:rPr>
        <w:lastRenderedPageBreak/>
        <w:drawing>
          <wp:inline distT="0" distB="0" distL="0" distR="0" wp14:anchorId="71EC81E2" wp14:editId="193FB9BC">
            <wp:extent cx="4411066" cy="4504950"/>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335" t="17665" r="26758" b="6244"/>
                    <a:stretch/>
                  </pic:blipFill>
                  <pic:spPr bwMode="auto">
                    <a:xfrm>
                      <a:off x="0" y="0"/>
                      <a:ext cx="4420035" cy="4514110"/>
                    </a:xfrm>
                    <a:prstGeom prst="rect">
                      <a:avLst/>
                    </a:prstGeom>
                    <a:ln>
                      <a:noFill/>
                    </a:ln>
                    <a:extLst>
                      <a:ext uri="{53640926-AAD7-44D8-BBD7-CCE9431645EC}">
                        <a14:shadowObscured xmlns:a14="http://schemas.microsoft.com/office/drawing/2010/main"/>
                      </a:ext>
                    </a:extLst>
                  </pic:spPr>
                </pic:pic>
              </a:graphicData>
            </a:graphic>
          </wp:inline>
        </w:drawing>
      </w:r>
    </w:p>
    <w:p w:rsidR="0090033B" w:rsidRPr="001F432F" w:rsidRDefault="0090033B" w:rsidP="0090033B">
      <w:pPr>
        <w:spacing w:line="360" w:lineRule="auto"/>
        <w:ind w:right="-93"/>
        <w:jc w:val="center"/>
        <w:rPr>
          <w:rFonts w:ascii="Palatino Linotype" w:hAnsi="Palatino Linotype"/>
          <w:sz w:val="24"/>
        </w:rPr>
      </w:pPr>
      <w:r w:rsidRPr="001F432F">
        <w:rPr>
          <w:rFonts w:ascii="Palatino Linotype" w:eastAsia="Calibri" w:hAnsi="Palatino Linotype" w:cs="Tahoma"/>
          <w:bCs/>
          <w:iCs/>
          <w:sz w:val="24"/>
          <w:lang w:val="es-ES" w:eastAsia="es-ES_tradnl"/>
        </w:rPr>
        <w:t>(Imagen extraída del sitio Información Pública de Oficio Mexiquense (Ipomex), véase:</w:t>
      </w:r>
      <w:r w:rsidRPr="001F432F">
        <w:rPr>
          <w:rFonts w:ascii="Palatino Linotype" w:hAnsi="Palatino Linotype"/>
          <w:sz w:val="24"/>
        </w:rPr>
        <w:t xml:space="preserve"> </w:t>
      </w:r>
      <w:hyperlink r:id="rId20" w:history="1">
        <w:r w:rsidRPr="001F432F">
          <w:rPr>
            <w:rStyle w:val="Hipervnculo"/>
            <w:rFonts w:ascii="Palatino Linotype" w:eastAsiaTheme="majorEastAsia" w:hAnsi="Palatino Linotype"/>
            <w:sz w:val="24"/>
          </w:rPr>
          <w:t>https://www.ipomex.org.mx/ipo3/lgt/indice/TENANGODELAIRE/art_92_x_b.web</w:t>
        </w:r>
      </w:hyperlink>
      <w:r w:rsidRPr="001F432F">
        <w:rPr>
          <w:rFonts w:ascii="Palatino Linotype" w:hAnsi="Palatino Linotype"/>
          <w:sz w:val="24"/>
        </w:rPr>
        <w:t>)</w:t>
      </w:r>
    </w:p>
    <w:p w:rsidR="0090033B" w:rsidRPr="001F432F" w:rsidRDefault="0090033B" w:rsidP="0090033B">
      <w:pPr>
        <w:spacing w:line="360" w:lineRule="auto"/>
        <w:ind w:right="-93"/>
        <w:rPr>
          <w:rFonts w:ascii="Palatino Linotype" w:hAnsi="Palatino Linotype"/>
          <w:sz w:val="24"/>
        </w:rPr>
      </w:pPr>
    </w:p>
    <w:p w:rsidR="0090033B" w:rsidRPr="001F432F" w:rsidRDefault="0090033B" w:rsidP="0090033B">
      <w:pPr>
        <w:spacing w:line="360" w:lineRule="auto"/>
        <w:ind w:right="-93"/>
        <w:rPr>
          <w:rFonts w:ascii="Palatino Linotype" w:hAnsi="Palatino Linotype"/>
          <w:sz w:val="24"/>
        </w:rPr>
      </w:pPr>
      <w:r w:rsidRPr="001F432F">
        <w:rPr>
          <w:rFonts w:ascii="Palatino Linotype" w:hAnsi="Palatino Linotype"/>
          <w:sz w:val="24"/>
        </w:rPr>
        <w:t xml:space="preserve">Como se puede apreciar del contenido antes citado, el Sujeto Obligado no cuenta con la información actualizada a la fecha de la solicitud, ni por el año que solicita el Particular relativa a las plazas vacantes, de igual forma no cuenta con información alguna publicada en relación a las plazas ocupadas. </w:t>
      </w:r>
    </w:p>
    <w:p w:rsidR="0090033B" w:rsidRPr="00CA361C" w:rsidRDefault="0090033B" w:rsidP="0090033B">
      <w:pPr>
        <w:spacing w:line="360" w:lineRule="auto"/>
        <w:ind w:right="-93"/>
        <w:rPr>
          <w:rFonts w:ascii="Palatino Linotype" w:hAnsi="Palatino Linotype"/>
        </w:rPr>
      </w:pPr>
    </w:p>
    <w:p w:rsidR="0090033B" w:rsidRPr="001F432F" w:rsidRDefault="0090033B" w:rsidP="0090033B">
      <w:pPr>
        <w:spacing w:line="360" w:lineRule="auto"/>
        <w:ind w:right="-93"/>
        <w:jc w:val="both"/>
        <w:rPr>
          <w:rFonts w:ascii="Palatino Linotype" w:hAnsi="Palatino Linotype"/>
          <w:sz w:val="24"/>
        </w:rPr>
      </w:pPr>
      <w:r w:rsidRPr="001F432F">
        <w:rPr>
          <w:rFonts w:ascii="Palatino Linotype" w:eastAsia="Calibri" w:hAnsi="Palatino Linotype" w:cs="Tahoma"/>
          <w:sz w:val="24"/>
          <w:lang w:val="es-ES"/>
        </w:rPr>
        <w:lastRenderedPageBreak/>
        <w:t>Por otra parte, de manera enunciativa mas no limitativa, se aprecia que el documento que puede dar cuenta del número de plazas podría ser el denominado “</w:t>
      </w:r>
      <w:r w:rsidRPr="001F432F">
        <w:rPr>
          <w:rFonts w:ascii="Palatino Linotype" w:eastAsia="Calibri" w:hAnsi="Palatino Linotype" w:cs="Tahoma"/>
          <w:i/>
          <w:sz w:val="24"/>
          <w:lang w:val="es-ES"/>
        </w:rPr>
        <w:t xml:space="preserve">Tabulador de sueldos”, </w:t>
      </w:r>
      <w:r w:rsidRPr="001F432F">
        <w:rPr>
          <w:rFonts w:ascii="Palatino Linotype" w:eastAsia="Calibri" w:hAnsi="Palatino Linotype" w:cs="Tahoma"/>
          <w:sz w:val="24"/>
          <w:lang w:val="es-ES"/>
        </w:rPr>
        <w:t xml:space="preserve">el cual de conformidad con los Lineamientos para la entrega del informe Mensual Municipal 2019 expedidos por el </w:t>
      </w:r>
      <w:r w:rsidRPr="001F432F">
        <w:rPr>
          <w:rFonts w:ascii="Palatino Linotype" w:eastAsia="Calibri" w:hAnsi="Palatino Linotype" w:cs="Tahoma"/>
          <w:bCs/>
          <w:sz w:val="24"/>
          <w:lang w:val="es-ES"/>
        </w:rPr>
        <w:t>Órgano Superior de Fiscalización del Estado de México (OSFEM), antes citado</w:t>
      </w:r>
      <w:r w:rsidRPr="001F432F">
        <w:rPr>
          <w:rFonts w:ascii="Palatino Linotype" w:hAnsi="Palatino Linotype"/>
          <w:sz w:val="24"/>
        </w:rPr>
        <w:t>; se encuentra dentro de los formatos que deben entregarse al Órgano Fiscalizador y que en su contenido, se advierte el número total de plazas y la categoría con la que cuentan, para mayor referencia de inserta lo correspondiente:</w:t>
      </w:r>
    </w:p>
    <w:p w:rsidR="0090033B" w:rsidRDefault="0090033B" w:rsidP="0090033B">
      <w:pPr>
        <w:spacing w:line="360" w:lineRule="auto"/>
        <w:ind w:right="-93"/>
      </w:pPr>
    </w:p>
    <w:p w:rsidR="0090033B" w:rsidRDefault="0090033B" w:rsidP="0090033B">
      <w:pPr>
        <w:spacing w:line="360" w:lineRule="auto"/>
        <w:ind w:right="-93"/>
        <w:jc w:val="center"/>
      </w:pPr>
      <w:r>
        <w:rPr>
          <w:noProof/>
          <w:lang w:eastAsia="es-MX"/>
        </w:rPr>
        <w:drawing>
          <wp:inline distT="0" distB="0" distL="0" distR="0" wp14:anchorId="3CC513E0" wp14:editId="6F984327">
            <wp:extent cx="3820148" cy="4204120"/>
            <wp:effectExtent l="0" t="0" r="952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453" t="17786" r="52841" b="14308"/>
                    <a:stretch/>
                  </pic:blipFill>
                  <pic:spPr bwMode="auto">
                    <a:xfrm>
                      <a:off x="0" y="0"/>
                      <a:ext cx="3838131" cy="4223910"/>
                    </a:xfrm>
                    <a:prstGeom prst="rect">
                      <a:avLst/>
                    </a:prstGeom>
                    <a:ln>
                      <a:noFill/>
                    </a:ln>
                    <a:extLst>
                      <a:ext uri="{53640926-AAD7-44D8-BBD7-CCE9431645EC}">
                        <a14:shadowObscured xmlns:a14="http://schemas.microsoft.com/office/drawing/2010/main"/>
                      </a:ext>
                    </a:extLst>
                  </pic:spPr>
                </pic:pic>
              </a:graphicData>
            </a:graphic>
          </wp:inline>
        </w:drawing>
      </w:r>
    </w:p>
    <w:p w:rsidR="0090033B" w:rsidRPr="001F432F" w:rsidRDefault="0090033B" w:rsidP="0090033B">
      <w:pPr>
        <w:spacing w:line="360" w:lineRule="auto"/>
        <w:ind w:right="-93"/>
        <w:jc w:val="both"/>
        <w:rPr>
          <w:rFonts w:ascii="Palatino Linotype" w:eastAsia="Calibri" w:hAnsi="Palatino Linotype" w:cs="Tahoma"/>
          <w:b/>
          <w:sz w:val="24"/>
        </w:rPr>
      </w:pPr>
      <w:r w:rsidRPr="001F432F">
        <w:rPr>
          <w:rFonts w:ascii="Palatino Linotype" w:eastAsia="Calibri" w:hAnsi="Palatino Linotype" w:cs="Tahoma"/>
          <w:sz w:val="24"/>
        </w:rPr>
        <w:lastRenderedPageBreak/>
        <w:t xml:space="preserve">En este sentido, es posible concluir que el Sujeto Obligado, cuenta con la competencia expresamente señalada por la Ley de la materia, para conocer, generar y en este hacer pública la información solicitada, ya que es una de las obligaciones en materia de Transparencia y Acceso a la Información Pública, razón por la cual es dable </w:t>
      </w:r>
      <w:r w:rsidRPr="001F432F">
        <w:rPr>
          <w:rFonts w:ascii="Palatino Linotype" w:eastAsia="Calibri" w:hAnsi="Palatino Linotype" w:cs="Tahoma"/>
          <w:b/>
          <w:sz w:val="24"/>
        </w:rPr>
        <w:t xml:space="preserve">ordenar la entrega, previa búsqueda exhaustiva y razonable que realice en las áreas competentes, de los documentos que obren en sus archivos y que den cuenta del número total de plazas de confianza y de base, así como el número total de vacantes, a la fecha en que tuvo lugar la solicitud del recurrente, es decir al veintiuno de marzo de dos mil diecinueve, señalando el nivel de puesto por cada unidad administrativa. </w:t>
      </w:r>
    </w:p>
    <w:p w:rsidR="0090033B" w:rsidRPr="001F432F" w:rsidRDefault="0090033B" w:rsidP="001F432F">
      <w:pPr>
        <w:pStyle w:val="Sinespaciado"/>
        <w:rPr>
          <w:sz w:val="24"/>
        </w:rPr>
      </w:pPr>
    </w:p>
    <w:p w:rsidR="0090033B" w:rsidRPr="001F432F" w:rsidRDefault="0090033B" w:rsidP="0090033B">
      <w:pPr>
        <w:spacing w:line="360" w:lineRule="auto"/>
        <w:ind w:right="-93"/>
        <w:jc w:val="both"/>
        <w:rPr>
          <w:rFonts w:ascii="Palatino Linotype" w:eastAsia="Calibri" w:hAnsi="Palatino Linotype" w:cs="Tahoma"/>
          <w:b/>
          <w:sz w:val="24"/>
        </w:rPr>
      </w:pPr>
      <w:r w:rsidRPr="001F432F">
        <w:rPr>
          <w:rFonts w:ascii="Palatino Linotype" w:eastAsia="Calibri" w:hAnsi="Palatino Linotype" w:cs="Tahoma"/>
          <w:sz w:val="24"/>
        </w:rPr>
        <w:t xml:space="preserve">Por último, en relación a que la documentación sea entregada de forma digital y desglosada, resulta menester puntualizar que el Sujeto Obligado no se encuentra obligado a realizar documentos </w:t>
      </w:r>
      <w:r w:rsidRPr="001F432F">
        <w:rPr>
          <w:rFonts w:ascii="Palatino Linotype" w:eastAsia="Calibri" w:hAnsi="Palatino Linotype" w:cs="Tahoma"/>
          <w:i/>
          <w:sz w:val="24"/>
        </w:rPr>
        <w:t xml:space="preserve">ad hoc, </w:t>
      </w:r>
      <w:r w:rsidRPr="001F432F">
        <w:rPr>
          <w:rFonts w:ascii="Palatino Linotype" w:eastAsia="Calibri" w:hAnsi="Palatino Linotype" w:cs="Tahoma"/>
          <w:sz w:val="24"/>
        </w:rPr>
        <w:t>lo anterior de conformidad con el</w:t>
      </w:r>
      <w:r w:rsidRPr="001F432F">
        <w:rPr>
          <w:rFonts w:ascii="Palatino Linotype" w:hAnsi="Palatino Linotype" w:cs="Tahoma"/>
          <w:sz w:val="24"/>
        </w:rPr>
        <w:t xml:space="preserve">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90033B" w:rsidRPr="001F432F" w:rsidRDefault="0090033B" w:rsidP="001F432F">
      <w:pPr>
        <w:pStyle w:val="Sinespaciado"/>
        <w:rPr>
          <w:sz w:val="24"/>
        </w:rPr>
      </w:pPr>
    </w:p>
    <w:p w:rsidR="0090033B" w:rsidRPr="001F432F" w:rsidRDefault="0090033B" w:rsidP="0090033B">
      <w:pPr>
        <w:tabs>
          <w:tab w:val="left" w:pos="4962"/>
        </w:tabs>
        <w:spacing w:line="360" w:lineRule="auto"/>
        <w:jc w:val="both"/>
        <w:rPr>
          <w:rFonts w:ascii="Palatino Linotype" w:eastAsia="Calibri" w:hAnsi="Palatino Linotype" w:cs="Tahoma"/>
          <w:iCs/>
          <w:sz w:val="24"/>
          <w:lang w:val="es-ES" w:eastAsia="es-ES_tradnl"/>
        </w:rPr>
      </w:pPr>
      <w:r w:rsidRPr="001F432F">
        <w:rPr>
          <w:rFonts w:ascii="Palatino Linotype" w:hAnsi="Palatino Linotype" w:cs="Tahoma"/>
          <w:sz w:val="24"/>
        </w:rPr>
        <w:t xml:space="preserve">De esta manera, </w:t>
      </w:r>
      <w:r w:rsidRPr="001F432F">
        <w:rPr>
          <w:rFonts w:ascii="Palatino Linotype" w:hAnsi="Palatino Linotype" w:cs="Tahoma"/>
          <w:sz w:val="24"/>
          <w:szCs w:val="24"/>
          <w:lang w:val="es-ES"/>
        </w:rPr>
        <w:t xml:space="preserve">el derecho de acceso a la información pública se satisface en aquellos casos en que se entregue el soporte documental en el que conste la información solicitada, sin necesidad de elaborar documentos </w:t>
      </w:r>
      <w:r w:rsidRPr="001F432F">
        <w:rPr>
          <w:rFonts w:ascii="Palatino Linotype" w:hAnsi="Palatino Linotype" w:cs="Tahoma"/>
          <w:i/>
          <w:sz w:val="24"/>
        </w:rPr>
        <w:t>ad hoc</w:t>
      </w:r>
      <w:r w:rsidRPr="001F432F">
        <w:rPr>
          <w:rFonts w:ascii="Palatino Linotype" w:hAnsi="Palatino Linotype" w:cs="Tahoma"/>
          <w:sz w:val="24"/>
        </w:rPr>
        <w:t xml:space="preserve">; lo cual, toma sustento en el artículo 160 de la Ley de Transparencia y Acceso a la Información Pública del Estado </w:t>
      </w:r>
      <w:r w:rsidRPr="001F432F">
        <w:rPr>
          <w:rFonts w:ascii="Palatino Linotype" w:hAnsi="Palatino Linotype" w:cs="Tahoma"/>
          <w:sz w:val="24"/>
        </w:rPr>
        <w:lastRenderedPageBreak/>
        <w:t xml:space="preserve">de México y Municipios, el cual refiere que los sujetos obligados deberán entregar la información que obre en sus archivos. Además, resulta aplicable </w:t>
      </w:r>
      <w:r w:rsidRPr="001F432F">
        <w:rPr>
          <w:rFonts w:ascii="Palatino Linotype" w:eastAsia="Calibri" w:hAnsi="Palatino Linotype" w:cs="Tahoma"/>
          <w:iCs/>
          <w:sz w:val="24"/>
          <w:lang w:val="es-ES" w:eastAsia="es-ES_tradnl"/>
        </w:rPr>
        <w:t>el Criterio 03/17 del Instituto Nacional de Transparencia, Acceso a la Información y Protección de Datos Personales que a continuación se cita:</w:t>
      </w:r>
    </w:p>
    <w:p w:rsidR="0090033B" w:rsidRPr="00FB64F9" w:rsidRDefault="0090033B" w:rsidP="001F432F">
      <w:pPr>
        <w:pStyle w:val="Sinespaciado"/>
      </w:pPr>
    </w:p>
    <w:p w:rsidR="0090033B" w:rsidRPr="003451D7" w:rsidRDefault="0090033B" w:rsidP="0090033B">
      <w:pPr>
        <w:spacing w:before="73" w:line="360" w:lineRule="auto"/>
        <w:ind w:left="567" w:right="567"/>
        <w:jc w:val="both"/>
        <w:rPr>
          <w:rFonts w:ascii="Palatino Linotype" w:eastAsia="Arial" w:hAnsi="Palatino Linotype" w:cs="Arial"/>
          <w:i/>
        </w:rPr>
      </w:pPr>
      <w:r w:rsidRPr="003451D7">
        <w:rPr>
          <w:rFonts w:ascii="Palatino Linotype" w:eastAsia="Arial" w:hAnsi="Palatino Linotype" w:cs="Arial"/>
          <w:b/>
          <w:i/>
        </w:rPr>
        <w:t xml:space="preserve">“No existe obligación de elaborar </w:t>
      </w:r>
      <w:r w:rsidRPr="003451D7">
        <w:rPr>
          <w:rFonts w:ascii="Palatino Linotype" w:eastAsia="Arial" w:hAnsi="Palatino Linotype" w:cs="Arial"/>
          <w:b/>
          <w:i/>
          <w:spacing w:val="-3"/>
        </w:rPr>
        <w:t>d</w:t>
      </w:r>
      <w:r w:rsidRPr="003451D7">
        <w:rPr>
          <w:rFonts w:ascii="Palatino Linotype" w:eastAsia="Arial" w:hAnsi="Palatino Linotype" w:cs="Arial"/>
          <w:b/>
          <w:i/>
        </w:rPr>
        <w:t>ocum</w:t>
      </w:r>
      <w:r w:rsidRPr="003451D7">
        <w:rPr>
          <w:rFonts w:ascii="Palatino Linotype" w:eastAsia="Arial" w:hAnsi="Palatino Linotype" w:cs="Arial"/>
          <w:b/>
          <w:i/>
          <w:spacing w:val="1"/>
        </w:rPr>
        <w:t>e</w:t>
      </w:r>
      <w:r w:rsidRPr="003451D7">
        <w:rPr>
          <w:rFonts w:ascii="Palatino Linotype" w:eastAsia="Arial" w:hAnsi="Palatino Linotype" w:cs="Arial"/>
          <w:b/>
          <w:i/>
        </w:rPr>
        <w:t>n</w:t>
      </w:r>
      <w:r w:rsidRPr="003451D7">
        <w:rPr>
          <w:rFonts w:ascii="Palatino Linotype" w:eastAsia="Arial" w:hAnsi="Palatino Linotype" w:cs="Arial"/>
          <w:b/>
          <w:i/>
          <w:spacing w:val="-1"/>
        </w:rPr>
        <w:t>t</w:t>
      </w:r>
      <w:r w:rsidRPr="003451D7">
        <w:rPr>
          <w:rFonts w:ascii="Palatino Linotype" w:eastAsia="Arial" w:hAnsi="Palatino Linotype" w:cs="Arial"/>
          <w:b/>
          <w:i/>
        </w:rPr>
        <w:t xml:space="preserve">os </w:t>
      </w:r>
      <w:r w:rsidRPr="003451D7">
        <w:rPr>
          <w:rFonts w:ascii="Palatino Linotype" w:eastAsia="Arial" w:hAnsi="Palatino Linotype" w:cs="Arial"/>
          <w:b/>
          <w:i/>
          <w:spacing w:val="-1"/>
        </w:rPr>
        <w:t xml:space="preserve">ad </w:t>
      </w:r>
      <w:r w:rsidRPr="003451D7">
        <w:rPr>
          <w:rFonts w:ascii="Palatino Linotype" w:eastAsia="Arial" w:hAnsi="Palatino Linotype" w:cs="Arial"/>
          <w:b/>
          <w:i/>
        </w:rPr>
        <w:t>hoc para atender las sol</w:t>
      </w:r>
      <w:r w:rsidRPr="003451D7">
        <w:rPr>
          <w:rFonts w:ascii="Palatino Linotype" w:eastAsia="Arial" w:hAnsi="Palatino Linotype" w:cs="Arial"/>
          <w:b/>
          <w:i/>
          <w:spacing w:val="-2"/>
        </w:rPr>
        <w:t>i</w:t>
      </w:r>
      <w:r w:rsidRPr="003451D7">
        <w:rPr>
          <w:rFonts w:ascii="Palatino Linotype" w:eastAsia="Arial" w:hAnsi="Palatino Linotype" w:cs="Arial"/>
          <w:b/>
          <w:i/>
          <w:spacing w:val="1"/>
        </w:rPr>
        <w:t>c</w:t>
      </w:r>
      <w:r w:rsidRPr="003451D7">
        <w:rPr>
          <w:rFonts w:ascii="Palatino Linotype" w:eastAsia="Arial" w:hAnsi="Palatino Linotype" w:cs="Arial"/>
          <w:b/>
          <w:i/>
        </w:rPr>
        <w:t xml:space="preserve">itudes de </w:t>
      </w:r>
      <w:r w:rsidRPr="003451D7">
        <w:rPr>
          <w:rFonts w:ascii="Palatino Linotype" w:eastAsia="Arial" w:hAnsi="Palatino Linotype" w:cs="Arial"/>
          <w:b/>
          <w:i/>
          <w:spacing w:val="1"/>
        </w:rPr>
        <w:t>ac</w:t>
      </w:r>
      <w:r w:rsidRPr="003451D7">
        <w:rPr>
          <w:rFonts w:ascii="Palatino Linotype" w:eastAsia="Arial" w:hAnsi="Palatino Linotype" w:cs="Arial"/>
          <w:b/>
          <w:i/>
          <w:spacing w:val="-1"/>
        </w:rPr>
        <w:t>c</w:t>
      </w:r>
      <w:r w:rsidRPr="003451D7">
        <w:rPr>
          <w:rFonts w:ascii="Palatino Linotype" w:eastAsia="Arial" w:hAnsi="Palatino Linotype" w:cs="Arial"/>
          <w:b/>
          <w:i/>
          <w:spacing w:val="1"/>
        </w:rPr>
        <w:t>es</w:t>
      </w:r>
      <w:r w:rsidRPr="003451D7">
        <w:rPr>
          <w:rFonts w:ascii="Palatino Linotype" w:eastAsia="Arial" w:hAnsi="Palatino Linotype" w:cs="Arial"/>
          <w:b/>
          <w:i/>
        </w:rPr>
        <w:t>o a la informa</w:t>
      </w:r>
      <w:r w:rsidRPr="003451D7">
        <w:rPr>
          <w:rFonts w:ascii="Palatino Linotype" w:eastAsia="Arial" w:hAnsi="Palatino Linotype" w:cs="Arial"/>
          <w:b/>
          <w:i/>
          <w:spacing w:val="1"/>
        </w:rPr>
        <w:t>c</w:t>
      </w:r>
      <w:r w:rsidRPr="003451D7">
        <w:rPr>
          <w:rFonts w:ascii="Palatino Linotype" w:eastAsia="Arial" w:hAnsi="Palatino Linotype" w:cs="Arial"/>
          <w:b/>
          <w:i/>
        </w:rPr>
        <w:t>ió</w:t>
      </w:r>
      <w:r w:rsidRPr="003451D7">
        <w:rPr>
          <w:rFonts w:ascii="Palatino Linotype" w:eastAsia="Arial" w:hAnsi="Palatino Linotype" w:cs="Arial"/>
          <w:b/>
          <w:i/>
          <w:spacing w:val="-2"/>
        </w:rPr>
        <w:t>n</w:t>
      </w:r>
      <w:r w:rsidRPr="003451D7">
        <w:rPr>
          <w:rFonts w:ascii="Palatino Linotype" w:eastAsia="Arial" w:hAnsi="Palatino Linotype" w:cs="Arial"/>
          <w:b/>
          <w:i/>
        </w:rPr>
        <w:t xml:space="preserve">. </w:t>
      </w:r>
      <w:r w:rsidRPr="003451D7">
        <w:rPr>
          <w:rFonts w:ascii="Palatino Linotype" w:eastAsia="Arial" w:hAnsi="Palatino Linotype" w:cs="Arial"/>
          <w:i/>
          <w:spacing w:val="18"/>
        </w:rPr>
        <w:t>L</w:t>
      </w:r>
      <w:r w:rsidRPr="003451D7">
        <w:rPr>
          <w:rFonts w:ascii="Palatino Linotype" w:eastAsia="Arial" w:hAnsi="Palatino Linotype" w:cs="Arial"/>
          <w:i/>
          <w:spacing w:val="-1"/>
        </w:rPr>
        <w:t xml:space="preserve">os </w:t>
      </w:r>
      <w:r w:rsidRPr="003451D7">
        <w:rPr>
          <w:rFonts w:ascii="Palatino Linotype" w:eastAsia="Arial" w:hAnsi="Palatino Linotype" w:cs="Arial"/>
          <w:i/>
          <w:spacing w:val="1"/>
        </w:rPr>
        <w:t>a</w:t>
      </w:r>
      <w:r w:rsidRPr="003451D7">
        <w:rPr>
          <w:rFonts w:ascii="Palatino Linotype" w:eastAsia="Arial" w:hAnsi="Palatino Linotype" w:cs="Arial"/>
          <w:i/>
        </w:rPr>
        <w:t>rt</w:t>
      </w:r>
      <w:r w:rsidRPr="003451D7">
        <w:rPr>
          <w:rFonts w:ascii="Palatino Linotype" w:eastAsia="Arial" w:hAnsi="Palatino Linotype" w:cs="Arial"/>
          <w:i/>
          <w:spacing w:val="-2"/>
        </w:rPr>
        <w:t>í</w:t>
      </w:r>
      <w:r w:rsidRPr="003451D7">
        <w:rPr>
          <w:rFonts w:ascii="Palatino Linotype" w:eastAsia="Arial" w:hAnsi="Palatino Linotype" w:cs="Arial"/>
          <w:i/>
        </w:rPr>
        <w:t>c</w:t>
      </w:r>
      <w:r w:rsidRPr="003451D7">
        <w:rPr>
          <w:rFonts w:ascii="Palatino Linotype" w:eastAsia="Arial" w:hAnsi="Palatino Linotype" w:cs="Arial"/>
          <w:i/>
          <w:spacing w:val="1"/>
        </w:rPr>
        <w:t>u</w:t>
      </w:r>
      <w:r w:rsidRPr="003451D7">
        <w:rPr>
          <w:rFonts w:ascii="Palatino Linotype" w:eastAsia="Arial" w:hAnsi="Palatino Linotype" w:cs="Arial"/>
          <w:i/>
        </w:rPr>
        <w:t>los</w:t>
      </w:r>
      <w:r w:rsidRPr="003451D7">
        <w:rPr>
          <w:rFonts w:ascii="Palatino Linotype" w:eastAsia="Arial" w:hAnsi="Palatino Linotype" w:cs="Arial"/>
          <w:i/>
          <w:spacing w:val="8"/>
        </w:rPr>
        <w:t xml:space="preserve"> 129 </w:t>
      </w:r>
      <w:r w:rsidRPr="003451D7">
        <w:rPr>
          <w:rFonts w:ascii="Palatino Linotype" w:eastAsia="Arial" w:hAnsi="Palatino Linotype" w:cs="Arial"/>
          <w:i/>
          <w:spacing w:val="1"/>
        </w:rPr>
        <w:t>d</w:t>
      </w:r>
      <w:r w:rsidRPr="003451D7">
        <w:rPr>
          <w:rFonts w:ascii="Palatino Linotype" w:eastAsia="Arial" w:hAnsi="Palatino Linotype" w:cs="Arial"/>
          <w:i/>
        </w:rPr>
        <w:t xml:space="preserve">e la </w:t>
      </w:r>
      <w:r w:rsidRPr="003451D7">
        <w:rPr>
          <w:rFonts w:ascii="Palatino Linotype" w:eastAsia="Arial" w:hAnsi="Palatino Linotype" w:cs="Arial"/>
          <w:i/>
          <w:spacing w:val="-1"/>
        </w:rPr>
        <w:t>L</w:t>
      </w:r>
      <w:r w:rsidRPr="003451D7">
        <w:rPr>
          <w:rFonts w:ascii="Palatino Linotype" w:eastAsia="Arial" w:hAnsi="Palatino Linotype" w:cs="Arial"/>
          <w:i/>
          <w:spacing w:val="1"/>
        </w:rPr>
        <w:t>e</w:t>
      </w:r>
      <w:r w:rsidRPr="003451D7">
        <w:rPr>
          <w:rFonts w:ascii="Palatino Linotype" w:eastAsia="Arial" w:hAnsi="Palatino Linotype" w:cs="Arial"/>
          <w:i/>
        </w:rPr>
        <w:t xml:space="preserve">y General </w:t>
      </w:r>
      <w:r w:rsidRPr="003451D7">
        <w:rPr>
          <w:rFonts w:ascii="Palatino Linotype" w:eastAsia="Arial" w:hAnsi="Palatino Linotype" w:cs="Arial"/>
          <w:i/>
          <w:spacing w:val="-1"/>
        </w:rPr>
        <w:t>d</w:t>
      </w:r>
      <w:r w:rsidRPr="003451D7">
        <w:rPr>
          <w:rFonts w:ascii="Palatino Linotype" w:eastAsia="Arial" w:hAnsi="Palatino Linotype" w:cs="Arial"/>
          <w:i/>
        </w:rPr>
        <w:t xml:space="preserve">e </w:t>
      </w:r>
      <w:r w:rsidRPr="003451D7">
        <w:rPr>
          <w:rFonts w:ascii="Palatino Linotype" w:eastAsia="Arial" w:hAnsi="Palatino Linotype" w:cs="Arial"/>
          <w:i/>
          <w:spacing w:val="2"/>
        </w:rPr>
        <w:t>T</w:t>
      </w:r>
      <w:r w:rsidRPr="003451D7">
        <w:rPr>
          <w:rFonts w:ascii="Palatino Linotype" w:eastAsia="Arial" w:hAnsi="Palatino Linotype" w:cs="Arial"/>
          <w:i/>
        </w:rPr>
        <w:t>r</w:t>
      </w:r>
      <w:r w:rsidRPr="003451D7">
        <w:rPr>
          <w:rFonts w:ascii="Palatino Linotype" w:eastAsia="Arial" w:hAnsi="Palatino Linotype" w:cs="Arial"/>
          <w:i/>
          <w:spacing w:val="-2"/>
        </w:rPr>
        <w:t>a</w:t>
      </w:r>
      <w:r w:rsidRPr="003451D7">
        <w:rPr>
          <w:rFonts w:ascii="Palatino Linotype" w:eastAsia="Arial" w:hAnsi="Palatino Linotype" w:cs="Arial"/>
          <w:i/>
          <w:spacing w:val="1"/>
        </w:rPr>
        <w:t>n</w:t>
      </w:r>
      <w:r w:rsidRPr="003451D7">
        <w:rPr>
          <w:rFonts w:ascii="Palatino Linotype" w:eastAsia="Arial" w:hAnsi="Palatino Linotype" w:cs="Arial"/>
          <w:i/>
        </w:rPr>
        <w:t>s</w:t>
      </w:r>
      <w:r w:rsidRPr="003451D7">
        <w:rPr>
          <w:rFonts w:ascii="Palatino Linotype" w:eastAsia="Arial" w:hAnsi="Palatino Linotype" w:cs="Arial"/>
          <w:i/>
          <w:spacing w:val="1"/>
        </w:rPr>
        <w:t>pa</w:t>
      </w:r>
      <w:r w:rsidRPr="003451D7">
        <w:rPr>
          <w:rFonts w:ascii="Palatino Linotype" w:eastAsia="Arial" w:hAnsi="Palatino Linotype" w:cs="Arial"/>
          <w:i/>
        </w:rPr>
        <w:t>r</w:t>
      </w:r>
      <w:r w:rsidRPr="003451D7">
        <w:rPr>
          <w:rFonts w:ascii="Palatino Linotype" w:eastAsia="Arial" w:hAnsi="Palatino Linotype" w:cs="Arial"/>
          <w:i/>
          <w:spacing w:val="-2"/>
        </w:rPr>
        <w:t>e</w:t>
      </w:r>
      <w:r w:rsidRPr="003451D7">
        <w:rPr>
          <w:rFonts w:ascii="Palatino Linotype" w:eastAsia="Arial" w:hAnsi="Palatino Linotype" w:cs="Arial"/>
          <w:i/>
          <w:spacing w:val="1"/>
        </w:rPr>
        <w:t>n</w:t>
      </w:r>
      <w:r w:rsidRPr="003451D7">
        <w:rPr>
          <w:rFonts w:ascii="Palatino Linotype" w:eastAsia="Arial" w:hAnsi="Palatino Linotype" w:cs="Arial"/>
          <w:i/>
        </w:rPr>
        <w:t>cia y Acc</w:t>
      </w:r>
      <w:r w:rsidRPr="003451D7">
        <w:rPr>
          <w:rFonts w:ascii="Palatino Linotype" w:eastAsia="Arial" w:hAnsi="Palatino Linotype" w:cs="Arial"/>
          <w:i/>
          <w:spacing w:val="1"/>
        </w:rPr>
        <w:t>e</w:t>
      </w:r>
      <w:r w:rsidRPr="003451D7">
        <w:rPr>
          <w:rFonts w:ascii="Palatino Linotype" w:eastAsia="Arial" w:hAnsi="Palatino Linotype" w:cs="Arial"/>
          <w:i/>
        </w:rPr>
        <w:t>so a la I</w:t>
      </w:r>
      <w:r w:rsidRPr="003451D7">
        <w:rPr>
          <w:rFonts w:ascii="Palatino Linotype" w:eastAsia="Arial" w:hAnsi="Palatino Linotype" w:cs="Arial"/>
          <w:i/>
          <w:spacing w:val="-1"/>
        </w:rPr>
        <w:t>n</w:t>
      </w:r>
      <w:r w:rsidRPr="003451D7">
        <w:rPr>
          <w:rFonts w:ascii="Palatino Linotype" w:eastAsia="Arial" w:hAnsi="Palatino Linotype" w:cs="Arial"/>
          <w:i/>
        </w:rPr>
        <w:t>f</w:t>
      </w:r>
      <w:r w:rsidRPr="003451D7">
        <w:rPr>
          <w:rFonts w:ascii="Palatino Linotype" w:eastAsia="Arial" w:hAnsi="Palatino Linotype" w:cs="Arial"/>
          <w:i/>
          <w:spacing w:val="1"/>
        </w:rPr>
        <w:t>o</w:t>
      </w:r>
      <w:r w:rsidRPr="003451D7">
        <w:rPr>
          <w:rFonts w:ascii="Palatino Linotype" w:eastAsia="Arial" w:hAnsi="Palatino Linotype" w:cs="Arial"/>
          <w:i/>
          <w:spacing w:val="-3"/>
        </w:rPr>
        <w:t>r</w:t>
      </w:r>
      <w:r w:rsidRPr="003451D7">
        <w:rPr>
          <w:rFonts w:ascii="Palatino Linotype" w:eastAsia="Arial" w:hAnsi="Palatino Linotype" w:cs="Arial"/>
          <w:i/>
          <w:spacing w:val="1"/>
        </w:rPr>
        <w:t>ma</w:t>
      </w:r>
      <w:r w:rsidRPr="003451D7">
        <w:rPr>
          <w:rFonts w:ascii="Palatino Linotype" w:eastAsia="Arial" w:hAnsi="Palatino Linotype" w:cs="Arial"/>
          <w:i/>
        </w:rPr>
        <w:t>ci</w:t>
      </w:r>
      <w:r w:rsidRPr="003451D7">
        <w:rPr>
          <w:rFonts w:ascii="Palatino Linotype" w:eastAsia="Arial" w:hAnsi="Palatino Linotype" w:cs="Arial"/>
          <w:i/>
          <w:spacing w:val="-2"/>
        </w:rPr>
        <w:t>ó</w:t>
      </w:r>
      <w:r w:rsidRPr="003451D7">
        <w:rPr>
          <w:rFonts w:ascii="Palatino Linotype" w:eastAsia="Arial" w:hAnsi="Palatino Linotype" w:cs="Arial"/>
          <w:i/>
        </w:rPr>
        <w:t xml:space="preserve">n </w:t>
      </w:r>
      <w:r w:rsidRPr="003451D7">
        <w:rPr>
          <w:rFonts w:ascii="Palatino Linotype" w:eastAsia="Arial" w:hAnsi="Palatino Linotype" w:cs="Arial"/>
          <w:i/>
          <w:spacing w:val="-2"/>
        </w:rPr>
        <w:t>P</w:t>
      </w:r>
      <w:r w:rsidRPr="003451D7">
        <w:rPr>
          <w:rFonts w:ascii="Palatino Linotype" w:eastAsia="Arial" w:hAnsi="Palatino Linotype" w:cs="Arial"/>
          <w:i/>
          <w:spacing w:val="1"/>
        </w:rPr>
        <w:t>úb</w:t>
      </w:r>
      <w:r w:rsidRPr="003451D7">
        <w:rPr>
          <w:rFonts w:ascii="Palatino Linotype" w:eastAsia="Arial" w:hAnsi="Palatino Linotype" w:cs="Arial"/>
          <w:i/>
        </w:rPr>
        <w:t>l</w:t>
      </w:r>
      <w:r w:rsidRPr="003451D7">
        <w:rPr>
          <w:rFonts w:ascii="Palatino Linotype" w:eastAsia="Arial" w:hAnsi="Palatino Linotype" w:cs="Arial"/>
          <w:i/>
          <w:spacing w:val="-1"/>
        </w:rPr>
        <w:t>i</w:t>
      </w:r>
      <w:r w:rsidRPr="003451D7">
        <w:rPr>
          <w:rFonts w:ascii="Palatino Linotype" w:eastAsia="Arial" w:hAnsi="Palatino Linotype" w:cs="Arial"/>
          <w:i/>
        </w:rPr>
        <w:t xml:space="preserve">ca y </w:t>
      </w:r>
      <w:r w:rsidRPr="003451D7">
        <w:rPr>
          <w:rFonts w:ascii="Palatino Linotype" w:eastAsia="Arial" w:hAnsi="Palatino Linotype" w:cs="Arial"/>
          <w:i/>
          <w:spacing w:val="8"/>
        </w:rPr>
        <w:t xml:space="preserve">130, párrafo cuarto, </w:t>
      </w:r>
      <w:r w:rsidRPr="003451D7">
        <w:rPr>
          <w:rFonts w:ascii="Palatino Linotype" w:eastAsia="Arial" w:hAnsi="Palatino Linotype" w:cs="Arial"/>
          <w:i/>
          <w:spacing w:val="1"/>
        </w:rPr>
        <w:t>d</w:t>
      </w:r>
      <w:r w:rsidRPr="003451D7">
        <w:rPr>
          <w:rFonts w:ascii="Palatino Linotype" w:eastAsia="Arial" w:hAnsi="Palatino Linotype" w:cs="Arial"/>
          <w:i/>
        </w:rPr>
        <w:t xml:space="preserve">e la </w:t>
      </w:r>
      <w:r w:rsidRPr="003451D7">
        <w:rPr>
          <w:rFonts w:ascii="Palatino Linotype" w:eastAsia="Arial" w:hAnsi="Palatino Linotype" w:cs="Arial"/>
          <w:i/>
          <w:spacing w:val="-1"/>
        </w:rPr>
        <w:t>L</w:t>
      </w:r>
      <w:r w:rsidRPr="003451D7">
        <w:rPr>
          <w:rFonts w:ascii="Palatino Linotype" w:eastAsia="Arial" w:hAnsi="Palatino Linotype" w:cs="Arial"/>
          <w:i/>
          <w:spacing w:val="1"/>
        </w:rPr>
        <w:t>e</w:t>
      </w:r>
      <w:r w:rsidRPr="003451D7">
        <w:rPr>
          <w:rFonts w:ascii="Palatino Linotype" w:eastAsia="Arial" w:hAnsi="Palatino Linotype" w:cs="Arial"/>
          <w:i/>
        </w:rPr>
        <w:t>y Fe</w:t>
      </w:r>
      <w:r w:rsidRPr="003451D7">
        <w:rPr>
          <w:rFonts w:ascii="Palatino Linotype" w:eastAsia="Arial" w:hAnsi="Palatino Linotype" w:cs="Arial"/>
          <w:i/>
          <w:spacing w:val="1"/>
        </w:rPr>
        <w:t>de</w:t>
      </w:r>
      <w:r w:rsidRPr="003451D7">
        <w:rPr>
          <w:rFonts w:ascii="Palatino Linotype" w:eastAsia="Arial" w:hAnsi="Palatino Linotype" w:cs="Arial"/>
          <w:i/>
        </w:rPr>
        <w:t xml:space="preserve">ral </w:t>
      </w:r>
      <w:r w:rsidRPr="003451D7">
        <w:rPr>
          <w:rFonts w:ascii="Palatino Linotype" w:eastAsia="Arial" w:hAnsi="Palatino Linotype" w:cs="Arial"/>
          <w:i/>
          <w:spacing w:val="-1"/>
        </w:rPr>
        <w:t>d</w:t>
      </w:r>
      <w:r w:rsidRPr="003451D7">
        <w:rPr>
          <w:rFonts w:ascii="Palatino Linotype" w:eastAsia="Arial" w:hAnsi="Palatino Linotype" w:cs="Arial"/>
          <w:i/>
        </w:rPr>
        <w:t xml:space="preserve">e </w:t>
      </w:r>
      <w:r w:rsidRPr="003451D7">
        <w:rPr>
          <w:rFonts w:ascii="Palatino Linotype" w:eastAsia="Arial" w:hAnsi="Palatino Linotype" w:cs="Arial"/>
          <w:i/>
          <w:spacing w:val="2"/>
        </w:rPr>
        <w:t>T</w:t>
      </w:r>
      <w:r w:rsidRPr="003451D7">
        <w:rPr>
          <w:rFonts w:ascii="Palatino Linotype" w:eastAsia="Arial" w:hAnsi="Palatino Linotype" w:cs="Arial"/>
          <w:i/>
        </w:rPr>
        <w:t>r</w:t>
      </w:r>
      <w:r w:rsidRPr="003451D7">
        <w:rPr>
          <w:rFonts w:ascii="Palatino Linotype" w:eastAsia="Arial" w:hAnsi="Palatino Linotype" w:cs="Arial"/>
          <w:i/>
          <w:spacing w:val="-2"/>
        </w:rPr>
        <w:t>a</w:t>
      </w:r>
      <w:r w:rsidRPr="003451D7">
        <w:rPr>
          <w:rFonts w:ascii="Palatino Linotype" w:eastAsia="Arial" w:hAnsi="Palatino Linotype" w:cs="Arial"/>
          <w:i/>
          <w:spacing w:val="1"/>
        </w:rPr>
        <w:t>n</w:t>
      </w:r>
      <w:r w:rsidRPr="003451D7">
        <w:rPr>
          <w:rFonts w:ascii="Palatino Linotype" w:eastAsia="Arial" w:hAnsi="Palatino Linotype" w:cs="Arial"/>
          <w:i/>
        </w:rPr>
        <w:t>s</w:t>
      </w:r>
      <w:r w:rsidRPr="003451D7">
        <w:rPr>
          <w:rFonts w:ascii="Palatino Linotype" w:eastAsia="Arial" w:hAnsi="Palatino Linotype" w:cs="Arial"/>
          <w:i/>
          <w:spacing w:val="1"/>
        </w:rPr>
        <w:t>pa</w:t>
      </w:r>
      <w:r w:rsidRPr="003451D7">
        <w:rPr>
          <w:rFonts w:ascii="Palatino Linotype" w:eastAsia="Arial" w:hAnsi="Palatino Linotype" w:cs="Arial"/>
          <w:i/>
        </w:rPr>
        <w:t>r</w:t>
      </w:r>
      <w:r w:rsidRPr="003451D7">
        <w:rPr>
          <w:rFonts w:ascii="Palatino Linotype" w:eastAsia="Arial" w:hAnsi="Palatino Linotype" w:cs="Arial"/>
          <w:i/>
          <w:spacing w:val="-2"/>
        </w:rPr>
        <w:t>e</w:t>
      </w:r>
      <w:r w:rsidRPr="003451D7">
        <w:rPr>
          <w:rFonts w:ascii="Palatino Linotype" w:eastAsia="Arial" w:hAnsi="Palatino Linotype" w:cs="Arial"/>
          <w:i/>
          <w:spacing w:val="1"/>
        </w:rPr>
        <w:t>n</w:t>
      </w:r>
      <w:r w:rsidRPr="003451D7">
        <w:rPr>
          <w:rFonts w:ascii="Palatino Linotype" w:eastAsia="Arial" w:hAnsi="Palatino Linotype" w:cs="Arial"/>
          <w:i/>
        </w:rPr>
        <w:t>cia y Acc</w:t>
      </w:r>
      <w:r w:rsidRPr="003451D7">
        <w:rPr>
          <w:rFonts w:ascii="Palatino Linotype" w:eastAsia="Arial" w:hAnsi="Palatino Linotype" w:cs="Arial"/>
          <w:i/>
          <w:spacing w:val="1"/>
        </w:rPr>
        <w:t>e</w:t>
      </w:r>
      <w:r w:rsidRPr="003451D7">
        <w:rPr>
          <w:rFonts w:ascii="Palatino Linotype" w:eastAsia="Arial" w:hAnsi="Palatino Linotype" w:cs="Arial"/>
          <w:i/>
        </w:rPr>
        <w:t>so a la I</w:t>
      </w:r>
      <w:r w:rsidRPr="003451D7">
        <w:rPr>
          <w:rFonts w:ascii="Palatino Linotype" w:eastAsia="Arial" w:hAnsi="Palatino Linotype" w:cs="Arial"/>
          <w:i/>
          <w:spacing w:val="-1"/>
        </w:rPr>
        <w:t>n</w:t>
      </w:r>
      <w:r w:rsidRPr="003451D7">
        <w:rPr>
          <w:rFonts w:ascii="Palatino Linotype" w:eastAsia="Arial" w:hAnsi="Palatino Linotype" w:cs="Arial"/>
          <w:i/>
        </w:rPr>
        <w:t>f</w:t>
      </w:r>
      <w:r w:rsidRPr="003451D7">
        <w:rPr>
          <w:rFonts w:ascii="Palatino Linotype" w:eastAsia="Arial" w:hAnsi="Palatino Linotype" w:cs="Arial"/>
          <w:i/>
          <w:spacing w:val="1"/>
        </w:rPr>
        <w:t>o</w:t>
      </w:r>
      <w:r w:rsidRPr="003451D7">
        <w:rPr>
          <w:rFonts w:ascii="Palatino Linotype" w:eastAsia="Arial" w:hAnsi="Palatino Linotype" w:cs="Arial"/>
          <w:i/>
          <w:spacing w:val="-3"/>
        </w:rPr>
        <w:t>r</w:t>
      </w:r>
      <w:r w:rsidRPr="003451D7">
        <w:rPr>
          <w:rFonts w:ascii="Palatino Linotype" w:eastAsia="Arial" w:hAnsi="Palatino Linotype" w:cs="Arial"/>
          <w:i/>
          <w:spacing w:val="1"/>
        </w:rPr>
        <w:t>ma</w:t>
      </w:r>
      <w:r w:rsidRPr="003451D7">
        <w:rPr>
          <w:rFonts w:ascii="Palatino Linotype" w:eastAsia="Arial" w:hAnsi="Palatino Linotype" w:cs="Arial"/>
          <w:i/>
        </w:rPr>
        <w:t>ci</w:t>
      </w:r>
      <w:r w:rsidRPr="003451D7">
        <w:rPr>
          <w:rFonts w:ascii="Palatino Linotype" w:eastAsia="Arial" w:hAnsi="Palatino Linotype" w:cs="Arial"/>
          <w:i/>
          <w:spacing w:val="-2"/>
        </w:rPr>
        <w:t>ó</w:t>
      </w:r>
      <w:r w:rsidRPr="003451D7">
        <w:rPr>
          <w:rFonts w:ascii="Palatino Linotype" w:eastAsia="Arial" w:hAnsi="Palatino Linotype" w:cs="Arial"/>
          <w:i/>
        </w:rPr>
        <w:t xml:space="preserve">n </w:t>
      </w:r>
      <w:r w:rsidRPr="003451D7">
        <w:rPr>
          <w:rFonts w:ascii="Palatino Linotype" w:eastAsia="Arial" w:hAnsi="Palatino Linotype" w:cs="Arial"/>
          <w:i/>
          <w:spacing w:val="-2"/>
        </w:rPr>
        <w:t>P</w:t>
      </w:r>
      <w:r w:rsidRPr="003451D7">
        <w:rPr>
          <w:rFonts w:ascii="Palatino Linotype" w:eastAsia="Arial" w:hAnsi="Palatino Linotype" w:cs="Arial"/>
          <w:i/>
          <w:spacing w:val="1"/>
        </w:rPr>
        <w:t>úb</w:t>
      </w:r>
      <w:r w:rsidRPr="003451D7">
        <w:rPr>
          <w:rFonts w:ascii="Palatino Linotype" w:eastAsia="Arial" w:hAnsi="Palatino Linotype" w:cs="Arial"/>
          <w:i/>
        </w:rPr>
        <w:t>l</w:t>
      </w:r>
      <w:r w:rsidRPr="003451D7">
        <w:rPr>
          <w:rFonts w:ascii="Palatino Linotype" w:eastAsia="Arial" w:hAnsi="Palatino Linotype" w:cs="Arial"/>
          <w:i/>
          <w:spacing w:val="-1"/>
        </w:rPr>
        <w:t>i</w:t>
      </w:r>
      <w:r w:rsidRPr="003451D7">
        <w:rPr>
          <w:rFonts w:ascii="Palatino Linotype" w:eastAsia="Arial" w:hAnsi="Palatino Linotype" w:cs="Arial"/>
          <w:i/>
        </w:rPr>
        <w:t xml:space="preserve">ca, </w:t>
      </w:r>
      <w:r w:rsidRPr="003451D7">
        <w:rPr>
          <w:rFonts w:ascii="Palatino Linotype" w:eastAsia="Arial" w:hAnsi="Palatino Linotype" w:cs="Arial"/>
          <w:i/>
          <w:spacing w:val="-1"/>
        </w:rPr>
        <w:t>señalan q</w:t>
      </w:r>
      <w:r w:rsidRPr="003451D7">
        <w:rPr>
          <w:rFonts w:ascii="Palatino Linotype" w:eastAsia="Arial" w:hAnsi="Palatino Linotype" w:cs="Arial"/>
          <w:i/>
          <w:spacing w:val="1"/>
        </w:rPr>
        <w:t>u</w:t>
      </w:r>
      <w:r w:rsidRPr="003451D7">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3451D7">
        <w:rPr>
          <w:rFonts w:ascii="Palatino Linotype" w:eastAsia="Arial" w:hAnsi="Palatino Linotype" w:cs="Arial"/>
          <w:i/>
          <w:spacing w:val="-1"/>
        </w:rPr>
        <w:t xml:space="preserve"> sin necesidad de</w:t>
      </w:r>
      <w:r w:rsidRPr="003451D7">
        <w:rPr>
          <w:rFonts w:ascii="Palatino Linotype" w:eastAsia="Arial" w:hAnsi="Palatino Linotype" w:cs="Arial"/>
          <w:i/>
          <w:spacing w:val="1"/>
        </w:rPr>
        <w:t xml:space="preserve"> e</w:t>
      </w:r>
      <w:r w:rsidRPr="003451D7">
        <w:rPr>
          <w:rFonts w:ascii="Palatino Linotype" w:eastAsia="Arial" w:hAnsi="Palatino Linotype" w:cs="Arial"/>
          <w:i/>
        </w:rPr>
        <w:t>la</w:t>
      </w:r>
      <w:r w:rsidRPr="003451D7">
        <w:rPr>
          <w:rFonts w:ascii="Palatino Linotype" w:eastAsia="Arial" w:hAnsi="Palatino Linotype" w:cs="Arial"/>
          <w:i/>
          <w:spacing w:val="1"/>
        </w:rPr>
        <w:t>bo</w:t>
      </w:r>
      <w:r w:rsidRPr="003451D7">
        <w:rPr>
          <w:rFonts w:ascii="Palatino Linotype" w:eastAsia="Arial" w:hAnsi="Palatino Linotype" w:cs="Arial"/>
          <w:i/>
        </w:rPr>
        <w:t xml:space="preserve">rar </w:t>
      </w:r>
      <w:r w:rsidRPr="003451D7">
        <w:rPr>
          <w:rFonts w:ascii="Palatino Linotype" w:eastAsia="Arial" w:hAnsi="Palatino Linotype" w:cs="Arial"/>
          <w:i/>
          <w:spacing w:val="1"/>
        </w:rPr>
        <w:t>do</w:t>
      </w:r>
      <w:r w:rsidRPr="003451D7">
        <w:rPr>
          <w:rFonts w:ascii="Palatino Linotype" w:eastAsia="Arial" w:hAnsi="Palatino Linotype" w:cs="Arial"/>
          <w:i/>
          <w:spacing w:val="-2"/>
        </w:rPr>
        <w:t>c</w:t>
      </w:r>
      <w:r w:rsidRPr="003451D7">
        <w:rPr>
          <w:rFonts w:ascii="Palatino Linotype" w:eastAsia="Arial" w:hAnsi="Palatino Linotype" w:cs="Arial"/>
          <w:i/>
          <w:spacing w:val="1"/>
        </w:rPr>
        <w:t>u</w:t>
      </w:r>
      <w:r w:rsidRPr="003451D7">
        <w:rPr>
          <w:rFonts w:ascii="Palatino Linotype" w:eastAsia="Arial" w:hAnsi="Palatino Linotype" w:cs="Arial"/>
          <w:i/>
          <w:spacing w:val="-1"/>
        </w:rPr>
        <w:t>m</w:t>
      </w:r>
      <w:r w:rsidRPr="003451D7">
        <w:rPr>
          <w:rFonts w:ascii="Palatino Linotype" w:eastAsia="Arial" w:hAnsi="Palatino Linotype" w:cs="Arial"/>
          <w:i/>
          <w:spacing w:val="1"/>
        </w:rPr>
        <w:t>en</w:t>
      </w:r>
      <w:r w:rsidRPr="003451D7">
        <w:rPr>
          <w:rFonts w:ascii="Palatino Linotype" w:eastAsia="Arial" w:hAnsi="Palatino Linotype" w:cs="Arial"/>
          <w:i/>
          <w:spacing w:val="-2"/>
        </w:rPr>
        <w:t>t</w:t>
      </w:r>
      <w:r w:rsidRPr="003451D7">
        <w:rPr>
          <w:rFonts w:ascii="Palatino Linotype" w:eastAsia="Arial" w:hAnsi="Palatino Linotype" w:cs="Arial"/>
          <w:i/>
          <w:spacing w:val="1"/>
        </w:rPr>
        <w:t>o</w:t>
      </w:r>
      <w:r w:rsidRPr="003451D7">
        <w:rPr>
          <w:rFonts w:ascii="Palatino Linotype" w:eastAsia="Arial" w:hAnsi="Palatino Linotype" w:cs="Arial"/>
          <w:i/>
        </w:rPr>
        <w:t xml:space="preserve">s </w:t>
      </w:r>
      <w:r w:rsidRPr="003451D7">
        <w:rPr>
          <w:rFonts w:ascii="Palatino Linotype" w:eastAsia="Arial" w:hAnsi="Palatino Linotype" w:cs="Arial"/>
          <w:i/>
          <w:spacing w:val="1"/>
        </w:rPr>
        <w:t>a</w:t>
      </w:r>
      <w:r w:rsidRPr="003451D7">
        <w:rPr>
          <w:rFonts w:ascii="Palatino Linotype" w:eastAsia="Arial" w:hAnsi="Palatino Linotype" w:cs="Arial"/>
          <w:i/>
        </w:rPr>
        <w:t>d</w:t>
      </w:r>
      <w:r w:rsidRPr="003451D7">
        <w:rPr>
          <w:rFonts w:ascii="Palatino Linotype" w:eastAsia="Arial" w:hAnsi="Palatino Linotype" w:cs="Arial"/>
          <w:i/>
          <w:spacing w:val="1"/>
        </w:rPr>
        <w:t xml:space="preserve"> ho</w:t>
      </w:r>
      <w:r w:rsidRPr="003451D7">
        <w:rPr>
          <w:rFonts w:ascii="Palatino Linotype" w:eastAsia="Arial" w:hAnsi="Palatino Linotype" w:cs="Arial"/>
          <w:i/>
        </w:rPr>
        <w:t xml:space="preserve">c </w:t>
      </w:r>
      <w:r w:rsidRPr="003451D7">
        <w:rPr>
          <w:rFonts w:ascii="Palatino Linotype" w:eastAsia="Arial" w:hAnsi="Palatino Linotype" w:cs="Arial"/>
          <w:i/>
          <w:spacing w:val="1"/>
        </w:rPr>
        <w:t>pa</w:t>
      </w:r>
      <w:r w:rsidRPr="003451D7">
        <w:rPr>
          <w:rFonts w:ascii="Palatino Linotype" w:eastAsia="Arial" w:hAnsi="Palatino Linotype" w:cs="Arial"/>
          <w:i/>
        </w:rPr>
        <w:t xml:space="preserve">ra </w:t>
      </w:r>
      <w:r w:rsidRPr="003451D7">
        <w:rPr>
          <w:rFonts w:ascii="Palatino Linotype" w:eastAsia="Arial" w:hAnsi="Palatino Linotype" w:cs="Arial"/>
          <w:i/>
          <w:spacing w:val="1"/>
        </w:rPr>
        <w:t>a</w:t>
      </w:r>
      <w:r w:rsidRPr="003451D7">
        <w:rPr>
          <w:rFonts w:ascii="Palatino Linotype" w:eastAsia="Arial" w:hAnsi="Palatino Linotype" w:cs="Arial"/>
          <w:i/>
        </w:rPr>
        <w:t>t</w:t>
      </w:r>
      <w:r w:rsidRPr="003451D7">
        <w:rPr>
          <w:rFonts w:ascii="Palatino Linotype" w:eastAsia="Arial" w:hAnsi="Palatino Linotype" w:cs="Arial"/>
          <w:i/>
          <w:spacing w:val="-1"/>
        </w:rPr>
        <w:t>e</w:t>
      </w:r>
      <w:r w:rsidRPr="003451D7">
        <w:rPr>
          <w:rFonts w:ascii="Palatino Linotype" w:eastAsia="Arial" w:hAnsi="Palatino Linotype" w:cs="Arial"/>
          <w:i/>
          <w:spacing w:val="1"/>
        </w:rPr>
        <w:t>n</w:t>
      </w:r>
      <w:r w:rsidRPr="003451D7">
        <w:rPr>
          <w:rFonts w:ascii="Palatino Linotype" w:eastAsia="Arial" w:hAnsi="Palatino Linotype" w:cs="Arial"/>
          <w:i/>
          <w:spacing w:val="-1"/>
        </w:rPr>
        <w:t>d</w:t>
      </w:r>
      <w:r w:rsidRPr="003451D7">
        <w:rPr>
          <w:rFonts w:ascii="Palatino Linotype" w:eastAsia="Arial" w:hAnsi="Palatino Linotype" w:cs="Arial"/>
          <w:i/>
          <w:spacing w:val="1"/>
        </w:rPr>
        <w:t>e</w:t>
      </w:r>
      <w:r w:rsidRPr="003451D7">
        <w:rPr>
          <w:rFonts w:ascii="Palatino Linotype" w:eastAsia="Arial" w:hAnsi="Palatino Linotype" w:cs="Arial"/>
          <w:i/>
        </w:rPr>
        <w:t>r l</w:t>
      </w:r>
      <w:r w:rsidRPr="003451D7">
        <w:rPr>
          <w:rFonts w:ascii="Palatino Linotype" w:eastAsia="Arial" w:hAnsi="Palatino Linotype" w:cs="Arial"/>
          <w:i/>
          <w:spacing w:val="-2"/>
        </w:rPr>
        <w:t>a</w:t>
      </w:r>
      <w:r w:rsidRPr="003451D7">
        <w:rPr>
          <w:rFonts w:ascii="Palatino Linotype" w:eastAsia="Arial" w:hAnsi="Palatino Linotype" w:cs="Arial"/>
          <w:i/>
        </w:rPr>
        <w:t>s s</w:t>
      </w:r>
      <w:r w:rsidRPr="003451D7">
        <w:rPr>
          <w:rFonts w:ascii="Palatino Linotype" w:eastAsia="Arial" w:hAnsi="Palatino Linotype" w:cs="Arial"/>
          <w:i/>
          <w:spacing w:val="1"/>
        </w:rPr>
        <w:t>o</w:t>
      </w:r>
      <w:r w:rsidRPr="003451D7">
        <w:rPr>
          <w:rFonts w:ascii="Palatino Linotype" w:eastAsia="Arial" w:hAnsi="Palatino Linotype" w:cs="Arial"/>
          <w:i/>
        </w:rPr>
        <w:t>l</w:t>
      </w:r>
      <w:r w:rsidRPr="003451D7">
        <w:rPr>
          <w:rFonts w:ascii="Palatino Linotype" w:eastAsia="Arial" w:hAnsi="Palatino Linotype" w:cs="Arial"/>
          <w:i/>
          <w:spacing w:val="-1"/>
        </w:rPr>
        <w:t>i</w:t>
      </w:r>
      <w:r w:rsidRPr="003451D7">
        <w:rPr>
          <w:rFonts w:ascii="Palatino Linotype" w:eastAsia="Arial" w:hAnsi="Palatino Linotype" w:cs="Arial"/>
          <w:i/>
        </w:rPr>
        <w:t>cit</w:t>
      </w:r>
      <w:r w:rsidRPr="003451D7">
        <w:rPr>
          <w:rFonts w:ascii="Palatino Linotype" w:eastAsia="Arial" w:hAnsi="Palatino Linotype" w:cs="Arial"/>
          <w:i/>
          <w:spacing w:val="1"/>
        </w:rPr>
        <w:t>ude</w:t>
      </w:r>
      <w:r w:rsidRPr="003451D7">
        <w:rPr>
          <w:rFonts w:ascii="Palatino Linotype" w:eastAsia="Arial" w:hAnsi="Palatino Linotype" w:cs="Arial"/>
          <w:i/>
        </w:rPr>
        <w:t xml:space="preserve">s </w:t>
      </w:r>
      <w:r w:rsidRPr="003451D7">
        <w:rPr>
          <w:rFonts w:ascii="Palatino Linotype" w:eastAsia="Arial" w:hAnsi="Palatino Linotype" w:cs="Arial"/>
          <w:i/>
          <w:spacing w:val="-1"/>
        </w:rPr>
        <w:t>d</w:t>
      </w:r>
      <w:r w:rsidRPr="003451D7">
        <w:rPr>
          <w:rFonts w:ascii="Palatino Linotype" w:eastAsia="Arial" w:hAnsi="Palatino Linotype" w:cs="Arial"/>
          <w:i/>
        </w:rPr>
        <w:t>e i</w:t>
      </w:r>
      <w:r w:rsidRPr="003451D7">
        <w:rPr>
          <w:rFonts w:ascii="Palatino Linotype" w:eastAsia="Arial" w:hAnsi="Palatino Linotype" w:cs="Arial"/>
          <w:i/>
          <w:spacing w:val="-2"/>
        </w:rPr>
        <w:t>n</w:t>
      </w:r>
      <w:r w:rsidRPr="003451D7">
        <w:rPr>
          <w:rFonts w:ascii="Palatino Linotype" w:eastAsia="Arial" w:hAnsi="Palatino Linotype" w:cs="Arial"/>
          <w:i/>
        </w:rPr>
        <w:t>f</w:t>
      </w:r>
      <w:r w:rsidRPr="003451D7">
        <w:rPr>
          <w:rFonts w:ascii="Palatino Linotype" w:eastAsia="Arial" w:hAnsi="Palatino Linotype" w:cs="Arial"/>
          <w:i/>
          <w:spacing w:val="1"/>
        </w:rPr>
        <w:t>o</w:t>
      </w:r>
      <w:r w:rsidRPr="003451D7">
        <w:rPr>
          <w:rFonts w:ascii="Palatino Linotype" w:eastAsia="Arial" w:hAnsi="Palatino Linotype" w:cs="Arial"/>
          <w:i/>
        </w:rPr>
        <w:t>r</w:t>
      </w:r>
      <w:r w:rsidRPr="003451D7">
        <w:rPr>
          <w:rFonts w:ascii="Palatino Linotype" w:eastAsia="Arial" w:hAnsi="Palatino Linotype" w:cs="Arial"/>
          <w:i/>
          <w:spacing w:val="-1"/>
        </w:rPr>
        <w:t>m</w:t>
      </w:r>
      <w:r w:rsidRPr="003451D7">
        <w:rPr>
          <w:rFonts w:ascii="Palatino Linotype" w:eastAsia="Arial" w:hAnsi="Palatino Linotype" w:cs="Arial"/>
          <w:i/>
          <w:spacing w:val="1"/>
        </w:rPr>
        <w:t>a</w:t>
      </w:r>
      <w:r w:rsidRPr="003451D7">
        <w:rPr>
          <w:rFonts w:ascii="Palatino Linotype" w:eastAsia="Arial" w:hAnsi="Palatino Linotype" w:cs="Arial"/>
          <w:i/>
        </w:rPr>
        <w:t>ció</w:t>
      </w:r>
      <w:r w:rsidRPr="003451D7">
        <w:rPr>
          <w:rFonts w:ascii="Palatino Linotype" w:eastAsia="Arial" w:hAnsi="Palatino Linotype" w:cs="Arial"/>
          <w:i/>
          <w:spacing w:val="1"/>
        </w:rPr>
        <w:t>n</w:t>
      </w:r>
      <w:r w:rsidRPr="003451D7">
        <w:rPr>
          <w:rFonts w:ascii="Palatino Linotype" w:eastAsia="Arial" w:hAnsi="Palatino Linotype" w:cs="Arial"/>
          <w:i/>
        </w:rPr>
        <w:t>.”</w:t>
      </w:r>
    </w:p>
    <w:p w:rsidR="0090033B" w:rsidRPr="00FB64F9" w:rsidRDefault="0090033B" w:rsidP="001F432F">
      <w:pPr>
        <w:pStyle w:val="Sinespaciado"/>
      </w:pPr>
    </w:p>
    <w:p w:rsidR="0090033B" w:rsidRPr="001F432F" w:rsidRDefault="0090033B" w:rsidP="0090033B">
      <w:pPr>
        <w:spacing w:line="360" w:lineRule="auto"/>
        <w:jc w:val="both"/>
        <w:rPr>
          <w:rFonts w:ascii="Palatino Linotype" w:hAnsi="Palatino Linotype" w:cs="Tahoma"/>
          <w:sz w:val="24"/>
          <w:szCs w:val="24"/>
          <w:lang w:val="es-ES"/>
        </w:rPr>
      </w:pPr>
      <w:r w:rsidRPr="001F432F">
        <w:rPr>
          <w:rFonts w:ascii="Palatino Linotype" w:hAnsi="Palatino Linotype" w:cs="Tahoma"/>
          <w:sz w:val="24"/>
          <w:szCs w:val="24"/>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rsidR="0090033B" w:rsidRPr="001F432F" w:rsidRDefault="0090033B" w:rsidP="001F432F">
      <w:pPr>
        <w:pStyle w:val="Sinespaciado"/>
        <w:rPr>
          <w:sz w:val="24"/>
        </w:rPr>
      </w:pPr>
    </w:p>
    <w:p w:rsidR="0090033B" w:rsidRPr="001F432F" w:rsidRDefault="0090033B" w:rsidP="0090033B">
      <w:pPr>
        <w:spacing w:line="360" w:lineRule="auto"/>
        <w:ind w:right="-93"/>
        <w:jc w:val="both"/>
        <w:rPr>
          <w:rFonts w:ascii="Palatino Linotype" w:eastAsia="Calibri" w:hAnsi="Palatino Linotype" w:cs="Tahoma"/>
          <w:sz w:val="24"/>
        </w:rPr>
      </w:pPr>
      <w:r w:rsidRPr="001F432F">
        <w:rPr>
          <w:rFonts w:ascii="Palatino Linotype" w:eastAsia="Calibri" w:hAnsi="Palatino Linotype" w:cs="Tahoma"/>
          <w:sz w:val="24"/>
        </w:rPr>
        <w:t xml:space="preserve">De todo lo antes expuesto se colige </w:t>
      </w:r>
      <w:r w:rsidRPr="001F432F">
        <w:rPr>
          <w:rFonts w:ascii="Palatino Linotype" w:eastAsia="Calibri" w:hAnsi="Palatino Linotype" w:cs="Tahoma"/>
          <w:b/>
          <w:sz w:val="24"/>
        </w:rPr>
        <w:t>que el Sujeto Obligado, cuenta con la competencia para conocer, generar y proporcionar la documentación que da cuenta de la información solicitada por el Particular, en los términos antes expuesto,</w:t>
      </w:r>
      <w:r w:rsidRPr="001F432F">
        <w:rPr>
          <w:rFonts w:ascii="Palatino Linotype" w:eastAsia="Calibri" w:hAnsi="Palatino Linotype" w:cs="Tahoma"/>
          <w:sz w:val="24"/>
        </w:rPr>
        <w:t xml:space="preserve"> haciendo la aclaración que, por cuanto hace a la documentación que puede dar cuenta del numeral </w:t>
      </w:r>
      <w:r w:rsidRPr="001F432F">
        <w:rPr>
          <w:rFonts w:ascii="Palatino Linotype" w:eastAsia="Calibri" w:hAnsi="Palatino Linotype" w:cs="Tahoma"/>
          <w:sz w:val="24"/>
        </w:rPr>
        <w:lastRenderedPageBreak/>
        <w:t xml:space="preserve">1 correspondiente a las remuneraciones, estos pueden contener datos personales confidenciales,  por lo que se deberá entregar en su versión publica acompañado del acuerdo de clasificación que para tales efectos emita su Comité de Transparencia, en términos del siguiente apartado. </w:t>
      </w:r>
    </w:p>
    <w:p w:rsidR="0090033B" w:rsidRDefault="0090033B" w:rsidP="001F432F">
      <w:pPr>
        <w:pStyle w:val="Sinespaciado"/>
      </w:pPr>
    </w:p>
    <w:p w:rsidR="0090033B" w:rsidRPr="00D55EBE" w:rsidRDefault="0090033B" w:rsidP="0090033B">
      <w:pPr>
        <w:spacing w:line="360" w:lineRule="auto"/>
        <w:jc w:val="both"/>
        <w:rPr>
          <w:rFonts w:ascii="Palatino Linotype" w:hAnsi="Palatino Linotype" w:cs="Tahoma"/>
          <w:b/>
        </w:rPr>
      </w:pPr>
      <w:r w:rsidRPr="00D55EBE">
        <w:rPr>
          <w:rFonts w:ascii="Palatino Linotype" w:hAnsi="Palatino Linotype" w:cs="Tahoma"/>
          <w:b/>
        </w:rPr>
        <w:t>Versión pública.</w:t>
      </w:r>
    </w:p>
    <w:p w:rsidR="0090033B" w:rsidRPr="00D55EBE" w:rsidRDefault="0090033B" w:rsidP="001F432F">
      <w:pPr>
        <w:pStyle w:val="Sinespaciado"/>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rsidR="0090033B" w:rsidRPr="00731D0A" w:rsidRDefault="0090033B" w:rsidP="001F432F">
      <w:pPr>
        <w:pStyle w:val="Sinespaciado"/>
        <w:rPr>
          <w:sz w:val="24"/>
          <w:szCs w:val="24"/>
        </w:rPr>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90033B" w:rsidRPr="00731D0A" w:rsidRDefault="0090033B" w:rsidP="001F432F">
      <w:pPr>
        <w:pStyle w:val="Sinespaciado"/>
        <w:rPr>
          <w:sz w:val="24"/>
          <w:szCs w:val="24"/>
        </w:rPr>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90033B" w:rsidRPr="00731D0A" w:rsidRDefault="0090033B" w:rsidP="001F432F">
      <w:pPr>
        <w:pStyle w:val="Sinespaciado"/>
        <w:rPr>
          <w:sz w:val="24"/>
          <w:szCs w:val="24"/>
        </w:rPr>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rsidR="0090033B" w:rsidRPr="00731D0A" w:rsidRDefault="0090033B" w:rsidP="00731D0A">
      <w:pPr>
        <w:pStyle w:val="Sinespaciado"/>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90033B" w:rsidRPr="00731D0A" w:rsidRDefault="0090033B" w:rsidP="00731D0A">
      <w:pPr>
        <w:pStyle w:val="Sinespaciado"/>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t>En términos de lo expuesto, la documentación y aquellos datos que se consideren confidenciales, serán una limitante del derecho de acceso a la información, siempre y cuando:</w:t>
      </w:r>
    </w:p>
    <w:p w:rsidR="0090033B" w:rsidRPr="00731D0A" w:rsidRDefault="0090033B" w:rsidP="00731D0A">
      <w:pPr>
        <w:pStyle w:val="Sinespaciado"/>
      </w:pPr>
    </w:p>
    <w:p w:rsidR="0090033B" w:rsidRPr="00731D0A" w:rsidRDefault="0090033B" w:rsidP="0090033B">
      <w:pPr>
        <w:numPr>
          <w:ilvl w:val="0"/>
          <w:numId w:val="29"/>
        </w:numPr>
        <w:spacing w:after="0"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t xml:space="preserve">Se trate de datos personales o información privada; esto es, información concerniente a una persona física o jurídico colectiva y que ésta sea identificada o identificable. </w:t>
      </w:r>
    </w:p>
    <w:p w:rsidR="0090033B" w:rsidRPr="00731D0A" w:rsidRDefault="0090033B" w:rsidP="0090033B">
      <w:pPr>
        <w:numPr>
          <w:ilvl w:val="0"/>
          <w:numId w:val="29"/>
        </w:numPr>
        <w:spacing w:after="0"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t xml:space="preserve">Para la difusión de los datos, se requiera el consentimiento del titular. </w:t>
      </w:r>
    </w:p>
    <w:p w:rsidR="0090033B" w:rsidRPr="00731D0A" w:rsidRDefault="0090033B" w:rsidP="0090033B">
      <w:pPr>
        <w:spacing w:line="360" w:lineRule="auto"/>
        <w:ind w:right="-93"/>
        <w:jc w:val="both"/>
        <w:rPr>
          <w:rFonts w:ascii="Palatino Linotype" w:hAnsi="Palatino Linotype" w:cs="Tahoma"/>
          <w:bCs/>
          <w:iCs/>
          <w:sz w:val="24"/>
          <w:szCs w:val="24"/>
        </w:rPr>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0090033B" w:rsidRPr="00731D0A" w:rsidRDefault="0090033B" w:rsidP="00731D0A">
      <w:pPr>
        <w:pStyle w:val="Sinespaciado"/>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t>Además, en el artículo 5° de dicho ordenamiento jurídico, establece que es la Ley aplicable para todo tratamiento de datos personales.</w:t>
      </w:r>
    </w:p>
    <w:p w:rsidR="0090033B" w:rsidRPr="00731D0A" w:rsidRDefault="0090033B" w:rsidP="00731D0A">
      <w:pPr>
        <w:pStyle w:val="Sinespaciado"/>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90033B" w:rsidRPr="00731D0A" w:rsidRDefault="0090033B" w:rsidP="00731D0A">
      <w:pPr>
        <w:pStyle w:val="Sinespaciado"/>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t xml:space="preserve">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w:t>
      </w:r>
      <w:r w:rsidRPr="00731D0A">
        <w:rPr>
          <w:rFonts w:ascii="Palatino Linotype" w:hAnsi="Palatino Linotype" w:cs="Tahoma"/>
          <w:bCs/>
          <w:iCs/>
          <w:sz w:val="24"/>
          <w:szCs w:val="24"/>
        </w:rPr>
        <w:lastRenderedPageBreak/>
        <w:t>relacionada con otra permita hacer identificable a una persona, es un dato personal, susceptible de ser clasificado.</w:t>
      </w:r>
    </w:p>
    <w:p w:rsidR="0090033B" w:rsidRPr="00731D0A" w:rsidRDefault="0090033B" w:rsidP="00731D0A">
      <w:pPr>
        <w:pStyle w:val="Sinespaciado"/>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90033B" w:rsidRPr="00731D0A" w:rsidRDefault="0090033B" w:rsidP="00731D0A">
      <w:pPr>
        <w:pStyle w:val="Sinespaciado"/>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t>De tal suerte, las instituciones públicas tienen la doble responsabilidad, por un lado de proteger los datos personales y por otro, darles publicidad cuando la relevancia de esos datos sea de interés público.</w:t>
      </w:r>
    </w:p>
    <w:p w:rsidR="0090033B" w:rsidRPr="00731D0A" w:rsidRDefault="0090033B" w:rsidP="00731D0A">
      <w:pPr>
        <w:pStyle w:val="Sinespaciado"/>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0090033B" w:rsidRPr="00731D0A" w:rsidRDefault="0090033B" w:rsidP="0090033B">
      <w:pPr>
        <w:spacing w:line="360" w:lineRule="auto"/>
        <w:ind w:right="-93"/>
        <w:jc w:val="both"/>
        <w:rPr>
          <w:rFonts w:ascii="Palatino Linotype" w:hAnsi="Palatino Linotype" w:cs="Tahoma"/>
          <w:bCs/>
          <w:iCs/>
          <w:sz w:val="24"/>
          <w:szCs w:val="24"/>
        </w:rPr>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lastRenderedPageBreak/>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90033B" w:rsidRPr="00731D0A" w:rsidRDefault="0090033B" w:rsidP="00731D0A">
      <w:pPr>
        <w:pStyle w:val="Sinespaciado"/>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90033B" w:rsidRPr="00731D0A" w:rsidRDefault="0090033B" w:rsidP="00731D0A">
      <w:pPr>
        <w:pStyle w:val="Sinespaciado"/>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t xml:space="preserve">Bajo este esquema y derivado del análisis a la nómina, se aprecia que es un documento que contiene información susceptible de clasificarse por considerarse información confidencial, la cual de manera enunciativa mas no limitativa, puede contener el </w:t>
      </w:r>
      <w:r w:rsidRPr="00731D0A">
        <w:rPr>
          <w:rFonts w:ascii="Palatino Linotype" w:hAnsi="Palatino Linotype" w:cs="Tahoma"/>
          <w:b/>
          <w:bCs/>
          <w:iCs/>
          <w:sz w:val="24"/>
          <w:szCs w:val="24"/>
        </w:rPr>
        <w:t>Registro Federal de Contribuyentes</w:t>
      </w:r>
      <w:r w:rsidRPr="00731D0A">
        <w:rPr>
          <w:rFonts w:ascii="Palatino Linotype" w:hAnsi="Palatino Linotype" w:cs="Tahoma"/>
          <w:bCs/>
          <w:iCs/>
          <w:sz w:val="24"/>
          <w:szCs w:val="24"/>
        </w:rPr>
        <w:t xml:space="preserve"> (RFC), la </w:t>
      </w:r>
      <w:r w:rsidRPr="00731D0A">
        <w:rPr>
          <w:rFonts w:ascii="Palatino Linotype" w:hAnsi="Palatino Linotype" w:cs="Tahoma"/>
          <w:b/>
          <w:bCs/>
          <w:iCs/>
          <w:sz w:val="24"/>
          <w:szCs w:val="24"/>
        </w:rPr>
        <w:t>Clave Única de Registro de Población</w:t>
      </w:r>
      <w:r w:rsidRPr="00731D0A">
        <w:rPr>
          <w:rFonts w:ascii="Palatino Linotype" w:hAnsi="Palatino Linotype" w:cs="Tahoma"/>
          <w:bCs/>
          <w:iCs/>
          <w:sz w:val="24"/>
          <w:szCs w:val="24"/>
        </w:rPr>
        <w:t xml:space="preserve"> </w:t>
      </w:r>
      <w:r w:rsidRPr="00731D0A">
        <w:rPr>
          <w:rFonts w:ascii="Palatino Linotype" w:hAnsi="Palatino Linotype" w:cs="Tahoma"/>
          <w:bCs/>
          <w:iCs/>
          <w:sz w:val="24"/>
          <w:szCs w:val="24"/>
        </w:rPr>
        <w:lastRenderedPageBreak/>
        <w:t xml:space="preserve">(CURP), la </w:t>
      </w:r>
      <w:r w:rsidRPr="00731D0A">
        <w:rPr>
          <w:rFonts w:ascii="Palatino Linotype" w:hAnsi="Palatino Linotype" w:cs="Tahoma"/>
          <w:b/>
          <w:bCs/>
          <w:iCs/>
          <w:sz w:val="24"/>
          <w:szCs w:val="24"/>
        </w:rPr>
        <w:t>Clave de cualquier tipo de seguridad social</w:t>
      </w:r>
      <w:r w:rsidRPr="00731D0A">
        <w:rPr>
          <w:rFonts w:ascii="Palatino Linotype" w:hAnsi="Palatino Linotype" w:cs="Tahoma"/>
          <w:bCs/>
          <w:iCs/>
          <w:sz w:val="24"/>
          <w:szCs w:val="24"/>
        </w:rPr>
        <w:t xml:space="preserve"> (ISSEMYM, u otros), así como, los </w:t>
      </w:r>
      <w:r w:rsidRPr="00731D0A">
        <w:rPr>
          <w:rFonts w:ascii="Palatino Linotype" w:hAnsi="Palatino Linotype" w:cs="Tahoma"/>
          <w:b/>
          <w:bCs/>
          <w:iCs/>
          <w:sz w:val="24"/>
          <w:szCs w:val="24"/>
        </w:rPr>
        <w:t xml:space="preserve">préstamos o descuentos  personales </w:t>
      </w:r>
      <w:r w:rsidRPr="00731D0A">
        <w:rPr>
          <w:rFonts w:ascii="Palatino Linotype" w:hAnsi="Palatino Linotype" w:cs="Tahoma"/>
          <w:bCs/>
          <w:iCs/>
          <w:sz w:val="24"/>
          <w:szCs w:val="24"/>
        </w:rPr>
        <w:t>que se le hagan al servidor público.</w:t>
      </w:r>
    </w:p>
    <w:p w:rsidR="0090033B" w:rsidRPr="00731D0A" w:rsidRDefault="0090033B" w:rsidP="00731D0A">
      <w:pPr>
        <w:pStyle w:val="Sinespaciado"/>
      </w:pPr>
    </w:p>
    <w:p w:rsidR="0090033B" w:rsidRPr="00731D0A" w:rsidRDefault="0090033B" w:rsidP="0090033B">
      <w:pPr>
        <w:pStyle w:val="Prrafodelista"/>
        <w:numPr>
          <w:ilvl w:val="0"/>
          <w:numId w:val="31"/>
        </w:numPr>
        <w:spacing w:line="360" w:lineRule="auto"/>
        <w:ind w:right="-93"/>
        <w:contextualSpacing/>
        <w:jc w:val="both"/>
        <w:rPr>
          <w:rFonts w:ascii="Palatino Linotype" w:hAnsi="Palatino Linotype" w:cs="Tahoma"/>
          <w:bCs/>
          <w:iCs/>
        </w:rPr>
      </w:pPr>
      <w:r w:rsidRPr="00731D0A">
        <w:rPr>
          <w:rFonts w:ascii="Palatino Linotype" w:hAnsi="Palatino Linotype" w:cs="Tahoma"/>
          <w:b/>
          <w:bCs/>
          <w:iCs/>
        </w:rPr>
        <w:t>Registro Federal de Contribuyentes</w:t>
      </w:r>
      <w:r w:rsidRPr="00731D0A">
        <w:rPr>
          <w:rFonts w:ascii="Palatino Linotype" w:hAnsi="Palatino Linotype" w:cs="Tahoma"/>
          <w:bCs/>
          <w:iCs/>
        </w:rPr>
        <w:t xml:space="preserve"> (RFC)</w:t>
      </w:r>
    </w:p>
    <w:p w:rsidR="0090033B" w:rsidRPr="00731D0A" w:rsidRDefault="0090033B" w:rsidP="00731D0A">
      <w:pPr>
        <w:pStyle w:val="Sinespaciado"/>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90033B" w:rsidRPr="00731D0A" w:rsidRDefault="0090033B" w:rsidP="00731D0A">
      <w:pPr>
        <w:pStyle w:val="Sinespaciado"/>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90033B" w:rsidRPr="00731D0A" w:rsidRDefault="0090033B" w:rsidP="00731D0A">
      <w:pPr>
        <w:pStyle w:val="Sinespaciado"/>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90033B" w:rsidRPr="00731D0A" w:rsidRDefault="0090033B" w:rsidP="0090033B">
      <w:pPr>
        <w:spacing w:line="360" w:lineRule="auto"/>
        <w:ind w:right="-93"/>
        <w:jc w:val="both"/>
        <w:rPr>
          <w:rFonts w:ascii="Palatino Linotype" w:hAnsi="Palatino Linotype" w:cs="Tahoma"/>
          <w:bCs/>
          <w:iCs/>
          <w:sz w:val="24"/>
          <w:szCs w:val="24"/>
        </w:rPr>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lastRenderedPageBreak/>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90033B" w:rsidRPr="00731D0A" w:rsidRDefault="0090033B" w:rsidP="00731D0A">
      <w:pPr>
        <w:pStyle w:val="Sinespaciado"/>
      </w:pPr>
    </w:p>
    <w:p w:rsidR="0090033B" w:rsidRPr="00731D0A" w:rsidRDefault="0090033B" w:rsidP="0090033B">
      <w:pPr>
        <w:spacing w:line="360" w:lineRule="auto"/>
        <w:ind w:right="-93"/>
        <w:jc w:val="both"/>
        <w:rPr>
          <w:rFonts w:ascii="Palatino Linotype" w:hAnsi="Palatino Linotype" w:cs="Tahoma"/>
          <w:bCs/>
          <w:iCs/>
          <w:sz w:val="24"/>
          <w:szCs w:val="24"/>
        </w:rPr>
      </w:pPr>
      <w:r w:rsidRPr="00731D0A">
        <w:rPr>
          <w:rFonts w:ascii="Palatino Linotype" w:hAnsi="Palatino Linotype" w:cs="Tahoma"/>
          <w:bCs/>
          <w:iCs/>
          <w:sz w:val="24"/>
          <w:szCs w:val="24"/>
        </w:rPr>
        <w:t>Lo anterior, resulta congruente con el Criterio 19/17 emitido por el Instituto Nacional de Transparencia, Acceso a la Información y Protección de Datos Personales, en el cual se señala lo siguiente:</w:t>
      </w:r>
    </w:p>
    <w:p w:rsidR="0090033B" w:rsidRPr="00D55EBE" w:rsidRDefault="0090033B" w:rsidP="0090033B">
      <w:pPr>
        <w:spacing w:line="360" w:lineRule="auto"/>
        <w:ind w:right="-93"/>
        <w:jc w:val="both"/>
        <w:rPr>
          <w:rFonts w:ascii="Palatino Linotype" w:hAnsi="Palatino Linotype" w:cs="Tahoma"/>
          <w:bCs/>
          <w:iCs/>
        </w:rPr>
      </w:pPr>
    </w:p>
    <w:p w:rsidR="0090033B" w:rsidRPr="00D55EBE" w:rsidRDefault="0090033B" w:rsidP="0090033B">
      <w:pPr>
        <w:spacing w:line="360" w:lineRule="auto"/>
        <w:ind w:left="567" w:right="539"/>
        <w:jc w:val="both"/>
        <w:rPr>
          <w:rFonts w:ascii="Palatino Linotype" w:hAnsi="Palatino Linotype" w:cs="Tahoma"/>
          <w:bCs/>
          <w:i/>
          <w:iCs/>
        </w:rPr>
      </w:pPr>
      <w:r w:rsidRPr="00D55EBE">
        <w:rPr>
          <w:rFonts w:ascii="Palatino Linotype" w:hAnsi="Palatino Linotype" w:cs="Tahoma"/>
          <w:bCs/>
          <w:i/>
          <w:iCs/>
        </w:rPr>
        <w:t>“</w:t>
      </w:r>
      <w:r w:rsidRPr="00D55EBE">
        <w:rPr>
          <w:rFonts w:ascii="Palatino Linotype" w:hAnsi="Palatino Linotype" w:cs="Tahoma"/>
          <w:b/>
          <w:bCs/>
          <w:i/>
          <w:iCs/>
        </w:rPr>
        <w:t>Registro Federal de Contribuyentes (RFC) de personas físicas</w:t>
      </w:r>
      <w:r w:rsidRPr="00D55EBE">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rsidR="0090033B" w:rsidRPr="00D55EBE" w:rsidRDefault="0090033B" w:rsidP="00731D0A">
      <w:pPr>
        <w:pStyle w:val="Sinespaciado"/>
      </w:pPr>
    </w:p>
    <w:p w:rsidR="0090033B" w:rsidRPr="00731D0A" w:rsidRDefault="0090033B" w:rsidP="0090033B">
      <w:pPr>
        <w:spacing w:line="360" w:lineRule="auto"/>
        <w:ind w:right="-93"/>
        <w:jc w:val="both"/>
        <w:rPr>
          <w:rFonts w:ascii="Palatino Linotype" w:hAnsi="Palatino Linotype" w:cs="Tahoma"/>
          <w:bCs/>
          <w:iCs/>
          <w:sz w:val="24"/>
        </w:rPr>
      </w:pPr>
      <w:r w:rsidRPr="00731D0A">
        <w:rPr>
          <w:rFonts w:ascii="Palatino Linotype" w:hAnsi="Palatino Linotype" w:cs="Tahoma"/>
          <w:bCs/>
          <w:iCs/>
          <w:sz w:val="24"/>
        </w:rPr>
        <w:t xml:space="preserve">De tal suerte, el Registro Federal de Contribuyentes de los servidores públicos no guarda relación con la transparencia de los recursos públicos, así como tampoco con el desempeño laboral que pueda tener una persona, </w:t>
      </w:r>
      <w:r w:rsidRPr="00731D0A">
        <w:rPr>
          <w:rFonts w:ascii="Palatino Linotype" w:hAnsi="Palatino Linotype" w:cs="Tahoma"/>
          <w:b/>
          <w:bCs/>
          <w:iCs/>
          <w:sz w:val="24"/>
        </w:rPr>
        <w:t>por lo que constituye un dato personal confidencial al actualizar el supuesto normativo del artículo 143, fracción I de la Ley de Transparencia y Acceso a la Información Pública del Estado de México y Municipios.</w:t>
      </w:r>
    </w:p>
    <w:p w:rsidR="0090033B" w:rsidRPr="00D55EBE" w:rsidRDefault="0090033B" w:rsidP="00731D0A">
      <w:pPr>
        <w:pStyle w:val="Sinespaciado"/>
      </w:pPr>
    </w:p>
    <w:p w:rsidR="0090033B" w:rsidRPr="00D55EBE" w:rsidRDefault="0090033B" w:rsidP="0090033B">
      <w:pPr>
        <w:pStyle w:val="Prrafodelista"/>
        <w:numPr>
          <w:ilvl w:val="0"/>
          <w:numId w:val="31"/>
        </w:numPr>
        <w:spacing w:line="360" w:lineRule="auto"/>
        <w:ind w:right="-93"/>
        <w:contextualSpacing/>
        <w:jc w:val="both"/>
        <w:rPr>
          <w:rFonts w:ascii="Palatino Linotype" w:hAnsi="Palatino Linotype" w:cs="Tahoma"/>
          <w:b/>
          <w:szCs w:val="22"/>
        </w:rPr>
      </w:pPr>
      <w:r w:rsidRPr="00D55EBE">
        <w:rPr>
          <w:rFonts w:ascii="Palatino Linotype" w:hAnsi="Palatino Linotype" w:cs="Tahoma"/>
          <w:b/>
          <w:szCs w:val="22"/>
        </w:rPr>
        <w:t>Clave Única de Registro de Población (CURP).</w:t>
      </w:r>
    </w:p>
    <w:p w:rsidR="0090033B" w:rsidRPr="00D55EBE" w:rsidRDefault="0090033B" w:rsidP="0090033B">
      <w:pPr>
        <w:spacing w:line="360" w:lineRule="auto"/>
        <w:contextualSpacing/>
        <w:jc w:val="both"/>
        <w:rPr>
          <w:rFonts w:ascii="Palatino Linotype" w:hAnsi="Palatino Linotype" w:cs="Tahoma"/>
          <w:lang w:eastAsia="es-MX"/>
        </w:rPr>
      </w:pPr>
    </w:p>
    <w:p w:rsidR="0090033B" w:rsidRPr="00731D0A" w:rsidRDefault="0090033B" w:rsidP="0090033B">
      <w:pPr>
        <w:spacing w:line="360" w:lineRule="auto"/>
        <w:contextualSpacing/>
        <w:jc w:val="both"/>
        <w:rPr>
          <w:rFonts w:ascii="Palatino Linotype" w:hAnsi="Palatino Linotype" w:cs="Tahoma"/>
          <w:sz w:val="24"/>
          <w:lang w:eastAsia="es-MX"/>
        </w:rPr>
      </w:pPr>
      <w:r w:rsidRPr="00731D0A">
        <w:rPr>
          <w:rFonts w:ascii="Palatino Linotype" w:hAnsi="Palatino Linotype" w:cs="Tahoma"/>
          <w:sz w:val="24"/>
          <w:lang w:eastAsia="es-MX"/>
        </w:rPr>
        <w:lastRenderedPageBreak/>
        <w:t xml:space="preserve">El artículo 36 de la Constitución Política de los Estados Unidos Mexicanos, dispone la obligación de los ciudadanos de inscribirse en el Registro Nacional de Ciudadanos. </w:t>
      </w:r>
    </w:p>
    <w:p w:rsidR="0090033B" w:rsidRPr="00731D0A" w:rsidRDefault="0090033B" w:rsidP="00731D0A">
      <w:pPr>
        <w:pStyle w:val="Sinespaciado"/>
        <w:rPr>
          <w:sz w:val="24"/>
          <w:lang w:eastAsia="es-MX"/>
        </w:rPr>
      </w:pPr>
    </w:p>
    <w:p w:rsidR="0090033B" w:rsidRPr="00731D0A" w:rsidRDefault="0090033B" w:rsidP="0090033B">
      <w:pPr>
        <w:spacing w:line="360" w:lineRule="auto"/>
        <w:contextualSpacing/>
        <w:jc w:val="both"/>
        <w:rPr>
          <w:rFonts w:ascii="Palatino Linotype" w:hAnsi="Palatino Linotype" w:cs="Tahoma"/>
          <w:sz w:val="24"/>
          <w:lang w:eastAsia="es-MX"/>
        </w:rPr>
      </w:pPr>
      <w:r w:rsidRPr="00731D0A">
        <w:rPr>
          <w:rFonts w:ascii="Palatino Linotype" w:hAnsi="Palatino Linotype" w:cs="Tahoma"/>
          <w:sz w:val="24"/>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0090033B" w:rsidRPr="00731D0A" w:rsidRDefault="0090033B" w:rsidP="00731D0A">
      <w:pPr>
        <w:pStyle w:val="Sinespaciado"/>
        <w:rPr>
          <w:sz w:val="24"/>
          <w:lang w:eastAsia="es-MX"/>
        </w:rPr>
      </w:pPr>
    </w:p>
    <w:p w:rsidR="0090033B" w:rsidRPr="00731D0A" w:rsidRDefault="0090033B" w:rsidP="0090033B">
      <w:pPr>
        <w:spacing w:line="360" w:lineRule="auto"/>
        <w:contextualSpacing/>
        <w:jc w:val="both"/>
        <w:rPr>
          <w:rFonts w:ascii="Palatino Linotype" w:hAnsi="Palatino Linotype" w:cs="Tahoma"/>
          <w:sz w:val="24"/>
          <w:lang w:eastAsia="es-MX"/>
        </w:rPr>
      </w:pPr>
      <w:r w:rsidRPr="00731D0A">
        <w:rPr>
          <w:rFonts w:ascii="Palatino Linotype" w:hAnsi="Palatino Linotype" w:cs="Tahoma"/>
          <w:sz w:val="24"/>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90033B" w:rsidRPr="00731D0A" w:rsidRDefault="0090033B" w:rsidP="00731D0A">
      <w:pPr>
        <w:pStyle w:val="Sinespaciado"/>
        <w:rPr>
          <w:sz w:val="24"/>
          <w:lang w:eastAsia="es-MX"/>
        </w:rPr>
      </w:pPr>
    </w:p>
    <w:p w:rsidR="0090033B" w:rsidRPr="00731D0A" w:rsidRDefault="0090033B" w:rsidP="0090033B">
      <w:pPr>
        <w:spacing w:line="360" w:lineRule="auto"/>
        <w:contextualSpacing/>
        <w:jc w:val="both"/>
        <w:rPr>
          <w:rFonts w:ascii="Palatino Linotype" w:hAnsi="Palatino Linotype" w:cs="Tahoma"/>
          <w:sz w:val="24"/>
          <w:lang w:eastAsia="es-MX"/>
        </w:rPr>
      </w:pPr>
      <w:r w:rsidRPr="00731D0A">
        <w:rPr>
          <w:rFonts w:ascii="Palatino Linotype" w:hAnsi="Palatino Linotype" w:cs="Tahoma"/>
          <w:sz w:val="24"/>
          <w:lang w:eastAsia="es-MX"/>
        </w:rPr>
        <w:t xml:space="preserve">De conformidad con lo precisado por la propia Secretaría de Gobernación en la dirección </w:t>
      </w:r>
      <w:hyperlink r:id="rId22" w:history="1">
        <w:r w:rsidRPr="00731D0A">
          <w:rPr>
            <w:rStyle w:val="Hipervnculo"/>
            <w:rFonts w:ascii="Palatino Linotype" w:hAnsi="Palatino Linotype" w:cs="Tahoma"/>
            <w:sz w:val="24"/>
            <w:lang w:eastAsia="es-MX"/>
          </w:rPr>
          <w:t>https://consultas.curp.gob.mx/CurpSP/html/informacionecurpPS.html</w:t>
        </w:r>
      </w:hyperlink>
      <w:r w:rsidRPr="00731D0A">
        <w:rPr>
          <w:rFonts w:ascii="Palatino Linotype" w:hAnsi="Palatino Linotype" w:cs="Tahoma"/>
          <w:sz w:val="24"/>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731D0A">
        <w:rPr>
          <w:rFonts w:ascii="Palatino Linotype" w:hAnsi="Palatino Linotype" w:cs="Tahoma"/>
          <w:b/>
          <w:sz w:val="24"/>
          <w:lang w:eastAsia="es-MX"/>
        </w:rPr>
        <w:t>se generan a partir de los datos contenidos en el documento probatorio de la identidad</w:t>
      </w:r>
      <w:r w:rsidRPr="00731D0A">
        <w:rPr>
          <w:rFonts w:ascii="Palatino Linotype" w:hAnsi="Palatino Linotype" w:cs="Tahoma"/>
          <w:sz w:val="24"/>
          <w:lang w:eastAsia="es-MX"/>
        </w:rPr>
        <w:t xml:space="preserve"> </w:t>
      </w:r>
      <w:r w:rsidRPr="00731D0A">
        <w:rPr>
          <w:rFonts w:ascii="Palatino Linotype" w:hAnsi="Palatino Linotype" w:cs="Tahoma"/>
          <w:b/>
          <w:sz w:val="24"/>
          <w:lang w:eastAsia="es-MX"/>
        </w:rPr>
        <w:t xml:space="preserve">del interesado </w:t>
      </w:r>
      <w:r w:rsidRPr="00731D0A">
        <w:rPr>
          <w:rFonts w:ascii="Palatino Linotype" w:hAnsi="Palatino Linotype" w:cs="Tahoma"/>
          <w:sz w:val="24"/>
          <w:lang w:eastAsia="es-MX"/>
        </w:rPr>
        <w:t>(acta de nacimiento, carta de naturalización o documento migratorio) de la siguiente forma:</w:t>
      </w:r>
    </w:p>
    <w:p w:rsidR="0090033B" w:rsidRPr="00731D0A" w:rsidRDefault="0090033B" w:rsidP="0090033B">
      <w:pPr>
        <w:spacing w:line="360" w:lineRule="auto"/>
        <w:contextualSpacing/>
        <w:jc w:val="both"/>
        <w:rPr>
          <w:rFonts w:ascii="Palatino Linotype" w:hAnsi="Palatino Linotype" w:cs="Tahoma"/>
          <w:sz w:val="24"/>
          <w:lang w:eastAsia="es-MX"/>
        </w:rPr>
      </w:pPr>
    </w:p>
    <w:p w:rsidR="0090033B" w:rsidRPr="00731D0A" w:rsidRDefault="0090033B" w:rsidP="0090033B">
      <w:pPr>
        <w:spacing w:line="360" w:lineRule="auto"/>
        <w:contextualSpacing/>
        <w:jc w:val="both"/>
        <w:rPr>
          <w:rFonts w:ascii="Palatino Linotype" w:hAnsi="Palatino Linotype" w:cs="Tahoma"/>
          <w:sz w:val="24"/>
          <w:lang w:eastAsia="es-MX"/>
        </w:rPr>
      </w:pPr>
      <w:r w:rsidRPr="00731D0A">
        <w:rPr>
          <w:rFonts w:ascii="Palatino Linotype" w:hAnsi="Palatino Linotype" w:cs="Tahoma"/>
          <w:sz w:val="24"/>
          <w:lang w:eastAsia="es-MX"/>
        </w:rPr>
        <w:t xml:space="preserve"> • El primero y segundo apellidos, así como al nombre de pila.</w:t>
      </w:r>
    </w:p>
    <w:p w:rsidR="0090033B" w:rsidRPr="00731D0A" w:rsidRDefault="0090033B" w:rsidP="0090033B">
      <w:pPr>
        <w:spacing w:line="360" w:lineRule="auto"/>
        <w:contextualSpacing/>
        <w:jc w:val="both"/>
        <w:rPr>
          <w:rFonts w:ascii="Palatino Linotype" w:hAnsi="Palatino Linotype" w:cs="Tahoma"/>
          <w:sz w:val="24"/>
          <w:lang w:eastAsia="es-MX"/>
        </w:rPr>
      </w:pPr>
      <w:r w:rsidRPr="00731D0A">
        <w:rPr>
          <w:rFonts w:ascii="Palatino Linotype" w:hAnsi="Palatino Linotype" w:cs="Tahoma"/>
          <w:sz w:val="24"/>
          <w:lang w:eastAsia="es-MX"/>
        </w:rPr>
        <w:t xml:space="preserve"> • La fecha de nacimiento.</w:t>
      </w:r>
    </w:p>
    <w:p w:rsidR="0090033B" w:rsidRPr="0051047E" w:rsidRDefault="0090033B" w:rsidP="0090033B">
      <w:pPr>
        <w:spacing w:line="360" w:lineRule="auto"/>
        <w:contextualSpacing/>
        <w:jc w:val="both"/>
        <w:rPr>
          <w:rFonts w:ascii="Palatino Linotype" w:hAnsi="Palatino Linotype" w:cs="Tahoma"/>
          <w:sz w:val="24"/>
          <w:lang w:eastAsia="es-MX"/>
        </w:rPr>
      </w:pPr>
      <w:r w:rsidRPr="00731D0A">
        <w:rPr>
          <w:rFonts w:ascii="Palatino Linotype" w:hAnsi="Palatino Linotype" w:cs="Tahoma"/>
          <w:sz w:val="24"/>
          <w:lang w:eastAsia="es-MX"/>
        </w:rPr>
        <w:lastRenderedPageBreak/>
        <w:t xml:space="preserve"> </w:t>
      </w:r>
      <w:r w:rsidRPr="0051047E">
        <w:rPr>
          <w:rFonts w:ascii="Palatino Linotype" w:hAnsi="Palatino Linotype" w:cs="Tahoma"/>
          <w:sz w:val="24"/>
          <w:lang w:eastAsia="es-MX"/>
        </w:rPr>
        <w:t>• El sexo.</w:t>
      </w:r>
    </w:p>
    <w:p w:rsidR="0090033B" w:rsidRPr="0051047E" w:rsidRDefault="0090033B" w:rsidP="0090033B">
      <w:pPr>
        <w:spacing w:line="360" w:lineRule="auto"/>
        <w:contextualSpacing/>
        <w:jc w:val="both"/>
        <w:rPr>
          <w:rFonts w:ascii="Palatino Linotype" w:hAnsi="Palatino Linotype" w:cs="Tahoma"/>
          <w:sz w:val="24"/>
          <w:lang w:eastAsia="es-MX"/>
        </w:rPr>
      </w:pPr>
      <w:r w:rsidRPr="0051047E">
        <w:rPr>
          <w:rFonts w:ascii="Palatino Linotype" w:hAnsi="Palatino Linotype" w:cs="Tahoma"/>
          <w:sz w:val="24"/>
          <w:lang w:eastAsia="es-MX"/>
        </w:rPr>
        <w:t xml:space="preserve"> • La entidad federativa de nacimiento.</w:t>
      </w:r>
    </w:p>
    <w:p w:rsidR="0090033B" w:rsidRPr="00CD58D8" w:rsidRDefault="0090033B" w:rsidP="00CD58D8">
      <w:pPr>
        <w:pStyle w:val="Sinespaciado"/>
        <w:rPr>
          <w:sz w:val="24"/>
          <w:lang w:eastAsia="es-MX"/>
        </w:rPr>
      </w:pPr>
    </w:p>
    <w:p w:rsidR="0090033B" w:rsidRPr="00CD58D8" w:rsidRDefault="0090033B" w:rsidP="0090033B">
      <w:pPr>
        <w:spacing w:line="360" w:lineRule="auto"/>
        <w:contextualSpacing/>
        <w:jc w:val="both"/>
        <w:rPr>
          <w:rFonts w:ascii="Palatino Linotype" w:hAnsi="Palatino Linotype" w:cs="Tahoma"/>
          <w:sz w:val="24"/>
          <w:lang w:eastAsia="es-MX"/>
        </w:rPr>
      </w:pPr>
      <w:r w:rsidRPr="00CD58D8">
        <w:rPr>
          <w:rFonts w:ascii="Palatino Linotype" w:hAnsi="Palatino Linotype" w:cs="Tahoma"/>
          <w:sz w:val="24"/>
          <w:lang w:eastAsia="es-MX"/>
        </w:rPr>
        <w:t>Los dos últimos elementos de la Clave Única de Registro de Población evitan la duplicidad de la Clave y garantizan su correcta integración.</w:t>
      </w:r>
    </w:p>
    <w:p w:rsidR="0090033B" w:rsidRPr="00CD58D8" w:rsidRDefault="0090033B" w:rsidP="00CD58D8">
      <w:pPr>
        <w:pStyle w:val="Sinespaciado"/>
        <w:rPr>
          <w:sz w:val="24"/>
          <w:lang w:eastAsia="es-MX"/>
        </w:rPr>
      </w:pPr>
    </w:p>
    <w:p w:rsidR="0090033B" w:rsidRPr="00CD58D8" w:rsidRDefault="0090033B" w:rsidP="0090033B">
      <w:pPr>
        <w:spacing w:line="360" w:lineRule="auto"/>
        <w:contextualSpacing/>
        <w:jc w:val="both"/>
        <w:rPr>
          <w:rFonts w:ascii="Palatino Linotype" w:hAnsi="Palatino Linotype" w:cs="Tahoma"/>
          <w:sz w:val="24"/>
        </w:rPr>
      </w:pPr>
      <w:r w:rsidRPr="00CD58D8">
        <w:rPr>
          <w:rFonts w:ascii="Palatino Linotype" w:hAnsi="Palatino Linotype" w:cs="Tahoma"/>
          <w:sz w:val="24"/>
        </w:rPr>
        <w:t xml:space="preserve">Como se desprende de lo anterior, la </w:t>
      </w:r>
      <w:r w:rsidRPr="00CD58D8">
        <w:rPr>
          <w:rFonts w:ascii="Palatino Linotype" w:hAnsi="Palatino Linotype" w:cs="Tahoma"/>
          <w:sz w:val="24"/>
          <w:lang w:eastAsia="es-MX"/>
        </w:rPr>
        <w:t>Clave Única de Registro de Población</w:t>
      </w:r>
      <w:r w:rsidRPr="00CD58D8">
        <w:rPr>
          <w:rFonts w:ascii="Palatino Linotype" w:hAnsi="Palatino Linotype" w:cs="Tahoma"/>
          <w:sz w:val="24"/>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90033B" w:rsidRPr="00CD58D8" w:rsidRDefault="0090033B" w:rsidP="0090033B">
      <w:pPr>
        <w:spacing w:line="360" w:lineRule="auto"/>
        <w:contextualSpacing/>
        <w:jc w:val="both"/>
        <w:rPr>
          <w:rFonts w:ascii="Palatino Linotype" w:hAnsi="Palatino Linotype" w:cs="Tahoma"/>
          <w:sz w:val="24"/>
        </w:rPr>
      </w:pPr>
    </w:p>
    <w:p w:rsidR="0090033B" w:rsidRPr="00CD58D8" w:rsidRDefault="0090033B" w:rsidP="0090033B">
      <w:pPr>
        <w:spacing w:line="360" w:lineRule="auto"/>
        <w:contextualSpacing/>
        <w:jc w:val="both"/>
        <w:rPr>
          <w:rFonts w:ascii="Palatino Linotype" w:hAnsi="Palatino Linotype" w:cs="Tahoma"/>
          <w:sz w:val="24"/>
          <w:lang w:eastAsia="es-MX"/>
        </w:rPr>
      </w:pPr>
      <w:r w:rsidRPr="00CD58D8">
        <w:rPr>
          <w:rFonts w:ascii="Palatino Linotype" w:hAnsi="Palatino Linotype" w:cs="Tahoma"/>
          <w:sz w:val="24"/>
          <w:lang w:eastAsia="es-MX"/>
        </w:rPr>
        <w:t>Resulta aplicable en la especie, como argumento orientador, el Criterio 3/10, emitido por el Instituto Nacional de Transparencia, Acceso a la Información y Protección de Datos Personales.</w:t>
      </w:r>
    </w:p>
    <w:p w:rsidR="0090033B" w:rsidRPr="00D55EBE" w:rsidRDefault="0090033B" w:rsidP="00CD58D8">
      <w:pPr>
        <w:pStyle w:val="Sinespaciado"/>
      </w:pPr>
    </w:p>
    <w:p w:rsidR="0090033B" w:rsidRPr="00D55EBE" w:rsidRDefault="0090033B" w:rsidP="0090033B">
      <w:pPr>
        <w:autoSpaceDE w:val="0"/>
        <w:autoSpaceDN w:val="0"/>
        <w:adjustRightInd w:val="0"/>
        <w:spacing w:line="360" w:lineRule="auto"/>
        <w:ind w:left="567" w:right="567"/>
        <w:jc w:val="both"/>
        <w:rPr>
          <w:rFonts w:ascii="Palatino Linotype" w:eastAsia="Calibri" w:hAnsi="Palatino Linotype" w:cs="Tahoma"/>
          <w:i/>
          <w:color w:val="000000"/>
        </w:rPr>
      </w:pPr>
      <w:r w:rsidRPr="00D55EBE">
        <w:rPr>
          <w:rFonts w:ascii="Palatino Linotype" w:eastAsia="Calibri" w:hAnsi="Palatino Linotype" w:cs="Tahoma"/>
          <w:b/>
          <w:bCs/>
          <w:i/>
          <w:color w:val="000000"/>
        </w:rPr>
        <w:t xml:space="preserve">“Clave Única de Registro de Población (CURP) es un dato personal confidencial. </w:t>
      </w:r>
      <w:r w:rsidRPr="00D55EBE">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w:t>
      </w:r>
      <w:r w:rsidRPr="00D55EBE">
        <w:rPr>
          <w:rFonts w:ascii="Palatino Linotype" w:eastAsia="Calibri" w:hAnsi="Palatino Linotype" w:cs="Tahoma"/>
          <w:i/>
          <w:color w:val="000000"/>
        </w:rPr>
        <w:lastRenderedPageBreak/>
        <w:t>nacimiento, su nombre, sus apellidos y su lugar de nacimiento, y esta es información que lo distingue plenamente del resto de los habitantes, por lo que es de carácter confidencial, en términos de lo dispuesto en el artículos anteriormente señalados. “</w:t>
      </w:r>
    </w:p>
    <w:p w:rsidR="0090033B" w:rsidRPr="00D55EBE" w:rsidRDefault="0090033B" w:rsidP="00CD58D8">
      <w:pPr>
        <w:pStyle w:val="Sinespaciado"/>
      </w:pPr>
    </w:p>
    <w:p w:rsidR="0090033B" w:rsidRPr="00CD58D8" w:rsidRDefault="0090033B" w:rsidP="0090033B">
      <w:pPr>
        <w:spacing w:line="360" w:lineRule="auto"/>
        <w:jc w:val="both"/>
        <w:rPr>
          <w:rFonts w:ascii="Palatino Linotype" w:hAnsi="Palatino Linotype" w:cs="Tahoma"/>
          <w:b/>
          <w:sz w:val="24"/>
          <w:szCs w:val="24"/>
        </w:rPr>
      </w:pPr>
      <w:r w:rsidRPr="00CD58D8">
        <w:rPr>
          <w:rFonts w:ascii="Palatino Linotype" w:hAnsi="Palatino Linotype" w:cs="Tahoma"/>
          <w:sz w:val="24"/>
          <w:szCs w:val="24"/>
        </w:rPr>
        <w:t xml:space="preserve">De acuerdo con lo anterior, </w:t>
      </w:r>
      <w:r w:rsidRPr="00CD58D8">
        <w:rPr>
          <w:rFonts w:ascii="Palatino Linotype" w:hAnsi="Palatino Linotype" w:cs="Tahoma"/>
          <w:b/>
          <w:sz w:val="24"/>
          <w:szCs w:val="24"/>
        </w:rPr>
        <w:t xml:space="preserve">la CURP es un dato que debe clasificarse, por tratarse de un dato personal confidencial, en términos del artículo 143, fracción I de la Ley de Transparencia y Acceso a la Información Pública del Estado de México y Municipios. </w:t>
      </w:r>
    </w:p>
    <w:p w:rsidR="0090033B" w:rsidRPr="00CD58D8" w:rsidRDefault="0090033B" w:rsidP="00CD58D8">
      <w:pPr>
        <w:pStyle w:val="Sinespaciado"/>
      </w:pPr>
    </w:p>
    <w:p w:rsidR="0090033B" w:rsidRPr="00CD58D8" w:rsidRDefault="0090033B" w:rsidP="0090033B">
      <w:pPr>
        <w:pStyle w:val="Prrafodelista"/>
        <w:numPr>
          <w:ilvl w:val="0"/>
          <w:numId w:val="31"/>
        </w:numPr>
        <w:spacing w:line="360" w:lineRule="auto"/>
        <w:contextualSpacing/>
        <w:jc w:val="both"/>
        <w:rPr>
          <w:rFonts w:ascii="Palatino Linotype" w:hAnsi="Palatino Linotype" w:cs="Tahoma"/>
          <w:bCs/>
          <w:iCs/>
        </w:rPr>
      </w:pPr>
      <w:r w:rsidRPr="00CD58D8">
        <w:rPr>
          <w:rFonts w:ascii="Palatino Linotype" w:hAnsi="Palatino Linotype" w:cs="Tahoma"/>
          <w:b/>
          <w:bCs/>
          <w:iCs/>
        </w:rPr>
        <w:t>Clave de cualquier tipo de seguridad social</w:t>
      </w:r>
      <w:r w:rsidRPr="00CD58D8">
        <w:rPr>
          <w:rFonts w:ascii="Palatino Linotype" w:hAnsi="Palatino Linotype" w:cs="Tahoma"/>
          <w:bCs/>
          <w:iCs/>
        </w:rPr>
        <w:t xml:space="preserve"> (ISSEMYM, u otros)</w:t>
      </w:r>
    </w:p>
    <w:p w:rsidR="0090033B" w:rsidRPr="00CD58D8" w:rsidRDefault="0090033B" w:rsidP="0090033B">
      <w:pPr>
        <w:pStyle w:val="Prrafodelista"/>
        <w:spacing w:line="360" w:lineRule="auto"/>
        <w:jc w:val="both"/>
        <w:rPr>
          <w:rFonts w:ascii="Palatino Linotype" w:hAnsi="Palatino Linotype" w:cs="Tahoma"/>
          <w:lang w:eastAsia="es-MX"/>
        </w:rPr>
      </w:pPr>
    </w:p>
    <w:p w:rsidR="0090033B" w:rsidRPr="00CD58D8" w:rsidRDefault="0090033B" w:rsidP="0090033B">
      <w:pPr>
        <w:spacing w:line="360" w:lineRule="auto"/>
        <w:jc w:val="both"/>
        <w:rPr>
          <w:rFonts w:ascii="Palatino Linotype" w:hAnsi="Palatino Linotype" w:cs="Tahoma"/>
          <w:sz w:val="24"/>
          <w:szCs w:val="24"/>
          <w:lang w:eastAsia="es-MX"/>
        </w:rPr>
      </w:pPr>
      <w:r w:rsidRPr="00CD58D8">
        <w:rPr>
          <w:rFonts w:ascii="Palatino Linotype" w:hAnsi="Palatino Linotype" w:cs="Tahoma"/>
          <w:sz w:val="24"/>
          <w:szCs w:val="24"/>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90033B" w:rsidRPr="00CD58D8" w:rsidRDefault="0090033B" w:rsidP="00CD58D8">
      <w:pPr>
        <w:pStyle w:val="Sinespaciado"/>
        <w:rPr>
          <w:lang w:eastAsia="es-MX"/>
        </w:rPr>
      </w:pPr>
    </w:p>
    <w:p w:rsidR="0090033B" w:rsidRPr="00CD58D8" w:rsidRDefault="0090033B" w:rsidP="0090033B">
      <w:pPr>
        <w:spacing w:line="360" w:lineRule="auto"/>
        <w:jc w:val="both"/>
        <w:rPr>
          <w:rFonts w:ascii="Palatino Linotype" w:hAnsi="Palatino Linotype" w:cs="Tahoma"/>
          <w:sz w:val="24"/>
          <w:szCs w:val="24"/>
          <w:lang w:eastAsia="es-MX"/>
        </w:rPr>
      </w:pPr>
      <w:r w:rsidRPr="00CD58D8">
        <w:rPr>
          <w:rFonts w:ascii="Palatino Linotype" w:hAnsi="Palatino Linotype" w:cs="Tahoma"/>
          <w:sz w:val="24"/>
          <w:szCs w:val="24"/>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CD58D8">
        <w:rPr>
          <w:rFonts w:ascii="Palatino Linotype" w:hAnsi="Palatino Linotype" w:cs="Tahoma"/>
          <w:sz w:val="24"/>
          <w:szCs w:val="24"/>
          <w:u w:val="single"/>
          <w:lang w:eastAsia="es-MX"/>
        </w:rPr>
        <w:t xml:space="preserve">se le asigna una clave para hacer </w:t>
      </w:r>
      <w:r w:rsidRPr="00CD58D8">
        <w:rPr>
          <w:rFonts w:ascii="Palatino Linotype" w:hAnsi="Palatino Linotype" w:cs="Tahoma"/>
          <w:sz w:val="24"/>
          <w:szCs w:val="24"/>
          <w:u w:val="single"/>
          <w:lang w:eastAsia="es-MX"/>
        </w:rPr>
        <w:lastRenderedPageBreak/>
        <w:t>identificable al trabajador con el objetivo de poder proporcionar los servicios que brinda el ISSEMYM.</w:t>
      </w:r>
    </w:p>
    <w:p w:rsidR="0090033B" w:rsidRPr="00CD58D8" w:rsidRDefault="0090033B" w:rsidP="00CD58D8">
      <w:pPr>
        <w:pStyle w:val="Sinespaciado"/>
        <w:rPr>
          <w:lang w:eastAsia="es-MX"/>
        </w:rPr>
      </w:pPr>
    </w:p>
    <w:p w:rsidR="0090033B" w:rsidRPr="00CD58D8" w:rsidRDefault="0090033B" w:rsidP="0090033B">
      <w:pPr>
        <w:spacing w:line="360" w:lineRule="auto"/>
        <w:contextualSpacing/>
        <w:jc w:val="both"/>
        <w:rPr>
          <w:rFonts w:ascii="Palatino Linotype" w:hAnsi="Palatino Linotype" w:cs="Tahoma"/>
          <w:sz w:val="24"/>
          <w:szCs w:val="24"/>
          <w:lang w:eastAsia="es-MX"/>
        </w:rPr>
      </w:pPr>
      <w:r w:rsidRPr="00CD58D8">
        <w:rPr>
          <w:rFonts w:ascii="Palatino Linotype" w:hAnsi="Palatino Linotype" w:cs="Tahoma"/>
          <w:sz w:val="24"/>
          <w:szCs w:val="24"/>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rsidR="0090033B" w:rsidRPr="00CD58D8" w:rsidRDefault="0090033B" w:rsidP="00CD58D8">
      <w:pPr>
        <w:pStyle w:val="Sinespaciado"/>
        <w:rPr>
          <w:lang w:eastAsia="es-MX"/>
        </w:rPr>
      </w:pPr>
    </w:p>
    <w:p w:rsidR="0090033B" w:rsidRPr="00CD58D8" w:rsidRDefault="0090033B" w:rsidP="0090033B">
      <w:pPr>
        <w:spacing w:line="360" w:lineRule="auto"/>
        <w:ind w:right="-93"/>
        <w:jc w:val="both"/>
        <w:rPr>
          <w:rFonts w:ascii="Palatino Linotype" w:hAnsi="Palatino Linotype" w:cs="Tahoma"/>
          <w:sz w:val="24"/>
          <w:szCs w:val="24"/>
          <w:lang w:eastAsia="es-MX"/>
        </w:rPr>
      </w:pPr>
      <w:r w:rsidRPr="00CD58D8">
        <w:rPr>
          <w:rFonts w:ascii="Palatino Linotype" w:hAnsi="Palatino Linotype" w:cs="Tahoma"/>
          <w:sz w:val="24"/>
          <w:szCs w:val="24"/>
          <w:lang w:eastAsia="es-MX"/>
        </w:rPr>
        <w:t xml:space="preserve">Contar con la prestación de seguridad social que brinda el ISSEMYM no es una obligación para entrar a trabajar a una institución pública, más bien, es un derecho que se adquiere cuando se ingresa al servicio público, por tal motivo, </w:t>
      </w:r>
      <w:r w:rsidRPr="00CD58D8">
        <w:rPr>
          <w:rFonts w:ascii="Palatino Linotype" w:hAnsi="Palatino Linotype" w:cs="Tahoma"/>
          <w:b/>
          <w:sz w:val="24"/>
          <w:szCs w:val="24"/>
          <w:lang w:eastAsia="es-MX"/>
        </w:rPr>
        <w:t>es un dato personal confidencial, por lo que se aprueba su eliminación en las versiones públicas, toda vez que actualiza el supuesto de confidencialidad del artículo 143, fracción I de la Ley de Transparencia y Acceso a la Información Pública del Estado de México y Municipios.</w:t>
      </w:r>
    </w:p>
    <w:p w:rsidR="0090033B" w:rsidRPr="00CD58D8" w:rsidRDefault="0090033B" w:rsidP="00CD58D8">
      <w:pPr>
        <w:pStyle w:val="Sinespaciado"/>
        <w:rPr>
          <w:lang w:eastAsia="es-MX"/>
        </w:rPr>
      </w:pPr>
    </w:p>
    <w:p w:rsidR="0090033B" w:rsidRPr="00CD58D8" w:rsidRDefault="0090033B" w:rsidP="0090033B">
      <w:pPr>
        <w:pStyle w:val="Prrafodelista"/>
        <w:numPr>
          <w:ilvl w:val="0"/>
          <w:numId w:val="31"/>
        </w:numPr>
        <w:spacing w:line="360" w:lineRule="auto"/>
        <w:ind w:right="-93"/>
        <w:contextualSpacing/>
        <w:jc w:val="both"/>
        <w:rPr>
          <w:rFonts w:ascii="Palatino Linotype" w:hAnsi="Palatino Linotype" w:cs="Tahoma"/>
          <w:b/>
        </w:rPr>
      </w:pPr>
      <w:r w:rsidRPr="00CD58D8">
        <w:rPr>
          <w:rFonts w:ascii="Palatino Linotype" w:hAnsi="Palatino Linotype" w:cs="Tahoma"/>
          <w:b/>
          <w:bCs/>
          <w:iCs/>
        </w:rPr>
        <w:t>Préstamos o descuentos que se le hagan al servidor público.</w:t>
      </w:r>
    </w:p>
    <w:p w:rsidR="0090033B" w:rsidRPr="00CD58D8" w:rsidRDefault="0090033B" w:rsidP="00CD58D8">
      <w:pPr>
        <w:pStyle w:val="Sinespaciado"/>
      </w:pPr>
    </w:p>
    <w:p w:rsidR="0090033B" w:rsidRPr="00CD58D8" w:rsidRDefault="0090033B" w:rsidP="0090033B">
      <w:pPr>
        <w:spacing w:line="360" w:lineRule="auto"/>
        <w:ind w:right="-93"/>
        <w:jc w:val="both"/>
        <w:rPr>
          <w:rFonts w:ascii="Palatino Linotype" w:hAnsi="Palatino Linotype" w:cs="Tahoma"/>
          <w:sz w:val="24"/>
          <w:szCs w:val="24"/>
        </w:rPr>
      </w:pPr>
      <w:r w:rsidRPr="00CD58D8">
        <w:rPr>
          <w:rFonts w:ascii="Palatino Linotype" w:hAnsi="Palatino Linotype" w:cs="Tahoma"/>
          <w:sz w:val="24"/>
          <w:szCs w:val="24"/>
        </w:rPr>
        <w:t>Existen deducciones que se generan con motivo de una decisión libre y voluntaria de los servidores públicos, como son: contratar seguros de vida, de gastos médicos mayores (potenciación) o de automóvil, así como descuentos por obras de beneficencia.</w:t>
      </w:r>
    </w:p>
    <w:p w:rsidR="0090033B" w:rsidRPr="00CD58D8" w:rsidRDefault="0090033B" w:rsidP="0090033B">
      <w:pPr>
        <w:spacing w:line="360" w:lineRule="auto"/>
        <w:ind w:right="-93"/>
        <w:jc w:val="both"/>
        <w:rPr>
          <w:rFonts w:ascii="Palatino Linotype" w:hAnsi="Palatino Linotype" w:cs="Tahoma"/>
          <w:sz w:val="24"/>
          <w:szCs w:val="24"/>
        </w:rPr>
      </w:pPr>
    </w:p>
    <w:p w:rsidR="0090033B" w:rsidRPr="00CD58D8" w:rsidRDefault="0090033B" w:rsidP="0090033B">
      <w:pPr>
        <w:spacing w:line="360" w:lineRule="auto"/>
        <w:ind w:right="-93"/>
        <w:jc w:val="both"/>
        <w:rPr>
          <w:rFonts w:ascii="Palatino Linotype" w:hAnsi="Palatino Linotype" w:cs="Tahoma"/>
          <w:sz w:val="24"/>
          <w:szCs w:val="24"/>
        </w:rPr>
      </w:pPr>
      <w:r w:rsidRPr="00CD58D8">
        <w:rPr>
          <w:rFonts w:ascii="Palatino Linotype" w:hAnsi="Palatino Linotype" w:cs="Tahoma"/>
          <w:sz w:val="24"/>
          <w:szCs w:val="24"/>
        </w:rPr>
        <w:lastRenderedPageBreak/>
        <w:t xml:space="preserve"> Asimismo, pueden existir deducciones que se generan con motivo de una sentencia judicial, como es la pensión alimenticia que periódicamente se deposita en la cuenta de un trabajador, o bien, que se retira del sueldo de un empleado, a efecto de que sea entregado a un tercero.  </w:t>
      </w:r>
    </w:p>
    <w:p w:rsidR="0090033B" w:rsidRPr="00CD58D8" w:rsidRDefault="0090033B" w:rsidP="00CD58D8">
      <w:pPr>
        <w:pStyle w:val="Sinespaciado"/>
      </w:pPr>
    </w:p>
    <w:p w:rsidR="0090033B" w:rsidRPr="00CD58D8" w:rsidRDefault="0090033B" w:rsidP="0090033B">
      <w:pPr>
        <w:spacing w:line="360" w:lineRule="auto"/>
        <w:ind w:right="-93"/>
        <w:jc w:val="both"/>
        <w:rPr>
          <w:rFonts w:ascii="Palatino Linotype" w:hAnsi="Palatino Linotype" w:cs="Tahoma"/>
          <w:sz w:val="24"/>
          <w:szCs w:val="24"/>
        </w:rPr>
      </w:pPr>
      <w:r w:rsidRPr="00CD58D8">
        <w:rPr>
          <w:rFonts w:ascii="Palatino Linotype" w:hAnsi="Palatino Linotype" w:cs="Tahoma"/>
          <w:sz w:val="24"/>
          <w:szCs w:val="24"/>
        </w:rPr>
        <w:t xml:space="preserve">En consecuencia, este tipo de deducciones son fruto de decisiones que impactan en el patrimonio de un servidor público con la finalidad de obtener un beneficio o cumplir con alguna responsabilidad, conforme a la decisión de un trabajador, mismas que no implican la entrega de recursos con cargo al erario público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rsidR="0090033B" w:rsidRPr="00CD58D8" w:rsidRDefault="0090033B" w:rsidP="00CD58D8">
      <w:pPr>
        <w:pStyle w:val="Sinespaciado"/>
      </w:pPr>
    </w:p>
    <w:p w:rsidR="0090033B" w:rsidRPr="00CD58D8" w:rsidRDefault="0090033B" w:rsidP="0090033B">
      <w:pPr>
        <w:spacing w:line="360" w:lineRule="auto"/>
        <w:ind w:right="-93"/>
        <w:jc w:val="both"/>
        <w:rPr>
          <w:rFonts w:ascii="Palatino Linotype" w:hAnsi="Palatino Linotype" w:cs="Tahoma"/>
          <w:b/>
          <w:sz w:val="24"/>
          <w:szCs w:val="24"/>
        </w:rPr>
      </w:pPr>
      <w:r w:rsidRPr="00CD58D8">
        <w:rPr>
          <w:rFonts w:ascii="Palatino Linotype" w:hAnsi="Palatino Linotype" w:cs="Tahoma"/>
          <w:b/>
          <w:sz w:val="24"/>
          <w:szCs w:val="24"/>
        </w:rPr>
        <w:t>Por lo tanto resulta procedente clasificar dicho dato en términos del artículo 143, fracción I de la Ley de Transparencia y Acceso a la Información Pública del Estado de México y Municipios.</w:t>
      </w:r>
    </w:p>
    <w:p w:rsidR="0090033B" w:rsidRPr="00CD58D8" w:rsidRDefault="0090033B" w:rsidP="00CD58D8">
      <w:pPr>
        <w:pStyle w:val="Sinespaciado"/>
      </w:pPr>
    </w:p>
    <w:p w:rsidR="0090033B" w:rsidRPr="00CD58D8" w:rsidRDefault="0090033B" w:rsidP="0090033B">
      <w:pPr>
        <w:spacing w:line="360" w:lineRule="auto"/>
        <w:ind w:right="-93"/>
        <w:jc w:val="both"/>
        <w:rPr>
          <w:rFonts w:ascii="Palatino Linotype" w:hAnsi="Palatino Linotype" w:cs="Tahoma"/>
          <w:sz w:val="24"/>
          <w:szCs w:val="24"/>
        </w:rPr>
      </w:pPr>
      <w:r w:rsidRPr="00CD58D8">
        <w:rPr>
          <w:rFonts w:ascii="Palatino Linotype" w:hAnsi="Palatino Linotype" w:cs="Tahoma"/>
          <w:sz w:val="24"/>
          <w:szCs w:val="24"/>
        </w:rPr>
        <w:t>Junto con la versión pública, se deberá proporcionar el Acuerdo de Clasificación donde el Comité de Transparencia, confirme la eliminación de los datos conforme a lo concluido en el Considerado Quinto, de conformidad con los artículos 49, fracciones II y VIII, 143, fracción I y 149 de la Ley de Transparencia y Acceso a la Información Pública del Estado de México y Municipios.</w:t>
      </w:r>
    </w:p>
    <w:p w:rsidR="0090033B" w:rsidRPr="00CD58D8" w:rsidRDefault="0090033B" w:rsidP="0090033B">
      <w:pPr>
        <w:spacing w:line="360" w:lineRule="auto"/>
        <w:ind w:right="-93"/>
        <w:jc w:val="both"/>
        <w:rPr>
          <w:rFonts w:ascii="Palatino Linotype" w:hAnsi="Palatino Linotype" w:cs="Tahoma"/>
          <w:b/>
          <w:sz w:val="24"/>
          <w:szCs w:val="24"/>
        </w:rPr>
      </w:pPr>
    </w:p>
    <w:p w:rsidR="0090033B" w:rsidRPr="00CD58D8" w:rsidRDefault="0090033B" w:rsidP="00CB5946">
      <w:pPr>
        <w:pStyle w:val="Sinespaciado"/>
      </w:pPr>
    </w:p>
    <w:p w:rsidR="0090033B" w:rsidRPr="00CD58D8" w:rsidRDefault="0090033B" w:rsidP="0090033B">
      <w:pPr>
        <w:spacing w:line="360" w:lineRule="auto"/>
        <w:ind w:right="-93"/>
        <w:jc w:val="both"/>
        <w:rPr>
          <w:rFonts w:ascii="Palatino Linotype" w:hAnsi="Palatino Linotype" w:cs="Tahoma"/>
          <w:bCs/>
          <w:sz w:val="24"/>
          <w:szCs w:val="24"/>
        </w:rPr>
      </w:pPr>
      <w:r w:rsidRPr="00CD58D8">
        <w:rPr>
          <w:rFonts w:ascii="Palatino Linotype" w:hAnsi="Palatino Linotype" w:cs="Tahoma"/>
          <w:sz w:val="24"/>
          <w:szCs w:val="24"/>
        </w:rPr>
        <w:t xml:space="preserve">Por lo anterior, con fundamento en el artículo 186, fracción IV, de la Ley de Transparencia y Acceso a la Información Pública del Estado de México y Municipios, este Instituto considera procedente </w:t>
      </w:r>
      <w:r w:rsidRPr="00CD58D8">
        <w:rPr>
          <w:rFonts w:ascii="Palatino Linotype" w:hAnsi="Palatino Linotype" w:cs="Tahoma"/>
          <w:b/>
          <w:sz w:val="24"/>
          <w:szCs w:val="24"/>
        </w:rPr>
        <w:t xml:space="preserve">ORDENAR </w:t>
      </w:r>
      <w:r w:rsidRPr="00CD58D8">
        <w:rPr>
          <w:rFonts w:ascii="Palatino Linotype" w:hAnsi="Palatino Linotype" w:cs="Tahoma"/>
          <w:sz w:val="24"/>
          <w:szCs w:val="24"/>
        </w:rPr>
        <w:t xml:space="preserve">al </w:t>
      </w:r>
      <w:r w:rsidRPr="00CD58D8">
        <w:rPr>
          <w:rFonts w:ascii="Palatino Linotype" w:eastAsia="Calibri" w:hAnsi="Palatino Linotype" w:cs="Tahoma"/>
          <w:b/>
          <w:sz w:val="24"/>
          <w:szCs w:val="24"/>
        </w:rPr>
        <w:t xml:space="preserve">Ayuntamiento de Tenango del Aire </w:t>
      </w:r>
      <w:r w:rsidRPr="00CD58D8">
        <w:rPr>
          <w:rFonts w:ascii="Palatino Linotype" w:hAnsi="Palatino Linotype" w:cs="Tahoma"/>
          <w:sz w:val="24"/>
          <w:szCs w:val="24"/>
        </w:rPr>
        <w:t xml:space="preserve">que, previa búsqueda exhaustiva y razonable en todas las áreas competentes </w:t>
      </w:r>
      <w:r w:rsidRPr="00CD58D8">
        <w:rPr>
          <w:rFonts w:ascii="Palatino Linotype" w:hAnsi="Palatino Linotype" w:cs="Tahoma"/>
          <w:bCs/>
          <w:sz w:val="24"/>
          <w:szCs w:val="24"/>
        </w:rPr>
        <w:t>entregue, vía el Sistema de Acceso a la Información Mexiquense (SAIMEX), en versión publica, el o los documentos que den cuenta de:</w:t>
      </w:r>
    </w:p>
    <w:p w:rsidR="0090033B" w:rsidRPr="00CD58D8" w:rsidRDefault="0090033B" w:rsidP="00CB5946">
      <w:pPr>
        <w:pStyle w:val="Sinespaciado"/>
      </w:pPr>
    </w:p>
    <w:p w:rsidR="0090033B" w:rsidRPr="00CD58D8" w:rsidRDefault="0090033B" w:rsidP="0090033B">
      <w:pPr>
        <w:pStyle w:val="Prrafodelista"/>
        <w:spacing w:line="360" w:lineRule="auto"/>
        <w:ind w:right="-93"/>
        <w:jc w:val="both"/>
        <w:rPr>
          <w:rFonts w:ascii="Palatino Linotype" w:eastAsia="Calibri" w:hAnsi="Palatino Linotype" w:cs="Tahoma"/>
          <w:iCs/>
          <w:lang w:eastAsia="es-ES_tradnl"/>
        </w:rPr>
      </w:pPr>
      <w:r w:rsidRPr="00CD58D8">
        <w:rPr>
          <w:rFonts w:ascii="Palatino Linotype" w:eastAsia="Calibri" w:hAnsi="Palatino Linotype" w:cs="Tahoma"/>
          <w:iCs/>
          <w:lang w:eastAsia="es-ES_tradnl"/>
        </w:rPr>
        <w:t>La remuneración bruta y neta de todos los servidores públicos  del Ayuntamiento que contenga el total de percepciones (sueldos, prestaciones, gratificaciones, primas, comisiones, dietas, bonos, estímulos, ingresos y sistemas de compensación); de los meses de por el periodo comprendido de los meses de enero y febrero de dos mil diecinueve.</w:t>
      </w:r>
    </w:p>
    <w:p w:rsidR="0090033B" w:rsidRPr="00CD58D8" w:rsidRDefault="0090033B" w:rsidP="0090033B">
      <w:pPr>
        <w:pStyle w:val="Prrafodelista"/>
        <w:spacing w:line="360" w:lineRule="auto"/>
        <w:ind w:right="-93"/>
        <w:jc w:val="both"/>
        <w:rPr>
          <w:rFonts w:ascii="Palatino Linotype" w:eastAsia="Calibri" w:hAnsi="Palatino Linotype" w:cs="Tahoma"/>
          <w:iCs/>
          <w:lang w:eastAsia="es-ES_tradnl"/>
        </w:rPr>
      </w:pPr>
    </w:p>
    <w:p w:rsidR="0090033B" w:rsidRPr="00CD58D8" w:rsidRDefault="0090033B" w:rsidP="0090033B">
      <w:pPr>
        <w:pStyle w:val="Prrafodelista"/>
        <w:spacing w:line="360" w:lineRule="auto"/>
        <w:ind w:right="-93"/>
        <w:jc w:val="both"/>
        <w:rPr>
          <w:rFonts w:ascii="Palatino Linotype" w:eastAsia="Calibri" w:hAnsi="Palatino Linotype" w:cs="Tahoma"/>
          <w:iCs/>
          <w:lang w:eastAsia="es-ES_tradnl"/>
        </w:rPr>
      </w:pPr>
      <w:r w:rsidRPr="00CD58D8">
        <w:rPr>
          <w:rFonts w:ascii="Palatino Linotype" w:eastAsia="Calibri" w:hAnsi="Palatino Linotype" w:cs="Tahoma"/>
          <w:iCs/>
          <w:lang w:eastAsia="es-ES_tradnl"/>
        </w:rPr>
        <w:t>Los gastos de representación y viáticos, así como objeto e informe de comisión correspondiente, por el periodo comprendido de los meses de enero y febrero de dos mil diecinueve.</w:t>
      </w:r>
    </w:p>
    <w:p w:rsidR="0090033B" w:rsidRPr="00CD58D8" w:rsidRDefault="0090033B" w:rsidP="0090033B">
      <w:pPr>
        <w:pStyle w:val="Prrafodelista"/>
        <w:spacing w:line="360" w:lineRule="auto"/>
        <w:ind w:right="-93"/>
        <w:jc w:val="both"/>
        <w:rPr>
          <w:rFonts w:ascii="Palatino Linotype" w:eastAsia="Calibri" w:hAnsi="Palatino Linotype" w:cs="Tahoma"/>
          <w:iCs/>
          <w:lang w:eastAsia="es-ES_tradnl"/>
        </w:rPr>
      </w:pPr>
    </w:p>
    <w:p w:rsidR="0090033B" w:rsidRPr="00CD58D8" w:rsidRDefault="0090033B" w:rsidP="0090033B">
      <w:pPr>
        <w:pStyle w:val="Prrafodelista"/>
        <w:spacing w:line="360" w:lineRule="auto"/>
        <w:ind w:right="-93"/>
        <w:jc w:val="both"/>
        <w:rPr>
          <w:rFonts w:ascii="Palatino Linotype" w:eastAsia="Calibri" w:hAnsi="Palatino Linotype" w:cs="Tahoma"/>
          <w:iCs/>
          <w:lang w:eastAsia="es-ES_tradnl"/>
        </w:rPr>
      </w:pPr>
      <w:r w:rsidRPr="00CD58D8">
        <w:rPr>
          <w:rFonts w:ascii="Palatino Linotype" w:eastAsia="Calibri" w:hAnsi="Palatino Linotype" w:cs="Tahoma"/>
          <w:iCs/>
          <w:lang w:eastAsia="es-ES_tradnl"/>
        </w:rPr>
        <w:t>El número total de las plazas y del personal de base y de confianza, así como el total de las vacantes, por nivel de puesto, para cada unidad administrativa, actualizada al veintiuno de marzo del dos mil diecinueve.</w:t>
      </w:r>
    </w:p>
    <w:p w:rsidR="0090033B" w:rsidRPr="00CD58D8" w:rsidRDefault="0090033B" w:rsidP="00CB5946">
      <w:pPr>
        <w:pStyle w:val="Sinespaciado"/>
        <w:rPr>
          <w:lang w:eastAsia="es-ES_tradnl"/>
        </w:rPr>
      </w:pPr>
    </w:p>
    <w:p w:rsidR="0090033B" w:rsidRPr="00CD58D8" w:rsidRDefault="0090033B" w:rsidP="0090033B">
      <w:pPr>
        <w:spacing w:line="360" w:lineRule="auto"/>
        <w:ind w:right="-28"/>
        <w:jc w:val="both"/>
        <w:rPr>
          <w:rFonts w:ascii="Palatino Linotype" w:eastAsia="Calibri" w:hAnsi="Palatino Linotype" w:cs="Tahoma"/>
          <w:bCs/>
          <w:iCs/>
          <w:sz w:val="24"/>
          <w:szCs w:val="24"/>
        </w:rPr>
      </w:pPr>
    </w:p>
    <w:p w:rsidR="0090033B" w:rsidRPr="00CD58D8" w:rsidRDefault="0090033B" w:rsidP="0090033B">
      <w:pPr>
        <w:spacing w:line="360" w:lineRule="auto"/>
        <w:ind w:right="-93"/>
        <w:jc w:val="both"/>
        <w:rPr>
          <w:rFonts w:ascii="Palatino Linotype" w:hAnsi="Palatino Linotype" w:cs="Tahoma"/>
          <w:sz w:val="24"/>
          <w:szCs w:val="24"/>
        </w:rPr>
      </w:pPr>
      <w:r w:rsidRPr="00CD58D8">
        <w:rPr>
          <w:rFonts w:ascii="Palatino Linotype" w:hAnsi="Palatino Linotype" w:cs="Tahoma"/>
          <w:sz w:val="24"/>
          <w:szCs w:val="24"/>
        </w:rPr>
        <w:t xml:space="preserve">Junto con la versión pública, se deberá proporcionar el Acuerdo de Clasificación donde el Comité de Transparencia, confirme la eliminación de los datos conforme a lo </w:t>
      </w:r>
      <w:r w:rsidRPr="00CD58D8">
        <w:rPr>
          <w:rFonts w:ascii="Palatino Linotype" w:hAnsi="Palatino Linotype" w:cs="Tahoma"/>
          <w:sz w:val="24"/>
          <w:szCs w:val="24"/>
        </w:rPr>
        <w:lastRenderedPageBreak/>
        <w:t>concluido en el Considerado Quinto, de conformidad con los artículos 49, fracciones II y VIII, 143, fracción I y 149 de la Ley de Transparencia y Acceso a la Información Pública del Estado de México y Municipios.</w:t>
      </w:r>
    </w:p>
    <w:p w:rsidR="0090033B" w:rsidRPr="00CD58D8" w:rsidRDefault="0090033B" w:rsidP="00CB5946">
      <w:pPr>
        <w:pStyle w:val="Sinespaciado"/>
      </w:pPr>
    </w:p>
    <w:p w:rsidR="0090033B" w:rsidRPr="00CD58D8" w:rsidRDefault="0090033B" w:rsidP="0090033B">
      <w:pPr>
        <w:spacing w:line="360" w:lineRule="auto"/>
        <w:ind w:right="-93"/>
        <w:jc w:val="both"/>
        <w:rPr>
          <w:rFonts w:ascii="Palatino Linotype" w:hAnsi="Palatino Linotype" w:cs="Tahoma"/>
          <w:b/>
          <w:sz w:val="24"/>
          <w:szCs w:val="24"/>
        </w:rPr>
      </w:pPr>
      <w:r w:rsidRPr="00CD58D8">
        <w:rPr>
          <w:rFonts w:ascii="Palatino Linotype" w:hAnsi="Palatino Linotype" w:cs="Tahoma"/>
          <w:b/>
          <w:sz w:val="24"/>
          <w:szCs w:val="24"/>
        </w:rPr>
        <w:t xml:space="preserve">Vista a la Contraloría Interna y </w:t>
      </w:r>
      <w:r w:rsidRPr="00CD58D8">
        <w:rPr>
          <w:rFonts w:ascii="Palatino Linotype" w:eastAsia="Calibri" w:hAnsi="Palatino Linotype" w:cs="Tahoma"/>
          <w:b/>
          <w:bCs/>
          <w:sz w:val="24"/>
          <w:szCs w:val="24"/>
          <w:lang w:val="es-ES_tradnl"/>
        </w:rPr>
        <w:t>Órgano de Control y Vigilancia</w:t>
      </w:r>
      <w:r w:rsidRPr="00CD58D8">
        <w:rPr>
          <w:rFonts w:ascii="Palatino Linotype" w:hAnsi="Palatino Linotype" w:cs="Tahoma"/>
          <w:b/>
          <w:sz w:val="24"/>
          <w:szCs w:val="24"/>
        </w:rPr>
        <w:t xml:space="preserve">. </w:t>
      </w:r>
    </w:p>
    <w:p w:rsidR="0090033B" w:rsidRPr="00CD58D8" w:rsidRDefault="0090033B" w:rsidP="00CB5946">
      <w:pPr>
        <w:pStyle w:val="Sinespaciado"/>
      </w:pPr>
    </w:p>
    <w:p w:rsidR="0090033B" w:rsidRPr="00CD58D8" w:rsidRDefault="0090033B" w:rsidP="0090033B">
      <w:pPr>
        <w:spacing w:line="360" w:lineRule="auto"/>
        <w:ind w:right="-93"/>
        <w:jc w:val="both"/>
        <w:rPr>
          <w:rFonts w:ascii="Palatino Linotype" w:hAnsi="Palatino Linotype" w:cs="Tahoma"/>
          <w:sz w:val="24"/>
          <w:szCs w:val="24"/>
        </w:rPr>
      </w:pPr>
      <w:r w:rsidRPr="00CD58D8">
        <w:rPr>
          <w:rFonts w:ascii="Palatino Linotype" w:hAnsi="Palatino Linotype" w:cs="Tahoma"/>
          <w:sz w:val="24"/>
          <w:szCs w:val="24"/>
        </w:rPr>
        <w:t xml:space="preserve">En los asuntos en estudio, ha quedado señalado que el </w:t>
      </w:r>
      <w:r w:rsidRPr="00CD58D8">
        <w:rPr>
          <w:rFonts w:ascii="Palatino Linotype" w:eastAsia="Calibri" w:hAnsi="Palatino Linotype" w:cs="Tahoma"/>
          <w:b/>
          <w:sz w:val="24"/>
          <w:szCs w:val="24"/>
        </w:rPr>
        <w:t>Ayuntamiento de Tenango del Aire</w:t>
      </w:r>
      <w:r w:rsidRPr="00CD58D8">
        <w:rPr>
          <w:rFonts w:ascii="Palatino Linotype" w:eastAsia="Calibri" w:hAnsi="Palatino Linotype" w:cs="Tahoma"/>
          <w:sz w:val="24"/>
          <w:szCs w:val="24"/>
        </w:rPr>
        <w:t xml:space="preserve"> </w:t>
      </w:r>
      <w:r w:rsidRPr="00CD58D8">
        <w:rPr>
          <w:rFonts w:ascii="Palatino Linotype" w:hAnsi="Palatino Linotype" w:cs="Tahoma"/>
          <w:sz w:val="24"/>
          <w:szCs w:val="24"/>
        </w:rPr>
        <w:t>no emitió respuesta dentro del plazo señalado en el artículo 163 de la Ley de Transparencia y Acceso a la Información Pública del Estado de México y Municipios.</w:t>
      </w:r>
    </w:p>
    <w:p w:rsidR="0090033B" w:rsidRPr="00CD58D8" w:rsidRDefault="0090033B" w:rsidP="00CB5946">
      <w:pPr>
        <w:pStyle w:val="Sinespaciado"/>
      </w:pPr>
    </w:p>
    <w:p w:rsidR="0090033B" w:rsidRPr="00CD58D8" w:rsidRDefault="0090033B" w:rsidP="0090033B">
      <w:pPr>
        <w:spacing w:line="360" w:lineRule="auto"/>
        <w:ind w:right="-93"/>
        <w:jc w:val="both"/>
        <w:rPr>
          <w:rFonts w:ascii="Palatino Linotype" w:hAnsi="Palatino Linotype" w:cs="Tahoma"/>
          <w:sz w:val="24"/>
          <w:szCs w:val="24"/>
        </w:rPr>
      </w:pPr>
      <w:r w:rsidRPr="00CD58D8">
        <w:rPr>
          <w:rFonts w:ascii="Palatino Linotype" w:hAnsi="Palatino Linotype" w:cs="Tahoma"/>
          <w:sz w:val="24"/>
          <w:szCs w:val="24"/>
        </w:rPr>
        <w:t>Al respecto, en el artículo 36, fracción X, del ordenamiento jurídico en cita, se establece que es atribución de este Instituto hacer del conocimiento del Órgano Interno de Control o equivalente de cada Sujeto Obligado las infracciones a esta Ley.</w:t>
      </w:r>
    </w:p>
    <w:p w:rsidR="0090033B" w:rsidRPr="00CD58D8" w:rsidRDefault="0090033B" w:rsidP="00CB5946">
      <w:pPr>
        <w:pStyle w:val="Sinespaciado"/>
      </w:pPr>
    </w:p>
    <w:p w:rsidR="0090033B" w:rsidRPr="00CD58D8" w:rsidRDefault="0090033B" w:rsidP="0090033B">
      <w:pPr>
        <w:spacing w:line="360" w:lineRule="auto"/>
        <w:ind w:right="-93"/>
        <w:jc w:val="both"/>
        <w:rPr>
          <w:rFonts w:ascii="Palatino Linotype" w:eastAsia="Calibri" w:hAnsi="Palatino Linotype" w:cs="Tahoma"/>
          <w:bCs/>
          <w:sz w:val="24"/>
          <w:szCs w:val="24"/>
        </w:rPr>
      </w:pPr>
      <w:r w:rsidRPr="00CD58D8">
        <w:rPr>
          <w:rFonts w:ascii="Palatino Linotype" w:eastAsia="Calibri" w:hAnsi="Palatino Linotype" w:cs="Tahoma"/>
          <w:bCs/>
          <w:sz w:val="24"/>
          <w:szCs w:val="24"/>
        </w:rPr>
        <w:t>En ese sentido, de conformidad con lo previsto en el artículo 222, fracción II, de dicho ordenamiento, son causas de sanción por incumplimiento de las obligaciones establecida en la Ley de la materia, entre otras conductas, la falta de respuesta a las solicitudes de información en los plazos señalados, a saber, dentro de los quince días siguientes a la presentación del requerimiento.</w:t>
      </w:r>
    </w:p>
    <w:p w:rsidR="0090033B" w:rsidRPr="00CD58D8" w:rsidRDefault="0090033B" w:rsidP="00CB5946">
      <w:pPr>
        <w:pStyle w:val="Sinespaciado"/>
      </w:pPr>
    </w:p>
    <w:p w:rsidR="0090033B" w:rsidRPr="00CD58D8" w:rsidRDefault="0090033B" w:rsidP="0090033B">
      <w:pPr>
        <w:spacing w:line="360" w:lineRule="auto"/>
        <w:ind w:right="-93"/>
        <w:jc w:val="both"/>
        <w:rPr>
          <w:rFonts w:ascii="Palatino Linotype" w:eastAsia="Calibri" w:hAnsi="Palatino Linotype" w:cs="Tahoma"/>
          <w:bCs/>
          <w:sz w:val="24"/>
          <w:szCs w:val="24"/>
        </w:rPr>
      </w:pPr>
      <w:r w:rsidRPr="00CD58D8">
        <w:rPr>
          <w:rFonts w:ascii="Palatino Linotype" w:eastAsia="Calibri" w:hAnsi="Palatino Linotype" w:cs="Tahoma"/>
          <w:bCs/>
          <w:sz w:val="24"/>
          <w:szCs w:val="24"/>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rsidR="0090033B" w:rsidRPr="00CD58D8" w:rsidRDefault="0090033B" w:rsidP="00CB5946">
      <w:pPr>
        <w:pStyle w:val="Sinespaciado"/>
      </w:pPr>
    </w:p>
    <w:p w:rsidR="0090033B" w:rsidRPr="00CD58D8" w:rsidRDefault="0090033B" w:rsidP="0090033B">
      <w:pPr>
        <w:spacing w:line="360" w:lineRule="auto"/>
        <w:ind w:right="-93"/>
        <w:jc w:val="both"/>
        <w:rPr>
          <w:rFonts w:ascii="Palatino Linotype" w:eastAsia="Calibri" w:hAnsi="Palatino Linotype" w:cs="Tahoma"/>
          <w:bCs/>
          <w:sz w:val="24"/>
          <w:szCs w:val="24"/>
        </w:rPr>
      </w:pPr>
      <w:r w:rsidRPr="00CD58D8">
        <w:rPr>
          <w:rFonts w:ascii="Palatino Linotype" w:eastAsia="Calibri" w:hAnsi="Palatino Linotype" w:cs="Tahoma"/>
          <w:bCs/>
          <w:sz w:val="24"/>
          <w:szCs w:val="24"/>
        </w:rPr>
        <w:lastRenderedPageBreak/>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CD58D8">
        <w:rPr>
          <w:rFonts w:ascii="Palatino Linotype" w:eastAsia="Calibri" w:hAnsi="Palatino Linotype" w:cs="Tahoma"/>
          <w:bCs/>
          <w:sz w:val="24"/>
          <w:szCs w:val="24"/>
          <w:lang w:val="es-ES_tradnl"/>
        </w:rPr>
        <w:t>al Contralor Interno y Titular del Órgano de Control y Vigilancia de este Instituto</w:t>
      </w:r>
      <w:r w:rsidRPr="00CD58D8">
        <w:rPr>
          <w:rFonts w:ascii="Palatino Linotype" w:eastAsia="Calibri" w:hAnsi="Palatino Linotype" w:cs="Tahoma"/>
          <w:bCs/>
          <w:sz w:val="24"/>
          <w:szCs w:val="24"/>
        </w:rPr>
        <w:t>.</w:t>
      </w:r>
    </w:p>
    <w:p w:rsidR="0090033B" w:rsidRPr="00CD58D8" w:rsidRDefault="0090033B" w:rsidP="00CB5946">
      <w:pPr>
        <w:pStyle w:val="Sinespaciado"/>
      </w:pPr>
    </w:p>
    <w:p w:rsidR="0090033B" w:rsidRPr="00CD58D8" w:rsidRDefault="0090033B" w:rsidP="0090033B">
      <w:pPr>
        <w:spacing w:line="360" w:lineRule="auto"/>
        <w:ind w:right="-93"/>
        <w:jc w:val="both"/>
        <w:rPr>
          <w:rFonts w:ascii="Palatino Linotype" w:eastAsia="Calibri" w:hAnsi="Palatino Linotype" w:cs="Tahoma"/>
          <w:bCs/>
          <w:sz w:val="24"/>
          <w:szCs w:val="24"/>
        </w:rPr>
      </w:pPr>
      <w:r w:rsidRPr="00CD58D8">
        <w:rPr>
          <w:rFonts w:ascii="Palatino Linotype" w:eastAsia="Calibri" w:hAnsi="Palatino Linotype" w:cs="Tahoma"/>
          <w:bCs/>
          <w:sz w:val="24"/>
          <w:szCs w:val="24"/>
        </w:rPr>
        <w:t>Por lo expuesto y fundado, este Pleno:</w:t>
      </w:r>
    </w:p>
    <w:p w:rsidR="0090033B" w:rsidRPr="00CD58D8" w:rsidRDefault="0090033B" w:rsidP="00CB5946">
      <w:pPr>
        <w:pStyle w:val="Sinespaciado"/>
      </w:pPr>
    </w:p>
    <w:p w:rsidR="0090033B" w:rsidRPr="00CD58D8" w:rsidRDefault="0090033B" w:rsidP="0090033B">
      <w:pPr>
        <w:spacing w:line="360" w:lineRule="auto"/>
        <w:ind w:right="-93"/>
        <w:jc w:val="center"/>
        <w:rPr>
          <w:rFonts w:ascii="Palatino Linotype" w:eastAsia="Calibri" w:hAnsi="Palatino Linotype" w:cs="Tahoma"/>
          <w:b/>
          <w:bCs/>
          <w:sz w:val="24"/>
          <w:szCs w:val="24"/>
        </w:rPr>
      </w:pPr>
      <w:r w:rsidRPr="00CD58D8">
        <w:rPr>
          <w:rFonts w:ascii="Palatino Linotype" w:eastAsia="Calibri" w:hAnsi="Palatino Linotype" w:cs="Tahoma"/>
          <w:b/>
          <w:bCs/>
          <w:sz w:val="24"/>
          <w:szCs w:val="24"/>
        </w:rPr>
        <w:t>R E S U E L V E:</w:t>
      </w:r>
    </w:p>
    <w:p w:rsidR="0090033B" w:rsidRPr="00CD58D8" w:rsidRDefault="0090033B" w:rsidP="00CB5946">
      <w:pPr>
        <w:pStyle w:val="Sinespaciado"/>
      </w:pPr>
    </w:p>
    <w:p w:rsidR="0090033B" w:rsidRPr="00CD58D8" w:rsidRDefault="0090033B" w:rsidP="0090033B">
      <w:pPr>
        <w:shd w:val="clear" w:color="auto" w:fill="FFFFFF" w:themeFill="background1"/>
        <w:spacing w:line="360" w:lineRule="auto"/>
        <w:jc w:val="both"/>
        <w:rPr>
          <w:rFonts w:ascii="Palatino Linotype" w:eastAsia="Calibri" w:hAnsi="Palatino Linotype" w:cs="Tahoma"/>
          <w:bCs/>
          <w:sz w:val="24"/>
          <w:szCs w:val="24"/>
        </w:rPr>
      </w:pPr>
      <w:r w:rsidRPr="00CD58D8">
        <w:rPr>
          <w:rFonts w:ascii="Palatino Linotype" w:eastAsia="Calibri" w:hAnsi="Palatino Linotype" w:cs="Tahoma"/>
          <w:b/>
          <w:bCs/>
          <w:sz w:val="24"/>
          <w:szCs w:val="24"/>
        </w:rPr>
        <w:t xml:space="preserve">PRIMERO. </w:t>
      </w:r>
      <w:r w:rsidRPr="00CD58D8">
        <w:rPr>
          <w:rFonts w:ascii="Palatino Linotype" w:eastAsia="Calibri" w:hAnsi="Palatino Linotype" w:cs="Tahoma"/>
          <w:bCs/>
          <w:sz w:val="24"/>
          <w:szCs w:val="24"/>
        </w:rPr>
        <w:t xml:space="preserve">Resulta </w:t>
      </w:r>
      <w:r w:rsidRPr="00CD58D8">
        <w:rPr>
          <w:rFonts w:ascii="Palatino Linotype" w:eastAsia="Calibri" w:hAnsi="Palatino Linotype" w:cs="Tahoma"/>
          <w:b/>
          <w:bCs/>
          <w:sz w:val="24"/>
          <w:szCs w:val="24"/>
        </w:rPr>
        <w:t>FUNDADA</w:t>
      </w:r>
      <w:r w:rsidRPr="00CD58D8">
        <w:rPr>
          <w:rFonts w:ascii="Palatino Linotype" w:eastAsia="Calibri" w:hAnsi="Palatino Linotype" w:cs="Tahoma"/>
          <w:bCs/>
          <w:sz w:val="24"/>
          <w:szCs w:val="24"/>
        </w:rPr>
        <w:t xml:space="preserve"> la razón o motivo de inconformidad hecho valer por el Recurrente en el Recurso de Revisión </w:t>
      </w:r>
      <w:r w:rsidRPr="00CD58D8">
        <w:rPr>
          <w:rFonts w:ascii="Palatino Linotype" w:eastAsia="Calibri" w:hAnsi="Palatino Linotype" w:cs="Tahoma"/>
          <w:b/>
          <w:bCs/>
          <w:sz w:val="24"/>
          <w:szCs w:val="24"/>
        </w:rPr>
        <w:t>02546/INFOEM/IP/RR/2019</w:t>
      </w:r>
      <w:r w:rsidR="0082069F">
        <w:rPr>
          <w:rFonts w:ascii="Palatino Linotype" w:eastAsia="Calibri" w:hAnsi="Palatino Linotype" w:cs="Tahoma"/>
          <w:bCs/>
          <w:sz w:val="24"/>
          <w:szCs w:val="24"/>
        </w:rPr>
        <w:t>, en términos del Considerando</w:t>
      </w:r>
      <w:r w:rsidRPr="00CD58D8">
        <w:rPr>
          <w:rFonts w:ascii="Palatino Linotype" w:eastAsia="Calibri" w:hAnsi="Palatino Linotype" w:cs="Tahoma"/>
          <w:bCs/>
          <w:sz w:val="24"/>
          <w:szCs w:val="24"/>
        </w:rPr>
        <w:t xml:space="preserve"> </w:t>
      </w:r>
      <w:r w:rsidR="0082069F">
        <w:rPr>
          <w:rFonts w:ascii="Palatino Linotype" w:eastAsia="Calibri" w:hAnsi="Palatino Linotype" w:cs="Tahoma"/>
          <w:b/>
          <w:bCs/>
          <w:sz w:val="24"/>
          <w:szCs w:val="24"/>
        </w:rPr>
        <w:t xml:space="preserve">CUARTO </w:t>
      </w:r>
      <w:r w:rsidRPr="00CD58D8">
        <w:rPr>
          <w:rFonts w:ascii="Palatino Linotype" w:eastAsia="Calibri" w:hAnsi="Palatino Linotype" w:cs="Tahoma"/>
          <w:bCs/>
          <w:sz w:val="24"/>
          <w:szCs w:val="24"/>
        </w:rPr>
        <w:t>de la presente Resolución.</w:t>
      </w:r>
    </w:p>
    <w:p w:rsidR="0090033B" w:rsidRPr="00CD58D8" w:rsidRDefault="0090033B" w:rsidP="00CB5946">
      <w:pPr>
        <w:pStyle w:val="Sinespaciado"/>
      </w:pPr>
    </w:p>
    <w:p w:rsidR="0090033B" w:rsidRPr="00CD58D8" w:rsidRDefault="0090033B" w:rsidP="0090033B">
      <w:pPr>
        <w:spacing w:line="360" w:lineRule="auto"/>
        <w:ind w:right="-93"/>
        <w:jc w:val="both"/>
        <w:rPr>
          <w:rFonts w:ascii="Palatino Linotype" w:hAnsi="Palatino Linotype" w:cs="Tahoma"/>
          <w:bCs/>
          <w:sz w:val="24"/>
          <w:szCs w:val="24"/>
        </w:rPr>
      </w:pPr>
      <w:r w:rsidRPr="00CD58D8">
        <w:rPr>
          <w:rFonts w:ascii="Palatino Linotype" w:eastAsia="Calibri" w:hAnsi="Palatino Linotype" w:cs="Tahoma"/>
          <w:b/>
          <w:bCs/>
          <w:sz w:val="24"/>
          <w:szCs w:val="24"/>
        </w:rPr>
        <w:t xml:space="preserve">SEGUNDO. </w:t>
      </w:r>
      <w:r w:rsidRPr="00CD58D8">
        <w:rPr>
          <w:rFonts w:ascii="Palatino Linotype" w:eastAsia="Calibri" w:hAnsi="Palatino Linotype" w:cs="Tahoma"/>
          <w:sz w:val="24"/>
          <w:szCs w:val="24"/>
          <w:lang w:eastAsia="es-MX"/>
        </w:rPr>
        <w:t xml:space="preserve">Se </w:t>
      </w:r>
      <w:r w:rsidRPr="00CD58D8">
        <w:rPr>
          <w:rFonts w:ascii="Palatino Linotype" w:eastAsia="Calibri" w:hAnsi="Palatino Linotype" w:cs="Tahoma"/>
          <w:b/>
          <w:sz w:val="24"/>
          <w:szCs w:val="24"/>
          <w:lang w:eastAsia="es-MX"/>
        </w:rPr>
        <w:t xml:space="preserve">ORDENA </w:t>
      </w:r>
      <w:r w:rsidRPr="00CD58D8">
        <w:rPr>
          <w:rFonts w:ascii="Palatino Linotype" w:eastAsia="Calibri" w:hAnsi="Palatino Linotype" w:cs="Tahoma"/>
          <w:sz w:val="24"/>
          <w:szCs w:val="24"/>
          <w:lang w:eastAsia="es-MX"/>
        </w:rPr>
        <w:t xml:space="preserve">al Sujeto Obligado, </w:t>
      </w:r>
      <w:r w:rsidRPr="00CD58D8">
        <w:rPr>
          <w:rFonts w:ascii="Palatino Linotype" w:eastAsia="Calibri" w:hAnsi="Palatino Linotype" w:cs="Tahoma"/>
          <w:b/>
          <w:sz w:val="24"/>
          <w:szCs w:val="24"/>
        </w:rPr>
        <w:t>Ayuntamiento de Tenango del Aire</w:t>
      </w:r>
      <w:r w:rsidRPr="00CD58D8">
        <w:rPr>
          <w:rFonts w:ascii="Palatino Linotype" w:eastAsia="Calibri" w:hAnsi="Palatino Linotype" w:cs="Tahoma"/>
          <w:sz w:val="24"/>
          <w:szCs w:val="24"/>
          <w:lang w:eastAsia="es-MX"/>
        </w:rPr>
        <w:t xml:space="preserve">, atienda la solicitud de acceso a la información pública con número </w:t>
      </w:r>
      <w:r w:rsidRPr="00CD58D8">
        <w:rPr>
          <w:rFonts w:ascii="Palatino Linotype" w:hAnsi="Palatino Linotype" w:cs="Tahoma"/>
          <w:sz w:val="24"/>
          <w:szCs w:val="24"/>
        </w:rPr>
        <w:t>de folio</w:t>
      </w:r>
      <w:r w:rsidRPr="00CD58D8">
        <w:rPr>
          <w:rFonts w:ascii="Palatino Linotype" w:hAnsi="Palatino Linotype"/>
          <w:b/>
          <w:bCs/>
          <w:color w:val="FF0000"/>
          <w:sz w:val="24"/>
          <w:szCs w:val="24"/>
          <w:lang w:val="es-ES"/>
        </w:rPr>
        <w:t xml:space="preserve"> </w:t>
      </w:r>
      <w:r w:rsidRPr="00CD58D8">
        <w:rPr>
          <w:rFonts w:ascii="Palatino Linotype" w:eastAsia="Calibri" w:hAnsi="Palatino Linotype" w:cs="Tahoma"/>
          <w:b/>
          <w:bCs/>
          <w:sz w:val="24"/>
          <w:szCs w:val="24"/>
        </w:rPr>
        <w:t xml:space="preserve">00031/TENAAIR/IP/2019 </w:t>
      </w:r>
      <w:r w:rsidRPr="00CD58D8">
        <w:rPr>
          <w:rFonts w:ascii="Palatino Linotype" w:hAnsi="Palatino Linotype" w:cs="Tahoma"/>
          <w:bCs/>
          <w:sz w:val="24"/>
          <w:szCs w:val="24"/>
          <w:lang w:val="es-ES"/>
        </w:rPr>
        <w:t xml:space="preserve">y </w:t>
      </w:r>
      <w:r w:rsidRPr="00CD58D8">
        <w:rPr>
          <w:rFonts w:ascii="Palatino Linotype" w:hAnsi="Palatino Linotype" w:cs="Tahoma"/>
          <w:sz w:val="24"/>
          <w:szCs w:val="24"/>
        </w:rPr>
        <w:t xml:space="preserve">previa búsqueda exhaustiva y razonable en todas las áreas competentes, </w:t>
      </w:r>
      <w:r w:rsidRPr="00CD58D8">
        <w:rPr>
          <w:rFonts w:ascii="Palatino Linotype" w:hAnsi="Palatino Linotype" w:cs="Tahoma"/>
          <w:bCs/>
          <w:sz w:val="24"/>
          <w:szCs w:val="24"/>
        </w:rPr>
        <w:t>otorgue acceso vía el Sistema de Acceso a la Información Mexiquense (SAIMEX), en su caso en versión pública, de el o los documentos que den cuenta de:</w:t>
      </w:r>
    </w:p>
    <w:p w:rsidR="0090033B" w:rsidRPr="00CD58D8" w:rsidRDefault="0090033B" w:rsidP="0082069F">
      <w:pPr>
        <w:pStyle w:val="Sinespaciado"/>
      </w:pPr>
    </w:p>
    <w:p w:rsidR="0090033B" w:rsidRPr="00CD58D8" w:rsidRDefault="0090033B" w:rsidP="0090033B">
      <w:pPr>
        <w:pStyle w:val="Prrafodelista"/>
        <w:numPr>
          <w:ilvl w:val="0"/>
          <w:numId w:val="37"/>
        </w:numPr>
        <w:spacing w:line="360" w:lineRule="auto"/>
        <w:ind w:right="-93"/>
        <w:contextualSpacing/>
        <w:jc w:val="both"/>
        <w:rPr>
          <w:rFonts w:ascii="Palatino Linotype" w:eastAsia="Calibri" w:hAnsi="Palatino Linotype" w:cs="Tahoma"/>
          <w:iCs/>
          <w:lang w:eastAsia="es-ES_tradnl"/>
        </w:rPr>
      </w:pPr>
      <w:r w:rsidRPr="00CD58D8">
        <w:rPr>
          <w:rFonts w:ascii="Palatino Linotype" w:eastAsia="Calibri" w:hAnsi="Palatino Linotype" w:cs="Tahoma"/>
          <w:iCs/>
          <w:lang w:eastAsia="es-ES_tradnl"/>
        </w:rPr>
        <w:t>La remuneración bruta y neta de todos los servidores públicos  del Ayuntamiento que contenga el total de percepciones (sueldos, prestaciones, gratificaciones, primas, comisiones, dietas, bonos, estímulos, ingresos y sistemas de compensación); de los meses de por el periodo comprendido de los meses de enero y febrero de dos mil diecinueve.</w:t>
      </w:r>
    </w:p>
    <w:p w:rsidR="0090033B" w:rsidRPr="00CD58D8" w:rsidRDefault="0090033B" w:rsidP="00CB5946">
      <w:pPr>
        <w:pStyle w:val="Sinespaciado"/>
        <w:rPr>
          <w:lang w:eastAsia="es-ES_tradnl"/>
        </w:rPr>
      </w:pPr>
    </w:p>
    <w:p w:rsidR="0090033B" w:rsidRPr="00CD58D8" w:rsidRDefault="0090033B" w:rsidP="0090033B">
      <w:pPr>
        <w:pStyle w:val="Prrafodelista"/>
        <w:numPr>
          <w:ilvl w:val="0"/>
          <w:numId w:val="37"/>
        </w:numPr>
        <w:spacing w:line="360" w:lineRule="auto"/>
        <w:ind w:right="-93"/>
        <w:contextualSpacing/>
        <w:jc w:val="both"/>
        <w:rPr>
          <w:rFonts w:ascii="Palatino Linotype" w:eastAsia="Calibri" w:hAnsi="Palatino Linotype" w:cs="Tahoma"/>
          <w:iCs/>
          <w:lang w:eastAsia="es-ES_tradnl"/>
        </w:rPr>
      </w:pPr>
      <w:r w:rsidRPr="00CD58D8">
        <w:rPr>
          <w:rFonts w:ascii="Palatino Linotype" w:eastAsia="Calibri" w:hAnsi="Palatino Linotype" w:cs="Tahoma"/>
          <w:iCs/>
          <w:lang w:eastAsia="es-ES_tradnl"/>
        </w:rPr>
        <w:t>Los gastos de representación y viáticos, así como objeto e informe de comisión correspondiente, por el periodo comprendido de los meses de enero y febrero de dos mil diecinueve.</w:t>
      </w:r>
    </w:p>
    <w:p w:rsidR="0090033B" w:rsidRPr="00CD58D8" w:rsidRDefault="0090033B" w:rsidP="00CB5946">
      <w:pPr>
        <w:pStyle w:val="Sinespaciado"/>
        <w:rPr>
          <w:lang w:eastAsia="es-ES_tradnl"/>
        </w:rPr>
      </w:pPr>
    </w:p>
    <w:p w:rsidR="0090033B" w:rsidRPr="00CD58D8" w:rsidRDefault="0090033B" w:rsidP="0090033B">
      <w:pPr>
        <w:pStyle w:val="Prrafodelista"/>
        <w:numPr>
          <w:ilvl w:val="0"/>
          <w:numId w:val="37"/>
        </w:numPr>
        <w:spacing w:line="360" w:lineRule="auto"/>
        <w:ind w:right="-93"/>
        <w:contextualSpacing/>
        <w:jc w:val="both"/>
        <w:rPr>
          <w:rFonts w:ascii="Palatino Linotype" w:eastAsia="Calibri" w:hAnsi="Palatino Linotype" w:cs="Tahoma"/>
          <w:iCs/>
          <w:lang w:eastAsia="es-ES_tradnl"/>
        </w:rPr>
      </w:pPr>
      <w:r w:rsidRPr="00CD58D8">
        <w:rPr>
          <w:rFonts w:ascii="Palatino Linotype" w:eastAsia="Calibri" w:hAnsi="Palatino Linotype" w:cs="Tahoma"/>
          <w:iCs/>
          <w:lang w:eastAsia="es-ES_tradnl"/>
        </w:rPr>
        <w:t>El número total de las plazas y del personal de base y de confianza, así como el total de las vacantes, por nivel de puesto, para cada unidad administrativa, actualizada al veintiuno de marzo del dos mil diecinueve.</w:t>
      </w:r>
    </w:p>
    <w:p w:rsidR="0090033B" w:rsidRPr="00CD58D8" w:rsidRDefault="0090033B" w:rsidP="00CB5946">
      <w:pPr>
        <w:pStyle w:val="Sinespaciado"/>
      </w:pPr>
    </w:p>
    <w:p w:rsidR="0090033B" w:rsidRPr="00CB5946" w:rsidRDefault="0090033B" w:rsidP="0090033B">
      <w:pPr>
        <w:spacing w:line="360" w:lineRule="auto"/>
        <w:ind w:right="-93"/>
        <w:jc w:val="both"/>
        <w:rPr>
          <w:rFonts w:ascii="Palatino Linotype" w:hAnsi="Palatino Linotype" w:cs="Tahoma"/>
          <w:i/>
          <w:sz w:val="24"/>
          <w:szCs w:val="24"/>
        </w:rPr>
      </w:pPr>
      <w:r w:rsidRPr="00CB5946">
        <w:rPr>
          <w:rFonts w:ascii="Palatino Linotype" w:hAnsi="Palatino Linotype" w:cs="Tahoma"/>
          <w:i/>
          <w:sz w:val="24"/>
          <w:szCs w:val="24"/>
        </w:rPr>
        <w:t>Junto con la versión pública, se deberá proporcionar el Acuerdo de Clasificación donde el Comité de Transparencia, confirme la eliminación de los datos conforme a lo concluido en el Considerado Quinto, de conformidad con l</w:t>
      </w:r>
      <w:r w:rsidR="009D0C81">
        <w:rPr>
          <w:rFonts w:ascii="Palatino Linotype" w:hAnsi="Palatino Linotype" w:cs="Tahoma"/>
          <w:i/>
          <w:sz w:val="24"/>
          <w:szCs w:val="24"/>
        </w:rPr>
        <w:t>os artículos 49 fracción</w:t>
      </w:r>
      <w:r w:rsidRPr="00CB5946">
        <w:rPr>
          <w:rFonts w:ascii="Palatino Linotype" w:hAnsi="Palatino Linotype" w:cs="Tahoma"/>
          <w:i/>
          <w:sz w:val="24"/>
          <w:szCs w:val="24"/>
        </w:rPr>
        <w:t xml:space="preserve"> VIII y 132, fracción II, de la Ley de Transparencia y Acceso a la Información Pública del Estado de México y Municipios.</w:t>
      </w:r>
    </w:p>
    <w:p w:rsidR="0090033B" w:rsidRPr="00CD58D8" w:rsidRDefault="0090033B" w:rsidP="00CB5946">
      <w:pPr>
        <w:pStyle w:val="Sinespaciado"/>
        <w:rPr>
          <w:lang w:val="es-ES" w:eastAsia="es-ES_tradnl"/>
        </w:rPr>
      </w:pPr>
    </w:p>
    <w:p w:rsidR="0090033B" w:rsidRDefault="0090033B" w:rsidP="0090033B">
      <w:pPr>
        <w:spacing w:line="360" w:lineRule="auto"/>
        <w:jc w:val="both"/>
        <w:rPr>
          <w:rFonts w:ascii="Palatino Linotype" w:hAnsi="Palatino Linotype" w:cs="Tahoma"/>
          <w:sz w:val="24"/>
          <w:szCs w:val="24"/>
        </w:rPr>
      </w:pPr>
      <w:r w:rsidRPr="00CD58D8">
        <w:rPr>
          <w:rFonts w:ascii="Palatino Linotype" w:eastAsia="Calibri" w:hAnsi="Palatino Linotype" w:cs="Tahoma"/>
          <w:b/>
          <w:bCs/>
          <w:sz w:val="24"/>
          <w:szCs w:val="24"/>
        </w:rPr>
        <w:t xml:space="preserve">TERCERO. </w:t>
      </w:r>
      <w:r w:rsidRPr="00CD58D8">
        <w:rPr>
          <w:rFonts w:ascii="Palatino Linotype" w:hAnsi="Palatino Linotype" w:cs="Tahoma"/>
          <w:b/>
          <w:sz w:val="24"/>
          <w:szCs w:val="24"/>
        </w:rPr>
        <w:t xml:space="preserve">NOTIFÍQUESE </w:t>
      </w:r>
      <w:r w:rsidRPr="00CD58D8">
        <w:rPr>
          <w:rFonts w:ascii="Palatino Linotype" w:hAnsi="Palatino Linotype" w:cs="Tahoma"/>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82069F" w:rsidRPr="00CD58D8" w:rsidRDefault="0082069F" w:rsidP="0082069F">
      <w:pPr>
        <w:pStyle w:val="Sinespaciado"/>
      </w:pPr>
    </w:p>
    <w:p w:rsidR="0090033B" w:rsidRPr="00CD58D8" w:rsidRDefault="0090033B" w:rsidP="0090033B">
      <w:pPr>
        <w:shd w:val="clear" w:color="auto" w:fill="FFFFFF" w:themeFill="background1"/>
        <w:spacing w:line="360" w:lineRule="auto"/>
        <w:jc w:val="both"/>
        <w:rPr>
          <w:rFonts w:ascii="Palatino Linotype" w:hAnsi="Palatino Linotype" w:cs="Tahoma"/>
          <w:sz w:val="24"/>
          <w:szCs w:val="24"/>
        </w:rPr>
      </w:pPr>
      <w:r w:rsidRPr="00CD58D8">
        <w:rPr>
          <w:rFonts w:ascii="Palatino Linotype" w:eastAsia="Calibri" w:hAnsi="Palatino Linotype" w:cs="Tahoma"/>
          <w:b/>
          <w:sz w:val="24"/>
          <w:szCs w:val="24"/>
          <w:lang w:eastAsia="es-MX"/>
        </w:rPr>
        <w:t>CUARTO</w:t>
      </w:r>
      <w:r w:rsidRPr="00CD58D8">
        <w:rPr>
          <w:rFonts w:ascii="Palatino Linotype" w:eastAsia="Calibri" w:hAnsi="Palatino Linotype" w:cs="Tahoma"/>
          <w:b/>
          <w:bCs/>
          <w:sz w:val="24"/>
          <w:szCs w:val="24"/>
        </w:rPr>
        <w:t xml:space="preserve">. </w:t>
      </w:r>
      <w:r w:rsidRPr="00CD58D8">
        <w:rPr>
          <w:rFonts w:ascii="Palatino Linotype" w:hAnsi="Palatino Linotype" w:cs="Tahoma"/>
          <w:b/>
          <w:sz w:val="24"/>
          <w:szCs w:val="24"/>
        </w:rPr>
        <w:t>NOTIFÍQUESE</w:t>
      </w:r>
      <w:r w:rsidRPr="00CD58D8">
        <w:rPr>
          <w:rFonts w:ascii="Palatino Linotype" w:hAnsi="Palatino Linotype" w:cs="Tahoma"/>
          <w:sz w:val="24"/>
          <w:szCs w:val="24"/>
        </w:rPr>
        <w:t xml:space="preserve"> al Recurrente la presente Resolución, asimismo, se hace de su conocimiento que de conformidad con lo establecido en el artículo 196 de la Ley de Transparencia y Acceso a la Información Pública del Estado de México y Municipios podrá promover Juicio de Amparo en los términos de las leyes aplicables.</w:t>
      </w:r>
    </w:p>
    <w:p w:rsidR="0090033B" w:rsidRPr="00CD58D8" w:rsidRDefault="0090033B" w:rsidP="00CB5946">
      <w:pPr>
        <w:pStyle w:val="Sinespaciado"/>
      </w:pPr>
    </w:p>
    <w:p w:rsidR="0090033B" w:rsidRPr="00CD58D8" w:rsidRDefault="0090033B" w:rsidP="0090033B">
      <w:pPr>
        <w:spacing w:line="360" w:lineRule="auto"/>
        <w:ind w:right="-93"/>
        <w:jc w:val="both"/>
        <w:rPr>
          <w:rFonts w:ascii="Palatino Linotype" w:eastAsia="Calibri" w:hAnsi="Palatino Linotype" w:cs="Tahoma"/>
          <w:bCs/>
          <w:sz w:val="24"/>
          <w:szCs w:val="24"/>
          <w:lang w:val="es-ES_tradnl"/>
        </w:rPr>
      </w:pPr>
      <w:r w:rsidRPr="00CD58D8">
        <w:rPr>
          <w:rFonts w:ascii="Palatino Linotype" w:eastAsia="Calibri" w:hAnsi="Palatino Linotype" w:cs="Tahoma"/>
          <w:b/>
          <w:bCs/>
          <w:sz w:val="24"/>
          <w:szCs w:val="24"/>
        </w:rPr>
        <w:lastRenderedPageBreak/>
        <w:t xml:space="preserve">QUINTO. </w:t>
      </w:r>
      <w:r w:rsidRPr="00CD58D8">
        <w:rPr>
          <w:rFonts w:ascii="Palatino Linotype" w:eastAsia="Calibri" w:hAnsi="Palatino Linotype" w:cs="Tahoma"/>
          <w:bCs/>
          <w:sz w:val="24"/>
          <w:szCs w:val="24"/>
          <w:lang w:val="es-ES_tradnl"/>
        </w:rPr>
        <w:t xml:space="preserve">Con fundamento en lo dispuesto en los artículos 190 de la </w:t>
      </w:r>
      <w:r w:rsidRPr="00CD58D8">
        <w:rPr>
          <w:rFonts w:ascii="Palatino Linotype" w:hAnsi="Palatino Linotype" w:cs="Tahoma"/>
          <w:sz w:val="24"/>
          <w:szCs w:val="24"/>
        </w:rPr>
        <w:t>Ley de Transparencia y Acceso a la Información Pública del Estado de México y Municipios, gírese</w:t>
      </w:r>
      <w:r w:rsidRPr="00CD58D8">
        <w:rPr>
          <w:rFonts w:ascii="Palatino Linotype" w:eastAsia="Calibri" w:hAnsi="Palatino Linotype" w:cs="Tahoma"/>
          <w:bCs/>
          <w:sz w:val="24"/>
          <w:szCs w:val="24"/>
          <w:lang w:val="es-ES_tradnl"/>
        </w:rPr>
        <w:t xml:space="preserve"> oficio al Contralor Interno y Titular del Órgano de Control y Vigilancia de este Instituto con la finalidad de que actúe en razón de su competencia, en términos de lo dispuesto en el Considerando </w:t>
      </w:r>
      <w:r w:rsidR="0082069F">
        <w:rPr>
          <w:rFonts w:ascii="Palatino Linotype" w:eastAsia="Calibri" w:hAnsi="Palatino Linotype" w:cs="Tahoma"/>
          <w:b/>
          <w:bCs/>
          <w:sz w:val="24"/>
          <w:szCs w:val="24"/>
          <w:lang w:val="es-ES_tradnl"/>
        </w:rPr>
        <w:t>CUARTO</w:t>
      </w:r>
      <w:r w:rsidRPr="00CD58D8">
        <w:rPr>
          <w:rFonts w:ascii="Palatino Linotype" w:eastAsia="Calibri" w:hAnsi="Palatino Linotype" w:cs="Tahoma"/>
          <w:b/>
          <w:bCs/>
          <w:sz w:val="24"/>
          <w:szCs w:val="24"/>
          <w:lang w:val="es-ES_tradnl"/>
        </w:rPr>
        <w:t xml:space="preserve"> </w:t>
      </w:r>
      <w:r w:rsidRPr="00CD58D8">
        <w:rPr>
          <w:rFonts w:ascii="Palatino Linotype" w:eastAsia="Calibri" w:hAnsi="Palatino Linotype" w:cs="Tahoma"/>
          <w:bCs/>
          <w:sz w:val="24"/>
          <w:szCs w:val="24"/>
          <w:lang w:val="es-ES_tradnl"/>
        </w:rPr>
        <w:t>de la presente Resolución.</w:t>
      </w:r>
    </w:p>
    <w:p w:rsidR="00BB536F" w:rsidRPr="00D22D43" w:rsidRDefault="00BB536F" w:rsidP="00CB5946">
      <w:pPr>
        <w:pStyle w:val="Textoindependiente"/>
      </w:pPr>
    </w:p>
    <w:p w:rsidR="006D254A" w:rsidRPr="004B52A1" w:rsidRDefault="007E2E80" w:rsidP="00B34950">
      <w:pPr>
        <w:pStyle w:val="Sinespaciado"/>
        <w:spacing w:line="360" w:lineRule="auto"/>
        <w:jc w:val="both"/>
        <w:rPr>
          <w:rFonts w:ascii="Palatino Linotype" w:hAnsi="Palatino Linotype"/>
          <w:sz w:val="24"/>
          <w:szCs w:val="24"/>
        </w:rPr>
      </w:pPr>
      <w:r w:rsidRPr="00D22D43">
        <w:rPr>
          <w:rFonts w:ascii="Palatino Linotype" w:hAnsi="Palatino Linotype"/>
          <w:sz w:val="24"/>
          <w:szCs w:val="24"/>
        </w:rPr>
        <w:t>ASÍ LO RESUELVE, PO</w:t>
      </w:r>
      <w:r w:rsidR="00F1770B" w:rsidRPr="00D22D43">
        <w:rPr>
          <w:rFonts w:ascii="Palatino Linotype" w:hAnsi="Palatino Linotype"/>
          <w:sz w:val="24"/>
          <w:szCs w:val="24"/>
        </w:rPr>
        <w:t>R UN</w:t>
      </w:r>
      <w:r w:rsidR="00C470D9">
        <w:rPr>
          <w:rFonts w:ascii="Palatino Linotype" w:hAnsi="Palatino Linotype"/>
          <w:sz w:val="24"/>
          <w:szCs w:val="24"/>
        </w:rPr>
        <w:t xml:space="preserve"> </w:t>
      </w:r>
      <w:r w:rsidR="00F1770B" w:rsidRPr="00D22D43">
        <w:rPr>
          <w:rFonts w:ascii="Palatino Linotype" w:hAnsi="Palatino Linotype"/>
          <w:sz w:val="24"/>
          <w:szCs w:val="24"/>
        </w:rPr>
        <w:t>ANIMIDAD</w:t>
      </w:r>
      <w:r w:rsidRPr="00D22D43">
        <w:rPr>
          <w:rFonts w:ascii="Palatino Linotype" w:hAnsi="Palatino Linotype"/>
          <w:sz w:val="24"/>
          <w:szCs w:val="24"/>
        </w:rPr>
        <w:t xml:space="preserve"> DE VOTOS EL PLENO DEL</w:t>
      </w:r>
      <w:r w:rsidRPr="00D22D43">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D22D43">
        <w:rPr>
          <w:rFonts w:ascii="Palatino Linotype" w:hAnsi="Palatino Linotype"/>
          <w:sz w:val="24"/>
          <w:szCs w:val="24"/>
        </w:rPr>
        <w:t xml:space="preserve">, CONFORMADO POR LOS COMISIONADOS ZULEMA MARTÍNEZ SÁNCHEZ, </w:t>
      </w:r>
      <w:r w:rsidR="00216B8D" w:rsidRPr="00D22D43">
        <w:rPr>
          <w:rFonts w:ascii="Palatino Linotype" w:hAnsi="Palatino Linotype"/>
          <w:sz w:val="24"/>
          <w:szCs w:val="24"/>
        </w:rPr>
        <w:t>EVA ABAID YAPUR</w:t>
      </w:r>
      <w:r w:rsidR="004A51FF" w:rsidRPr="00D22D43">
        <w:rPr>
          <w:rFonts w:ascii="Palatino Linotype" w:hAnsi="Palatino Linotype"/>
          <w:sz w:val="24"/>
          <w:szCs w:val="24"/>
        </w:rPr>
        <w:t>,</w:t>
      </w:r>
      <w:r w:rsidR="00CF27C6" w:rsidRPr="00D22D43">
        <w:rPr>
          <w:rFonts w:ascii="Palatino Linotype" w:hAnsi="Palatino Linotype"/>
          <w:sz w:val="24"/>
          <w:szCs w:val="24"/>
        </w:rPr>
        <w:t xml:space="preserve"> </w:t>
      </w:r>
      <w:r w:rsidRPr="00D22D43">
        <w:rPr>
          <w:rFonts w:ascii="Palatino Linotype" w:hAnsi="Palatino Linotype"/>
          <w:sz w:val="24"/>
          <w:szCs w:val="24"/>
        </w:rPr>
        <w:t xml:space="preserve">JOSÉ GUADALUPE LUNA </w:t>
      </w:r>
      <w:r w:rsidR="00D57072" w:rsidRPr="00D22D43">
        <w:rPr>
          <w:rFonts w:ascii="Palatino Linotype" w:hAnsi="Palatino Linotype"/>
          <w:sz w:val="24"/>
          <w:szCs w:val="24"/>
        </w:rPr>
        <w:t>HERNÁNDEZ</w:t>
      </w:r>
      <w:r w:rsidR="00F91340" w:rsidRPr="00D22D43">
        <w:rPr>
          <w:rFonts w:ascii="Palatino Linotype" w:hAnsi="Palatino Linotype"/>
          <w:sz w:val="24"/>
          <w:szCs w:val="24"/>
        </w:rPr>
        <w:t xml:space="preserve">, JAVIER MARTÍNEZ CRUZ </w:t>
      </w:r>
      <w:r w:rsidR="00D57072" w:rsidRPr="00D22D43">
        <w:rPr>
          <w:rFonts w:ascii="Palatino Linotype" w:hAnsi="Palatino Linotype"/>
          <w:sz w:val="24"/>
          <w:szCs w:val="24"/>
        </w:rPr>
        <w:t>Y</w:t>
      </w:r>
      <w:r w:rsidR="00F91340" w:rsidRPr="00D22D43">
        <w:rPr>
          <w:rFonts w:ascii="Palatino Linotype" w:hAnsi="Palatino Linotype"/>
          <w:sz w:val="24"/>
          <w:szCs w:val="24"/>
        </w:rPr>
        <w:t xml:space="preserve"> LUIS GUSTAVO PARRA NORIEGA</w:t>
      </w:r>
      <w:r w:rsidR="00AC64EA">
        <w:rPr>
          <w:rFonts w:ascii="Palatino Linotype" w:hAnsi="Palatino Linotype"/>
          <w:sz w:val="24"/>
          <w:szCs w:val="24"/>
        </w:rPr>
        <w:t xml:space="preserve"> EMITIENDO VOTO PARTICULAR</w:t>
      </w:r>
      <w:r w:rsidRPr="00D22D43">
        <w:rPr>
          <w:rFonts w:ascii="Palatino Linotype" w:hAnsi="Palatino Linotype"/>
          <w:sz w:val="24"/>
          <w:szCs w:val="24"/>
        </w:rPr>
        <w:t xml:space="preserve">, EN LA </w:t>
      </w:r>
      <w:r w:rsidR="004B52A1">
        <w:rPr>
          <w:rFonts w:ascii="Palatino Linotype" w:hAnsi="Palatino Linotype"/>
          <w:sz w:val="24"/>
          <w:szCs w:val="24"/>
        </w:rPr>
        <w:t xml:space="preserve">VIGÉSIMA CUARTA </w:t>
      </w:r>
      <w:r w:rsidR="00E755E5" w:rsidRPr="00D22D43">
        <w:rPr>
          <w:rFonts w:ascii="Palatino Linotype" w:hAnsi="Palatino Linotype"/>
          <w:sz w:val="24"/>
          <w:szCs w:val="24"/>
        </w:rPr>
        <w:t>SES</w:t>
      </w:r>
      <w:r w:rsidR="007C52F5" w:rsidRPr="00D22D43">
        <w:rPr>
          <w:rFonts w:ascii="Palatino Linotype" w:hAnsi="Palatino Linotype"/>
          <w:sz w:val="24"/>
          <w:szCs w:val="24"/>
        </w:rPr>
        <w:t xml:space="preserve">IÓN ORDINARIA CELEBRADA EL </w:t>
      </w:r>
      <w:r w:rsidR="004B52A1">
        <w:rPr>
          <w:rFonts w:ascii="Palatino Linotype" w:hAnsi="Palatino Linotype"/>
          <w:sz w:val="24"/>
          <w:szCs w:val="24"/>
        </w:rPr>
        <w:t>VEINTISÉIS DE JUNIO</w:t>
      </w:r>
      <w:r w:rsidR="007C52F5" w:rsidRPr="00D22D43">
        <w:rPr>
          <w:rFonts w:ascii="Palatino Linotype" w:hAnsi="Palatino Linotype"/>
          <w:sz w:val="24"/>
          <w:szCs w:val="24"/>
        </w:rPr>
        <w:t xml:space="preserve"> </w:t>
      </w:r>
      <w:r w:rsidR="001552E9" w:rsidRPr="00D22D43">
        <w:rPr>
          <w:rFonts w:ascii="Palatino Linotype" w:hAnsi="Palatino Linotype"/>
          <w:sz w:val="24"/>
          <w:szCs w:val="24"/>
        </w:rPr>
        <w:t xml:space="preserve">DE </w:t>
      </w:r>
      <w:r w:rsidR="00D57072" w:rsidRPr="00D22D43">
        <w:rPr>
          <w:rFonts w:ascii="Palatino Linotype" w:hAnsi="Palatino Linotype"/>
          <w:sz w:val="24"/>
          <w:szCs w:val="24"/>
        </w:rPr>
        <w:t xml:space="preserve">DOS MIL </w:t>
      </w:r>
      <w:r w:rsidR="007C52F5" w:rsidRPr="00D22D43">
        <w:rPr>
          <w:rFonts w:ascii="Palatino Linotype" w:hAnsi="Palatino Linotype"/>
          <w:sz w:val="24"/>
          <w:szCs w:val="24"/>
        </w:rPr>
        <w:t>DIECINUEVE</w:t>
      </w:r>
      <w:r w:rsidRPr="00D22D43">
        <w:rPr>
          <w:rFonts w:ascii="Palatino Linotype" w:hAnsi="Palatino Linotype"/>
          <w:sz w:val="24"/>
          <w:szCs w:val="24"/>
        </w:rPr>
        <w:t xml:space="preserve">, ANTE </w:t>
      </w:r>
      <w:r w:rsidR="00F2343A" w:rsidRPr="00D22D43">
        <w:rPr>
          <w:rFonts w:ascii="Palatino Linotype" w:hAnsi="Palatino Linotype"/>
          <w:sz w:val="24"/>
          <w:szCs w:val="24"/>
        </w:rPr>
        <w:t>EL SECRETARIO TÉCNICO</w:t>
      </w:r>
      <w:r w:rsidRPr="00D22D43">
        <w:rPr>
          <w:rFonts w:ascii="Palatino Linotype" w:hAnsi="Palatino Linotype"/>
          <w:sz w:val="24"/>
          <w:szCs w:val="24"/>
        </w:rPr>
        <w:t xml:space="preserve"> DEL PLENO, </w:t>
      </w:r>
      <w:r w:rsidR="00F2343A" w:rsidRPr="00D22D43">
        <w:rPr>
          <w:rFonts w:ascii="Palatino Linotype" w:hAnsi="Palatino Linotype"/>
          <w:sz w:val="24"/>
          <w:szCs w:val="24"/>
        </w:rPr>
        <w:t>ALEXIS TAPIA RAMÍREZ</w:t>
      </w:r>
      <w:r w:rsidR="00BC3F29" w:rsidRPr="00D22D43">
        <w:rPr>
          <w:rFonts w:ascii="Palatino Linotype" w:hAnsi="Palatino Linotype"/>
          <w:sz w:val="24"/>
          <w:szCs w:val="24"/>
        </w:rPr>
        <w:t>.</w:t>
      </w:r>
      <w:r w:rsidR="0050429A">
        <w:rPr>
          <w:rFonts w:ascii="Palatino Linotype" w:hAnsi="Palatino Linotype"/>
          <w:sz w:val="24"/>
          <w:szCs w:val="24"/>
        </w:rPr>
        <w:t>------</w:t>
      </w:r>
      <w:r w:rsidR="005B36CD">
        <w:rPr>
          <w:rFonts w:ascii="Palatino Linotype" w:hAnsi="Palatino Linotype"/>
          <w:sz w:val="24"/>
          <w:szCs w:val="24"/>
        </w:rPr>
        <w:t>---------------------------------------------</w:t>
      </w:r>
      <w:r w:rsidR="00825824">
        <w:rPr>
          <w:rFonts w:ascii="Palatino Linotype" w:hAnsi="Palatino Linotype"/>
          <w:sz w:val="24"/>
          <w:szCs w:val="24"/>
        </w:rPr>
        <w:t>-------------------------------------------------------------------------------------------------------------------------------------------------------------------------------------------------------------------------------------------------------------------------------------------------------------------------------------------------------------------------------------------------------------------------------------------------------------------------------------------------------------------------------------------------------------------------------------</w:t>
      </w:r>
      <w:r w:rsidR="005B36CD">
        <w:rPr>
          <w:rFonts w:ascii="Palatino Linotype" w:hAnsi="Palatino Linotype"/>
          <w:sz w:val="24"/>
          <w:szCs w:val="24"/>
        </w:rPr>
        <w:t>------------------------------------------------------------------------------------------------------------------------------------------------------------------------------------------------------------------------------------------------------------------------------------------------------</w:t>
      </w:r>
      <w:r w:rsidR="0050429A">
        <w:rPr>
          <w:rFonts w:ascii="Palatino Linotype" w:hAnsi="Palatino Linotype"/>
          <w:sz w:val="24"/>
          <w:szCs w:val="24"/>
        </w:rPr>
        <w:t>-----</w:t>
      </w:r>
      <w:r w:rsidR="005B36CD">
        <w:rPr>
          <w:rFonts w:ascii="Palatino Linotype" w:hAnsi="Palatino Linotype"/>
          <w:sz w:val="24"/>
          <w:szCs w:val="24"/>
        </w:rPr>
        <w:t>------------------------------------</w:t>
      </w:r>
      <w:r w:rsidR="004B52A1">
        <w:rPr>
          <w:rFonts w:ascii="Palatino Linotype" w:hAnsi="Palatino Linotype"/>
          <w:sz w:val="24"/>
          <w:szCs w:val="24"/>
        </w:rPr>
        <w:t>-----------------------</w:t>
      </w:r>
      <w:r w:rsidR="00AC64EA">
        <w:rPr>
          <w:rFonts w:ascii="Palatino Linotype" w:hAnsi="Palatino Linotype"/>
          <w:sz w:val="24"/>
          <w:szCs w:val="24"/>
        </w:rPr>
        <w:t>------------------------------------------------------------</w:t>
      </w:r>
      <w:r w:rsidR="004B52A1">
        <w:rPr>
          <w:rFonts w:ascii="Palatino Linotype" w:hAnsi="Palatino Linotype"/>
          <w:sz w:val="24"/>
          <w:szCs w:val="24"/>
        </w:rPr>
        <w:t>-</w:t>
      </w:r>
      <w:r w:rsidR="00000FF5">
        <w:rPr>
          <w:rFonts w:ascii="Palatino Linotype" w:hAnsi="Palatino Linotype"/>
          <w:sz w:val="24"/>
          <w:szCs w:val="24"/>
        </w:rPr>
        <w:t>--------------------</w:t>
      </w:r>
      <w:r w:rsidR="004B52A1">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6149F1" w:rsidRPr="006149F1" w:rsidTr="00F91340">
        <w:tc>
          <w:tcPr>
            <w:tcW w:w="9062" w:type="dxa"/>
            <w:gridSpan w:val="2"/>
          </w:tcPr>
          <w:p w:rsidR="0066612D" w:rsidRPr="006149F1" w:rsidRDefault="0066612D" w:rsidP="00B73E6C">
            <w:pPr>
              <w:pStyle w:val="Sinespaciado"/>
              <w:tabs>
                <w:tab w:val="left" w:pos="5710"/>
              </w:tabs>
              <w:rPr>
                <w:rFonts w:ascii="Palatino Linotype" w:hAnsi="Palatino Linotype"/>
                <w:sz w:val="24"/>
                <w:szCs w:val="24"/>
              </w:rPr>
            </w:pPr>
          </w:p>
        </w:tc>
      </w:tr>
      <w:tr w:rsidR="00B73E6C" w:rsidRPr="0089501E" w:rsidTr="00142CC6">
        <w:tc>
          <w:tcPr>
            <w:tcW w:w="9062" w:type="dxa"/>
            <w:gridSpan w:val="2"/>
          </w:tcPr>
          <w:p w:rsidR="005B36CD" w:rsidRDefault="005B36CD" w:rsidP="00142CC6">
            <w:pPr>
              <w:jc w:val="center"/>
              <w:rPr>
                <w:rFonts w:ascii="Palatino Linotype" w:hAnsi="Palatino Linotype"/>
                <w:b/>
                <w:sz w:val="24"/>
                <w:szCs w:val="24"/>
              </w:rPr>
            </w:pPr>
          </w:p>
          <w:p w:rsidR="004B52A1" w:rsidRDefault="004B52A1" w:rsidP="00142CC6">
            <w:pPr>
              <w:jc w:val="center"/>
              <w:rPr>
                <w:rFonts w:ascii="Palatino Linotype" w:hAnsi="Palatino Linotype"/>
                <w:b/>
                <w:sz w:val="24"/>
                <w:szCs w:val="24"/>
              </w:rPr>
            </w:pPr>
          </w:p>
          <w:p w:rsidR="005B36CD" w:rsidRPr="0089501E" w:rsidRDefault="005B36CD" w:rsidP="005B36CD">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r w:rsidRPr="0089501E">
              <w:rPr>
                <w:rFonts w:ascii="Palatino Linotype" w:hAnsi="Palatino Linotype"/>
                <w:b/>
                <w:sz w:val="24"/>
                <w:szCs w:val="24"/>
              </w:rPr>
              <w:t>Zulema Martínez Sánchez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Comisionada Presidenta</w:t>
            </w:r>
          </w:p>
          <w:p w:rsidR="00B73E6C" w:rsidRPr="0089501E" w:rsidRDefault="00B73E6C" w:rsidP="00142CC6">
            <w:pPr>
              <w:jc w:val="center"/>
              <w:rPr>
                <w:rFonts w:ascii="Palatino Linotype" w:hAnsi="Palatino Linotype"/>
                <w:b/>
                <w:sz w:val="24"/>
                <w:szCs w:val="24"/>
              </w:rPr>
            </w:pPr>
            <w:r w:rsidRPr="002F1CD7">
              <w:rPr>
                <w:rFonts w:ascii="Palatino Linotype" w:hAnsi="Palatino Linotype"/>
                <w:sz w:val="24"/>
                <w:szCs w:val="24"/>
              </w:rPr>
              <w:t>(RÚBRICA</w:t>
            </w:r>
            <w:r w:rsidRPr="0089501E">
              <w:rPr>
                <w:rFonts w:ascii="Palatino Linotype" w:hAnsi="Palatino Linotype"/>
                <w:b/>
                <w:sz w:val="24"/>
                <w:szCs w:val="24"/>
              </w:rPr>
              <w:t>).</w:t>
            </w:r>
          </w:p>
        </w:tc>
      </w:tr>
      <w:tr w:rsidR="00B73E6C" w:rsidRPr="0089501E" w:rsidTr="00142CC6">
        <w:tc>
          <w:tcPr>
            <w:tcW w:w="4532" w:type="dxa"/>
          </w:tcPr>
          <w:p w:rsidR="00B73E6C" w:rsidRPr="0089501E" w:rsidRDefault="00B73E6C" w:rsidP="00142CC6">
            <w:pPr>
              <w:jc w:val="center"/>
              <w:rPr>
                <w:rFonts w:ascii="Palatino Linotype" w:hAnsi="Palatino Linotype"/>
                <w:b/>
                <w:sz w:val="24"/>
                <w:szCs w:val="24"/>
              </w:rPr>
            </w:pPr>
          </w:p>
          <w:p w:rsidR="00B73E6C" w:rsidRDefault="00B73E6C" w:rsidP="003153A1">
            <w:pPr>
              <w:rPr>
                <w:rFonts w:ascii="Palatino Linotype" w:hAnsi="Palatino Linotype"/>
                <w:b/>
                <w:sz w:val="24"/>
                <w:szCs w:val="24"/>
              </w:rPr>
            </w:pPr>
          </w:p>
          <w:p w:rsidR="003153A1" w:rsidRDefault="003153A1" w:rsidP="00142CC6">
            <w:pPr>
              <w:jc w:val="center"/>
              <w:rPr>
                <w:rFonts w:ascii="Palatino Linotype" w:hAnsi="Palatino Linotype"/>
                <w:b/>
                <w:sz w:val="24"/>
                <w:szCs w:val="24"/>
              </w:rPr>
            </w:pPr>
          </w:p>
          <w:p w:rsidR="003153A1" w:rsidRPr="0089501E" w:rsidRDefault="003153A1" w:rsidP="004812BD">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r w:rsidRPr="0089501E">
              <w:rPr>
                <w:rFonts w:ascii="Palatino Linotype" w:hAnsi="Palatino Linotype"/>
                <w:b/>
                <w:sz w:val="24"/>
                <w:szCs w:val="24"/>
              </w:rPr>
              <w:t>Eva Abaid Yapur</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Comisionada</w:t>
            </w:r>
          </w:p>
          <w:p w:rsidR="00B73E6C" w:rsidRPr="002F1CD7" w:rsidRDefault="005B36CD" w:rsidP="00142CC6">
            <w:pPr>
              <w:jc w:val="center"/>
              <w:rPr>
                <w:rFonts w:ascii="Palatino Linotype" w:hAnsi="Palatino Linotype"/>
                <w:sz w:val="24"/>
                <w:szCs w:val="24"/>
              </w:rPr>
            </w:pPr>
            <w:r>
              <w:rPr>
                <w:rFonts w:ascii="Palatino Linotype" w:hAnsi="Palatino Linotype"/>
                <w:sz w:val="24"/>
                <w:szCs w:val="24"/>
              </w:rPr>
              <w:t>(RÚBRICA</w:t>
            </w:r>
            <w:r w:rsidR="00B73E6C" w:rsidRPr="002F1CD7">
              <w:rPr>
                <w:rFonts w:ascii="Palatino Linotype" w:hAnsi="Palatino Linotype"/>
                <w:sz w:val="24"/>
                <w:szCs w:val="24"/>
              </w:rPr>
              <w:t>).</w:t>
            </w:r>
          </w:p>
        </w:tc>
        <w:tc>
          <w:tcPr>
            <w:tcW w:w="4530" w:type="dxa"/>
          </w:tcPr>
          <w:p w:rsidR="00B73E6C" w:rsidRDefault="00B73E6C" w:rsidP="003153A1">
            <w:pPr>
              <w:rPr>
                <w:rFonts w:ascii="Palatino Linotype" w:hAnsi="Palatino Linotype"/>
                <w:b/>
                <w:sz w:val="24"/>
                <w:szCs w:val="24"/>
              </w:rPr>
            </w:pPr>
          </w:p>
          <w:p w:rsidR="003153A1" w:rsidRDefault="003153A1" w:rsidP="003153A1">
            <w:pPr>
              <w:rPr>
                <w:rFonts w:ascii="Palatino Linotype" w:hAnsi="Palatino Linotype"/>
                <w:b/>
                <w:sz w:val="24"/>
                <w:szCs w:val="24"/>
              </w:rPr>
            </w:pPr>
          </w:p>
          <w:p w:rsidR="003153A1" w:rsidRDefault="003153A1" w:rsidP="003153A1">
            <w:pPr>
              <w:rPr>
                <w:rFonts w:ascii="Palatino Linotype" w:hAnsi="Palatino Linotype"/>
                <w:b/>
                <w:sz w:val="24"/>
                <w:szCs w:val="24"/>
              </w:rPr>
            </w:pPr>
          </w:p>
          <w:p w:rsidR="003153A1" w:rsidRDefault="003153A1" w:rsidP="003153A1">
            <w:pPr>
              <w:rPr>
                <w:rFonts w:ascii="Palatino Linotype" w:hAnsi="Palatino Linotype"/>
                <w:b/>
                <w:sz w:val="24"/>
                <w:szCs w:val="24"/>
              </w:rPr>
            </w:pPr>
          </w:p>
          <w:p w:rsidR="003153A1" w:rsidRPr="0089501E" w:rsidRDefault="003153A1" w:rsidP="003153A1">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sz w:val="24"/>
                <w:szCs w:val="24"/>
              </w:rPr>
            </w:pPr>
            <w:r w:rsidRPr="0089501E">
              <w:rPr>
                <w:rFonts w:ascii="Palatino Linotype" w:hAnsi="Palatino Linotype"/>
                <w:b/>
                <w:sz w:val="24"/>
                <w:szCs w:val="24"/>
              </w:rPr>
              <w:t>José Guadalupe Luna Hernández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Comisionado</w:t>
            </w:r>
          </w:p>
          <w:p w:rsidR="00B73E6C" w:rsidRPr="002F1CD7" w:rsidRDefault="00BA1EA1" w:rsidP="00142CC6">
            <w:pPr>
              <w:jc w:val="center"/>
              <w:rPr>
                <w:rFonts w:ascii="Palatino Linotype" w:hAnsi="Palatino Linotype"/>
                <w:sz w:val="24"/>
                <w:szCs w:val="24"/>
              </w:rPr>
            </w:pPr>
            <w:r>
              <w:rPr>
                <w:rFonts w:ascii="Palatino Linotype" w:hAnsi="Palatino Linotype"/>
                <w:sz w:val="24"/>
                <w:szCs w:val="24"/>
              </w:rPr>
              <w:t>(RÚBRICA</w:t>
            </w:r>
            <w:r w:rsidR="00B73E6C" w:rsidRPr="002F1CD7">
              <w:rPr>
                <w:rFonts w:ascii="Palatino Linotype" w:hAnsi="Palatino Linotype"/>
                <w:sz w:val="24"/>
                <w:szCs w:val="24"/>
              </w:rPr>
              <w:t>).</w:t>
            </w:r>
          </w:p>
        </w:tc>
      </w:tr>
      <w:tr w:rsidR="00B73E6C" w:rsidRPr="0089501E" w:rsidTr="00142CC6">
        <w:tc>
          <w:tcPr>
            <w:tcW w:w="4532" w:type="dxa"/>
          </w:tcPr>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Default="00B73E6C" w:rsidP="00142CC6">
            <w:pPr>
              <w:jc w:val="center"/>
              <w:rPr>
                <w:rFonts w:ascii="Palatino Linotype" w:hAnsi="Palatino Linotype"/>
                <w:b/>
                <w:sz w:val="24"/>
                <w:szCs w:val="24"/>
              </w:rPr>
            </w:pPr>
          </w:p>
          <w:p w:rsidR="003153A1" w:rsidRDefault="003153A1" w:rsidP="004812BD">
            <w:pPr>
              <w:rPr>
                <w:rFonts w:ascii="Palatino Linotype" w:hAnsi="Palatino Linotype"/>
                <w:b/>
                <w:sz w:val="24"/>
                <w:szCs w:val="24"/>
              </w:rPr>
            </w:pPr>
          </w:p>
          <w:p w:rsidR="00B73E6C" w:rsidRPr="0089501E" w:rsidRDefault="00B73E6C" w:rsidP="004812BD">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sz w:val="24"/>
                <w:szCs w:val="24"/>
              </w:rPr>
            </w:pPr>
            <w:r w:rsidRPr="0089501E">
              <w:rPr>
                <w:rFonts w:ascii="Palatino Linotype" w:hAnsi="Palatino Linotype"/>
                <w:b/>
                <w:sz w:val="24"/>
                <w:szCs w:val="24"/>
              </w:rPr>
              <w:t>Javier Martínez Cruz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Comisionado</w:t>
            </w:r>
          </w:p>
          <w:p w:rsidR="00B73E6C" w:rsidRPr="002F1CD7" w:rsidRDefault="005B36CD" w:rsidP="00142CC6">
            <w:pPr>
              <w:jc w:val="center"/>
              <w:rPr>
                <w:rFonts w:ascii="Palatino Linotype" w:hAnsi="Palatino Linotype"/>
                <w:sz w:val="24"/>
                <w:szCs w:val="24"/>
              </w:rPr>
            </w:pPr>
            <w:r>
              <w:rPr>
                <w:rFonts w:ascii="Palatino Linotype" w:hAnsi="Palatino Linotype"/>
                <w:sz w:val="24"/>
                <w:szCs w:val="24"/>
              </w:rPr>
              <w:t>(RÚBRICA</w:t>
            </w:r>
            <w:r w:rsidR="00B73E6C" w:rsidRPr="002F1CD7">
              <w:rPr>
                <w:rFonts w:ascii="Palatino Linotype" w:hAnsi="Palatino Linotype"/>
                <w:sz w:val="24"/>
                <w:szCs w:val="24"/>
              </w:rPr>
              <w:t>).</w:t>
            </w:r>
          </w:p>
        </w:tc>
        <w:tc>
          <w:tcPr>
            <w:tcW w:w="4530" w:type="dxa"/>
          </w:tcPr>
          <w:p w:rsidR="00B73E6C" w:rsidRPr="0089501E" w:rsidRDefault="00B73E6C" w:rsidP="00142CC6">
            <w:pPr>
              <w:rPr>
                <w:rFonts w:ascii="Palatino Linotype" w:hAnsi="Palatino Linotype"/>
                <w:b/>
                <w:sz w:val="24"/>
                <w:szCs w:val="24"/>
              </w:rPr>
            </w:pPr>
          </w:p>
          <w:p w:rsidR="00B73E6C" w:rsidRPr="0089501E" w:rsidRDefault="00B73E6C" w:rsidP="00142CC6">
            <w:pPr>
              <w:rPr>
                <w:rFonts w:ascii="Palatino Linotype" w:hAnsi="Palatino Linotype"/>
                <w:b/>
                <w:sz w:val="24"/>
                <w:szCs w:val="24"/>
              </w:rPr>
            </w:pPr>
          </w:p>
          <w:p w:rsidR="00B73E6C" w:rsidRDefault="00B73E6C" w:rsidP="00142CC6">
            <w:pPr>
              <w:rPr>
                <w:rFonts w:ascii="Palatino Linotype" w:hAnsi="Palatino Linotype"/>
                <w:b/>
                <w:sz w:val="24"/>
                <w:szCs w:val="24"/>
              </w:rPr>
            </w:pPr>
          </w:p>
          <w:p w:rsidR="00B73E6C" w:rsidRDefault="00B73E6C" w:rsidP="00142CC6">
            <w:pPr>
              <w:rPr>
                <w:rFonts w:ascii="Palatino Linotype" w:hAnsi="Palatino Linotype"/>
                <w:b/>
                <w:sz w:val="24"/>
                <w:szCs w:val="24"/>
              </w:rPr>
            </w:pPr>
          </w:p>
          <w:p w:rsidR="003153A1" w:rsidRPr="0089501E" w:rsidRDefault="003153A1" w:rsidP="00142CC6">
            <w:pPr>
              <w:rPr>
                <w:rFonts w:ascii="Palatino Linotype" w:hAnsi="Palatino Linotype"/>
                <w:b/>
                <w:sz w:val="24"/>
                <w:szCs w:val="24"/>
              </w:rPr>
            </w:pPr>
          </w:p>
          <w:p w:rsidR="00B73E6C" w:rsidRPr="0089501E" w:rsidRDefault="00B73E6C" w:rsidP="00142CC6">
            <w:pPr>
              <w:rPr>
                <w:rFonts w:ascii="Palatino Linotype" w:hAnsi="Palatino Linotype"/>
                <w:b/>
                <w:sz w:val="24"/>
                <w:szCs w:val="24"/>
              </w:rPr>
            </w:pPr>
          </w:p>
          <w:p w:rsidR="00B73E6C" w:rsidRPr="0089501E" w:rsidRDefault="00B73E6C" w:rsidP="00142CC6">
            <w:pPr>
              <w:rPr>
                <w:rFonts w:ascii="Palatino Linotype" w:hAnsi="Palatino Linotype"/>
                <w:b/>
                <w:sz w:val="24"/>
                <w:szCs w:val="24"/>
              </w:rPr>
            </w:pPr>
          </w:p>
          <w:p w:rsidR="00B73E6C" w:rsidRPr="0089501E" w:rsidRDefault="00B73E6C" w:rsidP="00142CC6">
            <w:pPr>
              <w:jc w:val="center"/>
              <w:rPr>
                <w:rFonts w:ascii="Palatino Linotype" w:hAnsi="Palatino Linotype"/>
                <w:sz w:val="24"/>
                <w:szCs w:val="24"/>
              </w:rPr>
            </w:pPr>
            <w:r w:rsidRPr="0089501E">
              <w:rPr>
                <w:rFonts w:ascii="Palatino Linotype" w:hAnsi="Palatino Linotype"/>
                <w:b/>
                <w:sz w:val="24"/>
                <w:szCs w:val="24"/>
              </w:rPr>
              <w:t>Luis Gustavo Parra Noriega</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Comisionado</w:t>
            </w:r>
          </w:p>
          <w:p w:rsidR="00B73E6C" w:rsidRPr="002F1CD7" w:rsidRDefault="00B73E6C" w:rsidP="00142CC6">
            <w:pPr>
              <w:jc w:val="center"/>
              <w:rPr>
                <w:rFonts w:ascii="Palatino Linotype" w:hAnsi="Palatino Linotype"/>
                <w:sz w:val="24"/>
                <w:szCs w:val="24"/>
              </w:rPr>
            </w:pPr>
            <w:r w:rsidRPr="002F1CD7">
              <w:rPr>
                <w:rFonts w:ascii="Palatino Linotype" w:hAnsi="Palatino Linotype"/>
                <w:sz w:val="24"/>
                <w:szCs w:val="24"/>
              </w:rPr>
              <w:t>(RÚBRICA).</w:t>
            </w:r>
          </w:p>
        </w:tc>
      </w:tr>
      <w:tr w:rsidR="00B73E6C" w:rsidRPr="0089501E" w:rsidTr="00142CC6">
        <w:tc>
          <w:tcPr>
            <w:tcW w:w="9062" w:type="dxa"/>
            <w:gridSpan w:val="2"/>
          </w:tcPr>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3153A1" w:rsidRPr="0089501E" w:rsidRDefault="003153A1" w:rsidP="003153A1">
            <w:pPr>
              <w:rPr>
                <w:rFonts w:ascii="Palatino Linotype" w:hAnsi="Palatino Linotype"/>
                <w:b/>
                <w:sz w:val="24"/>
                <w:szCs w:val="24"/>
              </w:rPr>
            </w:pPr>
          </w:p>
          <w:p w:rsidR="00B73E6C" w:rsidRDefault="00B73E6C" w:rsidP="00142CC6">
            <w:pPr>
              <w:rPr>
                <w:rFonts w:ascii="Palatino Linotype" w:hAnsi="Palatino Linotype"/>
                <w:b/>
                <w:sz w:val="28"/>
                <w:szCs w:val="24"/>
              </w:rPr>
            </w:pPr>
          </w:p>
          <w:p w:rsidR="00B73E6C" w:rsidRPr="0089501E" w:rsidRDefault="00B73E6C" w:rsidP="00142CC6">
            <w:pPr>
              <w:jc w:val="center"/>
              <w:rPr>
                <w:rFonts w:ascii="Palatino Linotype" w:hAnsi="Palatino Linotype"/>
                <w:b/>
                <w:sz w:val="24"/>
                <w:szCs w:val="24"/>
              </w:rPr>
            </w:pPr>
            <w:r w:rsidRPr="0089501E">
              <w:rPr>
                <w:rFonts w:ascii="Palatino Linotype" w:hAnsi="Palatino Linotype"/>
                <w:b/>
                <w:sz w:val="24"/>
                <w:szCs w:val="24"/>
              </w:rPr>
              <w:t>Alexis Tapia Ramírez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Secretario Técnico del Pleno</w:t>
            </w:r>
          </w:p>
          <w:p w:rsidR="0066612D" w:rsidRPr="0066612D" w:rsidRDefault="00B73E6C" w:rsidP="0066612D">
            <w:pPr>
              <w:jc w:val="center"/>
              <w:rPr>
                <w:rFonts w:ascii="Palatino Linotype" w:hAnsi="Palatino Linotype"/>
                <w:sz w:val="24"/>
                <w:szCs w:val="24"/>
              </w:rPr>
            </w:pPr>
            <w:r w:rsidRPr="002F1CD7">
              <w:rPr>
                <w:rFonts w:ascii="Palatino Linotype" w:hAnsi="Palatino Linotype"/>
                <w:sz w:val="24"/>
                <w:szCs w:val="24"/>
              </w:rPr>
              <w:t>(RÚBRICA).</w:t>
            </w:r>
          </w:p>
          <w:p w:rsidR="006A58E4" w:rsidRPr="00B3452B" w:rsidRDefault="006A58E4" w:rsidP="005D517E">
            <w:pPr>
              <w:rPr>
                <w:rFonts w:ascii="Palatino Linotype" w:hAnsi="Palatino Linotype"/>
                <w:sz w:val="10"/>
                <w:szCs w:val="24"/>
              </w:rPr>
            </w:pPr>
          </w:p>
        </w:tc>
      </w:tr>
    </w:tbl>
    <w:p w:rsidR="0066612D" w:rsidRDefault="0066612D" w:rsidP="00B73E6C">
      <w:pPr>
        <w:spacing w:after="0" w:line="240" w:lineRule="auto"/>
        <w:jc w:val="both"/>
        <w:rPr>
          <w:rFonts w:ascii="Palatino Linotype" w:hAnsi="Palatino Linotype" w:cs="Arial"/>
          <w:sz w:val="18"/>
          <w:szCs w:val="16"/>
        </w:rPr>
      </w:pPr>
    </w:p>
    <w:p w:rsidR="00B3452B" w:rsidRPr="0066612D" w:rsidRDefault="00B73E6C" w:rsidP="00B73E6C">
      <w:pPr>
        <w:spacing w:after="0" w:line="240" w:lineRule="auto"/>
        <w:jc w:val="both"/>
        <w:rPr>
          <w:rFonts w:ascii="Palatino Linotype" w:hAnsi="Palatino Linotype" w:cs="Arial"/>
          <w:bCs/>
          <w:sz w:val="18"/>
          <w:szCs w:val="16"/>
          <w:lang w:eastAsia="es-MX"/>
        </w:rPr>
      </w:pPr>
      <w:r w:rsidRPr="00B73E6C">
        <w:rPr>
          <w:rFonts w:ascii="Palatino Linotype" w:hAnsi="Palatino Linotype" w:cs="Arial"/>
          <w:sz w:val="18"/>
          <w:szCs w:val="16"/>
        </w:rPr>
        <w:t xml:space="preserve">Esta hoja corresponde a la resolución de fecha </w:t>
      </w:r>
      <w:r w:rsidR="00AC64EA">
        <w:rPr>
          <w:rFonts w:ascii="Palatino Linotype" w:hAnsi="Palatino Linotype" w:cs="Arial"/>
          <w:sz w:val="18"/>
          <w:szCs w:val="16"/>
        </w:rPr>
        <w:t xml:space="preserve">veintiséis de junio </w:t>
      </w:r>
      <w:r w:rsidRPr="00B73E6C">
        <w:rPr>
          <w:rFonts w:ascii="Palatino Linotype" w:hAnsi="Palatino Linotype" w:cs="Arial"/>
          <w:sz w:val="18"/>
          <w:szCs w:val="16"/>
        </w:rPr>
        <w:t>de d</w:t>
      </w:r>
      <w:r w:rsidR="00E755E5">
        <w:rPr>
          <w:rFonts w:ascii="Palatino Linotype" w:hAnsi="Palatino Linotype" w:cs="Arial"/>
          <w:sz w:val="18"/>
          <w:szCs w:val="16"/>
        </w:rPr>
        <w:t>os mil dieci</w:t>
      </w:r>
      <w:r w:rsidR="00BF25FC">
        <w:rPr>
          <w:rFonts w:ascii="Palatino Linotype" w:hAnsi="Palatino Linotype" w:cs="Arial"/>
          <w:sz w:val="18"/>
          <w:szCs w:val="16"/>
        </w:rPr>
        <w:t>nueve</w:t>
      </w:r>
      <w:r w:rsidR="00E755E5">
        <w:rPr>
          <w:rFonts w:ascii="Palatino Linotype" w:hAnsi="Palatino Linotype" w:cs="Arial"/>
          <w:sz w:val="18"/>
          <w:szCs w:val="16"/>
        </w:rPr>
        <w:t>, emitida en el recurso</w:t>
      </w:r>
      <w:r w:rsidRPr="00B73E6C">
        <w:rPr>
          <w:rFonts w:ascii="Palatino Linotype" w:hAnsi="Palatino Linotype" w:cs="Arial"/>
          <w:sz w:val="18"/>
          <w:szCs w:val="16"/>
        </w:rPr>
        <w:t xml:space="preserve"> de revisión </w:t>
      </w:r>
      <w:r w:rsidR="007C52F5">
        <w:rPr>
          <w:rFonts w:ascii="Palatino Linotype" w:hAnsi="Palatino Linotype" w:cs="Arial"/>
          <w:bCs/>
          <w:sz w:val="18"/>
          <w:szCs w:val="16"/>
          <w:lang w:eastAsia="es-MX"/>
        </w:rPr>
        <w:t>0</w:t>
      </w:r>
      <w:r w:rsidR="00AC64EA">
        <w:rPr>
          <w:rFonts w:ascii="Palatino Linotype" w:hAnsi="Palatino Linotype" w:cs="Arial"/>
          <w:bCs/>
          <w:sz w:val="18"/>
          <w:szCs w:val="16"/>
          <w:lang w:eastAsia="es-MX"/>
        </w:rPr>
        <w:t>2546</w:t>
      </w:r>
      <w:r w:rsidRPr="00B73E6C">
        <w:rPr>
          <w:rFonts w:ascii="Palatino Linotype" w:hAnsi="Palatino Linotype" w:cs="Arial"/>
          <w:bCs/>
          <w:sz w:val="18"/>
          <w:szCs w:val="16"/>
          <w:lang w:eastAsia="es-MX"/>
        </w:rPr>
        <w:t>/INFOEM/IP/R</w:t>
      </w:r>
      <w:r w:rsidR="00F0032B">
        <w:rPr>
          <w:rFonts w:ascii="Palatino Linotype" w:hAnsi="Palatino Linotype" w:cs="Arial"/>
          <w:bCs/>
          <w:sz w:val="18"/>
          <w:szCs w:val="16"/>
          <w:lang w:eastAsia="es-MX"/>
        </w:rPr>
        <w:t>R/2019</w:t>
      </w:r>
      <w:r w:rsidR="0066612D">
        <w:rPr>
          <w:rFonts w:ascii="Palatino Linotype" w:hAnsi="Palatino Linotype" w:cs="Arial"/>
          <w:bCs/>
          <w:sz w:val="18"/>
          <w:szCs w:val="16"/>
          <w:lang w:eastAsia="es-MX"/>
        </w:rPr>
        <w:t xml:space="preserve">. </w:t>
      </w:r>
    </w:p>
    <w:p w:rsidR="007E2E80" w:rsidRPr="0066612D" w:rsidRDefault="00B73E6C" w:rsidP="00B73E6C">
      <w:pPr>
        <w:spacing w:after="0" w:line="240" w:lineRule="auto"/>
        <w:jc w:val="both"/>
        <w:rPr>
          <w:rFonts w:ascii="Palatino Linotype" w:hAnsi="Palatino Linotype" w:cs="Arial"/>
          <w:sz w:val="14"/>
          <w:szCs w:val="16"/>
        </w:rPr>
      </w:pPr>
      <w:r w:rsidRPr="0066612D">
        <w:rPr>
          <w:rFonts w:ascii="Palatino Linotype" w:hAnsi="Palatino Linotype" w:cs="Arial"/>
          <w:sz w:val="14"/>
          <w:szCs w:val="16"/>
        </w:rPr>
        <w:t>ZMS/OSAM/RDPG</w:t>
      </w:r>
    </w:p>
    <w:sectPr w:rsidR="007E2E80" w:rsidRPr="0066612D" w:rsidSect="00050A9C">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CAA" w:rsidRDefault="009A3CAA" w:rsidP="007E2E80">
      <w:pPr>
        <w:spacing w:after="0" w:line="240" w:lineRule="auto"/>
      </w:pPr>
      <w:r>
        <w:separator/>
      </w:r>
    </w:p>
  </w:endnote>
  <w:endnote w:type="continuationSeparator" w:id="0">
    <w:p w:rsidR="009A3CAA" w:rsidRDefault="009A3CAA"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3B" w:rsidRPr="000B69FA" w:rsidRDefault="0090033B"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4099">
      <w:rPr>
        <w:rFonts w:ascii="Palatino Linotype" w:hAnsi="Palatino Linotype"/>
        <w:bCs/>
        <w:noProof/>
        <w:sz w:val="20"/>
      </w:rPr>
      <w:t>52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14099">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3B" w:rsidRPr="000B69FA" w:rsidRDefault="0090033B"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409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14099">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CAA" w:rsidRDefault="009A3CAA" w:rsidP="007E2E80">
      <w:pPr>
        <w:spacing w:after="0" w:line="240" w:lineRule="auto"/>
      </w:pPr>
      <w:r>
        <w:separator/>
      </w:r>
    </w:p>
  </w:footnote>
  <w:footnote w:type="continuationSeparator" w:id="0">
    <w:p w:rsidR="009A3CAA" w:rsidRDefault="009A3CAA" w:rsidP="007E2E80">
      <w:pPr>
        <w:spacing w:after="0" w:line="240" w:lineRule="auto"/>
      </w:pPr>
      <w:r>
        <w:continuationSeparator/>
      </w:r>
    </w:p>
  </w:footnote>
  <w:footnote w:id="1">
    <w:p w:rsidR="0090033B" w:rsidRPr="00615B4B" w:rsidRDefault="0090033B"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90033B" w:rsidRPr="00615B4B" w:rsidRDefault="0090033B"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5F46FC" w:rsidRDefault="005F46FC" w:rsidP="005F46FC">
      <w:pPr>
        <w:pStyle w:val="Textonotapie"/>
      </w:pPr>
      <w:r>
        <w:rPr>
          <w:rStyle w:val="Refdenotaalpie"/>
        </w:rPr>
        <w:footnoteRef/>
      </w:r>
      <w:r>
        <w:t xml:space="preserve"> </w:t>
      </w:r>
      <w:r w:rsidRPr="00F33A87">
        <w:rPr>
          <w:b/>
          <w:i/>
          <w:color w:val="3333FF"/>
          <w:sz w:val="22"/>
        </w:rPr>
        <w:t>http://cuentame.inegi.org.mx/monografias/informacion/mex/poblacion/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3B" w:rsidRDefault="0090033B">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90033B" w:rsidTr="00182616">
      <w:trPr>
        <w:trHeight w:val="227"/>
      </w:trPr>
      <w:tc>
        <w:tcPr>
          <w:tcW w:w="5949" w:type="dxa"/>
          <w:hideMark/>
        </w:tcPr>
        <w:p w:rsidR="0090033B" w:rsidRDefault="0090033B"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90033B" w:rsidRDefault="0090033B" w:rsidP="006446F7">
          <w:pPr>
            <w:spacing w:after="120" w:line="256" w:lineRule="auto"/>
            <w:ind w:left="208" w:right="214"/>
            <w:jc w:val="right"/>
            <w:rPr>
              <w:rFonts w:ascii="Palatino Linotype" w:hAnsi="Palatino Linotype" w:cs="Arial"/>
              <w:szCs w:val="20"/>
            </w:rPr>
          </w:pPr>
          <w:r w:rsidRPr="001C3289">
            <w:rPr>
              <w:rFonts w:ascii="Palatino Linotype" w:hAnsi="Palatino Linotype" w:cs="Arial"/>
              <w:bCs/>
              <w:sz w:val="24"/>
              <w:lang w:eastAsia="es-MX"/>
            </w:rPr>
            <w:t>02546/INFOEM/IP/RR/2019</w:t>
          </w:r>
        </w:p>
      </w:tc>
    </w:tr>
    <w:tr w:rsidR="0090033B" w:rsidTr="00182616">
      <w:trPr>
        <w:trHeight w:val="242"/>
      </w:trPr>
      <w:tc>
        <w:tcPr>
          <w:tcW w:w="5949" w:type="dxa"/>
          <w:hideMark/>
        </w:tcPr>
        <w:p w:rsidR="0090033B" w:rsidRDefault="0090033B"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90033B" w:rsidRDefault="0090033B" w:rsidP="005E3F88">
          <w:pPr>
            <w:spacing w:after="120" w:line="256" w:lineRule="auto"/>
            <w:ind w:left="72" w:right="214"/>
            <w:jc w:val="right"/>
            <w:rPr>
              <w:rFonts w:ascii="Palatino Linotype" w:hAnsi="Palatino Linotype" w:cs="Arial"/>
              <w:szCs w:val="20"/>
            </w:rPr>
          </w:pPr>
          <w:r w:rsidRPr="00AD2DA3">
            <w:rPr>
              <w:rFonts w:ascii="Palatino Linotype" w:eastAsia="Calibri" w:hAnsi="Palatino Linotype" w:cs="Tahoma"/>
            </w:rPr>
            <w:t>Ayuntamiento de Tenango del Aire</w:t>
          </w:r>
        </w:p>
      </w:tc>
    </w:tr>
    <w:tr w:rsidR="0090033B" w:rsidTr="00182616">
      <w:trPr>
        <w:trHeight w:val="342"/>
      </w:trPr>
      <w:tc>
        <w:tcPr>
          <w:tcW w:w="5949" w:type="dxa"/>
          <w:hideMark/>
        </w:tcPr>
        <w:p w:rsidR="0090033B" w:rsidRDefault="0090033B"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90033B" w:rsidRDefault="0090033B"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90033B" w:rsidRDefault="0090033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90033B" w:rsidTr="00182616">
      <w:trPr>
        <w:trHeight w:val="227"/>
      </w:trPr>
      <w:tc>
        <w:tcPr>
          <w:tcW w:w="5103" w:type="dxa"/>
          <w:hideMark/>
        </w:tcPr>
        <w:p w:rsidR="0090033B" w:rsidRDefault="0090033B"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90033B" w:rsidRPr="00B4142F" w:rsidRDefault="0090033B" w:rsidP="00212498">
          <w:pPr>
            <w:spacing w:after="120" w:line="256" w:lineRule="auto"/>
            <w:ind w:left="208" w:right="214"/>
            <w:jc w:val="right"/>
            <w:rPr>
              <w:rFonts w:ascii="Palatino Linotype" w:hAnsi="Palatino Linotype" w:cs="Arial"/>
              <w:szCs w:val="20"/>
            </w:rPr>
          </w:pPr>
          <w:r w:rsidRPr="001C3289">
            <w:rPr>
              <w:rFonts w:ascii="Palatino Linotype" w:hAnsi="Palatino Linotype" w:cs="Arial"/>
              <w:bCs/>
              <w:sz w:val="24"/>
              <w:lang w:eastAsia="es-MX"/>
            </w:rPr>
            <w:t>02546/INFOEM/IP/RR/2019</w:t>
          </w:r>
        </w:p>
      </w:tc>
    </w:tr>
    <w:tr w:rsidR="0090033B" w:rsidTr="00182616">
      <w:trPr>
        <w:trHeight w:val="196"/>
      </w:trPr>
      <w:tc>
        <w:tcPr>
          <w:tcW w:w="5103" w:type="dxa"/>
          <w:hideMark/>
        </w:tcPr>
        <w:p w:rsidR="0090033B" w:rsidRDefault="0090033B"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90033B" w:rsidRPr="00F06FED" w:rsidRDefault="00E14099" w:rsidP="00C6603E">
          <w:pPr>
            <w:spacing w:after="120" w:line="256" w:lineRule="auto"/>
            <w:ind w:left="208" w:right="214"/>
            <w:jc w:val="right"/>
            <w:rPr>
              <w:rFonts w:ascii="Palatino Linotype" w:hAnsi="Palatino Linotype" w:cs="Arial"/>
            </w:rPr>
          </w:pPr>
          <w:r>
            <w:rPr>
              <w:rFonts w:ascii="Palatino Linotype" w:hAnsi="Palatino Linotype" w:cs="Arial"/>
              <w:sz w:val="24"/>
            </w:rPr>
            <w:t>XXXXXXXXXXXXX</w:t>
          </w:r>
        </w:p>
      </w:tc>
    </w:tr>
    <w:tr w:rsidR="0090033B" w:rsidTr="00182616">
      <w:trPr>
        <w:trHeight w:val="242"/>
      </w:trPr>
      <w:tc>
        <w:tcPr>
          <w:tcW w:w="5103" w:type="dxa"/>
          <w:hideMark/>
        </w:tcPr>
        <w:p w:rsidR="0090033B" w:rsidRDefault="0090033B"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90033B" w:rsidRDefault="0090033B" w:rsidP="0016423B">
          <w:pPr>
            <w:spacing w:after="120" w:line="256" w:lineRule="auto"/>
            <w:ind w:left="208" w:right="214"/>
            <w:jc w:val="right"/>
            <w:rPr>
              <w:rFonts w:ascii="Palatino Linotype" w:hAnsi="Palatino Linotype" w:cs="Arial"/>
              <w:szCs w:val="20"/>
            </w:rPr>
          </w:pPr>
          <w:r w:rsidRPr="001C3289">
            <w:rPr>
              <w:rFonts w:ascii="Palatino Linotype" w:hAnsi="Palatino Linotype" w:cs="Arial"/>
              <w:szCs w:val="20"/>
            </w:rPr>
            <w:t>Ayuntamiento de Tenango del Aire</w:t>
          </w:r>
        </w:p>
      </w:tc>
    </w:tr>
    <w:tr w:rsidR="0090033B" w:rsidTr="00182616">
      <w:trPr>
        <w:trHeight w:val="342"/>
      </w:trPr>
      <w:tc>
        <w:tcPr>
          <w:tcW w:w="5103" w:type="dxa"/>
          <w:hideMark/>
        </w:tcPr>
        <w:p w:rsidR="0090033B" w:rsidRDefault="0090033B"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90033B" w:rsidRDefault="0090033B"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90033B" w:rsidRDefault="0090033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3CF8"/>
    <w:multiLevelType w:val="hybridMultilevel"/>
    <w:tmpl w:val="09DA6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217B0C"/>
    <w:multiLevelType w:val="hybridMultilevel"/>
    <w:tmpl w:val="09DA6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022989"/>
    <w:multiLevelType w:val="hybridMultilevel"/>
    <w:tmpl w:val="686C8EDC"/>
    <w:lvl w:ilvl="0" w:tplc="FCCCDD6E">
      <w:start w:val="3"/>
      <w:numFmt w:val="bullet"/>
      <w:lvlText w:val=""/>
      <w:lvlJc w:val="left"/>
      <w:pPr>
        <w:ind w:left="720" w:hanging="360"/>
      </w:pPr>
      <w:rPr>
        <w:rFonts w:ascii="Symbol" w:eastAsia="Calibri"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130EB"/>
    <w:multiLevelType w:val="hybridMultilevel"/>
    <w:tmpl w:val="A75AB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522B9B"/>
    <w:multiLevelType w:val="hybridMultilevel"/>
    <w:tmpl w:val="103C0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1D14F28"/>
    <w:multiLevelType w:val="hybridMultilevel"/>
    <w:tmpl w:val="1362F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E24C97"/>
    <w:multiLevelType w:val="hybridMultilevel"/>
    <w:tmpl w:val="09DA6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13C2B17"/>
    <w:multiLevelType w:val="hybridMultilevel"/>
    <w:tmpl w:val="B5E82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0D1D37"/>
    <w:multiLevelType w:val="hybridMultilevel"/>
    <w:tmpl w:val="E7462F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3A56F6"/>
    <w:multiLevelType w:val="hybridMultilevel"/>
    <w:tmpl w:val="A462F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277A1E"/>
    <w:multiLevelType w:val="hybridMultilevel"/>
    <w:tmpl w:val="B978A6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3333536"/>
    <w:multiLevelType w:val="hybridMultilevel"/>
    <w:tmpl w:val="16CC0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E24028"/>
    <w:multiLevelType w:val="hybridMultilevel"/>
    <w:tmpl w:val="F05EE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EA5811"/>
    <w:multiLevelType w:val="hybridMultilevel"/>
    <w:tmpl w:val="FEAA4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2"/>
  </w:num>
  <w:num w:numId="3">
    <w:abstractNumId w:val="3"/>
  </w:num>
  <w:num w:numId="4">
    <w:abstractNumId w:val="36"/>
  </w:num>
  <w:num w:numId="5">
    <w:abstractNumId w:val="8"/>
  </w:num>
  <w:num w:numId="6">
    <w:abstractNumId w:val="7"/>
  </w:num>
  <w:num w:numId="7">
    <w:abstractNumId w:val="21"/>
  </w:num>
  <w:num w:numId="8">
    <w:abstractNumId w:val="19"/>
  </w:num>
  <w:num w:numId="9">
    <w:abstractNumId w:val="30"/>
  </w:num>
  <w:num w:numId="10">
    <w:abstractNumId w:val="10"/>
  </w:num>
  <w:num w:numId="11">
    <w:abstractNumId w:val="31"/>
  </w:num>
  <w:num w:numId="12">
    <w:abstractNumId w:val="24"/>
  </w:num>
  <w:num w:numId="13">
    <w:abstractNumId w:val="23"/>
  </w:num>
  <w:num w:numId="14">
    <w:abstractNumId w:val="15"/>
  </w:num>
  <w:num w:numId="15">
    <w:abstractNumId w:val="6"/>
  </w:num>
  <w:num w:numId="16">
    <w:abstractNumId w:val="16"/>
  </w:num>
  <w:num w:numId="17">
    <w:abstractNumId w:val="18"/>
  </w:num>
  <w:num w:numId="18">
    <w:abstractNumId w:val="25"/>
  </w:num>
  <w:num w:numId="19">
    <w:abstractNumId w:val="13"/>
  </w:num>
  <w:num w:numId="20">
    <w:abstractNumId w:val="17"/>
  </w:num>
  <w:num w:numId="21">
    <w:abstractNumId w:val="26"/>
  </w:num>
  <w:num w:numId="22">
    <w:abstractNumId w:val="28"/>
  </w:num>
  <w:num w:numId="23">
    <w:abstractNumId w:val="29"/>
  </w:num>
  <w:num w:numId="24">
    <w:abstractNumId w:val="9"/>
  </w:num>
  <w:num w:numId="25">
    <w:abstractNumId w:val="32"/>
  </w:num>
  <w:num w:numId="26">
    <w:abstractNumId w:val="5"/>
  </w:num>
  <w:num w:numId="27">
    <w:abstractNumId w:val="14"/>
  </w:num>
  <w:num w:numId="28">
    <w:abstractNumId w:val="33"/>
  </w:num>
  <w:num w:numId="29">
    <w:abstractNumId w:val="20"/>
  </w:num>
  <w:num w:numId="30">
    <w:abstractNumId w:val="11"/>
  </w:num>
  <w:num w:numId="31">
    <w:abstractNumId w:val="27"/>
  </w:num>
  <w:num w:numId="32">
    <w:abstractNumId w:val="35"/>
  </w:num>
  <w:num w:numId="33">
    <w:abstractNumId w:val="0"/>
  </w:num>
  <w:num w:numId="34">
    <w:abstractNumId w:val="2"/>
  </w:num>
  <w:num w:numId="35">
    <w:abstractNumId w:val="34"/>
  </w:num>
  <w:num w:numId="36">
    <w:abstractNumId w:val="4"/>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02CD"/>
    <w:rsid w:val="00000E9E"/>
    <w:rsid w:val="00000FF5"/>
    <w:rsid w:val="0000238F"/>
    <w:rsid w:val="000044B4"/>
    <w:rsid w:val="00011DF7"/>
    <w:rsid w:val="000146A2"/>
    <w:rsid w:val="00014D80"/>
    <w:rsid w:val="00015A5D"/>
    <w:rsid w:val="000204E1"/>
    <w:rsid w:val="00021D9A"/>
    <w:rsid w:val="00022E72"/>
    <w:rsid w:val="000230DF"/>
    <w:rsid w:val="000232F8"/>
    <w:rsid w:val="000276E0"/>
    <w:rsid w:val="00032DBD"/>
    <w:rsid w:val="00033949"/>
    <w:rsid w:val="00033A37"/>
    <w:rsid w:val="000402BD"/>
    <w:rsid w:val="00041557"/>
    <w:rsid w:val="00041664"/>
    <w:rsid w:val="00043018"/>
    <w:rsid w:val="00050126"/>
    <w:rsid w:val="00050A9C"/>
    <w:rsid w:val="00051311"/>
    <w:rsid w:val="00053083"/>
    <w:rsid w:val="00053C9B"/>
    <w:rsid w:val="00054C50"/>
    <w:rsid w:val="00055FDB"/>
    <w:rsid w:val="00057570"/>
    <w:rsid w:val="00061CDD"/>
    <w:rsid w:val="00061CE1"/>
    <w:rsid w:val="00062331"/>
    <w:rsid w:val="000674FE"/>
    <w:rsid w:val="00070473"/>
    <w:rsid w:val="00070C7F"/>
    <w:rsid w:val="0007328F"/>
    <w:rsid w:val="000738E9"/>
    <w:rsid w:val="0008042E"/>
    <w:rsid w:val="00083F7E"/>
    <w:rsid w:val="0008795C"/>
    <w:rsid w:val="00090705"/>
    <w:rsid w:val="00091583"/>
    <w:rsid w:val="00092805"/>
    <w:rsid w:val="0009497C"/>
    <w:rsid w:val="00095218"/>
    <w:rsid w:val="00096DEA"/>
    <w:rsid w:val="000A27C1"/>
    <w:rsid w:val="000A3303"/>
    <w:rsid w:val="000A773C"/>
    <w:rsid w:val="000A7F00"/>
    <w:rsid w:val="000B0E94"/>
    <w:rsid w:val="000B45D8"/>
    <w:rsid w:val="000D4772"/>
    <w:rsid w:val="000D47AB"/>
    <w:rsid w:val="000D6982"/>
    <w:rsid w:val="000D756B"/>
    <w:rsid w:val="000E58D0"/>
    <w:rsid w:val="000E631B"/>
    <w:rsid w:val="000E7C0A"/>
    <w:rsid w:val="000F199E"/>
    <w:rsid w:val="000F3722"/>
    <w:rsid w:val="000F404B"/>
    <w:rsid w:val="001036CF"/>
    <w:rsid w:val="00114418"/>
    <w:rsid w:val="00114C3C"/>
    <w:rsid w:val="00115F6D"/>
    <w:rsid w:val="00117C14"/>
    <w:rsid w:val="0012205A"/>
    <w:rsid w:val="00122CD0"/>
    <w:rsid w:val="0012508A"/>
    <w:rsid w:val="001269C0"/>
    <w:rsid w:val="00130ED1"/>
    <w:rsid w:val="00132E9F"/>
    <w:rsid w:val="001346D9"/>
    <w:rsid w:val="00135494"/>
    <w:rsid w:val="001365B8"/>
    <w:rsid w:val="00140AE4"/>
    <w:rsid w:val="00140C2F"/>
    <w:rsid w:val="0014191F"/>
    <w:rsid w:val="00142CC6"/>
    <w:rsid w:val="00143581"/>
    <w:rsid w:val="00143AC6"/>
    <w:rsid w:val="00143FED"/>
    <w:rsid w:val="0014447C"/>
    <w:rsid w:val="001510E8"/>
    <w:rsid w:val="00153BFD"/>
    <w:rsid w:val="001552E9"/>
    <w:rsid w:val="001576AC"/>
    <w:rsid w:val="00162176"/>
    <w:rsid w:val="0016423B"/>
    <w:rsid w:val="00165929"/>
    <w:rsid w:val="00166046"/>
    <w:rsid w:val="00166623"/>
    <w:rsid w:val="00166FB7"/>
    <w:rsid w:val="00180F6B"/>
    <w:rsid w:val="00182616"/>
    <w:rsid w:val="00186CFB"/>
    <w:rsid w:val="00196888"/>
    <w:rsid w:val="001A17B9"/>
    <w:rsid w:val="001A19E9"/>
    <w:rsid w:val="001A4700"/>
    <w:rsid w:val="001B5DCE"/>
    <w:rsid w:val="001C0CE9"/>
    <w:rsid w:val="001C2DBA"/>
    <w:rsid w:val="001C3289"/>
    <w:rsid w:val="001C69FC"/>
    <w:rsid w:val="001C73A7"/>
    <w:rsid w:val="001D2B28"/>
    <w:rsid w:val="001D39A1"/>
    <w:rsid w:val="001D6114"/>
    <w:rsid w:val="001D61D0"/>
    <w:rsid w:val="001E07AC"/>
    <w:rsid w:val="001E2E5E"/>
    <w:rsid w:val="001E477F"/>
    <w:rsid w:val="001E4D4B"/>
    <w:rsid w:val="001E60B7"/>
    <w:rsid w:val="001F021C"/>
    <w:rsid w:val="001F432F"/>
    <w:rsid w:val="001F5577"/>
    <w:rsid w:val="001F6C27"/>
    <w:rsid w:val="00201358"/>
    <w:rsid w:val="00203FA5"/>
    <w:rsid w:val="00205BF1"/>
    <w:rsid w:val="00207DA3"/>
    <w:rsid w:val="002108D8"/>
    <w:rsid w:val="00211473"/>
    <w:rsid w:val="00211A69"/>
    <w:rsid w:val="00212498"/>
    <w:rsid w:val="0021396E"/>
    <w:rsid w:val="00216B8D"/>
    <w:rsid w:val="00221F0B"/>
    <w:rsid w:val="002252AD"/>
    <w:rsid w:val="00225A6A"/>
    <w:rsid w:val="00226483"/>
    <w:rsid w:val="002366E1"/>
    <w:rsid w:val="002450D9"/>
    <w:rsid w:val="0024709D"/>
    <w:rsid w:val="00247E1F"/>
    <w:rsid w:val="002517EC"/>
    <w:rsid w:val="00254523"/>
    <w:rsid w:val="002572CF"/>
    <w:rsid w:val="0026191D"/>
    <w:rsid w:val="00271762"/>
    <w:rsid w:val="002718DB"/>
    <w:rsid w:val="00271C39"/>
    <w:rsid w:val="00272111"/>
    <w:rsid w:val="00275C65"/>
    <w:rsid w:val="00276987"/>
    <w:rsid w:val="00276B33"/>
    <w:rsid w:val="00276E33"/>
    <w:rsid w:val="00276FFD"/>
    <w:rsid w:val="00283F65"/>
    <w:rsid w:val="0028427C"/>
    <w:rsid w:val="0028471A"/>
    <w:rsid w:val="002847CC"/>
    <w:rsid w:val="0028585E"/>
    <w:rsid w:val="00285DFA"/>
    <w:rsid w:val="00287072"/>
    <w:rsid w:val="00290397"/>
    <w:rsid w:val="002910A3"/>
    <w:rsid w:val="00293511"/>
    <w:rsid w:val="00294480"/>
    <w:rsid w:val="00296F49"/>
    <w:rsid w:val="002A10EC"/>
    <w:rsid w:val="002A1927"/>
    <w:rsid w:val="002A26E0"/>
    <w:rsid w:val="002B1196"/>
    <w:rsid w:val="002B52D6"/>
    <w:rsid w:val="002B5B14"/>
    <w:rsid w:val="002C0C6A"/>
    <w:rsid w:val="002C2A2E"/>
    <w:rsid w:val="002C2D19"/>
    <w:rsid w:val="002C45D8"/>
    <w:rsid w:val="002C47F3"/>
    <w:rsid w:val="002C529C"/>
    <w:rsid w:val="002D0152"/>
    <w:rsid w:val="002D4743"/>
    <w:rsid w:val="002D477F"/>
    <w:rsid w:val="002D4991"/>
    <w:rsid w:val="002D6110"/>
    <w:rsid w:val="002E22D8"/>
    <w:rsid w:val="002E2D4C"/>
    <w:rsid w:val="002E6036"/>
    <w:rsid w:val="002F044A"/>
    <w:rsid w:val="002F160B"/>
    <w:rsid w:val="002F17FB"/>
    <w:rsid w:val="00301A01"/>
    <w:rsid w:val="00301FF8"/>
    <w:rsid w:val="003021C1"/>
    <w:rsid w:val="00303FAF"/>
    <w:rsid w:val="00304C91"/>
    <w:rsid w:val="00305B06"/>
    <w:rsid w:val="00307784"/>
    <w:rsid w:val="00310760"/>
    <w:rsid w:val="00311191"/>
    <w:rsid w:val="00312E7E"/>
    <w:rsid w:val="00315192"/>
    <w:rsid w:val="003153A1"/>
    <w:rsid w:val="003209B8"/>
    <w:rsid w:val="003230BE"/>
    <w:rsid w:val="00323B11"/>
    <w:rsid w:val="00323D35"/>
    <w:rsid w:val="00325EE1"/>
    <w:rsid w:val="0032688B"/>
    <w:rsid w:val="00327932"/>
    <w:rsid w:val="00330554"/>
    <w:rsid w:val="00336EDF"/>
    <w:rsid w:val="003456A2"/>
    <w:rsid w:val="0034713F"/>
    <w:rsid w:val="003474E5"/>
    <w:rsid w:val="003500CC"/>
    <w:rsid w:val="0035493D"/>
    <w:rsid w:val="00356DEA"/>
    <w:rsid w:val="00363308"/>
    <w:rsid w:val="003653BC"/>
    <w:rsid w:val="00365ADF"/>
    <w:rsid w:val="00374450"/>
    <w:rsid w:val="00375FF5"/>
    <w:rsid w:val="0038385D"/>
    <w:rsid w:val="0038396D"/>
    <w:rsid w:val="0038529C"/>
    <w:rsid w:val="00386799"/>
    <w:rsid w:val="003908F4"/>
    <w:rsid w:val="003919AC"/>
    <w:rsid w:val="0039721A"/>
    <w:rsid w:val="003A13D2"/>
    <w:rsid w:val="003A3096"/>
    <w:rsid w:val="003B123E"/>
    <w:rsid w:val="003B4AE6"/>
    <w:rsid w:val="003B7C36"/>
    <w:rsid w:val="003C042D"/>
    <w:rsid w:val="003C3124"/>
    <w:rsid w:val="003C74AF"/>
    <w:rsid w:val="003D2672"/>
    <w:rsid w:val="003D3420"/>
    <w:rsid w:val="003D3D51"/>
    <w:rsid w:val="003D4B31"/>
    <w:rsid w:val="003D584C"/>
    <w:rsid w:val="003E037E"/>
    <w:rsid w:val="003E08B9"/>
    <w:rsid w:val="003F5460"/>
    <w:rsid w:val="00400852"/>
    <w:rsid w:val="00404F9D"/>
    <w:rsid w:val="00406B61"/>
    <w:rsid w:val="00407282"/>
    <w:rsid w:val="00410A41"/>
    <w:rsid w:val="004132B8"/>
    <w:rsid w:val="00414E53"/>
    <w:rsid w:val="00417EBD"/>
    <w:rsid w:val="00423281"/>
    <w:rsid w:val="00423C27"/>
    <w:rsid w:val="00425199"/>
    <w:rsid w:val="004307FD"/>
    <w:rsid w:val="00432F42"/>
    <w:rsid w:val="00435E52"/>
    <w:rsid w:val="00443826"/>
    <w:rsid w:val="00446D67"/>
    <w:rsid w:val="0045258F"/>
    <w:rsid w:val="0045270C"/>
    <w:rsid w:val="00452ABA"/>
    <w:rsid w:val="0045396C"/>
    <w:rsid w:val="004572BE"/>
    <w:rsid w:val="004601BF"/>
    <w:rsid w:val="004617C7"/>
    <w:rsid w:val="004657BE"/>
    <w:rsid w:val="004715AF"/>
    <w:rsid w:val="00476E2C"/>
    <w:rsid w:val="00476E43"/>
    <w:rsid w:val="004807F7"/>
    <w:rsid w:val="004812BD"/>
    <w:rsid w:val="00481A59"/>
    <w:rsid w:val="00482EF1"/>
    <w:rsid w:val="004830B5"/>
    <w:rsid w:val="00484E47"/>
    <w:rsid w:val="00487B8B"/>
    <w:rsid w:val="004926F0"/>
    <w:rsid w:val="00492F91"/>
    <w:rsid w:val="004979B9"/>
    <w:rsid w:val="00497B93"/>
    <w:rsid w:val="004A23F1"/>
    <w:rsid w:val="004A51FF"/>
    <w:rsid w:val="004B2C63"/>
    <w:rsid w:val="004B4721"/>
    <w:rsid w:val="004B52A1"/>
    <w:rsid w:val="004B54FF"/>
    <w:rsid w:val="004C7E18"/>
    <w:rsid w:val="004D5BAF"/>
    <w:rsid w:val="004D5D52"/>
    <w:rsid w:val="004E0222"/>
    <w:rsid w:val="004E257C"/>
    <w:rsid w:val="004E26A1"/>
    <w:rsid w:val="004F483E"/>
    <w:rsid w:val="004F71B4"/>
    <w:rsid w:val="0050104C"/>
    <w:rsid w:val="005023F4"/>
    <w:rsid w:val="005033CC"/>
    <w:rsid w:val="0050429A"/>
    <w:rsid w:val="0051047E"/>
    <w:rsid w:val="00512CDD"/>
    <w:rsid w:val="00514C3B"/>
    <w:rsid w:val="00515EBB"/>
    <w:rsid w:val="00515F7A"/>
    <w:rsid w:val="00521F65"/>
    <w:rsid w:val="0052393E"/>
    <w:rsid w:val="00524986"/>
    <w:rsid w:val="005328FB"/>
    <w:rsid w:val="00534481"/>
    <w:rsid w:val="00536E75"/>
    <w:rsid w:val="00537419"/>
    <w:rsid w:val="00537D90"/>
    <w:rsid w:val="005421C7"/>
    <w:rsid w:val="00543DDF"/>
    <w:rsid w:val="005448FA"/>
    <w:rsid w:val="00545934"/>
    <w:rsid w:val="00555F06"/>
    <w:rsid w:val="00566699"/>
    <w:rsid w:val="00567676"/>
    <w:rsid w:val="00572DD6"/>
    <w:rsid w:val="005733EB"/>
    <w:rsid w:val="0057534D"/>
    <w:rsid w:val="005835E6"/>
    <w:rsid w:val="00583BDF"/>
    <w:rsid w:val="00583DD0"/>
    <w:rsid w:val="0058494A"/>
    <w:rsid w:val="00590126"/>
    <w:rsid w:val="00591178"/>
    <w:rsid w:val="00591988"/>
    <w:rsid w:val="005947A8"/>
    <w:rsid w:val="00594C38"/>
    <w:rsid w:val="00596856"/>
    <w:rsid w:val="005A2A6F"/>
    <w:rsid w:val="005A35E2"/>
    <w:rsid w:val="005A6F55"/>
    <w:rsid w:val="005A7809"/>
    <w:rsid w:val="005B0930"/>
    <w:rsid w:val="005B2A31"/>
    <w:rsid w:val="005B36CD"/>
    <w:rsid w:val="005B7E58"/>
    <w:rsid w:val="005C057C"/>
    <w:rsid w:val="005C35E3"/>
    <w:rsid w:val="005C3F8C"/>
    <w:rsid w:val="005C76D5"/>
    <w:rsid w:val="005D02A8"/>
    <w:rsid w:val="005D517E"/>
    <w:rsid w:val="005D5EEB"/>
    <w:rsid w:val="005E319B"/>
    <w:rsid w:val="005E37FE"/>
    <w:rsid w:val="005E3F88"/>
    <w:rsid w:val="005E6407"/>
    <w:rsid w:val="005E71BC"/>
    <w:rsid w:val="005F1019"/>
    <w:rsid w:val="005F198B"/>
    <w:rsid w:val="005F46FC"/>
    <w:rsid w:val="005F64FE"/>
    <w:rsid w:val="005F7DE3"/>
    <w:rsid w:val="00600D67"/>
    <w:rsid w:val="00604A29"/>
    <w:rsid w:val="0060633A"/>
    <w:rsid w:val="006149F1"/>
    <w:rsid w:val="00620FA6"/>
    <w:rsid w:val="0062128C"/>
    <w:rsid w:val="006246A5"/>
    <w:rsid w:val="00624A5D"/>
    <w:rsid w:val="00627F9C"/>
    <w:rsid w:val="00630480"/>
    <w:rsid w:val="00631F1B"/>
    <w:rsid w:val="00631FF9"/>
    <w:rsid w:val="00633C3F"/>
    <w:rsid w:val="00640D07"/>
    <w:rsid w:val="00642541"/>
    <w:rsid w:val="00644363"/>
    <w:rsid w:val="006446F7"/>
    <w:rsid w:val="00647B4C"/>
    <w:rsid w:val="00661204"/>
    <w:rsid w:val="00663B3E"/>
    <w:rsid w:val="0066610F"/>
    <w:rsid w:val="0066612D"/>
    <w:rsid w:val="00670A00"/>
    <w:rsid w:val="00673D7C"/>
    <w:rsid w:val="006749FD"/>
    <w:rsid w:val="00674FA3"/>
    <w:rsid w:val="00676C32"/>
    <w:rsid w:val="00680D39"/>
    <w:rsid w:val="00686046"/>
    <w:rsid w:val="006875A3"/>
    <w:rsid w:val="00687A21"/>
    <w:rsid w:val="00690C13"/>
    <w:rsid w:val="0069391A"/>
    <w:rsid w:val="006956C7"/>
    <w:rsid w:val="0069776E"/>
    <w:rsid w:val="006A0ADE"/>
    <w:rsid w:val="006A29C5"/>
    <w:rsid w:val="006A3A54"/>
    <w:rsid w:val="006A4A68"/>
    <w:rsid w:val="006A561E"/>
    <w:rsid w:val="006A58E4"/>
    <w:rsid w:val="006A7D48"/>
    <w:rsid w:val="006C1F26"/>
    <w:rsid w:val="006C6176"/>
    <w:rsid w:val="006D01DC"/>
    <w:rsid w:val="006D1136"/>
    <w:rsid w:val="006D18CF"/>
    <w:rsid w:val="006D254A"/>
    <w:rsid w:val="006D4AD4"/>
    <w:rsid w:val="006D5EDF"/>
    <w:rsid w:val="006D780C"/>
    <w:rsid w:val="006E0601"/>
    <w:rsid w:val="006E2615"/>
    <w:rsid w:val="006E2D42"/>
    <w:rsid w:val="006E6394"/>
    <w:rsid w:val="006E6C81"/>
    <w:rsid w:val="006F08D7"/>
    <w:rsid w:val="006F18FD"/>
    <w:rsid w:val="006F4A35"/>
    <w:rsid w:val="006F536C"/>
    <w:rsid w:val="006F657A"/>
    <w:rsid w:val="00702DB6"/>
    <w:rsid w:val="00705D1C"/>
    <w:rsid w:val="00706410"/>
    <w:rsid w:val="007078D3"/>
    <w:rsid w:val="00711E37"/>
    <w:rsid w:val="0071210D"/>
    <w:rsid w:val="0071623D"/>
    <w:rsid w:val="00720C22"/>
    <w:rsid w:val="007218F2"/>
    <w:rsid w:val="00723B96"/>
    <w:rsid w:val="007256EA"/>
    <w:rsid w:val="007269AE"/>
    <w:rsid w:val="00727C51"/>
    <w:rsid w:val="00730DE0"/>
    <w:rsid w:val="00731D0A"/>
    <w:rsid w:val="00736AF9"/>
    <w:rsid w:val="0074093D"/>
    <w:rsid w:val="00741A50"/>
    <w:rsid w:val="00742711"/>
    <w:rsid w:val="00745032"/>
    <w:rsid w:val="00746ED1"/>
    <w:rsid w:val="00754BDC"/>
    <w:rsid w:val="00755795"/>
    <w:rsid w:val="0075676A"/>
    <w:rsid w:val="00763D73"/>
    <w:rsid w:val="007640C8"/>
    <w:rsid w:val="00766A13"/>
    <w:rsid w:val="00766A8A"/>
    <w:rsid w:val="007676AF"/>
    <w:rsid w:val="00770D7C"/>
    <w:rsid w:val="00773727"/>
    <w:rsid w:val="00776087"/>
    <w:rsid w:val="00785145"/>
    <w:rsid w:val="00786497"/>
    <w:rsid w:val="00787C6A"/>
    <w:rsid w:val="00790289"/>
    <w:rsid w:val="00793014"/>
    <w:rsid w:val="00795F0C"/>
    <w:rsid w:val="00797BE3"/>
    <w:rsid w:val="007A0571"/>
    <w:rsid w:val="007A1F44"/>
    <w:rsid w:val="007A223B"/>
    <w:rsid w:val="007A3848"/>
    <w:rsid w:val="007A4E13"/>
    <w:rsid w:val="007A694D"/>
    <w:rsid w:val="007B0292"/>
    <w:rsid w:val="007B0E30"/>
    <w:rsid w:val="007B6C26"/>
    <w:rsid w:val="007C23A2"/>
    <w:rsid w:val="007C2757"/>
    <w:rsid w:val="007C2FDE"/>
    <w:rsid w:val="007C5203"/>
    <w:rsid w:val="007C52F5"/>
    <w:rsid w:val="007C58CF"/>
    <w:rsid w:val="007C5DC4"/>
    <w:rsid w:val="007C70A4"/>
    <w:rsid w:val="007D0CFF"/>
    <w:rsid w:val="007E24A6"/>
    <w:rsid w:val="007E2E80"/>
    <w:rsid w:val="007F282E"/>
    <w:rsid w:val="007F5267"/>
    <w:rsid w:val="007F7846"/>
    <w:rsid w:val="008041A7"/>
    <w:rsid w:val="0080536C"/>
    <w:rsid w:val="008103B2"/>
    <w:rsid w:val="0081299A"/>
    <w:rsid w:val="008132B7"/>
    <w:rsid w:val="0082069F"/>
    <w:rsid w:val="00821898"/>
    <w:rsid w:val="0082268A"/>
    <w:rsid w:val="00823454"/>
    <w:rsid w:val="00824894"/>
    <w:rsid w:val="00825824"/>
    <w:rsid w:val="008307E5"/>
    <w:rsid w:val="00833B24"/>
    <w:rsid w:val="008455DC"/>
    <w:rsid w:val="0084762B"/>
    <w:rsid w:val="00852DE6"/>
    <w:rsid w:val="00853CC3"/>
    <w:rsid w:val="00853E09"/>
    <w:rsid w:val="00856768"/>
    <w:rsid w:val="00866F05"/>
    <w:rsid w:val="00867D56"/>
    <w:rsid w:val="00870064"/>
    <w:rsid w:val="008725EE"/>
    <w:rsid w:val="008731D1"/>
    <w:rsid w:val="008758DC"/>
    <w:rsid w:val="00892543"/>
    <w:rsid w:val="008932C9"/>
    <w:rsid w:val="0089781F"/>
    <w:rsid w:val="008A1C19"/>
    <w:rsid w:val="008A5D82"/>
    <w:rsid w:val="008B537A"/>
    <w:rsid w:val="008B5FA8"/>
    <w:rsid w:val="008B6631"/>
    <w:rsid w:val="008C0E72"/>
    <w:rsid w:val="008C0F70"/>
    <w:rsid w:val="008C351E"/>
    <w:rsid w:val="008C651F"/>
    <w:rsid w:val="008C7CEB"/>
    <w:rsid w:val="008D17A8"/>
    <w:rsid w:val="008D523F"/>
    <w:rsid w:val="008E3305"/>
    <w:rsid w:val="008E572E"/>
    <w:rsid w:val="008E63C2"/>
    <w:rsid w:val="008E6BC4"/>
    <w:rsid w:val="008F0C26"/>
    <w:rsid w:val="008F4D69"/>
    <w:rsid w:val="008F5C2F"/>
    <w:rsid w:val="008F7F12"/>
    <w:rsid w:val="0090033B"/>
    <w:rsid w:val="009026F3"/>
    <w:rsid w:val="00903599"/>
    <w:rsid w:val="00905CE1"/>
    <w:rsid w:val="009151CF"/>
    <w:rsid w:val="00915450"/>
    <w:rsid w:val="00915A9C"/>
    <w:rsid w:val="00916463"/>
    <w:rsid w:val="009245F6"/>
    <w:rsid w:val="009272C6"/>
    <w:rsid w:val="009278BA"/>
    <w:rsid w:val="00930F68"/>
    <w:rsid w:val="0093185F"/>
    <w:rsid w:val="009339EC"/>
    <w:rsid w:val="0093743A"/>
    <w:rsid w:val="00937BFA"/>
    <w:rsid w:val="0094138F"/>
    <w:rsid w:val="00942349"/>
    <w:rsid w:val="00943B37"/>
    <w:rsid w:val="00954DC1"/>
    <w:rsid w:val="00960D8F"/>
    <w:rsid w:val="0096284F"/>
    <w:rsid w:val="0096359D"/>
    <w:rsid w:val="00967270"/>
    <w:rsid w:val="00973200"/>
    <w:rsid w:val="0097416D"/>
    <w:rsid w:val="009759F9"/>
    <w:rsid w:val="00983A8A"/>
    <w:rsid w:val="00984CA8"/>
    <w:rsid w:val="009859B8"/>
    <w:rsid w:val="009930C2"/>
    <w:rsid w:val="00993DE1"/>
    <w:rsid w:val="00994FE7"/>
    <w:rsid w:val="009978AF"/>
    <w:rsid w:val="009A3CAA"/>
    <w:rsid w:val="009A5C57"/>
    <w:rsid w:val="009B0787"/>
    <w:rsid w:val="009B205B"/>
    <w:rsid w:val="009B3592"/>
    <w:rsid w:val="009B70C3"/>
    <w:rsid w:val="009C1EA2"/>
    <w:rsid w:val="009C3FC7"/>
    <w:rsid w:val="009C4F59"/>
    <w:rsid w:val="009D0C81"/>
    <w:rsid w:val="009D56AA"/>
    <w:rsid w:val="009E0089"/>
    <w:rsid w:val="009E396D"/>
    <w:rsid w:val="009E3CA4"/>
    <w:rsid w:val="009E4E76"/>
    <w:rsid w:val="009E5E62"/>
    <w:rsid w:val="009E6C27"/>
    <w:rsid w:val="009F1D0A"/>
    <w:rsid w:val="009F42FF"/>
    <w:rsid w:val="009F7B22"/>
    <w:rsid w:val="00A01F59"/>
    <w:rsid w:val="00A0226A"/>
    <w:rsid w:val="00A06551"/>
    <w:rsid w:val="00A067A6"/>
    <w:rsid w:val="00A10000"/>
    <w:rsid w:val="00A10775"/>
    <w:rsid w:val="00A112EB"/>
    <w:rsid w:val="00A11DDF"/>
    <w:rsid w:val="00A1283C"/>
    <w:rsid w:val="00A14A8A"/>
    <w:rsid w:val="00A14AF7"/>
    <w:rsid w:val="00A2199B"/>
    <w:rsid w:val="00A22469"/>
    <w:rsid w:val="00A24D32"/>
    <w:rsid w:val="00A2645E"/>
    <w:rsid w:val="00A26AC5"/>
    <w:rsid w:val="00A3134D"/>
    <w:rsid w:val="00A33B3A"/>
    <w:rsid w:val="00A35B31"/>
    <w:rsid w:val="00A4214D"/>
    <w:rsid w:val="00A56706"/>
    <w:rsid w:val="00A62727"/>
    <w:rsid w:val="00A64034"/>
    <w:rsid w:val="00A6567E"/>
    <w:rsid w:val="00A65C29"/>
    <w:rsid w:val="00A65D02"/>
    <w:rsid w:val="00A666CE"/>
    <w:rsid w:val="00A73E40"/>
    <w:rsid w:val="00A8643B"/>
    <w:rsid w:val="00A871F0"/>
    <w:rsid w:val="00A872EF"/>
    <w:rsid w:val="00A9172E"/>
    <w:rsid w:val="00A94BF6"/>
    <w:rsid w:val="00AA0676"/>
    <w:rsid w:val="00AA3840"/>
    <w:rsid w:val="00AA4F9A"/>
    <w:rsid w:val="00AA5A0A"/>
    <w:rsid w:val="00AB1AF3"/>
    <w:rsid w:val="00AB481C"/>
    <w:rsid w:val="00AB6FE4"/>
    <w:rsid w:val="00AC44F1"/>
    <w:rsid w:val="00AC64EA"/>
    <w:rsid w:val="00AC6DF7"/>
    <w:rsid w:val="00AD00DF"/>
    <w:rsid w:val="00AD0168"/>
    <w:rsid w:val="00AD153F"/>
    <w:rsid w:val="00AD3C94"/>
    <w:rsid w:val="00AD4FDB"/>
    <w:rsid w:val="00AE059D"/>
    <w:rsid w:val="00AE658B"/>
    <w:rsid w:val="00AF1F1C"/>
    <w:rsid w:val="00AF5920"/>
    <w:rsid w:val="00B00A36"/>
    <w:rsid w:val="00B070F5"/>
    <w:rsid w:val="00B10DAE"/>
    <w:rsid w:val="00B12CBA"/>
    <w:rsid w:val="00B134BA"/>
    <w:rsid w:val="00B13B4A"/>
    <w:rsid w:val="00B16CAC"/>
    <w:rsid w:val="00B240AC"/>
    <w:rsid w:val="00B24972"/>
    <w:rsid w:val="00B319B6"/>
    <w:rsid w:val="00B31ACE"/>
    <w:rsid w:val="00B3452B"/>
    <w:rsid w:val="00B34950"/>
    <w:rsid w:val="00B352EF"/>
    <w:rsid w:val="00B40D36"/>
    <w:rsid w:val="00B41407"/>
    <w:rsid w:val="00B43514"/>
    <w:rsid w:val="00B45D16"/>
    <w:rsid w:val="00B501B2"/>
    <w:rsid w:val="00B519E6"/>
    <w:rsid w:val="00B525C1"/>
    <w:rsid w:val="00B549E1"/>
    <w:rsid w:val="00B56587"/>
    <w:rsid w:val="00B636D7"/>
    <w:rsid w:val="00B65E1E"/>
    <w:rsid w:val="00B73E6C"/>
    <w:rsid w:val="00B75842"/>
    <w:rsid w:val="00B77270"/>
    <w:rsid w:val="00B84F0D"/>
    <w:rsid w:val="00B87778"/>
    <w:rsid w:val="00B93C5C"/>
    <w:rsid w:val="00B96B2B"/>
    <w:rsid w:val="00B97CAC"/>
    <w:rsid w:val="00BA1EA1"/>
    <w:rsid w:val="00BA69A0"/>
    <w:rsid w:val="00BB1D9B"/>
    <w:rsid w:val="00BB2359"/>
    <w:rsid w:val="00BB2580"/>
    <w:rsid w:val="00BB4899"/>
    <w:rsid w:val="00BB536F"/>
    <w:rsid w:val="00BB5394"/>
    <w:rsid w:val="00BC3F29"/>
    <w:rsid w:val="00BC64D4"/>
    <w:rsid w:val="00BD1DE7"/>
    <w:rsid w:val="00BD20DA"/>
    <w:rsid w:val="00BE0094"/>
    <w:rsid w:val="00BE100C"/>
    <w:rsid w:val="00BE12A1"/>
    <w:rsid w:val="00BE48F3"/>
    <w:rsid w:val="00BE6D77"/>
    <w:rsid w:val="00BE736E"/>
    <w:rsid w:val="00BF0AEC"/>
    <w:rsid w:val="00BF123B"/>
    <w:rsid w:val="00BF123D"/>
    <w:rsid w:val="00BF25FC"/>
    <w:rsid w:val="00BF3765"/>
    <w:rsid w:val="00BF3950"/>
    <w:rsid w:val="00BF5EE2"/>
    <w:rsid w:val="00BF69B1"/>
    <w:rsid w:val="00C0025C"/>
    <w:rsid w:val="00C06E74"/>
    <w:rsid w:val="00C109FA"/>
    <w:rsid w:val="00C10AAE"/>
    <w:rsid w:val="00C115F4"/>
    <w:rsid w:val="00C17644"/>
    <w:rsid w:val="00C2107B"/>
    <w:rsid w:val="00C24D1D"/>
    <w:rsid w:val="00C24FAE"/>
    <w:rsid w:val="00C25822"/>
    <w:rsid w:val="00C25B89"/>
    <w:rsid w:val="00C277F4"/>
    <w:rsid w:val="00C320CE"/>
    <w:rsid w:val="00C34B47"/>
    <w:rsid w:val="00C35F18"/>
    <w:rsid w:val="00C40345"/>
    <w:rsid w:val="00C40B89"/>
    <w:rsid w:val="00C470D9"/>
    <w:rsid w:val="00C47EEF"/>
    <w:rsid w:val="00C50B3E"/>
    <w:rsid w:val="00C51021"/>
    <w:rsid w:val="00C51304"/>
    <w:rsid w:val="00C55D8A"/>
    <w:rsid w:val="00C614A7"/>
    <w:rsid w:val="00C6603E"/>
    <w:rsid w:val="00C66B27"/>
    <w:rsid w:val="00C66F1C"/>
    <w:rsid w:val="00C67122"/>
    <w:rsid w:val="00C67A59"/>
    <w:rsid w:val="00C8573E"/>
    <w:rsid w:val="00C90CE9"/>
    <w:rsid w:val="00C911DE"/>
    <w:rsid w:val="00C921D5"/>
    <w:rsid w:val="00C95F13"/>
    <w:rsid w:val="00CA2ED9"/>
    <w:rsid w:val="00CA3DD3"/>
    <w:rsid w:val="00CA5EC1"/>
    <w:rsid w:val="00CA6D10"/>
    <w:rsid w:val="00CA75F9"/>
    <w:rsid w:val="00CA7E4A"/>
    <w:rsid w:val="00CB5946"/>
    <w:rsid w:val="00CC343F"/>
    <w:rsid w:val="00CC643A"/>
    <w:rsid w:val="00CD013E"/>
    <w:rsid w:val="00CD58D8"/>
    <w:rsid w:val="00CD5D9E"/>
    <w:rsid w:val="00CE15C8"/>
    <w:rsid w:val="00CE207D"/>
    <w:rsid w:val="00CE3B3E"/>
    <w:rsid w:val="00CF27C6"/>
    <w:rsid w:val="00CF2AC1"/>
    <w:rsid w:val="00CF784A"/>
    <w:rsid w:val="00CF7E3D"/>
    <w:rsid w:val="00D00802"/>
    <w:rsid w:val="00D01B24"/>
    <w:rsid w:val="00D020E2"/>
    <w:rsid w:val="00D036F0"/>
    <w:rsid w:val="00D04234"/>
    <w:rsid w:val="00D0540D"/>
    <w:rsid w:val="00D13B83"/>
    <w:rsid w:val="00D14D51"/>
    <w:rsid w:val="00D14E3B"/>
    <w:rsid w:val="00D20DEA"/>
    <w:rsid w:val="00D22D43"/>
    <w:rsid w:val="00D23F11"/>
    <w:rsid w:val="00D2480E"/>
    <w:rsid w:val="00D32449"/>
    <w:rsid w:val="00D32E6F"/>
    <w:rsid w:val="00D35E9C"/>
    <w:rsid w:val="00D44EA4"/>
    <w:rsid w:val="00D46905"/>
    <w:rsid w:val="00D5329C"/>
    <w:rsid w:val="00D53F05"/>
    <w:rsid w:val="00D54889"/>
    <w:rsid w:val="00D5656D"/>
    <w:rsid w:val="00D57072"/>
    <w:rsid w:val="00D57A8D"/>
    <w:rsid w:val="00D61A59"/>
    <w:rsid w:val="00D62AFD"/>
    <w:rsid w:val="00D62B87"/>
    <w:rsid w:val="00D633B6"/>
    <w:rsid w:val="00D6480E"/>
    <w:rsid w:val="00D64F6D"/>
    <w:rsid w:val="00D657FA"/>
    <w:rsid w:val="00D70758"/>
    <w:rsid w:val="00D7194F"/>
    <w:rsid w:val="00D72130"/>
    <w:rsid w:val="00D72377"/>
    <w:rsid w:val="00D760EF"/>
    <w:rsid w:val="00D77749"/>
    <w:rsid w:val="00D77F62"/>
    <w:rsid w:val="00D80239"/>
    <w:rsid w:val="00D80E2D"/>
    <w:rsid w:val="00D82C3F"/>
    <w:rsid w:val="00D82E20"/>
    <w:rsid w:val="00D906FA"/>
    <w:rsid w:val="00DA0E70"/>
    <w:rsid w:val="00DA1E7A"/>
    <w:rsid w:val="00DA21DB"/>
    <w:rsid w:val="00DA5A00"/>
    <w:rsid w:val="00DA68B9"/>
    <w:rsid w:val="00DA6917"/>
    <w:rsid w:val="00DB501C"/>
    <w:rsid w:val="00DB5FF7"/>
    <w:rsid w:val="00DC0181"/>
    <w:rsid w:val="00DC0CB0"/>
    <w:rsid w:val="00DC23FE"/>
    <w:rsid w:val="00DC4E35"/>
    <w:rsid w:val="00DD0417"/>
    <w:rsid w:val="00DD13E2"/>
    <w:rsid w:val="00DD2781"/>
    <w:rsid w:val="00DD2D53"/>
    <w:rsid w:val="00DD5971"/>
    <w:rsid w:val="00DD5DC9"/>
    <w:rsid w:val="00DD7A6B"/>
    <w:rsid w:val="00DE0583"/>
    <w:rsid w:val="00DE0587"/>
    <w:rsid w:val="00DE16E2"/>
    <w:rsid w:val="00DF0AF9"/>
    <w:rsid w:val="00DF1527"/>
    <w:rsid w:val="00DF2F2C"/>
    <w:rsid w:val="00DF3485"/>
    <w:rsid w:val="00DF51C8"/>
    <w:rsid w:val="00E014FE"/>
    <w:rsid w:val="00E14099"/>
    <w:rsid w:val="00E1520C"/>
    <w:rsid w:val="00E23E06"/>
    <w:rsid w:val="00E25492"/>
    <w:rsid w:val="00E25DAA"/>
    <w:rsid w:val="00E31685"/>
    <w:rsid w:val="00E325CC"/>
    <w:rsid w:val="00E37AA1"/>
    <w:rsid w:val="00E426C9"/>
    <w:rsid w:val="00E50EFF"/>
    <w:rsid w:val="00E50F4B"/>
    <w:rsid w:val="00E51947"/>
    <w:rsid w:val="00E53096"/>
    <w:rsid w:val="00E56111"/>
    <w:rsid w:val="00E57465"/>
    <w:rsid w:val="00E60476"/>
    <w:rsid w:val="00E61468"/>
    <w:rsid w:val="00E65AE8"/>
    <w:rsid w:val="00E6713D"/>
    <w:rsid w:val="00E70CAE"/>
    <w:rsid w:val="00E726BA"/>
    <w:rsid w:val="00E755E5"/>
    <w:rsid w:val="00E80DE9"/>
    <w:rsid w:val="00E83DA0"/>
    <w:rsid w:val="00E85324"/>
    <w:rsid w:val="00E93579"/>
    <w:rsid w:val="00E95C59"/>
    <w:rsid w:val="00EA0886"/>
    <w:rsid w:val="00EA2502"/>
    <w:rsid w:val="00EA2AAB"/>
    <w:rsid w:val="00EB2068"/>
    <w:rsid w:val="00EB5002"/>
    <w:rsid w:val="00EC1776"/>
    <w:rsid w:val="00EC18D8"/>
    <w:rsid w:val="00EC395C"/>
    <w:rsid w:val="00EC3F2F"/>
    <w:rsid w:val="00EC4B6A"/>
    <w:rsid w:val="00EC4CA5"/>
    <w:rsid w:val="00EC5573"/>
    <w:rsid w:val="00EC693F"/>
    <w:rsid w:val="00ED0209"/>
    <w:rsid w:val="00ED4829"/>
    <w:rsid w:val="00ED60C2"/>
    <w:rsid w:val="00ED78F3"/>
    <w:rsid w:val="00ED7AA0"/>
    <w:rsid w:val="00EE03F5"/>
    <w:rsid w:val="00EE44C4"/>
    <w:rsid w:val="00EE5FEE"/>
    <w:rsid w:val="00EF2AED"/>
    <w:rsid w:val="00EF4D17"/>
    <w:rsid w:val="00EF536F"/>
    <w:rsid w:val="00EF6B28"/>
    <w:rsid w:val="00F0032B"/>
    <w:rsid w:val="00F07DC2"/>
    <w:rsid w:val="00F10958"/>
    <w:rsid w:val="00F1657E"/>
    <w:rsid w:val="00F1770B"/>
    <w:rsid w:val="00F20846"/>
    <w:rsid w:val="00F2178A"/>
    <w:rsid w:val="00F2343A"/>
    <w:rsid w:val="00F3417E"/>
    <w:rsid w:val="00F420D8"/>
    <w:rsid w:val="00F421A5"/>
    <w:rsid w:val="00F44637"/>
    <w:rsid w:val="00F45389"/>
    <w:rsid w:val="00F46398"/>
    <w:rsid w:val="00F4708B"/>
    <w:rsid w:val="00F53B53"/>
    <w:rsid w:val="00F53C2C"/>
    <w:rsid w:val="00F53CE0"/>
    <w:rsid w:val="00F54DE5"/>
    <w:rsid w:val="00F56ECE"/>
    <w:rsid w:val="00F66A72"/>
    <w:rsid w:val="00F75846"/>
    <w:rsid w:val="00F7667E"/>
    <w:rsid w:val="00F83F9F"/>
    <w:rsid w:val="00F8521C"/>
    <w:rsid w:val="00F86338"/>
    <w:rsid w:val="00F86466"/>
    <w:rsid w:val="00F8666D"/>
    <w:rsid w:val="00F91340"/>
    <w:rsid w:val="00F92D09"/>
    <w:rsid w:val="00F9346E"/>
    <w:rsid w:val="00FA1E70"/>
    <w:rsid w:val="00FA47E2"/>
    <w:rsid w:val="00FA6C7F"/>
    <w:rsid w:val="00FA6EC1"/>
    <w:rsid w:val="00FB2F77"/>
    <w:rsid w:val="00FB4B56"/>
    <w:rsid w:val="00FB55E9"/>
    <w:rsid w:val="00FC7D8B"/>
    <w:rsid w:val="00FD0950"/>
    <w:rsid w:val="00FD3A3C"/>
    <w:rsid w:val="00FD4EB1"/>
    <w:rsid w:val="00FD55D4"/>
    <w:rsid w:val="00FD7EE2"/>
    <w:rsid w:val="00FE6B22"/>
    <w:rsid w:val="00FE7A66"/>
    <w:rsid w:val="00FF0836"/>
    <w:rsid w:val="00FF15F9"/>
    <w:rsid w:val="00FF42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6FAF1CAF-1BA7-45EA-95A9-F51432E3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1">
    <w:name w:val="heading 1"/>
    <w:basedOn w:val="Normal"/>
    <w:next w:val="Normal"/>
    <w:link w:val="Ttulo1Car"/>
    <w:uiPriority w:val="9"/>
    <w:qFormat/>
    <w:rsid w:val="004812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76B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BC3F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4812BD"/>
    <w:rPr>
      <w:rFonts w:asciiTheme="majorHAnsi" w:eastAsiaTheme="majorEastAsia" w:hAnsiTheme="majorHAnsi" w:cstheme="majorBidi"/>
      <w:color w:val="2E74B5" w:themeColor="accent1" w:themeShade="BF"/>
      <w:sz w:val="32"/>
      <w:szCs w:val="32"/>
    </w:rPr>
  </w:style>
  <w:style w:type="paragraph" w:styleId="Textonotaalfinal">
    <w:name w:val="endnote text"/>
    <w:basedOn w:val="Normal"/>
    <w:link w:val="TextonotaalfinalCar"/>
    <w:uiPriority w:val="99"/>
    <w:semiHidden/>
    <w:unhideWhenUsed/>
    <w:rsid w:val="00746ED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46ED1"/>
    <w:rPr>
      <w:sz w:val="20"/>
      <w:szCs w:val="20"/>
    </w:rPr>
  </w:style>
  <w:style w:type="character" w:styleId="Refdenotaalfinal">
    <w:name w:val="endnote reference"/>
    <w:basedOn w:val="Fuentedeprrafopredeter"/>
    <w:uiPriority w:val="99"/>
    <w:semiHidden/>
    <w:unhideWhenUsed/>
    <w:rsid w:val="00746ED1"/>
    <w:rPr>
      <w:vertAlign w:val="superscript"/>
    </w:rPr>
  </w:style>
  <w:style w:type="character" w:customStyle="1" w:styleId="TextonotapieCar1">
    <w:name w:val="Texto nota pie Car1"/>
    <w:uiPriority w:val="99"/>
    <w:rsid w:val="00AC6DF7"/>
    <w:rPr>
      <w:rFonts w:ascii="Times New Roman" w:eastAsia="Times New Roman" w:hAnsi="Times New Roman"/>
      <w:lang w:val="es-ES" w:eastAsia="es-ES"/>
    </w:rPr>
  </w:style>
  <w:style w:type="character" w:customStyle="1" w:styleId="Ttulo2Car">
    <w:name w:val="Título 2 Car"/>
    <w:basedOn w:val="Fuentedeprrafopredeter"/>
    <w:link w:val="Ttulo2"/>
    <w:uiPriority w:val="9"/>
    <w:rsid w:val="00276B3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972885">
      <w:bodyDiv w:val="1"/>
      <w:marLeft w:val="0"/>
      <w:marRight w:val="0"/>
      <w:marTop w:val="0"/>
      <w:marBottom w:val="0"/>
      <w:divBdr>
        <w:top w:val="none" w:sz="0" w:space="0" w:color="auto"/>
        <w:left w:val="none" w:sz="0" w:space="0" w:color="auto"/>
        <w:bottom w:val="none" w:sz="0" w:space="0" w:color="auto"/>
        <w:right w:val="none" w:sz="0" w:space="0" w:color="auto"/>
      </w:divBdr>
    </w:div>
    <w:div w:id="379868418">
      <w:bodyDiv w:val="1"/>
      <w:marLeft w:val="0"/>
      <w:marRight w:val="0"/>
      <w:marTop w:val="0"/>
      <w:marBottom w:val="0"/>
      <w:divBdr>
        <w:top w:val="none" w:sz="0" w:space="0" w:color="auto"/>
        <w:left w:val="none" w:sz="0" w:space="0" w:color="auto"/>
        <w:bottom w:val="none" w:sz="0" w:space="0" w:color="auto"/>
        <w:right w:val="none" w:sz="0" w:space="0" w:color="auto"/>
      </w:divBdr>
      <w:divsChild>
        <w:div w:id="755059658">
          <w:marLeft w:val="0"/>
          <w:marRight w:val="0"/>
          <w:marTop w:val="0"/>
          <w:marBottom w:val="0"/>
          <w:divBdr>
            <w:top w:val="none" w:sz="0" w:space="0" w:color="auto"/>
            <w:left w:val="none" w:sz="0" w:space="0" w:color="auto"/>
            <w:bottom w:val="none" w:sz="0" w:space="0" w:color="auto"/>
            <w:right w:val="none" w:sz="0" w:space="0" w:color="auto"/>
          </w:divBdr>
        </w:div>
      </w:divsChild>
    </w:div>
    <w:div w:id="409933431">
      <w:bodyDiv w:val="1"/>
      <w:marLeft w:val="0"/>
      <w:marRight w:val="0"/>
      <w:marTop w:val="0"/>
      <w:marBottom w:val="0"/>
      <w:divBdr>
        <w:top w:val="none" w:sz="0" w:space="0" w:color="auto"/>
        <w:left w:val="none" w:sz="0" w:space="0" w:color="auto"/>
        <w:bottom w:val="none" w:sz="0" w:space="0" w:color="auto"/>
        <w:right w:val="none" w:sz="0" w:space="0" w:color="auto"/>
      </w:divBdr>
    </w:div>
    <w:div w:id="533152123">
      <w:bodyDiv w:val="1"/>
      <w:marLeft w:val="0"/>
      <w:marRight w:val="0"/>
      <w:marTop w:val="0"/>
      <w:marBottom w:val="0"/>
      <w:divBdr>
        <w:top w:val="none" w:sz="0" w:space="0" w:color="auto"/>
        <w:left w:val="none" w:sz="0" w:space="0" w:color="auto"/>
        <w:bottom w:val="none" w:sz="0" w:space="0" w:color="auto"/>
        <w:right w:val="none" w:sz="0" w:space="0" w:color="auto"/>
      </w:divBdr>
    </w:div>
    <w:div w:id="607154328">
      <w:bodyDiv w:val="1"/>
      <w:marLeft w:val="0"/>
      <w:marRight w:val="0"/>
      <w:marTop w:val="0"/>
      <w:marBottom w:val="0"/>
      <w:divBdr>
        <w:top w:val="none" w:sz="0" w:space="0" w:color="auto"/>
        <w:left w:val="none" w:sz="0" w:space="0" w:color="auto"/>
        <w:bottom w:val="none" w:sz="0" w:space="0" w:color="auto"/>
        <w:right w:val="none" w:sz="0" w:space="0" w:color="auto"/>
      </w:divBdr>
    </w:div>
    <w:div w:id="622686145">
      <w:bodyDiv w:val="1"/>
      <w:marLeft w:val="0"/>
      <w:marRight w:val="0"/>
      <w:marTop w:val="0"/>
      <w:marBottom w:val="0"/>
      <w:divBdr>
        <w:top w:val="none" w:sz="0" w:space="0" w:color="auto"/>
        <w:left w:val="none" w:sz="0" w:space="0" w:color="auto"/>
        <w:bottom w:val="none" w:sz="0" w:space="0" w:color="auto"/>
        <w:right w:val="none" w:sz="0" w:space="0" w:color="auto"/>
      </w:divBdr>
    </w:div>
    <w:div w:id="644506152">
      <w:bodyDiv w:val="1"/>
      <w:marLeft w:val="0"/>
      <w:marRight w:val="0"/>
      <w:marTop w:val="0"/>
      <w:marBottom w:val="0"/>
      <w:divBdr>
        <w:top w:val="none" w:sz="0" w:space="0" w:color="auto"/>
        <w:left w:val="none" w:sz="0" w:space="0" w:color="auto"/>
        <w:bottom w:val="none" w:sz="0" w:space="0" w:color="auto"/>
        <w:right w:val="none" w:sz="0" w:space="0" w:color="auto"/>
      </w:divBdr>
    </w:div>
    <w:div w:id="672419248">
      <w:bodyDiv w:val="1"/>
      <w:marLeft w:val="0"/>
      <w:marRight w:val="0"/>
      <w:marTop w:val="0"/>
      <w:marBottom w:val="0"/>
      <w:divBdr>
        <w:top w:val="none" w:sz="0" w:space="0" w:color="auto"/>
        <w:left w:val="none" w:sz="0" w:space="0" w:color="auto"/>
        <w:bottom w:val="none" w:sz="0" w:space="0" w:color="auto"/>
        <w:right w:val="none" w:sz="0" w:space="0" w:color="auto"/>
      </w:divBdr>
    </w:div>
    <w:div w:id="688065951">
      <w:bodyDiv w:val="1"/>
      <w:marLeft w:val="0"/>
      <w:marRight w:val="0"/>
      <w:marTop w:val="0"/>
      <w:marBottom w:val="0"/>
      <w:divBdr>
        <w:top w:val="none" w:sz="0" w:space="0" w:color="auto"/>
        <w:left w:val="none" w:sz="0" w:space="0" w:color="auto"/>
        <w:bottom w:val="none" w:sz="0" w:space="0" w:color="auto"/>
        <w:right w:val="none" w:sz="0" w:space="0" w:color="auto"/>
      </w:divBdr>
    </w:div>
    <w:div w:id="808936452">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70597154">
      <w:bodyDiv w:val="1"/>
      <w:marLeft w:val="0"/>
      <w:marRight w:val="0"/>
      <w:marTop w:val="0"/>
      <w:marBottom w:val="0"/>
      <w:divBdr>
        <w:top w:val="none" w:sz="0" w:space="0" w:color="auto"/>
        <w:left w:val="none" w:sz="0" w:space="0" w:color="auto"/>
        <w:bottom w:val="none" w:sz="0" w:space="0" w:color="auto"/>
        <w:right w:val="none" w:sz="0" w:space="0" w:color="auto"/>
      </w:divBdr>
    </w:div>
    <w:div w:id="997804782">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120957219">
      <w:bodyDiv w:val="1"/>
      <w:marLeft w:val="0"/>
      <w:marRight w:val="0"/>
      <w:marTop w:val="0"/>
      <w:marBottom w:val="0"/>
      <w:divBdr>
        <w:top w:val="none" w:sz="0" w:space="0" w:color="auto"/>
        <w:left w:val="none" w:sz="0" w:space="0" w:color="auto"/>
        <w:bottom w:val="none" w:sz="0" w:space="0" w:color="auto"/>
        <w:right w:val="none" w:sz="0" w:space="0" w:color="auto"/>
      </w:divBdr>
    </w:div>
    <w:div w:id="1226405417">
      <w:bodyDiv w:val="1"/>
      <w:marLeft w:val="0"/>
      <w:marRight w:val="0"/>
      <w:marTop w:val="0"/>
      <w:marBottom w:val="0"/>
      <w:divBdr>
        <w:top w:val="none" w:sz="0" w:space="0" w:color="auto"/>
        <w:left w:val="none" w:sz="0" w:space="0" w:color="auto"/>
        <w:bottom w:val="none" w:sz="0" w:space="0" w:color="auto"/>
        <w:right w:val="none" w:sz="0" w:space="0" w:color="auto"/>
      </w:divBdr>
    </w:div>
    <w:div w:id="1262647162">
      <w:bodyDiv w:val="1"/>
      <w:marLeft w:val="0"/>
      <w:marRight w:val="0"/>
      <w:marTop w:val="0"/>
      <w:marBottom w:val="0"/>
      <w:divBdr>
        <w:top w:val="none" w:sz="0" w:space="0" w:color="auto"/>
        <w:left w:val="none" w:sz="0" w:space="0" w:color="auto"/>
        <w:bottom w:val="none" w:sz="0" w:space="0" w:color="auto"/>
        <w:right w:val="none" w:sz="0" w:space="0" w:color="auto"/>
      </w:divBdr>
    </w:div>
    <w:div w:id="1354644780">
      <w:bodyDiv w:val="1"/>
      <w:marLeft w:val="0"/>
      <w:marRight w:val="0"/>
      <w:marTop w:val="0"/>
      <w:marBottom w:val="0"/>
      <w:divBdr>
        <w:top w:val="none" w:sz="0" w:space="0" w:color="auto"/>
        <w:left w:val="none" w:sz="0" w:space="0" w:color="auto"/>
        <w:bottom w:val="none" w:sz="0" w:space="0" w:color="auto"/>
        <w:right w:val="none" w:sz="0" w:space="0" w:color="auto"/>
      </w:divBdr>
    </w:div>
    <w:div w:id="1373189448">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514417269">
      <w:bodyDiv w:val="1"/>
      <w:marLeft w:val="0"/>
      <w:marRight w:val="0"/>
      <w:marTop w:val="0"/>
      <w:marBottom w:val="0"/>
      <w:divBdr>
        <w:top w:val="none" w:sz="0" w:space="0" w:color="auto"/>
        <w:left w:val="none" w:sz="0" w:space="0" w:color="auto"/>
        <w:bottom w:val="none" w:sz="0" w:space="0" w:color="auto"/>
        <w:right w:val="none" w:sz="0" w:space="0" w:color="auto"/>
      </w:divBdr>
    </w:div>
    <w:div w:id="1526938882">
      <w:bodyDiv w:val="1"/>
      <w:marLeft w:val="0"/>
      <w:marRight w:val="0"/>
      <w:marTop w:val="0"/>
      <w:marBottom w:val="0"/>
      <w:divBdr>
        <w:top w:val="none" w:sz="0" w:space="0" w:color="auto"/>
        <w:left w:val="none" w:sz="0" w:space="0" w:color="auto"/>
        <w:bottom w:val="none" w:sz="0" w:space="0" w:color="auto"/>
        <w:right w:val="none" w:sz="0" w:space="0" w:color="auto"/>
      </w:divBdr>
    </w:div>
    <w:div w:id="1609582964">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2057853014">
      <w:bodyDiv w:val="1"/>
      <w:marLeft w:val="0"/>
      <w:marRight w:val="0"/>
      <w:marTop w:val="0"/>
      <w:marBottom w:val="0"/>
      <w:divBdr>
        <w:top w:val="none" w:sz="0" w:space="0" w:color="auto"/>
        <w:left w:val="none" w:sz="0" w:space="0" w:color="auto"/>
        <w:bottom w:val="none" w:sz="0" w:space="0" w:color="auto"/>
        <w:right w:val="none" w:sz="0" w:space="0" w:color="auto"/>
      </w:divBdr>
    </w:div>
    <w:div w:id="2084402711">
      <w:bodyDiv w:val="1"/>
      <w:marLeft w:val="0"/>
      <w:marRight w:val="0"/>
      <w:marTop w:val="0"/>
      <w:marBottom w:val="0"/>
      <w:divBdr>
        <w:top w:val="none" w:sz="0" w:space="0" w:color="auto"/>
        <w:left w:val="none" w:sz="0" w:space="0" w:color="auto"/>
        <w:bottom w:val="none" w:sz="0" w:space="0" w:color="auto"/>
        <w:right w:val="none" w:sz="0" w:space="0" w:color="auto"/>
      </w:divBdr>
    </w:div>
    <w:div w:id="2085099442">
      <w:bodyDiv w:val="1"/>
      <w:marLeft w:val="0"/>
      <w:marRight w:val="0"/>
      <w:marTop w:val="0"/>
      <w:marBottom w:val="0"/>
      <w:divBdr>
        <w:top w:val="none" w:sz="0" w:space="0" w:color="auto"/>
        <w:left w:val="none" w:sz="0" w:space="0" w:color="auto"/>
        <w:bottom w:val="none" w:sz="0" w:space="0" w:color="auto"/>
        <w:right w:val="none" w:sz="0" w:space="0" w:color="auto"/>
      </w:divBdr>
    </w:div>
    <w:div w:id="2087877784">
      <w:bodyDiv w:val="1"/>
      <w:marLeft w:val="0"/>
      <w:marRight w:val="0"/>
      <w:marTop w:val="0"/>
      <w:marBottom w:val="0"/>
      <w:divBdr>
        <w:top w:val="none" w:sz="0" w:space="0" w:color="auto"/>
        <w:left w:val="none" w:sz="0" w:space="0" w:color="auto"/>
        <w:bottom w:val="none" w:sz="0" w:space="0" w:color="auto"/>
        <w:right w:val="none" w:sz="0" w:space="0" w:color="auto"/>
      </w:divBdr>
    </w:div>
    <w:div w:id="209350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ipomex.org.mx/ipo3/lgt/indice/TENANGODELAIRE/art_92_x_a.web"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legislacion.edomex.gob.mx/sites/legislacion.edomex.gob.mx/files/files/pdf/bdo/bdo2019/bdo091.pdf"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ipomex.org.mx/ipo3/lgt/indice/TENANGODELAIRE/art_92_x_b.we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parenciapresupuestaria.gob.mx/es/PTP/Glosari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osfem.gob.mx/04_Normatividad/doc/Normatividad/2019/19.-LineamInfMensualMpal_2019.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ww.apartados.hacienda.gob.mx/contabilidad/documentos/informe_cuenta/1998/cuenta_publica/Glosario/s.ht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ipomex.org.mx/ipo3/lgt/indice/TENANGODELAIRE/art_92_viii.web" TargetMode="External"/><Relationship Id="rId14" Type="http://schemas.openxmlformats.org/officeDocument/2006/relationships/hyperlink" Target="https://www.ipomex.org.mx/ipo3/lgt/indice/TENANGODELAIRE/art_92_ix.web" TargetMode="External"/><Relationship Id="rId22" Type="http://schemas.openxmlformats.org/officeDocument/2006/relationships/hyperlink" Target="https://consultas.curp.gob.mx/CurpSP/html/informacionecurpPS.html"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Alf</b:Tag>
    <b:SourceType>Book</b:SourceType>
    <b:Guid>{6EAB2B2F-8B66-49E0-9459-8058793262E3}</b:Guid>
    <b:Author>
      <b:Author>
        <b:NameList>
          <b:Person>
            <b:Last>Alfaro Jiménez</b:Last>
            <b:First>Victor</b:First>
            <b:Middle>Manuel</b:Middle>
          </b:Person>
        </b:NameList>
      </b:Author>
    </b:Author>
    <b:Title>GLOSARIO DE TERMINOS DE DERECHO FISCAL</b:Title>
    <b:RefOrder>1</b:RefOrder>
  </b:Source>
</b:Sources>
</file>

<file path=customXml/itemProps1.xml><?xml version="1.0" encoding="utf-8"?>
<ds:datastoreItem xmlns:ds="http://schemas.openxmlformats.org/officeDocument/2006/customXml" ds:itemID="{9DF9EEA8-C14D-44DA-9128-7ED39BA03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11158</Words>
  <Characters>61371</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2019-07-01T19:57:00Z</cp:lastPrinted>
  <dcterms:created xsi:type="dcterms:W3CDTF">2019-08-23T01:45:00Z</dcterms:created>
  <dcterms:modified xsi:type="dcterms:W3CDTF">2019-08-23T01:45:00Z</dcterms:modified>
</cp:coreProperties>
</file>