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DD5C6" w14:textId="0866E5DF" w:rsidR="00544FAB" w:rsidRPr="00040391" w:rsidRDefault="004C0749" w:rsidP="001E2B06">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1B6266">
        <w:rPr>
          <w:rFonts w:ascii="Palatino Linotype" w:hAnsi="Palatino Linotype" w:cs="Arial"/>
          <w:b/>
        </w:rPr>
        <w:t>TRIGÉSIMA SEXTA</w:t>
      </w:r>
      <w:r w:rsidR="00B16800">
        <w:rPr>
          <w:rFonts w:ascii="Palatino Linotype" w:hAnsi="Palatino Linotype" w:cs="Arial"/>
          <w:b/>
        </w:rPr>
        <w:t xml:space="preserve"> </w:t>
      </w:r>
      <w:r>
        <w:rPr>
          <w:rFonts w:ascii="Palatino Linotype" w:hAnsi="Palatino Linotype" w:cs="Arial"/>
          <w:b/>
        </w:rPr>
        <w:t>SESIÓN</w:t>
      </w:r>
      <w:r w:rsidRPr="0007653D">
        <w:rPr>
          <w:rFonts w:ascii="Palatino Linotype" w:hAnsi="Palatino Linotype" w:cs="Arial"/>
          <w:b/>
        </w:rPr>
        <w:t xml:space="preserve"> ORDINARIA DE</w:t>
      </w:r>
      <w:r>
        <w:rPr>
          <w:rFonts w:ascii="Palatino Linotype" w:hAnsi="Palatino Linotype" w:cs="Arial"/>
          <w:b/>
        </w:rPr>
        <w:t>L</w:t>
      </w:r>
      <w:r w:rsidRPr="0007653D">
        <w:rPr>
          <w:rFonts w:ascii="Palatino Linotype" w:hAnsi="Palatino Linotype" w:cs="Arial"/>
          <w:b/>
        </w:rPr>
        <w:t xml:space="preserve"> </w:t>
      </w:r>
      <w:r w:rsidR="001B6266">
        <w:rPr>
          <w:rFonts w:ascii="Palatino Linotype" w:hAnsi="Palatino Linotype" w:cs="Arial"/>
          <w:b/>
        </w:rPr>
        <w:t>DOS DE OCTUBRE</w:t>
      </w:r>
      <w:r w:rsidR="00D80B0A">
        <w:rPr>
          <w:rFonts w:ascii="Palatino Linotype" w:hAnsi="Palatino Linotype" w:cs="Arial"/>
          <w:b/>
        </w:rPr>
        <w:t xml:space="preserve"> </w:t>
      </w:r>
      <w:r w:rsidR="001E2B06">
        <w:rPr>
          <w:rFonts w:ascii="Palatino Linotype" w:hAnsi="Palatino Linotype" w:cs="Arial"/>
          <w:b/>
        </w:rPr>
        <w:t>DE DOS MIL DIECINUEVE</w:t>
      </w:r>
      <w:r w:rsidR="001B6266">
        <w:rPr>
          <w:rFonts w:ascii="Palatino Linotype" w:hAnsi="Palatino Linotype" w:cs="Arial"/>
          <w:b/>
        </w:rPr>
        <w:t>, EN LOS</w:t>
      </w:r>
      <w:r w:rsidRPr="0007653D">
        <w:rPr>
          <w:rFonts w:ascii="Palatino Linotype" w:hAnsi="Palatino Linotype" w:cs="Arial"/>
          <w:b/>
        </w:rPr>
        <w:t xml:space="preserve"> RECURSO</w:t>
      </w:r>
      <w:r w:rsidR="001B6266">
        <w:rPr>
          <w:rFonts w:ascii="Palatino Linotype" w:hAnsi="Palatino Linotype" w:cs="Arial"/>
          <w:b/>
        </w:rPr>
        <w:t>S</w:t>
      </w:r>
      <w:r w:rsidRPr="0007653D">
        <w:rPr>
          <w:rFonts w:ascii="Palatino Linotype" w:hAnsi="Palatino Linotype" w:cs="Arial"/>
          <w:b/>
        </w:rPr>
        <w:t xml:space="preserve"> DE REVISIÓN </w:t>
      </w:r>
      <w:r w:rsidR="001B6266">
        <w:rPr>
          <w:rFonts w:ascii="Palatino Linotype" w:hAnsi="Palatino Linotype" w:cs="Arial"/>
          <w:b/>
        </w:rPr>
        <w:t xml:space="preserve">ACUMULADOS </w:t>
      </w:r>
      <w:r w:rsidR="001B6266" w:rsidRPr="00480ABF">
        <w:rPr>
          <w:rFonts w:ascii="Palatino Linotype" w:hAnsi="Palatino Linotype" w:cs="Arial"/>
          <w:b/>
          <w:bCs/>
        </w:rPr>
        <w:t>06469/INFOEM/IP/RR/2019</w:t>
      </w:r>
      <w:r w:rsidR="001B6266">
        <w:rPr>
          <w:rFonts w:ascii="Palatino Linotype" w:hAnsi="Palatino Linotype" w:cs="Arial"/>
          <w:b/>
          <w:bCs/>
        </w:rPr>
        <w:t xml:space="preserve"> Y</w:t>
      </w:r>
      <w:r w:rsidR="001B6266" w:rsidRPr="00480ABF">
        <w:rPr>
          <w:rFonts w:ascii="Palatino Linotype" w:hAnsi="Palatino Linotype" w:cs="Arial"/>
          <w:b/>
          <w:bCs/>
        </w:rPr>
        <w:t xml:space="preserve"> 06470/INFOEM/IP/RR/2019</w:t>
      </w:r>
      <w:r w:rsidRPr="00E42755">
        <w:rPr>
          <w:rFonts w:ascii="Palatino Linotype" w:eastAsia="Calibri" w:hAnsi="Palatino Linotype" w:cs="Arial"/>
          <w:b/>
          <w:color w:val="000000"/>
        </w:rPr>
        <w:t>.</w:t>
      </w:r>
    </w:p>
    <w:p w14:paraId="0F92F505" w14:textId="2C65878E" w:rsidR="004C0749" w:rsidRPr="00E42755" w:rsidRDefault="004C0749" w:rsidP="001E2B06">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1B6266">
        <w:rPr>
          <w:rFonts w:ascii="Palatino Linotype" w:hAnsi="Palatino Linotype" w:cs="Arial"/>
        </w:rPr>
        <w:t>o de la resolución dictada en los</w:t>
      </w:r>
      <w:r w:rsidRPr="00E42755">
        <w:rPr>
          <w:rFonts w:ascii="Palatino Linotype" w:hAnsi="Palatino Linotype" w:cs="Arial"/>
        </w:rPr>
        <w:t xml:space="preserve"> recurso</w:t>
      </w:r>
      <w:r w:rsidR="001B6266">
        <w:rPr>
          <w:rFonts w:ascii="Palatino Linotype" w:hAnsi="Palatino Linotype" w:cs="Arial"/>
        </w:rPr>
        <w:t>s</w:t>
      </w:r>
      <w:r w:rsidRPr="00E42755">
        <w:rPr>
          <w:rFonts w:ascii="Palatino Linotype" w:hAnsi="Palatino Linotype" w:cs="Arial"/>
        </w:rPr>
        <w:t xml:space="preserve"> de revisión</w:t>
      </w:r>
      <w:r w:rsidR="001B6266">
        <w:rPr>
          <w:rFonts w:ascii="Palatino Linotype" w:hAnsi="Palatino Linotype" w:cs="Arial"/>
        </w:rPr>
        <w:t xml:space="preserve"> acumulados</w:t>
      </w:r>
      <w:r w:rsidRPr="00E42755">
        <w:rPr>
          <w:rFonts w:ascii="Palatino Linotype" w:hAnsi="Palatino Linotype" w:cs="Arial"/>
        </w:rPr>
        <w:t xml:space="preserve"> </w:t>
      </w:r>
      <w:r w:rsidR="001B6266" w:rsidRPr="001B6266">
        <w:rPr>
          <w:rFonts w:ascii="Palatino Linotype" w:eastAsia="Calibri" w:hAnsi="Palatino Linotype" w:cs="Arial"/>
          <w:b/>
          <w:color w:val="000000"/>
        </w:rPr>
        <w:t>06469/INFOEM/IP/RR/2019 y 06470/INFOEM/IP/RR/2019</w:t>
      </w:r>
      <w:r w:rsidRPr="00E42755">
        <w:rPr>
          <w:rFonts w:ascii="Palatino Linotype" w:hAnsi="Palatino Linotype" w:cs="Arial"/>
        </w:rPr>
        <w:t xml:space="preserve">, pronunciada por el Pleno de este Instituto ante el proyecto presentado por </w:t>
      </w:r>
      <w:r w:rsidR="001E2B06">
        <w:rPr>
          <w:rFonts w:ascii="Palatino Linotype" w:hAnsi="Palatino Linotype" w:cs="Arial"/>
        </w:rPr>
        <w:t>el</w:t>
      </w:r>
      <w:r w:rsidRPr="00E42755">
        <w:rPr>
          <w:rFonts w:ascii="Palatino Linotype" w:hAnsi="Palatino Linotype" w:cs="Arial"/>
        </w:rPr>
        <w:t xml:space="preserve"> Comisionad</w:t>
      </w:r>
      <w:r w:rsidR="001E2B06">
        <w:rPr>
          <w:rFonts w:ascii="Palatino Linotype" w:hAnsi="Palatino Linotype" w:cs="Arial"/>
        </w:rPr>
        <w:t>o</w:t>
      </w:r>
      <w:r w:rsidR="00D76FBE">
        <w:rPr>
          <w:rFonts w:ascii="Palatino Linotype" w:hAnsi="Palatino Linotype" w:cs="Arial"/>
        </w:rPr>
        <w:t xml:space="preserve"> </w:t>
      </w:r>
      <w:r w:rsidR="00D06DEE">
        <w:rPr>
          <w:rFonts w:ascii="Palatino Linotype" w:hAnsi="Palatino Linotype" w:cs="Arial"/>
          <w:b/>
        </w:rPr>
        <w:t>JAVIER MARTÍNEZ CRUZ</w:t>
      </w:r>
      <w:r w:rsidRPr="0007653D">
        <w:rPr>
          <w:rFonts w:ascii="Palatino Linotype" w:hAnsi="Palatino Linotype" w:cs="Arial"/>
        </w:rPr>
        <w:t xml:space="preserve">, </w:t>
      </w:r>
      <w:r w:rsidR="00246C33">
        <w:rPr>
          <w:rFonts w:ascii="Palatino Linotype" w:hAnsi="Palatino Linotype" w:cs="Arial"/>
        </w:rPr>
        <w:t>que es del tenor siguiente.</w:t>
      </w:r>
    </w:p>
    <w:p w14:paraId="75A30CA2" w14:textId="5B39B6A1" w:rsidR="004C0749" w:rsidRDefault="004C0749" w:rsidP="001E2B06">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Pr="00D93A88">
        <w:rPr>
          <w:rFonts w:ascii="Palatino Linotype" w:hAnsi="Palatino Linotype"/>
        </w:rPr>
        <w:t xml:space="preserve"> necesario precisar algunas consideraciones de hecho y de derecho</w:t>
      </w:r>
      <w:r>
        <w:rPr>
          <w:rFonts w:ascii="Palatino Linotype" w:hAnsi="Palatino Linotype"/>
        </w:rPr>
        <w:t xml:space="preserve">, tocante </w:t>
      </w:r>
      <w:r w:rsidR="00D06DEE">
        <w:rPr>
          <w:rFonts w:ascii="Palatino Linotype" w:hAnsi="Palatino Linotype"/>
        </w:rPr>
        <w:t>al estudio de la presente resolución</w:t>
      </w:r>
      <w:r w:rsidRPr="00D93A88">
        <w:rPr>
          <w:rFonts w:ascii="Palatino Linotype" w:hAnsi="Palatino Linotype"/>
        </w:rPr>
        <w:t>.</w:t>
      </w:r>
    </w:p>
    <w:p w14:paraId="1D4749DD" w14:textId="58F0F3FC" w:rsidR="00B75AE2" w:rsidRDefault="004C0749" w:rsidP="001B6266">
      <w:pPr>
        <w:spacing w:before="100" w:beforeAutospacing="1" w:after="100" w:afterAutospacing="1" w:line="360" w:lineRule="auto"/>
        <w:jc w:val="both"/>
        <w:rPr>
          <w:rFonts w:ascii="Palatino Linotype" w:hAnsi="Palatino Linotype"/>
        </w:rPr>
      </w:pPr>
      <w:r w:rsidRPr="0000235C">
        <w:rPr>
          <w:rFonts w:ascii="Palatino Linotype" w:hAnsi="Palatino Linotype"/>
        </w:rPr>
        <w:t xml:space="preserve">Al respecto, tal y como quedó debidamente asentado en la resolución materia del presente voto, </w:t>
      </w:r>
      <w:r w:rsidR="00EE7D90">
        <w:rPr>
          <w:rFonts w:ascii="Palatino Linotype" w:hAnsi="Palatino Linotype"/>
        </w:rPr>
        <w:t>el</w:t>
      </w:r>
      <w:r w:rsidRPr="0000235C">
        <w:rPr>
          <w:rFonts w:ascii="Palatino Linotype" w:hAnsi="Palatino Linotype"/>
        </w:rPr>
        <w:t xml:space="preserve"> particular requirió del </w:t>
      </w:r>
      <w:r w:rsidR="001B6266" w:rsidRPr="00480ABF">
        <w:rPr>
          <w:rFonts w:ascii="Palatino Linotype" w:hAnsi="Palatino Linotype" w:cs="Arial"/>
          <w:b/>
        </w:rPr>
        <w:t>Ayuntamiento de Jocotitlán</w:t>
      </w:r>
      <w:r w:rsidR="00D80B0A">
        <w:rPr>
          <w:rFonts w:ascii="Palatino Linotype" w:hAnsi="Palatino Linotype"/>
        </w:rPr>
        <w:t>,</w:t>
      </w:r>
      <w:r w:rsidR="004272A9">
        <w:rPr>
          <w:rFonts w:ascii="Palatino Linotype" w:hAnsi="Palatino Linotype"/>
        </w:rPr>
        <w:t xml:space="preserve"> en lo subsecuente </w:t>
      </w:r>
      <w:r w:rsidR="00D80B0A">
        <w:rPr>
          <w:rFonts w:ascii="Palatino Linotype" w:hAnsi="Palatino Linotype"/>
        </w:rPr>
        <w:t xml:space="preserve"> </w:t>
      </w:r>
      <w:r w:rsidR="00D06DEE" w:rsidRPr="00D06DEE">
        <w:rPr>
          <w:rFonts w:ascii="Palatino Linotype" w:hAnsi="Palatino Linotype"/>
          <w:b/>
        </w:rPr>
        <w:t xml:space="preserve">EL </w:t>
      </w:r>
      <w:r w:rsidRPr="00130433">
        <w:rPr>
          <w:rFonts w:ascii="Palatino Linotype" w:hAnsi="Palatino Linotype"/>
          <w:b/>
        </w:rPr>
        <w:t>SUJETO OBLIGADO</w:t>
      </w:r>
      <w:r w:rsidR="003C78C8">
        <w:rPr>
          <w:rFonts w:ascii="Palatino Linotype" w:hAnsi="Palatino Linotype"/>
          <w:b/>
        </w:rPr>
        <w:t>,</w:t>
      </w:r>
      <w:r w:rsidRPr="0000235C">
        <w:rPr>
          <w:rFonts w:ascii="Palatino Linotype" w:hAnsi="Palatino Linotype"/>
        </w:rPr>
        <w:t xml:space="preserve"> vía SAIMEX, </w:t>
      </w:r>
      <w:r w:rsidR="001B6266">
        <w:rPr>
          <w:rFonts w:ascii="Palatino Linotype" w:hAnsi="Palatino Linotype"/>
        </w:rPr>
        <w:t>de los servidores públicos descritos en las solicitudes:</w:t>
      </w:r>
    </w:p>
    <w:p w14:paraId="2CE3B5FE" w14:textId="77777777" w:rsidR="001B6266" w:rsidRPr="001B6266" w:rsidRDefault="001B6266" w:rsidP="001B6266">
      <w:pPr>
        <w:pStyle w:val="Prrafodelista"/>
        <w:numPr>
          <w:ilvl w:val="0"/>
          <w:numId w:val="16"/>
        </w:numPr>
        <w:spacing w:before="240" w:after="240"/>
        <w:ind w:left="993" w:right="757"/>
        <w:contextualSpacing w:val="0"/>
        <w:jc w:val="both"/>
        <w:rPr>
          <w:rFonts w:ascii="Palatino Linotype" w:hAnsi="Palatino Linotype" w:cs="Arial"/>
          <w:i/>
          <w:sz w:val="22"/>
          <w:szCs w:val="22"/>
        </w:rPr>
      </w:pPr>
      <w:r w:rsidRPr="001B6266">
        <w:rPr>
          <w:rFonts w:ascii="Palatino Linotype" w:hAnsi="Palatino Linotype" w:cs="Arial"/>
          <w:i/>
          <w:sz w:val="22"/>
          <w:szCs w:val="22"/>
        </w:rPr>
        <w:lastRenderedPageBreak/>
        <w:t>Puesto que desempeña y si continúa activo en plantilla de empleados.</w:t>
      </w:r>
    </w:p>
    <w:p w14:paraId="36C9A558" w14:textId="77777777" w:rsidR="001B6266" w:rsidRPr="001B6266" w:rsidRDefault="001B6266" w:rsidP="001B6266">
      <w:pPr>
        <w:pStyle w:val="Prrafodelista"/>
        <w:numPr>
          <w:ilvl w:val="0"/>
          <w:numId w:val="16"/>
        </w:numPr>
        <w:spacing w:before="240" w:after="240"/>
        <w:ind w:left="993" w:right="757"/>
        <w:contextualSpacing w:val="0"/>
        <w:jc w:val="both"/>
        <w:rPr>
          <w:rFonts w:ascii="Palatino Linotype" w:hAnsi="Palatino Linotype" w:cs="Arial"/>
          <w:i/>
          <w:sz w:val="22"/>
          <w:szCs w:val="22"/>
        </w:rPr>
      </w:pPr>
      <w:r w:rsidRPr="001B6266">
        <w:rPr>
          <w:rFonts w:ascii="Palatino Linotype" w:hAnsi="Palatino Linotype" w:cs="Arial"/>
          <w:i/>
          <w:sz w:val="22"/>
          <w:szCs w:val="22"/>
        </w:rPr>
        <w:t>Fecha de ingreso</w:t>
      </w:r>
    </w:p>
    <w:p w14:paraId="70D8F32A" w14:textId="77777777" w:rsidR="001B6266" w:rsidRPr="001B6266" w:rsidRDefault="001B6266" w:rsidP="001B6266">
      <w:pPr>
        <w:pStyle w:val="Prrafodelista"/>
        <w:numPr>
          <w:ilvl w:val="0"/>
          <w:numId w:val="16"/>
        </w:numPr>
        <w:spacing w:before="240" w:after="240"/>
        <w:ind w:left="993" w:right="757"/>
        <w:contextualSpacing w:val="0"/>
        <w:jc w:val="both"/>
        <w:rPr>
          <w:rFonts w:ascii="Palatino Linotype" w:hAnsi="Palatino Linotype" w:cs="Arial"/>
          <w:i/>
          <w:sz w:val="22"/>
          <w:szCs w:val="22"/>
        </w:rPr>
      </w:pPr>
      <w:r w:rsidRPr="001B6266">
        <w:rPr>
          <w:rFonts w:ascii="Palatino Linotype" w:hAnsi="Palatino Linotype" w:cs="Arial"/>
          <w:i/>
          <w:sz w:val="22"/>
          <w:szCs w:val="22"/>
        </w:rPr>
        <w:t xml:space="preserve">Fechas en que se mantuvo activo y laborando. </w:t>
      </w:r>
    </w:p>
    <w:p w14:paraId="4DF57610" w14:textId="77777777" w:rsidR="001B6266" w:rsidRPr="001B6266" w:rsidRDefault="001B6266" w:rsidP="001B6266">
      <w:pPr>
        <w:pStyle w:val="Prrafodelista"/>
        <w:numPr>
          <w:ilvl w:val="0"/>
          <w:numId w:val="16"/>
        </w:numPr>
        <w:spacing w:before="240" w:after="240"/>
        <w:ind w:left="993" w:right="757"/>
        <w:contextualSpacing w:val="0"/>
        <w:jc w:val="both"/>
        <w:rPr>
          <w:rFonts w:ascii="Palatino Linotype" w:hAnsi="Palatino Linotype" w:cs="Arial"/>
          <w:i/>
          <w:sz w:val="22"/>
          <w:szCs w:val="22"/>
        </w:rPr>
      </w:pPr>
      <w:r w:rsidRPr="001B6266">
        <w:rPr>
          <w:rFonts w:ascii="Palatino Linotype" w:hAnsi="Palatino Linotype" w:cs="Arial"/>
          <w:i/>
          <w:sz w:val="22"/>
          <w:szCs w:val="22"/>
        </w:rPr>
        <w:t>Copia certificada y/o copia simple del Formato Único de Movimiento (FUM) o contrato.</w:t>
      </w:r>
    </w:p>
    <w:p w14:paraId="17337A33" w14:textId="77777777" w:rsidR="001B6266" w:rsidRDefault="001B6266" w:rsidP="001B6266">
      <w:pPr>
        <w:spacing w:before="100" w:beforeAutospacing="1" w:after="100" w:afterAutospacing="1" w:line="360" w:lineRule="auto"/>
        <w:jc w:val="both"/>
        <w:rPr>
          <w:rFonts w:ascii="Palatino Linotype" w:hAnsi="Palatino Linotype"/>
        </w:rPr>
      </w:pPr>
    </w:p>
    <w:p w14:paraId="6D01E49C" w14:textId="5DF53DA2" w:rsidR="00486744" w:rsidRDefault="001B6266" w:rsidP="00B75AE2">
      <w:pPr>
        <w:spacing w:line="360" w:lineRule="auto"/>
        <w:jc w:val="both"/>
        <w:rPr>
          <w:rFonts w:ascii="Palatino Linotype" w:hAnsi="Palatino Linotype" w:cs="Arial"/>
        </w:rPr>
      </w:pPr>
      <w:r w:rsidRPr="00480ABF">
        <w:rPr>
          <w:rFonts w:ascii="Palatino Linotype" w:hAnsi="Palatino Linotype" w:cs="Arial"/>
        </w:rPr>
        <w:t xml:space="preserve">Ante tales planteamientos </w:t>
      </w:r>
      <w:r w:rsidRPr="001B6266">
        <w:rPr>
          <w:rFonts w:ascii="Palatino Linotype" w:hAnsi="Palatino Linotype" w:cs="Arial"/>
          <w:b/>
        </w:rPr>
        <w:t xml:space="preserve">EL SUJETO OBLIGADO </w:t>
      </w:r>
      <w:r w:rsidRPr="00480ABF">
        <w:rPr>
          <w:rFonts w:ascii="Palatino Linotype" w:hAnsi="Palatino Linotype" w:cs="Arial"/>
        </w:rPr>
        <w:t xml:space="preserve">remitió </w:t>
      </w:r>
      <w:r>
        <w:rPr>
          <w:rFonts w:ascii="Palatino Linotype" w:hAnsi="Palatino Linotype" w:cs="Arial"/>
        </w:rPr>
        <w:t xml:space="preserve">como respuesta </w:t>
      </w:r>
      <w:r w:rsidR="00FF57A9">
        <w:rPr>
          <w:rFonts w:ascii="Palatino Linotype" w:hAnsi="Palatino Linotype" w:cs="Arial"/>
        </w:rPr>
        <w:t xml:space="preserve">los oficios TMJ/0119/2019 y </w:t>
      </w:r>
      <w:r w:rsidRPr="00480ABF">
        <w:rPr>
          <w:rFonts w:ascii="Palatino Linotype" w:hAnsi="Palatino Linotype" w:cs="Arial"/>
        </w:rPr>
        <w:t xml:space="preserve">TMJ/0117/2019, mediante el cual la Tesorera del Ayuntamiento informó las fechas de alta y baja correspondientes a las personas materia de la solicitud de información, por lo que precisó que uno de ellos actualmente no labora en el </w:t>
      </w:r>
      <w:r w:rsidR="00FF57A9">
        <w:rPr>
          <w:rFonts w:ascii="Palatino Linotype" w:hAnsi="Palatino Linotype" w:cs="Arial"/>
        </w:rPr>
        <w:t>Ayuntamiento</w:t>
      </w:r>
      <w:r w:rsidRPr="00480ABF">
        <w:rPr>
          <w:rFonts w:ascii="Palatino Linotype" w:hAnsi="Palatino Linotype" w:cs="Arial"/>
        </w:rPr>
        <w:t>.</w:t>
      </w:r>
    </w:p>
    <w:p w14:paraId="6009E7F2" w14:textId="77777777" w:rsidR="001B6266" w:rsidRDefault="001B6266" w:rsidP="00B75AE2">
      <w:pPr>
        <w:spacing w:line="360" w:lineRule="auto"/>
        <w:jc w:val="both"/>
        <w:rPr>
          <w:rFonts w:ascii="Palatino Linotype" w:hAnsi="Palatino Linotype"/>
        </w:rPr>
      </w:pPr>
    </w:p>
    <w:p w14:paraId="7CAC32D9" w14:textId="760181AA" w:rsidR="00486744" w:rsidRDefault="00486744" w:rsidP="00B75AE2">
      <w:pPr>
        <w:spacing w:line="360" w:lineRule="auto"/>
        <w:jc w:val="both"/>
        <w:rPr>
          <w:rFonts w:ascii="Palatino Linotype" w:hAnsi="Palatino Linotype"/>
        </w:rPr>
      </w:pPr>
      <w:r>
        <w:rPr>
          <w:rFonts w:ascii="Palatino Linotype" w:hAnsi="Palatino Linotype"/>
        </w:rPr>
        <w:t xml:space="preserve">Inconforme con la respuesta otorgada, el particular procedió a interponer el recurso de revisión de mérito señalando principalmente como razones y motivos de inconformidad </w:t>
      </w:r>
      <w:r w:rsidR="001B6266">
        <w:rPr>
          <w:rFonts w:ascii="Palatino Linotype" w:hAnsi="Palatino Linotype" w:cs="Arial"/>
        </w:rPr>
        <w:t xml:space="preserve">que </w:t>
      </w:r>
      <w:r w:rsidR="001B6266" w:rsidRPr="00480ABF">
        <w:rPr>
          <w:rFonts w:ascii="Palatino Linotype" w:hAnsi="Palatino Linotype" w:cs="Arial"/>
        </w:rPr>
        <w:t>existían otras fechas en las cuales habían sido dados de alta los servidores públicos referidos, por lo cual argumentó que conforme a los registros del ISSEMYM existían altas en 2014 y 2013 respectivamente.</w:t>
      </w:r>
      <w:r>
        <w:rPr>
          <w:rFonts w:ascii="Palatino Linotype" w:hAnsi="Palatino Linotype"/>
        </w:rPr>
        <w:t>.</w:t>
      </w:r>
    </w:p>
    <w:p w14:paraId="1A8A06D4" w14:textId="070628C2" w:rsidR="00B75AE2" w:rsidRDefault="004C0749" w:rsidP="00B75AE2">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Así, del estudio </w:t>
      </w:r>
      <w:r w:rsidR="00DC7173">
        <w:rPr>
          <w:rFonts w:ascii="Palatino Linotype" w:hAnsi="Palatino Linotype" w:cs="Arial"/>
        </w:rPr>
        <w:t>realizado al</w:t>
      </w:r>
      <w:r>
        <w:rPr>
          <w:rFonts w:ascii="Palatino Linotype" w:hAnsi="Palatino Linotype"/>
        </w:rPr>
        <w:t xml:space="preserve"> </w:t>
      </w:r>
      <w:r w:rsidRPr="00A01905">
        <w:rPr>
          <w:rFonts w:ascii="Palatino Linotype" w:hAnsi="Palatino Linotype"/>
        </w:rPr>
        <w:t>expediente electrónico del SAIMEX</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4272A9">
        <w:rPr>
          <w:rFonts w:ascii="Palatino Linotype" w:hAnsi="Palatino Linotype" w:cs="Arial"/>
          <w:b/>
        </w:rPr>
        <w:t>MODIFICAR</w:t>
      </w:r>
      <w:r>
        <w:rPr>
          <w:rFonts w:ascii="Palatino Linotype" w:hAnsi="Palatino Linotype" w:cs="Arial"/>
        </w:rPr>
        <w:t xml:space="preserve"> </w:t>
      </w:r>
      <w:r w:rsidR="00A8294E">
        <w:rPr>
          <w:rFonts w:ascii="Palatino Linotype" w:hAnsi="Palatino Linotype" w:cs="Arial"/>
        </w:rPr>
        <w:t xml:space="preserve">la respuesta, ordenándole al </w:t>
      </w:r>
      <w:r w:rsidR="00A8294E" w:rsidRPr="00A8294E">
        <w:rPr>
          <w:rFonts w:ascii="Palatino Linotype" w:hAnsi="Palatino Linotype" w:cs="Arial"/>
          <w:b/>
        </w:rPr>
        <w:t>SUJETO OBLIGADO</w:t>
      </w:r>
      <w:r w:rsidR="00A8294E">
        <w:rPr>
          <w:rFonts w:ascii="Palatino Linotype" w:hAnsi="Palatino Linotype" w:cs="Arial"/>
          <w:b/>
        </w:rPr>
        <w:t xml:space="preserve">, </w:t>
      </w:r>
      <w:r w:rsidR="001B6266" w:rsidRPr="00480ABF">
        <w:rPr>
          <w:rFonts w:ascii="Palatino Linotype" w:hAnsi="Palatino Linotype" w:cs="Arial"/>
          <w:bCs/>
          <w:shd w:val="clear" w:color="auto" w:fill="FFFFFF"/>
        </w:rPr>
        <w:t xml:space="preserve">que en términos de los Considerandos Cuarto </w:t>
      </w:r>
      <w:r w:rsidR="001B6266" w:rsidRPr="003C78C8">
        <w:rPr>
          <w:rFonts w:ascii="Palatino Linotype" w:hAnsi="Palatino Linotype" w:cs="Arial"/>
        </w:rPr>
        <w:t>y Quinto</w:t>
      </w:r>
      <w:r w:rsidR="003C78C8" w:rsidRPr="003C78C8">
        <w:rPr>
          <w:rFonts w:ascii="Palatino Linotype" w:hAnsi="Palatino Linotype" w:cs="Arial"/>
        </w:rPr>
        <w:t xml:space="preserve"> de la</w:t>
      </w:r>
      <w:r w:rsidR="001B6266" w:rsidRPr="003C78C8">
        <w:rPr>
          <w:rFonts w:ascii="Palatino Linotype" w:hAnsi="Palatino Linotype" w:cs="Arial"/>
        </w:rPr>
        <w:t xml:space="preserve"> resolución</w:t>
      </w:r>
      <w:r w:rsidR="001B6266">
        <w:rPr>
          <w:rFonts w:ascii="Palatino Linotype" w:hAnsi="Palatino Linotype" w:cs="Arial"/>
          <w:bCs/>
          <w:shd w:val="clear" w:color="auto" w:fill="FFFFFF"/>
        </w:rPr>
        <w:t xml:space="preserve"> </w:t>
      </w:r>
      <w:r w:rsidR="001B6266">
        <w:rPr>
          <w:rFonts w:ascii="Palatino Linotype" w:hAnsi="Palatino Linotype" w:cs="Arial"/>
          <w:bCs/>
          <w:shd w:val="clear" w:color="auto" w:fill="FFFFFF"/>
        </w:rPr>
        <w:lastRenderedPageBreak/>
        <w:t>de mérito</w:t>
      </w:r>
      <w:r w:rsidR="001B6266" w:rsidRPr="00480ABF">
        <w:rPr>
          <w:rFonts w:ascii="Palatino Linotype" w:hAnsi="Palatino Linotype" w:cs="Arial"/>
          <w:bCs/>
          <w:shd w:val="clear" w:color="auto" w:fill="FFFFFF"/>
        </w:rPr>
        <w:t>, haga entrega vía SAIMEX, previa búsqueda exhaustiva y razonable, del año 2013 a 2019, en versión pública de lo siguiente</w:t>
      </w:r>
      <w:r w:rsidR="00A8294E">
        <w:rPr>
          <w:rFonts w:ascii="Palatino Linotype" w:hAnsi="Palatino Linotype" w:cs="Arial"/>
        </w:rPr>
        <w:t>:</w:t>
      </w:r>
    </w:p>
    <w:p w14:paraId="449C4A26" w14:textId="77777777" w:rsidR="001B6266" w:rsidRPr="001B6266" w:rsidRDefault="001B6266" w:rsidP="001B6266">
      <w:pPr>
        <w:pStyle w:val="Prrafodelista"/>
        <w:numPr>
          <w:ilvl w:val="0"/>
          <w:numId w:val="17"/>
        </w:numPr>
        <w:spacing w:before="240" w:after="240"/>
        <w:ind w:left="851" w:right="757"/>
        <w:contextualSpacing w:val="0"/>
        <w:jc w:val="both"/>
        <w:rPr>
          <w:rFonts w:ascii="Palatino Linotype" w:hAnsi="Palatino Linotype" w:cs="Arial"/>
          <w:i/>
          <w:sz w:val="22"/>
          <w:szCs w:val="22"/>
        </w:rPr>
      </w:pPr>
      <w:r w:rsidRPr="001B6266">
        <w:rPr>
          <w:rFonts w:ascii="Palatino Linotype" w:hAnsi="Palatino Linotype" w:cs="Arial"/>
          <w:i/>
          <w:sz w:val="22"/>
          <w:szCs w:val="22"/>
        </w:rPr>
        <w:t xml:space="preserve">Documentos en donde consten las fechas de alta y baja del servidor público referido en la solicitud de información 00074/JOCOTIT/IP/2019. </w:t>
      </w:r>
    </w:p>
    <w:p w14:paraId="3AD55B49" w14:textId="77777777" w:rsidR="001B6266" w:rsidRPr="001B6266" w:rsidRDefault="001B6266" w:rsidP="001B6266">
      <w:pPr>
        <w:pStyle w:val="Prrafodelista"/>
        <w:numPr>
          <w:ilvl w:val="0"/>
          <w:numId w:val="17"/>
        </w:numPr>
        <w:spacing w:before="240" w:after="240"/>
        <w:ind w:left="851" w:right="757"/>
        <w:contextualSpacing w:val="0"/>
        <w:jc w:val="both"/>
        <w:rPr>
          <w:rFonts w:ascii="Palatino Linotype" w:hAnsi="Palatino Linotype" w:cs="Arial"/>
          <w:i/>
          <w:sz w:val="22"/>
          <w:szCs w:val="22"/>
        </w:rPr>
      </w:pPr>
      <w:r w:rsidRPr="001B6266">
        <w:rPr>
          <w:rFonts w:ascii="Palatino Linotype" w:hAnsi="Palatino Linotype" w:cs="Arial"/>
          <w:i/>
          <w:sz w:val="22"/>
          <w:szCs w:val="22"/>
        </w:rPr>
        <w:t>Documentos en donde consten las fechas de alta y baja del servidor público referido en la solicitud de información 00073/JOCOTIT/IP/2019.</w:t>
      </w:r>
    </w:p>
    <w:p w14:paraId="261BE44D" w14:textId="77777777" w:rsidR="001B6266" w:rsidRPr="001B6266" w:rsidRDefault="001B6266" w:rsidP="001B6266">
      <w:pPr>
        <w:spacing w:after="240"/>
        <w:ind w:left="851" w:right="757"/>
        <w:jc w:val="both"/>
        <w:rPr>
          <w:rFonts w:ascii="Palatino Linotype" w:hAnsi="Palatino Linotype"/>
          <w:i/>
          <w:sz w:val="22"/>
          <w:szCs w:val="22"/>
        </w:rPr>
      </w:pPr>
      <w:r w:rsidRPr="001B6266">
        <w:rPr>
          <w:rFonts w:ascii="Palatino Linotype" w:hAnsi="Palatino Linotype"/>
          <w:i/>
          <w:sz w:val="22"/>
          <w:szCs w:val="22"/>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17121D37" w14:textId="77777777" w:rsidR="001B6266" w:rsidRPr="001B6266" w:rsidRDefault="001B6266" w:rsidP="001B6266">
      <w:pPr>
        <w:spacing w:after="240"/>
        <w:ind w:left="851" w:right="757"/>
        <w:jc w:val="both"/>
        <w:rPr>
          <w:rFonts w:ascii="Palatino Linotype" w:hAnsi="Palatino Linotype"/>
          <w:i/>
          <w:color w:val="000000"/>
          <w:sz w:val="22"/>
          <w:szCs w:val="22"/>
        </w:rPr>
      </w:pPr>
      <w:r w:rsidRPr="001B6266">
        <w:rPr>
          <w:rFonts w:ascii="Palatino Linotype" w:hAnsi="Palatino Linotype"/>
          <w:i/>
          <w:sz w:val="22"/>
          <w:szCs w:val="22"/>
        </w:rPr>
        <w:t>En el supuesto, que la información ordenada en el numeral 2 no obre en los archivos del Sujeto Obligado</w:t>
      </w:r>
      <w:r w:rsidRPr="001B6266">
        <w:rPr>
          <w:rFonts w:ascii="Palatino Linotype" w:hAnsi="Palatino Linotype" w:cs="Arial"/>
          <w:i/>
          <w:sz w:val="22"/>
          <w:szCs w:val="22"/>
        </w:rPr>
        <w:t xml:space="preserve">, </w:t>
      </w:r>
      <w:r w:rsidRPr="001B6266">
        <w:rPr>
          <w:rFonts w:ascii="Palatino Linotype" w:hAnsi="Palatino Linotype"/>
          <w:i/>
          <w:color w:val="000000"/>
          <w:sz w:val="22"/>
          <w:szCs w:val="22"/>
        </w:rPr>
        <w:t>el Comité de Transparencia deberá emitir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14:paraId="1B0868CC" w14:textId="2CF78626" w:rsidR="00B75AE2" w:rsidRPr="001B6266" w:rsidRDefault="001B6266" w:rsidP="001B6266">
      <w:pPr>
        <w:tabs>
          <w:tab w:val="left" w:pos="8080"/>
        </w:tabs>
        <w:spacing w:before="240" w:after="120"/>
        <w:ind w:left="851" w:right="757"/>
        <w:jc w:val="both"/>
        <w:rPr>
          <w:rFonts w:ascii="Palatino Linotype" w:hAnsi="Palatino Linotype" w:cs="Arial"/>
          <w:i/>
          <w:sz w:val="22"/>
          <w:szCs w:val="22"/>
        </w:rPr>
      </w:pPr>
      <w:r w:rsidRPr="001B6266">
        <w:rPr>
          <w:rFonts w:ascii="Palatino Linotype" w:hAnsi="Palatino Linotype"/>
          <w:i/>
          <w:sz w:val="22"/>
          <w:szCs w:val="22"/>
        </w:rPr>
        <w:t>De ser el caso, que no se localice la información ordenada en el numeral 1, bastará con que se haga del conocimiento del particular al momento de dar cumplimiento a la resolución.</w:t>
      </w:r>
    </w:p>
    <w:p w14:paraId="11A00A9A" w14:textId="77777777" w:rsidR="00A8294E" w:rsidRPr="00A8294E" w:rsidRDefault="00A8294E" w:rsidP="00A8294E">
      <w:pPr>
        <w:tabs>
          <w:tab w:val="left" w:pos="8080"/>
        </w:tabs>
        <w:spacing w:before="240" w:after="120"/>
        <w:ind w:left="709" w:right="757"/>
        <w:jc w:val="both"/>
        <w:rPr>
          <w:rFonts w:ascii="Palatino Linotype" w:hAnsi="Palatino Linotype" w:cs="Arial"/>
          <w:i/>
          <w:sz w:val="22"/>
          <w:szCs w:val="22"/>
        </w:rPr>
      </w:pPr>
    </w:p>
    <w:p w14:paraId="2AC30610" w14:textId="6B7D0EBB" w:rsidR="004C0749" w:rsidRPr="003303A4" w:rsidRDefault="004C0749" w:rsidP="001E2B06">
      <w:pPr>
        <w:spacing w:before="100" w:beforeAutospacing="1" w:after="100" w:afterAutospacing="1" w:line="360" w:lineRule="auto"/>
        <w:jc w:val="both"/>
        <w:rPr>
          <w:rFonts w:ascii="Palatino Linotype" w:hAnsi="Palatino Linotype" w:cs="Arial"/>
          <w:lang w:val="es-MX"/>
        </w:rPr>
      </w:pPr>
      <w:r w:rsidRPr="001D3F57">
        <w:rPr>
          <w:rFonts w:ascii="Palatino Linotype" w:hAnsi="Palatino Linotype" w:cs="Arial"/>
          <w:lang w:val="es-MX"/>
        </w:rPr>
        <w:t xml:space="preserve">En ese sentido, la que suscribe reitera, que si bien coincide en términos generales </w:t>
      </w:r>
      <w:r>
        <w:rPr>
          <w:rFonts w:ascii="Palatino Linotype" w:hAnsi="Palatino Linotype" w:cs="Arial"/>
          <w:lang w:val="es-MX"/>
        </w:rPr>
        <w:t>con</w:t>
      </w:r>
      <w:r w:rsidRPr="001D3F57">
        <w:rPr>
          <w:rFonts w:ascii="Palatino Linotype" w:hAnsi="Palatino Linotype" w:cs="Arial"/>
          <w:lang w:val="es-MX"/>
        </w:rPr>
        <w:t xml:space="preserve"> el estudio de la resolución en comento, </w:t>
      </w:r>
      <w:r w:rsidR="0087259C">
        <w:rPr>
          <w:rFonts w:ascii="Palatino Linotype" w:hAnsi="Palatino Linotype" w:cs="Arial"/>
          <w:lang w:val="es-MX"/>
        </w:rPr>
        <w:t xml:space="preserve">considero que </w:t>
      </w:r>
      <w:r w:rsidR="00A8294E">
        <w:rPr>
          <w:rFonts w:ascii="Palatino Linotype" w:hAnsi="Palatino Linotype" w:cs="Arial"/>
          <w:lang w:val="es-MX"/>
        </w:rPr>
        <w:t>no aplica la salvedad redactada en r</w:t>
      </w:r>
      <w:r w:rsidR="00B47923">
        <w:rPr>
          <w:rFonts w:ascii="Palatino Linotype" w:hAnsi="Palatino Linotype" w:cs="Arial"/>
          <w:lang w:val="es-MX"/>
        </w:rPr>
        <w:t>esolutivos por lo que hace al d</w:t>
      </w:r>
      <w:r w:rsidR="00B47923" w:rsidRPr="00B47923">
        <w:rPr>
          <w:rFonts w:ascii="Palatino Linotype" w:hAnsi="Palatino Linotype" w:cs="Arial"/>
          <w:lang w:val="es-MX"/>
        </w:rPr>
        <w:t xml:space="preserve">ocumentos en donde consten las fechas de alta y baja del servidor público referido en la solicitud de información </w:t>
      </w:r>
      <w:r w:rsidR="00B47923">
        <w:rPr>
          <w:rFonts w:ascii="Palatino Linotype" w:hAnsi="Palatino Linotype" w:cs="Arial"/>
          <w:lang w:val="es-MX"/>
        </w:rPr>
        <w:t xml:space="preserve">00074/JOCOTIT/IP/2019, </w:t>
      </w:r>
      <w:r w:rsidR="00B47923">
        <w:rPr>
          <w:rFonts w:ascii="Palatino Linotype" w:hAnsi="Palatino Linotype" w:cs="Arial"/>
          <w:lang w:val="es-MX"/>
        </w:rPr>
        <w:lastRenderedPageBreak/>
        <w:t>sino</w:t>
      </w:r>
      <w:r w:rsidR="00D11C6F">
        <w:rPr>
          <w:rFonts w:ascii="Palatino Linotype" w:hAnsi="Palatino Linotype" w:cs="Arial"/>
          <w:lang w:val="es-MX"/>
        </w:rPr>
        <w:t xml:space="preserve"> haber precisado que lo procedente </w:t>
      </w:r>
      <w:r w:rsidR="006F5374">
        <w:rPr>
          <w:rFonts w:ascii="Palatino Linotype" w:hAnsi="Palatino Linotype" w:cs="Arial"/>
          <w:lang w:val="es-MX"/>
        </w:rPr>
        <w:t xml:space="preserve">en el caso de no contar con esta, era emitir </w:t>
      </w:r>
      <w:r w:rsidR="00AF4583">
        <w:rPr>
          <w:rFonts w:ascii="Palatino Linotype" w:hAnsi="Palatino Linotype" w:cs="Arial"/>
          <w:lang w:val="es-MX"/>
        </w:rPr>
        <w:t>el Acuerdo de Inexistencia.</w:t>
      </w:r>
    </w:p>
    <w:p w14:paraId="6654B0D1" w14:textId="50A97F8A" w:rsidR="00100C82" w:rsidRDefault="0007754C" w:rsidP="006F5374">
      <w:pPr>
        <w:spacing w:before="240" w:after="240" w:line="360" w:lineRule="auto"/>
        <w:jc w:val="both"/>
        <w:rPr>
          <w:rFonts w:ascii="Palatino Linotype" w:hAnsi="Palatino Linotype"/>
        </w:rPr>
      </w:pPr>
      <w:r>
        <w:rPr>
          <w:rFonts w:ascii="Palatino Linotype" w:hAnsi="Palatino Linotype" w:cs="Arial"/>
          <w:lang w:val="es-MX"/>
        </w:rPr>
        <w:t xml:space="preserve">Lo anterior obedece a </w:t>
      </w:r>
      <w:r w:rsidR="00E61EAA" w:rsidRPr="003422BB">
        <w:rPr>
          <w:rFonts w:ascii="Palatino Linotype" w:hAnsi="Palatino Linotype"/>
        </w:rPr>
        <w:t>que</w:t>
      </w:r>
      <w:r>
        <w:rPr>
          <w:rFonts w:ascii="Palatino Linotype" w:hAnsi="Palatino Linotype"/>
        </w:rPr>
        <w:t>,</w:t>
      </w:r>
      <w:r w:rsidR="00E61EAA" w:rsidRPr="003422BB">
        <w:rPr>
          <w:rFonts w:ascii="Palatino Linotype" w:hAnsi="Palatino Linotype"/>
        </w:rPr>
        <w:t xml:space="preserve"> </w:t>
      </w:r>
      <w:r w:rsidR="00AF4583">
        <w:rPr>
          <w:rFonts w:ascii="Palatino Linotype" w:hAnsi="Palatino Linotype"/>
        </w:rPr>
        <w:t xml:space="preserve">se advierte dentro de las constancias que obran dentro del SAIMEX, que </w:t>
      </w:r>
      <w:r w:rsidR="00AF4583" w:rsidRPr="00AF4583">
        <w:rPr>
          <w:rFonts w:ascii="Palatino Linotype" w:hAnsi="Palatino Linotype"/>
          <w:b/>
        </w:rPr>
        <w:t>EL SUJETO OBLIGADO</w:t>
      </w:r>
      <w:r w:rsidR="00AF4583">
        <w:rPr>
          <w:rFonts w:ascii="Palatino Linotype" w:hAnsi="Palatino Linotype"/>
          <w:b/>
        </w:rPr>
        <w:t xml:space="preserve">, </w:t>
      </w:r>
      <w:r w:rsidR="00AF4583">
        <w:rPr>
          <w:rFonts w:ascii="Palatino Linotype" w:hAnsi="Palatino Linotype"/>
        </w:rPr>
        <w:t xml:space="preserve">al momento </w:t>
      </w:r>
      <w:r w:rsidR="006F5374">
        <w:rPr>
          <w:rFonts w:ascii="Palatino Linotype" w:hAnsi="Palatino Linotype"/>
        </w:rPr>
        <w:t xml:space="preserve">de emitir su respuesta </w:t>
      </w:r>
      <w:r w:rsidR="00AF4583">
        <w:rPr>
          <w:rFonts w:ascii="Palatino Linotype" w:hAnsi="Palatino Linotype"/>
        </w:rPr>
        <w:t xml:space="preserve">manifestó que </w:t>
      </w:r>
      <w:r w:rsidR="00B47923">
        <w:rPr>
          <w:rFonts w:ascii="Palatino Linotype" w:hAnsi="Palatino Linotype"/>
        </w:rPr>
        <w:t xml:space="preserve">efectivamente afirmó que de los servidores públicos mencionados </w:t>
      </w:r>
      <w:r w:rsidR="00E63D4C">
        <w:rPr>
          <w:rFonts w:ascii="Palatino Linotype" w:hAnsi="Palatino Linotype"/>
        </w:rPr>
        <w:t xml:space="preserve">uno de ellos ya había formado parte del Ayuntamiento con anterioridad y recientemente volvió a integrarse dentro del mismo, mientras que por otro lado, se informó que el segundo servidor público referido en la solicitud actualmente no se encontraba laborando dentro del </w:t>
      </w:r>
      <w:r w:rsidR="00E63D4C" w:rsidRPr="00E63D4C">
        <w:rPr>
          <w:rFonts w:ascii="Palatino Linotype" w:hAnsi="Palatino Linotype"/>
          <w:b/>
        </w:rPr>
        <w:t>SUJETO OBLIGADO</w:t>
      </w:r>
      <w:r w:rsidR="00E63D4C">
        <w:rPr>
          <w:rFonts w:ascii="Palatino Linotype" w:hAnsi="Palatino Linotype"/>
          <w:b/>
        </w:rPr>
        <w:t>.</w:t>
      </w:r>
    </w:p>
    <w:p w14:paraId="567C876E" w14:textId="34ADF57D" w:rsidR="00777514" w:rsidRPr="003C78C8" w:rsidRDefault="00E63D4C" w:rsidP="003C78C8">
      <w:pPr>
        <w:spacing w:line="360" w:lineRule="auto"/>
        <w:jc w:val="both"/>
      </w:pPr>
      <w:r w:rsidRPr="003C78C8">
        <w:rPr>
          <w:rFonts w:ascii="Palatino Linotype" w:hAnsi="Palatino Linotype"/>
        </w:rPr>
        <w:t xml:space="preserve">Es de las aseveraciones anteriormente señaladas, que se puede advertir que </w:t>
      </w:r>
      <w:r w:rsidRPr="003C78C8">
        <w:rPr>
          <w:rFonts w:ascii="Palatino Linotype" w:hAnsi="Palatino Linotype"/>
          <w:b/>
        </w:rPr>
        <w:t>EL SUJETO OBLIGADO</w:t>
      </w:r>
      <w:r w:rsidRPr="003C78C8">
        <w:rPr>
          <w:rFonts w:ascii="Palatino Linotype" w:hAnsi="Palatino Linotype"/>
        </w:rPr>
        <w:t xml:space="preserve"> debe contar con el registro de alta y baja de los servidores públicos en cuestión, toda vez que se encuentran constreñidos por el Órgano Superior de Fiscalización del Estado de México</w:t>
      </w:r>
      <w:r w:rsidR="00777514" w:rsidRPr="003C78C8">
        <w:rPr>
          <w:rFonts w:ascii="Palatino Linotype" w:hAnsi="Palatino Linotype"/>
        </w:rPr>
        <w:t>, es así que de conformidad con los Lineamientos para la Entrega del Informe Mensual Municipal correspondiente a los años 2013 y 2014, emitidos en términos de los artículo 32 de la Ley de Fiscalización Superior del Estado de México y 350 del Código Financiero del Estado de México, en la integración de los Discos 4 se presentará, el reporte de altas y bajas de personal, que a manera de ejemplo se inserta el siguiente:</w:t>
      </w:r>
    </w:p>
    <w:p w14:paraId="026471BD" w14:textId="77777777" w:rsidR="00777514" w:rsidRPr="00480ABF" w:rsidRDefault="00777514" w:rsidP="00777514">
      <w:pPr>
        <w:shd w:val="clear" w:color="auto" w:fill="FFFFFF"/>
        <w:spacing w:before="240" w:after="240" w:line="360" w:lineRule="auto"/>
        <w:jc w:val="both"/>
        <w:rPr>
          <w:rFonts w:ascii="Palatino Linotype" w:hAnsi="Palatino Linotype"/>
          <w:color w:val="000000"/>
        </w:rPr>
      </w:pPr>
      <w:r w:rsidRPr="00480ABF">
        <w:rPr>
          <w:noProof/>
          <w:lang w:val="es-MX" w:eastAsia="es-MX"/>
        </w:rPr>
        <w:lastRenderedPageBreak/>
        <w:drawing>
          <wp:anchor distT="0" distB="0" distL="114300" distR="114300" simplePos="0" relativeHeight="251660288" behindDoc="1" locked="0" layoutInCell="1" allowOverlap="1" wp14:anchorId="6638621F" wp14:editId="7B1946EF">
            <wp:simplePos x="0" y="0"/>
            <wp:positionH relativeFrom="margin">
              <wp:align>left</wp:align>
            </wp:positionH>
            <wp:positionV relativeFrom="paragraph">
              <wp:posOffset>3326765</wp:posOffset>
            </wp:positionV>
            <wp:extent cx="5543550" cy="24098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543550" cy="2409825"/>
                    </a:xfrm>
                    <a:prstGeom prst="rect">
                      <a:avLst/>
                    </a:prstGeom>
                  </pic:spPr>
                </pic:pic>
              </a:graphicData>
            </a:graphic>
            <wp14:sizeRelH relativeFrom="margin">
              <wp14:pctWidth>0</wp14:pctWidth>
            </wp14:sizeRelH>
            <wp14:sizeRelV relativeFrom="margin">
              <wp14:pctHeight>0</wp14:pctHeight>
            </wp14:sizeRelV>
          </wp:anchor>
        </w:drawing>
      </w:r>
      <w:r w:rsidRPr="00480ABF">
        <w:rPr>
          <w:noProof/>
          <w:lang w:val="es-MX" w:eastAsia="es-MX"/>
        </w:rPr>
        <mc:AlternateContent>
          <mc:Choice Requires="wps">
            <w:drawing>
              <wp:anchor distT="0" distB="0" distL="114300" distR="114300" simplePos="0" relativeHeight="251659264" behindDoc="0" locked="0" layoutInCell="1" allowOverlap="1" wp14:anchorId="0CCA6AC1" wp14:editId="4C6E2C14">
                <wp:simplePos x="0" y="0"/>
                <wp:positionH relativeFrom="margin">
                  <wp:align>left</wp:align>
                </wp:positionH>
                <wp:positionV relativeFrom="paragraph">
                  <wp:posOffset>2507615</wp:posOffset>
                </wp:positionV>
                <wp:extent cx="5543550" cy="285750"/>
                <wp:effectExtent l="76200" t="38100" r="76200" b="114300"/>
                <wp:wrapNone/>
                <wp:docPr id="2" name="Rectángulo 2"/>
                <wp:cNvGraphicFramePr/>
                <a:graphic xmlns:a="http://schemas.openxmlformats.org/drawingml/2006/main">
                  <a:graphicData uri="http://schemas.microsoft.com/office/word/2010/wordprocessingShape">
                    <wps:wsp>
                      <wps:cNvSpPr/>
                      <wps:spPr>
                        <a:xfrm>
                          <a:off x="0" y="0"/>
                          <a:ext cx="5543550" cy="285750"/>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68EEDE" id="Rectángulo 2" o:spid="_x0000_s1026" style="position:absolute;margin-left:0;margin-top:197.45pt;width:436.5pt;height:22.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" filled="f" strokecolor="red" strokeweight="4.5pt">
                <v:shadow on="t" color="black" opacity="22937f" origin=",.5" offset="0,.63889mm"/>
                <w10:wrap anchorx="margin"/>
              </v:rect>
            </w:pict>
          </mc:Fallback>
        </mc:AlternateContent>
      </w:r>
      <w:r w:rsidRPr="00480ABF">
        <w:rPr>
          <w:noProof/>
          <w:lang w:val="es-MX" w:eastAsia="es-MX"/>
        </w:rPr>
        <w:drawing>
          <wp:inline distT="0" distB="0" distL="0" distR="0" wp14:anchorId="399DDD6C" wp14:editId="7844501F">
            <wp:extent cx="5612130" cy="32575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257550"/>
                    </a:xfrm>
                    <a:prstGeom prst="rect">
                      <a:avLst/>
                    </a:prstGeom>
                  </pic:spPr>
                </pic:pic>
              </a:graphicData>
            </a:graphic>
          </wp:inline>
        </w:drawing>
      </w:r>
    </w:p>
    <w:p w14:paraId="626C0CEA" w14:textId="48680D55" w:rsidR="00777514" w:rsidRDefault="00777514" w:rsidP="00777514">
      <w:pPr>
        <w:rPr>
          <w:rFonts w:ascii="Palatino Linotype" w:hAnsi="Palatino Linotype"/>
          <w:color w:val="000000"/>
        </w:rPr>
      </w:pPr>
      <w:r w:rsidRPr="00480ABF">
        <w:rPr>
          <w:rFonts w:ascii="Palatino Linotype" w:hAnsi="Palatino Linotype"/>
          <w:color w:val="000000"/>
        </w:rPr>
        <w:br w:type="page"/>
      </w:r>
    </w:p>
    <w:p w14:paraId="6D852045" w14:textId="2AB1A065" w:rsidR="00100C82" w:rsidRPr="003E7669" w:rsidRDefault="00100C82" w:rsidP="00100C82">
      <w:pPr>
        <w:spacing w:line="360" w:lineRule="auto"/>
        <w:jc w:val="both"/>
        <w:rPr>
          <w:rFonts w:ascii="Palatino Linotype" w:hAnsi="Palatino Linotype"/>
          <w:color w:val="222222"/>
          <w:lang w:val="es-MX" w:eastAsia="es-MX"/>
        </w:rPr>
      </w:pPr>
      <w:r w:rsidRPr="003E7669">
        <w:rPr>
          <w:rFonts w:ascii="Palatino Linotype" w:hAnsi="Palatino Linotype" w:cs="Arial"/>
          <w:lang w:val="es-MX"/>
        </w:rPr>
        <w:lastRenderedPageBreak/>
        <w:t xml:space="preserve">Derivado de lo anterior, es claro que </w:t>
      </w:r>
      <w:r w:rsidRPr="003E7669">
        <w:rPr>
          <w:rFonts w:ascii="Palatino Linotype" w:hAnsi="Palatino Linotype" w:cs="Arial"/>
          <w:b/>
          <w:lang w:val="es-MX"/>
        </w:rPr>
        <w:t>EL SUJETO OBLIGADO</w:t>
      </w:r>
      <w:r w:rsidRPr="003E7669">
        <w:rPr>
          <w:rFonts w:ascii="Palatino Linotype" w:hAnsi="Palatino Linotype" w:cs="Arial"/>
          <w:lang w:val="es-MX"/>
        </w:rPr>
        <w:t xml:space="preserve"> está </w:t>
      </w:r>
      <w:r w:rsidR="00777514">
        <w:rPr>
          <w:rFonts w:ascii="Palatino Linotype" w:hAnsi="Palatino Linotype" w:cs="Arial"/>
          <w:lang w:val="es-MX"/>
        </w:rPr>
        <w:t>obligado</w:t>
      </w:r>
      <w:r w:rsidRPr="003E7669">
        <w:rPr>
          <w:rFonts w:ascii="Palatino Linotype" w:hAnsi="Palatino Linotype" w:cs="Arial"/>
          <w:lang w:val="es-MX"/>
        </w:rPr>
        <w:t xml:space="preserve"> a contar con la información; por lo que debieron precisarse los argumentos descritos con anterioridad en el estudio y resolutivos de la resolución</w:t>
      </w:r>
      <w:r>
        <w:rPr>
          <w:rFonts w:ascii="Palatino Linotype" w:hAnsi="Palatino Linotype" w:cs="Arial"/>
          <w:lang w:val="es-MX"/>
        </w:rPr>
        <w:t xml:space="preserve">, así como haber ordenado el Acuerdo de Inexistencia emitido por el Comité de Transparencia del </w:t>
      </w:r>
      <w:r w:rsidRPr="00100C82">
        <w:rPr>
          <w:rFonts w:ascii="Palatino Linotype" w:hAnsi="Palatino Linotype" w:cs="Arial"/>
          <w:b/>
          <w:lang w:val="es-MX"/>
        </w:rPr>
        <w:t>SUJETO OBLIGADO</w:t>
      </w:r>
      <w:r w:rsidRPr="003E7669">
        <w:rPr>
          <w:rFonts w:ascii="Palatino Linotype" w:hAnsi="Palatino Linotype" w:cs="Arial"/>
        </w:rPr>
        <w:t>.</w:t>
      </w:r>
    </w:p>
    <w:p w14:paraId="2733EA02" w14:textId="77777777" w:rsidR="00100C82" w:rsidRPr="003E7669" w:rsidRDefault="00100C82" w:rsidP="00100C82">
      <w:pPr>
        <w:spacing w:line="360" w:lineRule="auto"/>
        <w:jc w:val="both"/>
        <w:rPr>
          <w:rFonts w:ascii="Palatino Linotype" w:hAnsi="Palatino Linotype" w:cs="Arial"/>
        </w:rPr>
      </w:pPr>
    </w:p>
    <w:p w14:paraId="0DA51AC8" w14:textId="77777777" w:rsidR="00100C82" w:rsidRPr="003E7669" w:rsidRDefault="00100C82" w:rsidP="00100C82">
      <w:pPr>
        <w:spacing w:line="360" w:lineRule="auto"/>
        <w:jc w:val="both"/>
        <w:rPr>
          <w:color w:val="222222"/>
          <w:lang w:val="es-MX" w:eastAsia="es-MX"/>
        </w:rPr>
      </w:pPr>
      <w:r w:rsidRPr="003E7669">
        <w:rPr>
          <w:rFonts w:ascii="Palatino Linotype" w:hAnsi="Palatino Linotype"/>
          <w:color w:val="222222"/>
          <w:lang w:val="es-MX" w:eastAsia="es-MX"/>
        </w:rPr>
        <w:t>Así, 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14:paraId="12012C26" w14:textId="77777777" w:rsidR="00100C82" w:rsidRPr="003E7669" w:rsidRDefault="00100C82" w:rsidP="00100C82">
      <w:pPr>
        <w:spacing w:line="360" w:lineRule="atLeast"/>
        <w:jc w:val="both"/>
        <w:rPr>
          <w:color w:val="222222"/>
          <w:lang w:val="es-MX" w:eastAsia="es-MX"/>
        </w:rPr>
      </w:pPr>
      <w:r w:rsidRPr="003E7669">
        <w:rPr>
          <w:rFonts w:ascii="Palatino Linotype" w:hAnsi="Palatino Linotype"/>
          <w:color w:val="222222"/>
          <w:lang w:val="es-MX" w:eastAsia="es-MX"/>
        </w:rPr>
        <w:t> </w:t>
      </w:r>
    </w:p>
    <w:p w14:paraId="520757D7" w14:textId="77777777" w:rsidR="00100C82" w:rsidRPr="003E7669" w:rsidRDefault="00100C82" w:rsidP="00100C82">
      <w:pPr>
        <w:ind w:left="709" w:right="757"/>
        <w:jc w:val="both"/>
        <w:rPr>
          <w:color w:val="222222"/>
          <w:lang w:val="es-MX" w:eastAsia="es-MX"/>
        </w:rPr>
      </w:pPr>
      <w:r w:rsidRPr="003E7669">
        <w:rPr>
          <w:rFonts w:ascii="Palatino Linotype" w:hAnsi="Palatino Linotype"/>
          <w:b/>
          <w:bCs/>
          <w:i/>
          <w:iCs/>
          <w:color w:val="222222"/>
          <w:sz w:val="22"/>
          <w:szCs w:val="22"/>
          <w:lang w:val="es-MX" w:eastAsia="es-MX"/>
        </w:rPr>
        <w:t>“Artículo 19.</w:t>
      </w:r>
      <w:r w:rsidRPr="003E7669">
        <w:rPr>
          <w:rFonts w:ascii="Palatino Linotype" w:hAnsi="Palatino Linotype"/>
          <w:i/>
          <w:iCs/>
          <w:color w:val="222222"/>
          <w:sz w:val="22"/>
          <w:szCs w:val="22"/>
          <w:lang w:val="es-MX" w:eastAsia="es-MX"/>
        </w:rPr>
        <w:t> Se presume que la información debe existir si se refiere a las facultades, competencias y funciones que los ordenamientos jurídicos aplicables otorgan a los sujetos obligados.</w:t>
      </w:r>
    </w:p>
    <w:p w14:paraId="7EC1A91F"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t> </w:t>
      </w:r>
    </w:p>
    <w:p w14:paraId="6681F82E"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t>En los casos en que ciertas facultades, competencias o funciones no se hayan ejercido, se debe motivar la respuesta en función de las causas que motiven tal circunstancia.</w:t>
      </w:r>
    </w:p>
    <w:p w14:paraId="231AE889"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t> </w:t>
      </w:r>
    </w:p>
    <w:p w14:paraId="5A5791DB" w14:textId="77777777" w:rsidR="00100C82" w:rsidRPr="003E7669" w:rsidRDefault="00100C82" w:rsidP="00100C82">
      <w:pPr>
        <w:ind w:left="709" w:right="757"/>
        <w:jc w:val="both"/>
        <w:rPr>
          <w:color w:val="222222"/>
          <w:lang w:val="es-MX" w:eastAsia="es-MX"/>
        </w:rPr>
      </w:pPr>
      <w:r w:rsidRPr="003E7669">
        <w:rPr>
          <w:rFonts w:ascii="Palatino Linotype" w:hAnsi="Palatino Linotype"/>
          <w:b/>
          <w:bCs/>
          <w:i/>
          <w:iCs/>
          <w:color w:val="222222"/>
          <w:sz w:val="22"/>
          <w:szCs w:val="22"/>
          <w:lang w:val="es-MX" w:eastAsia="es-MX"/>
        </w:rPr>
        <w:t>Si el sujeto obligado, en el ejercicio de sus atribuciones, debía generar, </w:t>
      </w:r>
      <w:r w:rsidRPr="003E7669">
        <w:rPr>
          <w:rFonts w:ascii="Palatino Linotype" w:hAnsi="Palatino Linotype"/>
          <w:i/>
          <w:iCs/>
          <w:color w:val="222222"/>
          <w:sz w:val="22"/>
          <w:szCs w:val="22"/>
          <w:lang w:val="es-MX" w:eastAsia="es-MX"/>
        </w:rPr>
        <w:t>poseer o administrar la información, pero ésta no se encuentra, el Comité de transparencia deberá emitir un acuerdo de inexistencia, debidamente fundado y motivado, en el que detalle las razones del por qué no obra en sus archivos.</w:t>
      </w:r>
    </w:p>
    <w:p w14:paraId="6C836056"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lastRenderedPageBreak/>
        <w:t> </w:t>
      </w:r>
    </w:p>
    <w:p w14:paraId="0713C506" w14:textId="77777777" w:rsidR="00100C82" w:rsidRPr="003E7669" w:rsidRDefault="00100C82" w:rsidP="00100C82">
      <w:pPr>
        <w:ind w:left="709" w:right="757"/>
        <w:jc w:val="both"/>
        <w:rPr>
          <w:color w:val="222222"/>
          <w:lang w:val="es-MX" w:eastAsia="es-MX"/>
        </w:rPr>
      </w:pPr>
      <w:r w:rsidRPr="003E7669">
        <w:rPr>
          <w:rFonts w:ascii="Palatino Linotype" w:hAnsi="Palatino Linotype"/>
          <w:b/>
          <w:bCs/>
          <w:i/>
          <w:iCs/>
          <w:color w:val="222222"/>
          <w:sz w:val="22"/>
          <w:szCs w:val="22"/>
          <w:lang w:val="es-MX" w:eastAsia="es-MX"/>
        </w:rPr>
        <w:t>Artículo 169</w:t>
      </w:r>
      <w:r w:rsidRPr="003E7669">
        <w:rPr>
          <w:rFonts w:ascii="Palatino Linotype" w:hAnsi="Palatino Linotype"/>
          <w:i/>
          <w:iCs/>
          <w:color w:val="222222"/>
          <w:sz w:val="22"/>
          <w:szCs w:val="22"/>
          <w:lang w:val="es-MX" w:eastAsia="es-MX"/>
        </w:rPr>
        <w:t>. Cuando la información no se encuentre en los archivos del sujeto obligado, el Comité de Transparencia:</w:t>
      </w:r>
    </w:p>
    <w:p w14:paraId="1C7A1B5F"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t> </w:t>
      </w:r>
    </w:p>
    <w:p w14:paraId="1378DB17"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t>I. Analizará el caso y tomará las medidas necesarias para localizar la información;</w:t>
      </w:r>
    </w:p>
    <w:p w14:paraId="1E79B116"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t> </w:t>
      </w:r>
    </w:p>
    <w:p w14:paraId="3D8B6784"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t>II. Expedirá una resolución que confirme la inexistencia del documento;</w:t>
      </w:r>
    </w:p>
    <w:p w14:paraId="280F1A95"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t> </w:t>
      </w:r>
    </w:p>
    <w:p w14:paraId="667B819F"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B289325"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t>IV. Notificará al órgano interno de control o equivalente del sujeto obligado quien, en su caso, deberá iniciar el procedimiento de responsabilidad administrativa que corresponda.</w:t>
      </w:r>
    </w:p>
    <w:p w14:paraId="4EA1B8E0"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t> </w:t>
      </w:r>
    </w:p>
    <w:p w14:paraId="2D3E3953"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t>La Unidad de Transparencia deberá notificarlo al solicitante por escrito, en un plazo que no exceda de quince días hábiles contados a partir del día siguiente a la presentación de la solicitud.</w:t>
      </w:r>
    </w:p>
    <w:p w14:paraId="4729F7B9"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t> </w:t>
      </w:r>
    </w:p>
    <w:p w14:paraId="3011547E"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t>Este plazo podrá ampliarse hasta por otros siete días hábiles, siempre que existan razones para ello, debiendo notificarse por escrito al solicitante.</w:t>
      </w:r>
    </w:p>
    <w:p w14:paraId="23E328E9" w14:textId="77777777" w:rsidR="00100C82" w:rsidRPr="003E7669" w:rsidRDefault="00100C82" w:rsidP="00100C82">
      <w:pPr>
        <w:ind w:left="709" w:right="757"/>
        <w:jc w:val="both"/>
        <w:rPr>
          <w:color w:val="222222"/>
          <w:lang w:val="es-MX" w:eastAsia="es-MX"/>
        </w:rPr>
      </w:pPr>
      <w:r w:rsidRPr="003E7669">
        <w:rPr>
          <w:rFonts w:ascii="Palatino Linotype" w:hAnsi="Palatino Linotype"/>
          <w:i/>
          <w:iCs/>
          <w:color w:val="222222"/>
          <w:sz w:val="22"/>
          <w:szCs w:val="22"/>
          <w:lang w:val="es-MX" w:eastAsia="es-MX"/>
        </w:rPr>
        <w:t> </w:t>
      </w:r>
    </w:p>
    <w:p w14:paraId="5CA542E4" w14:textId="77777777" w:rsidR="00100C82" w:rsidRPr="003E7669" w:rsidRDefault="00100C82" w:rsidP="00100C82">
      <w:pPr>
        <w:ind w:left="709" w:right="757"/>
        <w:jc w:val="both"/>
        <w:rPr>
          <w:color w:val="222222"/>
          <w:lang w:val="es-MX" w:eastAsia="es-MX"/>
        </w:rPr>
      </w:pPr>
      <w:r w:rsidRPr="003E7669">
        <w:rPr>
          <w:rFonts w:ascii="Palatino Linotype" w:hAnsi="Palatino Linotype"/>
          <w:b/>
          <w:bCs/>
          <w:i/>
          <w:iCs/>
          <w:color w:val="222222"/>
          <w:sz w:val="22"/>
          <w:szCs w:val="22"/>
          <w:lang w:val="es-MX" w:eastAsia="es-MX"/>
        </w:rPr>
        <w:t>Artículo 170</w:t>
      </w:r>
      <w:r w:rsidRPr="003E7669">
        <w:rPr>
          <w:rFonts w:ascii="Palatino Linotype" w:hAnsi="Palatino Linotype"/>
          <w:i/>
          <w:iCs/>
          <w:color w:val="222222"/>
          <w:sz w:val="22"/>
          <w:szCs w:val="22"/>
          <w:lang w:val="es-MX" w:eastAsia="es-MX"/>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4B041346" w14:textId="77777777" w:rsidR="00100C82" w:rsidRPr="003E7669" w:rsidRDefault="00100C82" w:rsidP="00100C82">
      <w:pPr>
        <w:spacing w:line="360" w:lineRule="atLeast"/>
        <w:ind w:left="709" w:right="757"/>
        <w:jc w:val="both"/>
        <w:rPr>
          <w:color w:val="222222"/>
          <w:lang w:val="es-MX" w:eastAsia="es-MX"/>
        </w:rPr>
      </w:pPr>
      <w:r w:rsidRPr="003E7669">
        <w:rPr>
          <w:rFonts w:ascii="Palatino Linotype" w:hAnsi="Palatino Linotype"/>
          <w:i/>
          <w:iCs/>
          <w:color w:val="222222"/>
          <w:sz w:val="22"/>
          <w:szCs w:val="22"/>
          <w:lang w:val="es-MX" w:eastAsia="es-MX"/>
        </w:rPr>
        <w:t> </w:t>
      </w:r>
    </w:p>
    <w:p w14:paraId="2427C23C" w14:textId="5871DA22" w:rsidR="00536637" w:rsidRPr="00536637" w:rsidRDefault="00100C82" w:rsidP="00536637">
      <w:pPr>
        <w:spacing w:line="360" w:lineRule="auto"/>
        <w:jc w:val="both"/>
        <w:rPr>
          <w:rFonts w:ascii="Palatino Linotype" w:hAnsi="Palatino Linotype"/>
          <w:color w:val="222222"/>
          <w:lang w:val="es-MX" w:eastAsia="es-MX"/>
        </w:rPr>
      </w:pPr>
      <w:r w:rsidRPr="003E7669">
        <w:rPr>
          <w:rFonts w:ascii="Palatino Linotype" w:hAnsi="Palatino Linotype"/>
          <w:color w:val="222222"/>
          <w:lang w:val="es-MX" w:eastAsia="es-MX"/>
        </w:rPr>
        <w:t>Así, se establece que </w:t>
      </w:r>
      <w:r w:rsidRPr="003E7669">
        <w:rPr>
          <w:rFonts w:ascii="Palatino Linotype" w:hAnsi="Palatino Linotype"/>
          <w:b/>
          <w:bCs/>
          <w:color w:val="222222"/>
          <w:lang w:val="es-MX" w:eastAsia="es-MX"/>
        </w:rPr>
        <w:t>EL SUJETO OBLIGADO</w:t>
      </w:r>
      <w:r w:rsidRPr="003E7669">
        <w:rPr>
          <w:rFonts w:ascii="Palatino Linotype" w:hAnsi="Palatino Linotype"/>
          <w:color w:val="222222"/>
          <w:lang w:val="es-MX" w:eastAsia="es-MX"/>
        </w:rPr>
        <w:t xml:space="preserve"> debió generar la información, derivado de sus facultades y no tiene registro de ello por lo que el Comité de Información debe </w:t>
      </w:r>
      <w:r w:rsidRPr="003E7669">
        <w:rPr>
          <w:rFonts w:ascii="Palatino Linotype" w:hAnsi="Palatino Linotype"/>
          <w:color w:val="222222"/>
          <w:lang w:val="es-MX" w:eastAsia="es-MX"/>
        </w:rPr>
        <w:lastRenderedPageBreak/>
        <w:t>emitir un Acuerdo de Inexistencia de la información, en el que detalle las razones del por qué no obra en sus archivos.</w:t>
      </w:r>
    </w:p>
    <w:p w14:paraId="28C1D0AF" w14:textId="7628AC59" w:rsidR="00271D08" w:rsidRDefault="00414C32" w:rsidP="001E2B0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Como consecuencia de los argumentos anteriormente expuestos, </w:t>
      </w:r>
      <w:r w:rsidR="00B05E89">
        <w:rPr>
          <w:rFonts w:ascii="Palatino Linotype" w:hAnsi="Palatino Linotype" w:cs="Arial"/>
        </w:rPr>
        <w:t xml:space="preserve">la que suscribe emite </w:t>
      </w:r>
      <w:r w:rsidR="00B05E89" w:rsidRPr="00B05E89">
        <w:rPr>
          <w:rFonts w:ascii="Palatino Linotype" w:hAnsi="Palatino Linotype" w:cs="Arial"/>
          <w:b/>
        </w:rPr>
        <w:t>VOTO PARTICULAR</w:t>
      </w:r>
      <w:r w:rsidR="00B05E89">
        <w:rPr>
          <w:rFonts w:ascii="Palatino Linotype" w:hAnsi="Palatino Linotype" w:cs="Arial"/>
        </w:rPr>
        <w:t xml:space="preserve">, pues se insiste que existe fuente obligacional para que </w:t>
      </w:r>
      <w:r w:rsidR="00FC4F07" w:rsidRPr="00FC4F07">
        <w:rPr>
          <w:rFonts w:ascii="Palatino Linotype" w:hAnsi="Palatino Linotype" w:cs="Arial"/>
          <w:b/>
        </w:rPr>
        <w:t>EL SUJETO OBLIGADO</w:t>
      </w:r>
      <w:r w:rsidR="00FC4F07">
        <w:rPr>
          <w:rFonts w:ascii="Palatino Linotype" w:hAnsi="Palatino Linotype" w:cs="Arial"/>
        </w:rPr>
        <w:t xml:space="preserve"> </w:t>
      </w:r>
      <w:r w:rsidR="00B05E89">
        <w:rPr>
          <w:rFonts w:ascii="Palatino Linotype" w:hAnsi="Palatino Linotype" w:cs="Arial"/>
        </w:rPr>
        <w:t xml:space="preserve">cuente con </w:t>
      </w:r>
      <w:r w:rsidR="00777514">
        <w:rPr>
          <w:rFonts w:ascii="Palatino Linotype" w:hAnsi="Palatino Linotype" w:cs="Arial"/>
        </w:rPr>
        <w:t>el d</w:t>
      </w:r>
      <w:r w:rsidR="00777514" w:rsidRPr="00777514">
        <w:rPr>
          <w:rFonts w:ascii="Palatino Linotype" w:hAnsi="Palatino Linotype" w:cs="Arial"/>
        </w:rPr>
        <w:t>ocumentos en donde consten las fechas de alta y baja del servidor público referido en la solicitud de informació</w:t>
      </w:r>
      <w:r w:rsidR="00777514">
        <w:rPr>
          <w:rFonts w:ascii="Palatino Linotype" w:hAnsi="Palatino Linotype" w:cs="Arial"/>
        </w:rPr>
        <w:t>n 00074/JOCOTIT/IP/2019</w:t>
      </w:r>
      <w:r w:rsidR="009A3125">
        <w:rPr>
          <w:rFonts w:ascii="Palatino Linotype" w:hAnsi="Palatino Linotype" w:cs="Arial"/>
        </w:rPr>
        <w:t>, derivado de los dispositivos jurídicos vistos  con anterioridad</w:t>
      </w:r>
      <w:r w:rsidR="00271D08">
        <w:rPr>
          <w:rFonts w:ascii="Palatino Linotype" w:hAnsi="Palatino Linotype" w:cs="Arial"/>
        </w:rPr>
        <w:t>;</w:t>
      </w:r>
      <w:r w:rsidR="009A3125">
        <w:rPr>
          <w:rFonts w:ascii="Palatino Linotype" w:hAnsi="Palatino Linotype" w:cs="Arial"/>
        </w:rPr>
        <w:t xml:space="preserve"> es</w:t>
      </w:r>
      <w:r w:rsidR="00271D08">
        <w:rPr>
          <w:rFonts w:ascii="Palatino Linotype" w:hAnsi="Palatino Linotype" w:cs="Arial"/>
        </w:rPr>
        <w:t xml:space="preserve"> por ello, </w:t>
      </w:r>
      <w:r w:rsidR="009064CA">
        <w:rPr>
          <w:rFonts w:ascii="Palatino Linotype" w:hAnsi="Palatino Linotype" w:cs="Arial"/>
        </w:rPr>
        <w:t>que no se debió poner la salvedad que obra dentro del resolutivo SEGUNDO toda vez que de no contar con la información ordenada en el primer punto, lo procedente sería emitir</w:t>
      </w:r>
      <w:r w:rsidR="00271D08">
        <w:rPr>
          <w:rFonts w:ascii="Palatino Linotype" w:hAnsi="Palatino Linotype" w:cs="Arial"/>
        </w:rPr>
        <w:t xml:space="preserve"> </w:t>
      </w:r>
      <w:r w:rsidR="00536637">
        <w:rPr>
          <w:rFonts w:ascii="Palatino Linotype" w:hAnsi="Palatino Linotype" w:cs="Arial"/>
        </w:rPr>
        <w:t>d</w:t>
      </w:r>
      <w:r w:rsidR="00271D08">
        <w:rPr>
          <w:rFonts w:ascii="Palatino Linotype" w:hAnsi="Palatino Linotype" w:cs="Arial"/>
        </w:rPr>
        <w:t>el Acuerdo de Inexistencia</w:t>
      </w:r>
      <w:r w:rsidR="00536637">
        <w:rPr>
          <w:rFonts w:ascii="Palatino Linotype" w:hAnsi="Palatino Linotype" w:cs="Arial"/>
        </w:rPr>
        <w:t xml:space="preserve"> correspondiente</w:t>
      </w:r>
      <w:r w:rsidR="00271D08">
        <w:rPr>
          <w:rFonts w:ascii="Palatino Linotype" w:hAnsi="Palatino Linotype" w:cs="Arial"/>
        </w:rPr>
        <w:t xml:space="preserve"> y hacerlo del conocimiento de</w:t>
      </w:r>
      <w:r w:rsidR="0007754C">
        <w:rPr>
          <w:rFonts w:ascii="Palatino Linotype" w:hAnsi="Palatino Linotype" w:cs="Arial"/>
        </w:rPr>
        <w:t>l</w:t>
      </w:r>
      <w:r w:rsidR="00271D08">
        <w:rPr>
          <w:rFonts w:ascii="Palatino Linotype" w:hAnsi="Palatino Linotype" w:cs="Arial"/>
        </w:rPr>
        <w:t xml:space="preserve"> </w:t>
      </w:r>
      <w:r w:rsidR="00271D08" w:rsidRPr="00271D08">
        <w:rPr>
          <w:rFonts w:ascii="Palatino Linotype" w:hAnsi="Palatino Linotype" w:cs="Arial"/>
          <w:b/>
        </w:rPr>
        <w:t>RECURRENTE</w:t>
      </w:r>
      <w:r>
        <w:rPr>
          <w:rFonts w:ascii="Palatino Linotype" w:hAnsi="Palatino Linotype" w:cs="Arial"/>
          <w:b/>
        </w:rPr>
        <w:t xml:space="preserve">, </w:t>
      </w:r>
      <w:r w:rsidR="00544FAB">
        <w:rPr>
          <w:rFonts w:ascii="Palatino Linotype" w:hAnsi="Palatino Linotype" w:cs="Arial"/>
        </w:rPr>
        <w:t>en atención a los principios de certeza, exhaustividad y congruencia,</w:t>
      </w:r>
      <w:r w:rsidRPr="00414C32">
        <w:rPr>
          <w:rFonts w:ascii="Palatino Linotype" w:hAnsi="Palatino Linotype" w:cs="Arial"/>
        </w:rPr>
        <w:t xml:space="preserve"> en términos de lo establecido en la fracción I del artículo 9 de la Ley de la materia.</w:t>
      </w:r>
    </w:p>
    <w:p w14:paraId="7635675E" w14:textId="77777777" w:rsidR="003C78C8" w:rsidRDefault="003C78C8" w:rsidP="001E2B06">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4C0749" w:rsidRPr="001950C9" w14:paraId="3FEB39FF" w14:textId="77777777" w:rsidTr="004C0749">
        <w:trPr>
          <w:jc w:val="center"/>
        </w:trPr>
        <w:tc>
          <w:tcPr>
            <w:tcW w:w="4393" w:type="dxa"/>
          </w:tcPr>
          <w:p w14:paraId="760E348E" w14:textId="77777777" w:rsidR="003C78C8" w:rsidRDefault="003C78C8" w:rsidP="00246C33">
            <w:pPr>
              <w:jc w:val="center"/>
              <w:rPr>
                <w:rFonts w:ascii="Palatino Linotype" w:hAnsi="Palatino Linotype"/>
                <w:b/>
              </w:rPr>
            </w:pPr>
            <w:bookmarkStart w:id="0" w:name="_GoBack"/>
            <w:bookmarkEnd w:id="0"/>
          </w:p>
          <w:p w14:paraId="710F7FA3" w14:textId="77777777" w:rsidR="004C0749" w:rsidRPr="001950C9" w:rsidRDefault="004C0749" w:rsidP="00246C33">
            <w:pPr>
              <w:jc w:val="center"/>
              <w:rPr>
                <w:rFonts w:ascii="Palatino Linotype" w:hAnsi="Palatino Linotype"/>
                <w:b/>
              </w:rPr>
            </w:pPr>
            <w:r w:rsidRPr="001950C9">
              <w:rPr>
                <w:rFonts w:ascii="Palatino Linotype" w:hAnsi="Palatino Linotype"/>
                <w:b/>
              </w:rPr>
              <w:t xml:space="preserve">EVA ABAID YAPUR </w:t>
            </w:r>
          </w:p>
          <w:p w14:paraId="31866B1B" w14:textId="77777777" w:rsidR="00246C33" w:rsidRDefault="004C0749" w:rsidP="003C78C8">
            <w:pPr>
              <w:jc w:val="center"/>
              <w:rPr>
                <w:rFonts w:ascii="Palatino Linotype" w:hAnsi="Palatino Linotype"/>
                <w:b/>
              </w:rPr>
            </w:pPr>
            <w:r w:rsidRPr="001950C9">
              <w:rPr>
                <w:rFonts w:ascii="Palatino Linotype" w:hAnsi="Palatino Linotype"/>
                <w:b/>
              </w:rPr>
              <w:t>COMISIONADA</w:t>
            </w:r>
          </w:p>
          <w:p w14:paraId="46BF9CB2" w14:textId="03FD6718" w:rsidR="00033D57" w:rsidRPr="00033D57" w:rsidRDefault="00033D57" w:rsidP="00033D57">
            <w:pPr>
              <w:jc w:val="center"/>
              <w:rPr>
                <w:rFonts w:ascii="Palatino Linotype" w:hAnsi="Palatino Linotype"/>
                <w:b/>
                <w:lang w:val="es-MX"/>
              </w:rPr>
            </w:pPr>
            <w:r>
              <w:rPr>
                <w:rFonts w:ascii="Palatino Linotype" w:hAnsi="Palatino Linotype"/>
                <w:b/>
              </w:rPr>
              <w:t>(RÚBRICA)</w:t>
            </w:r>
          </w:p>
        </w:tc>
      </w:tr>
    </w:tbl>
    <w:p w14:paraId="4D55F8C4" w14:textId="77777777" w:rsidR="003C78C8" w:rsidRDefault="003C78C8" w:rsidP="004C0749">
      <w:pPr>
        <w:jc w:val="both"/>
        <w:rPr>
          <w:rFonts w:ascii="Palatino Linotype" w:eastAsia="Calibri" w:hAnsi="Palatino Linotype" w:cs="Arial"/>
          <w:color w:val="000000" w:themeColor="text1"/>
          <w:sz w:val="20"/>
          <w:szCs w:val="20"/>
        </w:rPr>
      </w:pPr>
    </w:p>
    <w:p w14:paraId="06C0B0B1" w14:textId="075E6B27" w:rsidR="004C0749" w:rsidRDefault="004C0749" w:rsidP="004C0749">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Esta hoja corresponde al voto particular emi</w:t>
      </w:r>
      <w:r w:rsidR="0007754C">
        <w:rPr>
          <w:rFonts w:ascii="Palatino Linotype" w:eastAsia="Calibri" w:hAnsi="Palatino Linotype" w:cs="Arial"/>
          <w:color w:val="000000" w:themeColor="text1"/>
          <w:sz w:val="20"/>
          <w:szCs w:val="20"/>
        </w:rPr>
        <w:t>tido en</w:t>
      </w:r>
      <w:r w:rsidR="00D80B0A">
        <w:rPr>
          <w:rFonts w:ascii="Palatino Linotype" w:eastAsia="Calibri" w:hAnsi="Palatino Linotype" w:cs="Arial"/>
          <w:color w:val="000000" w:themeColor="text1"/>
          <w:sz w:val="20"/>
          <w:szCs w:val="20"/>
        </w:rPr>
        <w:t xml:space="preserve"> la resolución</w:t>
      </w:r>
      <w:r w:rsidR="0007754C">
        <w:rPr>
          <w:rFonts w:ascii="Palatino Linotype" w:eastAsia="Calibri" w:hAnsi="Palatino Linotype" w:cs="Arial"/>
          <w:color w:val="000000" w:themeColor="text1"/>
          <w:sz w:val="20"/>
          <w:szCs w:val="20"/>
        </w:rPr>
        <w:t xml:space="preserve"> </w:t>
      </w:r>
      <w:r w:rsidR="00D80B0A">
        <w:rPr>
          <w:rFonts w:ascii="Palatino Linotype" w:eastAsia="Calibri" w:hAnsi="Palatino Linotype" w:cs="Arial"/>
          <w:color w:val="000000" w:themeColor="text1"/>
          <w:sz w:val="20"/>
          <w:szCs w:val="20"/>
        </w:rPr>
        <w:t>d</w:t>
      </w:r>
      <w:r w:rsidR="00777514">
        <w:rPr>
          <w:rFonts w:ascii="Palatino Linotype" w:eastAsia="Calibri" w:hAnsi="Palatino Linotype" w:cs="Arial"/>
          <w:color w:val="000000" w:themeColor="text1"/>
          <w:sz w:val="20"/>
          <w:szCs w:val="20"/>
        </w:rPr>
        <w:t>e los</w:t>
      </w:r>
      <w:r w:rsidR="0007754C">
        <w:rPr>
          <w:rFonts w:ascii="Palatino Linotype" w:eastAsia="Calibri" w:hAnsi="Palatino Linotype" w:cs="Arial"/>
          <w:color w:val="000000" w:themeColor="text1"/>
          <w:sz w:val="20"/>
          <w:szCs w:val="20"/>
        </w:rPr>
        <w:t xml:space="preserve"> recurso</w:t>
      </w:r>
      <w:r w:rsidR="00777514">
        <w:rPr>
          <w:rFonts w:ascii="Palatino Linotype" w:eastAsia="Calibri" w:hAnsi="Palatino Linotype" w:cs="Arial"/>
          <w:color w:val="000000" w:themeColor="text1"/>
          <w:sz w:val="20"/>
          <w:szCs w:val="20"/>
        </w:rPr>
        <w:t>s</w:t>
      </w:r>
      <w:r w:rsidR="0007754C">
        <w:rPr>
          <w:rFonts w:ascii="Palatino Linotype" w:eastAsia="Calibri" w:hAnsi="Palatino Linotype" w:cs="Arial"/>
          <w:color w:val="000000" w:themeColor="text1"/>
          <w:sz w:val="20"/>
          <w:szCs w:val="20"/>
        </w:rPr>
        <w:t xml:space="preserve"> de revisión </w:t>
      </w:r>
      <w:r w:rsidR="00777514">
        <w:rPr>
          <w:rFonts w:ascii="Palatino Linotype" w:eastAsia="Calibri" w:hAnsi="Palatino Linotype" w:cs="Arial"/>
          <w:color w:val="000000" w:themeColor="text1"/>
          <w:sz w:val="20"/>
          <w:szCs w:val="20"/>
        </w:rPr>
        <w:t xml:space="preserve">acumulados </w:t>
      </w:r>
      <w:r w:rsidR="00777514">
        <w:rPr>
          <w:rFonts w:ascii="Palatino Linotype" w:hAnsi="Palatino Linotype" w:cs="Arial"/>
          <w:sz w:val="20"/>
          <w:szCs w:val="20"/>
        </w:rPr>
        <w:t>06469/INFOEM/IP/RR/2019 y</w:t>
      </w:r>
      <w:r w:rsidR="00777514" w:rsidRPr="001B6266">
        <w:rPr>
          <w:rFonts w:ascii="Palatino Linotype" w:hAnsi="Palatino Linotype" w:cs="Arial"/>
          <w:sz w:val="20"/>
          <w:szCs w:val="20"/>
        </w:rPr>
        <w:t xml:space="preserve"> 06470/INFOEM/IP/RR/2019</w:t>
      </w:r>
      <w:r w:rsidRPr="001950C9">
        <w:rPr>
          <w:rFonts w:ascii="Palatino Linotype" w:eastAsia="Calibri" w:hAnsi="Palatino Linotype" w:cs="Arial"/>
          <w:color w:val="000000" w:themeColor="text1"/>
          <w:sz w:val="20"/>
          <w:szCs w:val="20"/>
        </w:rPr>
        <w:t>, aprobado el</w:t>
      </w:r>
      <w:r>
        <w:rPr>
          <w:rFonts w:ascii="Palatino Linotype" w:eastAsia="Calibri" w:hAnsi="Palatino Linotype" w:cs="Arial"/>
          <w:color w:val="000000" w:themeColor="text1"/>
          <w:sz w:val="20"/>
          <w:szCs w:val="20"/>
        </w:rPr>
        <w:t xml:space="preserve"> </w:t>
      </w:r>
      <w:r w:rsidR="00777514">
        <w:rPr>
          <w:rFonts w:ascii="Palatino Linotype" w:eastAsia="Calibri" w:hAnsi="Palatino Linotype" w:cs="Arial"/>
          <w:color w:val="000000" w:themeColor="text1"/>
          <w:sz w:val="20"/>
          <w:szCs w:val="20"/>
        </w:rPr>
        <w:t>dos de octubre</w:t>
      </w:r>
      <w:r w:rsidR="0007754C">
        <w:rPr>
          <w:rFonts w:ascii="Palatino Linotype" w:eastAsia="Calibri" w:hAnsi="Palatino Linotype" w:cs="Arial"/>
          <w:color w:val="000000" w:themeColor="text1"/>
          <w:sz w:val="20"/>
          <w:szCs w:val="20"/>
        </w:rPr>
        <w:t xml:space="preserve"> de dos mil diecinueve</w:t>
      </w:r>
      <w:r w:rsidRPr="001950C9">
        <w:rPr>
          <w:rFonts w:ascii="Palatino Linotype" w:eastAsia="Calibri" w:hAnsi="Palatino Linotype" w:cs="Arial"/>
          <w:color w:val="000000" w:themeColor="text1"/>
          <w:sz w:val="20"/>
          <w:szCs w:val="20"/>
        </w:rPr>
        <w:t>.</w:t>
      </w:r>
    </w:p>
    <w:p w14:paraId="64D51157" w14:textId="77777777" w:rsidR="003C78C8" w:rsidRPr="003C78C8" w:rsidRDefault="003C78C8" w:rsidP="004C0749">
      <w:pPr>
        <w:jc w:val="both"/>
        <w:rPr>
          <w:rFonts w:ascii="Palatino Linotype" w:eastAsia="Calibri" w:hAnsi="Palatino Linotype" w:cs="Arial"/>
          <w:color w:val="000000" w:themeColor="text1"/>
          <w:sz w:val="8"/>
          <w:szCs w:val="8"/>
        </w:rPr>
      </w:pPr>
    </w:p>
    <w:p w14:paraId="2390E1F1" w14:textId="24F380FD" w:rsidR="009D63A9" w:rsidRPr="004C0749" w:rsidRDefault="00536637" w:rsidP="00544FAB">
      <w:pPr>
        <w:jc w:val="both"/>
        <w:rPr>
          <w:rFonts w:eastAsia="Calibri"/>
        </w:rPr>
      </w:pPr>
      <w:r>
        <w:rPr>
          <w:rFonts w:ascii="Palatino Linotype" w:eastAsia="Calibri" w:hAnsi="Palatino Linotype" w:cs="Arial"/>
          <w:color w:val="000000" w:themeColor="text1"/>
          <w:sz w:val="20"/>
          <w:szCs w:val="20"/>
        </w:rPr>
        <w:t>YSM</w:t>
      </w:r>
      <w:r w:rsidR="0007754C">
        <w:rPr>
          <w:rFonts w:ascii="Palatino Linotype" w:eastAsia="Calibri" w:hAnsi="Palatino Linotype" w:cs="Arial"/>
          <w:color w:val="000000" w:themeColor="text1"/>
          <w:sz w:val="20"/>
          <w:szCs w:val="20"/>
        </w:rPr>
        <w:t>/</w:t>
      </w:r>
      <w:r w:rsidR="003C78C8">
        <w:rPr>
          <w:rFonts w:ascii="Palatino Linotype" w:eastAsia="Calibri" w:hAnsi="Palatino Linotype" w:cs="Arial"/>
          <w:color w:val="000000" w:themeColor="text1"/>
          <w:sz w:val="20"/>
          <w:szCs w:val="20"/>
        </w:rPr>
        <w:t>ATU/</w:t>
      </w:r>
      <w:r w:rsidR="0007754C">
        <w:rPr>
          <w:rFonts w:ascii="Palatino Linotype" w:eastAsia="Calibri" w:hAnsi="Palatino Linotype" w:cs="Arial"/>
          <w:color w:val="000000" w:themeColor="text1"/>
          <w:sz w:val="20"/>
          <w:szCs w:val="20"/>
        </w:rPr>
        <w:t>EJCA</w:t>
      </w:r>
    </w:p>
    <w:sectPr w:rsidR="009D63A9" w:rsidRPr="004C0749" w:rsidSect="00ED34E1">
      <w:headerReference w:type="even" r:id="rId10"/>
      <w:headerReference w:type="default" r:id="rId11"/>
      <w:footerReference w:type="default" r:id="rId12"/>
      <w:head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11057" w14:textId="77777777" w:rsidR="001B4D99" w:rsidRDefault="001B4D99" w:rsidP="00C80F8C">
      <w:r>
        <w:separator/>
      </w:r>
    </w:p>
  </w:endnote>
  <w:endnote w:type="continuationSeparator" w:id="0">
    <w:p w14:paraId="5C76ADB6" w14:textId="77777777" w:rsidR="001B4D99" w:rsidRDefault="001B4D9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33D57">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33D57">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67735" w14:textId="77777777" w:rsidR="001B4D99" w:rsidRDefault="001B4D99" w:rsidP="00C80F8C">
      <w:r>
        <w:separator/>
      </w:r>
    </w:p>
  </w:footnote>
  <w:footnote w:type="continuationSeparator" w:id="0">
    <w:p w14:paraId="2B649E9A" w14:textId="77777777" w:rsidR="001B4D99" w:rsidRDefault="001B4D9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1B4D99">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71638785"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07B61D73" w14:textId="115FE042" w:rsidR="0034309A" w:rsidRPr="003C78C8" w:rsidRDefault="0034309A" w:rsidP="0034309A">
    <w:pPr>
      <w:pStyle w:val="Encabezado"/>
      <w:tabs>
        <w:tab w:val="clear" w:pos="4252"/>
        <w:tab w:val="clear" w:pos="8504"/>
        <w:tab w:val="left" w:pos="2326"/>
      </w:tabs>
      <w:jc w:val="right"/>
      <w:rPr>
        <w:rFonts w:ascii="Palatino Linotype" w:hAnsi="Palatino Linotype"/>
        <w:sz w:val="22"/>
      </w:rPr>
    </w:pPr>
  </w:p>
  <w:p w14:paraId="726105BB" w14:textId="262AF475" w:rsidR="001B6266" w:rsidRDefault="003C78C8"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71104997" w14:textId="4DAFB89E" w:rsidR="00634485" w:rsidRDefault="003C78C8"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ACUMULADOS</w:t>
    </w:r>
  </w:p>
  <w:p w14:paraId="5605195D" w14:textId="28DB52A8" w:rsidR="00EB7480" w:rsidRDefault="003C78C8" w:rsidP="0034309A">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06469/INFOEM/IP/RR/2019 Y</w:t>
    </w:r>
    <w:r w:rsidRPr="001B6266">
      <w:rPr>
        <w:rFonts w:ascii="Palatino Linotype" w:hAnsi="Palatino Linotype" w:cs="Arial"/>
        <w:sz w:val="20"/>
        <w:szCs w:val="20"/>
      </w:rPr>
      <w:t xml:space="preserve"> 06470/INFOEM/IP/RR/2019</w:t>
    </w:r>
  </w:p>
  <w:p w14:paraId="333995A2" w14:textId="1252F494" w:rsidR="0030072F" w:rsidRDefault="001B4D99"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49.6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1B4D99">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0F5"/>
    <w:multiLevelType w:val="hybridMultilevel"/>
    <w:tmpl w:val="AEAC8FB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32205E"/>
    <w:multiLevelType w:val="hybridMultilevel"/>
    <w:tmpl w:val="F5545A9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C93D66"/>
    <w:multiLevelType w:val="hybridMultilevel"/>
    <w:tmpl w:val="6CFEE804"/>
    <w:lvl w:ilvl="0" w:tplc="B6601A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4317490"/>
    <w:multiLevelType w:val="hybridMultilevel"/>
    <w:tmpl w:val="9EE42234"/>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48CA3C47"/>
    <w:multiLevelType w:val="hybridMultilevel"/>
    <w:tmpl w:val="6A4E89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52E2611B"/>
    <w:multiLevelType w:val="hybridMultilevel"/>
    <w:tmpl w:val="354E7B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603808C6"/>
    <w:multiLevelType w:val="hybridMultilevel"/>
    <w:tmpl w:val="929291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15:restartNumberingAfterBreak="0">
    <w:nsid w:val="68CD42D9"/>
    <w:multiLevelType w:val="hybridMultilevel"/>
    <w:tmpl w:val="6C14C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7E7EE8"/>
    <w:multiLevelType w:val="hybridMultilevel"/>
    <w:tmpl w:val="6A4E89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D1F6166"/>
    <w:multiLevelType w:val="hybridMultilevel"/>
    <w:tmpl w:val="83921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
  </w:num>
  <w:num w:numId="5">
    <w:abstractNumId w:val="11"/>
  </w:num>
  <w:num w:numId="6">
    <w:abstractNumId w:val="6"/>
  </w:num>
  <w:num w:numId="7">
    <w:abstractNumId w:val="16"/>
  </w:num>
  <w:num w:numId="8">
    <w:abstractNumId w:val="13"/>
  </w:num>
  <w:num w:numId="9">
    <w:abstractNumId w:val="14"/>
  </w:num>
  <w:num w:numId="10">
    <w:abstractNumId w:val="4"/>
  </w:num>
  <w:num w:numId="11">
    <w:abstractNumId w:val="12"/>
  </w:num>
  <w:num w:numId="12">
    <w:abstractNumId w:val="0"/>
  </w:num>
  <w:num w:numId="13">
    <w:abstractNumId w:val="7"/>
  </w:num>
  <w:num w:numId="14">
    <w:abstractNumId w:val="8"/>
  </w:num>
  <w:num w:numId="15">
    <w:abstractNumId w:val="5"/>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33D57"/>
    <w:rsid w:val="00040391"/>
    <w:rsid w:val="000412FB"/>
    <w:rsid w:val="00055107"/>
    <w:rsid w:val="0006079D"/>
    <w:rsid w:val="0007653D"/>
    <w:rsid w:val="0007754C"/>
    <w:rsid w:val="00082101"/>
    <w:rsid w:val="0008542A"/>
    <w:rsid w:val="0008745A"/>
    <w:rsid w:val="00092678"/>
    <w:rsid w:val="00095B30"/>
    <w:rsid w:val="000B3FFD"/>
    <w:rsid w:val="000C4453"/>
    <w:rsid w:val="000D03A9"/>
    <w:rsid w:val="000D136C"/>
    <w:rsid w:val="000D66DE"/>
    <w:rsid w:val="000E2B1A"/>
    <w:rsid w:val="000E4C17"/>
    <w:rsid w:val="000F05FA"/>
    <w:rsid w:val="00100C82"/>
    <w:rsid w:val="00102EEC"/>
    <w:rsid w:val="0010583C"/>
    <w:rsid w:val="00105FF0"/>
    <w:rsid w:val="00117749"/>
    <w:rsid w:val="00123644"/>
    <w:rsid w:val="00130433"/>
    <w:rsid w:val="001317F7"/>
    <w:rsid w:val="0013735C"/>
    <w:rsid w:val="00140058"/>
    <w:rsid w:val="00175DEE"/>
    <w:rsid w:val="00187FFD"/>
    <w:rsid w:val="001950C9"/>
    <w:rsid w:val="001B4D99"/>
    <w:rsid w:val="001B6266"/>
    <w:rsid w:val="001C788B"/>
    <w:rsid w:val="001E2B06"/>
    <w:rsid w:val="001E757E"/>
    <w:rsid w:val="001E763C"/>
    <w:rsid w:val="002314AA"/>
    <w:rsid w:val="0023504D"/>
    <w:rsid w:val="00237A37"/>
    <w:rsid w:val="0024119C"/>
    <w:rsid w:val="00246C33"/>
    <w:rsid w:val="0025202C"/>
    <w:rsid w:val="002562CC"/>
    <w:rsid w:val="00271D08"/>
    <w:rsid w:val="002940F8"/>
    <w:rsid w:val="002B2006"/>
    <w:rsid w:val="002B3707"/>
    <w:rsid w:val="002B752D"/>
    <w:rsid w:val="002B7856"/>
    <w:rsid w:val="002C299A"/>
    <w:rsid w:val="002D3BBD"/>
    <w:rsid w:val="002D4526"/>
    <w:rsid w:val="002D69E1"/>
    <w:rsid w:val="002D7F7A"/>
    <w:rsid w:val="002E20F5"/>
    <w:rsid w:val="0030072F"/>
    <w:rsid w:val="003056D9"/>
    <w:rsid w:val="003102FA"/>
    <w:rsid w:val="003303A4"/>
    <w:rsid w:val="0034309A"/>
    <w:rsid w:val="003628B7"/>
    <w:rsid w:val="0037321B"/>
    <w:rsid w:val="003A6F70"/>
    <w:rsid w:val="003C23BE"/>
    <w:rsid w:val="003C28FC"/>
    <w:rsid w:val="003C2D10"/>
    <w:rsid w:val="003C7226"/>
    <w:rsid w:val="003C78C8"/>
    <w:rsid w:val="003D1C14"/>
    <w:rsid w:val="003D297D"/>
    <w:rsid w:val="003F4C9C"/>
    <w:rsid w:val="00410D1F"/>
    <w:rsid w:val="00414C32"/>
    <w:rsid w:val="00414E48"/>
    <w:rsid w:val="00414E7B"/>
    <w:rsid w:val="004179B7"/>
    <w:rsid w:val="004272A9"/>
    <w:rsid w:val="004315BB"/>
    <w:rsid w:val="0044271B"/>
    <w:rsid w:val="00443646"/>
    <w:rsid w:val="0044475B"/>
    <w:rsid w:val="00455CB3"/>
    <w:rsid w:val="004661D2"/>
    <w:rsid w:val="004776FF"/>
    <w:rsid w:val="00486744"/>
    <w:rsid w:val="00497120"/>
    <w:rsid w:val="004B0D7C"/>
    <w:rsid w:val="004B1EC9"/>
    <w:rsid w:val="004B7325"/>
    <w:rsid w:val="004C0749"/>
    <w:rsid w:val="004C40EA"/>
    <w:rsid w:val="004C64D9"/>
    <w:rsid w:val="004D0A26"/>
    <w:rsid w:val="004E308E"/>
    <w:rsid w:val="00500FFD"/>
    <w:rsid w:val="00516914"/>
    <w:rsid w:val="005236B6"/>
    <w:rsid w:val="005318AB"/>
    <w:rsid w:val="00536637"/>
    <w:rsid w:val="00544FAB"/>
    <w:rsid w:val="00562649"/>
    <w:rsid w:val="00575235"/>
    <w:rsid w:val="0058067E"/>
    <w:rsid w:val="00584781"/>
    <w:rsid w:val="0058639E"/>
    <w:rsid w:val="005870DF"/>
    <w:rsid w:val="005B773B"/>
    <w:rsid w:val="005C5B04"/>
    <w:rsid w:val="005C66D4"/>
    <w:rsid w:val="005D14C4"/>
    <w:rsid w:val="005D1946"/>
    <w:rsid w:val="00612544"/>
    <w:rsid w:val="006177E6"/>
    <w:rsid w:val="00634485"/>
    <w:rsid w:val="006521C1"/>
    <w:rsid w:val="00672211"/>
    <w:rsid w:val="006824EF"/>
    <w:rsid w:val="00684492"/>
    <w:rsid w:val="006869DD"/>
    <w:rsid w:val="0069256D"/>
    <w:rsid w:val="00694EB3"/>
    <w:rsid w:val="006967D4"/>
    <w:rsid w:val="006A496D"/>
    <w:rsid w:val="006C0991"/>
    <w:rsid w:val="006D16A2"/>
    <w:rsid w:val="006E6389"/>
    <w:rsid w:val="006F30F8"/>
    <w:rsid w:val="006F5374"/>
    <w:rsid w:val="00711B32"/>
    <w:rsid w:val="00712BC2"/>
    <w:rsid w:val="0071346B"/>
    <w:rsid w:val="00721966"/>
    <w:rsid w:val="00724599"/>
    <w:rsid w:val="00736C06"/>
    <w:rsid w:val="007416E3"/>
    <w:rsid w:val="00742010"/>
    <w:rsid w:val="00743C39"/>
    <w:rsid w:val="00746D04"/>
    <w:rsid w:val="00772360"/>
    <w:rsid w:val="00777514"/>
    <w:rsid w:val="007A4AB6"/>
    <w:rsid w:val="007B6E55"/>
    <w:rsid w:val="007C0FDA"/>
    <w:rsid w:val="007C3C0E"/>
    <w:rsid w:val="007D0FEE"/>
    <w:rsid w:val="007E3C3D"/>
    <w:rsid w:val="008217CD"/>
    <w:rsid w:val="00846A21"/>
    <w:rsid w:val="0087259C"/>
    <w:rsid w:val="00892AFC"/>
    <w:rsid w:val="008C0700"/>
    <w:rsid w:val="008C0C70"/>
    <w:rsid w:val="008C17F2"/>
    <w:rsid w:val="008D1526"/>
    <w:rsid w:val="008D584A"/>
    <w:rsid w:val="009064CA"/>
    <w:rsid w:val="00926A92"/>
    <w:rsid w:val="0093343E"/>
    <w:rsid w:val="00953EC8"/>
    <w:rsid w:val="00966E59"/>
    <w:rsid w:val="00975AA3"/>
    <w:rsid w:val="00975EB9"/>
    <w:rsid w:val="009773AF"/>
    <w:rsid w:val="00986740"/>
    <w:rsid w:val="00986DDD"/>
    <w:rsid w:val="009A271C"/>
    <w:rsid w:val="009A3125"/>
    <w:rsid w:val="009A67F5"/>
    <w:rsid w:val="009B65F4"/>
    <w:rsid w:val="009C46BF"/>
    <w:rsid w:val="009D63A9"/>
    <w:rsid w:val="009E15B4"/>
    <w:rsid w:val="00A00304"/>
    <w:rsid w:val="00A032F1"/>
    <w:rsid w:val="00A04C79"/>
    <w:rsid w:val="00A14B1D"/>
    <w:rsid w:val="00A27C7D"/>
    <w:rsid w:val="00A40057"/>
    <w:rsid w:val="00A4593D"/>
    <w:rsid w:val="00A53958"/>
    <w:rsid w:val="00A60D1E"/>
    <w:rsid w:val="00A81140"/>
    <w:rsid w:val="00A824CA"/>
    <w:rsid w:val="00A8294E"/>
    <w:rsid w:val="00AB21DA"/>
    <w:rsid w:val="00AB609C"/>
    <w:rsid w:val="00AC248E"/>
    <w:rsid w:val="00AC3F99"/>
    <w:rsid w:val="00AE2B18"/>
    <w:rsid w:val="00AF0B38"/>
    <w:rsid w:val="00AF3F82"/>
    <w:rsid w:val="00AF4583"/>
    <w:rsid w:val="00B05E89"/>
    <w:rsid w:val="00B113F7"/>
    <w:rsid w:val="00B151A8"/>
    <w:rsid w:val="00B16800"/>
    <w:rsid w:val="00B27BE5"/>
    <w:rsid w:val="00B337A5"/>
    <w:rsid w:val="00B35A45"/>
    <w:rsid w:val="00B4641E"/>
    <w:rsid w:val="00B46E78"/>
    <w:rsid w:val="00B47923"/>
    <w:rsid w:val="00B5072E"/>
    <w:rsid w:val="00B520D9"/>
    <w:rsid w:val="00B53290"/>
    <w:rsid w:val="00B57FE6"/>
    <w:rsid w:val="00B64C77"/>
    <w:rsid w:val="00B650A8"/>
    <w:rsid w:val="00B75AE2"/>
    <w:rsid w:val="00B80485"/>
    <w:rsid w:val="00B95BF7"/>
    <w:rsid w:val="00BD7483"/>
    <w:rsid w:val="00C1644D"/>
    <w:rsid w:val="00C30621"/>
    <w:rsid w:val="00C307F0"/>
    <w:rsid w:val="00C3241C"/>
    <w:rsid w:val="00C4493E"/>
    <w:rsid w:val="00C766EF"/>
    <w:rsid w:val="00C80F8C"/>
    <w:rsid w:val="00CA047D"/>
    <w:rsid w:val="00CC5EAB"/>
    <w:rsid w:val="00CF30E8"/>
    <w:rsid w:val="00D01B99"/>
    <w:rsid w:val="00D06DEE"/>
    <w:rsid w:val="00D11C6F"/>
    <w:rsid w:val="00D22D87"/>
    <w:rsid w:val="00D557C2"/>
    <w:rsid w:val="00D64F32"/>
    <w:rsid w:val="00D76FBE"/>
    <w:rsid w:val="00D80B0A"/>
    <w:rsid w:val="00DA5209"/>
    <w:rsid w:val="00DC6D7D"/>
    <w:rsid w:val="00DC7173"/>
    <w:rsid w:val="00DD6A6C"/>
    <w:rsid w:val="00E10A96"/>
    <w:rsid w:val="00E146AA"/>
    <w:rsid w:val="00E267C3"/>
    <w:rsid w:val="00E27F2A"/>
    <w:rsid w:val="00E35143"/>
    <w:rsid w:val="00E42755"/>
    <w:rsid w:val="00E43B8E"/>
    <w:rsid w:val="00E45B76"/>
    <w:rsid w:val="00E46383"/>
    <w:rsid w:val="00E50E30"/>
    <w:rsid w:val="00E61EAA"/>
    <w:rsid w:val="00E63D4C"/>
    <w:rsid w:val="00E76ECF"/>
    <w:rsid w:val="00E8209A"/>
    <w:rsid w:val="00EA27CB"/>
    <w:rsid w:val="00EA69DF"/>
    <w:rsid w:val="00EA7804"/>
    <w:rsid w:val="00EA7874"/>
    <w:rsid w:val="00EB7480"/>
    <w:rsid w:val="00EB7DE6"/>
    <w:rsid w:val="00EB7F1A"/>
    <w:rsid w:val="00EC0002"/>
    <w:rsid w:val="00ED34E1"/>
    <w:rsid w:val="00ED5EE9"/>
    <w:rsid w:val="00EE66B7"/>
    <w:rsid w:val="00EE7D90"/>
    <w:rsid w:val="00F164B7"/>
    <w:rsid w:val="00F36CDE"/>
    <w:rsid w:val="00F44E84"/>
    <w:rsid w:val="00F548A9"/>
    <w:rsid w:val="00F54D8B"/>
    <w:rsid w:val="00F605E0"/>
    <w:rsid w:val="00F60F4C"/>
    <w:rsid w:val="00F9624E"/>
    <w:rsid w:val="00FA6221"/>
    <w:rsid w:val="00FB48D6"/>
    <w:rsid w:val="00FC4F07"/>
    <w:rsid w:val="00FE7408"/>
    <w:rsid w:val="00FF4757"/>
    <w:rsid w:val="00FF57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EFE4BFD2-B48E-467C-848E-18A9E8E8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character" w:styleId="Hipervnculo">
    <w:name w:val="Hyperlink"/>
    <w:basedOn w:val="Fuentedeprrafopredeter"/>
    <w:uiPriority w:val="99"/>
    <w:unhideWhenUsed/>
    <w:rsid w:val="004C0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055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CB91A-D691-4F59-A601-8ABA894B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1611</Words>
  <Characters>8863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2019-10-07T22:27:00Z</cp:lastPrinted>
  <dcterms:created xsi:type="dcterms:W3CDTF">2019-10-07T16:34:00Z</dcterms:created>
  <dcterms:modified xsi:type="dcterms:W3CDTF">2019-11-08T02:12:00Z</dcterms:modified>
</cp:coreProperties>
</file>