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740" w:rsidRPr="00CF0DCB" w:rsidRDefault="006A2740" w:rsidP="00CF0DCB">
      <w:pPr>
        <w:tabs>
          <w:tab w:val="center" w:pos="4394"/>
          <w:tab w:val="left" w:pos="6735"/>
        </w:tabs>
        <w:spacing w:before="240" w:after="240" w:line="360" w:lineRule="auto"/>
        <w:rPr>
          <w:rFonts w:ascii="Palatino Linotype" w:hAnsi="Palatino Linotype"/>
          <w:b/>
        </w:rPr>
      </w:pPr>
      <w:bookmarkStart w:id="0" w:name="_GoBack"/>
      <w:bookmarkEnd w:id="0"/>
      <w:r w:rsidRPr="00CF0DCB">
        <w:rPr>
          <w:rFonts w:ascii="Palatino Linotype" w:hAnsi="Palatino Linotype"/>
          <w:b/>
        </w:rPr>
        <w:tab/>
        <w:t>LÍNEAS ARGUMENTATIVAS.</w:t>
      </w:r>
    </w:p>
    <w:p w:rsidR="00361EFD" w:rsidRPr="00CF0DCB" w:rsidRDefault="00361EFD" w:rsidP="00CF0DCB">
      <w:pPr>
        <w:spacing w:before="240" w:after="240" w:line="360" w:lineRule="auto"/>
        <w:jc w:val="both"/>
        <w:rPr>
          <w:rFonts w:ascii="Palatino Linotype" w:eastAsia="MS Mincho" w:hAnsi="Palatino Linotype" w:cs="Times New Roman"/>
        </w:rPr>
      </w:pPr>
      <w:r w:rsidRPr="00CF0DCB">
        <w:rPr>
          <w:rFonts w:ascii="Palatino Linotype" w:eastAsia="MS Mincho" w:hAnsi="Palatino Linotype" w:cs="Times New Roman"/>
          <w:b/>
        </w:rPr>
        <w:t>NEGATIVA FICTA, NO EXISTE PLAZO PERENTORIO PARA INTERPONER EL RECURSO.</w:t>
      </w:r>
      <w:r w:rsidRPr="00CF0DCB">
        <w:rPr>
          <w:rFonts w:ascii="Palatino Linotype" w:eastAsia="MS Mincho" w:hAnsi="Palatino Linotype" w:cs="Times New Roman"/>
        </w:rPr>
        <w:t xml:space="preserve"> Tratándose de negativa ficta no existe plazo para la interposición del recurso de revisión por tratarse de una afectación continua al Derecho de Acceso a la Información Pública.</w:t>
      </w:r>
    </w:p>
    <w:p w:rsidR="006A2740" w:rsidRPr="00CF0DCB" w:rsidRDefault="006A2740" w:rsidP="00CF0DCB">
      <w:pPr>
        <w:spacing w:before="240" w:after="360" w:line="360" w:lineRule="auto"/>
        <w:contextualSpacing/>
        <w:jc w:val="both"/>
        <w:rPr>
          <w:rFonts w:ascii="Palatino Linotype" w:eastAsia="Times New Roman" w:hAnsi="Palatino Linotype"/>
        </w:rPr>
      </w:pPr>
      <w:r w:rsidRPr="00CF0DCB">
        <w:rPr>
          <w:rFonts w:ascii="Palatino Linotype" w:eastAsia="Times New Roman" w:hAnsi="Palatino Linotype"/>
          <w:b/>
        </w:rPr>
        <w:t>DEBERES DE LAS AUTORIDADES.</w:t>
      </w:r>
      <w:r w:rsidRPr="00CF0DCB">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6A2740" w:rsidRPr="00CF0DCB" w:rsidRDefault="006A2740" w:rsidP="00CF0DCB">
      <w:pPr>
        <w:spacing w:before="240" w:after="360" w:line="360" w:lineRule="auto"/>
        <w:contextualSpacing/>
        <w:jc w:val="both"/>
        <w:rPr>
          <w:rFonts w:ascii="Palatino Linotype" w:eastAsia="Times New Roman" w:hAnsi="Palatino Linotype"/>
        </w:rPr>
      </w:pPr>
    </w:p>
    <w:p w:rsidR="006A2740" w:rsidRPr="00CF0DCB" w:rsidRDefault="006A2740" w:rsidP="00CF0DCB">
      <w:pPr>
        <w:spacing w:before="240" w:after="360" w:line="360" w:lineRule="auto"/>
        <w:contextualSpacing/>
        <w:jc w:val="both"/>
        <w:rPr>
          <w:rFonts w:ascii="Palatino Linotype" w:eastAsia="Times New Roman" w:hAnsi="Palatino Linotype"/>
        </w:rPr>
      </w:pPr>
      <w:r w:rsidRPr="00CF0DCB">
        <w:rPr>
          <w:rFonts w:ascii="Palatino Linotype" w:eastAsia="Times New Roman" w:hAnsi="Palatino Linotype"/>
          <w:b/>
        </w:rPr>
        <w:t xml:space="preserve">DERECHO DE ACCESO A LA INFORMACIÓN PÚBLICA. </w:t>
      </w:r>
      <w:r w:rsidRPr="00CF0DCB">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rsidR="006A2740" w:rsidRPr="00CF0DCB" w:rsidRDefault="006A2740" w:rsidP="00CF0DCB">
      <w:pPr>
        <w:spacing w:before="240" w:after="360" w:line="360" w:lineRule="auto"/>
        <w:contextualSpacing/>
        <w:jc w:val="both"/>
        <w:rPr>
          <w:rFonts w:ascii="Palatino Linotype" w:hAnsi="Palatino Linotype" w:cs="Arial"/>
        </w:rPr>
      </w:pPr>
    </w:p>
    <w:p w:rsidR="00361EFD" w:rsidRPr="00CF0DCB" w:rsidRDefault="006A2740" w:rsidP="00CF0DCB">
      <w:pPr>
        <w:spacing w:before="240" w:after="240" w:line="360" w:lineRule="auto"/>
        <w:jc w:val="both"/>
        <w:rPr>
          <w:rFonts w:ascii="Palatino Linotype" w:eastAsia="Times New Roman" w:hAnsi="Palatino Linotype" w:cs="Times New Roman"/>
        </w:rPr>
      </w:pPr>
      <w:bookmarkStart w:id="1" w:name="_Toc512340953"/>
      <w:r w:rsidRPr="00CF0DCB">
        <w:rPr>
          <w:rFonts w:ascii="Palatino Linotype" w:eastAsia="Times New Roman" w:hAnsi="Palatino Linotype" w:cs="Times New Roman"/>
          <w:b/>
          <w:lang w:val="es-MX" w:eastAsia="en-US"/>
        </w:rPr>
        <w:t>RESPUESTAS IMPRECISAS O INCOMPLETAS, DEBER DE REPARACIÓN</w:t>
      </w:r>
      <w:bookmarkEnd w:id="1"/>
      <w:r w:rsidRPr="00CF0DCB">
        <w:rPr>
          <w:rFonts w:ascii="Palatino Linotype" w:eastAsia="Times New Roman" w:hAnsi="Palatino Linotype" w:cs="Times New Roman"/>
          <w:b/>
        </w:rPr>
        <w:t>.</w:t>
      </w:r>
      <w:r w:rsidRPr="00CF0DCB">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rsidR="006A2740" w:rsidRPr="00CF0DCB" w:rsidRDefault="006A2740" w:rsidP="00CF0DCB">
      <w:pPr>
        <w:spacing w:before="240" w:after="240" w:line="360" w:lineRule="auto"/>
        <w:jc w:val="center"/>
        <w:rPr>
          <w:rFonts w:ascii="Palatino Linotype" w:hAnsi="Palatino Linotype"/>
          <w:color w:val="000000" w:themeColor="text1"/>
        </w:rPr>
      </w:pPr>
      <w:r w:rsidRPr="00CF0DCB">
        <w:rPr>
          <w:rFonts w:ascii="Palatino Linotype" w:hAnsi="Palatino Linotype"/>
          <w:b/>
          <w:color w:val="000000" w:themeColor="text1"/>
        </w:rPr>
        <w:lastRenderedPageBreak/>
        <w:t>ÍNDICE</w:t>
      </w:r>
      <w:r w:rsidRPr="00CF0DCB">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rsidR="001F3B06" w:rsidRPr="00CF0DCB" w:rsidRDefault="006A2740" w:rsidP="00CF0DCB">
          <w:pPr>
            <w:pStyle w:val="TDC1"/>
            <w:spacing w:line="360" w:lineRule="auto"/>
            <w:rPr>
              <w:rFonts w:ascii="Palatino Linotype" w:hAnsi="Palatino Linotype"/>
              <w:noProof/>
              <w:lang w:val="es-MX" w:eastAsia="es-MX"/>
            </w:rPr>
          </w:pPr>
          <w:r w:rsidRPr="00CF0DCB">
            <w:rPr>
              <w:rFonts w:ascii="Palatino Linotype" w:hAnsi="Palatino Linotype"/>
              <w:color w:val="000000" w:themeColor="text1"/>
            </w:rPr>
            <w:fldChar w:fldCharType="begin"/>
          </w:r>
          <w:r w:rsidRPr="00CF0DCB">
            <w:rPr>
              <w:rFonts w:ascii="Palatino Linotype" w:hAnsi="Palatino Linotype"/>
              <w:color w:val="000000" w:themeColor="text1"/>
            </w:rPr>
            <w:instrText xml:space="preserve"> TOC \o "1-3" \h \z \u </w:instrText>
          </w:r>
          <w:r w:rsidRPr="00CF0DCB">
            <w:rPr>
              <w:rFonts w:ascii="Palatino Linotype" w:hAnsi="Palatino Linotype"/>
              <w:color w:val="000000" w:themeColor="text1"/>
            </w:rPr>
            <w:fldChar w:fldCharType="separate"/>
          </w:r>
          <w:hyperlink w:anchor="_Toc18613083" w:history="1">
            <w:r w:rsidR="001F3B06" w:rsidRPr="00CF0DCB">
              <w:rPr>
                <w:rStyle w:val="Hipervnculo"/>
                <w:rFonts w:ascii="Palatino Linotype" w:hAnsi="Palatino Linotype"/>
                <w:b/>
                <w:noProof/>
              </w:rPr>
              <w:t>ANTECEDENTES</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_Toc18613083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3</w:t>
            </w:r>
            <w:r w:rsidR="001F3B06" w:rsidRPr="00CF0DCB">
              <w:rPr>
                <w:rFonts w:ascii="Palatino Linotype" w:hAnsi="Palatino Linotype"/>
                <w:noProof/>
                <w:webHidden/>
              </w:rPr>
              <w:fldChar w:fldCharType="end"/>
            </w:r>
          </w:hyperlink>
        </w:p>
        <w:p w:rsidR="001F3B06" w:rsidRPr="00CF0DCB" w:rsidRDefault="001C659B" w:rsidP="00CF0DCB">
          <w:pPr>
            <w:pStyle w:val="TDC1"/>
            <w:spacing w:line="360" w:lineRule="auto"/>
            <w:rPr>
              <w:rFonts w:ascii="Palatino Linotype" w:hAnsi="Palatino Linotype"/>
              <w:noProof/>
              <w:lang w:val="es-MX" w:eastAsia="es-MX"/>
            </w:rPr>
          </w:pPr>
          <w:hyperlink w:anchor="_Toc18613086" w:history="1">
            <w:r w:rsidR="001F3B06" w:rsidRPr="00CF0DCB">
              <w:rPr>
                <w:rStyle w:val="Hipervnculo"/>
                <w:rFonts w:ascii="Palatino Linotype" w:hAnsi="Palatino Linotype"/>
                <w:b/>
                <w:noProof/>
              </w:rPr>
              <w:t>CONSIDERANDO</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_Toc18613086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34</w:t>
            </w:r>
            <w:r w:rsidR="001F3B06" w:rsidRPr="00CF0DCB">
              <w:rPr>
                <w:rFonts w:ascii="Palatino Linotype" w:hAnsi="Palatino Linotype"/>
                <w:noProof/>
                <w:webHidden/>
              </w:rPr>
              <w:fldChar w:fldCharType="end"/>
            </w:r>
          </w:hyperlink>
        </w:p>
        <w:p w:rsidR="001F3B06" w:rsidRPr="00CF0DCB" w:rsidRDefault="001C659B" w:rsidP="00CF0DCB">
          <w:pPr>
            <w:pStyle w:val="TDC2"/>
            <w:tabs>
              <w:tab w:val="right" w:leader="dot" w:pos="8637"/>
            </w:tabs>
            <w:spacing w:line="360" w:lineRule="auto"/>
            <w:ind w:left="0"/>
            <w:rPr>
              <w:rFonts w:ascii="Palatino Linotype" w:hAnsi="Palatino Linotype"/>
              <w:noProof/>
              <w:lang w:val="es-MX" w:eastAsia="es-MX"/>
            </w:rPr>
          </w:pPr>
          <w:hyperlink w:anchor="_Toc18613087" w:history="1">
            <w:r w:rsidR="001F3B06" w:rsidRPr="00CF0DCB">
              <w:rPr>
                <w:rStyle w:val="Hipervnculo"/>
                <w:rFonts w:ascii="Palatino Linotype" w:hAnsi="Palatino Linotype"/>
                <w:b/>
                <w:noProof/>
              </w:rPr>
              <w:t>PRIMERO. De la competencia</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_Toc18613087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34</w:t>
            </w:r>
            <w:r w:rsidR="001F3B06" w:rsidRPr="00CF0DCB">
              <w:rPr>
                <w:rFonts w:ascii="Palatino Linotype" w:hAnsi="Palatino Linotype"/>
                <w:noProof/>
                <w:webHidden/>
              </w:rPr>
              <w:fldChar w:fldCharType="end"/>
            </w:r>
          </w:hyperlink>
        </w:p>
        <w:p w:rsidR="001F3B06" w:rsidRPr="00CF0DCB" w:rsidRDefault="001C659B" w:rsidP="00CF0DCB">
          <w:pPr>
            <w:pStyle w:val="TDC2"/>
            <w:tabs>
              <w:tab w:val="right" w:leader="dot" w:pos="8637"/>
            </w:tabs>
            <w:spacing w:line="360" w:lineRule="auto"/>
            <w:ind w:left="0"/>
            <w:rPr>
              <w:rFonts w:ascii="Palatino Linotype" w:hAnsi="Palatino Linotype"/>
              <w:noProof/>
              <w:lang w:val="es-MX" w:eastAsia="es-MX"/>
            </w:rPr>
          </w:pPr>
          <w:hyperlink w:anchor="_Toc18613088" w:history="1">
            <w:r w:rsidR="001F3B06" w:rsidRPr="00CF0DCB">
              <w:rPr>
                <w:rStyle w:val="Hipervnculo"/>
                <w:rFonts w:ascii="Palatino Linotype" w:hAnsi="Palatino Linotype"/>
                <w:b/>
                <w:noProof/>
              </w:rPr>
              <w:t>SEGUNDO. De la oportunidad y procedibilidad.</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_Toc18613088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35</w:t>
            </w:r>
            <w:r w:rsidR="001F3B06" w:rsidRPr="00CF0DCB">
              <w:rPr>
                <w:rFonts w:ascii="Palatino Linotype" w:hAnsi="Palatino Linotype"/>
                <w:noProof/>
                <w:webHidden/>
              </w:rPr>
              <w:fldChar w:fldCharType="end"/>
            </w:r>
          </w:hyperlink>
        </w:p>
        <w:p w:rsidR="001F3B06" w:rsidRPr="00CF0DCB" w:rsidRDefault="001C659B" w:rsidP="00CF0DCB">
          <w:pPr>
            <w:pStyle w:val="TDC1"/>
            <w:spacing w:line="360" w:lineRule="auto"/>
            <w:rPr>
              <w:rFonts w:ascii="Palatino Linotype" w:hAnsi="Palatino Linotype"/>
              <w:noProof/>
              <w:lang w:val="es-MX" w:eastAsia="es-MX"/>
            </w:rPr>
          </w:pPr>
          <w:hyperlink w:anchor="_Toc18613089" w:history="1">
            <w:r w:rsidR="001F3B06" w:rsidRPr="00CF0DCB">
              <w:rPr>
                <w:rStyle w:val="Hipervnculo"/>
                <w:rFonts w:ascii="Palatino Linotype" w:hAnsi="Palatino Linotype"/>
                <w:b/>
                <w:noProof/>
              </w:rPr>
              <w:t>TERCERO. Del planteamiento de la Litis.</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_Toc18613089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38</w:t>
            </w:r>
            <w:r w:rsidR="001F3B06" w:rsidRPr="00CF0DCB">
              <w:rPr>
                <w:rFonts w:ascii="Palatino Linotype" w:hAnsi="Palatino Linotype"/>
                <w:noProof/>
                <w:webHidden/>
              </w:rPr>
              <w:fldChar w:fldCharType="end"/>
            </w:r>
          </w:hyperlink>
        </w:p>
        <w:p w:rsidR="001F3B06" w:rsidRPr="00CF0DCB" w:rsidRDefault="001C659B" w:rsidP="00CF0DCB">
          <w:pPr>
            <w:pStyle w:val="TDC1"/>
            <w:spacing w:line="360" w:lineRule="auto"/>
            <w:rPr>
              <w:rFonts w:ascii="Palatino Linotype" w:hAnsi="Palatino Linotype"/>
              <w:noProof/>
              <w:lang w:val="es-MX" w:eastAsia="es-MX"/>
            </w:rPr>
          </w:pPr>
          <w:hyperlink w:anchor="_Toc18613090" w:history="1">
            <w:r w:rsidR="001F3B06" w:rsidRPr="00CF0DCB">
              <w:rPr>
                <w:rStyle w:val="Hipervnculo"/>
                <w:rFonts w:ascii="Palatino Linotype" w:hAnsi="Palatino Linotype"/>
                <w:b/>
                <w:noProof/>
              </w:rPr>
              <w:t>CUARTO. Del estudio y resolución del asunto.</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_Toc18613090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39</w:t>
            </w:r>
            <w:r w:rsidR="001F3B06" w:rsidRPr="00CF0DCB">
              <w:rPr>
                <w:rFonts w:ascii="Palatino Linotype" w:hAnsi="Palatino Linotype"/>
                <w:noProof/>
                <w:webHidden/>
              </w:rPr>
              <w:fldChar w:fldCharType="end"/>
            </w:r>
          </w:hyperlink>
        </w:p>
        <w:p w:rsidR="001F3B06" w:rsidRPr="00CF0DCB" w:rsidRDefault="001C659B" w:rsidP="00CF0DCB">
          <w:pPr>
            <w:pStyle w:val="TDC1"/>
            <w:spacing w:line="360" w:lineRule="auto"/>
            <w:rPr>
              <w:rFonts w:ascii="Palatino Linotype" w:hAnsi="Palatino Linotype"/>
              <w:noProof/>
              <w:lang w:val="es-MX" w:eastAsia="es-MX"/>
            </w:rPr>
          </w:pPr>
          <w:hyperlink w:anchor="_Toc18613091" w:history="1">
            <w:r w:rsidR="001F3B06" w:rsidRPr="00CF0DCB">
              <w:rPr>
                <w:rStyle w:val="Hipervnculo"/>
                <w:rFonts w:ascii="Palatino Linotype" w:hAnsi="Palatino Linotype"/>
                <w:b/>
                <w:noProof/>
              </w:rPr>
              <w:t>I. Del deber de las autoridades de promover, respetar, proteger, y garantizar el derecho de acceso a la información pública.</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_Toc18613091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39</w:t>
            </w:r>
            <w:r w:rsidR="001F3B06" w:rsidRPr="00CF0DCB">
              <w:rPr>
                <w:rFonts w:ascii="Palatino Linotype" w:hAnsi="Palatino Linotype"/>
                <w:noProof/>
                <w:webHidden/>
              </w:rPr>
              <w:fldChar w:fldCharType="end"/>
            </w:r>
          </w:hyperlink>
        </w:p>
        <w:p w:rsidR="001F3B06" w:rsidRPr="00CF0DCB" w:rsidRDefault="001C659B" w:rsidP="00CF0DCB">
          <w:pPr>
            <w:pStyle w:val="TDC1"/>
            <w:spacing w:line="360" w:lineRule="auto"/>
            <w:rPr>
              <w:rFonts w:ascii="Palatino Linotype" w:hAnsi="Palatino Linotype"/>
              <w:noProof/>
              <w:lang w:val="es-MX" w:eastAsia="es-MX"/>
            </w:rPr>
          </w:pPr>
          <w:hyperlink w:anchor="_Toc18613092" w:history="1">
            <w:r w:rsidR="001F3B06" w:rsidRPr="00CF0DCB">
              <w:rPr>
                <w:rStyle w:val="Hipervnculo"/>
                <w:rFonts w:ascii="Palatino Linotype" w:hAnsi="Palatino Linotype"/>
                <w:b/>
                <w:noProof/>
              </w:rPr>
              <w:t>II.  De la fuente obligacional del Sujeto Obligado.</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_Toc18613092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41</w:t>
            </w:r>
            <w:r w:rsidR="001F3B06" w:rsidRPr="00CF0DCB">
              <w:rPr>
                <w:rFonts w:ascii="Palatino Linotype" w:hAnsi="Palatino Linotype"/>
                <w:noProof/>
                <w:webHidden/>
              </w:rPr>
              <w:fldChar w:fldCharType="end"/>
            </w:r>
          </w:hyperlink>
        </w:p>
        <w:p w:rsidR="001F3B06" w:rsidRPr="00CF0DCB" w:rsidRDefault="001C659B" w:rsidP="00CF0DCB">
          <w:pPr>
            <w:pStyle w:val="TDC1"/>
            <w:spacing w:line="360" w:lineRule="auto"/>
            <w:rPr>
              <w:rFonts w:ascii="Palatino Linotype" w:hAnsi="Palatino Linotype"/>
              <w:noProof/>
              <w:lang w:val="es-MX" w:eastAsia="es-MX"/>
            </w:rPr>
          </w:pPr>
          <w:hyperlink w:anchor="_Toc18613093" w:history="1">
            <w:r w:rsidR="001F3B06" w:rsidRPr="00CF0DCB">
              <w:rPr>
                <w:rStyle w:val="Hipervnculo"/>
                <w:rFonts w:ascii="Palatino Linotype" w:hAnsi="Palatino Linotype"/>
                <w:b/>
                <w:noProof/>
              </w:rPr>
              <w:t>QUINTO. Vista a los órganos de control interno.</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_Toc18613093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82</w:t>
            </w:r>
            <w:r w:rsidR="001F3B06" w:rsidRPr="00CF0DCB">
              <w:rPr>
                <w:rFonts w:ascii="Palatino Linotype" w:hAnsi="Palatino Linotype"/>
                <w:noProof/>
                <w:webHidden/>
              </w:rPr>
              <w:fldChar w:fldCharType="end"/>
            </w:r>
          </w:hyperlink>
        </w:p>
        <w:p w:rsidR="001F3B06" w:rsidRPr="00CF0DCB" w:rsidRDefault="00CF0DCB" w:rsidP="00CF0DCB">
          <w:pPr>
            <w:pStyle w:val="TDC2"/>
            <w:tabs>
              <w:tab w:val="right" w:leader="dot" w:pos="8637"/>
            </w:tabs>
            <w:spacing w:line="360" w:lineRule="auto"/>
            <w:ind w:left="0"/>
            <w:rPr>
              <w:rFonts w:ascii="Palatino Linotype" w:hAnsi="Palatino Linotype"/>
              <w:noProof/>
              <w:lang w:val="es-MX" w:eastAsia="es-MX"/>
            </w:rPr>
          </w:pPr>
          <w:r>
            <w:rPr>
              <w:rFonts w:ascii="Palatino Linotype" w:eastAsiaTheme="majorEastAsia" w:hAnsi="Palatino Linotype" w:cstheme="majorBidi"/>
              <w:b/>
              <w:noProof/>
              <w:color w:val="0563C1" w:themeColor="hyperlink"/>
              <w:u w:val="single"/>
              <w:lang w:val="es-MX" w:eastAsia="es-MX"/>
            </w:rPr>
            <mc:AlternateContent>
              <mc:Choice Requires="wps">
                <w:drawing>
                  <wp:anchor distT="0" distB="0" distL="114300" distR="114300" simplePos="0" relativeHeight="251672576" behindDoc="0" locked="0" layoutInCell="1" allowOverlap="1">
                    <wp:simplePos x="0" y="0"/>
                    <wp:positionH relativeFrom="column">
                      <wp:posOffset>-39611</wp:posOffset>
                    </wp:positionH>
                    <wp:positionV relativeFrom="paragraph">
                      <wp:posOffset>366001</wp:posOffset>
                    </wp:positionV>
                    <wp:extent cx="5517931" cy="2911365"/>
                    <wp:effectExtent l="19050" t="19050" r="26035" b="22860"/>
                    <wp:wrapNone/>
                    <wp:docPr id="7" name="Conector recto 7"/>
                    <wp:cNvGraphicFramePr/>
                    <a:graphic xmlns:a="http://schemas.openxmlformats.org/drawingml/2006/main">
                      <a:graphicData uri="http://schemas.microsoft.com/office/word/2010/wordprocessingShape">
                        <wps:wsp>
                          <wps:cNvCnPr/>
                          <wps:spPr>
                            <a:xfrm flipH="1" flipV="1">
                              <a:off x="0" y="0"/>
                              <a:ext cx="5517931" cy="29113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CB046" id="Conector recto 7"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3.1pt,28.8pt" to="431.4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" strokecolor="#5b9bd5 [3204]" strokeweight="3pt">
                    <v:stroke joinstyle="miter"/>
                  </v:line>
                </w:pict>
              </mc:Fallback>
            </mc:AlternateContent>
          </w:r>
          <w:hyperlink w:anchor="_Toc18613094" w:history="1">
            <w:r w:rsidR="001F3B06" w:rsidRPr="00CF0DCB">
              <w:rPr>
                <w:rStyle w:val="Hipervnculo"/>
                <w:rFonts w:ascii="Palatino Linotype" w:eastAsiaTheme="majorEastAsia" w:hAnsi="Palatino Linotype" w:cstheme="majorBidi"/>
                <w:b/>
                <w:noProof/>
                <w:lang w:val="es-MX" w:eastAsia="en-US"/>
              </w:rPr>
              <w:t>R E S O L U T I V O S</w:t>
            </w:r>
            <w:r w:rsidR="001F3B06" w:rsidRPr="00CF0DCB">
              <w:rPr>
                <w:rFonts w:ascii="Palatino Linotype" w:hAnsi="Palatino Linotype"/>
                <w:noProof/>
                <w:webHidden/>
              </w:rPr>
              <w:tab/>
            </w:r>
            <w:r w:rsidR="001F3B06" w:rsidRPr="00CF0DCB">
              <w:rPr>
                <w:rFonts w:ascii="Palatino Linotype" w:hAnsi="Palatino Linotype"/>
                <w:noProof/>
                <w:webHidden/>
              </w:rPr>
              <w:fldChar w:fldCharType="begin"/>
            </w:r>
            <w:r w:rsidR="001F3B06" w:rsidRPr="00CF0DCB">
              <w:rPr>
                <w:rFonts w:ascii="Palatino Linotype" w:hAnsi="Palatino Linotype"/>
                <w:noProof/>
                <w:webHidden/>
              </w:rPr>
              <w:instrText xml:space="preserve"> PAGEREF _Toc18613094 \h </w:instrText>
            </w:r>
            <w:r w:rsidR="001F3B06" w:rsidRPr="00CF0DCB">
              <w:rPr>
                <w:rFonts w:ascii="Palatino Linotype" w:hAnsi="Palatino Linotype"/>
                <w:noProof/>
                <w:webHidden/>
              </w:rPr>
            </w:r>
            <w:r w:rsidR="001F3B06" w:rsidRPr="00CF0DCB">
              <w:rPr>
                <w:rFonts w:ascii="Palatino Linotype" w:hAnsi="Palatino Linotype"/>
                <w:noProof/>
                <w:webHidden/>
              </w:rPr>
              <w:fldChar w:fldCharType="separate"/>
            </w:r>
            <w:r w:rsidR="004B11A1">
              <w:rPr>
                <w:rFonts w:ascii="Palatino Linotype" w:hAnsi="Palatino Linotype"/>
                <w:noProof/>
                <w:webHidden/>
              </w:rPr>
              <w:t>86</w:t>
            </w:r>
            <w:r w:rsidR="001F3B06" w:rsidRPr="00CF0DCB">
              <w:rPr>
                <w:rFonts w:ascii="Palatino Linotype" w:hAnsi="Palatino Linotype"/>
                <w:noProof/>
                <w:webHidden/>
              </w:rPr>
              <w:fldChar w:fldCharType="end"/>
            </w:r>
          </w:hyperlink>
        </w:p>
        <w:p w:rsidR="006A2740" w:rsidRPr="00CF0DCB" w:rsidRDefault="006A2740" w:rsidP="00CF0DCB">
          <w:pPr>
            <w:spacing w:line="360" w:lineRule="auto"/>
            <w:rPr>
              <w:rFonts w:ascii="Palatino Linotype" w:hAnsi="Palatino Linotype"/>
              <w:b/>
              <w:bCs/>
              <w:color w:val="000000" w:themeColor="text1"/>
              <w:lang w:val="es-ES"/>
            </w:rPr>
          </w:pPr>
          <w:r w:rsidRPr="00CF0DCB">
            <w:rPr>
              <w:rFonts w:ascii="Palatino Linotype" w:hAnsi="Palatino Linotype"/>
              <w:b/>
              <w:bCs/>
              <w:color w:val="000000" w:themeColor="text1"/>
              <w:lang w:val="es-ES"/>
            </w:rPr>
            <w:fldChar w:fldCharType="end"/>
          </w:r>
        </w:p>
      </w:sdtContent>
    </w:sdt>
    <w:p w:rsidR="006A2740" w:rsidRPr="00CF0DCB" w:rsidRDefault="006A2740" w:rsidP="00CF0DCB">
      <w:pPr>
        <w:spacing w:line="360" w:lineRule="auto"/>
        <w:rPr>
          <w:rFonts w:ascii="Palatino Linotype" w:hAnsi="Palatino Linotype"/>
          <w:color w:val="000000" w:themeColor="text1"/>
        </w:rPr>
      </w:pPr>
    </w:p>
    <w:p w:rsidR="006A2740" w:rsidRPr="00CF0DCB" w:rsidRDefault="006A2740" w:rsidP="00CF0DCB">
      <w:pPr>
        <w:spacing w:before="240" w:after="240" w:line="360" w:lineRule="auto"/>
        <w:jc w:val="both"/>
        <w:rPr>
          <w:rFonts w:ascii="Palatino Linotype" w:hAnsi="Palatino Linotype"/>
          <w:color w:val="000000" w:themeColor="text1"/>
        </w:rPr>
      </w:pPr>
    </w:p>
    <w:p w:rsidR="006A2740" w:rsidRPr="00CF0DCB" w:rsidRDefault="006A2740" w:rsidP="00CF0DCB">
      <w:pPr>
        <w:spacing w:before="240" w:after="240" w:line="360" w:lineRule="auto"/>
        <w:jc w:val="both"/>
        <w:rPr>
          <w:rFonts w:ascii="Palatino Linotype" w:hAnsi="Palatino Linotype"/>
          <w:color w:val="000000" w:themeColor="text1"/>
        </w:rPr>
      </w:pPr>
    </w:p>
    <w:p w:rsidR="006A2740" w:rsidRPr="00CF0DCB" w:rsidRDefault="006A2740" w:rsidP="00CF0DCB">
      <w:pPr>
        <w:spacing w:before="240" w:after="240" w:line="360" w:lineRule="auto"/>
        <w:jc w:val="both"/>
        <w:rPr>
          <w:rFonts w:ascii="Palatino Linotype" w:hAnsi="Palatino Linotype"/>
          <w:color w:val="000000" w:themeColor="text1"/>
        </w:rPr>
      </w:pPr>
      <w:r w:rsidRPr="00CF0DCB">
        <w:rPr>
          <w:rFonts w:ascii="Palatino Linotype" w:hAnsi="Palatino Linotype"/>
          <w:color w:val="000000" w:themeColor="text1"/>
        </w:rPr>
        <w:lastRenderedPageBreak/>
        <w:t>Resolución del Pleno del Instituto de Transparencia, Acceso a la Información Pública y Protección de Datos Personales del Estado de México y Municipios, con domicilio en Metepec, Estado de México; de fecha once (11) de septiembre de dos mil diecinueve.</w:t>
      </w:r>
    </w:p>
    <w:p w:rsidR="006A2740" w:rsidRPr="00CF0DCB" w:rsidRDefault="006A2740" w:rsidP="00CF0DCB">
      <w:pPr>
        <w:spacing w:before="240" w:after="360" w:line="360" w:lineRule="auto"/>
        <w:jc w:val="both"/>
        <w:rPr>
          <w:rFonts w:ascii="Palatino Linotype" w:hAnsi="Palatino Linotype"/>
          <w:color w:val="000000" w:themeColor="text1"/>
        </w:rPr>
      </w:pPr>
      <w:r w:rsidRPr="00CF0DCB">
        <w:rPr>
          <w:rFonts w:ascii="Palatino Linotype" w:hAnsi="Palatino Linotype"/>
          <w:b/>
          <w:color w:val="000000" w:themeColor="text1"/>
        </w:rPr>
        <w:t>VISTO</w:t>
      </w:r>
      <w:r w:rsidRPr="00CF0DCB">
        <w:rPr>
          <w:rFonts w:ascii="Palatino Linotype" w:hAnsi="Palatino Linotype"/>
          <w:color w:val="000000" w:themeColor="text1"/>
        </w:rPr>
        <w:t xml:space="preserve"> el expediente electrónico formado con motivo de los recursos de revisión</w:t>
      </w:r>
      <w:r w:rsidRPr="00CF0DCB">
        <w:rPr>
          <w:rFonts w:ascii="Palatino Linotype" w:hAnsi="Palatino Linotype"/>
          <w:b/>
          <w:bCs/>
          <w:color w:val="FF0000"/>
        </w:rPr>
        <w:t xml:space="preserve"> </w:t>
      </w:r>
      <w:r w:rsidRPr="00CF0DCB">
        <w:rPr>
          <w:rFonts w:ascii="Palatino Linotype" w:hAnsi="Palatino Linotype"/>
          <w:b/>
          <w:bCs/>
          <w:color w:val="000000" w:themeColor="text1"/>
        </w:rPr>
        <w:t>05748/INFOEM/IP/RR/2019 y 05749/INFOEM/IP/RR/2019</w:t>
      </w:r>
      <w:r w:rsidRPr="00CF0DCB">
        <w:rPr>
          <w:rFonts w:ascii="Palatino Linotype" w:hAnsi="Palatino Linotype" w:cs="Arial"/>
          <w:b/>
          <w:bCs/>
          <w:color w:val="000000" w:themeColor="text1"/>
        </w:rPr>
        <w:t xml:space="preserve">, </w:t>
      </w:r>
      <w:r w:rsidRPr="00CF0DCB">
        <w:rPr>
          <w:rFonts w:ascii="Palatino Linotype" w:hAnsi="Palatino Linotype"/>
          <w:color w:val="000000" w:themeColor="text1"/>
        </w:rPr>
        <w:t xml:space="preserve">promovido por </w:t>
      </w:r>
      <w:r w:rsidR="00E868B3" w:rsidRPr="00E868B3">
        <w:rPr>
          <w:rFonts w:ascii="Palatino Linotype" w:hAnsi="Palatino Linotype"/>
          <w:b/>
          <w:color w:val="000000" w:themeColor="text1"/>
          <w:highlight w:val="black"/>
        </w:rPr>
        <w:t>-----------------------------------------</w:t>
      </w:r>
      <w:r w:rsidRPr="00CF0DCB">
        <w:rPr>
          <w:rFonts w:ascii="Palatino Linotype" w:hAnsi="Palatino Linotype"/>
          <w:color w:val="000000" w:themeColor="text1"/>
        </w:rPr>
        <w:t xml:space="preserve">, en su calidad de </w:t>
      </w:r>
      <w:r w:rsidRPr="00CF0DCB">
        <w:rPr>
          <w:rFonts w:ascii="Palatino Linotype" w:hAnsi="Palatino Linotype"/>
          <w:b/>
          <w:color w:val="000000" w:themeColor="text1"/>
        </w:rPr>
        <w:t>RECURRENTE</w:t>
      </w:r>
      <w:r w:rsidRPr="00CF0DCB">
        <w:rPr>
          <w:rFonts w:ascii="Palatino Linotype" w:hAnsi="Palatino Linotype"/>
          <w:color w:val="000000" w:themeColor="text1"/>
        </w:rPr>
        <w:t xml:space="preserve">, </w:t>
      </w:r>
      <w:r w:rsidRPr="00CF0DCB">
        <w:rPr>
          <w:rFonts w:ascii="Palatino Linotype" w:hAnsi="Palatino Linotype" w:cs="Arial"/>
          <w:color w:val="000000" w:themeColor="text1"/>
        </w:rPr>
        <w:t xml:space="preserve">en contra de la falta de respuestas del </w:t>
      </w:r>
      <w:r w:rsidRPr="00CF0DCB">
        <w:rPr>
          <w:rFonts w:ascii="Palatino Linotype" w:hAnsi="Palatino Linotype" w:cs="Arial"/>
          <w:b/>
          <w:color w:val="000000" w:themeColor="text1"/>
        </w:rPr>
        <w:t>Ayuntamiento de Coyotepec</w:t>
      </w:r>
      <w:r w:rsidRPr="00CF0DCB">
        <w:rPr>
          <w:rFonts w:ascii="Palatino Linotype" w:hAnsi="Palatino Linotype"/>
          <w:b/>
          <w:color w:val="000000" w:themeColor="text1"/>
        </w:rPr>
        <w:t xml:space="preserve">, </w:t>
      </w:r>
      <w:r w:rsidRPr="00CF0DCB">
        <w:rPr>
          <w:rFonts w:ascii="Palatino Linotype" w:hAnsi="Palatino Linotype"/>
          <w:color w:val="000000" w:themeColor="text1"/>
        </w:rPr>
        <w:t>en lo sucesivo el</w:t>
      </w:r>
      <w:r w:rsidRPr="00CF0DCB">
        <w:rPr>
          <w:rFonts w:ascii="Palatino Linotype" w:hAnsi="Palatino Linotype"/>
          <w:b/>
          <w:color w:val="000000" w:themeColor="text1"/>
        </w:rPr>
        <w:t xml:space="preserve"> SUJETO OBLIGADO, </w:t>
      </w:r>
      <w:r w:rsidRPr="00CF0DCB">
        <w:rPr>
          <w:rFonts w:ascii="Palatino Linotype" w:hAnsi="Palatino Linotype"/>
          <w:color w:val="000000" w:themeColor="text1"/>
        </w:rPr>
        <w:t>se procede a dictar la presente resolución, con base en los siguientes:</w:t>
      </w:r>
    </w:p>
    <w:p w:rsidR="006A2740" w:rsidRPr="009934AF" w:rsidRDefault="006A2740" w:rsidP="009934AF">
      <w:pPr>
        <w:pStyle w:val="Ttulo1"/>
        <w:spacing w:line="360" w:lineRule="auto"/>
        <w:jc w:val="center"/>
        <w:rPr>
          <w:rFonts w:ascii="Palatino Linotype" w:hAnsi="Palatino Linotype"/>
          <w:b/>
          <w:color w:val="000000" w:themeColor="text1"/>
          <w:sz w:val="24"/>
          <w:szCs w:val="24"/>
        </w:rPr>
      </w:pPr>
      <w:bookmarkStart w:id="2" w:name="_Toc515555218"/>
      <w:bookmarkStart w:id="3" w:name="_Toc18613083"/>
      <w:r w:rsidRPr="00CF0DCB">
        <w:rPr>
          <w:rFonts w:ascii="Palatino Linotype" w:hAnsi="Palatino Linotype"/>
          <w:b/>
          <w:color w:val="000000" w:themeColor="text1"/>
          <w:sz w:val="24"/>
          <w:szCs w:val="24"/>
        </w:rPr>
        <w:t>ANTECEDENTES</w:t>
      </w:r>
      <w:bookmarkEnd w:id="2"/>
      <w:bookmarkEnd w:id="3"/>
    </w:p>
    <w:p w:rsidR="006A2740" w:rsidRPr="00CF0DCB" w:rsidRDefault="006A2740" w:rsidP="00CF0DCB">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CF0DCB">
        <w:rPr>
          <w:rFonts w:ascii="Palatino Linotype" w:eastAsia="Calibri" w:hAnsi="Palatino Linotype" w:cs="Arial"/>
          <w:color w:val="000000" w:themeColor="text1"/>
          <w:lang w:val="es-ES"/>
        </w:rPr>
        <w:t xml:space="preserve">El día veintitrés (23) y veinticuatro (24) de mayo de dos mil diecinueve se </w:t>
      </w:r>
      <w:r w:rsidRPr="00CF0DCB">
        <w:rPr>
          <w:rFonts w:ascii="Palatino Linotype" w:hAnsi="Palatino Linotype"/>
          <w:color w:val="000000" w:themeColor="text1"/>
        </w:rPr>
        <w:t>presentó</w:t>
      </w:r>
      <w:r w:rsidRPr="00CF0DCB">
        <w:rPr>
          <w:rFonts w:ascii="Palatino Linotype" w:hAnsi="Palatino Linotype"/>
          <w:b/>
          <w:color w:val="000000" w:themeColor="text1"/>
        </w:rPr>
        <w:t xml:space="preserve"> </w:t>
      </w:r>
      <w:r w:rsidRPr="00CF0DCB">
        <w:rPr>
          <w:rFonts w:ascii="Palatino Linotype" w:eastAsia="Calibri" w:hAnsi="Palatino Linotype" w:cs="Arial"/>
          <w:color w:val="000000" w:themeColor="text1"/>
          <w:lang w:val="es-ES"/>
        </w:rPr>
        <w:t xml:space="preserve">ante el </w:t>
      </w:r>
      <w:r w:rsidRPr="00CF0DCB">
        <w:rPr>
          <w:rFonts w:ascii="Palatino Linotype" w:eastAsia="Calibri" w:hAnsi="Palatino Linotype" w:cs="Arial"/>
          <w:b/>
          <w:color w:val="000000" w:themeColor="text1"/>
          <w:lang w:val="es-ES"/>
        </w:rPr>
        <w:t>SUJETO OBLIGADO</w:t>
      </w:r>
      <w:r w:rsidRPr="00CF0DCB">
        <w:rPr>
          <w:rFonts w:ascii="Palatino Linotype" w:eastAsia="Calibri" w:hAnsi="Palatino Linotype" w:cs="Arial"/>
          <w:color w:val="000000" w:themeColor="text1"/>
        </w:rPr>
        <w:t xml:space="preserve"> vía </w:t>
      </w:r>
      <w:r w:rsidRPr="00CF0DCB">
        <w:rPr>
          <w:rFonts w:ascii="Palatino Linotype" w:eastAsia="Calibri" w:hAnsi="Palatino Linotype" w:cs="Arial"/>
          <w:color w:val="000000" w:themeColor="text1"/>
          <w:lang w:val="es-ES"/>
        </w:rPr>
        <w:t xml:space="preserve">Sistema de Acceso a la Información Mexiquense </w:t>
      </w:r>
      <w:r w:rsidRPr="00CF0DCB">
        <w:rPr>
          <w:rFonts w:ascii="Palatino Linotype" w:eastAsia="Calibri" w:hAnsi="Palatino Linotype" w:cs="Arial"/>
          <w:b/>
          <w:color w:val="000000" w:themeColor="text1"/>
          <w:lang w:val="es-ES"/>
        </w:rPr>
        <w:t>SAIMEX</w:t>
      </w:r>
      <w:r w:rsidRPr="00CF0DCB">
        <w:rPr>
          <w:rFonts w:ascii="Palatino Linotype" w:eastAsia="Calibri" w:hAnsi="Palatino Linotype" w:cs="Arial"/>
          <w:color w:val="000000" w:themeColor="text1"/>
          <w:lang w:val="es-ES"/>
        </w:rPr>
        <w:t>, las solicitudes de información pública registradas con los números</w:t>
      </w:r>
      <w:r w:rsidRPr="00CF0DCB">
        <w:rPr>
          <w:rFonts w:ascii="Palatino Linotype" w:eastAsia="Calibri" w:hAnsi="Palatino Linotype" w:cs="Arial"/>
          <w:b/>
          <w:bCs/>
          <w:color w:val="000000" w:themeColor="text1"/>
        </w:rPr>
        <w:t xml:space="preserve">  00160/COYOTEP/IP/2019 y 00161/COYOTEP/IP/2019</w:t>
      </w:r>
      <w:r w:rsidRPr="00CF0DCB">
        <w:rPr>
          <w:rFonts w:ascii="Palatino Linotype" w:eastAsia="Calibri" w:hAnsi="Palatino Linotype" w:cs="Arial"/>
          <w:color w:val="000000" w:themeColor="text1"/>
          <w:lang w:val="es-ES"/>
        </w:rPr>
        <w:t>, mediante la cual se solicitó:</w:t>
      </w:r>
    </w:p>
    <w:p w:rsidR="006A2740" w:rsidRPr="00CF0DCB" w:rsidRDefault="006A2740" w:rsidP="00CF0DCB">
      <w:pPr>
        <w:pStyle w:val="Prrafodelista"/>
        <w:spacing w:before="240" w:after="240" w:line="360" w:lineRule="auto"/>
        <w:ind w:left="0"/>
        <w:jc w:val="both"/>
        <w:rPr>
          <w:rFonts w:ascii="Palatino Linotype" w:eastAsia="Calibri" w:hAnsi="Palatino Linotype" w:cs="Arial"/>
          <w:color w:val="000000" w:themeColor="text1"/>
          <w:lang w:val="es-ES"/>
        </w:rPr>
      </w:pPr>
      <w:r w:rsidRPr="00CF0DCB">
        <w:rPr>
          <w:rFonts w:ascii="Palatino Linotype" w:eastAsia="Calibri" w:hAnsi="Palatino Linotype" w:cs="Arial"/>
          <w:b/>
          <w:bCs/>
          <w:color w:val="000000" w:themeColor="text1"/>
        </w:rPr>
        <w:t>00160/COYOTEP/IP/2019:</w:t>
      </w:r>
    </w:p>
    <w:p w:rsidR="006A2740" w:rsidRPr="00CF0DCB" w:rsidRDefault="006A2740" w:rsidP="00CF0DCB">
      <w:pPr>
        <w:spacing w:line="360" w:lineRule="auto"/>
        <w:ind w:left="567" w:right="567"/>
        <w:jc w:val="both"/>
        <w:rPr>
          <w:rFonts w:ascii="Palatino Linotype" w:eastAsia="Calibri" w:hAnsi="Palatino Linotype" w:cs="Arial"/>
          <w:color w:val="000000" w:themeColor="text1"/>
          <w:lang w:val="es-ES"/>
        </w:rPr>
      </w:pPr>
      <w:r w:rsidRPr="00CF0DCB">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w:t>
      </w:r>
      <w:r w:rsidRPr="00CF0DCB">
        <w:rPr>
          <w:rFonts w:ascii="Palatino Linotype" w:hAnsi="Palatino Linotype"/>
          <w:i/>
          <w:color w:val="000000" w:themeColor="text1"/>
        </w:rPr>
        <w:lastRenderedPageBreak/>
        <w:t>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CF0DCB">
        <w:rPr>
          <w:rFonts w:ascii="Palatino Linotype" w:eastAsia="Calibri" w:hAnsi="Palatino Linotype" w:cs="Arial"/>
          <w:i/>
          <w:color w:val="000000" w:themeColor="text1"/>
          <w:lang w:val="es-ES"/>
        </w:rPr>
        <w:t xml:space="preserve"> </w:t>
      </w:r>
      <w:r w:rsidRPr="00CF0DCB">
        <w:rPr>
          <w:rFonts w:ascii="Palatino Linotype" w:eastAsia="Calibri" w:hAnsi="Palatino Linotype" w:cs="Arial"/>
          <w:color w:val="000000" w:themeColor="text1"/>
          <w:lang w:val="es-ES"/>
        </w:rPr>
        <w:t>(Sic)</w:t>
      </w:r>
    </w:p>
    <w:p w:rsidR="006A2740" w:rsidRPr="00CF0DCB" w:rsidRDefault="006A2740" w:rsidP="00CF0DCB">
      <w:pPr>
        <w:spacing w:line="360" w:lineRule="auto"/>
        <w:ind w:right="567"/>
        <w:jc w:val="both"/>
        <w:rPr>
          <w:rFonts w:ascii="Palatino Linotype" w:eastAsia="Calibri" w:hAnsi="Palatino Linotype" w:cs="Arial"/>
          <w:color w:val="000000" w:themeColor="text1"/>
          <w:lang w:val="es-ES"/>
        </w:rPr>
      </w:pPr>
    </w:p>
    <w:p w:rsidR="006A2740" w:rsidRPr="00CF0DCB" w:rsidRDefault="006A2740" w:rsidP="00CF0DCB">
      <w:pPr>
        <w:spacing w:line="360" w:lineRule="auto"/>
        <w:ind w:right="567"/>
        <w:jc w:val="both"/>
        <w:rPr>
          <w:rFonts w:ascii="Palatino Linotype" w:eastAsia="Calibri" w:hAnsi="Palatino Linotype" w:cs="Arial"/>
          <w:b/>
          <w:bCs/>
          <w:color w:val="000000" w:themeColor="text1"/>
        </w:rPr>
      </w:pPr>
      <w:r w:rsidRPr="00CF0DCB">
        <w:rPr>
          <w:rFonts w:ascii="Palatino Linotype" w:eastAsia="Calibri" w:hAnsi="Palatino Linotype" w:cs="Arial"/>
          <w:b/>
          <w:bCs/>
          <w:color w:val="000000" w:themeColor="text1"/>
        </w:rPr>
        <w:t>00161/COYOTEP/IP/2019:</w:t>
      </w:r>
    </w:p>
    <w:p w:rsidR="006A2740" w:rsidRPr="00CF0DCB" w:rsidRDefault="006A2740" w:rsidP="00CF0DCB">
      <w:pPr>
        <w:spacing w:line="360" w:lineRule="auto"/>
        <w:ind w:right="567"/>
        <w:jc w:val="both"/>
        <w:rPr>
          <w:rFonts w:ascii="Palatino Linotype" w:eastAsia="Calibri" w:hAnsi="Palatino Linotype" w:cs="Arial"/>
          <w:b/>
          <w:bCs/>
          <w:color w:val="000000" w:themeColor="text1"/>
        </w:rPr>
      </w:pPr>
    </w:p>
    <w:p w:rsidR="006A2740" w:rsidRPr="00CF0DCB" w:rsidRDefault="006A2740" w:rsidP="00CF0DCB">
      <w:pPr>
        <w:spacing w:after="160"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SOLICITUD DE INFORMACIÓN EN MATERIA DE GÉNERO</w:t>
      </w:r>
    </w:p>
    <w:p w:rsidR="006A2740" w:rsidRPr="00CF0DCB" w:rsidRDefault="006A2740" w:rsidP="00CF0DCB">
      <w:pPr>
        <w:spacing w:after="160" w:line="360" w:lineRule="auto"/>
        <w:rPr>
          <w:rFonts w:ascii="Palatino Linotype" w:eastAsiaTheme="minorHAnsi" w:hAnsi="Palatino Linotype"/>
          <w:lang w:val="es-MX" w:eastAsia="en-US"/>
        </w:rPr>
      </w:pPr>
    </w:p>
    <w:p w:rsidR="006A2740" w:rsidRPr="00CF0DCB" w:rsidRDefault="006A2740" w:rsidP="00CF0DCB">
      <w:pPr>
        <w:spacing w:after="160"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Se solicita la información desagregada de la siguiente forma:</w:t>
      </w:r>
    </w:p>
    <w:p w:rsidR="006A2740" w:rsidRPr="00CF0DCB" w:rsidRDefault="006A2740" w:rsidP="00CF0DCB">
      <w:pPr>
        <w:spacing w:after="160" w:line="360" w:lineRule="auto"/>
        <w:rPr>
          <w:rFonts w:ascii="Palatino Linotype" w:eastAsiaTheme="minorHAnsi" w:hAnsi="Palatino Linotype"/>
          <w:b/>
          <w:lang w:val="es-MX" w:eastAsia="en-US"/>
        </w:rPr>
      </w:pPr>
      <w:r w:rsidRPr="00CF0DCB">
        <w:rPr>
          <w:rFonts w:ascii="Palatino Linotype" w:eastAsiaTheme="minorHAnsi" w:hAnsi="Palatino Linotype"/>
          <w:b/>
          <w:lang w:val="es-MX" w:eastAsia="en-US"/>
        </w:rPr>
        <w:t>Ejercicio Fiscal 2013</w:t>
      </w:r>
    </w:p>
    <w:p w:rsidR="006A2740" w:rsidRPr="00CF0DCB" w:rsidRDefault="006A2740" w:rsidP="00CF0DCB">
      <w:pPr>
        <w:numPr>
          <w:ilvl w:val="0"/>
          <w:numId w:val="42"/>
        </w:numPr>
        <w:spacing w:after="160" w:line="360" w:lineRule="auto"/>
        <w:contextualSpacing/>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asignado en el ejercicio fiscal 2013 a las partidas presupuestales:</w:t>
      </w:r>
    </w:p>
    <w:tbl>
      <w:tblPr>
        <w:tblStyle w:val="Tablaconcuadrcula2"/>
        <w:tblW w:w="5000" w:type="pct"/>
        <w:tblLook w:val="04A0" w:firstRow="1" w:lastRow="0" w:firstColumn="1" w:lastColumn="0" w:noHBand="0" w:noVBand="1"/>
      </w:tblPr>
      <w:tblGrid>
        <w:gridCol w:w="456"/>
        <w:gridCol w:w="456"/>
        <w:gridCol w:w="495"/>
        <w:gridCol w:w="487"/>
        <w:gridCol w:w="495"/>
        <w:gridCol w:w="3378"/>
        <w:gridCol w:w="1622"/>
        <w:gridCol w:w="1388"/>
      </w:tblGrid>
      <w:tr w:rsidR="006A2740" w:rsidRPr="00CF0DCB" w:rsidTr="006A2740">
        <w:tc>
          <w:tcPr>
            <w:tcW w:w="5000" w:type="pct"/>
            <w:gridSpan w:val="8"/>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Ejercicio Presupuestal 2013</w:t>
            </w:r>
          </w:p>
        </w:tc>
      </w:tr>
      <w:tr w:rsidR="006A2740" w:rsidRPr="00CF0DCB" w:rsidTr="006A2740">
        <w:tc>
          <w:tcPr>
            <w:tcW w:w="249"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F</w:t>
            </w:r>
          </w:p>
        </w:tc>
        <w:tc>
          <w:tcPr>
            <w:tcW w:w="249"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Sf</w:t>
            </w:r>
          </w:p>
        </w:tc>
        <w:tc>
          <w:tcPr>
            <w:tcW w:w="249"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Pg</w:t>
            </w:r>
          </w:p>
        </w:tc>
        <w:tc>
          <w:tcPr>
            <w:tcW w:w="249"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Sp</w:t>
            </w:r>
          </w:p>
        </w:tc>
        <w:tc>
          <w:tcPr>
            <w:tcW w:w="249"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Py</w:t>
            </w:r>
          </w:p>
        </w:tc>
        <w:tc>
          <w:tcPr>
            <w:tcW w:w="1963"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Nombre</w:t>
            </w:r>
          </w:p>
        </w:tc>
        <w:tc>
          <w:tcPr>
            <w:tcW w:w="963"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828" w:type="pct"/>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1963"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Desarrollo social y humano</w:t>
            </w:r>
          </w:p>
        </w:tc>
        <w:tc>
          <w:tcPr>
            <w:tcW w:w="963" w:type="pct"/>
          </w:tcPr>
          <w:p w:rsidR="006A2740" w:rsidRPr="00CF0DCB" w:rsidRDefault="006A2740" w:rsidP="00CF0DCB">
            <w:pPr>
              <w:spacing w:line="360" w:lineRule="auto"/>
              <w:rPr>
                <w:rFonts w:ascii="Palatino Linotype" w:eastAsiaTheme="minorHAnsi" w:hAnsi="Palatino Linotype"/>
                <w:lang w:val="es-MX" w:eastAsia="en-US"/>
              </w:rPr>
            </w:pPr>
          </w:p>
        </w:tc>
        <w:tc>
          <w:tcPr>
            <w:tcW w:w="828"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1963"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El papel fundamental de la mujer y la perspectiva de género</w:t>
            </w:r>
          </w:p>
        </w:tc>
        <w:tc>
          <w:tcPr>
            <w:tcW w:w="963" w:type="pct"/>
          </w:tcPr>
          <w:p w:rsidR="006A2740" w:rsidRPr="00CF0DCB" w:rsidRDefault="006A2740" w:rsidP="00CF0DCB">
            <w:pPr>
              <w:spacing w:line="360" w:lineRule="auto"/>
              <w:rPr>
                <w:rFonts w:ascii="Palatino Linotype" w:eastAsiaTheme="minorHAnsi" w:hAnsi="Palatino Linotype"/>
                <w:lang w:val="es-MX" w:eastAsia="en-US"/>
              </w:rPr>
            </w:pPr>
          </w:p>
        </w:tc>
        <w:tc>
          <w:tcPr>
            <w:tcW w:w="828"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1963"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Integración de la mujer al desarrollo económico</w:t>
            </w:r>
          </w:p>
        </w:tc>
        <w:tc>
          <w:tcPr>
            <w:tcW w:w="963" w:type="pct"/>
          </w:tcPr>
          <w:p w:rsidR="006A2740" w:rsidRPr="00CF0DCB" w:rsidRDefault="006A2740" w:rsidP="00CF0DCB">
            <w:pPr>
              <w:spacing w:line="360" w:lineRule="auto"/>
              <w:rPr>
                <w:rFonts w:ascii="Palatino Linotype" w:eastAsiaTheme="minorHAnsi" w:hAnsi="Palatino Linotype"/>
                <w:lang w:val="es-MX" w:eastAsia="en-US"/>
              </w:rPr>
            </w:pPr>
          </w:p>
        </w:tc>
        <w:tc>
          <w:tcPr>
            <w:tcW w:w="828"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1963"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educativa a hijos de madres trabajadoras</w:t>
            </w:r>
          </w:p>
        </w:tc>
        <w:tc>
          <w:tcPr>
            <w:tcW w:w="963" w:type="pct"/>
          </w:tcPr>
          <w:p w:rsidR="006A2740" w:rsidRPr="00CF0DCB" w:rsidRDefault="006A2740" w:rsidP="00CF0DCB">
            <w:pPr>
              <w:spacing w:line="360" w:lineRule="auto"/>
              <w:rPr>
                <w:rFonts w:ascii="Palatino Linotype" w:eastAsiaTheme="minorHAnsi" w:hAnsi="Palatino Linotype"/>
                <w:lang w:val="es-MX" w:eastAsia="en-US"/>
              </w:rPr>
            </w:pPr>
          </w:p>
        </w:tc>
        <w:tc>
          <w:tcPr>
            <w:tcW w:w="828"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1963"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Familia, población y participación de la mujer</w:t>
            </w:r>
          </w:p>
        </w:tc>
        <w:tc>
          <w:tcPr>
            <w:tcW w:w="963" w:type="pct"/>
          </w:tcPr>
          <w:p w:rsidR="006A2740" w:rsidRPr="00CF0DCB" w:rsidRDefault="006A2740" w:rsidP="00CF0DCB">
            <w:pPr>
              <w:spacing w:line="360" w:lineRule="auto"/>
              <w:rPr>
                <w:rFonts w:ascii="Palatino Linotype" w:eastAsiaTheme="minorHAnsi" w:hAnsi="Palatino Linotype"/>
                <w:lang w:val="es-MX" w:eastAsia="en-US"/>
              </w:rPr>
            </w:pPr>
          </w:p>
        </w:tc>
        <w:tc>
          <w:tcPr>
            <w:tcW w:w="828"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1963"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Fomento a la cultura de equidad de género</w:t>
            </w:r>
          </w:p>
        </w:tc>
        <w:tc>
          <w:tcPr>
            <w:tcW w:w="963" w:type="pct"/>
          </w:tcPr>
          <w:p w:rsidR="006A2740" w:rsidRPr="00CF0DCB" w:rsidRDefault="006A2740" w:rsidP="00CF0DCB">
            <w:pPr>
              <w:spacing w:line="360" w:lineRule="auto"/>
              <w:rPr>
                <w:rFonts w:ascii="Palatino Linotype" w:eastAsiaTheme="minorHAnsi" w:hAnsi="Palatino Linotype"/>
                <w:lang w:val="es-MX" w:eastAsia="en-US"/>
              </w:rPr>
            </w:pPr>
          </w:p>
        </w:tc>
        <w:tc>
          <w:tcPr>
            <w:tcW w:w="828"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1963"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integral a la mujer</w:t>
            </w:r>
          </w:p>
        </w:tc>
        <w:tc>
          <w:tcPr>
            <w:tcW w:w="963" w:type="pct"/>
          </w:tcPr>
          <w:p w:rsidR="006A2740" w:rsidRPr="00CF0DCB" w:rsidRDefault="006A2740" w:rsidP="00CF0DCB">
            <w:pPr>
              <w:spacing w:line="360" w:lineRule="auto"/>
              <w:rPr>
                <w:rFonts w:ascii="Palatino Linotype" w:eastAsiaTheme="minorHAnsi" w:hAnsi="Palatino Linotype"/>
                <w:lang w:val="es-MX" w:eastAsia="en-US"/>
              </w:rPr>
            </w:pPr>
          </w:p>
        </w:tc>
        <w:tc>
          <w:tcPr>
            <w:tcW w:w="828" w:type="pct"/>
          </w:tcPr>
          <w:p w:rsidR="006A2740" w:rsidRPr="00CF0DCB" w:rsidRDefault="006A2740" w:rsidP="00CF0DCB">
            <w:pPr>
              <w:spacing w:line="360" w:lineRule="auto"/>
              <w:rPr>
                <w:rFonts w:ascii="Palatino Linotype" w:eastAsiaTheme="minorHAnsi" w:hAnsi="Palatino Linotype"/>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las Carátulas de Presupuesto de Ingresos y Egresos (PbRM 03b y PbRM 04d) del ejercicio fiscal 2013.</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6A2740" w:rsidRPr="00CF0DCB" w:rsidRDefault="006A2740" w:rsidP="00CF0DCB">
      <w:pPr>
        <w:spacing w:after="160" w:line="360" w:lineRule="auto"/>
        <w:contextualSpacing/>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IO1 Desarrollo Social y/o equivalente Ejercicio Fiscal 2013</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auxiliar 152 Atención a la Mujer y/o equivalente para el Ejercicio Fiscal 2013</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spacing w:after="160" w:line="360" w:lineRule="auto"/>
        <w:rPr>
          <w:rFonts w:ascii="Palatino Linotype" w:eastAsiaTheme="minorHAnsi" w:hAnsi="Palatino Linotype"/>
          <w:b/>
          <w:lang w:val="es-MX" w:eastAsia="en-US"/>
        </w:rPr>
      </w:pPr>
    </w:p>
    <w:p w:rsidR="006A2740" w:rsidRPr="00CF0DCB" w:rsidRDefault="006A2740" w:rsidP="00CF0DCB">
      <w:pPr>
        <w:spacing w:after="160" w:line="360" w:lineRule="auto"/>
        <w:rPr>
          <w:rFonts w:ascii="Palatino Linotype" w:eastAsiaTheme="minorHAnsi" w:hAnsi="Palatino Linotype"/>
          <w:b/>
          <w:lang w:val="es-MX" w:eastAsia="en-US"/>
        </w:rPr>
      </w:pPr>
      <w:r w:rsidRPr="00CF0DCB">
        <w:rPr>
          <w:rFonts w:ascii="Palatino Linotype" w:eastAsiaTheme="minorHAnsi" w:hAnsi="Palatino Linotype"/>
          <w:b/>
          <w:lang w:val="es-MX" w:eastAsia="en-US"/>
        </w:rPr>
        <w:t>Ejercicio Fiscal 2014</w:t>
      </w:r>
    </w:p>
    <w:p w:rsidR="006A2740" w:rsidRPr="00CF0DCB" w:rsidRDefault="006A2740" w:rsidP="00CF0DCB">
      <w:pPr>
        <w:numPr>
          <w:ilvl w:val="0"/>
          <w:numId w:val="42"/>
        </w:numPr>
        <w:spacing w:after="160" w:line="360" w:lineRule="auto"/>
        <w:contextualSpacing/>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asignado en el ejercicio fiscal 2014 a las partidas presupuestales:</w:t>
      </w:r>
    </w:p>
    <w:tbl>
      <w:tblPr>
        <w:tblStyle w:val="Tablaconcuadrcula2"/>
        <w:tblW w:w="5000" w:type="pct"/>
        <w:tblLook w:val="04A0" w:firstRow="1" w:lastRow="0" w:firstColumn="1" w:lastColumn="0" w:noHBand="0" w:noVBand="1"/>
      </w:tblPr>
      <w:tblGrid>
        <w:gridCol w:w="456"/>
        <w:gridCol w:w="456"/>
        <w:gridCol w:w="495"/>
        <w:gridCol w:w="487"/>
        <w:gridCol w:w="495"/>
        <w:gridCol w:w="4001"/>
        <w:gridCol w:w="1304"/>
        <w:gridCol w:w="1083"/>
      </w:tblGrid>
      <w:tr w:rsidR="006A2740" w:rsidRPr="00CF0DCB" w:rsidTr="006A2740">
        <w:tc>
          <w:tcPr>
            <w:tcW w:w="5000" w:type="pct"/>
            <w:gridSpan w:val="8"/>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Ejercicio Presupuestal 2014</w:t>
            </w: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Sf</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Pg</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Sp</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Py</w:t>
            </w:r>
          </w:p>
        </w:tc>
        <w:tc>
          <w:tcPr>
            <w:tcW w:w="2459"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Nombre</w:t>
            </w:r>
          </w:p>
        </w:tc>
        <w:tc>
          <w:tcPr>
            <w:tcW w:w="649"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w:t>
            </w:r>
          </w:p>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Aprobado</w:t>
            </w:r>
          </w:p>
        </w:tc>
        <w:tc>
          <w:tcPr>
            <w:tcW w:w="647"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5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Desarrollo social y humano</w:t>
            </w:r>
          </w:p>
        </w:tc>
        <w:tc>
          <w:tcPr>
            <w:tcW w:w="649" w:type="pct"/>
          </w:tcPr>
          <w:p w:rsidR="006A2740" w:rsidRPr="00CF0DCB" w:rsidRDefault="006A2740" w:rsidP="00CF0DCB">
            <w:pPr>
              <w:spacing w:line="360" w:lineRule="auto"/>
              <w:rPr>
                <w:rFonts w:ascii="Palatino Linotype" w:eastAsiaTheme="minorHAnsi" w:hAnsi="Palatino Linotype"/>
                <w:lang w:val="es-MX" w:eastAsia="en-US"/>
              </w:rPr>
            </w:pPr>
          </w:p>
        </w:tc>
        <w:tc>
          <w:tcPr>
            <w:tcW w:w="647"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5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El papel fundamental de la mujer y la perspectiva de género</w:t>
            </w:r>
          </w:p>
        </w:tc>
        <w:tc>
          <w:tcPr>
            <w:tcW w:w="649" w:type="pct"/>
          </w:tcPr>
          <w:p w:rsidR="006A2740" w:rsidRPr="00CF0DCB" w:rsidRDefault="006A2740" w:rsidP="00CF0DCB">
            <w:pPr>
              <w:spacing w:line="360" w:lineRule="auto"/>
              <w:rPr>
                <w:rFonts w:ascii="Palatino Linotype" w:eastAsiaTheme="minorHAnsi" w:hAnsi="Palatino Linotype"/>
                <w:lang w:val="es-MX" w:eastAsia="en-US"/>
              </w:rPr>
            </w:pPr>
          </w:p>
        </w:tc>
        <w:tc>
          <w:tcPr>
            <w:tcW w:w="647"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5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Integración de la mujer al desarrollo económico</w:t>
            </w:r>
          </w:p>
        </w:tc>
        <w:tc>
          <w:tcPr>
            <w:tcW w:w="649" w:type="pct"/>
          </w:tcPr>
          <w:p w:rsidR="006A2740" w:rsidRPr="00CF0DCB" w:rsidRDefault="006A2740" w:rsidP="00CF0DCB">
            <w:pPr>
              <w:spacing w:line="360" w:lineRule="auto"/>
              <w:rPr>
                <w:rFonts w:ascii="Palatino Linotype" w:eastAsiaTheme="minorHAnsi" w:hAnsi="Palatino Linotype"/>
                <w:lang w:val="es-MX" w:eastAsia="en-US"/>
              </w:rPr>
            </w:pPr>
          </w:p>
        </w:tc>
        <w:tc>
          <w:tcPr>
            <w:tcW w:w="647"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5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educativa a hijos de madres trabajadoras</w:t>
            </w:r>
          </w:p>
        </w:tc>
        <w:tc>
          <w:tcPr>
            <w:tcW w:w="649" w:type="pct"/>
          </w:tcPr>
          <w:p w:rsidR="006A2740" w:rsidRPr="00CF0DCB" w:rsidRDefault="006A2740" w:rsidP="00CF0DCB">
            <w:pPr>
              <w:spacing w:line="360" w:lineRule="auto"/>
              <w:rPr>
                <w:rFonts w:ascii="Palatino Linotype" w:eastAsiaTheme="minorHAnsi" w:hAnsi="Palatino Linotype"/>
                <w:lang w:val="es-MX" w:eastAsia="en-US"/>
              </w:rPr>
            </w:pPr>
          </w:p>
        </w:tc>
        <w:tc>
          <w:tcPr>
            <w:tcW w:w="647"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5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Familia, población y participación de la mujer</w:t>
            </w:r>
          </w:p>
        </w:tc>
        <w:tc>
          <w:tcPr>
            <w:tcW w:w="649" w:type="pct"/>
          </w:tcPr>
          <w:p w:rsidR="006A2740" w:rsidRPr="00CF0DCB" w:rsidRDefault="006A2740" w:rsidP="00CF0DCB">
            <w:pPr>
              <w:spacing w:line="360" w:lineRule="auto"/>
              <w:rPr>
                <w:rFonts w:ascii="Palatino Linotype" w:eastAsiaTheme="minorHAnsi" w:hAnsi="Palatino Linotype"/>
                <w:lang w:val="es-MX" w:eastAsia="en-US"/>
              </w:rPr>
            </w:pPr>
          </w:p>
        </w:tc>
        <w:tc>
          <w:tcPr>
            <w:tcW w:w="647"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5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Fomento a la cultura de equidad de género</w:t>
            </w:r>
          </w:p>
        </w:tc>
        <w:tc>
          <w:tcPr>
            <w:tcW w:w="649" w:type="pct"/>
          </w:tcPr>
          <w:p w:rsidR="006A2740" w:rsidRPr="00CF0DCB" w:rsidRDefault="006A2740" w:rsidP="00CF0DCB">
            <w:pPr>
              <w:spacing w:line="360" w:lineRule="auto"/>
              <w:rPr>
                <w:rFonts w:ascii="Palatino Linotype" w:eastAsiaTheme="minorHAnsi" w:hAnsi="Palatino Linotype"/>
                <w:lang w:val="es-MX" w:eastAsia="en-US"/>
              </w:rPr>
            </w:pPr>
          </w:p>
        </w:tc>
        <w:tc>
          <w:tcPr>
            <w:tcW w:w="647"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07</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5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integral a la mujer</w:t>
            </w:r>
          </w:p>
        </w:tc>
        <w:tc>
          <w:tcPr>
            <w:tcW w:w="649" w:type="pct"/>
          </w:tcPr>
          <w:p w:rsidR="006A2740" w:rsidRPr="00CF0DCB" w:rsidRDefault="006A2740" w:rsidP="00CF0DCB">
            <w:pPr>
              <w:spacing w:line="360" w:lineRule="auto"/>
              <w:rPr>
                <w:rFonts w:ascii="Palatino Linotype" w:eastAsiaTheme="minorHAnsi" w:hAnsi="Palatino Linotype"/>
                <w:lang w:val="es-MX" w:eastAsia="en-US"/>
              </w:rPr>
            </w:pPr>
          </w:p>
        </w:tc>
        <w:tc>
          <w:tcPr>
            <w:tcW w:w="647" w:type="pct"/>
          </w:tcPr>
          <w:p w:rsidR="006A2740" w:rsidRPr="00CF0DCB" w:rsidRDefault="006A2740" w:rsidP="00CF0DCB">
            <w:pPr>
              <w:spacing w:line="360" w:lineRule="auto"/>
              <w:rPr>
                <w:rFonts w:ascii="Palatino Linotype" w:eastAsiaTheme="minorHAnsi" w:hAnsi="Palatino Linotype"/>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las Carátulas de Presupuesto de Ingresos y Egresos (PbRM 03b y PbRM 04d) del ejercicio fiscal 2014.</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6A2740" w:rsidRPr="00CF0DCB" w:rsidRDefault="006A2740" w:rsidP="00CF0DCB">
      <w:pPr>
        <w:spacing w:after="160" w:line="360" w:lineRule="auto"/>
        <w:contextualSpacing/>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IO1 Desarrollo Social y/o equivalente Ejercicio Fiscal 2014</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auxiliar 152 Atención a la Mujer y/o equivalente para el Ejercicio Fiscal 2014</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spacing w:after="160" w:line="360" w:lineRule="auto"/>
        <w:rPr>
          <w:rFonts w:ascii="Palatino Linotype" w:eastAsiaTheme="minorHAnsi" w:hAnsi="Palatino Linotype"/>
          <w:b/>
          <w:lang w:val="es-MX" w:eastAsia="en-US"/>
        </w:rPr>
      </w:pPr>
      <w:r w:rsidRPr="00CF0DCB">
        <w:rPr>
          <w:rFonts w:ascii="Palatino Linotype" w:eastAsiaTheme="minorHAnsi" w:hAnsi="Palatino Linotype"/>
          <w:b/>
          <w:lang w:val="es-MX" w:eastAsia="en-US"/>
        </w:rPr>
        <w:t>Ejercicio Fiscal 2015</w:t>
      </w:r>
    </w:p>
    <w:p w:rsidR="006A2740" w:rsidRPr="00CF0DCB" w:rsidRDefault="006A2740" w:rsidP="00CF0DCB">
      <w:pPr>
        <w:numPr>
          <w:ilvl w:val="0"/>
          <w:numId w:val="42"/>
        </w:numPr>
        <w:spacing w:after="160" w:line="360" w:lineRule="auto"/>
        <w:contextualSpacing/>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asignado en el ejercicio fiscal 2015 a las partidas presupuestales:</w:t>
      </w:r>
    </w:p>
    <w:tbl>
      <w:tblPr>
        <w:tblStyle w:val="Tablaconcuadrcula2"/>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6A2740" w:rsidRPr="00CF0DCB" w:rsidTr="006A2740">
        <w:tc>
          <w:tcPr>
            <w:tcW w:w="5000" w:type="pct"/>
            <w:gridSpan w:val="9"/>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Ejercicio Presupuestal 2015</w:t>
            </w:r>
          </w:p>
        </w:tc>
      </w:tr>
      <w:tr w:rsidR="006A2740" w:rsidRPr="00CF0DCB" w:rsidTr="006A2740">
        <w:tc>
          <w:tcPr>
            <w:tcW w:w="1582" w:type="pct"/>
            <w:gridSpan w:val="6"/>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Pilar Temático 1</w:t>
            </w:r>
          </w:p>
        </w:tc>
        <w:tc>
          <w:tcPr>
            <w:tcW w:w="3418" w:type="pct"/>
            <w:gridSpan w:val="3"/>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Gobierno Solidario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Fin</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Fun</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Sf</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Pg</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Sp</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Py</w:t>
            </w:r>
          </w:p>
        </w:tc>
        <w:tc>
          <w:tcPr>
            <w:tcW w:w="226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Nombre</w:t>
            </w:r>
          </w:p>
        </w:tc>
        <w:tc>
          <w:tcPr>
            <w:tcW w:w="626"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53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El papel fundamental de la mujer y la perspectiva de género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Integración de la mujer al desarrollo económico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Capacitación de la mujer para el trabajo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educativa a hijos de madres trabajadoras</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Proyectos productivos para el desarrollo de la mujer</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Participación social de la mujer</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Fomento a la cultura de equidad de género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integral a la madre adolescente</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las Carátulas de Presupuesto de Ingresos y Egresos (PbRM 03b y PbRM 04d) del ejercicio fiscal 2015.</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6A2740" w:rsidRPr="00CF0DCB" w:rsidRDefault="006A2740" w:rsidP="00CF0DCB">
      <w:pPr>
        <w:spacing w:after="160" w:line="360" w:lineRule="auto"/>
        <w:contextualSpacing/>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IO1 Desarrollo Social y/o equivalente Ejercicio Fiscal 2015</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auxiliar 152 Atención a la Mujer y/o equivalente para el Ejercicio Fiscal 2015</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el formato de la Ficha Técnica de Diseño de Indicadores Estratégicos o de Gestión 2015 de la dependencia Clave I01 Desarrollo Social y/o equivalente, y de la dependencia Clave 152 Atención a la Mujer y/o equivalente.</w:t>
      </w:r>
    </w:p>
    <w:p w:rsidR="006A2740" w:rsidRPr="00CF0DCB" w:rsidRDefault="006A2740" w:rsidP="00CF0DCB">
      <w:pPr>
        <w:spacing w:after="160" w:line="360" w:lineRule="auto"/>
        <w:rPr>
          <w:rFonts w:ascii="Palatino Linotype" w:eastAsiaTheme="minorHAnsi" w:hAnsi="Palatino Linotype"/>
          <w:b/>
          <w:lang w:val="es-MX" w:eastAsia="en-US"/>
        </w:rPr>
      </w:pPr>
      <w:r w:rsidRPr="00CF0DCB">
        <w:rPr>
          <w:rFonts w:ascii="Palatino Linotype" w:eastAsiaTheme="minorHAnsi" w:hAnsi="Palatino Linotype"/>
          <w:b/>
          <w:lang w:val="es-MX" w:eastAsia="en-US"/>
        </w:rPr>
        <w:t>Ejercicio Fiscal 2016</w:t>
      </w:r>
    </w:p>
    <w:p w:rsidR="006A2740" w:rsidRPr="00CF0DCB" w:rsidRDefault="006A2740" w:rsidP="00CF0DCB">
      <w:pPr>
        <w:numPr>
          <w:ilvl w:val="0"/>
          <w:numId w:val="42"/>
        </w:numPr>
        <w:spacing w:after="160" w:line="360" w:lineRule="auto"/>
        <w:contextualSpacing/>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asignado en el ejercicio fiscal 2016 a las partidas presupuestales:</w:t>
      </w:r>
    </w:p>
    <w:tbl>
      <w:tblPr>
        <w:tblStyle w:val="Tablaconcuadrcula2"/>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6A2740" w:rsidRPr="00CF0DCB" w:rsidTr="006A2740">
        <w:tc>
          <w:tcPr>
            <w:tcW w:w="5000" w:type="pct"/>
            <w:gridSpan w:val="9"/>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Ejercicio Presupuestal 2016</w:t>
            </w:r>
          </w:p>
        </w:tc>
      </w:tr>
      <w:tr w:rsidR="006A2740" w:rsidRPr="00CF0DCB" w:rsidTr="006A2740">
        <w:tc>
          <w:tcPr>
            <w:tcW w:w="1582" w:type="pct"/>
            <w:gridSpan w:val="6"/>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Pilar Temático 1</w:t>
            </w:r>
          </w:p>
        </w:tc>
        <w:tc>
          <w:tcPr>
            <w:tcW w:w="3418" w:type="pct"/>
            <w:gridSpan w:val="3"/>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Gobierno Solidario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Fin</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Fun</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Sf</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Pg</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Sp</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Py</w:t>
            </w:r>
          </w:p>
        </w:tc>
        <w:tc>
          <w:tcPr>
            <w:tcW w:w="2476"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Nombre</w:t>
            </w:r>
          </w:p>
        </w:tc>
        <w:tc>
          <w:tcPr>
            <w:tcW w:w="47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47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El papel fundamental de la mujer y la perspectiva de género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Integración de la mujer al desarrollo económico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Capacitación de la mujer para el trabajo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educativa a hijos de madres trabajadoras</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Proyectos productivos para el desarrollo de la mujer</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Participación social de la mujer</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Fomento a la cultura de equidad de género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integral a la madre adolescente</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las Carátulas de Presupuesto de Ingresos y Egresos (PbRM 03b y PbRM 04d) del ejercicio fiscal 2016.</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6A2740" w:rsidRPr="00CF0DCB" w:rsidRDefault="006A2740" w:rsidP="00CF0DCB">
      <w:pPr>
        <w:spacing w:after="160" w:line="360" w:lineRule="auto"/>
        <w:contextualSpacing/>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I01 Desarrollo Social y/o equivalente Ejercicio Fiscal 2016</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auxiliar 152 Atención a la Mujer y/o equivalente para el Ejercicio Fiscal 2016</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 Ficha Técnica de Diseño de Indicadores Estratégicos o de Gestión 2016 de la dependencia Clave I01 Desarrollo Social y/o equivalente, y de la dependencia Clave 152 Atención a la Mujer y/o equivalente.</w:t>
      </w:r>
    </w:p>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spacing w:after="160" w:line="360" w:lineRule="auto"/>
        <w:rPr>
          <w:rFonts w:ascii="Palatino Linotype" w:eastAsiaTheme="minorHAnsi" w:hAnsi="Palatino Linotype"/>
          <w:b/>
          <w:lang w:val="es-MX" w:eastAsia="en-US"/>
        </w:rPr>
      </w:pPr>
      <w:r w:rsidRPr="00CF0DCB">
        <w:rPr>
          <w:rFonts w:ascii="Palatino Linotype" w:eastAsiaTheme="minorHAnsi" w:hAnsi="Palatino Linotype"/>
          <w:b/>
          <w:lang w:val="es-MX" w:eastAsia="en-US"/>
        </w:rPr>
        <w:t>Ejercicio Fiscal 2017</w:t>
      </w:r>
    </w:p>
    <w:p w:rsidR="006A2740" w:rsidRPr="00CF0DCB" w:rsidRDefault="006A2740" w:rsidP="00CF0DCB">
      <w:pPr>
        <w:numPr>
          <w:ilvl w:val="0"/>
          <w:numId w:val="42"/>
        </w:numPr>
        <w:spacing w:after="160" w:line="360" w:lineRule="auto"/>
        <w:contextualSpacing/>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asignado en el ejercicio fiscal 2017 a las partidas presupuestales:</w:t>
      </w:r>
    </w:p>
    <w:tbl>
      <w:tblPr>
        <w:tblStyle w:val="Tablaconcuadrcula2"/>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6A2740" w:rsidRPr="00CF0DCB" w:rsidTr="006A2740">
        <w:tc>
          <w:tcPr>
            <w:tcW w:w="5000" w:type="pct"/>
            <w:gridSpan w:val="9"/>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Ejercicio Presupuestal 2017</w:t>
            </w:r>
          </w:p>
        </w:tc>
      </w:tr>
      <w:tr w:rsidR="006A2740" w:rsidRPr="00CF0DCB" w:rsidTr="006A2740">
        <w:tc>
          <w:tcPr>
            <w:tcW w:w="1582" w:type="pct"/>
            <w:gridSpan w:val="6"/>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Pilar Temático 1</w:t>
            </w:r>
          </w:p>
        </w:tc>
        <w:tc>
          <w:tcPr>
            <w:tcW w:w="3418" w:type="pct"/>
            <w:gridSpan w:val="3"/>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Gobierno Solidario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Fin</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Fun</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Sf</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Pg</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Sp</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Py</w:t>
            </w:r>
          </w:p>
        </w:tc>
        <w:tc>
          <w:tcPr>
            <w:tcW w:w="2476"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Nombre</w:t>
            </w:r>
          </w:p>
        </w:tc>
        <w:tc>
          <w:tcPr>
            <w:tcW w:w="47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47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El papel fundamental de la mujer y la perspectiva de género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Integración de la mujer al desarrollo económico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Capacitación de la mujer para el trabajo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educativa a hijos de madres trabajadoras</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Proyectos productivos para el desarrollo de la mujer</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Participación social de la mujer</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Fomento a la cultura de equidad de género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integral a la madre adolescente</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las Carátulas de Presupuesto de Ingresos y Egresos (PbRM 03b y PbRM 04d) del ejercicio fiscal 2017.</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6A2740" w:rsidRPr="00CF0DCB" w:rsidRDefault="006A2740" w:rsidP="00CF0DCB">
      <w:pPr>
        <w:spacing w:after="160" w:line="360" w:lineRule="auto"/>
        <w:contextualSpacing/>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IO1 Desarrollo Social y/o equivalente Ejercicio Fiscal 2017</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auxiliar 152 Atención a la Mujer y/o equivalente para el Ejercicio Fiscal 2017</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 Ficha Técnica de Diseño de Indicadores Estratégicos o de Gestión 2017 de la dependencia Clave I01 Desarrollo Social y/o equivalente, y de la dependencia Clave 152 Atención a la Mujer y/o equivalente.</w:t>
      </w:r>
    </w:p>
    <w:p w:rsidR="006A2740" w:rsidRPr="00CF0DCB" w:rsidRDefault="006A2740" w:rsidP="00CF0DCB">
      <w:pPr>
        <w:spacing w:after="160" w:line="360" w:lineRule="auto"/>
        <w:rPr>
          <w:rFonts w:ascii="Palatino Linotype" w:eastAsiaTheme="minorHAnsi" w:hAnsi="Palatino Linotype"/>
          <w:b/>
          <w:lang w:val="es-MX" w:eastAsia="en-US"/>
        </w:rPr>
      </w:pPr>
    </w:p>
    <w:p w:rsidR="006A2740" w:rsidRPr="00CF0DCB" w:rsidRDefault="006A2740" w:rsidP="00CF0DCB">
      <w:pPr>
        <w:spacing w:after="160" w:line="360" w:lineRule="auto"/>
        <w:rPr>
          <w:rFonts w:ascii="Palatino Linotype" w:eastAsiaTheme="minorHAnsi" w:hAnsi="Palatino Linotype"/>
          <w:b/>
          <w:lang w:val="es-MX" w:eastAsia="en-US"/>
        </w:rPr>
      </w:pPr>
      <w:r w:rsidRPr="00CF0DCB">
        <w:rPr>
          <w:rFonts w:ascii="Palatino Linotype" w:eastAsiaTheme="minorHAnsi" w:hAnsi="Palatino Linotype"/>
          <w:b/>
          <w:lang w:val="es-MX" w:eastAsia="en-US"/>
        </w:rPr>
        <w:t>Ejercicio Fiscal 2018</w:t>
      </w:r>
    </w:p>
    <w:p w:rsidR="006A2740" w:rsidRPr="00CF0DCB" w:rsidRDefault="006A2740" w:rsidP="00CF0DCB">
      <w:pPr>
        <w:numPr>
          <w:ilvl w:val="0"/>
          <w:numId w:val="42"/>
        </w:numPr>
        <w:spacing w:after="160" w:line="360" w:lineRule="auto"/>
        <w:contextualSpacing/>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asignado en el ejercicio fiscal 2018 a las partidas presupuestales:</w:t>
      </w:r>
    </w:p>
    <w:tbl>
      <w:tblPr>
        <w:tblStyle w:val="Tablaconcuadrcula2"/>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6A2740" w:rsidRPr="00CF0DCB" w:rsidTr="006A2740">
        <w:tc>
          <w:tcPr>
            <w:tcW w:w="5000" w:type="pct"/>
            <w:gridSpan w:val="9"/>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Ejercicio Presupuestal 2018</w:t>
            </w:r>
          </w:p>
        </w:tc>
      </w:tr>
      <w:tr w:rsidR="006A2740" w:rsidRPr="00CF0DCB" w:rsidTr="006A2740">
        <w:tc>
          <w:tcPr>
            <w:tcW w:w="1582" w:type="pct"/>
            <w:gridSpan w:val="6"/>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Pilar Temático 1</w:t>
            </w:r>
          </w:p>
        </w:tc>
        <w:tc>
          <w:tcPr>
            <w:tcW w:w="3418" w:type="pct"/>
            <w:gridSpan w:val="3"/>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Gobierno Solidario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Fin</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Fun</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Sf</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Pg</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Sp</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Py</w:t>
            </w:r>
          </w:p>
        </w:tc>
        <w:tc>
          <w:tcPr>
            <w:tcW w:w="2476"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Nombre</w:t>
            </w:r>
          </w:p>
        </w:tc>
        <w:tc>
          <w:tcPr>
            <w:tcW w:w="47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47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El papel fundamental de la mujer y la perspectiva de género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Integración de la mujer al desarrollo económico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Capacitación de la mujer para el trabajo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educativa a hijos de madres trabajadoras</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Proyectos productivos para el desarrollo de la mujer</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Participación social de la mujer</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Fomento a la cultura de equidad de género</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76"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integral a la madre adolescente</w:t>
            </w: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c>
          <w:tcPr>
            <w:tcW w:w="471" w:type="pct"/>
          </w:tcPr>
          <w:p w:rsidR="006A2740" w:rsidRPr="00CF0DCB" w:rsidRDefault="006A2740" w:rsidP="00CF0DCB">
            <w:pPr>
              <w:spacing w:line="360" w:lineRule="auto"/>
              <w:rPr>
                <w:rFonts w:ascii="Palatino Linotype" w:eastAsiaTheme="minorHAnsi" w:hAnsi="Palatino Linotype"/>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las Carátulas de Presupuesto de Ingresos y Egresos (PbRM 03b y PbRM 04d) del ejercicio fiscal 2018.</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6A2740" w:rsidRPr="00CF0DCB" w:rsidRDefault="006A2740" w:rsidP="00CF0DCB">
      <w:pPr>
        <w:spacing w:after="160" w:line="360" w:lineRule="auto"/>
        <w:contextualSpacing/>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I01 Desarrollo Social y/o equivalente Ejercicio Fiscal 2018</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auxiliar 152 Atención a la Mujer y/o equivalente para el Ejercicio Fiscal 2018</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 Ficha Técnica de Diseño de Indicadores Estratégicos o de Gestión 2018 de la dependencia Clave I01 Desarrollo Social y/o equivalente, y de la dependencia Clave 152 Atención a la Mujer y/o equivalente.</w:t>
      </w:r>
    </w:p>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spacing w:after="160" w:line="360" w:lineRule="auto"/>
        <w:rPr>
          <w:rFonts w:ascii="Palatino Linotype" w:eastAsiaTheme="minorHAnsi" w:hAnsi="Palatino Linotype"/>
          <w:b/>
          <w:lang w:val="es-MX" w:eastAsia="en-US"/>
        </w:rPr>
      </w:pPr>
      <w:r w:rsidRPr="00CF0DCB">
        <w:rPr>
          <w:rFonts w:ascii="Palatino Linotype" w:eastAsiaTheme="minorHAnsi" w:hAnsi="Palatino Linotype"/>
          <w:b/>
          <w:lang w:val="es-MX" w:eastAsia="en-US"/>
        </w:rPr>
        <w:t>Ejercicio Fiscal 2019</w:t>
      </w:r>
    </w:p>
    <w:p w:rsidR="006A2740" w:rsidRPr="00CF0DCB" w:rsidRDefault="006A2740" w:rsidP="00CF0DCB">
      <w:pPr>
        <w:numPr>
          <w:ilvl w:val="0"/>
          <w:numId w:val="42"/>
        </w:numPr>
        <w:spacing w:after="160" w:line="360" w:lineRule="auto"/>
        <w:contextualSpacing/>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asignado en el ejercicio fiscal 2019 a las partidas presupuestales:</w:t>
      </w:r>
    </w:p>
    <w:tbl>
      <w:tblPr>
        <w:tblStyle w:val="Tablaconcuadrcula2"/>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6A2740" w:rsidRPr="00CF0DCB" w:rsidTr="006A2740">
        <w:tc>
          <w:tcPr>
            <w:tcW w:w="5000" w:type="pct"/>
            <w:gridSpan w:val="9"/>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Ejercicio Presupuestal 2019</w:t>
            </w:r>
          </w:p>
        </w:tc>
      </w:tr>
      <w:tr w:rsidR="006A2740" w:rsidRPr="00CF0DCB" w:rsidTr="006A2740">
        <w:tc>
          <w:tcPr>
            <w:tcW w:w="1582" w:type="pct"/>
            <w:gridSpan w:val="6"/>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Pilar Temático 1</w:t>
            </w:r>
          </w:p>
        </w:tc>
        <w:tc>
          <w:tcPr>
            <w:tcW w:w="3418" w:type="pct"/>
            <w:gridSpan w:val="3"/>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Gobierno Solidario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Fin</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Fun</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Sf</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Pg</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Sp</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Py</w:t>
            </w:r>
          </w:p>
        </w:tc>
        <w:tc>
          <w:tcPr>
            <w:tcW w:w="226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Nombre</w:t>
            </w:r>
          </w:p>
        </w:tc>
        <w:tc>
          <w:tcPr>
            <w:tcW w:w="626"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531" w:type="pct"/>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El papel fundamental de la mujer y la perspectiva de género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Integración de la mujer al desarrollo económico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Capacitación de la mujer para el trabajo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educativa a hijos de madres trabajadoras</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03</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Proyectos productivos para el desarrollo de la mujer</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Participación social de la mujer</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01</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Fomento a la cultura de equidad de género</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r w:rsidR="006A2740" w:rsidRPr="00CF0DCB" w:rsidTr="006A2740">
        <w:tc>
          <w:tcPr>
            <w:tcW w:w="274"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31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06</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08</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05</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49"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02</w:t>
            </w:r>
          </w:p>
        </w:tc>
        <w:tc>
          <w:tcPr>
            <w:tcW w:w="2261" w:type="pct"/>
          </w:tcPr>
          <w:p w:rsidR="006A2740" w:rsidRPr="00CF0DCB" w:rsidRDefault="006A2740" w:rsidP="00CF0DCB">
            <w:pPr>
              <w:spacing w:line="360" w:lineRule="auto"/>
              <w:rPr>
                <w:rFonts w:ascii="Palatino Linotype" w:eastAsiaTheme="minorHAnsi" w:hAnsi="Palatino Linotype"/>
                <w:lang w:val="es-MX" w:eastAsia="en-US"/>
              </w:rPr>
            </w:pPr>
            <w:r w:rsidRPr="00CF0DCB">
              <w:rPr>
                <w:rFonts w:ascii="Palatino Linotype" w:eastAsiaTheme="minorHAnsi" w:hAnsi="Palatino Linotype"/>
                <w:lang w:val="es-MX" w:eastAsia="en-US"/>
              </w:rPr>
              <w:t>Atención integral a la madre adolescente</w:t>
            </w:r>
          </w:p>
        </w:tc>
        <w:tc>
          <w:tcPr>
            <w:tcW w:w="626" w:type="pct"/>
          </w:tcPr>
          <w:p w:rsidR="006A2740" w:rsidRPr="00CF0DCB" w:rsidRDefault="006A2740" w:rsidP="00CF0DCB">
            <w:pPr>
              <w:spacing w:line="360" w:lineRule="auto"/>
              <w:rPr>
                <w:rFonts w:ascii="Palatino Linotype" w:eastAsiaTheme="minorHAnsi" w:hAnsi="Palatino Linotype"/>
                <w:lang w:val="es-MX" w:eastAsia="en-US"/>
              </w:rPr>
            </w:pPr>
          </w:p>
        </w:tc>
        <w:tc>
          <w:tcPr>
            <w:tcW w:w="531" w:type="pct"/>
          </w:tcPr>
          <w:p w:rsidR="006A2740" w:rsidRPr="00CF0DCB" w:rsidRDefault="006A2740" w:rsidP="00CF0DCB">
            <w:pPr>
              <w:spacing w:line="360" w:lineRule="auto"/>
              <w:rPr>
                <w:rFonts w:ascii="Palatino Linotype" w:eastAsiaTheme="minorHAnsi" w:hAnsi="Palatino Linotype"/>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las Carátulas de Presupuesto de Ingresos y Egresos (PbRM 03b y PbRM 04d) del ejercicio fiscal 2019.</w:t>
      </w:r>
    </w:p>
    <w:p w:rsidR="006A2740" w:rsidRPr="00CF0DCB" w:rsidRDefault="006A2740" w:rsidP="00CF0DCB">
      <w:pPr>
        <w:spacing w:after="160" w:line="360" w:lineRule="auto"/>
        <w:contextualSpacing/>
        <w:jc w:val="both"/>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6A2740" w:rsidRPr="00CF0DCB" w:rsidRDefault="006A2740" w:rsidP="00CF0DCB">
      <w:pPr>
        <w:spacing w:after="160" w:line="360" w:lineRule="auto"/>
        <w:contextualSpacing/>
        <w:rPr>
          <w:rFonts w:ascii="Palatino Linotype" w:eastAsiaTheme="minorHAnsi" w:hAnsi="Palatino Linotype"/>
          <w:lang w:val="es-MX" w:eastAsia="en-US"/>
        </w:rPr>
      </w:pPr>
    </w:p>
    <w:p w:rsidR="006A2740" w:rsidRPr="00CF0DCB" w:rsidRDefault="006A2740" w:rsidP="00CF0DCB">
      <w:pPr>
        <w:numPr>
          <w:ilvl w:val="0"/>
          <w:numId w:val="41"/>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IO1 Desarrollo Social y/o equivalente Ejercicio Fiscal 2019</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tbl>
      <w:tblPr>
        <w:tblStyle w:val="Tablaconcuadrcula2"/>
        <w:tblW w:w="0" w:type="auto"/>
        <w:tblLook w:val="04A0" w:firstRow="1" w:lastRow="0" w:firstColumn="1" w:lastColumn="0" w:noHBand="0" w:noVBand="1"/>
      </w:tblPr>
      <w:tblGrid>
        <w:gridCol w:w="2925"/>
        <w:gridCol w:w="2927"/>
        <w:gridCol w:w="2925"/>
      </w:tblGrid>
      <w:tr w:rsidR="006A2740" w:rsidRPr="00CF0DCB" w:rsidTr="006A2740">
        <w:tc>
          <w:tcPr>
            <w:tcW w:w="8828" w:type="dxa"/>
            <w:gridSpan w:val="3"/>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Presupuesto de la Dependencia auxiliar 152 Atención a la Mujer y/o equivalente para el Ejercicio Fiscal 2019</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Capitulo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Aprobado</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Monto Ejercido</w:t>
            </w: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2000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3000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4000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5000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6000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7000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8000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9000</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r w:rsidR="006A2740" w:rsidRPr="00CF0DCB" w:rsidTr="006A2740">
        <w:tc>
          <w:tcPr>
            <w:tcW w:w="2942"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Total</w:t>
            </w: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c>
          <w:tcPr>
            <w:tcW w:w="2943" w:type="dxa"/>
            <w:vAlign w:val="center"/>
          </w:tcPr>
          <w:p w:rsidR="006A2740" w:rsidRPr="00CF0DCB" w:rsidRDefault="006A2740" w:rsidP="00CF0DCB">
            <w:pPr>
              <w:spacing w:line="360" w:lineRule="auto"/>
              <w:jc w:val="center"/>
              <w:rPr>
                <w:rFonts w:ascii="Palatino Linotype" w:eastAsiaTheme="minorHAnsi" w:hAnsi="Palatino Linotype"/>
                <w:lang w:val="es-MX" w:eastAsia="en-US"/>
              </w:rPr>
            </w:pPr>
          </w:p>
        </w:tc>
      </w:tr>
    </w:tbl>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lang w:val="es-MX" w:eastAsia="en-US"/>
        </w:rPr>
      </w:pPr>
      <w:r w:rsidRPr="00CF0DCB">
        <w:rPr>
          <w:rFonts w:ascii="Palatino Linotype" w:eastAsiaTheme="minorHAnsi" w:hAnsi="Palatino Linotype"/>
          <w:lang w:val="es-MX" w:eastAsia="en-US"/>
        </w:rPr>
        <w:t>Proporcionar la Ficha Técnica de Diseño de Indicadores Estratégicos o de Gestión 2019 de la dependencia Clave I01 Desarrollo Social y/o equivalente, y de la dependencia auxiliar con Clave 152 Atención a la Mujer y/o equivalente.</w:t>
      </w:r>
    </w:p>
    <w:p w:rsidR="006A2740" w:rsidRPr="00CF0DCB" w:rsidRDefault="006A2740" w:rsidP="00CF0DCB">
      <w:pPr>
        <w:spacing w:after="160" w:line="360" w:lineRule="auto"/>
        <w:jc w:val="both"/>
        <w:rPr>
          <w:rFonts w:ascii="Palatino Linotype" w:eastAsiaTheme="minorHAnsi" w:hAnsi="Palatino Linotype"/>
          <w:lang w:val="es-MX" w:eastAsia="en-US"/>
        </w:rPr>
      </w:pPr>
    </w:p>
    <w:p w:rsidR="006A2740" w:rsidRPr="00CF0DCB" w:rsidRDefault="006A2740" w:rsidP="00CF0DCB">
      <w:pPr>
        <w:spacing w:after="160" w:line="360" w:lineRule="auto"/>
        <w:jc w:val="both"/>
        <w:rPr>
          <w:rFonts w:ascii="Palatino Linotype" w:eastAsiaTheme="minorHAnsi" w:hAnsi="Palatino Linotype"/>
          <w:b/>
          <w:lang w:val="es-MX" w:eastAsia="en-US"/>
        </w:rPr>
      </w:pPr>
      <w:r w:rsidRPr="00CF0DCB">
        <w:rPr>
          <w:rFonts w:ascii="Palatino Linotype" w:eastAsiaTheme="minorHAnsi" w:hAnsi="Palatino Linotype"/>
          <w:b/>
          <w:lang w:val="es-MX" w:eastAsia="en-US"/>
        </w:rPr>
        <w:t>Complementos:</w:t>
      </w:r>
    </w:p>
    <w:p w:rsidR="006A2740" w:rsidRPr="00CF0DCB" w:rsidRDefault="006A2740" w:rsidP="00CF0DCB">
      <w:pPr>
        <w:spacing w:after="160" w:line="360" w:lineRule="auto"/>
        <w:jc w:val="both"/>
        <w:rPr>
          <w:rFonts w:ascii="Palatino Linotype" w:eastAsiaTheme="minorHAnsi" w:hAnsi="Palatino Linotype"/>
          <w:b/>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b/>
          <w:lang w:val="es-MX" w:eastAsia="en-US"/>
        </w:rPr>
      </w:pPr>
      <w:r w:rsidRPr="00CF0DCB">
        <w:rPr>
          <w:rFonts w:ascii="Palatino Linotype" w:eastAsiaTheme="minorHAnsi" w:hAnsi="Palatino Linotype"/>
          <w:lang w:val="es-MX" w:eastAsia="en-US"/>
        </w:rPr>
        <w:t xml:space="preserve">¿La dependencia auxiliar con Clave 152 Atención a la Mujer y/o equivalente depende de alguna dirección de área o es una dirección de área? </w:t>
      </w:r>
    </w:p>
    <w:p w:rsidR="006A2740" w:rsidRPr="00CF0DCB" w:rsidRDefault="006A2740" w:rsidP="00CF0DCB">
      <w:pPr>
        <w:spacing w:after="160" w:line="360" w:lineRule="auto"/>
        <w:contextualSpacing/>
        <w:jc w:val="both"/>
        <w:rPr>
          <w:rFonts w:ascii="Palatino Linotype" w:eastAsiaTheme="minorHAnsi" w:hAnsi="Palatino Linotype"/>
          <w:b/>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b/>
          <w:lang w:val="es-MX" w:eastAsia="en-US"/>
        </w:rPr>
      </w:pPr>
      <w:r w:rsidRPr="00CF0DCB">
        <w:rPr>
          <w:rFonts w:ascii="Palatino Linotype" w:eastAsiaTheme="minorHAnsi" w:hAnsi="Palatino Linotype"/>
          <w:lang w:val="es-MX" w:eastAsia="en-US"/>
        </w:rPr>
        <w:t>¿Cuál es la denominación o nombre de la dependencia auxiliar con Clave 152 Atención a la Mujer y/o equivalente del municipio?</w:t>
      </w:r>
    </w:p>
    <w:p w:rsidR="006A2740" w:rsidRPr="00CF0DCB" w:rsidRDefault="006A2740" w:rsidP="00CF0DCB">
      <w:pPr>
        <w:spacing w:after="160" w:line="360" w:lineRule="auto"/>
        <w:contextualSpacing/>
        <w:jc w:val="both"/>
        <w:rPr>
          <w:rFonts w:ascii="Palatino Linotype" w:eastAsiaTheme="minorHAnsi" w:hAnsi="Palatino Linotype"/>
          <w:b/>
          <w:lang w:val="es-MX" w:eastAsia="en-US"/>
        </w:rPr>
      </w:pPr>
    </w:p>
    <w:tbl>
      <w:tblPr>
        <w:tblStyle w:val="Tablaconcuadrcula2"/>
        <w:tblW w:w="0" w:type="auto"/>
        <w:tblInd w:w="720" w:type="dxa"/>
        <w:tblLook w:val="04A0" w:firstRow="1" w:lastRow="0" w:firstColumn="1" w:lastColumn="0" w:noHBand="0" w:noVBand="1"/>
      </w:tblPr>
      <w:tblGrid>
        <w:gridCol w:w="4055"/>
        <w:gridCol w:w="4002"/>
      </w:tblGrid>
      <w:tr w:rsidR="006A2740" w:rsidRPr="00CF0DCB" w:rsidTr="006A2740">
        <w:tc>
          <w:tcPr>
            <w:tcW w:w="4414" w:type="dxa"/>
          </w:tcPr>
          <w:p w:rsidR="006A2740" w:rsidRPr="00CF0DCB" w:rsidRDefault="006A2740" w:rsidP="00CF0DCB">
            <w:pPr>
              <w:spacing w:line="360" w:lineRule="auto"/>
              <w:contextualSpacing/>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Dependencia Auxiliar</w:t>
            </w:r>
          </w:p>
        </w:tc>
        <w:tc>
          <w:tcPr>
            <w:tcW w:w="4414" w:type="dxa"/>
          </w:tcPr>
          <w:p w:rsidR="006A2740" w:rsidRPr="00CF0DCB" w:rsidRDefault="006A2740" w:rsidP="00CF0DCB">
            <w:pPr>
              <w:spacing w:line="360" w:lineRule="auto"/>
              <w:contextualSpacing/>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Nombre aprobado por cabildo</w:t>
            </w:r>
          </w:p>
        </w:tc>
      </w:tr>
      <w:tr w:rsidR="006A2740" w:rsidRPr="00CF0DCB" w:rsidTr="006A2740">
        <w:tc>
          <w:tcPr>
            <w:tcW w:w="4414" w:type="dxa"/>
          </w:tcPr>
          <w:p w:rsidR="006A2740" w:rsidRPr="00CF0DCB" w:rsidRDefault="006A2740" w:rsidP="00CF0DCB">
            <w:pPr>
              <w:spacing w:line="360" w:lineRule="auto"/>
              <w:contextualSpacing/>
              <w:jc w:val="center"/>
              <w:rPr>
                <w:rFonts w:ascii="Palatino Linotype" w:eastAsiaTheme="minorHAnsi" w:hAnsi="Palatino Linotype"/>
                <w:lang w:val="es-MX" w:eastAsia="en-US"/>
              </w:rPr>
            </w:pPr>
            <w:r w:rsidRPr="00CF0DCB">
              <w:rPr>
                <w:rFonts w:ascii="Palatino Linotype" w:eastAsiaTheme="minorHAnsi" w:hAnsi="Palatino Linotype"/>
                <w:lang w:val="es-MX" w:eastAsia="en-US"/>
              </w:rPr>
              <w:t>152 Atención a la mujer</w:t>
            </w:r>
          </w:p>
        </w:tc>
        <w:tc>
          <w:tcPr>
            <w:tcW w:w="4414" w:type="dxa"/>
          </w:tcPr>
          <w:p w:rsidR="006A2740" w:rsidRPr="00CF0DCB" w:rsidRDefault="006A2740" w:rsidP="00CF0DCB">
            <w:pPr>
              <w:spacing w:line="360" w:lineRule="auto"/>
              <w:contextualSpacing/>
              <w:jc w:val="both"/>
              <w:rPr>
                <w:rFonts w:ascii="Palatino Linotype" w:eastAsiaTheme="minorHAnsi" w:hAnsi="Palatino Linotype"/>
                <w:b/>
                <w:lang w:val="es-MX" w:eastAsia="en-US"/>
              </w:rPr>
            </w:pPr>
          </w:p>
        </w:tc>
      </w:tr>
    </w:tbl>
    <w:p w:rsidR="006A2740" w:rsidRPr="00CF0DCB" w:rsidRDefault="006A2740" w:rsidP="00CF0DCB">
      <w:pPr>
        <w:spacing w:after="160" w:line="360" w:lineRule="auto"/>
        <w:contextualSpacing/>
        <w:jc w:val="both"/>
        <w:rPr>
          <w:rFonts w:ascii="Palatino Linotype" w:eastAsiaTheme="minorHAnsi" w:hAnsi="Palatino Linotype"/>
          <w:b/>
          <w:lang w:val="es-MX" w:eastAsia="en-US"/>
        </w:rPr>
      </w:pPr>
    </w:p>
    <w:p w:rsidR="006A2740" w:rsidRPr="00CF0DCB" w:rsidRDefault="006A2740" w:rsidP="00CF0DCB">
      <w:pPr>
        <w:numPr>
          <w:ilvl w:val="0"/>
          <w:numId w:val="43"/>
        </w:numPr>
        <w:spacing w:after="160" w:line="360" w:lineRule="auto"/>
        <w:contextualSpacing/>
        <w:jc w:val="both"/>
        <w:rPr>
          <w:rFonts w:ascii="Palatino Linotype" w:eastAsiaTheme="minorHAnsi" w:hAnsi="Palatino Linotype"/>
          <w:b/>
          <w:lang w:val="es-MX" w:eastAsia="en-US"/>
        </w:rPr>
      </w:pPr>
      <w:r w:rsidRPr="00CF0DCB">
        <w:rPr>
          <w:rFonts w:ascii="Palatino Linotype" w:eastAsiaTheme="minorHAnsi" w:hAnsi="Palatino Linotype"/>
          <w:lang w:val="es-MX" w:eastAsia="en-US"/>
        </w:rPr>
        <w:t>¿Se gestionó y aterrizó alguna otra fuente de financiamiento en materia de género o atención a la mujer de carácter estatal, federal o internacional? Si la respuesta es afirmativa ¿Cuál, ante que dependencia y con que monto?</w:t>
      </w:r>
    </w:p>
    <w:p w:rsidR="006A2740" w:rsidRPr="00CF0DCB" w:rsidRDefault="006A2740" w:rsidP="00CF0DCB">
      <w:pPr>
        <w:spacing w:after="160" w:line="360" w:lineRule="auto"/>
        <w:jc w:val="both"/>
        <w:rPr>
          <w:rFonts w:ascii="Palatino Linotype" w:eastAsiaTheme="minorHAnsi" w:hAnsi="Palatino Linotype"/>
          <w:b/>
          <w:lang w:val="es-MX" w:eastAsia="en-US"/>
        </w:rPr>
      </w:pPr>
    </w:p>
    <w:p w:rsidR="006A2740" w:rsidRPr="00CF0DCB" w:rsidRDefault="006A2740" w:rsidP="00CF0DCB">
      <w:pPr>
        <w:spacing w:after="160" w:line="360" w:lineRule="auto"/>
        <w:jc w:val="both"/>
        <w:rPr>
          <w:rFonts w:ascii="Palatino Linotype" w:eastAsiaTheme="minorHAnsi" w:hAnsi="Palatino Linotype"/>
          <w:b/>
          <w:lang w:val="es-MX" w:eastAsia="en-US"/>
        </w:rPr>
      </w:pPr>
    </w:p>
    <w:p w:rsidR="006A2740" w:rsidRPr="00CF0DCB" w:rsidRDefault="006A2740" w:rsidP="00CF0DCB">
      <w:pPr>
        <w:spacing w:after="160" w:line="360" w:lineRule="auto"/>
        <w:jc w:val="both"/>
        <w:rPr>
          <w:rFonts w:ascii="Palatino Linotype" w:eastAsiaTheme="minorHAnsi" w:hAnsi="Palatino Linotype"/>
          <w:b/>
          <w:lang w:val="es-MX" w:eastAsia="en-US"/>
        </w:rPr>
      </w:pPr>
    </w:p>
    <w:tbl>
      <w:tblPr>
        <w:tblStyle w:val="Tablaconcuadrcula2"/>
        <w:tblW w:w="0" w:type="auto"/>
        <w:tblLook w:val="04A0" w:firstRow="1" w:lastRow="0" w:firstColumn="1" w:lastColumn="0" w:noHBand="0" w:noVBand="1"/>
      </w:tblPr>
      <w:tblGrid>
        <w:gridCol w:w="1386"/>
        <w:gridCol w:w="1140"/>
        <w:gridCol w:w="893"/>
        <w:gridCol w:w="893"/>
        <w:gridCol w:w="893"/>
        <w:gridCol w:w="893"/>
        <w:gridCol w:w="893"/>
        <w:gridCol w:w="893"/>
        <w:gridCol w:w="893"/>
      </w:tblGrid>
      <w:tr w:rsidR="006A2740" w:rsidRPr="00CF0DCB" w:rsidTr="006A2740">
        <w:tc>
          <w:tcPr>
            <w:tcW w:w="8828" w:type="dxa"/>
            <w:gridSpan w:val="9"/>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Recursos gestionados en materia de género o atención a la mujer en el municipio</w:t>
            </w:r>
          </w:p>
        </w:tc>
      </w:tr>
      <w:tr w:rsidR="006A2740" w:rsidRPr="00CF0DCB" w:rsidTr="006A2740">
        <w:tc>
          <w:tcPr>
            <w:tcW w:w="1129"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Recurso Gestionado</w:t>
            </w:r>
          </w:p>
        </w:tc>
        <w:tc>
          <w:tcPr>
            <w:tcW w:w="1392"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Nombre de la Instancia a la que se gestiono</w:t>
            </w:r>
          </w:p>
        </w:tc>
        <w:tc>
          <w:tcPr>
            <w:tcW w:w="876"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 xml:space="preserve">Monto </w:t>
            </w:r>
          </w:p>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2013</w:t>
            </w:r>
          </w:p>
        </w:tc>
        <w:tc>
          <w:tcPr>
            <w:tcW w:w="851"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Monto</w:t>
            </w:r>
          </w:p>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2014</w:t>
            </w:r>
          </w:p>
        </w:tc>
        <w:tc>
          <w:tcPr>
            <w:tcW w:w="850"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Monto</w:t>
            </w:r>
          </w:p>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2015</w:t>
            </w:r>
          </w:p>
        </w:tc>
        <w:tc>
          <w:tcPr>
            <w:tcW w:w="993"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Monto</w:t>
            </w:r>
          </w:p>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2016</w:t>
            </w:r>
          </w:p>
        </w:tc>
        <w:tc>
          <w:tcPr>
            <w:tcW w:w="992"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Monto</w:t>
            </w:r>
          </w:p>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2017</w:t>
            </w:r>
          </w:p>
        </w:tc>
        <w:tc>
          <w:tcPr>
            <w:tcW w:w="850"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Monto</w:t>
            </w:r>
          </w:p>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2018</w:t>
            </w:r>
          </w:p>
        </w:tc>
        <w:tc>
          <w:tcPr>
            <w:tcW w:w="895" w:type="dxa"/>
            <w:vAlign w:val="center"/>
          </w:tcPr>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Monto</w:t>
            </w:r>
          </w:p>
          <w:p w:rsidR="006A2740" w:rsidRPr="00CF0DCB" w:rsidRDefault="006A2740" w:rsidP="00CF0DCB">
            <w:pPr>
              <w:spacing w:line="360" w:lineRule="auto"/>
              <w:jc w:val="center"/>
              <w:rPr>
                <w:rFonts w:ascii="Palatino Linotype" w:eastAsiaTheme="minorHAnsi" w:hAnsi="Palatino Linotype"/>
                <w:b/>
                <w:lang w:val="es-MX" w:eastAsia="en-US"/>
              </w:rPr>
            </w:pPr>
            <w:r w:rsidRPr="00CF0DCB">
              <w:rPr>
                <w:rFonts w:ascii="Palatino Linotype" w:eastAsiaTheme="minorHAnsi" w:hAnsi="Palatino Linotype"/>
                <w:b/>
                <w:lang w:val="es-MX" w:eastAsia="en-US"/>
              </w:rPr>
              <w:t>2019</w:t>
            </w:r>
          </w:p>
        </w:tc>
      </w:tr>
      <w:tr w:rsidR="006A2740" w:rsidRPr="00CF0DCB" w:rsidTr="006A2740">
        <w:tc>
          <w:tcPr>
            <w:tcW w:w="1129"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1392"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876"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1"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3"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2"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95" w:type="dxa"/>
          </w:tcPr>
          <w:p w:rsidR="006A2740" w:rsidRPr="00CF0DCB" w:rsidRDefault="006A2740" w:rsidP="00CF0DCB">
            <w:pPr>
              <w:spacing w:line="360" w:lineRule="auto"/>
              <w:jc w:val="both"/>
              <w:rPr>
                <w:rFonts w:ascii="Palatino Linotype" w:eastAsiaTheme="minorHAnsi" w:hAnsi="Palatino Linotype"/>
                <w:b/>
                <w:lang w:val="es-MX" w:eastAsia="en-US"/>
              </w:rPr>
            </w:pPr>
          </w:p>
        </w:tc>
      </w:tr>
      <w:tr w:rsidR="006A2740" w:rsidRPr="00CF0DCB" w:rsidTr="006A2740">
        <w:tc>
          <w:tcPr>
            <w:tcW w:w="1129"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1392"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876"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1"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3"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2"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95" w:type="dxa"/>
          </w:tcPr>
          <w:p w:rsidR="006A2740" w:rsidRPr="00CF0DCB" w:rsidRDefault="006A2740" w:rsidP="00CF0DCB">
            <w:pPr>
              <w:spacing w:line="360" w:lineRule="auto"/>
              <w:jc w:val="both"/>
              <w:rPr>
                <w:rFonts w:ascii="Palatino Linotype" w:eastAsiaTheme="minorHAnsi" w:hAnsi="Palatino Linotype"/>
                <w:b/>
                <w:lang w:val="es-MX" w:eastAsia="en-US"/>
              </w:rPr>
            </w:pPr>
          </w:p>
        </w:tc>
      </w:tr>
      <w:tr w:rsidR="006A2740" w:rsidRPr="00CF0DCB" w:rsidTr="006A2740">
        <w:tc>
          <w:tcPr>
            <w:tcW w:w="1129"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1392"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876"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1"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3"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2"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95" w:type="dxa"/>
          </w:tcPr>
          <w:p w:rsidR="006A2740" w:rsidRPr="00CF0DCB" w:rsidRDefault="006A2740" w:rsidP="00CF0DCB">
            <w:pPr>
              <w:spacing w:line="360" w:lineRule="auto"/>
              <w:jc w:val="both"/>
              <w:rPr>
                <w:rFonts w:ascii="Palatino Linotype" w:eastAsiaTheme="minorHAnsi" w:hAnsi="Palatino Linotype"/>
                <w:b/>
                <w:lang w:val="es-MX" w:eastAsia="en-US"/>
              </w:rPr>
            </w:pPr>
          </w:p>
        </w:tc>
      </w:tr>
      <w:tr w:rsidR="006A2740" w:rsidRPr="00CF0DCB" w:rsidTr="006A2740">
        <w:tc>
          <w:tcPr>
            <w:tcW w:w="1129"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1392"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876"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1"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3"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2"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95" w:type="dxa"/>
          </w:tcPr>
          <w:p w:rsidR="006A2740" w:rsidRPr="00CF0DCB" w:rsidRDefault="006A2740" w:rsidP="00CF0DCB">
            <w:pPr>
              <w:spacing w:line="360" w:lineRule="auto"/>
              <w:jc w:val="both"/>
              <w:rPr>
                <w:rFonts w:ascii="Palatino Linotype" w:eastAsiaTheme="minorHAnsi" w:hAnsi="Palatino Linotype"/>
                <w:b/>
                <w:lang w:val="es-MX" w:eastAsia="en-US"/>
              </w:rPr>
            </w:pPr>
          </w:p>
        </w:tc>
      </w:tr>
      <w:tr w:rsidR="006A2740" w:rsidRPr="00CF0DCB" w:rsidTr="006A2740">
        <w:tc>
          <w:tcPr>
            <w:tcW w:w="1129"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1392"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876"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1"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3"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2"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95" w:type="dxa"/>
          </w:tcPr>
          <w:p w:rsidR="006A2740" w:rsidRPr="00CF0DCB" w:rsidRDefault="006A2740" w:rsidP="00CF0DCB">
            <w:pPr>
              <w:spacing w:line="360" w:lineRule="auto"/>
              <w:jc w:val="both"/>
              <w:rPr>
                <w:rFonts w:ascii="Palatino Linotype" w:eastAsiaTheme="minorHAnsi" w:hAnsi="Palatino Linotype"/>
                <w:b/>
                <w:lang w:val="es-MX" w:eastAsia="en-US"/>
              </w:rPr>
            </w:pPr>
          </w:p>
        </w:tc>
      </w:tr>
      <w:tr w:rsidR="006A2740" w:rsidRPr="00CF0DCB" w:rsidTr="006A2740">
        <w:tc>
          <w:tcPr>
            <w:tcW w:w="1129"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1392"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876"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1"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3"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2"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95" w:type="dxa"/>
          </w:tcPr>
          <w:p w:rsidR="006A2740" w:rsidRPr="00CF0DCB" w:rsidRDefault="006A2740" w:rsidP="00CF0DCB">
            <w:pPr>
              <w:spacing w:line="360" w:lineRule="auto"/>
              <w:jc w:val="both"/>
              <w:rPr>
                <w:rFonts w:ascii="Palatino Linotype" w:eastAsiaTheme="minorHAnsi" w:hAnsi="Palatino Linotype"/>
                <w:b/>
                <w:lang w:val="es-MX" w:eastAsia="en-US"/>
              </w:rPr>
            </w:pPr>
          </w:p>
        </w:tc>
      </w:tr>
      <w:tr w:rsidR="006A2740" w:rsidRPr="00CF0DCB" w:rsidTr="006A2740">
        <w:tc>
          <w:tcPr>
            <w:tcW w:w="1129"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1392" w:type="dxa"/>
          </w:tcPr>
          <w:p w:rsidR="006A2740" w:rsidRPr="00CF0DCB" w:rsidRDefault="006A2740" w:rsidP="00CF0DCB">
            <w:pPr>
              <w:spacing w:line="360" w:lineRule="auto"/>
              <w:jc w:val="both"/>
              <w:rPr>
                <w:rFonts w:ascii="Palatino Linotype" w:eastAsiaTheme="minorHAnsi" w:hAnsi="Palatino Linotype"/>
                <w:lang w:val="es-MX" w:eastAsia="en-US"/>
              </w:rPr>
            </w:pPr>
          </w:p>
        </w:tc>
        <w:tc>
          <w:tcPr>
            <w:tcW w:w="876"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1"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3"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992"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50" w:type="dxa"/>
          </w:tcPr>
          <w:p w:rsidR="006A2740" w:rsidRPr="00CF0DCB" w:rsidRDefault="006A2740" w:rsidP="00CF0DCB">
            <w:pPr>
              <w:spacing w:line="360" w:lineRule="auto"/>
              <w:jc w:val="both"/>
              <w:rPr>
                <w:rFonts w:ascii="Palatino Linotype" w:eastAsiaTheme="minorHAnsi" w:hAnsi="Palatino Linotype"/>
                <w:b/>
                <w:lang w:val="es-MX" w:eastAsia="en-US"/>
              </w:rPr>
            </w:pPr>
          </w:p>
        </w:tc>
        <w:tc>
          <w:tcPr>
            <w:tcW w:w="895" w:type="dxa"/>
          </w:tcPr>
          <w:p w:rsidR="006A2740" w:rsidRPr="00CF0DCB" w:rsidRDefault="006A2740" w:rsidP="00CF0DCB">
            <w:pPr>
              <w:spacing w:line="360" w:lineRule="auto"/>
              <w:jc w:val="both"/>
              <w:rPr>
                <w:rFonts w:ascii="Palatino Linotype" w:eastAsiaTheme="minorHAnsi" w:hAnsi="Palatino Linotype"/>
                <w:b/>
                <w:lang w:val="es-MX" w:eastAsia="en-US"/>
              </w:rPr>
            </w:pPr>
          </w:p>
        </w:tc>
      </w:tr>
    </w:tbl>
    <w:p w:rsidR="006A2740" w:rsidRPr="00CF0DCB" w:rsidRDefault="006A2740" w:rsidP="00CF0DCB">
      <w:pPr>
        <w:spacing w:after="160" w:line="360" w:lineRule="auto"/>
        <w:jc w:val="both"/>
        <w:rPr>
          <w:rFonts w:ascii="Palatino Linotype" w:eastAsiaTheme="minorHAnsi" w:hAnsi="Palatino Linotype"/>
          <w:b/>
          <w:lang w:val="es-MX" w:eastAsia="en-US"/>
        </w:rPr>
      </w:pPr>
    </w:p>
    <w:p w:rsidR="006A2740" w:rsidRPr="00CF0DCB" w:rsidRDefault="006A2740" w:rsidP="00CF0DCB">
      <w:pPr>
        <w:spacing w:line="360" w:lineRule="auto"/>
        <w:ind w:right="567"/>
        <w:jc w:val="both"/>
        <w:rPr>
          <w:rFonts w:ascii="Palatino Linotype" w:eastAsia="Calibri" w:hAnsi="Palatino Linotype" w:cs="Arial"/>
          <w:b/>
          <w:bCs/>
          <w:color w:val="000000" w:themeColor="text1"/>
        </w:rPr>
      </w:pPr>
    </w:p>
    <w:p w:rsidR="006A2740" w:rsidRPr="00CF0DCB" w:rsidRDefault="006A2740" w:rsidP="00CF0DCB">
      <w:pPr>
        <w:pStyle w:val="Prrafodelista"/>
        <w:numPr>
          <w:ilvl w:val="0"/>
          <w:numId w:val="1"/>
        </w:numPr>
        <w:spacing w:line="360" w:lineRule="auto"/>
        <w:ind w:left="0" w:right="34" w:firstLine="0"/>
        <w:jc w:val="both"/>
        <w:rPr>
          <w:rFonts w:ascii="Palatino Linotype" w:hAnsi="Palatino Linotype"/>
          <w:b/>
          <w:i/>
          <w:color w:val="000000" w:themeColor="text1"/>
        </w:rPr>
      </w:pPr>
      <w:r w:rsidRPr="00CF0DCB">
        <w:rPr>
          <w:rFonts w:ascii="Palatino Linotype" w:eastAsia="Calibri" w:hAnsi="Palatino Linotype" w:cs="Arial"/>
          <w:color w:val="000000" w:themeColor="text1"/>
          <w:lang w:val="es-AR"/>
        </w:rPr>
        <w:t xml:space="preserve">Se hace constar que se señaló como modalidad de entrega de la información a través del </w:t>
      </w:r>
      <w:r w:rsidRPr="00CF0DCB">
        <w:rPr>
          <w:rFonts w:ascii="Palatino Linotype" w:eastAsia="Calibri" w:hAnsi="Palatino Linotype" w:cs="Arial"/>
          <w:b/>
          <w:color w:val="000000" w:themeColor="text1"/>
          <w:lang w:val="es-AR"/>
        </w:rPr>
        <w:t>Sistema de Acceso a la Información Mexiquense</w:t>
      </w:r>
      <w:r w:rsidRPr="00CF0DCB">
        <w:rPr>
          <w:rFonts w:ascii="Palatino Linotype" w:eastAsia="Calibri" w:hAnsi="Palatino Linotype" w:cs="Arial"/>
          <w:color w:val="000000" w:themeColor="text1"/>
          <w:lang w:val="es-AR"/>
        </w:rPr>
        <w:t xml:space="preserve"> </w:t>
      </w:r>
      <w:r w:rsidRPr="00CF0DCB">
        <w:rPr>
          <w:rFonts w:ascii="Palatino Linotype" w:eastAsia="Calibri" w:hAnsi="Palatino Linotype" w:cs="Arial"/>
          <w:b/>
          <w:color w:val="000000" w:themeColor="text1"/>
          <w:lang w:val="es-AR"/>
        </w:rPr>
        <w:t>(SAIMEX)</w:t>
      </w:r>
      <w:r w:rsidRPr="00CF0DCB">
        <w:rPr>
          <w:rFonts w:ascii="Palatino Linotype" w:eastAsia="Calibri" w:hAnsi="Palatino Linotype" w:cs="Arial"/>
          <w:color w:val="000000" w:themeColor="text1"/>
          <w:lang w:val="es-AR"/>
        </w:rPr>
        <w:t>.</w:t>
      </w:r>
    </w:p>
    <w:p w:rsidR="006A2740" w:rsidRPr="00CF0DCB" w:rsidRDefault="006A2740" w:rsidP="00CF0DCB">
      <w:pPr>
        <w:pStyle w:val="Prrafodelista"/>
        <w:spacing w:line="360" w:lineRule="auto"/>
        <w:ind w:left="0" w:right="34"/>
        <w:jc w:val="both"/>
        <w:rPr>
          <w:rFonts w:ascii="Palatino Linotype" w:hAnsi="Palatino Linotype"/>
          <w:b/>
          <w:i/>
          <w:color w:val="000000" w:themeColor="text1"/>
        </w:rPr>
      </w:pPr>
    </w:p>
    <w:p w:rsidR="006A2740" w:rsidRPr="00CF0DCB" w:rsidRDefault="006A2740" w:rsidP="00CF0DCB">
      <w:pPr>
        <w:pStyle w:val="Prrafodelista"/>
        <w:numPr>
          <w:ilvl w:val="0"/>
          <w:numId w:val="1"/>
        </w:numPr>
        <w:spacing w:line="360" w:lineRule="auto"/>
        <w:ind w:left="0" w:right="34" w:firstLine="0"/>
        <w:jc w:val="both"/>
        <w:rPr>
          <w:rFonts w:ascii="Palatino Linotype" w:hAnsi="Palatino Linotype"/>
          <w:b/>
          <w:i/>
          <w:color w:val="000000" w:themeColor="text1"/>
        </w:rPr>
      </w:pPr>
      <w:r w:rsidRPr="00CF0DCB">
        <w:rPr>
          <w:rFonts w:ascii="Palatino Linotype" w:hAnsi="Palatino Linotype"/>
          <w:color w:val="000000" w:themeColor="text1"/>
        </w:rPr>
        <w:t xml:space="preserve">El </w:t>
      </w:r>
      <w:r w:rsidRPr="00CF0DCB">
        <w:rPr>
          <w:rFonts w:ascii="Palatino Linotype" w:hAnsi="Palatino Linotype"/>
          <w:b/>
          <w:color w:val="000000" w:themeColor="text1"/>
        </w:rPr>
        <w:t xml:space="preserve">SUJETO OBLIGADO </w:t>
      </w:r>
      <w:r w:rsidR="00E76C87" w:rsidRPr="00CF0DCB">
        <w:rPr>
          <w:rFonts w:ascii="Palatino Linotype" w:hAnsi="Palatino Linotype"/>
          <w:color w:val="000000" w:themeColor="text1"/>
        </w:rPr>
        <w:t>fue omiso en proporcionar</w:t>
      </w:r>
      <w:r w:rsidR="00E76C87" w:rsidRPr="00CF0DCB">
        <w:rPr>
          <w:rFonts w:ascii="Palatino Linotype" w:hAnsi="Palatino Linotype"/>
          <w:b/>
          <w:color w:val="000000" w:themeColor="text1"/>
        </w:rPr>
        <w:t xml:space="preserve"> </w:t>
      </w:r>
      <w:r w:rsidRPr="00CF0DCB">
        <w:rPr>
          <w:rFonts w:ascii="Palatino Linotype" w:hAnsi="Palatino Linotype"/>
          <w:color w:val="000000" w:themeColor="text1"/>
        </w:rPr>
        <w:t>respuesta a la soli</w:t>
      </w:r>
      <w:r w:rsidR="00E76C87" w:rsidRPr="00CF0DCB">
        <w:rPr>
          <w:rFonts w:ascii="Palatino Linotype" w:hAnsi="Palatino Linotype"/>
          <w:color w:val="000000" w:themeColor="text1"/>
        </w:rPr>
        <w:t>citud de información presentada.</w:t>
      </w:r>
      <w:r w:rsidRPr="00CF0DCB">
        <w:rPr>
          <w:rFonts w:ascii="Palatino Linotype" w:hAnsi="Palatino Linotype"/>
          <w:color w:val="000000" w:themeColor="text1"/>
        </w:rPr>
        <w:t xml:space="preserve"> </w:t>
      </w:r>
    </w:p>
    <w:p w:rsidR="00E76C87" w:rsidRPr="00CF0DCB" w:rsidRDefault="00E76C87" w:rsidP="00CF0DCB">
      <w:pPr>
        <w:pStyle w:val="Prrafodelista"/>
        <w:spacing w:line="360" w:lineRule="auto"/>
        <w:ind w:left="0"/>
        <w:jc w:val="both"/>
        <w:rPr>
          <w:rFonts w:ascii="Palatino Linotype" w:hAnsi="Palatino Linotype"/>
          <w:b/>
          <w:i/>
          <w:color w:val="000000" w:themeColor="text1"/>
        </w:rPr>
      </w:pPr>
    </w:p>
    <w:p w:rsidR="006A2740" w:rsidRPr="00CF0DCB" w:rsidRDefault="006A2740" w:rsidP="00CF0DCB">
      <w:pPr>
        <w:pStyle w:val="Prrafodelista"/>
        <w:numPr>
          <w:ilvl w:val="0"/>
          <w:numId w:val="1"/>
        </w:numPr>
        <w:spacing w:line="360" w:lineRule="auto"/>
        <w:ind w:left="0" w:firstLine="0"/>
        <w:jc w:val="both"/>
        <w:rPr>
          <w:rFonts w:ascii="Palatino Linotype" w:hAnsi="Palatino Linotype"/>
          <w:b/>
          <w:i/>
          <w:color w:val="000000" w:themeColor="text1"/>
        </w:rPr>
      </w:pPr>
      <w:r w:rsidRPr="00CF0DCB">
        <w:rPr>
          <w:rFonts w:ascii="Palatino Linotype" w:eastAsia="Times New Roman" w:hAnsi="Palatino Linotype" w:cs="Arial"/>
          <w:color w:val="000000" w:themeColor="text1"/>
          <w:lang w:val="es-ES"/>
        </w:rPr>
        <w:t xml:space="preserve">El </w:t>
      </w:r>
      <w:r w:rsidR="00E76C87" w:rsidRPr="00CF0DCB">
        <w:rPr>
          <w:rFonts w:ascii="Palatino Linotype" w:eastAsia="Times New Roman" w:hAnsi="Palatino Linotype" w:cs="Arial"/>
          <w:color w:val="000000" w:themeColor="text1"/>
          <w:lang w:val="es-ES"/>
        </w:rPr>
        <w:t xml:space="preserve">día </w:t>
      </w:r>
      <w:r w:rsidR="00E76C87" w:rsidRPr="00CF0DCB">
        <w:rPr>
          <w:rFonts w:ascii="Palatino Linotype" w:eastAsia="Times New Roman" w:hAnsi="Palatino Linotype" w:cs="Arial"/>
          <w:b/>
          <w:color w:val="000000" w:themeColor="text1"/>
          <w:lang w:val="es-ES"/>
        </w:rPr>
        <w:t>veinticuatro</w:t>
      </w:r>
      <w:r w:rsidRPr="00CF0DCB">
        <w:rPr>
          <w:rFonts w:ascii="Palatino Linotype" w:eastAsia="Times New Roman" w:hAnsi="Palatino Linotype" w:cs="Arial"/>
          <w:b/>
          <w:color w:val="000000" w:themeColor="text1"/>
          <w:lang w:val="es-ES"/>
        </w:rPr>
        <w:t xml:space="preserve"> (</w:t>
      </w:r>
      <w:r w:rsidR="00E76C87" w:rsidRPr="00CF0DCB">
        <w:rPr>
          <w:rFonts w:ascii="Palatino Linotype" w:eastAsia="Times New Roman" w:hAnsi="Palatino Linotype" w:cs="Arial"/>
          <w:b/>
          <w:color w:val="000000" w:themeColor="text1"/>
          <w:lang w:val="es-ES"/>
        </w:rPr>
        <w:t>24</w:t>
      </w:r>
      <w:r w:rsidRPr="00CF0DCB">
        <w:rPr>
          <w:rFonts w:ascii="Palatino Linotype" w:eastAsia="Times New Roman" w:hAnsi="Palatino Linotype" w:cs="Arial"/>
          <w:b/>
          <w:color w:val="000000" w:themeColor="text1"/>
          <w:lang w:val="es-ES"/>
        </w:rPr>
        <w:t>) de junio de</w:t>
      </w:r>
      <w:r w:rsidRPr="00CF0DCB">
        <w:rPr>
          <w:rFonts w:ascii="Palatino Linotype" w:eastAsia="Times New Roman" w:hAnsi="Palatino Linotype" w:cs="Arial"/>
          <w:color w:val="000000" w:themeColor="text1"/>
          <w:lang w:val="es-ES"/>
        </w:rPr>
        <w:t xml:space="preserve"> dos mil diecinue</w:t>
      </w:r>
      <w:r w:rsidR="00E76C87" w:rsidRPr="00CF0DCB">
        <w:rPr>
          <w:rFonts w:ascii="Palatino Linotype" w:eastAsia="Times New Roman" w:hAnsi="Palatino Linotype" w:cs="Arial"/>
          <w:color w:val="000000" w:themeColor="text1"/>
          <w:lang w:val="es-ES"/>
        </w:rPr>
        <w:t>ve, estando en tiempo y forma la</w:t>
      </w:r>
      <w:r w:rsidRPr="00CF0DCB">
        <w:rPr>
          <w:rFonts w:ascii="Palatino Linotype" w:eastAsia="Times New Roman" w:hAnsi="Palatino Linotype" w:cs="Arial"/>
          <w:color w:val="000000" w:themeColor="text1"/>
          <w:lang w:val="es-ES"/>
        </w:rPr>
        <w:t xml:space="preserve"> particular, interpuso </w:t>
      </w:r>
      <w:r w:rsidR="00E76C87" w:rsidRPr="00CF0DCB">
        <w:rPr>
          <w:rFonts w:ascii="Palatino Linotype" w:eastAsia="Times New Roman" w:hAnsi="Palatino Linotype" w:cs="Arial"/>
          <w:color w:val="000000" w:themeColor="text1"/>
          <w:lang w:val="es-ES"/>
        </w:rPr>
        <w:t xml:space="preserve">los </w:t>
      </w:r>
      <w:r w:rsidRPr="00CF0DCB">
        <w:rPr>
          <w:rFonts w:ascii="Palatino Linotype" w:eastAsia="Times New Roman" w:hAnsi="Palatino Linotype" w:cs="Arial"/>
          <w:color w:val="000000" w:themeColor="text1"/>
          <w:lang w:val="es-ES"/>
        </w:rPr>
        <w:t>recurso</w:t>
      </w:r>
      <w:r w:rsidR="00E76C87" w:rsidRPr="00CF0DCB">
        <w:rPr>
          <w:rFonts w:ascii="Palatino Linotype" w:eastAsia="Times New Roman" w:hAnsi="Palatino Linotype" w:cs="Arial"/>
          <w:color w:val="000000" w:themeColor="text1"/>
          <w:lang w:val="es-ES"/>
        </w:rPr>
        <w:t>s</w:t>
      </w:r>
      <w:r w:rsidRPr="00CF0DCB">
        <w:rPr>
          <w:rFonts w:ascii="Palatino Linotype" w:eastAsia="Times New Roman" w:hAnsi="Palatino Linotype" w:cs="Arial"/>
          <w:color w:val="000000" w:themeColor="text1"/>
          <w:lang w:val="es-ES"/>
        </w:rPr>
        <w:t xml:space="preserve"> de revisión en contra de la</w:t>
      </w:r>
      <w:r w:rsidR="00E76C87" w:rsidRPr="00CF0DCB">
        <w:rPr>
          <w:rFonts w:ascii="Palatino Linotype" w:eastAsia="Times New Roman" w:hAnsi="Palatino Linotype" w:cs="Arial"/>
          <w:color w:val="000000" w:themeColor="text1"/>
          <w:lang w:val="es-ES"/>
        </w:rPr>
        <w:t xml:space="preserve"> falta de</w:t>
      </w:r>
      <w:r w:rsidRPr="00CF0DCB">
        <w:rPr>
          <w:rFonts w:ascii="Palatino Linotype" w:eastAsia="Times New Roman" w:hAnsi="Palatino Linotype" w:cs="Arial"/>
          <w:color w:val="000000" w:themeColor="text1"/>
          <w:lang w:val="es-ES"/>
        </w:rPr>
        <w:t xml:space="preserve"> respuesta, señalando </w:t>
      </w:r>
      <w:r w:rsidR="00E76C87" w:rsidRPr="00CF0DCB">
        <w:rPr>
          <w:rFonts w:ascii="Palatino Linotype" w:eastAsia="Times New Roman" w:hAnsi="Palatino Linotype" w:cs="Arial"/>
          <w:color w:val="000000" w:themeColor="text1"/>
          <w:lang w:val="es-ES"/>
        </w:rPr>
        <w:t>en ambos recursos como</w:t>
      </w:r>
      <w:r w:rsidRPr="00CF0DCB">
        <w:rPr>
          <w:rFonts w:ascii="Palatino Linotype" w:eastAsia="Times New Roman" w:hAnsi="Palatino Linotype" w:cs="Arial"/>
          <w:color w:val="000000" w:themeColor="text1"/>
          <w:lang w:val="es-ES"/>
        </w:rPr>
        <w:t>:</w:t>
      </w:r>
    </w:p>
    <w:p w:rsidR="006A2740" w:rsidRPr="00CF0DCB" w:rsidRDefault="006A2740" w:rsidP="00CF0DCB">
      <w:pPr>
        <w:pStyle w:val="Prrafodelista"/>
        <w:spacing w:line="360" w:lineRule="auto"/>
        <w:ind w:left="284"/>
        <w:jc w:val="both"/>
        <w:rPr>
          <w:rFonts w:ascii="Palatino Linotype" w:hAnsi="Palatino Linotype"/>
          <w:b/>
          <w:i/>
          <w:color w:val="000000" w:themeColor="text1"/>
        </w:rPr>
      </w:pPr>
    </w:p>
    <w:p w:rsidR="006A2740" w:rsidRPr="00CF0DCB" w:rsidRDefault="006A2740" w:rsidP="00CF0DCB">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4" w:name="_Toc466982514"/>
      <w:bookmarkStart w:id="5" w:name="_Toc483995814"/>
      <w:bookmarkStart w:id="6" w:name="_Toc487622220"/>
      <w:bookmarkStart w:id="7" w:name="_Toc513198476"/>
      <w:bookmarkStart w:id="8" w:name="_Toc513203701"/>
      <w:bookmarkStart w:id="9" w:name="_Toc513203954"/>
      <w:bookmarkStart w:id="10" w:name="_Toc515555219"/>
      <w:bookmarkStart w:id="11" w:name="_Toc521603602"/>
      <w:bookmarkStart w:id="12" w:name="_Toc521605910"/>
      <w:bookmarkStart w:id="13" w:name="_Toc521949100"/>
      <w:bookmarkStart w:id="14" w:name="_Toc522641232"/>
      <w:bookmarkStart w:id="15" w:name="_Toc522703902"/>
      <w:bookmarkStart w:id="16" w:name="_Toc522705316"/>
      <w:bookmarkStart w:id="17" w:name="_Toc523418725"/>
      <w:bookmarkStart w:id="18" w:name="_Toc523908133"/>
      <w:bookmarkStart w:id="19" w:name="_Toc524437282"/>
      <w:bookmarkStart w:id="20" w:name="_Toc524437409"/>
      <w:bookmarkStart w:id="21" w:name="_Toc526355994"/>
      <w:bookmarkStart w:id="22" w:name="_Toc526361050"/>
      <w:bookmarkStart w:id="23" w:name="_Toc526361500"/>
      <w:bookmarkStart w:id="24" w:name="_Toc3399848"/>
      <w:bookmarkStart w:id="25" w:name="_Toc3399945"/>
      <w:bookmarkStart w:id="26" w:name="_Toc5818918"/>
      <w:bookmarkStart w:id="27" w:name="_Toc7104476"/>
      <w:bookmarkStart w:id="28" w:name="_Toc7726498"/>
      <w:bookmarkStart w:id="29" w:name="_Toc7726569"/>
      <w:bookmarkStart w:id="30" w:name="_Toc10733812"/>
      <w:bookmarkStart w:id="31" w:name="_Toc10733900"/>
      <w:bookmarkStart w:id="32" w:name="_Toc10733944"/>
      <w:bookmarkStart w:id="33" w:name="_Toc17364312"/>
      <w:bookmarkStart w:id="34" w:name="_Toc18612822"/>
      <w:bookmarkStart w:id="35" w:name="_Toc18613084"/>
      <w:bookmarkStart w:id="36" w:name="_Toc483411550"/>
      <w:r w:rsidRPr="00CF0DCB">
        <w:rPr>
          <w:rStyle w:val="Ttulo2Car"/>
          <w:rFonts w:ascii="Palatino Linotype" w:hAnsi="Palatino Linotype"/>
          <w:b/>
          <w:color w:val="000000" w:themeColor="text1"/>
          <w:sz w:val="24"/>
          <w:szCs w:val="24"/>
        </w:rPr>
        <w:t>Acto impugnado</w:t>
      </w:r>
      <w:r w:rsidRPr="00CF0DCB">
        <w:rPr>
          <w:rStyle w:val="Ttulo2Car"/>
          <w:rFonts w:ascii="Palatino Linotype" w:hAnsi="Palatino Linotype"/>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F0DCB">
        <w:rPr>
          <w:rStyle w:val="Ttulo2Car"/>
          <w:rFonts w:ascii="Palatino Linotype" w:hAnsi="Palatino Linotype"/>
          <w:color w:val="000000" w:themeColor="text1"/>
          <w:sz w:val="24"/>
          <w:szCs w:val="24"/>
        </w:rPr>
        <w:t xml:space="preserve"> </w:t>
      </w:r>
      <w:r w:rsidRPr="00CF0DCB">
        <w:rPr>
          <w:rFonts w:ascii="Palatino Linotype" w:hAnsi="Palatino Linotype"/>
          <w:i/>
          <w:color w:val="000000" w:themeColor="text1"/>
        </w:rPr>
        <w:t>“</w:t>
      </w:r>
      <w:r w:rsidR="00E76C87" w:rsidRPr="00CF0DCB">
        <w:rPr>
          <w:rFonts w:ascii="Palatino Linotype" w:hAnsi="Palatino Linotype"/>
          <w:i/>
          <w:color w:val="000000" w:themeColor="text1"/>
        </w:rPr>
        <w:t>No contesto solicitud de información</w:t>
      </w:r>
      <w:r w:rsidRPr="00CF0DCB">
        <w:rPr>
          <w:rFonts w:ascii="Palatino Linotype" w:hAnsi="Palatino Linotype"/>
          <w:i/>
          <w:color w:val="000000" w:themeColor="text1"/>
        </w:rPr>
        <w:t>.”</w:t>
      </w:r>
      <w:r w:rsidRPr="00CF0DCB">
        <w:rPr>
          <w:rFonts w:ascii="Palatino Linotype" w:hAnsi="Palatino Linotype"/>
          <w:color w:val="000000" w:themeColor="text1"/>
        </w:rPr>
        <w:t xml:space="preserve"> (Sic)</w:t>
      </w:r>
      <w:bookmarkEnd w:id="36"/>
    </w:p>
    <w:p w:rsidR="006A2740" w:rsidRPr="00CF0DCB" w:rsidRDefault="006A2740" w:rsidP="00CF0DCB">
      <w:pPr>
        <w:spacing w:line="360" w:lineRule="auto"/>
        <w:ind w:left="567"/>
        <w:jc w:val="both"/>
        <w:rPr>
          <w:rStyle w:val="Ttulo2Car"/>
          <w:rFonts w:ascii="Palatino Linotype" w:hAnsi="Palatino Linotype"/>
          <w:b/>
          <w:color w:val="000000" w:themeColor="text1"/>
          <w:sz w:val="24"/>
          <w:szCs w:val="24"/>
          <w:lang w:val="es-ES"/>
        </w:rPr>
      </w:pPr>
    </w:p>
    <w:p w:rsidR="006A2740" w:rsidRPr="00CF0DCB" w:rsidRDefault="006A2740" w:rsidP="00CF0DCB">
      <w:pPr>
        <w:pStyle w:val="Ttulo2"/>
        <w:numPr>
          <w:ilvl w:val="0"/>
          <w:numId w:val="2"/>
        </w:numPr>
        <w:spacing w:line="360" w:lineRule="auto"/>
        <w:ind w:right="567"/>
        <w:jc w:val="both"/>
        <w:rPr>
          <w:rFonts w:ascii="Palatino Linotype" w:hAnsi="Palatino Linotype"/>
          <w:color w:val="000000" w:themeColor="text1"/>
          <w:sz w:val="24"/>
          <w:szCs w:val="24"/>
        </w:rPr>
      </w:pPr>
      <w:bookmarkStart w:id="37" w:name="_Toc466982515"/>
      <w:bookmarkStart w:id="38" w:name="_Toc483995815"/>
      <w:bookmarkStart w:id="39" w:name="_Toc483411551"/>
      <w:bookmarkStart w:id="40" w:name="_Toc487622221"/>
      <w:bookmarkStart w:id="41" w:name="_Toc513198477"/>
      <w:bookmarkStart w:id="42" w:name="_Toc513203702"/>
      <w:bookmarkStart w:id="43" w:name="_Toc513203955"/>
      <w:bookmarkStart w:id="44" w:name="_Toc515555220"/>
      <w:bookmarkStart w:id="45" w:name="_Toc521603603"/>
      <w:bookmarkStart w:id="46" w:name="_Toc521605911"/>
      <w:bookmarkStart w:id="47" w:name="_Toc521949101"/>
      <w:bookmarkStart w:id="48" w:name="_Toc522641233"/>
      <w:bookmarkStart w:id="49" w:name="_Toc522703903"/>
      <w:bookmarkStart w:id="50" w:name="_Toc522705317"/>
      <w:bookmarkStart w:id="51" w:name="_Toc523418726"/>
      <w:bookmarkStart w:id="52" w:name="_Toc523908134"/>
      <w:bookmarkStart w:id="53" w:name="_Toc524437283"/>
      <w:bookmarkStart w:id="54" w:name="_Toc524437410"/>
      <w:bookmarkStart w:id="55" w:name="_Toc526355995"/>
      <w:bookmarkStart w:id="56" w:name="_Toc526361051"/>
      <w:bookmarkStart w:id="57" w:name="_Toc526361501"/>
      <w:bookmarkStart w:id="58" w:name="_Toc3399849"/>
      <w:bookmarkStart w:id="59" w:name="_Toc3399946"/>
      <w:bookmarkStart w:id="60" w:name="_Toc5818919"/>
      <w:bookmarkStart w:id="61" w:name="_Toc7104477"/>
      <w:bookmarkStart w:id="62" w:name="_Toc7726499"/>
      <w:bookmarkStart w:id="63" w:name="_Toc7726570"/>
      <w:bookmarkStart w:id="64" w:name="_Toc10733813"/>
      <w:bookmarkStart w:id="65" w:name="_Toc10733901"/>
      <w:bookmarkStart w:id="66" w:name="_Toc10733945"/>
      <w:bookmarkStart w:id="67" w:name="_Toc17364313"/>
      <w:bookmarkStart w:id="68" w:name="_Toc18612823"/>
      <w:bookmarkStart w:id="69" w:name="_Toc18613085"/>
      <w:r w:rsidRPr="00CF0DCB">
        <w:rPr>
          <w:rStyle w:val="Ttulo2Car"/>
          <w:rFonts w:ascii="Palatino Linotype" w:hAnsi="Palatino Linotype"/>
          <w:b/>
          <w:color w:val="000000" w:themeColor="text1"/>
          <w:sz w:val="24"/>
          <w:szCs w:val="24"/>
        </w:rPr>
        <w:t>Razones o Motivos de inconformidad:</w:t>
      </w:r>
      <w:bookmarkEnd w:id="37"/>
      <w:r w:rsidRPr="00CF0DCB">
        <w:rPr>
          <w:rFonts w:ascii="Palatino Linotype" w:hAnsi="Palatino Linotype"/>
          <w:b/>
          <w:color w:val="000000" w:themeColor="text1"/>
          <w:sz w:val="24"/>
          <w:szCs w:val="24"/>
        </w:rPr>
        <w:t xml:space="preserve"> </w:t>
      </w:r>
      <w:r w:rsidRPr="00CF0DCB">
        <w:rPr>
          <w:rFonts w:ascii="Palatino Linotype" w:hAnsi="Palatino Linotype"/>
          <w:i/>
          <w:color w:val="000000" w:themeColor="text1"/>
          <w:sz w:val="24"/>
          <w:szCs w:val="24"/>
        </w:rPr>
        <w:t>“</w:t>
      </w:r>
      <w:bookmarkStart w:id="70" w:name="_Toc483995816"/>
      <w:bookmarkEnd w:id="38"/>
      <w:r w:rsidR="00E76C87" w:rsidRPr="00CF0DCB">
        <w:rPr>
          <w:rFonts w:ascii="Palatino Linotype" w:hAnsi="Palatino Linotype"/>
          <w:i/>
          <w:color w:val="000000" w:themeColor="text1"/>
          <w:sz w:val="24"/>
          <w:szCs w:val="24"/>
          <w:lang w:val="es-ES_tradnl"/>
        </w:rPr>
        <w:t>No proporciono la información solicitada</w:t>
      </w:r>
      <w:r w:rsidRPr="00CF0DCB">
        <w:rPr>
          <w:rFonts w:ascii="Palatino Linotype" w:hAnsi="Palatino Linotype"/>
          <w:i/>
          <w:color w:val="000000" w:themeColor="text1"/>
          <w:sz w:val="24"/>
          <w:szCs w:val="24"/>
        </w:rPr>
        <w:t xml:space="preserve">.” </w:t>
      </w:r>
      <w:r w:rsidRPr="00CF0DCB">
        <w:rPr>
          <w:rFonts w:ascii="Palatino Linotype" w:hAnsi="Palatino Linotype"/>
          <w:color w:val="000000" w:themeColor="text1"/>
          <w:sz w:val="24"/>
          <w:szCs w:val="24"/>
        </w:rPr>
        <w:t xml:space="preserve"> (Sic)</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6A2740" w:rsidRPr="00CF0DCB" w:rsidRDefault="006A2740" w:rsidP="00CF0DCB">
      <w:pPr>
        <w:spacing w:line="360" w:lineRule="auto"/>
        <w:rPr>
          <w:rFonts w:ascii="Palatino Linotype" w:hAnsi="Palatino Linotype"/>
          <w:lang w:val="es-MX" w:eastAsia="en-US"/>
        </w:rPr>
      </w:pPr>
    </w:p>
    <w:p w:rsidR="006A2740" w:rsidRPr="00CF0DCB" w:rsidRDefault="006A2740" w:rsidP="00CF0DCB">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CF0DCB">
        <w:rPr>
          <w:rFonts w:ascii="Palatino Linotype" w:eastAsia="Times New Roman" w:hAnsi="Palatino Linotype" w:cs="Arial"/>
          <w:color w:val="000000" w:themeColor="text1"/>
          <w:lang w:val="es-ES"/>
        </w:rPr>
        <w:t xml:space="preserve">Se registró el recurso de revisión bajo el número de </w:t>
      </w:r>
      <w:r w:rsidRPr="00CF0DCB">
        <w:rPr>
          <w:rFonts w:ascii="Palatino Linotype" w:eastAsia="Times New Roman" w:hAnsi="Palatino Linotype" w:cs="Arial"/>
          <w:b/>
          <w:color w:val="000000" w:themeColor="text1"/>
          <w:lang w:val="es-ES"/>
        </w:rPr>
        <w:t>expediente</w:t>
      </w:r>
      <w:r w:rsidRPr="00CF0DCB">
        <w:rPr>
          <w:rFonts w:ascii="Palatino Linotype" w:eastAsia="Times New Roman" w:hAnsi="Palatino Linotype" w:cs="Arial"/>
          <w:color w:val="000000" w:themeColor="text1"/>
          <w:lang w:val="es-ES"/>
        </w:rPr>
        <w:t xml:space="preserve"> </w:t>
      </w:r>
      <w:r w:rsidRPr="00CF0DCB">
        <w:rPr>
          <w:rFonts w:ascii="Palatino Linotype" w:hAnsi="Palatino Linotype" w:cs="Arial"/>
          <w:bCs/>
          <w:color w:val="000000" w:themeColor="text1"/>
        </w:rPr>
        <w:t xml:space="preserve">al rubro indicado, asimismo con fundamento en lo dispuesto por el </w:t>
      </w:r>
      <w:r w:rsidRPr="00CF0DCB">
        <w:rPr>
          <w:rFonts w:ascii="Palatino Linotype" w:eastAsia="Calibri" w:hAnsi="Palatino Linotype" w:cs="Arial"/>
          <w:color w:val="000000" w:themeColor="text1"/>
          <w:lang w:val="es-ES"/>
        </w:rPr>
        <w:t xml:space="preserve">artículo 185 fracción I de la </w:t>
      </w:r>
      <w:r w:rsidRPr="00CF0DCB">
        <w:rPr>
          <w:rFonts w:ascii="Palatino Linotype" w:eastAsia="Calibri" w:hAnsi="Palatino Linotype" w:cs="Arial"/>
          <w:b/>
          <w:color w:val="000000" w:themeColor="text1"/>
          <w:lang w:val="es-ES"/>
        </w:rPr>
        <w:t xml:space="preserve">Ley de Transparencia y Acceso a la Información Pública del Estado de México y Municipios </w:t>
      </w:r>
      <w:r w:rsidRPr="00CF0DCB">
        <w:rPr>
          <w:rFonts w:ascii="Palatino Linotype" w:eastAsia="Times New Roman" w:hAnsi="Palatino Linotype" w:cs="Arial"/>
          <w:color w:val="000000" w:themeColor="text1"/>
          <w:lang w:val="es-ES"/>
        </w:rPr>
        <w:t xml:space="preserve">se turnó al </w:t>
      </w:r>
      <w:r w:rsidRPr="00CF0DCB">
        <w:rPr>
          <w:rFonts w:ascii="Palatino Linotype" w:eastAsia="Times New Roman" w:hAnsi="Palatino Linotype" w:cs="Arial"/>
          <w:b/>
          <w:color w:val="000000" w:themeColor="text1"/>
          <w:lang w:val="es-ES"/>
        </w:rPr>
        <w:t xml:space="preserve">Comisionado José Guadalupe Luna Hernández </w:t>
      </w:r>
      <w:r w:rsidRPr="00CF0DCB">
        <w:rPr>
          <w:rFonts w:ascii="Palatino Linotype" w:eastAsia="Times New Roman" w:hAnsi="Palatino Linotype" w:cs="Arial"/>
          <w:color w:val="000000" w:themeColor="text1"/>
          <w:lang w:val="es-ES"/>
        </w:rPr>
        <w:t xml:space="preserve">con el objeto de </w:t>
      </w:r>
      <w:r w:rsidRPr="00CF0DCB">
        <w:rPr>
          <w:rFonts w:ascii="Palatino Linotype" w:eastAsia="Times New Roman" w:hAnsi="Palatino Linotype" w:cs="Arial"/>
          <w:color w:val="000000" w:themeColor="text1"/>
          <w:lang w:val="es-MX"/>
        </w:rPr>
        <w:t>su análisis.</w:t>
      </w:r>
    </w:p>
    <w:p w:rsidR="006A2740" w:rsidRPr="00CF0DCB" w:rsidRDefault="006A2740" w:rsidP="00CF0DCB">
      <w:pPr>
        <w:pStyle w:val="Prrafodelista"/>
        <w:spacing w:line="360" w:lineRule="auto"/>
        <w:ind w:left="0"/>
        <w:rPr>
          <w:rFonts w:ascii="Palatino Linotype" w:eastAsia="Calibri" w:hAnsi="Palatino Linotype" w:cs="Arial"/>
          <w:color w:val="000000" w:themeColor="text1"/>
          <w:lang w:val="es-ES"/>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CF0DCB">
        <w:rPr>
          <w:rFonts w:ascii="Palatino Linotype" w:eastAsia="Calibri" w:hAnsi="Palatino Linotype" w:cs="Arial"/>
          <w:color w:val="000000" w:themeColor="text1"/>
          <w:lang w:val="es-ES"/>
        </w:rPr>
        <w:t>El Comisionado Ponente con fundamento en lo dispuesto por el artículo 185 fracción II de la L</w:t>
      </w:r>
      <w:r w:rsidR="00E76C87" w:rsidRPr="00CF0DCB">
        <w:rPr>
          <w:rFonts w:ascii="Palatino Linotype" w:eastAsia="Calibri" w:hAnsi="Palatino Linotype" w:cs="Arial"/>
          <w:color w:val="000000" w:themeColor="text1"/>
          <w:lang w:val="es-ES"/>
        </w:rPr>
        <w:t>ey de la materia, a través de los</w:t>
      </w:r>
      <w:r w:rsidRPr="00CF0DCB">
        <w:rPr>
          <w:rFonts w:ascii="Palatino Linotype" w:eastAsia="Calibri" w:hAnsi="Palatino Linotype" w:cs="Arial"/>
          <w:color w:val="000000" w:themeColor="text1"/>
          <w:lang w:val="es-ES"/>
        </w:rPr>
        <w:t xml:space="preserve"> acuerdo</w:t>
      </w:r>
      <w:r w:rsidR="00E76C87" w:rsidRPr="00CF0DCB">
        <w:rPr>
          <w:rFonts w:ascii="Palatino Linotype" w:eastAsia="Calibri" w:hAnsi="Palatino Linotype" w:cs="Arial"/>
          <w:color w:val="000000" w:themeColor="text1"/>
          <w:lang w:val="es-ES"/>
        </w:rPr>
        <w:t>s</w:t>
      </w:r>
      <w:r w:rsidRPr="00CF0DCB">
        <w:rPr>
          <w:rFonts w:ascii="Palatino Linotype" w:eastAsia="Calibri" w:hAnsi="Palatino Linotype" w:cs="Arial"/>
          <w:color w:val="000000" w:themeColor="text1"/>
          <w:lang w:val="es-ES"/>
        </w:rPr>
        <w:t xml:space="preserve"> de admisión </w:t>
      </w:r>
      <w:r w:rsidR="00E76C87" w:rsidRPr="00CF0DCB">
        <w:rPr>
          <w:rFonts w:ascii="Palatino Linotype" w:eastAsia="Calibri" w:hAnsi="Palatino Linotype" w:cs="Arial"/>
          <w:color w:val="000000" w:themeColor="text1"/>
          <w:lang w:val="es-ES"/>
        </w:rPr>
        <w:t xml:space="preserve">de </w:t>
      </w:r>
      <w:r w:rsidR="00E76C87" w:rsidRPr="00CF0DCB">
        <w:rPr>
          <w:rFonts w:ascii="Palatino Linotype" w:eastAsia="Calibri" w:hAnsi="Palatino Linotype" w:cs="Arial"/>
          <w:b/>
          <w:color w:val="000000" w:themeColor="text1"/>
          <w:lang w:val="es-ES"/>
        </w:rPr>
        <w:t>veintiocho</w:t>
      </w:r>
      <w:r w:rsidRPr="00CF0DCB">
        <w:rPr>
          <w:rFonts w:ascii="Palatino Linotype" w:eastAsia="Calibri" w:hAnsi="Palatino Linotype" w:cs="Arial"/>
          <w:b/>
          <w:color w:val="000000" w:themeColor="text1"/>
          <w:lang w:val="es-ES"/>
        </w:rPr>
        <w:t xml:space="preserve"> (</w:t>
      </w:r>
      <w:r w:rsidR="00E76C87" w:rsidRPr="00CF0DCB">
        <w:rPr>
          <w:rFonts w:ascii="Palatino Linotype" w:eastAsia="Calibri" w:hAnsi="Palatino Linotype" w:cs="Arial"/>
          <w:b/>
          <w:color w:val="000000" w:themeColor="text1"/>
          <w:lang w:val="es-ES"/>
        </w:rPr>
        <w:t>28</w:t>
      </w:r>
      <w:r w:rsidRPr="00CF0DCB">
        <w:rPr>
          <w:rFonts w:ascii="Palatino Linotype" w:eastAsia="Calibri" w:hAnsi="Palatino Linotype" w:cs="Arial"/>
          <w:b/>
          <w:color w:val="000000" w:themeColor="text1"/>
          <w:lang w:val="es-ES"/>
        </w:rPr>
        <w:t>) de junio</w:t>
      </w:r>
      <w:r w:rsidRPr="00CF0DCB">
        <w:rPr>
          <w:rFonts w:ascii="Palatino Linotype" w:eastAsia="Calibri" w:hAnsi="Palatino Linotype" w:cs="Arial"/>
          <w:color w:val="000000" w:themeColor="text1"/>
          <w:lang w:val="es-ES"/>
        </w:rPr>
        <w:t xml:space="preserve"> de dos mil diecinueve, pus</w:t>
      </w:r>
      <w:r w:rsidR="00E76C87" w:rsidRPr="00CF0DCB">
        <w:rPr>
          <w:rFonts w:ascii="Palatino Linotype" w:eastAsia="Calibri" w:hAnsi="Palatino Linotype" w:cs="Arial"/>
          <w:color w:val="000000" w:themeColor="text1"/>
          <w:lang w:val="es-ES"/>
        </w:rPr>
        <w:t>o a disposición de las partes los</w:t>
      </w:r>
      <w:r w:rsidRPr="00CF0DCB">
        <w:rPr>
          <w:rFonts w:ascii="Palatino Linotype" w:eastAsia="Calibri" w:hAnsi="Palatino Linotype" w:cs="Arial"/>
          <w:color w:val="000000" w:themeColor="text1"/>
          <w:lang w:val="es-ES"/>
        </w:rPr>
        <w:t xml:space="preserve"> expediente</w:t>
      </w:r>
      <w:r w:rsidR="00E76C87" w:rsidRPr="00CF0DCB">
        <w:rPr>
          <w:rFonts w:ascii="Palatino Linotype" w:eastAsia="Calibri" w:hAnsi="Palatino Linotype" w:cs="Arial"/>
          <w:color w:val="000000" w:themeColor="text1"/>
          <w:lang w:val="es-ES"/>
        </w:rPr>
        <w:t>s</w:t>
      </w:r>
      <w:r w:rsidRPr="00CF0DCB">
        <w:rPr>
          <w:rFonts w:ascii="Palatino Linotype" w:eastAsia="Calibri" w:hAnsi="Palatino Linotype" w:cs="Arial"/>
          <w:color w:val="000000" w:themeColor="text1"/>
          <w:lang w:val="es-ES"/>
        </w:rPr>
        <w:t xml:space="preserve"> electrónico</w:t>
      </w:r>
      <w:r w:rsidR="00E76C87" w:rsidRPr="00CF0DCB">
        <w:rPr>
          <w:rFonts w:ascii="Palatino Linotype" w:eastAsia="Calibri" w:hAnsi="Palatino Linotype" w:cs="Arial"/>
          <w:color w:val="000000" w:themeColor="text1"/>
          <w:lang w:val="es-ES"/>
        </w:rPr>
        <w:t>s</w:t>
      </w:r>
      <w:r w:rsidRPr="00CF0DCB">
        <w:rPr>
          <w:rFonts w:ascii="Palatino Linotype" w:eastAsia="Calibri" w:hAnsi="Palatino Linotype" w:cs="Arial"/>
          <w:color w:val="000000" w:themeColor="text1"/>
          <w:lang w:val="es-ES"/>
        </w:rPr>
        <w:t xml:space="preserve"> </w:t>
      </w:r>
      <w:r w:rsidRPr="00CF0DCB">
        <w:rPr>
          <w:rFonts w:ascii="Palatino Linotype" w:eastAsia="Calibri" w:hAnsi="Palatino Linotype" w:cs="Arial"/>
          <w:color w:val="000000" w:themeColor="text1"/>
        </w:rPr>
        <w:t xml:space="preserve">vía </w:t>
      </w:r>
      <w:r w:rsidRPr="00CF0DCB">
        <w:rPr>
          <w:rFonts w:ascii="Palatino Linotype" w:eastAsia="Calibri" w:hAnsi="Palatino Linotype" w:cs="Arial"/>
          <w:color w:val="000000" w:themeColor="text1"/>
          <w:lang w:val="es-ES"/>
        </w:rPr>
        <w:t xml:space="preserve">Sistema de Acceso a la Información Mexiquense </w:t>
      </w:r>
      <w:r w:rsidRPr="00CF0DCB">
        <w:rPr>
          <w:rFonts w:ascii="Palatino Linotype" w:eastAsia="Calibri" w:hAnsi="Palatino Linotype" w:cs="Arial"/>
          <w:b/>
          <w:color w:val="000000" w:themeColor="text1"/>
          <w:lang w:val="es-ES"/>
        </w:rPr>
        <w:t xml:space="preserve">SAIMEX </w:t>
      </w:r>
      <w:r w:rsidRPr="00CF0DCB">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correspondiese al caso concreto, de ésta forma para que el </w:t>
      </w:r>
      <w:r w:rsidRPr="00CF0DCB">
        <w:rPr>
          <w:rFonts w:ascii="Palatino Linotype" w:eastAsia="Calibri" w:hAnsi="Palatino Linotype" w:cs="Arial"/>
          <w:b/>
          <w:color w:val="000000" w:themeColor="text1"/>
          <w:lang w:val="es-ES"/>
        </w:rPr>
        <w:t>SUJETO OBLIGADO</w:t>
      </w:r>
      <w:r w:rsidRPr="00CF0DCB">
        <w:rPr>
          <w:rFonts w:ascii="Palatino Linotype" w:eastAsia="Calibri" w:hAnsi="Palatino Linotype" w:cs="Arial"/>
          <w:color w:val="000000" w:themeColor="text1"/>
          <w:lang w:val="es-ES"/>
        </w:rPr>
        <w:t xml:space="preserve"> presentara el Informe Justificado procedente.</w:t>
      </w:r>
    </w:p>
    <w:p w:rsidR="00E76C87" w:rsidRPr="00CF0DCB" w:rsidRDefault="00E76C87" w:rsidP="00CF0DCB">
      <w:pPr>
        <w:pStyle w:val="Prrafodelista"/>
        <w:tabs>
          <w:tab w:val="left" w:pos="709"/>
        </w:tabs>
        <w:spacing w:before="240" w:after="240" w:line="360" w:lineRule="auto"/>
        <w:ind w:left="0"/>
        <w:jc w:val="both"/>
        <w:rPr>
          <w:rFonts w:ascii="Palatino Linotype" w:hAnsi="Palatino Linotype"/>
          <w:b/>
          <w:color w:val="000000" w:themeColor="text1"/>
        </w:rPr>
      </w:pPr>
    </w:p>
    <w:p w:rsidR="00E76C87" w:rsidRPr="00CF0DCB" w:rsidRDefault="00E76C87" w:rsidP="00CF0DCB">
      <w:pPr>
        <w:pStyle w:val="Prrafodelista"/>
        <w:numPr>
          <w:ilvl w:val="0"/>
          <w:numId w:val="1"/>
        </w:numPr>
        <w:tabs>
          <w:tab w:val="left" w:pos="709"/>
        </w:tabs>
        <w:spacing w:before="240" w:after="240" w:line="360" w:lineRule="auto"/>
        <w:ind w:left="0" w:firstLine="0"/>
        <w:jc w:val="both"/>
        <w:rPr>
          <w:rFonts w:ascii="Palatino Linotype" w:hAnsi="Palatino Linotype"/>
          <w:color w:val="000000" w:themeColor="text1"/>
        </w:rPr>
      </w:pPr>
      <w:r w:rsidRPr="00CF0DCB">
        <w:rPr>
          <w:rFonts w:ascii="Palatino Linotype" w:hAnsi="Palatino Linotype"/>
          <w:color w:val="000000" w:themeColor="text1"/>
        </w:rPr>
        <w:t xml:space="preserve">El día </w:t>
      </w:r>
      <w:r w:rsidRPr="00CF0DCB">
        <w:rPr>
          <w:rFonts w:ascii="Palatino Linotype" w:hAnsi="Palatino Linotype"/>
          <w:b/>
          <w:color w:val="000000" w:themeColor="text1"/>
        </w:rPr>
        <w:t>dos (02) de agosto de</w:t>
      </w:r>
      <w:r w:rsidRPr="00CF0DCB">
        <w:rPr>
          <w:rFonts w:ascii="Palatino Linotype" w:hAnsi="Palatino Linotype"/>
          <w:color w:val="000000" w:themeColor="text1"/>
        </w:rPr>
        <w:t xml:space="preserve"> la presente anualidad el </w:t>
      </w:r>
      <w:r w:rsidRPr="00CF0DCB">
        <w:rPr>
          <w:rFonts w:ascii="Palatino Linotype" w:hAnsi="Palatino Linotype"/>
          <w:b/>
          <w:color w:val="000000" w:themeColor="text1"/>
        </w:rPr>
        <w:t>SUJETO OBLIGADO</w:t>
      </w:r>
      <w:r w:rsidRPr="00CF0DCB">
        <w:rPr>
          <w:rFonts w:ascii="Palatino Linotype" w:hAnsi="Palatino Linotype"/>
          <w:color w:val="000000" w:themeColor="text1"/>
        </w:rPr>
        <w:t xml:space="preserve"> presentó su</w:t>
      </w:r>
      <w:r w:rsidR="00293DD5" w:rsidRPr="00CF0DCB">
        <w:rPr>
          <w:rFonts w:ascii="Palatino Linotype" w:hAnsi="Palatino Linotype"/>
          <w:color w:val="000000" w:themeColor="text1"/>
        </w:rPr>
        <w:t>s</w:t>
      </w:r>
      <w:r w:rsidRPr="00CF0DCB">
        <w:rPr>
          <w:rFonts w:ascii="Palatino Linotype" w:hAnsi="Palatino Linotype"/>
          <w:color w:val="000000" w:themeColor="text1"/>
        </w:rPr>
        <w:t xml:space="preserve"> respectivo</w:t>
      </w:r>
      <w:r w:rsidR="00293DD5" w:rsidRPr="00CF0DCB">
        <w:rPr>
          <w:rFonts w:ascii="Palatino Linotype" w:hAnsi="Palatino Linotype"/>
          <w:color w:val="000000" w:themeColor="text1"/>
        </w:rPr>
        <w:t>s</w:t>
      </w:r>
      <w:r w:rsidR="003F408B" w:rsidRPr="00CF0DCB">
        <w:rPr>
          <w:rFonts w:ascii="Palatino Linotype" w:hAnsi="Palatino Linotype"/>
          <w:color w:val="000000" w:themeColor="text1"/>
        </w:rPr>
        <w:t xml:space="preserve"> informe</w:t>
      </w:r>
      <w:r w:rsidR="00293DD5" w:rsidRPr="00CF0DCB">
        <w:rPr>
          <w:rFonts w:ascii="Palatino Linotype" w:hAnsi="Palatino Linotype"/>
          <w:color w:val="000000" w:themeColor="text1"/>
        </w:rPr>
        <w:t>s</w:t>
      </w:r>
      <w:r w:rsidR="003F408B" w:rsidRPr="00CF0DCB">
        <w:rPr>
          <w:rFonts w:ascii="Palatino Linotype" w:hAnsi="Palatino Linotype"/>
          <w:color w:val="000000" w:themeColor="text1"/>
        </w:rPr>
        <w:t xml:space="preserve"> justificado</w:t>
      </w:r>
      <w:r w:rsidR="00293DD5" w:rsidRPr="00CF0DCB">
        <w:rPr>
          <w:rFonts w:ascii="Palatino Linotype" w:hAnsi="Palatino Linotype"/>
          <w:color w:val="000000" w:themeColor="text1"/>
        </w:rPr>
        <w:t>s</w:t>
      </w:r>
      <w:r w:rsidR="003F408B" w:rsidRPr="00CF0DCB">
        <w:rPr>
          <w:rFonts w:ascii="Palatino Linotype" w:hAnsi="Palatino Linotype"/>
          <w:color w:val="000000" w:themeColor="text1"/>
        </w:rPr>
        <w:t xml:space="preserve"> correspondiente</w:t>
      </w:r>
      <w:r w:rsidR="00293DD5" w:rsidRPr="00CF0DCB">
        <w:rPr>
          <w:rFonts w:ascii="Palatino Linotype" w:hAnsi="Palatino Linotype"/>
          <w:color w:val="000000" w:themeColor="text1"/>
        </w:rPr>
        <w:t>s,</w:t>
      </w:r>
      <w:r w:rsidR="003F408B" w:rsidRPr="00CF0DCB">
        <w:rPr>
          <w:rFonts w:ascii="Palatino Linotype" w:hAnsi="Palatino Linotype"/>
          <w:color w:val="000000" w:themeColor="text1"/>
        </w:rPr>
        <w:t xml:space="preserve"> mismo que fue del conocimiento de la particular el día seis (06) de agosto</w:t>
      </w:r>
      <w:r w:rsidR="00293DD5" w:rsidRPr="00CF0DCB">
        <w:rPr>
          <w:rFonts w:ascii="Palatino Linotype" w:hAnsi="Palatino Linotype"/>
          <w:color w:val="000000" w:themeColor="text1"/>
        </w:rPr>
        <w:t xml:space="preserve"> el relativo al recurso de revisión 05749/INFOEM/IP/RR2019,  en razón de que el contenido es el mismo para ambos recursos, </w:t>
      </w:r>
      <w:r w:rsidR="003F408B" w:rsidRPr="00CF0DCB">
        <w:rPr>
          <w:rFonts w:ascii="Palatino Linotype" w:hAnsi="Palatino Linotype"/>
          <w:color w:val="000000" w:themeColor="text1"/>
        </w:rPr>
        <w:t xml:space="preserve"> para que presentara sus manifestaciones que considerara pertinentes en cuanto al contenido,</w:t>
      </w:r>
      <w:r w:rsidR="00293DD5" w:rsidRPr="00CF0DCB">
        <w:rPr>
          <w:rFonts w:ascii="Palatino Linotype" w:hAnsi="Palatino Linotype"/>
          <w:color w:val="000000" w:themeColor="text1"/>
        </w:rPr>
        <w:t xml:space="preserve"> de los</w:t>
      </w:r>
      <w:r w:rsidR="003F408B" w:rsidRPr="00CF0DCB">
        <w:rPr>
          <w:rFonts w:ascii="Palatino Linotype" w:hAnsi="Palatino Linotype"/>
          <w:color w:val="000000" w:themeColor="text1"/>
        </w:rPr>
        <w:t xml:space="preserve"> mismo</w:t>
      </w:r>
      <w:r w:rsidR="00293DD5" w:rsidRPr="00CF0DCB">
        <w:rPr>
          <w:rFonts w:ascii="Palatino Linotype" w:hAnsi="Palatino Linotype"/>
          <w:color w:val="000000" w:themeColor="text1"/>
        </w:rPr>
        <w:t>s</w:t>
      </w:r>
      <w:r w:rsidR="003F408B" w:rsidRPr="00CF0DCB">
        <w:rPr>
          <w:rFonts w:ascii="Palatino Linotype" w:hAnsi="Palatino Linotype"/>
          <w:color w:val="000000" w:themeColor="text1"/>
        </w:rPr>
        <w:t xml:space="preserve"> que corresponde</w:t>
      </w:r>
      <w:r w:rsidR="00293DD5" w:rsidRPr="00CF0DCB">
        <w:rPr>
          <w:rFonts w:ascii="Palatino Linotype" w:hAnsi="Palatino Linotype"/>
          <w:color w:val="000000" w:themeColor="text1"/>
        </w:rPr>
        <w:t>s a los</w:t>
      </w:r>
      <w:r w:rsidR="003F408B" w:rsidRPr="00CF0DCB">
        <w:rPr>
          <w:rFonts w:ascii="Palatino Linotype" w:hAnsi="Palatino Linotype"/>
          <w:color w:val="000000" w:themeColor="text1"/>
        </w:rPr>
        <w:t xml:space="preserve"> formato</w:t>
      </w:r>
      <w:r w:rsidR="00293DD5" w:rsidRPr="00CF0DCB">
        <w:rPr>
          <w:rFonts w:ascii="Palatino Linotype" w:hAnsi="Palatino Linotype"/>
          <w:color w:val="000000" w:themeColor="text1"/>
        </w:rPr>
        <w:t>s</w:t>
      </w:r>
      <w:r w:rsidR="003F408B" w:rsidRPr="00CF0DCB">
        <w:rPr>
          <w:rFonts w:ascii="Palatino Linotype" w:hAnsi="Palatino Linotype"/>
          <w:color w:val="000000" w:themeColor="text1"/>
        </w:rPr>
        <w:t xml:space="preserve"> PbRM-01a “dimensión Administrativa del Gasto”, PbRM-01b “Dimensión del Programa Presupuestado”, PbRM-01c “Programa Anual de Metas de Actividad por Proyecto” y </w:t>
      </w:r>
      <w:r w:rsidR="00293DD5" w:rsidRPr="00CF0DCB">
        <w:rPr>
          <w:rFonts w:ascii="Palatino Linotype" w:hAnsi="Palatino Linotype"/>
          <w:color w:val="000000" w:themeColor="text1"/>
        </w:rPr>
        <w:t>PbRM-02ª “Calendarización de Metas de Actividad por Proyecto” del ejercicio fiscal 2019, documentos en los que testaron la claves presupuestal, proyecto, programa y subprograma.</w:t>
      </w:r>
    </w:p>
    <w:p w:rsidR="003F408B" w:rsidRPr="00CF0DCB" w:rsidRDefault="003F408B" w:rsidP="00CF0DCB">
      <w:pPr>
        <w:pStyle w:val="Prrafodelista"/>
        <w:spacing w:line="360" w:lineRule="auto"/>
        <w:rPr>
          <w:rFonts w:ascii="Palatino Linotype" w:hAnsi="Palatino Linotype"/>
          <w:color w:val="000000" w:themeColor="text1"/>
        </w:rPr>
      </w:pPr>
    </w:p>
    <w:p w:rsidR="006A2740" w:rsidRPr="00CF0DCB" w:rsidRDefault="006A2740" w:rsidP="00CF0DCB">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CF0DCB">
        <w:rPr>
          <w:rFonts w:ascii="Palatino Linotype" w:hAnsi="Palatino Linotype"/>
          <w:color w:val="000000" w:themeColor="text1"/>
        </w:rPr>
        <w:t xml:space="preserve">Consecuentemente el Comisionado Ponente decretó el cierre de instrucción mediante </w:t>
      </w:r>
      <w:r w:rsidR="00293DD5" w:rsidRPr="00CF0DCB">
        <w:rPr>
          <w:rFonts w:ascii="Palatino Linotype" w:hAnsi="Palatino Linotype"/>
          <w:color w:val="000000" w:themeColor="text1"/>
        </w:rPr>
        <w:t xml:space="preserve">los </w:t>
      </w:r>
      <w:r w:rsidRPr="00CF0DCB">
        <w:rPr>
          <w:rFonts w:ascii="Palatino Linotype" w:hAnsi="Palatino Linotype"/>
          <w:color w:val="000000" w:themeColor="text1"/>
        </w:rPr>
        <w:t>acuerdo</w:t>
      </w:r>
      <w:r w:rsidR="00293DD5" w:rsidRPr="00CF0DCB">
        <w:rPr>
          <w:rFonts w:ascii="Palatino Linotype" w:hAnsi="Palatino Linotype"/>
          <w:color w:val="000000" w:themeColor="text1"/>
        </w:rPr>
        <w:t>s de fecha dos (02) y trece (13) de agosto</w:t>
      </w:r>
      <w:r w:rsidRPr="00CF0DCB">
        <w:rPr>
          <w:rFonts w:ascii="Palatino Linotype" w:hAnsi="Palatino Linotype"/>
          <w:color w:val="000000" w:themeColor="text1"/>
        </w:rPr>
        <w:t xml:space="preserve"> del año dos mil diecinueve, por lo que ordenó turnar el expediente a resolución, misma que ahora se pronuncia. </w:t>
      </w:r>
    </w:p>
    <w:p w:rsidR="006A2740" w:rsidRPr="00CF0DCB" w:rsidRDefault="006A2740" w:rsidP="00CF0DCB">
      <w:pPr>
        <w:pStyle w:val="Prrafodelista"/>
        <w:tabs>
          <w:tab w:val="left" w:pos="709"/>
        </w:tabs>
        <w:spacing w:before="240" w:after="240" w:line="360" w:lineRule="auto"/>
        <w:ind w:left="0"/>
        <w:jc w:val="both"/>
        <w:rPr>
          <w:rFonts w:ascii="Palatino Linotype" w:hAnsi="Palatino Linotype"/>
          <w:b/>
          <w:color w:val="000000" w:themeColor="text1"/>
        </w:rPr>
      </w:pPr>
    </w:p>
    <w:p w:rsidR="006A2740" w:rsidRPr="00CF0DCB" w:rsidRDefault="00293DD5" w:rsidP="00CF0DCB">
      <w:pPr>
        <w:pStyle w:val="Prrafodelista"/>
        <w:numPr>
          <w:ilvl w:val="0"/>
          <w:numId w:val="1"/>
        </w:numPr>
        <w:spacing w:before="240" w:after="240" w:line="360" w:lineRule="auto"/>
        <w:ind w:left="0" w:firstLine="0"/>
        <w:jc w:val="both"/>
        <w:rPr>
          <w:rFonts w:ascii="Palatino Linotype" w:hAnsi="Palatino Linotype"/>
        </w:rPr>
      </w:pPr>
      <w:r w:rsidRPr="00CF0DCB">
        <w:rPr>
          <w:rFonts w:ascii="Palatino Linotype" w:eastAsia="Calibri" w:hAnsi="Palatino Linotype" w:cs="Arial"/>
          <w:color w:val="000000" w:themeColor="text1"/>
        </w:rPr>
        <w:t>El día nueve (9) de septiembre</w:t>
      </w:r>
      <w:r w:rsidR="006A2740" w:rsidRPr="00CF0DCB">
        <w:rPr>
          <w:rFonts w:ascii="Palatino Linotype" w:eastAsia="Calibri" w:hAnsi="Palatino Linotype" w:cs="Arial"/>
          <w:color w:val="000000" w:themeColor="text1"/>
        </w:rPr>
        <w:t xml:space="preserve"> de dos mil diecinueve y con fundamento en el artículo 181 tercer párrafo de la </w:t>
      </w:r>
      <w:r w:rsidR="006A2740" w:rsidRPr="00CF0DCB">
        <w:rPr>
          <w:rFonts w:ascii="Palatino Linotype" w:eastAsia="Calibri" w:hAnsi="Palatino Linotype" w:cs="Arial"/>
          <w:b/>
          <w:bCs/>
          <w:color w:val="000000" w:themeColor="text1"/>
        </w:rPr>
        <w:t>Ley de Transparencia y Acceso a la Información Pública del Estado de México y Municipios, </w:t>
      </w:r>
      <w:r w:rsidR="006A2740" w:rsidRPr="00CF0DCB">
        <w:rPr>
          <w:rFonts w:ascii="Palatino Linotype" w:eastAsia="Calibri" w:hAnsi="Palatino Linotype" w:cs="Arial"/>
          <w:color w:val="000000" w:themeColor="text1"/>
        </w:rPr>
        <w:t xml:space="preserve">se </w:t>
      </w:r>
      <w:r w:rsidRPr="00CF0DCB">
        <w:rPr>
          <w:rFonts w:ascii="Palatino Linotype" w:eastAsia="Calibri" w:hAnsi="Palatino Linotype" w:cs="Arial"/>
          <w:color w:val="000000" w:themeColor="text1"/>
        </w:rPr>
        <w:t xml:space="preserve">acordó </w:t>
      </w:r>
      <w:r w:rsidR="006A2740" w:rsidRPr="00CF0DCB">
        <w:rPr>
          <w:rFonts w:ascii="Palatino Linotype" w:eastAsia="Calibri" w:hAnsi="Palatino Linotype" w:cs="Arial"/>
          <w:color w:val="000000" w:themeColor="text1"/>
        </w:rPr>
        <w:t>que el plazo de 30 días para resolver el recurso de revisión, serían ampliado por un periodo de 15 días hábiles adicionales, debido a la naturaleza, complejidad del asunto y para un mejor estudio.</w:t>
      </w:r>
    </w:p>
    <w:p w:rsidR="006A2740" w:rsidRDefault="006A2740" w:rsidP="00B62280">
      <w:pPr>
        <w:pStyle w:val="Ttulo1"/>
        <w:spacing w:line="360" w:lineRule="auto"/>
        <w:jc w:val="center"/>
        <w:rPr>
          <w:rFonts w:ascii="Palatino Linotype" w:hAnsi="Palatino Linotype"/>
          <w:b/>
          <w:color w:val="000000" w:themeColor="text1"/>
          <w:sz w:val="24"/>
          <w:szCs w:val="24"/>
        </w:rPr>
      </w:pPr>
      <w:bookmarkStart w:id="71" w:name="_Toc18613086"/>
      <w:r w:rsidRPr="00CF0DCB">
        <w:rPr>
          <w:rFonts w:ascii="Palatino Linotype" w:hAnsi="Palatino Linotype"/>
          <w:b/>
          <w:color w:val="000000" w:themeColor="text1"/>
          <w:sz w:val="24"/>
          <w:szCs w:val="24"/>
        </w:rPr>
        <w:t>CONSIDERANDO</w:t>
      </w:r>
      <w:bookmarkEnd w:id="71"/>
    </w:p>
    <w:p w:rsidR="00B62280" w:rsidRPr="00B62280" w:rsidRDefault="00B62280" w:rsidP="00B62280">
      <w:pPr>
        <w:rPr>
          <w:lang w:val="es-MX" w:eastAsia="en-US"/>
        </w:rPr>
      </w:pPr>
    </w:p>
    <w:p w:rsidR="006A2740" w:rsidRPr="00B62280" w:rsidRDefault="006A2740" w:rsidP="00B62280">
      <w:pPr>
        <w:pStyle w:val="Ttulo2"/>
        <w:spacing w:line="360" w:lineRule="auto"/>
        <w:rPr>
          <w:rFonts w:ascii="Palatino Linotype" w:hAnsi="Palatino Linotype"/>
          <w:b/>
          <w:color w:val="000000" w:themeColor="text1"/>
          <w:sz w:val="24"/>
          <w:szCs w:val="24"/>
        </w:rPr>
      </w:pPr>
      <w:bookmarkStart w:id="72" w:name="_Toc18613087"/>
      <w:r w:rsidRPr="00CF0DCB">
        <w:rPr>
          <w:rFonts w:ascii="Palatino Linotype" w:hAnsi="Palatino Linotype"/>
          <w:b/>
          <w:color w:val="000000" w:themeColor="text1"/>
          <w:sz w:val="24"/>
          <w:szCs w:val="24"/>
        </w:rPr>
        <w:t>PRIMERO. De la competencia</w:t>
      </w:r>
      <w:bookmarkEnd w:id="72"/>
    </w:p>
    <w:p w:rsidR="006A2740" w:rsidRPr="00CF0DCB" w:rsidRDefault="006A2740" w:rsidP="00CF0DCB">
      <w:pPr>
        <w:spacing w:line="360" w:lineRule="auto"/>
        <w:rPr>
          <w:rFonts w:ascii="Palatino Linotype" w:hAnsi="Palatino Linotype"/>
          <w:lang w:val="es-MX" w:eastAsia="en-US"/>
        </w:rPr>
      </w:pPr>
    </w:p>
    <w:p w:rsidR="006A2740" w:rsidRPr="00CF0DCB" w:rsidRDefault="006A2740" w:rsidP="00CF0DCB">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CF0DCB">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F0DCB">
        <w:rPr>
          <w:rFonts w:ascii="Palatino Linotype" w:eastAsia="Calibri" w:hAnsi="Palatino Linotype" w:cs="Times New Roman"/>
          <w:b/>
          <w:color w:val="000000" w:themeColor="text1"/>
          <w:lang w:val="es-ES"/>
        </w:rPr>
        <w:t>Constitución Política de los Estados Unidos Mexicanos</w:t>
      </w:r>
      <w:r w:rsidRPr="00CF0DCB">
        <w:rPr>
          <w:rFonts w:ascii="Palatino Linotype" w:eastAsia="Calibri" w:hAnsi="Palatino Linotype" w:cs="Times New Roman"/>
          <w:color w:val="000000" w:themeColor="text1"/>
          <w:lang w:val="es-ES"/>
        </w:rPr>
        <w:t xml:space="preserve">; 5, párrafos vigésimo segundo, vigésimo tercero y vigésimo cuarto fracciones IV y V de la </w:t>
      </w:r>
      <w:r w:rsidRPr="00CF0DCB">
        <w:rPr>
          <w:rFonts w:ascii="Palatino Linotype" w:eastAsia="Calibri" w:hAnsi="Palatino Linotype" w:cs="Times New Roman"/>
          <w:b/>
          <w:color w:val="000000" w:themeColor="text1"/>
          <w:lang w:val="es-ES"/>
        </w:rPr>
        <w:t>Constitución Política del Estado Libre y Soberano de México</w:t>
      </w:r>
      <w:r w:rsidRPr="00CF0DCB">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CF0DCB">
        <w:rPr>
          <w:rFonts w:ascii="Palatino Linotype" w:eastAsia="Calibri" w:hAnsi="Palatino Linotype" w:cs="Times New Roman"/>
          <w:b/>
          <w:color w:val="000000" w:themeColor="text1"/>
          <w:lang w:val="es-ES"/>
        </w:rPr>
        <w:t>Ley de Transparencia y Acceso a la Información Pública del Estado de México y Municipios</w:t>
      </w:r>
      <w:r w:rsidRPr="00CF0DCB">
        <w:rPr>
          <w:rFonts w:ascii="Palatino Linotype" w:eastAsia="Calibri" w:hAnsi="Palatino Linotype" w:cs="Times New Roman"/>
          <w:color w:val="000000" w:themeColor="text1"/>
          <w:lang w:val="es-ES"/>
        </w:rPr>
        <w:t xml:space="preserve">; y 10, 7, 9 fracciones I y XXIV, y 11 del </w:t>
      </w:r>
      <w:r w:rsidRPr="00CF0DCB">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rsidR="006A2740" w:rsidRPr="00CF0DCB" w:rsidRDefault="006A2740" w:rsidP="00CF0DCB">
      <w:pPr>
        <w:pStyle w:val="Prrafodelista"/>
        <w:spacing w:line="360" w:lineRule="auto"/>
        <w:ind w:left="360"/>
        <w:jc w:val="both"/>
        <w:rPr>
          <w:rFonts w:ascii="Palatino Linotype" w:eastAsia="Calibri" w:hAnsi="Palatino Linotype"/>
          <w:b/>
          <w:color w:val="000000" w:themeColor="text1"/>
          <w:lang w:val="es-ES"/>
        </w:rPr>
      </w:pPr>
    </w:p>
    <w:p w:rsidR="006A2740" w:rsidRPr="00CF0DCB" w:rsidRDefault="006A2740" w:rsidP="00CF0DCB">
      <w:pPr>
        <w:pStyle w:val="Ttulo2"/>
        <w:spacing w:line="360" w:lineRule="auto"/>
        <w:rPr>
          <w:rFonts w:ascii="Palatino Linotype" w:hAnsi="Palatino Linotype"/>
          <w:b/>
          <w:color w:val="000000" w:themeColor="text1"/>
          <w:sz w:val="24"/>
          <w:szCs w:val="24"/>
        </w:rPr>
      </w:pPr>
      <w:bookmarkStart w:id="73" w:name="_Toc18613088"/>
      <w:r w:rsidRPr="00CF0DCB">
        <w:rPr>
          <w:rFonts w:ascii="Palatino Linotype" w:hAnsi="Palatino Linotype"/>
          <w:b/>
          <w:color w:val="000000" w:themeColor="text1"/>
          <w:sz w:val="24"/>
          <w:szCs w:val="24"/>
        </w:rPr>
        <w:t>SEGUNDO. De la oportunidad y procedibilidad.</w:t>
      </w:r>
      <w:bookmarkEnd w:id="73"/>
    </w:p>
    <w:p w:rsidR="006A2740" w:rsidRPr="00CF0DCB" w:rsidRDefault="006A2740" w:rsidP="00CF0DCB">
      <w:pPr>
        <w:spacing w:line="360" w:lineRule="auto"/>
        <w:rPr>
          <w:rFonts w:ascii="Palatino Linotype" w:hAnsi="Palatino Linotype"/>
          <w:lang w:val="es-MX" w:eastAsia="en-US"/>
        </w:rPr>
      </w:pPr>
    </w:p>
    <w:p w:rsidR="007C7D9B" w:rsidRPr="00CF0DCB" w:rsidRDefault="007C7D9B" w:rsidP="00CF0DCB">
      <w:pPr>
        <w:numPr>
          <w:ilvl w:val="0"/>
          <w:numId w:val="1"/>
        </w:numPr>
        <w:spacing w:line="360" w:lineRule="auto"/>
        <w:ind w:left="0" w:firstLine="0"/>
        <w:contextualSpacing/>
        <w:jc w:val="both"/>
        <w:rPr>
          <w:rFonts w:ascii="Palatino Linotype" w:eastAsia="Calibri" w:hAnsi="Palatino Linotype" w:cs="Times New Roman"/>
          <w:lang w:val="es-ES"/>
        </w:rPr>
      </w:pPr>
      <w:r w:rsidRPr="00CF0DCB">
        <w:rPr>
          <w:rFonts w:ascii="Palatino Linotype" w:eastAsia="Calibri" w:hAnsi="Palatino Linotype" w:cs="Times New Roman"/>
          <w:lang w:val="es-ES"/>
        </w:rPr>
        <w:t xml:space="preserve">Es de precisar, que la Ley de Transparencia y Acceso a la Información Pública del Estado de México y Municipios, en sus artículos 166 y 178 describen la procedencia del recurso de revisión, asimismo señala que el plazo del </w:t>
      </w:r>
      <w:r w:rsidRPr="00CF0DCB">
        <w:rPr>
          <w:rFonts w:ascii="Palatino Linotype" w:eastAsia="Calibri" w:hAnsi="Palatino Linotype" w:cs="Times New Roman"/>
          <w:b/>
          <w:lang w:val="es-ES"/>
        </w:rPr>
        <w:t xml:space="preserve">SUJETO OBLIGADO </w:t>
      </w:r>
      <w:r w:rsidRPr="00CF0DCB">
        <w:rPr>
          <w:rFonts w:ascii="Palatino Linotype" w:eastAsia="Calibri" w:hAnsi="Palatino Linotype" w:cs="Times New Roman"/>
          <w:lang w:val="es-ES"/>
        </w:rPr>
        <w:t xml:space="preserve">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7C7D9B" w:rsidRPr="00CF0DCB" w:rsidRDefault="007C7D9B" w:rsidP="00CF0DCB">
      <w:pPr>
        <w:spacing w:line="360" w:lineRule="auto"/>
        <w:contextualSpacing/>
        <w:rPr>
          <w:rFonts w:ascii="Palatino Linotype" w:eastAsia="Calibri" w:hAnsi="Palatino Linotype" w:cs="Times New Roman"/>
          <w:lang w:val="es-ES"/>
        </w:rPr>
      </w:pPr>
    </w:p>
    <w:p w:rsidR="007C7D9B" w:rsidRPr="00CF0DCB" w:rsidRDefault="007C7D9B" w:rsidP="00CF0DCB">
      <w:pPr>
        <w:numPr>
          <w:ilvl w:val="0"/>
          <w:numId w:val="1"/>
        </w:numPr>
        <w:spacing w:line="360" w:lineRule="auto"/>
        <w:ind w:left="0" w:firstLine="0"/>
        <w:contextualSpacing/>
        <w:jc w:val="both"/>
        <w:rPr>
          <w:rFonts w:ascii="Palatino Linotype" w:eastAsia="Calibri" w:hAnsi="Palatino Linotype" w:cs="Times New Roman"/>
          <w:lang w:val="es-ES"/>
        </w:rPr>
      </w:pPr>
      <w:r w:rsidRPr="00CF0DCB">
        <w:rPr>
          <w:rFonts w:ascii="Palatino Linotype" w:eastAsia="Calibri" w:hAnsi="Palatino Linotype" w:cs="Times New Roman"/>
          <w:lang w:val="es-ES"/>
        </w:rPr>
        <w:t>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w:t>
      </w:r>
    </w:p>
    <w:p w:rsidR="007C7D9B" w:rsidRPr="00CF0DCB" w:rsidRDefault="007C7D9B" w:rsidP="00CF0DCB">
      <w:pPr>
        <w:spacing w:line="360" w:lineRule="auto"/>
        <w:contextualSpacing/>
        <w:rPr>
          <w:rFonts w:ascii="Palatino Linotype" w:eastAsia="Calibri" w:hAnsi="Palatino Linotype" w:cs="Times New Roman"/>
          <w:lang w:val="es-ES"/>
        </w:rPr>
      </w:pPr>
    </w:p>
    <w:p w:rsidR="007C7D9B" w:rsidRPr="00CF0DCB" w:rsidRDefault="007C7D9B" w:rsidP="00CF0DCB">
      <w:pPr>
        <w:numPr>
          <w:ilvl w:val="0"/>
          <w:numId w:val="1"/>
        </w:numPr>
        <w:spacing w:line="360" w:lineRule="auto"/>
        <w:ind w:left="0" w:firstLine="0"/>
        <w:contextualSpacing/>
        <w:jc w:val="both"/>
        <w:rPr>
          <w:rFonts w:ascii="Palatino Linotype" w:eastAsia="Calibri" w:hAnsi="Palatino Linotype" w:cs="Times New Roman"/>
          <w:lang w:val="es-ES"/>
        </w:rPr>
      </w:pPr>
      <w:r w:rsidRPr="00CF0DCB">
        <w:rPr>
          <w:rFonts w:ascii="Palatino Linotype" w:eastAsia="Calibri" w:hAnsi="Palatino Linotype" w:cs="Times New Roman"/>
          <w:lang w:val="es-ES"/>
        </w:rPr>
        <w:t>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7C7D9B" w:rsidRPr="00CF0DCB" w:rsidRDefault="007C7D9B" w:rsidP="00CF0DCB">
      <w:pPr>
        <w:spacing w:before="240" w:after="240" w:line="360" w:lineRule="auto"/>
        <w:contextualSpacing/>
        <w:jc w:val="both"/>
        <w:rPr>
          <w:rFonts w:ascii="Palatino Linotype" w:eastAsia="Calibri" w:hAnsi="Palatino Linotype" w:cs="Times New Roman"/>
          <w:lang w:val="es-ES"/>
        </w:rPr>
      </w:pPr>
    </w:p>
    <w:p w:rsidR="007C7D9B" w:rsidRPr="00CF0DCB" w:rsidRDefault="007C7D9B" w:rsidP="00CF0DCB">
      <w:pPr>
        <w:tabs>
          <w:tab w:val="left" w:pos="7938"/>
        </w:tabs>
        <w:spacing w:before="240" w:after="240" w:line="360" w:lineRule="auto"/>
        <w:ind w:right="567"/>
        <w:contextualSpacing/>
        <w:jc w:val="center"/>
        <w:rPr>
          <w:rFonts w:ascii="Palatino Linotype" w:eastAsia="Calibri" w:hAnsi="Palatino Linotype" w:cs="Times New Roman"/>
          <w:i/>
          <w:lang w:val="es-ES"/>
        </w:rPr>
      </w:pPr>
      <w:r w:rsidRPr="00CF0DCB">
        <w:rPr>
          <w:rFonts w:ascii="Palatino Linotype" w:eastAsia="Calibri" w:hAnsi="Palatino Linotype" w:cs="Times New Roman"/>
          <w:i/>
          <w:lang w:val="es-ES"/>
        </w:rPr>
        <w:t>“Criterio 0001-15</w:t>
      </w:r>
    </w:p>
    <w:p w:rsidR="007C7D9B" w:rsidRPr="00CF0DCB" w:rsidRDefault="007C7D9B" w:rsidP="00CF0DCB">
      <w:pPr>
        <w:tabs>
          <w:tab w:val="left" w:pos="7938"/>
        </w:tabs>
        <w:spacing w:before="240" w:after="240" w:line="360" w:lineRule="auto"/>
        <w:ind w:left="567" w:right="567"/>
        <w:contextualSpacing/>
        <w:jc w:val="both"/>
        <w:rPr>
          <w:rFonts w:ascii="Palatino Linotype" w:eastAsia="Calibri" w:hAnsi="Palatino Linotype" w:cs="Times New Roman"/>
          <w:i/>
          <w:lang w:val="es-ES"/>
        </w:rPr>
      </w:pPr>
      <w:r w:rsidRPr="00CF0DCB">
        <w:rPr>
          <w:rFonts w:ascii="Palatino Linotype" w:eastAsia="Calibri" w:hAnsi="Palatino Linotype" w:cs="Times New Roman"/>
          <w:b/>
          <w:i/>
          <w:lang w:val="es-ES"/>
        </w:rPr>
        <w:t>NEGATIVA FICTA. PLAZO PARA INTERPONER EL RECURSO DE REVISIÓN TRATÁNDOSE DE</w:t>
      </w:r>
      <w:r w:rsidRPr="00CF0DCB">
        <w:rPr>
          <w:rFonts w:ascii="Palatino Linotype" w:eastAsia="Calibri" w:hAnsi="Palatino Linotype" w:cs="Times New Roman"/>
          <w:i/>
          <w:lang w:val="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7C7D9B" w:rsidRPr="00CF0DCB" w:rsidRDefault="007C7D9B" w:rsidP="00CF0DCB">
      <w:pPr>
        <w:spacing w:before="240" w:after="240" w:line="360" w:lineRule="auto"/>
        <w:contextualSpacing/>
        <w:jc w:val="both"/>
        <w:rPr>
          <w:rFonts w:ascii="Palatino Linotype" w:eastAsia="Calibri" w:hAnsi="Palatino Linotype" w:cs="Times New Roman"/>
          <w:lang w:val="es-ES"/>
        </w:rPr>
      </w:pPr>
    </w:p>
    <w:p w:rsidR="007C7D9B" w:rsidRPr="00CF0DCB" w:rsidRDefault="007C7D9B" w:rsidP="00CF0DCB">
      <w:pPr>
        <w:numPr>
          <w:ilvl w:val="0"/>
          <w:numId w:val="1"/>
        </w:numPr>
        <w:spacing w:before="240" w:after="240" w:line="360" w:lineRule="auto"/>
        <w:ind w:left="0" w:firstLine="0"/>
        <w:contextualSpacing/>
        <w:jc w:val="both"/>
        <w:rPr>
          <w:rFonts w:ascii="Palatino Linotype" w:eastAsia="Calibri" w:hAnsi="Palatino Linotype" w:cs="Times New Roman"/>
          <w:lang w:val="es-ES"/>
        </w:rPr>
      </w:pPr>
      <w:r w:rsidRPr="00CF0DCB">
        <w:rPr>
          <w:rFonts w:ascii="Palatino Linotype" w:eastAsia="Calibri" w:hAnsi="Palatino Linotype" w:cs="Times New Roman"/>
          <w:lang w:val="es-ES"/>
        </w:rPr>
        <w:t>Por consiguiente, tratándose de negativa ficta no existe plazo para la interposición del recurso de revisión por tratarse de una afectación continua al Derecho de Acceso a la Información Pública.</w:t>
      </w:r>
    </w:p>
    <w:p w:rsidR="007C7D9B" w:rsidRPr="00CF0DCB" w:rsidRDefault="007C7D9B" w:rsidP="00CF0DCB">
      <w:pPr>
        <w:spacing w:before="240" w:after="240" w:line="360" w:lineRule="auto"/>
        <w:contextualSpacing/>
        <w:jc w:val="both"/>
        <w:rPr>
          <w:rFonts w:ascii="Palatino Linotype" w:eastAsia="Calibri" w:hAnsi="Palatino Linotype" w:cs="Times New Roman"/>
          <w:lang w:val="es-ES"/>
        </w:rPr>
      </w:pPr>
    </w:p>
    <w:p w:rsidR="007C7D9B" w:rsidRPr="00CF0DCB" w:rsidRDefault="007C7D9B" w:rsidP="00CF0DCB">
      <w:pPr>
        <w:numPr>
          <w:ilvl w:val="0"/>
          <w:numId w:val="1"/>
        </w:numPr>
        <w:spacing w:before="240" w:after="240" w:line="360" w:lineRule="auto"/>
        <w:ind w:left="0" w:firstLine="0"/>
        <w:contextualSpacing/>
        <w:jc w:val="both"/>
        <w:rPr>
          <w:rFonts w:ascii="Palatino Linotype" w:eastAsia="Calibri" w:hAnsi="Palatino Linotype" w:cs="Times New Roman"/>
          <w:lang w:val="es-ES"/>
        </w:rPr>
      </w:pPr>
      <w:r w:rsidRPr="00CF0DCB">
        <w:rPr>
          <w:rFonts w:ascii="Palatino Linotype" w:eastAsia="Calibri" w:hAnsi="Palatino Linotype" w:cs="Times New Roman"/>
          <w:lang w:val="es-ES"/>
        </w:rPr>
        <w:t xml:space="preserve">Lo anterior, se explica porque la ausencia de una respuesta en la solicitud constituye un acto que vulnera el derecho de manera continua y actualizable cada día, en tanto no se emita la respuesta a la que esté impuesto el </w:t>
      </w:r>
      <w:r w:rsidRPr="00CF0DCB">
        <w:rPr>
          <w:rFonts w:ascii="Palatino Linotype" w:eastAsia="Calibri" w:hAnsi="Palatino Linotype" w:cs="Times New Roman"/>
          <w:b/>
          <w:lang w:val="es-ES"/>
        </w:rPr>
        <w:t>SUJETO OBLIGADO.</w:t>
      </w:r>
    </w:p>
    <w:p w:rsidR="007C7D9B" w:rsidRPr="00CF0DCB" w:rsidRDefault="007C7D9B" w:rsidP="00CF0DCB">
      <w:pPr>
        <w:spacing w:line="360" w:lineRule="auto"/>
        <w:contextualSpacing/>
        <w:rPr>
          <w:rFonts w:ascii="Palatino Linotype" w:eastAsia="Calibri" w:hAnsi="Palatino Linotype" w:cs="Arial"/>
        </w:rPr>
      </w:pPr>
    </w:p>
    <w:p w:rsidR="007C7D9B" w:rsidRPr="00CF0DCB" w:rsidRDefault="007C7D9B" w:rsidP="00CF0DCB">
      <w:pPr>
        <w:numPr>
          <w:ilvl w:val="0"/>
          <w:numId w:val="1"/>
        </w:numPr>
        <w:spacing w:before="240" w:after="240" w:line="360" w:lineRule="auto"/>
        <w:ind w:left="0" w:firstLine="0"/>
        <w:contextualSpacing/>
        <w:jc w:val="both"/>
        <w:rPr>
          <w:rFonts w:ascii="Palatino Linotype" w:eastAsia="Calibri" w:hAnsi="Palatino Linotype" w:cs="Times New Roman"/>
          <w:lang w:val="es-ES"/>
        </w:rPr>
      </w:pPr>
      <w:r w:rsidRPr="00CF0DCB">
        <w:rPr>
          <w:rFonts w:ascii="Palatino Linotype" w:eastAsia="Calibri" w:hAnsi="Palatino Linotype" w:cs="Arial"/>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6A2740" w:rsidRPr="00CF0DCB" w:rsidRDefault="006A2740" w:rsidP="00CF0DCB">
      <w:pPr>
        <w:pStyle w:val="Ttulo1"/>
        <w:spacing w:line="360" w:lineRule="auto"/>
        <w:rPr>
          <w:rFonts w:ascii="Palatino Linotype" w:hAnsi="Palatino Linotype"/>
          <w:b/>
          <w:color w:val="000000" w:themeColor="text1"/>
          <w:sz w:val="24"/>
          <w:szCs w:val="24"/>
        </w:rPr>
      </w:pPr>
      <w:bookmarkStart w:id="74" w:name="_Toc503862490"/>
      <w:bookmarkStart w:id="75" w:name="_Toc509403241"/>
      <w:bookmarkStart w:id="76" w:name="_Toc521536227"/>
      <w:bookmarkStart w:id="77" w:name="_Toc18613089"/>
      <w:r w:rsidRPr="00CF0DCB">
        <w:rPr>
          <w:rFonts w:ascii="Palatino Linotype" w:hAnsi="Palatino Linotype"/>
          <w:b/>
          <w:color w:val="000000" w:themeColor="text1"/>
          <w:sz w:val="24"/>
          <w:szCs w:val="24"/>
        </w:rPr>
        <w:t xml:space="preserve">TERCERO. </w:t>
      </w:r>
      <w:bookmarkEnd w:id="74"/>
      <w:bookmarkEnd w:id="75"/>
      <w:r w:rsidRPr="00CF0DCB">
        <w:rPr>
          <w:rFonts w:ascii="Palatino Linotype" w:hAnsi="Palatino Linotype"/>
          <w:b/>
          <w:color w:val="000000" w:themeColor="text1"/>
          <w:sz w:val="24"/>
          <w:szCs w:val="24"/>
        </w:rPr>
        <w:t>Del planteamiento de la Litis.</w:t>
      </w:r>
      <w:bookmarkEnd w:id="76"/>
      <w:bookmarkEnd w:id="77"/>
    </w:p>
    <w:p w:rsidR="006A2740" w:rsidRPr="00CF0DCB" w:rsidRDefault="006A2740" w:rsidP="00CF0DCB">
      <w:pPr>
        <w:spacing w:line="360" w:lineRule="auto"/>
        <w:jc w:val="both"/>
        <w:rPr>
          <w:rFonts w:ascii="Palatino Linotype" w:hAnsi="Palatino Linotype"/>
        </w:rPr>
      </w:pPr>
    </w:p>
    <w:p w:rsidR="00492BEC" w:rsidRPr="00CF0DCB" w:rsidRDefault="00492BEC" w:rsidP="00CF0DCB">
      <w:pPr>
        <w:numPr>
          <w:ilvl w:val="0"/>
          <w:numId w:val="1"/>
        </w:numPr>
        <w:spacing w:line="360" w:lineRule="auto"/>
        <w:ind w:left="0" w:firstLine="0"/>
        <w:contextualSpacing/>
        <w:jc w:val="both"/>
        <w:rPr>
          <w:rFonts w:ascii="Palatino Linotype" w:hAnsi="Palatino Linotype" w:cs="Arial"/>
        </w:rPr>
      </w:pPr>
      <w:r w:rsidRPr="00CF0DCB">
        <w:rPr>
          <w:rFonts w:ascii="Palatino Linotype" w:eastAsia="MS Mincho" w:hAnsi="Palatino Linotype" w:cs="Arial"/>
        </w:rPr>
        <w:t xml:space="preserve">De las constancias que obran en el expediente de referencia, es de señalar que el </w:t>
      </w:r>
      <w:r w:rsidRPr="00CF0DCB">
        <w:rPr>
          <w:rFonts w:ascii="Palatino Linotype" w:eastAsia="MS Mincho" w:hAnsi="Palatino Linotype" w:cs="Arial"/>
          <w:b/>
        </w:rPr>
        <w:t>SUJETO OBLIGADO</w:t>
      </w:r>
      <w:r w:rsidRPr="00CF0DCB">
        <w:rPr>
          <w:rFonts w:ascii="Palatino Linotype" w:eastAsia="MS Mincho" w:hAnsi="Palatino Linotype" w:cs="Arial"/>
        </w:rPr>
        <w:t xml:space="preserve"> no proporcionó respuestas a las solicitudes de información; sin embargo, la recurrente presentó sus recursos de revisión mediante los cuales señala como motivos de inconformidad, la falta de </w:t>
      </w:r>
      <w:r w:rsidRPr="00CF0DCB">
        <w:rPr>
          <w:rFonts w:ascii="Palatino Linotype" w:hAnsi="Palatino Linotype" w:cs="Arial"/>
        </w:rPr>
        <w:t xml:space="preserve">entrega </w:t>
      </w:r>
      <w:r w:rsidRPr="00CF0DCB">
        <w:rPr>
          <w:rFonts w:ascii="Palatino Linotype" w:eastAsia="MS Mincho" w:hAnsi="Palatino Linotype" w:cs="Arial"/>
        </w:rPr>
        <w:t>de información.</w:t>
      </w:r>
    </w:p>
    <w:p w:rsidR="00492BEC" w:rsidRPr="00CF0DCB" w:rsidRDefault="00492BEC" w:rsidP="00CF0DCB">
      <w:pPr>
        <w:spacing w:line="360" w:lineRule="auto"/>
        <w:contextualSpacing/>
        <w:jc w:val="both"/>
        <w:rPr>
          <w:rFonts w:ascii="Palatino Linotype" w:hAnsi="Palatino Linotype" w:cs="Arial"/>
        </w:rPr>
      </w:pPr>
    </w:p>
    <w:p w:rsidR="00492BEC" w:rsidRPr="00CF0DCB" w:rsidRDefault="00492BEC" w:rsidP="00CF0DCB">
      <w:pPr>
        <w:numPr>
          <w:ilvl w:val="0"/>
          <w:numId w:val="1"/>
        </w:numPr>
        <w:spacing w:line="360" w:lineRule="auto"/>
        <w:ind w:left="0" w:firstLine="0"/>
        <w:contextualSpacing/>
        <w:jc w:val="both"/>
        <w:rPr>
          <w:rFonts w:ascii="Palatino Linotype" w:hAnsi="Palatino Linotype" w:cs="Arial"/>
        </w:rPr>
      </w:pPr>
      <w:r w:rsidRPr="00CF0DCB">
        <w:rPr>
          <w:rFonts w:ascii="Palatino Linotype" w:hAnsi="Palatino Linotype" w:cs="Arial"/>
        </w:rPr>
        <w:t xml:space="preserve">En consecuencia, la Litis del presente asunto, corresponde en demostrar si  el </w:t>
      </w:r>
      <w:r w:rsidRPr="00CF0DCB">
        <w:rPr>
          <w:rFonts w:ascii="Palatino Linotype" w:hAnsi="Palatino Linotype" w:cs="Arial"/>
          <w:b/>
        </w:rPr>
        <w:t>SUJETO OBLIGADO</w:t>
      </w:r>
      <w:r w:rsidRPr="00CF0DCB">
        <w:rPr>
          <w:rFonts w:ascii="Palatino Linotype" w:hAnsi="Palatino Linotype" w:cs="Arial"/>
        </w:rPr>
        <w:t xml:space="preserve"> posee, genera y administra la información que le fue requerida, lo anterior, a efecto de verificar si corresponde al derecho de acceso a la información y en su defecto ordenar la reparación de la afectación.</w:t>
      </w:r>
    </w:p>
    <w:p w:rsidR="00492BEC" w:rsidRPr="00CF0DCB" w:rsidRDefault="00492BEC" w:rsidP="00CF0DCB">
      <w:pPr>
        <w:spacing w:line="360" w:lineRule="auto"/>
        <w:contextualSpacing/>
        <w:rPr>
          <w:rFonts w:ascii="Palatino Linotype" w:eastAsia="MS Mincho" w:hAnsi="Palatino Linotype" w:cs="Times New Roman"/>
        </w:rPr>
      </w:pPr>
    </w:p>
    <w:p w:rsidR="00492BEC" w:rsidRPr="00CF0DCB" w:rsidRDefault="00492BEC" w:rsidP="00CF0DCB">
      <w:pPr>
        <w:numPr>
          <w:ilvl w:val="0"/>
          <w:numId w:val="1"/>
        </w:numPr>
        <w:spacing w:before="240" w:after="240" w:line="360" w:lineRule="auto"/>
        <w:ind w:left="0" w:right="49" w:firstLine="0"/>
        <w:contextualSpacing/>
        <w:jc w:val="both"/>
        <w:rPr>
          <w:rFonts w:ascii="Palatino Linotype" w:eastAsia="MS Mincho" w:hAnsi="Palatino Linotype" w:cs="Arial"/>
        </w:rPr>
      </w:pPr>
      <w:r w:rsidRPr="00CF0DCB">
        <w:rPr>
          <w:rFonts w:ascii="Palatino Linotype" w:eastAsia="MS Mincho" w:hAnsi="Palatino Linotype" w:cs="Arial"/>
        </w:rPr>
        <w:t xml:space="preserve">Del análisis efectuado se advierte que el recurso de revisión del que se trata es procedente, toda vez que se actualiza la hipótesis prevista en la </w:t>
      </w:r>
      <w:r w:rsidRPr="00CF0DCB">
        <w:rPr>
          <w:rFonts w:ascii="Palatino Linotype" w:eastAsia="MS Mincho" w:hAnsi="Palatino Linotype" w:cs="Times New Roman"/>
          <w:b/>
        </w:rPr>
        <w:t>fracción VII del artículo 179 de la Ley de Transparencia y Acceso a la Información Pública del Estado de México y Municipio</w:t>
      </w:r>
      <w:r w:rsidRPr="00CF0DCB">
        <w:rPr>
          <w:rFonts w:ascii="Palatino Linotype" w:eastAsia="MS Mincho" w:hAnsi="Palatino Linotype" w:cs="Times New Roman"/>
        </w:rPr>
        <w:t>.</w:t>
      </w:r>
    </w:p>
    <w:p w:rsidR="006A2740" w:rsidRPr="00B62280" w:rsidRDefault="006A2740" w:rsidP="00B62280">
      <w:pPr>
        <w:pStyle w:val="Ttulo1"/>
        <w:spacing w:line="360" w:lineRule="auto"/>
        <w:rPr>
          <w:rFonts w:ascii="Palatino Linotype" w:hAnsi="Palatino Linotype"/>
          <w:b/>
          <w:color w:val="auto"/>
          <w:sz w:val="24"/>
          <w:szCs w:val="24"/>
        </w:rPr>
      </w:pPr>
      <w:bookmarkStart w:id="78" w:name="_Toc453696499"/>
      <w:bookmarkStart w:id="79" w:name="_Toc454301152"/>
      <w:bookmarkStart w:id="80" w:name="_Toc18613090"/>
      <w:r w:rsidRPr="00CF0DCB">
        <w:rPr>
          <w:rFonts w:ascii="Palatino Linotype" w:hAnsi="Palatino Linotype"/>
          <w:b/>
          <w:color w:val="auto"/>
          <w:sz w:val="24"/>
          <w:szCs w:val="24"/>
        </w:rPr>
        <w:t>CUARTO. Del estudio y resolución del asunto</w:t>
      </w:r>
      <w:bookmarkEnd w:id="78"/>
      <w:bookmarkEnd w:id="79"/>
      <w:r w:rsidRPr="00CF0DCB">
        <w:rPr>
          <w:rFonts w:ascii="Palatino Linotype" w:hAnsi="Palatino Linotype"/>
          <w:b/>
          <w:color w:val="auto"/>
          <w:sz w:val="24"/>
          <w:szCs w:val="24"/>
        </w:rPr>
        <w:t>.</w:t>
      </w:r>
      <w:bookmarkEnd w:id="80"/>
    </w:p>
    <w:p w:rsidR="006A2740" w:rsidRPr="00CF0DCB" w:rsidRDefault="006A2740" w:rsidP="00CF0DCB">
      <w:pPr>
        <w:pStyle w:val="Ttulo1"/>
        <w:spacing w:line="360" w:lineRule="auto"/>
        <w:rPr>
          <w:rFonts w:ascii="Palatino Linotype" w:hAnsi="Palatino Linotype"/>
          <w:b/>
          <w:color w:val="000000" w:themeColor="text1"/>
          <w:sz w:val="24"/>
          <w:szCs w:val="24"/>
        </w:rPr>
      </w:pPr>
      <w:bookmarkStart w:id="81" w:name="_Toc5711921"/>
      <w:bookmarkStart w:id="82" w:name="_Toc18613091"/>
      <w:r w:rsidRPr="00CF0DCB">
        <w:rPr>
          <w:rFonts w:ascii="Palatino Linotype" w:hAnsi="Palatino Linotype"/>
          <w:b/>
          <w:color w:val="000000" w:themeColor="text1"/>
          <w:sz w:val="24"/>
          <w:szCs w:val="24"/>
        </w:rPr>
        <w:t>I. Del deber de las autoridades de promover, respetar, proteger, y garantizar el derecho de acceso a la información pública.</w:t>
      </w:r>
      <w:bookmarkEnd w:id="81"/>
      <w:bookmarkEnd w:id="82"/>
      <w:r w:rsidRPr="00CF0DCB">
        <w:rPr>
          <w:rFonts w:ascii="Palatino Linotype" w:hAnsi="Palatino Linotype"/>
          <w:b/>
          <w:color w:val="000000" w:themeColor="text1"/>
          <w:sz w:val="24"/>
          <w:szCs w:val="24"/>
        </w:rPr>
        <w:t xml:space="preserve"> </w:t>
      </w:r>
    </w:p>
    <w:p w:rsidR="006A2740" w:rsidRPr="00CF0DCB" w:rsidRDefault="006A2740" w:rsidP="00CF0DCB">
      <w:pPr>
        <w:spacing w:line="360" w:lineRule="auto"/>
        <w:ind w:left="1080"/>
        <w:contextualSpacing/>
        <w:rPr>
          <w:rFonts w:ascii="Palatino Linotype" w:hAnsi="Palatino Linotype"/>
          <w:b/>
          <w:lang w:val="es-MX" w:eastAsia="en-US"/>
        </w:rPr>
      </w:pPr>
    </w:p>
    <w:p w:rsidR="006A2740" w:rsidRPr="00CF0DCB" w:rsidRDefault="006A2740" w:rsidP="00CF0DCB">
      <w:pPr>
        <w:numPr>
          <w:ilvl w:val="0"/>
          <w:numId w:val="1"/>
        </w:numPr>
        <w:spacing w:before="240" w:after="240" w:line="360" w:lineRule="auto"/>
        <w:ind w:left="0" w:firstLine="0"/>
        <w:contextualSpacing/>
        <w:jc w:val="both"/>
        <w:rPr>
          <w:rFonts w:ascii="Palatino Linotype" w:hAnsi="Palatino Linotype" w:cs="Arial"/>
          <w:lang w:val="es-MX"/>
        </w:rPr>
      </w:pPr>
      <w:r w:rsidRPr="00CF0DCB">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F0DCB">
        <w:rPr>
          <w:rFonts w:ascii="Palatino Linotype" w:hAnsi="Palatino Linotype" w:cs="Arial"/>
          <w:b/>
          <w:lang w:val="es-MX"/>
        </w:rPr>
        <w:t>SUJETO OBLIGADO</w:t>
      </w:r>
      <w:r w:rsidRPr="00CF0DCB">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F0DCB">
        <w:rPr>
          <w:rFonts w:ascii="Palatino Linotype" w:hAnsi="Palatino Linotype" w:cs="Arial"/>
          <w:b/>
          <w:lang w:val="es-MX"/>
        </w:rPr>
        <w:t xml:space="preserve">Constitución Política de los Estados Unidos Mexicanos </w:t>
      </w:r>
      <w:r w:rsidRPr="00CF0DCB">
        <w:rPr>
          <w:rFonts w:ascii="Palatino Linotype" w:hAnsi="Palatino Linotype" w:cs="Arial"/>
          <w:lang w:val="es-MX"/>
        </w:rPr>
        <w:t xml:space="preserve">al señalar la obligación de “promover, respetar, proteger y garantizar los derechos humanos”, entre los cuales se encuentra dicho derecho. </w:t>
      </w:r>
    </w:p>
    <w:p w:rsidR="006A2740" w:rsidRPr="00CF0DCB" w:rsidRDefault="006A2740" w:rsidP="00CF0DCB">
      <w:pPr>
        <w:spacing w:before="240" w:after="240" w:line="360" w:lineRule="auto"/>
        <w:ind w:left="927"/>
        <w:contextualSpacing/>
        <w:jc w:val="both"/>
        <w:rPr>
          <w:rFonts w:ascii="Palatino Linotype" w:hAnsi="Palatino Linotype" w:cs="Arial"/>
          <w:lang w:val="es-MX"/>
        </w:rPr>
      </w:pPr>
    </w:p>
    <w:p w:rsidR="006A2740" w:rsidRPr="00CF0DCB" w:rsidRDefault="006A2740" w:rsidP="00CF0DCB">
      <w:pPr>
        <w:numPr>
          <w:ilvl w:val="0"/>
          <w:numId w:val="1"/>
        </w:numPr>
        <w:spacing w:before="240" w:after="240" w:line="360" w:lineRule="auto"/>
        <w:ind w:left="0" w:firstLine="0"/>
        <w:contextualSpacing/>
        <w:jc w:val="both"/>
        <w:rPr>
          <w:rFonts w:ascii="Palatino Linotype" w:hAnsi="Palatino Linotype" w:cs="Arial"/>
          <w:lang w:val="es-MX"/>
        </w:rPr>
      </w:pPr>
      <w:r w:rsidRPr="00CF0DCB">
        <w:rPr>
          <w:rFonts w:ascii="Palatino Linotype" w:hAnsi="Palatino Linotype" w:cs="Arial"/>
          <w:lang w:val="es-MX"/>
        </w:rPr>
        <w:t xml:space="preserve">Ahora bien, el Derecho de Acceso a la Información Pública se define como: </w:t>
      </w:r>
      <w:r w:rsidRPr="00CF0DCB">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rsidR="006A2740" w:rsidRPr="00CF0DCB" w:rsidRDefault="006A2740" w:rsidP="00CF0DCB">
      <w:pPr>
        <w:spacing w:before="240" w:after="240" w:line="360" w:lineRule="auto"/>
        <w:ind w:left="927"/>
        <w:contextualSpacing/>
        <w:jc w:val="both"/>
        <w:rPr>
          <w:rFonts w:ascii="Palatino Linotype" w:hAnsi="Palatino Linotype" w:cs="Arial"/>
          <w:lang w:val="es-MX"/>
        </w:rPr>
      </w:pPr>
    </w:p>
    <w:p w:rsidR="006A2740" w:rsidRPr="00CF0DCB" w:rsidRDefault="006A2740" w:rsidP="00CF0DCB">
      <w:pPr>
        <w:numPr>
          <w:ilvl w:val="0"/>
          <w:numId w:val="1"/>
        </w:numPr>
        <w:spacing w:before="240" w:after="240" w:line="360" w:lineRule="auto"/>
        <w:ind w:left="0" w:firstLine="0"/>
        <w:contextualSpacing/>
        <w:jc w:val="both"/>
        <w:rPr>
          <w:rFonts w:ascii="Palatino Linotype" w:hAnsi="Palatino Linotype" w:cs="Arial"/>
          <w:lang w:val="es-MX"/>
        </w:rPr>
      </w:pPr>
      <w:r w:rsidRPr="00CF0DCB">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6A2740" w:rsidRPr="00CF0DCB" w:rsidRDefault="006A2740" w:rsidP="00CF0DCB">
      <w:pPr>
        <w:spacing w:before="240" w:after="240" w:line="360" w:lineRule="auto"/>
        <w:contextualSpacing/>
        <w:jc w:val="both"/>
        <w:rPr>
          <w:rFonts w:ascii="Palatino Linotype" w:hAnsi="Palatino Linotype" w:cs="Arial"/>
          <w:lang w:val="es-MX"/>
        </w:rPr>
      </w:pPr>
    </w:p>
    <w:p w:rsidR="006A2740" w:rsidRPr="00CF0DCB" w:rsidRDefault="006A2740" w:rsidP="00CF0DCB">
      <w:pPr>
        <w:numPr>
          <w:ilvl w:val="0"/>
          <w:numId w:val="1"/>
        </w:numPr>
        <w:spacing w:before="240" w:after="240" w:line="360" w:lineRule="auto"/>
        <w:ind w:left="0" w:firstLine="0"/>
        <w:contextualSpacing/>
        <w:jc w:val="both"/>
        <w:rPr>
          <w:rFonts w:ascii="Palatino Linotype" w:hAnsi="Palatino Linotype" w:cs="Arial"/>
          <w:lang w:val="es-MX"/>
        </w:rPr>
      </w:pPr>
      <w:r w:rsidRPr="00CF0DCB">
        <w:rPr>
          <w:rFonts w:ascii="Palatino Linotype" w:hAnsi="Palatino Linotype" w:cs="Arial"/>
          <w:lang w:val="es-MX"/>
        </w:rPr>
        <w:t xml:space="preserve">En el caso concreto que nos ocupa analizar, el particular requirió del Ayuntamiento de Sultepec información relacionada con el presupuesto de egresos; siendo importante señalar que el </w:t>
      </w:r>
      <w:r w:rsidRPr="00CF0DCB">
        <w:rPr>
          <w:rFonts w:ascii="Palatino Linotype" w:hAnsi="Palatino Linotype" w:cs="Arial"/>
          <w:b/>
          <w:lang w:val="es-MX"/>
        </w:rPr>
        <w:t>SUJETO OBLIGADO</w:t>
      </w:r>
      <w:r w:rsidRPr="00CF0DCB">
        <w:rPr>
          <w:rFonts w:ascii="Palatino Linotype" w:hAnsi="Palatino Linotype" w:cs="Arial"/>
          <w:lang w:val="es-MX"/>
        </w:rPr>
        <w:t xml:space="preserve"> no respondió satisfactoriamente a la solicitud presentada,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rsidR="006A2740" w:rsidRPr="00CF0DCB" w:rsidRDefault="006A2740" w:rsidP="00CF0DCB">
      <w:pPr>
        <w:spacing w:before="240" w:after="240" w:line="360" w:lineRule="auto"/>
        <w:contextualSpacing/>
        <w:jc w:val="both"/>
        <w:rPr>
          <w:rFonts w:ascii="Palatino Linotype" w:hAnsi="Palatino Linotype" w:cs="Arial"/>
          <w:lang w:val="es-MX"/>
        </w:rPr>
      </w:pPr>
    </w:p>
    <w:p w:rsidR="006A2740" w:rsidRPr="00CF0DCB" w:rsidRDefault="006A2740" w:rsidP="00CF0DCB">
      <w:pPr>
        <w:numPr>
          <w:ilvl w:val="0"/>
          <w:numId w:val="1"/>
        </w:numPr>
        <w:spacing w:before="240" w:after="240" w:line="360" w:lineRule="auto"/>
        <w:ind w:left="0" w:firstLine="0"/>
        <w:contextualSpacing/>
        <w:jc w:val="both"/>
        <w:rPr>
          <w:rFonts w:ascii="Palatino Linotype" w:hAnsi="Palatino Linotype" w:cs="Arial"/>
          <w:lang w:val="es-MX"/>
        </w:rPr>
      </w:pPr>
      <w:r w:rsidRPr="00CF0DCB">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6A2740" w:rsidRDefault="006A2740" w:rsidP="00B62280">
      <w:pPr>
        <w:pStyle w:val="Ttulo1"/>
        <w:spacing w:line="360" w:lineRule="auto"/>
        <w:rPr>
          <w:rFonts w:ascii="Palatino Linotype" w:hAnsi="Palatino Linotype"/>
          <w:b/>
          <w:color w:val="000000" w:themeColor="text1"/>
          <w:sz w:val="24"/>
          <w:szCs w:val="24"/>
        </w:rPr>
      </w:pPr>
      <w:bookmarkStart w:id="83" w:name="_Toc16159421"/>
      <w:bookmarkStart w:id="84" w:name="_Toc18613092"/>
      <w:r w:rsidRPr="00CF0DCB">
        <w:rPr>
          <w:rFonts w:ascii="Palatino Linotype" w:hAnsi="Palatino Linotype"/>
          <w:b/>
          <w:color w:val="000000" w:themeColor="text1"/>
          <w:sz w:val="24"/>
          <w:szCs w:val="24"/>
        </w:rPr>
        <w:t>II.  De la</w:t>
      </w:r>
      <w:r w:rsidR="00CF2620" w:rsidRPr="00CF0DCB">
        <w:rPr>
          <w:rFonts w:ascii="Palatino Linotype" w:hAnsi="Palatino Linotype"/>
          <w:b/>
          <w:color w:val="000000" w:themeColor="text1"/>
          <w:sz w:val="24"/>
          <w:szCs w:val="24"/>
        </w:rPr>
        <w:t xml:space="preserve"> fuente obligacional del Sujeto Obligado</w:t>
      </w:r>
      <w:r w:rsidRPr="00CF0DCB">
        <w:rPr>
          <w:rFonts w:ascii="Palatino Linotype" w:hAnsi="Palatino Linotype"/>
          <w:b/>
          <w:color w:val="000000" w:themeColor="text1"/>
          <w:sz w:val="24"/>
          <w:szCs w:val="24"/>
        </w:rPr>
        <w:t>.</w:t>
      </w:r>
      <w:bookmarkEnd w:id="83"/>
      <w:bookmarkEnd w:id="84"/>
      <w:r w:rsidRPr="00CF0DCB">
        <w:rPr>
          <w:rFonts w:ascii="Palatino Linotype" w:hAnsi="Palatino Linotype"/>
          <w:b/>
          <w:color w:val="000000" w:themeColor="text1"/>
          <w:sz w:val="24"/>
          <w:szCs w:val="24"/>
        </w:rPr>
        <w:t xml:space="preserve">  </w:t>
      </w:r>
    </w:p>
    <w:p w:rsidR="00B62280" w:rsidRPr="00B62280" w:rsidRDefault="00B62280" w:rsidP="00B62280">
      <w:pPr>
        <w:rPr>
          <w:lang w:val="es-MX" w:eastAsia="en-US"/>
        </w:rPr>
      </w:pPr>
    </w:p>
    <w:p w:rsidR="00CF262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i/>
          <w:lang w:val="es-MX"/>
        </w:rPr>
      </w:pPr>
      <w:r w:rsidRPr="00CF0DCB">
        <w:rPr>
          <w:rFonts w:ascii="Palatino Linotype" w:eastAsia="Times New Roman" w:hAnsi="Palatino Linotype" w:cs="Arial"/>
          <w:lang w:val="es-ES" w:eastAsia="es-MX"/>
        </w:rPr>
        <w:t>En ese sentido, es pertinente mencionar que</w:t>
      </w:r>
      <w:r w:rsidRPr="00CF0DCB">
        <w:rPr>
          <w:rFonts w:ascii="Palatino Linotype" w:eastAsia="Calibri" w:hAnsi="Palatino Linotype" w:cs="Arial"/>
          <w:bCs/>
          <w:lang w:val="es-ES"/>
        </w:rPr>
        <w:t xml:space="preserve"> el </w:t>
      </w:r>
      <w:r w:rsidRPr="00CF0DCB">
        <w:rPr>
          <w:rFonts w:ascii="Palatino Linotype" w:eastAsia="Calibri" w:hAnsi="Palatino Linotype" w:cs="Arial"/>
          <w:b/>
          <w:bCs/>
          <w:lang w:val="es-ES"/>
        </w:rPr>
        <w:t>SUJETO OBLIGADO</w:t>
      </w:r>
      <w:r w:rsidRPr="00CF0DCB">
        <w:rPr>
          <w:rFonts w:ascii="Palatino Linotype" w:eastAsia="Calibri" w:hAnsi="Palatino Linotype" w:cs="Arial"/>
          <w:bCs/>
          <w:lang w:val="es-ES"/>
        </w:rPr>
        <w:t xml:space="preserve"> no niega la existencia de la información solicitada, </w:t>
      </w:r>
      <w:r w:rsidR="00CF2620" w:rsidRPr="00CF0DCB">
        <w:rPr>
          <w:rFonts w:ascii="Palatino Linotype" w:eastAsia="Calibri" w:hAnsi="Palatino Linotype" w:cs="Arial"/>
          <w:bCs/>
          <w:lang w:val="es-ES"/>
        </w:rPr>
        <w:t>toda vez que fue mediante la presentación de los informes justificados se hizo un pretendido intento de entregar la información; sin embrago, no da cumplimiento en razón de que no se entrega de todos los ejercicios fiscales 2013 al 2019, así mismo la información se entregó en versión publica, mima que no es procedente al no ser información confidencial.</w:t>
      </w:r>
    </w:p>
    <w:p w:rsidR="00CF2620" w:rsidRPr="00CF0DCB" w:rsidRDefault="00CF2620" w:rsidP="00CF0DCB">
      <w:pPr>
        <w:pStyle w:val="Prrafodelista"/>
        <w:numPr>
          <w:ilvl w:val="0"/>
          <w:numId w:val="1"/>
        </w:numPr>
        <w:spacing w:before="240" w:after="240" w:line="360" w:lineRule="auto"/>
        <w:ind w:left="0" w:firstLine="0"/>
        <w:jc w:val="both"/>
        <w:rPr>
          <w:rFonts w:ascii="Palatino Linotype" w:hAnsi="Palatino Linotype" w:cs="Arial"/>
          <w:i/>
          <w:lang w:val="es-MX"/>
        </w:rPr>
      </w:pPr>
      <w:r w:rsidRPr="00CF0DCB">
        <w:rPr>
          <w:rFonts w:ascii="Palatino Linotype" w:hAnsi="Palatino Linotype" w:cs="Arial"/>
          <w:lang w:val="es-MX"/>
        </w:rPr>
        <w:t>Luego entonces, resultan procedente las razones y motivos de inconformidad hecho</w:t>
      </w:r>
      <w:r w:rsidR="00F17175" w:rsidRPr="00CF0DCB">
        <w:rPr>
          <w:rFonts w:ascii="Palatino Linotype" w:hAnsi="Palatino Linotype" w:cs="Arial"/>
          <w:lang w:val="es-MX"/>
        </w:rPr>
        <w:t>s</w:t>
      </w:r>
      <w:r w:rsidRPr="00CF0DCB">
        <w:rPr>
          <w:rFonts w:ascii="Palatino Linotype" w:hAnsi="Palatino Linotype" w:cs="Arial"/>
          <w:lang w:val="es-MX"/>
        </w:rPr>
        <w:t xml:space="preserve"> valer por la particular en</w:t>
      </w:r>
      <w:r w:rsidR="00F17175" w:rsidRPr="00CF0DCB">
        <w:rPr>
          <w:rFonts w:ascii="Palatino Linotype" w:hAnsi="Palatino Linotype" w:cs="Arial"/>
          <w:lang w:val="es-MX"/>
        </w:rPr>
        <w:t xml:space="preserve"> </w:t>
      </w:r>
      <w:r w:rsidRPr="00CF0DCB">
        <w:rPr>
          <w:rFonts w:ascii="Palatino Linotype" w:hAnsi="Palatino Linotype" w:cs="Arial"/>
          <w:lang w:val="es-MX"/>
        </w:rPr>
        <w:t>cada uno de sus medio</w:t>
      </w:r>
      <w:r w:rsidR="00F17175" w:rsidRPr="00CF0DCB">
        <w:rPr>
          <w:rFonts w:ascii="Palatino Linotype" w:hAnsi="Palatino Linotype" w:cs="Arial"/>
          <w:lang w:val="es-MX"/>
        </w:rPr>
        <w:t>s</w:t>
      </w:r>
      <w:r w:rsidRPr="00CF0DCB">
        <w:rPr>
          <w:rFonts w:ascii="Palatino Linotype" w:hAnsi="Palatino Linotype" w:cs="Arial"/>
          <w:lang w:val="es-MX"/>
        </w:rPr>
        <w:t xml:space="preserve"> de impugnación presentados.</w:t>
      </w:r>
    </w:p>
    <w:p w:rsidR="007B149C" w:rsidRPr="00CF0DCB" w:rsidRDefault="007B149C" w:rsidP="00CF0DCB">
      <w:pPr>
        <w:pStyle w:val="Prrafodelista"/>
        <w:spacing w:before="240" w:after="240" w:line="360" w:lineRule="auto"/>
        <w:ind w:left="0"/>
        <w:jc w:val="both"/>
        <w:rPr>
          <w:rFonts w:ascii="Palatino Linotype" w:hAnsi="Palatino Linotype" w:cs="Arial"/>
          <w:i/>
          <w:lang w:val="es-MX"/>
        </w:rPr>
      </w:pPr>
    </w:p>
    <w:p w:rsidR="007B149C" w:rsidRPr="00CF0DCB" w:rsidRDefault="007B149C" w:rsidP="00CF0DCB">
      <w:pPr>
        <w:pStyle w:val="Prrafodelista"/>
        <w:numPr>
          <w:ilvl w:val="0"/>
          <w:numId w:val="1"/>
        </w:numPr>
        <w:spacing w:before="240" w:after="240" w:line="360" w:lineRule="auto"/>
        <w:ind w:left="0" w:firstLine="0"/>
        <w:jc w:val="both"/>
        <w:rPr>
          <w:rFonts w:ascii="Palatino Linotype" w:hAnsi="Palatino Linotype" w:cs="Arial"/>
          <w:i/>
          <w:lang w:val="es-MX"/>
        </w:rPr>
      </w:pPr>
      <w:r w:rsidRPr="00CF0DCB">
        <w:rPr>
          <w:rFonts w:ascii="Palatino Linotype" w:hAnsi="Palatino Linotype" w:cs="Arial"/>
          <w:lang w:val="es-MX"/>
        </w:rPr>
        <w:t>No obstante lo anterior, resulta necesario precisar la información que la particular solicita, la cual corresponde a los ejercicio fiscal del 2013 al 2019:</w:t>
      </w:r>
    </w:p>
    <w:p w:rsidR="007B149C" w:rsidRPr="00CF0DCB" w:rsidRDefault="007B149C" w:rsidP="00CF0DCB">
      <w:pPr>
        <w:pStyle w:val="Prrafodelista"/>
        <w:spacing w:line="360" w:lineRule="auto"/>
        <w:rPr>
          <w:rFonts w:ascii="Palatino Linotype" w:hAnsi="Palatino Linotype" w:cs="Arial"/>
          <w:i/>
          <w:lang w:val="es-MX"/>
        </w:rPr>
      </w:pPr>
    </w:p>
    <w:p w:rsidR="007B149C" w:rsidRPr="00CF0DCB" w:rsidRDefault="007B149C"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lang w:val="es-MX"/>
        </w:rPr>
        <w:t>Monto aprobado y ejercido de acuerdo a la estructura programática municipal de cada uno de los ejercicios fiscales.</w:t>
      </w:r>
    </w:p>
    <w:p w:rsidR="000F0147" w:rsidRPr="00CF0DCB" w:rsidRDefault="000F0147" w:rsidP="00CF0DCB">
      <w:pPr>
        <w:pStyle w:val="Prrafodelista"/>
        <w:spacing w:before="240" w:after="240" w:line="360" w:lineRule="auto"/>
        <w:jc w:val="both"/>
        <w:rPr>
          <w:rFonts w:ascii="Palatino Linotype" w:hAnsi="Palatino Linotype" w:cs="Arial"/>
          <w:i/>
          <w:lang w:val="es-MX"/>
        </w:rPr>
      </w:pPr>
    </w:p>
    <w:p w:rsidR="007B149C" w:rsidRPr="00CF0DCB" w:rsidRDefault="007B149C"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b/>
          <w:i/>
          <w:lang w:val="es-MX"/>
        </w:rPr>
        <w:t>Formato PbRM-04b</w:t>
      </w:r>
      <w:r w:rsidRPr="00CF0DCB">
        <w:rPr>
          <w:rFonts w:ascii="Palatino Linotype" w:hAnsi="Palatino Linotype" w:cs="Arial"/>
          <w:i/>
          <w:lang w:val="es-MX"/>
        </w:rPr>
        <w:t>”</w:t>
      </w:r>
      <w:r w:rsidRPr="00CF0DCB">
        <w:rPr>
          <w:rFonts w:ascii="Palatino Linotype" w:hAnsi="Palatino Linotype"/>
        </w:rPr>
        <w:t xml:space="preserve"> </w:t>
      </w:r>
      <w:r w:rsidRPr="00CF0DCB">
        <w:rPr>
          <w:rFonts w:ascii="Palatino Linotype" w:hAnsi="Palatino Linotype" w:cs="Arial"/>
          <w:i/>
          <w:lang w:val="es-MX"/>
        </w:rPr>
        <w:t>Presupuesto de Egresos por Objeto del Gasto y Dependencia General”</w:t>
      </w:r>
      <w:r w:rsidR="00FD749C" w:rsidRPr="00CF0DCB">
        <w:rPr>
          <w:rFonts w:ascii="Palatino Linotype" w:hAnsi="Palatino Linotype" w:cs="Arial"/>
          <w:i/>
          <w:lang w:val="es-MX"/>
        </w:rPr>
        <w:t>.</w:t>
      </w:r>
    </w:p>
    <w:p w:rsidR="000F0147" w:rsidRPr="00CF0DCB" w:rsidRDefault="000F0147" w:rsidP="00CF0DCB">
      <w:pPr>
        <w:pStyle w:val="Prrafodelista"/>
        <w:spacing w:before="240" w:after="240" w:line="360" w:lineRule="auto"/>
        <w:jc w:val="both"/>
        <w:rPr>
          <w:rFonts w:ascii="Palatino Linotype" w:hAnsi="Palatino Linotype" w:cs="Arial"/>
          <w:i/>
          <w:lang w:val="es-MX"/>
        </w:rPr>
      </w:pPr>
    </w:p>
    <w:p w:rsidR="00FD749C" w:rsidRPr="00CF0DCB" w:rsidRDefault="00FD749C"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rPr>
        <w:t xml:space="preserve">Carátulas de presupuesto de ingresos y egresos </w:t>
      </w:r>
      <w:r w:rsidRPr="00CF0DCB">
        <w:rPr>
          <w:rFonts w:ascii="Palatino Linotype" w:hAnsi="Palatino Linotype" w:cs="Arial"/>
          <w:b/>
          <w:i/>
        </w:rPr>
        <w:t>(PbRM-03b y PbRM-04d)</w:t>
      </w:r>
    </w:p>
    <w:p w:rsidR="000F0147" w:rsidRPr="00CF0DCB" w:rsidRDefault="000F0147" w:rsidP="00CF0DCB">
      <w:pPr>
        <w:pStyle w:val="Prrafodelista"/>
        <w:spacing w:before="240" w:after="240" w:line="360" w:lineRule="auto"/>
        <w:jc w:val="both"/>
        <w:rPr>
          <w:rFonts w:ascii="Palatino Linotype" w:hAnsi="Palatino Linotype" w:cs="Arial"/>
          <w:i/>
          <w:lang w:val="es-MX"/>
        </w:rPr>
      </w:pPr>
    </w:p>
    <w:p w:rsidR="00FD749C" w:rsidRPr="00CF0DCB" w:rsidRDefault="00FD749C"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rPr>
        <w:t xml:space="preserve">Los formatos </w:t>
      </w:r>
      <w:r w:rsidRPr="00CF0DCB">
        <w:rPr>
          <w:rFonts w:ascii="Palatino Linotype" w:hAnsi="Palatino Linotype" w:cs="Arial"/>
          <w:b/>
          <w:i/>
          <w:lang w:val="es-MX"/>
        </w:rPr>
        <w:t>PbRM-01a, PbRM-01b, PbRM-01c, PbRM-01d, PbRM-01e</w:t>
      </w:r>
      <w:r w:rsidRPr="00CF0DCB">
        <w:rPr>
          <w:rFonts w:ascii="Palatino Linotype" w:hAnsi="Palatino Linotype" w:cs="Arial"/>
          <w:i/>
          <w:lang w:val="es-MX"/>
        </w:rPr>
        <w:t xml:space="preserve"> así como </w:t>
      </w:r>
      <w:r w:rsidRPr="00CF0DCB">
        <w:rPr>
          <w:rFonts w:ascii="Palatino Linotype" w:hAnsi="Palatino Linotype" w:cs="Arial"/>
          <w:b/>
          <w:i/>
          <w:lang w:val="es-MX"/>
        </w:rPr>
        <w:t>el PbRM-02a</w:t>
      </w:r>
      <w:r w:rsidRPr="00CF0DCB">
        <w:rPr>
          <w:rFonts w:ascii="Palatino Linotype" w:hAnsi="Palatino Linotype" w:cs="Arial"/>
          <w:i/>
          <w:lang w:val="es-MX"/>
        </w:rPr>
        <w:t>, de las dependencias dependencia Clave I01 Desarrollo Social y/o equivalente; y de la dependencia auxiliar Clave 152 Atención a la Mujer y/o Equivalente.</w:t>
      </w:r>
    </w:p>
    <w:p w:rsidR="000F0147" w:rsidRPr="00CF0DCB" w:rsidRDefault="000F0147" w:rsidP="00CF0DCB">
      <w:pPr>
        <w:pStyle w:val="Prrafodelista"/>
        <w:spacing w:before="240" w:after="240" w:line="360" w:lineRule="auto"/>
        <w:jc w:val="both"/>
        <w:rPr>
          <w:rFonts w:ascii="Palatino Linotype" w:hAnsi="Palatino Linotype" w:cs="Arial"/>
          <w:i/>
          <w:lang w:val="es-MX"/>
        </w:rPr>
      </w:pPr>
    </w:p>
    <w:p w:rsidR="00FD749C" w:rsidRPr="00CF0DCB" w:rsidRDefault="000F0147"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lang w:val="es-MX"/>
        </w:rPr>
        <w:t>Presupuesto de Egresos por Objeto de Gasto de la dependencia Clave I01 Desarrollo Social y/o equivalente, y de la dependencia Clave 152 Atención a la Mujer y/o equivalente del ejercicio fiscal 2013. Como se muestra a continuación.</w:t>
      </w:r>
    </w:p>
    <w:p w:rsidR="000F0147" w:rsidRPr="00CF0DCB" w:rsidRDefault="000F0147" w:rsidP="00CF0DCB">
      <w:pPr>
        <w:pStyle w:val="Prrafodelista"/>
        <w:spacing w:before="240" w:after="240" w:line="360" w:lineRule="auto"/>
        <w:jc w:val="both"/>
        <w:rPr>
          <w:rFonts w:ascii="Palatino Linotype" w:hAnsi="Palatino Linotype" w:cs="Arial"/>
          <w:i/>
          <w:lang w:val="es-MX"/>
        </w:rPr>
      </w:pPr>
    </w:p>
    <w:p w:rsidR="000F0147" w:rsidRPr="00CF0DCB" w:rsidRDefault="000F0147"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lang w:val="es-MX"/>
        </w:rPr>
        <w:t>Proporcionar el formato de la Ficha Técnica de Diseño de Indicadores Estratégicos o de Gestión 2015, 2016, 2017, 2018 y 2019 de la dependencia Clave I01 Desarrollo Social y/o equivalente, y de la dependencia Clave 152 Atención a la Mujer y/o equivalente</w:t>
      </w:r>
    </w:p>
    <w:p w:rsidR="000F0147" w:rsidRPr="00CF0DCB" w:rsidRDefault="000F0147" w:rsidP="00CF0DCB">
      <w:pPr>
        <w:pStyle w:val="Prrafodelista"/>
        <w:spacing w:line="360" w:lineRule="auto"/>
        <w:rPr>
          <w:rFonts w:ascii="Palatino Linotype" w:hAnsi="Palatino Linotype" w:cs="Arial"/>
          <w:i/>
          <w:lang w:val="es-MX"/>
        </w:rPr>
      </w:pPr>
    </w:p>
    <w:p w:rsidR="000F0147" w:rsidRPr="00CF0DCB" w:rsidRDefault="000F0147"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lang w:val="es-MX"/>
        </w:rPr>
        <w:t>La dependencia auxiliar con Clave 152 Atención a la Mujer y/o equivalente depende de alguna dirección de área o es una dirección de área.</w:t>
      </w:r>
    </w:p>
    <w:p w:rsidR="000F0147" w:rsidRPr="00CF0DCB" w:rsidRDefault="000F0147" w:rsidP="00CF0DCB">
      <w:pPr>
        <w:pStyle w:val="Prrafodelista"/>
        <w:spacing w:line="360" w:lineRule="auto"/>
        <w:rPr>
          <w:rFonts w:ascii="Palatino Linotype" w:hAnsi="Palatino Linotype" w:cs="Arial"/>
          <w:i/>
          <w:lang w:val="es-MX"/>
        </w:rPr>
      </w:pPr>
    </w:p>
    <w:p w:rsidR="000F0147" w:rsidRPr="00CF0DCB" w:rsidRDefault="000F0147"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lang w:val="es-MX"/>
        </w:rPr>
        <w:t>Cuál es la denominación o nombre de la dependencia auxiliar con Clave 152 Atención a la Mujer y/o equivalente del municipio</w:t>
      </w:r>
    </w:p>
    <w:p w:rsidR="000F0147" w:rsidRPr="00CF0DCB" w:rsidRDefault="000F0147" w:rsidP="00CF0DCB">
      <w:pPr>
        <w:pStyle w:val="Prrafodelista"/>
        <w:spacing w:line="360" w:lineRule="auto"/>
        <w:rPr>
          <w:rFonts w:ascii="Palatino Linotype" w:hAnsi="Palatino Linotype" w:cs="Arial"/>
          <w:i/>
          <w:lang w:val="es-MX"/>
        </w:rPr>
      </w:pPr>
    </w:p>
    <w:p w:rsidR="000F0147" w:rsidRPr="00CF0DCB" w:rsidRDefault="008F1829" w:rsidP="00CF0DCB">
      <w:pPr>
        <w:pStyle w:val="Prrafodelista"/>
        <w:numPr>
          <w:ilvl w:val="0"/>
          <w:numId w:val="44"/>
        </w:numPr>
        <w:spacing w:before="240" w:after="240" w:line="360" w:lineRule="auto"/>
        <w:jc w:val="both"/>
        <w:rPr>
          <w:rFonts w:ascii="Palatino Linotype" w:hAnsi="Palatino Linotype" w:cs="Arial"/>
          <w:i/>
          <w:lang w:val="es-MX"/>
        </w:rPr>
      </w:pPr>
      <w:r w:rsidRPr="00CF0DCB">
        <w:rPr>
          <w:rFonts w:ascii="Palatino Linotype" w:hAnsi="Palatino Linotype" w:cs="Arial"/>
          <w:i/>
          <w:lang w:val="es-MX"/>
        </w:rPr>
        <w:t>¿</w:t>
      </w:r>
      <w:r w:rsidR="000F0147" w:rsidRPr="00CF0DCB">
        <w:rPr>
          <w:rFonts w:ascii="Palatino Linotype" w:hAnsi="Palatino Linotype" w:cs="Arial"/>
          <w:i/>
          <w:lang w:val="es-MX"/>
        </w:rPr>
        <w:t>Se gestionó y aterrizó alguna otra fuente de financiamiento en materia de género o atención a la mujer de carácter e</w:t>
      </w:r>
      <w:r w:rsidRPr="00CF0DCB">
        <w:rPr>
          <w:rFonts w:ascii="Palatino Linotype" w:hAnsi="Palatino Linotype" w:cs="Arial"/>
          <w:i/>
          <w:lang w:val="es-MX"/>
        </w:rPr>
        <w:t xml:space="preserve">statal, federal o internacional?. </w:t>
      </w:r>
      <w:r w:rsidR="000F0147" w:rsidRPr="00CF0DCB">
        <w:rPr>
          <w:rFonts w:ascii="Palatino Linotype" w:hAnsi="Palatino Linotype" w:cs="Arial"/>
          <w:i/>
          <w:lang w:val="es-MX"/>
        </w:rPr>
        <w:t xml:space="preserve"> Si la respuesta es afirmativa ¿Cuál, ante que dependencia y con que monto?</w:t>
      </w:r>
    </w:p>
    <w:p w:rsidR="000F0147" w:rsidRPr="00CF0DCB" w:rsidRDefault="000F0147" w:rsidP="00CF0DCB">
      <w:pPr>
        <w:pStyle w:val="Prrafodelista"/>
        <w:spacing w:before="240" w:after="240" w:line="360" w:lineRule="auto"/>
        <w:jc w:val="both"/>
        <w:rPr>
          <w:rFonts w:ascii="Palatino Linotype" w:hAnsi="Palatino Linotype" w:cs="Arial"/>
          <w:i/>
          <w:lang w:val="es-MX"/>
        </w:rPr>
      </w:pPr>
    </w:p>
    <w:p w:rsidR="00F17175" w:rsidRPr="00CF0DCB" w:rsidRDefault="00F17175"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Previo al estudio de análisis para la entrega de la información resulta necesario precisar que las solicitudes de información son similares en cuanto a su contenido, por lo tanto solo se abordara el contenido de la solicitud </w:t>
      </w:r>
      <w:hyperlink r:id="rId8" w:history="1">
        <w:r w:rsidRPr="00CF0DCB">
          <w:rPr>
            <w:rFonts w:ascii="Palatino Linotype" w:hAnsi="Palatino Linotype" w:cs="Arial"/>
            <w:b/>
            <w:lang w:val="es-MX"/>
          </w:rPr>
          <w:t>00161/COYOTEP/IP/201</w:t>
        </w:r>
      </w:hyperlink>
      <w:r w:rsidRPr="00CF0DCB">
        <w:rPr>
          <w:rFonts w:ascii="Palatino Linotype" w:hAnsi="Palatino Linotype" w:cs="Arial"/>
          <w:b/>
          <w:lang w:val="es-MX"/>
        </w:rPr>
        <w:t xml:space="preserve">9 </w:t>
      </w:r>
      <w:r w:rsidRPr="00CF0DCB">
        <w:rPr>
          <w:rFonts w:ascii="Palatino Linotype" w:hAnsi="Palatino Linotype" w:cs="Arial"/>
          <w:lang w:val="es-MX"/>
        </w:rPr>
        <w:t>en razón de que la misma</w:t>
      </w:r>
      <w:r w:rsidRPr="00CF0DCB">
        <w:rPr>
          <w:rFonts w:ascii="Palatino Linotype" w:hAnsi="Palatino Linotype" w:cs="Arial"/>
          <w:b/>
          <w:lang w:val="es-MX"/>
        </w:rPr>
        <w:t xml:space="preserve"> </w:t>
      </w:r>
      <w:r w:rsidRPr="00CF0DCB">
        <w:rPr>
          <w:rFonts w:ascii="Palatino Linotype" w:hAnsi="Palatino Linotype" w:cs="Arial"/>
          <w:lang w:val="es-MX"/>
        </w:rPr>
        <w:t>abarca los planteamiento</w:t>
      </w:r>
      <w:r w:rsidR="00D6011B" w:rsidRPr="00CF0DCB">
        <w:rPr>
          <w:rFonts w:ascii="Palatino Linotype" w:hAnsi="Palatino Linotype" w:cs="Arial"/>
          <w:lang w:val="es-MX"/>
        </w:rPr>
        <w:t>s</w:t>
      </w:r>
      <w:r w:rsidRPr="00CF0DCB">
        <w:rPr>
          <w:rFonts w:ascii="Palatino Linotype" w:hAnsi="Palatino Linotype" w:cs="Arial"/>
          <w:lang w:val="es-MX"/>
        </w:rPr>
        <w:t xml:space="preserve"> expuestos en la solicitud </w:t>
      </w:r>
      <w:hyperlink r:id="rId9" w:history="1">
        <w:r w:rsidRPr="00CF0DCB">
          <w:rPr>
            <w:rFonts w:ascii="Palatino Linotype" w:hAnsi="Palatino Linotype" w:cs="Arial"/>
            <w:b/>
            <w:lang w:val="es-MX"/>
          </w:rPr>
          <w:t>00161/COYOTEP/IP/201</w:t>
        </w:r>
      </w:hyperlink>
      <w:r w:rsidRPr="00CF0DCB">
        <w:rPr>
          <w:rFonts w:ascii="Palatino Linotype" w:hAnsi="Palatino Linotype" w:cs="Arial"/>
          <w:b/>
          <w:lang w:val="es-MX"/>
        </w:rPr>
        <w:t>9</w:t>
      </w:r>
      <w:r w:rsidR="00D6011B" w:rsidRPr="00CF0DCB">
        <w:rPr>
          <w:rFonts w:ascii="Palatino Linotype" w:hAnsi="Palatino Linotype" w:cs="Arial"/>
          <w:b/>
          <w:lang w:val="es-MX"/>
        </w:rPr>
        <w:t>.</w:t>
      </w:r>
    </w:p>
    <w:p w:rsidR="00D6011B" w:rsidRPr="00CF0DCB" w:rsidRDefault="00D6011B" w:rsidP="00CF0DCB">
      <w:pPr>
        <w:pStyle w:val="Prrafodelista"/>
        <w:spacing w:line="360" w:lineRule="auto"/>
        <w:rPr>
          <w:rFonts w:ascii="Palatino Linotype" w:hAnsi="Palatino Linotype" w:cs="Arial"/>
          <w:lang w:val="es-MX"/>
        </w:rPr>
      </w:pPr>
    </w:p>
    <w:p w:rsidR="006A2740" w:rsidRPr="00CF0DCB" w:rsidRDefault="006A2740" w:rsidP="00CF0DCB">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F0DCB">
        <w:rPr>
          <w:rFonts w:ascii="Palatino Linotype" w:hAnsi="Palatino Linotype" w:cs="Arial"/>
          <w:color w:val="000000" w:themeColor="text1"/>
        </w:rPr>
        <w:t>No obstante lo anterior,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rsidR="006A2740" w:rsidRPr="00CF0DCB" w:rsidRDefault="006A2740" w:rsidP="00CF0DCB">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CF0DCB">
        <w:rPr>
          <w:rFonts w:ascii="Palatino Linotype" w:hAnsi="Palatino Linotype" w:cs="Times New Roman"/>
          <w:b/>
          <w:i/>
          <w:lang w:eastAsia="es-ES_tradnl"/>
        </w:rPr>
        <w:t>“Artículo 18.</w:t>
      </w:r>
      <w:r w:rsidRPr="00CF0DCB">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CF0DCB">
        <w:rPr>
          <w:rFonts w:ascii="Palatino Linotype" w:hAnsi="Palatino Linotype" w:cs="Times New Roman"/>
          <w:b/>
          <w:i/>
          <w:lang w:eastAsia="es-ES_tradnl"/>
        </w:rPr>
        <w:t>”</w:t>
      </w:r>
    </w:p>
    <w:p w:rsidR="006A2740" w:rsidRPr="00CF0DCB" w:rsidRDefault="006A2740" w:rsidP="00CF0DCB">
      <w:pPr>
        <w:numPr>
          <w:ilvl w:val="0"/>
          <w:numId w:val="1"/>
        </w:numPr>
        <w:spacing w:before="240" w:after="240" w:line="360" w:lineRule="auto"/>
        <w:ind w:left="0" w:right="49" w:firstLine="0"/>
        <w:contextualSpacing/>
        <w:jc w:val="both"/>
        <w:rPr>
          <w:rFonts w:ascii="Palatino Linotype" w:eastAsia="MS Mincho" w:hAnsi="Palatino Linotype" w:cs="Arial"/>
        </w:rPr>
      </w:pPr>
      <w:r w:rsidRPr="00CF0DCB">
        <w:rPr>
          <w:rFonts w:ascii="Palatino Linotype" w:eastAsia="MS Mincho" w:hAnsi="Palatino Linotype" w:cs="Arial"/>
          <w:color w:val="000000"/>
        </w:rPr>
        <w:t xml:space="preserve">Así por otro lado </w:t>
      </w:r>
      <w:r w:rsidRPr="00CF0DCB">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CF0DCB">
        <w:rPr>
          <w:rFonts w:ascii="Palatino Linotype" w:eastAsia="Times New Roman" w:hAnsi="Palatino Linotype" w:cs="Times New Roman"/>
          <w:b/>
          <w:lang w:val="es-MX" w:eastAsia="es-MX"/>
        </w:rPr>
        <w:t>SUJETOS OBLIGADOS</w:t>
      </w:r>
      <w:r w:rsidRPr="00CF0DCB">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rsidR="006A2740" w:rsidRPr="00CF0DCB" w:rsidRDefault="006A2740" w:rsidP="00CF0DCB">
      <w:pPr>
        <w:spacing w:line="360" w:lineRule="auto"/>
        <w:ind w:left="567" w:right="567"/>
        <w:jc w:val="both"/>
        <w:rPr>
          <w:rFonts w:ascii="Palatino Linotype" w:eastAsia="Times New Roman" w:hAnsi="Palatino Linotype" w:cs="Times New Roman"/>
          <w:i/>
          <w:lang w:val="es-ES"/>
        </w:rPr>
      </w:pPr>
      <w:r w:rsidRPr="00CF0DCB">
        <w:rPr>
          <w:rFonts w:ascii="Palatino Linotype" w:eastAsia="Times New Roman" w:hAnsi="Palatino Linotype" w:cs="Times New Roman"/>
          <w:i/>
          <w:lang w:val="es-ES"/>
        </w:rPr>
        <w:t>“</w:t>
      </w:r>
      <w:r w:rsidRPr="00CF0DCB">
        <w:rPr>
          <w:rFonts w:ascii="Palatino Linotype" w:eastAsia="Times New Roman" w:hAnsi="Palatino Linotype" w:cs="Times New Roman"/>
          <w:b/>
          <w:i/>
          <w:lang w:val="es-ES"/>
        </w:rPr>
        <w:t>Artículo 4.</w:t>
      </w:r>
      <w:r w:rsidRPr="00CF0DCB">
        <w:rPr>
          <w:rFonts w:ascii="Palatino Linotype" w:eastAsia="Times New Roman" w:hAnsi="Palatino Linotype" w:cs="Times New Roman"/>
          <w:i/>
          <w:lang w:val="es-ES"/>
        </w:rPr>
        <w:t xml:space="preserve"> </w:t>
      </w:r>
    </w:p>
    <w:p w:rsidR="006A2740" w:rsidRPr="00CF0DCB" w:rsidRDefault="006A2740" w:rsidP="00CF0DCB">
      <w:pPr>
        <w:spacing w:line="360" w:lineRule="auto"/>
        <w:ind w:left="567" w:right="567"/>
        <w:jc w:val="both"/>
        <w:rPr>
          <w:rFonts w:ascii="Palatino Linotype" w:eastAsia="Times New Roman" w:hAnsi="Palatino Linotype" w:cs="Times New Roman"/>
          <w:i/>
          <w:lang w:val="es-ES"/>
        </w:rPr>
      </w:pPr>
      <w:r w:rsidRPr="00CF0DCB">
        <w:rPr>
          <w:rFonts w:ascii="Palatino Linotype" w:eastAsia="Times New Roman" w:hAnsi="Palatino Linotype" w:cs="Times New Roman"/>
          <w:i/>
          <w:lang w:val="es-ES"/>
        </w:rPr>
        <w:t>(…)</w:t>
      </w:r>
    </w:p>
    <w:p w:rsidR="006A2740" w:rsidRPr="00CF0DCB" w:rsidRDefault="006A2740" w:rsidP="00CF0DCB">
      <w:pPr>
        <w:spacing w:line="360" w:lineRule="auto"/>
        <w:ind w:left="567" w:right="567"/>
        <w:jc w:val="both"/>
        <w:rPr>
          <w:rFonts w:ascii="Palatino Linotype" w:eastAsia="Times New Roman" w:hAnsi="Palatino Linotype" w:cs="Times New Roman"/>
          <w:i/>
          <w:lang w:val="es-ES"/>
        </w:rPr>
      </w:pPr>
      <w:r w:rsidRPr="00CF0DCB">
        <w:rPr>
          <w:rFonts w:ascii="Palatino Linotype" w:eastAsia="Times New Roman" w:hAnsi="Palatino Linotype" w:cs="Times New Roman"/>
          <w:i/>
          <w:lang w:val="es-ES"/>
        </w:rPr>
        <w:t xml:space="preserve">Toda la información </w:t>
      </w:r>
      <w:r w:rsidRPr="00CF0DCB">
        <w:rPr>
          <w:rFonts w:ascii="Palatino Linotype" w:eastAsia="Times New Roman" w:hAnsi="Palatino Linotype" w:cs="Times New Roman"/>
          <w:b/>
          <w:i/>
          <w:lang w:val="es-ES"/>
        </w:rPr>
        <w:t>generada, obtenida, adquirida, transformada, administrada o en posesión</w:t>
      </w:r>
      <w:r w:rsidRPr="00CF0DCB">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CF0DCB">
        <w:rPr>
          <w:rFonts w:ascii="Palatino Linotype" w:eastAsia="Times New Roman" w:hAnsi="Palatino Linotype" w:cs="Times New Roman"/>
          <w:b/>
          <w:i/>
          <w:lang w:val="es-ES"/>
        </w:rPr>
        <w:t>principio de máxima publicidad</w:t>
      </w:r>
      <w:r w:rsidRPr="00CF0DCB">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rsidR="006A2740" w:rsidRPr="00CF0DCB" w:rsidRDefault="006A2740" w:rsidP="00CF0DCB">
      <w:pPr>
        <w:spacing w:line="360" w:lineRule="auto"/>
        <w:ind w:left="567" w:right="567"/>
        <w:jc w:val="both"/>
        <w:rPr>
          <w:rFonts w:ascii="Palatino Linotype" w:eastAsia="Times New Roman" w:hAnsi="Palatino Linotype" w:cs="Times New Roman"/>
          <w:b/>
          <w:i/>
          <w:lang w:val="es-ES"/>
        </w:rPr>
      </w:pPr>
      <w:r w:rsidRPr="00CF0DCB">
        <w:rPr>
          <w:rFonts w:ascii="Palatino Linotype" w:eastAsia="Times New Roman" w:hAnsi="Palatino Linotype" w:cs="Times New Roman"/>
          <w:b/>
          <w:i/>
          <w:lang w:val="es-ES"/>
        </w:rPr>
        <w:t>(…)</w:t>
      </w:r>
    </w:p>
    <w:p w:rsidR="006A2740" w:rsidRPr="00CF0DCB" w:rsidRDefault="006A2740" w:rsidP="00CF0DCB">
      <w:pPr>
        <w:spacing w:line="360" w:lineRule="auto"/>
        <w:ind w:right="567"/>
        <w:jc w:val="both"/>
        <w:rPr>
          <w:rFonts w:ascii="Palatino Linotype" w:eastAsia="Times New Roman" w:hAnsi="Palatino Linotype" w:cs="Times New Roman"/>
          <w:lang w:val="es-ES"/>
        </w:rPr>
      </w:pPr>
    </w:p>
    <w:p w:rsidR="006A2740" w:rsidRPr="00CF0DCB" w:rsidRDefault="006A2740" w:rsidP="00CF0DCB">
      <w:pPr>
        <w:spacing w:line="360" w:lineRule="auto"/>
        <w:ind w:left="567" w:right="567"/>
        <w:jc w:val="both"/>
        <w:rPr>
          <w:rFonts w:ascii="Palatino Linotype" w:eastAsia="Times New Roman" w:hAnsi="Palatino Linotype" w:cs="Times New Roman"/>
          <w:i/>
          <w:lang w:val="es-ES"/>
        </w:rPr>
      </w:pPr>
      <w:r w:rsidRPr="00CF0DCB">
        <w:rPr>
          <w:rFonts w:ascii="Palatino Linotype" w:eastAsia="Times New Roman" w:hAnsi="Palatino Linotype" w:cs="Times New Roman"/>
          <w:i/>
          <w:lang w:val="es-ES"/>
        </w:rPr>
        <w:t>(Énfasis añadido)</w:t>
      </w:r>
    </w:p>
    <w:p w:rsidR="006A2740" w:rsidRPr="00CF0DCB" w:rsidRDefault="006A2740" w:rsidP="00CF0DCB">
      <w:pPr>
        <w:spacing w:line="360" w:lineRule="auto"/>
        <w:ind w:right="567"/>
        <w:jc w:val="both"/>
        <w:rPr>
          <w:rFonts w:ascii="Palatino Linotype" w:eastAsia="Times New Roman" w:hAnsi="Palatino Linotype" w:cs="Times New Roman"/>
          <w:i/>
          <w:lang w:val="es-ES"/>
        </w:rPr>
      </w:pPr>
    </w:p>
    <w:p w:rsidR="006A2740" w:rsidRPr="00CF0DCB" w:rsidRDefault="006A2740" w:rsidP="00CF0DCB">
      <w:pPr>
        <w:numPr>
          <w:ilvl w:val="0"/>
          <w:numId w:val="1"/>
        </w:numPr>
        <w:spacing w:before="240" w:after="240" w:line="360" w:lineRule="auto"/>
        <w:ind w:left="0" w:right="49" w:firstLine="0"/>
        <w:contextualSpacing/>
        <w:jc w:val="both"/>
        <w:rPr>
          <w:rFonts w:ascii="Palatino Linotype" w:eastAsia="MS Mincho" w:hAnsi="Palatino Linotype" w:cs="Arial"/>
        </w:rPr>
      </w:pPr>
      <w:r w:rsidRPr="00CF0DCB">
        <w:rPr>
          <w:rFonts w:ascii="Palatino Linotype" w:eastAsia="MS Mincho" w:hAnsi="Palatino Linotype" w:cs="Arial"/>
        </w:rPr>
        <w:t xml:space="preserve">En ese sentido, no debe de pasar de vista para el </w:t>
      </w:r>
      <w:r w:rsidRPr="00CF0DCB">
        <w:rPr>
          <w:rFonts w:ascii="Palatino Linotype" w:eastAsia="MS Mincho" w:hAnsi="Palatino Linotype" w:cs="Arial"/>
          <w:b/>
        </w:rPr>
        <w:t>SUJETO OBLIGADO</w:t>
      </w:r>
      <w:r w:rsidRPr="00CF0DCB">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6A2740" w:rsidRPr="00CF0DCB" w:rsidRDefault="006A2740" w:rsidP="00CF0DCB">
      <w:pPr>
        <w:spacing w:before="240" w:after="240" w:line="360" w:lineRule="auto"/>
        <w:ind w:left="426" w:right="49"/>
        <w:contextualSpacing/>
        <w:jc w:val="both"/>
        <w:rPr>
          <w:rFonts w:ascii="Palatino Linotype" w:eastAsia="MS Mincho" w:hAnsi="Palatino Linotype" w:cs="Arial"/>
        </w:rPr>
      </w:pPr>
    </w:p>
    <w:p w:rsidR="006A2740" w:rsidRPr="00CF0DCB" w:rsidRDefault="006A2740" w:rsidP="00CF0DCB">
      <w:pPr>
        <w:spacing w:line="360" w:lineRule="auto"/>
        <w:ind w:left="567" w:right="567"/>
        <w:jc w:val="both"/>
        <w:rPr>
          <w:rFonts w:ascii="Palatino Linotype" w:eastAsia="MS Mincho" w:hAnsi="Palatino Linotype" w:cs="Times New Roman"/>
          <w:i/>
        </w:rPr>
      </w:pPr>
      <w:r w:rsidRPr="00CF0DCB">
        <w:rPr>
          <w:rFonts w:ascii="Palatino Linotype" w:eastAsia="MS Mincho" w:hAnsi="Palatino Linotype" w:cs="Times New Roman"/>
          <w:i/>
        </w:rPr>
        <w:t>“</w:t>
      </w:r>
      <w:r w:rsidRPr="00CF0DCB">
        <w:rPr>
          <w:rFonts w:ascii="Palatino Linotype" w:eastAsia="MS Mincho" w:hAnsi="Palatino Linotype" w:cs="Times New Roman"/>
          <w:b/>
          <w:i/>
        </w:rPr>
        <w:t>Artículo 8.</w:t>
      </w:r>
      <w:r w:rsidRPr="00CF0DCB">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6A2740" w:rsidRPr="00CF0DCB" w:rsidRDefault="006A2740" w:rsidP="00CF0DCB">
      <w:pPr>
        <w:spacing w:line="360" w:lineRule="auto"/>
        <w:ind w:left="567" w:right="567"/>
        <w:jc w:val="both"/>
        <w:rPr>
          <w:rFonts w:ascii="Palatino Linotype" w:eastAsia="MS Mincho" w:hAnsi="Palatino Linotype" w:cs="Times New Roman"/>
          <w:i/>
        </w:rPr>
      </w:pPr>
    </w:p>
    <w:p w:rsidR="006A2740" w:rsidRPr="00CF0DCB" w:rsidRDefault="006A2740" w:rsidP="00CF0DCB">
      <w:pPr>
        <w:spacing w:line="360" w:lineRule="auto"/>
        <w:ind w:left="567" w:right="567"/>
        <w:jc w:val="both"/>
        <w:rPr>
          <w:rFonts w:ascii="Palatino Linotype" w:eastAsia="MS Mincho" w:hAnsi="Palatino Linotype" w:cs="Times New Roman"/>
          <w:i/>
        </w:rPr>
      </w:pPr>
      <w:r w:rsidRPr="00CF0DCB">
        <w:rPr>
          <w:rFonts w:ascii="Palatino Linotype" w:eastAsia="MS Mincho" w:hAnsi="Palatino Linotype" w:cs="Times New Roman"/>
          <w:b/>
          <w:i/>
        </w:rPr>
        <w:t>En la aplicación e interpretación de la presente Ley deberá prevalecer el principio de máxima publicidad,</w:t>
      </w:r>
      <w:r w:rsidRPr="00CF0DCB">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6A2740" w:rsidRPr="00CF0DCB" w:rsidRDefault="006A2740" w:rsidP="00CF0DCB">
      <w:pPr>
        <w:spacing w:line="360" w:lineRule="auto"/>
        <w:ind w:left="567" w:right="567"/>
        <w:jc w:val="both"/>
        <w:rPr>
          <w:rFonts w:ascii="Palatino Linotype" w:eastAsia="MS Mincho" w:hAnsi="Palatino Linotype" w:cs="Times New Roman"/>
          <w:i/>
        </w:rPr>
      </w:pPr>
    </w:p>
    <w:p w:rsidR="006A2740" w:rsidRPr="00CF0DCB" w:rsidRDefault="006A2740" w:rsidP="00CF0DCB">
      <w:pPr>
        <w:spacing w:line="360" w:lineRule="auto"/>
        <w:ind w:left="567" w:right="567"/>
        <w:jc w:val="both"/>
        <w:rPr>
          <w:rFonts w:ascii="Palatino Linotype" w:eastAsia="MS Mincho" w:hAnsi="Palatino Linotype" w:cs="Times New Roman"/>
          <w:i/>
        </w:rPr>
      </w:pPr>
      <w:r w:rsidRPr="00CF0DCB">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rsidR="006A2740" w:rsidRPr="00CF0DCB" w:rsidRDefault="006A2740" w:rsidP="00CF0DCB">
      <w:pPr>
        <w:spacing w:line="360" w:lineRule="auto"/>
        <w:ind w:left="567" w:right="567"/>
        <w:jc w:val="both"/>
        <w:rPr>
          <w:rFonts w:ascii="Palatino Linotype" w:eastAsia="MS Mincho" w:hAnsi="Palatino Linotype" w:cs="Times New Roman"/>
          <w:i/>
        </w:rPr>
      </w:pPr>
    </w:p>
    <w:p w:rsidR="006A2740" w:rsidRPr="00CF0DCB" w:rsidRDefault="006A2740" w:rsidP="00CF0DCB">
      <w:pPr>
        <w:spacing w:line="360" w:lineRule="auto"/>
        <w:ind w:left="567" w:right="567"/>
        <w:jc w:val="both"/>
        <w:rPr>
          <w:rFonts w:ascii="Palatino Linotype" w:eastAsia="MS Mincho" w:hAnsi="Palatino Linotype" w:cs="Times New Roman"/>
          <w:i/>
        </w:rPr>
      </w:pPr>
      <w:r w:rsidRPr="00CF0DCB">
        <w:rPr>
          <w:rFonts w:ascii="Palatino Linotype" w:eastAsia="MS Mincho" w:hAnsi="Palatino Linotype" w:cs="Times New Roman"/>
          <w:i/>
        </w:rPr>
        <w:t>(Énfasis añadido)</w:t>
      </w:r>
    </w:p>
    <w:p w:rsidR="006A2740" w:rsidRPr="00CF0DCB" w:rsidRDefault="006A2740" w:rsidP="00CF0DCB">
      <w:pPr>
        <w:spacing w:line="360" w:lineRule="auto"/>
        <w:ind w:right="567"/>
        <w:jc w:val="both"/>
        <w:rPr>
          <w:rFonts w:ascii="Palatino Linotype" w:eastAsia="MS Mincho" w:hAnsi="Palatino Linotype" w:cs="Times New Roman"/>
          <w:i/>
        </w:rPr>
      </w:pPr>
    </w:p>
    <w:p w:rsidR="006A2740" w:rsidRPr="00CF0DCB" w:rsidRDefault="006A2740" w:rsidP="00CF0DCB">
      <w:pPr>
        <w:numPr>
          <w:ilvl w:val="0"/>
          <w:numId w:val="1"/>
        </w:numPr>
        <w:spacing w:before="240" w:after="240" w:line="360" w:lineRule="auto"/>
        <w:ind w:left="0" w:right="49" w:firstLine="0"/>
        <w:contextualSpacing/>
        <w:jc w:val="both"/>
        <w:rPr>
          <w:rFonts w:ascii="Palatino Linotype" w:eastAsia="MS Mincho" w:hAnsi="Palatino Linotype" w:cs="Arial"/>
        </w:rPr>
      </w:pPr>
      <w:r w:rsidRPr="00CF0DCB">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w:t>
      </w:r>
      <w:r w:rsidR="008F1829" w:rsidRPr="00CF0DCB">
        <w:rPr>
          <w:rFonts w:ascii="Palatino Linotype" w:eastAsia="MS Mincho" w:hAnsi="Palatino Linotype" w:cs="Times New Roman"/>
        </w:rPr>
        <w:t xml:space="preserve"> es dicir, la información no se generara conforme a los interés de la particula, por lo tanto basta con que se entregue el documento donde conste y mediante ellos la solicitante podrá allegarse de la información para colmar cada uno de sus planteamientos,</w:t>
      </w:r>
      <w:r w:rsidRPr="00CF0DCB">
        <w:rPr>
          <w:rFonts w:ascii="Palatino Linotype" w:eastAsia="MS Mincho" w:hAnsi="Palatino Linotype" w:cs="Times New Roman"/>
        </w:rPr>
        <w:t xml:space="preserve"> de conformidad con lo que establecen los artículos 12 y 160 de la Ley de la Materia:  </w:t>
      </w:r>
    </w:p>
    <w:p w:rsidR="006A2740" w:rsidRPr="00CF0DCB" w:rsidRDefault="006A2740" w:rsidP="00CF0DCB">
      <w:pPr>
        <w:spacing w:before="240" w:after="240" w:line="360" w:lineRule="auto"/>
        <w:ind w:right="49"/>
        <w:contextualSpacing/>
        <w:jc w:val="both"/>
        <w:rPr>
          <w:rFonts w:ascii="Palatino Linotype" w:eastAsia="MS Mincho" w:hAnsi="Palatino Linotype" w:cs="Arial"/>
        </w:rPr>
      </w:pPr>
    </w:p>
    <w:p w:rsidR="006A2740" w:rsidRPr="00CF0DCB" w:rsidRDefault="006A2740" w:rsidP="00CF0DCB">
      <w:pPr>
        <w:spacing w:line="360" w:lineRule="auto"/>
        <w:ind w:left="567" w:right="567"/>
        <w:contextualSpacing/>
        <w:jc w:val="both"/>
        <w:rPr>
          <w:rFonts w:ascii="Palatino Linotype" w:eastAsia="MS Mincho" w:hAnsi="Palatino Linotype" w:cs="Times New Roman"/>
          <w:b/>
          <w:i/>
        </w:rPr>
      </w:pPr>
      <w:r w:rsidRPr="00CF0DCB">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rsidR="006A2740" w:rsidRPr="00CF0DCB" w:rsidRDefault="006A2740" w:rsidP="00CF0DCB">
      <w:pPr>
        <w:spacing w:line="360" w:lineRule="auto"/>
        <w:ind w:left="567" w:right="567"/>
        <w:contextualSpacing/>
        <w:jc w:val="both"/>
        <w:rPr>
          <w:rFonts w:ascii="Palatino Linotype" w:eastAsia="MS Mincho" w:hAnsi="Palatino Linotype" w:cs="Times New Roman"/>
          <w:i/>
        </w:rPr>
      </w:pPr>
    </w:p>
    <w:p w:rsidR="006A2740" w:rsidRPr="00CF0DCB" w:rsidRDefault="006A2740" w:rsidP="00CF0DCB">
      <w:pPr>
        <w:spacing w:line="360" w:lineRule="auto"/>
        <w:ind w:left="567" w:right="567"/>
        <w:contextualSpacing/>
        <w:jc w:val="both"/>
        <w:rPr>
          <w:rFonts w:ascii="Palatino Linotype" w:eastAsia="MS Mincho" w:hAnsi="Palatino Linotype" w:cs="Times New Roman"/>
          <w:b/>
          <w:i/>
          <w:u w:val="single"/>
        </w:rPr>
      </w:pPr>
      <w:r w:rsidRPr="00CF0DCB">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CF0DCB">
        <w:rPr>
          <w:rFonts w:ascii="Palatino Linotype" w:eastAsia="MS Mincho" w:hAnsi="Palatino Linotype" w:cs="Times New Roman"/>
          <w:i/>
        </w:rPr>
        <w:t xml:space="preserve"> </w:t>
      </w:r>
      <w:r w:rsidRPr="00CF0DCB">
        <w:rPr>
          <w:rFonts w:ascii="Palatino Linotype" w:eastAsia="MS Mincho" w:hAnsi="Palatino Linotype" w:cs="Times New Roman"/>
          <w:b/>
          <w:i/>
          <w:u w:val="single"/>
        </w:rPr>
        <w:t>La obligación de proporcionar información no comprende el procesamiento de la misma, ni el presentarla conforme al interés del solicitante; no estarán obligados a generarla, resumirla, efectuar cálculos o practicar investigaciones.”</w:t>
      </w:r>
    </w:p>
    <w:p w:rsidR="006A2740" w:rsidRPr="00CF0DCB" w:rsidRDefault="006A2740" w:rsidP="00CF0DCB">
      <w:pPr>
        <w:spacing w:line="360" w:lineRule="auto"/>
        <w:ind w:left="567" w:right="567"/>
        <w:contextualSpacing/>
        <w:jc w:val="both"/>
        <w:rPr>
          <w:rFonts w:ascii="Palatino Linotype" w:eastAsia="MS Mincho" w:hAnsi="Palatino Linotype" w:cs="Times New Roman"/>
          <w:i/>
        </w:rPr>
      </w:pPr>
    </w:p>
    <w:p w:rsidR="006A2740" w:rsidRPr="00CF0DCB" w:rsidRDefault="006A2740" w:rsidP="00CF0DCB">
      <w:pPr>
        <w:spacing w:line="360" w:lineRule="auto"/>
        <w:ind w:left="567" w:right="567"/>
        <w:contextualSpacing/>
        <w:jc w:val="both"/>
        <w:rPr>
          <w:rFonts w:ascii="Palatino Linotype" w:eastAsia="MS Mincho" w:hAnsi="Palatino Linotype" w:cs="Times New Roman"/>
          <w:i/>
        </w:rPr>
      </w:pPr>
      <w:r w:rsidRPr="00CF0DCB">
        <w:rPr>
          <w:rFonts w:ascii="Palatino Linotype" w:eastAsia="MS Mincho" w:hAnsi="Palatino Linotype" w:cs="Times New Roman"/>
          <w:b/>
          <w:i/>
        </w:rPr>
        <w:t xml:space="preserve">“Artículo 160. </w:t>
      </w:r>
      <w:r w:rsidRPr="00CF0DCB">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D6011B" w:rsidRPr="00CF0DCB" w:rsidRDefault="00D6011B" w:rsidP="00CF0DCB">
      <w:pPr>
        <w:spacing w:line="360" w:lineRule="auto"/>
        <w:ind w:left="567" w:right="567"/>
        <w:contextualSpacing/>
        <w:jc w:val="both"/>
        <w:rPr>
          <w:rFonts w:ascii="Palatino Linotype" w:eastAsia="MS Mincho" w:hAnsi="Palatino Linotype" w:cs="Times New Roman"/>
          <w:i/>
        </w:rPr>
      </w:pPr>
    </w:p>
    <w:p w:rsidR="006A2740" w:rsidRPr="00CF0DCB" w:rsidRDefault="006A2740" w:rsidP="00CF0DCB">
      <w:pPr>
        <w:spacing w:line="360" w:lineRule="auto"/>
        <w:ind w:left="567" w:right="567"/>
        <w:contextualSpacing/>
        <w:jc w:val="both"/>
        <w:rPr>
          <w:rFonts w:ascii="Palatino Linotype" w:eastAsia="MS Mincho" w:hAnsi="Palatino Linotype" w:cs="Times New Roman"/>
          <w:i/>
        </w:rPr>
      </w:pPr>
      <w:r w:rsidRPr="00CF0DCB">
        <w:rPr>
          <w:rFonts w:ascii="Palatino Linotype" w:eastAsia="MS Mincho" w:hAnsi="Palatino Linotype" w:cs="Times New Roman"/>
          <w:i/>
        </w:rPr>
        <w:t>En caso que la información solicitada consista en bases de datos se deberá privilegiar la entrega de la misma en formatos abiertos. “</w:t>
      </w:r>
    </w:p>
    <w:p w:rsidR="006A2740" w:rsidRPr="00CF0DCB" w:rsidRDefault="006A2740" w:rsidP="00CF0DCB">
      <w:pPr>
        <w:spacing w:before="240" w:after="240" w:line="360" w:lineRule="auto"/>
        <w:ind w:left="567" w:right="567"/>
        <w:contextualSpacing/>
        <w:jc w:val="both"/>
        <w:rPr>
          <w:rFonts w:ascii="Palatino Linotype" w:eastAsia="MS Mincho" w:hAnsi="Palatino Linotype" w:cs="Times New Roman"/>
          <w:i/>
        </w:rPr>
      </w:pPr>
    </w:p>
    <w:p w:rsidR="006A2740" w:rsidRPr="00CF0DCB" w:rsidRDefault="006A2740" w:rsidP="00CF0DCB">
      <w:pPr>
        <w:spacing w:before="240" w:after="240" w:line="360" w:lineRule="auto"/>
        <w:ind w:left="567" w:right="567"/>
        <w:contextualSpacing/>
        <w:jc w:val="both"/>
        <w:rPr>
          <w:rFonts w:ascii="Palatino Linotype" w:eastAsia="MS Mincho" w:hAnsi="Palatino Linotype" w:cs="Times New Roman"/>
          <w:i/>
        </w:rPr>
      </w:pPr>
      <w:r w:rsidRPr="00CF0DCB">
        <w:rPr>
          <w:rFonts w:ascii="Palatino Linotype" w:eastAsia="MS Mincho" w:hAnsi="Palatino Linotype" w:cs="Times New Roman"/>
          <w:i/>
        </w:rPr>
        <w:t>(Énfasis añadido)</w:t>
      </w:r>
    </w:p>
    <w:p w:rsidR="006A2740" w:rsidRPr="00CF0DCB" w:rsidRDefault="006A2740" w:rsidP="00CF0DCB">
      <w:pPr>
        <w:spacing w:before="240" w:after="240" w:line="360" w:lineRule="auto"/>
        <w:ind w:left="567" w:right="567"/>
        <w:contextualSpacing/>
        <w:jc w:val="both"/>
        <w:rPr>
          <w:rFonts w:ascii="Palatino Linotype" w:eastAsia="MS Mincho" w:hAnsi="Palatino Linotype" w:cs="Times New Roman"/>
          <w:i/>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Precisado lo anterior, es imperativo señalar que la información solicitada constituye una obligación de trasparencia común de conformidad con el artículo 92 fracciones   XXXIII y XXXV como a continuación se observa:</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spacing w:before="240" w:after="240" w:line="360" w:lineRule="auto"/>
        <w:ind w:left="567" w:right="709"/>
        <w:jc w:val="both"/>
        <w:rPr>
          <w:rFonts w:ascii="Palatino Linotype" w:hAnsi="Palatino Linotype" w:cs="Arial"/>
          <w:i/>
        </w:rPr>
      </w:pPr>
      <w:r w:rsidRPr="00CF0DCB">
        <w:rPr>
          <w:rFonts w:ascii="Palatino Linotype" w:hAnsi="Palatino Linotype" w:cs="Arial"/>
          <w:i/>
        </w:rPr>
        <w:t>“</w:t>
      </w:r>
      <w:r w:rsidRPr="00CF0DCB">
        <w:rPr>
          <w:rFonts w:ascii="Palatino Linotype" w:hAnsi="Palatino Linotype" w:cs="Arial"/>
          <w:b/>
          <w:i/>
        </w:rPr>
        <w:t>Artículo 92.</w:t>
      </w:r>
      <w:r w:rsidRPr="00CF0DCB">
        <w:rPr>
          <w:rFonts w:ascii="Palatino Linotype" w:hAnsi="Palatino Linotype" w:cs="Arial"/>
          <w:i/>
        </w:rPr>
        <w:t xml:space="preserve"> </w:t>
      </w:r>
      <w:r w:rsidRPr="00CF0DCB">
        <w:rPr>
          <w:rFonts w:ascii="Palatino Linotype" w:hAnsi="Palatino Linotype" w:cs="Arial"/>
          <w:b/>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Pr="00CF0DCB">
        <w:rPr>
          <w:rFonts w:ascii="Palatino Linotype" w:hAnsi="Palatino Linotype" w:cs="Arial"/>
          <w:i/>
        </w:rPr>
        <w:t xml:space="preserve"> por lo menos, de los temas, documentos y políticas que a continuación se señalan:</w:t>
      </w:r>
    </w:p>
    <w:p w:rsidR="006A2740" w:rsidRPr="00CF0DCB" w:rsidRDefault="006A2740" w:rsidP="00CF0DCB">
      <w:pPr>
        <w:pStyle w:val="Prrafodelista"/>
        <w:spacing w:before="240" w:after="240" w:line="360" w:lineRule="auto"/>
        <w:ind w:left="567" w:right="709"/>
        <w:jc w:val="both"/>
        <w:rPr>
          <w:rFonts w:ascii="Palatino Linotype" w:hAnsi="Palatino Linotype" w:cs="Arial"/>
          <w:i/>
        </w:rPr>
      </w:pPr>
      <w:r w:rsidRPr="00CF0DCB">
        <w:rPr>
          <w:rFonts w:ascii="Palatino Linotype" w:hAnsi="Palatino Linotype" w:cs="Arial"/>
          <w:i/>
        </w:rPr>
        <w:t>(…)</w:t>
      </w:r>
    </w:p>
    <w:p w:rsidR="006A2740" w:rsidRPr="00CF0DCB" w:rsidRDefault="006A2740" w:rsidP="00CF0DCB">
      <w:pPr>
        <w:pStyle w:val="Prrafodelista"/>
        <w:spacing w:before="240" w:after="240" w:line="360" w:lineRule="auto"/>
        <w:ind w:left="567" w:right="709"/>
        <w:jc w:val="both"/>
        <w:rPr>
          <w:rFonts w:ascii="Palatino Linotype" w:hAnsi="Palatino Linotype" w:cs="Arial"/>
          <w:b/>
          <w:i/>
        </w:rPr>
      </w:pPr>
      <w:r w:rsidRPr="00CF0DCB">
        <w:rPr>
          <w:rFonts w:ascii="Palatino Linotype" w:hAnsi="Palatino Linotype" w:cs="Arial"/>
          <w:b/>
          <w:i/>
        </w:rPr>
        <w:t>XXXIII. Los informes que por disposición legal generen los sujetos obligados;</w:t>
      </w:r>
    </w:p>
    <w:p w:rsidR="006A2740" w:rsidRPr="00CF0DCB" w:rsidRDefault="006A2740" w:rsidP="00CF0DCB">
      <w:pPr>
        <w:pStyle w:val="Prrafodelista"/>
        <w:spacing w:before="240" w:after="240" w:line="360" w:lineRule="auto"/>
        <w:ind w:left="567" w:right="709"/>
        <w:jc w:val="both"/>
        <w:rPr>
          <w:rFonts w:ascii="Palatino Linotype" w:hAnsi="Palatino Linotype" w:cs="Arial"/>
          <w:i/>
        </w:rPr>
      </w:pPr>
      <w:r w:rsidRPr="00CF0DCB">
        <w:rPr>
          <w:rFonts w:ascii="Palatino Linotype" w:hAnsi="Palatino Linotype" w:cs="Arial"/>
          <w:i/>
        </w:rPr>
        <w:t>(…)</w:t>
      </w:r>
    </w:p>
    <w:p w:rsidR="006A2740" w:rsidRPr="00CF0DCB" w:rsidRDefault="006A2740" w:rsidP="00CF0DCB">
      <w:pPr>
        <w:pStyle w:val="Prrafodelista"/>
        <w:spacing w:before="240" w:after="240" w:line="360" w:lineRule="auto"/>
        <w:ind w:left="567" w:right="709"/>
        <w:jc w:val="both"/>
        <w:rPr>
          <w:rFonts w:ascii="Palatino Linotype" w:hAnsi="Palatino Linotype" w:cs="Arial"/>
          <w:b/>
          <w:i/>
        </w:rPr>
      </w:pPr>
      <w:r w:rsidRPr="00CF0DCB">
        <w:rPr>
          <w:rFonts w:ascii="Palatino Linotype" w:hAnsi="Palatino Linotype" w:cs="Arial"/>
          <w:b/>
          <w:i/>
        </w:rPr>
        <w:t>XXXV. Informes de avances programáticos o presupuestales, balances generales y estado financiero;”</w:t>
      </w:r>
    </w:p>
    <w:p w:rsidR="006A2740" w:rsidRDefault="006A2740" w:rsidP="00CF0DCB">
      <w:pPr>
        <w:pStyle w:val="Prrafodelista"/>
        <w:spacing w:before="240" w:after="240" w:line="360" w:lineRule="auto"/>
        <w:ind w:left="567" w:right="709"/>
        <w:jc w:val="both"/>
        <w:rPr>
          <w:rFonts w:ascii="Palatino Linotype" w:hAnsi="Palatino Linotype" w:cs="Arial"/>
        </w:rPr>
      </w:pPr>
      <w:r w:rsidRPr="00CF0DCB">
        <w:rPr>
          <w:rFonts w:ascii="Palatino Linotype" w:hAnsi="Palatino Linotype" w:cs="Arial"/>
        </w:rPr>
        <w:t>(…)”</w:t>
      </w:r>
    </w:p>
    <w:p w:rsidR="00B62280" w:rsidRPr="00CF0DCB" w:rsidRDefault="00B62280" w:rsidP="00CF0DCB">
      <w:pPr>
        <w:pStyle w:val="Prrafodelista"/>
        <w:spacing w:before="240" w:after="240" w:line="360" w:lineRule="auto"/>
        <w:ind w:left="567" w:right="709"/>
        <w:jc w:val="both"/>
        <w:rPr>
          <w:rFonts w:ascii="Palatino Linotype" w:hAnsi="Palatino Linotype" w:cs="Arial"/>
        </w:rPr>
      </w:pPr>
    </w:p>
    <w:p w:rsidR="006A2740" w:rsidRDefault="006A2740" w:rsidP="00CF0DCB">
      <w:pPr>
        <w:pStyle w:val="Prrafodelista"/>
        <w:spacing w:before="240" w:after="240" w:line="360" w:lineRule="auto"/>
        <w:ind w:left="567" w:right="709"/>
        <w:jc w:val="both"/>
        <w:rPr>
          <w:rFonts w:ascii="Palatino Linotype" w:hAnsi="Palatino Linotype" w:cs="Arial"/>
        </w:rPr>
      </w:pPr>
      <w:r w:rsidRPr="00CF0DCB">
        <w:rPr>
          <w:rFonts w:ascii="Palatino Linotype" w:hAnsi="Palatino Linotype" w:cs="Arial"/>
        </w:rPr>
        <w:t xml:space="preserve">(Énfasis añadido) </w:t>
      </w:r>
    </w:p>
    <w:p w:rsidR="00B62280" w:rsidRPr="00CF0DCB" w:rsidRDefault="00B62280" w:rsidP="00CF0DCB">
      <w:pPr>
        <w:pStyle w:val="Prrafodelista"/>
        <w:spacing w:before="240" w:after="240" w:line="360" w:lineRule="auto"/>
        <w:ind w:left="567" w:right="709"/>
        <w:jc w:val="both"/>
        <w:rPr>
          <w:rFonts w:ascii="Palatino Linotype" w:hAnsi="Palatino Linotype" w:cs="Arial"/>
          <w:i/>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Consecuentemente resulta necesario traer a colación el artículo 32 párrafo segundo de la Ley de Fiscalización Superior del Estado de México, mismo que establece la obligación de los Presidentes Municipales de presentar ante la Legislatura, las cuentas públicas del ejercicio inmediato anterior a más tardar el quince de marzo de cada año. </w:t>
      </w:r>
    </w:p>
    <w:p w:rsidR="00AF7FCD" w:rsidRPr="00CF0DCB" w:rsidRDefault="00AF7FCD" w:rsidP="00CF0DCB">
      <w:pPr>
        <w:pStyle w:val="Prrafodelista"/>
        <w:tabs>
          <w:tab w:val="left" w:pos="8505"/>
        </w:tabs>
        <w:spacing w:before="240" w:after="240" w:line="360" w:lineRule="auto"/>
        <w:ind w:left="567" w:right="709"/>
        <w:jc w:val="both"/>
        <w:rPr>
          <w:rFonts w:ascii="Palatino Linotype" w:hAnsi="Palatino Linotype" w:cs="Arial"/>
          <w:b/>
          <w:i/>
          <w:lang w:val="es-MX"/>
        </w:rPr>
      </w:pPr>
    </w:p>
    <w:p w:rsidR="006A2740" w:rsidRPr="00CF0DCB" w:rsidRDefault="006A2740" w:rsidP="00CF0DCB">
      <w:pPr>
        <w:pStyle w:val="Prrafodelista"/>
        <w:tabs>
          <w:tab w:val="left" w:pos="8505"/>
        </w:tabs>
        <w:spacing w:before="240" w:after="240" w:line="360" w:lineRule="auto"/>
        <w:ind w:left="567" w:right="709"/>
        <w:jc w:val="both"/>
        <w:rPr>
          <w:rFonts w:ascii="Palatino Linotype" w:hAnsi="Palatino Linotype" w:cs="Arial"/>
          <w:b/>
          <w:i/>
          <w:lang w:val="es-MX"/>
        </w:rPr>
      </w:pPr>
      <w:r w:rsidRPr="00CF0DCB">
        <w:rPr>
          <w:rFonts w:ascii="Palatino Linotype" w:hAnsi="Palatino Linotype" w:cs="Arial"/>
          <w:b/>
          <w:i/>
          <w:lang w:val="es-MX"/>
        </w:rPr>
        <w:t xml:space="preserve">“Articulo 32.- </w:t>
      </w:r>
    </w:p>
    <w:p w:rsidR="006A2740" w:rsidRPr="00CF0DCB" w:rsidRDefault="006A2740" w:rsidP="00CF0DCB">
      <w:pPr>
        <w:pStyle w:val="Prrafodelista"/>
        <w:tabs>
          <w:tab w:val="left" w:pos="8505"/>
        </w:tabs>
        <w:spacing w:before="240" w:after="240" w:line="360" w:lineRule="auto"/>
        <w:ind w:left="567" w:right="709"/>
        <w:jc w:val="both"/>
        <w:rPr>
          <w:rFonts w:ascii="Palatino Linotype" w:hAnsi="Palatino Linotype" w:cs="Arial"/>
          <w:b/>
          <w:i/>
          <w:lang w:val="es-MX"/>
        </w:rPr>
      </w:pPr>
      <w:r w:rsidRPr="00CF0DCB">
        <w:rPr>
          <w:rFonts w:ascii="Palatino Linotype" w:hAnsi="Palatino Linotype" w:cs="Arial"/>
          <w:b/>
          <w:i/>
          <w:lang w:val="es-MX"/>
        </w:rPr>
        <w:t>(…)</w:t>
      </w:r>
    </w:p>
    <w:p w:rsidR="006A2740" w:rsidRPr="00CF0DCB" w:rsidRDefault="006A2740" w:rsidP="00CF0DCB">
      <w:pPr>
        <w:pStyle w:val="Prrafodelista"/>
        <w:tabs>
          <w:tab w:val="left" w:pos="8505"/>
        </w:tabs>
        <w:spacing w:before="240" w:after="240" w:line="360" w:lineRule="auto"/>
        <w:ind w:left="567" w:right="425"/>
        <w:jc w:val="both"/>
        <w:rPr>
          <w:rFonts w:ascii="Palatino Linotype" w:hAnsi="Palatino Linotype" w:cs="Arial"/>
          <w:i/>
        </w:rPr>
      </w:pPr>
      <w:r w:rsidRPr="00CF0DCB">
        <w:rPr>
          <w:rFonts w:ascii="Palatino Linotype" w:hAnsi="Palatino Linotype" w:cs="Arial"/>
          <w:b/>
          <w:i/>
        </w:rPr>
        <w:t>Los Presidentes Municipales presentarán a la Legislatura las cuentas públicas anuales de sus respectivos municipios, del ejercicio fiscal inmediato anterior, dentro de los quince primeros días del mes de marzo de cada año;</w:t>
      </w:r>
      <w:r w:rsidRPr="00CF0DCB">
        <w:rPr>
          <w:rFonts w:ascii="Palatino Linotype" w:hAnsi="Palatino Linotype" w:cs="Arial"/>
          <w:i/>
        </w:rPr>
        <w:t xml:space="preserve"> asimismo, los informes mensuales los deberán presentar dentro de los veinte días posteriores al término del mes correspondiente.</w:t>
      </w:r>
    </w:p>
    <w:p w:rsidR="006A2740" w:rsidRPr="00CF0DCB" w:rsidRDefault="006A2740" w:rsidP="00CF0DCB">
      <w:pPr>
        <w:pStyle w:val="Prrafodelista"/>
        <w:tabs>
          <w:tab w:val="left" w:pos="8505"/>
        </w:tabs>
        <w:spacing w:before="240" w:after="240" w:line="360" w:lineRule="auto"/>
        <w:ind w:left="567" w:right="709"/>
        <w:jc w:val="both"/>
        <w:rPr>
          <w:rFonts w:ascii="Palatino Linotype" w:hAnsi="Palatino Linotype" w:cs="Arial"/>
          <w:i/>
        </w:rPr>
      </w:pPr>
      <w:r w:rsidRPr="00CF0DCB">
        <w:rPr>
          <w:rFonts w:ascii="Palatino Linotype" w:hAnsi="Palatino Linotype" w:cs="Arial"/>
          <w:i/>
        </w:rPr>
        <w:t>(…)”</w:t>
      </w:r>
    </w:p>
    <w:p w:rsidR="006A2740" w:rsidRPr="00CF0DCB" w:rsidRDefault="006A2740" w:rsidP="00CF0DCB">
      <w:pPr>
        <w:pStyle w:val="Prrafodelista"/>
        <w:tabs>
          <w:tab w:val="left" w:pos="8505"/>
        </w:tabs>
        <w:spacing w:before="240" w:after="240" w:line="360" w:lineRule="auto"/>
        <w:ind w:left="567" w:right="709"/>
        <w:jc w:val="both"/>
        <w:rPr>
          <w:rFonts w:ascii="Palatino Linotype" w:hAnsi="Palatino Linotype" w:cs="Arial"/>
          <w:i/>
        </w:rPr>
      </w:pPr>
    </w:p>
    <w:p w:rsidR="006A2740" w:rsidRPr="00CF0DCB" w:rsidRDefault="006A2740" w:rsidP="00CF0DCB">
      <w:pPr>
        <w:pStyle w:val="Prrafodelista"/>
        <w:tabs>
          <w:tab w:val="left" w:pos="8505"/>
        </w:tabs>
        <w:spacing w:before="240" w:after="240" w:line="360" w:lineRule="auto"/>
        <w:ind w:left="567" w:right="709"/>
        <w:jc w:val="both"/>
        <w:rPr>
          <w:rFonts w:ascii="Palatino Linotype" w:hAnsi="Palatino Linotype" w:cs="Arial"/>
          <w:i/>
          <w:lang w:val="es-MX"/>
        </w:rPr>
      </w:pPr>
      <w:r w:rsidRPr="00CF0DCB">
        <w:rPr>
          <w:rFonts w:ascii="Palatino Linotype" w:hAnsi="Palatino Linotype" w:cs="Arial"/>
          <w:i/>
        </w:rPr>
        <w:t xml:space="preserve">(Énfasis añadido) </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Así mismo es oportuno analizar lo que establece el artículo 352 del Código Financiero del Estado de México, que a la letra señala: </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spacing w:line="360" w:lineRule="auto"/>
        <w:ind w:left="567" w:right="425"/>
        <w:jc w:val="both"/>
        <w:rPr>
          <w:rFonts w:ascii="Palatino Linotype" w:hAnsi="Palatino Linotype"/>
          <w:b/>
          <w:i/>
        </w:rPr>
      </w:pPr>
      <w:r w:rsidRPr="00CF0DCB">
        <w:rPr>
          <w:rFonts w:ascii="Palatino Linotype" w:hAnsi="Palatino Linotype"/>
          <w:i/>
        </w:rPr>
        <w:t>“</w:t>
      </w:r>
      <w:r w:rsidRPr="00CF0DCB">
        <w:rPr>
          <w:rFonts w:ascii="Palatino Linotype" w:hAnsi="Palatino Linotype"/>
          <w:b/>
          <w:i/>
        </w:rPr>
        <w:t xml:space="preserve">Artículo 352.- La cuenta pública se constituye por la información económica, patrimonial, presupuestal, programática, cualitativa y cuantitativa que muestre los resultados de la ejecución de la Ley de Ingresos y del Presupuesto de Egresos. </w:t>
      </w:r>
    </w:p>
    <w:p w:rsidR="006A2740" w:rsidRPr="00CF0DCB" w:rsidRDefault="006A2740" w:rsidP="00CF0DCB">
      <w:pPr>
        <w:pStyle w:val="Prrafodelista"/>
        <w:spacing w:line="360" w:lineRule="auto"/>
        <w:ind w:left="851" w:right="850"/>
        <w:jc w:val="both"/>
        <w:rPr>
          <w:rFonts w:ascii="Palatino Linotype" w:hAnsi="Palatino Linotype"/>
          <w:i/>
        </w:rPr>
      </w:pPr>
    </w:p>
    <w:p w:rsidR="006A2740" w:rsidRPr="00CF0DCB" w:rsidRDefault="006A2740" w:rsidP="00CF0DCB">
      <w:pPr>
        <w:pStyle w:val="Prrafodelista"/>
        <w:spacing w:line="360" w:lineRule="auto"/>
        <w:ind w:left="567" w:right="425"/>
        <w:jc w:val="both"/>
        <w:rPr>
          <w:rFonts w:ascii="Palatino Linotype" w:hAnsi="Palatino Linotype"/>
          <w:i/>
        </w:rPr>
      </w:pPr>
      <w:r w:rsidRPr="00CF0DCB">
        <w:rPr>
          <w:rFonts w:ascii="Palatino Linotype" w:hAnsi="Palatino Linotype"/>
          <w:i/>
        </w:rPr>
        <w:t>La Secretaría y las Tesorerías, proporcionarán la información complementaria requerida por el Órgano Superior de Fiscalización del Estado de México para el análisis y evaluación de la cuenta pública.</w:t>
      </w:r>
    </w:p>
    <w:p w:rsidR="006A2740" w:rsidRPr="00CF0DCB" w:rsidRDefault="006A2740" w:rsidP="00CF0DCB">
      <w:pPr>
        <w:pStyle w:val="Prrafodelista"/>
        <w:spacing w:line="360" w:lineRule="auto"/>
        <w:ind w:left="567" w:right="850"/>
        <w:jc w:val="both"/>
        <w:rPr>
          <w:rFonts w:ascii="Palatino Linotype" w:hAnsi="Palatino Linotype"/>
          <w:i/>
        </w:rPr>
      </w:pPr>
      <w:r w:rsidRPr="00CF0DCB">
        <w:rPr>
          <w:rFonts w:ascii="Palatino Linotype" w:hAnsi="Palatino Linotype"/>
          <w:i/>
        </w:rPr>
        <w:t>(…)”</w:t>
      </w:r>
    </w:p>
    <w:p w:rsidR="006A2740" w:rsidRPr="00CF0DCB" w:rsidRDefault="006A2740" w:rsidP="00CF0DCB">
      <w:pPr>
        <w:spacing w:line="360" w:lineRule="auto"/>
        <w:ind w:left="567" w:right="425"/>
        <w:jc w:val="both"/>
        <w:rPr>
          <w:rFonts w:ascii="Palatino Linotype" w:hAnsi="Palatino Linotype"/>
          <w:i/>
        </w:rPr>
      </w:pPr>
      <w:r w:rsidRPr="00CF0DCB">
        <w:rPr>
          <w:rFonts w:ascii="Palatino Linotype" w:hAnsi="Palatino Linotype"/>
          <w:i/>
        </w:rPr>
        <w:t>(Énfasis añadido)</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Así se advierte que la información solicitada deriva medularmente del Manual para la Planeación, Programación y Presupuesto de Egresos Municipal de los años 2019  a 2013, mismos que tienen en similitud de contenido los propósitos siguientes: </w:t>
      </w:r>
    </w:p>
    <w:p w:rsidR="006A2740" w:rsidRPr="00CF0DCB" w:rsidRDefault="006A2740" w:rsidP="00CF0DCB">
      <w:pPr>
        <w:pStyle w:val="Prrafodelista"/>
        <w:spacing w:before="240" w:after="240" w:line="360" w:lineRule="auto"/>
        <w:ind w:left="0"/>
        <w:jc w:val="both"/>
        <w:rPr>
          <w:rFonts w:ascii="Palatino Linotype" w:hAnsi="Palatino Linotype"/>
        </w:rPr>
      </w:pPr>
    </w:p>
    <w:p w:rsidR="006A2740" w:rsidRPr="00CF0DCB" w:rsidRDefault="006A2740" w:rsidP="00CF0DCB">
      <w:pPr>
        <w:pStyle w:val="Prrafodelista"/>
        <w:spacing w:before="240" w:after="240" w:line="360" w:lineRule="auto"/>
        <w:ind w:left="567" w:right="425"/>
        <w:jc w:val="both"/>
        <w:rPr>
          <w:rFonts w:ascii="Palatino Linotype" w:hAnsi="Palatino Linotype"/>
          <w:i/>
        </w:rPr>
      </w:pPr>
      <w:r w:rsidRPr="00CF0DCB">
        <w:rPr>
          <w:rFonts w:ascii="Palatino Linotype" w:hAnsi="Palatino Linotype"/>
          <w:i/>
        </w:rPr>
        <w:t>“</w:t>
      </w:r>
      <w:r w:rsidRPr="00CF0DCB">
        <w:rPr>
          <w:rFonts w:ascii="Palatino Linotype" w:hAnsi="Palatino Linotype"/>
          <w:b/>
          <w:i/>
        </w:rPr>
        <w:t>Apuntalar la integración del Presupuesto Municipal, con una orientación de Presupuesto basado en Resultados (PbR), que permita generar valor público</w:t>
      </w:r>
      <w:r w:rsidRPr="00CF0DCB">
        <w:rPr>
          <w:rFonts w:ascii="Palatino Linotype" w:hAnsi="Palatino Linotype"/>
          <w:i/>
        </w:rPr>
        <w:t>.</w:t>
      </w:r>
    </w:p>
    <w:p w:rsidR="006A2740" w:rsidRPr="00CF0DCB" w:rsidRDefault="006A2740" w:rsidP="00CF0DCB">
      <w:pPr>
        <w:pStyle w:val="Prrafodelista"/>
        <w:spacing w:before="240" w:after="240" w:line="360" w:lineRule="auto"/>
        <w:ind w:left="567" w:right="709"/>
        <w:jc w:val="both"/>
        <w:rPr>
          <w:rFonts w:ascii="Palatino Linotype" w:hAnsi="Palatino Linotype"/>
          <w:i/>
        </w:rPr>
      </w:pPr>
    </w:p>
    <w:p w:rsidR="006A2740" w:rsidRPr="00CF0DCB" w:rsidRDefault="006A2740" w:rsidP="00CF0DCB">
      <w:pPr>
        <w:pStyle w:val="Prrafodelista"/>
        <w:spacing w:before="240" w:after="240" w:line="360" w:lineRule="auto"/>
        <w:ind w:left="567" w:right="425"/>
        <w:jc w:val="both"/>
        <w:rPr>
          <w:rFonts w:ascii="Palatino Linotype" w:hAnsi="Palatino Linotype"/>
          <w:i/>
        </w:rPr>
      </w:pPr>
      <w:r w:rsidRPr="00CF0DCB">
        <w:rPr>
          <w:rFonts w:ascii="Palatino Linotype" w:hAnsi="Palatino Linotype"/>
          <w:i/>
        </w:rPr>
        <w:t xml:space="preserve">Dar a conocer la Clasificación Funcional, Programática Municipal (Estructura Programática) del ejercicio fiscal2019, con el objeto de que el desarrollo de las ocupaciones gubernamentales </w:t>
      </w:r>
      <w:r w:rsidRPr="00CF0DCB">
        <w:rPr>
          <w:rFonts w:ascii="Palatino Linotype" w:hAnsi="Palatino Linotype"/>
          <w:b/>
          <w:i/>
        </w:rPr>
        <w:t>se clasifique, integre y opere, identificando el propósito que tendrá el presupuesto que ejercerán las Dependencias Generales, Auxiliares y los Organismos Municipales,</w:t>
      </w:r>
      <w:r w:rsidRPr="00CF0DCB">
        <w:rPr>
          <w:rFonts w:ascii="Palatino Linotype" w:hAnsi="Palatino Linotype"/>
          <w:i/>
        </w:rPr>
        <w:t xml:space="preserve"> garantizando que la orientación de los recursos mantenga congruencia con lo establecido en el Plan de Desarrollo Municipal vigente. </w:t>
      </w:r>
    </w:p>
    <w:p w:rsidR="006A2740" w:rsidRPr="00CF0DCB" w:rsidRDefault="006A2740" w:rsidP="00CF0DCB">
      <w:pPr>
        <w:pStyle w:val="Prrafodelista"/>
        <w:spacing w:before="240" w:after="240" w:line="360" w:lineRule="auto"/>
        <w:ind w:left="567" w:right="709"/>
        <w:jc w:val="both"/>
        <w:rPr>
          <w:rFonts w:ascii="Palatino Linotype" w:hAnsi="Palatino Linotype"/>
          <w:i/>
        </w:rPr>
      </w:pPr>
    </w:p>
    <w:p w:rsidR="006A2740" w:rsidRPr="00CF0DCB" w:rsidRDefault="006A2740" w:rsidP="00CF0DCB">
      <w:pPr>
        <w:pStyle w:val="Prrafodelista"/>
        <w:spacing w:before="240" w:after="240" w:line="360" w:lineRule="auto"/>
        <w:ind w:left="567" w:right="425"/>
        <w:jc w:val="both"/>
        <w:rPr>
          <w:rFonts w:ascii="Palatino Linotype" w:hAnsi="Palatino Linotype"/>
          <w:i/>
        </w:rPr>
      </w:pPr>
      <w:r w:rsidRPr="00CF0DCB">
        <w:rPr>
          <w:rFonts w:ascii="Palatino Linotype" w:hAnsi="Palatino Linotype"/>
          <w:i/>
        </w:rPr>
        <w:t xml:space="preserve">Hacer eficiente, eficaz y transparente el proceso de asignación de los recursos presupuestarios. </w:t>
      </w:r>
    </w:p>
    <w:p w:rsidR="006A2740" w:rsidRPr="00CF0DCB" w:rsidRDefault="006A2740" w:rsidP="00CF0DCB">
      <w:pPr>
        <w:pStyle w:val="Prrafodelista"/>
        <w:spacing w:before="240" w:after="240" w:line="360" w:lineRule="auto"/>
        <w:ind w:left="567" w:right="709"/>
        <w:jc w:val="both"/>
        <w:rPr>
          <w:rFonts w:ascii="Palatino Linotype" w:hAnsi="Palatino Linotype"/>
          <w:i/>
        </w:rPr>
      </w:pPr>
    </w:p>
    <w:p w:rsidR="006A2740" w:rsidRPr="00CF0DCB" w:rsidRDefault="006A2740" w:rsidP="00CF0DCB">
      <w:pPr>
        <w:pStyle w:val="Prrafodelista"/>
        <w:spacing w:before="240" w:after="240" w:line="360" w:lineRule="auto"/>
        <w:ind w:left="567" w:right="425"/>
        <w:jc w:val="both"/>
        <w:rPr>
          <w:rFonts w:ascii="Palatino Linotype" w:hAnsi="Palatino Linotype"/>
          <w:i/>
        </w:rPr>
      </w:pPr>
      <w:r w:rsidRPr="00CF0DCB">
        <w:rPr>
          <w:rFonts w:ascii="Palatino Linotype" w:hAnsi="Palatino Linotype"/>
          <w:i/>
        </w:rPr>
        <w:t>Orientar la programación de metas de actividad y de indicadores hacia resultados concretos, que permitan el seguimiento y evaluación del desempeño a nivel proyecto y Programa presupuestario, dimensionando su congruencia con lo establecido en el Plan de Desarrollo Municipal.”</w:t>
      </w:r>
    </w:p>
    <w:p w:rsidR="006A2740" w:rsidRPr="00CF0DCB" w:rsidRDefault="006A2740" w:rsidP="00CF0DCB">
      <w:pPr>
        <w:pStyle w:val="Prrafodelista"/>
        <w:spacing w:before="240" w:after="240" w:line="360" w:lineRule="auto"/>
        <w:ind w:left="567" w:right="709"/>
        <w:jc w:val="both"/>
        <w:rPr>
          <w:rFonts w:ascii="Palatino Linotype" w:hAnsi="Palatino Linotype"/>
          <w:i/>
        </w:rPr>
      </w:pPr>
    </w:p>
    <w:p w:rsidR="006A2740" w:rsidRPr="00CF0DCB" w:rsidRDefault="006A2740" w:rsidP="00CF0DCB">
      <w:pPr>
        <w:pStyle w:val="Prrafodelista"/>
        <w:spacing w:before="240" w:after="240" w:line="360" w:lineRule="auto"/>
        <w:ind w:left="567" w:right="709"/>
        <w:jc w:val="both"/>
        <w:rPr>
          <w:rFonts w:ascii="Palatino Linotype" w:hAnsi="Palatino Linotype"/>
          <w:i/>
        </w:rPr>
      </w:pPr>
      <w:r w:rsidRPr="00CF0DCB">
        <w:rPr>
          <w:rFonts w:ascii="Palatino Linotype" w:hAnsi="Palatino Linotype"/>
          <w:i/>
        </w:rPr>
        <w:t>(Énfasis añadido)</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8F1829" w:rsidRPr="00CF0DCB" w:rsidRDefault="008F1829" w:rsidP="00CF0DCB">
      <w:pPr>
        <w:numPr>
          <w:ilvl w:val="0"/>
          <w:numId w:val="1"/>
        </w:numPr>
        <w:spacing w:after="160" w:line="360" w:lineRule="auto"/>
        <w:ind w:left="0" w:right="34" w:firstLine="0"/>
        <w:contextualSpacing/>
        <w:jc w:val="both"/>
        <w:rPr>
          <w:rFonts w:ascii="Palatino Linotype" w:eastAsia="MS Mincho" w:hAnsi="Palatino Linotype" w:cs="Arial"/>
        </w:rPr>
      </w:pPr>
      <w:r w:rsidRPr="00CF0DCB">
        <w:rPr>
          <w:rFonts w:ascii="Palatino Linotype" w:eastAsia="MS Mincho" w:hAnsi="Palatino Linotype" w:cs="Arial"/>
          <w:lang w:val="es-MX" w:eastAsia="es-MX"/>
        </w:rPr>
        <w:t>De</w:t>
      </w:r>
      <w:r w:rsidRPr="00CF0DCB">
        <w:rPr>
          <w:rFonts w:ascii="Palatino Linotype" w:eastAsia="MS Mincho" w:hAnsi="Palatino Linotype" w:cs="Arial"/>
          <w:i/>
          <w:lang w:val="es-MX" w:eastAsia="es-MX"/>
        </w:rPr>
        <w:t xml:space="preserve"> </w:t>
      </w:r>
      <w:r w:rsidRPr="00CF0DCB">
        <w:rPr>
          <w:rFonts w:ascii="Palatino Linotype" w:eastAsia="MS Mincho" w:hAnsi="Palatino Linotype" w:cs="Arial"/>
          <w:lang w:val="es-MX" w:eastAsia="es-MX"/>
        </w:rPr>
        <w:t xml:space="preserve">acuerdo con el Manual para la planeación, programación y presupuesto de egresos municipal para el ejercicio fiscal correspondiente, define que los Formatos </w:t>
      </w:r>
      <w:r w:rsidRPr="00CF0DCB">
        <w:rPr>
          <w:rFonts w:ascii="Palatino Linotype" w:eastAsia="MS Mincho" w:hAnsi="Palatino Linotype" w:cs="Arial"/>
          <w:b/>
          <w:lang w:val="es-MX" w:eastAsia="es-MX"/>
        </w:rPr>
        <w:t>PbRM</w:t>
      </w:r>
      <w:r w:rsidRPr="00CF0DCB">
        <w:rPr>
          <w:rFonts w:ascii="Palatino Linotype" w:eastAsia="MS Mincho" w:hAnsi="Palatino Linotype" w:cs="Arial"/>
          <w:lang w:val="es-MX" w:eastAsia="es-MX"/>
        </w:rPr>
        <w:t xml:space="preserve">: </w:t>
      </w:r>
      <w:r w:rsidRPr="00CF0DCB">
        <w:rPr>
          <w:rFonts w:ascii="Palatino Linotype" w:eastAsia="MS Mincho" w:hAnsi="Palatino Linotype" w:cs="Arial"/>
          <w:u w:val="single"/>
          <w:lang w:val="es-MX" w:eastAsia="es-MX"/>
        </w:rPr>
        <w:t>son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8F1829" w:rsidRPr="00CF0DCB" w:rsidRDefault="008F1829" w:rsidP="00CF0DCB">
      <w:pPr>
        <w:spacing w:after="160" w:line="360" w:lineRule="auto"/>
        <w:ind w:left="720"/>
        <w:contextualSpacing/>
        <w:rPr>
          <w:rFonts w:ascii="Palatino Linotype" w:eastAsia="MS Mincho" w:hAnsi="Palatino Linotype" w:cs="Arial"/>
        </w:rPr>
      </w:pPr>
    </w:p>
    <w:p w:rsidR="008F1829" w:rsidRPr="00CF0DCB" w:rsidRDefault="008F1829" w:rsidP="00CF0DCB">
      <w:pPr>
        <w:numPr>
          <w:ilvl w:val="0"/>
          <w:numId w:val="1"/>
        </w:numPr>
        <w:spacing w:after="160" w:line="360" w:lineRule="auto"/>
        <w:ind w:left="0" w:right="34" w:firstLine="0"/>
        <w:contextualSpacing/>
        <w:jc w:val="both"/>
        <w:rPr>
          <w:rFonts w:ascii="Palatino Linotype" w:eastAsia="MS Mincho" w:hAnsi="Palatino Linotype" w:cs="Arial"/>
        </w:rPr>
      </w:pPr>
      <w:r w:rsidRPr="00CF0DCB">
        <w:rPr>
          <w:rFonts w:ascii="Palatino Linotype" w:eastAsia="MS Mincho" w:hAnsi="Palatino Linotype" w:cs="Arial"/>
        </w:rPr>
        <w:t>Asimismo, el manual en comento establece que para la integración del programa anual se debe tomar en consideración los puntos:</w:t>
      </w:r>
    </w:p>
    <w:p w:rsidR="008F1829" w:rsidRPr="00CF0DCB" w:rsidRDefault="008F1829" w:rsidP="00CF0DCB">
      <w:pPr>
        <w:spacing w:after="160" w:line="360" w:lineRule="auto"/>
        <w:ind w:left="567" w:right="567"/>
        <w:contextualSpacing/>
        <w:rPr>
          <w:rFonts w:ascii="Palatino Linotype" w:eastAsia="MS Mincho" w:hAnsi="Palatino Linotype" w:cs="Arial"/>
          <w:i/>
        </w:rPr>
      </w:pPr>
    </w:p>
    <w:p w:rsidR="008F1829" w:rsidRPr="00CF0DCB" w:rsidRDefault="008F1829" w:rsidP="00CF0DCB">
      <w:pPr>
        <w:numPr>
          <w:ilvl w:val="0"/>
          <w:numId w:val="45"/>
        </w:numPr>
        <w:spacing w:after="160" w:line="360" w:lineRule="auto"/>
        <w:ind w:left="567" w:right="567"/>
        <w:contextualSpacing/>
        <w:jc w:val="both"/>
        <w:rPr>
          <w:rFonts w:ascii="Palatino Linotype" w:eastAsia="MS Mincho" w:hAnsi="Palatino Linotype" w:cs="Arial"/>
          <w:i/>
        </w:rPr>
      </w:pPr>
      <w:r w:rsidRPr="00CF0DCB">
        <w:rPr>
          <w:rFonts w:ascii="Palatino Linotype" w:eastAsiaTheme="minorHAnsi" w:hAnsi="Palatino Linotype"/>
          <w:i/>
          <w:lang w:val="es-MX" w:eastAsia="en-US"/>
        </w:rPr>
        <w:t xml:space="preserve">El Programa Anual, constituye un componente del Presupuesto basado en Resultados (PbR), en el cual </w:t>
      </w:r>
      <w:r w:rsidRPr="00CF0DCB">
        <w:rPr>
          <w:rFonts w:ascii="Palatino Linotype" w:eastAsiaTheme="minorHAnsi" w:hAnsi="Palatino Linotype"/>
          <w:i/>
          <w:u w:val="single"/>
          <w:lang w:val="es-MX" w:eastAsia="en-US"/>
        </w:rPr>
        <w:t>se plasman los objetivos, estrategias, metas de actividad, indicadores y proyectos, de acuerdo a las prioridades del Plan de Desarrollo Municipal y las demandas de la sociedad, para ser traducidas en resultados concretos a visualizarse en el período presupuestal determinado</w:t>
      </w:r>
      <w:r w:rsidRPr="00CF0DCB">
        <w:rPr>
          <w:rFonts w:ascii="Palatino Linotype" w:eastAsiaTheme="minorHAnsi" w:hAnsi="Palatino Linotype"/>
          <w:i/>
          <w:lang w:val="es-MX" w:eastAsia="en-US"/>
        </w:rPr>
        <w:t xml:space="preserve">, lo que nos permite conocer con certeza acerca de: ¿qué se va a hacer?, ¿para lograr qué? y ¿cómo y cuándo se realizará?. </w:t>
      </w:r>
    </w:p>
    <w:p w:rsidR="008F1829" w:rsidRPr="00CF0DCB" w:rsidRDefault="008F1829" w:rsidP="00CF0DCB">
      <w:pPr>
        <w:numPr>
          <w:ilvl w:val="0"/>
          <w:numId w:val="45"/>
        </w:numPr>
        <w:spacing w:after="160" w:line="360" w:lineRule="auto"/>
        <w:ind w:left="567" w:right="567"/>
        <w:contextualSpacing/>
        <w:jc w:val="both"/>
        <w:rPr>
          <w:rFonts w:ascii="Palatino Linotype" w:eastAsia="MS Mincho" w:hAnsi="Palatino Linotype" w:cs="Arial"/>
          <w:i/>
        </w:rPr>
      </w:pPr>
      <w:r w:rsidRPr="00CF0DCB">
        <w:rPr>
          <w:rFonts w:ascii="Palatino Linotype" w:eastAsiaTheme="minorHAnsi" w:hAnsi="Palatino Linotype"/>
          <w:i/>
          <w:lang w:val="es-MX" w:eastAsia="en-US"/>
        </w:rPr>
        <w:t xml:space="preserve">La </w:t>
      </w:r>
      <w:r w:rsidRPr="00CF0DCB">
        <w:rPr>
          <w:rFonts w:ascii="Palatino Linotype" w:eastAsiaTheme="minorHAnsi" w:hAnsi="Palatino Linotype"/>
          <w:i/>
          <w:u w:val="single"/>
          <w:lang w:val="es-MX" w:eastAsia="en-US"/>
        </w:rPr>
        <w:t>integración del Programa Anual deberá partir del techo financiero que la Tesorería asigne a cada unidad administrativa de los municipios en cada Programa presupuestario y proyecto,</w:t>
      </w:r>
      <w:r w:rsidRPr="00CF0DCB">
        <w:rPr>
          <w:rFonts w:ascii="Palatino Linotype" w:eastAsiaTheme="minorHAnsi" w:hAnsi="Palatino Linotype"/>
          <w:i/>
          <w:lang w:val="es-MX" w:eastAsia="en-US"/>
        </w:rPr>
        <w:t xml:space="preserve"> lo que servirá de base para la programación y el costeo de las actividades a desarrollar del Anteproyecto de Presupuesto de Egresos; dicha </w:t>
      </w:r>
      <w:r w:rsidRPr="00CF0DCB">
        <w:rPr>
          <w:rFonts w:ascii="Palatino Linotype" w:eastAsiaTheme="minorHAnsi" w:hAnsi="Palatino Linotype"/>
          <w:i/>
          <w:u w:val="single"/>
          <w:lang w:val="es-MX" w:eastAsia="en-US"/>
        </w:rPr>
        <w:t>asignación se tendrá que llevar a cabo identificando la información plasmada en los formatos PbRM-01a y PbRM01b.</w:t>
      </w:r>
      <w:r w:rsidRPr="00CF0DCB">
        <w:rPr>
          <w:rFonts w:ascii="Palatino Linotype" w:eastAsiaTheme="minorHAnsi" w:hAnsi="Palatino Linotype"/>
          <w:i/>
          <w:lang w:val="es-MX" w:eastAsia="en-US"/>
        </w:rPr>
        <w:t xml:space="preserve"> </w:t>
      </w:r>
    </w:p>
    <w:p w:rsidR="008F1829" w:rsidRPr="00CF0DCB" w:rsidRDefault="008F1829" w:rsidP="00CF0DCB">
      <w:pPr>
        <w:numPr>
          <w:ilvl w:val="0"/>
          <w:numId w:val="45"/>
        </w:numPr>
        <w:spacing w:after="160" w:line="360" w:lineRule="auto"/>
        <w:ind w:left="567" w:right="567"/>
        <w:contextualSpacing/>
        <w:jc w:val="both"/>
        <w:rPr>
          <w:rFonts w:ascii="Palatino Linotype" w:eastAsia="MS Mincho" w:hAnsi="Palatino Linotype" w:cs="Arial"/>
          <w:i/>
        </w:rPr>
      </w:pPr>
      <w:r w:rsidRPr="00CF0DCB">
        <w:rPr>
          <w:rFonts w:ascii="Palatino Linotype" w:eastAsiaTheme="minorHAnsi" w:hAnsi="Palatino Linotype"/>
          <w:i/>
          <w:u w:val="single"/>
          <w:lang w:val="es-MX" w:eastAsia="en-US"/>
        </w:rPr>
        <w:t>Para fijar y dar a conocer a las Dependencias y Organismos Municipales los techos</w:t>
      </w:r>
      <w:r w:rsidRPr="00CF0DCB">
        <w:rPr>
          <w:rFonts w:ascii="Palatino Linotype" w:eastAsiaTheme="minorHAnsi" w:hAnsi="Palatino Linotype"/>
          <w:i/>
          <w:lang w:val="es-MX" w:eastAsia="en-US"/>
        </w:rPr>
        <w:t xml:space="preserve"> financieros tal como lo establece el Artículo 295 del Código Financiero del Estado de México y Municipios, </w:t>
      </w:r>
      <w:r w:rsidRPr="00CF0DCB">
        <w:rPr>
          <w:rFonts w:ascii="Palatino Linotype" w:eastAsiaTheme="minorHAnsi" w:hAnsi="Palatino Linotype"/>
          <w:i/>
          <w:u w:val="single"/>
          <w:lang w:val="es-MX" w:eastAsia="en-US"/>
        </w:rPr>
        <w:t xml:space="preserve">la Tesorería una vez estimando los ingresos e identificando los costos irreductibles </w:t>
      </w:r>
      <w:r w:rsidRPr="00CF0DCB">
        <w:rPr>
          <w:rFonts w:ascii="Palatino Linotype" w:eastAsiaTheme="minorHAnsi" w:hAnsi="Palatino Linotype"/>
          <w:i/>
          <w:lang w:val="es-MX" w:eastAsia="en-US"/>
        </w:rPr>
        <w:t xml:space="preserve">(servicios personales + materiales y suministros necesarios + servicios generales necesarios + gastos de deuda + pasivos), </w:t>
      </w:r>
      <w:r w:rsidRPr="00CF0DCB">
        <w:rPr>
          <w:rFonts w:ascii="Palatino Linotype" w:eastAsiaTheme="minorHAnsi" w:hAnsi="Palatino Linotype"/>
          <w:i/>
          <w:u w:val="single"/>
          <w:lang w:val="es-MX" w:eastAsia="en-US"/>
        </w:rPr>
        <w:t>fijará los techos financieros para cada Dependencia General.</w:t>
      </w:r>
      <w:r w:rsidRPr="00CF0DCB">
        <w:rPr>
          <w:rFonts w:ascii="Palatino Linotype" w:eastAsiaTheme="minorHAnsi" w:hAnsi="Palatino Linotype"/>
          <w:i/>
          <w:lang w:val="es-MX" w:eastAsia="en-US"/>
        </w:rPr>
        <w:t xml:space="preserve"> </w:t>
      </w:r>
    </w:p>
    <w:p w:rsidR="008F1829" w:rsidRPr="00CF0DCB" w:rsidRDefault="008F1829" w:rsidP="00CF0DCB">
      <w:pPr>
        <w:numPr>
          <w:ilvl w:val="0"/>
          <w:numId w:val="45"/>
        </w:numPr>
        <w:spacing w:after="160" w:line="360" w:lineRule="auto"/>
        <w:ind w:left="567" w:right="567"/>
        <w:contextualSpacing/>
        <w:jc w:val="both"/>
        <w:rPr>
          <w:rFonts w:ascii="Palatino Linotype" w:eastAsia="MS Mincho" w:hAnsi="Palatino Linotype" w:cs="Arial"/>
          <w:i/>
        </w:rPr>
      </w:pPr>
      <w:r w:rsidRPr="00CF0DCB">
        <w:rPr>
          <w:rFonts w:ascii="Palatino Linotype" w:eastAsiaTheme="minorHAnsi" w:hAnsi="Palatino Linotype"/>
          <w:i/>
          <w:lang w:val="es-MX" w:eastAsia="en-US"/>
        </w:rPr>
        <w:t xml:space="preserve">El Programa Anual deberá permitir la evaluación programática y presupuestal del ejercicio del gasto, en términos de resultados, tanto cuantitativos como cualitativos. </w:t>
      </w:r>
    </w:p>
    <w:p w:rsidR="008F1829" w:rsidRPr="00CF0DCB" w:rsidRDefault="008F1829" w:rsidP="00CF0DCB">
      <w:pPr>
        <w:numPr>
          <w:ilvl w:val="0"/>
          <w:numId w:val="45"/>
        </w:numPr>
        <w:spacing w:after="160" w:line="360" w:lineRule="auto"/>
        <w:ind w:left="567" w:right="567"/>
        <w:contextualSpacing/>
        <w:jc w:val="both"/>
        <w:rPr>
          <w:rFonts w:ascii="Palatino Linotype" w:eastAsia="MS Mincho" w:hAnsi="Palatino Linotype" w:cs="Arial"/>
          <w:i/>
          <w:u w:val="single"/>
        </w:rPr>
      </w:pPr>
      <w:r w:rsidRPr="00CF0DCB">
        <w:rPr>
          <w:rFonts w:ascii="Palatino Linotype" w:eastAsiaTheme="minorHAnsi" w:hAnsi="Palatino Linotype"/>
          <w:i/>
          <w:u w:val="single"/>
          <w:lang w:val="es-MX" w:eastAsia="en-US"/>
        </w:rPr>
        <w:t>Para la formulación del Programa Anual deberán ser llenados los formatos: PbRM-01a; PbRM-01b; PbRM-01c; PbRM-01dy PbRM-01e.</w:t>
      </w:r>
    </w:p>
    <w:p w:rsidR="008F1829" w:rsidRPr="00CF0DCB" w:rsidRDefault="008F1829"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En ese </w:t>
      </w:r>
      <w:r w:rsidR="008F1829" w:rsidRPr="00CF0DCB">
        <w:rPr>
          <w:rFonts w:ascii="Palatino Linotype" w:hAnsi="Palatino Linotype" w:cs="Arial"/>
          <w:lang w:val="es-MX"/>
        </w:rPr>
        <w:t xml:space="preserve">sentido, y afecto de atender los diversos </w:t>
      </w:r>
      <w:r w:rsidRPr="00CF0DCB">
        <w:rPr>
          <w:rFonts w:ascii="Palatino Linotype" w:hAnsi="Palatino Linotype" w:cs="Arial"/>
          <w:lang w:val="es-MX"/>
        </w:rPr>
        <w:t>requerimiento</w:t>
      </w:r>
      <w:r w:rsidR="008F1829" w:rsidRPr="00CF0DCB">
        <w:rPr>
          <w:rFonts w:ascii="Palatino Linotype" w:hAnsi="Palatino Linotype" w:cs="Arial"/>
          <w:lang w:val="es-MX"/>
        </w:rPr>
        <w:t>s</w:t>
      </w:r>
      <w:r w:rsidRPr="00CF0DCB">
        <w:rPr>
          <w:rFonts w:ascii="Palatino Linotype" w:hAnsi="Palatino Linotype" w:cs="Arial"/>
          <w:lang w:val="es-MX"/>
        </w:rPr>
        <w:t xml:space="preserve"> consistente en acceder a “ los formatos </w:t>
      </w:r>
      <w:r w:rsidRPr="00CF0DCB">
        <w:rPr>
          <w:rFonts w:ascii="Palatino Linotype" w:eastAsia="MS Mincho" w:hAnsi="Palatino Linotype" w:cs="Times New Roman"/>
          <w:i/>
        </w:rPr>
        <w:t>PbRM 01a, PbRM 01b, PbRM 01c, PbRM 01d y PbRM 02a de los ejercicios fiscales 2013, 2014, 2015, 2016, 2017, 2018, 2019</w:t>
      </w:r>
      <w:r w:rsidRPr="00CF0DCB">
        <w:rPr>
          <w:rFonts w:ascii="Palatino Linotype" w:eastAsia="MS Mincho" w:hAnsi="Palatino Linotype" w:cs="Times New Roman"/>
          <w:b/>
          <w:i/>
        </w:rPr>
        <w:t>”</w:t>
      </w:r>
      <w:r w:rsidRPr="00CF0DCB">
        <w:rPr>
          <w:rFonts w:ascii="Palatino Linotype" w:eastAsia="MS Mincho" w:hAnsi="Palatino Linotype" w:cs="Times New Roman"/>
          <w:i/>
        </w:rPr>
        <w:t>,</w:t>
      </w:r>
      <w:r w:rsidRPr="00CF0DCB">
        <w:rPr>
          <w:rFonts w:ascii="Palatino Linotype" w:eastAsia="MS Mincho" w:hAnsi="Palatino Linotype" w:cs="Times New Roman"/>
        </w:rPr>
        <w:t xml:space="preserve"> es oportuno establecer que la particular requiere acceso al presupuesto de egresos por lo que resulta necesario traer a contexto lo que establece el Manual anteriormente citado mismo que refiere lo siguiente: </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tabs>
          <w:tab w:val="left" w:pos="8080"/>
        </w:tabs>
        <w:spacing w:before="240" w:after="240" w:line="360" w:lineRule="auto"/>
        <w:ind w:left="567" w:right="567"/>
        <w:jc w:val="both"/>
        <w:rPr>
          <w:rFonts w:ascii="Palatino Linotype" w:hAnsi="Palatino Linotype" w:cs="Arial"/>
          <w:b/>
          <w:i/>
        </w:rPr>
      </w:pPr>
      <w:r w:rsidRPr="00CF0DCB">
        <w:rPr>
          <w:rFonts w:ascii="Palatino Linotype" w:hAnsi="Palatino Linotype" w:cs="Arial"/>
          <w:b/>
          <w:i/>
        </w:rPr>
        <w:t xml:space="preserve">“Presupuesto de Egresos Municipal. </w:t>
      </w:r>
    </w:p>
    <w:p w:rsidR="006A2740" w:rsidRPr="00CF0DCB" w:rsidRDefault="006A2740" w:rsidP="00CF0DCB">
      <w:pPr>
        <w:pStyle w:val="Prrafodelista"/>
        <w:tabs>
          <w:tab w:val="left" w:pos="8080"/>
        </w:tabs>
        <w:spacing w:before="240" w:after="240" w:line="360" w:lineRule="auto"/>
        <w:ind w:left="567" w:right="567"/>
        <w:jc w:val="both"/>
        <w:rPr>
          <w:rFonts w:ascii="Palatino Linotype" w:hAnsi="Palatino Linotype" w:cs="Arial"/>
          <w:b/>
          <w:i/>
        </w:rPr>
      </w:pPr>
    </w:p>
    <w:p w:rsidR="006A2740" w:rsidRPr="00CF0DCB" w:rsidRDefault="006A2740" w:rsidP="00CF0DCB">
      <w:pPr>
        <w:pStyle w:val="Prrafodelista"/>
        <w:tabs>
          <w:tab w:val="left" w:pos="8080"/>
        </w:tabs>
        <w:spacing w:before="240" w:after="240" w:line="360" w:lineRule="auto"/>
        <w:ind w:left="567" w:right="567"/>
        <w:jc w:val="both"/>
        <w:rPr>
          <w:rFonts w:ascii="Palatino Linotype" w:hAnsi="Palatino Linotype" w:cs="Arial"/>
          <w:i/>
        </w:rPr>
      </w:pPr>
      <w:r w:rsidRPr="00CF0DCB">
        <w:rPr>
          <w:rFonts w:ascii="Palatino Linotype" w:hAnsi="Palatino Linotype" w:cs="Arial"/>
          <w:i/>
        </w:rPr>
        <w:t>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PbRM 01a y PbRM 01c.</w:t>
      </w:r>
    </w:p>
    <w:p w:rsidR="006A2740" w:rsidRPr="00CF0DCB" w:rsidRDefault="006A2740" w:rsidP="00CF0DCB">
      <w:pPr>
        <w:pStyle w:val="Prrafodelista"/>
        <w:tabs>
          <w:tab w:val="left" w:pos="8080"/>
        </w:tabs>
        <w:spacing w:before="240" w:after="240" w:line="360" w:lineRule="auto"/>
        <w:ind w:left="567" w:right="567"/>
        <w:jc w:val="both"/>
        <w:rPr>
          <w:rFonts w:ascii="Palatino Linotype" w:hAnsi="Palatino Linotype" w:cs="Arial"/>
          <w:i/>
        </w:rPr>
      </w:pPr>
    </w:p>
    <w:p w:rsidR="006A2740" w:rsidRPr="00CF0DCB" w:rsidRDefault="006A2740" w:rsidP="00CF0DCB">
      <w:pPr>
        <w:pStyle w:val="Prrafodelista"/>
        <w:tabs>
          <w:tab w:val="left" w:pos="8080"/>
        </w:tabs>
        <w:spacing w:before="240" w:after="240" w:line="360" w:lineRule="auto"/>
        <w:ind w:left="567" w:right="567"/>
        <w:jc w:val="both"/>
        <w:rPr>
          <w:rFonts w:ascii="Palatino Linotype" w:hAnsi="Palatino Linotype" w:cs="Arial"/>
          <w:i/>
        </w:rPr>
      </w:pPr>
      <w:r w:rsidRPr="00CF0DCB">
        <w:rPr>
          <w:rFonts w:ascii="Palatino Linotype" w:hAnsi="Palatino Linotype" w:cs="Arial"/>
          <w:i/>
        </w:rPr>
        <w:t xml:space="preserve"> 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PbR-01c.En este formato se identifica el compromiso de fechas en que se realizarán las metas.”</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9F0B82"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eastAsia="MS Mincho" w:hAnsi="Palatino Linotype" w:cs="Times New Roman"/>
        </w:rPr>
        <w:t>E</w:t>
      </w:r>
      <w:r w:rsidR="006A2740" w:rsidRPr="00CF0DCB">
        <w:rPr>
          <w:rFonts w:ascii="Palatino Linotype" w:eastAsia="MS Mincho" w:hAnsi="Palatino Linotype" w:cs="Times New Roman"/>
        </w:rPr>
        <w:t>l Código Financiero del Estado de México y Municipios, artículo 285 primer párrafo conceptualiza</w:t>
      </w:r>
      <w:r w:rsidR="006A2740" w:rsidRPr="00CF0DCB">
        <w:rPr>
          <w:rFonts w:ascii="Palatino Linotype" w:eastAsia="Calibri" w:hAnsi="Palatino Linotype" w:cs="Times New Roman"/>
          <w:lang w:val="es-MX" w:eastAsia="en-US"/>
        </w:rPr>
        <w:t xml:space="preserve">, al Presupuesto de Egresos Municipal de la siguiente forma: </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tabs>
          <w:tab w:val="left" w:pos="8505"/>
        </w:tabs>
        <w:spacing w:line="360" w:lineRule="auto"/>
        <w:ind w:left="567" w:right="425"/>
        <w:jc w:val="both"/>
        <w:rPr>
          <w:rFonts w:ascii="Palatino Linotype" w:eastAsia="Calibri" w:hAnsi="Palatino Linotype" w:cs="Times New Roman"/>
          <w:i/>
          <w:lang w:eastAsia="en-US"/>
        </w:rPr>
      </w:pPr>
      <w:r w:rsidRPr="00CF0DCB">
        <w:rPr>
          <w:rFonts w:ascii="Palatino Linotype" w:eastAsia="Calibri" w:hAnsi="Palatino Linotype" w:cs="Times New Roman"/>
          <w:b/>
          <w:i/>
          <w:lang w:eastAsia="en-US"/>
        </w:rPr>
        <w:t>“Artículo 285.-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w:t>
      </w:r>
      <w:r w:rsidRPr="00CF0DCB">
        <w:rPr>
          <w:rFonts w:ascii="Palatino Linotype" w:eastAsia="Calibri" w:hAnsi="Palatino Linotype" w:cs="Times New Roman"/>
          <w:i/>
          <w:lang w:eastAsia="en-US"/>
        </w:rPr>
        <w:t xml:space="preserve"> durante el ejercicio fiscal correspondiente, así como de aquellos de naturaleza multianual propuestos por la Secretaría.</w:t>
      </w:r>
    </w:p>
    <w:p w:rsidR="006A2740" w:rsidRPr="00CF0DCB" w:rsidRDefault="006A2740" w:rsidP="00CF0DCB">
      <w:pPr>
        <w:pStyle w:val="Prrafodelista"/>
        <w:tabs>
          <w:tab w:val="left" w:pos="8505"/>
        </w:tabs>
        <w:spacing w:line="360" w:lineRule="auto"/>
        <w:ind w:left="567" w:right="709"/>
        <w:jc w:val="both"/>
        <w:rPr>
          <w:rFonts w:ascii="Palatino Linotype" w:eastAsia="Calibri" w:hAnsi="Palatino Linotype" w:cs="Times New Roman"/>
          <w:i/>
          <w:lang w:eastAsia="en-US"/>
        </w:rPr>
      </w:pPr>
      <w:r w:rsidRPr="00CF0DCB">
        <w:rPr>
          <w:rFonts w:ascii="Palatino Linotype" w:eastAsia="Calibri" w:hAnsi="Palatino Linotype" w:cs="Times New Roman"/>
          <w:i/>
          <w:lang w:eastAsia="en-US"/>
        </w:rPr>
        <w:t>(</w:t>
      </w:r>
      <w:r w:rsidRPr="00CF0DCB">
        <w:rPr>
          <w:rFonts w:ascii="Palatino Linotype" w:eastAsia="Calibri" w:hAnsi="Palatino Linotype" w:cs="Times New Roman"/>
          <w:b/>
          <w:i/>
          <w:lang w:eastAsia="en-US"/>
        </w:rPr>
        <w:t>…</w:t>
      </w:r>
      <w:r w:rsidRPr="00CF0DCB">
        <w:rPr>
          <w:rFonts w:ascii="Palatino Linotype" w:eastAsia="Calibri" w:hAnsi="Palatino Linotype" w:cs="Times New Roman"/>
          <w:i/>
          <w:lang w:eastAsia="en-US"/>
        </w:rPr>
        <w:t>)”</w:t>
      </w:r>
    </w:p>
    <w:p w:rsidR="006A2740" w:rsidRPr="00CF0DCB" w:rsidRDefault="006A2740" w:rsidP="00CF0DCB">
      <w:pPr>
        <w:pStyle w:val="Prrafodelista"/>
        <w:tabs>
          <w:tab w:val="left" w:pos="8505"/>
        </w:tabs>
        <w:spacing w:line="360" w:lineRule="auto"/>
        <w:ind w:left="567" w:right="709"/>
        <w:jc w:val="both"/>
        <w:rPr>
          <w:rFonts w:ascii="Palatino Linotype" w:eastAsia="Calibri" w:hAnsi="Palatino Linotype" w:cs="Times New Roman"/>
          <w:i/>
          <w:lang w:eastAsia="en-US"/>
        </w:rPr>
      </w:pPr>
      <w:r w:rsidRPr="00CF0DCB">
        <w:rPr>
          <w:rFonts w:ascii="Palatino Linotype" w:eastAsia="Calibri" w:hAnsi="Palatino Linotype" w:cs="Times New Roman"/>
          <w:i/>
          <w:lang w:eastAsia="en-US"/>
        </w:rPr>
        <w:t xml:space="preserve">(Énfasis añadido) </w:t>
      </w:r>
    </w:p>
    <w:p w:rsidR="006A2740" w:rsidRPr="00CF0DCB" w:rsidRDefault="006A2740" w:rsidP="00CF0DCB">
      <w:pPr>
        <w:pStyle w:val="Prrafodelista"/>
        <w:tabs>
          <w:tab w:val="left" w:pos="8505"/>
        </w:tabs>
        <w:spacing w:line="360" w:lineRule="auto"/>
        <w:ind w:left="567" w:right="709"/>
        <w:jc w:val="both"/>
        <w:rPr>
          <w:rFonts w:ascii="Palatino Linotype" w:eastAsia="Calibri" w:hAnsi="Palatino Linotype" w:cs="Times New Roman"/>
          <w:i/>
          <w:lang w:eastAsia="en-US"/>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i/>
        </w:rPr>
      </w:pPr>
      <w:r w:rsidRPr="00CF0DCB">
        <w:rPr>
          <w:rFonts w:ascii="Palatino Linotype" w:hAnsi="Palatino Linotype"/>
        </w:rPr>
        <w:t xml:space="preserve">Así las cosas el </w:t>
      </w:r>
      <w:r w:rsidRPr="00CF0DCB">
        <w:rPr>
          <w:rFonts w:ascii="Palatino Linotype" w:hAnsi="Palatino Linotype"/>
          <w:lang w:val="es-MX"/>
        </w:rPr>
        <w:t>Código Financiero del Estado de México y Municipios establece en su artículo 302 segundo párrafo,  que para el caso de los municipios, el Presidente Municipal presentará al Ayuntamiento a más tardar el veinte de diciembre, el Proyecto del Presupuesto de Egresos:</w:t>
      </w:r>
    </w:p>
    <w:p w:rsidR="006A2740" w:rsidRPr="00CF0DCB" w:rsidRDefault="006A2740" w:rsidP="00CF0DCB">
      <w:pPr>
        <w:pStyle w:val="Prrafodelista"/>
        <w:spacing w:before="240" w:after="240" w:line="360" w:lineRule="auto"/>
        <w:ind w:left="0"/>
        <w:jc w:val="both"/>
        <w:rPr>
          <w:rFonts w:ascii="Palatino Linotype" w:hAnsi="Palatino Linotype"/>
          <w:i/>
        </w:rPr>
      </w:pPr>
    </w:p>
    <w:p w:rsidR="006A2740" w:rsidRPr="00CF0DCB" w:rsidRDefault="006A2740" w:rsidP="00CF0DCB">
      <w:pPr>
        <w:pStyle w:val="Prrafodelista"/>
        <w:spacing w:before="240" w:after="240" w:line="360" w:lineRule="auto"/>
        <w:ind w:left="567" w:right="425"/>
        <w:jc w:val="both"/>
        <w:rPr>
          <w:rFonts w:ascii="Palatino Linotype" w:hAnsi="Palatino Linotype"/>
          <w:i/>
        </w:rPr>
      </w:pPr>
      <w:r w:rsidRPr="00CF0DCB">
        <w:rPr>
          <w:rFonts w:ascii="Palatino Linotype" w:hAnsi="Palatino Linotype"/>
          <w:i/>
        </w:rPr>
        <w:t>“</w:t>
      </w:r>
      <w:r w:rsidRPr="00CF0DCB">
        <w:rPr>
          <w:rFonts w:ascii="Palatino Linotype" w:hAnsi="Palatino Linotype"/>
          <w:b/>
          <w:i/>
        </w:rPr>
        <w:t>Artículo 302</w:t>
      </w:r>
      <w:r w:rsidRPr="00CF0DCB">
        <w:rPr>
          <w:rFonts w:ascii="Palatino Linotype" w:hAnsi="Palatino Linotype"/>
          <w:i/>
        </w:rPr>
        <w:t xml:space="preserve">.- El Gobernador presentará a la Legislatura a mas tardar el veintiuno de noviembre el Proyecto del Presupuesto de Egresos del Gobierno del Estado. </w:t>
      </w:r>
    </w:p>
    <w:p w:rsidR="006A2740" w:rsidRPr="00CF0DCB" w:rsidRDefault="006A2740" w:rsidP="00CF0DCB">
      <w:pPr>
        <w:pStyle w:val="Prrafodelista"/>
        <w:spacing w:before="240" w:after="240" w:line="360" w:lineRule="auto"/>
        <w:ind w:left="567" w:right="425"/>
        <w:jc w:val="both"/>
        <w:rPr>
          <w:rFonts w:ascii="Palatino Linotype" w:hAnsi="Palatino Linotype"/>
          <w:i/>
        </w:rPr>
      </w:pPr>
    </w:p>
    <w:p w:rsidR="006A2740" w:rsidRPr="00CF0DCB" w:rsidRDefault="006A2740" w:rsidP="00CF0DCB">
      <w:pPr>
        <w:pStyle w:val="Prrafodelista"/>
        <w:spacing w:before="240" w:after="240" w:line="360" w:lineRule="auto"/>
        <w:ind w:left="567" w:right="425"/>
        <w:jc w:val="both"/>
        <w:rPr>
          <w:rFonts w:ascii="Palatino Linotype" w:hAnsi="Palatino Linotype"/>
          <w:i/>
        </w:rPr>
      </w:pPr>
      <w:r w:rsidRPr="00CF0DCB">
        <w:rPr>
          <w:rFonts w:ascii="Palatino Linotype" w:hAnsi="Palatino Linotype"/>
          <w:i/>
        </w:rPr>
        <w:t>En el caso de los Municipios, el Presidente Municipal lo presentará al Ayuntamiento a más tardar el veinte de diciembre.”</w:t>
      </w:r>
    </w:p>
    <w:p w:rsidR="006A2740" w:rsidRPr="00CF0DCB" w:rsidRDefault="006A2740" w:rsidP="00CF0DCB">
      <w:pPr>
        <w:pStyle w:val="Prrafodelista"/>
        <w:spacing w:before="240" w:after="240" w:line="360" w:lineRule="auto"/>
        <w:ind w:left="567" w:right="567"/>
        <w:jc w:val="both"/>
        <w:rPr>
          <w:rFonts w:ascii="Palatino Linotype" w:hAnsi="Palatino Linotype"/>
          <w:i/>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Señalado lo anterior, el artículo 304 fracción VII  del Código Financiero en comento establece que el Proyecto de Presupuesto de Egresos, a nivel municipal, deberá incluir, entre otras cosas lo siguiente: </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spacing w:before="240" w:after="240" w:line="360" w:lineRule="auto"/>
        <w:ind w:left="567" w:right="425"/>
        <w:jc w:val="both"/>
        <w:rPr>
          <w:rFonts w:ascii="Palatino Linotype" w:hAnsi="Palatino Linotype" w:cs="Arial"/>
          <w:i/>
          <w:lang w:val="es-MX"/>
        </w:rPr>
      </w:pPr>
      <w:r w:rsidRPr="00CF0DCB">
        <w:rPr>
          <w:rFonts w:ascii="Palatino Linotype" w:hAnsi="Palatino Linotype" w:cs="Arial"/>
          <w:i/>
        </w:rPr>
        <w:t>“</w:t>
      </w:r>
      <w:r w:rsidRPr="00CF0DCB">
        <w:rPr>
          <w:rFonts w:ascii="Palatino Linotype" w:hAnsi="Palatino Linotype" w:cs="Arial"/>
          <w:b/>
          <w:i/>
        </w:rPr>
        <w:t>Artículo 304.-</w:t>
      </w:r>
      <w:r w:rsidRPr="00CF0DCB">
        <w:rPr>
          <w:rFonts w:ascii="Palatino Linotype" w:hAnsi="Palatino Linotype" w:cs="Arial"/>
          <w:i/>
        </w:rPr>
        <w:t xml:space="preserve"> La presentación del Proyecto de Presupuesto de Egresos, tanto a nivel estatal como municipal, deberá incluir, lo siguiente:</w:t>
      </w:r>
    </w:p>
    <w:p w:rsidR="006A2740" w:rsidRPr="00CF0DCB" w:rsidRDefault="006A2740" w:rsidP="00CF0DCB">
      <w:pPr>
        <w:tabs>
          <w:tab w:val="left" w:pos="709"/>
        </w:tabs>
        <w:spacing w:line="360" w:lineRule="auto"/>
        <w:ind w:left="567" w:right="567"/>
        <w:jc w:val="both"/>
        <w:rPr>
          <w:rFonts w:ascii="Palatino Linotype" w:hAnsi="Palatino Linotype"/>
          <w:i/>
        </w:rPr>
      </w:pPr>
      <w:r w:rsidRPr="00CF0DCB">
        <w:rPr>
          <w:rFonts w:ascii="Palatino Linotype" w:hAnsi="Palatino Linotype"/>
          <w:i/>
        </w:rPr>
        <w:t>(…)</w:t>
      </w:r>
    </w:p>
    <w:p w:rsidR="006A2740" w:rsidRPr="00CF0DCB" w:rsidRDefault="006A2740" w:rsidP="00CF0DCB">
      <w:pPr>
        <w:tabs>
          <w:tab w:val="left" w:pos="709"/>
        </w:tabs>
        <w:spacing w:line="360" w:lineRule="auto"/>
        <w:ind w:left="567" w:right="425"/>
        <w:jc w:val="both"/>
        <w:rPr>
          <w:rFonts w:ascii="Palatino Linotype" w:hAnsi="Palatino Linotype"/>
          <w:i/>
        </w:rPr>
      </w:pPr>
    </w:p>
    <w:p w:rsidR="006A2740" w:rsidRPr="00CF0DCB" w:rsidRDefault="006A2740" w:rsidP="00CF0DCB">
      <w:pPr>
        <w:tabs>
          <w:tab w:val="left" w:pos="709"/>
        </w:tabs>
        <w:spacing w:line="360" w:lineRule="auto"/>
        <w:ind w:left="567" w:right="425"/>
        <w:jc w:val="both"/>
        <w:rPr>
          <w:rFonts w:ascii="Palatino Linotype" w:hAnsi="Palatino Linotype"/>
          <w:i/>
        </w:rPr>
      </w:pPr>
      <w:r w:rsidRPr="00CF0DCB">
        <w:rPr>
          <w:rFonts w:ascii="Palatino Linotype" w:hAnsi="Palatino Linotype"/>
          <w:i/>
        </w:rPr>
        <w:t xml:space="preserve">VII. Estimaciones de egresos, por cada una de sus fuentes, agrupados de la siguiente forma: </w:t>
      </w:r>
    </w:p>
    <w:p w:rsidR="006A2740" w:rsidRPr="00CF0DCB" w:rsidRDefault="006A2740" w:rsidP="00CF0DCB">
      <w:pPr>
        <w:tabs>
          <w:tab w:val="left" w:pos="709"/>
        </w:tabs>
        <w:spacing w:line="360" w:lineRule="auto"/>
        <w:ind w:left="567" w:right="425"/>
        <w:jc w:val="both"/>
        <w:rPr>
          <w:rFonts w:ascii="Palatino Linotype" w:hAnsi="Palatino Linotype"/>
          <w:b/>
          <w:i/>
        </w:rPr>
      </w:pPr>
      <w:r w:rsidRPr="00CF0DCB">
        <w:rPr>
          <w:rFonts w:ascii="Palatino Linotype" w:hAnsi="Palatino Linotype"/>
          <w:b/>
          <w:i/>
        </w:rPr>
        <w:t xml:space="preserve">1.- Clasificación Programática a nivel de programas presupuestarios y proyectos. </w:t>
      </w:r>
    </w:p>
    <w:p w:rsidR="006A2740" w:rsidRPr="00CF0DCB" w:rsidRDefault="006A2740" w:rsidP="00CF0DCB">
      <w:pPr>
        <w:tabs>
          <w:tab w:val="left" w:pos="709"/>
        </w:tabs>
        <w:spacing w:line="360" w:lineRule="auto"/>
        <w:ind w:left="567" w:right="425"/>
        <w:jc w:val="both"/>
        <w:rPr>
          <w:rFonts w:ascii="Palatino Linotype" w:hAnsi="Palatino Linotype"/>
          <w:b/>
          <w:i/>
        </w:rPr>
      </w:pPr>
      <w:r w:rsidRPr="00CF0DCB">
        <w:rPr>
          <w:rFonts w:ascii="Palatino Linotype" w:hAnsi="Palatino Linotype"/>
          <w:b/>
          <w:i/>
        </w:rPr>
        <w:t>2.- Clasificación Administrativa.</w:t>
      </w:r>
    </w:p>
    <w:p w:rsidR="006A2740" w:rsidRPr="00CF0DCB" w:rsidRDefault="006A2740" w:rsidP="00CF0DCB">
      <w:pPr>
        <w:tabs>
          <w:tab w:val="left" w:pos="709"/>
        </w:tabs>
        <w:spacing w:line="360" w:lineRule="auto"/>
        <w:ind w:left="567" w:right="425"/>
        <w:jc w:val="both"/>
        <w:rPr>
          <w:rFonts w:ascii="Palatino Linotype" w:hAnsi="Palatino Linotype"/>
          <w:i/>
        </w:rPr>
      </w:pPr>
      <w:r w:rsidRPr="00CF0DCB">
        <w:rPr>
          <w:rFonts w:ascii="Palatino Linotype" w:hAnsi="Palatino Linotype"/>
          <w:b/>
          <w:i/>
        </w:rPr>
        <w:t>3.- Clasificación Económica</w:t>
      </w:r>
      <w:r w:rsidRPr="00CF0DCB">
        <w:rPr>
          <w:rFonts w:ascii="Palatino Linotype" w:hAnsi="Palatino Linotype"/>
          <w:i/>
        </w:rPr>
        <w:t>.”</w:t>
      </w:r>
    </w:p>
    <w:p w:rsidR="006A2740" w:rsidRPr="00CF0DCB" w:rsidRDefault="006A2740" w:rsidP="00CF0DCB">
      <w:pPr>
        <w:tabs>
          <w:tab w:val="left" w:pos="709"/>
          <w:tab w:val="left" w:pos="7655"/>
          <w:tab w:val="left" w:pos="7797"/>
        </w:tabs>
        <w:spacing w:line="360" w:lineRule="auto"/>
        <w:ind w:left="567" w:right="142"/>
        <w:jc w:val="both"/>
        <w:rPr>
          <w:rFonts w:ascii="Palatino Linotype" w:hAnsi="Palatino Linotype"/>
          <w:i/>
        </w:rPr>
      </w:pPr>
    </w:p>
    <w:p w:rsidR="006A2740" w:rsidRPr="00CF0DCB" w:rsidRDefault="006A2740" w:rsidP="00CF0DCB">
      <w:pPr>
        <w:pStyle w:val="Prrafodelista"/>
        <w:numPr>
          <w:ilvl w:val="0"/>
          <w:numId w:val="1"/>
        </w:numPr>
        <w:tabs>
          <w:tab w:val="left" w:pos="709"/>
          <w:tab w:val="left" w:pos="7655"/>
          <w:tab w:val="left" w:pos="7797"/>
        </w:tabs>
        <w:spacing w:line="360" w:lineRule="auto"/>
        <w:ind w:left="0" w:right="142" w:firstLine="0"/>
        <w:jc w:val="both"/>
        <w:rPr>
          <w:rFonts w:ascii="Palatino Linotype" w:eastAsia="Calibri" w:hAnsi="Palatino Linotype" w:cs="Times New Roman"/>
          <w:color w:val="000000"/>
          <w:lang w:val="es-MX" w:eastAsia="en-US"/>
        </w:rPr>
      </w:pPr>
      <w:r w:rsidRPr="00CF0DCB">
        <w:rPr>
          <w:rFonts w:ascii="Palatino Linotype" w:eastAsia="Times New Roman" w:hAnsi="Palatino Linotype" w:cs="Arial"/>
          <w:lang w:val="es-ES"/>
        </w:rPr>
        <w:t>Atendido lo anterior tenemos que la composición del Presupuesto de Egresos contempla diversos formatos dentro de los que encontramos los solicitados por la particular siendo los siguientes:</w:t>
      </w:r>
    </w:p>
    <w:p w:rsidR="006A2740" w:rsidRPr="00CF0DCB" w:rsidRDefault="006A2740" w:rsidP="00CF0DCB">
      <w:pPr>
        <w:pStyle w:val="Prrafodelista"/>
        <w:tabs>
          <w:tab w:val="left" w:pos="709"/>
        </w:tabs>
        <w:spacing w:line="360" w:lineRule="auto"/>
        <w:ind w:left="0"/>
        <w:jc w:val="both"/>
        <w:rPr>
          <w:rFonts w:ascii="Palatino Linotype" w:eastAsia="Calibri" w:hAnsi="Palatino Linotype" w:cs="Times New Roman"/>
          <w:color w:val="000000"/>
          <w:lang w:val="es-MX" w:eastAsia="en-US"/>
        </w:rPr>
      </w:pPr>
    </w:p>
    <w:p w:rsidR="006A2740" w:rsidRPr="00CF0DCB" w:rsidRDefault="006A2740" w:rsidP="00CF0DCB">
      <w:pPr>
        <w:pStyle w:val="Prrafodelista"/>
        <w:tabs>
          <w:tab w:val="left" w:pos="709"/>
        </w:tabs>
        <w:spacing w:line="360" w:lineRule="auto"/>
        <w:ind w:left="567" w:right="425"/>
        <w:jc w:val="both"/>
        <w:rPr>
          <w:rFonts w:ascii="Palatino Linotype" w:eastAsia="Calibri" w:hAnsi="Palatino Linotype" w:cs="Times New Roman"/>
          <w:i/>
          <w:color w:val="000000"/>
          <w:lang w:val="es-MX" w:eastAsia="en-US"/>
        </w:rPr>
      </w:pPr>
      <w:r w:rsidRPr="00CF0DCB">
        <w:rPr>
          <w:rFonts w:ascii="Palatino Linotype" w:eastAsia="Calibri" w:hAnsi="Palatino Linotype" w:cs="Times New Roman"/>
          <w:i/>
          <w:color w:val="000000"/>
          <w:lang w:val="es-MX" w:eastAsia="en-US"/>
        </w:rPr>
        <w:t>“PbRM-01a Programa Anual Dimensión Administrativa del Gasto;</w:t>
      </w:r>
    </w:p>
    <w:p w:rsidR="006A2740" w:rsidRPr="00CF0DCB" w:rsidRDefault="006A2740" w:rsidP="00CF0DCB">
      <w:pPr>
        <w:pStyle w:val="Prrafodelista"/>
        <w:tabs>
          <w:tab w:val="left" w:pos="709"/>
        </w:tabs>
        <w:spacing w:line="360" w:lineRule="auto"/>
        <w:ind w:left="567" w:right="425"/>
        <w:jc w:val="both"/>
        <w:rPr>
          <w:rFonts w:ascii="Palatino Linotype" w:eastAsia="Calibri" w:hAnsi="Palatino Linotype" w:cs="Times New Roman"/>
          <w:i/>
          <w:color w:val="000000"/>
          <w:lang w:val="es-MX" w:eastAsia="en-US"/>
        </w:rPr>
      </w:pPr>
      <w:r w:rsidRPr="00CF0DCB">
        <w:rPr>
          <w:rFonts w:ascii="Palatino Linotype" w:eastAsia="Calibri" w:hAnsi="Palatino Linotype" w:cs="Times New Roman"/>
          <w:i/>
          <w:color w:val="000000"/>
          <w:lang w:val="es-MX" w:eastAsia="en-US"/>
        </w:rPr>
        <w:t>PbRM-01b Programa Anual Descripción del Programa Presupuestario;</w:t>
      </w:r>
    </w:p>
    <w:p w:rsidR="006A2740" w:rsidRPr="00CF0DCB" w:rsidRDefault="006A2740" w:rsidP="00CF0DCB">
      <w:pPr>
        <w:pStyle w:val="Prrafodelista"/>
        <w:tabs>
          <w:tab w:val="left" w:pos="709"/>
        </w:tabs>
        <w:spacing w:line="360" w:lineRule="auto"/>
        <w:ind w:left="567" w:right="425"/>
        <w:jc w:val="both"/>
        <w:rPr>
          <w:rFonts w:ascii="Palatino Linotype" w:eastAsia="Calibri" w:hAnsi="Palatino Linotype" w:cs="Times New Roman"/>
          <w:i/>
          <w:color w:val="000000"/>
          <w:lang w:val="es-MX" w:eastAsia="en-US"/>
        </w:rPr>
      </w:pPr>
      <w:r w:rsidRPr="00CF0DCB">
        <w:rPr>
          <w:rFonts w:ascii="Palatino Linotype" w:eastAsia="Calibri" w:hAnsi="Palatino Linotype" w:cs="Times New Roman"/>
          <w:i/>
          <w:color w:val="000000"/>
          <w:lang w:val="es-MX" w:eastAsia="en-US"/>
        </w:rPr>
        <w:t xml:space="preserve">PbRM-01c Programa Anual de Metas de actividad por Proyecto; </w:t>
      </w:r>
    </w:p>
    <w:p w:rsidR="006A2740" w:rsidRPr="00CF0DCB" w:rsidRDefault="006A2740" w:rsidP="00CF0DCB">
      <w:pPr>
        <w:pStyle w:val="Prrafodelista"/>
        <w:tabs>
          <w:tab w:val="left" w:pos="709"/>
        </w:tabs>
        <w:spacing w:line="360" w:lineRule="auto"/>
        <w:ind w:left="567" w:right="425"/>
        <w:jc w:val="both"/>
        <w:rPr>
          <w:rFonts w:ascii="Palatino Linotype" w:eastAsia="Calibri" w:hAnsi="Palatino Linotype" w:cs="Times New Roman"/>
          <w:i/>
          <w:color w:val="000000"/>
          <w:lang w:val="es-MX" w:eastAsia="en-US"/>
        </w:rPr>
      </w:pPr>
      <w:r w:rsidRPr="00CF0DCB">
        <w:rPr>
          <w:rFonts w:ascii="Palatino Linotype" w:eastAsia="Calibri" w:hAnsi="Palatino Linotype" w:cs="Times New Roman"/>
          <w:i/>
          <w:color w:val="000000"/>
          <w:lang w:val="es-MX" w:eastAsia="en-US"/>
        </w:rPr>
        <w:t>PbRM-01d Ficha técnica de diseño de indicadores estratégicos o de gestión;</w:t>
      </w:r>
    </w:p>
    <w:p w:rsidR="006A2740" w:rsidRPr="00CF0DCB" w:rsidRDefault="006A2740" w:rsidP="00CF0DCB">
      <w:pPr>
        <w:pStyle w:val="Prrafodelista"/>
        <w:tabs>
          <w:tab w:val="left" w:pos="709"/>
        </w:tabs>
        <w:spacing w:line="360" w:lineRule="auto"/>
        <w:ind w:left="567" w:right="425"/>
        <w:jc w:val="both"/>
        <w:rPr>
          <w:rFonts w:ascii="Palatino Linotype" w:eastAsia="Calibri" w:hAnsi="Palatino Linotype" w:cs="Times New Roman"/>
          <w:i/>
          <w:color w:val="000000"/>
          <w:lang w:val="es-MX" w:eastAsia="en-US"/>
        </w:rPr>
      </w:pPr>
      <w:r w:rsidRPr="00CF0DCB">
        <w:rPr>
          <w:rFonts w:ascii="Palatino Linotype" w:eastAsia="Calibri" w:hAnsi="Palatino Linotype" w:cs="Times New Roman"/>
          <w:i/>
          <w:color w:val="000000"/>
          <w:lang w:val="es-MX" w:eastAsia="en-US"/>
        </w:rPr>
        <w:t>PbRM-02a Calendarización de Metas de actividad por Proyecto.”</w:t>
      </w:r>
    </w:p>
    <w:p w:rsidR="009F0B82" w:rsidRPr="00CF0DCB" w:rsidRDefault="009F0B82"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  De lo vertido con anterioridad este Resolutor estima que con la entrega de los formatos señalados anteriormente de los ejercicios fiscales 2013, 2014, 2015, 2016, 2017, 2018 y 2019  quedaría atendido el requerimiento realizado, mismos que se insertan a continuación: </w:t>
      </w:r>
    </w:p>
    <w:p w:rsidR="006A2740" w:rsidRPr="00CF0DCB" w:rsidRDefault="009F0B82" w:rsidP="00CF0DCB">
      <w:pPr>
        <w:pStyle w:val="Prrafodelista"/>
        <w:spacing w:before="240" w:after="240" w:line="360" w:lineRule="auto"/>
        <w:ind w:left="0"/>
        <w:jc w:val="center"/>
        <w:rPr>
          <w:rFonts w:ascii="Palatino Linotype" w:hAnsi="Palatino Linotype" w:cs="Arial"/>
          <w:lang w:val="es-MX"/>
        </w:rPr>
      </w:pPr>
      <w:r w:rsidRPr="00CF0DCB">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4552315</wp:posOffset>
                </wp:positionH>
                <wp:positionV relativeFrom="paragraph">
                  <wp:posOffset>1820825</wp:posOffset>
                </wp:positionV>
                <wp:extent cx="1104596" cy="431597"/>
                <wp:effectExtent l="19050" t="19050" r="19685" b="26035"/>
                <wp:wrapNone/>
                <wp:docPr id="1" name="Rectángulo 1"/>
                <wp:cNvGraphicFramePr/>
                <a:graphic xmlns:a="http://schemas.openxmlformats.org/drawingml/2006/main">
                  <a:graphicData uri="http://schemas.microsoft.com/office/word/2010/wordprocessingShape">
                    <wps:wsp>
                      <wps:cNvSpPr/>
                      <wps:spPr>
                        <a:xfrm>
                          <a:off x="0" y="0"/>
                          <a:ext cx="1104596" cy="4315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E3AD0" id="Rectángulo 1" o:spid="_x0000_s1026" style="position:absolute;margin-left:358.45pt;margin-top:143.35pt;width:87pt;height:3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2WogIAAJE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" filled="f" strokecolor="red" strokeweight="3pt"/>
            </w:pict>
          </mc:Fallback>
        </mc:AlternateContent>
      </w:r>
      <w:r w:rsidR="006A2740" w:rsidRPr="00CF0DCB">
        <w:rPr>
          <w:rFonts w:ascii="Palatino Linotype" w:hAnsi="Palatino Linotype"/>
          <w:noProof/>
          <w:lang w:val="es-MX" w:eastAsia="es-MX"/>
        </w:rPr>
        <w:drawing>
          <wp:inline distT="0" distB="0" distL="0" distR="0" wp14:anchorId="00F0DC63" wp14:editId="334384F4">
            <wp:extent cx="5835015" cy="607893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22" t="16961" r="28530" b="28454"/>
                    <a:stretch/>
                  </pic:blipFill>
                  <pic:spPr bwMode="auto">
                    <a:xfrm>
                      <a:off x="0" y="0"/>
                      <a:ext cx="5842703" cy="6086940"/>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jc w:val="center"/>
        <w:rPr>
          <w:rFonts w:ascii="Palatino Linotype" w:hAnsi="Palatino Linotype" w:cs="Arial"/>
          <w:lang w:val="es-MX"/>
        </w:rPr>
      </w:pP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spacing w:before="240" w:after="240" w:line="360" w:lineRule="auto"/>
        <w:ind w:left="0"/>
        <w:jc w:val="center"/>
        <w:rPr>
          <w:rFonts w:ascii="Palatino Linotype" w:hAnsi="Palatino Linotype" w:cs="Arial"/>
          <w:lang w:val="es-MX"/>
        </w:rPr>
      </w:pPr>
      <w:r w:rsidRPr="00CF0DCB">
        <w:rPr>
          <w:rFonts w:ascii="Palatino Linotype" w:hAnsi="Palatino Linotype"/>
          <w:noProof/>
          <w:lang w:val="es-MX" w:eastAsia="es-MX"/>
        </w:rPr>
        <w:drawing>
          <wp:inline distT="0" distB="0" distL="0" distR="0" wp14:anchorId="405046F4" wp14:editId="62BEDA77">
            <wp:extent cx="5563158" cy="6169572"/>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11" t="11719" r="20550" b="20744"/>
                    <a:stretch/>
                  </pic:blipFill>
                  <pic:spPr bwMode="auto">
                    <a:xfrm>
                      <a:off x="0" y="0"/>
                      <a:ext cx="5595513" cy="6205454"/>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9F0B82" w:rsidP="00CF0DCB">
      <w:pPr>
        <w:pStyle w:val="Prrafodelista"/>
        <w:spacing w:before="240" w:after="240" w:line="360" w:lineRule="auto"/>
        <w:ind w:left="0"/>
        <w:jc w:val="center"/>
        <w:rPr>
          <w:rFonts w:ascii="Palatino Linotype" w:hAnsi="Palatino Linotype" w:cs="Arial"/>
          <w:lang w:val="es-MX"/>
        </w:rPr>
      </w:pPr>
      <w:r w:rsidRPr="00CF0DCB">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4245331</wp:posOffset>
                </wp:positionH>
                <wp:positionV relativeFrom="paragraph">
                  <wp:posOffset>5683529</wp:posOffset>
                </wp:positionV>
                <wp:extent cx="1477670" cy="336500"/>
                <wp:effectExtent l="19050" t="19050" r="27305" b="26035"/>
                <wp:wrapNone/>
                <wp:docPr id="2" name="Rectángulo 2"/>
                <wp:cNvGraphicFramePr/>
                <a:graphic xmlns:a="http://schemas.openxmlformats.org/drawingml/2006/main">
                  <a:graphicData uri="http://schemas.microsoft.com/office/word/2010/wordprocessingShape">
                    <wps:wsp>
                      <wps:cNvSpPr/>
                      <wps:spPr>
                        <a:xfrm>
                          <a:off x="0" y="0"/>
                          <a:ext cx="1477670" cy="336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274A4" id="Rectángulo 2" o:spid="_x0000_s1026" style="position:absolute;margin-left:334.3pt;margin-top:447.5pt;width:116.35pt;height: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" filled="f" strokecolor="red" strokeweight="2.25pt"/>
            </w:pict>
          </mc:Fallback>
        </mc:AlternateContent>
      </w:r>
      <w:r w:rsidR="006A2740" w:rsidRPr="00CF0DCB">
        <w:rPr>
          <w:rFonts w:ascii="Palatino Linotype" w:hAnsi="Palatino Linotype"/>
          <w:noProof/>
          <w:lang w:val="es-MX" w:eastAsia="es-MX"/>
        </w:rPr>
        <w:drawing>
          <wp:inline distT="0" distB="0" distL="0" distR="0" wp14:anchorId="4ECFE4E4" wp14:editId="188CDA9E">
            <wp:extent cx="6044565" cy="72485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63" t="19120" r="21765" b="24445"/>
                    <a:stretch/>
                  </pic:blipFill>
                  <pic:spPr bwMode="auto">
                    <a:xfrm>
                      <a:off x="0" y="0"/>
                      <a:ext cx="6053320" cy="7259024"/>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B62280">
      <w:pPr>
        <w:pStyle w:val="Prrafodelista"/>
        <w:spacing w:before="240" w:after="240" w:line="360" w:lineRule="auto"/>
        <w:ind w:left="0"/>
        <w:jc w:val="center"/>
        <w:rPr>
          <w:rFonts w:ascii="Palatino Linotype" w:hAnsi="Palatino Linotype" w:cs="Arial"/>
          <w:lang w:val="es-MX"/>
        </w:rPr>
      </w:pPr>
      <w:r w:rsidRPr="00CF0DCB">
        <w:rPr>
          <w:rFonts w:ascii="Palatino Linotype" w:hAnsi="Palatino Linotype"/>
          <w:noProof/>
          <w:lang w:val="es-MX" w:eastAsia="es-MX"/>
        </w:rPr>
        <w:drawing>
          <wp:inline distT="0" distB="0" distL="0" distR="0" wp14:anchorId="6EABA66E" wp14:editId="4A1CAB4B">
            <wp:extent cx="5582285" cy="73247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83" t="8019" r="22111" b="22594"/>
                    <a:stretch/>
                  </pic:blipFill>
                  <pic:spPr bwMode="auto">
                    <a:xfrm>
                      <a:off x="0" y="0"/>
                      <a:ext cx="5589183" cy="7333776"/>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jc w:val="center"/>
        <w:rPr>
          <w:rFonts w:ascii="Palatino Linotype" w:hAnsi="Palatino Linotype" w:cs="Arial"/>
          <w:lang w:val="es-MX"/>
        </w:rPr>
      </w:pPr>
      <w:r w:rsidRPr="00CF0DCB">
        <w:rPr>
          <w:rFonts w:ascii="Palatino Linotype" w:hAnsi="Palatino Linotype"/>
          <w:noProof/>
          <w:lang w:val="es-MX" w:eastAsia="es-MX"/>
        </w:rPr>
        <w:drawing>
          <wp:inline distT="0" distB="0" distL="0" distR="0" wp14:anchorId="48E43449" wp14:editId="75B6BEC4">
            <wp:extent cx="5459730" cy="6905625"/>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70" t="8326" r="21591" b="27529"/>
                    <a:stretch/>
                  </pic:blipFill>
                  <pic:spPr bwMode="auto">
                    <a:xfrm>
                      <a:off x="0" y="0"/>
                      <a:ext cx="5466264" cy="6913890"/>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i/>
          <w:lang w:val="es-MX"/>
        </w:rPr>
      </w:pPr>
      <w:r w:rsidRPr="00CF0DCB">
        <w:rPr>
          <w:rFonts w:ascii="Palatino Linotype" w:hAnsi="Palatino Linotype" w:cs="Arial"/>
          <w:lang w:val="es-MX"/>
        </w:rPr>
        <w:t xml:space="preserve">Es por lo anterior que es dable ordenar la entrega del documento donde conste o se aprecien los formatos </w:t>
      </w:r>
      <w:r w:rsidRPr="00CF0DCB">
        <w:rPr>
          <w:rFonts w:ascii="Palatino Linotype" w:hAnsi="Palatino Linotype" w:cs="Arial"/>
          <w:i/>
          <w:lang w:val="es-MX"/>
        </w:rPr>
        <w:t>PbRM-01a, PbRM-01b, PbRM-01c, PbRM-01d y PbRM-02a de los ejercicios fiscales 2013, 2014, 2015, 2016, 2017, 2018 y 2019.</w:t>
      </w:r>
    </w:p>
    <w:p w:rsidR="006A2740" w:rsidRPr="00CF0DCB" w:rsidRDefault="006A2740" w:rsidP="00CF0DCB">
      <w:pPr>
        <w:pStyle w:val="Prrafodelista"/>
        <w:spacing w:before="240" w:after="240" w:line="360" w:lineRule="auto"/>
        <w:ind w:left="0"/>
        <w:jc w:val="both"/>
        <w:rPr>
          <w:rFonts w:ascii="Palatino Linotype" w:hAnsi="Palatino Linotype" w:cs="Arial"/>
          <w:i/>
          <w:lang w:val="es-MX"/>
        </w:rPr>
      </w:pPr>
    </w:p>
    <w:p w:rsidR="003A2263"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 </w:t>
      </w:r>
      <w:r w:rsidR="003A2263" w:rsidRPr="00CF0DCB">
        <w:rPr>
          <w:rFonts w:ascii="Palatino Linotype" w:hAnsi="Palatino Linotype" w:cs="Arial"/>
          <w:lang w:val="es-MX"/>
        </w:rPr>
        <w:t xml:space="preserve">Ahora bien, por cuanto refiere a los formatos PbRM-04b, PbRM-03b y PbRM-04d </w:t>
      </w:r>
      <w:r w:rsidR="009D440E" w:rsidRPr="00CF0DCB">
        <w:rPr>
          <w:rFonts w:ascii="Palatino Linotype" w:hAnsi="Palatino Linotype" w:cs="Arial"/>
          <w:lang w:val="es-MX"/>
        </w:rPr>
        <w:t xml:space="preserve">se </w:t>
      </w:r>
      <w:r w:rsidR="003A2263" w:rsidRPr="00CF0DCB">
        <w:rPr>
          <w:rFonts w:ascii="Palatino Linotype" w:hAnsi="Palatino Linotype" w:cs="Arial"/>
          <w:lang w:val="es-MX"/>
        </w:rPr>
        <w:t xml:space="preserve">estima que con la entrega de los formatos señalados </w:t>
      </w:r>
      <w:r w:rsidR="00567B0B" w:rsidRPr="00CF0DCB">
        <w:rPr>
          <w:rFonts w:ascii="Palatino Linotype" w:hAnsi="Palatino Linotype" w:cs="Arial"/>
          <w:lang w:val="es-MX"/>
        </w:rPr>
        <w:t xml:space="preserve">correspondientes a </w:t>
      </w:r>
      <w:r w:rsidR="003A2263" w:rsidRPr="00CF0DCB">
        <w:rPr>
          <w:rFonts w:ascii="Palatino Linotype" w:hAnsi="Palatino Linotype" w:cs="Arial"/>
          <w:lang w:val="es-MX"/>
        </w:rPr>
        <w:t>los ejercicios fiscales 2013, 2014, 2015, 2016, 2017, 2018 y 2019  quedaría atendido</w:t>
      </w:r>
      <w:r w:rsidR="00567B0B" w:rsidRPr="00CF0DCB">
        <w:rPr>
          <w:rFonts w:ascii="Palatino Linotype" w:hAnsi="Palatino Linotype" w:cs="Arial"/>
          <w:lang w:val="es-MX"/>
        </w:rPr>
        <w:t xml:space="preserve">s </w:t>
      </w:r>
      <w:r w:rsidR="003A2263" w:rsidRPr="00CF0DCB">
        <w:rPr>
          <w:rFonts w:ascii="Palatino Linotype" w:hAnsi="Palatino Linotype" w:cs="Arial"/>
          <w:lang w:val="es-MX"/>
        </w:rPr>
        <w:t>l</w:t>
      </w:r>
      <w:r w:rsidR="00567B0B" w:rsidRPr="00CF0DCB">
        <w:rPr>
          <w:rFonts w:ascii="Palatino Linotype" w:hAnsi="Palatino Linotype" w:cs="Arial"/>
          <w:lang w:val="es-MX"/>
        </w:rPr>
        <w:t>os</w:t>
      </w:r>
      <w:r w:rsidR="003A2263" w:rsidRPr="00CF0DCB">
        <w:rPr>
          <w:rFonts w:ascii="Palatino Linotype" w:hAnsi="Palatino Linotype" w:cs="Arial"/>
          <w:lang w:val="es-MX"/>
        </w:rPr>
        <w:t xml:space="preserve"> requerimiento</w:t>
      </w:r>
      <w:r w:rsidR="00567B0B" w:rsidRPr="00CF0DCB">
        <w:rPr>
          <w:rFonts w:ascii="Palatino Linotype" w:hAnsi="Palatino Linotype" w:cs="Arial"/>
          <w:lang w:val="es-MX"/>
        </w:rPr>
        <w:t>s precisados.</w:t>
      </w:r>
    </w:p>
    <w:p w:rsidR="00567B0B" w:rsidRPr="00CF0DCB" w:rsidRDefault="00567B0B" w:rsidP="00CF0DCB">
      <w:pPr>
        <w:pStyle w:val="Prrafodelista"/>
        <w:spacing w:line="360" w:lineRule="auto"/>
        <w:rPr>
          <w:rFonts w:ascii="Palatino Linotype" w:hAnsi="Palatino Linotype" w:cs="Arial"/>
          <w:lang w:val="es-MX"/>
        </w:rPr>
      </w:pPr>
    </w:p>
    <w:p w:rsidR="003A2263" w:rsidRPr="00B62280" w:rsidRDefault="009D440E" w:rsidP="00B62280">
      <w:pPr>
        <w:pStyle w:val="Prrafodelista"/>
        <w:spacing w:before="240" w:after="240" w:line="360" w:lineRule="auto"/>
        <w:ind w:left="0"/>
        <w:jc w:val="both"/>
        <w:rPr>
          <w:rFonts w:ascii="Palatino Linotype" w:hAnsi="Palatino Linotype" w:cs="Arial"/>
          <w:lang w:val="es-MX"/>
        </w:rPr>
      </w:pPr>
      <w:r w:rsidRPr="00CF0DCB">
        <w:rPr>
          <w:rFonts w:ascii="Palatino Linotype" w:hAnsi="Palatino Linotype"/>
          <w:noProof/>
          <w:lang w:val="es-MX" w:eastAsia="es-MX"/>
        </w:rPr>
        <w:drawing>
          <wp:inline distT="0" distB="0" distL="0" distR="0" wp14:anchorId="67E211C9" wp14:editId="722AE248">
            <wp:extent cx="5507725" cy="3679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11" t="34106" r="28722" b="18286"/>
                    <a:stretch/>
                  </pic:blipFill>
                  <pic:spPr bwMode="auto">
                    <a:xfrm>
                      <a:off x="0" y="0"/>
                      <a:ext cx="5530690" cy="3694887"/>
                    </a:xfrm>
                    <a:prstGeom prst="rect">
                      <a:avLst/>
                    </a:prstGeom>
                    <a:ln>
                      <a:noFill/>
                    </a:ln>
                    <a:extLst>
                      <a:ext uri="{53640926-AAD7-44D8-BBD7-CCE9431645EC}">
                        <a14:shadowObscured xmlns:a14="http://schemas.microsoft.com/office/drawing/2010/main"/>
                      </a:ext>
                    </a:extLst>
                  </pic:spPr>
                </pic:pic>
              </a:graphicData>
            </a:graphic>
          </wp:inline>
        </w:drawing>
      </w:r>
    </w:p>
    <w:p w:rsidR="009D440E" w:rsidRPr="00B62280" w:rsidRDefault="009D440E" w:rsidP="00B62280">
      <w:pPr>
        <w:pStyle w:val="Prrafodelista"/>
        <w:spacing w:line="360" w:lineRule="auto"/>
        <w:ind w:left="0"/>
        <w:rPr>
          <w:rFonts w:ascii="Palatino Linotype" w:hAnsi="Palatino Linotype" w:cs="Arial"/>
          <w:lang w:val="es-MX"/>
        </w:rPr>
      </w:pPr>
    </w:p>
    <w:p w:rsidR="009D440E" w:rsidRPr="00CF0DCB" w:rsidRDefault="009D440E" w:rsidP="00CF0DCB">
      <w:pPr>
        <w:pStyle w:val="Prrafodelista"/>
        <w:spacing w:line="360" w:lineRule="auto"/>
        <w:ind w:left="0"/>
        <w:rPr>
          <w:rFonts w:ascii="Palatino Linotype" w:hAnsi="Palatino Linotype" w:cs="Arial"/>
          <w:lang w:val="es-MX"/>
        </w:rPr>
      </w:pPr>
      <w:r w:rsidRPr="00CF0DCB">
        <w:rPr>
          <w:rFonts w:ascii="Palatino Linotype" w:hAnsi="Palatino Linotype"/>
          <w:noProof/>
          <w:lang w:val="es-MX" w:eastAsia="es-MX"/>
        </w:rPr>
        <w:drawing>
          <wp:inline distT="0" distB="0" distL="0" distR="0" wp14:anchorId="7F6F7CCF" wp14:editId="5D382CA9">
            <wp:extent cx="5288280" cy="608549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382" t="29842" r="23521" b="12123"/>
                    <a:stretch/>
                  </pic:blipFill>
                  <pic:spPr bwMode="auto">
                    <a:xfrm>
                      <a:off x="0" y="0"/>
                      <a:ext cx="5307481" cy="6107586"/>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Consecuentemente, de conformidad con el requerimiento consistente en  en acceder al presupuesto de egresos por clasificación programática correspondiente al pilar 1 denominado “Gobierno Solidario”,   mismo que comprende el programa 02060805, es necesario establecer por una parte que dicho programa a lo largo del tiempo ha cambiado de denominación, como a continuación se observa: </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35"/>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Manual para la Planeación, Programación y Presupuesto de Egresos Municipal para el Ejercicio Fiscal 2019.</w:t>
      </w:r>
    </w:p>
    <w:p w:rsidR="006A2740" w:rsidRPr="00CF0DCB" w:rsidRDefault="006A2740" w:rsidP="00CF0DCB">
      <w:pPr>
        <w:spacing w:before="240" w:after="240" w:line="360" w:lineRule="auto"/>
        <w:jc w:val="center"/>
        <w:rPr>
          <w:rFonts w:ascii="Palatino Linotype" w:hAnsi="Palatino Linotype" w:cs="Arial"/>
          <w:lang w:val="es-MX"/>
        </w:rPr>
      </w:pPr>
      <w:r w:rsidRPr="00CF0DC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315FFC0" wp14:editId="6E013360">
                <wp:simplePos x="0" y="0"/>
                <wp:positionH relativeFrom="column">
                  <wp:posOffset>596265</wp:posOffset>
                </wp:positionH>
                <wp:positionV relativeFrom="paragraph">
                  <wp:posOffset>29210</wp:posOffset>
                </wp:positionV>
                <wp:extent cx="2571750" cy="219075"/>
                <wp:effectExtent l="57150" t="19050" r="76200" b="104775"/>
                <wp:wrapNone/>
                <wp:docPr id="14" name="Rectángulo 14"/>
                <wp:cNvGraphicFramePr/>
                <a:graphic xmlns:a="http://schemas.openxmlformats.org/drawingml/2006/main">
                  <a:graphicData uri="http://schemas.microsoft.com/office/word/2010/wordprocessingShape">
                    <wps:wsp>
                      <wps:cNvSpPr/>
                      <wps:spPr>
                        <a:xfrm>
                          <a:off x="0" y="0"/>
                          <a:ext cx="2571750" cy="219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52F26" id="Rectángulo 14" o:spid="_x0000_s1026" style="position:absolute;margin-left:46.95pt;margin-top:2.3pt;width:20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" filled="f" strokecolor="red" strokeweight="1.5pt"/>
            </w:pict>
          </mc:Fallback>
        </mc:AlternateContent>
      </w:r>
      <w:r w:rsidRPr="00CF0DCB">
        <w:rPr>
          <w:rFonts w:ascii="Palatino Linotype" w:hAnsi="Palatino Linotype"/>
          <w:noProof/>
          <w:lang w:val="es-MX" w:eastAsia="es-MX"/>
        </w:rPr>
        <w:drawing>
          <wp:inline distT="0" distB="0" distL="0" distR="0" wp14:anchorId="3F1CE6C8" wp14:editId="52CE58B4">
            <wp:extent cx="5247868" cy="344739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20" t="20754" r="23847" b="29070"/>
                    <a:stretch/>
                  </pic:blipFill>
                  <pic:spPr bwMode="auto">
                    <a:xfrm>
                      <a:off x="0" y="0"/>
                      <a:ext cx="5251362" cy="3449688"/>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rPr>
          <w:rFonts w:ascii="Palatino Linotype" w:hAnsi="Palatino Linotype" w:cs="Arial"/>
          <w:lang w:val="es-MX"/>
        </w:rPr>
      </w:pPr>
    </w:p>
    <w:p w:rsidR="006A2740" w:rsidRPr="00CF0DCB" w:rsidRDefault="006A2740" w:rsidP="00CF0DCB">
      <w:pPr>
        <w:pStyle w:val="Prrafodelista"/>
        <w:numPr>
          <w:ilvl w:val="0"/>
          <w:numId w:val="35"/>
        </w:numPr>
        <w:spacing w:before="240" w:after="240" w:line="360" w:lineRule="auto"/>
        <w:ind w:left="0" w:firstLine="0"/>
        <w:rPr>
          <w:rFonts w:ascii="Palatino Linotype" w:hAnsi="Palatino Linotype" w:cs="Arial"/>
          <w:lang w:val="es-MX"/>
        </w:rPr>
      </w:pPr>
      <w:r w:rsidRPr="00CF0DCB">
        <w:rPr>
          <w:rFonts w:ascii="Palatino Linotype" w:hAnsi="Palatino Linotype" w:cs="Arial"/>
          <w:lang w:val="es-MX"/>
        </w:rPr>
        <w:t>Manual para la Planeación, Programación y Presupuesto de Egresos Municipal para el Ejercicio Fiscal 2018.</w:t>
      </w:r>
    </w:p>
    <w:p w:rsidR="006A2740" w:rsidRPr="00CF0DCB" w:rsidRDefault="006A2740" w:rsidP="00CF0DCB">
      <w:pPr>
        <w:pStyle w:val="Prrafodelista"/>
        <w:spacing w:before="240" w:after="240" w:line="360" w:lineRule="auto"/>
        <w:ind w:left="0"/>
        <w:rPr>
          <w:rFonts w:ascii="Palatino Linotype" w:hAnsi="Palatino Linotype" w:cs="Arial"/>
          <w:lang w:val="es-MX"/>
        </w:rPr>
      </w:pPr>
      <w:r w:rsidRPr="00CF0DCB">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544C0FE" wp14:editId="49ACB101">
                <wp:simplePos x="0" y="0"/>
                <wp:positionH relativeFrom="column">
                  <wp:posOffset>15240</wp:posOffset>
                </wp:positionH>
                <wp:positionV relativeFrom="paragraph">
                  <wp:posOffset>-10159</wp:posOffset>
                </wp:positionV>
                <wp:extent cx="2324100" cy="190500"/>
                <wp:effectExtent l="57150" t="19050" r="76200" b="95250"/>
                <wp:wrapNone/>
                <wp:docPr id="15" name="Rectángulo 15"/>
                <wp:cNvGraphicFramePr/>
                <a:graphic xmlns:a="http://schemas.openxmlformats.org/drawingml/2006/main">
                  <a:graphicData uri="http://schemas.microsoft.com/office/word/2010/wordprocessingShape">
                    <wps:wsp>
                      <wps:cNvSpPr/>
                      <wps:spPr>
                        <a:xfrm>
                          <a:off x="0" y="0"/>
                          <a:ext cx="2324100" cy="190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7EBC4" id="Rectángulo 15" o:spid="_x0000_s1026" style="position:absolute;margin-left:1.2pt;margin-top:-.8pt;width:183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" filled="f" strokecolor="red" strokeweight="1.5pt">
                <v:shadow on="t" color="black" opacity="22937f" origin=",.5" offset="0,.63889mm"/>
              </v:rect>
            </w:pict>
          </mc:Fallback>
        </mc:AlternateContent>
      </w:r>
      <w:r w:rsidRPr="00CF0DCB">
        <w:rPr>
          <w:rFonts w:ascii="Palatino Linotype" w:hAnsi="Palatino Linotype"/>
          <w:noProof/>
          <w:lang w:val="es-MX" w:eastAsia="es-MX"/>
        </w:rPr>
        <w:drawing>
          <wp:inline distT="0" distB="0" distL="0" distR="0" wp14:anchorId="010F6050" wp14:editId="45EE9496">
            <wp:extent cx="5713189" cy="267652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225" t="32689" r="15173" b="31229"/>
                    <a:stretch/>
                  </pic:blipFill>
                  <pic:spPr bwMode="auto">
                    <a:xfrm>
                      <a:off x="0" y="0"/>
                      <a:ext cx="5755437" cy="2696317"/>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rPr>
          <w:rFonts w:ascii="Palatino Linotype" w:hAnsi="Palatino Linotype" w:cs="Arial"/>
          <w:lang w:val="es-MX"/>
        </w:rPr>
      </w:pPr>
    </w:p>
    <w:p w:rsidR="006A2740" w:rsidRPr="00B62280" w:rsidRDefault="006A2740" w:rsidP="00CF0DCB">
      <w:pPr>
        <w:pStyle w:val="Prrafodelista"/>
        <w:numPr>
          <w:ilvl w:val="0"/>
          <w:numId w:val="35"/>
        </w:numPr>
        <w:spacing w:before="240" w:after="240" w:line="360" w:lineRule="auto"/>
        <w:ind w:left="0" w:firstLine="0"/>
        <w:rPr>
          <w:rFonts w:ascii="Palatino Linotype" w:hAnsi="Palatino Linotype" w:cs="Arial"/>
          <w:lang w:val="es-MX"/>
        </w:rPr>
      </w:pPr>
      <w:r w:rsidRPr="00CF0DCB">
        <w:rPr>
          <w:rFonts w:ascii="Palatino Linotype" w:hAnsi="Palatino Linotype" w:cs="Arial"/>
          <w:lang w:val="es-MX"/>
        </w:rPr>
        <w:t>Manual para la Planeación, Programación y Presupuesto de Egresos Municipal para el Ejercicio Fiscal 2017.</w:t>
      </w:r>
    </w:p>
    <w:p w:rsidR="006A2740" w:rsidRPr="00CF0DCB" w:rsidRDefault="006A2740" w:rsidP="00CF0DCB">
      <w:pPr>
        <w:pStyle w:val="Prrafodelista"/>
        <w:spacing w:before="240" w:after="240" w:line="360" w:lineRule="auto"/>
        <w:ind w:left="0"/>
        <w:rPr>
          <w:rFonts w:ascii="Palatino Linotype" w:hAnsi="Palatino Linotype" w:cs="Arial"/>
          <w:lang w:val="es-MX"/>
        </w:rPr>
      </w:pPr>
      <w:r w:rsidRPr="00CF0DCB">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6CC708D2" wp14:editId="2AAA4CC9">
                <wp:simplePos x="0" y="0"/>
                <wp:positionH relativeFrom="column">
                  <wp:posOffset>-3810</wp:posOffset>
                </wp:positionH>
                <wp:positionV relativeFrom="paragraph">
                  <wp:posOffset>3810</wp:posOffset>
                </wp:positionV>
                <wp:extent cx="2133600" cy="428625"/>
                <wp:effectExtent l="57150" t="19050" r="76200" b="104775"/>
                <wp:wrapNone/>
                <wp:docPr id="16" name="Rectángulo 16"/>
                <wp:cNvGraphicFramePr/>
                <a:graphic xmlns:a="http://schemas.openxmlformats.org/drawingml/2006/main">
                  <a:graphicData uri="http://schemas.microsoft.com/office/word/2010/wordprocessingShape">
                    <wps:wsp>
                      <wps:cNvSpPr/>
                      <wps:spPr>
                        <a:xfrm>
                          <a:off x="0" y="0"/>
                          <a:ext cx="2133600"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61D09" id="Rectángulo 16" o:spid="_x0000_s1026" style="position:absolute;margin-left:-.3pt;margin-top:.3pt;width:168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" filled="f" strokecolor="red" strokeweight="1.5pt">
                <v:shadow on="t" color="black" opacity="22937f" origin=",.5" offset="0,.63889mm"/>
              </v:rect>
            </w:pict>
          </mc:Fallback>
        </mc:AlternateContent>
      </w:r>
      <w:r w:rsidRPr="00CF0DCB">
        <w:rPr>
          <w:rFonts w:ascii="Palatino Linotype" w:hAnsi="Palatino Linotype"/>
          <w:noProof/>
          <w:lang w:val="es-MX" w:eastAsia="es-MX"/>
        </w:rPr>
        <w:drawing>
          <wp:inline distT="0" distB="0" distL="0" distR="0" wp14:anchorId="62509575" wp14:editId="48828C8F">
            <wp:extent cx="5615305" cy="2280745"/>
            <wp:effectExtent l="0" t="0" r="444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92" t="32380" r="16387" b="24445"/>
                    <a:stretch/>
                  </pic:blipFill>
                  <pic:spPr bwMode="auto">
                    <a:xfrm>
                      <a:off x="0" y="0"/>
                      <a:ext cx="5643922" cy="2292368"/>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Precisado lo anterior, y como es de es de observarse, el particular refirió de forma particular el nombre del programa, subprogramas y proyectos relativos al Manual para la Planeación, Programación y Presupuesto de Egresos Municipal para el Ejercicio Fiscal 2018 o anteriores, no contemplando que para el año dos mil diecinueve la denominación  y distribución del programa 02060805 había cambiado.</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En ese sentido, es necesario  establecer que </w:t>
      </w:r>
      <w:r w:rsidR="009D440E" w:rsidRPr="00CF0DCB">
        <w:rPr>
          <w:rFonts w:ascii="Palatino Linotype" w:hAnsi="Palatino Linotype" w:cs="Arial"/>
          <w:lang w:val="es-MX"/>
        </w:rPr>
        <w:t>la</w:t>
      </w:r>
      <w:r w:rsidRPr="00CF0DCB">
        <w:rPr>
          <w:rFonts w:ascii="Palatino Linotype" w:hAnsi="Palatino Linotype" w:cs="Arial"/>
          <w:lang w:val="es-MX"/>
        </w:rPr>
        <w:t xml:space="preserve"> particular al no ser</w:t>
      </w:r>
      <w:r w:rsidR="009D440E" w:rsidRPr="00CF0DCB">
        <w:rPr>
          <w:rFonts w:ascii="Palatino Linotype" w:hAnsi="Palatino Linotype" w:cs="Arial"/>
          <w:lang w:val="es-MX"/>
        </w:rPr>
        <w:t xml:space="preserve"> experta</w:t>
      </w:r>
      <w:r w:rsidRPr="00CF0DCB">
        <w:rPr>
          <w:rFonts w:ascii="Palatino Linotype" w:hAnsi="Palatino Linotype" w:cs="Arial"/>
          <w:lang w:val="es-MX"/>
        </w:rPr>
        <w:t xml:space="preserve">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rsidR="006A2740" w:rsidRPr="00CF0DCB" w:rsidRDefault="006A2740" w:rsidP="00CF0DCB">
      <w:pPr>
        <w:pStyle w:val="Prrafodelista"/>
        <w:spacing w:before="240" w:after="240" w:line="360" w:lineRule="auto"/>
        <w:jc w:val="both"/>
        <w:rPr>
          <w:rFonts w:ascii="Palatino Linotype" w:hAnsi="Palatino Linotype" w:cs="Arial"/>
          <w:lang w:val="es-MX"/>
        </w:rPr>
      </w:pP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r w:rsidRPr="00CF0DCB">
        <w:rPr>
          <w:rFonts w:ascii="Palatino Linotype" w:hAnsi="Palatino Linotype" w:cs="Arial"/>
          <w:i/>
          <w:lang w:val="es-MX"/>
        </w:rPr>
        <w:t>“</w:t>
      </w:r>
      <w:r w:rsidRPr="00CF0DCB">
        <w:rPr>
          <w:rFonts w:ascii="Palatino Linotype" w:hAnsi="Palatino Linotype" w:cs="Arial"/>
          <w:b/>
          <w:i/>
          <w:lang w:val="es-MX"/>
        </w:rPr>
        <w:t>Artículo 13.</w:t>
      </w:r>
      <w:r w:rsidRPr="00CF0DCB">
        <w:rPr>
          <w:rFonts w:ascii="Palatino Linotype" w:hAnsi="Palatino Linotype" w:cs="Arial"/>
          <w:i/>
          <w:lang w:val="es-MX"/>
        </w:rPr>
        <w:t xml:space="preserve"> El Instituto, en el ámbito de sus atribuciones, deberá suplir cualquier deficiencia para garantizar el ejercicio del derecho de acceso a la información.”</w:t>
      </w: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r w:rsidRPr="00CF0DCB">
        <w:rPr>
          <w:rFonts w:ascii="Palatino Linotype" w:hAnsi="Palatino Linotype" w:cs="Arial"/>
          <w:i/>
          <w:lang w:val="es-MX"/>
        </w:rPr>
        <w:t>“</w:t>
      </w:r>
      <w:r w:rsidRPr="00CF0DCB">
        <w:rPr>
          <w:rFonts w:ascii="Palatino Linotype" w:hAnsi="Palatino Linotype" w:cs="Arial"/>
          <w:b/>
          <w:i/>
          <w:lang w:val="es-MX"/>
        </w:rPr>
        <w:t>Artículo 181</w:t>
      </w: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r w:rsidRPr="00CF0DCB">
        <w:rPr>
          <w:rFonts w:ascii="Palatino Linotype" w:hAnsi="Palatino Linotype" w:cs="Arial"/>
          <w:i/>
          <w:lang w:val="es-MX"/>
        </w:rPr>
        <w:t>…</w:t>
      </w: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r w:rsidRPr="00CF0DCB">
        <w:rPr>
          <w:rFonts w:ascii="Palatino Linotype" w:hAnsi="Palatino Linotype" w:cs="Arial"/>
          <w:i/>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r w:rsidRPr="00CF0DCB">
        <w:rPr>
          <w:rFonts w:ascii="Palatino Linotype" w:hAnsi="Palatino Linotype" w:cs="Arial"/>
          <w:i/>
          <w:lang w:val="es-MX"/>
        </w:rPr>
        <w:t>…</w:t>
      </w: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r w:rsidRPr="00CF0DCB">
        <w:rPr>
          <w:rFonts w:ascii="Palatino Linotype" w:hAnsi="Palatino Linotype" w:cs="Arial"/>
          <w:i/>
          <w:lang w:val="es-MX"/>
        </w:rPr>
        <w:t>(Énfasis añadido)</w:t>
      </w:r>
    </w:p>
    <w:p w:rsidR="006A2740" w:rsidRPr="00CF0DCB" w:rsidRDefault="006A2740" w:rsidP="00CF0DCB">
      <w:pPr>
        <w:pStyle w:val="Prrafodelista"/>
        <w:spacing w:before="240" w:after="240" w:line="360" w:lineRule="auto"/>
        <w:ind w:left="567" w:right="709"/>
        <w:jc w:val="both"/>
        <w:rPr>
          <w:rFonts w:ascii="Palatino Linotype" w:hAnsi="Palatino Linotype" w:cs="Arial"/>
          <w:i/>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Es así que en aras de tutelar la correcta aplicación de la ley, y en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causa petendi, (causa de pedir) aunado a que existe jurisprudencia que no obliga a los particulares a cubrir tales parámetros en las materias que admitan la suplencia de la queja deficiente . </w:t>
      </w:r>
    </w:p>
    <w:p w:rsidR="006A2740" w:rsidRPr="00CF0DCB" w:rsidRDefault="006A2740" w:rsidP="00CF0DCB">
      <w:pPr>
        <w:pStyle w:val="Prrafodelista"/>
        <w:spacing w:before="240" w:after="240" w:line="360" w:lineRule="auto"/>
        <w:jc w:val="both"/>
        <w:rPr>
          <w:rFonts w:ascii="Palatino Linotype" w:hAnsi="Palatino Linotype" w:cs="Arial"/>
          <w:lang w:val="es-MX"/>
        </w:rPr>
      </w:pPr>
      <w:r w:rsidRPr="00CF0DCB">
        <w:rPr>
          <w:rFonts w:ascii="Palatino Linotype" w:hAnsi="Palatino Linotype" w:cs="Arial"/>
          <w:lang w:val="es-MX"/>
        </w:rPr>
        <w:tab/>
      </w: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i/>
          <w:lang w:val="es-MX"/>
        </w:rPr>
      </w:pPr>
      <w:r w:rsidRPr="00CF0DCB">
        <w:rPr>
          <w:rFonts w:ascii="Palatino Linotype" w:hAnsi="Palatino Linotype" w:cs="Arial"/>
          <w:lang w:val="es-MX"/>
        </w:rPr>
        <w:t xml:space="preserve">Por lo que  retomando lo solicitado por el particular en cuanto se aprecia que requiere información sobre el </w:t>
      </w:r>
      <w:r w:rsidRPr="00CF0DCB">
        <w:rPr>
          <w:rFonts w:ascii="Palatino Linotype" w:hAnsi="Palatino Linotype" w:cs="Arial"/>
          <w:i/>
          <w:lang w:val="es-MX"/>
        </w:rPr>
        <w:t>“</w:t>
      </w:r>
      <w:r w:rsidRPr="00CF0DCB">
        <w:rPr>
          <w:rFonts w:ascii="Palatino Linotype" w:eastAsia="MS Mincho" w:hAnsi="Palatino Linotype" w:cs="Times New Roman"/>
          <w:i/>
        </w:rPr>
        <w:t>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w:t>
      </w:r>
      <w:r w:rsidRPr="00CF0DCB">
        <w:rPr>
          <w:rFonts w:ascii="Palatino Linotype" w:hAnsi="Palatino Linotype" w:cs="Arial"/>
          <w:i/>
          <w:lang w:val="es-MX"/>
        </w:rPr>
        <w:t xml:space="preserve">, </w:t>
      </w:r>
      <w:r w:rsidRPr="00CF0DCB">
        <w:rPr>
          <w:rFonts w:ascii="Palatino Linotype" w:hAnsi="Palatino Linotype" w:cs="Arial"/>
          <w:lang w:val="es-MX"/>
        </w:rPr>
        <w:t>se advierte que no precisa adecuadamente el nombre del programa, subprograma  y proyectos de conformidad con los años solicitados, por lo que se en ese orden de ideas, y del análisis antes realizado, se puede establecer que la recurrente solicita información relativa al “Presupuesto de egresos por clasificación programática del programa 020600805 así como sus subprogramas y proyectos de los años 2013, 2014, 2015, 2016, 2017, 2018 y 2019.</w:t>
      </w:r>
    </w:p>
    <w:p w:rsidR="006A2740" w:rsidRPr="00B62280" w:rsidRDefault="006A2740" w:rsidP="00CF0DCB">
      <w:pPr>
        <w:pStyle w:val="Prrafodelista"/>
        <w:spacing w:line="360" w:lineRule="auto"/>
        <w:rPr>
          <w:rFonts w:ascii="Palatino Linotype" w:hAnsi="Palatino Linotype" w:cs="Arial"/>
          <w:sz w:val="12"/>
          <w:lang w:val="es-MX"/>
        </w:rPr>
      </w:pPr>
    </w:p>
    <w:p w:rsidR="006A2740" w:rsidRPr="00B62280" w:rsidRDefault="006A2740" w:rsidP="00B62280">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Tratado lo anterior, es necesario señalar que el ya referido manual establece que el formato </w:t>
      </w:r>
      <w:r w:rsidRPr="00CF0DCB">
        <w:rPr>
          <w:rFonts w:ascii="Palatino Linotype" w:hAnsi="Palatino Linotype" w:cs="Arial"/>
          <w:b/>
          <w:i/>
          <w:lang w:val="es-MX"/>
        </w:rPr>
        <w:t>“PbRM-01a</w:t>
      </w:r>
      <w:r w:rsidRPr="00CF0DCB">
        <w:rPr>
          <w:rFonts w:ascii="Palatino Linotype" w:hAnsi="Palatino Linotype" w:cs="Arial"/>
          <w:i/>
          <w:lang w:val="es-MX"/>
        </w:rPr>
        <w:t xml:space="preserve"> “Dimensión Administrativa del Gasto”... tiene como propósito en especifico identificar a nivel de estructura administrativa los programas y proyectos de los cuales se responsabiliza cada una de las Dependencias y Organismos Municipales” , </w:t>
      </w:r>
      <w:r w:rsidRPr="00CF0DCB">
        <w:rPr>
          <w:rFonts w:ascii="Palatino Linotype" w:hAnsi="Palatino Linotype" w:cs="Arial"/>
          <w:lang w:val="es-MX"/>
        </w:rPr>
        <w:t xml:space="preserve">mismo que se inserta a continuación: </w:t>
      </w:r>
    </w:p>
    <w:p w:rsidR="006A2740" w:rsidRPr="00CF0DCB" w:rsidRDefault="006A2740" w:rsidP="00CF0DCB">
      <w:pPr>
        <w:pStyle w:val="Prrafodelista"/>
        <w:spacing w:before="240" w:after="240" w:line="360" w:lineRule="auto"/>
        <w:ind w:left="0"/>
        <w:jc w:val="center"/>
        <w:rPr>
          <w:rFonts w:ascii="Palatino Linotype" w:hAnsi="Palatino Linotype" w:cs="Arial"/>
          <w:lang w:val="es-MX"/>
        </w:rPr>
      </w:pPr>
      <w:r w:rsidRPr="00CF0DCB">
        <w:rPr>
          <w:rFonts w:ascii="Palatino Linotype" w:hAnsi="Palatino Linotype"/>
          <w:noProof/>
          <w:lang w:val="es-MX" w:eastAsia="es-MX"/>
        </w:rPr>
        <w:drawing>
          <wp:inline distT="0" distB="0" distL="0" distR="0" wp14:anchorId="535728BC" wp14:editId="51C28585">
            <wp:extent cx="5553651" cy="242788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245" t="19429" r="23673" b="14268"/>
                    <a:stretch/>
                  </pic:blipFill>
                  <pic:spPr bwMode="auto">
                    <a:xfrm>
                      <a:off x="0" y="0"/>
                      <a:ext cx="5606296" cy="2450904"/>
                    </a:xfrm>
                    <a:prstGeom prst="rect">
                      <a:avLst/>
                    </a:prstGeom>
                    <a:ln>
                      <a:noFill/>
                    </a:ln>
                    <a:extLst>
                      <a:ext uri="{53640926-AAD7-44D8-BBD7-CCE9431645EC}">
                        <a14:shadowObscured xmlns:a14="http://schemas.microsoft.com/office/drawing/2010/main"/>
                      </a:ext>
                    </a:extLst>
                  </pic:spPr>
                </pic:pic>
              </a:graphicData>
            </a:graphic>
          </wp:inline>
        </w:drawing>
      </w:r>
    </w:p>
    <w:p w:rsidR="00A34C70" w:rsidRPr="00CF0DCB" w:rsidRDefault="00A34C70" w:rsidP="00CF0DCB">
      <w:pPr>
        <w:pStyle w:val="Prrafodelista"/>
        <w:spacing w:before="240" w:after="240" w:line="360" w:lineRule="auto"/>
        <w:ind w:left="0"/>
        <w:jc w:val="both"/>
        <w:rPr>
          <w:rFonts w:ascii="Palatino Linotype" w:hAnsi="Palatino Linotype"/>
          <w:i/>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i/>
        </w:rPr>
      </w:pPr>
      <w:r w:rsidRPr="00CF0DCB">
        <w:rPr>
          <w:rFonts w:ascii="Palatino Linotype" w:hAnsi="Palatino Linotype" w:cs="Arial"/>
          <w:lang w:val="es-MX"/>
        </w:rPr>
        <w:t xml:space="preserve">En ese sentido, el formato que colmaría la información requerida es el PbRM-01a, ya que en dicho formato se refiere “la clave y la denominación del programa”, “el código de la dependencia auxiliar que lo opera” , “el presupuesto autorizado por proyecto” y el “presupuesto total” para el ejercicio fiscal correspondiente, así y una vez señalado lo anterior y de conformidad con el principio de eficacia que rige a este instituto, se advierte que la información requerida correspondiente al programa </w:t>
      </w:r>
      <w:r w:rsidRPr="00CF0DCB">
        <w:rPr>
          <w:rFonts w:ascii="Palatino Linotype" w:hAnsi="Palatino Linotype" w:cs="Arial"/>
          <w:i/>
        </w:rPr>
        <w:t xml:space="preserve">02060805 </w:t>
      </w:r>
      <w:r w:rsidRPr="00CF0DCB">
        <w:rPr>
          <w:rFonts w:ascii="Palatino Linotype" w:hAnsi="Palatino Linotype" w:cs="Arial"/>
        </w:rPr>
        <w:t>se encuentra contenida en el formato antes descrito PbRM 01a, mismo que ya se ordenó su entrega, luego entonces,  se estima que a ningún efecto práctico nos conduciría ordenar el mismo formato por lo que el presente requerimiento ha quedado atendido.</w:t>
      </w:r>
    </w:p>
    <w:p w:rsidR="006A2740" w:rsidRPr="00CF0DCB" w:rsidRDefault="006A2740" w:rsidP="00CF0DCB">
      <w:pPr>
        <w:pStyle w:val="Prrafodelista"/>
        <w:spacing w:before="240" w:after="240" w:line="360" w:lineRule="auto"/>
        <w:ind w:left="0"/>
        <w:jc w:val="both"/>
        <w:rPr>
          <w:rFonts w:ascii="Palatino Linotype" w:hAnsi="Palatino Linotype" w:cs="Arial"/>
          <w:color w:val="000000" w:themeColor="text1"/>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CF0DCB">
        <w:rPr>
          <w:rFonts w:ascii="Palatino Linotype" w:hAnsi="Palatino Linotype" w:cs="Arial"/>
          <w:lang w:val="es-MX"/>
        </w:rPr>
        <w:t>Consecuentemente por lo que respecta al requerimiento consistente en conocer</w:t>
      </w:r>
      <w:r w:rsidR="002F2237" w:rsidRPr="00CF0DCB">
        <w:rPr>
          <w:rFonts w:ascii="Palatino Linotype" w:hAnsi="Palatino Linotype" w:cs="Arial"/>
          <w:color w:val="000000" w:themeColor="text1"/>
          <w:lang w:val="es-MX"/>
        </w:rPr>
        <w:t xml:space="preserve"> “Presupuesto de Egresos por Objeto de Gasto de la dependencia Clave I01 Desarrollo Social y/o equivalente, y de la dependencia</w:t>
      </w:r>
      <w:r w:rsidRPr="00CF0DCB">
        <w:rPr>
          <w:rFonts w:ascii="Palatino Linotype" w:hAnsi="Palatino Linotype" w:cs="Arial"/>
          <w:color w:val="000000" w:themeColor="text1"/>
          <w:lang w:val="es-MX"/>
        </w:rPr>
        <w:t xml:space="preserve"> </w:t>
      </w:r>
      <w:r w:rsidR="002F2237" w:rsidRPr="00CF0DCB">
        <w:rPr>
          <w:rFonts w:ascii="Palatino Linotype" w:hAnsi="Palatino Linotype" w:cs="Arial"/>
          <w:color w:val="000000" w:themeColor="text1"/>
          <w:lang w:val="es-MX"/>
        </w:rPr>
        <w:t>clave 152 Atención a la Mujer y/o equivalente de los ejercicios fiscales 2013 al 2019</w:t>
      </w:r>
      <w:r w:rsidRPr="00CF0DCB">
        <w:rPr>
          <w:rFonts w:ascii="Palatino Linotype" w:hAnsi="Palatino Linotype" w:cs="Arial"/>
          <w:color w:val="000000" w:themeColor="text1"/>
          <w:lang w:val="es-MX"/>
        </w:rPr>
        <w:t>“, es necesario precisar que de igual forma el Manual</w:t>
      </w:r>
      <w:r w:rsidRPr="00CF0DCB">
        <w:rPr>
          <w:rFonts w:ascii="Palatino Linotype" w:eastAsia="MS Mincho" w:hAnsi="Palatino Linotype" w:cs="Times New Roman"/>
          <w:lang w:val="es-MX"/>
        </w:rPr>
        <w:t xml:space="preserve"> para la Planeación, Programación y Presupuesto de Egresos Municipal contempla en efecto el nivel de desagregación del “Clasificador por Objeto del Gasto Estatal y Municipal”, la definición de los Capítulos de gasto es el siguiente: </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spacing w:line="360" w:lineRule="auto"/>
        <w:ind w:left="0"/>
        <w:jc w:val="center"/>
        <w:rPr>
          <w:rFonts w:ascii="Palatino Linotype" w:hAnsi="Palatino Linotype" w:cs="Arial"/>
          <w:lang w:val="es-MX"/>
        </w:rPr>
      </w:pPr>
      <w:r w:rsidRPr="00CF0DCB">
        <w:rPr>
          <w:rFonts w:ascii="Palatino Linotype" w:hAnsi="Palatino Linotype"/>
          <w:noProof/>
          <w:lang w:val="es-MX" w:eastAsia="es-MX"/>
        </w:rPr>
        <w:drawing>
          <wp:inline distT="0" distB="0" distL="0" distR="0" wp14:anchorId="2E891543" wp14:editId="5C016BED">
            <wp:extent cx="5012632" cy="52597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266" t="15111" r="30265" b="8409"/>
                    <a:stretch/>
                  </pic:blipFill>
                  <pic:spPr bwMode="auto">
                    <a:xfrm>
                      <a:off x="0" y="0"/>
                      <a:ext cx="5015619" cy="5262840"/>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 xml:space="preserve">Así, tratado lo anterior por otra parte, el Manual en comento, establece un catálogo de Dependencias Generales y auxiliares para Municipios donde es posible advertir las dependencias señaladas por el particular como a continuación se observa: </w:t>
      </w:r>
    </w:p>
    <w:p w:rsidR="006A2740" w:rsidRPr="00CF0DCB" w:rsidRDefault="006A2740" w:rsidP="00CF0DCB">
      <w:pPr>
        <w:pStyle w:val="Prrafodelista"/>
        <w:spacing w:before="240" w:after="240" w:line="360" w:lineRule="auto"/>
        <w:ind w:left="0"/>
        <w:jc w:val="center"/>
        <w:rPr>
          <w:rFonts w:ascii="Palatino Linotype" w:hAnsi="Palatino Linotype" w:cs="Arial"/>
          <w:lang w:val="es-MX"/>
        </w:rPr>
      </w:pPr>
      <w:r w:rsidRPr="00CF0DCB">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67B5312A" wp14:editId="2D2C07E7">
                <wp:simplePos x="0" y="0"/>
                <wp:positionH relativeFrom="column">
                  <wp:posOffset>302438</wp:posOffset>
                </wp:positionH>
                <wp:positionV relativeFrom="paragraph">
                  <wp:posOffset>4725238</wp:posOffset>
                </wp:positionV>
                <wp:extent cx="1748333" cy="109728"/>
                <wp:effectExtent l="0" t="0" r="23495" b="24130"/>
                <wp:wrapNone/>
                <wp:docPr id="23" name="Rectángulo 23"/>
                <wp:cNvGraphicFramePr/>
                <a:graphic xmlns:a="http://schemas.openxmlformats.org/drawingml/2006/main">
                  <a:graphicData uri="http://schemas.microsoft.com/office/word/2010/wordprocessingShape">
                    <wps:wsp>
                      <wps:cNvSpPr/>
                      <wps:spPr>
                        <a:xfrm>
                          <a:off x="0" y="0"/>
                          <a:ext cx="1748333" cy="10972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9BFC" id="Rectángulo 23" o:spid="_x0000_s1026" style="position:absolute;margin-left:23.8pt;margin-top:372.05pt;width:137.65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" filled="f" strokecolor="red" strokeweight="1.5pt"/>
            </w:pict>
          </mc:Fallback>
        </mc:AlternateContent>
      </w:r>
      <w:r w:rsidRPr="00CF0DCB">
        <w:rPr>
          <w:rFonts w:ascii="Palatino Linotype" w:hAnsi="Palatino Linotype"/>
          <w:noProof/>
          <w:lang w:val="es-MX" w:eastAsia="es-MX"/>
        </w:rPr>
        <w:drawing>
          <wp:inline distT="0" distB="0" distL="0" distR="0" wp14:anchorId="0D37F520" wp14:editId="36C375B0">
            <wp:extent cx="5266944" cy="5820494"/>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92" t="10485" r="33214" b="8100"/>
                    <a:stretch/>
                  </pic:blipFill>
                  <pic:spPr bwMode="auto">
                    <a:xfrm>
                      <a:off x="0" y="0"/>
                      <a:ext cx="5301884" cy="5859106"/>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r w:rsidRPr="00CF0DCB">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386A919" wp14:editId="6011D47C">
                <wp:simplePos x="0" y="0"/>
                <wp:positionH relativeFrom="column">
                  <wp:posOffset>2967990</wp:posOffset>
                </wp:positionH>
                <wp:positionV relativeFrom="paragraph">
                  <wp:posOffset>3624809</wp:posOffset>
                </wp:positionV>
                <wp:extent cx="1314450" cy="15240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1314450" cy="1524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266B" id="Rectángulo 24" o:spid="_x0000_s1026" style="position:absolute;margin-left:233.7pt;margin-top:285.4pt;width:103.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" filled="f" strokecolor="red" strokeweight="1.5pt">
                <v:shadow on="t" color="black" opacity="22937f" origin=",.5" offset="0,.63889mm"/>
              </v:rect>
            </w:pict>
          </mc:Fallback>
        </mc:AlternateContent>
      </w:r>
      <w:r w:rsidRPr="00CF0DCB">
        <w:rPr>
          <w:rFonts w:ascii="Palatino Linotype" w:hAnsi="Palatino Linotype"/>
          <w:noProof/>
          <w:lang w:val="es-MX" w:eastAsia="es-MX"/>
        </w:rPr>
        <w:drawing>
          <wp:inline distT="0" distB="0" distL="0" distR="0" wp14:anchorId="27117FED" wp14:editId="656569A2">
            <wp:extent cx="5467350" cy="49625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887" t="35202" r="28919" b="13297"/>
                    <a:stretch/>
                  </pic:blipFill>
                  <pic:spPr bwMode="auto">
                    <a:xfrm>
                      <a:off x="0" y="0"/>
                      <a:ext cx="5472550" cy="4967245"/>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cs="Arial"/>
          <w:lang w:val="es-MX"/>
        </w:rPr>
      </w:pPr>
      <w:r w:rsidRPr="00CF0DCB">
        <w:rPr>
          <w:rFonts w:ascii="Palatino Linotype" w:hAnsi="Palatino Linotype" w:cs="Arial"/>
          <w:lang w:val="es-MX"/>
        </w:rPr>
        <w:t>Resulta necesario señalar que el ya referido manual es</w:t>
      </w:r>
      <w:r w:rsidR="00A34C70" w:rsidRPr="00CF0DCB">
        <w:rPr>
          <w:rFonts w:ascii="Palatino Linotype" w:hAnsi="Palatino Linotype" w:cs="Arial"/>
          <w:lang w:val="es-MX"/>
        </w:rPr>
        <w:t>tablece que el formato “PbRM-04a</w:t>
      </w:r>
      <w:r w:rsidRPr="00CF0DCB">
        <w:rPr>
          <w:rFonts w:ascii="Palatino Linotype" w:hAnsi="Palatino Linotype" w:cs="Arial"/>
          <w:lang w:val="es-MX"/>
        </w:rPr>
        <w:t>" tiene por objeto “</w:t>
      </w:r>
      <w:r w:rsidRPr="00CF0DCB">
        <w:rPr>
          <w:rFonts w:ascii="Palatino Linotype" w:hAnsi="Palatino Linotype" w:cs="Arial"/>
          <w:i/>
          <w:lang w:val="es-MX"/>
        </w:rPr>
        <w:t>identificar el gasto total según el clasificador por objeto de gasto y su programación durante el ejercicio presupuestal correspondiente”</w:t>
      </w:r>
      <w:r w:rsidRPr="00CF0DCB">
        <w:rPr>
          <w:rFonts w:ascii="Palatino Linotype" w:hAnsi="Palatino Linotype" w:cs="Arial"/>
          <w:lang w:val="es-MX"/>
        </w:rPr>
        <w:t>, mismo que se inserta a continuación:</w:t>
      </w:r>
    </w:p>
    <w:p w:rsidR="006A2740" w:rsidRPr="00CF0DCB" w:rsidRDefault="006A2740" w:rsidP="00CF0DCB">
      <w:pPr>
        <w:pStyle w:val="Prrafodelista"/>
        <w:spacing w:before="240" w:after="240" w:line="360" w:lineRule="auto"/>
        <w:ind w:left="0"/>
        <w:jc w:val="both"/>
        <w:rPr>
          <w:rFonts w:ascii="Palatino Linotype" w:hAnsi="Palatino Linotype" w:cs="Arial"/>
          <w:lang w:val="es-MX"/>
        </w:rPr>
      </w:pPr>
    </w:p>
    <w:p w:rsidR="00A34C70" w:rsidRPr="00CF0DCB" w:rsidRDefault="00A34C70" w:rsidP="00CF0DCB">
      <w:pPr>
        <w:pStyle w:val="Prrafodelista"/>
        <w:spacing w:before="240" w:after="240" w:line="360" w:lineRule="auto"/>
        <w:ind w:left="0"/>
        <w:jc w:val="both"/>
        <w:rPr>
          <w:rFonts w:ascii="Palatino Linotype" w:hAnsi="Palatino Linotype" w:cs="Arial"/>
          <w:lang w:val="es-MX"/>
        </w:rPr>
      </w:pPr>
      <w:r w:rsidRPr="00CF0DCB">
        <w:rPr>
          <w:rFonts w:ascii="Palatino Linotype" w:eastAsia="MS Mincho" w:hAnsi="Palatino Linotype" w:cs="Times New Roman"/>
          <w:noProof/>
          <w:lang w:val="es-MX" w:eastAsia="es-MX"/>
        </w:rPr>
        <w:drawing>
          <wp:inline distT="0" distB="0" distL="0" distR="0" wp14:anchorId="6D03CF56" wp14:editId="463605A9">
            <wp:extent cx="5490845" cy="5103999"/>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755" t="19736" r="28877" b="29688"/>
                    <a:stretch/>
                  </pic:blipFill>
                  <pic:spPr bwMode="auto">
                    <a:xfrm>
                      <a:off x="0" y="0"/>
                      <a:ext cx="5490845" cy="5103999"/>
                    </a:xfrm>
                    <a:prstGeom prst="rect">
                      <a:avLst/>
                    </a:prstGeom>
                    <a:ln>
                      <a:noFill/>
                    </a:ln>
                    <a:extLst>
                      <a:ext uri="{53640926-AAD7-44D8-BBD7-CCE9431645EC}">
                        <a14:shadowObscured xmlns:a14="http://schemas.microsoft.com/office/drawing/2010/main"/>
                      </a:ext>
                    </a:extLst>
                  </pic:spPr>
                </pic:pic>
              </a:graphicData>
            </a:graphic>
          </wp:inline>
        </w:drawing>
      </w:r>
    </w:p>
    <w:p w:rsidR="006A2740" w:rsidRPr="00CF0DCB" w:rsidRDefault="006A2740" w:rsidP="00CF0DCB">
      <w:pPr>
        <w:pStyle w:val="Prrafodelista"/>
        <w:spacing w:before="240" w:after="240" w:line="360" w:lineRule="auto"/>
        <w:ind w:left="0"/>
        <w:jc w:val="center"/>
        <w:rPr>
          <w:rFonts w:ascii="Palatino Linotype" w:hAnsi="Palatino Linotype" w:cs="Arial"/>
          <w:lang w:val="es-MX"/>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i/>
        </w:rPr>
      </w:pPr>
      <w:r w:rsidRPr="00CF0DCB">
        <w:rPr>
          <w:rFonts w:ascii="Palatino Linotype" w:hAnsi="Palatino Linotype" w:cs="Arial"/>
          <w:lang w:val="es-MX"/>
        </w:rPr>
        <w:t xml:space="preserve">En ese sentido, el formato que colmaría el requerimiento realizado es el “PbRM-04a", ya que en dicho formato se refiere “el código de la dependencia general y de la dependencia auxiliar”, “la clave numérica que tiene cada capítulo, concepto, partida genérica y partida específica del gasto que tiene el clasificador por objeto de gasto vigente” y el “presupuesto anual” , por lo que es </w:t>
      </w:r>
      <w:r w:rsidRPr="00CF0DCB">
        <w:rPr>
          <w:rFonts w:ascii="Palatino Linotype" w:hAnsi="Palatino Linotype" w:cs="Arial"/>
          <w:color w:val="000000" w:themeColor="text1"/>
          <w:lang w:val="es-MX"/>
        </w:rPr>
        <w:t>dable ordenar el documento donde conste o se aprecie el presupuesto de egresos detallado con los capítulos 1000, 2000, 3000, 4000, 5000, 6000, 7000, 8000 y 9000 de la dependencia general “Promoción Social”  y la dependencia auxiliar “Atención a la Mujer” de los ejercicios fiscales 2013, 2014, 2015, 2016, 2017, 2018 y 2019.</w:t>
      </w:r>
    </w:p>
    <w:p w:rsidR="006A2740" w:rsidRPr="00CF0DCB" w:rsidRDefault="006A2740" w:rsidP="00CF0DCB">
      <w:pPr>
        <w:pStyle w:val="Prrafodelista"/>
        <w:spacing w:before="240" w:after="240" w:line="360" w:lineRule="auto"/>
        <w:ind w:left="0"/>
        <w:jc w:val="both"/>
        <w:rPr>
          <w:rFonts w:ascii="Palatino Linotype" w:hAnsi="Palatino Linotype"/>
          <w:i/>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i/>
        </w:rPr>
      </w:pPr>
      <w:r w:rsidRPr="00CF0DCB">
        <w:rPr>
          <w:rFonts w:ascii="Palatino Linotype" w:eastAsia="MS Mincho" w:hAnsi="Palatino Linotype" w:cstheme="majorBidi"/>
        </w:rPr>
        <w:t>Consecuentemente, es necesario apuntar que la Ley General de Contabilidad Gubernamental publicada en el Diario Oficial de la Federación el 31 de diciembre de 2008, establece los criterios generales que regirán la Contabilidad Gubernamental y la emisión de información financiera de los entes públicos, misma que es de observancia obligatoria para los poderes Ejecutivo, Legislativo y Judicial de la Federación, entidades federativas y los ayuntamientos de los municipios, lo que implica que los gobiernos municipales al igual que el gobierno estatal; a partir del 2008, están obligados a transitar de un presupuesto por programas, hacia el PbR, esta forma de presupuestar implica que las Dependencias Generales y Auxiliares de la Administración Pública Municipal, analicen, refuercen, rediseñen e incluso generen nuevas políticas públicas, verificando el enfoque hacia resultados, por lo que se presume la existencia de la información solicitada de conformidad con el primer párrafo del artículo 19 de la Ley de Trasparencia y Acceso a la Información Pública del Estado de México y Municipios:</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w:t>
      </w:r>
      <w:r w:rsidRPr="00CF0DCB">
        <w:rPr>
          <w:rFonts w:ascii="Palatino Linotype" w:eastAsia="MS Mincho" w:hAnsi="Palatino Linotype" w:cstheme="majorBidi"/>
          <w:b/>
          <w:i/>
        </w:rPr>
        <w:t>Artículo 19.</w:t>
      </w:r>
      <w:r w:rsidRPr="00CF0DCB">
        <w:rPr>
          <w:rFonts w:ascii="Palatino Linotype" w:eastAsia="MS Mincho" w:hAnsi="Palatino Linotype" w:cstheme="majorBidi"/>
          <w:i/>
        </w:rPr>
        <w:t xml:space="preserve"> Se presume que la información debe existir si se refiere a las facultades, competencias y funciones que los ordenamientos jurídicos aplicables otorgan a los sujetos obligados. </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w:t>
      </w:r>
    </w:p>
    <w:p w:rsidR="006A2740" w:rsidRPr="00CF0DCB" w:rsidRDefault="006A2740" w:rsidP="00CF0DCB">
      <w:pPr>
        <w:pStyle w:val="Prrafodelista"/>
        <w:spacing w:before="240" w:after="240" w:line="360" w:lineRule="auto"/>
        <w:ind w:left="0"/>
        <w:jc w:val="both"/>
        <w:rPr>
          <w:rFonts w:ascii="Palatino Linotype" w:hAnsi="Palatino Linotype"/>
          <w:i/>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hAnsi="Palatino Linotype"/>
          <w:i/>
        </w:rPr>
      </w:pPr>
      <w:r w:rsidRPr="00CF0DCB">
        <w:rPr>
          <w:rFonts w:ascii="Palatino Linotype" w:hAnsi="Palatino Linotype" w:cs="Arial"/>
          <w:lang w:val="es-MX"/>
        </w:rPr>
        <w:t>Finalmente, por cuanto hace al requerimiento consistente en acceder al “</w:t>
      </w:r>
      <w:r w:rsidRPr="00CF0DCB">
        <w:rPr>
          <w:rFonts w:ascii="Palatino Linotype" w:hAnsi="Palatino Linotype" w:cs="Arial"/>
          <w:i/>
          <w:lang w:val="es-MX"/>
        </w:rPr>
        <w:t xml:space="preserve">nombre de la dependencia responsable de la atención a la mujer y si es o no dirección de área, y si dependen de alguna otra unidad administrativa”, </w:t>
      </w:r>
      <w:r w:rsidRPr="00CF0DCB">
        <w:rPr>
          <w:rFonts w:ascii="Palatino Linotype" w:hAnsi="Palatino Linotype" w:cs="Arial"/>
          <w:lang w:val="es-MX"/>
        </w:rPr>
        <w:t xml:space="preserve">el </w:t>
      </w:r>
      <w:r w:rsidRPr="00CF0DCB">
        <w:rPr>
          <w:rFonts w:ascii="Palatino Linotype" w:hAnsi="Palatino Linotype" w:cs="Arial"/>
          <w:b/>
          <w:lang w:val="es-MX"/>
        </w:rPr>
        <w:t xml:space="preserve">SUJETO OBLIGADO </w:t>
      </w:r>
      <w:r w:rsidRPr="00CF0DCB">
        <w:rPr>
          <w:rFonts w:ascii="Palatino Linotype" w:hAnsi="Palatino Linotype" w:cs="Arial"/>
          <w:lang w:val="es-MX"/>
        </w:rPr>
        <w:t xml:space="preserve">mediante su respuesta, no realizó manifestación alguna por lo que resulta necesario señalar lo que refiere el artículo 92 anteriormente citado de la Ley de Transparencia y Acceso a la Información Pública del Estado de México, mismo que establece la obligación de los Sujetos Obligados de poner a disposición del público de manera permanente y actualizada la información relacionada con la estructura orgánica y  las facultades, las metas, objetivos e indicadores de cada área, como a continuación se observa: </w:t>
      </w:r>
    </w:p>
    <w:p w:rsidR="006A2740" w:rsidRPr="00CF0DCB" w:rsidRDefault="006A2740" w:rsidP="00CF0DCB">
      <w:pPr>
        <w:pStyle w:val="Prrafodelista"/>
        <w:spacing w:line="360" w:lineRule="auto"/>
        <w:rPr>
          <w:rFonts w:ascii="Palatino Linotype" w:hAnsi="Palatino Linotype"/>
          <w:i/>
        </w:rPr>
      </w:pPr>
    </w:p>
    <w:p w:rsidR="006A2740" w:rsidRPr="00CF0DCB" w:rsidRDefault="006A2740" w:rsidP="00CF0DCB">
      <w:pPr>
        <w:pStyle w:val="Prrafodelista"/>
        <w:spacing w:before="240" w:after="240" w:line="360" w:lineRule="auto"/>
        <w:ind w:left="567" w:right="709"/>
        <w:jc w:val="both"/>
        <w:rPr>
          <w:rFonts w:ascii="Palatino Linotype" w:hAnsi="Palatino Linotype"/>
          <w:i/>
        </w:rPr>
      </w:pPr>
      <w:r w:rsidRPr="00CF0DCB">
        <w:rPr>
          <w:rFonts w:ascii="Palatino Linotype" w:hAnsi="Palatino Linotype"/>
          <w:i/>
        </w:rPr>
        <w:t>“</w:t>
      </w:r>
      <w:r w:rsidRPr="00CF0DCB">
        <w:rPr>
          <w:rFonts w:ascii="Palatino Linotype" w:hAnsi="Palatino Linotype"/>
          <w:b/>
          <w:i/>
        </w:rPr>
        <w:t>Artículo 92.</w:t>
      </w:r>
      <w:r w:rsidRPr="00CF0DC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A2740" w:rsidRPr="00CF0DCB" w:rsidRDefault="006A2740" w:rsidP="00CF0DCB">
      <w:pPr>
        <w:pStyle w:val="Prrafodelista"/>
        <w:spacing w:before="240" w:after="240" w:line="360" w:lineRule="auto"/>
        <w:ind w:left="567" w:right="709"/>
        <w:jc w:val="both"/>
        <w:rPr>
          <w:rFonts w:ascii="Palatino Linotype" w:hAnsi="Palatino Linotype"/>
          <w:i/>
        </w:rPr>
      </w:pPr>
    </w:p>
    <w:p w:rsidR="006A2740" w:rsidRPr="00CF0DCB" w:rsidRDefault="006A2740" w:rsidP="00CF0DCB">
      <w:pPr>
        <w:pStyle w:val="Prrafodelista"/>
        <w:spacing w:before="240" w:after="240" w:line="360" w:lineRule="auto"/>
        <w:ind w:left="567" w:right="709"/>
        <w:jc w:val="both"/>
        <w:rPr>
          <w:rFonts w:ascii="Palatino Linotype" w:hAnsi="Palatino Linotype"/>
          <w:i/>
        </w:rPr>
      </w:pPr>
      <w:r w:rsidRPr="00CF0DCB">
        <w:rPr>
          <w:rFonts w:ascii="Palatino Linotype" w:hAnsi="Palatino Linotype"/>
          <w:i/>
        </w:rPr>
        <w:t>(…)</w:t>
      </w:r>
    </w:p>
    <w:p w:rsidR="006A2740" w:rsidRPr="00CF0DCB" w:rsidRDefault="006A2740" w:rsidP="00CF0DCB">
      <w:pPr>
        <w:spacing w:line="360" w:lineRule="auto"/>
        <w:ind w:left="567" w:right="709"/>
        <w:jc w:val="both"/>
        <w:rPr>
          <w:rFonts w:ascii="Palatino Linotype" w:hAnsi="Palatino Linotype" w:cs="Arial"/>
          <w:i/>
        </w:rPr>
      </w:pPr>
      <w:r w:rsidRPr="00CF0DCB">
        <w:rPr>
          <w:rFonts w:ascii="Palatino Linotype" w:hAnsi="Palatino Linotype" w:cs="Arial"/>
          <w:b/>
          <w:i/>
        </w:rPr>
        <w:t xml:space="preserve">II. Su estructura orgánica completa, en un formato que permita vincular cada parte de la estructura, las atribuciones y responsabilidades </w:t>
      </w:r>
      <w:r w:rsidRPr="00CF0DCB">
        <w:rPr>
          <w:rFonts w:ascii="Palatino Linotype" w:hAnsi="Palatino Linotype" w:cs="Arial"/>
          <w:i/>
        </w:rPr>
        <w:t xml:space="preserve">que le corresponden a cada servidor público, prestador de servicios profesionales o miembro de los sujetos obligados, de conformidad con las disposiciones jurídicas aplicables; </w:t>
      </w:r>
    </w:p>
    <w:p w:rsidR="006A2740" w:rsidRPr="00CF0DCB" w:rsidRDefault="006A2740" w:rsidP="00CF0DCB">
      <w:pPr>
        <w:spacing w:line="360" w:lineRule="auto"/>
        <w:ind w:left="567" w:right="709"/>
        <w:jc w:val="both"/>
        <w:rPr>
          <w:rFonts w:ascii="Palatino Linotype" w:hAnsi="Palatino Linotype" w:cs="Arial"/>
          <w:i/>
        </w:rPr>
      </w:pPr>
    </w:p>
    <w:p w:rsidR="006A2740" w:rsidRPr="00CF0DCB" w:rsidRDefault="006A2740" w:rsidP="00CF0DCB">
      <w:pPr>
        <w:spacing w:line="360" w:lineRule="auto"/>
        <w:ind w:left="567" w:right="709"/>
        <w:jc w:val="both"/>
        <w:rPr>
          <w:rFonts w:ascii="Palatino Linotype" w:hAnsi="Palatino Linotype" w:cs="Arial"/>
          <w:b/>
          <w:i/>
        </w:rPr>
      </w:pPr>
      <w:r w:rsidRPr="00CF0DCB">
        <w:rPr>
          <w:rFonts w:ascii="Palatino Linotype" w:hAnsi="Palatino Linotype" w:cs="Arial"/>
          <w:b/>
          <w:i/>
        </w:rPr>
        <w:t>III. Las facultades de cada área;</w:t>
      </w:r>
    </w:p>
    <w:p w:rsidR="006A2740" w:rsidRPr="00CF0DCB" w:rsidRDefault="006A2740" w:rsidP="00CF0DCB">
      <w:pPr>
        <w:spacing w:line="360" w:lineRule="auto"/>
        <w:ind w:left="567" w:right="709"/>
        <w:jc w:val="both"/>
        <w:rPr>
          <w:rFonts w:ascii="Palatino Linotype" w:hAnsi="Palatino Linotype" w:cs="Arial"/>
          <w:i/>
        </w:rPr>
      </w:pPr>
    </w:p>
    <w:p w:rsidR="006A2740" w:rsidRPr="00CF0DCB" w:rsidRDefault="006A2740" w:rsidP="00CF0DCB">
      <w:pPr>
        <w:spacing w:line="360" w:lineRule="auto"/>
        <w:ind w:left="567" w:right="709"/>
        <w:jc w:val="both"/>
        <w:rPr>
          <w:rFonts w:ascii="Palatino Linotype" w:hAnsi="Palatino Linotype" w:cs="Arial"/>
          <w:b/>
          <w:i/>
        </w:rPr>
      </w:pPr>
      <w:r w:rsidRPr="00CF0DCB">
        <w:rPr>
          <w:rFonts w:ascii="Palatino Linotype" w:hAnsi="Palatino Linotype" w:cs="Arial"/>
          <w:i/>
        </w:rPr>
        <w:t xml:space="preserve"> </w:t>
      </w:r>
      <w:r w:rsidRPr="00CF0DCB">
        <w:rPr>
          <w:rFonts w:ascii="Palatino Linotype" w:hAnsi="Palatino Linotype" w:cs="Arial"/>
          <w:b/>
          <w:i/>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rsidR="006A2740" w:rsidRPr="00CF0DCB" w:rsidRDefault="006A2740" w:rsidP="00CF0DCB">
      <w:pPr>
        <w:spacing w:line="360" w:lineRule="auto"/>
        <w:ind w:left="567" w:right="709"/>
        <w:jc w:val="both"/>
        <w:rPr>
          <w:rFonts w:ascii="Palatino Linotype" w:hAnsi="Palatino Linotype" w:cs="Arial"/>
          <w:i/>
        </w:rPr>
      </w:pPr>
    </w:p>
    <w:p w:rsidR="006A2740" w:rsidRPr="00CF0DCB" w:rsidRDefault="006A2740" w:rsidP="00CF0DCB">
      <w:pPr>
        <w:spacing w:line="360" w:lineRule="auto"/>
        <w:ind w:left="567" w:right="709"/>
        <w:jc w:val="both"/>
        <w:rPr>
          <w:rFonts w:ascii="Palatino Linotype" w:hAnsi="Palatino Linotype" w:cs="Arial"/>
          <w:i/>
        </w:rPr>
      </w:pPr>
      <w:r w:rsidRPr="00CF0DCB">
        <w:rPr>
          <w:rFonts w:ascii="Palatino Linotype" w:hAnsi="Palatino Linotype" w:cs="Arial"/>
          <w:i/>
        </w:rPr>
        <w:t>(…)</w:t>
      </w:r>
    </w:p>
    <w:p w:rsidR="006A2740" w:rsidRPr="00CF0DCB" w:rsidRDefault="006A2740" w:rsidP="00CF0DCB">
      <w:pPr>
        <w:pStyle w:val="Prrafodelista"/>
        <w:numPr>
          <w:ilvl w:val="0"/>
          <w:numId w:val="1"/>
        </w:numPr>
        <w:spacing w:before="240" w:after="240" w:line="360" w:lineRule="auto"/>
        <w:ind w:left="0" w:firstLine="0"/>
        <w:jc w:val="both"/>
        <w:rPr>
          <w:rFonts w:ascii="Palatino Linotype" w:eastAsia="MS Mincho" w:hAnsi="Palatino Linotype" w:cstheme="majorBidi"/>
        </w:rPr>
      </w:pPr>
      <w:r w:rsidRPr="00CF0DCB">
        <w:rPr>
          <w:rFonts w:ascii="Palatino Linotype" w:hAnsi="Palatino Linotype" w:cs="Arial"/>
          <w:lang w:val="es-MX"/>
        </w:rPr>
        <w:t xml:space="preserve">Así, de lo anterior es posible determinar que el </w:t>
      </w:r>
      <w:r w:rsidRPr="00CF0DCB">
        <w:rPr>
          <w:rFonts w:ascii="Palatino Linotype" w:hAnsi="Palatino Linotype" w:cs="Arial"/>
          <w:b/>
          <w:lang w:val="es-MX"/>
        </w:rPr>
        <w:t xml:space="preserve">SUJETO OBLIGADO </w:t>
      </w:r>
      <w:r w:rsidRPr="00CF0DCB">
        <w:rPr>
          <w:rFonts w:ascii="Palatino Linotype" w:hAnsi="Palatino Linotype" w:cs="Arial"/>
          <w:lang w:val="es-MX"/>
        </w:rPr>
        <w:t xml:space="preserve"> de realizar entrega del documento donde conste o se aprecie el “</w:t>
      </w:r>
      <w:r w:rsidRPr="00CF0DCB">
        <w:rPr>
          <w:rFonts w:ascii="Palatino Linotype" w:hAnsi="Palatino Linotype" w:cs="Arial"/>
          <w:i/>
          <w:lang w:val="es-MX"/>
        </w:rPr>
        <w:t>nombre de la dependencia responsable de la atención a la mujer y si es o no dirección de área, y si dependen de alguna otra unidad administrativa”.</w:t>
      </w:r>
      <w:r w:rsidRPr="00CF0DCB">
        <w:rPr>
          <w:rFonts w:ascii="Palatino Linotype" w:hAnsi="Palatino Linotype" w:cs="Arial"/>
          <w:lang w:val="es-MX"/>
        </w:rPr>
        <w:t xml:space="preserve"> </w:t>
      </w:r>
    </w:p>
    <w:p w:rsidR="006A2740" w:rsidRPr="00CF0DCB" w:rsidRDefault="006A2740" w:rsidP="00CF0DCB">
      <w:pPr>
        <w:pStyle w:val="Prrafodelista"/>
        <w:spacing w:before="240" w:after="240" w:line="360" w:lineRule="auto"/>
        <w:ind w:left="0"/>
        <w:jc w:val="both"/>
        <w:rPr>
          <w:rFonts w:ascii="Palatino Linotype" w:eastAsia="MS Mincho" w:hAnsi="Palatino Linotype" w:cstheme="majorBidi"/>
        </w:rPr>
      </w:pPr>
    </w:p>
    <w:p w:rsidR="006A2740" w:rsidRPr="00CF0DCB" w:rsidRDefault="006A2740" w:rsidP="00CF0DCB">
      <w:pPr>
        <w:pStyle w:val="Prrafodelista"/>
        <w:numPr>
          <w:ilvl w:val="0"/>
          <w:numId w:val="1"/>
        </w:numPr>
        <w:spacing w:before="240" w:after="240" w:line="360" w:lineRule="auto"/>
        <w:ind w:left="0" w:firstLine="0"/>
        <w:jc w:val="both"/>
        <w:rPr>
          <w:rFonts w:ascii="Palatino Linotype" w:eastAsia="MS Mincho" w:hAnsi="Palatino Linotype" w:cstheme="majorBidi"/>
        </w:rPr>
      </w:pPr>
      <w:r w:rsidRPr="00CF0DCB">
        <w:rPr>
          <w:rFonts w:ascii="Palatino Linotype" w:eastAsia="MS Mincho" w:hAnsi="Palatino Linotype" w:cstheme="majorBidi"/>
        </w:rPr>
        <w:t xml:space="preserve">Consecuentemente es necesario determinar que el </w:t>
      </w:r>
      <w:r w:rsidRPr="00CF0DCB">
        <w:rPr>
          <w:rFonts w:ascii="Palatino Linotype" w:eastAsia="MS Mincho" w:hAnsi="Palatino Linotype" w:cstheme="majorBidi"/>
          <w:b/>
        </w:rPr>
        <w:t xml:space="preserve">SUJETO OBLIGADO </w:t>
      </w:r>
      <w:r w:rsidRPr="00CF0DCB">
        <w:rPr>
          <w:rFonts w:ascii="Palatino Linotype" w:eastAsia="MS Mincho" w:hAnsi="Palatino Linotype" w:cstheme="majorBidi"/>
        </w:rPr>
        <w:t xml:space="preserve"> se encuentra obligado a darle a cada uno de los requerimientos realizados una expresión documental y entregar el documento en donde conste o se aprecie lo solicitado, de conformidad con el  criterio 28/10, emitido por el entonces Instituto Federal de Acceso a la Información Pública y Protección de Datos Personales, mismo que menciona lo siguiente:  </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w:t>
      </w:r>
      <w:r w:rsidRPr="00CF0DCB">
        <w:rPr>
          <w:rFonts w:ascii="Palatino Linotype" w:eastAsia="MS Mincho" w:hAnsi="Palatino Linotype" w:cstheme="majorBidi"/>
          <w:b/>
          <w:i/>
        </w:rPr>
        <w:t>Cuando en una solicitud de información no se identifique un documento en específico, si ésta tiene una expresión documental, el sujeto obligado deberá entregar al particular el documento en específico.</w:t>
      </w:r>
      <w:r w:rsidRPr="00CF0DCB">
        <w:rPr>
          <w:rFonts w:ascii="Palatino Linotype" w:eastAsia="MS Mincho" w:hAnsi="Palatino Linotype" w:cstheme="majorBidi"/>
          <w:i/>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(Énfasis añadido)</w:t>
      </w:r>
    </w:p>
    <w:p w:rsidR="006A2740" w:rsidRPr="00CF0DCB" w:rsidRDefault="006A2740" w:rsidP="00CF0DCB">
      <w:pPr>
        <w:pStyle w:val="Prrafodelista"/>
        <w:numPr>
          <w:ilvl w:val="0"/>
          <w:numId w:val="1"/>
        </w:numPr>
        <w:spacing w:before="240" w:after="240" w:line="360" w:lineRule="auto"/>
        <w:ind w:left="0" w:firstLine="0"/>
        <w:jc w:val="both"/>
        <w:rPr>
          <w:rFonts w:ascii="Palatino Linotype" w:eastAsia="MS Mincho" w:hAnsi="Palatino Linotype" w:cstheme="majorBidi"/>
        </w:rPr>
      </w:pPr>
      <w:r w:rsidRPr="00CF0DCB">
        <w:rPr>
          <w:rFonts w:ascii="Palatino Linotype" w:eastAsia="MS Mincho" w:hAnsi="Palatino Linotype" w:cstheme="majorBidi"/>
        </w:rPr>
        <w:t>Robustece lo anterior el criterio orientador 16/17 emitido de igual forma por el Instituto Nacional de Transparencia, Acceso a la Información y Protección de Datos Personales que a la literalidad prevé:</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w:t>
      </w:r>
      <w:r w:rsidRPr="00CF0DCB">
        <w:rPr>
          <w:rFonts w:ascii="Palatino Linotype" w:eastAsia="MS Mincho" w:hAnsi="Palatino Linotype" w:cstheme="majorBidi"/>
          <w:b/>
          <w:i/>
        </w:rPr>
        <w:t>Expresión documental.</w:t>
      </w:r>
      <w:r w:rsidRPr="00CF0DCB">
        <w:rPr>
          <w:rFonts w:ascii="Palatino Linotype" w:eastAsia="MS Mincho" w:hAnsi="Palatino Linotype" w:cstheme="majorBidi"/>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Resoluciones:</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w:t>
      </w:r>
      <w:r w:rsidRPr="00CF0DCB">
        <w:rPr>
          <w:rFonts w:ascii="Palatino Linotype" w:eastAsia="MS Mincho" w:hAnsi="Palatino Linotype" w:cstheme="majorBidi"/>
          <w:i/>
        </w:rPr>
        <w:tab/>
        <w:t>RRA 0774/16. Secretaría de Salud. 31 de agosto de 2016. Por unanimidad. Comisionada Ponente María Patricia Kurczyn Villalobos.</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w:t>
      </w:r>
      <w:r w:rsidRPr="00CF0DCB">
        <w:rPr>
          <w:rFonts w:ascii="Palatino Linotype" w:eastAsia="MS Mincho" w:hAnsi="Palatino Linotype" w:cstheme="majorBidi"/>
          <w:i/>
        </w:rPr>
        <w:tab/>
        <w:t xml:space="preserve">RRA 0143/17. Universidad Autónoma Agraria Antonio Narro. 22 de febrero de 2017. Por unanimidad. Comisionado Ponente Oscar Mauricio Guerra Ford. </w:t>
      </w:r>
    </w:p>
    <w:p w:rsidR="006A2740" w:rsidRPr="00CF0DCB" w:rsidRDefault="006A2740" w:rsidP="00CF0DCB">
      <w:pPr>
        <w:spacing w:before="240" w:after="240" w:line="360" w:lineRule="auto"/>
        <w:ind w:left="567" w:right="709"/>
        <w:jc w:val="both"/>
        <w:rPr>
          <w:rFonts w:ascii="Palatino Linotype" w:eastAsia="MS Mincho" w:hAnsi="Palatino Linotype" w:cstheme="majorBidi"/>
          <w:i/>
        </w:rPr>
      </w:pPr>
      <w:r w:rsidRPr="00CF0DCB">
        <w:rPr>
          <w:rFonts w:ascii="Palatino Linotype" w:eastAsia="MS Mincho" w:hAnsi="Palatino Linotype" w:cstheme="majorBidi"/>
          <w:i/>
        </w:rPr>
        <w:t>•</w:t>
      </w:r>
      <w:r w:rsidRPr="00CF0DCB">
        <w:rPr>
          <w:rFonts w:ascii="Palatino Linotype" w:eastAsia="MS Mincho" w:hAnsi="Palatino Linotype" w:cstheme="majorBidi"/>
          <w:i/>
        </w:rPr>
        <w:tab/>
        <w:t>RRA 0540/17. Secretaría de Economía. 08 de marzo del 2017. Por unanimidad. Comisionado Ponente Francisco Javier Acuña Llamas”</w:t>
      </w:r>
    </w:p>
    <w:p w:rsidR="00896F94" w:rsidRPr="00CF0DCB" w:rsidRDefault="00896F94" w:rsidP="00CF0DCB">
      <w:pPr>
        <w:numPr>
          <w:ilvl w:val="0"/>
          <w:numId w:val="1"/>
        </w:numPr>
        <w:tabs>
          <w:tab w:val="left" w:pos="0"/>
        </w:tabs>
        <w:spacing w:line="360" w:lineRule="auto"/>
        <w:ind w:left="0" w:right="49" w:firstLine="0"/>
        <w:contextualSpacing/>
        <w:jc w:val="both"/>
        <w:rPr>
          <w:rFonts w:ascii="Palatino Linotype" w:eastAsia="MS Mincho" w:hAnsi="Palatino Linotype" w:cs="Times New Roman"/>
          <w:lang w:val="es-ES"/>
        </w:rPr>
      </w:pPr>
      <w:r w:rsidRPr="00CF0DCB">
        <w:rPr>
          <w:rFonts w:ascii="Palatino Linotype" w:eastAsia="MS Mincho" w:hAnsi="Palatino Linotype" w:cs="Times New Roman"/>
          <w:lang w:val="es-ES"/>
        </w:rPr>
        <w:t>Es así que, por un lado los Sujetos Obligados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F0DCB">
        <w:rPr>
          <w:rFonts w:ascii="Palatino Linotype" w:eastAsia="MS Mincho" w:hAnsi="Palatino Linotype" w:cs="Times New Roman"/>
          <w:vertAlign w:val="superscript"/>
          <w:lang w:val="es-ES"/>
        </w:rPr>
        <w:footnoteReference w:id="1"/>
      </w:r>
      <w:r w:rsidRPr="00CF0DCB">
        <w:rPr>
          <w:rFonts w:ascii="Palatino Linotype" w:eastAsia="MS Mincho" w:hAnsi="Palatino Linotype" w:cs="Times New Roman"/>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896F94" w:rsidRPr="00CF0DCB" w:rsidRDefault="00896F94" w:rsidP="00CF0DCB">
      <w:pPr>
        <w:tabs>
          <w:tab w:val="left" w:pos="851"/>
        </w:tabs>
        <w:spacing w:line="360" w:lineRule="auto"/>
        <w:ind w:right="49"/>
        <w:contextualSpacing/>
        <w:jc w:val="both"/>
        <w:rPr>
          <w:rFonts w:ascii="Palatino Linotype" w:eastAsia="MS Mincho" w:hAnsi="Palatino Linotype" w:cs="Times New Roman"/>
          <w:lang w:val="es-ES"/>
        </w:rPr>
      </w:pPr>
    </w:p>
    <w:p w:rsidR="00896F94" w:rsidRPr="00CF0DCB" w:rsidRDefault="00896F94" w:rsidP="00CF0DCB">
      <w:pPr>
        <w:numPr>
          <w:ilvl w:val="0"/>
          <w:numId w:val="1"/>
        </w:numPr>
        <w:tabs>
          <w:tab w:val="left" w:pos="0"/>
        </w:tabs>
        <w:spacing w:line="360" w:lineRule="auto"/>
        <w:ind w:left="0" w:right="49" w:firstLine="0"/>
        <w:contextualSpacing/>
        <w:jc w:val="both"/>
        <w:rPr>
          <w:rFonts w:ascii="Palatino Linotype" w:eastAsia="MS Mincho" w:hAnsi="Palatino Linotype" w:cs="Times New Roman"/>
          <w:lang w:val="es-ES"/>
        </w:rPr>
      </w:pPr>
      <w:r w:rsidRPr="00CF0DCB">
        <w:rPr>
          <w:rFonts w:ascii="Palatino Linotype" w:eastAsia="MS Mincho" w:hAnsi="Palatino Linotype" w:cs="Times New Roman"/>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896F94" w:rsidRPr="00CF0DCB" w:rsidRDefault="00896F94" w:rsidP="00CF0DCB">
      <w:pPr>
        <w:spacing w:line="360" w:lineRule="auto"/>
        <w:ind w:left="720"/>
        <w:contextualSpacing/>
        <w:rPr>
          <w:rFonts w:ascii="Palatino Linotype" w:eastAsia="MS Mincho" w:hAnsi="Palatino Linotype" w:cs="Times New Roman"/>
          <w:lang w:val="es-ES"/>
        </w:rPr>
      </w:pPr>
    </w:p>
    <w:p w:rsidR="00896F94" w:rsidRPr="00CF0DCB" w:rsidRDefault="00896F94" w:rsidP="00CF0DCB">
      <w:pPr>
        <w:tabs>
          <w:tab w:val="left" w:pos="851"/>
        </w:tabs>
        <w:spacing w:line="360" w:lineRule="auto"/>
        <w:ind w:left="567" w:right="567"/>
        <w:contextualSpacing/>
        <w:jc w:val="both"/>
        <w:rPr>
          <w:rFonts w:ascii="Palatino Linotype" w:eastAsia="MS Mincho" w:hAnsi="Palatino Linotype" w:cs="Times New Roman"/>
          <w:i/>
        </w:rPr>
      </w:pPr>
      <w:r w:rsidRPr="00CF0DCB">
        <w:rPr>
          <w:rFonts w:ascii="Palatino Linotype" w:eastAsia="MS Mincho" w:hAnsi="Palatino Linotype" w:cs="Times New Roman"/>
          <w:b/>
          <w:i/>
        </w:rPr>
        <w:t>ACCESO A LA INFORMACIÓN. IMPLICACIÓN DEL PRINCIPIO DE MÁXIMA PUBLICIDAD EN EL DERECHO FUNDAMENTAL RELATIVO.</w:t>
      </w:r>
      <w:r w:rsidRPr="00CF0DCB">
        <w:rPr>
          <w:rFonts w:ascii="Palatino Linotype" w:eastAsia="MS Mincho" w:hAnsi="Palatino Linotype" w:cs="Times New Roman"/>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896F94" w:rsidRPr="00CF0DCB" w:rsidRDefault="00896F94" w:rsidP="00CF0DCB">
      <w:pPr>
        <w:tabs>
          <w:tab w:val="left" w:pos="851"/>
        </w:tabs>
        <w:spacing w:line="360" w:lineRule="auto"/>
        <w:ind w:left="567" w:right="567"/>
        <w:contextualSpacing/>
        <w:jc w:val="both"/>
        <w:rPr>
          <w:rFonts w:ascii="Palatino Linotype" w:eastAsia="MS Mincho" w:hAnsi="Palatino Linotype" w:cs="Times New Roman"/>
          <w:i/>
        </w:rPr>
      </w:pPr>
    </w:p>
    <w:p w:rsidR="00896F94" w:rsidRPr="00CF0DCB" w:rsidRDefault="00896F94" w:rsidP="00CF0DCB">
      <w:pPr>
        <w:tabs>
          <w:tab w:val="left" w:pos="851"/>
        </w:tabs>
        <w:spacing w:line="360" w:lineRule="auto"/>
        <w:ind w:left="567" w:right="567"/>
        <w:contextualSpacing/>
        <w:jc w:val="both"/>
        <w:rPr>
          <w:rFonts w:ascii="Palatino Linotype" w:eastAsia="MS Mincho" w:hAnsi="Palatino Linotype" w:cs="Times New Roman"/>
          <w:i/>
        </w:rPr>
      </w:pPr>
      <w:r w:rsidRPr="00CF0DCB">
        <w:rPr>
          <w:rFonts w:ascii="Palatino Linotype" w:eastAsia="MS Mincho" w:hAnsi="Palatino Linotype" w:cs="Times New Roman"/>
          <w:i/>
        </w:rPr>
        <w:t xml:space="preserve">CUARTO TRIBUNAL COLEGIADO EN MATERIA ADMINISTRATIVA DEL PRIMER CIRCUITO. </w:t>
      </w:r>
    </w:p>
    <w:p w:rsidR="00896F94" w:rsidRPr="00CF0DCB" w:rsidRDefault="00896F94" w:rsidP="00CF0DCB">
      <w:pPr>
        <w:tabs>
          <w:tab w:val="left" w:pos="851"/>
        </w:tabs>
        <w:spacing w:line="360" w:lineRule="auto"/>
        <w:ind w:left="567" w:right="567"/>
        <w:contextualSpacing/>
        <w:jc w:val="both"/>
        <w:rPr>
          <w:rFonts w:ascii="Palatino Linotype" w:eastAsia="MS Mincho" w:hAnsi="Palatino Linotype" w:cs="Times New Roman"/>
          <w:i/>
        </w:rPr>
      </w:pPr>
    </w:p>
    <w:p w:rsidR="00896F94" w:rsidRPr="00CF0DCB" w:rsidRDefault="00896F94" w:rsidP="00CF0DCB">
      <w:pPr>
        <w:tabs>
          <w:tab w:val="left" w:pos="851"/>
        </w:tabs>
        <w:spacing w:line="360" w:lineRule="auto"/>
        <w:ind w:left="567" w:right="567"/>
        <w:contextualSpacing/>
        <w:jc w:val="both"/>
        <w:rPr>
          <w:rFonts w:ascii="Palatino Linotype" w:eastAsia="MS Mincho" w:hAnsi="Palatino Linotype" w:cs="Times New Roman"/>
          <w:i/>
          <w:lang w:val="es-ES"/>
        </w:rPr>
      </w:pPr>
      <w:r w:rsidRPr="00CF0DCB">
        <w:rPr>
          <w:rFonts w:ascii="Palatino Linotype" w:eastAsia="MS Mincho" w:hAnsi="Palatino Linotype" w:cs="Times New Roman"/>
          <w:i/>
        </w:rPr>
        <w:t>Amparo en revisión 257/2012. Ruth Corona Muñoz. 6 de diciembre de 2012. Unanimidad de votos. Ponente: Jean Claude Tron Petit. Secretaria: Mayra Susana Martínez López.</w:t>
      </w:r>
    </w:p>
    <w:p w:rsidR="00896F94" w:rsidRPr="00CF0DCB" w:rsidRDefault="00896F94" w:rsidP="00CF0DCB">
      <w:pPr>
        <w:spacing w:line="360" w:lineRule="auto"/>
        <w:ind w:left="720"/>
        <w:contextualSpacing/>
        <w:rPr>
          <w:rFonts w:ascii="Palatino Linotype" w:eastAsia="MS Mincho" w:hAnsi="Palatino Linotype" w:cs="Times New Roman"/>
          <w:lang w:val="es-ES"/>
        </w:rPr>
      </w:pPr>
    </w:p>
    <w:p w:rsidR="00361EFD" w:rsidRPr="00CF0DCB" w:rsidRDefault="00896F94" w:rsidP="00CF0DCB">
      <w:pPr>
        <w:pStyle w:val="Ttulo1"/>
        <w:spacing w:line="360" w:lineRule="auto"/>
        <w:rPr>
          <w:rFonts w:ascii="Palatino Linotype" w:hAnsi="Palatino Linotype"/>
          <w:b/>
          <w:sz w:val="24"/>
          <w:szCs w:val="24"/>
        </w:rPr>
      </w:pPr>
      <w:bookmarkStart w:id="85" w:name="_Toc487739452"/>
      <w:bookmarkStart w:id="86" w:name="_Toc534716573"/>
      <w:bookmarkStart w:id="87" w:name="_Toc18408670"/>
      <w:bookmarkStart w:id="88" w:name="_Toc18613093"/>
      <w:r w:rsidRPr="00CF0DCB">
        <w:rPr>
          <w:rFonts w:ascii="Palatino Linotype" w:hAnsi="Palatino Linotype"/>
          <w:b/>
          <w:color w:val="auto"/>
          <w:sz w:val="24"/>
          <w:szCs w:val="24"/>
        </w:rPr>
        <w:t>QUINTO</w:t>
      </w:r>
      <w:r w:rsidR="00361EFD" w:rsidRPr="00CF0DCB">
        <w:rPr>
          <w:rFonts w:ascii="Palatino Linotype" w:hAnsi="Palatino Linotype"/>
          <w:b/>
          <w:color w:val="auto"/>
          <w:sz w:val="24"/>
          <w:szCs w:val="24"/>
        </w:rPr>
        <w:t>. Vista a los órganos de control interno</w:t>
      </w:r>
      <w:bookmarkEnd w:id="85"/>
      <w:r w:rsidR="00361EFD" w:rsidRPr="00CF0DCB">
        <w:rPr>
          <w:rFonts w:ascii="Palatino Linotype" w:hAnsi="Palatino Linotype"/>
          <w:b/>
          <w:color w:val="auto"/>
          <w:sz w:val="24"/>
          <w:szCs w:val="24"/>
        </w:rPr>
        <w:t>.</w:t>
      </w:r>
      <w:bookmarkEnd w:id="86"/>
      <w:bookmarkEnd w:id="87"/>
      <w:bookmarkEnd w:id="88"/>
    </w:p>
    <w:p w:rsidR="00361EFD" w:rsidRPr="00CF0DCB" w:rsidRDefault="00361EFD" w:rsidP="00CF0DCB">
      <w:pPr>
        <w:spacing w:line="360" w:lineRule="auto"/>
        <w:rPr>
          <w:rFonts w:ascii="Palatino Linotype" w:hAnsi="Palatino Linotype"/>
          <w:lang w:eastAsia="en-US"/>
        </w:rPr>
      </w:pPr>
    </w:p>
    <w:p w:rsidR="00361EFD" w:rsidRPr="00CF0DCB" w:rsidRDefault="00361EFD" w:rsidP="00CF0DCB">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F0DCB">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CF0DCB">
        <w:rPr>
          <w:rFonts w:ascii="Palatino Linotype" w:eastAsia="Times New Roman" w:hAnsi="Palatino Linotype"/>
          <w:b/>
          <w:u w:val="single"/>
        </w:rPr>
        <w:t>por la omisión de la entrega de información pública</w:t>
      </w:r>
      <w:r w:rsidRPr="00CF0DCB">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CF0DCB">
        <w:rPr>
          <w:rFonts w:ascii="Palatino Linotype" w:eastAsia="Times New Roman" w:hAnsi="Palatino Linotype"/>
          <w:b/>
        </w:rPr>
        <w:t>SUJETO OBLIGADO</w:t>
      </w:r>
      <w:r w:rsidRPr="00CF0DCB">
        <w:rPr>
          <w:rFonts w:ascii="Palatino Linotype" w:eastAsia="Times New Roman" w:hAnsi="Palatino Linotype"/>
        </w:rPr>
        <w:t>.</w:t>
      </w:r>
    </w:p>
    <w:p w:rsidR="00361EFD" w:rsidRPr="00CF0DCB" w:rsidRDefault="00361EFD" w:rsidP="00CF0DCB">
      <w:pPr>
        <w:pStyle w:val="Prrafodelista"/>
        <w:tabs>
          <w:tab w:val="left" w:pos="0"/>
        </w:tabs>
        <w:spacing w:line="360" w:lineRule="auto"/>
        <w:ind w:left="0" w:right="49"/>
        <w:jc w:val="both"/>
        <w:rPr>
          <w:rFonts w:ascii="Palatino Linotype" w:eastAsia="Times New Roman" w:hAnsi="Palatino Linotype"/>
        </w:rPr>
      </w:pPr>
    </w:p>
    <w:p w:rsidR="00361EFD" w:rsidRPr="00CF0DCB" w:rsidRDefault="00361EFD" w:rsidP="00CF0DCB">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F0DCB">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361EFD" w:rsidRPr="00CF0DCB" w:rsidRDefault="00361EFD" w:rsidP="00CF0DCB">
      <w:pPr>
        <w:spacing w:before="240" w:after="240" w:line="360" w:lineRule="auto"/>
        <w:contextualSpacing/>
        <w:jc w:val="both"/>
        <w:rPr>
          <w:rFonts w:ascii="Palatino Linotype" w:eastAsia="Times New Roman" w:hAnsi="Palatino Linotype"/>
        </w:rPr>
      </w:pPr>
    </w:p>
    <w:p w:rsidR="00361EFD" w:rsidRPr="00CF0DCB" w:rsidRDefault="00361EFD" w:rsidP="00CF0DCB">
      <w:pPr>
        <w:spacing w:line="360" w:lineRule="auto"/>
        <w:ind w:left="567"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Artículo 36. El Instituto tendrá, en el ámbito de su competencia, las siguientes atribuciones:</w:t>
      </w:r>
    </w:p>
    <w:p w:rsidR="00361EFD" w:rsidRPr="00CF0DCB" w:rsidRDefault="00361EFD" w:rsidP="00CF0DCB">
      <w:pPr>
        <w:spacing w:line="360" w:lineRule="auto"/>
        <w:ind w:left="567"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w:t>
      </w:r>
    </w:p>
    <w:p w:rsidR="00361EFD" w:rsidRPr="00CF0DCB" w:rsidRDefault="00361EFD" w:rsidP="00CF0DCB">
      <w:pPr>
        <w:spacing w:line="360" w:lineRule="auto"/>
        <w:ind w:left="567"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 xml:space="preserve">X. Hacer del conocimiento del órgano de control interno o equivalente de cada Sujeto Obligado las infracciones a esta Ley; </w:t>
      </w:r>
    </w:p>
    <w:p w:rsidR="00361EFD" w:rsidRPr="00CF0DCB" w:rsidRDefault="00361EFD" w:rsidP="00CF0DCB">
      <w:pPr>
        <w:spacing w:line="360" w:lineRule="auto"/>
        <w:ind w:left="567"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w:t>
      </w:r>
    </w:p>
    <w:p w:rsidR="00361EFD" w:rsidRPr="00CF0DCB" w:rsidRDefault="00361EFD" w:rsidP="00CF0DCB">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CF0DCB">
        <w:rPr>
          <w:rFonts w:ascii="Palatino Linotype" w:eastAsia="Times New Roman" w:hAnsi="Palatino Linotype"/>
        </w:rPr>
        <w:t xml:space="preserve">Asimismo, este Pleno hará del conocimiento del órgano de control de este Instituto de las infracciones en que el </w:t>
      </w:r>
      <w:r w:rsidRPr="00CF0DCB">
        <w:rPr>
          <w:rFonts w:ascii="Palatino Linotype" w:eastAsia="Times New Roman" w:hAnsi="Palatino Linotype"/>
          <w:b/>
        </w:rPr>
        <w:t>SUJETO OBLIGADO</w:t>
      </w:r>
      <w:r w:rsidRPr="00CF0DCB">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CF0DCB">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361EFD" w:rsidRPr="00CF0DCB" w:rsidRDefault="00361EFD" w:rsidP="00CF0DCB">
      <w:pPr>
        <w:spacing w:before="240" w:after="240" w:line="360" w:lineRule="auto"/>
        <w:ind w:left="426"/>
        <w:contextualSpacing/>
        <w:jc w:val="both"/>
        <w:rPr>
          <w:rFonts w:ascii="Palatino Linotype" w:eastAsia="MS Mincho" w:hAnsi="Palatino Linotype" w:cs="Arial"/>
        </w:rPr>
      </w:pPr>
    </w:p>
    <w:p w:rsidR="00361EFD" w:rsidRPr="00CF0DCB" w:rsidRDefault="00361EFD" w:rsidP="00CF0DCB">
      <w:pPr>
        <w:spacing w:line="360" w:lineRule="auto"/>
        <w:ind w:left="709"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61EFD" w:rsidRPr="00CF0DCB" w:rsidRDefault="00361EFD" w:rsidP="00CF0DCB">
      <w:pPr>
        <w:spacing w:line="360" w:lineRule="auto"/>
        <w:ind w:left="709" w:right="567"/>
        <w:contextualSpacing/>
        <w:jc w:val="both"/>
        <w:rPr>
          <w:rFonts w:ascii="Palatino Linotype" w:eastAsia="Times New Roman" w:hAnsi="Palatino Linotype" w:cs="Times New Roman"/>
          <w:i/>
        </w:rPr>
      </w:pPr>
    </w:p>
    <w:p w:rsidR="00361EFD" w:rsidRPr="00CF0DCB" w:rsidRDefault="00361EFD" w:rsidP="00CF0DCB">
      <w:pPr>
        <w:spacing w:line="360" w:lineRule="auto"/>
        <w:ind w:left="709"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361EFD" w:rsidRPr="00CF0DCB" w:rsidRDefault="00361EFD" w:rsidP="00CF0DCB">
      <w:pPr>
        <w:spacing w:line="360" w:lineRule="auto"/>
        <w:ind w:left="709"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w:t>
      </w:r>
    </w:p>
    <w:p w:rsidR="00361EFD" w:rsidRPr="00CF0DCB" w:rsidRDefault="00361EFD" w:rsidP="00CF0DCB">
      <w:pPr>
        <w:spacing w:line="360" w:lineRule="auto"/>
        <w:ind w:left="709"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b/>
          <w:i/>
        </w:rPr>
        <w:t>I. Cualquier acto u omisión que provoque la suspensión o deficiencia en la atención de las solicitudes de información</w:t>
      </w:r>
      <w:r w:rsidRPr="00CF0DCB">
        <w:rPr>
          <w:rFonts w:ascii="Palatino Linotype" w:eastAsia="Times New Roman" w:hAnsi="Palatino Linotype" w:cs="Times New Roman"/>
          <w:i/>
        </w:rPr>
        <w:t>;</w:t>
      </w:r>
    </w:p>
    <w:p w:rsidR="00361EFD" w:rsidRPr="00CF0DCB" w:rsidRDefault="00361EFD" w:rsidP="00CF0DCB">
      <w:pPr>
        <w:spacing w:line="360" w:lineRule="auto"/>
        <w:ind w:left="709"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b/>
          <w:i/>
        </w:rPr>
        <w:t>II. La falta de respuesta a las solicitudes de información en los plazos señalados en la normatividad aplicable</w:t>
      </w:r>
      <w:r w:rsidRPr="00CF0DCB">
        <w:rPr>
          <w:rFonts w:ascii="Palatino Linotype" w:eastAsia="Times New Roman" w:hAnsi="Palatino Linotype" w:cs="Times New Roman"/>
          <w:i/>
        </w:rPr>
        <w:t>;</w:t>
      </w:r>
    </w:p>
    <w:p w:rsidR="00361EFD" w:rsidRPr="00CF0DCB" w:rsidRDefault="00361EFD" w:rsidP="00CF0DCB">
      <w:pPr>
        <w:spacing w:line="360" w:lineRule="auto"/>
        <w:ind w:left="709" w:right="567"/>
        <w:contextualSpacing/>
        <w:jc w:val="both"/>
        <w:rPr>
          <w:rFonts w:ascii="Palatino Linotype" w:eastAsia="Times New Roman" w:hAnsi="Palatino Linotype" w:cs="Times New Roman"/>
          <w:i/>
        </w:rPr>
      </w:pPr>
      <w:r w:rsidRPr="00CF0DCB">
        <w:rPr>
          <w:rFonts w:ascii="Palatino Linotype" w:eastAsia="Times New Roman" w:hAnsi="Palatino Linotype" w:cs="Times New Roman"/>
          <w:i/>
        </w:rPr>
        <w:t>…</w:t>
      </w:r>
    </w:p>
    <w:p w:rsidR="00361EFD" w:rsidRPr="00CF0DCB" w:rsidRDefault="00361EFD" w:rsidP="00CF0DCB">
      <w:pPr>
        <w:spacing w:line="360" w:lineRule="auto"/>
        <w:ind w:left="709" w:right="567"/>
        <w:contextualSpacing/>
        <w:jc w:val="both"/>
        <w:rPr>
          <w:rFonts w:ascii="Palatino Linotype" w:hAnsi="Palatino Linotype"/>
          <w:i/>
        </w:rPr>
      </w:pPr>
      <w:r w:rsidRPr="00CF0DCB">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CF0DCB">
        <w:rPr>
          <w:rFonts w:ascii="Palatino Linotype" w:hAnsi="Palatino Linotype"/>
          <w:i/>
        </w:rPr>
        <w:t xml:space="preserve"> (De Acuerdo al Decreto N°207, Publicado el 30 de mayo de 2017)</w:t>
      </w:r>
    </w:p>
    <w:p w:rsidR="00361EFD" w:rsidRDefault="00361EFD" w:rsidP="00CF0DCB">
      <w:pPr>
        <w:spacing w:line="360" w:lineRule="auto"/>
        <w:ind w:left="709" w:right="567"/>
        <w:contextualSpacing/>
        <w:jc w:val="both"/>
        <w:rPr>
          <w:rFonts w:ascii="Palatino Linotype" w:hAnsi="Palatino Linotype"/>
          <w:i/>
        </w:rPr>
      </w:pPr>
      <w:r w:rsidRPr="00CF0DCB">
        <w:rPr>
          <w:rFonts w:ascii="Palatino Linotype" w:hAnsi="Palatino Linotype"/>
          <w:i/>
        </w:rPr>
        <w:t>…</w:t>
      </w:r>
    </w:p>
    <w:p w:rsidR="00B62280" w:rsidRPr="00CF0DCB" w:rsidRDefault="00B62280" w:rsidP="00CF0DCB">
      <w:pPr>
        <w:spacing w:line="360" w:lineRule="auto"/>
        <w:ind w:left="709" w:right="567"/>
        <w:contextualSpacing/>
        <w:jc w:val="both"/>
        <w:rPr>
          <w:rFonts w:ascii="Palatino Linotype" w:hAnsi="Palatino Linotype"/>
          <w:i/>
        </w:rPr>
      </w:pPr>
    </w:p>
    <w:p w:rsidR="006A2740" w:rsidRPr="00B62280" w:rsidRDefault="006A2740" w:rsidP="00CF0DCB">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F0DCB">
        <w:rPr>
          <w:rFonts w:ascii="Palatino Linotype" w:hAnsi="Palatino Linotype" w:cs="Arial"/>
          <w:color w:val="000000" w:themeColor="text1"/>
        </w:rPr>
        <w:t>Luego entonces, en términos del artículo 179 fracción VI</w:t>
      </w:r>
      <w:r w:rsidR="00896F94" w:rsidRPr="00CF0DCB">
        <w:rPr>
          <w:rFonts w:ascii="Palatino Linotype" w:hAnsi="Palatino Linotype" w:cs="Arial"/>
          <w:color w:val="000000" w:themeColor="text1"/>
        </w:rPr>
        <w:t>I y XI</w:t>
      </w:r>
      <w:r w:rsidRPr="00CF0DCB">
        <w:rPr>
          <w:rFonts w:ascii="Palatino Linotype" w:hAnsi="Palatino Linotype" w:cs="Arial"/>
          <w:color w:val="000000" w:themeColor="text1"/>
        </w:rPr>
        <w:t xml:space="preserve"> de la Ley de Transparencia y Acceso a la Información Pública del Estado de México y Municipios, resultan </w:t>
      </w:r>
      <w:r w:rsidRPr="00CF0DCB">
        <w:rPr>
          <w:rFonts w:ascii="Palatino Linotype" w:eastAsia="Times New Roman" w:hAnsi="Palatino Linotype" w:cs="Arial"/>
        </w:rPr>
        <w:t>fundadas las</w:t>
      </w:r>
      <w:r w:rsidRPr="00CF0DCB">
        <w:rPr>
          <w:rFonts w:ascii="Palatino Linotype" w:eastAsia="Times New Roman" w:hAnsi="Palatino Linotype" w:cs="Arial"/>
          <w:b/>
        </w:rPr>
        <w:t xml:space="preserve"> </w:t>
      </w:r>
      <w:r w:rsidRPr="00CF0DCB">
        <w:rPr>
          <w:rFonts w:ascii="Palatino Linotype" w:eastAsia="Times New Roman" w:hAnsi="Palatino Linotype" w:cs="Arial"/>
          <w:lang w:val="es-ES"/>
        </w:rPr>
        <w:t xml:space="preserve">razones o motivos de inconformidad hechos valer por el </w:t>
      </w:r>
      <w:r w:rsidRPr="00CF0DCB">
        <w:rPr>
          <w:rFonts w:ascii="Palatino Linotype" w:eastAsia="Times New Roman" w:hAnsi="Palatino Linotype" w:cs="Arial"/>
          <w:b/>
          <w:lang w:val="es-ES"/>
        </w:rPr>
        <w:t>RECURRENTE</w:t>
      </w:r>
      <w:r w:rsidRPr="00CF0DCB">
        <w:rPr>
          <w:rFonts w:ascii="Palatino Linotype" w:eastAsia="MS Mincho" w:hAnsi="Palatino Linotype" w:cs="Times New Roman"/>
        </w:rPr>
        <w:t xml:space="preserve">. </w:t>
      </w:r>
    </w:p>
    <w:p w:rsidR="00B62280" w:rsidRPr="00B62280" w:rsidRDefault="00B62280" w:rsidP="00B62280">
      <w:pPr>
        <w:widowControl w:val="0"/>
        <w:autoSpaceDE w:val="0"/>
        <w:autoSpaceDN w:val="0"/>
        <w:adjustRightInd w:val="0"/>
        <w:spacing w:before="240" w:after="240" w:line="360" w:lineRule="auto"/>
        <w:jc w:val="both"/>
        <w:rPr>
          <w:rFonts w:ascii="Palatino Linotype" w:hAnsi="Palatino Linotype" w:cs="Times New Roman"/>
          <w:sz w:val="12"/>
          <w:lang w:eastAsia="es-ES_tradnl"/>
        </w:rPr>
      </w:pPr>
    </w:p>
    <w:p w:rsidR="006A2740" w:rsidRPr="00CF0DCB" w:rsidRDefault="006A2740" w:rsidP="00CF0DCB">
      <w:pPr>
        <w:numPr>
          <w:ilvl w:val="0"/>
          <w:numId w:val="1"/>
        </w:numPr>
        <w:spacing w:line="360" w:lineRule="auto"/>
        <w:ind w:left="0" w:firstLine="0"/>
        <w:contextualSpacing/>
        <w:jc w:val="both"/>
        <w:rPr>
          <w:rFonts w:ascii="Palatino Linotype" w:hAnsi="Palatino Linotype"/>
          <w:color w:val="000000" w:themeColor="text1"/>
        </w:rPr>
      </w:pPr>
      <w:r w:rsidRPr="00CF0DCB">
        <w:rPr>
          <w:rFonts w:ascii="Palatino Linotype" w:hAnsi="Palatino Linotype"/>
          <w:color w:val="000000" w:themeColor="text1"/>
          <w:lang w:val="es-ES" w:eastAsia="es-MX"/>
        </w:rPr>
        <w:t xml:space="preserve">Por lo anteriormente expuesto y fundado, este </w:t>
      </w:r>
      <w:r w:rsidRPr="00CF0DCB">
        <w:rPr>
          <w:rFonts w:ascii="Palatino Linotype" w:hAnsi="Palatino Linotype"/>
          <w:b/>
          <w:bCs/>
          <w:color w:val="000000" w:themeColor="text1"/>
          <w:lang w:val="es-ES" w:eastAsia="es-MX"/>
        </w:rPr>
        <w:t>ÓRGANO GARANTE</w:t>
      </w:r>
      <w:r w:rsidRPr="00CF0DCB">
        <w:rPr>
          <w:rFonts w:ascii="Palatino Linotype" w:hAnsi="Palatino Linotype"/>
          <w:color w:val="000000" w:themeColor="text1"/>
          <w:lang w:val="es-ES" w:eastAsia="es-MX"/>
        </w:rPr>
        <w:t xml:space="preserve"> emite los siguientes:</w:t>
      </w:r>
    </w:p>
    <w:p w:rsidR="00A34C70" w:rsidRPr="00CF0DCB" w:rsidRDefault="00B62280" w:rsidP="00CF0DCB">
      <w:pPr>
        <w:spacing w:line="360" w:lineRule="auto"/>
        <w:contextualSpacing/>
        <w:jc w:val="both"/>
        <w:rPr>
          <w:rFonts w:ascii="Palatino Linotype" w:hAnsi="Palatino Linotype"/>
          <w:color w:val="000000" w:themeColor="text1"/>
          <w:lang w:val="es-ES" w:eastAsia="es-MX"/>
        </w:rPr>
      </w:pPr>
      <w:r>
        <w:rPr>
          <w:rFonts w:ascii="Palatino Linotype" w:hAnsi="Palatino Linotype"/>
          <w:noProof/>
          <w:color w:val="000000" w:themeColor="text1"/>
          <w:lang w:val="es-MX" w:eastAsia="es-MX"/>
        </w:rPr>
        <mc:AlternateContent>
          <mc:Choice Requires="wps">
            <w:drawing>
              <wp:anchor distT="0" distB="0" distL="114300" distR="114300" simplePos="0" relativeHeight="251673600" behindDoc="0" locked="0" layoutInCell="1" allowOverlap="1">
                <wp:simplePos x="0" y="0"/>
                <wp:positionH relativeFrom="column">
                  <wp:posOffset>12941</wp:posOffset>
                </wp:positionH>
                <wp:positionV relativeFrom="paragraph">
                  <wp:posOffset>120758</wp:posOffset>
                </wp:positionV>
                <wp:extent cx="5623034" cy="2396359"/>
                <wp:effectExtent l="19050" t="19050" r="34925" b="23495"/>
                <wp:wrapNone/>
                <wp:docPr id="9" name="Conector recto 9"/>
                <wp:cNvGraphicFramePr/>
                <a:graphic xmlns:a="http://schemas.openxmlformats.org/drawingml/2006/main">
                  <a:graphicData uri="http://schemas.microsoft.com/office/word/2010/wordprocessingShape">
                    <wps:wsp>
                      <wps:cNvCnPr/>
                      <wps:spPr>
                        <a:xfrm>
                          <a:off x="0" y="0"/>
                          <a:ext cx="5623034" cy="239635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CE417" id="Conector recto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pt,9.5pt" to="443.7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" strokecolor="#5b9bd5 [3204]" strokeweight="3pt">
                <v:stroke joinstyle="miter"/>
              </v:line>
            </w:pict>
          </mc:Fallback>
        </mc:AlternateContent>
      </w:r>
    </w:p>
    <w:p w:rsidR="00A34C70" w:rsidRPr="00CF0DCB" w:rsidRDefault="00A34C70" w:rsidP="00CF0DCB">
      <w:pPr>
        <w:spacing w:line="360" w:lineRule="auto"/>
        <w:contextualSpacing/>
        <w:jc w:val="both"/>
        <w:rPr>
          <w:rFonts w:ascii="Palatino Linotype" w:hAnsi="Palatino Linotype"/>
          <w:color w:val="000000" w:themeColor="text1"/>
          <w:lang w:val="es-ES" w:eastAsia="es-MX"/>
        </w:rPr>
      </w:pPr>
    </w:p>
    <w:p w:rsidR="00A34C70" w:rsidRPr="00CF0DCB" w:rsidRDefault="00A34C70" w:rsidP="00CF0DCB">
      <w:pPr>
        <w:spacing w:line="360" w:lineRule="auto"/>
        <w:contextualSpacing/>
        <w:jc w:val="both"/>
        <w:rPr>
          <w:rFonts w:ascii="Palatino Linotype" w:hAnsi="Palatino Linotype"/>
          <w:color w:val="000000" w:themeColor="text1"/>
          <w:lang w:val="es-ES" w:eastAsia="es-MX"/>
        </w:rPr>
      </w:pPr>
    </w:p>
    <w:p w:rsidR="00A34C70" w:rsidRPr="00CF0DCB" w:rsidRDefault="00A34C70" w:rsidP="00CF0DCB">
      <w:pPr>
        <w:spacing w:line="360" w:lineRule="auto"/>
        <w:contextualSpacing/>
        <w:jc w:val="both"/>
        <w:rPr>
          <w:rFonts w:ascii="Palatino Linotype" w:hAnsi="Palatino Linotype"/>
          <w:color w:val="000000" w:themeColor="text1"/>
          <w:lang w:val="es-ES" w:eastAsia="es-MX"/>
        </w:rPr>
      </w:pPr>
    </w:p>
    <w:p w:rsidR="00A34C70" w:rsidRPr="00CF0DCB" w:rsidRDefault="00A34C70" w:rsidP="00CF0DCB">
      <w:pPr>
        <w:spacing w:line="360" w:lineRule="auto"/>
        <w:contextualSpacing/>
        <w:jc w:val="both"/>
        <w:rPr>
          <w:rFonts w:ascii="Palatino Linotype" w:hAnsi="Palatino Linotype"/>
          <w:color w:val="000000" w:themeColor="text1"/>
          <w:lang w:val="es-ES" w:eastAsia="es-MX"/>
        </w:rPr>
      </w:pPr>
    </w:p>
    <w:p w:rsidR="00A34C70" w:rsidRPr="00CF0DCB" w:rsidRDefault="00A34C70" w:rsidP="00CF0DCB">
      <w:pPr>
        <w:spacing w:line="360" w:lineRule="auto"/>
        <w:contextualSpacing/>
        <w:jc w:val="both"/>
        <w:rPr>
          <w:rFonts w:ascii="Palatino Linotype" w:hAnsi="Palatino Linotype"/>
          <w:color w:val="000000" w:themeColor="text1"/>
          <w:lang w:val="es-ES" w:eastAsia="es-MX"/>
        </w:rPr>
      </w:pPr>
    </w:p>
    <w:p w:rsidR="006A2740" w:rsidRPr="00CF0DCB" w:rsidRDefault="006A2740" w:rsidP="00CF0DCB">
      <w:pPr>
        <w:keepNext/>
        <w:keepLines/>
        <w:spacing w:before="40" w:line="360" w:lineRule="auto"/>
        <w:jc w:val="center"/>
        <w:outlineLvl w:val="1"/>
        <w:rPr>
          <w:rFonts w:ascii="Palatino Linotype" w:eastAsiaTheme="majorEastAsia" w:hAnsi="Palatino Linotype" w:cstheme="majorBidi"/>
          <w:b/>
          <w:lang w:val="es-MX" w:eastAsia="en-US"/>
        </w:rPr>
      </w:pPr>
      <w:bookmarkStart w:id="89" w:name="_Toc521949108"/>
      <w:bookmarkStart w:id="90" w:name="_Toc522209068"/>
      <w:bookmarkStart w:id="91" w:name="_Toc18613094"/>
      <w:r w:rsidRPr="00CF0DCB">
        <w:rPr>
          <w:rFonts w:ascii="Palatino Linotype" w:eastAsiaTheme="majorEastAsia" w:hAnsi="Palatino Linotype" w:cstheme="majorBidi"/>
          <w:b/>
          <w:lang w:val="es-MX" w:eastAsia="en-US"/>
        </w:rPr>
        <w:t>R E S O L U T I V O S</w:t>
      </w:r>
      <w:bookmarkEnd w:id="89"/>
      <w:bookmarkEnd w:id="90"/>
      <w:bookmarkEnd w:id="91"/>
    </w:p>
    <w:p w:rsidR="006A2740" w:rsidRPr="00CF0DCB" w:rsidRDefault="006A2740" w:rsidP="00CF0DCB">
      <w:pPr>
        <w:spacing w:before="240" w:after="360" w:line="360" w:lineRule="auto"/>
        <w:jc w:val="both"/>
        <w:rPr>
          <w:rFonts w:ascii="Palatino Linotype" w:eastAsia="Times New Roman" w:hAnsi="Palatino Linotype" w:cs="Times New Roman"/>
          <w:color w:val="000000"/>
        </w:rPr>
      </w:pPr>
      <w:r w:rsidRPr="00CF0DCB">
        <w:rPr>
          <w:rFonts w:ascii="Palatino Linotype" w:eastAsia="MS Mincho" w:hAnsi="Palatino Linotype" w:cs="Times New Roman"/>
          <w:b/>
          <w:color w:val="000000"/>
        </w:rPr>
        <w:t>PRIMERO.</w:t>
      </w:r>
      <w:r w:rsidRPr="00CF0DCB">
        <w:rPr>
          <w:rFonts w:ascii="Palatino Linotype" w:eastAsia="MS Gothic" w:hAnsi="Palatino Linotype" w:cs="Times New Roman"/>
          <w:b/>
          <w:color w:val="000000"/>
          <w:lang w:val="es-MX" w:eastAsia="en-US"/>
        </w:rPr>
        <w:t xml:space="preserve"> </w:t>
      </w:r>
      <w:r w:rsidRPr="00CF0DCB">
        <w:rPr>
          <w:rFonts w:ascii="Palatino Linotype" w:eastAsia="Times New Roman" w:hAnsi="Palatino Linotype" w:cs="Arial"/>
          <w:color w:val="000000"/>
          <w:lang w:val="es-ES"/>
        </w:rPr>
        <w:t xml:space="preserve">Resultan fundadas las razones o motivos de inconformidad hechos valer </w:t>
      </w:r>
      <w:r w:rsidRPr="00CF0DCB">
        <w:rPr>
          <w:rFonts w:ascii="Palatino Linotype" w:eastAsia="MS Mincho" w:hAnsi="Palatino Linotype" w:cs="Times New Roman"/>
          <w:color w:val="000000"/>
        </w:rPr>
        <w:t>en</w:t>
      </w:r>
      <w:r w:rsidR="00A34C70" w:rsidRPr="00CF0DCB">
        <w:rPr>
          <w:rFonts w:ascii="Palatino Linotype" w:eastAsia="MS Mincho" w:hAnsi="Palatino Linotype" w:cs="Times New Roman"/>
          <w:color w:val="000000"/>
        </w:rPr>
        <w:t xml:space="preserve"> los</w:t>
      </w:r>
      <w:r w:rsidRPr="00CF0DCB">
        <w:rPr>
          <w:rFonts w:ascii="Palatino Linotype" w:eastAsia="MS Mincho" w:hAnsi="Palatino Linotype" w:cs="Times New Roman"/>
          <w:color w:val="000000"/>
        </w:rPr>
        <w:t xml:space="preserve"> recurso</w:t>
      </w:r>
      <w:r w:rsidR="00A34C70" w:rsidRPr="00CF0DCB">
        <w:rPr>
          <w:rFonts w:ascii="Palatino Linotype" w:eastAsia="MS Mincho" w:hAnsi="Palatino Linotype" w:cs="Times New Roman"/>
          <w:color w:val="000000"/>
        </w:rPr>
        <w:t>s</w:t>
      </w:r>
      <w:r w:rsidRPr="00CF0DCB">
        <w:rPr>
          <w:rFonts w:ascii="Palatino Linotype" w:eastAsia="MS Mincho" w:hAnsi="Palatino Linotype" w:cs="Times New Roman"/>
          <w:color w:val="000000"/>
        </w:rPr>
        <w:t xml:space="preserve"> de revisión </w:t>
      </w:r>
      <w:r w:rsidR="00A34C70" w:rsidRPr="00CF0DCB">
        <w:rPr>
          <w:rFonts w:ascii="Palatino Linotype" w:eastAsia="MS Mincho" w:hAnsi="Palatino Linotype" w:cs="Times New Roman"/>
          <w:b/>
          <w:color w:val="000000"/>
        </w:rPr>
        <w:t>05748</w:t>
      </w:r>
      <w:r w:rsidRPr="00CF0DCB">
        <w:rPr>
          <w:rFonts w:ascii="Palatino Linotype" w:eastAsia="MS Mincho" w:hAnsi="Palatino Linotype" w:cs="Times New Roman"/>
          <w:b/>
          <w:color w:val="000000"/>
        </w:rPr>
        <w:t>/INFOEM/IP/RR/2019</w:t>
      </w:r>
      <w:r w:rsidR="00A34C70" w:rsidRPr="00CF0DCB">
        <w:rPr>
          <w:rFonts w:ascii="Palatino Linotype" w:eastAsia="MS Mincho" w:hAnsi="Palatino Linotype" w:cs="Times New Roman"/>
          <w:b/>
          <w:color w:val="000000"/>
        </w:rPr>
        <w:t xml:space="preserve"> y 0574</w:t>
      </w:r>
      <w:r w:rsidR="00361EFD" w:rsidRPr="00CF0DCB">
        <w:rPr>
          <w:rFonts w:ascii="Palatino Linotype" w:eastAsia="MS Mincho" w:hAnsi="Palatino Linotype" w:cs="Times New Roman"/>
          <w:b/>
          <w:color w:val="000000"/>
        </w:rPr>
        <w:t>9</w:t>
      </w:r>
      <w:r w:rsidR="00A34C70" w:rsidRPr="00CF0DCB">
        <w:rPr>
          <w:rFonts w:ascii="Palatino Linotype" w:eastAsia="MS Mincho" w:hAnsi="Palatino Linotype" w:cs="Times New Roman"/>
          <w:b/>
          <w:color w:val="000000"/>
        </w:rPr>
        <w:t>/INFOEM/IP/RR/2019</w:t>
      </w:r>
      <w:r w:rsidRPr="00CF0DCB">
        <w:rPr>
          <w:rFonts w:ascii="Palatino Linotype" w:eastAsia="MS Mincho" w:hAnsi="Palatino Linotype" w:cs="Arial"/>
          <w:b/>
          <w:bCs/>
          <w:color w:val="000000"/>
        </w:rPr>
        <w:t xml:space="preserve">, </w:t>
      </w:r>
      <w:r w:rsidRPr="00CF0DCB">
        <w:rPr>
          <w:rFonts w:ascii="Palatino Linotype" w:eastAsia="Times New Roman" w:hAnsi="Palatino Linotype" w:cs="Times New Roman"/>
          <w:color w:val="000000"/>
        </w:rPr>
        <w:t>en términos de</w:t>
      </w:r>
      <w:r w:rsidR="00CD6859" w:rsidRPr="00CF0DCB">
        <w:rPr>
          <w:rFonts w:ascii="Palatino Linotype" w:eastAsia="Times New Roman" w:hAnsi="Palatino Linotype" w:cs="Times New Roman"/>
          <w:color w:val="000000"/>
        </w:rPr>
        <w:t>l</w:t>
      </w:r>
      <w:r w:rsidRPr="00CF0DCB">
        <w:rPr>
          <w:rFonts w:ascii="Palatino Linotype" w:eastAsia="Times New Roman" w:hAnsi="Palatino Linotype" w:cs="Times New Roman"/>
          <w:color w:val="000000"/>
        </w:rPr>
        <w:t xml:space="preserve"> </w:t>
      </w:r>
      <w:r w:rsidR="00CD6859" w:rsidRPr="00CF0DCB">
        <w:rPr>
          <w:rFonts w:ascii="Palatino Linotype" w:eastAsia="Times New Roman" w:hAnsi="Palatino Linotype" w:cs="Times New Roman"/>
          <w:b/>
          <w:color w:val="000000"/>
        </w:rPr>
        <w:t>Considerando</w:t>
      </w:r>
      <w:r w:rsidRPr="00CF0DCB">
        <w:rPr>
          <w:rFonts w:ascii="Palatino Linotype" w:eastAsia="Times New Roman" w:hAnsi="Palatino Linotype" w:cs="Times New Roman"/>
          <w:b/>
          <w:color w:val="000000"/>
        </w:rPr>
        <w:t xml:space="preserve"> CUARTO </w:t>
      </w:r>
      <w:r w:rsidRPr="00CF0DCB">
        <w:rPr>
          <w:rFonts w:ascii="Palatino Linotype" w:eastAsia="Times New Roman" w:hAnsi="Palatino Linotype" w:cs="Times New Roman"/>
          <w:color w:val="000000"/>
        </w:rPr>
        <w:t>de la presente resolución.</w:t>
      </w:r>
    </w:p>
    <w:p w:rsidR="006A2740" w:rsidRPr="00CF0DCB" w:rsidRDefault="006A2740" w:rsidP="00CF0DCB">
      <w:pPr>
        <w:shd w:val="clear" w:color="auto" w:fill="FFFFFF"/>
        <w:spacing w:before="240" w:after="240" w:line="360" w:lineRule="auto"/>
        <w:jc w:val="both"/>
        <w:rPr>
          <w:rFonts w:ascii="Palatino Linotype" w:eastAsia="Times New Roman" w:hAnsi="Palatino Linotype" w:cs="Arial"/>
          <w:color w:val="000000"/>
          <w:lang w:val="es-ES"/>
        </w:rPr>
      </w:pPr>
      <w:r w:rsidRPr="00CF0DCB">
        <w:rPr>
          <w:rFonts w:ascii="Palatino Linotype" w:eastAsia="Times New Roman" w:hAnsi="Palatino Linotype" w:cs="Arial"/>
          <w:b/>
          <w:color w:val="000000"/>
          <w:lang w:val="es-ES"/>
        </w:rPr>
        <w:t xml:space="preserve">SEGUNDO. </w:t>
      </w:r>
      <w:r w:rsidRPr="00CF0DCB">
        <w:rPr>
          <w:rFonts w:ascii="Palatino Linotype" w:eastAsia="Calibri" w:hAnsi="Palatino Linotype" w:cs="Arial"/>
          <w:color w:val="000000"/>
          <w:lang w:val="es-ES"/>
        </w:rPr>
        <w:t xml:space="preserve">Se </w:t>
      </w:r>
      <w:r w:rsidR="00A34C70" w:rsidRPr="00CF0DCB">
        <w:rPr>
          <w:rFonts w:ascii="Palatino Linotype" w:eastAsia="Calibri" w:hAnsi="Palatino Linotype" w:cs="Arial"/>
          <w:b/>
          <w:color w:val="000000"/>
          <w:lang w:val="es-ES"/>
        </w:rPr>
        <w:t xml:space="preserve">ORDENA </w:t>
      </w:r>
      <w:r w:rsidR="00A34C70" w:rsidRPr="00CF0DCB">
        <w:rPr>
          <w:rFonts w:ascii="Palatino Linotype" w:eastAsia="Calibri" w:hAnsi="Palatino Linotype" w:cs="Arial"/>
          <w:color w:val="000000"/>
          <w:lang w:val="es-ES"/>
        </w:rPr>
        <w:t>a</w:t>
      </w:r>
      <w:r w:rsidRPr="00CF0DCB">
        <w:rPr>
          <w:rFonts w:ascii="Palatino Linotype" w:eastAsia="Calibri" w:hAnsi="Palatino Linotype" w:cs="Arial"/>
          <w:color w:val="000000"/>
          <w:lang w:val="es-ES"/>
        </w:rPr>
        <w:t xml:space="preserve">l </w:t>
      </w:r>
      <w:r w:rsidRPr="00CF0DCB">
        <w:rPr>
          <w:rFonts w:ascii="Palatino Linotype" w:eastAsia="Calibri" w:hAnsi="Palatino Linotype" w:cs="Arial"/>
          <w:b/>
          <w:color w:val="000000"/>
          <w:lang w:val="es-ES"/>
        </w:rPr>
        <w:t xml:space="preserve">Ayuntamiento de </w:t>
      </w:r>
      <w:r w:rsidR="00652A09" w:rsidRPr="00CF0DCB">
        <w:rPr>
          <w:rFonts w:ascii="Palatino Linotype" w:eastAsia="Calibri" w:hAnsi="Palatino Linotype" w:cs="Arial"/>
          <w:b/>
          <w:color w:val="000000"/>
          <w:lang w:val="es-ES"/>
        </w:rPr>
        <w:t xml:space="preserve">Coyotepec, </w:t>
      </w:r>
      <w:r w:rsidRPr="00CF0DCB">
        <w:rPr>
          <w:rFonts w:ascii="Palatino Linotype" w:eastAsia="Times New Roman" w:hAnsi="Palatino Linotype" w:cs="Arial"/>
          <w:color w:val="000000"/>
          <w:lang w:val="es-ES"/>
        </w:rPr>
        <w:t xml:space="preserve">entregar vía Sistema de Acceso a la Información Mexiquense </w:t>
      </w:r>
      <w:r w:rsidRPr="00CF0DCB">
        <w:rPr>
          <w:rFonts w:ascii="Palatino Linotype" w:eastAsia="Times New Roman" w:hAnsi="Palatino Linotype" w:cs="Arial"/>
          <w:b/>
          <w:color w:val="000000"/>
        </w:rPr>
        <w:t>(SAIMEX)</w:t>
      </w:r>
      <w:r w:rsidRPr="00CF0DCB">
        <w:rPr>
          <w:rFonts w:ascii="Palatino Linotype" w:eastAsia="Times New Roman" w:hAnsi="Palatino Linotype" w:cs="Arial"/>
          <w:color w:val="000000"/>
          <w:lang w:val="es-ES"/>
        </w:rPr>
        <w:t>,</w:t>
      </w:r>
      <w:r w:rsidR="00652A09" w:rsidRPr="00CF0DCB">
        <w:rPr>
          <w:rFonts w:ascii="Palatino Linotype" w:eastAsia="Times New Roman" w:hAnsi="Palatino Linotype" w:cs="Arial"/>
          <w:color w:val="000000"/>
          <w:lang w:val="es-ES"/>
        </w:rPr>
        <w:t xml:space="preserve"> previa búsqueda exhaustiva y razonable de </w:t>
      </w:r>
      <w:r w:rsidRPr="00CF0DCB">
        <w:rPr>
          <w:rFonts w:ascii="Palatino Linotype" w:eastAsia="Times New Roman" w:hAnsi="Palatino Linotype" w:cs="Arial"/>
          <w:color w:val="000000"/>
          <w:lang w:val="es-ES"/>
        </w:rPr>
        <w:t>los documentos donde conste la siguiente información:</w:t>
      </w:r>
    </w:p>
    <w:p w:rsidR="00361EFD" w:rsidRPr="00CF0DCB" w:rsidRDefault="00361EFD" w:rsidP="00CF0DCB">
      <w:pPr>
        <w:shd w:val="clear" w:color="auto" w:fill="FFFFFF"/>
        <w:spacing w:before="240" w:after="240" w:line="360" w:lineRule="auto"/>
        <w:jc w:val="both"/>
        <w:rPr>
          <w:rFonts w:ascii="Palatino Linotype" w:eastAsia="Times New Roman" w:hAnsi="Palatino Linotype" w:cs="Arial"/>
          <w:b/>
          <w:iCs/>
          <w:color w:val="000000"/>
          <w:lang w:val="es-ES"/>
        </w:rPr>
      </w:pPr>
      <w:r w:rsidRPr="00CF0DCB">
        <w:rPr>
          <w:rFonts w:ascii="Palatino Linotype" w:eastAsia="Times New Roman" w:hAnsi="Palatino Linotype" w:cs="Arial"/>
          <w:b/>
          <w:iCs/>
          <w:color w:val="000000"/>
          <w:lang w:val="es-ES"/>
        </w:rPr>
        <w:t xml:space="preserve">De los ejercicios fiscales 2013, 2014, 2015, 2016, 2017, 2018 y 2019: </w:t>
      </w:r>
    </w:p>
    <w:p w:rsidR="00361EFD" w:rsidRPr="00CF0DCB" w:rsidRDefault="00361EFD" w:rsidP="00CF0DCB">
      <w:pPr>
        <w:pStyle w:val="Prrafodelista"/>
        <w:numPr>
          <w:ilvl w:val="0"/>
          <w:numId w:val="40"/>
        </w:numPr>
        <w:spacing w:line="360" w:lineRule="auto"/>
        <w:jc w:val="both"/>
        <w:rPr>
          <w:rFonts w:ascii="Palatino Linotype" w:hAnsi="Palatino Linotype"/>
        </w:rPr>
      </w:pPr>
      <w:r w:rsidRPr="00CF0DCB">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361EFD" w:rsidRPr="00CF0DCB" w:rsidRDefault="00361EFD" w:rsidP="00CF0DCB">
      <w:pPr>
        <w:pStyle w:val="Prrafodelista"/>
        <w:spacing w:line="360" w:lineRule="auto"/>
        <w:jc w:val="both"/>
        <w:rPr>
          <w:rFonts w:ascii="Palatino Linotype" w:hAnsi="Palatino Linotype"/>
        </w:rPr>
      </w:pPr>
    </w:p>
    <w:p w:rsidR="00361EFD" w:rsidRPr="00CF0DCB" w:rsidRDefault="00361EFD" w:rsidP="00CF0DCB">
      <w:pPr>
        <w:pStyle w:val="Prrafodelista"/>
        <w:numPr>
          <w:ilvl w:val="0"/>
          <w:numId w:val="40"/>
        </w:numPr>
        <w:spacing w:line="360" w:lineRule="auto"/>
        <w:jc w:val="both"/>
        <w:rPr>
          <w:rFonts w:ascii="Palatino Linotype" w:hAnsi="Palatino Linotype"/>
        </w:rPr>
      </w:pPr>
      <w:r w:rsidRPr="00CF0DCB">
        <w:rPr>
          <w:rFonts w:ascii="Palatino Linotype" w:hAnsi="Palatino Linotype"/>
        </w:rPr>
        <w:t>Carátulas de Presupuesto de Ingresos y Egresos (PbRM 03b y PbRM 04d);</w:t>
      </w:r>
    </w:p>
    <w:p w:rsidR="00361EFD" w:rsidRPr="00CF0DCB" w:rsidRDefault="00361EFD" w:rsidP="00CF0DCB">
      <w:pPr>
        <w:pStyle w:val="Prrafodelista"/>
        <w:spacing w:line="360" w:lineRule="auto"/>
        <w:rPr>
          <w:rFonts w:ascii="Palatino Linotype" w:eastAsia="MS Mincho" w:hAnsi="Palatino Linotype" w:cs="Times New Roman"/>
        </w:rPr>
      </w:pPr>
    </w:p>
    <w:p w:rsidR="00361EFD" w:rsidRPr="00CF0DCB" w:rsidRDefault="00361EFD" w:rsidP="00CF0DCB">
      <w:pPr>
        <w:pStyle w:val="Prrafodelista"/>
        <w:numPr>
          <w:ilvl w:val="0"/>
          <w:numId w:val="40"/>
        </w:numPr>
        <w:spacing w:line="360" w:lineRule="auto"/>
        <w:jc w:val="both"/>
        <w:rPr>
          <w:rFonts w:ascii="Palatino Linotype" w:hAnsi="Palatino Linotype"/>
        </w:rPr>
      </w:pPr>
      <w:r w:rsidRPr="00CF0DCB">
        <w:rPr>
          <w:rFonts w:ascii="Palatino Linotype" w:eastAsia="MS Mincho" w:hAnsi="Palatino Linotype" w:cs="Times New Roman"/>
        </w:rPr>
        <w:t>Formatos del Programa Anual PbRM-01a, PbRM-01b, PbRM-01c, PbRM-01d, PbRM-01e y PbRM-02a, de la dependencia Clave I01 Desarrollo Social y/o equivalente; y de la dependencia auxiliar Clave 152 Atención a la Mujer y/o Equivalente;</w:t>
      </w:r>
    </w:p>
    <w:p w:rsidR="00361EFD" w:rsidRPr="00CF0DCB" w:rsidRDefault="00361EFD" w:rsidP="00CF0DCB">
      <w:pPr>
        <w:pStyle w:val="Prrafodelista"/>
        <w:spacing w:line="360" w:lineRule="auto"/>
        <w:rPr>
          <w:rFonts w:ascii="Palatino Linotype" w:hAnsi="Palatino Linotype"/>
        </w:rPr>
      </w:pPr>
    </w:p>
    <w:p w:rsidR="00361EFD" w:rsidRPr="00CF0DCB" w:rsidRDefault="00361EFD" w:rsidP="00CF0DCB">
      <w:pPr>
        <w:pStyle w:val="Prrafodelista"/>
        <w:numPr>
          <w:ilvl w:val="0"/>
          <w:numId w:val="40"/>
        </w:numPr>
        <w:spacing w:line="360" w:lineRule="auto"/>
        <w:jc w:val="both"/>
        <w:rPr>
          <w:rFonts w:ascii="Palatino Linotype" w:hAnsi="Palatino Linotype"/>
        </w:rPr>
      </w:pPr>
      <w:r w:rsidRPr="00CF0DCB">
        <w:rPr>
          <w:rFonts w:ascii="Palatino Linotype" w:eastAsia="MS Mincho" w:hAnsi="Palatino Linotype" w:cs="Times New Roman"/>
        </w:rPr>
        <w:t>Presupuesto de Egresos por Objeto de Gasto de la dependencia Clave I01 Desarrollo Social y/o equivalente, y de la dependencia Clave 152 Atención a la Mujer y/o equivalente;</w:t>
      </w:r>
    </w:p>
    <w:p w:rsidR="00361EFD" w:rsidRPr="00CF0DCB" w:rsidRDefault="00361EFD" w:rsidP="00CF0DCB">
      <w:pPr>
        <w:pStyle w:val="Prrafodelista"/>
        <w:spacing w:line="360" w:lineRule="auto"/>
        <w:rPr>
          <w:rFonts w:ascii="Palatino Linotype" w:hAnsi="Palatino Linotype"/>
        </w:rPr>
      </w:pPr>
    </w:p>
    <w:p w:rsidR="00361EFD" w:rsidRPr="00CF0DCB" w:rsidRDefault="00361EFD" w:rsidP="00CF0DCB">
      <w:pPr>
        <w:pStyle w:val="Prrafodelista"/>
        <w:numPr>
          <w:ilvl w:val="0"/>
          <w:numId w:val="40"/>
        </w:numPr>
        <w:spacing w:line="360" w:lineRule="auto"/>
        <w:jc w:val="both"/>
        <w:rPr>
          <w:rFonts w:ascii="Palatino Linotype" w:hAnsi="Palatino Linotype"/>
        </w:rPr>
      </w:pPr>
      <w:r w:rsidRPr="00CF0DCB">
        <w:rPr>
          <w:rFonts w:ascii="Palatino Linotype" w:hAnsi="Palatino Linotype"/>
        </w:rPr>
        <w:t>Monto de recursos gestionados y fuente de financiamiento de carácter estatal, federal o internacional en materia de género o atención a la mujer en el Municipio;</w:t>
      </w:r>
    </w:p>
    <w:p w:rsidR="00361EFD" w:rsidRPr="00CF0DCB" w:rsidRDefault="00361EFD" w:rsidP="00CF0DCB">
      <w:pPr>
        <w:pStyle w:val="Prrafodelista"/>
        <w:spacing w:line="360" w:lineRule="auto"/>
        <w:rPr>
          <w:rFonts w:ascii="Palatino Linotype" w:hAnsi="Palatino Linotype"/>
        </w:rPr>
      </w:pPr>
    </w:p>
    <w:p w:rsidR="00361EFD" w:rsidRPr="00CF0DCB" w:rsidRDefault="00361EFD" w:rsidP="00CF0DCB">
      <w:pPr>
        <w:spacing w:line="360" w:lineRule="auto"/>
        <w:jc w:val="both"/>
        <w:rPr>
          <w:rFonts w:ascii="Palatino Linotype" w:eastAsia="Calibri" w:hAnsi="Palatino Linotype" w:cs="Tahoma"/>
          <w:b/>
          <w:iCs/>
          <w:lang w:val="es-ES" w:eastAsia="es-ES_tradnl"/>
        </w:rPr>
      </w:pPr>
      <w:r w:rsidRPr="00CF0DCB">
        <w:rPr>
          <w:rFonts w:ascii="Palatino Linotype" w:eastAsia="Calibri" w:hAnsi="Palatino Linotype" w:cs="Tahoma"/>
          <w:b/>
          <w:iCs/>
          <w:lang w:val="es-ES" w:eastAsia="es-ES_tradnl"/>
        </w:rPr>
        <w:t xml:space="preserve">De los ejercicios fiscales 2015, 2016, 2017, 2018 y 2019: </w:t>
      </w:r>
    </w:p>
    <w:p w:rsidR="00361EFD" w:rsidRPr="00CF0DCB" w:rsidRDefault="00361EFD" w:rsidP="00CF0DCB">
      <w:pPr>
        <w:spacing w:line="360" w:lineRule="auto"/>
        <w:jc w:val="both"/>
        <w:rPr>
          <w:rFonts w:ascii="Palatino Linotype" w:hAnsi="Palatino Linotype"/>
        </w:rPr>
      </w:pPr>
    </w:p>
    <w:p w:rsidR="00361EFD" w:rsidRPr="00CF0DCB" w:rsidRDefault="00361EFD" w:rsidP="00CF0DCB">
      <w:pPr>
        <w:pStyle w:val="Prrafodelista"/>
        <w:numPr>
          <w:ilvl w:val="0"/>
          <w:numId w:val="40"/>
        </w:numPr>
        <w:spacing w:line="360" w:lineRule="auto"/>
        <w:jc w:val="both"/>
        <w:rPr>
          <w:rFonts w:ascii="Palatino Linotype" w:hAnsi="Palatino Linotype"/>
        </w:rPr>
      </w:pPr>
      <w:r w:rsidRPr="00CF0DCB">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361EFD" w:rsidRPr="00CF0DCB" w:rsidRDefault="00361EFD" w:rsidP="00CF0DCB">
      <w:pPr>
        <w:pStyle w:val="Prrafodelista"/>
        <w:spacing w:line="360" w:lineRule="auto"/>
        <w:jc w:val="both"/>
        <w:rPr>
          <w:rFonts w:ascii="Palatino Linotype" w:hAnsi="Palatino Linotype"/>
        </w:rPr>
      </w:pPr>
    </w:p>
    <w:p w:rsidR="00361EFD" w:rsidRPr="00CF0DCB" w:rsidRDefault="00361EFD" w:rsidP="00CF0DCB">
      <w:pPr>
        <w:pStyle w:val="Prrafodelista"/>
        <w:spacing w:line="360" w:lineRule="auto"/>
        <w:ind w:left="0"/>
        <w:jc w:val="both"/>
        <w:rPr>
          <w:rFonts w:ascii="Palatino Linotype" w:hAnsi="Palatino Linotype"/>
          <w:b/>
        </w:rPr>
      </w:pPr>
      <w:r w:rsidRPr="00CF0DCB">
        <w:rPr>
          <w:rFonts w:ascii="Palatino Linotype" w:hAnsi="Palatino Linotype"/>
          <w:b/>
        </w:rPr>
        <w:t xml:space="preserve">De la actual administración pública municipal:  </w:t>
      </w:r>
    </w:p>
    <w:p w:rsidR="00361EFD" w:rsidRPr="00CF0DCB" w:rsidRDefault="00361EFD" w:rsidP="00CF0DCB">
      <w:pPr>
        <w:spacing w:line="360" w:lineRule="auto"/>
        <w:jc w:val="both"/>
        <w:rPr>
          <w:rFonts w:ascii="Palatino Linotype" w:hAnsi="Palatino Linotype"/>
        </w:rPr>
      </w:pPr>
    </w:p>
    <w:p w:rsidR="00361EFD" w:rsidRPr="00CF0DCB" w:rsidRDefault="00361EFD" w:rsidP="00CF0DCB">
      <w:pPr>
        <w:pStyle w:val="Prrafodelista"/>
        <w:numPr>
          <w:ilvl w:val="0"/>
          <w:numId w:val="40"/>
        </w:numPr>
        <w:spacing w:line="360" w:lineRule="auto"/>
        <w:jc w:val="both"/>
        <w:rPr>
          <w:rFonts w:ascii="Palatino Linotype" w:hAnsi="Palatino Linotype"/>
        </w:rPr>
      </w:pPr>
      <w:r w:rsidRPr="00CF0DCB">
        <w:rPr>
          <w:rFonts w:ascii="Palatino Linotype" w:hAnsi="Palatino Linotype"/>
        </w:rPr>
        <w:t>Dirección o área de la que depende la unidad administrativa con Clave 152 Atención a la Mujer y/o equivalente.</w:t>
      </w:r>
    </w:p>
    <w:p w:rsidR="00361EFD" w:rsidRPr="00CF0DCB" w:rsidRDefault="00361EFD" w:rsidP="00CF0DCB">
      <w:pPr>
        <w:pStyle w:val="Prrafodelista"/>
        <w:spacing w:line="360" w:lineRule="auto"/>
        <w:jc w:val="both"/>
        <w:rPr>
          <w:rFonts w:ascii="Palatino Linotype" w:hAnsi="Palatino Linotype"/>
        </w:rPr>
      </w:pPr>
    </w:p>
    <w:p w:rsidR="00361EFD" w:rsidRPr="00CF0DCB" w:rsidRDefault="00361EFD" w:rsidP="00CF0DCB">
      <w:pPr>
        <w:pStyle w:val="Prrafodelista"/>
        <w:numPr>
          <w:ilvl w:val="0"/>
          <w:numId w:val="40"/>
        </w:numPr>
        <w:spacing w:line="360" w:lineRule="auto"/>
        <w:contextualSpacing w:val="0"/>
        <w:jc w:val="both"/>
        <w:rPr>
          <w:rFonts w:ascii="Palatino Linotype" w:hAnsi="Palatino Linotype"/>
        </w:rPr>
      </w:pPr>
      <w:r w:rsidRPr="00CF0DCB">
        <w:rPr>
          <w:rFonts w:ascii="Palatino Linotype" w:hAnsi="Palatino Linotype"/>
        </w:rPr>
        <w:t>Denominación de la dependencia auxiliar con Clave 152 Atención a la Mujer y/o equivalente del Municipio.</w:t>
      </w:r>
    </w:p>
    <w:p w:rsidR="00361EFD" w:rsidRPr="00B62280" w:rsidRDefault="00361EFD" w:rsidP="00B62280">
      <w:pPr>
        <w:spacing w:line="360" w:lineRule="auto"/>
        <w:jc w:val="both"/>
        <w:rPr>
          <w:rFonts w:ascii="Palatino Linotype" w:hAnsi="Palatino Linotype"/>
        </w:rPr>
      </w:pPr>
    </w:p>
    <w:p w:rsidR="006A2740" w:rsidRPr="00CF0DCB" w:rsidRDefault="006A2740" w:rsidP="00CF0DCB">
      <w:pPr>
        <w:spacing w:line="360" w:lineRule="auto"/>
        <w:jc w:val="both"/>
        <w:rPr>
          <w:rFonts w:ascii="Palatino Linotype" w:eastAsiaTheme="majorEastAsia" w:hAnsi="Palatino Linotype" w:cstheme="majorBidi"/>
          <w:color w:val="000000" w:themeColor="text1"/>
          <w:lang w:val="es-MX" w:eastAsia="en-US"/>
        </w:rPr>
      </w:pPr>
      <w:r w:rsidRPr="00CF0DCB">
        <w:rPr>
          <w:rFonts w:ascii="Palatino Linotype" w:eastAsiaTheme="majorEastAsia" w:hAnsi="Palatino Linotype" w:cstheme="majorBidi"/>
          <w:b/>
          <w:color w:val="000000" w:themeColor="text1"/>
          <w:lang w:val="es-MX" w:eastAsia="en-US"/>
        </w:rPr>
        <w:t>TERCERO. Notifíquese</w:t>
      </w:r>
      <w:r w:rsidRPr="00CF0DCB">
        <w:rPr>
          <w:rFonts w:ascii="Palatino Linotype" w:eastAsiaTheme="majorEastAsia" w:hAnsi="Palatino Linotype" w:cstheme="majorBidi"/>
          <w:color w:val="000000" w:themeColor="text1"/>
          <w:lang w:val="es-MX" w:eastAsia="en-US"/>
        </w:rPr>
        <w:t xml:space="preserve"> al Titular de la Unidad de Transparencia del </w:t>
      </w:r>
      <w:r w:rsidRPr="00CF0DCB">
        <w:rPr>
          <w:rFonts w:ascii="Palatino Linotype" w:eastAsiaTheme="majorEastAsia" w:hAnsi="Palatino Linotype" w:cstheme="majorBidi"/>
          <w:b/>
          <w:color w:val="000000" w:themeColor="text1"/>
          <w:lang w:val="es-MX" w:eastAsia="en-US"/>
        </w:rPr>
        <w:t>SUJETO OBLIGADO</w:t>
      </w:r>
      <w:r w:rsidRPr="00CF0DCB">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6A2740" w:rsidRPr="00CF0DCB" w:rsidRDefault="006A2740" w:rsidP="00CF0DCB">
      <w:pPr>
        <w:shd w:val="clear" w:color="auto" w:fill="FFFFFF"/>
        <w:spacing w:before="240" w:after="360" w:line="360" w:lineRule="auto"/>
        <w:jc w:val="both"/>
        <w:rPr>
          <w:rFonts w:ascii="Palatino Linotype" w:eastAsia="Times New Roman" w:hAnsi="Palatino Linotype" w:cs="Times New Roman"/>
          <w:lang w:val="es-ES"/>
        </w:rPr>
      </w:pPr>
      <w:r w:rsidRPr="00CF0DCB">
        <w:rPr>
          <w:rFonts w:ascii="Palatino Linotype" w:eastAsiaTheme="majorEastAsia" w:hAnsi="Palatino Linotype" w:cstheme="majorBidi"/>
          <w:b/>
          <w:lang w:val="es-MX" w:eastAsia="en-US"/>
        </w:rPr>
        <w:t>CUARTO. Notifíquese</w:t>
      </w:r>
      <w:r w:rsidRPr="00CF0DCB">
        <w:rPr>
          <w:rFonts w:ascii="Palatino Linotype" w:eastAsiaTheme="majorEastAsia" w:hAnsi="Palatino Linotype" w:cstheme="majorBidi"/>
          <w:lang w:val="es-MX" w:eastAsia="en-US"/>
        </w:rPr>
        <w:t xml:space="preserve"> a</w:t>
      </w:r>
      <w:r w:rsidRPr="00CF0DCB">
        <w:rPr>
          <w:rFonts w:ascii="Palatino Linotype" w:eastAsia="Times New Roman" w:hAnsi="Palatino Linotype" w:cs="Times New Roman"/>
          <w:lang w:val="es-ES"/>
        </w:rPr>
        <w:t xml:space="preserve"> </w:t>
      </w:r>
      <w:r w:rsidR="00E868B3" w:rsidRPr="00E868B3">
        <w:rPr>
          <w:rFonts w:ascii="Palatino Linotype" w:eastAsia="Times New Roman" w:hAnsi="Palatino Linotype" w:cs="Times New Roman"/>
          <w:b/>
          <w:highlight w:val="black"/>
          <w:lang w:val="es-ES"/>
        </w:rPr>
        <w:t>---------------------------------------------</w:t>
      </w:r>
      <w:r w:rsidRPr="00CF0DCB">
        <w:rPr>
          <w:rFonts w:ascii="Palatino Linotype" w:eastAsia="Times New Roman" w:hAnsi="Palatino Linotype" w:cs="Times New Roman"/>
          <w:b/>
          <w:lang w:val="es-ES"/>
        </w:rPr>
        <w:t xml:space="preserve">  </w:t>
      </w:r>
      <w:r w:rsidRPr="00CF0DCB">
        <w:rPr>
          <w:rFonts w:ascii="Palatino Linotype" w:eastAsia="Times New Roman" w:hAnsi="Palatino Linotype" w:cs="Times New Roman"/>
          <w:lang w:val="es-ES"/>
        </w:rPr>
        <w:t xml:space="preserve">la presente resolución. </w:t>
      </w:r>
    </w:p>
    <w:p w:rsidR="006A2740" w:rsidRPr="00CF0DCB" w:rsidRDefault="006A2740" w:rsidP="00CF0DCB">
      <w:pPr>
        <w:spacing w:before="240" w:after="360" w:line="360" w:lineRule="auto"/>
        <w:jc w:val="both"/>
        <w:rPr>
          <w:rFonts w:ascii="Palatino Linotype" w:eastAsia="MS Mincho" w:hAnsi="Palatino Linotype" w:cs="Times New Roman"/>
          <w:color w:val="000000" w:themeColor="text1"/>
        </w:rPr>
      </w:pPr>
      <w:r w:rsidRPr="00CF0DCB">
        <w:rPr>
          <w:rFonts w:ascii="Palatino Linotype" w:eastAsia="MS Mincho" w:hAnsi="Palatino Linotype" w:cs="Times New Roman"/>
          <w:b/>
          <w:color w:val="000000" w:themeColor="text1"/>
        </w:rPr>
        <w:t xml:space="preserve">QUINTO. </w:t>
      </w:r>
      <w:r w:rsidRPr="00CF0DCB">
        <w:rPr>
          <w:rFonts w:ascii="Palatino Linotype" w:eastAsia="MS Mincho" w:hAnsi="Palatino Linotype" w:cs="Times New Roman"/>
          <w:color w:val="000000" w:themeColor="text1"/>
        </w:rPr>
        <w:t xml:space="preserve">Se hace del conocimiento de </w:t>
      </w:r>
      <w:r w:rsidR="00E868B3" w:rsidRPr="00E868B3">
        <w:rPr>
          <w:rFonts w:ascii="Palatino Linotype" w:eastAsia="MS Mincho" w:hAnsi="Palatino Linotype" w:cs="Times New Roman"/>
          <w:b/>
          <w:color w:val="000000" w:themeColor="text1"/>
          <w:highlight w:val="black"/>
          <w:lang w:val="es-ES"/>
        </w:rPr>
        <w:t>----------------------------</w:t>
      </w:r>
      <w:r w:rsidR="00E868B3">
        <w:rPr>
          <w:rFonts w:ascii="Palatino Linotype" w:eastAsia="MS Mincho" w:hAnsi="Palatino Linotype" w:cs="Times New Roman"/>
          <w:b/>
          <w:color w:val="000000" w:themeColor="text1"/>
          <w:highlight w:val="black"/>
          <w:lang w:val="es-ES"/>
        </w:rPr>
        <w:t>--</w:t>
      </w:r>
      <w:r w:rsidR="00E868B3" w:rsidRPr="00E868B3">
        <w:rPr>
          <w:rFonts w:ascii="Palatino Linotype" w:eastAsia="MS Mincho" w:hAnsi="Palatino Linotype" w:cs="Times New Roman"/>
          <w:b/>
          <w:color w:val="000000" w:themeColor="text1"/>
          <w:highlight w:val="black"/>
          <w:lang w:val="es-ES"/>
        </w:rPr>
        <w:t>-----------</w:t>
      </w:r>
      <w:r w:rsidRPr="00CF0DCB">
        <w:rPr>
          <w:rFonts w:ascii="Palatino Linotype" w:eastAsia="MS Mincho" w:hAnsi="Palatino Linotype" w:cs="Times New Roman"/>
          <w:b/>
          <w:color w:val="000000" w:themeColor="text1"/>
          <w:lang w:val="es-ES"/>
        </w:rPr>
        <w:t xml:space="preserve"> </w:t>
      </w:r>
      <w:r w:rsidRPr="00CF0DCB">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61EFD" w:rsidRPr="00B62280" w:rsidRDefault="00361EFD" w:rsidP="00CF0DCB">
      <w:pPr>
        <w:spacing w:line="360" w:lineRule="auto"/>
        <w:jc w:val="both"/>
        <w:rPr>
          <w:rFonts w:ascii="Palatino Linotype" w:eastAsia="MS Mincho" w:hAnsi="Palatino Linotype" w:cs="Times New Roman"/>
        </w:rPr>
      </w:pPr>
      <w:r w:rsidRPr="00CF0DCB">
        <w:rPr>
          <w:rFonts w:ascii="Palatino Linotype" w:eastAsia="MS Mincho" w:hAnsi="Palatino Linotype" w:cs="Times New Roman"/>
          <w:b/>
        </w:rPr>
        <w:t xml:space="preserve">SEXTO. </w:t>
      </w:r>
      <w:r w:rsidRPr="00CF0DCB">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w:t>
      </w:r>
      <w:r w:rsidRPr="00B62280">
        <w:rPr>
          <w:rFonts w:ascii="Palatino Linotype" w:eastAsia="MS Mincho" w:hAnsi="Palatino Linotype" w:cs="Times New Roman"/>
        </w:rPr>
        <w:t xml:space="preserve">Municipios, determine lo conducente en términos del </w:t>
      </w:r>
      <w:r w:rsidRPr="00B62280">
        <w:rPr>
          <w:rFonts w:ascii="Palatino Linotype" w:eastAsia="MS Mincho" w:hAnsi="Palatino Linotype" w:cs="Times New Roman"/>
          <w:b/>
        </w:rPr>
        <w:t>Considerando</w:t>
      </w:r>
      <w:r w:rsidR="00896F94" w:rsidRPr="00B62280">
        <w:rPr>
          <w:rFonts w:ascii="Palatino Linotype" w:eastAsia="MS Mincho" w:hAnsi="Palatino Linotype" w:cs="Times New Roman"/>
          <w:b/>
        </w:rPr>
        <w:t xml:space="preserve"> QUINT</w:t>
      </w:r>
      <w:r w:rsidRPr="00B62280">
        <w:rPr>
          <w:rFonts w:ascii="Palatino Linotype" w:eastAsia="MS Mincho" w:hAnsi="Palatino Linotype" w:cs="Times New Roman"/>
          <w:b/>
        </w:rPr>
        <w:t>O</w:t>
      </w:r>
      <w:r w:rsidRPr="00B62280">
        <w:rPr>
          <w:rFonts w:ascii="Palatino Linotype" w:eastAsia="MS Mincho" w:hAnsi="Palatino Linotype" w:cs="Times New Roman"/>
        </w:rPr>
        <w:t>.</w:t>
      </w:r>
    </w:p>
    <w:p w:rsidR="006A2740" w:rsidRDefault="006A2740" w:rsidP="00CF0DCB">
      <w:pPr>
        <w:spacing w:before="240" w:after="240" w:line="360" w:lineRule="auto"/>
        <w:jc w:val="both"/>
        <w:rPr>
          <w:rFonts w:ascii="Palatino Linotype" w:hAnsi="Palatino Linotype" w:cs="Arial"/>
          <w:color w:val="000000" w:themeColor="text1"/>
        </w:rPr>
      </w:pPr>
      <w:r w:rsidRPr="00B6228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sidR="00E60527">
        <w:rPr>
          <w:rFonts w:ascii="Palatino Linotype" w:hAnsi="Palatino Linotype"/>
          <w:color w:val="000000" w:themeColor="text1"/>
        </w:rPr>
        <w:t xml:space="preserve"> CON AUSENCIA JUSTIFICADA</w:t>
      </w:r>
      <w:r w:rsidRPr="00B62280">
        <w:rPr>
          <w:rFonts w:ascii="Palatino Linotype" w:hAnsi="Palatino Linotype"/>
          <w:color w:val="000000" w:themeColor="text1"/>
        </w:rPr>
        <w:t xml:space="preserve">, EVA ABAID YAPUR; JOSÉ GUADALUPE LUNA HERNÁNDEZ; JAVIER MARTÍNEZ CRUZ Y LUIS GUSTAVO PARRA NORIEGA; EN LA </w:t>
      </w:r>
      <w:r w:rsidR="00B62280">
        <w:rPr>
          <w:rFonts w:ascii="Palatino Linotype" w:hAnsi="Palatino Linotype"/>
          <w:color w:val="000000" w:themeColor="text1"/>
        </w:rPr>
        <w:t xml:space="preserve">TRIGÉSIMA TERCERA </w:t>
      </w:r>
      <w:r w:rsidRPr="00B62280">
        <w:rPr>
          <w:rFonts w:ascii="Palatino Linotype" w:hAnsi="Palatino Linotype"/>
          <w:color w:val="000000" w:themeColor="text1"/>
        </w:rPr>
        <w:t>SESIÓN O</w:t>
      </w:r>
      <w:r w:rsidR="004B11A1">
        <w:rPr>
          <w:rFonts w:ascii="Palatino Linotype" w:hAnsi="Palatino Linotype"/>
          <w:color w:val="000000" w:themeColor="text1"/>
        </w:rPr>
        <w:t xml:space="preserve">RDINARIA CELEBRADA EL ONCE (11) DE SEPTIEMBRE </w:t>
      </w:r>
      <w:r w:rsidRPr="00B62280">
        <w:rPr>
          <w:rFonts w:ascii="Palatino Linotype" w:hAnsi="Palatino Linotype"/>
          <w:color w:val="000000" w:themeColor="text1"/>
        </w:rPr>
        <w:t>DE DOS MIL DIECINUEVE, ANTE EL SECRETARIO TÉCNICO DEL PLENO ALEXIS TAPIA RAMÍREZ.</w:t>
      </w:r>
      <w:r w:rsidRPr="00CF0DCB">
        <w:rPr>
          <w:rFonts w:ascii="Palatino Linotype" w:hAnsi="Palatino Linotype" w:cs="Arial"/>
          <w:color w:val="000000" w:themeColor="text1"/>
        </w:rPr>
        <w:t xml:space="preserve"> </w:t>
      </w:r>
    </w:p>
    <w:p w:rsidR="00B62280" w:rsidRPr="00CF0DCB" w:rsidRDefault="00B62280" w:rsidP="00CF0DCB">
      <w:pPr>
        <w:spacing w:before="240" w:after="240" w:line="360" w:lineRule="auto"/>
        <w:jc w:val="both"/>
        <w:rPr>
          <w:rFonts w:ascii="Palatino Linotype" w:hAnsi="Palatino Linotype" w:cs="Arial"/>
          <w:color w:val="000000" w:themeColor="text1"/>
        </w:rPr>
      </w:pP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6A2740" w:rsidRPr="00CF0DCB" w:rsidTr="006A2740">
        <w:trPr>
          <w:trHeight w:val="1807"/>
        </w:trPr>
        <w:tc>
          <w:tcPr>
            <w:tcW w:w="8779" w:type="dxa"/>
            <w:gridSpan w:val="2"/>
            <w:vAlign w:val="center"/>
          </w:tcPr>
          <w:p w:rsidR="006A2740" w:rsidRPr="00CF0DCB" w:rsidRDefault="006A2740" w:rsidP="00CF0DCB">
            <w:pPr>
              <w:spacing w:line="360" w:lineRule="auto"/>
              <w:rPr>
                <w:rFonts w:ascii="Palatino Linotype" w:hAnsi="Palatino Linotype" w:cs="Times New Roman"/>
                <w:b/>
                <w:color w:val="000000" w:themeColor="text1"/>
              </w:rPr>
            </w:pPr>
          </w:p>
          <w:p w:rsidR="006A2740" w:rsidRPr="00CF0DCB" w:rsidRDefault="006A2740" w:rsidP="00CF0DCB">
            <w:pPr>
              <w:spacing w:line="360" w:lineRule="auto"/>
              <w:jc w:val="center"/>
              <w:rPr>
                <w:rFonts w:ascii="Palatino Linotype" w:hAnsi="Palatino Linotype" w:cs="Times New Roman"/>
                <w:b/>
                <w:color w:val="000000" w:themeColor="text1"/>
              </w:rPr>
            </w:pPr>
            <w:r w:rsidRPr="00CF0DCB">
              <w:rPr>
                <w:rFonts w:ascii="Palatino Linotype" w:hAnsi="Palatino Linotype" w:cs="Times New Roman"/>
                <w:b/>
                <w:color w:val="000000" w:themeColor="text1"/>
              </w:rPr>
              <w:t>Zulema Martínez Sánchez</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Comisionada Presidenta</w:t>
            </w:r>
          </w:p>
          <w:p w:rsidR="006A2740" w:rsidRPr="00CF0DCB" w:rsidRDefault="004B11A1" w:rsidP="00CF0DCB">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6A2740" w:rsidRPr="00CF0DCB">
              <w:rPr>
                <w:rFonts w:ascii="Palatino Linotype" w:hAnsi="Palatino Linotype" w:cs="Times New Roman"/>
                <w:color w:val="000000" w:themeColor="text1"/>
              </w:rPr>
              <w:t xml:space="preserve">) </w:t>
            </w:r>
          </w:p>
        </w:tc>
      </w:tr>
      <w:tr w:rsidR="006A2740" w:rsidRPr="00CF0DCB" w:rsidTr="006A2740">
        <w:trPr>
          <w:trHeight w:val="2156"/>
        </w:trPr>
        <w:tc>
          <w:tcPr>
            <w:tcW w:w="4392" w:type="dxa"/>
            <w:vAlign w:val="center"/>
          </w:tcPr>
          <w:p w:rsidR="006A2740" w:rsidRDefault="006A2740" w:rsidP="00CF0DCB">
            <w:pPr>
              <w:spacing w:line="360" w:lineRule="auto"/>
              <w:rPr>
                <w:rFonts w:ascii="Palatino Linotype" w:hAnsi="Palatino Linotype" w:cs="Times New Roman"/>
                <w:b/>
                <w:color w:val="000000" w:themeColor="text1"/>
              </w:rPr>
            </w:pPr>
          </w:p>
          <w:p w:rsidR="00B62280" w:rsidRDefault="00B62280" w:rsidP="00CF0DCB">
            <w:pPr>
              <w:spacing w:line="360" w:lineRule="auto"/>
              <w:rPr>
                <w:rFonts w:ascii="Palatino Linotype" w:hAnsi="Palatino Linotype" w:cs="Times New Roman"/>
                <w:b/>
                <w:color w:val="000000" w:themeColor="text1"/>
              </w:rPr>
            </w:pPr>
          </w:p>
          <w:p w:rsidR="00B62280" w:rsidRPr="00CF0DCB" w:rsidRDefault="00B62280" w:rsidP="00CF0DCB">
            <w:pPr>
              <w:spacing w:line="360" w:lineRule="auto"/>
              <w:rPr>
                <w:rFonts w:ascii="Palatino Linotype" w:hAnsi="Palatino Linotype" w:cs="Times New Roman"/>
                <w:b/>
                <w:color w:val="000000" w:themeColor="text1"/>
              </w:rPr>
            </w:pPr>
          </w:p>
          <w:p w:rsidR="006A2740" w:rsidRPr="00CF0DCB" w:rsidRDefault="006A2740" w:rsidP="00CF0DCB">
            <w:pPr>
              <w:spacing w:line="360" w:lineRule="auto"/>
              <w:jc w:val="center"/>
              <w:rPr>
                <w:rFonts w:ascii="Palatino Linotype" w:hAnsi="Palatino Linotype" w:cs="Times New Roman"/>
                <w:b/>
                <w:color w:val="000000" w:themeColor="text1"/>
              </w:rPr>
            </w:pPr>
            <w:r w:rsidRPr="00CF0DCB">
              <w:rPr>
                <w:rFonts w:ascii="Palatino Linotype" w:hAnsi="Palatino Linotype" w:cs="Times New Roman"/>
                <w:b/>
                <w:color w:val="000000" w:themeColor="text1"/>
              </w:rPr>
              <w:t>Eva Abaid Yapur</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Comisionada</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(Rúbrica)</w:t>
            </w:r>
          </w:p>
        </w:tc>
        <w:tc>
          <w:tcPr>
            <w:tcW w:w="4387" w:type="dxa"/>
            <w:vAlign w:val="center"/>
          </w:tcPr>
          <w:p w:rsidR="006A2740" w:rsidRPr="00CF0DCB" w:rsidRDefault="006A2740" w:rsidP="00CF0DCB">
            <w:pPr>
              <w:spacing w:line="360" w:lineRule="auto"/>
              <w:rPr>
                <w:rFonts w:ascii="Palatino Linotype" w:hAnsi="Palatino Linotype" w:cs="Times New Roman"/>
                <w:b/>
                <w:color w:val="000000" w:themeColor="text1"/>
              </w:rPr>
            </w:pPr>
          </w:p>
          <w:p w:rsidR="006A2740" w:rsidRDefault="006A2740" w:rsidP="00CF0DCB">
            <w:pPr>
              <w:spacing w:line="360" w:lineRule="auto"/>
              <w:jc w:val="center"/>
              <w:rPr>
                <w:rFonts w:ascii="Palatino Linotype" w:hAnsi="Palatino Linotype" w:cs="Times New Roman"/>
                <w:b/>
                <w:color w:val="000000" w:themeColor="text1"/>
              </w:rPr>
            </w:pPr>
          </w:p>
          <w:p w:rsidR="00B62280" w:rsidRPr="00CF0DCB" w:rsidRDefault="00B62280" w:rsidP="00B62280">
            <w:pPr>
              <w:spacing w:line="360" w:lineRule="auto"/>
              <w:rPr>
                <w:rFonts w:ascii="Palatino Linotype" w:hAnsi="Palatino Linotype" w:cs="Times New Roman"/>
                <w:b/>
                <w:color w:val="000000" w:themeColor="text1"/>
              </w:rPr>
            </w:pPr>
          </w:p>
          <w:p w:rsidR="006A2740" w:rsidRPr="00CF0DCB" w:rsidRDefault="006A2740" w:rsidP="00CF0DCB">
            <w:pPr>
              <w:spacing w:line="360" w:lineRule="auto"/>
              <w:jc w:val="center"/>
              <w:rPr>
                <w:rFonts w:ascii="Palatino Linotype" w:hAnsi="Palatino Linotype" w:cs="Times New Roman"/>
                <w:b/>
                <w:color w:val="000000" w:themeColor="text1"/>
              </w:rPr>
            </w:pPr>
            <w:r w:rsidRPr="00CF0DCB">
              <w:rPr>
                <w:rFonts w:ascii="Palatino Linotype" w:hAnsi="Palatino Linotype" w:cs="Times New Roman"/>
                <w:b/>
                <w:color w:val="000000" w:themeColor="text1"/>
              </w:rPr>
              <w:t>José Guadalupe Luna Hernández</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Comisionado</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(Rúbrica)</w:t>
            </w:r>
          </w:p>
        </w:tc>
      </w:tr>
      <w:tr w:rsidR="006A2740" w:rsidRPr="00CF0DCB" w:rsidTr="006A2740">
        <w:trPr>
          <w:trHeight w:val="2244"/>
        </w:trPr>
        <w:tc>
          <w:tcPr>
            <w:tcW w:w="4392" w:type="dxa"/>
            <w:vAlign w:val="center"/>
          </w:tcPr>
          <w:p w:rsidR="006A2740" w:rsidRPr="00CF0DCB" w:rsidRDefault="006A2740" w:rsidP="00CF0DCB">
            <w:pPr>
              <w:spacing w:line="360" w:lineRule="auto"/>
              <w:rPr>
                <w:rFonts w:ascii="Palatino Linotype" w:hAnsi="Palatino Linotype" w:cs="Times New Roman"/>
                <w:b/>
                <w:color w:val="000000" w:themeColor="text1"/>
              </w:rPr>
            </w:pPr>
          </w:p>
          <w:p w:rsidR="006A2740" w:rsidRPr="00CF0DCB" w:rsidRDefault="006A2740" w:rsidP="00CF0DCB">
            <w:pPr>
              <w:spacing w:line="360" w:lineRule="auto"/>
              <w:jc w:val="center"/>
              <w:rPr>
                <w:rFonts w:ascii="Palatino Linotype" w:hAnsi="Palatino Linotype" w:cs="Times New Roman"/>
                <w:b/>
                <w:color w:val="000000" w:themeColor="text1"/>
              </w:rPr>
            </w:pPr>
            <w:r w:rsidRPr="00CF0DCB">
              <w:rPr>
                <w:rFonts w:ascii="Palatino Linotype" w:hAnsi="Palatino Linotype" w:cs="Times New Roman"/>
                <w:b/>
                <w:color w:val="000000" w:themeColor="text1"/>
              </w:rPr>
              <w:t>Javier Martínez Cruz</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Comisionado</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(Rúbrica)</w:t>
            </w:r>
          </w:p>
        </w:tc>
        <w:tc>
          <w:tcPr>
            <w:tcW w:w="4387" w:type="dxa"/>
            <w:vAlign w:val="center"/>
          </w:tcPr>
          <w:p w:rsidR="006A2740" w:rsidRPr="00CF0DCB" w:rsidRDefault="006A2740" w:rsidP="00CF0DCB">
            <w:pPr>
              <w:spacing w:line="360" w:lineRule="auto"/>
              <w:rPr>
                <w:rFonts w:ascii="Palatino Linotype" w:hAnsi="Palatino Linotype" w:cs="Times New Roman"/>
                <w:color w:val="000000" w:themeColor="text1"/>
              </w:rPr>
            </w:pPr>
          </w:p>
          <w:p w:rsidR="006A2740" w:rsidRPr="00CF0DCB" w:rsidRDefault="006A2740" w:rsidP="00CF0DCB">
            <w:pPr>
              <w:spacing w:line="360" w:lineRule="auto"/>
              <w:jc w:val="center"/>
              <w:rPr>
                <w:rFonts w:ascii="Palatino Linotype" w:hAnsi="Palatino Linotype" w:cs="Times New Roman"/>
                <w:b/>
                <w:color w:val="000000" w:themeColor="text1"/>
              </w:rPr>
            </w:pPr>
            <w:r w:rsidRPr="00CF0DCB">
              <w:rPr>
                <w:rFonts w:ascii="Palatino Linotype" w:hAnsi="Palatino Linotype" w:cs="Times New Roman"/>
                <w:b/>
                <w:color w:val="000000" w:themeColor="text1"/>
              </w:rPr>
              <w:t xml:space="preserve">Luis Gustavo Parra Noriega </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 xml:space="preserve">Comisionado  </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(Rúbrica)</w:t>
            </w:r>
          </w:p>
        </w:tc>
      </w:tr>
      <w:tr w:rsidR="006A2740" w:rsidRPr="00CF0DCB" w:rsidTr="006A2740">
        <w:trPr>
          <w:trHeight w:val="1953"/>
        </w:trPr>
        <w:tc>
          <w:tcPr>
            <w:tcW w:w="8779" w:type="dxa"/>
            <w:gridSpan w:val="2"/>
            <w:vAlign w:val="center"/>
          </w:tcPr>
          <w:p w:rsidR="006A2740" w:rsidRPr="00CF0DCB" w:rsidRDefault="006A2740" w:rsidP="00CF0DCB">
            <w:pPr>
              <w:spacing w:line="360" w:lineRule="auto"/>
              <w:jc w:val="center"/>
              <w:rPr>
                <w:rFonts w:ascii="Palatino Linotype" w:hAnsi="Palatino Linotype" w:cs="Times New Roman"/>
                <w:b/>
                <w:color w:val="000000" w:themeColor="text1"/>
              </w:rPr>
            </w:pPr>
          </w:p>
          <w:p w:rsidR="006A2740" w:rsidRPr="00CF0DCB" w:rsidRDefault="006A2740" w:rsidP="00CF0DCB">
            <w:pPr>
              <w:spacing w:line="360" w:lineRule="auto"/>
              <w:rPr>
                <w:rFonts w:ascii="Palatino Linotype" w:hAnsi="Palatino Linotype" w:cs="Times New Roman"/>
                <w:b/>
                <w:color w:val="000000" w:themeColor="text1"/>
              </w:rPr>
            </w:pPr>
          </w:p>
          <w:p w:rsidR="006A2740" w:rsidRPr="00CF0DCB" w:rsidRDefault="006A2740" w:rsidP="00CF0DCB">
            <w:pPr>
              <w:spacing w:line="360" w:lineRule="auto"/>
              <w:jc w:val="center"/>
              <w:rPr>
                <w:rFonts w:ascii="Palatino Linotype" w:hAnsi="Palatino Linotype" w:cs="Times New Roman"/>
                <w:b/>
                <w:color w:val="000000" w:themeColor="text1"/>
              </w:rPr>
            </w:pPr>
            <w:r w:rsidRPr="00CF0DCB">
              <w:rPr>
                <w:rFonts w:ascii="Palatino Linotype" w:hAnsi="Palatino Linotype" w:cs="Times New Roman"/>
                <w:b/>
                <w:color w:val="000000" w:themeColor="text1"/>
              </w:rPr>
              <w:t>Alexis Tapia Ramírez</w:t>
            </w:r>
          </w:p>
          <w:p w:rsidR="006A2740" w:rsidRPr="00CF0DCB" w:rsidRDefault="006A2740"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Secretario Técnico del Pleno</w:t>
            </w:r>
          </w:p>
          <w:p w:rsidR="00CF0DCB" w:rsidRPr="00CF0DCB" w:rsidRDefault="00CF0DCB" w:rsidP="00CF0DCB">
            <w:pPr>
              <w:spacing w:line="360" w:lineRule="auto"/>
              <w:jc w:val="center"/>
              <w:rPr>
                <w:rFonts w:ascii="Palatino Linotype" w:hAnsi="Palatino Linotype" w:cs="Times New Roman"/>
                <w:color w:val="000000" w:themeColor="text1"/>
              </w:rPr>
            </w:pPr>
            <w:r w:rsidRPr="00CF0DCB">
              <w:rPr>
                <w:rFonts w:ascii="Palatino Linotype" w:hAnsi="Palatino Linotype" w:cs="Times New Roman"/>
                <w:color w:val="000000" w:themeColor="text1"/>
              </w:rPr>
              <w:t>(Rúbrica)</w:t>
            </w:r>
          </w:p>
          <w:p w:rsidR="006A2740" w:rsidRPr="00CF0DCB" w:rsidRDefault="006A2740" w:rsidP="00CF0DCB">
            <w:pPr>
              <w:spacing w:line="360" w:lineRule="auto"/>
              <w:jc w:val="center"/>
              <w:rPr>
                <w:rFonts w:ascii="Palatino Linotype" w:hAnsi="Palatino Linotype" w:cs="Times New Roman"/>
                <w:color w:val="000000" w:themeColor="text1"/>
              </w:rPr>
            </w:pPr>
          </w:p>
        </w:tc>
      </w:tr>
    </w:tbl>
    <w:p w:rsidR="006A2740" w:rsidRPr="00CF0DCB" w:rsidRDefault="006A2740" w:rsidP="00CF0DCB">
      <w:pPr>
        <w:spacing w:before="240" w:after="240" w:line="360" w:lineRule="auto"/>
        <w:jc w:val="both"/>
        <w:rPr>
          <w:rFonts w:ascii="Palatino Linotype" w:eastAsia="Calibri" w:hAnsi="Palatino Linotype" w:cs="Arial"/>
          <w:b/>
          <w:color w:val="000000" w:themeColor="text1"/>
        </w:rPr>
      </w:pPr>
      <w:r w:rsidRPr="00CF0DCB">
        <w:rPr>
          <w:rFonts w:ascii="Palatino Linotype" w:eastAsia="Times New Roman" w:hAnsi="Palatino Linotype" w:cs="Arial"/>
          <w:color w:val="000000" w:themeColor="text1"/>
        </w:rPr>
        <w:t>Esta hoja</w:t>
      </w:r>
      <w:r w:rsidR="00CF0DCB" w:rsidRPr="00CF0DCB">
        <w:rPr>
          <w:rFonts w:ascii="Palatino Linotype" w:eastAsia="Times New Roman" w:hAnsi="Palatino Linotype" w:cs="Arial"/>
          <w:color w:val="000000" w:themeColor="text1"/>
        </w:rPr>
        <w:t xml:space="preserve"> corresponde a la resolución de fecha </w:t>
      </w:r>
      <w:r w:rsidR="00327789" w:rsidRPr="00CF0DCB">
        <w:rPr>
          <w:rFonts w:ascii="Palatino Linotype" w:eastAsia="Times New Roman" w:hAnsi="Palatino Linotype" w:cs="Arial"/>
          <w:color w:val="000000" w:themeColor="text1"/>
        </w:rPr>
        <w:t xml:space="preserve">once (11) de </w:t>
      </w:r>
      <w:r w:rsidR="00CF0DCB" w:rsidRPr="00CF0DCB">
        <w:rPr>
          <w:rFonts w:ascii="Palatino Linotype" w:eastAsia="Times New Roman" w:hAnsi="Palatino Linotype" w:cs="Arial"/>
          <w:color w:val="000000" w:themeColor="text1"/>
        </w:rPr>
        <w:t>septiembre</w:t>
      </w:r>
      <w:r w:rsidRPr="00CF0DCB">
        <w:rPr>
          <w:rFonts w:ascii="Palatino Linotype" w:eastAsia="Times New Roman" w:hAnsi="Palatino Linotype" w:cs="Arial"/>
          <w:color w:val="000000" w:themeColor="text1"/>
        </w:rPr>
        <w:t xml:space="preserve"> de do</w:t>
      </w:r>
      <w:r w:rsidR="004B11A1">
        <w:rPr>
          <w:rFonts w:ascii="Palatino Linotype" w:eastAsia="Times New Roman" w:hAnsi="Palatino Linotype" w:cs="Arial"/>
          <w:color w:val="000000" w:themeColor="text1"/>
        </w:rPr>
        <w:t xml:space="preserve">s mil diecinueve, emitida en los </w:t>
      </w:r>
      <w:r w:rsidRPr="00CF0DCB">
        <w:rPr>
          <w:rFonts w:ascii="Palatino Linotype" w:eastAsia="Times New Roman" w:hAnsi="Palatino Linotype" w:cs="Arial"/>
          <w:color w:val="000000" w:themeColor="text1"/>
        </w:rPr>
        <w:t>recurso</w:t>
      </w:r>
      <w:r w:rsidR="004B11A1">
        <w:rPr>
          <w:rFonts w:ascii="Palatino Linotype" w:eastAsia="Times New Roman" w:hAnsi="Palatino Linotype" w:cs="Arial"/>
          <w:color w:val="000000" w:themeColor="text1"/>
        </w:rPr>
        <w:t>s</w:t>
      </w:r>
      <w:r w:rsidRPr="00CF0DCB">
        <w:rPr>
          <w:rFonts w:ascii="Palatino Linotype" w:eastAsia="Times New Roman" w:hAnsi="Palatino Linotype" w:cs="Arial"/>
          <w:color w:val="000000" w:themeColor="text1"/>
        </w:rPr>
        <w:t xml:space="preserve"> de revisión </w:t>
      </w:r>
      <w:r w:rsidR="00327789" w:rsidRPr="00CF0DCB">
        <w:rPr>
          <w:rFonts w:ascii="Palatino Linotype" w:eastAsia="Times New Roman" w:hAnsi="Palatino Linotype" w:cs="Arial"/>
          <w:b/>
          <w:color w:val="000000" w:themeColor="text1"/>
        </w:rPr>
        <w:t>05748</w:t>
      </w:r>
      <w:r w:rsidRPr="00CF0DCB">
        <w:rPr>
          <w:rFonts w:ascii="Palatino Linotype" w:eastAsia="Times New Roman" w:hAnsi="Palatino Linotype" w:cs="Arial"/>
          <w:b/>
          <w:color w:val="000000" w:themeColor="text1"/>
        </w:rPr>
        <w:t>/INFOEM/IP/RR/2019</w:t>
      </w:r>
      <w:r w:rsidR="00327789" w:rsidRPr="00CF0DCB">
        <w:rPr>
          <w:rFonts w:ascii="Palatino Linotype" w:eastAsia="Times New Roman" w:hAnsi="Palatino Linotype" w:cs="Arial"/>
          <w:b/>
          <w:color w:val="000000" w:themeColor="text1"/>
        </w:rPr>
        <w:t xml:space="preserve"> y acumulado</w:t>
      </w:r>
      <w:r w:rsidRPr="00CF0DCB">
        <w:rPr>
          <w:rFonts w:ascii="Palatino Linotype" w:eastAsia="Times New Roman" w:hAnsi="Palatino Linotype" w:cs="Arial"/>
          <w:b/>
          <w:color w:val="000000" w:themeColor="text1"/>
        </w:rPr>
        <w:t>.</w:t>
      </w:r>
    </w:p>
    <w:p w:rsidR="00245941" w:rsidRPr="00CF0DCB" w:rsidRDefault="00245941" w:rsidP="00CF0DCB">
      <w:pPr>
        <w:spacing w:line="360" w:lineRule="auto"/>
        <w:rPr>
          <w:rFonts w:ascii="Palatino Linotype" w:hAnsi="Palatino Linotype"/>
        </w:rPr>
      </w:pPr>
    </w:p>
    <w:sectPr w:rsidR="00245941" w:rsidRPr="00CF0DCB" w:rsidSect="00CF0DCB">
      <w:headerReference w:type="default" r:id="rId25"/>
      <w:footerReference w:type="default" r:id="rId26"/>
      <w:headerReference w:type="first" r:id="rId27"/>
      <w:footerReference w:type="first" r:id="rId2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1E9" w:rsidRDefault="002D71E9" w:rsidP="006A2740">
      <w:r>
        <w:separator/>
      </w:r>
    </w:p>
  </w:endnote>
  <w:endnote w:type="continuationSeparator" w:id="0">
    <w:p w:rsidR="002D71E9" w:rsidRDefault="002D71E9" w:rsidP="006A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rsidR="00CF0DCB" w:rsidRPr="00883450" w:rsidRDefault="00CF0DC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C659B">
              <w:rPr>
                <w:rFonts w:ascii="Palatino Linotype" w:hAnsi="Palatino Linotype"/>
                <w:b/>
                <w:bCs/>
                <w:noProof/>
                <w:sz w:val="22"/>
                <w:szCs w:val="20"/>
              </w:rPr>
              <w:t>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C659B">
              <w:rPr>
                <w:rFonts w:ascii="Palatino Linotype" w:hAnsi="Palatino Linotype"/>
                <w:b/>
                <w:bCs/>
                <w:noProof/>
                <w:sz w:val="22"/>
                <w:szCs w:val="20"/>
              </w:rPr>
              <w:t>90</w:t>
            </w:r>
            <w:r w:rsidRPr="00883450">
              <w:rPr>
                <w:rFonts w:ascii="Palatino Linotype" w:hAnsi="Palatino Linotype"/>
                <w:b/>
                <w:bCs/>
                <w:sz w:val="22"/>
                <w:szCs w:val="20"/>
              </w:rPr>
              <w:fldChar w:fldCharType="end"/>
            </w:r>
          </w:p>
        </w:sdtContent>
      </w:sdt>
    </w:sdtContent>
  </w:sdt>
  <w:p w:rsidR="00CF0DCB" w:rsidRDefault="00CF0D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CB" w:rsidRPr="00883450" w:rsidRDefault="00CF0DCB" w:rsidP="006A274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C659B" w:rsidRPr="001C659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C659B" w:rsidRPr="001C659B">
      <w:rPr>
        <w:rFonts w:ascii="Palatino Linotype" w:hAnsi="Palatino Linotype"/>
        <w:noProof/>
        <w:sz w:val="22"/>
        <w:szCs w:val="22"/>
        <w:lang w:val="es-ES"/>
      </w:rPr>
      <w:t>90</w:t>
    </w:r>
    <w:r w:rsidRPr="00883450">
      <w:rPr>
        <w:rFonts w:ascii="Palatino Linotype" w:hAnsi="Palatino Linotype"/>
        <w:sz w:val="22"/>
        <w:szCs w:val="22"/>
      </w:rPr>
      <w:fldChar w:fldCharType="end"/>
    </w:r>
  </w:p>
  <w:p w:rsidR="00CF0DCB" w:rsidRPr="00883450" w:rsidRDefault="00CF0DC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1E9" w:rsidRDefault="002D71E9" w:rsidP="006A2740">
      <w:r>
        <w:separator/>
      </w:r>
    </w:p>
  </w:footnote>
  <w:footnote w:type="continuationSeparator" w:id="0">
    <w:p w:rsidR="002D71E9" w:rsidRDefault="002D71E9" w:rsidP="006A2740">
      <w:r>
        <w:continuationSeparator/>
      </w:r>
    </w:p>
  </w:footnote>
  <w:footnote w:id="1">
    <w:p w:rsidR="00CF0DCB" w:rsidRDefault="00CF0DCB" w:rsidP="00896F94">
      <w:pPr>
        <w:pStyle w:val="Textonotapie"/>
      </w:pPr>
      <w:r>
        <w:rPr>
          <w:rStyle w:val="Refdenotaalpie"/>
        </w:rPr>
        <w:footnoteRef/>
      </w:r>
      <w:r>
        <w:t xml:space="preserve"> Ley de Transparencia y Acceso a la Información Pública del Estado de México y Municipios. Artículo 9. …</w:t>
      </w:r>
    </w:p>
    <w:p w:rsidR="00CF0DCB" w:rsidRDefault="00CF0DCB" w:rsidP="00896F94">
      <w:pPr>
        <w:pStyle w:val="Textonotapie"/>
      </w:pPr>
      <w:r>
        <w:t>II. Eficacia: Obligación del Instituto para tutelar, de manera efectiva, el derecho de acceso a la información;</w:t>
      </w:r>
    </w:p>
    <w:p w:rsidR="00CF0DCB" w:rsidRDefault="00CF0DCB" w:rsidP="00896F94">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CB" w:rsidRDefault="00CF0DCB">
    <w:pPr>
      <w:pStyle w:val="Encabezado"/>
    </w:pPr>
    <w:r>
      <w:tab/>
    </w:r>
    <w:r>
      <w:tab/>
    </w:r>
  </w:p>
  <w:p w:rsidR="00CF0DCB" w:rsidRDefault="00CF0DCB">
    <w:pPr>
      <w:pStyle w:val="Encabezado"/>
    </w:pPr>
  </w:p>
  <w:tbl>
    <w:tblPr>
      <w:tblStyle w:val="Tablaconcuadrcula"/>
      <w:tblW w:w="6237"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CF0DCB" w:rsidRPr="00E1705A" w:rsidTr="006A2740">
      <w:trPr>
        <w:trHeight w:val="138"/>
      </w:trPr>
      <w:tc>
        <w:tcPr>
          <w:tcW w:w="2552" w:type="dxa"/>
          <w:vAlign w:val="center"/>
        </w:tcPr>
        <w:p w:rsidR="00CF0DCB" w:rsidRPr="00E1705A" w:rsidRDefault="00CF0DCB" w:rsidP="006A2740">
          <w:pPr>
            <w:rPr>
              <w:rFonts w:ascii="Palatino Linotype" w:hAnsi="Palatino Linotype"/>
              <w:b/>
              <w:sz w:val="22"/>
              <w:szCs w:val="22"/>
            </w:rPr>
          </w:pPr>
          <w:r w:rsidRPr="00E1705A">
            <w:rPr>
              <w:rFonts w:ascii="Palatino Linotype" w:hAnsi="Palatino Linotype"/>
              <w:b/>
              <w:sz w:val="22"/>
              <w:szCs w:val="22"/>
            </w:rPr>
            <w:t>Recurso de revisión:</w:t>
          </w:r>
        </w:p>
      </w:tc>
      <w:tc>
        <w:tcPr>
          <w:tcW w:w="3685" w:type="dxa"/>
          <w:vAlign w:val="center"/>
        </w:tcPr>
        <w:p w:rsidR="00CF0DCB" w:rsidRPr="00E1705A" w:rsidRDefault="00CF0DCB" w:rsidP="006A2740">
          <w:pPr>
            <w:pStyle w:val="Encabezado"/>
            <w:rPr>
              <w:rFonts w:ascii="Palatino Linotype" w:hAnsi="Palatino Linotype"/>
              <w:b/>
              <w:sz w:val="22"/>
              <w:szCs w:val="22"/>
            </w:rPr>
          </w:pPr>
          <w:r>
            <w:rPr>
              <w:rFonts w:ascii="Palatino Linotype" w:hAnsi="Palatino Linotype" w:cs="Arial"/>
              <w:b/>
              <w:bCs/>
              <w:sz w:val="22"/>
              <w:szCs w:val="22"/>
              <w:lang w:eastAsia="es-MX"/>
            </w:rPr>
            <w:t xml:space="preserve">05748/INFOEM/IP/RR/2019 y acumulado </w:t>
          </w:r>
        </w:p>
      </w:tc>
    </w:tr>
    <w:tr w:rsidR="00CF0DCB" w:rsidRPr="00E1705A" w:rsidTr="006A2740">
      <w:trPr>
        <w:trHeight w:val="321"/>
      </w:trPr>
      <w:tc>
        <w:tcPr>
          <w:tcW w:w="2552" w:type="dxa"/>
          <w:vAlign w:val="center"/>
        </w:tcPr>
        <w:p w:rsidR="00CF0DCB" w:rsidRPr="00E1705A" w:rsidRDefault="00CF0DCB" w:rsidP="006A2740">
          <w:pPr>
            <w:rPr>
              <w:rFonts w:ascii="Palatino Linotype" w:hAnsi="Palatino Linotype"/>
              <w:b/>
              <w:sz w:val="22"/>
              <w:szCs w:val="22"/>
            </w:rPr>
          </w:pPr>
          <w:r w:rsidRPr="00E1705A">
            <w:rPr>
              <w:rFonts w:ascii="Palatino Linotype" w:hAnsi="Palatino Linotype"/>
              <w:b/>
              <w:sz w:val="22"/>
              <w:szCs w:val="22"/>
            </w:rPr>
            <w:t>Sujeto obligado:</w:t>
          </w:r>
        </w:p>
      </w:tc>
      <w:tc>
        <w:tcPr>
          <w:tcW w:w="3685" w:type="dxa"/>
          <w:vAlign w:val="center"/>
        </w:tcPr>
        <w:p w:rsidR="00CF0DCB" w:rsidRPr="00E1705A" w:rsidRDefault="00CF0DCB" w:rsidP="006A2740">
          <w:pPr>
            <w:pStyle w:val="Encabezado"/>
            <w:rPr>
              <w:rFonts w:ascii="Palatino Linotype" w:hAnsi="Palatino Linotype"/>
              <w:b/>
              <w:sz w:val="22"/>
              <w:szCs w:val="22"/>
            </w:rPr>
          </w:pPr>
          <w:r>
            <w:rPr>
              <w:rFonts w:ascii="Palatino Linotype" w:hAnsi="Palatino Linotype"/>
              <w:b/>
              <w:sz w:val="22"/>
              <w:szCs w:val="22"/>
            </w:rPr>
            <w:t>Ayuntamiento de Coyotepec</w:t>
          </w:r>
        </w:p>
      </w:tc>
    </w:tr>
    <w:tr w:rsidR="00CF0DCB" w:rsidRPr="00E1705A" w:rsidTr="006A2740">
      <w:trPr>
        <w:trHeight w:val="321"/>
      </w:trPr>
      <w:tc>
        <w:tcPr>
          <w:tcW w:w="2552" w:type="dxa"/>
          <w:vAlign w:val="center"/>
        </w:tcPr>
        <w:p w:rsidR="00CF0DCB" w:rsidRPr="00E1705A" w:rsidRDefault="00CF0DCB" w:rsidP="006A2740">
          <w:pPr>
            <w:rPr>
              <w:rFonts w:ascii="Palatino Linotype" w:hAnsi="Palatino Linotype"/>
              <w:b/>
              <w:sz w:val="22"/>
              <w:szCs w:val="22"/>
            </w:rPr>
          </w:pPr>
          <w:r w:rsidRPr="00E1705A">
            <w:rPr>
              <w:rFonts w:ascii="Palatino Linotype" w:hAnsi="Palatino Linotype"/>
              <w:b/>
              <w:sz w:val="22"/>
              <w:szCs w:val="22"/>
            </w:rPr>
            <w:t>Comisionado ponente:</w:t>
          </w:r>
        </w:p>
      </w:tc>
      <w:tc>
        <w:tcPr>
          <w:tcW w:w="3685" w:type="dxa"/>
          <w:vAlign w:val="center"/>
        </w:tcPr>
        <w:p w:rsidR="00CF0DCB" w:rsidRPr="00E1705A" w:rsidRDefault="00CF0DCB" w:rsidP="006A2740">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rsidR="00CF0DCB" w:rsidRDefault="00CF0DCB" w:rsidP="006A27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CB" w:rsidRDefault="00CF0DCB" w:rsidP="006A2740">
    <w:pPr>
      <w:pStyle w:val="Encabezado"/>
      <w:tabs>
        <w:tab w:val="clear" w:pos="4252"/>
        <w:tab w:val="clear" w:pos="8504"/>
        <w:tab w:val="left" w:pos="3103"/>
      </w:tabs>
    </w:pPr>
    <w:r>
      <w:tab/>
    </w:r>
    <w:r>
      <w:tab/>
    </w:r>
  </w:p>
  <w:tbl>
    <w:tblPr>
      <w:tblStyle w:val="Tablaconcuadrcula"/>
      <w:tblW w:w="6237"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CF0DCB" w:rsidRPr="00182113" w:rsidTr="006A2740">
      <w:trPr>
        <w:trHeight w:val="138"/>
      </w:trPr>
      <w:tc>
        <w:tcPr>
          <w:tcW w:w="2551" w:type="dxa"/>
          <w:vAlign w:val="center"/>
        </w:tcPr>
        <w:p w:rsidR="00CF0DCB" w:rsidRPr="005B118B" w:rsidRDefault="00CF0DCB" w:rsidP="006A2740">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rsidR="00CF0DCB" w:rsidRPr="005B118B" w:rsidRDefault="00CF0DCB" w:rsidP="006A2740">
          <w:pPr>
            <w:pStyle w:val="Encabezado"/>
            <w:rPr>
              <w:rFonts w:ascii="Palatino Linotype" w:hAnsi="Palatino Linotype"/>
              <w:b/>
              <w:sz w:val="22"/>
              <w:szCs w:val="22"/>
            </w:rPr>
          </w:pPr>
          <w:r>
            <w:rPr>
              <w:rFonts w:ascii="Palatino Linotype" w:hAnsi="Palatino Linotype" w:cs="Arial"/>
              <w:b/>
              <w:bCs/>
              <w:sz w:val="22"/>
              <w:szCs w:val="22"/>
              <w:lang w:eastAsia="es-MX"/>
            </w:rPr>
            <w:t>05748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 y acumulado</w:t>
          </w:r>
        </w:p>
      </w:tc>
    </w:tr>
    <w:tr w:rsidR="00CF0DCB" w:rsidRPr="00182113" w:rsidTr="006A2740">
      <w:trPr>
        <w:trHeight w:val="227"/>
      </w:trPr>
      <w:tc>
        <w:tcPr>
          <w:tcW w:w="2551" w:type="dxa"/>
          <w:vAlign w:val="center"/>
        </w:tcPr>
        <w:p w:rsidR="00CF0DCB" w:rsidRPr="005B118B" w:rsidRDefault="00CF0DCB" w:rsidP="006A2740">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rsidR="00CF0DCB" w:rsidRPr="005B118B" w:rsidRDefault="00E868B3" w:rsidP="006A2740">
          <w:pPr>
            <w:pStyle w:val="Encabezado"/>
            <w:rPr>
              <w:rFonts w:ascii="Palatino Linotype" w:hAnsi="Palatino Linotype"/>
              <w:b/>
              <w:sz w:val="22"/>
              <w:szCs w:val="22"/>
            </w:rPr>
          </w:pPr>
          <w:r w:rsidRPr="00E868B3">
            <w:rPr>
              <w:rFonts w:ascii="Palatino Linotype" w:hAnsi="Palatino Linotype"/>
              <w:b/>
              <w:sz w:val="22"/>
              <w:szCs w:val="22"/>
              <w:highlight w:val="black"/>
            </w:rPr>
            <w:t>---------------------------------------------</w:t>
          </w:r>
          <w:r w:rsidR="00CF0DCB">
            <w:rPr>
              <w:rFonts w:ascii="Palatino Linotype" w:hAnsi="Palatino Linotype"/>
              <w:b/>
              <w:sz w:val="22"/>
              <w:szCs w:val="22"/>
            </w:rPr>
            <w:t xml:space="preserve"> </w:t>
          </w:r>
        </w:p>
      </w:tc>
    </w:tr>
    <w:tr w:rsidR="00CF0DCB" w:rsidRPr="00182113" w:rsidTr="006A2740">
      <w:trPr>
        <w:trHeight w:val="232"/>
      </w:trPr>
      <w:tc>
        <w:tcPr>
          <w:tcW w:w="2551" w:type="dxa"/>
          <w:vAlign w:val="center"/>
        </w:tcPr>
        <w:p w:rsidR="00CF0DCB" w:rsidRPr="005B118B" w:rsidRDefault="00CF0DCB" w:rsidP="006A2740">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rsidR="00CF0DCB" w:rsidRPr="005B118B" w:rsidRDefault="00CF0DCB" w:rsidP="006A2740">
          <w:pPr>
            <w:pStyle w:val="Encabezado"/>
            <w:rPr>
              <w:rFonts w:ascii="Palatino Linotype" w:hAnsi="Palatino Linotype"/>
              <w:b/>
              <w:sz w:val="22"/>
              <w:szCs w:val="22"/>
            </w:rPr>
          </w:pPr>
          <w:r>
            <w:rPr>
              <w:rFonts w:ascii="Palatino Linotype" w:hAnsi="Palatino Linotype"/>
              <w:b/>
              <w:sz w:val="22"/>
              <w:szCs w:val="22"/>
            </w:rPr>
            <w:t xml:space="preserve">Ayuntamiento de Coyotepec </w:t>
          </w:r>
        </w:p>
      </w:tc>
    </w:tr>
    <w:tr w:rsidR="00CF0DCB" w:rsidRPr="00182113" w:rsidTr="006A2740">
      <w:trPr>
        <w:trHeight w:val="320"/>
      </w:trPr>
      <w:tc>
        <w:tcPr>
          <w:tcW w:w="2551" w:type="dxa"/>
          <w:vAlign w:val="center"/>
        </w:tcPr>
        <w:p w:rsidR="00CF0DCB" w:rsidRPr="005B118B" w:rsidRDefault="00CF0DCB" w:rsidP="006A2740">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rsidR="00CF0DCB" w:rsidRPr="005B118B" w:rsidRDefault="00CF0DCB" w:rsidP="006A2740">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rsidR="00CF0DCB" w:rsidRDefault="00CF0D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BD94172"/>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FF677A"/>
    <w:multiLevelType w:val="hybridMultilevel"/>
    <w:tmpl w:val="4D785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33A45797"/>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DE2B58"/>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AA23DF"/>
    <w:multiLevelType w:val="hybridMultilevel"/>
    <w:tmpl w:val="00421E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45940033"/>
    <w:multiLevelType w:val="hybridMultilevel"/>
    <w:tmpl w:val="01823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1A03056"/>
    <w:multiLevelType w:val="hybridMultilevel"/>
    <w:tmpl w:val="6B007E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4">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8">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708E5A33"/>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73374679"/>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5F5AF5"/>
    <w:multiLevelType w:val="hybridMultilevel"/>
    <w:tmpl w:val="8C38CB6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1"/>
  </w:num>
  <w:num w:numId="2">
    <w:abstractNumId w:val="35"/>
  </w:num>
  <w:num w:numId="3">
    <w:abstractNumId w:val="27"/>
  </w:num>
  <w:num w:numId="4">
    <w:abstractNumId w:val="8"/>
  </w:num>
  <w:num w:numId="5">
    <w:abstractNumId w:val="36"/>
  </w:num>
  <w:num w:numId="6">
    <w:abstractNumId w:val="21"/>
  </w:num>
  <w:num w:numId="7">
    <w:abstractNumId w:val="23"/>
  </w:num>
  <w:num w:numId="8">
    <w:abstractNumId w:val="18"/>
  </w:num>
  <w:num w:numId="9">
    <w:abstractNumId w:val="15"/>
  </w:num>
  <w:num w:numId="10">
    <w:abstractNumId w:val="32"/>
  </w:num>
  <w:num w:numId="11">
    <w:abstractNumId w:val="30"/>
  </w:num>
  <w:num w:numId="12">
    <w:abstractNumId w:val="31"/>
  </w:num>
  <w:num w:numId="13">
    <w:abstractNumId w:val="28"/>
  </w:num>
  <w:num w:numId="14">
    <w:abstractNumId w:val="45"/>
  </w:num>
  <w:num w:numId="15">
    <w:abstractNumId w:val="33"/>
  </w:num>
  <w:num w:numId="16">
    <w:abstractNumId w:val="40"/>
  </w:num>
  <w:num w:numId="17">
    <w:abstractNumId w:val="9"/>
  </w:num>
  <w:num w:numId="18">
    <w:abstractNumId w:val="41"/>
  </w:num>
  <w:num w:numId="19">
    <w:abstractNumId w:val="5"/>
  </w:num>
  <w:num w:numId="20">
    <w:abstractNumId w:val="16"/>
  </w:num>
  <w:num w:numId="21">
    <w:abstractNumId w:val="26"/>
  </w:num>
  <w:num w:numId="22">
    <w:abstractNumId w:val="24"/>
  </w:num>
  <w:num w:numId="23">
    <w:abstractNumId w:val="43"/>
  </w:num>
  <w:num w:numId="24">
    <w:abstractNumId w:val="38"/>
  </w:num>
  <w:num w:numId="25">
    <w:abstractNumId w:val="29"/>
  </w:num>
  <w:num w:numId="26">
    <w:abstractNumId w:val="1"/>
  </w:num>
  <w:num w:numId="27">
    <w:abstractNumId w:val="0"/>
  </w:num>
  <w:num w:numId="28">
    <w:abstractNumId w:val="14"/>
  </w:num>
  <w:num w:numId="29">
    <w:abstractNumId w:val="25"/>
  </w:num>
  <w:num w:numId="30">
    <w:abstractNumId w:val="34"/>
  </w:num>
  <w:num w:numId="31">
    <w:abstractNumId w:val="4"/>
  </w:num>
  <w:num w:numId="32">
    <w:abstractNumId w:val="42"/>
  </w:num>
  <w:num w:numId="33">
    <w:abstractNumId w:val="39"/>
  </w:num>
  <w:num w:numId="34">
    <w:abstractNumId w:val="22"/>
  </w:num>
  <w:num w:numId="35">
    <w:abstractNumId w:val="19"/>
  </w:num>
  <w:num w:numId="36">
    <w:abstractNumId w:val="10"/>
  </w:num>
  <w:num w:numId="37">
    <w:abstractNumId w:val="12"/>
  </w:num>
  <w:num w:numId="38">
    <w:abstractNumId w:val="2"/>
  </w:num>
  <w:num w:numId="39">
    <w:abstractNumId w:val="37"/>
  </w:num>
  <w:num w:numId="40">
    <w:abstractNumId w:val="6"/>
  </w:num>
  <w:num w:numId="41">
    <w:abstractNumId w:val="17"/>
  </w:num>
  <w:num w:numId="42">
    <w:abstractNumId w:val="20"/>
  </w:num>
  <w:num w:numId="43">
    <w:abstractNumId w:val="44"/>
  </w:num>
  <w:num w:numId="44">
    <w:abstractNumId w:val="13"/>
  </w:num>
  <w:num w:numId="45">
    <w:abstractNumId w:val="7"/>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740"/>
    <w:rsid w:val="000F0147"/>
    <w:rsid w:val="00196032"/>
    <w:rsid w:val="001B6814"/>
    <w:rsid w:val="001C659B"/>
    <w:rsid w:val="001F1F56"/>
    <w:rsid w:val="001F3B06"/>
    <w:rsid w:val="00245941"/>
    <w:rsid w:val="00293DD5"/>
    <w:rsid w:val="002D71E9"/>
    <w:rsid w:val="002E18DC"/>
    <w:rsid w:val="002F2237"/>
    <w:rsid w:val="003256E7"/>
    <w:rsid w:val="00327789"/>
    <w:rsid w:val="00361EFD"/>
    <w:rsid w:val="0037549D"/>
    <w:rsid w:val="003A2263"/>
    <w:rsid w:val="003F3170"/>
    <w:rsid w:val="003F408B"/>
    <w:rsid w:val="00477C17"/>
    <w:rsid w:val="00492BEC"/>
    <w:rsid w:val="004B11A1"/>
    <w:rsid w:val="005201C1"/>
    <w:rsid w:val="00567B0B"/>
    <w:rsid w:val="00652A09"/>
    <w:rsid w:val="006A2740"/>
    <w:rsid w:val="007B149C"/>
    <w:rsid w:val="007C7D9B"/>
    <w:rsid w:val="00896F94"/>
    <w:rsid w:val="008F1829"/>
    <w:rsid w:val="009934AF"/>
    <w:rsid w:val="009D440E"/>
    <w:rsid w:val="009F0B82"/>
    <w:rsid w:val="00A34C70"/>
    <w:rsid w:val="00A65C96"/>
    <w:rsid w:val="00AF0020"/>
    <w:rsid w:val="00AF4382"/>
    <w:rsid w:val="00AF7FCD"/>
    <w:rsid w:val="00B62280"/>
    <w:rsid w:val="00B6734B"/>
    <w:rsid w:val="00C542D8"/>
    <w:rsid w:val="00CD6859"/>
    <w:rsid w:val="00CF0DCB"/>
    <w:rsid w:val="00CF2620"/>
    <w:rsid w:val="00D17F04"/>
    <w:rsid w:val="00D56733"/>
    <w:rsid w:val="00D6011B"/>
    <w:rsid w:val="00DF5F3B"/>
    <w:rsid w:val="00E254D9"/>
    <w:rsid w:val="00E60527"/>
    <w:rsid w:val="00E76C87"/>
    <w:rsid w:val="00E868B3"/>
    <w:rsid w:val="00F17175"/>
    <w:rsid w:val="00F72B5E"/>
    <w:rsid w:val="00F916FD"/>
    <w:rsid w:val="00FD74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28DA4E-A8A2-4E09-A2C2-79D6ED93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4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A2740"/>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6A274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274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A274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6A2740"/>
    <w:pPr>
      <w:tabs>
        <w:tab w:val="center" w:pos="4252"/>
        <w:tab w:val="right" w:pos="8504"/>
      </w:tabs>
    </w:pPr>
  </w:style>
  <w:style w:type="character" w:customStyle="1" w:styleId="EncabezadoCar">
    <w:name w:val="Encabezado Car"/>
    <w:basedOn w:val="Fuentedeprrafopredeter"/>
    <w:link w:val="Encabezado"/>
    <w:uiPriority w:val="99"/>
    <w:rsid w:val="006A2740"/>
    <w:rPr>
      <w:rFonts w:eastAsiaTheme="minorEastAsia"/>
      <w:sz w:val="24"/>
      <w:szCs w:val="24"/>
      <w:lang w:val="es-ES_tradnl" w:eastAsia="es-ES"/>
    </w:rPr>
  </w:style>
  <w:style w:type="paragraph" w:styleId="Piedepgina">
    <w:name w:val="footer"/>
    <w:basedOn w:val="Normal"/>
    <w:link w:val="PiedepginaCar"/>
    <w:uiPriority w:val="99"/>
    <w:unhideWhenUsed/>
    <w:rsid w:val="006A2740"/>
    <w:pPr>
      <w:tabs>
        <w:tab w:val="center" w:pos="4252"/>
        <w:tab w:val="right" w:pos="8504"/>
      </w:tabs>
    </w:pPr>
  </w:style>
  <w:style w:type="character" w:customStyle="1" w:styleId="PiedepginaCar">
    <w:name w:val="Pie de página Car"/>
    <w:basedOn w:val="Fuentedeprrafopredeter"/>
    <w:link w:val="Piedepgina"/>
    <w:uiPriority w:val="99"/>
    <w:rsid w:val="006A2740"/>
    <w:rPr>
      <w:rFonts w:eastAsiaTheme="minorEastAsia"/>
      <w:sz w:val="24"/>
      <w:szCs w:val="24"/>
      <w:lang w:val="es-ES_tradnl" w:eastAsia="es-ES"/>
    </w:rPr>
  </w:style>
  <w:style w:type="table" w:styleId="Tablaconcuadrcula">
    <w:name w:val="Table Grid"/>
    <w:basedOn w:val="Tablanormal"/>
    <w:uiPriority w:val="39"/>
    <w:rsid w:val="006A274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A274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A2740"/>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A2740"/>
    <w:pPr>
      <w:ind w:left="720"/>
      <w:contextualSpacing/>
    </w:pPr>
  </w:style>
  <w:style w:type="paragraph" w:styleId="Sinespaciado">
    <w:name w:val="No Spacing"/>
    <w:aliases w:val="Francesa"/>
    <w:link w:val="SinespaciadoCar"/>
    <w:uiPriority w:val="1"/>
    <w:qFormat/>
    <w:rsid w:val="006A2740"/>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A2740"/>
    <w:rPr>
      <w:rFonts w:eastAsiaTheme="minorEastAsia"/>
      <w:sz w:val="24"/>
      <w:szCs w:val="24"/>
      <w:lang w:val="es-ES_tradnl" w:eastAsia="es-ES"/>
    </w:rPr>
  </w:style>
  <w:style w:type="character" w:styleId="Hipervnculo">
    <w:name w:val="Hyperlink"/>
    <w:basedOn w:val="Fuentedeprrafopredeter"/>
    <w:uiPriority w:val="99"/>
    <w:unhideWhenUsed/>
    <w:rsid w:val="006A2740"/>
    <w:rPr>
      <w:color w:val="0563C1" w:themeColor="hyperlink"/>
      <w:u w:val="single"/>
    </w:rPr>
  </w:style>
  <w:style w:type="paragraph" w:styleId="TDC1">
    <w:name w:val="toc 1"/>
    <w:basedOn w:val="Normal"/>
    <w:next w:val="Normal"/>
    <w:autoRedefine/>
    <w:uiPriority w:val="39"/>
    <w:unhideWhenUsed/>
    <w:rsid w:val="006A2740"/>
    <w:pPr>
      <w:tabs>
        <w:tab w:val="right" w:leader="dot" w:pos="8779"/>
      </w:tabs>
      <w:spacing w:after="100"/>
    </w:pPr>
  </w:style>
  <w:style w:type="paragraph" w:styleId="TDC2">
    <w:name w:val="toc 2"/>
    <w:basedOn w:val="Normal"/>
    <w:next w:val="Normal"/>
    <w:autoRedefine/>
    <w:uiPriority w:val="39"/>
    <w:unhideWhenUsed/>
    <w:rsid w:val="006A2740"/>
    <w:pPr>
      <w:spacing w:after="100"/>
      <w:ind w:left="240"/>
    </w:pPr>
  </w:style>
  <w:style w:type="character" w:styleId="Refdecomentario">
    <w:name w:val="annotation reference"/>
    <w:basedOn w:val="Fuentedeprrafopredeter"/>
    <w:uiPriority w:val="99"/>
    <w:semiHidden/>
    <w:unhideWhenUsed/>
    <w:rsid w:val="006A2740"/>
    <w:rPr>
      <w:sz w:val="16"/>
      <w:szCs w:val="16"/>
    </w:rPr>
  </w:style>
  <w:style w:type="paragraph" w:styleId="Textocomentario">
    <w:name w:val="annotation text"/>
    <w:basedOn w:val="Normal"/>
    <w:link w:val="TextocomentarioCar"/>
    <w:uiPriority w:val="99"/>
    <w:semiHidden/>
    <w:unhideWhenUsed/>
    <w:rsid w:val="006A2740"/>
    <w:rPr>
      <w:sz w:val="20"/>
      <w:szCs w:val="20"/>
    </w:rPr>
  </w:style>
  <w:style w:type="character" w:customStyle="1" w:styleId="TextocomentarioCar">
    <w:name w:val="Texto comentario Car"/>
    <w:basedOn w:val="Fuentedeprrafopredeter"/>
    <w:link w:val="Textocomentario"/>
    <w:uiPriority w:val="99"/>
    <w:semiHidden/>
    <w:rsid w:val="006A2740"/>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A2740"/>
    <w:rPr>
      <w:b/>
      <w:bCs/>
    </w:rPr>
  </w:style>
  <w:style w:type="character" w:customStyle="1" w:styleId="AsuntodelcomentarioCar">
    <w:name w:val="Asunto del comentario Car"/>
    <w:basedOn w:val="TextocomentarioCar"/>
    <w:link w:val="Asuntodelcomentario"/>
    <w:uiPriority w:val="99"/>
    <w:semiHidden/>
    <w:rsid w:val="006A2740"/>
    <w:rPr>
      <w:rFonts w:eastAsiaTheme="minorEastAsia"/>
      <w:b/>
      <w:bCs/>
      <w:sz w:val="20"/>
      <w:szCs w:val="20"/>
      <w:lang w:val="es-ES_tradnl" w:eastAsia="es-ES"/>
    </w:rPr>
  </w:style>
  <w:style w:type="character" w:customStyle="1" w:styleId="apple-converted-space">
    <w:name w:val="apple-converted-space"/>
    <w:basedOn w:val="Fuentedeprrafopredeter"/>
    <w:rsid w:val="006A2740"/>
  </w:style>
  <w:style w:type="paragraph" w:styleId="Textoindependiente">
    <w:name w:val="Body Text"/>
    <w:basedOn w:val="Normal"/>
    <w:link w:val="TextoindependienteCar"/>
    <w:rsid w:val="006A2740"/>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6A2740"/>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A2740"/>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A2740"/>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A2740"/>
    <w:rPr>
      <w:vertAlign w:val="superscript"/>
    </w:rPr>
  </w:style>
  <w:style w:type="paragraph" w:customStyle="1" w:styleId="p">
    <w:name w:val="p"/>
    <w:basedOn w:val="Normal"/>
    <w:rsid w:val="006A2740"/>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A2740"/>
  </w:style>
  <w:style w:type="character" w:customStyle="1" w:styleId="a">
    <w:name w:val="a"/>
    <w:basedOn w:val="Fuentedeprrafopredeter"/>
    <w:rsid w:val="006A2740"/>
  </w:style>
  <w:style w:type="character" w:customStyle="1" w:styleId="d">
    <w:name w:val="d"/>
    <w:basedOn w:val="Fuentedeprrafopredeter"/>
    <w:rsid w:val="006A2740"/>
  </w:style>
  <w:style w:type="character" w:customStyle="1" w:styleId="b">
    <w:name w:val="b"/>
    <w:basedOn w:val="Fuentedeprrafopredeter"/>
    <w:rsid w:val="006A2740"/>
  </w:style>
  <w:style w:type="character" w:customStyle="1" w:styleId="g">
    <w:name w:val="g"/>
    <w:basedOn w:val="Fuentedeprrafopredeter"/>
    <w:rsid w:val="006A2740"/>
  </w:style>
  <w:style w:type="table" w:customStyle="1" w:styleId="Tablaconcuadrcula1">
    <w:name w:val="Tabla con cuadrícula1"/>
    <w:basedOn w:val="Tablanormal"/>
    <w:next w:val="Tablaconcuadrcula"/>
    <w:uiPriority w:val="59"/>
    <w:rsid w:val="006A274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A2740"/>
    <w:pPr>
      <w:outlineLvl w:val="9"/>
    </w:pPr>
    <w:rPr>
      <w:lang w:eastAsia="es-MX"/>
    </w:rPr>
  </w:style>
  <w:style w:type="character" w:styleId="Hipervnculovisitado">
    <w:name w:val="FollowedHyperlink"/>
    <w:basedOn w:val="Fuentedeprrafopredeter"/>
    <w:uiPriority w:val="99"/>
    <w:semiHidden/>
    <w:unhideWhenUsed/>
    <w:rsid w:val="006A2740"/>
    <w:rPr>
      <w:color w:val="954F72" w:themeColor="followedHyperlink"/>
      <w:u w:val="single"/>
    </w:rPr>
  </w:style>
  <w:style w:type="paragraph" w:customStyle="1" w:styleId="Default">
    <w:name w:val="Default"/>
    <w:rsid w:val="006A2740"/>
    <w:pPr>
      <w:autoSpaceDE w:val="0"/>
      <w:autoSpaceDN w:val="0"/>
      <w:adjustRightInd w:val="0"/>
      <w:spacing w:after="0" w:line="240" w:lineRule="auto"/>
    </w:pPr>
    <w:rPr>
      <w:rFonts w:ascii="Arial" w:hAnsi="Arial" w:cs="Arial"/>
      <w:color w:val="000000"/>
      <w:sz w:val="24"/>
      <w:szCs w:val="24"/>
    </w:rPr>
  </w:style>
  <w:style w:type="character" w:styleId="nfasissutil">
    <w:name w:val="Subtle Emphasis"/>
    <w:basedOn w:val="Fuentedeprrafopredeter"/>
    <w:uiPriority w:val="19"/>
    <w:qFormat/>
    <w:rsid w:val="006A2740"/>
    <w:rPr>
      <w:i/>
      <w:iCs/>
      <w:color w:val="404040" w:themeColor="text1" w:themeTint="BF"/>
    </w:rPr>
  </w:style>
  <w:style w:type="table" w:customStyle="1" w:styleId="Tablaconcuadrcula12">
    <w:name w:val="Tabla con cuadrícula12"/>
    <w:basedOn w:val="Tablanormal"/>
    <w:next w:val="Tablaconcuadrcula"/>
    <w:uiPriority w:val="59"/>
    <w:rsid w:val="006A274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6A2740"/>
    <w:rPr>
      <w:rFonts w:eastAsia="Cambria"/>
      <w:sz w:val="20"/>
      <w:szCs w:val="20"/>
      <w:lang w:val="es-MX" w:eastAsia="en-US"/>
    </w:rPr>
  </w:style>
  <w:style w:type="character" w:customStyle="1" w:styleId="SinespaciadoCar">
    <w:name w:val="Sin espaciado Car"/>
    <w:aliases w:val="Francesa Car"/>
    <w:link w:val="Sinespaciado"/>
    <w:uiPriority w:val="1"/>
    <w:locked/>
    <w:rsid w:val="006A2740"/>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6A274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A2740"/>
  </w:style>
  <w:style w:type="table" w:customStyle="1" w:styleId="Tablaconcuadrcula2">
    <w:name w:val="Tabla con cuadrícula2"/>
    <w:basedOn w:val="Tablanormal"/>
    <w:next w:val="Tablaconcuadrcula"/>
    <w:uiPriority w:val="39"/>
    <w:rsid w:val="006A27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6137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Acuse(26137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470F3-0EA0-4BB4-A68A-EE90893BE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90</Pages>
  <Words>11654</Words>
  <Characters>64101</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10</cp:revision>
  <cp:lastPrinted>2019-09-17T20:58:00Z</cp:lastPrinted>
  <dcterms:created xsi:type="dcterms:W3CDTF">2019-09-13T00:46:00Z</dcterms:created>
  <dcterms:modified xsi:type="dcterms:W3CDTF">2019-11-20T17:33:00Z</dcterms:modified>
</cp:coreProperties>
</file>