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71390">
        <w:rPr>
          <w:rFonts w:ascii="Palatino Linotype" w:hAnsi="Palatino Linotype" w:cs="Arial"/>
          <w:b/>
          <w:sz w:val="24"/>
          <w:szCs w:val="24"/>
        </w:rPr>
        <w:t>PRIMERA</w:t>
      </w:r>
      <w:r w:rsidRPr="009F71D8">
        <w:rPr>
          <w:rFonts w:ascii="Palatino Linotype" w:hAnsi="Palatino Linotype" w:cs="Arial"/>
          <w:b/>
          <w:sz w:val="24"/>
          <w:szCs w:val="24"/>
        </w:rPr>
        <w:t xml:space="preserve"> SESIÓN ORDINARIA DE </w:t>
      </w:r>
      <w:r w:rsidR="00DC3D07">
        <w:rPr>
          <w:rFonts w:ascii="Palatino Linotype" w:hAnsi="Palatino Linotype" w:cs="Arial"/>
          <w:b/>
          <w:sz w:val="24"/>
          <w:szCs w:val="24"/>
        </w:rPr>
        <w:t>QUINCE DE ENERO DE DOS MIL VEI</w:t>
      </w:r>
      <w:r w:rsidR="00871390">
        <w:rPr>
          <w:rFonts w:ascii="Palatino Linotype" w:hAnsi="Palatino Linotype" w:cs="Arial"/>
          <w:b/>
          <w:sz w:val="24"/>
          <w:szCs w:val="24"/>
        </w:rPr>
        <w:t>NTE</w:t>
      </w:r>
      <w:r w:rsidRPr="009F71D8">
        <w:rPr>
          <w:rFonts w:ascii="Palatino Linotype" w:hAnsi="Palatino Linotype" w:cs="Arial"/>
          <w:b/>
          <w:sz w:val="24"/>
          <w:szCs w:val="24"/>
        </w:rPr>
        <w:t xml:space="preserve">, EN EL RECURSO DE REVISIÓN </w:t>
      </w:r>
      <w:r w:rsidR="00871390">
        <w:rPr>
          <w:rFonts w:ascii="Palatino Linotype" w:hAnsi="Palatino Linotype" w:cs="Arial"/>
          <w:b/>
          <w:bCs/>
          <w:sz w:val="24"/>
          <w:szCs w:val="24"/>
        </w:rPr>
        <w:t>08755</w:t>
      </w:r>
      <w:r w:rsidRPr="009F71D8">
        <w:rPr>
          <w:rFonts w:ascii="Palatino Linotype" w:hAnsi="Palatino Linotype" w:cs="Arial"/>
          <w:b/>
          <w:bCs/>
          <w:sz w:val="24"/>
          <w:szCs w:val="24"/>
        </w:rPr>
        <w:t>/INFOEM/IP/RR/201</w:t>
      </w:r>
      <w:r w:rsidR="00571F3C">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871390">
        <w:rPr>
          <w:rFonts w:ascii="Palatino Linotype" w:hAnsi="Palatino Linotype" w:cs="Arial"/>
          <w:b/>
          <w:bCs/>
          <w:sz w:val="24"/>
          <w:szCs w:val="24"/>
        </w:rPr>
        <w:t>08755</w:t>
      </w:r>
      <w:r w:rsidR="00571F3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9A5EFD">
        <w:rPr>
          <w:rFonts w:ascii="Palatino Linotype" w:hAnsi="Palatino Linotype" w:cs="Arial"/>
          <w:sz w:val="24"/>
          <w:szCs w:val="24"/>
        </w:rPr>
        <w:t>la Comisionada Presidenta</w:t>
      </w:r>
      <w:r w:rsidRPr="009F71D8">
        <w:rPr>
          <w:rFonts w:ascii="Palatino Linotype" w:hAnsi="Palatino Linotype" w:cs="Arial"/>
          <w:sz w:val="24"/>
          <w:szCs w:val="24"/>
        </w:rPr>
        <w:t xml:space="preserve"> </w:t>
      </w:r>
      <w:r w:rsidR="009A5EFD">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121F69" w:rsidRDefault="00222D15" w:rsidP="00121F69">
      <w:pPr>
        <w:spacing w:before="240"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871390" w:rsidRPr="00871390">
        <w:rPr>
          <w:rFonts w:ascii="Palatino Linotype" w:hAnsi="Palatino Linotype" w:cs="Arial"/>
          <w:b/>
          <w:sz w:val="24"/>
          <w:szCs w:val="24"/>
        </w:rPr>
        <w:t>Ayuntamiento de San José del Rincón</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00DD6808">
        <w:rPr>
          <w:rFonts w:ascii="Palatino Linotype" w:hAnsi="Palatino Linotype"/>
          <w:b/>
          <w:sz w:val="24"/>
          <w:szCs w:val="24"/>
        </w:rPr>
        <w:t xml:space="preserve">SUJETO OBLIGADO, </w:t>
      </w:r>
      <w:r w:rsidR="00DD6808">
        <w:rPr>
          <w:rFonts w:ascii="Palatino Linotype" w:hAnsi="Palatino Linotype"/>
          <w:sz w:val="24"/>
          <w:szCs w:val="24"/>
        </w:rPr>
        <w:t>los siguiente:</w:t>
      </w:r>
    </w:p>
    <w:p w:rsidR="00871390" w:rsidRPr="00871390" w:rsidRDefault="00871390" w:rsidP="00871390">
      <w:pPr>
        <w:spacing w:before="240" w:line="240" w:lineRule="auto"/>
        <w:ind w:left="851" w:right="757"/>
        <w:jc w:val="both"/>
        <w:rPr>
          <w:rFonts w:ascii="Palatino Linotype" w:hAnsi="Palatino Linotype" w:cs="Arial"/>
          <w:i/>
        </w:rPr>
      </w:pPr>
      <w:r w:rsidRPr="00871390">
        <w:rPr>
          <w:rFonts w:ascii="Palatino Linotype" w:hAnsi="Palatino Linotype" w:cs="Arial"/>
          <w:i/>
        </w:rPr>
        <w:lastRenderedPageBreak/>
        <w:t>1.</w:t>
      </w:r>
      <w:r w:rsidRPr="00871390">
        <w:rPr>
          <w:rFonts w:ascii="Palatino Linotype" w:hAnsi="Palatino Linotype" w:cs="Arial"/>
          <w:i/>
        </w:rPr>
        <w:tab/>
        <w:t xml:space="preserve">Directorio de todos los servidores públicos actualizado al treinta de octubre de dos mil diecinueve.  </w:t>
      </w:r>
    </w:p>
    <w:p w:rsidR="00871390" w:rsidRPr="00871390" w:rsidRDefault="00871390" w:rsidP="00871390">
      <w:pPr>
        <w:spacing w:before="240" w:line="240" w:lineRule="auto"/>
        <w:ind w:left="851" w:right="757"/>
        <w:jc w:val="both"/>
        <w:rPr>
          <w:rFonts w:ascii="Palatino Linotype" w:hAnsi="Palatino Linotype" w:cs="Arial"/>
          <w:i/>
        </w:rPr>
      </w:pPr>
      <w:r w:rsidRPr="00871390">
        <w:rPr>
          <w:rFonts w:ascii="Palatino Linotype" w:hAnsi="Palatino Linotype" w:cs="Arial"/>
          <w:i/>
        </w:rPr>
        <w:t>2.</w:t>
      </w:r>
      <w:r w:rsidRPr="00871390">
        <w:rPr>
          <w:rFonts w:ascii="Palatino Linotype" w:hAnsi="Palatino Linotype" w:cs="Arial"/>
          <w:i/>
        </w:rPr>
        <w:tab/>
        <w:t xml:space="preserve">Nómina general, correspondiente al periodo comprendido del uno al treinta y uno de octubre de dos mil diecinueve. </w:t>
      </w:r>
    </w:p>
    <w:p w:rsidR="00871390" w:rsidRPr="00871390" w:rsidRDefault="00871390" w:rsidP="00871390">
      <w:pPr>
        <w:spacing w:before="240" w:line="240" w:lineRule="auto"/>
        <w:ind w:left="851" w:right="757"/>
        <w:jc w:val="both"/>
        <w:rPr>
          <w:rFonts w:ascii="Palatino Linotype" w:hAnsi="Palatino Linotype" w:cs="Arial"/>
          <w:i/>
        </w:rPr>
      </w:pPr>
      <w:r w:rsidRPr="00871390">
        <w:rPr>
          <w:rFonts w:ascii="Palatino Linotype" w:hAnsi="Palatino Linotype" w:cs="Arial"/>
          <w:i/>
        </w:rPr>
        <w:t>3.</w:t>
      </w:r>
      <w:r w:rsidRPr="00871390">
        <w:rPr>
          <w:rFonts w:ascii="Palatino Linotype" w:hAnsi="Palatino Linotype" w:cs="Arial"/>
          <w:i/>
        </w:rPr>
        <w:tab/>
        <w:t xml:space="preserve">El o los documentos donde conste el total de plazas vacantes actualizado al treinta de octubre de dos mil diecinueve. </w:t>
      </w:r>
    </w:p>
    <w:p w:rsidR="00871390" w:rsidRPr="00871390" w:rsidRDefault="00871390" w:rsidP="00871390">
      <w:pPr>
        <w:spacing w:before="240" w:line="240" w:lineRule="auto"/>
        <w:ind w:left="851" w:right="757"/>
        <w:jc w:val="both"/>
        <w:rPr>
          <w:rFonts w:ascii="Palatino Linotype" w:hAnsi="Palatino Linotype" w:cs="Arial"/>
          <w:i/>
        </w:rPr>
      </w:pPr>
      <w:r w:rsidRPr="00871390">
        <w:rPr>
          <w:rFonts w:ascii="Palatino Linotype" w:hAnsi="Palatino Linotype" w:cs="Arial"/>
          <w:i/>
        </w:rPr>
        <w:t>4.</w:t>
      </w:r>
      <w:r w:rsidRPr="00871390">
        <w:rPr>
          <w:rFonts w:ascii="Palatino Linotype" w:hAnsi="Palatino Linotype" w:cs="Arial"/>
          <w:i/>
        </w:rPr>
        <w:tab/>
        <w:t xml:space="preserve">El o los documentos donde consten los servicios contratados por honorarios y periodo de contratación actualizado al treinta de octubre de dos mil diecinueve. </w:t>
      </w:r>
    </w:p>
    <w:p w:rsidR="00DD6808" w:rsidRPr="00871390" w:rsidRDefault="00871390" w:rsidP="00871390">
      <w:pPr>
        <w:spacing w:before="240" w:line="240" w:lineRule="auto"/>
        <w:ind w:left="851" w:right="757"/>
        <w:jc w:val="both"/>
        <w:rPr>
          <w:rFonts w:ascii="Palatino Linotype" w:hAnsi="Palatino Linotype" w:cs="Arial"/>
          <w:i/>
        </w:rPr>
      </w:pPr>
      <w:r w:rsidRPr="00871390">
        <w:rPr>
          <w:rFonts w:ascii="Palatino Linotype" w:hAnsi="Palatino Linotype" w:cs="Arial"/>
          <w:i/>
        </w:rPr>
        <w:t>5.</w:t>
      </w:r>
      <w:r w:rsidRPr="00871390">
        <w:rPr>
          <w:rFonts w:ascii="Palatino Linotype" w:hAnsi="Palatino Linotype" w:cs="Arial"/>
          <w:i/>
        </w:rPr>
        <w:tab/>
        <w:t>Recibos de pago por concepto de honorarios del uno al treinta y uno de octubre de dos mil diecinueve.</w:t>
      </w:r>
    </w:p>
    <w:p w:rsidR="00EE0542" w:rsidRPr="00DD6808" w:rsidRDefault="00EE0542" w:rsidP="00DD6808">
      <w:pPr>
        <w:spacing w:before="240" w:line="240" w:lineRule="auto"/>
        <w:ind w:left="851" w:right="757"/>
        <w:jc w:val="both"/>
        <w:rPr>
          <w:rFonts w:ascii="Palatino Linotype" w:hAnsi="Palatino Linotype" w:cs="Arial"/>
          <w:sz w:val="24"/>
        </w:rPr>
      </w:pPr>
    </w:p>
    <w:p w:rsidR="0061553C" w:rsidRPr="0061553C" w:rsidRDefault="00222D15" w:rsidP="00121F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56331">
        <w:rPr>
          <w:rFonts w:ascii="Palatino Linotype" w:hAnsi="Palatino Linotype" w:cs="Arial"/>
          <w:b/>
          <w:sz w:val="24"/>
          <w:szCs w:val="24"/>
        </w:rPr>
        <w:t xml:space="preserve">, </w:t>
      </w:r>
      <w:r w:rsidR="00E56331">
        <w:rPr>
          <w:rFonts w:ascii="Palatino Linotype" w:hAnsi="Palatino Linotype" w:cs="Arial"/>
          <w:sz w:val="24"/>
          <w:szCs w:val="24"/>
        </w:rPr>
        <w:t xml:space="preserve">a través de su respuesta </w:t>
      </w:r>
      <w:r w:rsidR="00357AE8">
        <w:rPr>
          <w:rFonts w:ascii="Palatino Linotype" w:hAnsi="Palatino Linotype" w:cs="Arial"/>
          <w:sz w:val="24"/>
          <w:szCs w:val="24"/>
        </w:rPr>
        <w:t>remitió la liga electrónica</w:t>
      </w:r>
      <w:r w:rsidR="006F49D6">
        <w:rPr>
          <w:rFonts w:ascii="Palatino Linotype" w:hAnsi="Palatino Linotype" w:cs="Arial"/>
          <w:sz w:val="24"/>
          <w:szCs w:val="24"/>
        </w:rPr>
        <w:t xml:space="preserve"> misma que conduce al Portal de Información Pública de Oficio Mexiquense asimismo, remitió un documento con el cual pretendía satisfacer el </w:t>
      </w:r>
      <w:r w:rsidR="00EF0131">
        <w:rPr>
          <w:rFonts w:ascii="Palatino Linotype" w:hAnsi="Palatino Linotype" w:cs="Arial"/>
          <w:sz w:val="24"/>
          <w:szCs w:val="24"/>
        </w:rPr>
        <w:t>requerimiento encaminado al directorio de los servidores públicos y remuneraciones.</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5848D9">
        <w:rPr>
          <w:rFonts w:ascii="Palatino Linotype" w:hAnsi="Palatino Linotype" w:cs="Arial"/>
          <w:sz w:val="24"/>
          <w:szCs w:val="24"/>
        </w:rPr>
        <w:t xml:space="preserve"> respuesta, el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E56331">
        <w:rPr>
          <w:rFonts w:ascii="Palatino Linotype" w:hAnsi="Palatino Linotype" w:cs="Arial"/>
          <w:sz w:val="24"/>
          <w:szCs w:val="24"/>
        </w:rPr>
        <w:t>que no se</w:t>
      </w:r>
      <w:r w:rsidR="00EF0131">
        <w:rPr>
          <w:rFonts w:ascii="Palatino Linotype" w:hAnsi="Palatino Linotype" w:cs="Arial"/>
          <w:sz w:val="24"/>
          <w:szCs w:val="24"/>
        </w:rPr>
        <w:t xml:space="preserve"> hacía entrega de la información completa.</w:t>
      </w:r>
    </w:p>
    <w:p w:rsidR="005E0746" w:rsidRDefault="00222D15" w:rsidP="005E0746">
      <w:pPr>
        <w:pStyle w:val="Sinespaciado"/>
        <w:spacing w:line="360" w:lineRule="auto"/>
        <w:jc w:val="both"/>
        <w:rPr>
          <w:rFonts w:ascii="Palatino Linotype" w:eastAsia="Calibri"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Resolutora determinó </w:t>
      </w:r>
      <w:r w:rsidR="00E56331">
        <w:rPr>
          <w:rFonts w:ascii="Palatino Linotype" w:hAnsi="Palatino Linotype"/>
          <w:b/>
          <w:sz w:val="24"/>
          <w:szCs w:val="24"/>
        </w:rPr>
        <w:t xml:space="preserve">MODIFICAR </w:t>
      </w:r>
      <w:r w:rsidR="00E56331">
        <w:rPr>
          <w:rFonts w:ascii="Palatino Linotype" w:hAnsi="Palatino Linotype"/>
          <w:sz w:val="24"/>
          <w:szCs w:val="24"/>
        </w:rPr>
        <w:t>la respuesta del</w:t>
      </w:r>
      <w:r w:rsidR="005F2664" w:rsidRPr="0022298C">
        <w:rPr>
          <w:rFonts w:ascii="Palatino Linotype" w:eastAsia="Calibri" w:hAnsi="Palatino Linotype" w:cs="Tahoma"/>
          <w:lang w:eastAsia="es-MX"/>
        </w:rPr>
        <w:t xml:space="preserve"> </w:t>
      </w:r>
      <w:r w:rsidR="005F2664" w:rsidRPr="005F2664">
        <w:rPr>
          <w:rFonts w:ascii="Palatino Linotype" w:eastAsia="Calibri" w:hAnsi="Palatino Linotype" w:cs="Tahoma"/>
          <w:b/>
          <w:lang w:eastAsia="es-MX"/>
        </w:rPr>
        <w:t>SUJETO OBLIGADO</w:t>
      </w:r>
      <w:r w:rsidR="005F2664" w:rsidRPr="0022298C">
        <w:rPr>
          <w:rFonts w:ascii="Palatino Linotype" w:eastAsia="Calibri" w:hAnsi="Palatino Linotype" w:cs="Tahoma"/>
          <w:lang w:eastAsia="es-MX"/>
        </w:rPr>
        <w:t>,</w:t>
      </w:r>
      <w:r w:rsidR="00E56331">
        <w:rPr>
          <w:rFonts w:ascii="Palatino Linotype" w:eastAsia="Calibri" w:hAnsi="Palatino Linotype" w:cs="Tahoma"/>
          <w:lang w:eastAsia="es-MX"/>
        </w:rPr>
        <w:t xml:space="preserve"> ordenando </w:t>
      </w:r>
      <w:r w:rsidR="00EF0131">
        <w:rPr>
          <w:rFonts w:ascii="Palatino Linotype" w:hAnsi="Palatino Linotype" w:cs="Arial"/>
          <w:sz w:val="24"/>
          <w:szCs w:val="24"/>
        </w:rPr>
        <w:t xml:space="preserve">realizar una búsqueda exhaustiva y razonable a fin de entregar al </w:t>
      </w:r>
      <w:r w:rsidR="00EF0131">
        <w:rPr>
          <w:rFonts w:ascii="Palatino Linotype" w:hAnsi="Palatino Linotype" w:cs="Arial"/>
          <w:b/>
          <w:sz w:val="24"/>
          <w:szCs w:val="24"/>
        </w:rPr>
        <w:t xml:space="preserve">RECURRENTE, </w:t>
      </w:r>
      <w:r w:rsidR="00EF0131">
        <w:rPr>
          <w:rFonts w:ascii="Palatino Linotype" w:hAnsi="Palatino Linotype" w:cs="Arial"/>
          <w:sz w:val="24"/>
          <w:szCs w:val="24"/>
        </w:rPr>
        <w:t xml:space="preserve">en versión pública de ser procedente, a través del </w:t>
      </w:r>
      <w:r w:rsidR="00EF0131">
        <w:rPr>
          <w:rFonts w:ascii="Palatino Linotype" w:hAnsi="Palatino Linotype" w:cs="Arial"/>
          <w:b/>
          <w:sz w:val="24"/>
          <w:szCs w:val="24"/>
        </w:rPr>
        <w:t xml:space="preserve">SAIMEX, </w:t>
      </w:r>
      <w:r w:rsidR="00EF0131">
        <w:rPr>
          <w:rFonts w:ascii="Palatino Linotype" w:hAnsi="Palatino Linotype" w:cs="Arial"/>
          <w:sz w:val="24"/>
          <w:szCs w:val="24"/>
        </w:rPr>
        <w:t>de lo siguiente:</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E56331" w:rsidRPr="00E56331" w:rsidRDefault="00E56331" w:rsidP="00E56331">
      <w:pPr>
        <w:pStyle w:val="Prrafodelista"/>
        <w:numPr>
          <w:ilvl w:val="0"/>
          <w:numId w:val="16"/>
        </w:numPr>
        <w:spacing w:after="240"/>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Los ingresos recaudados por concepto de multas de tránsito, del periodo comprendido del 01 de enero al 03 de septiembre de 2019.</w:t>
      </w:r>
    </w:p>
    <w:p w:rsidR="00E56331" w:rsidRPr="00E56331" w:rsidRDefault="00E56331" w:rsidP="00E56331">
      <w:pPr>
        <w:pStyle w:val="Prrafodelista"/>
        <w:numPr>
          <w:ilvl w:val="0"/>
          <w:numId w:val="16"/>
        </w:numPr>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De ser procedente, la versión pública del convenio regulatorio para la operación de las empresas prestadoras del servicio de grúas, de la Administración 2019-2021.</w:t>
      </w:r>
    </w:p>
    <w:p w:rsidR="00E56331" w:rsidRPr="00E56331" w:rsidRDefault="00E56331" w:rsidP="00E56331">
      <w:pPr>
        <w:pStyle w:val="Prrafodelista"/>
        <w:numPr>
          <w:ilvl w:val="0"/>
          <w:numId w:val="16"/>
        </w:numPr>
        <w:autoSpaceDE w:val="0"/>
        <w:autoSpaceDN w:val="0"/>
        <w:adjustRightInd w:val="0"/>
        <w:spacing w:after="240"/>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 xml:space="preserve">La normatividad jurídica donde establezca que los oficiales o policías pueden fotografiar y evidenciar a una persona que llega al oficial calificador por una falta administrativa. </w:t>
      </w:r>
    </w:p>
    <w:p w:rsidR="00E56331" w:rsidRPr="00E56331" w:rsidRDefault="00E56331" w:rsidP="00E56331">
      <w:pPr>
        <w:pStyle w:val="Prrafodelista"/>
        <w:numPr>
          <w:ilvl w:val="0"/>
          <w:numId w:val="16"/>
        </w:numPr>
        <w:autoSpaceDE w:val="0"/>
        <w:autoSpaceDN w:val="0"/>
        <w:adjustRightInd w:val="0"/>
        <w:spacing w:after="240"/>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De ser procedente, la versión pública del costo de la elaboración del Bando Municipal y el Plan de Desarrollo de la Administración 2019-2021.</w:t>
      </w:r>
    </w:p>
    <w:p w:rsidR="00E56331" w:rsidRPr="00E56331" w:rsidRDefault="00E56331" w:rsidP="00E56331">
      <w:pPr>
        <w:pStyle w:val="Prrafodelista"/>
        <w:numPr>
          <w:ilvl w:val="0"/>
          <w:numId w:val="16"/>
        </w:numPr>
        <w:autoSpaceDE w:val="0"/>
        <w:autoSpaceDN w:val="0"/>
        <w:adjustRightInd w:val="0"/>
        <w:spacing w:after="240"/>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El nombre de la empresa y/o despacho, que elaboraron el Bando Municipal y el Plan de Desarrollo de la Administración 2019-2021.</w:t>
      </w:r>
    </w:p>
    <w:p w:rsidR="00E56331" w:rsidRPr="00E56331" w:rsidRDefault="00E56331" w:rsidP="00E56331">
      <w:pPr>
        <w:pStyle w:val="Prrafodelista"/>
        <w:numPr>
          <w:ilvl w:val="0"/>
          <w:numId w:val="16"/>
        </w:numPr>
        <w:autoSpaceDE w:val="0"/>
        <w:autoSpaceDN w:val="0"/>
        <w:adjustRightInd w:val="0"/>
        <w:spacing w:after="240"/>
        <w:ind w:right="757"/>
        <w:contextualSpacing w:val="0"/>
        <w:jc w:val="both"/>
        <w:rPr>
          <w:rFonts w:ascii="Palatino Linotype" w:hAnsi="Palatino Linotype"/>
          <w:i/>
          <w:color w:val="000000"/>
          <w:szCs w:val="22"/>
        </w:rPr>
      </w:pPr>
      <w:r w:rsidRPr="00E56331">
        <w:rPr>
          <w:rFonts w:ascii="Palatino Linotype" w:hAnsi="Palatino Linotype"/>
          <w:i/>
          <w:color w:val="000000"/>
          <w:szCs w:val="22"/>
        </w:rPr>
        <w:t>El resultado de la consulta ciudadana, para la expedición del Bando Municipal y el Plan de Desarrollo de la Administración 2019-2021.</w:t>
      </w:r>
    </w:p>
    <w:p w:rsidR="00E56331" w:rsidRDefault="00E56331" w:rsidP="00E56331">
      <w:pPr>
        <w:spacing w:after="0" w:line="240" w:lineRule="auto"/>
        <w:ind w:left="643" w:right="757"/>
        <w:jc w:val="both"/>
        <w:rPr>
          <w:rFonts w:ascii="Palatino Linotype" w:hAnsi="Palatino Linotype" w:cs="Arial"/>
          <w:i/>
        </w:rPr>
      </w:pPr>
      <w:r w:rsidRPr="00E56331">
        <w:rPr>
          <w:rFonts w:ascii="Palatino Linotype" w:hAnsi="Palatino Linotype" w:cs="Arial"/>
          <w:i/>
        </w:rPr>
        <w:t xml:space="preserve">En caso de proceder la entrega de la documentación en versión pública </w:t>
      </w:r>
      <w:r w:rsidRPr="00E56331">
        <w:rPr>
          <w:rFonts w:ascii="Palatino Linotype" w:hAnsi="Palatino Linotype"/>
          <w:i/>
          <w:iCs/>
          <w:color w:val="222222"/>
          <w:shd w:val="clear" w:color="auto" w:fill="FFFFFF"/>
        </w:rPr>
        <w:t xml:space="preserve">que se ordena en los incisos b) y d), del </w:t>
      </w:r>
      <w:r w:rsidRPr="00E56331">
        <w:rPr>
          <w:rFonts w:ascii="Palatino Linotype" w:hAnsi="Palatino Linotype"/>
          <w:b/>
          <w:i/>
          <w:iCs/>
          <w:color w:val="222222"/>
          <w:shd w:val="clear" w:color="auto" w:fill="FFFFFF"/>
        </w:rPr>
        <w:t>RESOLUTIVO SEGUNDO</w:t>
      </w:r>
      <w:r w:rsidRPr="00E56331">
        <w:rPr>
          <w:rFonts w:ascii="Palatino Linotype" w:hAnsi="Palatino Linotype" w:cs="Arial"/>
          <w:i/>
        </w:rPr>
        <w:t>,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E56331" w:rsidRPr="00E56331" w:rsidRDefault="00E56331" w:rsidP="00E56331">
      <w:pPr>
        <w:spacing w:after="0" w:line="240" w:lineRule="auto"/>
        <w:ind w:left="643" w:right="757"/>
        <w:jc w:val="both"/>
        <w:rPr>
          <w:rFonts w:ascii="Palatino Linotype" w:hAnsi="Palatino Linotype" w:cs="Arial"/>
          <w:i/>
        </w:rPr>
      </w:pPr>
    </w:p>
    <w:p w:rsidR="005E0746" w:rsidRPr="00E56331" w:rsidRDefault="00E56331" w:rsidP="000E0A9B">
      <w:pPr>
        <w:pStyle w:val="Sinespaciado"/>
        <w:ind w:left="567" w:right="757"/>
        <w:jc w:val="both"/>
        <w:rPr>
          <w:rFonts w:ascii="Palatino Linotype" w:hAnsi="Palatino Linotype"/>
          <w:i/>
          <w:lang w:val="es-ES_tradnl"/>
        </w:rPr>
      </w:pPr>
      <w:r w:rsidRPr="00E56331">
        <w:rPr>
          <w:rFonts w:ascii="Palatino Linotype" w:hAnsi="Palatino Linotype" w:cs="Arial"/>
          <w:i/>
        </w:rPr>
        <w:t xml:space="preserve">En el supuesto que el </w:t>
      </w:r>
      <w:r w:rsidRPr="00E56331">
        <w:rPr>
          <w:rFonts w:ascii="Palatino Linotype" w:hAnsi="Palatino Linotype" w:cs="Arial"/>
          <w:b/>
          <w:i/>
        </w:rPr>
        <w:t>Sujeto Obligado</w:t>
      </w:r>
      <w:r w:rsidRPr="00E56331">
        <w:rPr>
          <w:rFonts w:ascii="Palatino Linotype" w:hAnsi="Palatino Linotype" w:cs="Arial"/>
          <w:i/>
        </w:rPr>
        <w:t xml:space="preserve"> advierta que, no posee, administra o genera la información que se ordena su entrega señalada en los incisos b), c), d), e) y f), bastará con que lo haga del conocimiento del </w:t>
      </w:r>
      <w:r w:rsidRPr="00E56331">
        <w:rPr>
          <w:rFonts w:ascii="Palatino Linotype" w:hAnsi="Palatino Linotype" w:cs="Arial"/>
          <w:b/>
          <w:i/>
        </w:rPr>
        <w:t>Recurrente</w:t>
      </w:r>
      <w:r w:rsidRPr="00E56331">
        <w:rPr>
          <w:rFonts w:ascii="Palatino Linotype" w:hAnsi="Palatino Linotype" w:cs="Arial"/>
          <w:i/>
        </w:rPr>
        <w:t xml:space="preserve"> al momento en que dé cumplimiento a la presente resolución.</w:t>
      </w:r>
      <w:r w:rsidR="005E0746" w:rsidRPr="00E56331">
        <w:rPr>
          <w:rFonts w:ascii="Palatino Linotype" w:hAnsi="Palatino Linotype"/>
          <w:i/>
          <w:lang w:val="es-ES_tradnl"/>
        </w:rPr>
        <w:t xml:space="preserve"> </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4B7753" w:rsidRPr="00DB79F9"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que </w:t>
      </w:r>
      <w:r w:rsidR="006A112C">
        <w:rPr>
          <w:rFonts w:ascii="Palatino Linotype" w:hAnsi="Palatino Linotype" w:cs="Arial"/>
          <w:sz w:val="24"/>
          <w:szCs w:val="24"/>
        </w:rPr>
        <w:t xml:space="preserve">se haya </w:t>
      </w:r>
      <w:r w:rsidR="00E56331">
        <w:rPr>
          <w:rFonts w:ascii="Palatino Linotype" w:hAnsi="Palatino Linotype" w:cs="Arial"/>
          <w:sz w:val="24"/>
          <w:szCs w:val="24"/>
        </w:rPr>
        <w:t>colmado lo correspondiente a la información</w:t>
      </w:r>
      <w:r w:rsidR="000E0A9B">
        <w:rPr>
          <w:rFonts w:ascii="Palatino Linotype" w:hAnsi="Palatino Linotype" w:cs="Arial"/>
          <w:sz w:val="24"/>
          <w:szCs w:val="24"/>
        </w:rPr>
        <w:t xml:space="preserve"> del directorio de los servidores públicos</w:t>
      </w:r>
      <w:r w:rsidR="00E56331">
        <w:rPr>
          <w:rFonts w:ascii="Palatino Linotype" w:hAnsi="Palatino Linotype" w:cs="Arial"/>
          <w:sz w:val="24"/>
          <w:szCs w:val="24"/>
        </w:rPr>
        <w:t>.</w:t>
      </w:r>
    </w:p>
    <w:p w:rsidR="00432008" w:rsidRPr="000F2733" w:rsidRDefault="006079F6" w:rsidP="000B643B">
      <w:pPr>
        <w:spacing w:before="100" w:beforeAutospacing="1" w:after="100" w:afterAutospacing="1" w:line="360" w:lineRule="auto"/>
        <w:jc w:val="both"/>
        <w:rPr>
          <w:rFonts w:ascii="Palatino Linotype" w:hAnsi="Palatino Linotype" w:cs="Arial"/>
          <w:sz w:val="24"/>
        </w:rPr>
      </w:pPr>
      <w:r>
        <w:rPr>
          <w:rFonts w:ascii="Palatino Linotype" w:hAnsi="Palatino Linotype" w:cs="Arial"/>
          <w:sz w:val="24"/>
        </w:rPr>
        <w:lastRenderedPageBreak/>
        <w:t xml:space="preserve">Lo anterior en razón, de que </w:t>
      </w:r>
      <w:r w:rsidR="00D05AE7">
        <w:rPr>
          <w:rFonts w:ascii="Palatino Linotype" w:hAnsi="Palatino Linotype" w:cs="Arial"/>
          <w:sz w:val="24"/>
        </w:rPr>
        <w:t xml:space="preserve">como fue señalado dentro de la solicitud de información se requiere el directorio de los servidores públicos adscritos al Ayuntamiento de San José del </w:t>
      </w:r>
      <w:r w:rsidR="000F2733">
        <w:rPr>
          <w:rFonts w:ascii="Palatino Linotype" w:hAnsi="Palatino Linotype" w:cs="Arial"/>
          <w:sz w:val="24"/>
        </w:rPr>
        <w:t>Rincón;</w:t>
      </w:r>
      <w:r w:rsidR="007F36C7">
        <w:rPr>
          <w:rFonts w:ascii="Palatino Linotype" w:hAnsi="Palatino Linotype" w:cs="Arial"/>
          <w:sz w:val="24"/>
        </w:rPr>
        <w:t xml:space="preserve"> a lo que </w:t>
      </w:r>
      <w:r w:rsidR="007F36C7" w:rsidRPr="007F36C7">
        <w:rPr>
          <w:rFonts w:ascii="Palatino Linotype" w:hAnsi="Palatino Linotype" w:cs="Arial"/>
          <w:b/>
          <w:sz w:val="24"/>
        </w:rPr>
        <w:t>EL SUJETO OBLIGADO</w:t>
      </w:r>
      <w:r w:rsidR="007F36C7">
        <w:rPr>
          <w:rFonts w:ascii="Palatino Linotype" w:hAnsi="Palatino Linotype" w:cs="Arial"/>
          <w:b/>
          <w:sz w:val="24"/>
        </w:rPr>
        <w:t xml:space="preserve">, </w:t>
      </w:r>
      <w:r w:rsidR="007F36C7">
        <w:rPr>
          <w:rFonts w:ascii="Palatino Linotype" w:hAnsi="Palatino Linotype" w:cs="Arial"/>
          <w:sz w:val="24"/>
        </w:rPr>
        <w:t>únicame</w:t>
      </w:r>
      <w:r w:rsidR="005848D9">
        <w:rPr>
          <w:rFonts w:ascii="Palatino Linotype" w:hAnsi="Palatino Linotype" w:cs="Arial"/>
          <w:sz w:val="24"/>
        </w:rPr>
        <w:t xml:space="preserve">nte se limitó a </w:t>
      </w:r>
      <w:r w:rsidR="000F2733">
        <w:rPr>
          <w:rFonts w:ascii="Palatino Linotype" w:hAnsi="Palatino Linotype" w:cs="Arial"/>
          <w:sz w:val="24"/>
        </w:rPr>
        <w:t xml:space="preserve">remitir un documento </w:t>
      </w:r>
      <w:r w:rsidR="000F2733">
        <w:rPr>
          <w:rFonts w:ascii="Palatino Linotype" w:hAnsi="Palatino Linotype" w:cs="Arial"/>
          <w:i/>
          <w:sz w:val="24"/>
        </w:rPr>
        <w:t xml:space="preserve">ad hoc, </w:t>
      </w:r>
      <w:r w:rsidR="000F2733">
        <w:rPr>
          <w:rFonts w:ascii="Palatino Linotype" w:hAnsi="Palatino Linotype" w:cs="Arial"/>
          <w:sz w:val="24"/>
        </w:rPr>
        <w:t>en donde únicamente contenía el número de empleado, categoría, nombre, centro de trabajo, departamento y remuneraciones, dejando de lado puntos esenciales con los que debe cumplir dicho documento</w:t>
      </w:r>
      <w:r w:rsidR="000D2689">
        <w:rPr>
          <w:rFonts w:ascii="Palatino Linotype" w:hAnsi="Palatino Linotype" w:cs="Arial"/>
          <w:sz w:val="24"/>
        </w:rPr>
        <w:t>.</w:t>
      </w:r>
    </w:p>
    <w:p w:rsidR="0051793A" w:rsidRDefault="00CB35F6" w:rsidP="00432008">
      <w:pPr>
        <w:spacing w:before="100" w:beforeAutospacing="1" w:after="100" w:afterAutospacing="1" w:line="360" w:lineRule="auto"/>
        <w:ind w:right="49"/>
        <w:jc w:val="both"/>
        <w:rPr>
          <w:rFonts w:ascii="Palatino Linotype" w:eastAsia="Calibri" w:hAnsi="Palatino Linotype"/>
          <w:sz w:val="24"/>
          <w:szCs w:val="24"/>
        </w:rPr>
      </w:pPr>
      <w:r>
        <w:rPr>
          <w:rFonts w:ascii="Palatino Linotype" w:eastAsia="Calibri" w:hAnsi="Palatino Linotype"/>
          <w:sz w:val="24"/>
          <w:szCs w:val="24"/>
        </w:rPr>
        <w:t xml:space="preserve">Es por ello que </w:t>
      </w:r>
      <w:r w:rsidR="00AE1C6B">
        <w:rPr>
          <w:rFonts w:ascii="Palatino Linotype" w:eastAsia="Calibri" w:hAnsi="Palatino Linotype"/>
          <w:sz w:val="24"/>
          <w:szCs w:val="24"/>
        </w:rPr>
        <w:t xml:space="preserve">se considera que </w:t>
      </w:r>
      <w:r w:rsidR="00432008">
        <w:rPr>
          <w:rFonts w:ascii="Palatino Linotype" w:eastAsia="Calibri" w:hAnsi="Palatino Linotype"/>
          <w:sz w:val="24"/>
          <w:szCs w:val="24"/>
        </w:rPr>
        <w:t xml:space="preserve">en aras de privilegiar el derecho de acceso a la información pública accionado por el particular, se debió considerar el ordenar </w:t>
      </w:r>
      <w:r w:rsidR="000D2689">
        <w:rPr>
          <w:rFonts w:ascii="Palatino Linotype" w:eastAsia="Calibri" w:hAnsi="Palatino Linotype"/>
          <w:sz w:val="24"/>
          <w:szCs w:val="24"/>
        </w:rPr>
        <w:t xml:space="preserve">nuevamente lo solicitado en el numeral 1 de la solicitud, toda vez que se advierte conforme al artículo 92 fracción VII que la información remitida por </w:t>
      </w:r>
      <w:r w:rsidR="000D2689" w:rsidRPr="000D2689">
        <w:rPr>
          <w:rFonts w:ascii="Palatino Linotype" w:eastAsia="Calibri" w:hAnsi="Palatino Linotype"/>
          <w:b/>
          <w:sz w:val="24"/>
          <w:szCs w:val="24"/>
        </w:rPr>
        <w:t>EL SUJETO OBLIGADO</w:t>
      </w:r>
      <w:r w:rsidR="007F36C7">
        <w:rPr>
          <w:rFonts w:ascii="Palatino Linotype" w:eastAsia="Calibri" w:hAnsi="Palatino Linotype"/>
          <w:sz w:val="24"/>
          <w:szCs w:val="24"/>
        </w:rPr>
        <w:t xml:space="preserve"> </w:t>
      </w:r>
      <w:r w:rsidR="000D2689">
        <w:rPr>
          <w:rFonts w:ascii="Palatino Linotype" w:eastAsia="Calibri" w:hAnsi="Palatino Linotype"/>
          <w:sz w:val="24"/>
          <w:szCs w:val="24"/>
        </w:rPr>
        <w:t>mediante respuesta carece de características importantes para poder satisfacer el derecho de acceso a la informaci</w:t>
      </w:r>
      <w:r w:rsidR="0051793A">
        <w:rPr>
          <w:rFonts w:ascii="Palatino Linotype" w:eastAsia="Calibri" w:hAnsi="Palatino Linotype"/>
          <w:sz w:val="24"/>
          <w:szCs w:val="24"/>
        </w:rPr>
        <w:t>ón accionado por el particular.</w:t>
      </w:r>
    </w:p>
    <w:p w:rsidR="0051793A" w:rsidRPr="005B2732" w:rsidRDefault="0051793A" w:rsidP="0051793A">
      <w:pPr>
        <w:pStyle w:val="Sinespaciado"/>
        <w:spacing w:before="240" w:after="160"/>
        <w:ind w:left="851" w:right="851"/>
        <w:jc w:val="both"/>
        <w:rPr>
          <w:rFonts w:ascii="Palatino Linotype" w:hAnsi="Palatino Linotype"/>
          <w:i/>
        </w:rPr>
      </w:pPr>
      <w:r w:rsidRPr="005B2732">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1793A" w:rsidRPr="005B2732" w:rsidRDefault="0051793A" w:rsidP="0051793A">
      <w:pPr>
        <w:pStyle w:val="Sinespaciado"/>
        <w:spacing w:before="240" w:after="160"/>
        <w:ind w:left="851" w:right="851"/>
        <w:jc w:val="both"/>
        <w:rPr>
          <w:rFonts w:ascii="Palatino Linotype" w:hAnsi="Palatino Linotype"/>
          <w:i/>
        </w:rPr>
      </w:pPr>
      <w:r w:rsidRPr="005B2732">
        <w:rPr>
          <w:rFonts w:ascii="Palatino Linotype" w:hAnsi="Palatino Linotype"/>
          <w:i/>
        </w:rPr>
        <w:t>(…)</w:t>
      </w:r>
    </w:p>
    <w:p w:rsidR="0051793A" w:rsidRPr="005B2732" w:rsidRDefault="0051793A" w:rsidP="0051793A">
      <w:pPr>
        <w:pStyle w:val="Sinespaciado"/>
        <w:spacing w:before="240" w:after="160"/>
        <w:ind w:left="851" w:right="851"/>
        <w:jc w:val="both"/>
        <w:rPr>
          <w:rFonts w:ascii="Palatino Linotype" w:hAnsi="Palatino Linotype"/>
          <w:i/>
        </w:rPr>
      </w:pPr>
      <w:r w:rsidRPr="005B2732">
        <w:rPr>
          <w:rFonts w:ascii="Palatino Linotype" w:hAnsi="Palatino Linotype"/>
          <w:b/>
          <w:i/>
          <w:u w:val="single"/>
        </w:rPr>
        <w:t>VII. El directorio de todos los servidores públicos,</w:t>
      </w:r>
      <w:r w:rsidRPr="005B2732">
        <w:rPr>
          <w:rFonts w:ascii="Palatino Linotype" w:hAnsi="Palatino Linotype"/>
          <w:i/>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51793A" w:rsidRDefault="0051793A" w:rsidP="0051793A">
      <w:pPr>
        <w:spacing w:before="100" w:beforeAutospacing="1" w:after="100" w:afterAutospacing="1" w:line="240" w:lineRule="auto"/>
        <w:ind w:left="851" w:right="757"/>
        <w:jc w:val="both"/>
        <w:rPr>
          <w:rFonts w:ascii="Palatino Linotype" w:eastAsia="Calibri" w:hAnsi="Palatino Linotype"/>
          <w:sz w:val="24"/>
          <w:szCs w:val="24"/>
        </w:rPr>
      </w:pPr>
      <w:r w:rsidRPr="005B2732">
        <w:rPr>
          <w:rFonts w:ascii="Palatino Linotype"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51793A" w:rsidRDefault="0051793A" w:rsidP="00432008">
      <w:pPr>
        <w:spacing w:before="100" w:beforeAutospacing="1" w:after="100" w:afterAutospacing="1" w:line="360" w:lineRule="auto"/>
        <w:ind w:right="49"/>
        <w:jc w:val="both"/>
        <w:rPr>
          <w:rFonts w:ascii="Palatino Linotype" w:eastAsia="Calibri" w:hAnsi="Palatino Linotype"/>
          <w:sz w:val="24"/>
          <w:szCs w:val="24"/>
        </w:rPr>
      </w:pPr>
    </w:p>
    <w:p w:rsidR="00C76FD9" w:rsidRPr="007F36C7" w:rsidRDefault="0051793A" w:rsidP="00432008">
      <w:pPr>
        <w:spacing w:before="100" w:beforeAutospacing="1" w:after="100" w:afterAutospacing="1" w:line="360" w:lineRule="auto"/>
        <w:ind w:right="49"/>
        <w:jc w:val="both"/>
        <w:rPr>
          <w:rFonts w:ascii="Palatino Linotype" w:eastAsia="Calibri" w:hAnsi="Palatino Linotype"/>
          <w:sz w:val="24"/>
          <w:szCs w:val="24"/>
        </w:rPr>
      </w:pPr>
      <w:r>
        <w:rPr>
          <w:rFonts w:ascii="Palatino Linotype" w:eastAsia="Calibri" w:hAnsi="Palatino Linotype"/>
          <w:sz w:val="24"/>
          <w:szCs w:val="24"/>
        </w:rPr>
        <w:t xml:space="preserve">Es del numeral anterior, que podemos observar que la respuesta del </w:t>
      </w:r>
      <w:r w:rsidRPr="0051793A">
        <w:rPr>
          <w:rFonts w:ascii="Palatino Linotype" w:eastAsia="Calibri" w:hAnsi="Palatino Linotype"/>
          <w:b/>
          <w:sz w:val="24"/>
          <w:szCs w:val="24"/>
        </w:rPr>
        <w:t>SUJETO OBLIGADO</w:t>
      </w:r>
      <w:r>
        <w:rPr>
          <w:rFonts w:ascii="Palatino Linotype" w:eastAsia="Calibri" w:hAnsi="Palatino Linotype"/>
          <w:sz w:val="24"/>
          <w:szCs w:val="24"/>
        </w:rPr>
        <w:t xml:space="preserve">, </w:t>
      </w:r>
      <w:r w:rsidRPr="0051793A">
        <w:rPr>
          <w:rFonts w:ascii="Palatino Linotype" w:eastAsia="Calibri" w:hAnsi="Palatino Linotype"/>
          <w:sz w:val="24"/>
          <w:szCs w:val="24"/>
        </w:rPr>
        <w:t>no contiene</w:t>
      </w:r>
      <w:r>
        <w:rPr>
          <w:rFonts w:ascii="Palatino Linotype" w:eastAsia="Calibri" w:hAnsi="Palatino Linotype"/>
          <w:sz w:val="24"/>
          <w:szCs w:val="24"/>
        </w:rPr>
        <w:t xml:space="preserve"> correo electrónico oficial, domicilio para recibir correspondencia y la fecha de alta en el cargo, es por ello que la que suscribe considera que es una </w:t>
      </w:r>
      <w:r w:rsidR="007F36C7">
        <w:rPr>
          <w:rFonts w:ascii="Palatino Linotype" w:eastAsia="Calibri" w:hAnsi="Palatino Linotype"/>
          <w:sz w:val="24"/>
          <w:szCs w:val="24"/>
        </w:rPr>
        <w:t>acción que contravine con los principios</w:t>
      </w:r>
      <w:r w:rsidR="00DE19BE">
        <w:rPr>
          <w:rFonts w:ascii="Palatino Linotype" w:eastAsia="Calibri" w:hAnsi="Palatino Linotype"/>
          <w:sz w:val="24"/>
          <w:szCs w:val="24"/>
        </w:rPr>
        <w:t xml:space="preserve"> en los que se debe basar al momento de emitir una resolución, tales como lo son el principio de exhaustividad y congruencia.</w:t>
      </w:r>
    </w:p>
    <w:p w:rsidR="00267DAC" w:rsidRPr="00C76FD9" w:rsidRDefault="00C76FD9" w:rsidP="00267DAC">
      <w:pPr>
        <w:autoSpaceDE w:val="0"/>
        <w:autoSpaceDN w:val="0"/>
        <w:adjustRightInd w:val="0"/>
        <w:spacing w:before="100" w:beforeAutospacing="1" w:after="100" w:afterAutospacing="1" w:line="360" w:lineRule="auto"/>
        <w:ind w:right="49"/>
        <w:jc w:val="both"/>
        <w:rPr>
          <w:rFonts w:ascii="Palatino Linotype" w:hAnsi="Palatino Linotype" w:cs="Arial"/>
          <w:sz w:val="24"/>
          <w:szCs w:val="24"/>
        </w:rPr>
      </w:pPr>
      <w:r w:rsidRPr="00C76FD9">
        <w:rPr>
          <w:rFonts w:ascii="Palatino Linotype" w:hAnsi="Palatino Linotype" w:cs="Arial"/>
          <w:sz w:val="24"/>
          <w:szCs w:val="24"/>
        </w:rPr>
        <w:t>Asimismo,</w:t>
      </w:r>
      <w:r w:rsidR="00267DAC" w:rsidRPr="00C76FD9">
        <w:rPr>
          <w:rFonts w:ascii="Palatino Linotype" w:hAnsi="Palatino Linotype" w:cs="Arial"/>
          <w:sz w:val="24"/>
          <w:szCs w:val="24"/>
        </w:rPr>
        <w:t xml:space="preserve"> se sustenta con el criterio jurisprudencial emitido por la Suprema Corte de Justicia de la nación, siguiente</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Época: Décima Época </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Registro: 2005968 </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Instancia: Tribunales Colegiados de Circuito </w:t>
      </w:r>
    </w:p>
    <w:p w:rsidR="00267DAC" w:rsidRPr="00D53E35" w:rsidRDefault="00267DAC" w:rsidP="00267DAC">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Tipo de Tesis: Aislada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Fuente: Gaceta del Semanario Judicial de la Federación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Libro 4, Marzo de 2014, Tomo II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Materia(s): Constitucional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Tesis: I.4o.C.2 K (10a.) </w:t>
      </w:r>
    </w:p>
    <w:p w:rsidR="00267DAC" w:rsidRPr="00D53E35" w:rsidRDefault="00267DAC" w:rsidP="00C76FD9">
      <w:pPr>
        <w:autoSpaceDE w:val="0"/>
        <w:autoSpaceDN w:val="0"/>
        <w:adjustRightInd w:val="0"/>
        <w:spacing w:line="240" w:lineRule="auto"/>
        <w:ind w:left="709" w:right="757"/>
        <w:jc w:val="both"/>
        <w:rPr>
          <w:rFonts w:ascii="Palatino Linotype" w:hAnsi="Palatino Linotype" w:cs="Arial"/>
          <w:i/>
        </w:rPr>
      </w:pPr>
      <w:r w:rsidRPr="00D53E35">
        <w:rPr>
          <w:rFonts w:ascii="Palatino Linotype" w:hAnsi="Palatino Linotype" w:cs="Arial"/>
          <w:i/>
        </w:rPr>
        <w:t xml:space="preserve">Página: 1772 </w:t>
      </w:r>
    </w:p>
    <w:p w:rsidR="00267DAC" w:rsidRPr="00D53E35" w:rsidRDefault="00267DAC" w:rsidP="000D3E21">
      <w:pPr>
        <w:autoSpaceDE w:val="0"/>
        <w:autoSpaceDN w:val="0"/>
        <w:adjustRightInd w:val="0"/>
        <w:spacing w:before="100" w:beforeAutospacing="1" w:line="240" w:lineRule="auto"/>
        <w:ind w:left="709" w:right="757"/>
        <w:jc w:val="both"/>
        <w:rPr>
          <w:rFonts w:ascii="Palatino Linotype" w:hAnsi="Palatino Linotype" w:cs="Arial"/>
          <w:i/>
        </w:rPr>
      </w:pPr>
      <w:r w:rsidRPr="00D53E35">
        <w:rPr>
          <w:rFonts w:ascii="Palatino Linotype" w:hAnsi="Palatino Linotype" w:cs="Arial"/>
          <w:b/>
          <w:i/>
        </w:rPr>
        <w:t>EXHAUSTIVIDAD</w:t>
      </w:r>
      <w:r w:rsidRPr="00D53E35">
        <w:rPr>
          <w:rFonts w:ascii="Palatino Linotype" w:hAnsi="Palatino Linotype" w:cs="Arial"/>
          <w:i/>
        </w:rPr>
        <w:t>. SU EXIGENCIA IMPLICA LA MAYOR CALIDAD POSIBLE DE LAS SENTENCIAS, PARA CUMPLIR CON LA PLENITUD EXIGIDA POR EL ARTÍCULO 17 CONSTITUCIONAL.</w:t>
      </w:r>
    </w:p>
    <w:p w:rsidR="00267DAC" w:rsidRPr="00D53E35" w:rsidRDefault="00267DAC" w:rsidP="000D3E21">
      <w:pPr>
        <w:autoSpaceDE w:val="0"/>
        <w:autoSpaceDN w:val="0"/>
        <w:adjustRightInd w:val="0"/>
        <w:spacing w:before="100" w:beforeAutospacing="1" w:after="100" w:afterAutospacing="1" w:line="240" w:lineRule="auto"/>
        <w:ind w:left="709" w:right="757"/>
        <w:jc w:val="both"/>
        <w:rPr>
          <w:rFonts w:ascii="Palatino Linotype" w:hAnsi="Palatino Linotype" w:cs="Arial"/>
          <w:i/>
        </w:rPr>
      </w:pPr>
      <w:r w:rsidRPr="00D53E35">
        <w:rPr>
          <w:rFonts w:ascii="Palatino Linotype" w:hAnsi="Palatino Linotype" w:cs="Arial"/>
          <w:i/>
        </w:rPr>
        <w:t>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267DAC" w:rsidRPr="00D53E35" w:rsidRDefault="00267DAC" w:rsidP="000D3E21">
      <w:pPr>
        <w:autoSpaceDE w:val="0"/>
        <w:autoSpaceDN w:val="0"/>
        <w:adjustRightInd w:val="0"/>
        <w:spacing w:before="100" w:beforeAutospacing="1" w:after="100" w:afterAutospacing="1" w:line="240" w:lineRule="auto"/>
        <w:ind w:left="709" w:right="757"/>
        <w:jc w:val="both"/>
        <w:rPr>
          <w:rFonts w:ascii="Palatino Linotype" w:hAnsi="Palatino Linotype" w:cs="Arial"/>
          <w:i/>
        </w:rPr>
      </w:pPr>
      <w:r w:rsidRPr="00D53E35">
        <w:rPr>
          <w:rFonts w:ascii="Palatino Linotype" w:hAnsi="Palatino Linotype" w:cs="Arial"/>
          <w:i/>
        </w:rPr>
        <w:t>CUARTO TRIBUNAL COLEGIADO EN MATERIA CIVIL DEL PRIMER CIRCUITO.</w:t>
      </w:r>
    </w:p>
    <w:p w:rsidR="00267DAC" w:rsidRPr="00D53E35" w:rsidRDefault="00267DAC" w:rsidP="000D3E21">
      <w:pPr>
        <w:autoSpaceDE w:val="0"/>
        <w:autoSpaceDN w:val="0"/>
        <w:adjustRightInd w:val="0"/>
        <w:spacing w:before="100" w:beforeAutospacing="1" w:after="100" w:afterAutospacing="1" w:line="240" w:lineRule="auto"/>
        <w:ind w:left="709" w:right="757"/>
        <w:jc w:val="both"/>
        <w:rPr>
          <w:rFonts w:ascii="Palatino Linotype" w:hAnsi="Palatino Linotype" w:cs="Arial"/>
          <w:i/>
        </w:rPr>
      </w:pPr>
      <w:r w:rsidRPr="00D53E35">
        <w:rPr>
          <w:rFonts w:ascii="Palatino Linotype" w:hAnsi="Palatino Linotype" w:cs="Arial"/>
          <w:i/>
        </w:rPr>
        <w:t>Amparo directo 401/2013. Carlos Sánchez Castillo. 20 de septiembre de 2013. Unanimidad de votos. Ponente: Leonel Castillo González. Secretaria: Norma Leonor Morales González.</w:t>
      </w:r>
    </w:p>
    <w:p w:rsidR="00267DAC" w:rsidRDefault="00267DAC" w:rsidP="000D3E21">
      <w:pPr>
        <w:autoSpaceDE w:val="0"/>
        <w:autoSpaceDN w:val="0"/>
        <w:adjustRightInd w:val="0"/>
        <w:spacing w:before="100" w:beforeAutospacing="1" w:after="100" w:afterAutospacing="1" w:line="240" w:lineRule="auto"/>
        <w:ind w:left="709" w:right="757"/>
        <w:jc w:val="both"/>
        <w:rPr>
          <w:rFonts w:ascii="Palatino Linotype" w:hAnsi="Palatino Linotype" w:cs="Arial"/>
          <w:i/>
        </w:rPr>
      </w:pPr>
      <w:r w:rsidRPr="00D53E35">
        <w:rPr>
          <w:rFonts w:ascii="Palatino Linotype" w:hAnsi="Palatino Linotype" w:cs="Arial"/>
          <w:i/>
        </w:rPr>
        <w:t>Esta tesis se publicó el viernes 21 de marzo de 2014 a las 11:03 horas en el Semanario Judicial de la Federación.</w:t>
      </w:r>
    </w:p>
    <w:p w:rsidR="00432008" w:rsidRPr="00267DAC" w:rsidRDefault="00432008" w:rsidP="000D3E21">
      <w:pPr>
        <w:autoSpaceDE w:val="0"/>
        <w:autoSpaceDN w:val="0"/>
        <w:adjustRightInd w:val="0"/>
        <w:spacing w:before="100" w:beforeAutospacing="1" w:after="100" w:afterAutospacing="1" w:line="240" w:lineRule="auto"/>
        <w:ind w:left="709" w:right="757"/>
        <w:jc w:val="both"/>
        <w:rPr>
          <w:rFonts w:ascii="Palatino Linotype" w:hAnsi="Palatino Linotype" w:cs="Arial"/>
          <w:i/>
        </w:rPr>
      </w:pPr>
    </w:p>
    <w:p w:rsidR="00267DAC" w:rsidRPr="00C76FD9" w:rsidRDefault="00267DAC" w:rsidP="00267DAC">
      <w:pPr>
        <w:spacing w:before="100" w:beforeAutospacing="1" w:after="100" w:afterAutospacing="1" w:line="360" w:lineRule="auto"/>
        <w:jc w:val="both"/>
        <w:rPr>
          <w:rFonts w:ascii="Palatino Linotype" w:hAnsi="Palatino Linotype" w:cs="Arial"/>
          <w:sz w:val="24"/>
          <w:szCs w:val="24"/>
        </w:rPr>
      </w:pPr>
      <w:r w:rsidRPr="00C76FD9">
        <w:rPr>
          <w:rFonts w:ascii="Palatino Linotype" w:hAnsi="Palatino Linotype"/>
          <w:sz w:val="24"/>
          <w:szCs w:val="24"/>
        </w:rPr>
        <w:t xml:space="preserve">A fin de robustecer lo expuesto, conviene citar </w:t>
      </w:r>
      <w:r w:rsidRPr="00C76FD9">
        <w:rPr>
          <w:rFonts w:ascii="Palatino Linotype" w:hAnsi="Palatino Linotype" w:cs="Segoe UI"/>
          <w:sz w:val="24"/>
          <w:szCs w:val="24"/>
        </w:rPr>
        <w:t xml:space="preserve">el criterio orientador </w:t>
      </w:r>
      <w:r w:rsidRPr="00C76FD9">
        <w:rPr>
          <w:rFonts w:ascii="Palatino Linotype" w:hAnsi="Palatino Linotype"/>
          <w:sz w:val="24"/>
          <w:szCs w:val="24"/>
          <w:lang w:eastAsia="es-MX"/>
        </w:rPr>
        <w:t>002/2017 del Instituto Nacional de Acceso a la Información y Protección de Datos (INAI),</w:t>
      </w:r>
      <w:r w:rsidRPr="00C76FD9">
        <w:rPr>
          <w:rFonts w:ascii="Palatino Linotype" w:hAnsi="Palatino Linotype" w:cs="Arial"/>
          <w:sz w:val="24"/>
          <w:szCs w:val="24"/>
        </w:rPr>
        <w:t xml:space="preserve"> cuyo tenor es el siguiente:</w:t>
      </w:r>
    </w:p>
    <w:p w:rsidR="00267DAC" w:rsidRPr="00D621C2" w:rsidRDefault="00267DAC" w:rsidP="000D3E21">
      <w:pPr>
        <w:spacing w:before="100" w:beforeAutospacing="1" w:after="100" w:afterAutospacing="1" w:line="240" w:lineRule="auto"/>
        <w:ind w:left="851" w:right="899"/>
        <w:jc w:val="both"/>
        <w:rPr>
          <w:rFonts w:ascii="Palatino Linotype" w:hAnsi="Palatino Linotype" w:cs="Arial"/>
          <w:b/>
          <w:bCs/>
          <w:i/>
        </w:rPr>
      </w:pPr>
      <w:r w:rsidRPr="006807DD">
        <w:rPr>
          <w:rFonts w:ascii="Palatino Linotype" w:hAnsi="Palatino Linotype" w:cs="Arial"/>
          <w:b/>
          <w:bCs/>
          <w:i/>
        </w:rPr>
        <w:t>“Congruencia y exhaustividad.</w:t>
      </w:r>
      <w:r w:rsidRPr="006807DD">
        <w:rPr>
          <w:rFonts w:ascii="Palatino Linotype" w:hAnsi="Palatino Linotype" w:cs="Arial"/>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rPr>
        <w:t>la congruencia implica que exista concordancia entre el requerimiento formulado por el particular y la respuesta proporcionada por el sujeto obligado;</w:t>
      </w:r>
      <w:r w:rsidRPr="006807DD">
        <w:rPr>
          <w:rFonts w:ascii="Palatino Linotype" w:hAnsi="Palatino Linotype" w:cs="Arial"/>
          <w:bCs/>
          <w:i/>
        </w:rPr>
        <w:t xml:space="preserve"> mientras que </w:t>
      </w:r>
      <w:r w:rsidRPr="00D621C2">
        <w:rPr>
          <w:rFonts w:ascii="Palatino Linotype" w:hAnsi="Palatino Linotype" w:cs="Arial"/>
          <w:b/>
          <w:bCs/>
          <w:i/>
        </w:rPr>
        <w:t xml:space="preserve">la exhaustividad significa que dicha respuesta se refiera expresamente a cada uno de los puntos solicitados. </w:t>
      </w:r>
      <w:r w:rsidRPr="006807DD">
        <w:rPr>
          <w:rFonts w:ascii="Palatino Linotype" w:hAnsi="Palatino Linotype" w:cs="Arial"/>
          <w:bCs/>
          <w:i/>
        </w:rPr>
        <w:t xml:space="preserve">Por lo anterior, los sujetos obligados cumplirán con los principios de congruencia y exhaustividad, </w:t>
      </w:r>
      <w:r w:rsidRPr="00D621C2">
        <w:rPr>
          <w:rFonts w:ascii="Palatino Linotype" w:hAnsi="Palatino Linotype" w:cs="Arial"/>
          <w:b/>
          <w:bCs/>
          <w:i/>
        </w:rPr>
        <w:t>cuando las respuestas que emitan guarden una relación lógica con lo solicitado y atiendan de manera puntual y expresa, cada uno de los contenidos de información.</w:t>
      </w:r>
    </w:p>
    <w:p w:rsidR="00267DAC" w:rsidRDefault="00267DAC" w:rsidP="000D3E21">
      <w:pPr>
        <w:spacing w:before="100" w:beforeAutospacing="1" w:after="100" w:afterAutospacing="1" w:line="240" w:lineRule="auto"/>
        <w:ind w:left="851" w:right="899"/>
        <w:jc w:val="both"/>
        <w:rPr>
          <w:rFonts w:ascii="Palatino Linotype" w:hAnsi="Palatino Linotype" w:cs="Arial"/>
        </w:rPr>
      </w:pPr>
      <w:r w:rsidRPr="006807DD">
        <w:rPr>
          <w:rFonts w:ascii="Palatino Linotype" w:hAnsi="Palatino Linotype" w:cs="Arial"/>
          <w:bCs/>
          <w:i/>
        </w:rPr>
        <w:t xml:space="preserve">Resoluciones: </w:t>
      </w:r>
      <w:r w:rsidRPr="006807DD">
        <w:rPr>
          <w:rFonts w:ascii="Palatino Linotype" w:hAnsi="Palatino Linotype" w:cs="Arial"/>
          <w:bCs/>
          <w:i/>
        </w:rPr>
        <w:sym w:font="Symbol" w:char="F0B7"/>
      </w:r>
      <w:r w:rsidRPr="006807DD">
        <w:rPr>
          <w:rFonts w:ascii="Palatino Linotype" w:hAnsi="Palatino Linotype" w:cs="Arial"/>
          <w:bCs/>
          <w:i/>
        </w:rPr>
        <w:t xml:space="preserve"> RRA 0003/16. Comisión Nacional de las Zonas Áridas. 29 de junio de 2016. Por unanimidad. Comisionado Ponente Oscar Mauricio Guerra Ford. </w:t>
      </w:r>
      <w:r w:rsidRPr="006807DD">
        <w:rPr>
          <w:rFonts w:ascii="Palatino Linotype" w:hAnsi="Palatino Linotype" w:cs="Arial"/>
          <w:bCs/>
          <w:i/>
        </w:rPr>
        <w:sym w:font="Symbol" w:char="F0B7"/>
      </w:r>
      <w:r w:rsidRPr="006807DD">
        <w:rPr>
          <w:rFonts w:ascii="Palatino Linotype" w:hAnsi="Palatino Linotype" w:cs="Arial"/>
          <w:bCs/>
          <w:i/>
        </w:rPr>
        <w:t xml:space="preserve"> RRA 0100/16. Sindicato Nacional de Trabajadores de la Educación. 13 de julio de 2016. Por unanimidad. Comisionada Ponente. Areli Cano Guadiana. </w:t>
      </w:r>
      <w:r w:rsidRPr="006807DD">
        <w:rPr>
          <w:rFonts w:ascii="Palatino Linotype" w:hAnsi="Palatino Linotype" w:cs="Arial"/>
          <w:bCs/>
          <w:i/>
        </w:rPr>
        <w:sym w:font="Symbol" w:char="F0B7"/>
      </w:r>
      <w:r w:rsidRPr="006807DD">
        <w:rPr>
          <w:rFonts w:ascii="Palatino Linotype" w:hAnsi="Palatino Linotype" w:cs="Arial"/>
          <w:bCs/>
          <w:i/>
        </w:rPr>
        <w:t xml:space="preserve"> RRA 1419/16. Secretaría de Educación Pública. 14 de septiembre de 2016. Por unanimidad. Comisionado Ponente Rosendoevgueni Monterrey Chepov</w:t>
      </w:r>
      <w:r w:rsidRPr="007D2ED5">
        <w:rPr>
          <w:rFonts w:ascii="Palatino Linotype" w:hAnsi="Palatino Linotype" w:cs="Arial"/>
          <w:b/>
          <w:bCs/>
          <w:i/>
        </w:rPr>
        <w:t>.”</w:t>
      </w:r>
      <w:r>
        <w:rPr>
          <w:rFonts w:ascii="Palatino Linotype" w:hAnsi="Palatino Linotype" w:cs="Arial"/>
        </w:rPr>
        <w:t xml:space="preserve"> </w:t>
      </w:r>
      <w:r w:rsidR="00D05991">
        <w:rPr>
          <w:rFonts w:ascii="Palatino Linotype" w:hAnsi="Palatino Linotype" w:cs="Arial"/>
        </w:rPr>
        <w:t xml:space="preserve"> </w:t>
      </w:r>
    </w:p>
    <w:p w:rsidR="00432008" w:rsidRDefault="00432008" w:rsidP="000D3E21">
      <w:pPr>
        <w:spacing w:before="100" w:beforeAutospacing="1" w:after="100" w:afterAutospacing="1" w:line="240" w:lineRule="auto"/>
        <w:ind w:left="851" w:right="899"/>
        <w:jc w:val="both"/>
        <w:rPr>
          <w:rFonts w:ascii="Palatino Linotype" w:hAnsi="Palatino Linotype" w:cs="Arial"/>
        </w:rPr>
      </w:pPr>
    </w:p>
    <w:p w:rsidR="00D67AAB" w:rsidRDefault="00D05991" w:rsidP="00036E28">
      <w:pPr>
        <w:spacing w:before="100" w:beforeAutospacing="1" w:after="100" w:afterAutospacing="1" w:line="360" w:lineRule="auto"/>
        <w:jc w:val="both"/>
        <w:rPr>
          <w:rFonts w:ascii="Palatino Linotype" w:hAnsi="Palatino Linotype" w:cs="Arial"/>
          <w:sz w:val="24"/>
          <w:szCs w:val="24"/>
        </w:rPr>
      </w:pPr>
      <w:r w:rsidRPr="00D05991">
        <w:rPr>
          <w:rFonts w:ascii="Palatino Linotype" w:hAnsi="Palatino Linotype"/>
          <w:color w:val="000000"/>
          <w:sz w:val="24"/>
          <w:szCs w:val="24"/>
        </w:rPr>
        <w:t>Por lo tanto,</w:t>
      </w:r>
      <w:r w:rsidRPr="00D05991">
        <w:rPr>
          <w:rFonts w:ascii="Palatino Linotype" w:hAnsi="Palatino Linotype" w:cs="Arial"/>
          <w:sz w:val="24"/>
          <w:szCs w:val="24"/>
        </w:rPr>
        <w:t xml:space="preserve"> la que suscribe emite </w:t>
      </w:r>
      <w:r w:rsidRPr="00D05991">
        <w:rPr>
          <w:rFonts w:ascii="Palatino Linotype" w:hAnsi="Palatino Linotype" w:cs="Arial"/>
          <w:b/>
          <w:sz w:val="24"/>
          <w:szCs w:val="24"/>
        </w:rPr>
        <w:t>VOTO PARTICULAR</w:t>
      </w:r>
      <w:r w:rsidRPr="00D05991">
        <w:rPr>
          <w:rFonts w:ascii="Palatino Linotype" w:hAnsi="Palatino Linotype" w:cs="Arial"/>
          <w:sz w:val="24"/>
          <w:szCs w:val="24"/>
        </w:rPr>
        <w:t xml:space="preserve"> a fin de precisar que se debió</w:t>
      </w:r>
      <w:r w:rsidR="000B643B">
        <w:rPr>
          <w:rFonts w:ascii="Palatino Linotype" w:hAnsi="Palatino Linotype" w:cs="Arial"/>
          <w:sz w:val="24"/>
          <w:szCs w:val="24"/>
        </w:rPr>
        <w:t xml:space="preserve"> ordenar </w:t>
      </w:r>
      <w:r w:rsidR="00432008">
        <w:rPr>
          <w:rFonts w:ascii="Palatino Linotype" w:hAnsi="Palatino Linotype" w:cs="Arial"/>
          <w:sz w:val="24"/>
          <w:szCs w:val="24"/>
        </w:rPr>
        <w:t>la entrega de la información</w:t>
      </w:r>
      <w:r w:rsidR="00DE19BE">
        <w:rPr>
          <w:rFonts w:ascii="Palatino Linotype" w:hAnsi="Palatino Linotype" w:cs="Arial"/>
          <w:sz w:val="24"/>
          <w:szCs w:val="24"/>
        </w:rPr>
        <w:t xml:space="preserve"> consagrada en </w:t>
      </w:r>
      <w:r w:rsidR="0051793A">
        <w:rPr>
          <w:rFonts w:ascii="Palatino Linotype" w:hAnsi="Palatino Linotype" w:cs="Arial"/>
          <w:sz w:val="24"/>
          <w:szCs w:val="24"/>
        </w:rPr>
        <w:t xml:space="preserve">el punto 1 </w:t>
      </w:r>
      <w:r w:rsidR="00DE19BE">
        <w:rPr>
          <w:rFonts w:ascii="Palatino Linotype" w:hAnsi="Palatino Linotype" w:cs="Arial"/>
          <w:sz w:val="24"/>
          <w:szCs w:val="24"/>
        </w:rPr>
        <w:t>de la solicitud formulada por el particular</w:t>
      </w:r>
      <w:r w:rsidR="00432008">
        <w:rPr>
          <w:rFonts w:ascii="Palatino Linotype" w:hAnsi="Palatino Linotype" w:cs="Arial"/>
          <w:sz w:val="24"/>
          <w:szCs w:val="24"/>
        </w:rPr>
        <w:t>,</w:t>
      </w:r>
      <w:r w:rsidR="00DE19BE">
        <w:rPr>
          <w:rFonts w:ascii="Palatino Linotype" w:hAnsi="Palatino Linotype" w:cs="Arial"/>
          <w:sz w:val="24"/>
          <w:szCs w:val="24"/>
        </w:rPr>
        <w:t xml:space="preserve"> toda vez que no se advierte que </w:t>
      </w:r>
      <w:r w:rsidR="00DE19BE" w:rsidRPr="00DE19BE">
        <w:rPr>
          <w:rFonts w:ascii="Palatino Linotype" w:hAnsi="Palatino Linotype" w:cs="Arial"/>
          <w:b/>
          <w:sz w:val="24"/>
          <w:szCs w:val="24"/>
        </w:rPr>
        <w:t>EL SUJETO OBLIGADO</w:t>
      </w:r>
      <w:r w:rsidR="00DE19BE">
        <w:rPr>
          <w:rFonts w:ascii="Palatino Linotype" w:hAnsi="Palatino Linotype" w:cs="Arial"/>
          <w:sz w:val="24"/>
          <w:szCs w:val="24"/>
        </w:rPr>
        <w:t xml:space="preserve"> haya remitido la </w:t>
      </w:r>
      <w:r w:rsidR="0051793A">
        <w:rPr>
          <w:rFonts w:ascii="Palatino Linotype" w:hAnsi="Palatino Linotype" w:cs="Arial"/>
          <w:sz w:val="24"/>
          <w:szCs w:val="24"/>
        </w:rPr>
        <w:t>documentación en forma la cual se</w:t>
      </w:r>
      <w:r w:rsidR="00DE19BE">
        <w:rPr>
          <w:rFonts w:ascii="Palatino Linotype" w:hAnsi="Palatino Linotype" w:cs="Arial"/>
          <w:sz w:val="24"/>
          <w:szCs w:val="24"/>
        </w:rPr>
        <w:t xml:space="preserve"> pretende tener acceso, contraviniendo así con</w:t>
      </w:r>
      <w:r w:rsidRPr="00D05991">
        <w:rPr>
          <w:rFonts w:ascii="Palatino Linotype" w:hAnsi="Palatino Linotype" w:cs="Arial"/>
          <w:sz w:val="24"/>
          <w:szCs w:val="24"/>
        </w:rPr>
        <w:t xml:space="preserve"> los principios</w:t>
      </w:r>
      <w:r w:rsidR="005848D9">
        <w:rPr>
          <w:rFonts w:ascii="Palatino Linotype" w:hAnsi="Palatino Linotype" w:cs="Arial"/>
          <w:sz w:val="24"/>
          <w:szCs w:val="24"/>
        </w:rPr>
        <w:t xml:space="preserve"> de exhaustividad y congruencia, aunado a que reitere dos artículos sin que los mismos correspondan a lo solicitado.</w:t>
      </w:r>
    </w:p>
    <w:p w:rsidR="000D3E21" w:rsidRDefault="000D3E21" w:rsidP="00036E28">
      <w:pPr>
        <w:spacing w:before="100" w:beforeAutospacing="1" w:after="100" w:afterAutospacing="1" w:line="360" w:lineRule="auto"/>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DC3D07" w:rsidRDefault="00DC3D07" w:rsidP="00FF74B8">
            <w:pPr>
              <w:spacing w:after="0"/>
              <w:ind w:right="51"/>
              <w:jc w:val="center"/>
              <w:rPr>
                <w:rFonts w:ascii="Palatino Linotype" w:hAnsi="Palatino Linotype"/>
                <w:b/>
                <w:sz w:val="24"/>
                <w:szCs w:val="24"/>
              </w:rPr>
            </w:pPr>
          </w:p>
          <w:p w:rsidR="00DC3D07" w:rsidRDefault="00DC3D07" w:rsidP="00FF74B8">
            <w:pPr>
              <w:spacing w:after="0"/>
              <w:ind w:right="51"/>
              <w:jc w:val="center"/>
              <w:rPr>
                <w:rFonts w:ascii="Palatino Linotype" w:hAnsi="Palatino Linotype"/>
                <w:b/>
                <w:sz w:val="24"/>
                <w:szCs w:val="24"/>
              </w:rPr>
            </w:pPr>
          </w:p>
          <w:p w:rsidR="00DC3D07" w:rsidRDefault="00DC3D07" w:rsidP="00FF74B8">
            <w:pPr>
              <w:spacing w:after="0"/>
              <w:ind w:right="51"/>
              <w:jc w:val="center"/>
              <w:rPr>
                <w:rFonts w:ascii="Palatino Linotype" w:hAnsi="Palatino Linotype"/>
                <w:b/>
                <w:sz w:val="24"/>
                <w:szCs w:val="24"/>
              </w:rPr>
            </w:pPr>
          </w:p>
          <w:p w:rsidR="00DC3D07" w:rsidRDefault="00DC3D07" w:rsidP="00FF74B8">
            <w:pPr>
              <w:spacing w:after="0"/>
              <w:ind w:right="51"/>
              <w:jc w:val="center"/>
              <w:rPr>
                <w:rFonts w:ascii="Palatino Linotype" w:hAnsi="Palatino Linotype"/>
                <w:b/>
                <w:sz w:val="24"/>
                <w:szCs w:val="24"/>
              </w:rPr>
            </w:pPr>
          </w:p>
          <w:p w:rsidR="00DC3D07" w:rsidRDefault="00DC3D07" w:rsidP="00FF74B8">
            <w:pPr>
              <w:spacing w:after="0"/>
              <w:ind w:right="51"/>
              <w:jc w:val="center"/>
              <w:rPr>
                <w:rFonts w:ascii="Palatino Linotype" w:hAnsi="Palatino Linotype"/>
                <w:b/>
                <w:sz w:val="24"/>
                <w:szCs w:val="24"/>
              </w:rPr>
            </w:pPr>
          </w:p>
          <w:p w:rsidR="00DC3D07" w:rsidRDefault="00DC3D07" w:rsidP="00FF74B8">
            <w:pPr>
              <w:spacing w:after="0"/>
              <w:ind w:right="51"/>
              <w:jc w:val="center"/>
              <w:rPr>
                <w:rFonts w:ascii="Palatino Linotype" w:hAnsi="Palatino Linotype"/>
                <w:b/>
                <w:sz w:val="24"/>
                <w:szCs w:val="24"/>
              </w:rPr>
            </w:pP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DC3D07">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035F2A" w:rsidRPr="009F71D8" w:rsidRDefault="00035F2A" w:rsidP="00DC3D07">
            <w:pPr>
              <w:spacing w:after="0"/>
              <w:ind w:right="51"/>
              <w:jc w:val="center"/>
              <w:rPr>
                <w:rFonts w:ascii="Palatino Linotype" w:hAnsi="Palatino Linotype"/>
                <w:b/>
                <w:sz w:val="24"/>
                <w:szCs w:val="24"/>
              </w:rPr>
            </w:pPr>
            <w:r>
              <w:rPr>
                <w:rFonts w:ascii="Palatino Linotype" w:hAnsi="Palatino Linotype"/>
                <w:b/>
                <w:sz w:val="24"/>
                <w:szCs w:val="24"/>
              </w:rPr>
              <w:t>(</w:t>
            </w:r>
            <w:bookmarkStart w:id="0" w:name="_GoBack"/>
            <w:bookmarkEnd w:id="0"/>
            <w:r w:rsidRPr="009F71D8">
              <w:rPr>
                <w:rFonts w:ascii="Palatino Linotype" w:hAnsi="Palatino Linotype"/>
                <w:b/>
                <w:sz w:val="24"/>
                <w:szCs w:val="24"/>
              </w:rPr>
              <w:t>RÚBRICA)</w:t>
            </w:r>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DC3D07" w:rsidRDefault="00DC3D07"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30441A" w:rsidRDefault="0030441A"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51793A">
        <w:rPr>
          <w:rFonts w:ascii="Palatino Linotype" w:hAnsi="Palatino Linotype" w:cs="Arial"/>
          <w:bCs/>
          <w:sz w:val="20"/>
          <w:szCs w:val="20"/>
        </w:rPr>
        <w:t>8755</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51793A">
        <w:rPr>
          <w:rFonts w:ascii="Palatino Linotype" w:hAnsi="Palatino Linotype" w:cs="Arial"/>
          <w:bCs/>
          <w:sz w:val="20"/>
          <w:szCs w:val="20"/>
        </w:rPr>
        <w:t>quince de enero de dos mil veinte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6BE" w:rsidRDefault="00CA16BE" w:rsidP="00222D15">
      <w:pPr>
        <w:spacing w:after="0" w:line="240" w:lineRule="auto"/>
      </w:pPr>
      <w:r>
        <w:separator/>
      </w:r>
    </w:p>
  </w:endnote>
  <w:endnote w:type="continuationSeparator" w:id="0">
    <w:p w:rsidR="00CA16BE" w:rsidRDefault="00CA16BE"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5F2A" w:rsidP="00DC5C4E">
    <w:pPr>
      <w:pStyle w:val="Piedepgina"/>
      <w:tabs>
        <w:tab w:val="clear" w:pos="4252"/>
        <w:tab w:val="left" w:pos="4228"/>
      </w:tabs>
      <w:rPr>
        <w:rFonts w:ascii="Palatino Linotype" w:hAnsi="Palatino Linotype" w:cs="Arial"/>
        <w:b/>
        <w:bCs/>
        <w:sz w:val="20"/>
        <w:szCs w:val="20"/>
      </w:rPr>
    </w:pPr>
  </w:p>
  <w:p w:rsidR="005C7C8F" w:rsidRDefault="00035F2A" w:rsidP="00DC5C4E">
    <w:pPr>
      <w:pStyle w:val="Piedepgina"/>
      <w:tabs>
        <w:tab w:val="clear" w:pos="4252"/>
        <w:tab w:val="left" w:pos="4228"/>
      </w:tabs>
      <w:rPr>
        <w:rFonts w:ascii="Palatino Linotype" w:hAnsi="Palatino Linotype" w:cs="Arial"/>
        <w:b/>
        <w:bCs/>
        <w:sz w:val="20"/>
        <w:szCs w:val="20"/>
      </w:rPr>
    </w:pPr>
  </w:p>
  <w:p w:rsidR="005C7C8F" w:rsidRDefault="00035F2A" w:rsidP="00DC5C4E">
    <w:pPr>
      <w:pStyle w:val="Piedepgina"/>
      <w:tabs>
        <w:tab w:val="clear" w:pos="4252"/>
        <w:tab w:val="left" w:pos="4228"/>
      </w:tabs>
      <w:rPr>
        <w:rFonts w:ascii="Palatino Linotype" w:hAnsi="Palatino Linotype" w:cs="Arial"/>
        <w:b/>
        <w:bCs/>
        <w:sz w:val="20"/>
        <w:szCs w:val="20"/>
      </w:rPr>
    </w:pPr>
  </w:p>
  <w:p w:rsidR="005C7C8F" w:rsidRDefault="00035F2A"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35F2A">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35F2A">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035F2A"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6BE" w:rsidRDefault="00CA16BE" w:rsidP="00222D15">
      <w:pPr>
        <w:spacing w:after="0" w:line="240" w:lineRule="auto"/>
      </w:pPr>
      <w:r>
        <w:separator/>
      </w:r>
    </w:p>
  </w:footnote>
  <w:footnote w:type="continuationSeparator" w:id="0">
    <w:p w:rsidR="00CA16BE" w:rsidRDefault="00CA16BE"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5F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035F2A"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035F2A"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871390">
      <w:rPr>
        <w:rFonts w:ascii="Palatino Linotype" w:hAnsi="Palatino Linotype" w:cs="Arial"/>
        <w:sz w:val="20"/>
        <w:szCs w:val="20"/>
      </w:rPr>
      <w:t>8755</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035F2A"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1.65pt;margin-top:249.75pt;width:640.7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5F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541E1A"/>
    <w:multiLevelType w:val="hybridMultilevel"/>
    <w:tmpl w:val="4CDE2E4A"/>
    <w:lvl w:ilvl="0" w:tplc="080A000F">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31361FEB"/>
    <w:multiLevelType w:val="hybridMultilevel"/>
    <w:tmpl w:val="7430BD10"/>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276046"/>
    <w:multiLevelType w:val="hybridMultilevel"/>
    <w:tmpl w:val="8F7CFB46"/>
    <w:lvl w:ilvl="0" w:tplc="51A21D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0"/>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5"/>
  </w:num>
  <w:num w:numId="9">
    <w:abstractNumId w:val="13"/>
  </w:num>
  <w:num w:numId="10">
    <w:abstractNumId w:val="1"/>
  </w:num>
  <w:num w:numId="11">
    <w:abstractNumId w:val="4"/>
  </w:num>
  <w:num w:numId="12">
    <w:abstractNumId w:val="5"/>
  </w:num>
  <w:num w:numId="13">
    <w:abstractNumId w:val="11"/>
  </w:num>
  <w:num w:numId="14">
    <w:abstractNumId w:val="8"/>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colormenu v:ext="edit" fillcolor="none [2412]"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5F2A"/>
    <w:rsid w:val="00036E28"/>
    <w:rsid w:val="0008352F"/>
    <w:rsid w:val="000B643B"/>
    <w:rsid w:val="000D2689"/>
    <w:rsid w:val="000D3E21"/>
    <w:rsid w:val="000E0A9B"/>
    <w:rsid w:val="000F2733"/>
    <w:rsid w:val="00121F69"/>
    <w:rsid w:val="001354EB"/>
    <w:rsid w:val="001375AB"/>
    <w:rsid w:val="00142B10"/>
    <w:rsid w:val="00177DDB"/>
    <w:rsid w:val="001B13C1"/>
    <w:rsid w:val="001F5492"/>
    <w:rsid w:val="00222D15"/>
    <w:rsid w:val="002670F4"/>
    <w:rsid w:val="00267DAC"/>
    <w:rsid w:val="00280712"/>
    <w:rsid w:val="002B43B8"/>
    <w:rsid w:val="002F537D"/>
    <w:rsid w:val="00303FB7"/>
    <w:rsid w:val="0030441A"/>
    <w:rsid w:val="00333EEC"/>
    <w:rsid w:val="00334792"/>
    <w:rsid w:val="00352450"/>
    <w:rsid w:val="00352721"/>
    <w:rsid w:val="00357AE8"/>
    <w:rsid w:val="00363930"/>
    <w:rsid w:val="003A0433"/>
    <w:rsid w:val="003B2D2B"/>
    <w:rsid w:val="003E5AB1"/>
    <w:rsid w:val="003E6C2F"/>
    <w:rsid w:val="003F231C"/>
    <w:rsid w:val="00432008"/>
    <w:rsid w:val="00434F2D"/>
    <w:rsid w:val="0046713B"/>
    <w:rsid w:val="004773D0"/>
    <w:rsid w:val="004801C3"/>
    <w:rsid w:val="004A2D8C"/>
    <w:rsid w:val="004B607A"/>
    <w:rsid w:val="004B622D"/>
    <w:rsid w:val="004B7753"/>
    <w:rsid w:val="004E7395"/>
    <w:rsid w:val="004F1058"/>
    <w:rsid w:val="004F307F"/>
    <w:rsid w:val="0051785B"/>
    <w:rsid w:val="0051793A"/>
    <w:rsid w:val="00517C66"/>
    <w:rsid w:val="00520810"/>
    <w:rsid w:val="00534C05"/>
    <w:rsid w:val="00541D04"/>
    <w:rsid w:val="00563884"/>
    <w:rsid w:val="00571F3C"/>
    <w:rsid w:val="005848D9"/>
    <w:rsid w:val="0059520B"/>
    <w:rsid w:val="005D1C17"/>
    <w:rsid w:val="005E0490"/>
    <w:rsid w:val="005E0746"/>
    <w:rsid w:val="005F2664"/>
    <w:rsid w:val="006079F6"/>
    <w:rsid w:val="0061553C"/>
    <w:rsid w:val="00642D83"/>
    <w:rsid w:val="006537E7"/>
    <w:rsid w:val="00657587"/>
    <w:rsid w:val="00661074"/>
    <w:rsid w:val="00692DB6"/>
    <w:rsid w:val="006A112C"/>
    <w:rsid w:val="006F49D6"/>
    <w:rsid w:val="00702877"/>
    <w:rsid w:val="0075624F"/>
    <w:rsid w:val="00772859"/>
    <w:rsid w:val="00784D68"/>
    <w:rsid w:val="00787DD5"/>
    <w:rsid w:val="00792EC9"/>
    <w:rsid w:val="007A3711"/>
    <w:rsid w:val="007F36C7"/>
    <w:rsid w:val="00871390"/>
    <w:rsid w:val="008C3005"/>
    <w:rsid w:val="008C3EA5"/>
    <w:rsid w:val="008C4B77"/>
    <w:rsid w:val="00920D70"/>
    <w:rsid w:val="009A5EFD"/>
    <w:rsid w:val="009C0562"/>
    <w:rsid w:val="009F1B96"/>
    <w:rsid w:val="00A55C30"/>
    <w:rsid w:val="00A85D7A"/>
    <w:rsid w:val="00AC0AFF"/>
    <w:rsid w:val="00AE1C6B"/>
    <w:rsid w:val="00AE4B1F"/>
    <w:rsid w:val="00AE56B4"/>
    <w:rsid w:val="00AF155E"/>
    <w:rsid w:val="00B26C8F"/>
    <w:rsid w:val="00B65E8A"/>
    <w:rsid w:val="00BA7978"/>
    <w:rsid w:val="00BB75BA"/>
    <w:rsid w:val="00BC647D"/>
    <w:rsid w:val="00C10C4B"/>
    <w:rsid w:val="00C10CE9"/>
    <w:rsid w:val="00C23B43"/>
    <w:rsid w:val="00C3408B"/>
    <w:rsid w:val="00C76FD9"/>
    <w:rsid w:val="00C83DFF"/>
    <w:rsid w:val="00C92D53"/>
    <w:rsid w:val="00C9714C"/>
    <w:rsid w:val="00CA16BE"/>
    <w:rsid w:val="00CB35F6"/>
    <w:rsid w:val="00CB3EA9"/>
    <w:rsid w:val="00CD75F6"/>
    <w:rsid w:val="00CE3D7A"/>
    <w:rsid w:val="00D05991"/>
    <w:rsid w:val="00D05AE7"/>
    <w:rsid w:val="00D34ECE"/>
    <w:rsid w:val="00D67AAB"/>
    <w:rsid w:val="00D72673"/>
    <w:rsid w:val="00D83EB3"/>
    <w:rsid w:val="00D9781B"/>
    <w:rsid w:val="00DB79F9"/>
    <w:rsid w:val="00DC3D07"/>
    <w:rsid w:val="00DD6808"/>
    <w:rsid w:val="00DE19BE"/>
    <w:rsid w:val="00E02985"/>
    <w:rsid w:val="00E43478"/>
    <w:rsid w:val="00E45F71"/>
    <w:rsid w:val="00E471A2"/>
    <w:rsid w:val="00E47517"/>
    <w:rsid w:val="00E56331"/>
    <w:rsid w:val="00E838CF"/>
    <w:rsid w:val="00E842B6"/>
    <w:rsid w:val="00E97C45"/>
    <w:rsid w:val="00EA3494"/>
    <w:rsid w:val="00EB3365"/>
    <w:rsid w:val="00EB621D"/>
    <w:rsid w:val="00EC447A"/>
    <w:rsid w:val="00ED22F1"/>
    <w:rsid w:val="00ED29D1"/>
    <w:rsid w:val="00EE0542"/>
    <w:rsid w:val="00EE67AD"/>
    <w:rsid w:val="00EF0131"/>
    <w:rsid w:val="00F3668C"/>
    <w:rsid w:val="00F367F5"/>
    <w:rsid w:val="00F5763D"/>
    <w:rsid w:val="00F7093C"/>
    <w:rsid w:val="00F860A0"/>
    <w:rsid w:val="00FA007F"/>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2412]" strokecolor="none"/>
    </o:shapedefaults>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INAI"/>
    <w:link w:val="SinespaciadoCar"/>
    <w:uiPriority w:val="1"/>
    <w:qFormat/>
    <w:rsid w:val="007A3711"/>
    <w:pPr>
      <w:spacing w:after="0" w:line="240" w:lineRule="auto"/>
    </w:pPr>
  </w:style>
  <w:style w:type="character" w:customStyle="1" w:styleId="SinespaciadoCar">
    <w:name w:val="Sin espaciado Car"/>
    <w:aliases w:val="Francesa Car,INAI Car"/>
    <w:link w:val="Sinespaciado"/>
    <w:uiPriority w:val="1"/>
    <w:locked/>
    <w:rsid w:val="007A37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63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3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D5BC-0085-4BE7-ACE4-85AEB61D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2038</Words>
  <Characters>11214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2020-01-20T18:59:00Z</cp:lastPrinted>
  <dcterms:created xsi:type="dcterms:W3CDTF">2020-01-20T19:00:00Z</dcterms:created>
  <dcterms:modified xsi:type="dcterms:W3CDTF">2020-02-14T16:51:00Z</dcterms:modified>
</cp:coreProperties>
</file>