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115AD" w:rsidRDefault="006854B3">
      <w:pPr>
        <w:spacing w:beforeAutospacing="1" w:afterAutospacing="1" w:line="360" w:lineRule="auto"/>
        <w:contextualSpacing/>
        <w:jc w:val="both"/>
        <w:rPr>
          <w:rFonts w:ascii="Palatino Linotype" w:hAnsi="Palatino Linotype"/>
        </w:rPr>
      </w:pPr>
      <w:bookmarkStart w:id="0" w:name="_GoBack"/>
      <w:bookmarkEnd w:id="0"/>
      <w:r>
        <w:rPr>
          <w:rFonts w:ascii="Palatino Linotype" w:hAnsi="Palatino Linotype"/>
        </w:rPr>
        <w:t>Resolución del Pleno del Instituto de Transparencia, Acceso a la Información Pública y Protección de Datos Personales del Estado de México y Municipios, con domicilio en Metepec, Estado de México, de fecha doce de agosto de dos mil veinte.</w:t>
      </w:r>
    </w:p>
    <w:p w:rsidR="00C115AD" w:rsidRDefault="00C115AD">
      <w:pPr>
        <w:spacing w:beforeAutospacing="1" w:afterAutospacing="1" w:line="360" w:lineRule="auto"/>
        <w:contextualSpacing/>
        <w:jc w:val="both"/>
        <w:rPr>
          <w:rFonts w:ascii="Palatino Linotype" w:hAnsi="Palatino Linotype"/>
          <w:b/>
        </w:rPr>
      </w:pPr>
    </w:p>
    <w:p w:rsidR="00C115AD" w:rsidRDefault="006854B3">
      <w:pPr>
        <w:spacing w:beforeAutospacing="1" w:afterAutospacing="1" w:line="360" w:lineRule="auto"/>
        <w:contextualSpacing/>
        <w:jc w:val="both"/>
        <w:rPr>
          <w:rFonts w:ascii="Palatino Linotype" w:hAnsi="Palatino Linotype"/>
        </w:rPr>
      </w:pPr>
      <w:r>
        <w:rPr>
          <w:rFonts w:ascii="Palatino Linotype" w:hAnsi="Palatino Linotype"/>
          <w:b/>
        </w:rPr>
        <w:t>VISTOS</w:t>
      </w:r>
      <w:r>
        <w:rPr>
          <w:rFonts w:ascii="Palatino Linotype" w:hAnsi="Palatino Linotype"/>
        </w:rPr>
        <w:t xml:space="preserve"> los expedientes formados con motivo de los Recursos de Revisión </w:t>
      </w:r>
      <w:r>
        <w:rPr>
          <w:rFonts w:ascii="Palatino Linotype" w:hAnsi="Palatino Linotype"/>
          <w:b/>
          <w:spacing w:val="-20"/>
        </w:rPr>
        <w:t>11519/INFOEM/IP/RR/2019,</w:t>
      </w:r>
      <w:r>
        <w:rPr>
          <w:rFonts w:ascii="Palatino Linotype" w:hAnsi="Palatino Linotype"/>
          <w:spacing w:val="-20"/>
        </w:rPr>
        <w:t xml:space="preserve"> </w:t>
      </w:r>
      <w:r>
        <w:rPr>
          <w:rFonts w:ascii="Palatino Linotype" w:hAnsi="Palatino Linotype"/>
          <w:b/>
          <w:spacing w:val="-20"/>
        </w:rPr>
        <w:t>11550/INFOEM/IP/RR/2019, 11555/INFOEM/IP/RR/2019, 11556/INFOEM/IP/RR/2019 acumulados</w:t>
      </w:r>
      <w:r>
        <w:rPr>
          <w:rFonts w:ascii="Palatino Linotype" w:hAnsi="Palatino Linotype"/>
          <w:spacing w:val="-20"/>
        </w:rPr>
        <w:t>,</w:t>
      </w:r>
      <w:r>
        <w:rPr>
          <w:rFonts w:ascii="Palatino Linotype" w:hAnsi="Palatino Linotype"/>
          <w:b/>
          <w:spacing w:val="-20"/>
        </w:rPr>
        <w:t xml:space="preserve"> </w:t>
      </w:r>
      <w:r>
        <w:rPr>
          <w:rFonts w:ascii="Palatino Linotype" w:hAnsi="Palatino Linotype"/>
        </w:rPr>
        <w:t>promovidos por un particular de manera anónima</w:t>
      </w:r>
      <w:r>
        <w:rPr>
          <w:rFonts w:ascii="Palatino Linotype" w:hAnsi="Palatino Linotype" w:cs="Arial"/>
        </w:rPr>
        <w:t>, en lo sucesivo</w:t>
      </w:r>
      <w:r>
        <w:rPr>
          <w:rFonts w:ascii="Palatino Linotype" w:hAnsi="Palatino Linotype" w:cs="Arial"/>
          <w:b/>
        </w:rPr>
        <w:t xml:space="preserve"> EL RECURRENTE</w:t>
      </w:r>
      <w:r>
        <w:rPr>
          <w:rFonts w:ascii="Palatino Linotype" w:hAnsi="Palatino Linotype"/>
        </w:rPr>
        <w:t xml:space="preserve">, en contra de las respuestas del </w:t>
      </w:r>
      <w:r>
        <w:rPr>
          <w:rFonts w:ascii="Palatino Linotype" w:hAnsi="Palatino Linotype"/>
          <w:b/>
          <w:bCs/>
        </w:rPr>
        <w:t>Ayuntamiento de Temamatla</w:t>
      </w:r>
      <w:r>
        <w:rPr>
          <w:rFonts w:ascii="Palatino Linotype" w:hAnsi="Palatino Linotype"/>
        </w:rPr>
        <w:t xml:space="preserve">, en lo sucesivo </w:t>
      </w:r>
      <w:r>
        <w:rPr>
          <w:rFonts w:ascii="Palatino Linotype" w:hAnsi="Palatino Linotype"/>
          <w:b/>
        </w:rPr>
        <w:t>EL SUJETO OBLIGADO</w:t>
      </w:r>
      <w:r>
        <w:rPr>
          <w:rFonts w:ascii="Palatino Linotype" w:hAnsi="Palatino Linotype"/>
        </w:rPr>
        <w:t xml:space="preserve">, se procede a dictar la presente resolución con base en lo siguiente: </w:t>
      </w:r>
    </w:p>
    <w:p w:rsidR="00C115AD" w:rsidRDefault="00C115AD">
      <w:pPr>
        <w:spacing w:beforeAutospacing="1" w:afterAutospacing="1" w:line="360" w:lineRule="auto"/>
        <w:contextualSpacing/>
        <w:jc w:val="both"/>
        <w:rPr>
          <w:rFonts w:ascii="Palatino Linotype" w:hAnsi="Palatino Linotype"/>
        </w:rPr>
      </w:pPr>
    </w:p>
    <w:p w:rsidR="00C115AD" w:rsidRDefault="006854B3">
      <w:pPr>
        <w:spacing w:beforeAutospacing="1" w:afterAutospacing="1" w:line="360" w:lineRule="auto"/>
        <w:contextualSpacing/>
        <w:jc w:val="center"/>
        <w:rPr>
          <w:rFonts w:ascii="Palatino Linotype" w:hAnsi="Palatino Linotype"/>
          <w:b/>
          <w:bCs/>
          <w:spacing w:val="60"/>
          <w:sz w:val="28"/>
        </w:rPr>
      </w:pPr>
      <w:r>
        <w:rPr>
          <w:rFonts w:ascii="Palatino Linotype" w:hAnsi="Palatino Linotype"/>
          <w:b/>
          <w:bCs/>
          <w:spacing w:val="60"/>
          <w:sz w:val="28"/>
        </w:rPr>
        <w:t>RESULTANDO</w:t>
      </w:r>
    </w:p>
    <w:p w:rsidR="00C115AD" w:rsidRDefault="006854B3">
      <w:pPr>
        <w:pStyle w:val="Prrafodelista"/>
        <w:tabs>
          <w:tab w:val="left" w:pos="709"/>
        </w:tabs>
        <w:spacing w:beforeAutospacing="1" w:afterAutospacing="1" w:line="360" w:lineRule="auto"/>
        <w:ind w:left="0"/>
        <w:contextualSpacing/>
        <w:jc w:val="both"/>
        <w:rPr>
          <w:rFonts w:ascii="Palatino Linotype" w:hAnsi="Palatino Linotype" w:cs="Arial"/>
        </w:rPr>
      </w:pPr>
      <w:r>
        <w:rPr>
          <w:rFonts w:ascii="Palatino Linotype" w:hAnsi="Palatino Linotype"/>
          <w:b/>
          <w:sz w:val="28"/>
          <w:szCs w:val="28"/>
        </w:rPr>
        <w:t>I.</w:t>
      </w:r>
      <w:r>
        <w:rPr>
          <w:rFonts w:ascii="Palatino Linotype" w:hAnsi="Palatino Linotype"/>
          <w:b/>
        </w:rPr>
        <w:t xml:space="preserve"> </w:t>
      </w:r>
      <w:r>
        <w:rPr>
          <w:rFonts w:ascii="Palatino Linotype" w:hAnsi="Palatino Linotype"/>
        </w:rPr>
        <w:t xml:space="preserve">En </w:t>
      </w:r>
      <w:r>
        <w:rPr>
          <w:rFonts w:ascii="Palatino Linotype" w:hAnsi="Palatino Linotype" w:cs="Arial"/>
        </w:rPr>
        <w:t>fechas veintiséis, veintisiete y veintinueve</w:t>
      </w:r>
      <w:r>
        <w:rPr>
          <w:rFonts w:ascii="Palatino Linotype" w:hAnsi="Palatino Linotype"/>
        </w:rPr>
        <w:t xml:space="preserve"> de noviembre de dos mil diecinueve, </w:t>
      </w:r>
      <w:r>
        <w:rPr>
          <w:rFonts w:ascii="Palatino Linotype" w:hAnsi="Palatino Linotype" w:cs="Arial"/>
          <w:b/>
        </w:rPr>
        <w:t>EL RECURRENTE</w:t>
      </w:r>
      <w:r>
        <w:rPr>
          <w:rFonts w:ascii="Palatino Linotype" w:hAnsi="Palatino Linotype"/>
        </w:rPr>
        <w:t xml:space="preserve"> presentó, a través del </w:t>
      </w:r>
      <w:r>
        <w:rPr>
          <w:rFonts w:ascii="Palatino Linotype" w:hAnsi="Palatino Linotype" w:cs="Arial"/>
        </w:rPr>
        <w:t>Sistema</w:t>
      </w:r>
      <w:r>
        <w:rPr>
          <w:rFonts w:ascii="Palatino Linotype" w:hAnsi="Palatino Linotype"/>
        </w:rPr>
        <w:t xml:space="preserve"> de Acceso a la Información Mexiquense, en lo subsecuente </w:t>
      </w:r>
      <w:r>
        <w:rPr>
          <w:rFonts w:ascii="Palatino Linotype" w:hAnsi="Palatino Linotype"/>
          <w:b/>
        </w:rPr>
        <w:t>EL SAIMEX</w:t>
      </w:r>
      <w:r>
        <w:rPr>
          <w:rFonts w:ascii="Palatino Linotype" w:hAnsi="Palatino Linotype"/>
        </w:rPr>
        <w:t xml:space="preserve"> ante </w:t>
      </w:r>
      <w:r>
        <w:rPr>
          <w:rFonts w:ascii="Palatino Linotype" w:hAnsi="Palatino Linotype"/>
          <w:b/>
        </w:rPr>
        <w:t>EL SUJETO OBLIGADO</w:t>
      </w:r>
      <w:r>
        <w:rPr>
          <w:rFonts w:ascii="Palatino Linotype" w:hAnsi="Palatino Linotype"/>
        </w:rPr>
        <w:t xml:space="preserve">, las solicitudes de acceso a la información pública, a las que se les asignó los números </w:t>
      </w:r>
      <w:r>
        <w:rPr>
          <w:rFonts w:ascii="Palatino Linotype" w:hAnsi="Palatino Linotype"/>
          <w:b/>
          <w:bCs/>
          <w:spacing w:val="-20"/>
        </w:rPr>
        <w:t>00343/TEMAMATL/IP/2019,</w:t>
      </w:r>
      <w:r>
        <w:rPr>
          <w:rFonts w:ascii="Palatino Linotype" w:hAnsi="Palatino Linotype"/>
          <w:bCs/>
          <w:spacing w:val="-20"/>
        </w:rPr>
        <w:t xml:space="preserve"> </w:t>
      </w:r>
      <w:r>
        <w:rPr>
          <w:rFonts w:ascii="Palatino Linotype" w:hAnsi="Palatino Linotype"/>
          <w:b/>
          <w:bCs/>
          <w:spacing w:val="-20"/>
        </w:rPr>
        <w:t xml:space="preserve">00496/TEMAMATL/IP/2019, 00497/TEMAMATL/IP/2019, </w:t>
      </w:r>
      <w:r>
        <w:rPr>
          <w:rFonts w:ascii="Palatino Linotype" w:hAnsi="Palatino Linotype"/>
          <w:bCs/>
          <w:spacing w:val="-20"/>
        </w:rPr>
        <w:t xml:space="preserve">y </w:t>
      </w:r>
      <w:r>
        <w:rPr>
          <w:rFonts w:ascii="Palatino Linotype" w:hAnsi="Palatino Linotype"/>
          <w:b/>
          <w:bCs/>
          <w:spacing w:val="-20"/>
        </w:rPr>
        <w:t xml:space="preserve">00498/TEMAMATL/IP/2019 </w:t>
      </w:r>
      <w:r>
        <w:rPr>
          <w:rFonts w:ascii="Palatino Linotype" w:hAnsi="Palatino Linotype"/>
        </w:rPr>
        <w:t xml:space="preserve">mediante las cuales requirió vía </w:t>
      </w:r>
      <w:r>
        <w:rPr>
          <w:rFonts w:ascii="Palatino Linotype" w:hAnsi="Palatino Linotype"/>
          <w:b/>
        </w:rPr>
        <w:t>SAIMEX</w:t>
      </w:r>
      <w:r>
        <w:rPr>
          <w:rFonts w:ascii="Palatino Linotype" w:hAnsi="Palatino Linotype"/>
        </w:rPr>
        <w:t>, lo siguiente:</w:t>
      </w:r>
    </w:p>
    <w:p w:rsidR="00C115AD" w:rsidRDefault="00C115AD">
      <w:pPr>
        <w:pStyle w:val="Prrafodelista"/>
        <w:spacing w:beforeAutospacing="1" w:afterAutospacing="1"/>
        <w:ind w:left="851" w:right="902"/>
        <w:contextualSpacing/>
        <w:jc w:val="both"/>
        <w:rPr>
          <w:rFonts w:ascii="Palatino Linotype" w:hAnsi="Palatino Linotype"/>
          <w:b/>
          <w:bCs/>
          <w:i/>
          <w:spacing w:val="-20"/>
          <w:sz w:val="22"/>
          <w:szCs w:val="22"/>
        </w:rPr>
      </w:pPr>
      <w:bookmarkStart w:id="1" w:name="_Ref531692384"/>
      <w:bookmarkStart w:id="2" w:name="_Ref516764469"/>
      <w:bookmarkEnd w:id="1"/>
      <w:bookmarkEnd w:id="2"/>
    </w:p>
    <w:p w:rsidR="00C115AD" w:rsidRDefault="006854B3">
      <w:pPr>
        <w:pStyle w:val="Prrafodelista"/>
        <w:spacing w:beforeAutospacing="1" w:afterAutospacing="1"/>
        <w:ind w:left="851" w:right="902"/>
        <w:contextualSpacing/>
        <w:jc w:val="both"/>
        <w:rPr>
          <w:rFonts w:ascii="Palatino Linotype" w:hAnsi="Palatino Linotype"/>
          <w:b/>
          <w:bCs/>
          <w:i/>
          <w:spacing w:val="-20"/>
          <w:sz w:val="22"/>
          <w:szCs w:val="22"/>
        </w:rPr>
      </w:pPr>
      <w:r>
        <w:rPr>
          <w:rFonts w:ascii="Palatino Linotype" w:hAnsi="Palatino Linotype"/>
          <w:b/>
          <w:bCs/>
          <w:i/>
          <w:spacing w:val="-20"/>
          <w:sz w:val="22"/>
          <w:szCs w:val="22"/>
        </w:rPr>
        <w:t xml:space="preserve">“00343/TEMAMATL/IP/2019: </w:t>
      </w:r>
    </w:p>
    <w:p w:rsidR="00C115AD" w:rsidRDefault="00C115AD">
      <w:pPr>
        <w:pStyle w:val="Prrafodelista"/>
        <w:spacing w:beforeAutospacing="1" w:afterAutospacing="1"/>
        <w:ind w:left="851" w:right="902"/>
        <w:contextualSpacing/>
        <w:jc w:val="both"/>
        <w:rPr>
          <w:rFonts w:ascii="Palatino Linotype" w:hAnsi="Palatino Linotype"/>
          <w:b/>
          <w:bCs/>
          <w:i/>
          <w:spacing w:val="-20"/>
          <w:sz w:val="22"/>
          <w:szCs w:val="22"/>
        </w:rPr>
      </w:pPr>
    </w:p>
    <w:p w:rsidR="00C115AD" w:rsidRDefault="006854B3">
      <w:pPr>
        <w:pStyle w:val="Prrafodelista"/>
        <w:spacing w:beforeAutospacing="1" w:afterAutospacing="1"/>
        <w:ind w:left="851" w:right="902"/>
        <w:contextualSpacing/>
        <w:jc w:val="both"/>
        <w:rPr>
          <w:rFonts w:ascii="Palatino Linotype" w:hAnsi="Palatino Linotype"/>
          <w:b/>
          <w:bCs/>
          <w:i/>
          <w:spacing w:val="-20"/>
          <w:sz w:val="22"/>
          <w:szCs w:val="22"/>
        </w:rPr>
      </w:pPr>
      <w:r>
        <w:rPr>
          <w:rFonts w:ascii="Palatino Linotype" w:hAnsi="Palatino Linotype"/>
          <w:i/>
          <w:color w:val="000000"/>
          <w:sz w:val="22"/>
          <w:szCs w:val="22"/>
        </w:rPr>
        <w:t>“Solicito las licencias de funcionamiento que se emitieron en octubre del presente año” (Sic)</w:t>
      </w:r>
    </w:p>
    <w:p w:rsidR="00C115AD" w:rsidRDefault="00C115AD">
      <w:pPr>
        <w:pStyle w:val="Prrafodelista"/>
        <w:spacing w:beforeAutospacing="1" w:afterAutospacing="1"/>
        <w:ind w:left="851" w:right="902"/>
        <w:contextualSpacing/>
        <w:jc w:val="both"/>
        <w:rPr>
          <w:rFonts w:ascii="Palatino Linotype" w:hAnsi="Palatino Linotype"/>
          <w:bCs/>
          <w:i/>
          <w:spacing w:val="-20"/>
          <w:sz w:val="22"/>
          <w:szCs w:val="22"/>
        </w:rPr>
      </w:pPr>
    </w:p>
    <w:p w:rsidR="00C115AD" w:rsidRDefault="006854B3">
      <w:pPr>
        <w:pStyle w:val="Prrafodelista"/>
        <w:spacing w:beforeAutospacing="1" w:afterAutospacing="1"/>
        <w:ind w:left="851" w:right="902"/>
        <w:contextualSpacing/>
        <w:jc w:val="both"/>
        <w:rPr>
          <w:rFonts w:ascii="Palatino Linotype" w:hAnsi="Palatino Linotype"/>
          <w:b/>
          <w:bCs/>
          <w:i/>
          <w:spacing w:val="-20"/>
          <w:sz w:val="22"/>
          <w:szCs w:val="22"/>
        </w:rPr>
      </w:pPr>
      <w:r>
        <w:rPr>
          <w:rFonts w:ascii="Palatino Linotype" w:hAnsi="Palatino Linotype"/>
          <w:b/>
          <w:bCs/>
          <w:i/>
          <w:spacing w:val="-20"/>
          <w:sz w:val="22"/>
          <w:szCs w:val="22"/>
        </w:rPr>
        <w:t xml:space="preserve">00496/TEMAMATL/IP/2019: </w:t>
      </w:r>
    </w:p>
    <w:p w:rsidR="00C115AD" w:rsidRDefault="00C115AD">
      <w:pPr>
        <w:pStyle w:val="Prrafodelista"/>
        <w:spacing w:beforeAutospacing="1" w:afterAutospacing="1"/>
        <w:ind w:left="851" w:right="902"/>
        <w:contextualSpacing/>
        <w:jc w:val="both"/>
        <w:rPr>
          <w:rFonts w:ascii="Palatino Linotype" w:hAnsi="Palatino Linotype"/>
          <w:b/>
          <w:bCs/>
          <w:i/>
          <w:spacing w:val="-20"/>
          <w:sz w:val="22"/>
          <w:szCs w:val="22"/>
        </w:rPr>
      </w:pPr>
    </w:p>
    <w:p w:rsidR="00C115AD" w:rsidRDefault="006854B3">
      <w:pPr>
        <w:pStyle w:val="Prrafodelista"/>
        <w:spacing w:beforeAutospacing="1" w:afterAutospacing="1"/>
        <w:ind w:left="851" w:right="902"/>
        <w:contextualSpacing/>
        <w:jc w:val="both"/>
        <w:rPr>
          <w:rFonts w:ascii="Palatino Linotype" w:hAnsi="Palatino Linotype"/>
          <w:b/>
          <w:bCs/>
          <w:i/>
          <w:spacing w:val="-20"/>
          <w:sz w:val="22"/>
          <w:szCs w:val="22"/>
        </w:rPr>
      </w:pPr>
      <w:r>
        <w:rPr>
          <w:rFonts w:ascii="Palatino Linotype" w:hAnsi="Palatino Linotype"/>
          <w:i/>
          <w:color w:val="000000"/>
          <w:sz w:val="22"/>
          <w:szCs w:val="22"/>
        </w:rPr>
        <w:t>“Requiero las licencias de funcionamiento que se emitieron en el mes de agosto de 2019.”</w:t>
      </w:r>
    </w:p>
    <w:p w:rsidR="00C115AD" w:rsidRDefault="00C115AD">
      <w:pPr>
        <w:pStyle w:val="Prrafodelista"/>
        <w:spacing w:beforeAutospacing="1" w:afterAutospacing="1"/>
        <w:ind w:left="851" w:right="902"/>
        <w:contextualSpacing/>
        <w:jc w:val="both"/>
        <w:rPr>
          <w:rFonts w:ascii="Palatino Linotype" w:hAnsi="Palatino Linotype"/>
          <w:b/>
          <w:bCs/>
          <w:i/>
          <w:spacing w:val="-20"/>
          <w:sz w:val="22"/>
          <w:szCs w:val="22"/>
        </w:rPr>
      </w:pPr>
    </w:p>
    <w:p w:rsidR="00C115AD" w:rsidRDefault="006854B3">
      <w:pPr>
        <w:pStyle w:val="Prrafodelista"/>
        <w:spacing w:beforeAutospacing="1" w:afterAutospacing="1"/>
        <w:ind w:left="851" w:right="902"/>
        <w:contextualSpacing/>
        <w:jc w:val="both"/>
        <w:rPr>
          <w:rFonts w:ascii="Palatino Linotype" w:hAnsi="Palatino Linotype"/>
          <w:b/>
          <w:bCs/>
          <w:i/>
          <w:spacing w:val="-20"/>
          <w:sz w:val="22"/>
          <w:szCs w:val="22"/>
        </w:rPr>
      </w:pPr>
      <w:r>
        <w:rPr>
          <w:rFonts w:ascii="Palatino Linotype" w:hAnsi="Palatino Linotype"/>
          <w:b/>
          <w:bCs/>
          <w:i/>
          <w:spacing w:val="-20"/>
          <w:sz w:val="22"/>
          <w:szCs w:val="22"/>
        </w:rPr>
        <w:t xml:space="preserve">00497/TEMAMATL/IP/2019: </w:t>
      </w:r>
    </w:p>
    <w:p w:rsidR="00C115AD" w:rsidRDefault="00C115AD">
      <w:pPr>
        <w:pStyle w:val="Prrafodelista"/>
        <w:spacing w:beforeAutospacing="1" w:afterAutospacing="1"/>
        <w:ind w:left="851" w:right="902"/>
        <w:contextualSpacing/>
        <w:jc w:val="both"/>
        <w:rPr>
          <w:rFonts w:ascii="Palatino Linotype" w:hAnsi="Palatino Linotype"/>
          <w:i/>
          <w:color w:val="000000"/>
          <w:sz w:val="22"/>
          <w:szCs w:val="22"/>
        </w:rPr>
      </w:pPr>
    </w:p>
    <w:p w:rsidR="00C115AD" w:rsidRDefault="006854B3">
      <w:pPr>
        <w:pStyle w:val="Prrafodelista"/>
        <w:spacing w:beforeAutospacing="1" w:afterAutospacing="1"/>
        <w:ind w:left="851" w:right="902"/>
        <w:contextualSpacing/>
        <w:jc w:val="both"/>
        <w:rPr>
          <w:rFonts w:ascii="Palatino Linotype" w:hAnsi="Palatino Linotype"/>
          <w:b/>
          <w:bCs/>
          <w:i/>
          <w:spacing w:val="-20"/>
          <w:sz w:val="22"/>
          <w:szCs w:val="22"/>
        </w:rPr>
      </w:pPr>
      <w:r>
        <w:rPr>
          <w:rFonts w:ascii="Palatino Linotype" w:hAnsi="Palatino Linotype"/>
          <w:i/>
          <w:color w:val="000000"/>
          <w:sz w:val="22"/>
          <w:szCs w:val="22"/>
        </w:rPr>
        <w:t>“Requiero las licencias de funcionamiento que se emitieron en el mes de mayo de 2019.” (Sic)</w:t>
      </w:r>
    </w:p>
    <w:p w:rsidR="00C115AD" w:rsidRDefault="00C115AD">
      <w:pPr>
        <w:pStyle w:val="Prrafodelista"/>
        <w:spacing w:beforeAutospacing="1" w:afterAutospacing="1"/>
        <w:ind w:left="851" w:right="902"/>
        <w:contextualSpacing/>
        <w:jc w:val="both"/>
        <w:rPr>
          <w:rFonts w:ascii="Palatino Linotype" w:hAnsi="Palatino Linotype"/>
          <w:b/>
          <w:bCs/>
          <w:i/>
          <w:spacing w:val="-20"/>
          <w:sz w:val="22"/>
          <w:szCs w:val="22"/>
        </w:rPr>
      </w:pPr>
    </w:p>
    <w:p w:rsidR="00C115AD" w:rsidRDefault="006854B3">
      <w:pPr>
        <w:pStyle w:val="Prrafodelista"/>
        <w:spacing w:beforeAutospacing="1" w:afterAutospacing="1"/>
        <w:ind w:left="851" w:right="902"/>
        <w:contextualSpacing/>
        <w:jc w:val="both"/>
        <w:rPr>
          <w:rFonts w:ascii="Palatino Linotype" w:hAnsi="Palatino Linotype"/>
          <w:b/>
          <w:bCs/>
          <w:i/>
          <w:spacing w:val="-20"/>
          <w:sz w:val="22"/>
          <w:szCs w:val="22"/>
        </w:rPr>
      </w:pPr>
      <w:r>
        <w:rPr>
          <w:rFonts w:ascii="Palatino Linotype" w:hAnsi="Palatino Linotype"/>
          <w:b/>
          <w:bCs/>
          <w:i/>
          <w:spacing w:val="-20"/>
          <w:sz w:val="22"/>
          <w:szCs w:val="22"/>
        </w:rPr>
        <w:t xml:space="preserve">00498/TEMAMATL/IP/2019: </w:t>
      </w:r>
    </w:p>
    <w:p w:rsidR="00C115AD" w:rsidRDefault="00C115AD">
      <w:pPr>
        <w:pStyle w:val="Prrafodelista"/>
        <w:spacing w:beforeAutospacing="1" w:afterAutospacing="1"/>
        <w:ind w:left="851" w:right="902"/>
        <w:contextualSpacing/>
        <w:jc w:val="both"/>
        <w:rPr>
          <w:rFonts w:ascii="Palatino Linotype" w:hAnsi="Palatino Linotype"/>
          <w:i/>
          <w:color w:val="000000"/>
          <w:sz w:val="22"/>
          <w:szCs w:val="22"/>
        </w:rPr>
      </w:pPr>
    </w:p>
    <w:p w:rsidR="00C115AD" w:rsidRDefault="006854B3">
      <w:pPr>
        <w:pStyle w:val="Prrafodelista"/>
        <w:spacing w:beforeAutospacing="1" w:afterAutospacing="1"/>
        <w:ind w:left="851" w:right="902"/>
        <w:contextualSpacing/>
        <w:jc w:val="both"/>
        <w:rPr>
          <w:rFonts w:ascii="Palatino Linotype" w:hAnsi="Palatino Linotype"/>
          <w:b/>
          <w:bCs/>
          <w:i/>
          <w:spacing w:val="-20"/>
          <w:sz w:val="22"/>
          <w:szCs w:val="22"/>
        </w:rPr>
      </w:pPr>
      <w:r>
        <w:rPr>
          <w:rFonts w:ascii="Palatino Linotype" w:hAnsi="Palatino Linotype"/>
          <w:i/>
          <w:color w:val="000000"/>
          <w:sz w:val="22"/>
          <w:szCs w:val="22"/>
        </w:rPr>
        <w:t>“Requiero las licencias de funcionamiento que se emitieron en el mes de marzo de 2019.” (Sic)</w:t>
      </w:r>
    </w:p>
    <w:p w:rsidR="00C115AD" w:rsidRDefault="00C115AD">
      <w:pPr>
        <w:pStyle w:val="Prrafodelista"/>
        <w:spacing w:beforeAutospacing="1" w:afterAutospacing="1"/>
        <w:ind w:left="851" w:right="902"/>
        <w:contextualSpacing/>
        <w:jc w:val="both"/>
        <w:rPr>
          <w:rFonts w:ascii="Palatino Linotype" w:hAnsi="Palatino Linotype"/>
          <w:b/>
          <w:bCs/>
          <w:i/>
          <w:spacing w:val="-20"/>
          <w:sz w:val="22"/>
          <w:szCs w:val="22"/>
        </w:rPr>
      </w:pPr>
    </w:p>
    <w:p w:rsidR="00C115AD" w:rsidRDefault="006854B3">
      <w:pPr>
        <w:pStyle w:val="Prrafodelista"/>
        <w:spacing w:beforeAutospacing="1" w:afterAutospacing="1" w:line="360" w:lineRule="auto"/>
        <w:ind w:left="0"/>
        <w:contextualSpacing/>
        <w:jc w:val="both"/>
        <w:rPr>
          <w:rFonts w:ascii="Palatino Linotype" w:hAnsi="Palatino Linotype" w:cs="Arial"/>
        </w:rPr>
      </w:pPr>
      <w:r>
        <w:rPr>
          <w:rFonts w:ascii="Palatino Linotype" w:hAnsi="Palatino Linotype"/>
          <w:b/>
          <w:sz w:val="28"/>
          <w:szCs w:val="28"/>
        </w:rPr>
        <w:t>II.</w:t>
      </w:r>
      <w:r>
        <w:rPr>
          <w:rFonts w:ascii="Palatino Linotype" w:hAnsi="Palatino Linotype"/>
          <w:b/>
        </w:rPr>
        <w:t xml:space="preserve"> </w:t>
      </w:r>
      <w:r>
        <w:rPr>
          <w:rFonts w:ascii="Palatino Linotype" w:hAnsi="Palatino Linotype" w:cs="Arial"/>
        </w:rPr>
        <w:t xml:space="preserve">De las constancias que obran en el expediente electrónico del SAIMEX, en fecha cuatro de diciembre de dos mil diecinueve, la Titular de la Unidad de Transparencia del </w:t>
      </w:r>
      <w:r>
        <w:rPr>
          <w:rFonts w:ascii="Palatino Linotype" w:hAnsi="Palatino Linotype" w:cs="Arial"/>
          <w:b/>
        </w:rPr>
        <w:t>SUJETO OBLIGADO</w:t>
      </w:r>
      <w:r>
        <w:rPr>
          <w:rFonts w:ascii="Palatino Linotype" w:hAnsi="Palatino Linotype" w:cs="Arial"/>
        </w:rPr>
        <w:t xml:space="preserve">, dentro de la solicitud de acceso a información </w:t>
      </w:r>
      <w:r>
        <w:rPr>
          <w:rFonts w:ascii="Palatino Linotype" w:hAnsi="Palatino Linotype"/>
          <w:b/>
          <w:bCs/>
        </w:rPr>
        <w:t>00343/TEMAMATL/IP/2019</w:t>
      </w:r>
      <w:r>
        <w:rPr>
          <w:rFonts w:ascii="Palatino Linotype" w:hAnsi="Palatino Linotype"/>
          <w:b/>
          <w:bCs/>
          <w:i/>
          <w:spacing w:val="-20"/>
          <w:sz w:val="22"/>
          <w:szCs w:val="22"/>
        </w:rPr>
        <w:t xml:space="preserve"> </w:t>
      </w:r>
      <w:r>
        <w:rPr>
          <w:rFonts w:ascii="Palatino Linotype" w:hAnsi="Palatino Linotype" w:cs="Arial"/>
        </w:rPr>
        <w:t>se turnó al Servidor Público Habilitado que estimó pertinente, a fin de colmar el derecho de acceso a la información del particular; tal y como, se aprecia en la imagen siguiente:</w:t>
      </w:r>
    </w:p>
    <w:p w:rsidR="00C115AD" w:rsidRDefault="00C115AD">
      <w:pPr>
        <w:pStyle w:val="Prrafodelista"/>
        <w:spacing w:beforeAutospacing="1" w:afterAutospacing="1" w:line="360" w:lineRule="auto"/>
        <w:ind w:left="0"/>
        <w:contextualSpacing/>
        <w:jc w:val="both"/>
        <w:rPr>
          <w:rFonts w:ascii="Palatino Linotype" w:hAnsi="Palatino Linotype"/>
          <w:b/>
        </w:rPr>
      </w:pPr>
    </w:p>
    <w:p w:rsidR="00C115AD" w:rsidRDefault="006854B3">
      <w:pPr>
        <w:pStyle w:val="Prrafodelista"/>
        <w:spacing w:beforeAutospacing="1" w:afterAutospacing="1" w:line="360" w:lineRule="auto"/>
        <w:ind w:left="0"/>
        <w:contextualSpacing/>
        <w:jc w:val="both"/>
        <w:rPr>
          <w:rFonts w:ascii="Palatino Linotype" w:hAnsi="Palatino Linotype"/>
          <w:b/>
        </w:rPr>
      </w:pPr>
      <w:r>
        <w:rPr>
          <w:noProof/>
          <w:lang w:eastAsia="es-MX"/>
        </w:rPr>
        <w:drawing>
          <wp:inline distT="0" distB="0" distL="0" distR="0">
            <wp:extent cx="5783580" cy="1531620"/>
            <wp:effectExtent l="0" t="0" r="0" b="0"/>
            <wp:docPr id="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7"/>
                    <pic:cNvPicPr>
                      <a:picLocks noChangeAspect="1" noChangeArrowheads="1"/>
                    </pic:cNvPicPr>
                  </pic:nvPicPr>
                  <pic:blipFill>
                    <a:blip r:embed="rId8"/>
                    <a:srcRect l="1449" t="37900" r="1722" b="43888"/>
                    <a:stretch>
                      <a:fillRect/>
                    </a:stretch>
                  </pic:blipFill>
                  <pic:spPr bwMode="auto">
                    <a:xfrm>
                      <a:off x="0" y="0"/>
                      <a:ext cx="5783580" cy="1531620"/>
                    </a:xfrm>
                    <a:prstGeom prst="rect">
                      <a:avLst/>
                    </a:prstGeom>
                  </pic:spPr>
                </pic:pic>
              </a:graphicData>
            </a:graphic>
          </wp:inline>
        </w:drawing>
      </w:r>
    </w:p>
    <w:p w:rsidR="00C115AD" w:rsidRDefault="00C115AD">
      <w:pPr>
        <w:pStyle w:val="Prrafodelista"/>
        <w:spacing w:beforeAutospacing="1" w:afterAutospacing="1" w:line="360" w:lineRule="auto"/>
        <w:ind w:left="0"/>
        <w:contextualSpacing/>
        <w:jc w:val="both"/>
        <w:rPr>
          <w:rFonts w:ascii="Palatino Linotype" w:hAnsi="Palatino Linotype"/>
          <w:b/>
        </w:rPr>
      </w:pPr>
    </w:p>
    <w:p w:rsidR="00C115AD" w:rsidRDefault="006854B3">
      <w:pPr>
        <w:pStyle w:val="Prrafodelista"/>
        <w:spacing w:beforeAutospacing="1" w:afterAutospacing="1" w:line="360" w:lineRule="auto"/>
        <w:ind w:left="0"/>
        <w:contextualSpacing/>
        <w:jc w:val="both"/>
        <w:rPr>
          <w:rFonts w:ascii="Palatino Linotype" w:hAnsi="Palatino Linotype" w:cs="Arial"/>
        </w:rPr>
      </w:pPr>
      <w:r>
        <w:rPr>
          <w:rFonts w:ascii="Palatino Linotype" w:hAnsi="Palatino Linotype"/>
          <w:b/>
          <w:sz w:val="28"/>
          <w:szCs w:val="28"/>
        </w:rPr>
        <w:t>III.</w:t>
      </w:r>
      <w:r>
        <w:rPr>
          <w:rFonts w:ascii="Palatino Linotype" w:hAnsi="Palatino Linotype"/>
          <w:b/>
        </w:rPr>
        <w:t xml:space="preserve"> </w:t>
      </w:r>
      <w:r>
        <w:rPr>
          <w:rFonts w:ascii="Palatino Linotype" w:hAnsi="Palatino Linotype" w:cs="Arial"/>
        </w:rPr>
        <w:t xml:space="preserve">Posteriormente, en fecha cuatro de diciembre de dos mil diecinueve, </w:t>
      </w:r>
      <w:r>
        <w:rPr>
          <w:rFonts w:ascii="Palatino Linotype" w:hAnsi="Palatino Linotype" w:cs="Arial"/>
          <w:b/>
        </w:rPr>
        <w:t>EL SUJETO OBLIGADO</w:t>
      </w:r>
      <w:r>
        <w:rPr>
          <w:rFonts w:ascii="Palatino Linotype" w:hAnsi="Palatino Linotype" w:cs="Arial"/>
        </w:rPr>
        <w:t xml:space="preserve"> informó al particular que el plazo para atender su solicitud de acceso a la </w:t>
      </w:r>
      <w:r>
        <w:rPr>
          <w:rFonts w:ascii="Palatino Linotype" w:hAnsi="Palatino Linotype" w:cs="Arial"/>
        </w:rPr>
        <w:lastRenderedPageBreak/>
        <w:t xml:space="preserve">información se había prorrogado por siete días hábiles adicionales para la solicitud </w:t>
      </w:r>
      <w:r>
        <w:rPr>
          <w:rFonts w:ascii="Palatino Linotype" w:hAnsi="Palatino Linotype"/>
          <w:b/>
          <w:bCs/>
        </w:rPr>
        <w:t>00343/TEMAMATL/IP/2019</w:t>
      </w:r>
      <w:r>
        <w:rPr>
          <w:rFonts w:ascii="Palatino Linotype" w:hAnsi="Palatino Linotype" w:cs="Arial"/>
        </w:rPr>
        <w:t>; en los términos siguientes:</w:t>
      </w:r>
    </w:p>
    <w:p w:rsidR="00C115AD" w:rsidRDefault="00C115AD">
      <w:pPr>
        <w:pStyle w:val="Prrafodelista"/>
        <w:spacing w:beforeAutospacing="1" w:afterAutospacing="1"/>
        <w:ind w:left="851" w:right="902"/>
        <w:contextualSpacing/>
        <w:jc w:val="both"/>
        <w:rPr>
          <w:rFonts w:ascii="Palatino Linotype" w:hAnsi="Palatino Linotype" w:cs="Arial"/>
          <w:i/>
          <w:sz w:val="22"/>
          <w:szCs w:val="22"/>
        </w:rPr>
      </w:pPr>
    </w:p>
    <w:p w:rsidR="00C115AD" w:rsidRDefault="006854B3">
      <w:pPr>
        <w:pStyle w:val="Prrafodelista"/>
        <w:spacing w:beforeAutospacing="1" w:afterAutospacing="1"/>
        <w:ind w:left="851" w:right="902"/>
        <w:contextualSpacing/>
        <w:jc w:val="both"/>
        <w:rPr>
          <w:rFonts w:ascii="Palatino Linotype" w:hAnsi="Palatino Linotype" w:cs="Arial"/>
          <w:i/>
          <w:sz w:val="22"/>
          <w:szCs w:val="22"/>
        </w:rPr>
      </w:pPr>
      <w:r>
        <w:rPr>
          <w:rFonts w:ascii="Palatino Linotype" w:hAnsi="Palatino Linotype" w:cs="Arial"/>
          <w:i/>
          <w:sz w:val="22"/>
          <w:szCs w:val="22"/>
        </w:rPr>
        <w:t>Con fundamento en el artículo 163 de la Ley de Transparencia y Acceso a la Información Pública del Estado de México y Municipios, se le hace de su conocimiento que el plazo de 15 días hábiles para atender su solicitud de información ha sido prorrogado por 7 días en virtud de las siguientes razones:</w:t>
      </w:r>
    </w:p>
    <w:p w:rsidR="00C115AD" w:rsidRDefault="006854B3">
      <w:pPr>
        <w:pStyle w:val="Prrafodelista"/>
        <w:spacing w:beforeAutospacing="1" w:afterAutospacing="1"/>
        <w:ind w:left="851" w:right="902"/>
        <w:contextualSpacing/>
        <w:jc w:val="both"/>
        <w:rPr>
          <w:rFonts w:ascii="Palatino Linotype" w:hAnsi="Palatino Linotype" w:cs="Arial"/>
          <w:i/>
          <w:sz w:val="22"/>
          <w:szCs w:val="22"/>
        </w:rPr>
      </w:pPr>
      <w:r>
        <w:rPr>
          <w:rFonts w:ascii="Palatino Linotype" w:hAnsi="Palatino Linotype" w:cs="Arial"/>
          <w:i/>
          <w:sz w:val="22"/>
          <w:szCs w:val="22"/>
        </w:rPr>
        <w:t>SE APRUEBA PRORROGA SOLICITADA .</w:t>
      </w:r>
    </w:p>
    <w:p w:rsidR="00C115AD" w:rsidRDefault="006854B3">
      <w:pPr>
        <w:pStyle w:val="Prrafodelista"/>
        <w:spacing w:beforeAutospacing="1" w:afterAutospacing="1"/>
        <w:ind w:left="851" w:right="902"/>
        <w:contextualSpacing/>
        <w:jc w:val="both"/>
        <w:rPr>
          <w:rFonts w:ascii="Palatino Linotype" w:hAnsi="Palatino Linotype" w:cs="Arial"/>
          <w:i/>
          <w:sz w:val="22"/>
          <w:szCs w:val="22"/>
        </w:rPr>
      </w:pPr>
      <w:r>
        <w:rPr>
          <w:rFonts w:ascii="Palatino Linotype" w:hAnsi="Palatino Linotype" w:cs="Arial"/>
          <w:i/>
          <w:sz w:val="22"/>
          <w:szCs w:val="22"/>
        </w:rPr>
        <w:t>Licencado en Criminalística Donaldo Yaél Guillén Martínez</w:t>
      </w:r>
    </w:p>
    <w:p w:rsidR="00C115AD" w:rsidRDefault="006854B3">
      <w:pPr>
        <w:pStyle w:val="Prrafodelista"/>
        <w:spacing w:beforeAutospacing="1" w:afterAutospacing="1"/>
        <w:ind w:left="851" w:right="902"/>
        <w:contextualSpacing/>
        <w:jc w:val="both"/>
        <w:rPr>
          <w:rFonts w:ascii="Palatino Linotype" w:hAnsi="Palatino Linotype" w:cs="Arial"/>
          <w:i/>
          <w:sz w:val="22"/>
          <w:szCs w:val="22"/>
        </w:rPr>
      </w:pPr>
      <w:r>
        <w:rPr>
          <w:rFonts w:ascii="Palatino Linotype" w:hAnsi="Palatino Linotype" w:cs="Arial"/>
          <w:i/>
          <w:sz w:val="22"/>
          <w:szCs w:val="22"/>
        </w:rPr>
        <w:t>Responsable de la Unidad de Transparencia</w:t>
      </w:r>
    </w:p>
    <w:p w:rsidR="00C115AD" w:rsidRDefault="00C115AD">
      <w:pPr>
        <w:pStyle w:val="Prrafodelista"/>
        <w:spacing w:beforeAutospacing="1" w:afterAutospacing="1" w:line="360" w:lineRule="auto"/>
        <w:ind w:left="0"/>
        <w:contextualSpacing/>
        <w:jc w:val="both"/>
        <w:rPr>
          <w:rFonts w:ascii="Palatino Linotype" w:hAnsi="Palatino Linotype"/>
          <w:b/>
        </w:rPr>
      </w:pPr>
    </w:p>
    <w:p w:rsidR="00C115AD" w:rsidRDefault="006854B3">
      <w:pPr>
        <w:pStyle w:val="Prrafodelista"/>
        <w:spacing w:beforeAutospacing="1" w:afterAutospacing="1" w:line="360" w:lineRule="auto"/>
        <w:ind w:left="0"/>
        <w:contextualSpacing/>
        <w:jc w:val="both"/>
        <w:rPr>
          <w:rFonts w:ascii="Palatino Linotype" w:hAnsi="Palatino Linotype" w:cs="Arial"/>
        </w:rPr>
      </w:pPr>
      <w:r>
        <w:rPr>
          <w:rFonts w:ascii="Palatino Linotype" w:hAnsi="Palatino Linotype"/>
          <w:b/>
          <w:sz w:val="28"/>
          <w:szCs w:val="28"/>
        </w:rPr>
        <w:t>IV.</w:t>
      </w:r>
      <w:r>
        <w:rPr>
          <w:rFonts w:ascii="Palatino Linotype" w:hAnsi="Palatino Linotype" w:cs="Arial"/>
        </w:rPr>
        <w:t xml:space="preserve"> De las constancias que integran los expedientes electrónicos del </w:t>
      </w:r>
      <w:r>
        <w:rPr>
          <w:rFonts w:ascii="Palatino Linotype" w:hAnsi="Palatino Linotype" w:cs="Arial"/>
          <w:b/>
        </w:rPr>
        <w:t>SAIMEX</w:t>
      </w:r>
      <w:r>
        <w:rPr>
          <w:rFonts w:ascii="Palatino Linotype" w:hAnsi="Palatino Linotype" w:cs="Arial"/>
        </w:rPr>
        <w:t xml:space="preserve">, se advierte que, en fecha dieciséis de diciembre de dos mil diecinueve, </w:t>
      </w:r>
      <w:r>
        <w:rPr>
          <w:rFonts w:ascii="Palatino Linotype" w:hAnsi="Palatino Linotype" w:cs="Arial"/>
          <w:b/>
        </w:rPr>
        <w:t>EL SUJETO OBLIGADO</w:t>
      </w:r>
      <w:r>
        <w:rPr>
          <w:rFonts w:ascii="Palatino Linotype" w:hAnsi="Palatino Linotype" w:cs="Arial"/>
        </w:rPr>
        <w:t xml:space="preserve"> dio respuestas a las solicitudes de acceso a la información, en términos análogos; por ello, sólo se plasma aquella recaída a la solicitud de acceso a la información número </w:t>
      </w:r>
      <w:r>
        <w:rPr>
          <w:rFonts w:ascii="Palatino Linotype" w:eastAsia="Calibri" w:hAnsi="Palatino Linotype"/>
          <w:b/>
          <w:bCs/>
          <w:spacing w:val="-20"/>
          <w:szCs w:val="22"/>
          <w:lang w:eastAsia="en-US"/>
        </w:rPr>
        <w:t>00343/TEMAMATL/IP/2019:</w:t>
      </w:r>
    </w:p>
    <w:p w:rsidR="00C115AD" w:rsidRDefault="006854B3">
      <w:pPr>
        <w:spacing w:beforeAutospacing="1" w:afterAutospacing="1"/>
        <w:ind w:left="851" w:right="902"/>
        <w:contextualSpacing/>
        <w:jc w:val="both"/>
        <w:rPr>
          <w:rFonts w:ascii="Palatino Linotype" w:hAnsi="Palatino Linotype" w:cs="Arial"/>
          <w:i/>
          <w:sz w:val="22"/>
          <w:szCs w:val="22"/>
        </w:rPr>
      </w:pPr>
      <w:r>
        <w:rPr>
          <w:rFonts w:ascii="Palatino Linotype" w:hAnsi="Palatino Linotype" w:cs="Arial"/>
          <w:i/>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C115AD" w:rsidRDefault="00C115AD">
      <w:pPr>
        <w:spacing w:beforeAutospacing="1" w:afterAutospacing="1"/>
        <w:ind w:left="851" w:right="902"/>
        <w:contextualSpacing/>
        <w:jc w:val="both"/>
        <w:rPr>
          <w:rFonts w:ascii="Palatino Linotype" w:hAnsi="Palatino Linotype" w:cs="Arial"/>
          <w:i/>
          <w:sz w:val="22"/>
          <w:szCs w:val="22"/>
        </w:rPr>
      </w:pPr>
    </w:p>
    <w:p w:rsidR="00C115AD" w:rsidRDefault="006854B3">
      <w:pPr>
        <w:spacing w:beforeAutospacing="1" w:afterAutospacing="1"/>
        <w:ind w:left="851" w:right="902"/>
        <w:contextualSpacing/>
        <w:jc w:val="both"/>
        <w:rPr>
          <w:rFonts w:ascii="Palatino Linotype" w:hAnsi="Palatino Linotype" w:cs="Arial"/>
          <w:i/>
          <w:sz w:val="22"/>
          <w:szCs w:val="22"/>
        </w:rPr>
      </w:pPr>
      <w:r>
        <w:rPr>
          <w:rFonts w:ascii="Palatino Linotype" w:hAnsi="Palatino Linotype" w:cs="Arial"/>
          <w:i/>
          <w:sz w:val="22"/>
          <w:szCs w:val="22"/>
        </w:rPr>
        <w:t xml:space="preserve">Por medio del presente me permito comunicarle, con fundamento en lo dispuesto por los artículos 52, 53, 151,158,160,164 y demás relativos y aplicables de la Ley de Transparencia y Acceso a la Información Púbica del Estado de México, así como de la Ley General de Transparencia y Acceso a la Información, derivado de la solicitud de información pública presentada a través de portal SAIMEX bajo el número 00343/TEMAMATL/IP/2019, atentamente me permito comunicarle que los documentos referentes a la información que solicita , se encuentra en copias simples para su consulta directa , en las oficinas de esta Unidad de Transparencia y Acceso a la Información Pública, esto derivado de la carga de trabajo que esta Unidad Administrativa actualmente cuenta con 510 (quinientas diez) solicitudes por contestar dentro de los plazos establecidos, por lo que dichas solicitudes empatan en </w:t>
      </w:r>
      <w:r>
        <w:rPr>
          <w:rFonts w:ascii="Palatino Linotype" w:hAnsi="Palatino Linotype" w:cs="Arial"/>
          <w:i/>
          <w:sz w:val="22"/>
          <w:szCs w:val="22"/>
        </w:rPr>
        <w:lastRenderedPageBreak/>
        <w:t>tiempo de contestación con su solicitud, estimado solicitante ,por la cual rebasa considerablemente las capacidades técnicas administrativas y humanas del sujeto obligado para cumplir con la solicitud y/o solicitudes, en los plazos establecidos .Con la intención legitima de no lesionar el derecho humano de acceso a la información pública y privilegiando el principio de máxima publicidad de la información ,para dichos efectos, se pone a disposición del solicitante los documentos solicitados en consulta directa, salvo la información clasificada. Cabe mencionar que se le facilitará su copia simple o certificada, así como su reproducción por cualquier medio disponible, en las instalaciones del sujeto obligado o que, en su caso, usted aporte.</w:t>
      </w:r>
    </w:p>
    <w:p w:rsidR="00C115AD" w:rsidRDefault="00C115AD">
      <w:pPr>
        <w:spacing w:beforeAutospacing="1" w:afterAutospacing="1"/>
        <w:ind w:left="851" w:right="902"/>
        <w:contextualSpacing/>
        <w:jc w:val="both"/>
        <w:rPr>
          <w:rFonts w:ascii="Palatino Linotype" w:hAnsi="Palatino Linotype" w:cs="Arial"/>
          <w:i/>
          <w:sz w:val="22"/>
          <w:szCs w:val="22"/>
        </w:rPr>
      </w:pPr>
    </w:p>
    <w:p w:rsidR="00C115AD" w:rsidRDefault="006854B3">
      <w:pPr>
        <w:spacing w:beforeAutospacing="1" w:afterAutospacing="1"/>
        <w:ind w:left="851" w:right="902"/>
        <w:contextualSpacing/>
        <w:jc w:val="both"/>
        <w:rPr>
          <w:rFonts w:ascii="Palatino Linotype" w:hAnsi="Palatino Linotype" w:cs="Arial"/>
          <w:i/>
          <w:sz w:val="22"/>
          <w:szCs w:val="22"/>
        </w:rPr>
      </w:pPr>
      <w:r>
        <w:rPr>
          <w:rFonts w:ascii="Palatino Linotype" w:hAnsi="Palatino Linotype" w:cs="Arial"/>
          <w:i/>
          <w:sz w:val="22"/>
          <w:szCs w:val="22"/>
        </w:rPr>
        <w:t>ATENTAMENTE</w:t>
      </w:r>
    </w:p>
    <w:p w:rsidR="00C115AD" w:rsidRDefault="00C115AD">
      <w:pPr>
        <w:spacing w:beforeAutospacing="1" w:afterAutospacing="1"/>
        <w:ind w:left="851" w:right="902"/>
        <w:contextualSpacing/>
        <w:jc w:val="both"/>
        <w:rPr>
          <w:rFonts w:ascii="Palatino Linotype" w:hAnsi="Palatino Linotype" w:cs="Arial"/>
          <w:i/>
          <w:sz w:val="22"/>
          <w:szCs w:val="22"/>
        </w:rPr>
      </w:pPr>
    </w:p>
    <w:p w:rsidR="00C115AD" w:rsidRDefault="006854B3">
      <w:pPr>
        <w:spacing w:beforeAutospacing="1" w:afterAutospacing="1"/>
        <w:ind w:left="851" w:right="902"/>
        <w:contextualSpacing/>
        <w:jc w:val="both"/>
        <w:rPr>
          <w:rFonts w:ascii="Palatino Linotype" w:hAnsi="Palatino Linotype"/>
          <w:sz w:val="22"/>
          <w:szCs w:val="22"/>
        </w:rPr>
      </w:pPr>
      <w:r>
        <w:rPr>
          <w:rFonts w:ascii="Palatino Linotype" w:hAnsi="Palatino Linotype" w:cs="Arial"/>
          <w:i/>
          <w:sz w:val="22"/>
          <w:szCs w:val="22"/>
        </w:rPr>
        <w:t xml:space="preserve">Licenciado en Criminalística Donaldo Yaél Guillén Martínez ” </w:t>
      </w:r>
      <w:r>
        <w:rPr>
          <w:rFonts w:ascii="Palatino Linotype" w:hAnsi="Palatino Linotype"/>
          <w:sz w:val="22"/>
          <w:szCs w:val="22"/>
        </w:rPr>
        <w:t>(Sic)</w:t>
      </w:r>
    </w:p>
    <w:p w:rsidR="00C115AD" w:rsidRDefault="006854B3">
      <w:pPr>
        <w:pStyle w:val="Prrafodelista"/>
        <w:widowControl w:val="0"/>
        <w:tabs>
          <w:tab w:val="left" w:pos="0"/>
        </w:tabs>
        <w:spacing w:beforeAutospacing="1" w:afterAutospacing="1" w:line="360" w:lineRule="auto"/>
        <w:ind w:left="0"/>
        <w:contextualSpacing/>
        <w:jc w:val="both"/>
        <w:rPr>
          <w:rFonts w:ascii="Palatino Linotype" w:hAnsi="Palatino Linotype" w:cs="Arial"/>
        </w:rPr>
      </w:pPr>
      <w:bookmarkStart w:id="3" w:name="_Ref5316923841"/>
      <w:bookmarkStart w:id="4" w:name="_Ref5167644691"/>
      <w:bookmarkStart w:id="5" w:name="_Ref507070922"/>
      <w:bookmarkEnd w:id="3"/>
      <w:bookmarkEnd w:id="4"/>
      <w:r>
        <w:rPr>
          <w:rFonts w:ascii="Palatino Linotype" w:hAnsi="Palatino Linotype"/>
          <w:b/>
          <w:sz w:val="28"/>
          <w:szCs w:val="28"/>
        </w:rPr>
        <w:t>V.</w:t>
      </w:r>
      <w:r>
        <w:rPr>
          <w:rFonts w:ascii="Palatino Linotype" w:hAnsi="Palatino Linotype"/>
        </w:rPr>
        <w:t xml:space="preserve"> Inconforme con las respuestas del </w:t>
      </w:r>
      <w:r>
        <w:rPr>
          <w:rFonts w:ascii="Palatino Linotype" w:hAnsi="Palatino Linotype"/>
          <w:b/>
        </w:rPr>
        <w:t>SUJETO OBLIGADO</w:t>
      </w:r>
      <w:r>
        <w:rPr>
          <w:rFonts w:ascii="Palatino Linotype" w:hAnsi="Palatino Linotype"/>
        </w:rPr>
        <w:t xml:space="preserve">, en fecha dieciocho de diciembre de dos mil diecinueve, </w:t>
      </w:r>
      <w:r>
        <w:rPr>
          <w:rFonts w:ascii="Palatino Linotype" w:hAnsi="Palatino Linotype" w:cs="Arial"/>
          <w:b/>
        </w:rPr>
        <w:t>EL RECURRENTE</w:t>
      </w:r>
      <w:r>
        <w:rPr>
          <w:rFonts w:ascii="Palatino Linotype" w:hAnsi="Palatino Linotype"/>
        </w:rPr>
        <w:t>, a través del</w:t>
      </w:r>
      <w:r>
        <w:rPr>
          <w:rFonts w:ascii="Palatino Linotype" w:hAnsi="Palatino Linotype"/>
          <w:b/>
        </w:rPr>
        <w:t xml:space="preserve"> SAIMEX, </w:t>
      </w:r>
      <w:r>
        <w:rPr>
          <w:rFonts w:ascii="Palatino Linotype" w:hAnsi="Palatino Linotype"/>
        </w:rPr>
        <w:t xml:space="preserve">interpuso los recursos de revisión objeto del </w:t>
      </w:r>
      <w:r>
        <w:rPr>
          <w:rFonts w:ascii="Palatino Linotype" w:hAnsi="Palatino Linotype" w:cs="Arial"/>
        </w:rPr>
        <w:t>presente</w:t>
      </w:r>
      <w:r>
        <w:rPr>
          <w:rFonts w:ascii="Palatino Linotype" w:hAnsi="Palatino Linotype"/>
        </w:rPr>
        <w:t xml:space="preserve"> estudio, a los que se les asignaron los </w:t>
      </w:r>
      <w:r>
        <w:rPr>
          <w:rFonts w:ascii="Palatino Linotype" w:hAnsi="Palatino Linotype" w:cs="Arial"/>
        </w:rPr>
        <w:t>números al rubro citados, en los que señaló como actos impugnados, lo siguiente:</w:t>
      </w:r>
      <w:bookmarkEnd w:id="5"/>
    </w:p>
    <w:p w:rsidR="00C115AD" w:rsidRDefault="00C115AD">
      <w:pPr>
        <w:pStyle w:val="Prrafodelista"/>
        <w:spacing w:beforeAutospacing="1" w:afterAutospacing="1"/>
        <w:ind w:left="851" w:right="902"/>
        <w:contextualSpacing/>
        <w:jc w:val="both"/>
        <w:rPr>
          <w:rFonts w:ascii="Palatino Linotype" w:hAnsi="Palatino Linotype"/>
          <w:b/>
          <w:bCs/>
          <w:i/>
          <w:spacing w:val="-20"/>
          <w:sz w:val="22"/>
          <w:szCs w:val="22"/>
        </w:rPr>
      </w:pPr>
    </w:p>
    <w:p w:rsidR="00C115AD" w:rsidRDefault="006854B3">
      <w:pPr>
        <w:pStyle w:val="Prrafodelista"/>
        <w:spacing w:beforeAutospacing="1" w:afterAutospacing="1"/>
        <w:ind w:left="851" w:right="902"/>
        <w:contextualSpacing/>
        <w:jc w:val="both"/>
        <w:rPr>
          <w:rFonts w:ascii="Palatino Linotype" w:hAnsi="Palatino Linotype"/>
          <w:b/>
          <w:bCs/>
          <w:i/>
          <w:spacing w:val="-20"/>
          <w:sz w:val="22"/>
          <w:szCs w:val="22"/>
        </w:rPr>
      </w:pPr>
      <w:r>
        <w:rPr>
          <w:rFonts w:ascii="Palatino Linotype" w:hAnsi="Palatino Linotype"/>
          <w:i/>
          <w:color w:val="000000"/>
          <w:sz w:val="22"/>
          <w:szCs w:val="22"/>
        </w:rPr>
        <w:t>“No me entregan la información que solicite.” (Sic)</w:t>
      </w:r>
    </w:p>
    <w:p w:rsidR="00C115AD" w:rsidRDefault="00C115AD">
      <w:pPr>
        <w:pStyle w:val="Prrafodelista"/>
        <w:spacing w:beforeAutospacing="1" w:afterAutospacing="1" w:line="360" w:lineRule="auto"/>
        <w:ind w:left="0"/>
        <w:contextualSpacing/>
        <w:jc w:val="both"/>
        <w:rPr>
          <w:rFonts w:ascii="Palatino Linotype" w:hAnsi="Palatino Linotype"/>
          <w:b/>
          <w:bCs/>
          <w:spacing w:val="-20"/>
        </w:rPr>
      </w:pPr>
    </w:p>
    <w:p w:rsidR="00C115AD" w:rsidRDefault="006854B3">
      <w:pPr>
        <w:pStyle w:val="Prrafodelista"/>
        <w:spacing w:beforeAutospacing="1" w:afterAutospacing="1" w:line="360" w:lineRule="auto"/>
        <w:ind w:left="0"/>
        <w:contextualSpacing/>
        <w:jc w:val="both"/>
        <w:rPr>
          <w:rFonts w:ascii="Palatino Linotype" w:hAnsi="Palatino Linotype"/>
        </w:rPr>
      </w:pPr>
      <w:r>
        <w:rPr>
          <w:rFonts w:ascii="Palatino Linotype" w:hAnsi="Palatino Linotype" w:cs="Arial"/>
        </w:rPr>
        <w:t>Asimismo</w:t>
      </w:r>
      <w:r>
        <w:rPr>
          <w:rFonts w:ascii="Palatino Linotype" w:hAnsi="Palatino Linotype"/>
        </w:rPr>
        <w:t xml:space="preserve">, </w:t>
      </w:r>
      <w:r>
        <w:rPr>
          <w:rFonts w:ascii="Palatino Linotype" w:hAnsi="Palatino Linotype" w:cs="Arial"/>
          <w:b/>
        </w:rPr>
        <w:t xml:space="preserve">EL RECURRENTE </w:t>
      </w:r>
      <w:r>
        <w:rPr>
          <w:rFonts w:ascii="Palatino Linotype" w:hAnsi="Palatino Linotype"/>
        </w:rPr>
        <w:t xml:space="preserve">indicó </w:t>
      </w:r>
      <w:r>
        <w:rPr>
          <w:rFonts w:ascii="Palatino Linotype" w:hAnsi="Palatino Linotype" w:cs="Arial"/>
        </w:rPr>
        <w:t>análogamente</w:t>
      </w:r>
      <w:r>
        <w:rPr>
          <w:rFonts w:ascii="Palatino Linotype" w:hAnsi="Palatino Linotype"/>
        </w:rPr>
        <w:t xml:space="preserve"> como razones o motivos de inconformidad:</w:t>
      </w:r>
    </w:p>
    <w:p w:rsidR="00C115AD" w:rsidRDefault="006854B3">
      <w:pPr>
        <w:spacing w:beforeAutospacing="1" w:afterAutospacing="1"/>
        <w:ind w:left="709" w:right="709"/>
        <w:contextualSpacing/>
        <w:jc w:val="both"/>
        <w:rPr>
          <w:rFonts w:ascii="Palatino Linotype" w:hAnsi="Palatino Linotype" w:cs="Arial"/>
          <w:sz w:val="22"/>
          <w:szCs w:val="22"/>
          <w:lang w:eastAsia="es-MX"/>
        </w:rPr>
      </w:pPr>
      <w:r>
        <w:rPr>
          <w:rFonts w:ascii="Palatino Linotype" w:hAnsi="Palatino Linotype" w:cs="Arial"/>
          <w:i/>
          <w:sz w:val="22"/>
          <w:szCs w:val="22"/>
          <w:lang w:eastAsia="es-MX"/>
        </w:rPr>
        <w:t>“</w:t>
      </w:r>
      <w:r>
        <w:rPr>
          <w:rFonts w:ascii="Palatino Linotype" w:hAnsi="Palatino Linotype" w:cs="Arial"/>
          <w:i/>
          <w:sz w:val="22"/>
          <w:szCs w:val="22"/>
        </w:rPr>
        <w:t>Me niegan mi derecho de acceso a la información porque no me entregan la información que pedí en mi solicitud, no es posible que me digan que por la carga de trabajo no pueden atender mi solicitud.</w:t>
      </w:r>
      <w:r>
        <w:rPr>
          <w:rFonts w:ascii="Palatino Linotype" w:hAnsi="Palatino Linotype" w:cs="Arial"/>
          <w:i/>
          <w:sz w:val="22"/>
          <w:szCs w:val="22"/>
          <w:lang w:eastAsia="es-MX"/>
        </w:rPr>
        <w:t xml:space="preserve">” </w:t>
      </w:r>
      <w:r>
        <w:rPr>
          <w:rFonts w:ascii="Palatino Linotype" w:hAnsi="Palatino Linotype" w:cs="Arial"/>
          <w:sz w:val="22"/>
          <w:szCs w:val="22"/>
          <w:lang w:eastAsia="es-MX"/>
        </w:rPr>
        <w:t>(Sic)</w:t>
      </w:r>
    </w:p>
    <w:p w:rsidR="00C115AD" w:rsidRDefault="006854B3">
      <w:pPr>
        <w:pStyle w:val="Prrafodelista"/>
        <w:widowControl w:val="0"/>
        <w:tabs>
          <w:tab w:val="left" w:pos="0"/>
        </w:tabs>
        <w:spacing w:beforeAutospacing="1" w:afterAutospacing="1" w:line="360" w:lineRule="auto"/>
        <w:ind w:left="0"/>
        <w:contextualSpacing/>
        <w:jc w:val="both"/>
        <w:rPr>
          <w:rFonts w:ascii="Palatino Linotype" w:hAnsi="Palatino Linotype" w:cs="Arial"/>
          <w:lang w:val="es-ES_tradnl"/>
        </w:rPr>
      </w:pPr>
      <w:r>
        <w:rPr>
          <w:rFonts w:ascii="Palatino Linotype" w:hAnsi="Palatino Linotype"/>
          <w:b/>
          <w:sz w:val="28"/>
          <w:szCs w:val="28"/>
        </w:rPr>
        <w:t xml:space="preserve">VI. </w:t>
      </w:r>
      <w:r>
        <w:rPr>
          <w:rFonts w:ascii="Palatino Linotype" w:hAnsi="Palatino Linotype" w:cs="Arial"/>
        </w:rPr>
        <w:t xml:space="preserve">En fechas dieciocho </w:t>
      </w:r>
      <w:r>
        <w:rPr>
          <w:rFonts w:ascii="Palatino Linotype" w:hAnsi="Palatino Linotype"/>
        </w:rPr>
        <w:t>de diciembre de dos mil diecinueve</w:t>
      </w:r>
      <w:r>
        <w:rPr>
          <w:rFonts w:ascii="Palatino Linotype" w:hAnsi="Palatino Linotype" w:cs="Arial"/>
        </w:rPr>
        <w:t>, los recursos de revisión que se trata se enviaron electrónicamente al Instituto de Transparencia, Acceso a la Información Pública</w:t>
      </w:r>
      <w:r>
        <w:rPr>
          <w:rFonts w:ascii="Palatino Linotype" w:hAnsi="Palatino Linotype" w:cs="Arial"/>
          <w:lang w:val="es-ES_tradnl"/>
        </w:rPr>
        <w:t xml:space="preserve"> y </w:t>
      </w:r>
      <w:r>
        <w:rPr>
          <w:rFonts w:ascii="Palatino Linotype" w:hAnsi="Palatino Linotype" w:cs="Arial"/>
        </w:rPr>
        <w:t>Protección</w:t>
      </w:r>
      <w:r>
        <w:rPr>
          <w:rFonts w:ascii="Palatino Linotype" w:hAnsi="Palatino Linotype" w:cs="Arial"/>
          <w:lang w:val="es-ES_tradnl"/>
        </w:rPr>
        <w:t xml:space="preserve"> </w:t>
      </w:r>
      <w:r>
        <w:rPr>
          <w:rFonts w:ascii="Palatino Linotype" w:hAnsi="Palatino Linotype" w:cs="Arial"/>
        </w:rPr>
        <w:t>de</w:t>
      </w:r>
      <w:r>
        <w:rPr>
          <w:rFonts w:ascii="Palatino Linotype" w:hAnsi="Palatino Linotype" w:cs="Arial"/>
          <w:lang w:val="es-ES_tradnl"/>
        </w:rPr>
        <w:t xml:space="preserve"> </w:t>
      </w:r>
      <w:r>
        <w:rPr>
          <w:rFonts w:ascii="Palatino Linotype" w:hAnsi="Palatino Linotype"/>
        </w:rPr>
        <w:t>Datos</w:t>
      </w:r>
      <w:r>
        <w:rPr>
          <w:rFonts w:ascii="Palatino Linotype" w:hAnsi="Palatino Linotype" w:cs="Arial"/>
          <w:lang w:val="es-ES_tradnl"/>
        </w:rPr>
        <w:t xml:space="preserve"> </w:t>
      </w:r>
      <w:r>
        <w:rPr>
          <w:rFonts w:ascii="Palatino Linotype" w:hAnsi="Palatino Linotype" w:cs="Arial"/>
        </w:rPr>
        <w:t>Personales</w:t>
      </w:r>
      <w:r>
        <w:rPr>
          <w:rFonts w:ascii="Palatino Linotype" w:hAnsi="Palatino Linotype" w:cs="Arial"/>
          <w:lang w:val="es-ES_tradnl"/>
        </w:rPr>
        <w:t xml:space="preserve"> </w:t>
      </w:r>
      <w:r>
        <w:rPr>
          <w:rFonts w:ascii="Palatino Linotype" w:hAnsi="Palatino Linotype" w:cs="Arial"/>
        </w:rPr>
        <w:t>del</w:t>
      </w:r>
      <w:r>
        <w:rPr>
          <w:rFonts w:ascii="Palatino Linotype" w:hAnsi="Palatino Linotype" w:cs="Arial"/>
          <w:lang w:val="es-ES_tradnl"/>
        </w:rPr>
        <w:t xml:space="preserve"> </w:t>
      </w:r>
      <w:r>
        <w:rPr>
          <w:rFonts w:ascii="Palatino Linotype" w:hAnsi="Palatino Linotype"/>
        </w:rPr>
        <w:t>Estado</w:t>
      </w:r>
      <w:r>
        <w:rPr>
          <w:rFonts w:ascii="Palatino Linotype" w:hAnsi="Palatino Linotype" w:cs="Arial"/>
          <w:lang w:val="es-ES_tradnl"/>
        </w:rPr>
        <w:t xml:space="preserve"> de México y Municipios y con fundamento en el </w:t>
      </w:r>
      <w:r>
        <w:rPr>
          <w:rFonts w:ascii="Palatino Linotype" w:hAnsi="Palatino Linotype" w:cs="Arial"/>
        </w:rPr>
        <w:t>artículo</w:t>
      </w:r>
      <w:r>
        <w:rPr>
          <w:rFonts w:ascii="Palatino Linotype" w:hAnsi="Palatino Linotype" w:cs="Arial"/>
          <w:lang w:val="es-ES_tradnl"/>
        </w:rPr>
        <w:t xml:space="preserve"> 185, </w:t>
      </w:r>
      <w:r>
        <w:rPr>
          <w:rFonts w:ascii="Palatino Linotype" w:hAnsi="Palatino Linotype" w:cs="Arial"/>
        </w:rPr>
        <w:t>fracción</w:t>
      </w:r>
      <w:r>
        <w:rPr>
          <w:rFonts w:ascii="Palatino Linotype" w:hAnsi="Palatino Linotype" w:cs="Arial"/>
          <w:lang w:val="es-ES_tradnl"/>
        </w:rPr>
        <w:t xml:space="preserve"> I de la </w:t>
      </w:r>
      <w:r>
        <w:rPr>
          <w:rFonts w:ascii="Palatino Linotype" w:hAnsi="Palatino Linotype"/>
        </w:rPr>
        <w:t xml:space="preserve">Ley de Transparencia </w:t>
      </w:r>
      <w:r>
        <w:rPr>
          <w:rFonts w:ascii="Palatino Linotype" w:hAnsi="Palatino Linotype"/>
        </w:rPr>
        <w:lastRenderedPageBreak/>
        <w:t>y Acceso a la Información Pública del Estado de México y Municipios</w:t>
      </w:r>
      <w:r>
        <w:rPr>
          <w:rFonts w:ascii="Palatino Linotype" w:hAnsi="Palatino Linotype" w:cs="Arial"/>
          <w:lang w:val="es-ES_tradnl"/>
        </w:rPr>
        <w:t>, los cuales se turnaron de la siguiente manera:</w:t>
      </w:r>
    </w:p>
    <w:p w:rsidR="00C115AD" w:rsidRDefault="00C115AD">
      <w:pPr>
        <w:pStyle w:val="Prrafodelista"/>
        <w:widowControl w:val="0"/>
        <w:tabs>
          <w:tab w:val="left" w:pos="0"/>
        </w:tabs>
        <w:spacing w:beforeAutospacing="1" w:afterAutospacing="1" w:line="360" w:lineRule="auto"/>
        <w:ind w:left="0"/>
        <w:contextualSpacing/>
        <w:jc w:val="both"/>
        <w:rPr>
          <w:rFonts w:ascii="Palatino Linotype" w:hAnsi="Palatino Linotype" w:cs="Arial"/>
          <w:lang w:val="es-ES_tradnl"/>
        </w:rPr>
      </w:pPr>
    </w:p>
    <w:tbl>
      <w:tblPr>
        <w:tblStyle w:val="Tablaconcuadrcula"/>
        <w:tblW w:w="9111" w:type="dxa"/>
        <w:tblLook w:val="04A0" w:firstRow="1" w:lastRow="0" w:firstColumn="1" w:lastColumn="0" w:noHBand="0" w:noVBand="1"/>
      </w:tblPr>
      <w:tblGrid>
        <w:gridCol w:w="5099"/>
        <w:gridCol w:w="4012"/>
      </w:tblGrid>
      <w:tr w:rsidR="00C115AD">
        <w:tc>
          <w:tcPr>
            <w:tcW w:w="5098" w:type="dxa"/>
            <w:shd w:val="clear" w:color="auto" w:fill="000000" w:themeFill="text1"/>
            <w:vAlign w:val="center"/>
          </w:tcPr>
          <w:p w:rsidR="00C115AD" w:rsidRDefault="006854B3">
            <w:pPr>
              <w:pStyle w:val="Prrafodelista"/>
              <w:widowControl w:val="0"/>
              <w:tabs>
                <w:tab w:val="left" w:pos="0"/>
              </w:tabs>
              <w:spacing w:beforeAutospacing="1"/>
              <w:ind w:left="0"/>
              <w:contextualSpacing/>
              <w:jc w:val="center"/>
              <w:rPr>
                <w:rFonts w:ascii="Palatino Linotype" w:hAnsi="Palatino Linotype" w:cs="Arial"/>
                <w:b/>
                <w:lang w:val="es-ES_tradnl"/>
              </w:rPr>
            </w:pPr>
            <w:r>
              <w:rPr>
                <w:rFonts w:ascii="Palatino Linotype" w:hAnsi="Palatino Linotype" w:cs="Arial"/>
                <w:b/>
                <w:sz w:val="22"/>
                <w:lang w:val="es-ES_tradnl"/>
              </w:rPr>
              <w:t>Recurso de Revisión</w:t>
            </w:r>
          </w:p>
        </w:tc>
        <w:tc>
          <w:tcPr>
            <w:tcW w:w="4012" w:type="dxa"/>
            <w:shd w:val="clear" w:color="auto" w:fill="000000" w:themeFill="text1"/>
            <w:vAlign w:val="center"/>
          </w:tcPr>
          <w:p w:rsidR="00C115AD" w:rsidRDefault="006854B3">
            <w:pPr>
              <w:pStyle w:val="Prrafodelista"/>
              <w:widowControl w:val="0"/>
              <w:tabs>
                <w:tab w:val="left" w:pos="0"/>
              </w:tabs>
              <w:spacing w:beforeAutospacing="1"/>
              <w:ind w:left="0"/>
              <w:contextualSpacing/>
              <w:jc w:val="center"/>
              <w:rPr>
                <w:rFonts w:ascii="Palatino Linotype" w:hAnsi="Palatino Linotype" w:cs="Arial"/>
                <w:b/>
                <w:lang w:val="es-ES_tradnl"/>
              </w:rPr>
            </w:pPr>
            <w:r>
              <w:rPr>
                <w:rFonts w:ascii="Palatino Linotype" w:hAnsi="Palatino Linotype" w:cs="Arial"/>
                <w:b/>
                <w:sz w:val="22"/>
                <w:lang w:val="es-ES_tradnl"/>
              </w:rPr>
              <w:t>Comisionada o Comisionado</w:t>
            </w:r>
          </w:p>
        </w:tc>
      </w:tr>
      <w:tr w:rsidR="00C115AD">
        <w:tc>
          <w:tcPr>
            <w:tcW w:w="5098" w:type="dxa"/>
            <w:vAlign w:val="center"/>
          </w:tcPr>
          <w:p w:rsidR="00C115AD" w:rsidRDefault="006854B3">
            <w:pPr>
              <w:spacing w:beforeAutospacing="1"/>
              <w:contextualSpacing/>
              <w:jc w:val="both"/>
              <w:rPr>
                <w:rFonts w:ascii="Palatino Linotype" w:hAnsi="Palatino Linotype"/>
                <w:b/>
                <w:spacing w:val="-20"/>
              </w:rPr>
            </w:pPr>
            <w:r>
              <w:rPr>
                <w:rFonts w:ascii="Palatino Linotype" w:eastAsiaTheme="minorHAnsi" w:hAnsi="Palatino Linotype"/>
                <w:b/>
                <w:spacing w:val="-20"/>
                <w:sz w:val="22"/>
              </w:rPr>
              <w:t>11519/INFOEM/IP/RR/2019.</w:t>
            </w:r>
          </w:p>
        </w:tc>
        <w:tc>
          <w:tcPr>
            <w:tcW w:w="4012" w:type="dxa"/>
            <w:vAlign w:val="center"/>
          </w:tcPr>
          <w:p w:rsidR="00C115AD" w:rsidRDefault="006854B3">
            <w:pPr>
              <w:pStyle w:val="Prrafodelista"/>
              <w:widowControl w:val="0"/>
              <w:tabs>
                <w:tab w:val="left" w:pos="0"/>
              </w:tabs>
              <w:spacing w:beforeAutospacing="1"/>
              <w:ind w:left="0"/>
              <w:contextualSpacing/>
              <w:jc w:val="center"/>
              <w:rPr>
                <w:rFonts w:ascii="Palatino Linotype" w:hAnsi="Palatino Linotype" w:cs="Arial"/>
                <w:lang w:val="es-ES_tradnl"/>
              </w:rPr>
            </w:pPr>
            <w:r>
              <w:rPr>
                <w:rFonts w:ascii="Palatino Linotype" w:hAnsi="Palatino Linotype" w:cs="Arial"/>
                <w:sz w:val="22"/>
                <w:lang w:val="es-ES_tradnl"/>
              </w:rPr>
              <w:t>Javier Martínez Cruz</w:t>
            </w:r>
          </w:p>
        </w:tc>
      </w:tr>
      <w:tr w:rsidR="00C115AD">
        <w:tc>
          <w:tcPr>
            <w:tcW w:w="5098" w:type="dxa"/>
            <w:vAlign w:val="center"/>
          </w:tcPr>
          <w:p w:rsidR="00C115AD" w:rsidRDefault="006854B3">
            <w:pPr>
              <w:pStyle w:val="Prrafodelista"/>
              <w:widowControl w:val="0"/>
              <w:tabs>
                <w:tab w:val="left" w:pos="0"/>
              </w:tabs>
              <w:spacing w:beforeAutospacing="1"/>
              <w:ind w:left="0"/>
              <w:contextualSpacing/>
              <w:jc w:val="both"/>
              <w:rPr>
                <w:rFonts w:ascii="Palatino Linotype" w:hAnsi="Palatino Linotype" w:cs="Arial"/>
                <w:lang w:val="es-ES_tradnl"/>
              </w:rPr>
            </w:pPr>
            <w:r>
              <w:rPr>
                <w:rFonts w:ascii="Palatino Linotype" w:eastAsiaTheme="minorHAnsi" w:hAnsi="Palatino Linotype"/>
                <w:b/>
                <w:spacing w:val="-20"/>
                <w:sz w:val="22"/>
              </w:rPr>
              <w:t>11556/INFOEM/IP/RR/2019.</w:t>
            </w:r>
          </w:p>
        </w:tc>
        <w:tc>
          <w:tcPr>
            <w:tcW w:w="4012" w:type="dxa"/>
            <w:vAlign w:val="center"/>
          </w:tcPr>
          <w:p w:rsidR="00C115AD" w:rsidRDefault="006854B3">
            <w:pPr>
              <w:pStyle w:val="Prrafodelista"/>
              <w:widowControl w:val="0"/>
              <w:tabs>
                <w:tab w:val="left" w:pos="0"/>
              </w:tabs>
              <w:spacing w:beforeAutospacing="1"/>
              <w:ind w:left="0"/>
              <w:contextualSpacing/>
              <w:jc w:val="center"/>
              <w:rPr>
                <w:rFonts w:ascii="Palatino Linotype" w:hAnsi="Palatino Linotype" w:cs="Arial"/>
                <w:lang w:val="es-ES_tradnl"/>
              </w:rPr>
            </w:pPr>
            <w:r>
              <w:rPr>
                <w:rFonts w:ascii="Palatino Linotype" w:hAnsi="Palatino Linotype" w:cs="Arial"/>
                <w:sz w:val="22"/>
                <w:lang w:val="es-ES_tradnl"/>
              </w:rPr>
              <w:t>Luis Gustavo Parra Noriega</w:t>
            </w:r>
          </w:p>
        </w:tc>
      </w:tr>
      <w:tr w:rsidR="00C115AD">
        <w:tc>
          <w:tcPr>
            <w:tcW w:w="5098" w:type="dxa"/>
            <w:vAlign w:val="center"/>
          </w:tcPr>
          <w:p w:rsidR="00C115AD" w:rsidRDefault="006854B3">
            <w:pPr>
              <w:pStyle w:val="Prrafodelista"/>
              <w:widowControl w:val="0"/>
              <w:tabs>
                <w:tab w:val="left" w:pos="0"/>
              </w:tabs>
              <w:spacing w:beforeAutospacing="1"/>
              <w:ind w:left="0"/>
              <w:contextualSpacing/>
              <w:jc w:val="both"/>
              <w:rPr>
                <w:rFonts w:ascii="Palatino Linotype" w:hAnsi="Palatino Linotype"/>
                <w:b/>
                <w:spacing w:val="-20"/>
              </w:rPr>
            </w:pPr>
            <w:r>
              <w:rPr>
                <w:rFonts w:ascii="Palatino Linotype" w:eastAsiaTheme="minorHAnsi" w:hAnsi="Palatino Linotype"/>
                <w:b/>
                <w:spacing w:val="-20"/>
                <w:sz w:val="22"/>
              </w:rPr>
              <w:t>11550/INFOEM/IP/RR/2019 y 1555/INFOEM/IP/RR/2019.</w:t>
            </w:r>
          </w:p>
        </w:tc>
        <w:tc>
          <w:tcPr>
            <w:tcW w:w="4012" w:type="dxa"/>
            <w:vAlign w:val="center"/>
          </w:tcPr>
          <w:p w:rsidR="00C115AD" w:rsidRDefault="006854B3">
            <w:pPr>
              <w:pStyle w:val="Prrafodelista"/>
              <w:widowControl w:val="0"/>
              <w:tabs>
                <w:tab w:val="left" w:pos="0"/>
              </w:tabs>
              <w:spacing w:beforeAutospacing="1"/>
              <w:ind w:left="0"/>
              <w:contextualSpacing/>
              <w:jc w:val="center"/>
              <w:rPr>
                <w:rFonts w:ascii="Palatino Linotype" w:hAnsi="Palatino Linotype" w:cs="Arial"/>
                <w:lang w:val="es-ES_tradnl"/>
              </w:rPr>
            </w:pPr>
            <w:r>
              <w:rPr>
                <w:rFonts w:ascii="Palatino Linotype" w:hAnsi="Palatino Linotype" w:cs="Arial"/>
                <w:sz w:val="22"/>
                <w:lang w:val="es-ES_tradnl"/>
              </w:rPr>
              <w:t>Zulema Martínez Sánchez</w:t>
            </w:r>
          </w:p>
        </w:tc>
      </w:tr>
    </w:tbl>
    <w:p w:rsidR="00C115AD" w:rsidRDefault="006854B3">
      <w:pPr>
        <w:pStyle w:val="Prrafodelista"/>
        <w:widowControl w:val="0"/>
        <w:tabs>
          <w:tab w:val="left" w:pos="0"/>
        </w:tabs>
        <w:spacing w:beforeAutospacing="1" w:afterAutospacing="1" w:line="360" w:lineRule="auto"/>
        <w:ind w:left="0"/>
        <w:contextualSpacing/>
        <w:jc w:val="both"/>
        <w:rPr>
          <w:rFonts w:ascii="Palatino Linotype" w:hAnsi="Palatino Linotype" w:cs="Arial"/>
          <w:lang w:val="es-ES_tradnl"/>
        </w:rPr>
      </w:pPr>
      <w:r>
        <w:rPr>
          <w:rFonts w:ascii="Palatino Linotype" w:hAnsi="Palatino Linotype" w:cs="Arial"/>
          <w:lang w:val="es-ES_tradnl"/>
        </w:rPr>
        <w:t>Lo anterior, a efecto de que decretaran su admisión o desechamiento.</w:t>
      </w:r>
    </w:p>
    <w:p w:rsidR="00C115AD" w:rsidRDefault="00C115AD">
      <w:pPr>
        <w:pStyle w:val="Prrafodelista"/>
        <w:widowControl w:val="0"/>
        <w:tabs>
          <w:tab w:val="left" w:pos="0"/>
        </w:tabs>
        <w:spacing w:beforeAutospacing="1" w:afterAutospacing="1" w:line="360" w:lineRule="auto"/>
        <w:ind w:left="0"/>
        <w:contextualSpacing/>
        <w:jc w:val="both"/>
        <w:rPr>
          <w:rFonts w:ascii="Palatino Linotype" w:hAnsi="Palatino Linotype" w:cs="Arial"/>
          <w:lang w:val="es-ES_tradnl"/>
        </w:rPr>
      </w:pPr>
    </w:p>
    <w:p w:rsidR="00C115AD" w:rsidRDefault="006854B3">
      <w:pPr>
        <w:pStyle w:val="Prrafodelista"/>
        <w:widowControl w:val="0"/>
        <w:tabs>
          <w:tab w:val="left" w:pos="0"/>
        </w:tabs>
        <w:spacing w:beforeAutospacing="1" w:afterAutospacing="1" w:line="360" w:lineRule="auto"/>
        <w:ind w:left="0"/>
        <w:contextualSpacing/>
        <w:jc w:val="both"/>
        <w:rPr>
          <w:rFonts w:ascii="Palatino Linotype" w:hAnsi="Palatino Linotype" w:cs="Arial"/>
        </w:rPr>
      </w:pPr>
      <w:r>
        <w:rPr>
          <w:rFonts w:ascii="Palatino Linotype" w:hAnsi="Palatino Linotype"/>
          <w:b/>
          <w:sz w:val="28"/>
          <w:szCs w:val="28"/>
        </w:rPr>
        <w:t xml:space="preserve">VII. </w:t>
      </w:r>
      <w:r>
        <w:rPr>
          <w:rFonts w:ascii="Palatino Linotype" w:hAnsi="Palatino Linotype" w:cs="Arial"/>
        </w:rPr>
        <w:t xml:space="preserve">En fechas nueve </w:t>
      </w:r>
      <w:r>
        <w:rPr>
          <w:rFonts w:ascii="Palatino Linotype" w:hAnsi="Palatino Linotype"/>
        </w:rPr>
        <w:t>de enero de dos mil veinte</w:t>
      </w:r>
      <w:r>
        <w:rPr>
          <w:rFonts w:ascii="Palatino Linotype" w:hAnsi="Palatino Linotype" w:cs="Arial"/>
        </w:rPr>
        <w:t xml:space="preserve">, atento a lo dispuesto en el artículo 185, fracciones I, II y IV, de la </w:t>
      </w:r>
      <w:r>
        <w:rPr>
          <w:rFonts w:ascii="Palatino Linotype" w:hAnsi="Palatino Linotype"/>
        </w:rPr>
        <w:t xml:space="preserve">Ley de Transparencia y Acceso a la Información Pública del </w:t>
      </w:r>
      <w:r>
        <w:rPr>
          <w:rFonts w:ascii="Palatino Linotype" w:hAnsi="Palatino Linotype" w:cs="Arial"/>
        </w:rPr>
        <w:t>Estado</w:t>
      </w:r>
      <w:r>
        <w:rPr>
          <w:rFonts w:ascii="Palatino Linotype" w:hAnsi="Palatino Linotype"/>
        </w:rPr>
        <w:t xml:space="preserve"> de México y </w:t>
      </w:r>
      <w:r>
        <w:rPr>
          <w:rFonts w:ascii="Palatino Linotype" w:hAnsi="Palatino Linotype" w:cs="Arial"/>
          <w:lang w:val="es-ES_tradnl"/>
        </w:rPr>
        <w:t>Municipios</w:t>
      </w:r>
      <w:r>
        <w:rPr>
          <w:rFonts w:ascii="Palatino Linotype" w:hAnsi="Palatino Linotype"/>
        </w:rPr>
        <w:t>, se a</w:t>
      </w:r>
      <w:r>
        <w:rPr>
          <w:rFonts w:ascii="Palatino Linotype" w:hAnsi="Palatino Linotype" w:cs="Arial"/>
        </w:rPr>
        <w:t xml:space="preserve">cordó la admisión a trámite de los  referidos recursos de </w:t>
      </w:r>
      <w:r>
        <w:rPr>
          <w:rFonts w:ascii="Palatino Linotype" w:hAnsi="Palatino Linotype" w:cs="Arial"/>
          <w:lang w:val="es-ES_tradnl"/>
        </w:rPr>
        <w:t>revisión;</w:t>
      </w:r>
      <w:r>
        <w:rPr>
          <w:rFonts w:ascii="Palatino Linotype" w:hAnsi="Palatino Linotype" w:cs="Arial"/>
        </w:rPr>
        <w:t xml:space="preserve"> así como, la </w:t>
      </w:r>
      <w:r>
        <w:rPr>
          <w:rFonts w:ascii="Palatino Linotype" w:hAnsi="Palatino Linotype" w:cs="Arial"/>
          <w:lang w:val="es-ES_tradnl"/>
        </w:rPr>
        <w:t>integración</w:t>
      </w:r>
      <w:r>
        <w:rPr>
          <w:rFonts w:ascii="Palatino Linotype" w:hAnsi="Palatino Linotype" w:cs="Arial"/>
        </w:rPr>
        <w:t xml:space="preserve"> de los expedientes respectivos, mismos que se pusieron a disposición de las partes, para que en el plazo máximo de siete días hábiles, </w:t>
      </w:r>
      <w:r>
        <w:rPr>
          <w:rFonts w:ascii="Palatino Linotype" w:hAnsi="Palatino Linotype" w:cs="Arial"/>
          <w:b/>
        </w:rPr>
        <w:t>EL RECURRENTE</w:t>
      </w:r>
      <w:r>
        <w:rPr>
          <w:rFonts w:ascii="Palatino Linotype" w:hAnsi="Palatino Linotype" w:cs="Arial"/>
        </w:rPr>
        <w:t xml:space="preserve"> realizara manifestaciones, alegatos y ofreciera las pruebas que a su derecho </w:t>
      </w:r>
      <w:r>
        <w:rPr>
          <w:rFonts w:ascii="Palatino Linotype" w:hAnsi="Palatino Linotype" w:cs="Arial"/>
          <w:lang w:val="es-ES_tradnl"/>
        </w:rPr>
        <w:t>conviniera</w:t>
      </w:r>
      <w:r>
        <w:rPr>
          <w:rFonts w:ascii="Palatino Linotype" w:hAnsi="Palatino Linotype" w:cs="Arial"/>
        </w:rPr>
        <w:t xml:space="preserve"> y, en el caso del</w:t>
      </w:r>
      <w:r>
        <w:rPr>
          <w:rFonts w:ascii="Palatino Linotype" w:hAnsi="Palatino Linotype" w:cs="Arial"/>
          <w:b/>
        </w:rPr>
        <w:t xml:space="preserve"> SUJETO OBLIGADO</w:t>
      </w:r>
      <w:r>
        <w:rPr>
          <w:rFonts w:ascii="Palatino Linotype" w:hAnsi="Palatino Linotype" w:cs="Arial"/>
        </w:rPr>
        <w:t>, para que exhibiera los Informes Justificados correspondientes.</w:t>
      </w:r>
    </w:p>
    <w:p w:rsidR="00C115AD" w:rsidRDefault="00C115AD">
      <w:pPr>
        <w:pStyle w:val="Prrafodelista"/>
        <w:widowControl w:val="0"/>
        <w:tabs>
          <w:tab w:val="left" w:pos="0"/>
        </w:tabs>
        <w:spacing w:beforeAutospacing="1" w:afterAutospacing="1" w:line="360" w:lineRule="auto"/>
        <w:ind w:left="0"/>
        <w:contextualSpacing/>
        <w:jc w:val="both"/>
        <w:rPr>
          <w:rFonts w:ascii="Palatino Linotype" w:hAnsi="Palatino Linotype" w:cs="Arial"/>
        </w:rPr>
      </w:pPr>
    </w:p>
    <w:p w:rsidR="00C115AD" w:rsidRDefault="006854B3">
      <w:pPr>
        <w:pStyle w:val="Prrafodelista"/>
        <w:widowControl w:val="0"/>
        <w:tabs>
          <w:tab w:val="left" w:pos="0"/>
        </w:tabs>
        <w:spacing w:beforeAutospacing="1" w:afterAutospacing="1" w:line="360" w:lineRule="auto"/>
        <w:ind w:left="0"/>
        <w:contextualSpacing/>
        <w:jc w:val="both"/>
        <w:rPr>
          <w:rFonts w:ascii="Palatino Linotype" w:hAnsi="Palatino Linotype" w:cs="Arial"/>
          <w:lang w:val="es-ES"/>
        </w:rPr>
      </w:pPr>
      <w:r>
        <w:rPr>
          <w:rFonts w:ascii="Palatino Linotype" w:hAnsi="Palatino Linotype"/>
          <w:b/>
          <w:sz w:val="28"/>
          <w:szCs w:val="28"/>
        </w:rPr>
        <w:t>VIII.</w:t>
      </w:r>
      <w:r>
        <w:rPr>
          <w:rFonts w:ascii="Palatino Linotype" w:hAnsi="Palatino Linotype" w:cs="Arial"/>
        </w:rPr>
        <w:t xml:space="preserve"> De las constancias que obran en los expedientes electrónicos del </w:t>
      </w:r>
      <w:r>
        <w:rPr>
          <w:rFonts w:ascii="Palatino Linotype" w:hAnsi="Palatino Linotype" w:cs="Arial"/>
          <w:b/>
        </w:rPr>
        <w:t>SAIMEX,</w:t>
      </w:r>
      <w:r>
        <w:rPr>
          <w:rFonts w:ascii="Palatino Linotype" w:hAnsi="Palatino Linotype" w:cs="Arial"/>
        </w:rPr>
        <w:t xml:space="preserve"> se advierte que </w:t>
      </w:r>
      <w:r>
        <w:rPr>
          <w:rFonts w:ascii="Palatino Linotype" w:hAnsi="Palatino Linotype" w:cs="Arial"/>
          <w:b/>
        </w:rPr>
        <w:t>EL SUJETO OBLIGADO</w:t>
      </w:r>
      <w:r>
        <w:rPr>
          <w:rFonts w:ascii="Palatino Linotype" w:hAnsi="Palatino Linotype" w:cs="Arial"/>
        </w:rPr>
        <w:t xml:space="preserve"> rindió sus Informes Justificados; sin embargo la ponencia de origen decidió no ponerlos a la vista del particular en virtud que </w:t>
      </w:r>
      <w:r>
        <w:rPr>
          <w:rFonts w:ascii="Palatino Linotype" w:hAnsi="Palatino Linotype" w:cs="Arial"/>
          <w:lang w:val="es-ES_tradnl"/>
        </w:rPr>
        <w:t xml:space="preserve">no modificó el sentido de las respuestas a la solicitudes de información, en términos del artículo 185, fracción III </w:t>
      </w:r>
      <w:r>
        <w:rPr>
          <w:rFonts w:ascii="Palatino Linotype" w:hAnsi="Palatino Linotype"/>
          <w:lang w:eastAsia="es-ES_tradnl"/>
        </w:rPr>
        <w:t>de la Ley de Transparencia y Acceso a la Información Pública del Estado de México y Municipios</w:t>
      </w:r>
      <w:r>
        <w:rPr>
          <w:rFonts w:ascii="Palatino Linotype" w:hAnsi="Palatino Linotype" w:cs="Arial"/>
        </w:rPr>
        <w:t xml:space="preserve">, sin embargo, si bien no atiende el derecho de </w:t>
      </w:r>
      <w:r>
        <w:rPr>
          <w:rFonts w:ascii="Palatino Linotype" w:hAnsi="Palatino Linotype" w:cs="Arial"/>
        </w:rPr>
        <w:lastRenderedPageBreak/>
        <w:t>acceso a la información, si remite documentos, mismos que se refieren a continuación. P</w:t>
      </w:r>
      <w:r>
        <w:rPr>
          <w:rFonts w:ascii="Palatino Linotype" w:hAnsi="Palatino Linotype" w:cs="Arial"/>
          <w:lang w:val="es-ES"/>
        </w:rPr>
        <w:t xml:space="preserve">or cuanto hace al documento denominado </w:t>
      </w:r>
      <w:r>
        <w:rPr>
          <w:rFonts w:ascii="Palatino Linotype" w:hAnsi="Palatino Linotype" w:cs="Arial"/>
          <w:b/>
          <w:i/>
          <w:lang w:val="es-ES"/>
        </w:rPr>
        <w:t>nomina.xlsx</w:t>
      </w:r>
      <w:r>
        <w:rPr>
          <w:rFonts w:ascii="Palatino Linotype" w:hAnsi="Palatino Linotype" w:cs="Arial"/>
          <w:lang w:val="es-ES"/>
        </w:rPr>
        <w:t>,  se estima que no se encuentra relacionada con las solicitudes, por lo que no se hará del conocimiento del particular.</w:t>
      </w:r>
    </w:p>
    <w:p w:rsidR="00C115AD" w:rsidRDefault="006854B3">
      <w:pPr>
        <w:pStyle w:val="Prrafodelista"/>
        <w:widowControl w:val="0"/>
        <w:tabs>
          <w:tab w:val="left" w:pos="0"/>
        </w:tabs>
        <w:spacing w:beforeAutospacing="1" w:afterAutospacing="1" w:line="360" w:lineRule="auto"/>
        <w:ind w:left="0"/>
        <w:contextualSpacing/>
        <w:jc w:val="both"/>
        <w:rPr>
          <w:rFonts w:ascii="Palatino Linotype" w:hAnsi="Palatino Linotype" w:cs="Arial"/>
          <w:lang w:val="es-ES"/>
        </w:rPr>
      </w:pPr>
      <w:r>
        <w:rPr>
          <w:rFonts w:ascii="Palatino Linotype" w:hAnsi="Palatino Linotype" w:cs="Arial"/>
        </w:rPr>
        <w:t>De igual forma, se desprende lo siguiente:</w:t>
      </w:r>
      <w:r>
        <w:rPr>
          <w:noProof/>
          <w:lang w:eastAsia="es-MX"/>
        </w:rPr>
        <w:drawing>
          <wp:inline distT="0" distB="0" distL="0" distR="0">
            <wp:extent cx="5690235" cy="5762625"/>
            <wp:effectExtent l="0" t="0" r="5715" b="9525"/>
            <wp:docPr id="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4"/>
                    <pic:cNvPicPr>
                      <a:picLocks noChangeAspect="1" noChangeArrowheads="1"/>
                    </pic:cNvPicPr>
                  </pic:nvPicPr>
                  <pic:blipFill>
                    <a:blip r:embed="rId9"/>
                    <a:srcRect l="37260" t="24640" r="37063" b="22684"/>
                    <a:stretch>
                      <a:fillRect/>
                    </a:stretch>
                  </pic:blipFill>
                  <pic:spPr bwMode="auto">
                    <a:xfrm>
                      <a:off x="0" y="0"/>
                      <a:ext cx="5690235" cy="5762625"/>
                    </a:xfrm>
                    <a:prstGeom prst="rect">
                      <a:avLst/>
                    </a:prstGeom>
                  </pic:spPr>
                </pic:pic>
              </a:graphicData>
            </a:graphic>
          </wp:inline>
        </w:drawing>
      </w:r>
    </w:p>
    <w:p w:rsidR="00C115AD" w:rsidRDefault="006854B3">
      <w:pPr>
        <w:spacing w:beforeAutospacing="1" w:afterAutospacing="1" w:line="360" w:lineRule="auto"/>
        <w:contextualSpacing/>
        <w:jc w:val="both"/>
        <w:rPr>
          <w:rFonts w:ascii="Palatino Linotype" w:hAnsi="Palatino Linotype" w:cs="Arial"/>
        </w:rPr>
      </w:pPr>
      <w:r>
        <w:rPr>
          <w:rFonts w:ascii="Palatino Linotype" w:hAnsi="Palatino Linotype" w:cs="Arial"/>
        </w:rPr>
        <w:lastRenderedPageBreak/>
        <w:t xml:space="preserve">Por su parte, </w:t>
      </w:r>
      <w:r>
        <w:rPr>
          <w:rFonts w:ascii="Palatino Linotype" w:hAnsi="Palatino Linotype" w:cs="Arial"/>
          <w:b/>
        </w:rPr>
        <w:t>EL RECURRENTE</w:t>
      </w:r>
      <w:r>
        <w:rPr>
          <w:rFonts w:ascii="Palatino Linotype" w:hAnsi="Palatino Linotype" w:cs="Arial"/>
        </w:rPr>
        <w:t xml:space="preserve"> no presentó manifestaciones, alegatos ni ofreció los medios de prueba que a su derecho convinieran.</w:t>
      </w:r>
    </w:p>
    <w:p w:rsidR="00C115AD" w:rsidRDefault="00C115AD">
      <w:pPr>
        <w:spacing w:beforeAutospacing="1" w:afterAutospacing="1" w:line="360" w:lineRule="auto"/>
        <w:contextualSpacing/>
        <w:jc w:val="both"/>
        <w:rPr>
          <w:rFonts w:ascii="Palatino Linotype" w:hAnsi="Palatino Linotype" w:cs="Arial"/>
        </w:rPr>
      </w:pPr>
    </w:p>
    <w:p w:rsidR="00C115AD" w:rsidRDefault="006854B3">
      <w:pPr>
        <w:spacing w:beforeAutospacing="1" w:afterAutospacing="1" w:line="360" w:lineRule="auto"/>
        <w:contextualSpacing/>
        <w:jc w:val="both"/>
        <w:rPr>
          <w:rFonts w:ascii="Palatino Linotype" w:hAnsi="Palatino Linotype" w:cs="Arial"/>
          <w:lang w:val="es-ES"/>
        </w:rPr>
      </w:pPr>
      <w:r>
        <w:rPr>
          <w:rFonts w:ascii="Palatino Linotype" w:hAnsi="Palatino Linotype"/>
          <w:b/>
          <w:sz w:val="28"/>
          <w:szCs w:val="28"/>
        </w:rPr>
        <w:t>IX.</w:t>
      </w:r>
      <w:r>
        <w:rPr>
          <w:rFonts w:ascii="Palatino Linotype" w:hAnsi="Palatino Linotype" w:cs="Arial"/>
        </w:rPr>
        <w:t xml:space="preserve"> </w:t>
      </w:r>
      <w:r>
        <w:rPr>
          <w:rFonts w:ascii="Palatino Linotype" w:hAnsi="Palatino Linotype"/>
        </w:rPr>
        <w:t xml:space="preserve">El catorce de mayo de dos mil veinte, en la Primera Sesión Extraordinaria del Pleno de este Instituto, se aprobó por Unanimidad el returno a la Comisionada Eva </w:t>
      </w:r>
      <w:r>
        <w:rPr>
          <w:rFonts w:ascii="Palatino Linotype" w:hAnsi="Palatino Linotype"/>
          <w:b/>
        </w:rPr>
        <w:t>EVA ABAID YAPUR</w:t>
      </w:r>
      <w:r>
        <w:rPr>
          <w:rFonts w:ascii="Palatino Linotype" w:hAnsi="Palatino Linotype"/>
        </w:rPr>
        <w:t>, para su estudio y resolución de los medios de impugnación de que se trata.</w:t>
      </w:r>
    </w:p>
    <w:p w:rsidR="00C115AD" w:rsidRDefault="00C115AD">
      <w:pPr>
        <w:spacing w:beforeAutospacing="1" w:afterAutospacing="1" w:line="360" w:lineRule="auto"/>
        <w:contextualSpacing/>
        <w:jc w:val="both"/>
        <w:rPr>
          <w:rFonts w:ascii="Palatino Linotype" w:hAnsi="Palatino Linotype" w:cs="Arial"/>
          <w:lang w:val="es-ES"/>
        </w:rPr>
      </w:pPr>
    </w:p>
    <w:p w:rsidR="00C115AD" w:rsidRDefault="006854B3">
      <w:pPr>
        <w:spacing w:beforeAutospacing="1" w:afterAutospacing="1" w:line="360" w:lineRule="auto"/>
        <w:contextualSpacing/>
        <w:jc w:val="both"/>
        <w:rPr>
          <w:rFonts w:ascii="Palatino Linotype" w:hAnsi="Palatino Linotype" w:cs="Arial"/>
          <w:lang w:val="es-ES"/>
        </w:rPr>
      </w:pPr>
      <w:r>
        <w:rPr>
          <w:rFonts w:ascii="Palatino Linotype" w:hAnsi="Palatino Linotype"/>
          <w:b/>
          <w:sz w:val="28"/>
          <w:szCs w:val="28"/>
        </w:rPr>
        <w:t>X.</w:t>
      </w:r>
      <w:r>
        <w:rPr>
          <w:rFonts w:ascii="Palatino Linotype" w:hAnsi="Palatino Linotype" w:cs="Arial"/>
        </w:rPr>
        <w:t xml:space="preserve"> Una vez </w:t>
      </w:r>
      <w:r>
        <w:rPr>
          <w:rFonts w:ascii="Palatino Linotype" w:hAnsi="Palatino Linotype" w:cs="Arial"/>
          <w:color w:val="000000" w:themeColor="text1"/>
        </w:rPr>
        <w:t>analizado</w:t>
      </w:r>
      <w:r>
        <w:rPr>
          <w:rFonts w:ascii="Palatino Linotype" w:hAnsi="Palatino Linotype" w:cs="Arial"/>
        </w:rPr>
        <w:t xml:space="preserve"> el estado procesal que guardaban los expedientes, en fechas veintitrés de enero; cuatro, veinticinco, veintiséis; veintiocho de febrero y cuatro, cinco y seis de marzo de dos mil veinte, la Comisionada Ponente acordó el cierre de instrucción; así </w:t>
      </w:r>
      <w:r>
        <w:rPr>
          <w:rFonts w:ascii="Palatino Linotype" w:hAnsi="Palatino Linotype" w:cs="Arial"/>
          <w:lang w:val="es-ES_tradnl"/>
        </w:rPr>
        <w:t>como,</w:t>
      </w:r>
      <w:r>
        <w:rPr>
          <w:rFonts w:ascii="Palatino Linotype" w:hAnsi="Palatino Linotype" w:cs="Arial"/>
        </w:rPr>
        <w:t xml:space="preserve"> la remisión de los mismos a efecto </w:t>
      </w:r>
      <w:r>
        <w:rPr>
          <w:rFonts w:ascii="Palatino Linotype" w:hAnsi="Palatino Linotype" w:cs="Arial"/>
          <w:lang w:val="es-ES_tradnl"/>
        </w:rPr>
        <w:t>de</w:t>
      </w:r>
      <w:r>
        <w:rPr>
          <w:rFonts w:ascii="Palatino Linotype" w:hAnsi="Palatino Linotype" w:cs="Arial"/>
        </w:rPr>
        <w:t xml:space="preserve"> ser resueltos, de conformidad con lo establecido en el artículo 185, fracciones VI y VIII de la Ley de Transparencia y Acceso a la Información Pública del Estado de México y Municipios.</w:t>
      </w:r>
    </w:p>
    <w:p w:rsidR="00C115AD" w:rsidRDefault="00C115AD">
      <w:pPr>
        <w:spacing w:beforeAutospacing="1" w:afterAutospacing="1" w:line="360" w:lineRule="auto"/>
        <w:contextualSpacing/>
        <w:jc w:val="both"/>
        <w:rPr>
          <w:rFonts w:ascii="Palatino Linotype" w:hAnsi="Palatino Linotype" w:cs="Arial"/>
        </w:rPr>
      </w:pPr>
    </w:p>
    <w:p w:rsidR="00C115AD" w:rsidRDefault="006854B3">
      <w:pPr>
        <w:spacing w:beforeAutospacing="1" w:afterAutospacing="1" w:line="360" w:lineRule="auto"/>
        <w:contextualSpacing/>
        <w:jc w:val="both"/>
        <w:rPr>
          <w:rFonts w:ascii="Palatino Linotype" w:hAnsi="Palatino Linotype"/>
        </w:rPr>
      </w:pPr>
      <w:r>
        <w:rPr>
          <w:rFonts w:ascii="Palatino Linotype" w:hAnsi="Palatino Linotype"/>
          <w:b/>
          <w:sz w:val="28"/>
          <w:szCs w:val="28"/>
        </w:rPr>
        <w:t xml:space="preserve">XI. </w:t>
      </w:r>
      <w:r>
        <w:rPr>
          <w:rFonts w:ascii="Palatino Linotype" w:eastAsia="Calibri" w:hAnsi="Palatino Linotype"/>
          <w:szCs w:val="22"/>
          <w:lang w:eastAsia="en-US"/>
        </w:rPr>
        <w:t>En fechas veinte, veintiuno, veinticinco y veintiséis de febrero; y tres, cuatro, cinco, seis de marzo de dos mil veinte, la Comisionada Ponente acordó ampliar el plazo para resolver los recursos de revisión de mérito, por un periodo de hasta quince días hábiles, de conformidad con el artículo 181, tercer párrafo de la Ley de Transparencia y Acceso a la Información Pública del Estado de México y Municipios</w:t>
      </w:r>
      <w:r>
        <w:rPr>
          <w:rFonts w:ascii="Palatino Linotype" w:hAnsi="Palatino Linotype"/>
        </w:rPr>
        <w:t>.</w:t>
      </w:r>
    </w:p>
    <w:p w:rsidR="00C115AD" w:rsidRDefault="00C115AD">
      <w:pPr>
        <w:spacing w:beforeAutospacing="1" w:afterAutospacing="1" w:line="360" w:lineRule="auto"/>
        <w:contextualSpacing/>
        <w:jc w:val="both"/>
        <w:rPr>
          <w:rFonts w:ascii="Palatino Linotype" w:hAnsi="Palatino Linotype"/>
        </w:rPr>
      </w:pPr>
    </w:p>
    <w:p w:rsidR="00C115AD" w:rsidRDefault="006854B3">
      <w:pPr>
        <w:spacing w:beforeAutospacing="1" w:afterAutospacing="1" w:line="360" w:lineRule="auto"/>
        <w:contextualSpacing/>
        <w:jc w:val="both"/>
        <w:rPr>
          <w:rFonts w:ascii="Palatino Linotype" w:hAnsi="Palatino Linotype"/>
        </w:rPr>
      </w:pPr>
      <w:r>
        <w:rPr>
          <w:rFonts w:ascii="Palatino Linotype" w:hAnsi="Palatino Linotype"/>
          <w:b/>
          <w:sz w:val="28"/>
          <w:szCs w:val="28"/>
        </w:rPr>
        <w:t>XII.</w:t>
      </w:r>
      <w:r>
        <w:rPr>
          <w:rFonts w:ascii="Palatino Linotype" w:hAnsi="Palatino Linotype"/>
          <w:sz w:val="28"/>
          <w:szCs w:val="28"/>
        </w:rPr>
        <w:t xml:space="preserve"> </w:t>
      </w:r>
      <w:r>
        <w:rPr>
          <w:rFonts w:ascii="Palatino Linotype" w:hAnsi="Palatino Linotype"/>
        </w:rPr>
        <w:t xml:space="preserve">Posteriormente, </w:t>
      </w:r>
      <w:r>
        <w:rPr>
          <w:rFonts w:ascii="Palatino Linotype" w:hAnsi="Palatino Linotype"/>
          <w:b/>
        </w:rPr>
        <w:t>EL</w:t>
      </w:r>
      <w:r>
        <w:rPr>
          <w:rFonts w:ascii="Palatino Linotype" w:hAnsi="Palatino Linotype"/>
        </w:rPr>
        <w:t xml:space="preserve"> </w:t>
      </w:r>
      <w:r>
        <w:rPr>
          <w:rFonts w:ascii="Palatino Linotype" w:hAnsi="Palatino Linotype"/>
          <w:b/>
        </w:rPr>
        <w:t>SUJETO OBLIGADO</w:t>
      </w:r>
      <w:r>
        <w:rPr>
          <w:rFonts w:ascii="Palatino Linotype" w:hAnsi="Palatino Linotype"/>
        </w:rPr>
        <w:t>,</w:t>
      </w:r>
      <w:r>
        <w:rPr>
          <w:rFonts w:ascii="Palatino Linotype" w:hAnsi="Palatino Linotype"/>
          <w:b/>
        </w:rPr>
        <w:t xml:space="preserve"> </w:t>
      </w:r>
      <w:r>
        <w:rPr>
          <w:rFonts w:ascii="Palatino Linotype" w:hAnsi="Palatino Linotype"/>
        </w:rPr>
        <w:t xml:space="preserve">remitió el acta de la vigésima sesión extraordinaria acuerdo número </w:t>
      </w:r>
      <w:r>
        <w:rPr>
          <w:rFonts w:ascii="Palatino Linotype" w:hAnsi="Palatino Linotype"/>
          <w:b/>
        </w:rPr>
        <w:t xml:space="preserve">ACTTC/020/EXT/2020 </w:t>
      </w:r>
      <w:r>
        <w:rPr>
          <w:rFonts w:ascii="Palatino Linotype" w:hAnsi="Palatino Linotype"/>
        </w:rPr>
        <w:t xml:space="preserve">mediante la cual de manera </w:t>
      </w:r>
      <w:r>
        <w:rPr>
          <w:rFonts w:ascii="Palatino Linotype" w:hAnsi="Palatino Linotype"/>
        </w:rPr>
        <w:lastRenderedPageBreak/>
        <w:t>fundada y motivada refiere el cambio de modalidad para la entrega de información a in situ.</w:t>
      </w:r>
    </w:p>
    <w:p w:rsidR="00C115AD" w:rsidRDefault="006854B3">
      <w:pPr>
        <w:pStyle w:val="Prrafodelista"/>
        <w:spacing w:beforeAutospacing="1" w:afterAutospacing="1" w:line="360" w:lineRule="auto"/>
        <w:ind w:left="0"/>
        <w:contextualSpacing/>
        <w:jc w:val="center"/>
        <w:rPr>
          <w:rFonts w:ascii="Palatino Linotype" w:hAnsi="Palatino Linotype"/>
          <w:b/>
          <w:bCs/>
          <w:spacing w:val="60"/>
          <w:sz w:val="28"/>
        </w:rPr>
      </w:pPr>
      <w:r>
        <w:rPr>
          <w:rFonts w:ascii="Palatino Linotype" w:hAnsi="Palatino Linotype"/>
          <w:b/>
          <w:bCs/>
          <w:spacing w:val="60"/>
          <w:sz w:val="28"/>
        </w:rPr>
        <w:t>CONSIDERANDO</w:t>
      </w:r>
    </w:p>
    <w:p w:rsidR="00C115AD" w:rsidRDefault="006854B3">
      <w:pPr>
        <w:pStyle w:val="Prrafodelista"/>
        <w:widowControl w:val="0"/>
        <w:numPr>
          <w:ilvl w:val="0"/>
          <w:numId w:val="1"/>
        </w:numPr>
        <w:tabs>
          <w:tab w:val="left" w:pos="1701"/>
          <w:tab w:val="left" w:pos="1843"/>
        </w:tabs>
        <w:spacing w:beforeAutospacing="1" w:afterAutospacing="1" w:line="360" w:lineRule="auto"/>
        <w:ind w:left="0" w:firstLine="0"/>
        <w:contextualSpacing/>
        <w:jc w:val="both"/>
        <w:rPr>
          <w:rFonts w:ascii="Palatino Linotype" w:hAnsi="Palatino Linotype" w:cs="Arial"/>
        </w:rPr>
      </w:pPr>
      <w:r>
        <w:rPr>
          <w:rFonts w:ascii="Palatino Linotype" w:hAnsi="Palatino Linotype"/>
          <w:b/>
        </w:rPr>
        <w:t>Competencia</w:t>
      </w:r>
      <w:r>
        <w:rPr>
          <w:rFonts w:ascii="Palatino Linotype" w:hAnsi="Palatino Linotype"/>
        </w:rPr>
        <w:t>.</w:t>
      </w:r>
      <w:r>
        <w:rPr>
          <w:rFonts w:ascii="Palatino Linotype" w:hAnsi="Palatino Linotype"/>
          <w:b/>
        </w:rPr>
        <w:t xml:space="preserve"> </w:t>
      </w:r>
      <w:r>
        <w:rPr>
          <w:rFonts w:ascii="Palatino Linotype" w:hAnsi="Palatino Linotype"/>
        </w:rPr>
        <w:t>Este Instituto de Transparencia, Acceso a la Información Pública y Protección de Datos Personales del Estado de México y Municipios, es competente para conocer y resolver los presentes recursos, conforme a lo dispuesto en el artículo 6, Apartado A de la Constitución Política de los Estados Unidos Mexicanos; el artículo 5, párrafos vigésimo segundo, vigésimo tercero y vigésimo cuarto, fracciones IV y V de la Constitución Política del Estado Libre y Soberano de México; los artículos 2, fracción II, 13, 29, 36, fracciones I y II, 176, 178, 179, 181, párrafo tercero y 185 de la Ley de Transparencia y Acceso a la Información Pública del Estado de México y Municipios, y los artículos 9, fracciones I y XXIV y 11 del Reglamento Interior del Instituto de Transparencia, Acceso a la Información Pública y Protección de Datos Personales del Estado de México y Municipios</w:t>
      </w:r>
      <w:r>
        <w:rPr>
          <w:rFonts w:ascii="Palatino Linotype" w:hAnsi="Palatino Linotype" w:cs="Arial"/>
        </w:rPr>
        <w:t>.</w:t>
      </w:r>
    </w:p>
    <w:p w:rsidR="00C115AD" w:rsidRDefault="00C115AD">
      <w:pPr>
        <w:pStyle w:val="Prrafodelista"/>
        <w:widowControl w:val="0"/>
        <w:tabs>
          <w:tab w:val="left" w:pos="1701"/>
          <w:tab w:val="left" w:pos="1843"/>
        </w:tabs>
        <w:spacing w:beforeAutospacing="1" w:afterAutospacing="1" w:line="360" w:lineRule="auto"/>
        <w:ind w:left="0"/>
        <w:contextualSpacing/>
        <w:jc w:val="both"/>
        <w:rPr>
          <w:rFonts w:ascii="Palatino Linotype" w:hAnsi="Palatino Linotype" w:cs="Arial"/>
        </w:rPr>
      </w:pPr>
    </w:p>
    <w:p w:rsidR="00C115AD" w:rsidRDefault="006854B3">
      <w:pPr>
        <w:pStyle w:val="Prrafodelista"/>
        <w:widowControl w:val="0"/>
        <w:numPr>
          <w:ilvl w:val="0"/>
          <w:numId w:val="1"/>
        </w:numPr>
        <w:tabs>
          <w:tab w:val="left" w:pos="1701"/>
          <w:tab w:val="left" w:pos="1843"/>
        </w:tabs>
        <w:spacing w:beforeAutospacing="1" w:afterAutospacing="1" w:line="360" w:lineRule="auto"/>
        <w:ind w:left="0" w:firstLine="0"/>
        <w:contextualSpacing/>
        <w:jc w:val="both"/>
        <w:rPr>
          <w:rFonts w:ascii="Palatino Linotype" w:hAnsi="Palatino Linotype" w:cs="Arial"/>
          <w:lang w:val="es-ES_tradnl"/>
        </w:rPr>
      </w:pPr>
      <w:r>
        <w:rPr>
          <w:rFonts w:ascii="Palatino Linotype" w:hAnsi="Palatino Linotype" w:cs="Arial"/>
          <w:b/>
        </w:rPr>
        <w:t xml:space="preserve"> Interés.</w:t>
      </w:r>
      <w:r>
        <w:rPr>
          <w:rFonts w:ascii="Palatino Linotype" w:hAnsi="Palatino Linotype" w:cs="Arial"/>
        </w:rPr>
        <w:t xml:space="preserve"> Los </w:t>
      </w:r>
      <w:r>
        <w:rPr>
          <w:rFonts w:ascii="Palatino Linotype" w:hAnsi="Palatino Linotype"/>
        </w:rPr>
        <w:t>recursos</w:t>
      </w:r>
      <w:r>
        <w:rPr>
          <w:rFonts w:ascii="Palatino Linotype" w:hAnsi="Palatino Linotype" w:cs="Arial"/>
        </w:rPr>
        <w:t xml:space="preserve"> de revisión fueron </w:t>
      </w:r>
      <w:r>
        <w:rPr>
          <w:rFonts w:ascii="Palatino Linotype" w:hAnsi="Palatino Linotype"/>
        </w:rPr>
        <w:t>interpuestos</w:t>
      </w:r>
      <w:r>
        <w:rPr>
          <w:rFonts w:ascii="Palatino Linotype" w:hAnsi="Palatino Linotype" w:cs="Arial"/>
        </w:rPr>
        <w:t xml:space="preserve"> por parte legítima en atención a que fueron </w:t>
      </w:r>
      <w:r>
        <w:rPr>
          <w:rFonts w:ascii="Palatino Linotype" w:hAnsi="Palatino Linotype"/>
        </w:rPr>
        <w:t>presentados</w:t>
      </w:r>
      <w:r>
        <w:rPr>
          <w:rFonts w:ascii="Palatino Linotype" w:hAnsi="Palatino Linotype" w:cs="Arial"/>
        </w:rPr>
        <w:t xml:space="preserve"> por </w:t>
      </w:r>
      <w:r>
        <w:rPr>
          <w:rFonts w:ascii="Palatino Linotype" w:hAnsi="Palatino Linotype" w:cs="Arial"/>
          <w:b/>
        </w:rPr>
        <w:t>EL RECURRENTE</w:t>
      </w:r>
      <w:r>
        <w:rPr>
          <w:rFonts w:ascii="Palatino Linotype" w:hAnsi="Palatino Linotype" w:cs="Arial"/>
        </w:rPr>
        <w:t xml:space="preserve">, quien </w:t>
      </w:r>
      <w:r>
        <w:rPr>
          <w:rFonts w:ascii="Palatino Linotype" w:hAnsi="Palatino Linotype"/>
        </w:rPr>
        <w:t>formuló</w:t>
      </w:r>
      <w:r>
        <w:rPr>
          <w:rFonts w:ascii="Palatino Linotype" w:hAnsi="Palatino Linotype" w:cs="Arial"/>
        </w:rPr>
        <w:t xml:space="preserve"> las solicitudes de información pública</w:t>
      </w:r>
      <w:r>
        <w:rPr>
          <w:rFonts w:ascii="Palatino Linotype" w:hAnsi="Palatino Linotype" w:cs="Arial"/>
          <w:lang w:val="es-ES_tradnl"/>
        </w:rPr>
        <w:t>.</w:t>
      </w:r>
    </w:p>
    <w:p w:rsidR="00C115AD" w:rsidRDefault="00C115AD">
      <w:pPr>
        <w:pStyle w:val="Prrafodelista"/>
        <w:widowControl w:val="0"/>
        <w:tabs>
          <w:tab w:val="left" w:pos="1701"/>
          <w:tab w:val="left" w:pos="1843"/>
        </w:tabs>
        <w:spacing w:beforeAutospacing="1" w:afterAutospacing="1" w:line="360" w:lineRule="auto"/>
        <w:ind w:left="0"/>
        <w:contextualSpacing/>
        <w:jc w:val="both"/>
        <w:rPr>
          <w:rFonts w:ascii="Palatino Linotype" w:hAnsi="Palatino Linotype" w:cs="Arial"/>
          <w:lang w:val="es-ES_tradnl"/>
        </w:rPr>
      </w:pPr>
    </w:p>
    <w:p w:rsidR="00C115AD" w:rsidRDefault="006854B3">
      <w:pPr>
        <w:pStyle w:val="Prrafodelista"/>
        <w:widowControl w:val="0"/>
        <w:numPr>
          <w:ilvl w:val="0"/>
          <w:numId w:val="1"/>
        </w:numPr>
        <w:tabs>
          <w:tab w:val="left" w:pos="1701"/>
          <w:tab w:val="left" w:pos="1843"/>
        </w:tabs>
        <w:spacing w:beforeAutospacing="1" w:afterAutospacing="1" w:line="360" w:lineRule="auto"/>
        <w:ind w:left="0" w:firstLine="0"/>
        <w:contextualSpacing/>
        <w:jc w:val="both"/>
        <w:rPr>
          <w:rFonts w:ascii="Palatino Linotype" w:hAnsi="Palatino Linotype" w:cs="Arial"/>
          <w:lang w:val="es-ES_tradnl"/>
        </w:rPr>
      </w:pPr>
      <w:r>
        <w:rPr>
          <w:rFonts w:ascii="Palatino Linotype" w:hAnsi="Palatino Linotype" w:cs="Arial"/>
          <w:b/>
        </w:rPr>
        <w:t xml:space="preserve"> Justificación de la Acumulación de los recursos.</w:t>
      </w:r>
      <w:r>
        <w:rPr>
          <w:rFonts w:ascii="Palatino Linotype" w:hAnsi="Palatino Linotype" w:cs="Arial"/>
        </w:rPr>
        <w:t xml:space="preserve"> De las constancias que obran en los expedientes, se advierte que los recursos de revisión</w:t>
      </w:r>
      <w:r>
        <w:rPr>
          <w:rFonts w:ascii="Palatino Linotype" w:hAnsi="Palatino Linotype"/>
        </w:rPr>
        <w:t xml:space="preserve"> </w:t>
      </w:r>
      <w:r>
        <w:rPr>
          <w:rFonts w:ascii="Palatino Linotype" w:hAnsi="Palatino Linotype" w:cs="Arial"/>
        </w:rPr>
        <w:t xml:space="preserve">fueron presentados por el mismo </w:t>
      </w:r>
      <w:r>
        <w:rPr>
          <w:rFonts w:ascii="Palatino Linotype" w:hAnsi="Palatino Linotype" w:cs="Arial"/>
          <w:b/>
        </w:rPr>
        <w:t xml:space="preserve">RECURRENTE </w:t>
      </w:r>
      <w:r>
        <w:rPr>
          <w:rFonts w:ascii="Palatino Linotype" w:hAnsi="Palatino Linotype" w:cs="Arial"/>
        </w:rPr>
        <w:t xml:space="preserve">ante el mismo </w:t>
      </w:r>
      <w:r>
        <w:rPr>
          <w:rFonts w:ascii="Palatino Linotype" w:hAnsi="Palatino Linotype" w:cs="Arial"/>
          <w:b/>
        </w:rPr>
        <w:t>SUJETO OBLIGADO</w:t>
      </w:r>
      <w:r>
        <w:rPr>
          <w:rFonts w:ascii="Palatino Linotype" w:hAnsi="Palatino Linotype" w:cs="Arial"/>
        </w:rPr>
        <w:t xml:space="preserve">, aunado a que resulta conveniente su trámite de forma unificada por economía procesal </w:t>
      </w:r>
      <w:r>
        <w:rPr>
          <w:rFonts w:ascii="Palatino Linotype" w:hAnsi="Palatino Linotype" w:cs="Arial"/>
        </w:rPr>
        <w:lastRenderedPageBreak/>
        <w:t xml:space="preserve">y a fin de evitar la emisión de resoluciones contradictorias; por lo que, fue procedente que se decretara su acumulación, de conformidad con lo dispuesto en el artículo 18 del Código de Procedimientos Administrativos del Estado de México, de aplicación supletoria en términos del ordinal 195 de </w:t>
      </w:r>
      <w:r>
        <w:rPr>
          <w:rFonts w:ascii="Palatino Linotype" w:hAnsi="Palatino Linotype"/>
        </w:rPr>
        <w:t>la Ley de Transparencia y Acceso a la Información Pública del Estado de México y Municipios y los diversos los artículos 66 y 70 de los Lineamientos para el funcionamiento del Pleno y las Comisiones del Instituto de Transparencia, Acceso a la Información Pública y Protección de Datos Personales del Estado de México y Municipios.</w:t>
      </w:r>
    </w:p>
    <w:p w:rsidR="00C115AD" w:rsidRDefault="00C115AD">
      <w:pPr>
        <w:pStyle w:val="Prrafodelista"/>
        <w:widowControl w:val="0"/>
        <w:tabs>
          <w:tab w:val="left" w:pos="1701"/>
          <w:tab w:val="left" w:pos="1843"/>
        </w:tabs>
        <w:spacing w:beforeAutospacing="1" w:afterAutospacing="1" w:line="360" w:lineRule="auto"/>
        <w:ind w:left="0"/>
        <w:contextualSpacing/>
        <w:jc w:val="both"/>
        <w:rPr>
          <w:rFonts w:ascii="Palatino Linotype" w:hAnsi="Palatino Linotype" w:cs="Arial"/>
          <w:lang w:val="es-ES_tradnl"/>
        </w:rPr>
      </w:pPr>
    </w:p>
    <w:p w:rsidR="00C115AD" w:rsidRDefault="006854B3">
      <w:pPr>
        <w:pStyle w:val="Prrafodelista"/>
        <w:widowControl w:val="0"/>
        <w:tabs>
          <w:tab w:val="left" w:pos="1701"/>
          <w:tab w:val="left" w:pos="1843"/>
        </w:tabs>
        <w:spacing w:beforeAutospacing="1" w:afterAutospacing="1" w:line="360" w:lineRule="auto"/>
        <w:ind w:left="0"/>
        <w:contextualSpacing/>
        <w:jc w:val="both"/>
        <w:rPr>
          <w:rFonts w:ascii="Palatino Linotype" w:hAnsi="Palatino Linotype" w:cs="Arial"/>
          <w:lang w:val="es-ES_tradnl"/>
        </w:rPr>
      </w:pPr>
      <w:r>
        <w:rPr>
          <w:rFonts w:ascii="Palatino Linotype" w:eastAsiaTheme="minorEastAsia" w:hAnsi="Palatino Linotype" w:cs="Arial"/>
          <w:sz w:val="22"/>
          <w:szCs w:val="22"/>
        </w:rPr>
        <w:t xml:space="preserve">De </w:t>
      </w:r>
      <w:r>
        <w:rPr>
          <w:rFonts w:ascii="Palatino Linotype" w:eastAsiaTheme="minorEastAsia" w:hAnsi="Palatino Linotype" w:cs="Arial"/>
        </w:rPr>
        <w:t>lo dispuesto en la normativa anterior, dicha acumulación procede cuando:</w:t>
      </w:r>
    </w:p>
    <w:p w:rsidR="00C115AD" w:rsidRDefault="006854B3">
      <w:pPr>
        <w:numPr>
          <w:ilvl w:val="0"/>
          <w:numId w:val="2"/>
        </w:numPr>
        <w:tabs>
          <w:tab w:val="center" w:pos="4252"/>
          <w:tab w:val="right" w:pos="8504"/>
        </w:tabs>
        <w:spacing w:beforeAutospacing="1" w:line="360" w:lineRule="auto"/>
        <w:ind w:left="851" w:hanging="142"/>
        <w:contextualSpacing/>
        <w:jc w:val="both"/>
        <w:rPr>
          <w:rFonts w:ascii="Palatino Linotype" w:eastAsiaTheme="minorEastAsia" w:hAnsi="Palatino Linotype" w:cs="Arial"/>
        </w:rPr>
      </w:pPr>
      <w:r>
        <w:rPr>
          <w:rFonts w:ascii="Palatino Linotype" w:eastAsiaTheme="minorEastAsia" w:hAnsi="Palatino Linotype" w:cs="Arial"/>
        </w:rPr>
        <w:t>El solicitante y la información referida sean las mismas;</w:t>
      </w:r>
    </w:p>
    <w:p w:rsidR="00C115AD" w:rsidRDefault="006854B3">
      <w:pPr>
        <w:numPr>
          <w:ilvl w:val="0"/>
          <w:numId w:val="2"/>
        </w:numPr>
        <w:tabs>
          <w:tab w:val="center" w:pos="4252"/>
          <w:tab w:val="right" w:pos="8504"/>
        </w:tabs>
        <w:spacing w:line="360" w:lineRule="auto"/>
        <w:ind w:left="851" w:hanging="142"/>
        <w:contextualSpacing/>
        <w:jc w:val="both"/>
        <w:rPr>
          <w:rFonts w:ascii="Palatino Linotype" w:eastAsiaTheme="minorEastAsia" w:hAnsi="Palatino Linotype" w:cs="Arial"/>
        </w:rPr>
      </w:pPr>
      <w:r>
        <w:rPr>
          <w:rFonts w:ascii="Palatino Linotype" w:eastAsiaTheme="minorEastAsia" w:hAnsi="Palatino Linotype" w:cs="Arial"/>
          <w:b/>
        </w:rPr>
        <w:t>Las partes o los actos impugnados sean iguales</w:t>
      </w:r>
      <w:r>
        <w:rPr>
          <w:rFonts w:ascii="Palatino Linotype" w:eastAsiaTheme="minorEastAsia" w:hAnsi="Palatino Linotype" w:cs="Arial"/>
        </w:rPr>
        <w:t>;</w:t>
      </w:r>
    </w:p>
    <w:p w:rsidR="00C115AD" w:rsidRDefault="006854B3">
      <w:pPr>
        <w:numPr>
          <w:ilvl w:val="0"/>
          <w:numId w:val="2"/>
        </w:numPr>
        <w:tabs>
          <w:tab w:val="center" w:pos="4252"/>
          <w:tab w:val="right" w:pos="8504"/>
        </w:tabs>
        <w:spacing w:line="360" w:lineRule="auto"/>
        <w:ind w:left="851" w:hanging="142"/>
        <w:contextualSpacing/>
        <w:jc w:val="both"/>
        <w:rPr>
          <w:rFonts w:ascii="Palatino Linotype" w:eastAsiaTheme="minorEastAsia" w:hAnsi="Palatino Linotype" w:cs="Arial"/>
        </w:rPr>
      </w:pPr>
      <w:r>
        <w:rPr>
          <w:rFonts w:ascii="Palatino Linotype" w:eastAsiaTheme="minorEastAsia" w:hAnsi="Palatino Linotype" w:cs="Arial"/>
        </w:rPr>
        <w:t xml:space="preserve">Cuando se trate del mismo solicitante, el mismo Sujeto Obligado, </w:t>
      </w:r>
      <w:r>
        <w:rPr>
          <w:rFonts w:ascii="Palatino Linotype" w:eastAsiaTheme="minorEastAsia" w:hAnsi="Palatino Linotype" w:cs="Arial"/>
          <w:b/>
        </w:rPr>
        <w:t>aunque se trate de solicitudes diversas</w:t>
      </w:r>
      <w:r>
        <w:rPr>
          <w:rFonts w:ascii="Palatino Linotype" w:eastAsiaTheme="minorEastAsia" w:hAnsi="Palatino Linotype" w:cs="Arial"/>
        </w:rPr>
        <w:t>; y,</w:t>
      </w:r>
    </w:p>
    <w:p w:rsidR="00C115AD" w:rsidRDefault="006854B3">
      <w:pPr>
        <w:numPr>
          <w:ilvl w:val="0"/>
          <w:numId w:val="2"/>
        </w:numPr>
        <w:tabs>
          <w:tab w:val="center" w:pos="4252"/>
          <w:tab w:val="right" w:pos="8504"/>
        </w:tabs>
        <w:spacing w:afterAutospacing="1" w:line="360" w:lineRule="auto"/>
        <w:ind w:left="851" w:hanging="142"/>
        <w:contextualSpacing/>
        <w:jc w:val="both"/>
        <w:rPr>
          <w:rFonts w:ascii="Palatino Linotype" w:eastAsiaTheme="minorEastAsia" w:hAnsi="Palatino Linotype" w:cs="Arial"/>
        </w:rPr>
      </w:pPr>
      <w:r>
        <w:rPr>
          <w:rFonts w:ascii="Palatino Linotype" w:eastAsiaTheme="minorEastAsia" w:hAnsi="Palatino Linotype" w:cs="Arial"/>
          <w:b/>
        </w:rPr>
        <w:t>Resulte conveniente la resolución unificada de los asuntos</w:t>
      </w:r>
      <w:r>
        <w:rPr>
          <w:rFonts w:ascii="Palatino Linotype" w:eastAsiaTheme="minorEastAsia" w:hAnsi="Palatino Linotype" w:cs="Arial"/>
          <w:i/>
        </w:rPr>
        <w:t>.</w:t>
      </w:r>
    </w:p>
    <w:p w:rsidR="00C115AD" w:rsidRDefault="00C115AD">
      <w:pPr>
        <w:tabs>
          <w:tab w:val="center" w:pos="4252"/>
          <w:tab w:val="right" w:pos="8504"/>
        </w:tabs>
        <w:spacing w:beforeAutospacing="1" w:afterAutospacing="1" w:line="360" w:lineRule="auto"/>
        <w:contextualSpacing/>
        <w:jc w:val="both"/>
        <w:rPr>
          <w:rFonts w:ascii="Palatino Linotype" w:eastAsiaTheme="minorEastAsia" w:hAnsi="Palatino Linotype" w:cs="Arial"/>
        </w:rPr>
      </w:pPr>
    </w:p>
    <w:p w:rsidR="00C115AD" w:rsidRDefault="006854B3">
      <w:pPr>
        <w:tabs>
          <w:tab w:val="center" w:pos="4252"/>
          <w:tab w:val="right" w:pos="8504"/>
        </w:tabs>
        <w:spacing w:beforeAutospacing="1" w:afterAutospacing="1" w:line="360" w:lineRule="auto"/>
        <w:contextualSpacing/>
        <w:jc w:val="both"/>
        <w:rPr>
          <w:rFonts w:ascii="Palatino Linotype" w:eastAsiaTheme="minorEastAsia" w:hAnsi="Palatino Linotype" w:cs="Arial"/>
        </w:rPr>
      </w:pPr>
      <w:r>
        <w:rPr>
          <w:rFonts w:ascii="Palatino Linotype" w:eastAsiaTheme="minorEastAsia" w:hAnsi="Palatino Linotype" w:cs="Arial"/>
        </w:rPr>
        <w:t xml:space="preserve">Así, tal y como se mencionó anteriormente, los Recursos de Revisión que nos ocupan fueron interpuestos por el mismo </w:t>
      </w:r>
      <w:r>
        <w:rPr>
          <w:rFonts w:ascii="Palatino Linotype" w:eastAsiaTheme="minorEastAsia" w:hAnsi="Palatino Linotype" w:cs="Arial"/>
          <w:b/>
        </w:rPr>
        <w:t>RECURRENTE</w:t>
      </w:r>
      <w:r>
        <w:rPr>
          <w:rFonts w:ascii="Palatino Linotype" w:eastAsiaTheme="minorEastAsia" w:hAnsi="Palatino Linotype" w:cs="Arial"/>
        </w:rPr>
        <w:t xml:space="preserve"> ante el mismo </w:t>
      </w:r>
      <w:r>
        <w:rPr>
          <w:rFonts w:ascii="Palatino Linotype" w:eastAsiaTheme="minorEastAsia" w:hAnsi="Palatino Linotype" w:cs="Arial"/>
          <w:b/>
        </w:rPr>
        <w:t>SUJETO OBLIGADO</w:t>
      </w:r>
      <w:r>
        <w:rPr>
          <w:rFonts w:ascii="Palatino Linotype" w:eastAsiaTheme="minorEastAsia" w:hAnsi="Palatino Linotype" w:cs="Arial"/>
        </w:rPr>
        <w:t xml:space="preserve">; por lo que, resulta conveniente su resolución conjunta. </w:t>
      </w:r>
    </w:p>
    <w:p w:rsidR="00C115AD" w:rsidRDefault="006854B3">
      <w:pPr>
        <w:pStyle w:val="Prrafodelista"/>
        <w:widowControl w:val="0"/>
        <w:numPr>
          <w:ilvl w:val="0"/>
          <w:numId w:val="1"/>
        </w:numPr>
        <w:tabs>
          <w:tab w:val="left" w:pos="993"/>
          <w:tab w:val="left" w:pos="1701"/>
        </w:tabs>
        <w:spacing w:beforeAutospacing="1" w:afterAutospacing="1" w:line="360" w:lineRule="auto"/>
        <w:ind w:left="0" w:right="49" w:firstLine="0"/>
        <w:contextualSpacing/>
        <w:jc w:val="both"/>
        <w:rPr>
          <w:rFonts w:ascii="Palatino Linotype" w:hAnsi="Palatino Linotype" w:cs="Arial"/>
          <w:i/>
          <w:sz w:val="22"/>
          <w:szCs w:val="22"/>
        </w:rPr>
      </w:pPr>
      <w:r>
        <w:rPr>
          <w:rFonts w:ascii="Palatino Linotype" w:hAnsi="Palatino Linotype" w:cs="Arial"/>
          <w:b/>
          <w:color w:val="000000"/>
        </w:rPr>
        <w:t>Oportunidad.</w:t>
      </w:r>
      <w:r>
        <w:rPr>
          <w:rFonts w:ascii="Palatino Linotype" w:hAnsi="Palatino Linotype" w:cs="Arial"/>
          <w:color w:val="000000"/>
        </w:rPr>
        <w:t xml:space="preserve"> </w:t>
      </w:r>
      <w:r>
        <w:rPr>
          <w:rFonts w:ascii="Palatino Linotype" w:hAnsi="Palatino Linotype" w:cs="Arial"/>
        </w:rPr>
        <w:t xml:space="preserve">Los Recursos de Revisión fueron interpuestos dentro del plazo de quince días hábiles, contados a partir del día siguiente al en que </w:t>
      </w:r>
      <w:r>
        <w:rPr>
          <w:rFonts w:ascii="Palatino Linotype" w:hAnsi="Palatino Linotype" w:cs="Arial"/>
          <w:b/>
        </w:rPr>
        <w:t xml:space="preserve">EL RECURRENTE </w:t>
      </w:r>
      <w:r>
        <w:rPr>
          <w:rFonts w:ascii="Palatino Linotype" w:hAnsi="Palatino Linotype" w:cs="Arial"/>
        </w:rPr>
        <w:t xml:space="preserve">tuvo conocimiento de las respuestas impugnadas; tal y como, lo prevé el artículo 178 de la Ley de Transparencia y Acceso a la Información Pública del Estado </w:t>
      </w:r>
      <w:r>
        <w:rPr>
          <w:rFonts w:ascii="Palatino Linotype" w:hAnsi="Palatino Linotype" w:cs="Arial"/>
        </w:rPr>
        <w:lastRenderedPageBreak/>
        <w:t>de México y Municipios, que establece:</w:t>
      </w:r>
    </w:p>
    <w:p w:rsidR="00C115AD" w:rsidRDefault="006854B3">
      <w:pPr>
        <w:spacing w:beforeAutospacing="1" w:afterAutospacing="1"/>
        <w:ind w:left="720" w:right="709"/>
        <w:contextualSpacing/>
        <w:jc w:val="both"/>
        <w:rPr>
          <w:rFonts w:ascii="Palatino Linotype" w:hAnsi="Palatino Linotype" w:cs="Arial"/>
          <w:i/>
          <w:sz w:val="22"/>
        </w:rPr>
      </w:pPr>
      <w:r>
        <w:rPr>
          <w:rFonts w:ascii="Palatino Linotype" w:hAnsi="Palatino Linotype" w:cs="Arial"/>
          <w:i/>
          <w:sz w:val="22"/>
        </w:rPr>
        <w:t>“</w:t>
      </w:r>
      <w:r>
        <w:rPr>
          <w:rFonts w:ascii="Palatino Linotype" w:hAnsi="Palatino Linotype" w:cs="Arial"/>
          <w:b/>
          <w:i/>
          <w:sz w:val="22"/>
        </w:rPr>
        <w:t>Artículo 178.</w:t>
      </w:r>
      <w:r>
        <w:rPr>
          <w:rFonts w:ascii="Palatino Linotype" w:hAnsi="Palatino Linotype" w:cs="Arial"/>
          <w:i/>
          <w:sz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C115AD" w:rsidRDefault="006854B3">
      <w:pPr>
        <w:spacing w:beforeAutospacing="1" w:afterAutospacing="1"/>
        <w:ind w:left="720" w:right="709"/>
        <w:contextualSpacing/>
        <w:jc w:val="both"/>
        <w:rPr>
          <w:rFonts w:ascii="Palatino Linotype" w:hAnsi="Palatino Linotype" w:cs="Arial"/>
          <w:i/>
          <w:sz w:val="22"/>
        </w:rPr>
      </w:pPr>
      <w:r>
        <w:rPr>
          <w:rFonts w:ascii="Palatino Linotype" w:hAnsi="Palatino Linotype" w:cs="Arial"/>
          <w:i/>
          <w:sz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C115AD" w:rsidRDefault="006854B3">
      <w:pPr>
        <w:spacing w:beforeAutospacing="1" w:afterAutospacing="1"/>
        <w:ind w:left="720" w:right="709"/>
        <w:contextualSpacing/>
        <w:jc w:val="both"/>
        <w:rPr>
          <w:rFonts w:ascii="Palatino Linotype" w:hAnsi="Palatino Linotype" w:cs="Arial"/>
          <w:i/>
          <w:sz w:val="22"/>
        </w:rPr>
      </w:pPr>
      <w:r>
        <w:rPr>
          <w:rFonts w:ascii="Palatino Linotype" w:hAnsi="Palatino Linotype" w:cs="Arial"/>
          <w:i/>
          <w:sz w:val="22"/>
        </w:rPr>
        <w:t xml:space="preserve">En el caso de que se interponga ante la Unidad de Transparencia, ésta deberá remitir el recurso de revisión al Instituto a más tardar al día </w:t>
      </w:r>
      <w:r>
        <w:rPr>
          <w:rFonts w:ascii="Palatino Linotype" w:hAnsi="Palatino Linotype" w:cs="Arial"/>
          <w:i/>
          <w:sz w:val="22"/>
          <w:lang w:eastAsia="es-MX"/>
        </w:rPr>
        <w:t>siguiente</w:t>
      </w:r>
      <w:r>
        <w:rPr>
          <w:rFonts w:ascii="Palatino Linotype" w:hAnsi="Palatino Linotype" w:cs="Arial"/>
          <w:i/>
          <w:sz w:val="22"/>
        </w:rPr>
        <w:t xml:space="preserve"> de haberlo recibido.”</w:t>
      </w:r>
    </w:p>
    <w:p w:rsidR="00C115AD" w:rsidRDefault="00C115AD">
      <w:pPr>
        <w:spacing w:beforeAutospacing="1" w:afterAutospacing="1" w:line="360" w:lineRule="auto"/>
        <w:contextualSpacing/>
        <w:jc w:val="both"/>
        <w:rPr>
          <w:rFonts w:ascii="Palatino Linotype" w:hAnsi="Palatino Linotype" w:cs="Arial"/>
        </w:rPr>
      </w:pPr>
    </w:p>
    <w:p w:rsidR="00C115AD" w:rsidRDefault="006854B3">
      <w:pPr>
        <w:spacing w:beforeAutospacing="1" w:afterAutospacing="1" w:line="360" w:lineRule="auto"/>
        <w:contextualSpacing/>
        <w:jc w:val="both"/>
        <w:rPr>
          <w:rFonts w:ascii="Palatino Linotype" w:hAnsi="Palatino Linotype"/>
        </w:rPr>
      </w:pPr>
      <w:r>
        <w:rPr>
          <w:rFonts w:ascii="Palatino Linotype" w:hAnsi="Palatino Linotype" w:cs="Arial"/>
        </w:rPr>
        <w:t xml:space="preserve">En esa tesitura, atendiendo a que </w:t>
      </w:r>
      <w:r>
        <w:rPr>
          <w:rFonts w:ascii="Palatino Linotype" w:hAnsi="Palatino Linotype" w:cs="Arial"/>
          <w:b/>
        </w:rPr>
        <w:t>EL SUJETO OBLIGADO</w:t>
      </w:r>
      <w:r>
        <w:rPr>
          <w:rFonts w:ascii="Palatino Linotype" w:hAnsi="Palatino Linotype" w:cs="Arial"/>
        </w:rPr>
        <w:t xml:space="preserve"> notificó las respuestas a las solicitudes de acceso a la información pública, los días </w:t>
      </w:r>
      <w:r>
        <w:rPr>
          <w:rFonts w:ascii="Palatino Linotype" w:hAnsi="Palatino Linotype" w:cs="Arial"/>
          <w:b/>
        </w:rPr>
        <w:t>dieciséis y dieciocho de diciembre de dos mil diecinueve</w:t>
      </w:r>
      <w:r>
        <w:rPr>
          <w:rFonts w:ascii="Palatino Linotype" w:hAnsi="Palatino Linotype" w:cs="Arial"/>
        </w:rPr>
        <w:t xml:space="preserve">; así, los plazos de quince días hábiles que el artículo 178 de la Ley de la materia otorga al </w:t>
      </w:r>
      <w:r>
        <w:rPr>
          <w:rFonts w:ascii="Palatino Linotype" w:hAnsi="Palatino Linotype" w:cs="Arial"/>
          <w:b/>
        </w:rPr>
        <w:t>RECURRENTE</w:t>
      </w:r>
      <w:r>
        <w:rPr>
          <w:rFonts w:ascii="Palatino Linotype" w:hAnsi="Palatino Linotype" w:cs="Arial"/>
        </w:rPr>
        <w:t xml:space="preserve"> para presentar los respectivos Recursos de Revisión, transcurrieron del </w:t>
      </w:r>
      <w:r>
        <w:rPr>
          <w:rFonts w:ascii="Palatino Linotype" w:hAnsi="Palatino Linotype" w:cs="Arial"/>
          <w:b/>
        </w:rPr>
        <w:t>diecisiete de diciembre de dos mil diecinueve al veintiuno de enero de dos mil veinte</w:t>
      </w:r>
      <w:r>
        <w:rPr>
          <w:rFonts w:ascii="Palatino Linotype" w:hAnsi="Palatino Linotype" w:cs="Arial"/>
        </w:rPr>
        <w:t xml:space="preserve">, sin contemplar en el cómputo los días veintiuno, veintidós, veintiocho, veintinueve de diciembre de dos mil diecinueve, cuatro, cinco, once, doce, dieciocho y diecinueve de enero de dos mil veinte, por corresponder a sábados y domingos, considerados como días inhábiles, en términos del artículo 3, fracción X de la </w:t>
      </w:r>
      <w:r>
        <w:rPr>
          <w:rFonts w:ascii="Palatino Linotype" w:hAnsi="Palatino Linotype"/>
        </w:rPr>
        <w:t xml:space="preserve">Ley de Transparencia y Acceso a la Información Pública del Estado de México y Municipios; los días veintitrés, veinticuatro, veintiséis, veintisiete, treinta y treinta y uno de diciembre de dos mil diecinueve y dos, tres, seis y siete de enero de dos mil veinte, por ser considerados como días inhábiles por periodo vacacional de este Instituto; así como, el día veinticinco de diciembre de dos mil diecinueve por ser considerado como suspensión de labores, de conformidad con el </w:t>
      </w:r>
      <w:r>
        <w:rPr>
          <w:rFonts w:ascii="Palatino Linotype" w:hAnsi="Palatino Linotype"/>
        </w:rPr>
        <w:lastRenderedPageBreak/>
        <w:t>Calendario Oficial en Materia de Transparencia, Acceso a la Información Pública y Protección de Datos Personales para el año dos mil diecinueve y enero dos mil veinte, aprobado por el Pleno de este Instituto, el diecinueve de diciembre de dos mil dieciocho.</w:t>
      </w:r>
    </w:p>
    <w:p w:rsidR="00C115AD" w:rsidRDefault="00C115AD">
      <w:pPr>
        <w:spacing w:beforeAutospacing="1" w:afterAutospacing="1" w:line="360" w:lineRule="auto"/>
        <w:contextualSpacing/>
        <w:jc w:val="both"/>
        <w:rPr>
          <w:rFonts w:ascii="Palatino Linotype" w:hAnsi="Palatino Linotype"/>
        </w:rPr>
      </w:pPr>
    </w:p>
    <w:p w:rsidR="00C115AD" w:rsidRDefault="006854B3">
      <w:pPr>
        <w:spacing w:beforeAutospacing="1" w:afterAutospacing="1" w:line="360" w:lineRule="auto"/>
        <w:contextualSpacing/>
        <w:jc w:val="both"/>
        <w:rPr>
          <w:rFonts w:ascii="Palatino Linotype" w:hAnsi="Palatino Linotype"/>
        </w:rPr>
      </w:pPr>
      <w:r>
        <w:rPr>
          <w:rFonts w:ascii="Palatino Linotype" w:hAnsi="Palatino Linotype"/>
        </w:rPr>
        <w:t xml:space="preserve">Así como, </w:t>
      </w:r>
      <w:r>
        <w:rPr>
          <w:rFonts w:ascii="Palatino Linotype" w:hAnsi="Palatino Linotype" w:cs="Arial"/>
        </w:rPr>
        <w:t xml:space="preserve">del </w:t>
      </w:r>
      <w:r>
        <w:rPr>
          <w:rFonts w:ascii="Palatino Linotype" w:hAnsi="Palatino Linotype" w:cs="Arial"/>
          <w:b/>
        </w:rPr>
        <w:t>diecinueve de diciembre de dos mil diecinueve al veinticuatro de enero de dos mil veinte</w:t>
      </w:r>
      <w:r>
        <w:rPr>
          <w:rFonts w:ascii="Palatino Linotype" w:hAnsi="Palatino Linotype" w:cs="Arial"/>
        </w:rPr>
        <w:t xml:space="preserve">, sin contemplar en el cómputo los días veintiuno, veintidós, veintiocho, veintinueve de diciembre de dos mil diecinueve, cuatro, cinco, once, doce, dieciocho y diecinueve de enero de dos mil veinte, por corresponder a sábados y domingos, considerados como días inhábiles, en términos del artículo 3, fracción X de la </w:t>
      </w:r>
      <w:r>
        <w:rPr>
          <w:rFonts w:ascii="Palatino Linotype" w:hAnsi="Palatino Linotype"/>
        </w:rPr>
        <w:t>Ley de Transparencia y Acceso a la Información Pública del Estado de México y Municipios; los días veintitrés, veinticuatro, veintiséis, veintisiete, treinta y treinta y uno de diciembre de dos mil diecinueve y dos, tres, seis y siete de enero de dos mil veinte, por ser considerados como días inhábiles por periodo vacacional de este Instituto; así como, el día veinticinco de diciembre de dos mil diecinueve por ser considerado como suspensión de labores, de conformidad con el Calendario Oficial en Materia de Transparencia, Acceso a la Información Pública y Protección de Datos Personales para el año dos mil diecinueve y enero dos mil veinte, aprobado por el Pleno de este Instituto, el diecinueve de diciembre de dos mil dieciocho.</w:t>
      </w:r>
    </w:p>
    <w:p w:rsidR="00C115AD" w:rsidRDefault="00C115AD">
      <w:pPr>
        <w:spacing w:beforeAutospacing="1" w:afterAutospacing="1" w:line="360" w:lineRule="auto"/>
        <w:contextualSpacing/>
        <w:jc w:val="both"/>
        <w:rPr>
          <w:rFonts w:ascii="Palatino Linotype" w:hAnsi="Palatino Linotype" w:cs="Arial"/>
        </w:rPr>
      </w:pPr>
    </w:p>
    <w:p w:rsidR="00C115AD" w:rsidRDefault="006854B3">
      <w:pPr>
        <w:spacing w:beforeAutospacing="1" w:afterAutospacing="1" w:line="360" w:lineRule="auto"/>
        <w:contextualSpacing/>
        <w:jc w:val="both"/>
        <w:rPr>
          <w:rFonts w:ascii="Palatino Linotype" w:hAnsi="Palatino Linotype" w:cs="Arial"/>
        </w:rPr>
      </w:pPr>
      <w:r>
        <w:rPr>
          <w:rFonts w:ascii="Palatino Linotype" w:hAnsi="Palatino Linotype" w:cs="Arial"/>
        </w:rPr>
        <w:t>En ese tenor, si los Recursos de Revisión que nos ocupan, se interpusieron el</w:t>
      </w:r>
      <w:r>
        <w:rPr>
          <w:rFonts w:ascii="Palatino Linotype" w:hAnsi="Palatino Linotype" w:cs="Arial"/>
          <w:b/>
        </w:rPr>
        <w:t xml:space="preserve"> </w:t>
      </w:r>
      <w:r>
        <w:rPr>
          <w:rFonts w:ascii="Palatino Linotype" w:hAnsi="Palatino Linotype" w:cs="Arial"/>
          <w:b/>
          <w:u w:val="single"/>
        </w:rPr>
        <w:t>dieciocho y veinte de diciembre de dos mil diecinueve</w:t>
      </w:r>
      <w:r>
        <w:rPr>
          <w:rFonts w:ascii="Palatino Linotype" w:hAnsi="Palatino Linotype" w:cs="Arial"/>
        </w:rPr>
        <w:t>, éstos se encuentran dentro de los márgenes temporales previstos en el precepto legal citado en el párrafo anterior y, por tanto, su interposición se considera oportuna.</w:t>
      </w:r>
    </w:p>
    <w:p w:rsidR="00C115AD" w:rsidRDefault="006854B3">
      <w:pPr>
        <w:pStyle w:val="Prrafodelista"/>
        <w:widowControl w:val="0"/>
        <w:numPr>
          <w:ilvl w:val="0"/>
          <w:numId w:val="1"/>
        </w:numPr>
        <w:tabs>
          <w:tab w:val="left" w:pos="1701"/>
          <w:tab w:val="left" w:pos="1843"/>
        </w:tabs>
        <w:spacing w:beforeAutospacing="1" w:afterAutospacing="1" w:line="360" w:lineRule="auto"/>
        <w:ind w:left="0" w:firstLine="0"/>
        <w:contextualSpacing/>
        <w:jc w:val="both"/>
        <w:rPr>
          <w:rFonts w:ascii="Palatino Linotype" w:hAnsi="Palatino Linotype"/>
          <w:lang w:val="es-ES"/>
        </w:rPr>
      </w:pPr>
      <w:r>
        <w:rPr>
          <w:rFonts w:ascii="Palatino Linotype" w:hAnsi="Palatino Linotype" w:cs="Arial"/>
          <w:b/>
        </w:rPr>
        <w:lastRenderedPageBreak/>
        <w:t xml:space="preserve">Procedibilidad. </w:t>
      </w:r>
      <w:r>
        <w:rPr>
          <w:rFonts w:ascii="Palatino Linotype" w:hAnsi="Palatino Linotype" w:cs="Arial"/>
          <w:lang w:val="es-ES"/>
        </w:rPr>
        <w:t xml:space="preserve">Se considera importante abordar el análisis de los requisitos de procedibilidad del Recurso de Revisión; así, tenemos que el artículo 180 de la </w:t>
      </w:r>
      <w:r>
        <w:rPr>
          <w:rFonts w:ascii="Palatino Linotype" w:hAnsi="Palatino Linotype" w:cs="Arial"/>
          <w:lang w:val="es-ES" w:eastAsia="es-MX"/>
        </w:rPr>
        <w:t xml:space="preserve">Ley de Transparencia y Acceso a la Información Pública del Estado de México y Municipios, </w:t>
      </w:r>
      <w:r>
        <w:rPr>
          <w:rFonts w:ascii="Palatino Linotype" w:hAnsi="Palatino Linotype" w:cs="Arial"/>
          <w:lang w:val="es-ES"/>
        </w:rPr>
        <w:t>establece lo siguiente:</w:t>
      </w:r>
    </w:p>
    <w:p w:rsidR="00C115AD" w:rsidRDefault="006854B3">
      <w:pPr>
        <w:spacing w:beforeAutospacing="1" w:afterAutospacing="1" w:line="276" w:lineRule="auto"/>
        <w:ind w:left="851" w:right="992"/>
        <w:contextualSpacing/>
        <w:jc w:val="both"/>
        <w:rPr>
          <w:rFonts w:ascii="Palatino Linotype" w:hAnsi="Palatino Linotype"/>
          <w:b/>
          <w:i/>
          <w:sz w:val="22"/>
          <w:szCs w:val="22"/>
          <w:lang w:val="es-ES"/>
        </w:rPr>
      </w:pPr>
      <w:r>
        <w:rPr>
          <w:rFonts w:ascii="Palatino Linotype" w:hAnsi="Palatino Linotype"/>
          <w:b/>
          <w:i/>
          <w:sz w:val="22"/>
          <w:szCs w:val="22"/>
          <w:lang w:val="es-ES"/>
        </w:rPr>
        <w:t xml:space="preserve">“Artículo 180. </w:t>
      </w:r>
      <w:r>
        <w:rPr>
          <w:rFonts w:ascii="Palatino Linotype" w:hAnsi="Palatino Linotype"/>
          <w:i/>
          <w:sz w:val="22"/>
          <w:szCs w:val="22"/>
          <w:lang w:val="es-ES"/>
        </w:rPr>
        <w:t xml:space="preserve">El </w:t>
      </w:r>
      <w:r>
        <w:rPr>
          <w:rFonts w:ascii="Palatino Linotype" w:hAnsi="Palatino Linotype" w:cs="Arial"/>
          <w:i/>
          <w:sz w:val="22"/>
          <w:szCs w:val="22"/>
          <w:lang w:val="es-ES"/>
        </w:rPr>
        <w:t>recurso</w:t>
      </w:r>
      <w:r>
        <w:rPr>
          <w:rFonts w:ascii="Palatino Linotype" w:hAnsi="Palatino Linotype"/>
          <w:i/>
          <w:sz w:val="22"/>
          <w:szCs w:val="22"/>
          <w:lang w:val="es-ES"/>
        </w:rPr>
        <w:t xml:space="preserve"> </w:t>
      </w:r>
      <w:r>
        <w:rPr>
          <w:rFonts w:ascii="Palatino Linotype" w:hAnsi="Palatino Linotype" w:cs="Arial"/>
          <w:i/>
          <w:color w:val="222222"/>
          <w:sz w:val="22"/>
          <w:szCs w:val="22"/>
          <w:lang w:val="es-ES" w:eastAsia="es-MX"/>
        </w:rPr>
        <w:t>de</w:t>
      </w:r>
      <w:r>
        <w:rPr>
          <w:rFonts w:ascii="Palatino Linotype" w:hAnsi="Palatino Linotype"/>
          <w:i/>
          <w:sz w:val="22"/>
          <w:szCs w:val="22"/>
          <w:lang w:val="es-ES"/>
        </w:rPr>
        <w:t xml:space="preserve"> revisión contendrá:</w:t>
      </w:r>
      <w:r>
        <w:rPr>
          <w:rFonts w:ascii="Palatino Linotype" w:hAnsi="Palatino Linotype"/>
          <w:b/>
          <w:i/>
          <w:sz w:val="22"/>
          <w:szCs w:val="22"/>
          <w:lang w:val="es-ES"/>
        </w:rPr>
        <w:t xml:space="preserve"> </w:t>
      </w:r>
    </w:p>
    <w:p w:rsidR="00C115AD" w:rsidRDefault="006854B3">
      <w:pPr>
        <w:spacing w:beforeAutospacing="1" w:afterAutospacing="1" w:line="276" w:lineRule="auto"/>
        <w:ind w:left="851" w:right="992"/>
        <w:contextualSpacing/>
        <w:jc w:val="both"/>
        <w:rPr>
          <w:rFonts w:ascii="Palatino Linotype" w:hAnsi="Palatino Linotype"/>
          <w:b/>
          <w:i/>
          <w:sz w:val="22"/>
          <w:szCs w:val="22"/>
          <w:lang w:val="es-ES"/>
        </w:rPr>
      </w:pPr>
      <w:r>
        <w:rPr>
          <w:rFonts w:ascii="Palatino Linotype" w:hAnsi="Palatino Linotype"/>
          <w:b/>
          <w:i/>
          <w:sz w:val="22"/>
          <w:szCs w:val="22"/>
          <w:lang w:val="es-ES"/>
        </w:rPr>
        <w:t xml:space="preserve">I. </w:t>
      </w:r>
      <w:r>
        <w:rPr>
          <w:rFonts w:ascii="Palatino Linotype" w:hAnsi="Palatino Linotype"/>
          <w:i/>
          <w:sz w:val="22"/>
          <w:szCs w:val="22"/>
          <w:lang w:val="es-ES"/>
        </w:rPr>
        <w:t xml:space="preserve">El sujeto obligado ante </w:t>
      </w:r>
      <w:r>
        <w:rPr>
          <w:rFonts w:ascii="Palatino Linotype" w:hAnsi="Palatino Linotype" w:cs="Arial"/>
          <w:i/>
          <w:sz w:val="22"/>
          <w:szCs w:val="22"/>
          <w:lang w:val="es-ES"/>
        </w:rPr>
        <w:t>la</w:t>
      </w:r>
      <w:r>
        <w:rPr>
          <w:rFonts w:ascii="Palatino Linotype" w:hAnsi="Palatino Linotype"/>
          <w:i/>
          <w:sz w:val="22"/>
          <w:szCs w:val="22"/>
          <w:lang w:val="es-ES"/>
        </w:rPr>
        <w:t xml:space="preserve"> cual </w:t>
      </w:r>
      <w:r>
        <w:rPr>
          <w:rFonts w:ascii="Palatino Linotype" w:hAnsi="Palatino Linotype" w:cs="Arial"/>
          <w:i/>
          <w:color w:val="222222"/>
          <w:sz w:val="22"/>
          <w:szCs w:val="22"/>
          <w:lang w:val="es-ES" w:eastAsia="es-MX"/>
        </w:rPr>
        <w:t>se</w:t>
      </w:r>
      <w:r>
        <w:rPr>
          <w:rFonts w:ascii="Palatino Linotype" w:hAnsi="Palatino Linotype"/>
          <w:i/>
          <w:sz w:val="22"/>
          <w:szCs w:val="22"/>
          <w:lang w:val="es-ES"/>
        </w:rPr>
        <w:t xml:space="preserve"> presentó la solicitud;</w:t>
      </w:r>
      <w:r>
        <w:rPr>
          <w:rFonts w:ascii="Palatino Linotype" w:hAnsi="Palatino Linotype"/>
          <w:b/>
          <w:i/>
          <w:sz w:val="22"/>
          <w:szCs w:val="22"/>
          <w:lang w:val="es-ES"/>
        </w:rPr>
        <w:t xml:space="preserve"> </w:t>
      </w:r>
    </w:p>
    <w:p w:rsidR="00C115AD" w:rsidRDefault="006854B3">
      <w:pPr>
        <w:spacing w:beforeAutospacing="1" w:afterAutospacing="1" w:line="276" w:lineRule="auto"/>
        <w:ind w:left="851" w:right="992"/>
        <w:contextualSpacing/>
        <w:jc w:val="both"/>
        <w:rPr>
          <w:rFonts w:ascii="Palatino Linotype" w:hAnsi="Palatino Linotype"/>
          <w:b/>
          <w:i/>
          <w:sz w:val="22"/>
          <w:szCs w:val="22"/>
          <w:lang w:val="es-ES"/>
        </w:rPr>
      </w:pPr>
      <w:r>
        <w:rPr>
          <w:rFonts w:ascii="Palatino Linotype" w:hAnsi="Palatino Linotype"/>
          <w:b/>
          <w:i/>
          <w:sz w:val="22"/>
          <w:szCs w:val="22"/>
          <w:lang w:val="es-ES"/>
        </w:rPr>
        <w:t xml:space="preserve">II. </w:t>
      </w:r>
      <w:r>
        <w:rPr>
          <w:rFonts w:ascii="Palatino Linotype" w:hAnsi="Palatino Linotype"/>
          <w:b/>
          <w:i/>
          <w:sz w:val="22"/>
          <w:szCs w:val="22"/>
          <w:u w:val="single"/>
          <w:lang w:val="es-ES"/>
        </w:rPr>
        <w:t xml:space="preserve">El nombre del solicitante </w:t>
      </w:r>
      <w:r>
        <w:rPr>
          <w:rFonts w:ascii="Palatino Linotype" w:hAnsi="Palatino Linotype" w:cs="Arial"/>
          <w:b/>
          <w:i/>
          <w:color w:val="222222"/>
          <w:sz w:val="22"/>
          <w:szCs w:val="22"/>
          <w:u w:val="single"/>
          <w:lang w:val="es-ES" w:eastAsia="es-MX"/>
        </w:rPr>
        <w:t>que</w:t>
      </w:r>
      <w:r>
        <w:rPr>
          <w:rFonts w:ascii="Palatino Linotype" w:hAnsi="Palatino Linotype"/>
          <w:b/>
          <w:i/>
          <w:sz w:val="22"/>
          <w:szCs w:val="22"/>
          <w:u w:val="single"/>
          <w:lang w:val="es-ES"/>
        </w:rPr>
        <w:t xml:space="preserve"> recurre </w:t>
      </w:r>
      <w:r>
        <w:rPr>
          <w:rFonts w:ascii="Palatino Linotype" w:hAnsi="Palatino Linotype"/>
          <w:i/>
          <w:sz w:val="22"/>
          <w:szCs w:val="22"/>
          <w:lang w:val="es-ES"/>
        </w:rPr>
        <w:t>o de su representante y, en su caso, del tercero interesado, así como la dirección o medio que señale para recibir notificaciones;</w:t>
      </w:r>
      <w:r>
        <w:rPr>
          <w:rFonts w:ascii="Palatino Linotype" w:hAnsi="Palatino Linotype"/>
          <w:b/>
          <w:i/>
          <w:sz w:val="22"/>
          <w:szCs w:val="22"/>
          <w:lang w:val="es-ES"/>
        </w:rPr>
        <w:t xml:space="preserve"> </w:t>
      </w:r>
    </w:p>
    <w:p w:rsidR="00C115AD" w:rsidRDefault="006854B3">
      <w:pPr>
        <w:spacing w:beforeAutospacing="1" w:afterAutospacing="1" w:line="276" w:lineRule="auto"/>
        <w:ind w:left="851" w:right="992"/>
        <w:contextualSpacing/>
        <w:jc w:val="both"/>
        <w:rPr>
          <w:rFonts w:ascii="Palatino Linotype" w:hAnsi="Palatino Linotype"/>
          <w:b/>
          <w:i/>
          <w:sz w:val="22"/>
          <w:szCs w:val="22"/>
          <w:lang w:val="es-ES"/>
        </w:rPr>
      </w:pPr>
      <w:r>
        <w:rPr>
          <w:rFonts w:ascii="Palatino Linotype" w:hAnsi="Palatino Linotype"/>
          <w:b/>
          <w:i/>
          <w:sz w:val="22"/>
          <w:szCs w:val="22"/>
          <w:lang w:val="es-ES"/>
        </w:rPr>
        <w:t xml:space="preserve">III. </w:t>
      </w:r>
      <w:r>
        <w:rPr>
          <w:rFonts w:ascii="Palatino Linotype" w:hAnsi="Palatino Linotype"/>
          <w:i/>
          <w:sz w:val="22"/>
          <w:szCs w:val="22"/>
          <w:lang w:val="es-ES"/>
        </w:rPr>
        <w:t xml:space="preserve">El número de folio de </w:t>
      </w:r>
      <w:r>
        <w:rPr>
          <w:rFonts w:ascii="Palatino Linotype" w:hAnsi="Palatino Linotype" w:cs="Arial"/>
          <w:i/>
          <w:color w:val="222222"/>
          <w:sz w:val="22"/>
          <w:szCs w:val="22"/>
          <w:lang w:val="es-ES" w:eastAsia="es-MX"/>
        </w:rPr>
        <w:t>respuesta</w:t>
      </w:r>
      <w:r>
        <w:rPr>
          <w:rFonts w:ascii="Palatino Linotype" w:hAnsi="Palatino Linotype"/>
          <w:i/>
          <w:sz w:val="22"/>
          <w:szCs w:val="22"/>
          <w:lang w:val="es-ES"/>
        </w:rPr>
        <w:t xml:space="preserve"> de la solicitud de acceso; </w:t>
      </w:r>
    </w:p>
    <w:p w:rsidR="00C115AD" w:rsidRDefault="006854B3">
      <w:pPr>
        <w:spacing w:beforeAutospacing="1" w:afterAutospacing="1" w:line="276" w:lineRule="auto"/>
        <w:ind w:left="851" w:right="992"/>
        <w:contextualSpacing/>
        <w:jc w:val="both"/>
        <w:rPr>
          <w:rFonts w:ascii="Palatino Linotype" w:hAnsi="Palatino Linotype"/>
          <w:b/>
          <w:i/>
          <w:sz w:val="22"/>
          <w:szCs w:val="22"/>
          <w:lang w:val="es-ES"/>
        </w:rPr>
      </w:pPr>
      <w:r>
        <w:rPr>
          <w:rFonts w:ascii="Palatino Linotype" w:hAnsi="Palatino Linotype"/>
          <w:b/>
          <w:i/>
          <w:sz w:val="22"/>
          <w:szCs w:val="22"/>
          <w:lang w:val="es-ES"/>
        </w:rPr>
        <w:t xml:space="preserve">IV. </w:t>
      </w:r>
      <w:r>
        <w:rPr>
          <w:rFonts w:ascii="Palatino Linotype" w:hAnsi="Palatino Linotype"/>
          <w:i/>
          <w:sz w:val="22"/>
          <w:szCs w:val="22"/>
          <w:lang w:val="es-ES"/>
        </w:rPr>
        <w:t xml:space="preserve">La fecha en que fue </w:t>
      </w:r>
      <w:r>
        <w:rPr>
          <w:rFonts w:ascii="Palatino Linotype" w:hAnsi="Palatino Linotype" w:cs="Arial"/>
          <w:i/>
          <w:color w:val="222222"/>
          <w:sz w:val="22"/>
          <w:szCs w:val="22"/>
          <w:lang w:val="es-ES" w:eastAsia="es-MX"/>
        </w:rPr>
        <w:t>notificada</w:t>
      </w:r>
      <w:r>
        <w:rPr>
          <w:rFonts w:ascii="Palatino Linotype" w:hAnsi="Palatino Linotype"/>
          <w:i/>
          <w:sz w:val="22"/>
          <w:szCs w:val="22"/>
          <w:lang w:val="es-ES"/>
        </w:rPr>
        <w:t xml:space="preserve"> la respuesta al solicitante o tuvo conocimiento del acto reclamado, o de presentación de la solicitud, en caso de falta de respuesta;</w:t>
      </w:r>
      <w:r>
        <w:rPr>
          <w:rFonts w:ascii="Palatino Linotype" w:hAnsi="Palatino Linotype"/>
          <w:b/>
          <w:i/>
          <w:sz w:val="22"/>
          <w:szCs w:val="22"/>
          <w:lang w:val="es-ES"/>
        </w:rPr>
        <w:t xml:space="preserve"> </w:t>
      </w:r>
    </w:p>
    <w:p w:rsidR="00C115AD" w:rsidRDefault="006854B3">
      <w:pPr>
        <w:spacing w:beforeAutospacing="1" w:afterAutospacing="1" w:line="276" w:lineRule="auto"/>
        <w:ind w:left="851" w:right="992"/>
        <w:contextualSpacing/>
        <w:jc w:val="both"/>
        <w:rPr>
          <w:rFonts w:ascii="Palatino Linotype" w:hAnsi="Palatino Linotype"/>
          <w:b/>
          <w:i/>
          <w:sz w:val="22"/>
          <w:szCs w:val="22"/>
          <w:lang w:val="es-ES"/>
        </w:rPr>
      </w:pPr>
      <w:r>
        <w:rPr>
          <w:rFonts w:ascii="Palatino Linotype" w:hAnsi="Palatino Linotype"/>
          <w:b/>
          <w:i/>
          <w:sz w:val="22"/>
          <w:szCs w:val="22"/>
          <w:lang w:val="es-ES"/>
        </w:rPr>
        <w:t xml:space="preserve">V. </w:t>
      </w:r>
      <w:r>
        <w:rPr>
          <w:rFonts w:ascii="Palatino Linotype" w:hAnsi="Palatino Linotype"/>
          <w:i/>
          <w:sz w:val="22"/>
          <w:szCs w:val="22"/>
          <w:lang w:val="es-ES"/>
        </w:rPr>
        <w:t xml:space="preserve">El acto que se </w:t>
      </w:r>
      <w:r>
        <w:rPr>
          <w:rFonts w:ascii="Palatino Linotype" w:hAnsi="Palatino Linotype" w:cs="Arial"/>
          <w:i/>
          <w:color w:val="222222"/>
          <w:sz w:val="22"/>
          <w:szCs w:val="22"/>
          <w:lang w:val="es-ES" w:eastAsia="es-MX"/>
        </w:rPr>
        <w:t>recurre</w:t>
      </w:r>
      <w:r>
        <w:rPr>
          <w:rFonts w:ascii="Palatino Linotype" w:hAnsi="Palatino Linotype"/>
          <w:i/>
          <w:sz w:val="22"/>
          <w:szCs w:val="22"/>
          <w:lang w:val="es-ES"/>
        </w:rPr>
        <w:t>;</w:t>
      </w:r>
      <w:r>
        <w:rPr>
          <w:rFonts w:ascii="Palatino Linotype" w:hAnsi="Palatino Linotype"/>
          <w:b/>
          <w:i/>
          <w:sz w:val="22"/>
          <w:szCs w:val="22"/>
          <w:lang w:val="es-ES"/>
        </w:rPr>
        <w:t xml:space="preserve"> </w:t>
      </w:r>
    </w:p>
    <w:p w:rsidR="00C115AD" w:rsidRDefault="006854B3">
      <w:pPr>
        <w:spacing w:beforeAutospacing="1" w:afterAutospacing="1" w:line="276" w:lineRule="auto"/>
        <w:ind w:left="851" w:right="992"/>
        <w:contextualSpacing/>
        <w:jc w:val="both"/>
        <w:rPr>
          <w:rFonts w:ascii="Palatino Linotype" w:hAnsi="Palatino Linotype"/>
          <w:b/>
          <w:i/>
          <w:sz w:val="22"/>
          <w:szCs w:val="22"/>
          <w:lang w:val="es-ES"/>
        </w:rPr>
      </w:pPr>
      <w:r>
        <w:rPr>
          <w:rFonts w:ascii="Palatino Linotype" w:hAnsi="Palatino Linotype"/>
          <w:b/>
          <w:i/>
          <w:sz w:val="22"/>
          <w:szCs w:val="22"/>
          <w:lang w:val="es-ES"/>
        </w:rPr>
        <w:t xml:space="preserve">VI. </w:t>
      </w:r>
      <w:r>
        <w:rPr>
          <w:rFonts w:ascii="Palatino Linotype" w:hAnsi="Palatino Linotype"/>
          <w:i/>
          <w:sz w:val="22"/>
          <w:szCs w:val="22"/>
          <w:lang w:val="es-ES"/>
        </w:rPr>
        <w:t xml:space="preserve">Las razones o </w:t>
      </w:r>
      <w:r>
        <w:rPr>
          <w:rFonts w:ascii="Palatino Linotype" w:hAnsi="Palatino Linotype" w:cs="Arial"/>
          <w:i/>
          <w:color w:val="222222"/>
          <w:sz w:val="22"/>
          <w:szCs w:val="22"/>
          <w:lang w:val="es-ES" w:eastAsia="es-MX"/>
        </w:rPr>
        <w:t>motivos</w:t>
      </w:r>
      <w:r>
        <w:rPr>
          <w:rFonts w:ascii="Palatino Linotype" w:hAnsi="Palatino Linotype"/>
          <w:i/>
          <w:sz w:val="22"/>
          <w:szCs w:val="22"/>
          <w:lang w:val="es-ES"/>
        </w:rPr>
        <w:t xml:space="preserve"> de inconformidad;</w:t>
      </w:r>
      <w:r>
        <w:rPr>
          <w:rFonts w:ascii="Palatino Linotype" w:hAnsi="Palatino Linotype"/>
          <w:b/>
          <w:i/>
          <w:sz w:val="22"/>
          <w:szCs w:val="22"/>
          <w:lang w:val="es-ES"/>
        </w:rPr>
        <w:t xml:space="preserve"> </w:t>
      </w:r>
    </w:p>
    <w:p w:rsidR="00C115AD" w:rsidRDefault="006854B3">
      <w:pPr>
        <w:spacing w:beforeAutospacing="1" w:afterAutospacing="1" w:line="276" w:lineRule="auto"/>
        <w:ind w:left="851" w:right="992"/>
        <w:contextualSpacing/>
        <w:jc w:val="both"/>
        <w:rPr>
          <w:rFonts w:ascii="Palatino Linotype" w:hAnsi="Palatino Linotype"/>
          <w:b/>
          <w:i/>
          <w:sz w:val="22"/>
          <w:szCs w:val="22"/>
          <w:lang w:val="es-ES"/>
        </w:rPr>
      </w:pPr>
      <w:r>
        <w:rPr>
          <w:rFonts w:ascii="Palatino Linotype" w:hAnsi="Palatino Linotype"/>
          <w:b/>
          <w:i/>
          <w:sz w:val="22"/>
          <w:szCs w:val="22"/>
          <w:lang w:val="es-ES"/>
        </w:rPr>
        <w:t xml:space="preserve">VII. </w:t>
      </w:r>
      <w:r>
        <w:rPr>
          <w:rFonts w:ascii="Palatino Linotype" w:hAnsi="Palatino Linotype"/>
          <w:i/>
          <w:sz w:val="22"/>
          <w:szCs w:val="22"/>
          <w:lang w:val="es-ES"/>
        </w:rPr>
        <w:t>La copia de la respuesta que se impugna y, en su caso, de la notificación correspondiente, en el caso de respuesta de la solicitud; y</w:t>
      </w:r>
      <w:r>
        <w:rPr>
          <w:rFonts w:ascii="Palatino Linotype" w:hAnsi="Palatino Linotype"/>
          <w:b/>
          <w:i/>
          <w:sz w:val="22"/>
          <w:szCs w:val="22"/>
          <w:lang w:val="es-ES"/>
        </w:rPr>
        <w:t xml:space="preserve"> </w:t>
      </w:r>
    </w:p>
    <w:p w:rsidR="00C115AD" w:rsidRDefault="006854B3">
      <w:pPr>
        <w:spacing w:beforeAutospacing="1" w:afterAutospacing="1" w:line="276" w:lineRule="auto"/>
        <w:ind w:left="851" w:right="992"/>
        <w:contextualSpacing/>
        <w:jc w:val="both"/>
        <w:rPr>
          <w:rFonts w:ascii="Palatino Linotype" w:hAnsi="Palatino Linotype"/>
          <w:i/>
          <w:sz w:val="22"/>
          <w:szCs w:val="22"/>
          <w:lang w:val="es-ES"/>
        </w:rPr>
      </w:pPr>
      <w:r>
        <w:rPr>
          <w:rFonts w:ascii="Palatino Linotype" w:hAnsi="Palatino Linotype"/>
          <w:b/>
          <w:i/>
          <w:sz w:val="22"/>
          <w:szCs w:val="22"/>
          <w:lang w:val="es-ES"/>
        </w:rPr>
        <w:t xml:space="preserve">VIII. </w:t>
      </w:r>
      <w:r>
        <w:rPr>
          <w:rFonts w:ascii="Palatino Linotype" w:hAnsi="Palatino Linotype"/>
          <w:i/>
          <w:sz w:val="22"/>
          <w:szCs w:val="22"/>
          <w:lang w:val="es-ES"/>
        </w:rPr>
        <w:t>Firma del recurrente, en su caso, cuando se presente por escrito, requisito sin el cual se dará trámite al recurso.</w:t>
      </w:r>
    </w:p>
    <w:p w:rsidR="00C115AD" w:rsidRDefault="006854B3">
      <w:pPr>
        <w:spacing w:beforeAutospacing="1" w:afterAutospacing="1" w:line="276" w:lineRule="auto"/>
        <w:ind w:left="851" w:right="992"/>
        <w:contextualSpacing/>
        <w:jc w:val="both"/>
        <w:rPr>
          <w:rFonts w:ascii="Palatino Linotype" w:hAnsi="Palatino Linotype"/>
          <w:i/>
          <w:sz w:val="22"/>
          <w:szCs w:val="22"/>
          <w:lang w:val="es-ES"/>
        </w:rPr>
      </w:pPr>
      <w:r>
        <w:rPr>
          <w:rFonts w:ascii="Palatino Linotype" w:hAnsi="Palatino Linotype"/>
          <w:i/>
          <w:sz w:val="22"/>
          <w:szCs w:val="22"/>
          <w:lang w:val="es-ES"/>
        </w:rPr>
        <w:t xml:space="preserve">Adicionalmente, se podrán anexar las pruebas y demás elementos que considere procedentes someter a juicio del Instituto. </w:t>
      </w:r>
    </w:p>
    <w:p w:rsidR="00C115AD" w:rsidRDefault="006854B3">
      <w:pPr>
        <w:spacing w:beforeAutospacing="1" w:afterAutospacing="1" w:line="276" w:lineRule="auto"/>
        <w:ind w:left="851" w:right="992"/>
        <w:contextualSpacing/>
        <w:jc w:val="both"/>
        <w:rPr>
          <w:rFonts w:ascii="Palatino Linotype" w:hAnsi="Palatino Linotype"/>
          <w:i/>
          <w:sz w:val="22"/>
          <w:szCs w:val="22"/>
          <w:lang w:val="es-ES"/>
        </w:rPr>
      </w:pPr>
      <w:r>
        <w:rPr>
          <w:rFonts w:ascii="Palatino Linotype" w:hAnsi="Palatino Linotype"/>
          <w:i/>
          <w:sz w:val="22"/>
          <w:szCs w:val="22"/>
          <w:lang w:val="es-ES"/>
        </w:rPr>
        <w:t xml:space="preserve">En ningún caso será necesario que el particular ratifique el recurso de revisión interpuesto. </w:t>
      </w:r>
    </w:p>
    <w:p w:rsidR="00C115AD" w:rsidRDefault="006854B3">
      <w:pPr>
        <w:spacing w:beforeAutospacing="1" w:afterAutospacing="1" w:line="276" w:lineRule="auto"/>
        <w:ind w:left="851" w:right="992"/>
        <w:contextualSpacing/>
        <w:jc w:val="both"/>
        <w:rPr>
          <w:rFonts w:ascii="Palatino Linotype" w:hAnsi="Palatino Linotype"/>
          <w:b/>
          <w:i/>
          <w:sz w:val="22"/>
          <w:szCs w:val="22"/>
          <w:lang w:val="es-ES"/>
        </w:rPr>
      </w:pPr>
      <w:r>
        <w:rPr>
          <w:rFonts w:ascii="Palatino Linotype" w:hAnsi="Palatino Linotype"/>
          <w:b/>
          <w:i/>
          <w:sz w:val="22"/>
          <w:szCs w:val="22"/>
          <w:u w:val="single"/>
          <w:lang w:val="es-ES"/>
        </w:rPr>
        <w:t xml:space="preserve">En caso de </w:t>
      </w:r>
      <w:r>
        <w:rPr>
          <w:rFonts w:ascii="Palatino Linotype" w:hAnsi="Palatino Linotype" w:cs="Arial"/>
          <w:b/>
          <w:i/>
          <w:color w:val="222222"/>
          <w:sz w:val="22"/>
          <w:szCs w:val="22"/>
          <w:u w:val="single"/>
          <w:lang w:val="es-ES" w:eastAsia="es-MX"/>
        </w:rPr>
        <w:t>que</w:t>
      </w:r>
      <w:r>
        <w:rPr>
          <w:rFonts w:ascii="Palatino Linotype" w:hAnsi="Palatino Linotype"/>
          <w:b/>
          <w:i/>
          <w:sz w:val="22"/>
          <w:szCs w:val="22"/>
          <w:u w:val="single"/>
          <w:lang w:val="es-ES"/>
        </w:rPr>
        <w:t xml:space="preserve"> el recurso se interponga de manera electrónica no será indispensable que contengan los requisitos establecidos en las fracciones II</w:t>
      </w:r>
      <w:r>
        <w:rPr>
          <w:rFonts w:ascii="Palatino Linotype" w:hAnsi="Palatino Linotype"/>
          <w:i/>
          <w:sz w:val="22"/>
          <w:szCs w:val="22"/>
          <w:lang w:val="es-ES"/>
        </w:rPr>
        <w:t>, IV, VII y VIII.</w:t>
      </w:r>
      <w:r>
        <w:rPr>
          <w:rFonts w:ascii="Palatino Linotype" w:hAnsi="Palatino Linotype"/>
          <w:b/>
          <w:i/>
          <w:sz w:val="22"/>
          <w:szCs w:val="22"/>
          <w:lang w:val="es-ES"/>
        </w:rPr>
        <w:t>”</w:t>
      </w:r>
    </w:p>
    <w:p w:rsidR="00C115AD" w:rsidRDefault="00C115AD">
      <w:pPr>
        <w:spacing w:beforeAutospacing="1" w:afterAutospacing="1" w:line="360" w:lineRule="auto"/>
        <w:contextualSpacing/>
        <w:jc w:val="both"/>
        <w:rPr>
          <w:rFonts w:ascii="Palatino Linotype" w:hAnsi="Palatino Linotype"/>
          <w:lang w:val="es-ES"/>
        </w:rPr>
      </w:pPr>
    </w:p>
    <w:p w:rsidR="00C115AD" w:rsidRDefault="006854B3">
      <w:pPr>
        <w:spacing w:beforeAutospacing="1" w:afterAutospacing="1" w:line="360" w:lineRule="auto"/>
        <w:contextualSpacing/>
        <w:jc w:val="both"/>
        <w:rPr>
          <w:rFonts w:ascii="Palatino Linotype" w:hAnsi="Palatino Linotype"/>
          <w:lang w:val="es-ES"/>
        </w:rPr>
      </w:pPr>
      <w:r>
        <w:rPr>
          <w:rFonts w:ascii="Palatino Linotype" w:hAnsi="Palatino Linotype"/>
          <w:lang w:val="es-ES"/>
        </w:rPr>
        <w:t xml:space="preserve">En principio, de una interpretación del artículo transcrito se observan los requisitos que deberán contener los recursos de revisión; sobre el particular, de la revisión del expediente electrónico del </w:t>
      </w:r>
      <w:r>
        <w:rPr>
          <w:rFonts w:ascii="Palatino Linotype" w:hAnsi="Palatino Linotype"/>
          <w:b/>
          <w:lang w:val="es-ES"/>
        </w:rPr>
        <w:t>SAIMEX</w:t>
      </w:r>
      <w:r>
        <w:rPr>
          <w:rFonts w:ascii="Palatino Linotype" w:hAnsi="Palatino Linotype"/>
          <w:lang w:val="es-ES"/>
        </w:rPr>
        <w:t xml:space="preserve"> se desprende que la parte solicitante y ahora </w:t>
      </w:r>
      <w:r>
        <w:rPr>
          <w:rFonts w:ascii="Palatino Linotype" w:hAnsi="Palatino Linotype"/>
          <w:b/>
          <w:lang w:val="es-ES"/>
        </w:rPr>
        <w:lastRenderedPageBreak/>
        <w:t>RECURRENTE</w:t>
      </w:r>
      <w:r>
        <w:rPr>
          <w:rFonts w:ascii="Palatino Linotype" w:hAnsi="Palatino Linotype"/>
          <w:lang w:val="es-ES"/>
        </w:rPr>
        <w:t>, en ejercicio de su derecho de acceso a la información pública, no proporcionó su nombre completo para que sea identificada, ni se tiene la certeza sobre su identidad, lo que en estricto sentido provoca que no se colmen los requisitos establecidos en el citado artículo 180 de la Ley de Transparencia.</w:t>
      </w:r>
    </w:p>
    <w:p w:rsidR="00C115AD" w:rsidRDefault="00C115AD">
      <w:pPr>
        <w:spacing w:beforeAutospacing="1" w:afterAutospacing="1" w:line="360" w:lineRule="auto"/>
        <w:ind w:right="-91"/>
        <w:contextualSpacing/>
        <w:jc w:val="both"/>
        <w:rPr>
          <w:rFonts w:ascii="Palatino Linotype" w:hAnsi="Palatino Linotype"/>
          <w:lang w:val="es-ES"/>
        </w:rPr>
      </w:pPr>
    </w:p>
    <w:p w:rsidR="00C115AD" w:rsidRDefault="006854B3">
      <w:pPr>
        <w:spacing w:beforeAutospacing="1" w:afterAutospacing="1" w:line="360" w:lineRule="auto"/>
        <w:ind w:right="-91"/>
        <w:contextualSpacing/>
        <w:jc w:val="both"/>
        <w:rPr>
          <w:rFonts w:ascii="Palatino Linotype" w:hAnsi="Palatino Linotype" w:cs="Arial"/>
          <w:color w:val="000000"/>
          <w:lang w:val="es-ES"/>
        </w:rPr>
      </w:pPr>
      <w:r>
        <w:rPr>
          <w:rFonts w:ascii="Palatino Linotype" w:hAnsi="Palatino Linotype"/>
          <w:lang w:val="es-ES"/>
        </w:rPr>
        <w:t xml:space="preserve">Empero, debe destacarse que el artículo 15 de </w:t>
      </w:r>
      <w:r>
        <w:rPr>
          <w:rFonts w:ascii="Palatino Linotype" w:hAnsi="Palatino Linotype" w:cs="Arial"/>
          <w:lang w:val="es-ES" w:eastAsia="es-MX"/>
        </w:rPr>
        <w:t xml:space="preserve">Ley de Transparencia y Acceso a la Información Pública del Estado de México y Municipios </w:t>
      </w:r>
      <w:r>
        <w:rPr>
          <w:rFonts w:ascii="Palatino Linotype" w:hAnsi="Palatino Linotype" w:cs="Arial"/>
          <w:iCs/>
          <w:lang w:val="es-ES"/>
        </w:rPr>
        <w:t xml:space="preserve">prevé que </w:t>
      </w:r>
      <w:r>
        <w:rPr>
          <w:rFonts w:ascii="Palatino Linotype" w:hAnsi="Palatino Linotype"/>
          <w:lang w:val="es-ES"/>
        </w:rPr>
        <w:t xml:space="preserve">toda persona tendrá acceso a la información </w:t>
      </w:r>
      <w:r>
        <w:rPr>
          <w:rFonts w:ascii="Palatino Linotype" w:hAnsi="Palatino Linotype" w:cs="Arial"/>
          <w:color w:val="000000"/>
          <w:lang w:val="es-ES"/>
        </w:rPr>
        <w:t xml:space="preserve">sin necesidad de acreditar interés alguno o justificar su utilización, de lo que se infiere que para el ejercicio del derecho de acceso a la información pública, el nombre no es un requisito </w:t>
      </w:r>
      <w:r>
        <w:rPr>
          <w:rFonts w:ascii="Palatino Linotype" w:hAnsi="Palatino Linotype" w:cs="Arial"/>
          <w:i/>
          <w:color w:val="000000"/>
          <w:lang w:val="es-ES"/>
        </w:rPr>
        <w:t>sine qua non</w:t>
      </w:r>
      <w:r>
        <w:rPr>
          <w:rFonts w:ascii="Palatino Linotype" w:hAnsi="Palatino Linotype" w:cs="Arial"/>
          <w:color w:val="000000"/>
          <w:lang w:val="es-ES"/>
        </w:rPr>
        <w:t xml:space="preserve"> que los particulares y, en su caso, los recurrentes deban señalar, por el contrario la Ley de Transparencia prevé en su artículo 155, párrafo segundo la posibilidad de que las solicitudes de información sean anónimas, con nombre incompleto o seudónimo.</w:t>
      </w:r>
    </w:p>
    <w:p w:rsidR="00C115AD" w:rsidRDefault="00C115AD">
      <w:pPr>
        <w:spacing w:beforeAutospacing="1" w:afterAutospacing="1" w:line="360" w:lineRule="auto"/>
        <w:contextualSpacing/>
        <w:jc w:val="both"/>
        <w:rPr>
          <w:rFonts w:ascii="Palatino Linotype" w:hAnsi="Palatino Linotype"/>
          <w:lang w:val="es-ES"/>
        </w:rPr>
      </w:pPr>
    </w:p>
    <w:p w:rsidR="00C115AD" w:rsidRDefault="006854B3">
      <w:pPr>
        <w:spacing w:beforeAutospacing="1" w:afterAutospacing="1" w:line="360" w:lineRule="auto"/>
        <w:contextualSpacing/>
        <w:jc w:val="both"/>
        <w:rPr>
          <w:rFonts w:ascii="Palatino Linotype" w:hAnsi="Palatino Linotype"/>
          <w:lang w:val="es-ES"/>
        </w:rPr>
      </w:pPr>
      <w:r>
        <w:rPr>
          <w:rFonts w:ascii="Palatino Linotype" w:hAnsi="Palatino Linotype"/>
          <w:lang w:val="es-ES"/>
        </w:rPr>
        <w:t>Correlativo a ello, cabe mencionar que los artículos 6, Apartado A, de la Constitución Política de los Estados Unidos Mexicanos y 5 párrafos vigésimo segundo, vigésimo tercero y vigésimo cuarto de la Constitución Política del Estado Libre y Soberano de México, garantizan el ejercicio del derecho de acceso a la información pública, toda vez que disponen que toda persona sin necesidad de acreditar interés alguno o justificar su utilización, tendrá acceso gratuito a la información pública; preceptos cuyo texto y sentido literal es el siguiente:</w:t>
      </w:r>
    </w:p>
    <w:p w:rsidR="00C115AD" w:rsidRDefault="00C115AD">
      <w:pPr>
        <w:spacing w:beforeAutospacing="1" w:afterAutospacing="1" w:line="276" w:lineRule="auto"/>
        <w:ind w:left="851" w:right="992"/>
        <w:contextualSpacing/>
        <w:jc w:val="center"/>
        <w:rPr>
          <w:rFonts w:ascii="Palatino Linotype" w:hAnsi="Palatino Linotype" w:cs="Arial"/>
          <w:b/>
          <w:i/>
          <w:sz w:val="22"/>
          <w:szCs w:val="22"/>
          <w:lang w:val="es-ES"/>
        </w:rPr>
      </w:pPr>
    </w:p>
    <w:p w:rsidR="00C115AD" w:rsidRDefault="006854B3">
      <w:pPr>
        <w:spacing w:beforeAutospacing="1" w:afterAutospacing="1" w:line="276" w:lineRule="auto"/>
        <w:ind w:left="851" w:right="992"/>
        <w:contextualSpacing/>
        <w:jc w:val="center"/>
        <w:rPr>
          <w:rFonts w:ascii="Palatino Linotype" w:hAnsi="Palatino Linotype" w:cs="Arial"/>
          <w:b/>
          <w:i/>
          <w:sz w:val="22"/>
          <w:szCs w:val="22"/>
          <w:lang w:val="es-ES"/>
        </w:rPr>
      </w:pPr>
      <w:r>
        <w:rPr>
          <w:rFonts w:ascii="Palatino Linotype" w:hAnsi="Palatino Linotype" w:cs="Arial"/>
          <w:b/>
          <w:i/>
          <w:sz w:val="22"/>
          <w:szCs w:val="22"/>
          <w:lang w:val="es-ES"/>
        </w:rPr>
        <w:t>Constitución Política de los Estados Unidos Mexicanos</w:t>
      </w:r>
    </w:p>
    <w:p w:rsidR="00C115AD" w:rsidRDefault="006854B3">
      <w:pPr>
        <w:spacing w:beforeAutospacing="1" w:afterAutospacing="1" w:line="276" w:lineRule="auto"/>
        <w:ind w:left="851" w:right="992"/>
        <w:contextualSpacing/>
        <w:jc w:val="both"/>
        <w:rPr>
          <w:rFonts w:ascii="Palatino Linotype" w:hAnsi="Palatino Linotype" w:cs="Arial"/>
          <w:i/>
          <w:sz w:val="22"/>
          <w:szCs w:val="22"/>
          <w:lang w:val="es-ES"/>
        </w:rPr>
      </w:pPr>
      <w:r>
        <w:rPr>
          <w:rFonts w:ascii="Palatino Linotype" w:hAnsi="Palatino Linotype" w:cs="Arial"/>
          <w:b/>
          <w:i/>
          <w:sz w:val="22"/>
          <w:szCs w:val="22"/>
          <w:lang w:val="es-ES"/>
        </w:rPr>
        <w:t>“Artículo 6o.</w:t>
      </w:r>
      <w:r>
        <w:rPr>
          <w:rFonts w:ascii="Palatino Linotype" w:hAnsi="Palatino Linotype" w:cs="Arial"/>
          <w:i/>
          <w:sz w:val="22"/>
          <w:szCs w:val="22"/>
          <w:lang w:val="es-ES"/>
        </w:rPr>
        <w:t xml:space="preserve"> La manifestación de las ideas no será objeto de ninguna inquisición judicial o administrativa, sino en el caso de que ataque a la moral, la vida privada o </w:t>
      </w:r>
      <w:r>
        <w:rPr>
          <w:rFonts w:ascii="Palatino Linotype" w:hAnsi="Palatino Linotype" w:cs="Arial"/>
          <w:i/>
          <w:sz w:val="22"/>
          <w:szCs w:val="22"/>
          <w:lang w:val="es-ES"/>
        </w:rPr>
        <w:lastRenderedPageBreak/>
        <w:t xml:space="preserve">los derechos de terceros, provoque algún delito, o perturbe el orden público; el derecho de réplica será ejercido en los términos dispuestos por la ley. </w:t>
      </w:r>
      <w:r>
        <w:rPr>
          <w:rFonts w:ascii="Palatino Linotype" w:hAnsi="Palatino Linotype" w:cs="Arial"/>
          <w:b/>
          <w:i/>
          <w:sz w:val="22"/>
          <w:szCs w:val="22"/>
          <w:lang w:val="es-ES"/>
        </w:rPr>
        <w:t>El derecho a la información será garantizado por el Estado.</w:t>
      </w:r>
      <w:r>
        <w:rPr>
          <w:rFonts w:ascii="Palatino Linotype" w:hAnsi="Palatino Linotype" w:cs="Arial"/>
          <w:i/>
          <w:sz w:val="22"/>
          <w:szCs w:val="22"/>
          <w:lang w:val="es-ES"/>
        </w:rPr>
        <w:t xml:space="preserve"> </w:t>
      </w:r>
    </w:p>
    <w:p w:rsidR="00C115AD" w:rsidRDefault="006854B3">
      <w:pPr>
        <w:spacing w:beforeAutospacing="1" w:afterAutospacing="1" w:line="276" w:lineRule="auto"/>
        <w:ind w:left="851" w:right="992"/>
        <w:contextualSpacing/>
        <w:jc w:val="both"/>
        <w:rPr>
          <w:rFonts w:ascii="Palatino Linotype" w:hAnsi="Palatino Linotype" w:cs="Arial"/>
          <w:i/>
          <w:sz w:val="22"/>
          <w:szCs w:val="22"/>
          <w:lang w:val="es-ES"/>
        </w:rPr>
      </w:pPr>
      <w:r>
        <w:rPr>
          <w:rFonts w:ascii="Palatino Linotype" w:hAnsi="Palatino Linotype" w:cs="Arial"/>
          <w:i/>
          <w:sz w:val="22"/>
          <w:szCs w:val="22"/>
          <w:lang w:val="es-ES"/>
        </w:rPr>
        <w:t>Toda persona tiene derecho al libre acceso a información plural y oportuna, así como a buscar, recibir y difundir información e ideas de toda índole por cualquier medio de expresión.</w:t>
      </w:r>
    </w:p>
    <w:p w:rsidR="00C115AD" w:rsidRDefault="006854B3">
      <w:pPr>
        <w:spacing w:beforeAutospacing="1" w:afterAutospacing="1" w:line="276" w:lineRule="auto"/>
        <w:ind w:left="851" w:right="992"/>
        <w:contextualSpacing/>
        <w:jc w:val="both"/>
        <w:rPr>
          <w:rFonts w:ascii="Palatino Linotype" w:hAnsi="Palatino Linotype" w:cs="Arial"/>
          <w:i/>
          <w:sz w:val="22"/>
          <w:szCs w:val="22"/>
          <w:lang w:val="es-ES"/>
        </w:rPr>
      </w:pPr>
      <w:r>
        <w:rPr>
          <w:rFonts w:ascii="Palatino Linotype" w:hAnsi="Palatino Linotype" w:cs="Arial"/>
          <w:i/>
          <w:sz w:val="22"/>
          <w:szCs w:val="22"/>
          <w:lang w:val="es-ES"/>
        </w:rPr>
        <w:t>Para efectos de lo dispuesto en el presente artículo se observará lo siguiente:</w:t>
      </w:r>
    </w:p>
    <w:p w:rsidR="00C115AD" w:rsidRDefault="006854B3">
      <w:pPr>
        <w:spacing w:beforeAutospacing="1" w:afterAutospacing="1" w:line="276" w:lineRule="auto"/>
        <w:ind w:left="851" w:right="992"/>
        <w:contextualSpacing/>
        <w:jc w:val="both"/>
        <w:rPr>
          <w:rFonts w:ascii="Palatino Linotype" w:hAnsi="Palatino Linotype" w:cs="Arial"/>
          <w:i/>
          <w:sz w:val="22"/>
          <w:szCs w:val="22"/>
          <w:lang w:val="es-ES"/>
        </w:rPr>
      </w:pPr>
      <w:r>
        <w:rPr>
          <w:rFonts w:ascii="Palatino Linotype" w:hAnsi="Palatino Linotype" w:cs="Arial"/>
          <w:i/>
          <w:sz w:val="22"/>
          <w:szCs w:val="22"/>
          <w:lang w:val="es-ES"/>
        </w:rPr>
        <w:t>A. Para el ejercicio del derecho de acceso a la información, la Federación, los Estados y el Distrito Federal, en el ámbito de sus respectivas competencias, se regirán por los siguientes principios y bases:</w:t>
      </w:r>
    </w:p>
    <w:p w:rsidR="00C115AD" w:rsidRDefault="006854B3">
      <w:pPr>
        <w:spacing w:beforeAutospacing="1" w:afterAutospacing="1" w:line="276" w:lineRule="auto"/>
        <w:ind w:left="851" w:right="992"/>
        <w:contextualSpacing/>
        <w:jc w:val="both"/>
        <w:rPr>
          <w:rFonts w:ascii="Palatino Linotype" w:hAnsi="Palatino Linotype" w:cs="Arial"/>
          <w:i/>
          <w:sz w:val="22"/>
          <w:szCs w:val="22"/>
          <w:u w:val="single"/>
          <w:lang w:val="es-ES"/>
        </w:rPr>
      </w:pPr>
      <w:r>
        <w:rPr>
          <w:rFonts w:ascii="Palatino Linotype" w:hAnsi="Palatino Linotype" w:cs="Arial"/>
          <w:i/>
          <w:sz w:val="22"/>
          <w:szCs w:val="22"/>
          <w:u w:val="single"/>
          <w:lang w:val="es-ES"/>
        </w:rPr>
        <w:t>I.  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C115AD" w:rsidRDefault="006854B3">
      <w:pPr>
        <w:spacing w:beforeAutospacing="1" w:afterAutospacing="1" w:line="276" w:lineRule="auto"/>
        <w:ind w:left="851" w:right="992"/>
        <w:contextualSpacing/>
        <w:jc w:val="both"/>
        <w:rPr>
          <w:rFonts w:ascii="Palatino Linotype" w:hAnsi="Palatino Linotype" w:cs="Arial"/>
          <w:i/>
          <w:sz w:val="22"/>
          <w:szCs w:val="22"/>
          <w:lang w:val="es-ES"/>
        </w:rPr>
      </w:pPr>
      <w:r>
        <w:rPr>
          <w:rFonts w:ascii="Palatino Linotype" w:hAnsi="Palatino Linotype" w:cs="Arial"/>
          <w:i/>
          <w:sz w:val="22"/>
          <w:szCs w:val="22"/>
          <w:lang w:val="es-ES"/>
        </w:rPr>
        <w:t>II. La información que se refiere a la vida privada y los datos personales será protegida en los términos y con las excepciones que fijen las leyes.</w:t>
      </w:r>
    </w:p>
    <w:p w:rsidR="00C115AD" w:rsidRDefault="006854B3">
      <w:pPr>
        <w:spacing w:beforeAutospacing="1" w:afterAutospacing="1" w:line="276" w:lineRule="auto"/>
        <w:ind w:left="851" w:right="992"/>
        <w:contextualSpacing/>
        <w:jc w:val="both"/>
        <w:rPr>
          <w:rFonts w:ascii="Palatino Linotype" w:hAnsi="Palatino Linotype" w:cs="Arial"/>
          <w:i/>
          <w:sz w:val="22"/>
          <w:szCs w:val="22"/>
          <w:u w:val="single"/>
          <w:lang w:val="es-ES"/>
        </w:rPr>
      </w:pPr>
      <w:r>
        <w:rPr>
          <w:rFonts w:ascii="Palatino Linotype" w:hAnsi="Palatino Linotype" w:cs="Arial"/>
          <w:i/>
          <w:sz w:val="22"/>
          <w:szCs w:val="22"/>
          <w:u w:val="single"/>
          <w:lang w:val="es-ES"/>
        </w:rPr>
        <w:t>III. Toda persona, sin necesidad de acreditar interés alguno o justificar su utilización, tendrá acceso gratuito a la información pública, a sus datos personales o a la rectificación de éstos.</w:t>
      </w:r>
    </w:p>
    <w:p w:rsidR="00C115AD" w:rsidRDefault="006854B3">
      <w:pPr>
        <w:spacing w:beforeAutospacing="1" w:afterAutospacing="1" w:line="276" w:lineRule="auto"/>
        <w:ind w:left="851" w:right="992"/>
        <w:contextualSpacing/>
        <w:jc w:val="both"/>
        <w:rPr>
          <w:rFonts w:ascii="Palatino Linotype" w:hAnsi="Palatino Linotype" w:cs="Arial"/>
          <w:i/>
          <w:sz w:val="22"/>
          <w:szCs w:val="22"/>
          <w:lang w:val="es-ES"/>
        </w:rPr>
      </w:pPr>
      <w:r>
        <w:rPr>
          <w:rFonts w:ascii="Palatino Linotype" w:hAnsi="Palatino Linotype" w:cs="Arial"/>
          <w:i/>
          <w:sz w:val="22"/>
          <w:szCs w:val="22"/>
          <w:lang w:val="es-ES"/>
        </w:rPr>
        <w:t>IV. Se establecerán mecanismos de acceso a la información y procedimientos de revisión expeditos que se sustanciarán ante los organismos autónomos especializados e imparciales que establece esta Constitución.</w:t>
      </w:r>
    </w:p>
    <w:p w:rsidR="00C115AD" w:rsidRDefault="006854B3">
      <w:pPr>
        <w:spacing w:beforeAutospacing="1" w:afterAutospacing="1" w:line="276" w:lineRule="auto"/>
        <w:ind w:left="851" w:right="992"/>
        <w:contextualSpacing/>
        <w:jc w:val="both"/>
        <w:rPr>
          <w:rFonts w:ascii="Palatino Linotype" w:hAnsi="Palatino Linotype" w:cs="Arial"/>
          <w:i/>
          <w:sz w:val="22"/>
          <w:szCs w:val="22"/>
          <w:u w:val="single"/>
          <w:lang w:val="es-ES"/>
        </w:rPr>
      </w:pPr>
      <w:r>
        <w:rPr>
          <w:rFonts w:ascii="Palatino Linotype" w:hAnsi="Palatino Linotype" w:cs="Arial"/>
          <w:i/>
          <w:sz w:val="22"/>
          <w:szCs w:val="22"/>
          <w:u w:val="single"/>
          <w:lang w:val="es-ES"/>
        </w:rPr>
        <w:t>V. 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rsidR="00C115AD" w:rsidRDefault="006854B3">
      <w:pPr>
        <w:spacing w:beforeAutospacing="1" w:afterAutospacing="1" w:line="276" w:lineRule="auto"/>
        <w:ind w:left="851" w:right="992"/>
        <w:contextualSpacing/>
        <w:jc w:val="both"/>
        <w:rPr>
          <w:rFonts w:ascii="Palatino Linotype" w:hAnsi="Palatino Linotype" w:cs="Arial"/>
          <w:i/>
          <w:sz w:val="22"/>
          <w:szCs w:val="22"/>
          <w:u w:val="single"/>
          <w:lang w:val="es-ES"/>
        </w:rPr>
      </w:pPr>
      <w:r>
        <w:rPr>
          <w:rFonts w:ascii="Palatino Linotype" w:hAnsi="Palatino Linotype" w:cs="Arial"/>
          <w:i/>
          <w:sz w:val="22"/>
          <w:szCs w:val="22"/>
          <w:u w:val="single"/>
          <w:lang w:val="es-ES"/>
        </w:rPr>
        <w:lastRenderedPageBreak/>
        <w:t>VI. Las leyes determinarán la manera en que los sujetos obligados deberán hacer pública la información relativa a los recursos públicos que entreguen a personas físicas o morales.</w:t>
      </w:r>
    </w:p>
    <w:p w:rsidR="00C115AD" w:rsidRDefault="006854B3">
      <w:pPr>
        <w:spacing w:beforeAutospacing="1" w:afterAutospacing="1" w:line="276" w:lineRule="auto"/>
        <w:ind w:left="851" w:right="992"/>
        <w:contextualSpacing/>
        <w:jc w:val="both"/>
        <w:rPr>
          <w:rFonts w:ascii="Palatino Linotype" w:hAnsi="Palatino Linotype" w:cs="Arial"/>
          <w:i/>
          <w:sz w:val="22"/>
          <w:szCs w:val="22"/>
          <w:lang w:val="es-ES"/>
        </w:rPr>
      </w:pPr>
      <w:r>
        <w:rPr>
          <w:rFonts w:ascii="Palatino Linotype" w:hAnsi="Palatino Linotype" w:cs="Arial"/>
          <w:i/>
          <w:sz w:val="22"/>
          <w:szCs w:val="22"/>
          <w:lang w:val="es-ES"/>
        </w:rPr>
        <w:t>VII. La inobservancia a las disposiciones en materia de acceso a la información pública será sancionada en los términos que dispongan las leyes.</w:t>
      </w:r>
    </w:p>
    <w:p w:rsidR="00C115AD" w:rsidRDefault="006854B3">
      <w:pPr>
        <w:spacing w:beforeAutospacing="1" w:afterAutospacing="1" w:line="276" w:lineRule="auto"/>
        <w:ind w:left="851" w:right="992"/>
        <w:contextualSpacing/>
        <w:jc w:val="both"/>
        <w:rPr>
          <w:rFonts w:ascii="Palatino Linotype" w:hAnsi="Palatino Linotype" w:cs="Arial"/>
          <w:i/>
          <w:sz w:val="22"/>
          <w:szCs w:val="22"/>
          <w:lang w:val="es-ES"/>
        </w:rPr>
      </w:pPr>
      <w:r>
        <w:rPr>
          <w:rFonts w:ascii="Palatino Linotype" w:hAnsi="Palatino Linotype" w:cs="Arial"/>
          <w:i/>
          <w:sz w:val="22"/>
          <w:szCs w:val="22"/>
          <w:lang w:val="es-ES"/>
        </w:rPr>
        <w:t>VIII.    La Federación contará con un organismo autónomo, especializado, imparcial, colegiado, con personalidad jurídica y patrimonio propio, con plena autonomía técnica, de gestión, capacidad para decidir sobre el ejercicio de su presupuesto y determinar su organización interna, responsable de garantizar el cumplimiento del derecho de acceso a la información pública y a la protección de datos personales en posesión de los sujetos obligados en los términos que establezca la ley.</w:t>
      </w:r>
    </w:p>
    <w:p w:rsidR="00C115AD" w:rsidRDefault="006854B3">
      <w:pPr>
        <w:spacing w:beforeAutospacing="1" w:afterAutospacing="1" w:line="276" w:lineRule="auto"/>
        <w:ind w:left="851" w:right="992"/>
        <w:contextualSpacing/>
        <w:jc w:val="both"/>
        <w:rPr>
          <w:rFonts w:ascii="Palatino Linotype" w:hAnsi="Palatino Linotype" w:cs="Arial"/>
          <w:i/>
          <w:sz w:val="22"/>
          <w:szCs w:val="22"/>
          <w:lang w:val="es-ES"/>
        </w:rPr>
      </w:pPr>
      <w:r>
        <w:rPr>
          <w:rFonts w:ascii="Palatino Linotype" w:hAnsi="Palatino Linotype" w:cs="Arial"/>
          <w:i/>
          <w:sz w:val="22"/>
          <w:szCs w:val="22"/>
          <w:lang w:val="es-ES"/>
        </w:rPr>
        <w:t>…</w:t>
      </w:r>
    </w:p>
    <w:p w:rsidR="00C115AD" w:rsidRDefault="006854B3">
      <w:pPr>
        <w:spacing w:beforeAutospacing="1" w:afterAutospacing="1" w:line="276" w:lineRule="auto"/>
        <w:ind w:left="851" w:right="992"/>
        <w:contextualSpacing/>
        <w:jc w:val="both"/>
        <w:rPr>
          <w:rFonts w:ascii="Palatino Linotype" w:hAnsi="Palatino Linotype" w:cs="Arial"/>
          <w:i/>
          <w:color w:val="000000"/>
          <w:sz w:val="22"/>
          <w:szCs w:val="22"/>
          <w:lang w:val="es-ES" w:eastAsia="es-MX"/>
        </w:rPr>
      </w:pPr>
      <w:r>
        <w:rPr>
          <w:rFonts w:ascii="Palatino Linotype" w:hAnsi="Palatino Linotype" w:cs="Arial"/>
          <w:i/>
          <w:sz w:val="22"/>
          <w:szCs w:val="22"/>
          <w:u w:val="single"/>
          <w:lang w:val="es-ES"/>
        </w:rPr>
        <w:t>La ley establecerá aquella información que se considere reservada o confidencial.</w:t>
      </w:r>
      <w:r>
        <w:rPr>
          <w:rFonts w:ascii="Palatino Linotype" w:hAnsi="Palatino Linotype" w:cs="Arial"/>
          <w:b/>
          <w:i/>
          <w:sz w:val="22"/>
          <w:szCs w:val="22"/>
          <w:lang w:val="es-ES"/>
        </w:rPr>
        <w:t>”</w:t>
      </w:r>
      <w:r>
        <w:rPr>
          <w:rFonts w:ascii="Palatino Linotype" w:hAnsi="Palatino Linotype" w:cs="Arial"/>
          <w:i/>
          <w:color w:val="000000"/>
          <w:sz w:val="22"/>
          <w:szCs w:val="22"/>
          <w:lang w:val="es-ES" w:eastAsia="es-MX"/>
        </w:rPr>
        <w:t xml:space="preserve"> </w:t>
      </w:r>
    </w:p>
    <w:p w:rsidR="00C115AD" w:rsidRDefault="006854B3">
      <w:pPr>
        <w:spacing w:beforeAutospacing="1" w:afterAutospacing="1" w:line="276" w:lineRule="auto"/>
        <w:ind w:left="851" w:right="992"/>
        <w:contextualSpacing/>
        <w:jc w:val="center"/>
        <w:rPr>
          <w:rFonts w:ascii="Palatino Linotype" w:hAnsi="Palatino Linotype" w:cs="Arial"/>
          <w:b/>
          <w:i/>
          <w:sz w:val="22"/>
          <w:szCs w:val="22"/>
          <w:lang w:val="es-ES"/>
        </w:rPr>
      </w:pPr>
      <w:r>
        <w:rPr>
          <w:rFonts w:ascii="Palatino Linotype" w:hAnsi="Palatino Linotype" w:cs="Arial"/>
          <w:b/>
          <w:i/>
          <w:sz w:val="22"/>
          <w:szCs w:val="22"/>
          <w:lang w:val="es-ES"/>
        </w:rPr>
        <w:t>Constitución Política del Estado Libre y Soberano de México</w:t>
      </w:r>
    </w:p>
    <w:p w:rsidR="00C115AD" w:rsidRDefault="006854B3">
      <w:pPr>
        <w:spacing w:beforeAutospacing="1" w:afterAutospacing="1" w:line="276" w:lineRule="auto"/>
        <w:ind w:left="851" w:right="992"/>
        <w:contextualSpacing/>
        <w:jc w:val="both"/>
        <w:rPr>
          <w:rFonts w:ascii="Palatino Linotype" w:hAnsi="Palatino Linotype" w:cs="Arial"/>
          <w:b/>
          <w:i/>
          <w:sz w:val="22"/>
          <w:szCs w:val="22"/>
          <w:lang w:val="es-ES"/>
        </w:rPr>
      </w:pPr>
      <w:r>
        <w:rPr>
          <w:rFonts w:ascii="Palatino Linotype" w:hAnsi="Palatino Linotype" w:cs="Arial"/>
          <w:b/>
          <w:i/>
          <w:sz w:val="22"/>
          <w:szCs w:val="22"/>
          <w:lang w:val="es-ES"/>
        </w:rPr>
        <w:t xml:space="preserve">“Artículo 5. … </w:t>
      </w:r>
    </w:p>
    <w:p w:rsidR="00C115AD" w:rsidRDefault="006854B3">
      <w:pPr>
        <w:spacing w:beforeAutospacing="1" w:afterAutospacing="1" w:line="276" w:lineRule="auto"/>
        <w:ind w:left="851" w:right="992"/>
        <w:contextualSpacing/>
        <w:jc w:val="both"/>
        <w:rPr>
          <w:rFonts w:ascii="Palatino Linotype" w:hAnsi="Palatino Linotype"/>
          <w:i/>
          <w:sz w:val="22"/>
          <w:szCs w:val="22"/>
          <w:lang w:val="es-ES"/>
        </w:rPr>
      </w:pPr>
      <w:r>
        <w:rPr>
          <w:rFonts w:ascii="Palatino Linotype" w:hAnsi="Palatino Linotype"/>
          <w:b/>
          <w:i/>
          <w:sz w:val="22"/>
          <w:szCs w:val="22"/>
          <w:lang w:val="es-ES"/>
        </w:rPr>
        <w:t>El derecho a la información será garantizado por el Estado</w:t>
      </w:r>
      <w:r>
        <w:rPr>
          <w:rFonts w:ascii="Palatino Linotype" w:hAnsi="Palatino Linotype"/>
          <w:i/>
          <w:sz w:val="22"/>
          <w:szCs w:val="22"/>
          <w:lang w:val="es-ES"/>
        </w:rPr>
        <w:t xml:space="preserve">. La ley establecerá las previsiones que permitan asegurar la protección, el respeto y la difusión de este derecho. </w:t>
      </w:r>
    </w:p>
    <w:p w:rsidR="00C115AD" w:rsidRDefault="006854B3">
      <w:pPr>
        <w:spacing w:beforeAutospacing="1" w:afterAutospacing="1" w:line="276" w:lineRule="auto"/>
        <w:ind w:left="851" w:right="992"/>
        <w:contextualSpacing/>
        <w:jc w:val="both"/>
        <w:rPr>
          <w:rFonts w:ascii="Palatino Linotype" w:hAnsi="Palatino Linotype"/>
          <w:i/>
          <w:sz w:val="22"/>
          <w:szCs w:val="22"/>
          <w:lang w:val="es-ES"/>
        </w:rPr>
      </w:pPr>
      <w:r>
        <w:rPr>
          <w:rFonts w:ascii="Palatino Linotype" w:hAnsi="Palatino Linotype"/>
          <w:i/>
          <w:sz w:val="22"/>
          <w:szCs w:val="22"/>
          <w:lang w:val="es-ES"/>
        </w:rPr>
        <w:t xml:space="preserve">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 </w:t>
      </w:r>
    </w:p>
    <w:p w:rsidR="00C115AD" w:rsidRDefault="006854B3">
      <w:pPr>
        <w:spacing w:beforeAutospacing="1" w:afterAutospacing="1" w:line="276" w:lineRule="auto"/>
        <w:ind w:left="851" w:right="992"/>
        <w:contextualSpacing/>
        <w:jc w:val="both"/>
        <w:rPr>
          <w:rFonts w:ascii="Palatino Linotype" w:hAnsi="Palatino Linotype"/>
          <w:i/>
          <w:sz w:val="22"/>
          <w:szCs w:val="22"/>
          <w:lang w:val="es-ES"/>
        </w:rPr>
      </w:pPr>
      <w:r>
        <w:rPr>
          <w:rFonts w:ascii="Palatino Linotype" w:hAnsi="Palatino Linotype"/>
          <w:i/>
          <w:sz w:val="22"/>
          <w:szCs w:val="22"/>
          <w:lang w:val="es-ES"/>
        </w:rPr>
        <w:t>Este derecho se regirá por los principios y bases siguientes:</w:t>
      </w:r>
    </w:p>
    <w:p w:rsidR="00C115AD" w:rsidRDefault="006854B3">
      <w:pPr>
        <w:spacing w:beforeAutospacing="1" w:afterAutospacing="1" w:line="276" w:lineRule="auto"/>
        <w:ind w:left="851" w:right="992"/>
        <w:contextualSpacing/>
        <w:jc w:val="both"/>
        <w:rPr>
          <w:rFonts w:ascii="Palatino Linotype" w:hAnsi="Palatino Linotype"/>
          <w:i/>
          <w:sz w:val="22"/>
          <w:szCs w:val="22"/>
          <w:lang w:val="es-ES"/>
        </w:rPr>
      </w:pPr>
      <w:r>
        <w:rPr>
          <w:rFonts w:ascii="Palatino Linotype" w:hAnsi="Palatino Linotype"/>
          <w:b/>
          <w:i/>
          <w:sz w:val="22"/>
          <w:szCs w:val="22"/>
          <w:lang w:val="es-ES"/>
        </w:rPr>
        <w:t>I. Toda la información en posesión de cualquier autoridad, entidad, órgano y organismos de los Poderes Ejecutivo, Legislativo y Judicial, órganos autónomos, partidos políticos, fideicomisos y fondos públicos estatales y municipales,</w:t>
      </w:r>
      <w:r>
        <w:rPr>
          <w:rFonts w:ascii="Palatino Linotype" w:hAnsi="Palatino Linotype"/>
          <w:i/>
          <w:sz w:val="22"/>
          <w:szCs w:val="22"/>
          <w:lang w:val="es-ES"/>
        </w:rPr>
        <w:t xml:space="preserve">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w:t>
      </w:r>
      <w:r>
        <w:rPr>
          <w:rFonts w:ascii="Palatino Linotype" w:hAnsi="Palatino Linotype"/>
          <w:i/>
          <w:sz w:val="22"/>
          <w:szCs w:val="22"/>
          <w:lang w:val="es-ES"/>
        </w:rPr>
        <w:lastRenderedPageBreak/>
        <w:t>ejercicio de sus facultades, competencias o funciones, la ley determinará los supuestos específicos bajo los cuales procederá la declaración de inexistencia de la información.</w:t>
      </w:r>
    </w:p>
    <w:p w:rsidR="00C115AD" w:rsidRDefault="006854B3">
      <w:pPr>
        <w:spacing w:beforeAutospacing="1" w:afterAutospacing="1" w:line="276" w:lineRule="auto"/>
        <w:ind w:left="851" w:right="992"/>
        <w:contextualSpacing/>
        <w:jc w:val="both"/>
        <w:rPr>
          <w:rFonts w:ascii="Palatino Linotype" w:hAnsi="Palatino Linotype"/>
          <w:i/>
          <w:sz w:val="22"/>
          <w:szCs w:val="22"/>
          <w:lang w:val="es-ES"/>
        </w:rPr>
      </w:pPr>
      <w:r>
        <w:rPr>
          <w:rFonts w:ascii="Palatino Linotype" w:hAnsi="Palatino Linotype"/>
          <w:i/>
          <w:sz w:val="22"/>
          <w:szCs w:val="22"/>
          <w:lang w:val="es-ES"/>
        </w:rPr>
        <w:t>II. La información referente a la intimidad de la vida privada y la imagen de las personas será protegida a través de un marco jurídico rígido de tratamiento y manejo de datos personales, con las excepciones que establezca la ley reglamentaria.</w:t>
      </w:r>
    </w:p>
    <w:p w:rsidR="00C115AD" w:rsidRDefault="006854B3">
      <w:pPr>
        <w:spacing w:beforeAutospacing="1" w:afterAutospacing="1" w:line="276" w:lineRule="auto"/>
        <w:ind w:left="851" w:right="992"/>
        <w:contextualSpacing/>
        <w:jc w:val="both"/>
        <w:rPr>
          <w:rFonts w:ascii="Palatino Linotype" w:hAnsi="Palatino Linotype"/>
          <w:b/>
          <w:i/>
          <w:sz w:val="22"/>
          <w:szCs w:val="22"/>
          <w:lang w:val="es-ES"/>
        </w:rPr>
      </w:pPr>
      <w:r>
        <w:rPr>
          <w:rFonts w:ascii="Palatino Linotype" w:hAnsi="Palatino Linotype"/>
          <w:b/>
          <w:i/>
          <w:sz w:val="22"/>
          <w:szCs w:val="22"/>
          <w:lang w:val="es-ES"/>
        </w:rPr>
        <w:t>III. Toda persona, sin necesidad de acreditar interés alguno o justificar su utilización, tendrá acceso gratuito a la información pública, a sus datos personales o a la rectificación de éstos.</w:t>
      </w:r>
    </w:p>
    <w:p w:rsidR="00C115AD" w:rsidRDefault="006854B3">
      <w:pPr>
        <w:spacing w:beforeAutospacing="1" w:afterAutospacing="1" w:line="276" w:lineRule="auto"/>
        <w:ind w:left="851" w:right="992"/>
        <w:contextualSpacing/>
        <w:jc w:val="both"/>
        <w:rPr>
          <w:rFonts w:ascii="Palatino Linotype" w:hAnsi="Palatino Linotype"/>
          <w:i/>
          <w:sz w:val="22"/>
          <w:szCs w:val="22"/>
          <w:lang w:val="es-ES"/>
        </w:rPr>
      </w:pPr>
      <w:r>
        <w:rPr>
          <w:rFonts w:ascii="Palatino Linotype" w:hAnsi="Palatino Linotype"/>
          <w:i/>
          <w:sz w:val="22"/>
          <w:szCs w:val="22"/>
          <w:lang w:val="es-ES"/>
        </w:rPr>
        <w:t>IV. Se establecerán mecanismos de acceso a la información y procedimientos de revisión expeditos que se sustanciarán ante el organismo autónomo especializado e imparcial que establece esta Constitución.</w:t>
      </w:r>
    </w:p>
    <w:p w:rsidR="00C115AD" w:rsidRDefault="006854B3">
      <w:pPr>
        <w:spacing w:beforeAutospacing="1" w:afterAutospacing="1" w:line="276" w:lineRule="auto"/>
        <w:ind w:left="851" w:right="992"/>
        <w:contextualSpacing/>
        <w:jc w:val="both"/>
        <w:rPr>
          <w:rFonts w:ascii="Palatino Linotype" w:hAnsi="Palatino Linotype"/>
          <w:i/>
          <w:sz w:val="22"/>
          <w:szCs w:val="22"/>
          <w:lang w:val="es-ES"/>
        </w:rPr>
      </w:pPr>
      <w:r>
        <w:rPr>
          <w:rFonts w:ascii="Palatino Linotype" w:hAnsi="Palatino Linotype"/>
          <w:i/>
          <w:sz w:val="22"/>
          <w:szCs w:val="22"/>
          <w:lang w:val="es-ES"/>
        </w:rPr>
        <w:t>V. Los procedimientos de acceso a la información pública, de acceso, corrección y supresión de datos personales, así como los recursos de revisión derivados de los mismos, podrán tramitarse por medios electrónicos, a través de un sistema automatizado que para tal efecto establezca la ley reglamentaria y el organismo autónomo garante en el ámbito de su competencia. Las resoluciones que correspondan a estos procedimientos se sistematizarán para favorecer su consulta.</w:t>
      </w:r>
    </w:p>
    <w:p w:rsidR="00C115AD" w:rsidRDefault="006854B3">
      <w:pPr>
        <w:spacing w:beforeAutospacing="1" w:afterAutospacing="1" w:line="276" w:lineRule="auto"/>
        <w:ind w:left="851" w:right="992"/>
        <w:contextualSpacing/>
        <w:jc w:val="both"/>
        <w:rPr>
          <w:rFonts w:ascii="Palatino Linotype" w:hAnsi="Palatino Linotype"/>
          <w:i/>
          <w:sz w:val="22"/>
          <w:szCs w:val="22"/>
          <w:lang w:val="es-ES"/>
        </w:rPr>
      </w:pPr>
      <w:r>
        <w:rPr>
          <w:rFonts w:ascii="Palatino Linotype" w:hAnsi="Palatino Linotype"/>
          <w:i/>
          <w:sz w:val="22"/>
          <w:szCs w:val="22"/>
          <w:lang w:val="es-ES"/>
        </w:rPr>
        <w:t>VI. 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los resultados obtenidos.</w:t>
      </w:r>
    </w:p>
    <w:p w:rsidR="00C115AD" w:rsidRDefault="006854B3">
      <w:pPr>
        <w:spacing w:beforeAutospacing="1" w:afterAutospacing="1" w:line="276" w:lineRule="auto"/>
        <w:ind w:left="851" w:right="992"/>
        <w:contextualSpacing/>
        <w:jc w:val="both"/>
        <w:rPr>
          <w:rFonts w:ascii="Palatino Linotype" w:hAnsi="Palatino Linotype" w:cs="Arial"/>
          <w:i/>
          <w:sz w:val="22"/>
          <w:szCs w:val="22"/>
          <w:lang w:val="es-ES"/>
        </w:rPr>
      </w:pPr>
      <w:r>
        <w:rPr>
          <w:rFonts w:ascii="Palatino Linotype" w:hAnsi="Palatino Linotype"/>
          <w:i/>
          <w:sz w:val="22"/>
          <w:szCs w:val="22"/>
          <w:lang w:val="es-ES"/>
        </w:rPr>
        <w:t>VII. La ley reglamentaria, determinará la manera en que los sujetos obligados deberán hacer pública la información relativa a los recursos públicos que entreguen a personas físicas o jurídicas colectivas.</w:t>
      </w:r>
      <w:r>
        <w:rPr>
          <w:rFonts w:ascii="Palatino Linotype" w:hAnsi="Palatino Linotype"/>
          <w:b/>
          <w:i/>
          <w:sz w:val="22"/>
          <w:szCs w:val="22"/>
          <w:lang w:val="es-ES"/>
        </w:rPr>
        <w:t>”</w:t>
      </w:r>
    </w:p>
    <w:p w:rsidR="00C115AD" w:rsidRDefault="006854B3">
      <w:pPr>
        <w:spacing w:beforeAutospacing="1" w:afterAutospacing="1" w:line="276" w:lineRule="auto"/>
        <w:ind w:left="851" w:right="992"/>
        <w:contextualSpacing/>
        <w:jc w:val="both"/>
        <w:rPr>
          <w:rFonts w:ascii="Palatino Linotype" w:hAnsi="Palatino Linotype"/>
          <w:sz w:val="22"/>
          <w:szCs w:val="22"/>
          <w:lang w:val="es-ES"/>
        </w:rPr>
      </w:pPr>
      <w:r>
        <w:rPr>
          <w:rFonts w:ascii="Palatino Linotype" w:hAnsi="Palatino Linotype"/>
          <w:sz w:val="22"/>
          <w:szCs w:val="22"/>
          <w:lang w:val="es-ES"/>
        </w:rPr>
        <w:t>(Énfasis añadido)</w:t>
      </w:r>
    </w:p>
    <w:p w:rsidR="00C115AD" w:rsidRDefault="00C115AD">
      <w:pPr>
        <w:spacing w:beforeAutospacing="1" w:afterAutospacing="1" w:line="360" w:lineRule="auto"/>
        <w:contextualSpacing/>
        <w:jc w:val="both"/>
        <w:rPr>
          <w:rFonts w:ascii="Palatino Linotype" w:hAnsi="Palatino Linotype"/>
          <w:lang w:val="es-ES"/>
        </w:rPr>
      </w:pPr>
    </w:p>
    <w:p w:rsidR="00C115AD" w:rsidRDefault="006854B3">
      <w:pPr>
        <w:spacing w:beforeAutospacing="1" w:afterAutospacing="1" w:line="360" w:lineRule="auto"/>
        <w:contextualSpacing/>
        <w:jc w:val="both"/>
        <w:rPr>
          <w:rFonts w:ascii="Palatino Linotype" w:hAnsi="Palatino Linotype"/>
          <w:lang w:val="es-ES"/>
        </w:rPr>
      </w:pPr>
      <w:r>
        <w:rPr>
          <w:rFonts w:ascii="Palatino Linotype" w:hAnsi="Palatino Linotype"/>
          <w:lang w:val="es-ES"/>
        </w:rPr>
        <w:t>Por otra parte, del contenido del artículo 1 de la Constitución Política de los Estados Unidos Mexicanos, se destaca lo siguiente:</w:t>
      </w:r>
    </w:p>
    <w:p w:rsidR="00C115AD" w:rsidRDefault="00C115AD">
      <w:pPr>
        <w:spacing w:beforeAutospacing="1" w:afterAutospacing="1" w:line="276" w:lineRule="auto"/>
        <w:ind w:left="851" w:right="992"/>
        <w:contextualSpacing/>
        <w:jc w:val="both"/>
        <w:rPr>
          <w:rFonts w:ascii="Palatino Linotype" w:hAnsi="Palatino Linotype" w:cs="Arial"/>
          <w:b/>
          <w:i/>
          <w:sz w:val="22"/>
          <w:szCs w:val="22"/>
          <w:lang w:val="es-ES"/>
        </w:rPr>
      </w:pPr>
    </w:p>
    <w:p w:rsidR="00C115AD" w:rsidRDefault="006854B3">
      <w:pPr>
        <w:spacing w:beforeAutospacing="1" w:afterAutospacing="1" w:line="276" w:lineRule="auto"/>
        <w:ind w:left="851" w:right="992"/>
        <w:contextualSpacing/>
        <w:jc w:val="both"/>
        <w:rPr>
          <w:rFonts w:ascii="Palatino Linotype" w:hAnsi="Palatino Linotype" w:cs="Arial"/>
          <w:i/>
          <w:sz w:val="22"/>
          <w:szCs w:val="22"/>
          <w:lang w:val="es-ES"/>
        </w:rPr>
      </w:pPr>
      <w:r>
        <w:rPr>
          <w:rFonts w:ascii="Palatino Linotype" w:hAnsi="Palatino Linotype" w:cs="Arial"/>
          <w:b/>
          <w:i/>
          <w:sz w:val="22"/>
          <w:szCs w:val="22"/>
          <w:lang w:val="es-ES"/>
        </w:rPr>
        <w:lastRenderedPageBreak/>
        <w:t>“Artículo 1o</w:t>
      </w:r>
      <w:r>
        <w:rPr>
          <w:rFonts w:ascii="Palatino Linotype" w:hAnsi="Palatino Linotype" w:cs="Arial"/>
          <w:i/>
          <w:sz w:val="22"/>
          <w:szCs w:val="22"/>
          <w:lang w:val="es-ES"/>
        </w:rPr>
        <w:t>.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rsidR="00C115AD" w:rsidRDefault="006854B3">
      <w:pPr>
        <w:spacing w:beforeAutospacing="1" w:afterAutospacing="1" w:line="276" w:lineRule="auto"/>
        <w:ind w:left="851" w:right="992"/>
        <w:contextualSpacing/>
        <w:jc w:val="both"/>
        <w:rPr>
          <w:rFonts w:ascii="Palatino Linotype" w:hAnsi="Palatino Linotype" w:cs="Arial"/>
          <w:b/>
          <w:i/>
          <w:sz w:val="22"/>
          <w:szCs w:val="22"/>
          <w:lang w:val="es-ES"/>
        </w:rPr>
      </w:pPr>
      <w:r>
        <w:rPr>
          <w:rFonts w:ascii="Palatino Linotype" w:hAnsi="Palatino Linotype" w:cs="Arial"/>
          <w:b/>
          <w:i/>
          <w:sz w:val="22"/>
          <w:szCs w:val="22"/>
          <w:u w:val="single"/>
          <w:lang w:val="es-ES"/>
        </w:rPr>
        <w:t>Las normas relativas a los derechos humanos se interpretarán</w:t>
      </w:r>
      <w:r>
        <w:rPr>
          <w:rFonts w:ascii="Palatino Linotype" w:hAnsi="Palatino Linotype" w:cs="Arial"/>
          <w:i/>
          <w:sz w:val="22"/>
          <w:szCs w:val="22"/>
          <w:lang w:val="es-ES"/>
        </w:rPr>
        <w:t xml:space="preserve"> de conformidad con esta Constitución y con los tratados internacionales de la </w:t>
      </w:r>
      <w:r>
        <w:rPr>
          <w:rFonts w:ascii="Palatino Linotype" w:hAnsi="Palatino Linotype" w:cs="Arial"/>
          <w:b/>
          <w:i/>
          <w:sz w:val="22"/>
          <w:szCs w:val="22"/>
          <w:lang w:val="es-ES"/>
        </w:rPr>
        <w:t xml:space="preserve">materia </w:t>
      </w:r>
      <w:r>
        <w:rPr>
          <w:rFonts w:ascii="Palatino Linotype" w:hAnsi="Palatino Linotype" w:cs="Arial"/>
          <w:b/>
          <w:i/>
          <w:sz w:val="22"/>
          <w:szCs w:val="22"/>
          <w:u w:val="single"/>
          <w:lang w:val="es-ES"/>
        </w:rPr>
        <w:t>favoreciendo en todo tiempo a las personas la protección más amplia</w:t>
      </w:r>
      <w:r>
        <w:rPr>
          <w:rFonts w:ascii="Palatino Linotype" w:hAnsi="Palatino Linotype" w:cs="Arial"/>
          <w:b/>
          <w:i/>
          <w:sz w:val="22"/>
          <w:szCs w:val="22"/>
          <w:lang w:val="es-ES"/>
        </w:rPr>
        <w:t>.</w:t>
      </w:r>
    </w:p>
    <w:p w:rsidR="00C115AD" w:rsidRDefault="006854B3">
      <w:pPr>
        <w:spacing w:beforeAutospacing="1" w:afterAutospacing="1" w:line="276" w:lineRule="auto"/>
        <w:ind w:left="851" w:right="992"/>
        <w:contextualSpacing/>
        <w:jc w:val="both"/>
        <w:rPr>
          <w:rFonts w:ascii="Palatino Linotype" w:hAnsi="Palatino Linotype" w:cs="Arial"/>
          <w:i/>
          <w:sz w:val="22"/>
          <w:szCs w:val="22"/>
          <w:lang w:val="es-ES"/>
        </w:rPr>
      </w:pPr>
      <w:r>
        <w:rPr>
          <w:rFonts w:ascii="Palatino Linotype" w:hAnsi="Palatino Linotype" w:cs="Arial"/>
          <w:b/>
          <w:i/>
          <w:sz w:val="22"/>
          <w:szCs w:val="22"/>
          <w:u w:val="single"/>
          <w:lang w:val="es-ES"/>
        </w:rPr>
        <w:t>Todas las autoridades, en el ámbito de sus competencias, tienen la obligación de promover, respetar, proteger y garantizar los derechos humanos de conformidad con los principios de universalidad, interdependencia, indivisibilidad y progresividad</w:t>
      </w:r>
      <w:r>
        <w:rPr>
          <w:rFonts w:ascii="Palatino Linotype" w:hAnsi="Palatino Linotype" w:cs="Arial"/>
          <w:i/>
          <w:sz w:val="22"/>
          <w:szCs w:val="22"/>
          <w:lang w:val="es-ES"/>
        </w:rPr>
        <w:t>. En consecuencia, el Estado deberá prevenir, investigar, sancionar y reparar las violaciones a los derechos humanos, en los términos que establezca la ley.</w:t>
      </w:r>
      <w:r>
        <w:rPr>
          <w:rFonts w:ascii="Palatino Linotype" w:hAnsi="Palatino Linotype" w:cs="Arial"/>
          <w:b/>
          <w:i/>
          <w:sz w:val="22"/>
          <w:szCs w:val="22"/>
          <w:lang w:val="es-ES"/>
        </w:rPr>
        <w:t>”</w:t>
      </w:r>
    </w:p>
    <w:p w:rsidR="00C115AD" w:rsidRDefault="006854B3">
      <w:pPr>
        <w:spacing w:beforeAutospacing="1" w:afterAutospacing="1" w:line="276" w:lineRule="auto"/>
        <w:ind w:left="851" w:right="992"/>
        <w:contextualSpacing/>
        <w:jc w:val="both"/>
        <w:rPr>
          <w:rFonts w:ascii="Palatino Linotype" w:hAnsi="Palatino Linotype"/>
          <w:sz w:val="22"/>
          <w:szCs w:val="22"/>
          <w:lang w:val="es-ES"/>
        </w:rPr>
      </w:pPr>
      <w:r>
        <w:rPr>
          <w:rFonts w:ascii="Palatino Linotype" w:hAnsi="Palatino Linotype"/>
          <w:sz w:val="22"/>
          <w:szCs w:val="22"/>
          <w:lang w:val="es-ES"/>
        </w:rPr>
        <w:t>(Énfasis añadido)</w:t>
      </w:r>
    </w:p>
    <w:p w:rsidR="00C115AD" w:rsidRDefault="00C115AD">
      <w:pPr>
        <w:spacing w:beforeAutospacing="1" w:afterAutospacing="1" w:line="360" w:lineRule="auto"/>
        <w:contextualSpacing/>
        <w:jc w:val="both"/>
        <w:rPr>
          <w:rFonts w:ascii="Palatino Linotype" w:hAnsi="Palatino Linotype"/>
          <w:lang w:val="es-ES"/>
        </w:rPr>
      </w:pPr>
    </w:p>
    <w:p w:rsidR="00C115AD" w:rsidRDefault="006854B3">
      <w:pPr>
        <w:spacing w:beforeAutospacing="1" w:afterAutospacing="1" w:line="360" w:lineRule="auto"/>
        <w:contextualSpacing/>
        <w:jc w:val="both"/>
        <w:rPr>
          <w:rFonts w:ascii="Palatino Linotype" w:hAnsi="Palatino Linotype"/>
          <w:lang w:val="es-ES"/>
        </w:rPr>
      </w:pPr>
      <w:r>
        <w:rPr>
          <w:rFonts w:ascii="Palatino Linotype" w:hAnsi="Palatino Linotype"/>
          <w:lang w:val="es-ES"/>
        </w:rPr>
        <w:t>En esa virtud, de una interpretación sistemática, armónica y progresiva del derecho humano de acceso a la información pública se reitera que toda persona, sin necesidad de acreditar interés alguno o justificar su utilización, deberá tener acceso a la información pública, es decir, dicho derecho fundamental exime a quien lo ejerce, de acreditar su legitimación en la causa o su interés en el asunto, lo que permite la posibilidad de que inclusive, la solicitud de acceso a la información pueda ser anónima o no contener un nombre que identifique al solicitante o que permita tener certeza sobre su identidad.</w:t>
      </w:r>
    </w:p>
    <w:p w:rsidR="00C115AD" w:rsidRDefault="00C115AD">
      <w:pPr>
        <w:spacing w:beforeAutospacing="1" w:afterAutospacing="1" w:line="360" w:lineRule="auto"/>
        <w:contextualSpacing/>
        <w:jc w:val="both"/>
        <w:rPr>
          <w:rFonts w:ascii="Palatino Linotype" w:hAnsi="Palatino Linotype"/>
          <w:lang w:val="es-ES"/>
        </w:rPr>
      </w:pPr>
    </w:p>
    <w:p w:rsidR="00C115AD" w:rsidRDefault="006854B3">
      <w:pPr>
        <w:spacing w:beforeAutospacing="1" w:afterAutospacing="1" w:line="360" w:lineRule="auto"/>
        <w:contextualSpacing/>
        <w:jc w:val="both"/>
        <w:rPr>
          <w:rFonts w:ascii="Palatino Linotype" w:hAnsi="Palatino Linotype"/>
          <w:lang w:val="es-ES"/>
        </w:rPr>
      </w:pPr>
      <w:r>
        <w:rPr>
          <w:rFonts w:ascii="Palatino Linotype" w:hAnsi="Palatino Linotype"/>
          <w:lang w:val="es-ES"/>
        </w:rPr>
        <w:t>Robustece lo anterior, el Criterio 6/2014 del entonces Instituto Federal de Acceso a la Información y Protección de Datos (IFAI), ahora INAI, el cual se reproduce para una mayor referencia:</w:t>
      </w:r>
    </w:p>
    <w:p w:rsidR="00C115AD" w:rsidRDefault="00C115AD">
      <w:pPr>
        <w:spacing w:beforeAutospacing="1" w:afterAutospacing="1" w:line="276" w:lineRule="auto"/>
        <w:ind w:left="851" w:right="992"/>
        <w:contextualSpacing/>
        <w:jc w:val="both"/>
        <w:rPr>
          <w:rFonts w:ascii="Palatino Linotype" w:hAnsi="Palatino Linotype" w:cs="Arial"/>
          <w:b/>
          <w:i/>
          <w:sz w:val="22"/>
          <w:szCs w:val="22"/>
          <w:lang w:val="es-ES"/>
        </w:rPr>
      </w:pPr>
    </w:p>
    <w:p w:rsidR="00C115AD" w:rsidRDefault="006854B3">
      <w:pPr>
        <w:spacing w:beforeAutospacing="1" w:afterAutospacing="1" w:line="276" w:lineRule="auto"/>
        <w:ind w:left="851" w:right="992"/>
        <w:contextualSpacing/>
        <w:jc w:val="both"/>
        <w:rPr>
          <w:rFonts w:ascii="Palatino Linotype" w:hAnsi="Palatino Linotype" w:cs="Arial"/>
          <w:i/>
          <w:sz w:val="22"/>
          <w:szCs w:val="22"/>
          <w:lang w:val="es-ES"/>
        </w:rPr>
      </w:pPr>
      <w:r>
        <w:rPr>
          <w:rFonts w:ascii="Palatino Linotype" w:hAnsi="Palatino Linotype" w:cs="Arial"/>
          <w:b/>
          <w:i/>
          <w:sz w:val="22"/>
          <w:szCs w:val="22"/>
          <w:lang w:val="es-ES"/>
        </w:rPr>
        <w:t>“Acceso a información gubernamental. No debe condicionarse a que el solicitante acredite su personalidad, demuestre interés alguno o justifique su utilización.</w:t>
      </w:r>
      <w:r>
        <w:rPr>
          <w:rFonts w:ascii="Palatino Linotype" w:hAnsi="Palatino Linotype" w:cs="Arial"/>
          <w:i/>
          <w:sz w:val="22"/>
          <w:szCs w:val="22"/>
          <w:lang w:val="es-ES"/>
        </w:rPr>
        <w:t xml:space="preserve"> De conformidad con lo dispuesto en los artículos 6o., apartado A, fracción III de la Constitución Política de los Estados Unidos Mexicanos, y 1º, 2º, 4º y 40 de la Ley Federal de Transparencia y Acceso a la Información Pública Gubernamental, la respuesta a una solicitud de acceso a información y entrega de la misma, no debe estar condicionada a que el particular acredite su personalidad, demuestre interés alguno o justifique su utilización, en virtud de que los sujetos obligados no deben requerir al solicitante mayores requisitos que los establecidos en la Ley. En este sentido, las dependencias y entidades, sólo deberán asegurarse de que, en su caso, se haya cubierto el pago de reproducción y envío de la información, mediante la exhibición del recibo correspondiente.”</w:t>
      </w:r>
    </w:p>
    <w:p w:rsidR="00C115AD" w:rsidRDefault="00C115AD">
      <w:pPr>
        <w:spacing w:beforeAutospacing="1" w:afterAutospacing="1" w:line="360" w:lineRule="auto"/>
        <w:contextualSpacing/>
        <w:jc w:val="both"/>
        <w:rPr>
          <w:rFonts w:ascii="Palatino Linotype" w:hAnsi="Palatino Linotype"/>
          <w:lang w:val="es-ES"/>
        </w:rPr>
      </w:pPr>
    </w:p>
    <w:p w:rsidR="00C115AD" w:rsidRDefault="006854B3">
      <w:pPr>
        <w:spacing w:beforeAutospacing="1" w:afterAutospacing="1" w:line="360" w:lineRule="auto"/>
        <w:contextualSpacing/>
        <w:jc w:val="both"/>
        <w:rPr>
          <w:rFonts w:ascii="Palatino Linotype" w:hAnsi="Palatino Linotype"/>
          <w:lang w:val="es-ES"/>
        </w:rPr>
      </w:pPr>
      <w:r>
        <w:rPr>
          <w:rFonts w:ascii="Palatino Linotype" w:hAnsi="Palatino Linotype"/>
          <w:lang w:val="es-ES"/>
        </w:rPr>
        <w:t xml:space="preserve">En ese orden de ideas, se estima que el requerimiento relativo al nombre como presupuesto de procedibilidad podría limitar el ejercicio del derecho de acceso a la información pública, debido a que el hecho de solicitar la identificación del </w:t>
      </w:r>
      <w:r>
        <w:rPr>
          <w:rFonts w:ascii="Palatino Linotype" w:hAnsi="Palatino Linotype"/>
          <w:b/>
          <w:lang w:val="es-ES"/>
        </w:rPr>
        <w:t>RECURRENTE,</w:t>
      </w:r>
      <w:r>
        <w:rPr>
          <w:rFonts w:ascii="Palatino Linotype" w:hAnsi="Palatino Linotype"/>
          <w:lang w:val="es-ES"/>
        </w:rPr>
        <w:t xml:space="preserve"> a través de dicho dato personal, en ciertos extremos se equipara a una exigencia acerca de su interés o justificación de su utilización, lo que materialmente haría nugatorio un derecho fundamental.</w:t>
      </w:r>
    </w:p>
    <w:p w:rsidR="00C115AD" w:rsidRDefault="00C115AD">
      <w:pPr>
        <w:spacing w:beforeAutospacing="1" w:afterAutospacing="1" w:line="360" w:lineRule="auto"/>
        <w:contextualSpacing/>
        <w:jc w:val="both"/>
        <w:rPr>
          <w:rFonts w:ascii="Palatino Linotype" w:hAnsi="Palatino Linotype"/>
          <w:lang w:val="es-ES"/>
        </w:rPr>
      </w:pPr>
    </w:p>
    <w:p w:rsidR="00C115AD" w:rsidRDefault="006854B3">
      <w:pPr>
        <w:spacing w:beforeAutospacing="1" w:afterAutospacing="1" w:line="360" w:lineRule="auto"/>
        <w:contextualSpacing/>
        <w:jc w:val="both"/>
        <w:rPr>
          <w:rFonts w:ascii="Palatino Linotype" w:hAnsi="Palatino Linotype"/>
          <w:lang w:val="es-ES"/>
        </w:rPr>
      </w:pPr>
      <w:r>
        <w:rPr>
          <w:rFonts w:ascii="Palatino Linotype" w:hAnsi="Palatino Linotype"/>
          <w:lang w:val="es-ES"/>
        </w:rPr>
        <w:t xml:space="preserve">Aunado a ello, para el estudio de la materia sobre la que se resuelve el recurso de revisión, resulta intrascendente el nombre de la persona que lo hubiere promovido, en virtud de que tanto la Constitución Federal, como la Constitución Política del Estado Libre y Soberano de México, reconocen la prerrogativa de los individuos para no acreditar dicho interés o justificar su utilización, por lo que este Órgano Garante en la materia, se encuentra impedido para realizar dicho análisis, en la inteligencia de que al </w:t>
      </w:r>
      <w:r>
        <w:rPr>
          <w:rFonts w:ascii="Palatino Linotype" w:hAnsi="Palatino Linotype"/>
          <w:lang w:val="es-ES"/>
        </w:rPr>
        <w:lastRenderedPageBreak/>
        <w:t>limitar un derecho humano, como lo es el derecho de acceso a la información pública, por una cuestión procedimental.</w:t>
      </w:r>
    </w:p>
    <w:p w:rsidR="00C115AD" w:rsidRDefault="00C115AD">
      <w:pPr>
        <w:spacing w:beforeAutospacing="1" w:afterAutospacing="1" w:line="360" w:lineRule="auto"/>
        <w:contextualSpacing/>
        <w:jc w:val="both"/>
        <w:rPr>
          <w:rFonts w:ascii="Palatino Linotype" w:hAnsi="Palatino Linotype"/>
          <w:lang w:val="es-ES"/>
        </w:rPr>
      </w:pPr>
    </w:p>
    <w:p w:rsidR="00C115AD" w:rsidRDefault="006854B3">
      <w:pPr>
        <w:spacing w:beforeAutospacing="1" w:afterAutospacing="1" w:line="360" w:lineRule="auto"/>
        <w:contextualSpacing/>
        <w:jc w:val="both"/>
        <w:rPr>
          <w:rFonts w:ascii="Palatino Linotype" w:hAnsi="Palatino Linotype"/>
          <w:lang w:val="es-ES"/>
        </w:rPr>
      </w:pPr>
      <w:r>
        <w:rPr>
          <w:rFonts w:ascii="Palatino Linotype" w:hAnsi="Palatino Linotype"/>
          <w:lang w:val="es-ES"/>
        </w:rPr>
        <w:t>En consecuencia, dado lo expuesto y fundado con anterioridad, se estima que el requisito relativo al nombre del</w:t>
      </w:r>
      <w:r>
        <w:rPr>
          <w:rFonts w:ascii="Palatino Linotype" w:hAnsi="Palatino Linotype"/>
          <w:b/>
          <w:lang w:val="es-ES"/>
        </w:rPr>
        <w:t xml:space="preserve"> RECURRENTE</w:t>
      </w:r>
      <w:r>
        <w:rPr>
          <w:rFonts w:ascii="Palatino Linotype" w:hAnsi="Palatino Linotype"/>
          <w:lang w:val="es-ES"/>
        </w:rPr>
        <w:t xml:space="preserve"> no constituye un presupuesto indispensable de procedibilidad del recurso de revisión, en términos de los artículos 25 de la Convención Americana de Derechos Humanos, 1, párrafos segundo y tercero, 6, apartado A, fracciones III y IV de la Constitución Política de los Estados Unidos Mexicanos y 5, párrafo vigésimo segundo de la Constitución Política del Estado Libre y Soberano de México debido a que el acceso a la información pública es un derecho humano que no requiere legitimación en la causa, sino que únicamente basta con que se encuentre legitimado en el procedimiento de recurso de revisión, circunstancia que se acredita en las constancias electrónicas del expediente, de las que se desprende que </w:t>
      </w:r>
      <w:r>
        <w:rPr>
          <w:rFonts w:ascii="Palatino Linotype" w:hAnsi="Palatino Linotype"/>
          <w:b/>
          <w:lang w:val="es-ES"/>
        </w:rPr>
        <w:t>EL RECURRENTE</w:t>
      </w:r>
      <w:r>
        <w:rPr>
          <w:rFonts w:ascii="Palatino Linotype" w:hAnsi="Palatino Linotype"/>
          <w:lang w:val="es-ES"/>
        </w:rPr>
        <w:t>, es la misma persona que realizó la solicitud de acceso a la información pública que ahora se impugna.</w:t>
      </w:r>
    </w:p>
    <w:p w:rsidR="00C115AD" w:rsidRDefault="00C115AD">
      <w:pPr>
        <w:spacing w:beforeAutospacing="1" w:afterAutospacing="1" w:line="360" w:lineRule="auto"/>
        <w:contextualSpacing/>
        <w:jc w:val="both"/>
        <w:rPr>
          <w:rFonts w:ascii="Palatino Linotype" w:hAnsi="Palatino Linotype"/>
          <w:lang w:val="es-ES"/>
        </w:rPr>
      </w:pPr>
    </w:p>
    <w:p w:rsidR="00C115AD" w:rsidRDefault="006854B3">
      <w:pPr>
        <w:spacing w:beforeAutospacing="1" w:afterAutospacing="1" w:line="360" w:lineRule="auto"/>
        <w:contextualSpacing/>
        <w:jc w:val="both"/>
        <w:rPr>
          <w:rFonts w:ascii="Palatino Linotype" w:hAnsi="Palatino Linotype"/>
          <w:lang w:val="es-ES"/>
        </w:rPr>
      </w:pPr>
      <w:r>
        <w:rPr>
          <w:rFonts w:ascii="Palatino Linotype" w:hAnsi="Palatino Linotype"/>
          <w:lang w:val="es-ES"/>
        </w:rPr>
        <w:t xml:space="preserve">Aunado a lo anterior, el propio artículo 180 en su último párrafo establece que cuando el recurso se interponga de manera electrónica no será indispensable que contengan determinados requisitos, entre ellos, el nombre del </w:t>
      </w:r>
      <w:r>
        <w:rPr>
          <w:rFonts w:ascii="Palatino Linotype" w:hAnsi="Palatino Linotype"/>
          <w:b/>
          <w:lang w:val="es-ES"/>
        </w:rPr>
        <w:t>RECURRENTE</w:t>
      </w:r>
      <w:r>
        <w:rPr>
          <w:rFonts w:ascii="Palatino Linotype" w:hAnsi="Palatino Linotype"/>
          <w:lang w:val="es-ES"/>
        </w:rPr>
        <w:t xml:space="preserve">; por lo que, en el presente caso, al haber sido presentado el recurso de revisión vía </w:t>
      </w:r>
      <w:r>
        <w:rPr>
          <w:rFonts w:ascii="Palatino Linotype" w:hAnsi="Palatino Linotype"/>
          <w:b/>
          <w:lang w:val="es-ES"/>
        </w:rPr>
        <w:t>SAIMEX</w:t>
      </w:r>
      <w:r>
        <w:rPr>
          <w:rFonts w:ascii="Palatino Linotype" w:hAnsi="Palatino Linotype"/>
          <w:lang w:val="es-ES"/>
        </w:rPr>
        <w:t>, dicho requisito resulta innecesario.</w:t>
      </w:r>
    </w:p>
    <w:p w:rsidR="00C115AD" w:rsidRDefault="006854B3">
      <w:pPr>
        <w:pStyle w:val="Prrafodelista"/>
        <w:widowControl w:val="0"/>
        <w:numPr>
          <w:ilvl w:val="0"/>
          <w:numId w:val="1"/>
        </w:numPr>
        <w:tabs>
          <w:tab w:val="left" w:pos="1276"/>
          <w:tab w:val="left" w:pos="1701"/>
          <w:tab w:val="left" w:pos="1843"/>
        </w:tabs>
        <w:spacing w:beforeAutospacing="1" w:afterAutospacing="1" w:line="360" w:lineRule="auto"/>
        <w:ind w:left="0" w:right="49" w:firstLine="0"/>
        <w:contextualSpacing/>
        <w:jc w:val="both"/>
        <w:rPr>
          <w:rFonts w:ascii="Palatino Linotype" w:hAnsi="Palatino Linotype"/>
        </w:rPr>
      </w:pPr>
      <w:r>
        <w:rPr>
          <w:rFonts w:ascii="Palatino Linotype" w:hAnsi="Palatino Linotype" w:cs="Arial"/>
          <w:b/>
        </w:rPr>
        <w:t>Análisis de las causales de sobreseimiento</w:t>
      </w:r>
      <w:r>
        <w:rPr>
          <w:rFonts w:ascii="Palatino Linotype" w:hAnsi="Palatino Linotype" w:cs="Arial"/>
          <w:b/>
          <w:color w:val="000000" w:themeColor="text1"/>
        </w:rPr>
        <w:t>.</w:t>
      </w:r>
      <w:r>
        <w:rPr>
          <w:rFonts w:ascii="Palatino Linotype" w:hAnsi="Palatino Linotype" w:cs="Arial"/>
        </w:rPr>
        <w:t xml:space="preserve"> </w:t>
      </w:r>
      <w:r>
        <w:rPr>
          <w:rFonts w:ascii="Palatino Linotype" w:hAnsi="Palatino Linotype"/>
        </w:rPr>
        <w:t xml:space="preserve">Este Órgano Colegiado advierte que, en el caso, se actualiza la causal de sobreseimiento prevista en la fracción </w:t>
      </w:r>
      <w:r>
        <w:rPr>
          <w:rFonts w:ascii="Palatino Linotype" w:hAnsi="Palatino Linotype"/>
        </w:rPr>
        <w:lastRenderedPageBreak/>
        <w:t xml:space="preserve">III del artículo 192 de la Ley de Transparencia y Acceso a la Información Pública del Estado de México y Municipios, que a la letra dice: </w:t>
      </w:r>
    </w:p>
    <w:p w:rsidR="00C115AD" w:rsidRDefault="006854B3">
      <w:pPr>
        <w:tabs>
          <w:tab w:val="left" w:pos="851"/>
        </w:tabs>
        <w:spacing w:beforeAutospacing="1" w:afterAutospacing="1"/>
        <w:ind w:left="851" w:right="902"/>
        <w:contextualSpacing/>
        <w:jc w:val="both"/>
        <w:rPr>
          <w:rFonts w:ascii="Palatino Linotype" w:hAnsi="Palatino Linotype" w:cs="Arial"/>
          <w:i/>
          <w:sz w:val="22"/>
        </w:rPr>
      </w:pPr>
      <w:r>
        <w:rPr>
          <w:rFonts w:ascii="Palatino Linotype" w:hAnsi="Palatino Linotype" w:cs="Arial"/>
          <w:i/>
          <w:sz w:val="22"/>
        </w:rPr>
        <w:t>“</w:t>
      </w:r>
      <w:r>
        <w:rPr>
          <w:rFonts w:ascii="Palatino Linotype" w:hAnsi="Palatino Linotype" w:cs="Arial"/>
          <w:b/>
          <w:i/>
          <w:sz w:val="22"/>
        </w:rPr>
        <w:t xml:space="preserve">Artículo 192. </w:t>
      </w:r>
      <w:r>
        <w:rPr>
          <w:rFonts w:ascii="Palatino Linotype" w:hAnsi="Palatino Linotype" w:cs="Arial"/>
          <w:i/>
          <w:sz w:val="22"/>
        </w:rPr>
        <w:t>El recurso será sobreseído, en todo o en parte, cuando una vez admitido, se actualicen alguno de los siguientes supuestos:</w:t>
      </w:r>
    </w:p>
    <w:p w:rsidR="00C115AD" w:rsidRDefault="006854B3">
      <w:pPr>
        <w:spacing w:beforeAutospacing="1" w:afterAutospacing="1"/>
        <w:ind w:left="851" w:right="902"/>
        <w:contextualSpacing/>
        <w:jc w:val="both"/>
        <w:rPr>
          <w:rFonts w:ascii="Palatino Linotype" w:hAnsi="Palatino Linotype" w:cs="Arial"/>
          <w:i/>
          <w:sz w:val="22"/>
        </w:rPr>
      </w:pPr>
      <w:r>
        <w:rPr>
          <w:rFonts w:ascii="Palatino Linotype" w:hAnsi="Palatino Linotype" w:cs="Arial"/>
          <w:i/>
          <w:sz w:val="22"/>
        </w:rPr>
        <w:t>(…)</w:t>
      </w:r>
    </w:p>
    <w:p w:rsidR="00C115AD" w:rsidRDefault="006854B3">
      <w:pPr>
        <w:tabs>
          <w:tab w:val="left" w:pos="851"/>
        </w:tabs>
        <w:spacing w:beforeAutospacing="1" w:afterAutospacing="1"/>
        <w:ind w:left="851" w:right="902"/>
        <w:contextualSpacing/>
        <w:jc w:val="both"/>
        <w:rPr>
          <w:rFonts w:ascii="Palatino Linotype" w:hAnsi="Palatino Linotype" w:cs="Arial"/>
          <w:b/>
          <w:i/>
          <w:sz w:val="22"/>
        </w:rPr>
      </w:pPr>
      <w:r>
        <w:rPr>
          <w:rFonts w:ascii="Palatino Linotype" w:hAnsi="Palatino Linotype" w:cs="Arial"/>
          <w:b/>
          <w:i/>
          <w:sz w:val="22"/>
        </w:rPr>
        <w:t>III. El sujeto obligado responsable del acto lo modifique o revoque de tal manera que el recurso de revisión quede sin materia;</w:t>
      </w:r>
    </w:p>
    <w:p w:rsidR="00C115AD" w:rsidRDefault="006854B3">
      <w:pPr>
        <w:tabs>
          <w:tab w:val="left" w:pos="851"/>
        </w:tabs>
        <w:spacing w:beforeAutospacing="1" w:afterAutospacing="1"/>
        <w:ind w:left="851" w:right="902"/>
        <w:contextualSpacing/>
        <w:jc w:val="both"/>
        <w:rPr>
          <w:rFonts w:ascii="Palatino Linotype" w:hAnsi="Palatino Linotype" w:cs="Arial"/>
          <w:i/>
          <w:sz w:val="22"/>
        </w:rPr>
      </w:pPr>
      <w:r>
        <w:rPr>
          <w:rFonts w:ascii="Palatino Linotype" w:hAnsi="Palatino Linotype" w:cs="Arial"/>
          <w:i/>
          <w:sz w:val="22"/>
        </w:rPr>
        <w:t xml:space="preserve">(Énfasis añadido)” </w:t>
      </w:r>
    </w:p>
    <w:p w:rsidR="00C115AD" w:rsidRDefault="00C115AD">
      <w:pPr>
        <w:spacing w:beforeAutospacing="1" w:afterAutospacing="1" w:line="360" w:lineRule="auto"/>
        <w:contextualSpacing/>
        <w:jc w:val="both"/>
        <w:rPr>
          <w:rFonts w:ascii="Palatino Linotype" w:hAnsi="Palatino Linotype" w:cs="Arial"/>
        </w:rPr>
      </w:pPr>
    </w:p>
    <w:p w:rsidR="00C115AD" w:rsidRDefault="006854B3">
      <w:pPr>
        <w:spacing w:beforeAutospacing="1" w:afterAutospacing="1" w:line="360" w:lineRule="auto"/>
        <w:contextualSpacing/>
        <w:jc w:val="both"/>
        <w:rPr>
          <w:rFonts w:ascii="Palatino Linotype" w:hAnsi="Palatino Linotype" w:cs="Arial"/>
        </w:rPr>
      </w:pPr>
      <w:r>
        <w:rPr>
          <w:rFonts w:ascii="Palatino Linotype" w:hAnsi="Palatino Linotype" w:cs="Arial"/>
        </w:rPr>
        <w:t xml:space="preserve">Luego, conforme a la transcripción que antecede conviene desglosar los elementos de la disposición enunciada, de manera tal que procede el sobreseimiento del recurso de revisión cuando </w:t>
      </w:r>
      <w:r>
        <w:rPr>
          <w:rFonts w:ascii="Palatino Linotype" w:hAnsi="Palatino Linotype" w:cs="Arial"/>
          <w:b/>
        </w:rPr>
        <w:t>EL SUJETO OBLIGADO</w:t>
      </w:r>
      <w:r>
        <w:rPr>
          <w:rFonts w:ascii="Palatino Linotype" w:hAnsi="Palatino Linotype" w:cs="Arial"/>
        </w:rPr>
        <w:t xml:space="preserve"> modifique o revoque el acto impugnado, quedando el medio de impugnación sin efecto o materia.</w:t>
      </w:r>
    </w:p>
    <w:p w:rsidR="00C115AD" w:rsidRDefault="00C115AD">
      <w:pPr>
        <w:spacing w:beforeAutospacing="1" w:afterAutospacing="1" w:line="360" w:lineRule="auto"/>
        <w:ind w:left="708"/>
        <w:contextualSpacing/>
        <w:jc w:val="both"/>
        <w:rPr>
          <w:rFonts w:ascii="Palatino Linotype" w:hAnsi="Palatino Linotype" w:cs="Arial"/>
        </w:rPr>
      </w:pPr>
    </w:p>
    <w:p w:rsidR="00C115AD" w:rsidRDefault="006854B3">
      <w:pPr>
        <w:spacing w:beforeAutospacing="1" w:afterAutospacing="1" w:line="360" w:lineRule="auto"/>
        <w:ind w:left="708"/>
        <w:contextualSpacing/>
        <w:jc w:val="both"/>
        <w:rPr>
          <w:rFonts w:ascii="Palatino Linotype" w:hAnsi="Palatino Linotype" w:cs="Arial"/>
        </w:rPr>
      </w:pPr>
      <w:r>
        <w:rPr>
          <w:rFonts w:ascii="Palatino Linotype" w:hAnsi="Palatino Linotype" w:cs="Arial"/>
        </w:rPr>
        <w:t xml:space="preserve">1.- El Sujeto Obligado responsable, </w:t>
      </w:r>
    </w:p>
    <w:p w:rsidR="00C115AD" w:rsidRDefault="006854B3">
      <w:pPr>
        <w:spacing w:beforeAutospacing="1" w:afterAutospacing="1" w:line="360" w:lineRule="auto"/>
        <w:ind w:left="708"/>
        <w:contextualSpacing/>
        <w:jc w:val="both"/>
        <w:rPr>
          <w:rFonts w:ascii="Palatino Linotype" w:hAnsi="Palatino Linotype" w:cs="Arial"/>
        </w:rPr>
      </w:pPr>
      <w:r>
        <w:rPr>
          <w:rFonts w:ascii="Palatino Linotype" w:hAnsi="Palatino Linotype" w:cs="Arial"/>
        </w:rPr>
        <w:t xml:space="preserve">2.- Acto, </w:t>
      </w:r>
    </w:p>
    <w:p w:rsidR="00C115AD" w:rsidRDefault="006854B3">
      <w:pPr>
        <w:spacing w:beforeAutospacing="1" w:afterAutospacing="1" w:line="360" w:lineRule="auto"/>
        <w:ind w:left="708"/>
        <w:contextualSpacing/>
        <w:jc w:val="both"/>
        <w:rPr>
          <w:rFonts w:ascii="Palatino Linotype" w:hAnsi="Palatino Linotype" w:cs="Arial"/>
        </w:rPr>
      </w:pPr>
      <w:r>
        <w:rPr>
          <w:rFonts w:ascii="Palatino Linotype" w:hAnsi="Palatino Linotype" w:cs="Arial"/>
        </w:rPr>
        <w:t>3.- Que se modifique o revoque, y</w:t>
      </w:r>
    </w:p>
    <w:p w:rsidR="00C115AD" w:rsidRDefault="006854B3">
      <w:pPr>
        <w:spacing w:beforeAutospacing="1" w:afterAutospacing="1" w:line="360" w:lineRule="auto"/>
        <w:ind w:left="708"/>
        <w:contextualSpacing/>
        <w:jc w:val="both"/>
        <w:rPr>
          <w:rFonts w:ascii="Palatino Linotype" w:hAnsi="Palatino Linotype" w:cs="Arial"/>
        </w:rPr>
      </w:pPr>
      <w:r>
        <w:rPr>
          <w:rFonts w:ascii="Palatino Linotype" w:hAnsi="Palatino Linotype" w:cs="Arial"/>
        </w:rPr>
        <w:t>4.- De tal manera que el medio de impugnación quede sin efecto o materia.</w:t>
      </w:r>
    </w:p>
    <w:p w:rsidR="00C115AD" w:rsidRDefault="00C115AD">
      <w:pPr>
        <w:spacing w:beforeAutospacing="1" w:afterAutospacing="1" w:line="360" w:lineRule="auto"/>
        <w:contextualSpacing/>
        <w:jc w:val="both"/>
        <w:rPr>
          <w:rFonts w:ascii="Palatino Linotype" w:hAnsi="Palatino Linotype" w:cs="Arial"/>
        </w:rPr>
      </w:pPr>
    </w:p>
    <w:p w:rsidR="00C115AD" w:rsidRDefault="006854B3">
      <w:pPr>
        <w:spacing w:beforeAutospacing="1" w:afterAutospacing="1" w:line="360" w:lineRule="auto"/>
        <w:contextualSpacing/>
        <w:jc w:val="both"/>
        <w:rPr>
          <w:rFonts w:ascii="Palatino Linotype" w:hAnsi="Palatino Linotype" w:cs="Arial"/>
        </w:rPr>
      </w:pPr>
      <w:r>
        <w:rPr>
          <w:rFonts w:ascii="Palatino Linotype" w:hAnsi="Palatino Linotype" w:cs="Arial"/>
        </w:rPr>
        <w:t xml:space="preserve">El primer elemento normativo, se actualiza ya que </w:t>
      </w:r>
      <w:r>
        <w:rPr>
          <w:rFonts w:ascii="Palatino Linotype" w:hAnsi="Palatino Linotype" w:cs="Arial"/>
          <w:b/>
        </w:rPr>
        <w:t xml:space="preserve">EL SUJETO OBLIGADO </w:t>
      </w:r>
      <w:r>
        <w:rPr>
          <w:rFonts w:ascii="Palatino Linotype" w:hAnsi="Palatino Linotype" w:cs="Arial"/>
        </w:rPr>
        <w:t>responsable, es el Ayuntamiento de Temamatla.</w:t>
      </w:r>
    </w:p>
    <w:p w:rsidR="00C115AD" w:rsidRDefault="00C115AD">
      <w:pPr>
        <w:spacing w:beforeAutospacing="1" w:afterAutospacing="1" w:line="360" w:lineRule="auto"/>
        <w:contextualSpacing/>
        <w:jc w:val="both"/>
        <w:rPr>
          <w:rFonts w:ascii="Palatino Linotype" w:hAnsi="Palatino Linotype" w:cs="Arial"/>
        </w:rPr>
      </w:pPr>
    </w:p>
    <w:p w:rsidR="00C115AD" w:rsidRDefault="006854B3">
      <w:pPr>
        <w:spacing w:beforeAutospacing="1" w:afterAutospacing="1" w:line="360" w:lineRule="auto"/>
        <w:contextualSpacing/>
        <w:jc w:val="both"/>
        <w:rPr>
          <w:rFonts w:ascii="Palatino Linotype" w:hAnsi="Palatino Linotype" w:cs="Arial"/>
        </w:rPr>
      </w:pPr>
      <w:r>
        <w:rPr>
          <w:rFonts w:ascii="Palatino Linotype" w:hAnsi="Palatino Linotype" w:cs="Arial"/>
        </w:rPr>
        <w:t xml:space="preserve">El segundo elemento normativo, es la existencia de un acto, en el caso en concreto que nos ocupa se actualiza con la existencia de la respuesta del </w:t>
      </w:r>
      <w:r>
        <w:rPr>
          <w:rFonts w:ascii="Palatino Linotype" w:hAnsi="Palatino Linotype" w:cs="Arial"/>
          <w:b/>
        </w:rPr>
        <w:t>SUJETO OBLIGADO</w:t>
      </w:r>
      <w:r>
        <w:rPr>
          <w:rFonts w:ascii="Palatino Linotype" w:hAnsi="Palatino Linotype" w:cs="Arial"/>
        </w:rPr>
        <w:t>.</w:t>
      </w:r>
    </w:p>
    <w:p w:rsidR="00C115AD" w:rsidRDefault="006854B3">
      <w:pPr>
        <w:spacing w:beforeAutospacing="1" w:afterAutospacing="1" w:line="360" w:lineRule="auto"/>
        <w:contextualSpacing/>
        <w:jc w:val="both"/>
        <w:rPr>
          <w:rFonts w:ascii="Palatino Linotype" w:hAnsi="Palatino Linotype" w:cs="Arial"/>
        </w:rPr>
      </w:pPr>
      <w:r>
        <w:rPr>
          <w:rFonts w:ascii="Palatino Linotype" w:hAnsi="Palatino Linotype" w:cs="Arial"/>
        </w:rPr>
        <w:t xml:space="preserve">Cabe destacar que, de la respuesta otorgada por </w:t>
      </w:r>
      <w:r>
        <w:rPr>
          <w:rFonts w:ascii="Palatino Linotype" w:hAnsi="Palatino Linotype" w:cs="Arial"/>
          <w:b/>
        </w:rPr>
        <w:t>EL SUJETO OBLIGADO</w:t>
      </w:r>
      <w:r>
        <w:rPr>
          <w:rFonts w:ascii="Palatino Linotype" w:hAnsi="Palatino Linotype" w:cs="Arial"/>
        </w:rPr>
        <w:t xml:space="preserve">, se desprende el precepto normativo en estudio, el cual se considera como “acto”, esto es </w:t>
      </w:r>
      <w:r>
        <w:rPr>
          <w:rFonts w:ascii="Palatino Linotype" w:hAnsi="Palatino Linotype" w:cs="Arial"/>
        </w:rPr>
        <w:lastRenderedPageBreak/>
        <w:t xml:space="preserve">así, pues las respuestas emitidas por los Sujetos Obligados son consideradas, (en el contexto que la propia Ley establece), como “actos”, sin los cuales no existiría certeza de la de información pública, porque precisamente la evidencia notoria y específica del actuar del </w:t>
      </w:r>
      <w:r>
        <w:rPr>
          <w:rFonts w:ascii="Palatino Linotype" w:hAnsi="Palatino Linotype" w:cs="Arial"/>
          <w:b/>
        </w:rPr>
        <w:t>SUJETO OBLIGADO</w:t>
      </w:r>
      <w:r>
        <w:rPr>
          <w:rFonts w:ascii="Palatino Linotype" w:hAnsi="Palatino Linotype" w:cs="Arial"/>
        </w:rPr>
        <w:t xml:space="preserve"> se observa a través de sus actos que necesariamente ejecuta y ejerce al realizar sus atribuciones legalmente conferidas, ello con relación al artículo 143 de la Constitución Política del Estado Libre y Soberano de México, pues las autoridades sólo están facultadas para realizar lo que expresamente les faculta la Ley u ordenamientos jurídicos.</w:t>
      </w:r>
    </w:p>
    <w:p w:rsidR="00C115AD" w:rsidRDefault="00C115AD">
      <w:pPr>
        <w:spacing w:beforeAutospacing="1" w:afterAutospacing="1" w:line="360" w:lineRule="auto"/>
        <w:contextualSpacing/>
        <w:jc w:val="both"/>
        <w:rPr>
          <w:rFonts w:ascii="Palatino Linotype" w:hAnsi="Palatino Linotype" w:cs="Arial"/>
        </w:rPr>
      </w:pPr>
    </w:p>
    <w:p w:rsidR="00C115AD" w:rsidRDefault="006854B3">
      <w:pPr>
        <w:spacing w:beforeAutospacing="1" w:afterAutospacing="1" w:line="360" w:lineRule="auto"/>
        <w:contextualSpacing/>
        <w:jc w:val="both"/>
        <w:rPr>
          <w:rFonts w:ascii="Palatino Linotype" w:hAnsi="Palatino Linotype" w:cs="Arial"/>
        </w:rPr>
      </w:pPr>
      <w:r>
        <w:rPr>
          <w:rFonts w:ascii="Palatino Linotype" w:hAnsi="Palatino Linotype" w:cs="Arial"/>
        </w:rPr>
        <w:t>La naturaleza jurídica de los actos que emiten los Sujetos Obligados, está delimitada por la misma Ley de la materia, ya que, el hecho de emitir actos no previstos en el marco normativo que en transparencia rige su actuar, serían ilegales de estricto derecho, por lo que, los “actos” a que se refiere esta fracción están contenidos en el siguiente artículo:</w:t>
      </w:r>
    </w:p>
    <w:p w:rsidR="00C115AD" w:rsidRDefault="00C115AD">
      <w:pPr>
        <w:tabs>
          <w:tab w:val="left" w:pos="851"/>
        </w:tabs>
        <w:spacing w:beforeAutospacing="1" w:afterAutospacing="1"/>
        <w:ind w:left="851" w:right="902"/>
        <w:contextualSpacing/>
        <w:jc w:val="both"/>
        <w:rPr>
          <w:rFonts w:ascii="Palatino Linotype" w:hAnsi="Palatino Linotype" w:cs="Arial"/>
          <w:b/>
          <w:i/>
          <w:sz w:val="22"/>
          <w:szCs w:val="22"/>
        </w:rPr>
      </w:pPr>
    </w:p>
    <w:p w:rsidR="00C115AD" w:rsidRDefault="006854B3">
      <w:pPr>
        <w:tabs>
          <w:tab w:val="left" w:pos="851"/>
        </w:tabs>
        <w:spacing w:beforeAutospacing="1" w:afterAutospacing="1"/>
        <w:ind w:left="851" w:right="902"/>
        <w:contextualSpacing/>
        <w:jc w:val="both"/>
        <w:rPr>
          <w:rFonts w:ascii="Palatino Linotype" w:hAnsi="Palatino Linotype" w:cs="Arial"/>
          <w:i/>
          <w:sz w:val="22"/>
          <w:szCs w:val="22"/>
        </w:rPr>
      </w:pPr>
      <w:r>
        <w:rPr>
          <w:rFonts w:ascii="Palatino Linotype" w:hAnsi="Palatino Linotype" w:cs="Arial"/>
          <w:b/>
          <w:i/>
          <w:sz w:val="22"/>
          <w:szCs w:val="22"/>
        </w:rPr>
        <w:t>“Artículo 53</w:t>
      </w:r>
      <w:r>
        <w:rPr>
          <w:rFonts w:ascii="Palatino Linotype" w:hAnsi="Palatino Linotype" w:cs="Arial"/>
          <w:i/>
          <w:sz w:val="22"/>
          <w:szCs w:val="22"/>
        </w:rPr>
        <w:t xml:space="preserve">. Las Unidades de Transparencia tendrán las siguientes funciones: </w:t>
      </w:r>
    </w:p>
    <w:p w:rsidR="00C115AD" w:rsidRDefault="006854B3">
      <w:pPr>
        <w:tabs>
          <w:tab w:val="left" w:pos="851"/>
        </w:tabs>
        <w:spacing w:beforeAutospacing="1" w:afterAutospacing="1"/>
        <w:ind w:left="851" w:right="902"/>
        <w:contextualSpacing/>
        <w:jc w:val="both"/>
        <w:rPr>
          <w:rFonts w:ascii="Palatino Linotype" w:hAnsi="Palatino Linotype" w:cs="Arial"/>
          <w:i/>
          <w:sz w:val="22"/>
          <w:szCs w:val="22"/>
        </w:rPr>
      </w:pPr>
      <w:r>
        <w:rPr>
          <w:rFonts w:ascii="Palatino Linotype" w:hAnsi="Palatino Linotype" w:cs="Arial"/>
          <w:i/>
          <w:sz w:val="22"/>
          <w:szCs w:val="22"/>
        </w:rPr>
        <w:t xml:space="preserve">I. Recabar, difundir y actualizar la información relativa a las obligaciones de transparencia comunes y específicas a la que se refiere la Ley General, esta Ley, la que determine el Instituto y las demás disposiciones de la materia, así como propiciar que las áreas la actualicen periódicamente conforme a la normatividad aplicable; </w:t>
      </w:r>
    </w:p>
    <w:p w:rsidR="00C115AD" w:rsidRDefault="006854B3">
      <w:pPr>
        <w:tabs>
          <w:tab w:val="left" w:pos="851"/>
        </w:tabs>
        <w:spacing w:beforeAutospacing="1" w:afterAutospacing="1"/>
        <w:ind w:left="851" w:right="902"/>
        <w:contextualSpacing/>
        <w:jc w:val="both"/>
        <w:rPr>
          <w:rFonts w:ascii="Palatino Linotype" w:hAnsi="Palatino Linotype" w:cs="Arial"/>
          <w:i/>
          <w:sz w:val="22"/>
          <w:szCs w:val="22"/>
        </w:rPr>
      </w:pPr>
      <w:r>
        <w:rPr>
          <w:rFonts w:ascii="Palatino Linotype" w:hAnsi="Palatino Linotype" w:cs="Arial"/>
          <w:i/>
          <w:sz w:val="22"/>
          <w:szCs w:val="22"/>
        </w:rPr>
        <w:t xml:space="preserve">II. Recibir, tramitar y dar respuesta a las solicitudes de acceso a la información; </w:t>
      </w:r>
    </w:p>
    <w:p w:rsidR="00C115AD" w:rsidRDefault="006854B3">
      <w:pPr>
        <w:tabs>
          <w:tab w:val="left" w:pos="851"/>
        </w:tabs>
        <w:spacing w:beforeAutospacing="1" w:afterAutospacing="1"/>
        <w:ind w:left="851" w:right="902"/>
        <w:contextualSpacing/>
        <w:jc w:val="both"/>
        <w:rPr>
          <w:rFonts w:ascii="Palatino Linotype" w:hAnsi="Palatino Linotype" w:cs="Arial"/>
          <w:i/>
          <w:sz w:val="22"/>
          <w:szCs w:val="22"/>
        </w:rPr>
      </w:pPr>
      <w:r>
        <w:rPr>
          <w:rFonts w:ascii="Palatino Linotype" w:hAnsi="Palatino Linotype" w:cs="Arial"/>
          <w:i/>
          <w:sz w:val="22"/>
          <w:szCs w:val="22"/>
        </w:rPr>
        <w:t xml:space="preserve">III. Auxiliar a los particulares en la elaboración de solicitudes de acceso a la información y, en su caso, orientarlos sobre los sujetos obligados competentes conforme a la normatividad aplicable; </w:t>
      </w:r>
    </w:p>
    <w:p w:rsidR="00C115AD" w:rsidRDefault="006854B3">
      <w:pPr>
        <w:tabs>
          <w:tab w:val="left" w:pos="851"/>
        </w:tabs>
        <w:spacing w:beforeAutospacing="1" w:afterAutospacing="1"/>
        <w:ind w:left="851" w:right="902"/>
        <w:contextualSpacing/>
        <w:jc w:val="both"/>
        <w:rPr>
          <w:rFonts w:ascii="Palatino Linotype" w:hAnsi="Palatino Linotype" w:cs="Arial"/>
          <w:i/>
          <w:sz w:val="22"/>
          <w:szCs w:val="22"/>
        </w:rPr>
      </w:pPr>
      <w:r>
        <w:rPr>
          <w:rFonts w:ascii="Palatino Linotype" w:hAnsi="Palatino Linotype" w:cs="Arial"/>
          <w:i/>
          <w:sz w:val="22"/>
          <w:szCs w:val="22"/>
        </w:rPr>
        <w:t xml:space="preserve">IV. Realizar, con efectividad, los trámites internos necesarios para la atención de las solicitudes de acceso a la información; </w:t>
      </w:r>
    </w:p>
    <w:p w:rsidR="00C115AD" w:rsidRDefault="006854B3">
      <w:pPr>
        <w:tabs>
          <w:tab w:val="left" w:pos="851"/>
        </w:tabs>
        <w:spacing w:beforeAutospacing="1" w:afterAutospacing="1"/>
        <w:ind w:left="851" w:right="902"/>
        <w:contextualSpacing/>
        <w:jc w:val="both"/>
        <w:rPr>
          <w:rFonts w:ascii="Palatino Linotype" w:hAnsi="Palatino Linotype" w:cs="Arial"/>
          <w:i/>
          <w:sz w:val="22"/>
          <w:szCs w:val="22"/>
        </w:rPr>
      </w:pPr>
      <w:r>
        <w:rPr>
          <w:rFonts w:ascii="Palatino Linotype" w:hAnsi="Palatino Linotype" w:cs="Arial"/>
          <w:i/>
          <w:sz w:val="22"/>
          <w:szCs w:val="22"/>
        </w:rPr>
        <w:t xml:space="preserve">V. Entregar, en su caso, a los particulares la información solicitada; </w:t>
      </w:r>
    </w:p>
    <w:p w:rsidR="00C115AD" w:rsidRDefault="006854B3">
      <w:pPr>
        <w:tabs>
          <w:tab w:val="left" w:pos="851"/>
        </w:tabs>
        <w:spacing w:beforeAutospacing="1" w:afterAutospacing="1"/>
        <w:ind w:left="851" w:right="902"/>
        <w:contextualSpacing/>
        <w:jc w:val="both"/>
        <w:rPr>
          <w:rFonts w:ascii="Palatino Linotype" w:hAnsi="Palatino Linotype" w:cs="Arial"/>
          <w:i/>
          <w:sz w:val="22"/>
          <w:szCs w:val="22"/>
        </w:rPr>
      </w:pPr>
      <w:r>
        <w:rPr>
          <w:rFonts w:ascii="Palatino Linotype" w:hAnsi="Palatino Linotype" w:cs="Arial"/>
          <w:i/>
          <w:sz w:val="22"/>
          <w:szCs w:val="22"/>
        </w:rPr>
        <w:t xml:space="preserve">VI. Efectuar las notificaciones a los solicitantes; </w:t>
      </w:r>
    </w:p>
    <w:p w:rsidR="00C115AD" w:rsidRDefault="006854B3">
      <w:pPr>
        <w:tabs>
          <w:tab w:val="left" w:pos="851"/>
        </w:tabs>
        <w:spacing w:beforeAutospacing="1" w:afterAutospacing="1"/>
        <w:ind w:left="851" w:right="902"/>
        <w:contextualSpacing/>
        <w:jc w:val="both"/>
        <w:rPr>
          <w:rFonts w:ascii="Palatino Linotype" w:hAnsi="Palatino Linotype" w:cs="Arial"/>
          <w:i/>
          <w:sz w:val="22"/>
          <w:szCs w:val="22"/>
        </w:rPr>
      </w:pPr>
      <w:r>
        <w:rPr>
          <w:rFonts w:ascii="Palatino Linotype" w:hAnsi="Palatino Linotype" w:cs="Arial"/>
          <w:i/>
          <w:sz w:val="22"/>
          <w:szCs w:val="22"/>
        </w:rPr>
        <w:lastRenderedPageBreak/>
        <w:t xml:space="preserve">VII. Proponer al Comité de Transparencia, los procedimientos internos que aseguren la mayor eficiencia en la gestión de las solicitudes de acceso a la información, conforme a la normatividad aplicable; </w:t>
      </w:r>
    </w:p>
    <w:p w:rsidR="00C115AD" w:rsidRDefault="006854B3">
      <w:pPr>
        <w:tabs>
          <w:tab w:val="left" w:pos="851"/>
        </w:tabs>
        <w:spacing w:beforeAutospacing="1" w:afterAutospacing="1"/>
        <w:ind w:left="851" w:right="902"/>
        <w:contextualSpacing/>
        <w:jc w:val="both"/>
        <w:rPr>
          <w:rFonts w:ascii="Palatino Linotype" w:hAnsi="Palatino Linotype" w:cs="Arial"/>
          <w:i/>
          <w:sz w:val="22"/>
          <w:szCs w:val="22"/>
        </w:rPr>
      </w:pPr>
      <w:r>
        <w:rPr>
          <w:rFonts w:ascii="Palatino Linotype" w:hAnsi="Palatino Linotype" w:cs="Arial"/>
          <w:i/>
          <w:sz w:val="22"/>
          <w:szCs w:val="22"/>
        </w:rPr>
        <w:t xml:space="preserve">VIII. Proponer a quien preside el Comité de Transparencia, personal habilitado que sea necesario para recibir y dar trámite a las solicitudes de acceso a la información; </w:t>
      </w:r>
    </w:p>
    <w:p w:rsidR="00C115AD" w:rsidRDefault="006854B3">
      <w:pPr>
        <w:tabs>
          <w:tab w:val="left" w:pos="851"/>
        </w:tabs>
        <w:spacing w:beforeAutospacing="1" w:afterAutospacing="1"/>
        <w:ind w:left="851" w:right="902"/>
        <w:contextualSpacing/>
        <w:jc w:val="both"/>
        <w:rPr>
          <w:rFonts w:ascii="Palatino Linotype" w:hAnsi="Palatino Linotype" w:cs="Arial"/>
          <w:i/>
          <w:sz w:val="22"/>
          <w:szCs w:val="22"/>
        </w:rPr>
      </w:pPr>
      <w:r>
        <w:rPr>
          <w:rFonts w:ascii="Palatino Linotype" w:hAnsi="Palatino Linotype" w:cs="Arial"/>
          <w:i/>
          <w:sz w:val="22"/>
          <w:szCs w:val="22"/>
        </w:rPr>
        <w:t xml:space="preserve">IX. Llevar un registro de las solicitudes de acceso a la información, sus respuestas, resultados, costos de reproducción y envío, resolución a los recursos de revisión que se hayan emitido en contra de sus respuestas y del cumplimiento de las mismas; </w:t>
      </w:r>
    </w:p>
    <w:p w:rsidR="00C115AD" w:rsidRDefault="006854B3">
      <w:pPr>
        <w:tabs>
          <w:tab w:val="left" w:pos="851"/>
        </w:tabs>
        <w:spacing w:beforeAutospacing="1" w:afterAutospacing="1"/>
        <w:ind w:left="851" w:right="902"/>
        <w:contextualSpacing/>
        <w:jc w:val="both"/>
        <w:rPr>
          <w:rFonts w:ascii="Palatino Linotype" w:hAnsi="Palatino Linotype" w:cs="Arial"/>
          <w:i/>
          <w:sz w:val="22"/>
          <w:szCs w:val="22"/>
        </w:rPr>
      </w:pPr>
      <w:r>
        <w:rPr>
          <w:rFonts w:ascii="Palatino Linotype" w:hAnsi="Palatino Linotype" w:cs="Arial"/>
          <w:i/>
          <w:sz w:val="22"/>
          <w:szCs w:val="22"/>
        </w:rPr>
        <w:t xml:space="preserve">X. Presentar ante el Comité, el proyecto de clasificación de información; </w:t>
      </w:r>
    </w:p>
    <w:p w:rsidR="00C115AD" w:rsidRDefault="006854B3">
      <w:pPr>
        <w:tabs>
          <w:tab w:val="left" w:pos="851"/>
        </w:tabs>
        <w:spacing w:beforeAutospacing="1" w:afterAutospacing="1"/>
        <w:ind w:left="851" w:right="902"/>
        <w:contextualSpacing/>
        <w:jc w:val="both"/>
        <w:rPr>
          <w:rFonts w:ascii="Palatino Linotype" w:hAnsi="Palatino Linotype" w:cs="Arial"/>
          <w:i/>
          <w:sz w:val="22"/>
          <w:szCs w:val="22"/>
        </w:rPr>
      </w:pPr>
      <w:r>
        <w:rPr>
          <w:rFonts w:ascii="Palatino Linotype" w:hAnsi="Palatino Linotype" w:cs="Arial"/>
          <w:i/>
          <w:sz w:val="22"/>
          <w:szCs w:val="22"/>
        </w:rPr>
        <w:t xml:space="preserve">XI. Promover e implementar políticas de transparencia proactiva procurando su accesibilidad; </w:t>
      </w:r>
    </w:p>
    <w:p w:rsidR="00C115AD" w:rsidRDefault="006854B3">
      <w:pPr>
        <w:tabs>
          <w:tab w:val="left" w:pos="851"/>
        </w:tabs>
        <w:spacing w:beforeAutospacing="1" w:afterAutospacing="1"/>
        <w:ind w:left="851" w:right="902"/>
        <w:contextualSpacing/>
        <w:jc w:val="both"/>
        <w:rPr>
          <w:rFonts w:ascii="Palatino Linotype" w:hAnsi="Palatino Linotype" w:cs="Arial"/>
          <w:i/>
          <w:sz w:val="22"/>
          <w:szCs w:val="22"/>
        </w:rPr>
      </w:pPr>
      <w:r>
        <w:rPr>
          <w:rFonts w:ascii="Palatino Linotype" w:hAnsi="Palatino Linotype" w:cs="Arial"/>
          <w:i/>
          <w:sz w:val="22"/>
          <w:szCs w:val="22"/>
        </w:rPr>
        <w:t xml:space="preserve">XII. Fomentar la transparencia y accesibilidad al interior del sujeto obligado; </w:t>
      </w:r>
    </w:p>
    <w:p w:rsidR="00C115AD" w:rsidRDefault="006854B3">
      <w:pPr>
        <w:tabs>
          <w:tab w:val="left" w:pos="851"/>
        </w:tabs>
        <w:spacing w:beforeAutospacing="1" w:afterAutospacing="1"/>
        <w:ind w:left="851" w:right="902"/>
        <w:contextualSpacing/>
        <w:jc w:val="both"/>
        <w:rPr>
          <w:rFonts w:ascii="Palatino Linotype" w:hAnsi="Palatino Linotype" w:cs="Arial"/>
          <w:i/>
          <w:sz w:val="22"/>
          <w:szCs w:val="22"/>
        </w:rPr>
      </w:pPr>
      <w:r>
        <w:rPr>
          <w:rFonts w:ascii="Palatino Linotype" w:hAnsi="Palatino Linotype" w:cs="Arial"/>
          <w:i/>
          <w:sz w:val="22"/>
          <w:szCs w:val="22"/>
        </w:rPr>
        <w:t xml:space="preserve">XIII. Hacer del conocimiento de la instancia competente la probable responsabilidad por el incumplimiento de las obligaciones previstas en la presente Ley; y </w:t>
      </w:r>
    </w:p>
    <w:p w:rsidR="00C115AD" w:rsidRDefault="006854B3">
      <w:pPr>
        <w:tabs>
          <w:tab w:val="left" w:pos="851"/>
        </w:tabs>
        <w:spacing w:beforeAutospacing="1" w:afterAutospacing="1"/>
        <w:ind w:left="851" w:right="902"/>
        <w:contextualSpacing/>
        <w:jc w:val="both"/>
        <w:rPr>
          <w:rFonts w:ascii="Palatino Linotype" w:hAnsi="Palatino Linotype" w:cs="Arial"/>
          <w:i/>
          <w:sz w:val="22"/>
          <w:szCs w:val="22"/>
        </w:rPr>
      </w:pPr>
      <w:r>
        <w:rPr>
          <w:rFonts w:ascii="Palatino Linotype" w:hAnsi="Palatino Linotype" w:cs="Arial"/>
          <w:i/>
          <w:sz w:val="22"/>
          <w:szCs w:val="22"/>
        </w:rPr>
        <w:t>XIV. Las demás que resulten necesarias para facilitar el acceso a la información y aquellas que se desprenden de la presente Ley y demás disposiciones jurídicas aplicables.</w:t>
      </w:r>
      <w:r>
        <w:rPr>
          <w:rFonts w:ascii="Palatino Linotype" w:hAnsi="Palatino Linotype" w:cs="Arial"/>
          <w:b/>
          <w:i/>
          <w:sz w:val="22"/>
          <w:szCs w:val="22"/>
        </w:rPr>
        <w:t>”</w:t>
      </w:r>
    </w:p>
    <w:p w:rsidR="00C115AD" w:rsidRDefault="00C115AD">
      <w:pPr>
        <w:spacing w:beforeAutospacing="1" w:afterAutospacing="1" w:line="360" w:lineRule="auto"/>
        <w:contextualSpacing/>
        <w:jc w:val="both"/>
        <w:rPr>
          <w:rFonts w:ascii="Palatino Linotype" w:hAnsi="Palatino Linotype" w:cs="Arial"/>
        </w:rPr>
      </w:pPr>
    </w:p>
    <w:p w:rsidR="00C115AD" w:rsidRDefault="006854B3">
      <w:pPr>
        <w:spacing w:beforeAutospacing="1" w:afterAutospacing="1" w:line="360" w:lineRule="auto"/>
        <w:contextualSpacing/>
        <w:jc w:val="both"/>
        <w:rPr>
          <w:rFonts w:ascii="Palatino Linotype" w:hAnsi="Palatino Linotype" w:cs="Arial"/>
        </w:rPr>
      </w:pPr>
      <w:r>
        <w:rPr>
          <w:rFonts w:ascii="Palatino Linotype" w:hAnsi="Palatino Linotype" w:cs="Arial"/>
        </w:rPr>
        <w:t xml:space="preserve">Es decir, la impugnación del </w:t>
      </w:r>
      <w:r>
        <w:rPr>
          <w:rFonts w:ascii="Palatino Linotype" w:hAnsi="Palatino Linotype" w:cs="Arial"/>
          <w:b/>
        </w:rPr>
        <w:t>RECURRENTE</w:t>
      </w:r>
      <w:r>
        <w:rPr>
          <w:rFonts w:ascii="Palatino Linotype" w:hAnsi="Palatino Linotype" w:cs="Arial"/>
        </w:rPr>
        <w:t xml:space="preserve"> debe ser sobre la emisión de un “Acto” contenido en la misma Ley o la omisión de éste, lo que en el presente caso se actualiza con la respuesta dada por </w:t>
      </w:r>
      <w:r>
        <w:rPr>
          <w:rFonts w:ascii="Palatino Linotype" w:hAnsi="Palatino Linotype" w:cs="Arial"/>
          <w:b/>
        </w:rPr>
        <w:t>EL SUJETO OBLIGADO</w:t>
      </w:r>
      <w:r>
        <w:rPr>
          <w:rFonts w:ascii="Palatino Linotype" w:hAnsi="Palatino Linotype" w:cs="Arial"/>
        </w:rPr>
        <w:t>.</w:t>
      </w:r>
    </w:p>
    <w:p w:rsidR="00C115AD" w:rsidRDefault="00C115AD">
      <w:pPr>
        <w:spacing w:beforeAutospacing="1" w:afterAutospacing="1" w:line="360" w:lineRule="auto"/>
        <w:contextualSpacing/>
        <w:jc w:val="both"/>
        <w:rPr>
          <w:rFonts w:ascii="Palatino Linotype" w:hAnsi="Palatino Linotype" w:cs="Arial"/>
        </w:rPr>
      </w:pPr>
    </w:p>
    <w:p w:rsidR="00C115AD" w:rsidRDefault="006854B3">
      <w:pPr>
        <w:spacing w:beforeAutospacing="1" w:afterAutospacing="1" w:line="360" w:lineRule="auto"/>
        <w:contextualSpacing/>
        <w:jc w:val="both"/>
        <w:rPr>
          <w:rFonts w:ascii="Palatino Linotype" w:hAnsi="Palatino Linotype" w:cs="Arial"/>
        </w:rPr>
      </w:pPr>
      <w:r>
        <w:rPr>
          <w:rFonts w:ascii="Palatino Linotype" w:hAnsi="Palatino Linotype"/>
          <w:lang w:eastAsia="es-MX"/>
        </w:rPr>
        <w:t xml:space="preserve">Atento a lo anterior, el particular requirió del </w:t>
      </w:r>
      <w:r>
        <w:rPr>
          <w:rFonts w:ascii="Palatino Linotype" w:hAnsi="Palatino Linotype"/>
          <w:b/>
          <w:lang w:eastAsia="es-MX"/>
        </w:rPr>
        <w:t xml:space="preserve">SUJETO OBLIGADO </w:t>
      </w:r>
      <w:r>
        <w:rPr>
          <w:rFonts w:ascii="Palatino Linotype" w:hAnsi="Palatino Linotype"/>
          <w:lang w:eastAsia="es-MX"/>
        </w:rPr>
        <w:t>la siguiente información:</w:t>
      </w:r>
    </w:p>
    <w:p w:rsidR="00C115AD" w:rsidRDefault="006854B3">
      <w:pPr>
        <w:pStyle w:val="Prrafodelista"/>
        <w:spacing w:beforeAutospacing="1" w:afterAutospacing="1"/>
        <w:ind w:left="851" w:right="902"/>
        <w:contextualSpacing/>
        <w:jc w:val="both"/>
        <w:rPr>
          <w:rFonts w:ascii="Palatino Linotype" w:hAnsi="Palatino Linotype"/>
          <w:b/>
          <w:bCs/>
          <w:i/>
          <w:spacing w:val="-20"/>
          <w:sz w:val="22"/>
          <w:szCs w:val="22"/>
        </w:rPr>
      </w:pPr>
      <w:r>
        <w:rPr>
          <w:rFonts w:ascii="Palatino Linotype" w:hAnsi="Palatino Linotype"/>
          <w:b/>
          <w:bCs/>
          <w:i/>
          <w:spacing w:val="-20"/>
          <w:sz w:val="22"/>
          <w:szCs w:val="22"/>
        </w:rPr>
        <w:t xml:space="preserve">00343/TEMAMATL/IP/2019: </w:t>
      </w:r>
    </w:p>
    <w:p w:rsidR="00C115AD" w:rsidRDefault="00C115AD">
      <w:pPr>
        <w:pStyle w:val="Prrafodelista"/>
        <w:spacing w:beforeAutospacing="1" w:afterAutospacing="1"/>
        <w:ind w:left="851" w:right="902"/>
        <w:contextualSpacing/>
        <w:jc w:val="both"/>
        <w:rPr>
          <w:rFonts w:ascii="Palatino Linotype" w:hAnsi="Palatino Linotype"/>
          <w:b/>
          <w:bCs/>
          <w:i/>
          <w:spacing w:val="-20"/>
          <w:sz w:val="22"/>
          <w:szCs w:val="22"/>
        </w:rPr>
      </w:pPr>
    </w:p>
    <w:p w:rsidR="00C115AD" w:rsidRDefault="006854B3">
      <w:pPr>
        <w:pStyle w:val="Prrafodelista"/>
        <w:spacing w:beforeAutospacing="1" w:afterAutospacing="1"/>
        <w:ind w:left="851" w:right="902"/>
        <w:contextualSpacing/>
        <w:jc w:val="both"/>
        <w:rPr>
          <w:rFonts w:ascii="Palatino Linotype" w:hAnsi="Palatino Linotype"/>
          <w:b/>
          <w:bCs/>
          <w:i/>
          <w:spacing w:val="-20"/>
          <w:sz w:val="22"/>
          <w:szCs w:val="22"/>
        </w:rPr>
      </w:pPr>
      <w:r>
        <w:rPr>
          <w:rFonts w:ascii="Palatino Linotype" w:hAnsi="Palatino Linotype"/>
          <w:i/>
          <w:color w:val="000000"/>
          <w:sz w:val="22"/>
          <w:szCs w:val="22"/>
        </w:rPr>
        <w:t>“Solicito las licencias de funcionamiento que se emitieron en octubre del presente año” (Sic)</w:t>
      </w:r>
    </w:p>
    <w:p w:rsidR="00C115AD" w:rsidRDefault="00C115AD">
      <w:pPr>
        <w:pStyle w:val="Prrafodelista"/>
        <w:spacing w:beforeAutospacing="1" w:afterAutospacing="1"/>
        <w:ind w:left="851" w:right="902"/>
        <w:contextualSpacing/>
        <w:jc w:val="both"/>
        <w:rPr>
          <w:rFonts w:ascii="Palatino Linotype" w:hAnsi="Palatino Linotype"/>
          <w:bCs/>
          <w:i/>
          <w:spacing w:val="-20"/>
          <w:sz w:val="22"/>
          <w:szCs w:val="22"/>
        </w:rPr>
      </w:pPr>
    </w:p>
    <w:p w:rsidR="00C115AD" w:rsidRDefault="006854B3">
      <w:pPr>
        <w:pStyle w:val="Prrafodelista"/>
        <w:spacing w:beforeAutospacing="1" w:afterAutospacing="1"/>
        <w:ind w:left="851" w:right="902"/>
        <w:contextualSpacing/>
        <w:jc w:val="both"/>
        <w:rPr>
          <w:rFonts w:ascii="Palatino Linotype" w:hAnsi="Palatino Linotype"/>
          <w:b/>
          <w:bCs/>
          <w:i/>
          <w:spacing w:val="-20"/>
          <w:sz w:val="22"/>
          <w:szCs w:val="22"/>
        </w:rPr>
      </w:pPr>
      <w:r>
        <w:rPr>
          <w:rFonts w:ascii="Palatino Linotype" w:hAnsi="Palatino Linotype"/>
          <w:b/>
          <w:bCs/>
          <w:i/>
          <w:spacing w:val="-20"/>
          <w:sz w:val="22"/>
          <w:szCs w:val="22"/>
        </w:rPr>
        <w:t xml:space="preserve">00496/TEMAMATL/IP/2019: </w:t>
      </w:r>
    </w:p>
    <w:p w:rsidR="00C115AD" w:rsidRDefault="00C115AD">
      <w:pPr>
        <w:pStyle w:val="Prrafodelista"/>
        <w:spacing w:beforeAutospacing="1" w:afterAutospacing="1"/>
        <w:ind w:left="851" w:right="902"/>
        <w:contextualSpacing/>
        <w:jc w:val="both"/>
        <w:rPr>
          <w:rFonts w:ascii="Palatino Linotype" w:hAnsi="Palatino Linotype"/>
          <w:b/>
          <w:bCs/>
          <w:i/>
          <w:spacing w:val="-20"/>
          <w:sz w:val="22"/>
          <w:szCs w:val="22"/>
        </w:rPr>
      </w:pPr>
    </w:p>
    <w:p w:rsidR="00C115AD" w:rsidRDefault="006854B3">
      <w:pPr>
        <w:pStyle w:val="Prrafodelista"/>
        <w:spacing w:beforeAutospacing="1" w:afterAutospacing="1"/>
        <w:ind w:left="851" w:right="902"/>
        <w:contextualSpacing/>
        <w:jc w:val="both"/>
        <w:rPr>
          <w:rFonts w:ascii="Palatino Linotype" w:hAnsi="Palatino Linotype"/>
          <w:b/>
          <w:bCs/>
          <w:i/>
          <w:spacing w:val="-20"/>
          <w:sz w:val="22"/>
          <w:szCs w:val="22"/>
        </w:rPr>
      </w:pPr>
      <w:r>
        <w:rPr>
          <w:rFonts w:ascii="Palatino Linotype" w:hAnsi="Palatino Linotype"/>
          <w:i/>
          <w:color w:val="000000"/>
          <w:sz w:val="22"/>
          <w:szCs w:val="22"/>
        </w:rPr>
        <w:t>“Requiero las licencias de funcionamiento que se emitieron en el mes de agosto de 2019.”</w:t>
      </w:r>
    </w:p>
    <w:p w:rsidR="00C115AD" w:rsidRDefault="00C115AD">
      <w:pPr>
        <w:pStyle w:val="Prrafodelista"/>
        <w:spacing w:beforeAutospacing="1" w:afterAutospacing="1"/>
        <w:ind w:left="851" w:right="902"/>
        <w:contextualSpacing/>
        <w:jc w:val="both"/>
        <w:rPr>
          <w:rFonts w:ascii="Palatino Linotype" w:hAnsi="Palatino Linotype"/>
          <w:b/>
          <w:bCs/>
          <w:i/>
          <w:spacing w:val="-20"/>
          <w:sz w:val="22"/>
          <w:szCs w:val="22"/>
        </w:rPr>
      </w:pPr>
    </w:p>
    <w:p w:rsidR="00C115AD" w:rsidRDefault="006854B3">
      <w:pPr>
        <w:pStyle w:val="Prrafodelista"/>
        <w:spacing w:beforeAutospacing="1" w:afterAutospacing="1"/>
        <w:ind w:left="851" w:right="902"/>
        <w:contextualSpacing/>
        <w:jc w:val="both"/>
        <w:rPr>
          <w:rFonts w:ascii="Palatino Linotype" w:hAnsi="Palatino Linotype"/>
          <w:b/>
          <w:bCs/>
          <w:i/>
          <w:spacing w:val="-20"/>
          <w:sz w:val="22"/>
          <w:szCs w:val="22"/>
        </w:rPr>
      </w:pPr>
      <w:r>
        <w:rPr>
          <w:rFonts w:ascii="Palatino Linotype" w:hAnsi="Palatino Linotype"/>
          <w:b/>
          <w:bCs/>
          <w:i/>
          <w:spacing w:val="-20"/>
          <w:sz w:val="22"/>
          <w:szCs w:val="22"/>
        </w:rPr>
        <w:t xml:space="preserve">00497/TEMAMATL/IP/2019: </w:t>
      </w:r>
    </w:p>
    <w:p w:rsidR="00C115AD" w:rsidRDefault="00C115AD">
      <w:pPr>
        <w:pStyle w:val="Prrafodelista"/>
        <w:spacing w:beforeAutospacing="1" w:afterAutospacing="1"/>
        <w:ind w:left="851" w:right="902"/>
        <w:contextualSpacing/>
        <w:jc w:val="both"/>
        <w:rPr>
          <w:rFonts w:ascii="Palatino Linotype" w:hAnsi="Palatino Linotype"/>
          <w:i/>
          <w:color w:val="000000"/>
          <w:sz w:val="22"/>
          <w:szCs w:val="22"/>
        </w:rPr>
      </w:pPr>
    </w:p>
    <w:p w:rsidR="00C115AD" w:rsidRDefault="006854B3">
      <w:pPr>
        <w:pStyle w:val="Prrafodelista"/>
        <w:spacing w:beforeAutospacing="1" w:afterAutospacing="1"/>
        <w:ind w:left="851" w:right="902"/>
        <w:contextualSpacing/>
        <w:jc w:val="both"/>
        <w:rPr>
          <w:rFonts w:ascii="Palatino Linotype" w:hAnsi="Palatino Linotype"/>
          <w:b/>
          <w:bCs/>
          <w:i/>
          <w:spacing w:val="-20"/>
          <w:sz w:val="22"/>
          <w:szCs w:val="22"/>
        </w:rPr>
      </w:pPr>
      <w:r>
        <w:rPr>
          <w:rFonts w:ascii="Palatino Linotype" w:hAnsi="Palatino Linotype"/>
          <w:i/>
          <w:color w:val="000000"/>
          <w:sz w:val="22"/>
          <w:szCs w:val="22"/>
        </w:rPr>
        <w:t>“Requiero las licencias de funcionamiento que se emitieron en el mes de mayo de 2019.” (Sic)</w:t>
      </w:r>
    </w:p>
    <w:p w:rsidR="00C115AD" w:rsidRDefault="00C115AD">
      <w:pPr>
        <w:pStyle w:val="Prrafodelista"/>
        <w:spacing w:beforeAutospacing="1" w:afterAutospacing="1"/>
        <w:ind w:left="851" w:right="902"/>
        <w:contextualSpacing/>
        <w:jc w:val="both"/>
        <w:rPr>
          <w:rFonts w:ascii="Palatino Linotype" w:hAnsi="Palatino Linotype"/>
          <w:b/>
          <w:bCs/>
          <w:i/>
          <w:spacing w:val="-20"/>
          <w:sz w:val="22"/>
          <w:szCs w:val="22"/>
        </w:rPr>
      </w:pPr>
    </w:p>
    <w:p w:rsidR="00C115AD" w:rsidRDefault="006854B3">
      <w:pPr>
        <w:pStyle w:val="Prrafodelista"/>
        <w:spacing w:beforeAutospacing="1" w:afterAutospacing="1"/>
        <w:ind w:left="851" w:right="902"/>
        <w:contextualSpacing/>
        <w:jc w:val="both"/>
        <w:rPr>
          <w:rFonts w:ascii="Palatino Linotype" w:hAnsi="Palatino Linotype"/>
          <w:b/>
          <w:bCs/>
          <w:i/>
          <w:spacing w:val="-20"/>
          <w:sz w:val="22"/>
          <w:szCs w:val="22"/>
        </w:rPr>
      </w:pPr>
      <w:r>
        <w:rPr>
          <w:rFonts w:ascii="Palatino Linotype" w:hAnsi="Palatino Linotype"/>
          <w:b/>
          <w:bCs/>
          <w:i/>
          <w:spacing w:val="-20"/>
          <w:sz w:val="22"/>
          <w:szCs w:val="22"/>
        </w:rPr>
        <w:t xml:space="preserve">00498/TEMAMATL/IP/2019: </w:t>
      </w:r>
    </w:p>
    <w:p w:rsidR="00C115AD" w:rsidRDefault="00C115AD">
      <w:pPr>
        <w:pStyle w:val="Prrafodelista"/>
        <w:spacing w:beforeAutospacing="1" w:afterAutospacing="1"/>
        <w:ind w:left="851" w:right="902"/>
        <w:contextualSpacing/>
        <w:jc w:val="both"/>
        <w:rPr>
          <w:rFonts w:ascii="Palatino Linotype" w:hAnsi="Palatino Linotype"/>
          <w:i/>
          <w:color w:val="000000"/>
          <w:sz w:val="22"/>
          <w:szCs w:val="22"/>
        </w:rPr>
      </w:pPr>
    </w:p>
    <w:p w:rsidR="00C115AD" w:rsidRDefault="006854B3">
      <w:pPr>
        <w:pStyle w:val="Prrafodelista"/>
        <w:spacing w:beforeAutospacing="1" w:afterAutospacing="1"/>
        <w:ind w:left="851" w:right="902"/>
        <w:contextualSpacing/>
        <w:jc w:val="both"/>
        <w:rPr>
          <w:rFonts w:ascii="Palatino Linotype" w:hAnsi="Palatino Linotype"/>
          <w:b/>
          <w:bCs/>
          <w:i/>
          <w:spacing w:val="-20"/>
          <w:sz w:val="22"/>
          <w:szCs w:val="22"/>
        </w:rPr>
      </w:pPr>
      <w:r>
        <w:rPr>
          <w:rFonts w:ascii="Palatino Linotype" w:hAnsi="Palatino Linotype"/>
          <w:i/>
          <w:color w:val="000000"/>
          <w:sz w:val="22"/>
          <w:szCs w:val="22"/>
        </w:rPr>
        <w:t>“Requiero las licencias de funcionamiento que se emitieron en el mes de marzo de 2019.” (Sic)</w:t>
      </w:r>
    </w:p>
    <w:p w:rsidR="00C115AD" w:rsidRDefault="00C115AD">
      <w:pPr>
        <w:pStyle w:val="Prrafodelista"/>
        <w:spacing w:beforeAutospacing="1" w:afterAutospacing="1" w:line="360" w:lineRule="auto"/>
        <w:ind w:left="0"/>
        <w:contextualSpacing/>
        <w:jc w:val="both"/>
        <w:rPr>
          <w:rFonts w:ascii="Palatino Linotype" w:hAnsi="Palatino Linotype"/>
          <w:lang w:eastAsia="es-MX"/>
        </w:rPr>
      </w:pPr>
    </w:p>
    <w:p w:rsidR="00C115AD" w:rsidRDefault="006854B3">
      <w:pPr>
        <w:pStyle w:val="Prrafodelista"/>
        <w:spacing w:beforeAutospacing="1" w:afterAutospacing="1" w:line="360" w:lineRule="auto"/>
        <w:ind w:left="0"/>
        <w:contextualSpacing/>
        <w:jc w:val="both"/>
        <w:rPr>
          <w:rFonts w:ascii="Palatino Linotype" w:hAnsi="Palatino Linotype" w:cs="Arial"/>
        </w:rPr>
      </w:pPr>
      <w:r>
        <w:rPr>
          <w:rFonts w:ascii="Palatino Linotype" w:hAnsi="Palatino Linotype" w:cs="Arial"/>
        </w:rPr>
        <w:t>Al respecto,</w:t>
      </w:r>
      <w:r>
        <w:rPr>
          <w:rFonts w:ascii="Palatino Linotype" w:hAnsi="Palatino Linotype" w:cs="Arial"/>
          <w:b/>
        </w:rPr>
        <w:t xml:space="preserve"> EL SUJETO OBLIGADO</w:t>
      </w:r>
      <w:r>
        <w:rPr>
          <w:rFonts w:ascii="Palatino Linotype" w:hAnsi="Palatino Linotype" w:cs="Arial"/>
        </w:rPr>
        <w:t xml:space="preserve"> dio respuestas a las solicitudes de acceso a la información, en los términos análogos, por ello, sólo se plasma aquella recaída a la solicitud de acceso a la información número </w:t>
      </w:r>
      <w:r>
        <w:rPr>
          <w:rFonts w:ascii="Palatino Linotype" w:eastAsia="Calibri" w:hAnsi="Palatino Linotype"/>
          <w:b/>
          <w:bCs/>
          <w:spacing w:val="-20"/>
          <w:szCs w:val="22"/>
          <w:lang w:eastAsia="en-US"/>
        </w:rPr>
        <w:t>00343/TEMAMATL/IP/2019:</w:t>
      </w:r>
    </w:p>
    <w:p w:rsidR="00C115AD" w:rsidRDefault="006854B3">
      <w:pPr>
        <w:spacing w:beforeAutospacing="1" w:afterAutospacing="1"/>
        <w:ind w:left="851" w:right="902"/>
        <w:contextualSpacing/>
        <w:jc w:val="both"/>
        <w:rPr>
          <w:rFonts w:ascii="Palatino Linotype" w:hAnsi="Palatino Linotype" w:cs="Arial"/>
          <w:i/>
          <w:sz w:val="22"/>
          <w:szCs w:val="22"/>
        </w:rPr>
      </w:pPr>
      <w:r>
        <w:rPr>
          <w:rFonts w:ascii="Palatino Linotype" w:hAnsi="Palatino Linotype" w:cs="Arial"/>
          <w:i/>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C115AD" w:rsidRDefault="00C115AD">
      <w:pPr>
        <w:spacing w:beforeAutospacing="1" w:afterAutospacing="1"/>
        <w:ind w:left="851" w:right="902"/>
        <w:contextualSpacing/>
        <w:jc w:val="both"/>
        <w:rPr>
          <w:rFonts w:ascii="Palatino Linotype" w:hAnsi="Palatino Linotype" w:cs="Arial"/>
          <w:i/>
          <w:sz w:val="22"/>
          <w:szCs w:val="22"/>
        </w:rPr>
      </w:pPr>
    </w:p>
    <w:p w:rsidR="00C115AD" w:rsidRDefault="006854B3">
      <w:pPr>
        <w:spacing w:beforeAutospacing="1" w:afterAutospacing="1"/>
        <w:ind w:left="851" w:right="902"/>
        <w:contextualSpacing/>
        <w:jc w:val="both"/>
        <w:rPr>
          <w:rFonts w:ascii="Palatino Linotype" w:hAnsi="Palatino Linotype" w:cs="Arial"/>
          <w:i/>
          <w:sz w:val="22"/>
          <w:szCs w:val="22"/>
        </w:rPr>
      </w:pPr>
      <w:r>
        <w:rPr>
          <w:rFonts w:ascii="Palatino Linotype" w:hAnsi="Palatino Linotype" w:cs="Arial"/>
          <w:i/>
          <w:sz w:val="22"/>
          <w:szCs w:val="22"/>
        </w:rPr>
        <w:t xml:space="preserve">Por medio del presente me permito comunicarle, con fundamento en lo dispuesto por los artículos 52, 53, 151,158,160,164 y demás relativos y aplicables de la Ley de Transparencia y Acceso a la Información Púbica del Estado de México, así como de la Ley General de Transparencia y Acceso a la Información, derivado de la solicitud de información pública presentada a través de portal SAIMEX bajo el número 00343/TEMAMATL/IP/2019, atentamente me permito comunicarle que los documentos referentes a la información que solicita , se encuentra en copias simples para su consulta directa , en las oficinas de esta Unidad de Transparencia y Acceso a la Información Pública, esto derivado de la carga de trabajo que esta Unidad Administrativa actualmente cuenta con 510 (quinientas diez) solicitudes por contestar dentro de los plazos establecidos, por lo que dichas solicitudes empatan en tiempo de contestación con su solicitud, estimado solicitante ,por la cual rebasa considerablemente las capacidades técnicas administrativas y humanas del sujeto obligado para cumplir con la solicitud y/o solicitudes, en los plazos establecidos .Con la intención legitima de no lesionar el derecho humano de acceso a la información pública y privilegiando el principio de máxima publicidad de la información ,para </w:t>
      </w:r>
      <w:r>
        <w:rPr>
          <w:rFonts w:ascii="Palatino Linotype" w:hAnsi="Palatino Linotype" w:cs="Arial"/>
          <w:i/>
          <w:sz w:val="22"/>
          <w:szCs w:val="22"/>
        </w:rPr>
        <w:lastRenderedPageBreak/>
        <w:t>dichos efectos, se pone a disposición del solicitante los documentos solicitados en consulta directa, salvo la información clasificada. Cabe mencionar que se le facilitará su copia simple o certificada, así como su reproducción por cualquier medio disponible, en las instalaciones del sujeto obligado o que, en su caso, usted aporte.</w:t>
      </w:r>
    </w:p>
    <w:p w:rsidR="00C115AD" w:rsidRDefault="00C115AD">
      <w:pPr>
        <w:spacing w:beforeAutospacing="1" w:afterAutospacing="1"/>
        <w:ind w:left="851" w:right="902"/>
        <w:contextualSpacing/>
        <w:jc w:val="both"/>
        <w:rPr>
          <w:rFonts w:ascii="Palatino Linotype" w:hAnsi="Palatino Linotype" w:cs="Arial"/>
          <w:i/>
          <w:sz w:val="22"/>
          <w:szCs w:val="22"/>
        </w:rPr>
      </w:pPr>
    </w:p>
    <w:p w:rsidR="00C115AD" w:rsidRDefault="006854B3">
      <w:pPr>
        <w:spacing w:beforeAutospacing="1" w:afterAutospacing="1"/>
        <w:ind w:left="851" w:right="902"/>
        <w:contextualSpacing/>
        <w:jc w:val="both"/>
        <w:rPr>
          <w:rFonts w:ascii="Palatino Linotype" w:hAnsi="Palatino Linotype" w:cs="Arial"/>
          <w:i/>
          <w:sz w:val="22"/>
          <w:szCs w:val="22"/>
        </w:rPr>
      </w:pPr>
      <w:r>
        <w:rPr>
          <w:rFonts w:ascii="Palatino Linotype" w:hAnsi="Palatino Linotype" w:cs="Arial"/>
          <w:i/>
          <w:sz w:val="22"/>
          <w:szCs w:val="22"/>
        </w:rPr>
        <w:t>ATENTAMENTE</w:t>
      </w:r>
    </w:p>
    <w:p w:rsidR="00C115AD" w:rsidRDefault="00C115AD">
      <w:pPr>
        <w:spacing w:beforeAutospacing="1" w:afterAutospacing="1"/>
        <w:ind w:left="851" w:right="902"/>
        <w:contextualSpacing/>
        <w:jc w:val="both"/>
        <w:rPr>
          <w:rFonts w:ascii="Palatino Linotype" w:hAnsi="Palatino Linotype" w:cs="Arial"/>
          <w:i/>
          <w:sz w:val="22"/>
          <w:szCs w:val="22"/>
        </w:rPr>
      </w:pPr>
    </w:p>
    <w:p w:rsidR="00C115AD" w:rsidRDefault="006854B3">
      <w:pPr>
        <w:spacing w:beforeAutospacing="1" w:afterAutospacing="1"/>
        <w:ind w:left="851" w:right="902"/>
        <w:contextualSpacing/>
        <w:jc w:val="both"/>
        <w:rPr>
          <w:rFonts w:ascii="Palatino Linotype" w:hAnsi="Palatino Linotype"/>
          <w:sz w:val="22"/>
          <w:szCs w:val="22"/>
        </w:rPr>
      </w:pPr>
      <w:r>
        <w:rPr>
          <w:rFonts w:ascii="Palatino Linotype" w:hAnsi="Palatino Linotype" w:cs="Arial"/>
          <w:i/>
          <w:sz w:val="22"/>
          <w:szCs w:val="22"/>
        </w:rPr>
        <w:t xml:space="preserve">Licenciado en Criminalística Donaldo Yaél Guillén Martínez” </w:t>
      </w:r>
      <w:r>
        <w:rPr>
          <w:rFonts w:ascii="Palatino Linotype" w:hAnsi="Palatino Linotype"/>
          <w:sz w:val="22"/>
          <w:szCs w:val="22"/>
        </w:rPr>
        <w:t>(Sic)</w:t>
      </w:r>
    </w:p>
    <w:p w:rsidR="00C115AD" w:rsidRDefault="006854B3">
      <w:pPr>
        <w:pStyle w:val="Prrafodelista"/>
        <w:widowControl w:val="0"/>
        <w:tabs>
          <w:tab w:val="left" w:pos="1276"/>
        </w:tabs>
        <w:spacing w:beforeAutospacing="1" w:afterAutospacing="1" w:line="360" w:lineRule="auto"/>
        <w:ind w:left="0" w:right="49"/>
        <w:contextualSpacing/>
        <w:jc w:val="both"/>
        <w:rPr>
          <w:rFonts w:ascii="Palatino Linotype" w:hAnsi="Palatino Linotype"/>
          <w:lang w:eastAsia="es-MX"/>
        </w:rPr>
      </w:pPr>
      <w:r>
        <w:rPr>
          <w:rFonts w:ascii="Palatino Linotype" w:hAnsi="Palatino Linotype"/>
          <w:lang w:eastAsia="es-MX"/>
        </w:rPr>
        <w:t xml:space="preserve">Inconforme con la respuesta, el hoy </w:t>
      </w:r>
      <w:r>
        <w:rPr>
          <w:rFonts w:ascii="Palatino Linotype" w:hAnsi="Palatino Linotype"/>
          <w:b/>
          <w:lang w:eastAsia="es-MX"/>
        </w:rPr>
        <w:t>RECURRENTE</w:t>
      </w:r>
      <w:r>
        <w:rPr>
          <w:rFonts w:ascii="Palatino Linotype" w:hAnsi="Palatino Linotype"/>
          <w:lang w:eastAsia="es-MX"/>
        </w:rPr>
        <w:t xml:space="preserve"> interpuso el medio de defensa de mérito, en el cual, en lo que interesa, manifestó que no se le había entregado la información solicitada.</w:t>
      </w:r>
    </w:p>
    <w:p w:rsidR="00C115AD" w:rsidRDefault="00C115AD">
      <w:pPr>
        <w:pStyle w:val="Prrafodelista"/>
        <w:widowControl w:val="0"/>
        <w:tabs>
          <w:tab w:val="left" w:pos="1276"/>
        </w:tabs>
        <w:spacing w:beforeAutospacing="1" w:afterAutospacing="1" w:line="360" w:lineRule="auto"/>
        <w:ind w:left="0" w:right="49"/>
        <w:contextualSpacing/>
        <w:jc w:val="both"/>
        <w:rPr>
          <w:rFonts w:ascii="Palatino Linotype" w:hAnsi="Palatino Linotype"/>
          <w:lang w:eastAsia="es-MX"/>
        </w:rPr>
      </w:pPr>
    </w:p>
    <w:p w:rsidR="00C115AD" w:rsidRDefault="006854B3">
      <w:pPr>
        <w:pStyle w:val="Prrafodelista"/>
        <w:widowControl w:val="0"/>
        <w:tabs>
          <w:tab w:val="left" w:pos="1276"/>
        </w:tabs>
        <w:spacing w:beforeAutospacing="1" w:afterAutospacing="1" w:line="360" w:lineRule="auto"/>
        <w:ind w:left="0" w:right="49"/>
        <w:contextualSpacing/>
        <w:jc w:val="both"/>
        <w:rPr>
          <w:rFonts w:ascii="Palatino Linotype" w:hAnsi="Palatino Linotype"/>
          <w:lang w:eastAsia="es-MX"/>
        </w:rPr>
      </w:pPr>
      <w:r>
        <w:rPr>
          <w:rFonts w:ascii="Palatino Linotype" w:hAnsi="Palatino Linotype"/>
          <w:lang w:eastAsia="es-MX"/>
        </w:rPr>
        <w:t xml:space="preserve">Posteriormente, </w:t>
      </w:r>
      <w:r>
        <w:rPr>
          <w:rFonts w:ascii="Palatino Linotype" w:hAnsi="Palatino Linotype"/>
          <w:b/>
          <w:lang w:eastAsia="es-MX"/>
        </w:rPr>
        <w:t>EL SUJETO OBLIGADO</w:t>
      </w:r>
      <w:r>
        <w:rPr>
          <w:rFonts w:ascii="Palatino Linotype" w:hAnsi="Palatino Linotype"/>
          <w:lang w:eastAsia="es-MX"/>
        </w:rPr>
        <w:t xml:space="preserve"> rindió</w:t>
      </w:r>
      <w:r>
        <w:rPr>
          <w:rFonts w:ascii="Palatino Linotype" w:hAnsi="Palatino Linotype" w:cs="Arial"/>
        </w:rPr>
        <w:t xml:space="preserve"> sus Informes Justificados sin embargo esta ponencia Resolutora decidió no ponerlos a la vista del particular, en virtud que </w:t>
      </w:r>
      <w:r>
        <w:rPr>
          <w:rFonts w:ascii="Palatino Linotype" w:hAnsi="Palatino Linotype" w:cs="Arial"/>
          <w:lang w:val="es-ES_tradnl"/>
        </w:rPr>
        <w:t xml:space="preserve">no modificó el sentido de la respuesta a la solicitud de información, en términos del artículo 185, fracción III </w:t>
      </w:r>
      <w:r>
        <w:rPr>
          <w:rFonts w:ascii="Palatino Linotype" w:hAnsi="Palatino Linotype"/>
          <w:lang w:eastAsia="es-ES_tradnl"/>
        </w:rPr>
        <w:t>de la Ley de Transparencia y Acceso a la Información Pública del Estado de México y Municipios</w:t>
      </w:r>
      <w:r>
        <w:rPr>
          <w:rFonts w:ascii="Palatino Linotype" w:hAnsi="Palatino Linotype" w:cs="Arial"/>
        </w:rPr>
        <w:t>.</w:t>
      </w:r>
    </w:p>
    <w:p w:rsidR="00C115AD" w:rsidRDefault="00C115AD">
      <w:pPr>
        <w:pStyle w:val="Prrafodelista"/>
        <w:widowControl w:val="0"/>
        <w:tabs>
          <w:tab w:val="left" w:pos="1276"/>
        </w:tabs>
        <w:spacing w:beforeAutospacing="1" w:afterAutospacing="1" w:line="360" w:lineRule="auto"/>
        <w:ind w:left="0" w:right="49"/>
        <w:contextualSpacing/>
        <w:jc w:val="both"/>
        <w:rPr>
          <w:rFonts w:ascii="Palatino Linotype" w:hAnsi="Palatino Linotype" w:cs="Arial"/>
        </w:rPr>
      </w:pPr>
    </w:p>
    <w:p w:rsidR="00C115AD" w:rsidRDefault="006854B3">
      <w:pPr>
        <w:pStyle w:val="Prrafodelista"/>
        <w:widowControl w:val="0"/>
        <w:tabs>
          <w:tab w:val="left" w:pos="1276"/>
        </w:tabs>
        <w:spacing w:beforeAutospacing="1" w:afterAutospacing="1" w:line="360" w:lineRule="auto"/>
        <w:ind w:left="0" w:right="49"/>
        <w:contextualSpacing/>
        <w:jc w:val="both"/>
        <w:rPr>
          <w:rFonts w:ascii="Palatino Linotype" w:hAnsi="Palatino Linotype"/>
          <w:lang w:eastAsia="es-MX"/>
        </w:rPr>
      </w:pPr>
      <w:r>
        <w:rPr>
          <w:rFonts w:ascii="Palatino Linotype" w:hAnsi="Palatino Linotype"/>
          <w:lang w:eastAsia="es-MX"/>
        </w:rPr>
        <w:t xml:space="preserve">Por su parte, </w:t>
      </w:r>
      <w:r>
        <w:rPr>
          <w:rFonts w:ascii="Palatino Linotype" w:hAnsi="Palatino Linotype"/>
          <w:b/>
          <w:lang w:eastAsia="es-MX"/>
        </w:rPr>
        <w:t>EL RECURRENTE</w:t>
      </w:r>
      <w:r>
        <w:rPr>
          <w:rFonts w:ascii="Palatino Linotype" w:hAnsi="Palatino Linotype"/>
          <w:lang w:eastAsia="es-MX"/>
        </w:rPr>
        <w:t xml:space="preserve"> no presentó manifestaciones, alegatos ni ofreció los medios de prueba que a su derecho convinieran.</w:t>
      </w:r>
    </w:p>
    <w:p w:rsidR="00C115AD" w:rsidRDefault="00C115AD">
      <w:pPr>
        <w:pStyle w:val="Prrafodelista"/>
        <w:widowControl w:val="0"/>
        <w:tabs>
          <w:tab w:val="left" w:pos="1276"/>
        </w:tabs>
        <w:spacing w:beforeAutospacing="1" w:afterAutospacing="1" w:line="360" w:lineRule="auto"/>
        <w:ind w:left="0" w:right="49"/>
        <w:contextualSpacing/>
        <w:jc w:val="both"/>
        <w:rPr>
          <w:rFonts w:ascii="Palatino Linotype" w:hAnsi="Palatino Linotype"/>
          <w:lang w:eastAsia="es-MX"/>
        </w:rPr>
      </w:pPr>
    </w:p>
    <w:p w:rsidR="00C115AD" w:rsidRDefault="006854B3">
      <w:pPr>
        <w:pStyle w:val="Prrafodelista"/>
        <w:widowControl w:val="0"/>
        <w:tabs>
          <w:tab w:val="left" w:pos="1276"/>
        </w:tabs>
        <w:spacing w:beforeAutospacing="1" w:afterAutospacing="1" w:line="360" w:lineRule="auto"/>
        <w:ind w:left="0" w:right="49"/>
        <w:contextualSpacing/>
        <w:jc w:val="both"/>
        <w:rPr>
          <w:rFonts w:ascii="Palatino Linotype" w:hAnsi="Palatino Linotype"/>
          <w:lang w:eastAsia="es-MX"/>
        </w:rPr>
      </w:pPr>
      <w:r>
        <w:rPr>
          <w:rFonts w:ascii="Palatino Linotype" w:eastAsia="Calibri" w:hAnsi="Palatino Linotype" w:cs="Tahoma"/>
          <w:bCs/>
          <w:lang w:eastAsia="en-US"/>
        </w:rPr>
        <w:t xml:space="preserve">De tales circunstancias, se advierte que el Ayuntamiento de Temamatla acreditó el impedimento para proporcionar la información solicitada, a través </w:t>
      </w:r>
      <w:r>
        <w:rPr>
          <w:rFonts w:ascii="Palatino Linotype" w:eastAsia="Calibri" w:hAnsi="Palatino Linotype" w:cs="Tahoma"/>
          <w:bCs/>
          <w:lang w:val="es-ES" w:eastAsia="en-US"/>
        </w:rPr>
        <w:t xml:space="preserve">del Sistema de Acceso a la Información Mexiquense </w:t>
      </w:r>
      <w:r>
        <w:rPr>
          <w:rFonts w:ascii="Palatino Linotype" w:eastAsia="Calibri" w:hAnsi="Palatino Linotype" w:cs="Tahoma"/>
          <w:b/>
          <w:bCs/>
          <w:lang w:val="es-ES" w:eastAsia="en-US"/>
        </w:rPr>
        <w:t>(SAIMEX)</w:t>
      </w:r>
      <w:r>
        <w:rPr>
          <w:rFonts w:ascii="Palatino Linotype" w:eastAsia="Calibri" w:hAnsi="Palatino Linotype" w:cs="Tahoma"/>
          <w:bCs/>
          <w:lang w:val="es-ES" w:eastAsia="en-US"/>
        </w:rPr>
        <w:t>,</w:t>
      </w:r>
      <w:r>
        <w:rPr>
          <w:rFonts w:ascii="Palatino Linotype" w:eastAsia="Calibri" w:hAnsi="Palatino Linotype" w:cs="Tahoma"/>
          <w:b/>
          <w:bCs/>
          <w:lang w:val="es-ES" w:eastAsia="en-US"/>
        </w:rPr>
        <w:t xml:space="preserve"> </w:t>
      </w:r>
      <w:r>
        <w:rPr>
          <w:rFonts w:ascii="Palatino Linotype" w:eastAsia="Calibri" w:hAnsi="Palatino Linotype" w:cs="Tahoma"/>
          <w:bCs/>
          <w:lang w:val="es-ES" w:eastAsia="en-US"/>
        </w:rPr>
        <w:t xml:space="preserve">pues es claro que la información sobrepasa sus capacidades administrativas, técnicas y humanas; por lo cual, </w:t>
      </w:r>
      <w:r>
        <w:rPr>
          <w:rFonts w:ascii="Palatino Linotype" w:eastAsia="Calibri" w:hAnsi="Palatino Linotype" w:cs="Tahoma"/>
          <w:b/>
          <w:bCs/>
          <w:u w:val="single"/>
          <w:lang w:val="es-ES" w:eastAsia="en-US"/>
        </w:rPr>
        <w:t xml:space="preserve">resulta procedente el cambio de modalidad a consulta directa </w:t>
      </w:r>
      <w:r>
        <w:rPr>
          <w:rFonts w:ascii="Palatino Linotype" w:eastAsia="Calibri" w:hAnsi="Palatino Linotype" w:cs="Tahoma"/>
          <w:bCs/>
          <w:lang w:val="es-ES" w:eastAsia="en-US"/>
        </w:rPr>
        <w:t xml:space="preserve">mediante el Acta de la </w:t>
      </w:r>
      <w:r>
        <w:rPr>
          <w:rFonts w:ascii="Palatino Linotype" w:eastAsia="Calibri" w:hAnsi="Palatino Linotype" w:cs="Tahoma"/>
          <w:bCs/>
          <w:lang w:val="es-ES" w:eastAsia="en-US"/>
        </w:rPr>
        <w:lastRenderedPageBreak/>
        <w:t xml:space="preserve">Vigésima Sesión Ordinaria del Comité de transparencia como se muestra a </w:t>
      </w:r>
      <w:r w:rsidR="00AB4F4B">
        <w:rPr>
          <w:rFonts w:ascii="Palatino Linotype" w:eastAsia="Calibri" w:hAnsi="Palatino Linotype" w:cs="Tahoma"/>
          <w:bCs/>
          <w:noProof/>
          <w:lang w:eastAsia="es-MX"/>
        </w:rPr>
        <mc:AlternateContent>
          <mc:Choice Requires="wps">
            <w:drawing>
              <wp:anchor distT="0" distB="0" distL="114300" distR="114300" simplePos="0" relativeHeight="251659264" behindDoc="0" locked="0" layoutInCell="1" allowOverlap="1">
                <wp:simplePos x="0" y="0"/>
                <wp:positionH relativeFrom="column">
                  <wp:posOffset>-22861</wp:posOffset>
                </wp:positionH>
                <wp:positionV relativeFrom="paragraph">
                  <wp:posOffset>631824</wp:posOffset>
                </wp:positionV>
                <wp:extent cx="5915025" cy="6581775"/>
                <wp:effectExtent l="38100" t="19050" r="66675" b="85725"/>
                <wp:wrapNone/>
                <wp:docPr id="21" name="Conector recto 21"/>
                <wp:cNvGraphicFramePr/>
                <a:graphic xmlns:a="http://schemas.openxmlformats.org/drawingml/2006/main">
                  <a:graphicData uri="http://schemas.microsoft.com/office/word/2010/wordprocessingShape">
                    <wps:wsp>
                      <wps:cNvCnPr/>
                      <wps:spPr>
                        <a:xfrm>
                          <a:off x="0" y="0"/>
                          <a:ext cx="5915025" cy="658177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C599999" id="Conector recto 2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8pt,49.75pt" to="463.95pt,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" strokecolor="#4f81bd [3204]" strokeweight="2pt">
                <v:shadow on="t" color="black" opacity="24903f" origin=",.5" offset="0,.55556mm"/>
              </v:line>
            </w:pict>
          </mc:Fallback>
        </mc:AlternateContent>
      </w:r>
      <w:r>
        <w:rPr>
          <w:rFonts w:ascii="Palatino Linotype" w:eastAsia="Calibri" w:hAnsi="Palatino Linotype" w:cs="Tahoma"/>
          <w:bCs/>
          <w:lang w:val="es-ES" w:eastAsia="en-US"/>
        </w:rPr>
        <w:t>continuación:</w:t>
      </w:r>
    </w:p>
    <w:p w:rsidR="00C115AD" w:rsidRDefault="006854B3">
      <w:pPr>
        <w:spacing w:beforeAutospacing="1" w:afterAutospacing="1" w:line="360" w:lineRule="auto"/>
        <w:contextualSpacing/>
        <w:rPr>
          <w:rFonts w:ascii="Palatino Linotype" w:eastAsia="Calibri" w:hAnsi="Palatino Linotype" w:cs="Tahoma"/>
          <w:bCs/>
          <w:sz w:val="22"/>
          <w:szCs w:val="22"/>
          <w:lang w:eastAsia="en-US"/>
        </w:rPr>
      </w:pPr>
      <w:r>
        <w:rPr>
          <w:rFonts w:ascii="Palatino Linotype" w:eastAsia="Calibri" w:hAnsi="Palatino Linotype" w:cs="Tahoma"/>
          <w:bCs/>
          <w:noProof/>
          <w:sz w:val="22"/>
          <w:szCs w:val="22"/>
          <w:lang w:eastAsia="es-MX"/>
        </w:rPr>
        <w:lastRenderedPageBreak/>
        <w:drawing>
          <wp:anchor distT="0" distB="0" distL="114300" distR="114300" simplePos="0" relativeHeight="49" behindDoc="1" locked="0" layoutInCell="1" allowOverlap="1" wp14:anchorId="5BE6E637">
            <wp:simplePos x="0" y="0"/>
            <wp:positionH relativeFrom="column">
              <wp:posOffset>-294640</wp:posOffset>
            </wp:positionH>
            <wp:positionV relativeFrom="paragraph">
              <wp:posOffset>666115</wp:posOffset>
            </wp:positionV>
            <wp:extent cx="6497320" cy="5642610"/>
            <wp:effectExtent l="8255" t="0" r="8890" b="8890"/>
            <wp:wrapTight wrapText="bothSides">
              <wp:wrapPolygon edited="0">
                <wp:start x="21573" y="-32"/>
                <wp:lineTo x="34" y="-32"/>
                <wp:lineTo x="34" y="21561"/>
                <wp:lineTo x="21573" y="21561"/>
                <wp:lineTo x="21573" y="-32"/>
              </wp:wrapPolygon>
            </wp:wrapTight>
            <wp:docPr id="4" name="Imagen 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0"/>
                    <a:srcRect l="18272" t="6586" r="13492" b="4756"/>
                    <a:stretch/>
                  </pic:blipFill>
                  <pic:spPr>
                    <a:xfrm rot="16200000">
                      <a:off x="0" y="0"/>
                      <a:ext cx="6497320" cy="5642610"/>
                    </a:xfrm>
                    <a:prstGeom prst="rect">
                      <a:avLst/>
                    </a:prstGeom>
                    <a:ln>
                      <a:noFill/>
                    </a:ln>
                  </pic:spPr>
                </pic:pic>
              </a:graphicData>
            </a:graphic>
            <wp14:sizeRelH relativeFrom="margin">
              <wp14:pctWidth>0</wp14:pctWidth>
            </wp14:sizeRelH>
          </wp:anchor>
        </w:drawing>
      </w:r>
    </w:p>
    <w:p w:rsidR="00C115AD" w:rsidRDefault="006854B3">
      <w:pPr>
        <w:spacing w:beforeAutospacing="1" w:afterAutospacing="1" w:line="360" w:lineRule="auto"/>
        <w:contextualSpacing/>
        <w:jc w:val="both"/>
        <w:rPr>
          <w:rFonts w:ascii="Palatino Linotype" w:hAnsi="Palatino Linotype" w:cs="Arial"/>
          <w:sz w:val="22"/>
          <w:szCs w:val="22"/>
        </w:rPr>
      </w:pPr>
      <w:r>
        <w:rPr>
          <w:rFonts w:ascii="Palatino Linotype" w:hAnsi="Palatino Linotype" w:cs="Arial"/>
          <w:noProof/>
          <w:sz w:val="22"/>
          <w:szCs w:val="22"/>
          <w:lang w:eastAsia="es-MX"/>
        </w:rPr>
        <w:lastRenderedPageBreak/>
        <mc:AlternateContent>
          <mc:Choice Requires="wps">
            <w:drawing>
              <wp:anchor distT="0" distB="0" distL="114300" distR="114300" simplePos="0" relativeHeight="50" behindDoc="0" locked="0" layoutInCell="1" allowOverlap="1">
                <wp:simplePos x="0" y="0"/>
                <wp:positionH relativeFrom="column">
                  <wp:posOffset>-829310</wp:posOffset>
                </wp:positionH>
                <wp:positionV relativeFrom="paragraph">
                  <wp:posOffset>770890</wp:posOffset>
                </wp:positionV>
                <wp:extent cx="7265035" cy="5761990"/>
                <wp:effectExtent l="0" t="742950" r="0" b="735965"/>
                <wp:wrapSquare wrapText="bothSides"/>
                <wp:docPr id="5" name="Imagen 2"/>
                <wp:cNvGraphicFramePr/>
                <a:graphic xmlns:a="http://schemas.openxmlformats.org/drawingml/2006/main">
                  <a:graphicData uri="http://schemas.openxmlformats.org/drawingml/2006/picture">
                    <pic:pic xmlns:pic="http://schemas.openxmlformats.org/drawingml/2006/picture">
                      <pic:nvPicPr>
                        <pic:cNvPr id="1" name="Imagen 2"/>
                        <pic:cNvPicPr/>
                      </pic:nvPicPr>
                      <pic:blipFill>
                        <a:blip r:embed="rId11"/>
                        <a:srcRect l="17783" t="6443" r="13656" b="4378"/>
                        <a:stretch/>
                      </pic:blipFill>
                      <pic:spPr>
                        <a:xfrm rot="16200000">
                          <a:off x="0" y="0"/>
                          <a:ext cx="7264440" cy="5761440"/>
                        </a:xfrm>
                        <a:prstGeom prst="rect">
                          <a:avLst/>
                        </a:prstGeom>
                        <a:ln>
                          <a:noFill/>
                        </a:ln>
                      </pic:spPr>
                    </pic:pic>
                  </a:graphicData>
                </a:graphic>
              </wp:anchor>
            </w:drawing>
          </mc:Choice>
          <mc:Fallback>
            <w:pict>
              <v:shape id="shape_0" ID="Imagen 2" stroked="f" style="position:absolute;margin-left:-65.3pt;margin-top:60.7pt;width:571.95pt;height:453.6pt;rotation:270" type="shapetype_75">
                <v:imagedata r:id="rId12" o:detectmouseclick="t"/>
                <w10:wrap type="none"/>
                <v:stroke color="#3465a4" joinstyle="round" endcap="flat"/>
              </v:shape>
            </w:pict>
          </mc:Fallback>
        </mc:AlternateContent>
      </w:r>
    </w:p>
    <w:p w:rsidR="00C115AD" w:rsidRDefault="006854B3">
      <w:pPr>
        <w:spacing w:beforeAutospacing="1" w:afterAutospacing="1" w:line="360" w:lineRule="auto"/>
        <w:contextualSpacing/>
        <w:jc w:val="both"/>
        <w:rPr>
          <w:rFonts w:ascii="Palatino Linotype" w:hAnsi="Palatino Linotype" w:cs="Arial"/>
          <w:sz w:val="22"/>
          <w:szCs w:val="22"/>
        </w:rPr>
      </w:pPr>
      <w:r>
        <w:rPr>
          <w:rFonts w:ascii="Palatino Linotype" w:hAnsi="Palatino Linotype" w:cs="Arial"/>
          <w:noProof/>
          <w:sz w:val="22"/>
          <w:szCs w:val="22"/>
          <w:lang w:eastAsia="es-MX"/>
        </w:rPr>
        <w:lastRenderedPageBreak/>
        <mc:AlternateContent>
          <mc:Choice Requires="wps">
            <w:drawing>
              <wp:anchor distT="0" distB="0" distL="114300" distR="114300" simplePos="0" relativeHeight="52" behindDoc="0" locked="0" layoutInCell="1" allowOverlap="1">
                <wp:simplePos x="0" y="0"/>
                <wp:positionH relativeFrom="column">
                  <wp:posOffset>-621665</wp:posOffset>
                </wp:positionH>
                <wp:positionV relativeFrom="paragraph">
                  <wp:posOffset>791210</wp:posOffset>
                </wp:positionV>
                <wp:extent cx="7181850" cy="5636895"/>
                <wp:effectExtent l="0" t="781050" r="0" b="746760"/>
                <wp:wrapSquare wrapText="bothSides"/>
                <wp:docPr id="6" name="Imagen 3"/>
                <wp:cNvGraphicFramePr/>
                <a:graphic xmlns:a="http://schemas.openxmlformats.org/drawingml/2006/main">
                  <a:graphicData uri="http://schemas.openxmlformats.org/drawingml/2006/picture">
                    <pic:pic xmlns:pic="http://schemas.openxmlformats.org/drawingml/2006/picture">
                      <pic:nvPicPr>
                        <pic:cNvPr id="2" name="Imagen 3"/>
                        <pic:cNvPicPr/>
                      </pic:nvPicPr>
                      <pic:blipFill>
                        <a:blip r:embed="rId13"/>
                        <a:srcRect l="17449" t="7318" r="14148" b="3643"/>
                        <a:stretch/>
                      </pic:blipFill>
                      <pic:spPr>
                        <a:xfrm rot="16200000">
                          <a:off x="0" y="0"/>
                          <a:ext cx="7181280" cy="5636160"/>
                        </a:xfrm>
                        <a:prstGeom prst="rect">
                          <a:avLst/>
                        </a:prstGeom>
                        <a:ln>
                          <a:noFill/>
                        </a:ln>
                      </pic:spPr>
                    </pic:pic>
                  </a:graphicData>
                </a:graphic>
              </wp:anchor>
            </w:drawing>
          </mc:Choice>
          <mc:Fallback>
            <w:pict>
              <v:shape id="shape_0" ID="Imagen 3" stroked="f" style="position:absolute;margin-left:-48.95pt;margin-top:62.3pt;width:565.4pt;height:443.75pt;rotation:270" type="shapetype_75">
                <v:imagedata r:id="rId14" o:detectmouseclick="t"/>
                <w10:wrap type="none"/>
                <v:stroke color="#3465a4" joinstyle="round" endcap="flat"/>
              </v:shape>
            </w:pict>
          </mc:Fallback>
        </mc:AlternateContent>
      </w:r>
    </w:p>
    <w:p w:rsidR="00C115AD" w:rsidRDefault="006854B3">
      <w:pPr>
        <w:spacing w:beforeAutospacing="1" w:afterAutospacing="1" w:line="360" w:lineRule="auto"/>
        <w:contextualSpacing/>
        <w:jc w:val="both"/>
        <w:rPr>
          <w:rFonts w:ascii="Palatino Linotype" w:hAnsi="Palatino Linotype" w:cs="Arial"/>
          <w:sz w:val="22"/>
          <w:szCs w:val="22"/>
        </w:rPr>
      </w:pPr>
      <w:r>
        <w:rPr>
          <w:rFonts w:ascii="Palatino Linotype" w:hAnsi="Palatino Linotype" w:cs="Arial"/>
          <w:noProof/>
          <w:sz w:val="22"/>
          <w:szCs w:val="22"/>
          <w:lang w:eastAsia="es-MX"/>
        </w:rPr>
        <w:lastRenderedPageBreak/>
        <mc:AlternateContent>
          <mc:Choice Requires="wps">
            <w:drawing>
              <wp:anchor distT="0" distB="0" distL="114300" distR="114300" simplePos="0" relativeHeight="51" behindDoc="0" locked="0" layoutInCell="1" allowOverlap="1" wp14:anchorId="0EA17472">
                <wp:simplePos x="0" y="0"/>
                <wp:positionH relativeFrom="column">
                  <wp:posOffset>-570230</wp:posOffset>
                </wp:positionH>
                <wp:positionV relativeFrom="paragraph">
                  <wp:posOffset>653415</wp:posOffset>
                </wp:positionV>
                <wp:extent cx="7053580" cy="5766435"/>
                <wp:effectExtent l="0" t="647700" r="0" b="617220"/>
                <wp:wrapSquare wrapText="bothSides"/>
                <wp:docPr id="7" name="Imagen 5"/>
                <wp:cNvGraphicFramePr/>
                <a:graphic xmlns:a="http://schemas.openxmlformats.org/drawingml/2006/main">
                  <a:graphicData uri="http://schemas.openxmlformats.org/drawingml/2006/picture">
                    <pic:pic xmlns:pic="http://schemas.openxmlformats.org/drawingml/2006/picture">
                      <pic:nvPicPr>
                        <pic:cNvPr id="3" name="Imagen 5"/>
                        <pic:cNvPicPr/>
                      </pic:nvPicPr>
                      <pic:blipFill>
                        <a:blip r:embed="rId15"/>
                        <a:srcRect l="17778" t="11265" r="13490" b="3227"/>
                        <a:stretch/>
                      </pic:blipFill>
                      <pic:spPr>
                        <a:xfrm rot="16200000">
                          <a:off x="0" y="0"/>
                          <a:ext cx="7053120" cy="5765760"/>
                        </a:xfrm>
                        <a:prstGeom prst="rect">
                          <a:avLst/>
                        </a:prstGeom>
                        <a:ln>
                          <a:noFill/>
                        </a:ln>
                      </pic:spPr>
                    </pic:pic>
                  </a:graphicData>
                </a:graphic>
              </wp:anchor>
            </w:drawing>
          </mc:Choice>
          <mc:Fallback>
            <w:pict>
              <v:shape id="shape_0" ID="Imagen 5" stroked="f" style="position:absolute;margin-left:-44.9pt;margin-top:51.45pt;width:555.3pt;height:453.95pt;rotation:270" wp14:anchorId="0EA17472" type="shapetype_75">
                <v:imagedata r:id="rId16" o:detectmouseclick="t"/>
                <w10:wrap type="none"/>
                <v:stroke color="#3465a4" joinstyle="round" endcap="flat"/>
              </v:shape>
            </w:pict>
          </mc:Fallback>
        </mc:AlternateContent>
      </w:r>
    </w:p>
    <w:p w:rsidR="00C115AD" w:rsidRDefault="006854B3">
      <w:pPr>
        <w:spacing w:beforeAutospacing="1" w:afterAutospacing="1" w:line="360" w:lineRule="auto"/>
        <w:contextualSpacing/>
        <w:jc w:val="both"/>
        <w:rPr>
          <w:rFonts w:ascii="Palatino Linotype" w:hAnsi="Palatino Linotype" w:cs="Arial"/>
          <w:sz w:val="22"/>
          <w:szCs w:val="22"/>
        </w:rPr>
      </w:pPr>
      <w:r>
        <w:rPr>
          <w:rFonts w:ascii="Palatino Linotype" w:hAnsi="Palatino Linotype" w:cs="Arial"/>
          <w:noProof/>
          <w:sz w:val="22"/>
          <w:szCs w:val="22"/>
          <w:lang w:eastAsia="es-MX"/>
        </w:rPr>
        <w:lastRenderedPageBreak/>
        <mc:AlternateContent>
          <mc:Choice Requires="wps">
            <w:drawing>
              <wp:anchor distT="0" distB="0" distL="114300" distR="114300" simplePos="0" relativeHeight="53" behindDoc="0" locked="0" layoutInCell="1" allowOverlap="1" wp14:anchorId="41EFF9AE">
                <wp:simplePos x="0" y="0"/>
                <wp:positionH relativeFrom="column">
                  <wp:posOffset>-566420</wp:posOffset>
                </wp:positionH>
                <wp:positionV relativeFrom="paragraph">
                  <wp:posOffset>798830</wp:posOffset>
                </wp:positionV>
                <wp:extent cx="6925310" cy="5680710"/>
                <wp:effectExtent l="0" t="628650" r="0" b="607695"/>
                <wp:wrapSquare wrapText="bothSides"/>
                <wp:docPr id="8" name="Imagen 6"/>
                <wp:cNvGraphicFramePr/>
                <a:graphic xmlns:a="http://schemas.openxmlformats.org/drawingml/2006/main">
                  <a:graphicData uri="http://schemas.openxmlformats.org/drawingml/2006/picture">
                    <pic:pic xmlns:pic="http://schemas.openxmlformats.org/drawingml/2006/picture">
                      <pic:nvPicPr>
                        <pic:cNvPr id="4" name="Imagen 6"/>
                        <pic:cNvPicPr/>
                      </pic:nvPicPr>
                      <pic:blipFill>
                        <a:blip r:embed="rId17"/>
                        <a:srcRect l="18108" t="6733" r="13819" b="3517"/>
                        <a:stretch/>
                      </pic:blipFill>
                      <pic:spPr>
                        <a:xfrm rot="16200000">
                          <a:off x="0" y="0"/>
                          <a:ext cx="6924600" cy="5680080"/>
                        </a:xfrm>
                        <a:prstGeom prst="rect">
                          <a:avLst/>
                        </a:prstGeom>
                        <a:ln>
                          <a:noFill/>
                        </a:ln>
                      </pic:spPr>
                    </pic:pic>
                  </a:graphicData>
                </a:graphic>
              </wp:anchor>
            </w:drawing>
          </mc:Choice>
          <mc:Fallback>
            <w:pict>
              <v:shape id="shape_0" ID="Imagen 6" stroked="f" style="position:absolute;margin-left:-44.6pt;margin-top:62.9pt;width:545.2pt;height:447.2pt;rotation:270" wp14:anchorId="41EFF9AE" type="shapetype_75">
                <v:imagedata r:id="rId18" o:detectmouseclick="t"/>
                <w10:wrap type="none"/>
                <v:stroke color="#3465a4" joinstyle="round" endcap="flat"/>
              </v:shape>
            </w:pict>
          </mc:Fallback>
        </mc:AlternateContent>
      </w:r>
    </w:p>
    <w:p w:rsidR="00C115AD" w:rsidRDefault="006854B3">
      <w:pPr>
        <w:spacing w:beforeAutospacing="1" w:afterAutospacing="1" w:line="360" w:lineRule="auto"/>
        <w:contextualSpacing/>
        <w:jc w:val="both"/>
        <w:rPr>
          <w:rFonts w:ascii="Palatino Linotype" w:hAnsi="Palatino Linotype" w:cs="Arial"/>
          <w:sz w:val="22"/>
          <w:szCs w:val="22"/>
        </w:rPr>
      </w:pPr>
      <w:r>
        <w:rPr>
          <w:rFonts w:ascii="Palatino Linotype" w:hAnsi="Palatino Linotype" w:cs="Arial"/>
          <w:noProof/>
          <w:sz w:val="22"/>
          <w:szCs w:val="22"/>
          <w:lang w:eastAsia="es-MX"/>
        </w:rPr>
        <w:lastRenderedPageBreak/>
        <mc:AlternateContent>
          <mc:Choice Requires="wps">
            <w:drawing>
              <wp:anchor distT="0" distB="0" distL="114300" distR="114300" simplePos="0" relativeHeight="55" behindDoc="0" locked="0" layoutInCell="1" allowOverlap="1" wp14:anchorId="7CB01FCC">
                <wp:simplePos x="0" y="0"/>
                <wp:positionH relativeFrom="column">
                  <wp:posOffset>-702310</wp:posOffset>
                </wp:positionH>
                <wp:positionV relativeFrom="paragraph">
                  <wp:posOffset>796290</wp:posOffset>
                </wp:positionV>
                <wp:extent cx="7212965" cy="5726430"/>
                <wp:effectExtent l="0" t="742950" r="0" b="733425"/>
                <wp:wrapSquare wrapText="bothSides"/>
                <wp:docPr id="9" name="Imagen 7"/>
                <wp:cNvGraphicFramePr/>
                <a:graphic xmlns:a="http://schemas.openxmlformats.org/drawingml/2006/main">
                  <a:graphicData uri="http://schemas.openxmlformats.org/drawingml/2006/picture">
                    <pic:pic xmlns:pic="http://schemas.openxmlformats.org/drawingml/2006/picture">
                      <pic:nvPicPr>
                        <pic:cNvPr id="5" name="Imagen 7"/>
                        <pic:cNvPicPr/>
                      </pic:nvPicPr>
                      <pic:blipFill>
                        <a:blip r:embed="rId19"/>
                        <a:srcRect l="13008" t="6880" r="13819" b="3734"/>
                        <a:stretch/>
                      </pic:blipFill>
                      <pic:spPr>
                        <a:xfrm rot="16200000">
                          <a:off x="0" y="0"/>
                          <a:ext cx="7212240" cy="5725800"/>
                        </a:xfrm>
                        <a:prstGeom prst="rect">
                          <a:avLst/>
                        </a:prstGeom>
                        <a:ln>
                          <a:noFill/>
                        </a:ln>
                      </pic:spPr>
                    </pic:pic>
                  </a:graphicData>
                </a:graphic>
              </wp:anchor>
            </w:drawing>
          </mc:Choice>
          <mc:Fallback>
            <w:pict>
              <v:shape id="shape_0" ID="Imagen 7" stroked="f" style="position:absolute;margin-left:-55.3pt;margin-top:62.7pt;width:567.85pt;height:450.8pt;rotation:270" wp14:anchorId="7CB01FCC" type="shapetype_75">
                <v:imagedata r:id="rId20" o:detectmouseclick="t"/>
                <w10:wrap type="none"/>
                <v:stroke color="#3465a4" joinstyle="round" endcap="flat"/>
              </v:shape>
            </w:pict>
          </mc:Fallback>
        </mc:AlternateContent>
      </w:r>
    </w:p>
    <w:p w:rsidR="00C115AD" w:rsidRDefault="006854B3">
      <w:pPr>
        <w:spacing w:beforeAutospacing="1" w:afterAutospacing="1" w:line="360" w:lineRule="auto"/>
        <w:contextualSpacing/>
        <w:jc w:val="both"/>
        <w:rPr>
          <w:rFonts w:ascii="Palatino Linotype" w:hAnsi="Palatino Linotype" w:cs="Arial"/>
          <w:sz w:val="22"/>
          <w:szCs w:val="22"/>
        </w:rPr>
      </w:pPr>
      <w:r>
        <w:rPr>
          <w:rFonts w:ascii="Palatino Linotype" w:hAnsi="Palatino Linotype" w:cs="Arial"/>
          <w:noProof/>
          <w:sz w:val="22"/>
          <w:szCs w:val="22"/>
          <w:lang w:eastAsia="es-MX"/>
        </w:rPr>
        <w:lastRenderedPageBreak/>
        <mc:AlternateContent>
          <mc:Choice Requires="wps">
            <w:drawing>
              <wp:anchor distT="0" distB="0" distL="114300" distR="114300" simplePos="0" relativeHeight="57" behindDoc="0" locked="0" layoutInCell="1" allowOverlap="1" wp14:anchorId="604C9743">
                <wp:simplePos x="0" y="0"/>
                <wp:positionH relativeFrom="column">
                  <wp:posOffset>-685165</wp:posOffset>
                </wp:positionH>
                <wp:positionV relativeFrom="paragraph">
                  <wp:posOffset>639445</wp:posOffset>
                </wp:positionV>
                <wp:extent cx="7299325" cy="5766435"/>
                <wp:effectExtent l="0" t="762000" r="0" b="750570"/>
                <wp:wrapSquare wrapText="bothSides"/>
                <wp:docPr id="10" name="Imagen 8"/>
                <wp:cNvGraphicFramePr/>
                <a:graphic xmlns:a="http://schemas.openxmlformats.org/drawingml/2006/main">
                  <a:graphicData uri="http://schemas.openxmlformats.org/drawingml/2006/picture">
                    <pic:pic xmlns:pic="http://schemas.openxmlformats.org/drawingml/2006/picture">
                      <pic:nvPicPr>
                        <pic:cNvPr id="6" name="Imagen 8"/>
                        <pic:cNvPicPr/>
                      </pic:nvPicPr>
                      <pic:blipFill>
                        <a:blip r:embed="rId21"/>
                        <a:srcRect l="17614" t="6005" r="13819" b="5046"/>
                        <a:stretch/>
                      </pic:blipFill>
                      <pic:spPr>
                        <a:xfrm rot="16200000">
                          <a:off x="0" y="0"/>
                          <a:ext cx="7298640" cy="5765760"/>
                        </a:xfrm>
                        <a:prstGeom prst="rect">
                          <a:avLst/>
                        </a:prstGeom>
                        <a:ln>
                          <a:noFill/>
                        </a:ln>
                      </pic:spPr>
                    </pic:pic>
                  </a:graphicData>
                </a:graphic>
              </wp:anchor>
            </w:drawing>
          </mc:Choice>
          <mc:Fallback>
            <w:pict>
              <v:shape id="shape_0" ID="Imagen 8" stroked="f" style="position:absolute;margin-left:-53.95pt;margin-top:50.35pt;width:574.65pt;height:453.95pt;rotation:270" wp14:anchorId="604C9743" type="shapetype_75">
                <v:imagedata r:id="rId22" o:detectmouseclick="t"/>
                <w10:wrap type="none"/>
                <v:stroke color="#3465a4" joinstyle="round" endcap="flat"/>
              </v:shape>
            </w:pict>
          </mc:Fallback>
        </mc:AlternateContent>
      </w:r>
    </w:p>
    <w:p w:rsidR="00C115AD" w:rsidRDefault="006854B3">
      <w:pPr>
        <w:spacing w:beforeAutospacing="1" w:afterAutospacing="1" w:line="360" w:lineRule="auto"/>
        <w:contextualSpacing/>
        <w:jc w:val="both"/>
        <w:rPr>
          <w:rFonts w:ascii="Palatino Linotype" w:hAnsi="Palatino Linotype" w:cs="Arial"/>
          <w:sz w:val="22"/>
          <w:szCs w:val="22"/>
        </w:rPr>
      </w:pPr>
      <w:r>
        <w:rPr>
          <w:rFonts w:ascii="Palatino Linotype" w:hAnsi="Palatino Linotype" w:cs="Arial"/>
          <w:noProof/>
          <w:sz w:val="22"/>
          <w:szCs w:val="22"/>
          <w:lang w:eastAsia="es-MX"/>
        </w:rPr>
        <w:lastRenderedPageBreak/>
        <mc:AlternateContent>
          <mc:Choice Requires="wps">
            <w:drawing>
              <wp:anchor distT="0" distB="0" distL="114300" distR="114300" simplePos="0" relativeHeight="59" behindDoc="0" locked="0" layoutInCell="1" allowOverlap="1" wp14:anchorId="42069663">
                <wp:simplePos x="0" y="0"/>
                <wp:positionH relativeFrom="column">
                  <wp:posOffset>-436880</wp:posOffset>
                </wp:positionH>
                <wp:positionV relativeFrom="paragraph">
                  <wp:posOffset>561975</wp:posOffset>
                </wp:positionV>
                <wp:extent cx="6848475" cy="5735320"/>
                <wp:effectExtent l="0" t="552450" r="0" b="534035"/>
                <wp:wrapSquare wrapText="bothSides"/>
                <wp:docPr id="11" name="Imagen 9"/>
                <wp:cNvGraphicFramePr/>
                <a:graphic xmlns:a="http://schemas.openxmlformats.org/drawingml/2006/main">
                  <a:graphicData uri="http://schemas.openxmlformats.org/drawingml/2006/picture">
                    <pic:pic xmlns:pic="http://schemas.openxmlformats.org/drawingml/2006/picture">
                      <pic:nvPicPr>
                        <pic:cNvPr id="7" name="Imagen 9"/>
                        <pic:cNvPicPr/>
                      </pic:nvPicPr>
                      <pic:blipFill>
                        <a:blip r:embed="rId23"/>
                        <a:srcRect l="17862" t="7248" r="13984" b="4329"/>
                        <a:stretch/>
                      </pic:blipFill>
                      <pic:spPr>
                        <a:xfrm rot="16200000">
                          <a:off x="0" y="0"/>
                          <a:ext cx="6847920" cy="5734800"/>
                        </a:xfrm>
                        <a:prstGeom prst="rect">
                          <a:avLst/>
                        </a:prstGeom>
                        <a:ln>
                          <a:noFill/>
                        </a:ln>
                      </pic:spPr>
                    </pic:pic>
                  </a:graphicData>
                </a:graphic>
              </wp:anchor>
            </w:drawing>
          </mc:Choice>
          <mc:Fallback>
            <w:pict>
              <v:shape id="shape_0" ID="Imagen 9" stroked="f" style="position:absolute;margin-left:-34.4pt;margin-top:44.25pt;width:539.15pt;height:451.5pt;rotation:270" wp14:anchorId="42069663" type="shapetype_75">
                <v:imagedata r:id="rId24" o:detectmouseclick="t"/>
                <w10:wrap type="none"/>
                <v:stroke color="#3465a4" joinstyle="round" endcap="flat"/>
              </v:shape>
            </w:pict>
          </mc:Fallback>
        </mc:AlternateContent>
      </w:r>
    </w:p>
    <w:p w:rsidR="00C115AD" w:rsidRDefault="00C115AD">
      <w:pPr>
        <w:spacing w:beforeAutospacing="1" w:afterAutospacing="1" w:line="360" w:lineRule="auto"/>
        <w:contextualSpacing/>
        <w:jc w:val="both"/>
        <w:rPr>
          <w:rFonts w:ascii="Palatino Linotype" w:hAnsi="Palatino Linotype" w:cs="Arial"/>
          <w:sz w:val="22"/>
          <w:szCs w:val="22"/>
        </w:rPr>
      </w:pPr>
    </w:p>
    <w:p w:rsidR="00C115AD" w:rsidRDefault="006854B3">
      <w:pPr>
        <w:spacing w:beforeAutospacing="1" w:afterAutospacing="1" w:line="360" w:lineRule="auto"/>
        <w:contextualSpacing/>
        <w:jc w:val="both"/>
        <w:rPr>
          <w:rFonts w:ascii="Palatino Linotype" w:hAnsi="Palatino Linotype" w:cs="Arial"/>
          <w:sz w:val="22"/>
          <w:szCs w:val="22"/>
        </w:rPr>
      </w:pPr>
      <w:r>
        <w:rPr>
          <w:rFonts w:ascii="Palatino Linotype" w:hAnsi="Palatino Linotype" w:cs="Arial"/>
          <w:noProof/>
          <w:sz w:val="22"/>
          <w:szCs w:val="22"/>
          <w:lang w:eastAsia="es-MX"/>
        </w:rPr>
        <mc:AlternateContent>
          <mc:Choice Requires="wps">
            <w:drawing>
              <wp:anchor distT="0" distB="0" distL="114300" distR="114300" simplePos="0" relativeHeight="54" behindDoc="0" locked="0" layoutInCell="1" allowOverlap="1">
                <wp:simplePos x="0" y="0"/>
                <wp:positionH relativeFrom="column">
                  <wp:posOffset>-396240</wp:posOffset>
                </wp:positionH>
                <wp:positionV relativeFrom="paragraph">
                  <wp:posOffset>874395</wp:posOffset>
                </wp:positionV>
                <wp:extent cx="6572885" cy="5746750"/>
                <wp:effectExtent l="0" t="6033" r="0" b="0"/>
                <wp:wrapSquare wrapText="bothSides"/>
                <wp:docPr id="12" name="Imagen 10"/>
                <wp:cNvGraphicFramePr/>
                <a:graphic xmlns:a="http://schemas.openxmlformats.org/drawingml/2006/main">
                  <a:graphicData uri="http://schemas.openxmlformats.org/drawingml/2006/picture">
                    <pic:pic xmlns:pic="http://schemas.openxmlformats.org/drawingml/2006/picture">
                      <pic:nvPicPr>
                        <pic:cNvPr id="8" name="Imagen 10"/>
                        <pic:cNvPicPr/>
                      </pic:nvPicPr>
                      <pic:blipFill>
                        <a:blip r:embed="rId25"/>
                        <a:srcRect l="17614" t="7171" r="13492" b="3003"/>
                        <a:stretch/>
                      </pic:blipFill>
                      <pic:spPr>
                        <a:xfrm rot="16200000">
                          <a:off x="0" y="0"/>
                          <a:ext cx="6572160" cy="5745960"/>
                        </a:xfrm>
                        <a:prstGeom prst="rect">
                          <a:avLst/>
                        </a:prstGeom>
                        <a:ln>
                          <a:noFill/>
                        </a:ln>
                      </pic:spPr>
                    </pic:pic>
                  </a:graphicData>
                </a:graphic>
              </wp:anchor>
            </w:drawing>
          </mc:Choice>
          <mc:Fallback>
            <w:pict>
              <v:shape id="shape_0" ID="Imagen 10" stroked="f" style="position:absolute;margin-left:-31.2pt;margin-top:68.85pt;width:517.45pt;height:452.4pt;rotation:270" type="shapetype_75">
                <v:imagedata r:id="rId26" o:detectmouseclick="t"/>
                <w10:wrap type="none"/>
                <v:stroke color="#3465a4" joinstyle="round" endcap="flat"/>
              </v:shape>
            </w:pict>
          </mc:Fallback>
        </mc:AlternateContent>
      </w:r>
    </w:p>
    <w:p w:rsidR="00C115AD" w:rsidRDefault="006854B3">
      <w:pPr>
        <w:spacing w:beforeAutospacing="1" w:afterAutospacing="1" w:line="360" w:lineRule="auto"/>
        <w:contextualSpacing/>
        <w:jc w:val="both"/>
        <w:rPr>
          <w:rFonts w:ascii="Palatino Linotype" w:hAnsi="Palatino Linotype" w:cs="Arial"/>
          <w:sz w:val="22"/>
          <w:szCs w:val="22"/>
        </w:rPr>
      </w:pPr>
      <w:r>
        <w:rPr>
          <w:rFonts w:ascii="Palatino Linotype" w:hAnsi="Palatino Linotype" w:cs="Arial"/>
          <w:noProof/>
          <w:sz w:val="22"/>
          <w:szCs w:val="22"/>
          <w:lang w:eastAsia="es-MX"/>
        </w:rPr>
        <w:lastRenderedPageBreak/>
        <mc:AlternateContent>
          <mc:Choice Requires="wps">
            <w:drawing>
              <wp:anchor distT="0" distB="0" distL="114300" distR="114300" simplePos="0" relativeHeight="56" behindDoc="0" locked="0" layoutInCell="1" allowOverlap="1">
                <wp:simplePos x="0" y="0"/>
                <wp:positionH relativeFrom="column">
                  <wp:posOffset>-781685</wp:posOffset>
                </wp:positionH>
                <wp:positionV relativeFrom="paragraph">
                  <wp:posOffset>829945</wp:posOffset>
                </wp:positionV>
                <wp:extent cx="7418705" cy="5751195"/>
                <wp:effectExtent l="0" t="838200" r="0" b="823595"/>
                <wp:wrapSquare wrapText="bothSides"/>
                <wp:docPr id="13" name="Imagen 11"/>
                <wp:cNvGraphicFramePr/>
                <a:graphic xmlns:a="http://schemas.openxmlformats.org/drawingml/2006/main">
                  <a:graphicData uri="http://schemas.openxmlformats.org/drawingml/2006/picture">
                    <pic:pic xmlns:pic="http://schemas.openxmlformats.org/drawingml/2006/picture">
                      <pic:nvPicPr>
                        <pic:cNvPr id="9" name="Imagen 11"/>
                        <pic:cNvPicPr/>
                      </pic:nvPicPr>
                      <pic:blipFill>
                        <a:blip r:embed="rId27"/>
                        <a:srcRect l="17628" t="8052" r="13819" b="3150"/>
                        <a:stretch/>
                      </pic:blipFill>
                      <pic:spPr>
                        <a:xfrm rot="16200000">
                          <a:off x="0" y="0"/>
                          <a:ext cx="7418160" cy="5750640"/>
                        </a:xfrm>
                        <a:prstGeom prst="rect">
                          <a:avLst/>
                        </a:prstGeom>
                        <a:ln>
                          <a:noFill/>
                        </a:ln>
                      </pic:spPr>
                    </pic:pic>
                  </a:graphicData>
                </a:graphic>
              </wp:anchor>
            </w:drawing>
          </mc:Choice>
          <mc:Fallback>
            <w:pict>
              <v:shape id="shape_0" ID="Imagen 11" stroked="f" style="position:absolute;margin-left:-61.55pt;margin-top:65.35pt;width:584.05pt;height:452.75pt;rotation:270" type="shapetype_75">
                <v:imagedata r:id="rId28" o:detectmouseclick="t"/>
                <w10:wrap type="none"/>
                <v:stroke color="#3465a4" joinstyle="round" endcap="flat"/>
              </v:shape>
            </w:pict>
          </mc:Fallback>
        </mc:AlternateContent>
      </w:r>
    </w:p>
    <w:p w:rsidR="00C115AD" w:rsidRDefault="006854B3">
      <w:pPr>
        <w:spacing w:beforeAutospacing="1" w:afterAutospacing="1" w:line="360" w:lineRule="auto"/>
        <w:contextualSpacing/>
        <w:jc w:val="both"/>
        <w:rPr>
          <w:rFonts w:ascii="Palatino Linotype" w:hAnsi="Palatino Linotype" w:cs="Arial"/>
          <w:sz w:val="22"/>
          <w:szCs w:val="22"/>
        </w:rPr>
      </w:pPr>
      <w:r>
        <w:rPr>
          <w:rFonts w:ascii="Palatino Linotype" w:hAnsi="Palatino Linotype" w:cs="Arial"/>
          <w:noProof/>
          <w:sz w:val="22"/>
          <w:szCs w:val="22"/>
          <w:lang w:eastAsia="es-MX"/>
        </w:rPr>
        <w:lastRenderedPageBreak/>
        <mc:AlternateContent>
          <mc:Choice Requires="wps">
            <w:drawing>
              <wp:anchor distT="0" distB="0" distL="114300" distR="114300" simplePos="0" relativeHeight="58" behindDoc="0" locked="0" layoutInCell="1" allowOverlap="1">
                <wp:simplePos x="0" y="0"/>
                <wp:positionH relativeFrom="column">
                  <wp:posOffset>-685800</wp:posOffset>
                </wp:positionH>
                <wp:positionV relativeFrom="paragraph">
                  <wp:posOffset>737235</wp:posOffset>
                </wp:positionV>
                <wp:extent cx="7291705" cy="5772150"/>
                <wp:effectExtent l="0" t="762000" r="0" b="744855"/>
                <wp:wrapSquare wrapText="bothSides"/>
                <wp:docPr id="14" name="Imagen 12"/>
                <wp:cNvGraphicFramePr/>
                <a:graphic xmlns:a="http://schemas.openxmlformats.org/drawingml/2006/main">
                  <a:graphicData uri="http://schemas.openxmlformats.org/drawingml/2006/picture">
                    <pic:pic xmlns:pic="http://schemas.openxmlformats.org/drawingml/2006/picture">
                      <pic:nvPicPr>
                        <pic:cNvPr id="10" name="Imagen 12"/>
                        <pic:cNvPicPr/>
                      </pic:nvPicPr>
                      <pic:blipFill>
                        <a:blip r:embed="rId29"/>
                        <a:srcRect l="18821" t="6793" r="13984" b="7185"/>
                        <a:stretch/>
                      </pic:blipFill>
                      <pic:spPr>
                        <a:xfrm rot="16200000">
                          <a:off x="0" y="0"/>
                          <a:ext cx="7291080" cy="5771520"/>
                        </a:xfrm>
                        <a:prstGeom prst="rect">
                          <a:avLst/>
                        </a:prstGeom>
                        <a:ln>
                          <a:noFill/>
                        </a:ln>
                      </pic:spPr>
                    </pic:pic>
                  </a:graphicData>
                </a:graphic>
              </wp:anchor>
            </w:drawing>
          </mc:Choice>
          <mc:Fallback>
            <w:pict>
              <v:shape id="shape_0" ID="Imagen 12" stroked="f" style="position:absolute;margin-left:-54pt;margin-top:58.05pt;width:574.05pt;height:454.4pt;rotation:270" type="shapetype_75">
                <v:imagedata r:id="rId30" o:detectmouseclick="t"/>
                <w10:wrap type="none"/>
                <v:stroke color="#3465a4" joinstyle="round" endcap="flat"/>
              </v:shape>
            </w:pict>
          </mc:Fallback>
        </mc:AlternateContent>
      </w:r>
    </w:p>
    <w:p w:rsidR="00C115AD" w:rsidRDefault="006854B3">
      <w:pPr>
        <w:spacing w:beforeAutospacing="1" w:afterAutospacing="1" w:line="360" w:lineRule="auto"/>
        <w:contextualSpacing/>
        <w:jc w:val="both"/>
        <w:rPr>
          <w:rFonts w:ascii="Palatino Linotype" w:hAnsi="Palatino Linotype" w:cs="Arial"/>
          <w:sz w:val="22"/>
          <w:szCs w:val="22"/>
        </w:rPr>
      </w:pPr>
      <w:r>
        <w:rPr>
          <w:rFonts w:ascii="Palatino Linotype" w:hAnsi="Palatino Linotype" w:cs="Arial"/>
          <w:noProof/>
          <w:sz w:val="22"/>
          <w:szCs w:val="22"/>
          <w:lang w:eastAsia="es-MX"/>
        </w:rPr>
        <w:lastRenderedPageBreak/>
        <mc:AlternateContent>
          <mc:Choice Requires="wps">
            <w:drawing>
              <wp:anchor distT="0" distB="0" distL="114300" distR="114300" simplePos="0" relativeHeight="60" behindDoc="0" locked="0" layoutInCell="1" allowOverlap="1">
                <wp:simplePos x="0" y="0"/>
                <wp:positionH relativeFrom="column">
                  <wp:posOffset>-741045</wp:posOffset>
                </wp:positionH>
                <wp:positionV relativeFrom="paragraph">
                  <wp:posOffset>753110</wp:posOffset>
                </wp:positionV>
                <wp:extent cx="7279640" cy="5728970"/>
                <wp:effectExtent l="0" t="781050" r="0" b="749935"/>
                <wp:wrapSquare wrapText="bothSides"/>
                <wp:docPr id="15" name="Imagen 13"/>
                <wp:cNvGraphicFramePr/>
                <a:graphic xmlns:a="http://schemas.openxmlformats.org/drawingml/2006/main">
                  <a:graphicData uri="http://schemas.openxmlformats.org/drawingml/2006/picture">
                    <pic:pic xmlns:pic="http://schemas.openxmlformats.org/drawingml/2006/picture">
                      <pic:nvPicPr>
                        <pic:cNvPr id="11" name="Imagen 13"/>
                        <pic:cNvPicPr/>
                      </pic:nvPicPr>
                      <pic:blipFill>
                        <a:blip r:embed="rId31"/>
                        <a:srcRect l="17679" t="10233" r="13656" b="4952"/>
                        <a:stretch/>
                      </pic:blipFill>
                      <pic:spPr>
                        <a:xfrm rot="16200000">
                          <a:off x="0" y="0"/>
                          <a:ext cx="7278840" cy="5728320"/>
                        </a:xfrm>
                        <a:prstGeom prst="rect">
                          <a:avLst/>
                        </a:prstGeom>
                        <a:ln>
                          <a:noFill/>
                        </a:ln>
                      </pic:spPr>
                    </pic:pic>
                  </a:graphicData>
                </a:graphic>
              </wp:anchor>
            </w:drawing>
          </mc:Choice>
          <mc:Fallback>
            <w:pict>
              <v:shape id="shape_0" ID="Imagen 13" stroked="f" style="position:absolute;margin-left:-58.35pt;margin-top:59.3pt;width:573.1pt;height:451pt;rotation:270" type="shapetype_75">
                <v:imagedata r:id="rId32" o:detectmouseclick="t"/>
                <w10:wrap type="none"/>
                <v:stroke color="#3465a4" joinstyle="round" endcap="flat"/>
              </v:shape>
            </w:pict>
          </mc:Fallback>
        </mc:AlternateContent>
      </w:r>
    </w:p>
    <w:p w:rsidR="00C115AD" w:rsidRDefault="006854B3">
      <w:pPr>
        <w:spacing w:beforeAutospacing="1" w:afterAutospacing="1" w:line="360" w:lineRule="auto"/>
        <w:contextualSpacing/>
        <w:jc w:val="both"/>
        <w:rPr>
          <w:rFonts w:ascii="Palatino Linotype" w:hAnsi="Palatino Linotype" w:cs="Arial"/>
          <w:sz w:val="22"/>
          <w:szCs w:val="22"/>
        </w:rPr>
      </w:pPr>
      <w:r>
        <w:rPr>
          <w:rFonts w:ascii="Palatino Linotype" w:hAnsi="Palatino Linotype" w:cs="Arial"/>
          <w:noProof/>
          <w:sz w:val="22"/>
          <w:szCs w:val="22"/>
          <w:lang w:eastAsia="es-MX"/>
        </w:rPr>
        <w:lastRenderedPageBreak/>
        <mc:AlternateContent>
          <mc:Choice Requires="wps">
            <w:drawing>
              <wp:anchor distT="0" distB="0" distL="114300" distR="114300" simplePos="0" relativeHeight="61" behindDoc="0" locked="0" layoutInCell="1" allowOverlap="1">
                <wp:simplePos x="0" y="0"/>
                <wp:positionH relativeFrom="column">
                  <wp:posOffset>-660400</wp:posOffset>
                </wp:positionH>
                <wp:positionV relativeFrom="paragraph">
                  <wp:posOffset>738505</wp:posOffset>
                </wp:positionV>
                <wp:extent cx="7229475" cy="5788025"/>
                <wp:effectExtent l="0" t="723900" r="0" b="709930"/>
                <wp:wrapSquare wrapText="bothSides"/>
                <wp:docPr id="16" name="Imagen 14"/>
                <wp:cNvGraphicFramePr/>
                <a:graphic xmlns:a="http://schemas.openxmlformats.org/drawingml/2006/main">
                  <a:graphicData uri="http://schemas.openxmlformats.org/drawingml/2006/picture">
                    <pic:pic xmlns:pic="http://schemas.openxmlformats.org/drawingml/2006/picture">
                      <pic:nvPicPr>
                        <pic:cNvPr id="12" name="Imagen 14"/>
                        <pic:cNvPicPr/>
                      </pic:nvPicPr>
                      <pic:blipFill>
                        <a:blip r:embed="rId33"/>
                        <a:srcRect l="18431" t="6432" r="13656" b="5281"/>
                        <a:stretch/>
                      </pic:blipFill>
                      <pic:spPr>
                        <a:xfrm rot="16200000">
                          <a:off x="0" y="0"/>
                          <a:ext cx="7228800" cy="5787360"/>
                        </a:xfrm>
                        <a:prstGeom prst="rect">
                          <a:avLst/>
                        </a:prstGeom>
                        <a:ln>
                          <a:noFill/>
                        </a:ln>
                      </pic:spPr>
                    </pic:pic>
                  </a:graphicData>
                </a:graphic>
              </wp:anchor>
            </w:drawing>
          </mc:Choice>
          <mc:Fallback>
            <w:pict>
              <v:shape id="shape_0" ID="Imagen 14" stroked="f" style="position:absolute;margin-left:-52pt;margin-top:58.15pt;width:569.15pt;height:455.65pt;rotation:270" type="shapetype_75">
                <v:imagedata r:id="rId34" o:detectmouseclick="t"/>
                <w10:wrap type="none"/>
                <v:stroke color="#3465a4" joinstyle="round" endcap="flat"/>
              </v:shape>
            </w:pict>
          </mc:Fallback>
        </mc:AlternateContent>
      </w:r>
    </w:p>
    <w:p w:rsidR="00C115AD" w:rsidRDefault="006854B3">
      <w:pPr>
        <w:pStyle w:val="Prrafodelista"/>
        <w:widowControl w:val="0"/>
        <w:tabs>
          <w:tab w:val="left" w:pos="1276"/>
        </w:tabs>
        <w:spacing w:beforeAutospacing="1" w:afterAutospacing="1" w:line="360" w:lineRule="auto"/>
        <w:ind w:left="0" w:right="49"/>
        <w:contextualSpacing/>
        <w:jc w:val="both"/>
        <w:rPr>
          <w:rFonts w:ascii="Palatino Linotype" w:eastAsia="Calibri" w:hAnsi="Palatino Linotype" w:cs="Arial"/>
        </w:rPr>
      </w:pPr>
      <w:r>
        <w:rPr>
          <w:rFonts w:ascii="Palatino Linotype" w:eastAsia="Calibri" w:hAnsi="Palatino Linotype" w:cs="Arial"/>
        </w:rPr>
        <w:lastRenderedPageBreak/>
        <w:t xml:space="preserve">Bajo ese contexto, este Instituto analizó la totalidad de constancias que integran el expediente electrónico del </w:t>
      </w:r>
      <w:r>
        <w:rPr>
          <w:rFonts w:ascii="Palatino Linotype" w:eastAsia="Calibri" w:hAnsi="Palatino Linotype" w:cs="Arial"/>
          <w:b/>
        </w:rPr>
        <w:t>SAIMEX</w:t>
      </w:r>
      <w:r>
        <w:rPr>
          <w:rFonts w:ascii="Palatino Linotype" w:eastAsia="Calibri" w:hAnsi="Palatino Linotype" w:cs="Arial"/>
        </w:rPr>
        <w:t xml:space="preserve"> y arribó a las consideraciones de hecho y de derecho siguientes:</w:t>
      </w:r>
    </w:p>
    <w:p w:rsidR="00C115AD" w:rsidRDefault="00C115AD">
      <w:pPr>
        <w:pStyle w:val="Prrafodelista"/>
        <w:widowControl w:val="0"/>
        <w:tabs>
          <w:tab w:val="left" w:pos="1276"/>
        </w:tabs>
        <w:spacing w:beforeAutospacing="1" w:afterAutospacing="1" w:line="360" w:lineRule="auto"/>
        <w:ind w:left="0" w:right="49"/>
        <w:contextualSpacing/>
        <w:jc w:val="both"/>
        <w:rPr>
          <w:rFonts w:ascii="Palatino Linotype" w:eastAsia="Calibri" w:hAnsi="Palatino Linotype" w:cs="Arial"/>
        </w:rPr>
      </w:pPr>
    </w:p>
    <w:p w:rsidR="00C115AD" w:rsidRDefault="006854B3">
      <w:pPr>
        <w:pStyle w:val="Prrafodelista"/>
        <w:widowControl w:val="0"/>
        <w:tabs>
          <w:tab w:val="left" w:pos="1276"/>
        </w:tabs>
        <w:spacing w:beforeAutospacing="1" w:afterAutospacing="1" w:line="360" w:lineRule="auto"/>
        <w:ind w:left="0" w:right="49"/>
        <w:contextualSpacing/>
        <w:jc w:val="both"/>
        <w:rPr>
          <w:rFonts w:ascii="Palatino Linotype" w:eastAsia="Calibri" w:hAnsi="Palatino Linotype" w:cs="Arial"/>
        </w:rPr>
      </w:pPr>
      <w:r>
        <w:rPr>
          <w:rFonts w:ascii="Palatino Linotype" w:hAnsi="Palatino Linotype" w:cs="Tahoma"/>
        </w:rPr>
        <w:t>Se estima que, el Ayuntamiento de Temamatla modificó su respuesta de manera fundada y motivada acreditando ante este instituto el cambio de modalidad in situ para la entrega de la información atendió lo siguiente</w:t>
      </w:r>
      <w:r>
        <w:rPr>
          <w:rFonts w:ascii="Palatino Linotype" w:eastAsia="Calibri" w:hAnsi="Palatino Linotype" w:cs="Tahoma"/>
          <w:bCs/>
          <w:lang w:val="es-ES" w:eastAsia="en-US"/>
        </w:rPr>
        <w:t>:</w:t>
      </w:r>
    </w:p>
    <w:p w:rsidR="00C115AD" w:rsidRDefault="00C115AD">
      <w:pPr>
        <w:pStyle w:val="Prrafodelista"/>
        <w:widowControl w:val="0"/>
        <w:tabs>
          <w:tab w:val="left" w:pos="1276"/>
        </w:tabs>
        <w:spacing w:beforeAutospacing="1" w:afterAutospacing="1" w:line="360" w:lineRule="auto"/>
        <w:ind w:left="0" w:right="49"/>
        <w:contextualSpacing/>
        <w:jc w:val="both"/>
        <w:rPr>
          <w:rFonts w:ascii="Palatino Linotype" w:eastAsia="Calibri" w:hAnsi="Palatino Linotype" w:cs="Arial"/>
        </w:rPr>
      </w:pPr>
    </w:p>
    <w:p w:rsidR="00C115AD" w:rsidRDefault="006854B3">
      <w:pPr>
        <w:pStyle w:val="Prrafodelista"/>
        <w:widowControl w:val="0"/>
        <w:tabs>
          <w:tab w:val="left" w:pos="1276"/>
        </w:tabs>
        <w:spacing w:beforeAutospacing="1" w:afterAutospacing="1" w:line="360" w:lineRule="auto"/>
        <w:ind w:left="0" w:right="49"/>
        <w:contextualSpacing/>
        <w:jc w:val="both"/>
        <w:rPr>
          <w:rFonts w:ascii="Palatino Linotype" w:eastAsia="Calibri" w:hAnsi="Palatino Linotype" w:cs="Arial"/>
        </w:rPr>
      </w:pPr>
      <w:r>
        <w:rPr>
          <w:rFonts w:ascii="Palatino Linotype" w:hAnsi="Palatino Linotype" w:cs="Arial"/>
        </w:rPr>
        <w:t xml:space="preserve">La fracción II, del artículo 2°, de la </w:t>
      </w:r>
      <w:r>
        <w:rPr>
          <w:rFonts w:ascii="Palatino Linotype" w:hAnsi="Palatino Linotype" w:cs="Tahoma"/>
          <w:color w:val="000000"/>
        </w:rPr>
        <w:t>Ley de Transparencia y Acceso a la Información Pública del Estado de México y Municipios</w:t>
      </w:r>
      <w:r>
        <w:rPr>
          <w:rFonts w:ascii="Palatino Linotype" w:hAnsi="Palatino Linotype" w:cs="Arial"/>
        </w:rPr>
        <w:t>, prevé como uno de sus objetivos proveer lo necesario para garantizar a toda persona el derecho de acceso a la información pública a través de procedimientos sencillos, expeditos, oportunos y gratuitos.</w:t>
      </w:r>
    </w:p>
    <w:p w:rsidR="00C115AD" w:rsidRDefault="00C115AD">
      <w:pPr>
        <w:pStyle w:val="Prrafodelista"/>
        <w:widowControl w:val="0"/>
        <w:tabs>
          <w:tab w:val="left" w:pos="1276"/>
        </w:tabs>
        <w:spacing w:beforeAutospacing="1" w:afterAutospacing="1" w:line="360" w:lineRule="auto"/>
        <w:ind w:left="0" w:right="49"/>
        <w:contextualSpacing/>
        <w:jc w:val="both"/>
        <w:rPr>
          <w:rFonts w:ascii="Palatino Linotype" w:hAnsi="Palatino Linotype" w:cs="Arial"/>
        </w:rPr>
      </w:pPr>
    </w:p>
    <w:p w:rsidR="00C115AD" w:rsidRDefault="006854B3">
      <w:pPr>
        <w:pStyle w:val="Prrafodelista"/>
        <w:widowControl w:val="0"/>
        <w:tabs>
          <w:tab w:val="left" w:pos="1276"/>
        </w:tabs>
        <w:spacing w:beforeAutospacing="1" w:afterAutospacing="1" w:line="360" w:lineRule="auto"/>
        <w:ind w:left="0" w:right="49"/>
        <w:contextualSpacing/>
        <w:jc w:val="both"/>
        <w:rPr>
          <w:rFonts w:ascii="Palatino Linotype" w:hAnsi="Palatino Linotype"/>
          <w:color w:val="000000"/>
        </w:rPr>
      </w:pPr>
      <w:r>
        <w:rPr>
          <w:rFonts w:ascii="Palatino Linotype" w:hAnsi="Palatino Linotype"/>
          <w:color w:val="000000"/>
        </w:rPr>
        <w:t xml:space="preserve">Así, en el supuesto de que la cantidad de documentos que deban entregarse supera la cantidad de documentos que pueden remitirse por la vía solicitada por el Particular o exista imposibilidad técnica o material para satisfacer la modalidad elegida, el Sujeto Obligado puede ofrecer otras modalidades de acceso gratuitas como la consulta directa establecida en los artículos 158 y 164 de la </w:t>
      </w:r>
      <w:r>
        <w:rPr>
          <w:rFonts w:ascii="Palatino Linotype" w:hAnsi="Palatino Linotype" w:cs="Tahoma"/>
          <w:color w:val="000000"/>
        </w:rPr>
        <w:t>Ley de Transparencia y Acceso a la Información Pública del Estado de México y Municipios</w:t>
      </w:r>
      <w:r>
        <w:rPr>
          <w:rFonts w:ascii="Palatino Linotype" w:hAnsi="Palatino Linotype"/>
          <w:color w:val="000000"/>
        </w:rPr>
        <w:t>.</w:t>
      </w:r>
    </w:p>
    <w:p w:rsidR="00C115AD" w:rsidRDefault="00C115AD">
      <w:pPr>
        <w:pStyle w:val="Prrafodelista"/>
        <w:widowControl w:val="0"/>
        <w:tabs>
          <w:tab w:val="left" w:pos="1276"/>
        </w:tabs>
        <w:spacing w:beforeAutospacing="1" w:afterAutospacing="1" w:line="360" w:lineRule="auto"/>
        <w:ind w:left="0" w:right="49"/>
        <w:contextualSpacing/>
        <w:jc w:val="both"/>
        <w:rPr>
          <w:rFonts w:ascii="Palatino Linotype" w:hAnsi="Palatino Linotype"/>
          <w:color w:val="000000"/>
        </w:rPr>
      </w:pPr>
    </w:p>
    <w:p w:rsidR="00C115AD" w:rsidRDefault="006854B3">
      <w:pPr>
        <w:pStyle w:val="Prrafodelista"/>
        <w:widowControl w:val="0"/>
        <w:tabs>
          <w:tab w:val="left" w:pos="1276"/>
        </w:tabs>
        <w:spacing w:beforeAutospacing="1" w:afterAutospacing="1" w:line="360" w:lineRule="auto"/>
        <w:ind w:left="0" w:right="49"/>
        <w:contextualSpacing/>
        <w:jc w:val="both"/>
        <w:rPr>
          <w:rFonts w:ascii="Palatino Linotype" w:eastAsia="Calibri" w:hAnsi="Palatino Linotype" w:cs="Tahoma"/>
          <w:bCs/>
          <w:iCs/>
          <w:lang w:eastAsia="es-ES_tradnl"/>
        </w:rPr>
      </w:pPr>
      <w:r>
        <w:rPr>
          <w:rFonts w:ascii="Palatino Linotype" w:eastAsia="Calibri" w:hAnsi="Palatino Linotype" w:cs="Tahoma"/>
          <w:bCs/>
          <w:iCs/>
          <w:lang w:eastAsia="es-ES_tradnl"/>
        </w:rPr>
        <w:t xml:space="preserve">En virtud de que, derivado de la cantidad de documentos que se deben entregar, así como de la atención de otras solicitudes de información y recursos de revisión que se encuentra atendiendo el Sujeto Obligado, adicional a las limitantes de las capacidades administrativas, técnicas y humanas, se considera viable el cambio de modalidad para </w:t>
      </w:r>
      <w:r>
        <w:rPr>
          <w:rFonts w:ascii="Palatino Linotype" w:eastAsia="Calibri" w:hAnsi="Palatino Linotype" w:cs="Tahoma"/>
          <w:bCs/>
          <w:iCs/>
          <w:lang w:eastAsia="es-ES_tradnl"/>
        </w:rPr>
        <w:lastRenderedPageBreak/>
        <w:t xml:space="preserve">la entrega de la información de las solicitudes de acceso a la información pública descritas, del Sistema de Acceso a la Información Mexiquense </w:t>
      </w:r>
      <w:r>
        <w:rPr>
          <w:rFonts w:ascii="Palatino Linotype" w:eastAsia="Calibri" w:hAnsi="Palatino Linotype" w:cs="Tahoma"/>
          <w:b/>
          <w:bCs/>
          <w:iCs/>
          <w:lang w:eastAsia="es-ES_tradnl"/>
        </w:rPr>
        <w:t>(SAIMEX)</w:t>
      </w:r>
      <w:r>
        <w:rPr>
          <w:rFonts w:ascii="Palatino Linotype" w:eastAsia="Calibri" w:hAnsi="Palatino Linotype" w:cs="Tahoma"/>
          <w:bCs/>
          <w:iCs/>
          <w:lang w:eastAsia="es-ES_tradnl"/>
        </w:rPr>
        <w:t xml:space="preserve"> a consulta directa.</w:t>
      </w:r>
    </w:p>
    <w:p w:rsidR="00C115AD" w:rsidRDefault="00C115AD">
      <w:pPr>
        <w:pStyle w:val="Prrafodelista"/>
        <w:widowControl w:val="0"/>
        <w:tabs>
          <w:tab w:val="left" w:pos="1276"/>
        </w:tabs>
        <w:spacing w:beforeAutospacing="1" w:afterAutospacing="1" w:line="360" w:lineRule="auto"/>
        <w:ind w:left="0" w:right="49"/>
        <w:contextualSpacing/>
        <w:jc w:val="both"/>
        <w:rPr>
          <w:rFonts w:ascii="Palatino Linotype" w:eastAsia="Calibri" w:hAnsi="Palatino Linotype" w:cs="Tahoma"/>
          <w:bCs/>
          <w:iCs/>
          <w:lang w:eastAsia="es-ES_tradnl"/>
        </w:rPr>
      </w:pPr>
    </w:p>
    <w:p w:rsidR="00C115AD" w:rsidRDefault="006854B3">
      <w:pPr>
        <w:pStyle w:val="Prrafodelista"/>
        <w:widowControl w:val="0"/>
        <w:tabs>
          <w:tab w:val="left" w:pos="1276"/>
        </w:tabs>
        <w:spacing w:beforeAutospacing="1" w:afterAutospacing="1" w:line="360" w:lineRule="auto"/>
        <w:ind w:left="0" w:right="49"/>
        <w:contextualSpacing/>
        <w:jc w:val="both"/>
        <w:rPr>
          <w:rFonts w:ascii="Palatino Linotype" w:eastAsia="Calibri" w:hAnsi="Palatino Linotype" w:cs="Tahoma"/>
          <w:bCs/>
          <w:lang w:eastAsia="en-US"/>
        </w:rPr>
      </w:pPr>
      <w:r>
        <w:rPr>
          <w:rFonts w:ascii="Palatino Linotype" w:eastAsia="Calibri" w:hAnsi="Palatino Linotype" w:cs="Tahoma"/>
          <w:bCs/>
          <w:iCs/>
          <w:lang w:eastAsia="es-ES_tradnl"/>
        </w:rPr>
        <w:t xml:space="preserve">Al respecto, </w:t>
      </w:r>
      <w:r>
        <w:rPr>
          <w:rFonts w:ascii="Palatino Linotype" w:eastAsia="Calibri" w:hAnsi="Palatino Linotype" w:cs="Tahoma"/>
          <w:bCs/>
          <w:lang w:val="es-ES" w:eastAsia="en-US"/>
        </w:rPr>
        <w:t xml:space="preserve">el artículo 155, fracción V, de la Ley de Transparencia y Acceso a la Información Pública del Estado de México y Municipios, precisa que </w:t>
      </w:r>
      <w:r>
        <w:rPr>
          <w:rFonts w:ascii="Palatino Linotype" w:eastAsia="Calibri" w:hAnsi="Palatino Linotype" w:cs="Tahoma"/>
          <w:bCs/>
          <w:lang w:eastAsia="en-US"/>
        </w:rPr>
        <w:t xml:space="preserve">para presentar una solicitud, el particular podrá señalar </w:t>
      </w:r>
      <w:r>
        <w:rPr>
          <w:rFonts w:ascii="Palatino Linotype" w:eastAsia="Calibri" w:hAnsi="Palatino Linotype" w:cs="Tahoma"/>
          <w:b/>
          <w:bCs/>
          <w:lang w:eastAsia="en-US"/>
        </w:rPr>
        <w:t>la modalidad en la que prefiere se otorgue el acceso a la información</w:t>
      </w:r>
      <w:r>
        <w:rPr>
          <w:rFonts w:ascii="Palatino Linotype" w:eastAsia="Calibri" w:hAnsi="Palatino Linotype" w:cs="Tahoma"/>
          <w:bCs/>
          <w:lang w:eastAsia="en-US"/>
        </w:rPr>
        <w:t>, la cual podrá ser verbal, siempre y cuando sea para fines de orientación, mediante consulta directa, mediante la expedición de copias simples o certificadas o la reproducción en cualquier otro medio, incluidos los electrónicos.</w:t>
      </w:r>
    </w:p>
    <w:p w:rsidR="00C115AD" w:rsidRDefault="00C115AD">
      <w:pPr>
        <w:pStyle w:val="Prrafodelista"/>
        <w:widowControl w:val="0"/>
        <w:tabs>
          <w:tab w:val="left" w:pos="1276"/>
        </w:tabs>
        <w:spacing w:beforeAutospacing="1" w:afterAutospacing="1" w:line="360" w:lineRule="auto"/>
        <w:ind w:left="0" w:right="49"/>
        <w:contextualSpacing/>
        <w:jc w:val="both"/>
        <w:rPr>
          <w:rFonts w:ascii="Palatino Linotype" w:eastAsia="Calibri" w:hAnsi="Palatino Linotype" w:cs="Tahoma"/>
          <w:bCs/>
          <w:lang w:eastAsia="en-US"/>
        </w:rPr>
      </w:pPr>
    </w:p>
    <w:p w:rsidR="00C115AD" w:rsidRDefault="006854B3">
      <w:pPr>
        <w:pStyle w:val="Prrafodelista"/>
        <w:widowControl w:val="0"/>
        <w:tabs>
          <w:tab w:val="left" w:pos="1276"/>
        </w:tabs>
        <w:spacing w:beforeAutospacing="1" w:afterAutospacing="1" w:line="360" w:lineRule="auto"/>
        <w:ind w:left="0" w:right="49"/>
        <w:contextualSpacing/>
        <w:jc w:val="both"/>
        <w:rPr>
          <w:rFonts w:ascii="Palatino Linotype" w:eastAsia="Calibri" w:hAnsi="Palatino Linotype" w:cs="Tahoma"/>
          <w:b/>
          <w:bCs/>
          <w:lang w:val="es-ES" w:eastAsia="en-US"/>
        </w:rPr>
      </w:pPr>
      <w:r>
        <w:rPr>
          <w:rFonts w:ascii="Palatino Linotype" w:eastAsia="Calibri" w:hAnsi="Palatino Linotype" w:cs="Tahoma"/>
          <w:bCs/>
          <w:lang w:val="es-ES" w:eastAsia="en-US"/>
        </w:rPr>
        <w:t xml:space="preserve">El artículo 158 de la Ley en cita, dispone que de manera excepcional, cuando de manera fundada y motivada lo determine el Sujeto Obligado, </w:t>
      </w:r>
      <w:r>
        <w:rPr>
          <w:rFonts w:ascii="Palatino Linotype" w:eastAsia="Calibri" w:hAnsi="Palatino Linotype" w:cs="Tahoma"/>
          <w:b/>
          <w:bCs/>
          <w:lang w:val="es-ES" w:eastAsia="en-US"/>
        </w:rPr>
        <w:t>en los casos en que la entrega de la información que se encuentre a su disposición, sobre pase las capacidades técnicas del Sujeto Obligado para cumplir con la solicitud, se podrá poner a disposición del solicitante la información en consulta directa.</w:t>
      </w:r>
    </w:p>
    <w:p w:rsidR="00C115AD" w:rsidRDefault="00C115AD">
      <w:pPr>
        <w:pStyle w:val="Prrafodelista"/>
        <w:widowControl w:val="0"/>
        <w:tabs>
          <w:tab w:val="left" w:pos="1276"/>
        </w:tabs>
        <w:spacing w:beforeAutospacing="1" w:afterAutospacing="1" w:line="360" w:lineRule="auto"/>
        <w:ind w:left="0" w:right="49"/>
        <w:contextualSpacing/>
        <w:jc w:val="both"/>
        <w:rPr>
          <w:rFonts w:ascii="Palatino Linotype" w:eastAsia="Calibri" w:hAnsi="Palatino Linotype" w:cs="Tahoma"/>
          <w:b/>
          <w:bCs/>
          <w:lang w:val="es-ES" w:eastAsia="en-US"/>
        </w:rPr>
      </w:pPr>
    </w:p>
    <w:p w:rsidR="00C115AD" w:rsidRDefault="006854B3">
      <w:pPr>
        <w:pStyle w:val="Prrafodelista"/>
        <w:widowControl w:val="0"/>
        <w:tabs>
          <w:tab w:val="left" w:pos="1276"/>
        </w:tabs>
        <w:spacing w:beforeAutospacing="1" w:afterAutospacing="1" w:line="360" w:lineRule="auto"/>
        <w:ind w:left="0" w:right="49"/>
        <w:contextualSpacing/>
        <w:jc w:val="both"/>
        <w:rPr>
          <w:rFonts w:ascii="Palatino Linotype" w:hAnsi="Palatino Linotype" w:cs="Arial"/>
        </w:rPr>
      </w:pPr>
      <w:r>
        <w:rPr>
          <w:rFonts w:ascii="Palatino Linotype" w:eastAsia="Calibri" w:hAnsi="Palatino Linotype" w:cs="Tahoma"/>
          <w:bCs/>
          <w:lang w:val="es-ES" w:eastAsia="en-US"/>
        </w:rPr>
        <w:t xml:space="preserve">En ese orden de ideas, el artículo 164 de dicho ordenamiento jurídico, prevé que </w:t>
      </w:r>
      <w:r>
        <w:rPr>
          <w:rFonts w:ascii="Palatino Linotype" w:eastAsia="Calibri" w:hAnsi="Palatino Linotype" w:cs="Tahoma"/>
          <w:bCs/>
          <w:lang w:eastAsia="en-US"/>
        </w:rPr>
        <w:t xml:space="preserve">el acceso se dará en la modalidad de entrega y, en su caso, de envío elegidos por el solicitante. </w:t>
      </w:r>
      <w:r>
        <w:rPr>
          <w:rFonts w:ascii="Palatino Linotype" w:eastAsia="Calibri" w:hAnsi="Palatino Linotype" w:cs="Tahoma"/>
          <w:b/>
          <w:bCs/>
          <w:lang w:eastAsia="en-US"/>
        </w:rPr>
        <w:t>Cuando la información no pueda entregarse o enviarse en la modalidad elegida, el sujeto obligado deberá ofrecer otra u otras modalidades de entrega.</w:t>
      </w:r>
      <w:r>
        <w:rPr>
          <w:rFonts w:ascii="Palatino Linotype" w:eastAsia="Calibri" w:hAnsi="Palatino Linotype" w:cs="Tahoma"/>
          <w:bCs/>
          <w:lang w:eastAsia="en-US"/>
        </w:rPr>
        <w:t xml:space="preserve"> En cualquier caso, </w:t>
      </w:r>
      <w:r>
        <w:rPr>
          <w:rFonts w:ascii="Palatino Linotype" w:eastAsia="Calibri" w:hAnsi="Palatino Linotype" w:cs="Tahoma"/>
          <w:b/>
          <w:bCs/>
          <w:lang w:eastAsia="en-US"/>
        </w:rPr>
        <w:t>se deberá fundar y motivar</w:t>
      </w:r>
      <w:r>
        <w:rPr>
          <w:rFonts w:ascii="Palatino Linotype" w:eastAsia="Calibri" w:hAnsi="Palatino Linotype" w:cs="Tahoma"/>
          <w:bCs/>
          <w:lang w:eastAsia="en-US"/>
        </w:rPr>
        <w:t xml:space="preserve"> la necesidad de ofrecer otras modalidades.</w:t>
      </w:r>
    </w:p>
    <w:p w:rsidR="00C115AD" w:rsidRDefault="00C115AD">
      <w:pPr>
        <w:spacing w:beforeAutospacing="1" w:afterAutospacing="1" w:line="360" w:lineRule="auto"/>
        <w:contextualSpacing/>
        <w:jc w:val="both"/>
        <w:rPr>
          <w:rFonts w:ascii="Palatino Linotype" w:eastAsia="Calibri" w:hAnsi="Palatino Linotype" w:cs="Tahoma"/>
          <w:bCs/>
          <w:lang w:eastAsia="en-US"/>
        </w:rPr>
      </w:pPr>
    </w:p>
    <w:p w:rsidR="00C115AD" w:rsidRDefault="006854B3">
      <w:pPr>
        <w:spacing w:beforeAutospacing="1" w:afterAutospacing="1" w:line="360" w:lineRule="auto"/>
        <w:contextualSpacing/>
        <w:jc w:val="both"/>
        <w:rPr>
          <w:rFonts w:ascii="Palatino Linotype" w:eastAsia="Calibri" w:hAnsi="Palatino Linotype" w:cs="Tahoma"/>
          <w:bCs/>
          <w:lang w:val="es-ES" w:eastAsia="en-US"/>
        </w:rPr>
      </w:pPr>
      <w:r>
        <w:rPr>
          <w:rFonts w:ascii="Palatino Linotype" w:eastAsia="Calibri" w:hAnsi="Palatino Linotype" w:cs="Tahoma"/>
          <w:bCs/>
          <w:lang w:val="es-ES" w:eastAsia="en-US"/>
        </w:rPr>
        <w:lastRenderedPageBreak/>
        <w:t xml:space="preserve">Para ello, el artículo 174 de la Ley de la materia, indica que los costos de reproducción y, en su caso, de envío para la obtención de la información deberán ser cubiertos por el solicitante de manera previa a la entrega por parte del Sujeto Obligado. En tales consideraciones, la entrega deberá hacerse, </w:t>
      </w:r>
      <w:r>
        <w:rPr>
          <w:rFonts w:ascii="Palatino Linotype" w:eastAsia="Calibri" w:hAnsi="Palatino Linotype" w:cs="Tahoma"/>
          <w:b/>
          <w:bCs/>
          <w:lang w:val="es-ES" w:eastAsia="en-US"/>
        </w:rPr>
        <w:t>en la medida de lo posible, en la forma solicitada por el interesado, salvo que exista un impedimento justificado para atenderla</w:t>
      </w:r>
      <w:r>
        <w:rPr>
          <w:rFonts w:ascii="Palatino Linotype" w:eastAsia="Calibri" w:hAnsi="Palatino Linotype" w:cs="Tahoma"/>
          <w:bCs/>
          <w:lang w:val="es-ES" w:eastAsia="en-US"/>
        </w:rPr>
        <w:t xml:space="preserve">, en cuyo caso, deberán exponerse las razones por las cuales no es posible utilizar el medio de reproducción solicitado; en este sentido, la entrega de la información en una modalidad distinta a la elegida por la particular </w:t>
      </w:r>
      <w:r>
        <w:rPr>
          <w:rFonts w:ascii="Palatino Linotype" w:eastAsia="Calibri" w:hAnsi="Palatino Linotype" w:cs="Tahoma"/>
          <w:b/>
          <w:bCs/>
          <w:lang w:val="es-ES" w:eastAsia="en-US"/>
        </w:rPr>
        <w:t>sólo procede, en caso de que se acredite la imposibilidad de atenderla.</w:t>
      </w:r>
      <w:r>
        <w:rPr>
          <w:rFonts w:ascii="Palatino Linotype" w:eastAsia="Calibri" w:hAnsi="Palatino Linotype" w:cs="Tahoma"/>
          <w:bCs/>
          <w:lang w:val="es-ES" w:eastAsia="en-US"/>
        </w:rPr>
        <w:t xml:space="preserve"> </w:t>
      </w:r>
    </w:p>
    <w:p w:rsidR="00C115AD" w:rsidRDefault="00C115AD">
      <w:pPr>
        <w:spacing w:beforeAutospacing="1" w:afterAutospacing="1" w:line="360" w:lineRule="auto"/>
        <w:contextualSpacing/>
        <w:jc w:val="both"/>
        <w:rPr>
          <w:rFonts w:ascii="Palatino Linotype" w:eastAsia="Calibri" w:hAnsi="Palatino Linotype" w:cs="Tahoma"/>
          <w:bCs/>
          <w:lang w:val="es-ES" w:eastAsia="en-US"/>
        </w:rPr>
      </w:pPr>
    </w:p>
    <w:p w:rsidR="00C115AD" w:rsidRDefault="006854B3">
      <w:pPr>
        <w:spacing w:beforeAutospacing="1" w:afterAutospacing="1" w:line="360" w:lineRule="auto"/>
        <w:contextualSpacing/>
        <w:jc w:val="both"/>
        <w:rPr>
          <w:rFonts w:ascii="Palatino Linotype" w:eastAsia="Calibri" w:hAnsi="Palatino Linotype" w:cs="Tahoma"/>
          <w:bCs/>
          <w:lang w:val="es-ES" w:eastAsia="en-US"/>
        </w:rPr>
      </w:pPr>
      <w:r>
        <w:rPr>
          <w:rFonts w:ascii="Palatino Linotype" w:eastAsia="Calibri" w:hAnsi="Palatino Linotype" w:cs="Tahoma"/>
          <w:bCs/>
          <w:lang w:val="es-ES" w:eastAsia="en-US"/>
        </w:rPr>
        <w:t xml:space="preserve">Así, cuando se justifique el impedimento, </w:t>
      </w:r>
      <w:r>
        <w:rPr>
          <w:rFonts w:ascii="Palatino Linotype" w:eastAsia="Calibri" w:hAnsi="Palatino Linotype" w:cs="Tahoma"/>
          <w:b/>
          <w:bCs/>
          <w:lang w:val="es-ES" w:eastAsia="en-US"/>
        </w:rPr>
        <w:t>los Sujetos Obligados deberán ofrecer al particular otras modalidades de entrega que permita la información</w:t>
      </w:r>
      <w:r>
        <w:rPr>
          <w:rFonts w:ascii="Palatino Linotype" w:eastAsia="Calibri" w:hAnsi="Palatino Linotype" w:cs="Tahoma"/>
          <w:bCs/>
          <w:lang w:val="es-ES" w:eastAsia="en-US"/>
        </w:rPr>
        <w:t>, como consulta directa en las oficinas de la Unidad de Transparencia; lo anterior, es robustecido con el Criterio 08/17, emitido por el Pleno del Instituto Nacional de Transparencia, Acceso a la Información y Protección de Datos Personales, el cual establece lo siguiente:</w:t>
      </w:r>
    </w:p>
    <w:p w:rsidR="00C115AD" w:rsidRDefault="00C115AD">
      <w:pPr>
        <w:spacing w:beforeAutospacing="1" w:afterAutospacing="1" w:line="360" w:lineRule="auto"/>
        <w:contextualSpacing/>
        <w:jc w:val="both"/>
        <w:rPr>
          <w:rFonts w:ascii="Palatino Linotype" w:eastAsia="Calibri" w:hAnsi="Palatino Linotype" w:cs="Tahoma"/>
          <w:bCs/>
          <w:lang w:val="es-ES" w:eastAsia="en-US"/>
        </w:rPr>
      </w:pPr>
    </w:p>
    <w:p w:rsidR="00C115AD" w:rsidRDefault="006854B3">
      <w:pPr>
        <w:spacing w:beforeAutospacing="1" w:afterAutospacing="1"/>
        <w:ind w:left="851" w:right="902"/>
        <w:contextualSpacing/>
        <w:jc w:val="both"/>
        <w:rPr>
          <w:rFonts w:ascii="Palatino Linotype" w:eastAsia="Calibri" w:hAnsi="Palatino Linotype" w:cs="Tahoma"/>
          <w:bCs/>
          <w:i/>
          <w:sz w:val="22"/>
          <w:szCs w:val="22"/>
          <w:lang w:val="es-ES" w:eastAsia="en-US"/>
        </w:rPr>
      </w:pPr>
      <w:r>
        <w:rPr>
          <w:rFonts w:ascii="Palatino Linotype" w:eastAsia="Calibri" w:hAnsi="Palatino Linotype" w:cs="Tahoma"/>
          <w:b/>
          <w:bCs/>
          <w:i/>
          <w:sz w:val="22"/>
          <w:szCs w:val="22"/>
          <w:lang w:val="es-ES" w:eastAsia="en-US"/>
        </w:rPr>
        <w:t>“Modalidad de entrega. Procedencia de proporcionar la información solicitada en una diversa a la elegida por el solicitante.</w:t>
      </w:r>
      <w:r>
        <w:rPr>
          <w:rFonts w:ascii="Palatino Linotype" w:eastAsia="Calibri" w:hAnsi="Palatino Linotype" w:cs="Tahoma"/>
          <w:bCs/>
          <w:i/>
          <w:sz w:val="22"/>
          <w:szCs w:val="22"/>
          <w:lang w:val="es-ES" w:eastAsia="en-US"/>
        </w:rPr>
        <w:t xml:space="preserve"> De una interpretación a los artículos 133 de la Ley General de Transparencia y Acceso a la Información Pública y 136 de la Ley Federal de Transparencia y Acceso a la Información Pública, cuando no sea posible atender la modalidad elegida, la obligación de acceso a la información se tendrá por cumplida cuando el sujeto obligado: a) justifique el impedimento para atender la misma y b) se notifique al particular la disposición de la información en todas las modalidades que permita el documento de que se trate, procurando reducir, en todo momento, los costos de entrega.”</w:t>
      </w:r>
    </w:p>
    <w:p w:rsidR="00C115AD" w:rsidRDefault="00C115AD">
      <w:pPr>
        <w:spacing w:beforeAutospacing="1" w:afterAutospacing="1" w:line="360" w:lineRule="auto"/>
        <w:contextualSpacing/>
        <w:jc w:val="both"/>
        <w:rPr>
          <w:rFonts w:ascii="Palatino Linotype" w:eastAsia="Calibri" w:hAnsi="Palatino Linotype" w:cs="Tahoma"/>
          <w:bCs/>
          <w:sz w:val="22"/>
          <w:szCs w:val="22"/>
          <w:lang w:val="es-ES" w:eastAsia="en-US"/>
        </w:rPr>
      </w:pPr>
    </w:p>
    <w:p w:rsidR="00C115AD" w:rsidRDefault="006854B3">
      <w:pPr>
        <w:spacing w:beforeAutospacing="1" w:afterAutospacing="1" w:line="360" w:lineRule="auto"/>
        <w:contextualSpacing/>
        <w:jc w:val="both"/>
        <w:rPr>
          <w:rFonts w:ascii="Palatino Linotype" w:eastAsia="Calibri" w:hAnsi="Palatino Linotype" w:cs="Tahoma"/>
          <w:bCs/>
          <w:lang w:val="es-ES" w:eastAsia="en-US"/>
        </w:rPr>
      </w:pPr>
      <w:r>
        <w:rPr>
          <w:rFonts w:ascii="Palatino Linotype" w:eastAsia="Calibri" w:hAnsi="Palatino Linotype" w:cs="Tahoma"/>
          <w:bCs/>
          <w:lang w:val="es-ES" w:eastAsia="en-US"/>
        </w:rPr>
        <w:lastRenderedPageBreak/>
        <w:t>Del citado criterio, se desprende que cuando no sea posible atender la modalidad elegida por los solicitantes, la obligación de acceso a la información se tendrá por cumplida cuando el Sujeto Obligado justifique el impedimento para atender la misma y se notifique al Particular la puesta a disposición de la información en todas las modalidades que lo permitan, procurando reducir los costos de entrega.</w:t>
      </w:r>
    </w:p>
    <w:p w:rsidR="00C115AD" w:rsidRDefault="00C115AD">
      <w:pPr>
        <w:spacing w:beforeAutospacing="1" w:afterAutospacing="1" w:line="360" w:lineRule="auto"/>
        <w:contextualSpacing/>
        <w:jc w:val="both"/>
        <w:rPr>
          <w:rFonts w:ascii="Palatino Linotype" w:eastAsia="Calibri" w:hAnsi="Palatino Linotype" w:cs="Tahoma"/>
          <w:bCs/>
          <w:lang w:val="es-ES" w:eastAsia="en-US"/>
        </w:rPr>
      </w:pPr>
    </w:p>
    <w:p w:rsidR="00C115AD" w:rsidRDefault="006854B3">
      <w:pPr>
        <w:spacing w:beforeAutospacing="1" w:afterAutospacing="1" w:line="360" w:lineRule="auto"/>
        <w:ind w:right="-93"/>
        <w:contextualSpacing/>
        <w:jc w:val="both"/>
        <w:rPr>
          <w:rFonts w:ascii="Palatino Linotype" w:eastAsia="Calibri" w:hAnsi="Palatino Linotype" w:cs="Tahoma"/>
          <w:bCs/>
          <w:lang w:val="es-ES" w:eastAsia="en-US"/>
        </w:rPr>
      </w:pPr>
      <w:r>
        <w:rPr>
          <w:rFonts w:ascii="Palatino Linotype" w:eastAsia="Calibri" w:hAnsi="Palatino Linotype" w:cs="Tahoma"/>
          <w:bCs/>
          <w:lang w:val="es-ES" w:eastAsia="en-US"/>
        </w:rPr>
        <w:t>Ahora bien, tal como se precisó en párrafos anteriores, el Sujeto Obligado, fundó, motivo y justificó la imposibilidad de entregar documentos en formato electrónico a través de nuestra plataforma digital; sin embargo, concedió entregar los documentos que correspondan para atender los recursos de revisión que nos ocupan.</w:t>
      </w:r>
    </w:p>
    <w:p w:rsidR="00C115AD" w:rsidRDefault="00C115AD">
      <w:pPr>
        <w:spacing w:beforeAutospacing="1" w:afterAutospacing="1" w:line="360" w:lineRule="auto"/>
        <w:ind w:right="-93"/>
        <w:contextualSpacing/>
        <w:jc w:val="both"/>
        <w:rPr>
          <w:rFonts w:ascii="Palatino Linotype" w:eastAsia="Calibri" w:hAnsi="Palatino Linotype" w:cs="Tahoma"/>
          <w:bCs/>
          <w:lang w:val="es-ES" w:eastAsia="en-US"/>
        </w:rPr>
      </w:pPr>
    </w:p>
    <w:p w:rsidR="00C115AD" w:rsidRDefault="006854B3">
      <w:pPr>
        <w:spacing w:beforeAutospacing="1" w:afterAutospacing="1" w:line="360" w:lineRule="auto"/>
        <w:contextualSpacing/>
        <w:jc w:val="both"/>
        <w:rPr>
          <w:rFonts w:ascii="Palatino Linotype" w:hAnsi="Palatino Linotype" w:cs="Arial"/>
        </w:rPr>
      </w:pPr>
      <w:r>
        <w:rPr>
          <w:rFonts w:ascii="Palatino Linotype" w:eastAsia="Calibri" w:hAnsi="Palatino Linotype" w:cs="Arial"/>
        </w:rPr>
        <w:t xml:space="preserve">Así, esta Autoridad advirtió que la respuesta otorgada por </w:t>
      </w:r>
      <w:r>
        <w:rPr>
          <w:rFonts w:ascii="Palatino Linotype" w:eastAsia="Calibri" w:hAnsi="Palatino Linotype" w:cs="Arial"/>
          <w:b/>
        </w:rPr>
        <w:t>EL SUJETO OBLIGADO</w:t>
      </w:r>
      <w:r>
        <w:rPr>
          <w:rFonts w:ascii="Palatino Linotype" w:eastAsia="Calibri" w:hAnsi="Palatino Linotype" w:cs="Arial"/>
        </w:rPr>
        <w:t xml:space="preserve"> se encuentra debidamente fundada y motivada; en relación a </w:t>
      </w:r>
      <w:r>
        <w:rPr>
          <w:rFonts w:ascii="Palatino Linotype" w:hAnsi="Palatino Linotype" w:cs="Arial"/>
        </w:rPr>
        <w:t>la fundamentación y motivación es de señalar que el máximo tribunal del país ha establecido jurisprudencia respecto a qué debe entenderse por fundamentación y motivación, en los siguientes términos:</w:t>
      </w:r>
    </w:p>
    <w:p w:rsidR="00C115AD" w:rsidRDefault="00C115AD">
      <w:pPr>
        <w:widowControl w:val="0"/>
        <w:tabs>
          <w:tab w:val="left" w:pos="1276"/>
        </w:tabs>
        <w:spacing w:beforeAutospacing="1" w:afterAutospacing="1"/>
        <w:ind w:left="851" w:right="899"/>
        <w:contextualSpacing/>
        <w:jc w:val="both"/>
        <w:rPr>
          <w:rFonts w:ascii="Palatino Linotype" w:hAnsi="Palatino Linotype" w:cs="Arial"/>
          <w:b/>
          <w:i/>
          <w:sz w:val="22"/>
        </w:rPr>
      </w:pPr>
    </w:p>
    <w:p w:rsidR="00C115AD" w:rsidRDefault="006854B3">
      <w:pPr>
        <w:widowControl w:val="0"/>
        <w:tabs>
          <w:tab w:val="left" w:pos="1276"/>
        </w:tabs>
        <w:spacing w:beforeAutospacing="1" w:afterAutospacing="1"/>
        <w:ind w:left="851" w:right="899"/>
        <w:contextualSpacing/>
        <w:jc w:val="both"/>
        <w:rPr>
          <w:rFonts w:ascii="Palatino Linotype" w:hAnsi="Palatino Linotype" w:cs="Arial"/>
          <w:i/>
          <w:sz w:val="22"/>
        </w:rPr>
      </w:pPr>
      <w:r>
        <w:rPr>
          <w:rFonts w:ascii="Palatino Linotype" w:hAnsi="Palatino Linotype" w:cs="Arial"/>
          <w:b/>
          <w:i/>
          <w:sz w:val="22"/>
        </w:rPr>
        <w:t>“FUNDAMENTACIÓN Y MOTIVACIÓN.</w:t>
      </w:r>
      <w:r>
        <w:rPr>
          <w:rFonts w:ascii="Palatino Linotype" w:hAnsi="Palatino Linotype" w:cs="Arial"/>
          <w:i/>
          <w:sz w:val="22"/>
        </w:rPr>
        <w:t xml:space="preserve"> 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 (Sic)</w:t>
      </w:r>
    </w:p>
    <w:p w:rsidR="00C115AD" w:rsidRDefault="00C115AD">
      <w:pPr>
        <w:widowControl w:val="0"/>
        <w:tabs>
          <w:tab w:val="left" w:pos="1276"/>
        </w:tabs>
        <w:spacing w:beforeAutospacing="1" w:afterAutospacing="1" w:line="360" w:lineRule="auto"/>
        <w:contextualSpacing/>
        <w:jc w:val="both"/>
        <w:rPr>
          <w:rFonts w:ascii="Palatino Linotype" w:hAnsi="Palatino Linotype" w:cs="Arial"/>
        </w:rPr>
      </w:pPr>
    </w:p>
    <w:p w:rsidR="00C115AD" w:rsidRDefault="006854B3">
      <w:pPr>
        <w:widowControl w:val="0"/>
        <w:tabs>
          <w:tab w:val="left" w:pos="1276"/>
        </w:tabs>
        <w:spacing w:beforeAutospacing="1" w:afterAutospacing="1" w:line="360" w:lineRule="auto"/>
        <w:contextualSpacing/>
        <w:jc w:val="both"/>
        <w:rPr>
          <w:rFonts w:ascii="Palatino Linotype" w:hAnsi="Palatino Linotype" w:cs="Arial"/>
        </w:rPr>
      </w:pPr>
      <w:r>
        <w:rPr>
          <w:rFonts w:ascii="Palatino Linotype" w:hAnsi="Palatino Linotype" w:cs="Arial"/>
        </w:rPr>
        <w:t xml:space="preserve">De tal manera que, en un acto de autoridad se surte la debida fundamentación cuando se cita el precepto legal aplicable al caso concreto y la debida motivación cuando se expresan las razones, motivos o circunstancias que tomó en cuenta la autoridad para </w:t>
      </w:r>
      <w:r>
        <w:rPr>
          <w:rFonts w:ascii="Palatino Linotype" w:hAnsi="Palatino Linotype" w:cs="Arial"/>
        </w:rPr>
        <w:lastRenderedPageBreak/>
        <w:t>adecuar el hecho a los fundamentos de derecho, sirviendo de sustento la diversa jurisprudencia dictada por el Poder Judicial de la Federación que sostiene que la finalidad de la fundamentación o motivación es la de explicar, justificar, posibilitar la defensa y comunicar la decisión de la autoridad:</w:t>
      </w:r>
    </w:p>
    <w:p w:rsidR="00C115AD" w:rsidRDefault="00C115AD">
      <w:pPr>
        <w:widowControl w:val="0"/>
        <w:tabs>
          <w:tab w:val="left" w:pos="1276"/>
        </w:tabs>
        <w:spacing w:beforeAutospacing="1" w:afterAutospacing="1"/>
        <w:ind w:left="851" w:right="899"/>
        <w:contextualSpacing/>
        <w:jc w:val="both"/>
        <w:rPr>
          <w:rFonts w:ascii="Palatino Linotype" w:hAnsi="Palatino Linotype" w:cs="Arial"/>
          <w:i/>
          <w:sz w:val="22"/>
        </w:rPr>
      </w:pPr>
    </w:p>
    <w:p w:rsidR="00C115AD" w:rsidRDefault="006854B3">
      <w:pPr>
        <w:widowControl w:val="0"/>
        <w:tabs>
          <w:tab w:val="left" w:pos="1276"/>
        </w:tabs>
        <w:spacing w:beforeAutospacing="1" w:afterAutospacing="1"/>
        <w:ind w:left="851" w:right="899"/>
        <w:contextualSpacing/>
        <w:jc w:val="both"/>
        <w:rPr>
          <w:rFonts w:ascii="Palatino Linotype" w:hAnsi="Palatino Linotype" w:cs="Arial"/>
          <w:i/>
          <w:sz w:val="22"/>
        </w:rPr>
      </w:pPr>
      <w:r>
        <w:rPr>
          <w:rFonts w:ascii="Palatino Linotype" w:hAnsi="Palatino Linotype" w:cs="Arial"/>
          <w:i/>
          <w:sz w:val="22"/>
        </w:rPr>
        <w:t>“</w:t>
      </w:r>
      <w:r>
        <w:rPr>
          <w:rFonts w:ascii="Palatino Linotype" w:hAnsi="Palatino Linotype" w:cs="Arial"/>
          <w:b/>
          <w:i/>
          <w:sz w:val="22"/>
        </w:rPr>
        <w:t>FUNDAMENTACIÓN Y MOTIVACIÓN. EL ASPECTO FORMAL DE LA GARANTÍA Y SU FINALIDAD SE TRADUCEN EN EXPLICAR, JUSTIFICAR, POSIBILITAR LA DEFENSA Y COMUNICAR LA DECISIÓN.</w:t>
      </w:r>
      <w:r>
        <w:rPr>
          <w:rFonts w:ascii="Palatino Linotype" w:hAnsi="Palatino Linotype" w:cs="Arial"/>
          <w:i/>
          <w:sz w:val="22"/>
        </w:rPr>
        <w:t xml:space="preserve"> El contenido formal de la garantía de legalidad prevista en el artículo 16 constitucional relativa a la 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subsunción.”(Sic)</w:t>
      </w:r>
    </w:p>
    <w:p w:rsidR="00C115AD" w:rsidRDefault="00C115AD">
      <w:pPr>
        <w:widowControl w:val="0"/>
        <w:tabs>
          <w:tab w:val="left" w:pos="1276"/>
        </w:tabs>
        <w:spacing w:beforeAutospacing="1" w:afterAutospacing="1" w:line="360" w:lineRule="auto"/>
        <w:contextualSpacing/>
        <w:jc w:val="both"/>
        <w:rPr>
          <w:rFonts w:ascii="Palatino Linotype" w:hAnsi="Palatino Linotype" w:cs="Arial"/>
        </w:rPr>
      </w:pPr>
    </w:p>
    <w:p w:rsidR="00C115AD" w:rsidRDefault="006854B3">
      <w:pPr>
        <w:widowControl w:val="0"/>
        <w:tabs>
          <w:tab w:val="left" w:pos="1276"/>
        </w:tabs>
        <w:spacing w:beforeAutospacing="1" w:afterAutospacing="1" w:line="360" w:lineRule="auto"/>
        <w:contextualSpacing/>
        <w:jc w:val="both"/>
        <w:rPr>
          <w:rFonts w:ascii="Palatino Linotype" w:hAnsi="Palatino Linotype" w:cs="Arial"/>
        </w:rPr>
      </w:pPr>
      <w:r>
        <w:rPr>
          <w:rFonts w:ascii="Palatino Linotype" w:hAnsi="Palatino Linotype" w:cs="Arial"/>
        </w:rPr>
        <w:t>Por lo cual, la fundamentación y motivación implica que en el acto de autoridad, además de contenerse los supuestos jurídicos aplicables, debe de explicarse claramente por qué a través de la utilización de la norma se emitió el acto. De este modo, la persona que se siente afectada pueda impugnar la decisión, permitiéndole una real y auténtica defensa.</w:t>
      </w:r>
    </w:p>
    <w:p w:rsidR="00C115AD" w:rsidRDefault="00C115AD">
      <w:pPr>
        <w:widowControl w:val="0"/>
        <w:tabs>
          <w:tab w:val="left" w:pos="1276"/>
        </w:tabs>
        <w:spacing w:beforeAutospacing="1" w:afterAutospacing="1" w:line="360" w:lineRule="auto"/>
        <w:contextualSpacing/>
        <w:jc w:val="both"/>
        <w:rPr>
          <w:rFonts w:ascii="Palatino Linotype" w:hAnsi="Palatino Linotype" w:cs="Arial"/>
        </w:rPr>
      </w:pPr>
    </w:p>
    <w:p w:rsidR="00C115AD" w:rsidRDefault="006854B3">
      <w:pPr>
        <w:spacing w:beforeAutospacing="1" w:afterAutospacing="1" w:line="360" w:lineRule="auto"/>
        <w:contextualSpacing/>
        <w:jc w:val="both"/>
        <w:rPr>
          <w:rFonts w:ascii="Palatino Linotype" w:hAnsi="Palatino Linotype" w:cs="Arial"/>
          <w:sz w:val="22"/>
          <w:szCs w:val="22"/>
        </w:rPr>
      </w:pPr>
      <w:r>
        <w:rPr>
          <w:rFonts w:ascii="Palatino Linotype" w:hAnsi="Palatino Linotype" w:cs="Arial"/>
          <w:sz w:val="22"/>
          <w:szCs w:val="22"/>
        </w:rPr>
        <w:lastRenderedPageBreak/>
        <w:t xml:space="preserve">De conformidad con lo anterior, para la atención de solicitudes en las que la modalidad de entrega de la información sea la consulta directa y, con el fin de garantizar el acceso a la información que conste en documentos que contengan partes o secciones clasificadas como reservadas o confidenciales en la modalidad antes citada, previamente el Comité de Transparencia del Sujeto Obligado deberá emitir el acuerdo en el que funde y motive la clasificación de las partes o secciones que no podrán dejarse a la vista del solicitante. </w:t>
      </w:r>
    </w:p>
    <w:p w:rsidR="00C115AD" w:rsidRDefault="00C115AD">
      <w:pPr>
        <w:spacing w:beforeAutospacing="1" w:afterAutospacing="1" w:line="360" w:lineRule="auto"/>
        <w:contextualSpacing/>
        <w:jc w:val="both"/>
        <w:rPr>
          <w:rFonts w:ascii="Palatino Linotype" w:hAnsi="Palatino Linotype" w:cs="Arial"/>
          <w:sz w:val="22"/>
          <w:szCs w:val="22"/>
        </w:rPr>
      </w:pPr>
    </w:p>
    <w:p w:rsidR="00C115AD" w:rsidRDefault="006854B3">
      <w:pPr>
        <w:spacing w:beforeAutospacing="1" w:afterAutospacing="1" w:line="360" w:lineRule="auto"/>
        <w:contextualSpacing/>
        <w:jc w:val="both"/>
        <w:rPr>
          <w:rFonts w:ascii="Palatino Linotype" w:hAnsi="Palatino Linotype" w:cs="Arial"/>
          <w:sz w:val="22"/>
          <w:szCs w:val="22"/>
        </w:rPr>
      </w:pPr>
      <w:r>
        <w:rPr>
          <w:rFonts w:ascii="Palatino Linotype" w:hAnsi="Palatino Linotype" w:cs="Arial"/>
          <w:sz w:val="22"/>
          <w:szCs w:val="22"/>
        </w:rPr>
        <w:t xml:space="preserve">Es de precisar que para el desahogo de las actuaciones tendientes a permitir la consulta directa, en los casos en que esta resulte procedente, los sujetos obligados deberán observar lo siguiente: </w:t>
      </w:r>
    </w:p>
    <w:p w:rsidR="00C115AD" w:rsidRDefault="00C115AD">
      <w:pPr>
        <w:spacing w:beforeAutospacing="1" w:afterAutospacing="1" w:line="360" w:lineRule="auto"/>
        <w:contextualSpacing/>
        <w:jc w:val="both"/>
        <w:rPr>
          <w:rFonts w:ascii="Palatino Linotype" w:hAnsi="Palatino Linotype" w:cs="Arial"/>
          <w:sz w:val="22"/>
          <w:szCs w:val="22"/>
        </w:rPr>
      </w:pPr>
    </w:p>
    <w:p w:rsidR="00C115AD" w:rsidRDefault="006854B3">
      <w:pPr>
        <w:numPr>
          <w:ilvl w:val="0"/>
          <w:numId w:val="3"/>
        </w:numPr>
        <w:spacing w:beforeAutospacing="1" w:afterAutospacing="1"/>
        <w:ind w:left="851" w:right="902" w:firstLine="0"/>
        <w:contextualSpacing/>
        <w:jc w:val="both"/>
        <w:rPr>
          <w:rFonts w:ascii="Palatino Linotype" w:hAnsi="Palatino Linotype" w:cs="Arial"/>
          <w:i/>
          <w:sz w:val="22"/>
          <w:szCs w:val="22"/>
        </w:rPr>
      </w:pPr>
      <w:r>
        <w:rPr>
          <w:rFonts w:ascii="Palatino Linotype" w:hAnsi="Palatino Linotype" w:cs="Arial"/>
          <w:i/>
          <w:sz w:val="22"/>
          <w:szCs w:val="22"/>
        </w:rPr>
        <w:t xml:space="preserve">Señalar claramente al particular, en la respuesta a su solicitud, el lugar, día y hora en que se podrá llevar a cabo la consulta de la documentación solicitada. En caso de que, derivado del volumen o de las particularidades de los documentos, el Sujeto Obligado determine que se requiere más de un día para realizar la consulta, en la respuesta a la solicitud también se deberá indicar esta situación al solicitante y los días, y horarios en que podrá llevarse a cabo. </w:t>
      </w:r>
    </w:p>
    <w:p w:rsidR="00C115AD" w:rsidRDefault="00C115AD">
      <w:pPr>
        <w:spacing w:beforeAutospacing="1" w:afterAutospacing="1"/>
        <w:ind w:left="851" w:right="902"/>
        <w:contextualSpacing/>
        <w:jc w:val="both"/>
        <w:rPr>
          <w:rFonts w:ascii="Palatino Linotype" w:hAnsi="Palatino Linotype" w:cs="Arial"/>
          <w:i/>
          <w:sz w:val="22"/>
          <w:szCs w:val="22"/>
        </w:rPr>
      </w:pPr>
    </w:p>
    <w:p w:rsidR="00C115AD" w:rsidRDefault="006854B3">
      <w:pPr>
        <w:numPr>
          <w:ilvl w:val="0"/>
          <w:numId w:val="3"/>
        </w:numPr>
        <w:spacing w:beforeAutospacing="1" w:afterAutospacing="1"/>
        <w:ind w:left="851" w:right="902" w:firstLine="0"/>
        <w:contextualSpacing/>
        <w:jc w:val="both"/>
        <w:rPr>
          <w:rFonts w:ascii="Palatino Linotype" w:hAnsi="Palatino Linotype" w:cs="Arial"/>
          <w:i/>
          <w:sz w:val="22"/>
          <w:szCs w:val="22"/>
        </w:rPr>
      </w:pPr>
      <w:r>
        <w:rPr>
          <w:rFonts w:ascii="Palatino Linotype" w:hAnsi="Palatino Linotype" w:cs="Arial"/>
          <w:i/>
          <w:sz w:val="22"/>
          <w:szCs w:val="22"/>
        </w:rPr>
        <w:t xml:space="preserve">En su caso, la procedencia de los ajustes razonables solicitados y/o la procedencia de acceso en la lengua indígena requerida. </w:t>
      </w:r>
    </w:p>
    <w:p w:rsidR="00C115AD" w:rsidRDefault="00C115AD">
      <w:pPr>
        <w:spacing w:beforeAutospacing="1" w:afterAutospacing="1"/>
        <w:ind w:left="851" w:right="902"/>
        <w:contextualSpacing/>
        <w:jc w:val="both"/>
        <w:rPr>
          <w:rFonts w:ascii="Palatino Linotype" w:hAnsi="Palatino Linotype" w:cs="Arial"/>
          <w:i/>
          <w:sz w:val="22"/>
          <w:szCs w:val="22"/>
        </w:rPr>
      </w:pPr>
    </w:p>
    <w:p w:rsidR="00C115AD" w:rsidRDefault="006854B3">
      <w:pPr>
        <w:numPr>
          <w:ilvl w:val="0"/>
          <w:numId w:val="3"/>
        </w:numPr>
        <w:spacing w:beforeAutospacing="1" w:afterAutospacing="1"/>
        <w:ind w:left="851" w:right="902" w:firstLine="0"/>
        <w:contextualSpacing/>
        <w:jc w:val="both"/>
        <w:rPr>
          <w:rFonts w:ascii="Palatino Linotype" w:hAnsi="Palatino Linotype" w:cs="Arial"/>
          <w:i/>
          <w:sz w:val="22"/>
          <w:szCs w:val="22"/>
        </w:rPr>
      </w:pPr>
      <w:r>
        <w:rPr>
          <w:rFonts w:ascii="Palatino Linotype" w:hAnsi="Palatino Linotype" w:cs="Arial"/>
          <w:i/>
          <w:sz w:val="22"/>
          <w:szCs w:val="22"/>
        </w:rPr>
        <w:t xml:space="preserve">Indicar claramente la ubicación del lugar en que el solicitante podrá llevar a cabo la consulta de la información debiendo ser este, en la medida de lo posible, el domicilio de la Unidad de Transparencia, así como el nombre, cargo y datos de contacto del personal que le permitirá el acceso. </w:t>
      </w:r>
    </w:p>
    <w:p w:rsidR="00C115AD" w:rsidRDefault="00C115AD">
      <w:pPr>
        <w:spacing w:beforeAutospacing="1" w:afterAutospacing="1"/>
        <w:ind w:left="851" w:right="902"/>
        <w:contextualSpacing/>
        <w:jc w:val="both"/>
        <w:rPr>
          <w:rFonts w:ascii="Palatino Linotype" w:hAnsi="Palatino Linotype" w:cs="Arial"/>
          <w:i/>
          <w:sz w:val="22"/>
          <w:szCs w:val="22"/>
        </w:rPr>
      </w:pPr>
    </w:p>
    <w:p w:rsidR="00C115AD" w:rsidRDefault="006854B3">
      <w:pPr>
        <w:numPr>
          <w:ilvl w:val="0"/>
          <w:numId w:val="3"/>
        </w:numPr>
        <w:spacing w:beforeAutospacing="1" w:afterAutospacing="1"/>
        <w:ind w:left="851" w:right="902" w:firstLine="0"/>
        <w:contextualSpacing/>
        <w:jc w:val="both"/>
        <w:rPr>
          <w:rFonts w:ascii="Palatino Linotype" w:hAnsi="Palatino Linotype" w:cs="Arial"/>
          <w:i/>
          <w:sz w:val="22"/>
          <w:szCs w:val="22"/>
        </w:rPr>
      </w:pPr>
      <w:r>
        <w:rPr>
          <w:rFonts w:ascii="Palatino Linotype" w:hAnsi="Palatino Linotype" w:cs="Arial"/>
          <w:i/>
          <w:sz w:val="22"/>
          <w:szCs w:val="22"/>
        </w:rPr>
        <w:t xml:space="preserve">Proporcionar al solicitante las facilidades y asistencia requerida para la consulta de los documentos. </w:t>
      </w:r>
    </w:p>
    <w:p w:rsidR="00C115AD" w:rsidRDefault="00C115AD">
      <w:pPr>
        <w:spacing w:beforeAutospacing="1" w:afterAutospacing="1"/>
        <w:ind w:left="851" w:right="902"/>
        <w:contextualSpacing/>
        <w:jc w:val="both"/>
        <w:rPr>
          <w:rFonts w:ascii="Palatino Linotype" w:hAnsi="Palatino Linotype" w:cs="Arial"/>
          <w:i/>
          <w:sz w:val="22"/>
          <w:szCs w:val="22"/>
        </w:rPr>
      </w:pPr>
    </w:p>
    <w:p w:rsidR="00C115AD" w:rsidRDefault="006854B3">
      <w:pPr>
        <w:numPr>
          <w:ilvl w:val="0"/>
          <w:numId w:val="3"/>
        </w:numPr>
        <w:spacing w:beforeAutospacing="1" w:afterAutospacing="1"/>
        <w:ind w:left="851" w:right="902" w:firstLine="0"/>
        <w:contextualSpacing/>
        <w:jc w:val="both"/>
        <w:rPr>
          <w:rFonts w:ascii="Palatino Linotype" w:hAnsi="Palatino Linotype" w:cs="Arial"/>
          <w:i/>
          <w:sz w:val="22"/>
          <w:szCs w:val="22"/>
        </w:rPr>
      </w:pPr>
      <w:r>
        <w:rPr>
          <w:rFonts w:ascii="Palatino Linotype" w:hAnsi="Palatino Linotype" w:cs="Arial"/>
          <w:i/>
          <w:sz w:val="22"/>
          <w:szCs w:val="22"/>
        </w:rPr>
        <w:t>Abstenerse de requerir al solicitante que acredite interés alguno.</w:t>
      </w:r>
    </w:p>
    <w:p w:rsidR="00C115AD" w:rsidRDefault="00C115AD">
      <w:pPr>
        <w:spacing w:beforeAutospacing="1" w:afterAutospacing="1"/>
        <w:ind w:left="851" w:right="902"/>
        <w:contextualSpacing/>
        <w:jc w:val="both"/>
        <w:rPr>
          <w:rFonts w:ascii="Palatino Linotype" w:hAnsi="Palatino Linotype" w:cs="Arial"/>
          <w:i/>
          <w:sz w:val="22"/>
          <w:szCs w:val="22"/>
        </w:rPr>
      </w:pPr>
    </w:p>
    <w:p w:rsidR="00C115AD" w:rsidRDefault="006854B3">
      <w:pPr>
        <w:numPr>
          <w:ilvl w:val="0"/>
          <w:numId w:val="3"/>
        </w:numPr>
        <w:spacing w:beforeAutospacing="1"/>
        <w:ind w:left="851" w:right="902" w:firstLine="0"/>
        <w:contextualSpacing/>
        <w:jc w:val="both"/>
        <w:rPr>
          <w:rFonts w:ascii="Palatino Linotype" w:hAnsi="Palatino Linotype" w:cs="Arial"/>
          <w:i/>
          <w:sz w:val="22"/>
          <w:szCs w:val="22"/>
        </w:rPr>
      </w:pPr>
      <w:r>
        <w:rPr>
          <w:rFonts w:ascii="Palatino Linotype" w:hAnsi="Palatino Linotype" w:cs="Arial"/>
          <w:i/>
          <w:sz w:val="22"/>
          <w:szCs w:val="22"/>
        </w:rPr>
        <w:t xml:space="preserve">Adoptar las medidas técnicas, físicas, administrativas y demás que resulten necesarias para garantizar la integridad de la información a consultar, de conformidad con las características específicas del documento solicitado. </w:t>
      </w:r>
    </w:p>
    <w:p w:rsidR="00C115AD" w:rsidRDefault="006854B3">
      <w:pPr>
        <w:numPr>
          <w:ilvl w:val="0"/>
          <w:numId w:val="3"/>
        </w:numPr>
        <w:spacing w:afterAutospacing="1"/>
        <w:ind w:left="851" w:right="902" w:firstLine="0"/>
        <w:contextualSpacing/>
        <w:jc w:val="both"/>
        <w:rPr>
          <w:rFonts w:ascii="Palatino Linotype" w:hAnsi="Palatino Linotype" w:cs="Arial"/>
          <w:i/>
          <w:sz w:val="22"/>
          <w:szCs w:val="22"/>
        </w:rPr>
      </w:pPr>
      <w:r>
        <w:rPr>
          <w:rFonts w:ascii="Palatino Linotype" w:hAnsi="Palatino Linotype" w:cs="Arial"/>
          <w:i/>
          <w:sz w:val="22"/>
          <w:szCs w:val="22"/>
        </w:rPr>
        <w:lastRenderedPageBreak/>
        <w:t xml:space="preserve">Hacer del conocimiento del solicitante, previo al acceso a la información, las reglas a que se sujetará la consulta para garantizar la integridad de los documentos, y </w:t>
      </w:r>
    </w:p>
    <w:p w:rsidR="00C115AD" w:rsidRDefault="00C115AD">
      <w:pPr>
        <w:spacing w:beforeAutospacing="1" w:afterAutospacing="1"/>
        <w:ind w:left="851" w:right="902"/>
        <w:contextualSpacing/>
        <w:jc w:val="both"/>
        <w:rPr>
          <w:rFonts w:ascii="Palatino Linotype" w:hAnsi="Palatino Linotype" w:cs="Arial"/>
          <w:i/>
          <w:sz w:val="22"/>
          <w:szCs w:val="22"/>
        </w:rPr>
      </w:pPr>
    </w:p>
    <w:p w:rsidR="00C115AD" w:rsidRDefault="006854B3">
      <w:pPr>
        <w:numPr>
          <w:ilvl w:val="0"/>
          <w:numId w:val="3"/>
        </w:numPr>
        <w:spacing w:beforeAutospacing="1" w:afterAutospacing="1"/>
        <w:ind w:left="851" w:right="902" w:firstLine="0"/>
        <w:contextualSpacing/>
        <w:jc w:val="both"/>
        <w:rPr>
          <w:rFonts w:ascii="Palatino Linotype" w:hAnsi="Palatino Linotype" w:cs="Arial"/>
          <w:i/>
          <w:sz w:val="22"/>
          <w:szCs w:val="22"/>
        </w:rPr>
      </w:pPr>
      <w:r>
        <w:rPr>
          <w:rFonts w:ascii="Palatino Linotype" w:hAnsi="Palatino Linotype" w:cs="Arial"/>
          <w:i/>
          <w:sz w:val="22"/>
          <w:szCs w:val="22"/>
        </w:rPr>
        <w:t xml:space="preserve">Para el caso de documentos que contengan partes o secciones clasificadas como reservadas o confidenciales, el sujeto obligado deberá hacer del conocimiento del solicitante, previo al acceso a la información, la resolución debidamente fundada y motivada del Comité de Transparencia, en la que se clasificaron las partes o secciones que no podrán dejarse a la vista del solicitante. </w:t>
      </w:r>
    </w:p>
    <w:p w:rsidR="00C115AD" w:rsidRDefault="00C115AD">
      <w:pPr>
        <w:spacing w:beforeAutospacing="1" w:afterAutospacing="1" w:line="360" w:lineRule="auto"/>
        <w:contextualSpacing/>
        <w:jc w:val="both"/>
        <w:rPr>
          <w:rFonts w:ascii="Palatino Linotype" w:hAnsi="Palatino Linotype" w:cs="Arial"/>
          <w:sz w:val="22"/>
          <w:szCs w:val="22"/>
        </w:rPr>
      </w:pPr>
    </w:p>
    <w:p w:rsidR="00C115AD" w:rsidRDefault="006854B3">
      <w:pPr>
        <w:spacing w:beforeAutospacing="1" w:afterAutospacing="1" w:line="360" w:lineRule="auto"/>
        <w:contextualSpacing/>
        <w:jc w:val="both"/>
        <w:rPr>
          <w:rFonts w:ascii="Palatino Linotype" w:hAnsi="Palatino Linotype" w:cs="Arial"/>
        </w:rPr>
      </w:pPr>
      <w:r>
        <w:rPr>
          <w:rFonts w:ascii="Palatino Linotype" w:hAnsi="Palatino Linotype" w:cs="Arial"/>
        </w:rPr>
        <w:t xml:space="preserve">La consulta física de la información se realizará en presencia del personal que para tal efecto indique el Sujeto Obligado, quien implementará las medidas para asegurar en todo momento la integridad de la documentación, conforme a la resolución del Comité de Transparencia. </w:t>
      </w:r>
    </w:p>
    <w:p w:rsidR="00C115AD" w:rsidRDefault="00C115AD">
      <w:pPr>
        <w:spacing w:beforeAutospacing="1" w:afterAutospacing="1" w:line="360" w:lineRule="auto"/>
        <w:contextualSpacing/>
        <w:jc w:val="both"/>
        <w:rPr>
          <w:rFonts w:ascii="Palatino Linotype" w:eastAsia="Calibri" w:hAnsi="Palatino Linotype" w:cs="Tahoma"/>
          <w:bCs/>
          <w:lang w:eastAsia="en-US"/>
        </w:rPr>
      </w:pPr>
    </w:p>
    <w:p w:rsidR="00C115AD" w:rsidRDefault="006854B3">
      <w:pPr>
        <w:spacing w:beforeAutospacing="1" w:afterAutospacing="1" w:line="360" w:lineRule="auto"/>
        <w:ind w:right="-91"/>
        <w:contextualSpacing/>
        <w:jc w:val="both"/>
        <w:rPr>
          <w:rFonts w:ascii="Palatino Linotype" w:eastAsia="Calibri" w:hAnsi="Palatino Linotype" w:cs="Tahoma"/>
          <w:bCs/>
          <w:lang w:eastAsia="en-US"/>
        </w:rPr>
      </w:pPr>
      <w:r>
        <w:rPr>
          <w:rFonts w:ascii="Palatino Linotype" w:eastAsia="Calibri" w:hAnsi="Palatino Linotype" w:cs="Tahoma"/>
          <w:bCs/>
          <w:lang w:eastAsia="en-US"/>
        </w:rPr>
        <w:t>De lo anterior, se desprende que en un primer momento el Sujeto Obligado, puso a disposición del Particular la información en consulta in situ y en informe justificado especificó la imposibilidad de proporcionar la información a través del (</w:t>
      </w:r>
      <w:r>
        <w:rPr>
          <w:rFonts w:ascii="Palatino Linotype" w:eastAsia="Calibri" w:hAnsi="Palatino Linotype" w:cs="Tahoma"/>
          <w:b/>
          <w:bCs/>
          <w:lang w:eastAsia="en-US"/>
        </w:rPr>
        <w:t>SAIMEX)</w:t>
      </w:r>
      <w:r>
        <w:rPr>
          <w:rFonts w:ascii="Palatino Linotype" w:eastAsia="Calibri" w:hAnsi="Palatino Linotype" w:cs="Tahoma"/>
          <w:bCs/>
          <w:lang w:eastAsia="en-US"/>
        </w:rPr>
        <w:t xml:space="preserve"> además de señalar las reglas para que el Particular accediera a la información.</w:t>
      </w:r>
    </w:p>
    <w:p w:rsidR="00C115AD" w:rsidRDefault="00C115AD">
      <w:pPr>
        <w:spacing w:beforeAutospacing="1" w:afterAutospacing="1" w:line="360" w:lineRule="auto"/>
        <w:ind w:right="-91"/>
        <w:contextualSpacing/>
        <w:jc w:val="both"/>
        <w:rPr>
          <w:rFonts w:ascii="Palatino Linotype" w:eastAsia="Calibri" w:hAnsi="Palatino Linotype" w:cs="Tahoma"/>
          <w:bCs/>
          <w:sz w:val="22"/>
          <w:szCs w:val="22"/>
          <w:lang w:eastAsia="en-US"/>
        </w:rPr>
      </w:pPr>
    </w:p>
    <w:p w:rsidR="00C115AD" w:rsidRDefault="006854B3">
      <w:pPr>
        <w:spacing w:beforeAutospacing="1" w:afterAutospacing="1" w:line="360" w:lineRule="auto"/>
        <w:contextualSpacing/>
        <w:jc w:val="both"/>
        <w:rPr>
          <w:rFonts w:ascii="Palatino Linotype" w:hAnsi="Palatino Linotype" w:cs="Arial"/>
        </w:rPr>
      </w:pPr>
      <w:r>
        <w:rPr>
          <w:rFonts w:ascii="Palatino Linotype" w:hAnsi="Palatino Linotype" w:cs="Arial"/>
        </w:rPr>
        <w:t xml:space="preserve">Por lo tanto, como se expuso previamente, el Sujeto Obligado señaló de manera clara las reglas para que el Particular pueda tener acceso a la información solicitada en consulta </w:t>
      </w:r>
      <w:r>
        <w:rPr>
          <w:rFonts w:ascii="Palatino Linotype" w:hAnsi="Palatino Linotype" w:cs="Arial"/>
          <w:i/>
        </w:rPr>
        <w:t>in situ</w:t>
      </w:r>
      <w:r>
        <w:rPr>
          <w:rFonts w:ascii="Palatino Linotype" w:hAnsi="Palatino Linotype" w:cs="Tahoma"/>
        </w:rPr>
        <w:t xml:space="preserve">, </w:t>
      </w:r>
      <w:r>
        <w:rPr>
          <w:rFonts w:ascii="Palatino Linotype" w:eastAsia="Calibri" w:hAnsi="Palatino Linotype" w:cs="Tahoma"/>
          <w:bCs/>
          <w:lang w:eastAsia="en-US"/>
        </w:rPr>
        <w:t>situación que deja sin materia el presente Recurso de Revisión, en consecuencia, se estima que se actualiza el supuesto establecido en la fracción III, del artículo 192, de la Ley de la materia, el cual determina lo siguiente:</w:t>
      </w:r>
    </w:p>
    <w:p w:rsidR="00C115AD" w:rsidRDefault="00C115AD">
      <w:pPr>
        <w:spacing w:beforeAutospacing="1" w:afterAutospacing="1" w:line="360" w:lineRule="auto"/>
        <w:ind w:right="-93"/>
        <w:contextualSpacing/>
        <w:jc w:val="both"/>
        <w:rPr>
          <w:rFonts w:ascii="Palatino Linotype" w:eastAsia="Calibri" w:hAnsi="Palatino Linotype" w:cs="Tahoma"/>
          <w:bCs/>
          <w:sz w:val="22"/>
          <w:szCs w:val="22"/>
          <w:lang w:eastAsia="en-US"/>
        </w:rPr>
      </w:pPr>
    </w:p>
    <w:p w:rsidR="00C115AD" w:rsidRDefault="006854B3">
      <w:pPr>
        <w:spacing w:beforeAutospacing="1" w:afterAutospacing="1"/>
        <w:ind w:left="851" w:right="902"/>
        <w:contextualSpacing/>
        <w:jc w:val="both"/>
        <w:rPr>
          <w:rFonts w:ascii="Palatino Linotype" w:eastAsia="Calibri" w:hAnsi="Palatino Linotype" w:cs="Tahoma"/>
          <w:bCs/>
          <w:i/>
          <w:sz w:val="22"/>
          <w:szCs w:val="22"/>
          <w:lang w:eastAsia="en-US"/>
        </w:rPr>
      </w:pPr>
      <w:r>
        <w:rPr>
          <w:rFonts w:ascii="Palatino Linotype" w:eastAsia="Calibri" w:hAnsi="Palatino Linotype" w:cs="Tahoma"/>
          <w:b/>
          <w:bCs/>
          <w:i/>
          <w:sz w:val="22"/>
          <w:szCs w:val="22"/>
          <w:lang w:eastAsia="en-US"/>
        </w:rPr>
        <w:t>Artículo 192.</w:t>
      </w:r>
      <w:r>
        <w:rPr>
          <w:rFonts w:ascii="Palatino Linotype" w:eastAsia="Calibri" w:hAnsi="Palatino Linotype" w:cs="Tahoma"/>
          <w:bCs/>
          <w:i/>
          <w:sz w:val="22"/>
          <w:szCs w:val="22"/>
          <w:lang w:eastAsia="en-US"/>
        </w:rPr>
        <w:t xml:space="preserve"> El recurso será </w:t>
      </w:r>
      <w:r>
        <w:rPr>
          <w:rFonts w:ascii="Palatino Linotype" w:eastAsia="Calibri" w:hAnsi="Palatino Linotype" w:cs="Tahoma"/>
          <w:b/>
          <w:bCs/>
          <w:i/>
          <w:sz w:val="22"/>
          <w:szCs w:val="22"/>
          <w:u w:val="single"/>
          <w:lang w:eastAsia="en-US"/>
        </w:rPr>
        <w:t>sobreseído</w:t>
      </w:r>
      <w:r>
        <w:rPr>
          <w:rFonts w:ascii="Palatino Linotype" w:eastAsia="Calibri" w:hAnsi="Palatino Linotype" w:cs="Tahoma"/>
          <w:bCs/>
          <w:i/>
          <w:sz w:val="22"/>
          <w:szCs w:val="22"/>
          <w:lang w:eastAsia="en-US"/>
        </w:rPr>
        <w:t xml:space="preserve">, en todo o en parte, </w:t>
      </w:r>
      <w:r>
        <w:rPr>
          <w:rFonts w:ascii="Palatino Linotype" w:eastAsia="Calibri" w:hAnsi="Palatino Linotype" w:cs="Tahoma"/>
          <w:b/>
          <w:bCs/>
          <w:i/>
          <w:sz w:val="22"/>
          <w:szCs w:val="22"/>
          <w:lang w:eastAsia="en-US"/>
        </w:rPr>
        <w:t xml:space="preserve">cuando </w:t>
      </w:r>
      <w:r>
        <w:rPr>
          <w:rFonts w:ascii="Palatino Linotype" w:eastAsia="Calibri" w:hAnsi="Palatino Linotype" w:cs="Tahoma"/>
          <w:bCs/>
          <w:i/>
          <w:sz w:val="22"/>
          <w:szCs w:val="22"/>
          <w:lang w:eastAsia="en-US"/>
        </w:rPr>
        <w:t>una vez admitido, se actualicen alguno de los siguientes supuestos:</w:t>
      </w:r>
    </w:p>
    <w:p w:rsidR="00C115AD" w:rsidRDefault="006854B3">
      <w:pPr>
        <w:spacing w:beforeAutospacing="1" w:afterAutospacing="1"/>
        <w:ind w:left="851" w:right="902"/>
        <w:contextualSpacing/>
        <w:jc w:val="both"/>
        <w:rPr>
          <w:rFonts w:ascii="Palatino Linotype" w:eastAsia="Calibri" w:hAnsi="Palatino Linotype" w:cs="Tahoma"/>
          <w:bCs/>
          <w:i/>
          <w:sz w:val="22"/>
          <w:szCs w:val="22"/>
          <w:lang w:eastAsia="en-US"/>
        </w:rPr>
      </w:pPr>
      <w:r>
        <w:rPr>
          <w:rFonts w:ascii="Palatino Linotype" w:eastAsia="Calibri" w:hAnsi="Palatino Linotype" w:cs="Tahoma"/>
          <w:bCs/>
          <w:i/>
          <w:sz w:val="22"/>
          <w:szCs w:val="22"/>
          <w:lang w:eastAsia="en-US"/>
        </w:rPr>
        <w:lastRenderedPageBreak/>
        <w:t>I. El recurrente se desista expresamente del recurso;</w:t>
      </w:r>
    </w:p>
    <w:p w:rsidR="00C115AD" w:rsidRDefault="006854B3">
      <w:pPr>
        <w:spacing w:beforeAutospacing="1" w:afterAutospacing="1"/>
        <w:ind w:left="851" w:right="902"/>
        <w:contextualSpacing/>
        <w:jc w:val="both"/>
        <w:rPr>
          <w:rFonts w:ascii="Palatino Linotype" w:eastAsia="Calibri" w:hAnsi="Palatino Linotype" w:cs="Tahoma"/>
          <w:bCs/>
          <w:i/>
          <w:sz w:val="22"/>
          <w:szCs w:val="22"/>
          <w:lang w:eastAsia="en-US"/>
        </w:rPr>
      </w:pPr>
      <w:r>
        <w:rPr>
          <w:rFonts w:ascii="Palatino Linotype" w:eastAsia="Calibri" w:hAnsi="Palatino Linotype" w:cs="Tahoma"/>
          <w:bCs/>
          <w:i/>
          <w:sz w:val="22"/>
          <w:szCs w:val="22"/>
          <w:lang w:eastAsia="en-US"/>
        </w:rPr>
        <w:t>II. El recurrente fallezca o, tratándose de personas jurídicas colectivas, se disuelva;</w:t>
      </w:r>
    </w:p>
    <w:p w:rsidR="00C115AD" w:rsidRDefault="006854B3">
      <w:pPr>
        <w:spacing w:beforeAutospacing="1" w:afterAutospacing="1"/>
        <w:ind w:left="851" w:right="902"/>
        <w:contextualSpacing/>
        <w:jc w:val="both"/>
        <w:rPr>
          <w:rFonts w:ascii="Palatino Linotype" w:eastAsia="Calibri" w:hAnsi="Palatino Linotype" w:cs="Tahoma"/>
          <w:b/>
          <w:bCs/>
          <w:i/>
          <w:sz w:val="22"/>
          <w:szCs w:val="22"/>
          <w:lang w:eastAsia="en-US"/>
        </w:rPr>
      </w:pPr>
      <w:r>
        <w:rPr>
          <w:rFonts w:ascii="Palatino Linotype" w:eastAsia="Calibri" w:hAnsi="Palatino Linotype" w:cs="Tahoma"/>
          <w:b/>
          <w:bCs/>
          <w:i/>
          <w:sz w:val="22"/>
          <w:szCs w:val="22"/>
          <w:lang w:eastAsia="en-US"/>
        </w:rPr>
        <w:t>III. El sujeto obligado responsable del acto lo modifique o revoque de tal manera que el recurso de revisión quede sin materia;</w:t>
      </w:r>
    </w:p>
    <w:p w:rsidR="00C115AD" w:rsidRDefault="006854B3">
      <w:pPr>
        <w:spacing w:beforeAutospacing="1" w:afterAutospacing="1"/>
        <w:ind w:left="851" w:right="902"/>
        <w:contextualSpacing/>
        <w:jc w:val="both"/>
        <w:rPr>
          <w:rFonts w:ascii="Palatino Linotype" w:eastAsia="Calibri" w:hAnsi="Palatino Linotype" w:cs="Tahoma"/>
          <w:bCs/>
          <w:i/>
          <w:sz w:val="22"/>
          <w:szCs w:val="22"/>
          <w:lang w:eastAsia="en-US"/>
        </w:rPr>
      </w:pPr>
      <w:r>
        <w:rPr>
          <w:rFonts w:ascii="Palatino Linotype" w:eastAsia="Calibri" w:hAnsi="Palatino Linotype" w:cs="Tahoma"/>
          <w:bCs/>
          <w:i/>
          <w:sz w:val="22"/>
          <w:szCs w:val="22"/>
          <w:lang w:eastAsia="en-US"/>
        </w:rPr>
        <w:t>IV. Admitido el recurso de revisión, aparezca alguna causal de improcedencia en los términos de la presente Ley; y</w:t>
      </w:r>
    </w:p>
    <w:p w:rsidR="00C115AD" w:rsidRDefault="00C115AD">
      <w:pPr>
        <w:spacing w:beforeAutospacing="1" w:afterAutospacing="1" w:line="360" w:lineRule="auto"/>
        <w:ind w:left="567" w:right="567"/>
        <w:contextualSpacing/>
        <w:jc w:val="both"/>
        <w:rPr>
          <w:rFonts w:ascii="Palatino Linotype" w:hAnsi="Palatino Linotype" w:cs="Arial"/>
        </w:rPr>
      </w:pPr>
    </w:p>
    <w:p w:rsidR="00C115AD" w:rsidRDefault="006854B3">
      <w:pPr>
        <w:spacing w:beforeAutospacing="1" w:afterAutospacing="1" w:line="360" w:lineRule="auto"/>
        <w:contextualSpacing/>
        <w:jc w:val="both"/>
        <w:rPr>
          <w:rFonts w:ascii="Palatino Linotype" w:hAnsi="Palatino Linotype" w:cs="Arial"/>
        </w:rPr>
      </w:pPr>
      <w:r>
        <w:rPr>
          <w:rFonts w:ascii="Palatino Linotype" w:hAnsi="Palatino Linotype" w:cs="Arial"/>
        </w:rPr>
        <w:t xml:space="preserve">Por lo que, con fundamento en los artículos 186, fracción I y 192 fracción V, de la Ley de Transparencia y Acceso a la Información Pública del Estado de México y Municipios, es procedente </w:t>
      </w:r>
      <w:r>
        <w:rPr>
          <w:rFonts w:ascii="Palatino Linotype" w:hAnsi="Palatino Linotype" w:cs="Arial"/>
          <w:b/>
        </w:rPr>
        <w:t>SOBRESEER</w:t>
      </w:r>
      <w:r>
        <w:rPr>
          <w:rFonts w:ascii="Palatino Linotype" w:hAnsi="Palatino Linotype" w:cs="Arial"/>
        </w:rPr>
        <w:t xml:space="preserve"> los Recursos de Revisión </w:t>
      </w:r>
      <w:r>
        <w:rPr>
          <w:rFonts w:ascii="Palatino Linotype" w:hAnsi="Palatino Linotype" w:cs="Arial"/>
          <w:b/>
        </w:rPr>
        <w:t>11519INFOEM/IP/RR/2019 y acumulados</w:t>
      </w:r>
      <w:r>
        <w:rPr>
          <w:rFonts w:ascii="Palatino Linotype" w:hAnsi="Palatino Linotype" w:cs="Arial"/>
        </w:rPr>
        <w:t xml:space="preserve">, por quedar sin materia los medios de impugnación que nos ocupan al resultar procedente el cambio de modalidad pretendido por </w:t>
      </w:r>
      <w:r>
        <w:rPr>
          <w:rFonts w:ascii="Palatino Linotype" w:hAnsi="Palatino Linotype" w:cs="Arial"/>
          <w:b/>
        </w:rPr>
        <w:t>EL SUJETO OBLIGADO</w:t>
      </w:r>
      <w:r>
        <w:rPr>
          <w:rFonts w:ascii="Palatino Linotype" w:hAnsi="Palatino Linotype" w:cs="Arial"/>
        </w:rPr>
        <w:t xml:space="preserve">. </w:t>
      </w:r>
    </w:p>
    <w:p w:rsidR="00C115AD" w:rsidRDefault="00C115AD">
      <w:pPr>
        <w:spacing w:beforeAutospacing="1" w:afterAutospacing="1" w:line="360" w:lineRule="auto"/>
        <w:contextualSpacing/>
        <w:jc w:val="both"/>
        <w:rPr>
          <w:rFonts w:ascii="Palatino Linotype" w:hAnsi="Palatino Linotype"/>
        </w:rPr>
      </w:pPr>
    </w:p>
    <w:p w:rsidR="00C115AD" w:rsidRDefault="006854B3">
      <w:pPr>
        <w:spacing w:beforeAutospacing="1" w:afterAutospacing="1" w:line="360" w:lineRule="auto"/>
        <w:contextualSpacing/>
        <w:jc w:val="both"/>
        <w:rPr>
          <w:rFonts w:ascii="Palatino Linotype" w:hAnsi="Palatino Linotype"/>
        </w:rPr>
      </w:pPr>
      <w:r>
        <w:rPr>
          <w:rFonts w:ascii="Palatino Linotype" w:eastAsia="Calibri" w:hAnsi="Palatino Linotype" w:cs="Arial"/>
        </w:rPr>
        <w:t xml:space="preserve">Así, con </w:t>
      </w:r>
      <w:r>
        <w:rPr>
          <w:rFonts w:ascii="Palatino Linotype" w:hAnsi="Palatino Linotype" w:cs="Arial"/>
        </w:rPr>
        <w:t>fundamento</w:t>
      </w:r>
      <w:r>
        <w:rPr>
          <w:rFonts w:ascii="Palatino Linotype" w:eastAsia="Calibri" w:hAnsi="Palatino Linotype" w:cs="Arial"/>
        </w:rPr>
        <w:t xml:space="preserve"> en lo prescrito en los artículos 5, </w:t>
      </w:r>
      <w:r>
        <w:rPr>
          <w:rFonts w:ascii="Palatino Linotype" w:hAnsi="Palatino Linotype"/>
        </w:rPr>
        <w:t>vigésimo segundo, vigésimo tercero y vigésimo cuarto</w:t>
      </w:r>
      <w:r>
        <w:rPr>
          <w:rFonts w:ascii="Palatino Linotype" w:hAnsi="Palatino Linotype" w:cs="Arial"/>
        </w:rPr>
        <w:t>,</w:t>
      </w:r>
      <w:r>
        <w:rPr>
          <w:rFonts w:ascii="Palatino Linotype" w:hAnsi="Palatino Linotype"/>
        </w:rPr>
        <w:t xml:space="preserve"> </w:t>
      </w:r>
      <w:r>
        <w:rPr>
          <w:rFonts w:ascii="Palatino Linotype" w:hAnsi="Palatino Linotype" w:cs="Arial"/>
        </w:rPr>
        <w:t>fracciones</w:t>
      </w:r>
      <w:r>
        <w:rPr>
          <w:rFonts w:ascii="Palatino Linotype" w:hAnsi="Palatino Linotype"/>
        </w:rPr>
        <w:t xml:space="preserve"> IV y V</w:t>
      </w:r>
      <w:r>
        <w:rPr>
          <w:rFonts w:ascii="Palatino Linotype" w:eastAsia="Calibri" w:hAnsi="Palatino Linotype" w:cs="Arial"/>
        </w:rPr>
        <w:t xml:space="preserve"> de la Constitución Política del Estado Libre y Soberano de México y los artículos </w:t>
      </w:r>
      <w:r>
        <w:rPr>
          <w:rFonts w:ascii="Palatino Linotype" w:hAnsi="Palatino Linotype"/>
        </w:rPr>
        <w:t xml:space="preserve">2, </w:t>
      </w:r>
      <w:r>
        <w:rPr>
          <w:rFonts w:ascii="Palatino Linotype" w:hAnsi="Palatino Linotype" w:cs="Arial"/>
        </w:rPr>
        <w:t>fracción</w:t>
      </w:r>
      <w:r>
        <w:rPr>
          <w:rFonts w:ascii="Palatino Linotype" w:hAnsi="Palatino Linotype"/>
        </w:rPr>
        <w:t xml:space="preserve"> II, 9, </w:t>
      </w:r>
      <w:r>
        <w:rPr>
          <w:rFonts w:ascii="Palatino Linotype" w:hAnsi="Palatino Linotype" w:cs="Arial"/>
          <w:lang w:val="es-ES_tradnl"/>
        </w:rPr>
        <w:t>29</w:t>
      </w:r>
      <w:r>
        <w:rPr>
          <w:rFonts w:ascii="Palatino Linotype" w:hAnsi="Palatino Linotype"/>
        </w:rPr>
        <w:t>, 36, fracciones I y II, 176, 178, 179, 181, 185, fracción I, 186 y 188</w:t>
      </w:r>
      <w:r>
        <w:rPr>
          <w:rFonts w:ascii="Palatino Linotype" w:eastAsia="Calibri" w:hAnsi="Palatino Linotype" w:cs="Arial"/>
        </w:rPr>
        <w:t xml:space="preserve"> de la Ley de Transparencia y Acceso a la Información Pública del Estado de México y </w:t>
      </w:r>
      <w:r>
        <w:rPr>
          <w:rFonts w:ascii="Palatino Linotype" w:hAnsi="Palatino Linotype" w:cs="Arial"/>
        </w:rPr>
        <w:t>Municipios</w:t>
      </w:r>
      <w:r>
        <w:rPr>
          <w:rFonts w:ascii="Palatino Linotype" w:eastAsia="Calibri" w:hAnsi="Palatino Linotype" w:cs="Arial"/>
        </w:rPr>
        <w:t xml:space="preserve">, </w:t>
      </w:r>
      <w:r>
        <w:rPr>
          <w:rFonts w:ascii="Palatino Linotype" w:hAnsi="Palatino Linotype"/>
        </w:rPr>
        <w:t>este</w:t>
      </w:r>
      <w:r>
        <w:rPr>
          <w:rFonts w:ascii="Palatino Linotype" w:eastAsia="Calibri" w:hAnsi="Palatino Linotype" w:cs="Arial"/>
        </w:rPr>
        <w:t xml:space="preserve"> Pleno:</w:t>
      </w:r>
    </w:p>
    <w:p w:rsidR="00C115AD" w:rsidRDefault="00C115AD">
      <w:pPr>
        <w:spacing w:beforeAutospacing="1" w:afterAutospacing="1" w:line="276" w:lineRule="auto"/>
        <w:contextualSpacing/>
        <w:jc w:val="center"/>
        <w:rPr>
          <w:rFonts w:ascii="Palatino Linotype" w:hAnsi="Palatino Linotype"/>
          <w:b/>
          <w:bCs/>
          <w:spacing w:val="60"/>
          <w:sz w:val="28"/>
        </w:rPr>
      </w:pPr>
    </w:p>
    <w:p w:rsidR="00C115AD" w:rsidRDefault="006854B3">
      <w:pPr>
        <w:spacing w:beforeAutospacing="1" w:afterAutospacing="1" w:line="276" w:lineRule="auto"/>
        <w:contextualSpacing/>
        <w:jc w:val="center"/>
        <w:rPr>
          <w:rFonts w:ascii="Palatino Linotype" w:hAnsi="Palatino Linotype"/>
          <w:b/>
          <w:bCs/>
          <w:spacing w:val="60"/>
          <w:sz w:val="28"/>
        </w:rPr>
      </w:pPr>
      <w:r>
        <w:rPr>
          <w:rFonts w:ascii="Palatino Linotype" w:hAnsi="Palatino Linotype"/>
          <w:b/>
          <w:bCs/>
          <w:spacing w:val="60"/>
          <w:sz w:val="28"/>
        </w:rPr>
        <w:t>RESUELVE</w:t>
      </w:r>
    </w:p>
    <w:p w:rsidR="00C115AD" w:rsidRDefault="00C115AD">
      <w:pPr>
        <w:spacing w:beforeAutospacing="1" w:afterAutospacing="1" w:line="360" w:lineRule="auto"/>
        <w:contextualSpacing/>
        <w:jc w:val="both"/>
        <w:rPr>
          <w:rFonts w:ascii="Palatino Linotype" w:hAnsi="Palatino Linotype" w:cs="Arial"/>
        </w:rPr>
      </w:pPr>
    </w:p>
    <w:p w:rsidR="00C115AD" w:rsidRDefault="006854B3">
      <w:pPr>
        <w:spacing w:beforeAutospacing="1" w:afterAutospacing="1" w:line="360" w:lineRule="auto"/>
        <w:contextualSpacing/>
        <w:jc w:val="both"/>
        <w:rPr>
          <w:rFonts w:ascii="Palatino Linotype" w:hAnsi="Palatino Linotype" w:cs="Arial"/>
          <w:lang w:val="es-ES"/>
        </w:rPr>
      </w:pPr>
      <w:r>
        <w:rPr>
          <w:rFonts w:ascii="Palatino Linotype" w:hAnsi="Palatino Linotype" w:cs="Arial"/>
          <w:b/>
          <w:sz w:val="28"/>
          <w:szCs w:val="28"/>
        </w:rPr>
        <w:t>PRIMERO.</w:t>
      </w:r>
      <w:r>
        <w:rPr>
          <w:rFonts w:ascii="Palatino Linotype" w:hAnsi="Palatino Linotype" w:cs="Arial"/>
        </w:rPr>
        <w:t xml:space="preserve"> Se </w:t>
      </w:r>
      <w:r>
        <w:rPr>
          <w:rFonts w:ascii="Palatino Linotype" w:hAnsi="Palatino Linotype" w:cs="Arial"/>
          <w:b/>
        </w:rPr>
        <w:t xml:space="preserve">SOBRESEEN </w:t>
      </w:r>
      <w:r>
        <w:rPr>
          <w:rFonts w:ascii="Palatino Linotype" w:hAnsi="Palatino Linotype" w:cs="Arial"/>
        </w:rPr>
        <w:t xml:space="preserve">los recursos de revisión </w:t>
      </w:r>
      <w:r>
        <w:rPr>
          <w:rFonts w:ascii="Palatino Linotype" w:hAnsi="Palatino Linotype" w:cs="Arial"/>
          <w:b/>
        </w:rPr>
        <w:t>11519/INFOEM/IP/RR/2019</w:t>
      </w:r>
      <w:r>
        <w:rPr>
          <w:rFonts w:ascii="Palatino Linotype" w:hAnsi="Palatino Linotype" w:cs="Arial"/>
        </w:rPr>
        <w:t xml:space="preserve"> y </w:t>
      </w:r>
      <w:r>
        <w:rPr>
          <w:rFonts w:ascii="Palatino Linotype" w:hAnsi="Palatino Linotype" w:cs="Arial"/>
          <w:b/>
        </w:rPr>
        <w:t>acumulados,</w:t>
      </w:r>
      <w:r>
        <w:rPr>
          <w:rFonts w:ascii="Palatino Linotype" w:hAnsi="Palatino Linotype" w:cs="Arial"/>
        </w:rPr>
        <w:t xml:space="preserve"> </w:t>
      </w:r>
      <w:r>
        <w:rPr>
          <w:rFonts w:ascii="Palatino Linotype" w:hAnsi="Palatino Linotype" w:cs="Arial"/>
          <w:b/>
        </w:rPr>
        <w:t xml:space="preserve">porque al modificar la respuesta, los recursos de revisión quedaron </w:t>
      </w:r>
      <w:r>
        <w:rPr>
          <w:rFonts w:ascii="Palatino Linotype" w:hAnsi="Palatino Linotype" w:cs="Arial"/>
          <w:b/>
          <w:lang w:val="es-ES"/>
        </w:rPr>
        <w:t xml:space="preserve">sin materia, </w:t>
      </w:r>
      <w:r>
        <w:rPr>
          <w:rFonts w:ascii="Palatino Linotype" w:hAnsi="Palatino Linotype" w:cs="Arial"/>
        </w:rPr>
        <w:t xml:space="preserve">en términos del Considerando </w:t>
      </w:r>
      <w:r>
        <w:rPr>
          <w:rFonts w:ascii="Palatino Linotype" w:hAnsi="Palatino Linotype" w:cs="Arial"/>
          <w:b/>
        </w:rPr>
        <w:t>SEXTO</w:t>
      </w:r>
      <w:r>
        <w:rPr>
          <w:rFonts w:ascii="Palatino Linotype" w:hAnsi="Palatino Linotype" w:cs="Arial"/>
          <w:lang w:val="es-ES"/>
        </w:rPr>
        <w:t xml:space="preserve"> de la presente resolución.</w:t>
      </w:r>
    </w:p>
    <w:p w:rsidR="00C115AD" w:rsidRDefault="00C115AD">
      <w:pPr>
        <w:spacing w:beforeAutospacing="1" w:afterAutospacing="1" w:line="360" w:lineRule="auto"/>
        <w:contextualSpacing/>
        <w:jc w:val="both"/>
        <w:rPr>
          <w:rFonts w:ascii="Palatino Linotype" w:hAnsi="Palatino Linotype" w:cs="Arial"/>
          <w:lang w:val="es-ES"/>
        </w:rPr>
      </w:pPr>
    </w:p>
    <w:p w:rsidR="00C115AD" w:rsidRDefault="006854B3">
      <w:pPr>
        <w:spacing w:beforeAutospacing="1" w:afterAutospacing="1" w:line="360" w:lineRule="auto"/>
        <w:contextualSpacing/>
        <w:jc w:val="both"/>
        <w:rPr>
          <w:rFonts w:ascii="Palatino Linotype" w:hAnsi="Palatino Linotype" w:cs="Arial"/>
          <w:lang w:val="es-ES"/>
        </w:rPr>
      </w:pPr>
      <w:r>
        <w:rPr>
          <w:rFonts w:ascii="Palatino Linotype" w:hAnsi="Palatino Linotype" w:cs="Arial"/>
          <w:b/>
          <w:sz w:val="28"/>
          <w:szCs w:val="28"/>
          <w:lang w:val="es-ES"/>
        </w:rPr>
        <w:lastRenderedPageBreak/>
        <w:t>SEGUNDO</w:t>
      </w:r>
      <w:r>
        <w:rPr>
          <w:rFonts w:ascii="Palatino Linotype" w:hAnsi="Palatino Linotype" w:cs="Arial"/>
          <w:sz w:val="28"/>
          <w:szCs w:val="28"/>
          <w:lang w:val="es-ES"/>
        </w:rPr>
        <w:t>.</w:t>
      </w:r>
      <w:r>
        <w:rPr>
          <w:rFonts w:ascii="Palatino Linotype" w:hAnsi="Palatino Linotype" w:cs="Arial"/>
          <w:lang w:val="es-ES"/>
        </w:rPr>
        <w:t xml:space="preserve"> </w:t>
      </w:r>
      <w:r>
        <w:rPr>
          <w:rFonts w:ascii="Palatino Linotype" w:hAnsi="Palatino Linotype" w:cs="Arial"/>
          <w:b/>
          <w:lang w:val="es-ES"/>
        </w:rPr>
        <w:t xml:space="preserve">Notifíquese </w:t>
      </w:r>
      <w:r>
        <w:rPr>
          <w:rFonts w:ascii="Palatino Linotype" w:hAnsi="Palatino Linotype" w:cs="Arial"/>
          <w:lang w:val="es-ES"/>
        </w:rPr>
        <w:t>al Titular de la Unidad de Transparencia del</w:t>
      </w:r>
      <w:r>
        <w:rPr>
          <w:rFonts w:ascii="Palatino Linotype" w:hAnsi="Palatino Linotype" w:cs="Arial"/>
          <w:b/>
          <w:lang w:val="es-ES"/>
        </w:rPr>
        <w:t xml:space="preserve"> SUJETO OBLIGADO</w:t>
      </w:r>
      <w:r>
        <w:rPr>
          <w:rFonts w:ascii="Palatino Linotype" w:hAnsi="Palatino Linotype" w:cs="Arial"/>
          <w:lang w:val="es-ES"/>
        </w:rPr>
        <w:t xml:space="preserve"> para su conocimiento.</w:t>
      </w:r>
    </w:p>
    <w:p w:rsidR="00C115AD" w:rsidRDefault="00C115AD">
      <w:pPr>
        <w:spacing w:beforeAutospacing="1" w:afterAutospacing="1" w:line="360" w:lineRule="auto"/>
        <w:contextualSpacing/>
        <w:jc w:val="both"/>
        <w:rPr>
          <w:rFonts w:ascii="Palatino Linotype" w:hAnsi="Palatino Linotype" w:cs="Arial"/>
          <w:lang w:val="es-ES"/>
        </w:rPr>
      </w:pPr>
    </w:p>
    <w:p w:rsidR="00C115AD" w:rsidRDefault="006854B3">
      <w:pPr>
        <w:spacing w:beforeAutospacing="1" w:afterAutospacing="1" w:line="360" w:lineRule="auto"/>
        <w:contextualSpacing/>
        <w:jc w:val="both"/>
        <w:rPr>
          <w:rFonts w:ascii="Palatino Linotype" w:hAnsi="Palatino Linotype" w:cs="Arial"/>
          <w:lang w:val="es-ES"/>
        </w:rPr>
      </w:pPr>
      <w:r>
        <w:rPr>
          <w:rFonts w:ascii="Palatino Linotype" w:hAnsi="Palatino Linotype" w:cs="Arial"/>
          <w:b/>
          <w:sz w:val="28"/>
          <w:szCs w:val="28"/>
          <w:lang w:val="es-ES"/>
        </w:rPr>
        <w:t>TERCERO</w:t>
      </w:r>
      <w:r>
        <w:rPr>
          <w:rFonts w:ascii="Palatino Linotype" w:hAnsi="Palatino Linotype" w:cs="Arial"/>
          <w:b/>
          <w:lang w:val="es-ES"/>
        </w:rPr>
        <w:t>. Notifíquese</w:t>
      </w:r>
      <w:r>
        <w:rPr>
          <w:rFonts w:ascii="Palatino Linotype" w:hAnsi="Palatino Linotype" w:cs="Arial"/>
          <w:lang w:val="es-ES"/>
        </w:rPr>
        <w:t xml:space="preserve"> al </w:t>
      </w:r>
      <w:r>
        <w:rPr>
          <w:rFonts w:ascii="Palatino Linotype" w:hAnsi="Palatino Linotype" w:cs="Arial"/>
          <w:b/>
          <w:lang w:val="es-ES"/>
        </w:rPr>
        <w:t>RECURRENTE</w:t>
      </w:r>
      <w:r>
        <w:rPr>
          <w:rFonts w:ascii="Palatino Linotype" w:hAnsi="Palatino Linotype" w:cs="Arial"/>
          <w:lang w:val="es-ES"/>
        </w:rPr>
        <w:t xml:space="preserve"> la presente resolución.</w:t>
      </w:r>
    </w:p>
    <w:p w:rsidR="00C115AD" w:rsidRDefault="00C115AD">
      <w:pPr>
        <w:spacing w:beforeAutospacing="1" w:afterAutospacing="1" w:line="360" w:lineRule="auto"/>
        <w:contextualSpacing/>
        <w:jc w:val="both"/>
        <w:rPr>
          <w:rFonts w:ascii="Palatino Linotype" w:hAnsi="Palatino Linotype" w:cs="Arial"/>
          <w:lang w:val="es-ES"/>
        </w:rPr>
      </w:pPr>
    </w:p>
    <w:p w:rsidR="00C115AD" w:rsidRDefault="006854B3">
      <w:pPr>
        <w:spacing w:beforeAutospacing="1" w:afterAutospacing="1" w:line="360" w:lineRule="auto"/>
        <w:contextualSpacing/>
        <w:jc w:val="both"/>
        <w:rPr>
          <w:rFonts w:ascii="Palatino Linotype" w:hAnsi="Palatino Linotype" w:cs="Arial"/>
          <w:lang w:val="es-ES"/>
        </w:rPr>
      </w:pPr>
      <w:r>
        <w:rPr>
          <w:rFonts w:ascii="Palatino Linotype" w:hAnsi="Palatino Linotype" w:cs="Arial"/>
          <w:b/>
          <w:sz w:val="28"/>
          <w:szCs w:val="28"/>
          <w:lang w:val="es-ES"/>
        </w:rPr>
        <w:t>CUARTO.</w:t>
      </w:r>
      <w:r>
        <w:rPr>
          <w:rFonts w:ascii="Palatino Linotype" w:hAnsi="Palatino Linotype" w:cs="Arial"/>
          <w:b/>
          <w:lang w:val="es-ES"/>
        </w:rPr>
        <w:t xml:space="preserve"> Hágase del conocimiento</w:t>
      </w:r>
      <w:r>
        <w:rPr>
          <w:rFonts w:ascii="Palatino Linotype" w:hAnsi="Palatino Linotype" w:cs="Arial"/>
          <w:lang w:val="es-ES"/>
        </w:rPr>
        <w:t xml:space="preserve"> del </w:t>
      </w:r>
      <w:r>
        <w:rPr>
          <w:rFonts w:ascii="Palatino Linotype" w:hAnsi="Palatino Linotype" w:cs="Arial"/>
          <w:b/>
          <w:lang w:val="es-ES"/>
        </w:rPr>
        <w:t>RECURRENTE</w:t>
      </w:r>
      <w:r>
        <w:rPr>
          <w:rFonts w:ascii="Palatino Linotype" w:hAnsi="Palatino Linotype" w:cs="Arial"/>
          <w:lang w:val="es-ES"/>
        </w:rPr>
        <w:t xml:space="preserve"> que, de conformidad con lo establecido en el artículo 196 de la Ley de Transparencia y Acceso a la Información Pública del Estado de México y Municipios, podrá impugnarla vía Juicio de Amparo en los términos de las leyes aplicables.</w:t>
      </w:r>
    </w:p>
    <w:p w:rsidR="00C115AD" w:rsidRDefault="00C115AD">
      <w:pPr>
        <w:spacing w:beforeAutospacing="1" w:afterAutospacing="1" w:line="360" w:lineRule="auto"/>
        <w:contextualSpacing/>
        <w:jc w:val="both"/>
        <w:rPr>
          <w:rFonts w:ascii="Palatino Linotype" w:hAnsi="Palatino Linotype" w:cs="Arial"/>
          <w:lang w:val="es-ES"/>
        </w:rPr>
      </w:pPr>
    </w:p>
    <w:p w:rsidR="00C115AD" w:rsidRDefault="006854B3">
      <w:pPr>
        <w:spacing w:beforeAutospacing="1" w:afterAutospacing="1" w:line="360" w:lineRule="auto"/>
        <w:contextualSpacing/>
        <w:jc w:val="both"/>
        <w:rPr>
          <w:rFonts w:ascii="Palatino Linotype" w:hAnsi="Palatino Linotype" w:cs="Arial"/>
        </w:rPr>
      </w:pPr>
      <w:r>
        <w:rPr>
          <w:rFonts w:ascii="Palatino Linotype" w:hAnsi="Palatino Linotype" w:cs="Arial"/>
        </w:rPr>
        <w:t>ASÍ LO RESUELVE, POR MAYORÍA DE VOTOS EL PLENO DEL</w:t>
      </w:r>
      <w:r>
        <w:rPr>
          <w:rFonts w:ascii="Palatino Linotype" w:eastAsia="Arial Unicode MS" w:hAnsi="Palatino Linotype" w:cs="Arial"/>
        </w:rPr>
        <w:t xml:space="preserve"> INSTITUTO DE </w:t>
      </w:r>
      <w:r>
        <w:rPr>
          <w:rFonts w:ascii="Palatino Linotype" w:hAnsi="Palatino Linotype"/>
          <w:lang w:eastAsia="en-US"/>
        </w:rPr>
        <w:t>TRANSPARENCIA</w:t>
      </w:r>
      <w:r>
        <w:rPr>
          <w:rFonts w:ascii="Palatino Linotype" w:eastAsia="Arial Unicode MS" w:hAnsi="Palatino Linotype" w:cs="Arial"/>
        </w:rPr>
        <w:t>, ACCESO A LA INFORMACIÓN PÚBLICA Y PROTECCIÓN DE DATOS PERSONALES DEL ESTADO DE MÉXICO Y MUNICIPIOS</w:t>
      </w:r>
      <w:r>
        <w:rPr>
          <w:rFonts w:ascii="Palatino Linotype" w:hAnsi="Palatino Linotype" w:cs="Arial"/>
        </w:rPr>
        <w:t>, CONFORMADO POR LOS COMISIONADOS ZULEMA MARTÍNEZ SÁNCHEZ; EVA ABAID YAPUR; JOSÉ GUADALUPE LUNA HERNÁNDEZ; JAVIER MARTÍNEZ CRUZ EMITIENDO VOTO EN CONTRA CON VOTO DISIDENTE Y LUIS GUSTAVO PARRA NORIEGA; EN LA DÉCIMA TERCERA SESIÓN ORDINARIA CELEBRADA EL DÍA DOCE DE AGOSTO DE DOS MIL VEINTE, ANTE EL SECRETARIO TÉCNICO DEL PLENO, ALEXIS TAPIA RAMÍREZ.</w:t>
      </w:r>
    </w:p>
    <w:tbl>
      <w:tblPr>
        <w:tblW w:w="9214" w:type="dxa"/>
        <w:jc w:val="center"/>
        <w:tblLook w:val="04A0" w:firstRow="1" w:lastRow="0" w:firstColumn="1" w:lastColumn="0" w:noHBand="0" w:noVBand="1"/>
      </w:tblPr>
      <w:tblGrid>
        <w:gridCol w:w="4757"/>
        <w:gridCol w:w="4457"/>
      </w:tblGrid>
      <w:tr w:rsidR="00C115AD" w:rsidTr="00AB4F4B">
        <w:trPr>
          <w:jc w:val="center"/>
        </w:trPr>
        <w:tc>
          <w:tcPr>
            <w:tcW w:w="9214" w:type="dxa"/>
            <w:gridSpan w:val="2"/>
            <w:shd w:val="clear" w:color="auto" w:fill="auto"/>
          </w:tcPr>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6854B3">
            <w:pPr>
              <w:spacing w:beforeAutospacing="1" w:afterAutospacing="1"/>
              <w:contextualSpacing/>
              <w:jc w:val="center"/>
              <w:rPr>
                <w:rFonts w:ascii="Palatino Linotype" w:hAnsi="Palatino Linotype" w:cs="Arial"/>
                <w:b/>
                <w:lang w:val="es-ES_tradnl"/>
              </w:rPr>
            </w:pPr>
            <w:r>
              <w:rPr>
                <w:rFonts w:ascii="Palatino Linotype" w:hAnsi="Palatino Linotype" w:cs="Arial"/>
                <w:b/>
                <w:lang w:val="es-ES_tradnl"/>
              </w:rPr>
              <w:t>Zulema Martínez Sánchez</w:t>
            </w:r>
          </w:p>
          <w:p w:rsidR="00C115AD" w:rsidRDefault="006854B3">
            <w:pPr>
              <w:spacing w:beforeAutospacing="1" w:afterAutospacing="1"/>
              <w:contextualSpacing/>
              <w:jc w:val="center"/>
              <w:rPr>
                <w:rFonts w:ascii="Palatino Linotype" w:hAnsi="Palatino Linotype" w:cs="Arial"/>
                <w:b/>
                <w:lang w:val="es-ES_tradnl"/>
              </w:rPr>
            </w:pPr>
            <w:r>
              <w:rPr>
                <w:rFonts w:ascii="Palatino Linotype" w:hAnsi="Palatino Linotype" w:cs="Arial"/>
                <w:lang w:val="es-ES_tradnl"/>
              </w:rPr>
              <w:t>Comisionada Presidenta</w:t>
            </w:r>
          </w:p>
          <w:p w:rsidR="00C115AD" w:rsidRDefault="006854B3">
            <w:pPr>
              <w:spacing w:beforeAutospacing="1" w:afterAutospacing="1"/>
              <w:contextualSpacing/>
              <w:jc w:val="center"/>
              <w:rPr>
                <w:rFonts w:ascii="Palatino Linotype" w:hAnsi="Palatino Linotype" w:cs="Arial"/>
                <w:b/>
                <w:lang w:val="es-ES_tradnl"/>
              </w:rPr>
            </w:pPr>
            <w:r>
              <w:rPr>
                <w:rFonts w:ascii="Palatino Linotype" w:hAnsi="Palatino Linotype" w:cs="Arial"/>
                <w:b/>
                <w:lang w:val="es-ES_tradnl"/>
              </w:rPr>
              <w:t>(RÚBRICA)</w:t>
            </w: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contextualSpacing/>
              <w:jc w:val="center"/>
              <w:rPr>
                <w:rFonts w:ascii="Palatino Linotype" w:hAnsi="Palatino Linotype" w:cs="Arial"/>
                <w:b/>
                <w:lang w:val="es-ES_tradnl"/>
              </w:rPr>
            </w:pPr>
          </w:p>
        </w:tc>
      </w:tr>
      <w:tr w:rsidR="00C115AD" w:rsidTr="00AB4F4B">
        <w:trPr>
          <w:jc w:val="center"/>
        </w:trPr>
        <w:tc>
          <w:tcPr>
            <w:tcW w:w="4757" w:type="dxa"/>
            <w:shd w:val="clear" w:color="auto" w:fill="auto"/>
          </w:tcPr>
          <w:p w:rsidR="00C115AD" w:rsidRDefault="006854B3">
            <w:pPr>
              <w:spacing w:beforeAutospacing="1" w:afterAutospacing="1"/>
              <w:contextualSpacing/>
              <w:jc w:val="center"/>
              <w:rPr>
                <w:rFonts w:ascii="Palatino Linotype" w:hAnsi="Palatino Linotype" w:cs="Arial"/>
                <w:b/>
                <w:lang w:val="es-ES_tradnl"/>
              </w:rPr>
            </w:pPr>
            <w:r>
              <w:rPr>
                <w:rFonts w:ascii="Palatino Linotype" w:hAnsi="Palatino Linotype" w:cs="Arial"/>
                <w:b/>
                <w:lang w:val="es-ES_tradnl"/>
              </w:rPr>
              <w:lastRenderedPageBreak/>
              <w:t>Eva Abaid Yapur</w:t>
            </w:r>
          </w:p>
          <w:p w:rsidR="00C115AD" w:rsidRDefault="006854B3">
            <w:pPr>
              <w:spacing w:beforeAutospacing="1" w:afterAutospacing="1"/>
              <w:contextualSpacing/>
              <w:jc w:val="center"/>
              <w:rPr>
                <w:rFonts w:ascii="Palatino Linotype" w:hAnsi="Palatino Linotype" w:cs="Arial"/>
                <w:lang w:val="es-ES_tradnl"/>
              </w:rPr>
            </w:pPr>
            <w:r>
              <w:rPr>
                <w:rFonts w:ascii="Palatino Linotype" w:hAnsi="Palatino Linotype" w:cs="Arial"/>
                <w:lang w:val="es-ES_tradnl"/>
              </w:rPr>
              <w:t>Comisionada</w:t>
            </w:r>
          </w:p>
          <w:p w:rsidR="00C115AD" w:rsidRDefault="006854B3">
            <w:pPr>
              <w:spacing w:beforeAutospacing="1"/>
              <w:contextualSpacing/>
              <w:jc w:val="center"/>
              <w:rPr>
                <w:rFonts w:ascii="Palatino Linotype" w:hAnsi="Palatino Linotype" w:cs="Arial"/>
                <w:b/>
                <w:lang w:val="es-ES_tradnl"/>
              </w:rPr>
            </w:pPr>
            <w:r>
              <w:rPr>
                <w:rFonts w:ascii="Palatino Linotype" w:hAnsi="Palatino Linotype" w:cs="Arial"/>
                <w:b/>
                <w:lang w:val="es-ES_tradnl"/>
              </w:rPr>
              <w:t>(RÚBRICA)</w:t>
            </w:r>
          </w:p>
        </w:tc>
        <w:tc>
          <w:tcPr>
            <w:tcW w:w="4457" w:type="dxa"/>
            <w:shd w:val="clear" w:color="auto" w:fill="auto"/>
          </w:tcPr>
          <w:p w:rsidR="00C115AD" w:rsidRDefault="006854B3">
            <w:pPr>
              <w:spacing w:beforeAutospacing="1" w:afterAutospacing="1"/>
              <w:contextualSpacing/>
              <w:jc w:val="center"/>
              <w:rPr>
                <w:rFonts w:ascii="Palatino Linotype" w:hAnsi="Palatino Linotype" w:cs="Arial"/>
                <w:b/>
                <w:lang w:val="es-ES_tradnl"/>
              </w:rPr>
            </w:pPr>
            <w:r>
              <w:rPr>
                <w:rFonts w:ascii="Palatino Linotype" w:hAnsi="Palatino Linotype" w:cs="Arial"/>
                <w:b/>
                <w:lang w:val="es-ES_tradnl"/>
              </w:rPr>
              <w:t>José Guadalupe Luna Hernández</w:t>
            </w:r>
          </w:p>
          <w:p w:rsidR="00C115AD" w:rsidRDefault="006854B3">
            <w:pPr>
              <w:spacing w:beforeAutospacing="1" w:afterAutospacing="1"/>
              <w:contextualSpacing/>
              <w:jc w:val="center"/>
              <w:rPr>
                <w:rFonts w:ascii="Palatino Linotype" w:hAnsi="Palatino Linotype" w:cs="Arial"/>
                <w:lang w:val="es-ES_tradnl"/>
              </w:rPr>
            </w:pPr>
            <w:r>
              <w:rPr>
                <w:rFonts w:ascii="Palatino Linotype" w:hAnsi="Palatino Linotype" w:cs="Arial"/>
                <w:lang w:val="es-ES_tradnl"/>
              </w:rPr>
              <w:t>Comisionado</w:t>
            </w:r>
          </w:p>
          <w:p w:rsidR="00C115AD" w:rsidRDefault="006854B3">
            <w:pPr>
              <w:spacing w:beforeAutospacing="1"/>
              <w:contextualSpacing/>
              <w:jc w:val="center"/>
              <w:rPr>
                <w:rFonts w:ascii="Palatino Linotype" w:hAnsi="Palatino Linotype" w:cs="Arial"/>
                <w:b/>
                <w:lang w:val="es-ES_tradnl"/>
              </w:rPr>
            </w:pPr>
            <w:r>
              <w:rPr>
                <w:rFonts w:ascii="Palatino Linotype" w:hAnsi="Palatino Linotype" w:cs="Arial"/>
                <w:b/>
                <w:lang w:val="es-ES_tradnl"/>
              </w:rPr>
              <w:t>(RÚBRICA)</w:t>
            </w:r>
          </w:p>
        </w:tc>
      </w:tr>
      <w:tr w:rsidR="00C115AD" w:rsidTr="00AB4F4B">
        <w:trPr>
          <w:jc w:val="center"/>
        </w:trPr>
        <w:tc>
          <w:tcPr>
            <w:tcW w:w="4757" w:type="dxa"/>
            <w:shd w:val="clear" w:color="auto" w:fill="auto"/>
          </w:tcPr>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6854B3">
            <w:pPr>
              <w:spacing w:beforeAutospacing="1" w:afterAutospacing="1"/>
              <w:contextualSpacing/>
              <w:jc w:val="center"/>
              <w:rPr>
                <w:rFonts w:ascii="Palatino Linotype" w:hAnsi="Palatino Linotype" w:cs="Arial"/>
                <w:b/>
                <w:lang w:val="es-ES_tradnl"/>
              </w:rPr>
            </w:pPr>
            <w:r>
              <w:rPr>
                <w:rFonts w:ascii="Palatino Linotype" w:hAnsi="Palatino Linotype" w:cs="Arial"/>
                <w:b/>
                <w:lang w:val="es-ES_tradnl"/>
              </w:rPr>
              <w:t>Javier Martínez Cruz</w:t>
            </w:r>
          </w:p>
          <w:p w:rsidR="00C115AD" w:rsidRDefault="006854B3">
            <w:pPr>
              <w:spacing w:beforeAutospacing="1" w:afterAutospacing="1"/>
              <w:contextualSpacing/>
              <w:jc w:val="center"/>
              <w:rPr>
                <w:rFonts w:ascii="Palatino Linotype" w:hAnsi="Palatino Linotype" w:cs="Arial"/>
                <w:lang w:val="es-ES_tradnl"/>
              </w:rPr>
            </w:pPr>
            <w:r>
              <w:rPr>
                <w:rFonts w:ascii="Palatino Linotype" w:hAnsi="Palatino Linotype" w:cs="Arial"/>
                <w:lang w:val="es-ES_tradnl"/>
              </w:rPr>
              <w:t>Comisionado</w:t>
            </w:r>
          </w:p>
          <w:p w:rsidR="00C115AD" w:rsidRDefault="006854B3">
            <w:pPr>
              <w:spacing w:beforeAutospacing="1"/>
              <w:contextualSpacing/>
              <w:jc w:val="center"/>
              <w:rPr>
                <w:rFonts w:ascii="Palatino Linotype" w:hAnsi="Palatino Linotype" w:cs="Arial"/>
                <w:lang w:val="es-ES_tradnl"/>
              </w:rPr>
            </w:pPr>
            <w:r>
              <w:rPr>
                <w:rFonts w:ascii="Palatino Linotype" w:hAnsi="Palatino Linotype" w:cs="Arial"/>
                <w:b/>
                <w:lang w:val="es-ES_tradnl"/>
              </w:rPr>
              <w:t>(RÚBRICA)</w:t>
            </w:r>
          </w:p>
        </w:tc>
        <w:tc>
          <w:tcPr>
            <w:tcW w:w="4457" w:type="dxa"/>
            <w:shd w:val="clear" w:color="auto" w:fill="auto"/>
          </w:tcPr>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6854B3">
            <w:pPr>
              <w:spacing w:beforeAutospacing="1" w:afterAutospacing="1"/>
              <w:contextualSpacing/>
              <w:jc w:val="center"/>
              <w:rPr>
                <w:rFonts w:ascii="Palatino Linotype" w:hAnsi="Palatino Linotype" w:cs="Arial"/>
                <w:b/>
                <w:lang w:val="es-ES_tradnl"/>
              </w:rPr>
            </w:pPr>
            <w:r>
              <w:rPr>
                <w:rFonts w:ascii="Palatino Linotype" w:hAnsi="Palatino Linotype" w:cs="Arial"/>
                <w:b/>
                <w:lang w:val="es-ES_tradnl"/>
              </w:rPr>
              <w:t>Luis Gustavo Parra Noriega</w:t>
            </w:r>
          </w:p>
          <w:p w:rsidR="00C115AD" w:rsidRDefault="006854B3">
            <w:pPr>
              <w:spacing w:beforeAutospacing="1" w:afterAutospacing="1"/>
              <w:contextualSpacing/>
              <w:jc w:val="center"/>
              <w:rPr>
                <w:rFonts w:ascii="Palatino Linotype" w:hAnsi="Palatino Linotype" w:cs="Arial"/>
                <w:lang w:val="es-ES_tradnl"/>
              </w:rPr>
            </w:pPr>
            <w:r>
              <w:rPr>
                <w:rFonts w:ascii="Palatino Linotype" w:hAnsi="Palatino Linotype" w:cs="Arial"/>
                <w:lang w:val="es-ES_tradnl"/>
              </w:rPr>
              <w:t>Comisionado</w:t>
            </w:r>
          </w:p>
          <w:p w:rsidR="00C115AD" w:rsidRDefault="006854B3">
            <w:pPr>
              <w:spacing w:beforeAutospacing="1" w:afterAutospacing="1"/>
              <w:contextualSpacing/>
              <w:jc w:val="center"/>
              <w:rPr>
                <w:rFonts w:ascii="Palatino Linotype" w:hAnsi="Palatino Linotype" w:cs="Arial"/>
                <w:b/>
                <w:lang w:val="es-ES_tradnl"/>
              </w:rPr>
            </w:pPr>
            <w:r>
              <w:rPr>
                <w:rFonts w:ascii="Palatino Linotype" w:hAnsi="Palatino Linotype" w:cs="Arial"/>
                <w:b/>
                <w:lang w:val="es-ES_tradnl"/>
              </w:rPr>
              <w:t>(RÚBRICA)</w:t>
            </w: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afterAutospacing="1"/>
              <w:contextualSpacing/>
              <w:jc w:val="center"/>
              <w:rPr>
                <w:rFonts w:ascii="Palatino Linotype" w:hAnsi="Palatino Linotype" w:cs="Arial"/>
                <w:b/>
                <w:lang w:val="es-ES_tradnl"/>
              </w:rPr>
            </w:pPr>
          </w:p>
          <w:p w:rsidR="00C115AD" w:rsidRDefault="00C115AD">
            <w:pPr>
              <w:spacing w:beforeAutospacing="1"/>
              <w:contextualSpacing/>
              <w:jc w:val="center"/>
              <w:rPr>
                <w:rFonts w:ascii="Palatino Linotype" w:hAnsi="Palatino Linotype" w:cs="Arial"/>
                <w:b/>
                <w:lang w:val="es-ES_tradnl"/>
              </w:rPr>
            </w:pPr>
          </w:p>
        </w:tc>
      </w:tr>
      <w:tr w:rsidR="00C115AD" w:rsidTr="00AB4F4B">
        <w:trPr>
          <w:jc w:val="center"/>
        </w:trPr>
        <w:tc>
          <w:tcPr>
            <w:tcW w:w="9214" w:type="dxa"/>
            <w:gridSpan w:val="2"/>
            <w:shd w:val="clear" w:color="auto" w:fill="auto"/>
          </w:tcPr>
          <w:p w:rsidR="00C115AD" w:rsidRDefault="006854B3">
            <w:pPr>
              <w:spacing w:beforeAutospacing="1" w:afterAutospacing="1"/>
              <w:contextualSpacing/>
              <w:jc w:val="center"/>
              <w:rPr>
                <w:rFonts w:ascii="Palatino Linotype" w:hAnsi="Palatino Linotype" w:cs="Arial"/>
                <w:b/>
                <w:lang w:val="es-ES_tradnl"/>
              </w:rPr>
            </w:pPr>
            <w:r>
              <w:rPr>
                <w:rFonts w:ascii="Palatino Linotype" w:hAnsi="Palatino Linotype" w:cs="Arial"/>
                <w:b/>
                <w:lang w:val="es-ES_tradnl"/>
              </w:rPr>
              <w:t>Alexis Tapia Ramírez</w:t>
            </w:r>
          </w:p>
          <w:p w:rsidR="00C115AD" w:rsidRDefault="006854B3">
            <w:pPr>
              <w:spacing w:beforeAutospacing="1" w:afterAutospacing="1"/>
              <w:contextualSpacing/>
              <w:jc w:val="center"/>
              <w:rPr>
                <w:rFonts w:ascii="Palatino Linotype" w:hAnsi="Palatino Linotype" w:cs="Arial"/>
                <w:lang w:val="es-ES_tradnl"/>
              </w:rPr>
            </w:pPr>
            <w:r>
              <w:rPr>
                <w:rFonts w:ascii="Palatino Linotype" w:hAnsi="Palatino Linotype" w:cs="Arial"/>
                <w:lang w:val="es-ES_tradnl"/>
              </w:rPr>
              <w:t>Secretario Técnico del Pleno</w:t>
            </w:r>
          </w:p>
          <w:p w:rsidR="00C115AD" w:rsidRDefault="006854B3" w:rsidP="00AB4F4B">
            <w:pPr>
              <w:spacing w:beforeAutospacing="1" w:afterAutospacing="1"/>
              <w:contextualSpacing/>
              <w:jc w:val="center"/>
              <w:rPr>
                <w:rFonts w:ascii="Palatino Linotype" w:hAnsi="Palatino Linotype" w:cs="Arial"/>
                <w:lang w:val="es-ES_tradnl"/>
              </w:rPr>
            </w:pPr>
            <w:r>
              <w:rPr>
                <w:rFonts w:ascii="Palatino Linotype" w:hAnsi="Palatino Linotype" w:cs="Arial"/>
                <w:b/>
                <w:lang w:val="es-ES_tradnl"/>
              </w:rPr>
              <w:t>(RÚBRICA)</w:t>
            </w:r>
          </w:p>
        </w:tc>
      </w:tr>
    </w:tbl>
    <w:p w:rsidR="00C115AD" w:rsidRDefault="00C115AD">
      <w:pPr>
        <w:spacing w:beforeAutospacing="1" w:afterAutospacing="1"/>
        <w:contextualSpacing/>
        <w:jc w:val="both"/>
        <w:rPr>
          <w:rFonts w:ascii="Palatino Linotype" w:hAnsi="Palatino Linotype" w:cs="Arial"/>
          <w:sz w:val="22"/>
          <w:szCs w:val="22"/>
          <w:lang w:val="es-ES"/>
        </w:rPr>
      </w:pPr>
    </w:p>
    <w:p w:rsidR="00C115AD" w:rsidRDefault="006854B3">
      <w:pPr>
        <w:spacing w:beforeAutospacing="1" w:afterAutospacing="1"/>
        <w:contextualSpacing/>
        <w:jc w:val="both"/>
        <w:rPr>
          <w:rFonts w:ascii="Palatino Linotype" w:hAnsi="Palatino Linotype" w:cs="Arial"/>
          <w:sz w:val="22"/>
          <w:szCs w:val="22"/>
          <w:lang w:val="es-ES"/>
        </w:rPr>
      </w:pPr>
      <w:r>
        <w:rPr>
          <w:rFonts w:ascii="Palatino Linotype" w:hAnsi="Palatino Linotype" w:cs="Arial"/>
          <w:sz w:val="22"/>
          <w:szCs w:val="22"/>
          <w:lang w:val="es-ES"/>
        </w:rPr>
        <w:t>Esta hoja corresponde a la resolución de fecha doce de agosto de dos mil veinte, emitida en los recursos de revisión números 11519/INFOEM/IP/RR/2019 y acumulados</w:t>
      </w:r>
      <w:r w:rsidR="00AB4F4B">
        <w:rPr>
          <w:rFonts w:ascii="Palatino Linotype" w:hAnsi="Palatino Linotype" w:cs="Arial"/>
          <w:sz w:val="22"/>
          <w:szCs w:val="22"/>
          <w:lang w:val="es-ES"/>
        </w:rPr>
        <w:t>.</w:t>
      </w:r>
      <w:r>
        <w:rPr>
          <w:rFonts w:ascii="Palatino Linotype" w:hAnsi="Palatino Linotype" w:cs="Arial"/>
          <w:sz w:val="22"/>
          <w:szCs w:val="22"/>
          <w:lang w:val="es-ES"/>
        </w:rPr>
        <w:t xml:space="preserve"> </w:t>
      </w:r>
    </w:p>
    <w:p w:rsidR="00C115AD" w:rsidRDefault="006854B3">
      <w:pPr>
        <w:spacing w:beforeAutospacing="1" w:afterAutospacing="1" w:line="360" w:lineRule="auto"/>
        <w:contextualSpacing/>
        <w:jc w:val="both"/>
        <w:rPr>
          <w:rFonts w:ascii="Palatino Linotype" w:hAnsi="Palatino Linotype" w:cs="Arial"/>
          <w:sz w:val="22"/>
          <w:szCs w:val="22"/>
          <w:lang w:val="es-ES"/>
        </w:rPr>
      </w:pPr>
      <w:r>
        <w:rPr>
          <w:rFonts w:ascii="Palatino Linotype" w:hAnsi="Palatino Linotype" w:cs="Arial"/>
          <w:sz w:val="22"/>
          <w:szCs w:val="22"/>
          <w:lang w:val="es-ES"/>
        </w:rPr>
        <w:t>YSM/LGMJ</w:t>
      </w:r>
    </w:p>
    <w:sectPr w:rsidR="00C115AD">
      <w:headerReference w:type="default" r:id="rId35"/>
      <w:footerReference w:type="default" r:id="rId36"/>
      <w:headerReference w:type="first" r:id="rId37"/>
      <w:footerReference w:type="first" r:id="rId38"/>
      <w:pgSz w:w="12240" w:h="15840"/>
      <w:pgMar w:top="1418" w:right="1418" w:bottom="1418" w:left="1701" w:header="709" w:footer="1009" w:gutter="0"/>
      <w:cols w:space="720"/>
      <w:formProt w:val="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B37FB" w:rsidRDefault="003B37FB">
      <w:r>
        <w:separator/>
      </w:r>
    </w:p>
  </w:endnote>
  <w:endnote w:type="continuationSeparator" w:id="0">
    <w:p w:rsidR="003B37FB" w:rsidRDefault="003B37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Liberation Sans">
    <w:panose1 w:val="00000000000000000000"/>
    <w:charset w:val="00"/>
    <w:family w:val="roman"/>
    <w:notTrueType/>
    <w:pitch w:val="default"/>
  </w:font>
  <w:font w:name="Noto Sans CJK SC">
    <w:panose1 w:val="00000000000000000000"/>
    <w:charset w:val="00"/>
    <w:family w:val="roman"/>
    <w:notTrueType/>
    <w:pitch w:val="default"/>
  </w:font>
  <w:font w:name="Lohit Devanagari">
    <w:panose1 w:val="00000000000000000000"/>
    <w:charset w:val="00"/>
    <w:family w:val="roman"/>
    <w:notTrueType/>
    <w:pitch w:val="default"/>
  </w:font>
  <w:font w:name="Liberation Serif">
    <w:altName w:val="Times New Roman"/>
    <w:charset w:val="01"/>
    <w:family w:val="roman"/>
    <w:pitch w:val="variable"/>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palatino">
    <w:altName w:val="Book Antiqua"/>
    <w:panose1 w:val="00000000000000000000"/>
    <w:charset w:val="00"/>
    <w:family w:val="roman"/>
    <w:notTrueType/>
    <w:pitch w:val="default"/>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15AD" w:rsidRDefault="006854B3">
    <w:pPr>
      <w:pStyle w:val="Piedepgina"/>
      <w:jc w:val="right"/>
      <w:rPr>
        <w:rFonts w:ascii="Palatino Linotype" w:hAnsi="Palatino Linotype" w:cs="Arial"/>
        <w:bCs/>
        <w:sz w:val="22"/>
        <w:szCs w:val="22"/>
      </w:rPr>
    </w:pPr>
    <w:r>
      <w:rPr>
        <w:rFonts w:ascii="Palatino Linotype" w:hAnsi="Palatino Linotype" w:cs="Arial"/>
        <w:bCs/>
        <w:sz w:val="22"/>
        <w:szCs w:val="22"/>
      </w:rPr>
      <w:t xml:space="preserve">Página </w:t>
    </w:r>
    <w:r>
      <w:rPr>
        <w:rFonts w:ascii="Palatino Linotype" w:hAnsi="Palatino Linotype" w:cs="Arial"/>
        <w:bCs/>
        <w:sz w:val="22"/>
        <w:szCs w:val="22"/>
      </w:rPr>
      <w:fldChar w:fldCharType="begin"/>
    </w:r>
    <w:r>
      <w:rPr>
        <w:rFonts w:ascii="Palatino Linotype" w:hAnsi="Palatino Linotype" w:cs="Arial"/>
        <w:bCs/>
        <w:sz w:val="22"/>
        <w:szCs w:val="22"/>
      </w:rPr>
      <w:instrText>PAGE</w:instrText>
    </w:r>
    <w:r>
      <w:rPr>
        <w:rFonts w:ascii="Palatino Linotype" w:hAnsi="Palatino Linotype" w:cs="Arial"/>
        <w:bCs/>
        <w:sz w:val="22"/>
        <w:szCs w:val="22"/>
      </w:rPr>
      <w:fldChar w:fldCharType="separate"/>
    </w:r>
    <w:r w:rsidR="0060073D">
      <w:rPr>
        <w:rFonts w:ascii="Palatino Linotype" w:hAnsi="Palatino Linotype" w:cs="Arial"/>
        <w:bCs/>
        <w:noProof/>
        <w:sz w:val="22"/>
        <w:szCs w:val="22"/>
      </w:rPr>
      <w:t>26</w:t>
    </w:r>
    <w:r>
      <w:rPr>
        <w:rFonts w:ascii="Palatino Linotype" w:hAnsi="Palatino Linotype" w:cs="Arial"/>
        <w:bCs/>
        <w:sz w:val="22"/>
        <w:szCs w:val="22"/>
      </w:rPr>
      <w:fldChar w:fldCharType="end"/>
    </w:r>
    <w:r>
      <w:rPr>
        <w:rFonts w:ascii="Palatino Linotype" w:hAnsi="Palatino Linotype" w:cs="Arial"/>
        <w:bCs/>
        <w:sz w:val="22"/>
        <w:szCs w:val="22"/>
      </w:rPr>
      <w:t xml:space="preserve"> de </w:t>
    </w:r>
    <w:r>
      <w:rPr>
        <w:rFonts w:ascii="Palatino Linotype" w:hAnsi="Palatino Linotype" w:cs="Arial"/>
        <w:bCs/>
        <w:sz w:val="22"/>
        <w:szCs w:val="22"/>
      </w:rPr>
      <w:fldChar w:fldCharType="begin"/>
    </w:r>
    <w:r>
      <w:rPr>
        <w:rFonts w:ascii="Palatino Linotype" w:hAnsi="Palatino Linotype" w:cs="Arial"/>
        <w:bCs/>
        <w:sz w:val="22"/>
        <w:szCs w:val="22"/>
      </w:rPr>
      <w:instrText>NUMPAGES</w:instrText>
    </w:r>
    <w:r>
      <w:rPr>
        <w:rFonts w:ascii="Palatino Linotype" w:hAnsi="Palatino Linotype" w:cs="Arial"/>
        <w:bCs/>
        <w:sz w:val="22"/>
        <w:szCs w:val="22"/>
      </w:rPr>
      <w:fldChar w:fldCharType="separate"/>
    </w:r>
    <w:r w:rsidR="0060073D">
      <w:rPr>
        <w:rFonts w:ascii="Palatino Linotype" w:hAnsi="Palatino Linotype" w:cs="Arial"/>
        <w:bCs/>
        <w:noProof/>
        <w:sz w:val="22"/>
        <w:szCs w:val="22"/>
      </w:rPr>
      <w:t>48</w:t>
    </w:r>
    <w:r>
      <w:rPr>
        <w:rFonts w:ascii="Palatino Linotype" w:hAnsi="Palatino Linotype" w:cs="Arial"/>
        <w:bCs/>
        <w:sz w:val="22"/>
        <w:szCs w:val="2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15AD" w:rsidRDefault="006854B3">
    <w:pPr>
      <w:pStyle w:val="Piedepgina"/>
      <w:spacing w:before="120"/>
      <w:jc w:val="right"/>
      <w:rPr>
        <w:rFonts w:ascii="Palatino Linotype" w:hAnsi="Palatino Linotype" w:cs="Arial"/>
        <w:bCs/>
        <w:sz w:val="22"/>
        <w:szCs w:val="22"/>
      </w:rPr>
    </w:pPr>
    <w:r>
      <w:rPr>
        <w:rFonts w:ascii="Palatino Linotype" w:hAnsi="Palatino Linotype" w:cs="Arial"/>
        <w:bCs/>
        <w:sz w:val="22"/>
        <w:szCs w:val="22"/>
      </w:rPr>
      <w:t xml:space="preserve">Página </w:t>
    </w:r>
    <w:r>
      <w:rPr>
        <w:rFonts w:ascii="Palatino Linotype" w:hAnsi="Palatino Linotype" w:cs="Arial"/>
        <w:bCs/>
        <w:sz w:val="22"/>
        <w:szCs w:val="22"/>
      </w:rPr>
      <w:fldChar w:fldCharType="begin"/>
    </w:r>
    <w:r>
      <w:rPr>
        <w:rFonts w:ascii="Palatino Linotype" w:hAnsi="Palatino Linotype" w:cs="Arial"/>
        <w:bCs/>
        <w:sz w:val="22"/>
        <w:szCs w:val="22"/>
      </w:rPr>
      <w:instrText>PAGE</w:instrText>
    </w:r>
    <w:r>
      <w:rPr>
        <w:rFonts w:ascii="Palatino Linotype" w:hAnsi="Palatino Linotype" w:cs="Arial"/>
        <w:bCs/>
        <w:sz w:val="22"/>
        <w:szCs w:val="22"/>
      </w:rPr>
      <w:fldChar w:fldCharType="separate"/>
    </w:r>
    <w:r w:rsidR="0060073D">
      <w:rPr>
        <w:rFonts w:ascii="Palatino Linotype" w:hAnsi="Palatino Linotype" w:cs="Arial"/>
        <w:bCs/>
        <w:noProof/>
        <w:sz w:val="22"/>
        <w:szCs w:val="22"/>
      </w:rPr>
      <w:t>1</w:t>
    </w:r>
    <w:r>
      <w:rPr>
        <w:rFonts w:ascii="Palatino Linotype" w:hAnsi="Palatino Linotype" w:cs="Arial"/>
        <w:bCs/>
        <w:sz w:val="22"/>
        <w:szCs w:val="22"/>
      </w:rPr>
      <w:fldChar w:fldCharType="end"/>
    </w:r>
    <w:r>
      <w:rPr>
        <w:rFonts w:ascii="Palatino Linotype" w:hAnsi="Palatino Linotype" w:cs="Arial"/>
        <w:sz w:val="22"/>
        <w:szCs w:val="22"/>
      </w:rPr>
      <w:t xml:space="preserve"> de </w:t>
    </w:r>
    <w:r>
      <w:rPr>
        <w:rFonts w:ascii="Palatino Linotype" w:hAnsi="Palatino Linotype" w:cs="Arial"/>
        <w:bCs/>
        <w:sz w:val="22"/>
        <w:szCs w:val="22"/>
      </w:rPr>
      <w:fldChar w:fldCharType="begin"/>
    </w:r>
    <w:r>
      <w:rPr>
        <w:rFonts w:ascii="Palatino Linotype" w:hAnsi="Palatino Linotype" w:cs="Arial"/>
        <w:bCs/>
        <w:sz w:val="22"/>
        <w:szCs w:val="22"/>
      </w:rPr>
      <w:instrText>NUMPAGES</w:instrText>
    </w:r>
    <w:r>
      <w:rPr>
        <w:rFonts w:ascii="Palatino Linotype" w:hAnsi="Palatino Linotype" w:cs="Arial"/>
        <w:bCs/>
        <w:sz w:val="22"/>
        <w:szCs w:val="22"/>
      </w:rPr>
      <w:fldChar w:fldCharType="separate"/>
    </w:r>
    <w:r w:rsidR="0060073D">
      <w:rPr>
        <w:rFonts w:ascii="Palatino Linotype" w:hAnsi="Palatino Linotype" w:cs="Arial"/>
        <w:bCs/>
        <w:noProof/>
        <w:sz w:val="22"/>
        <w:szCs w:val="22"/>
      </w:rPr>
      <w:t>48</w:t>
    </w:r>
    <w:r>
      <w:rPr>
        <w:rFonts w:ascii="Palatino Linotype" w:hAnsi="Palatino Linotype" w:cs="Arial"/>
        <w:bCs/>
        <w:sz w:val="22"/>
        <w:szCs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B37FB" w:rsidRDefault="003B37FB">
      <w:r>
        <w:separator/>
      </w:r>
    </w:p>
  </w:footnote>
  <w:footnote w:type="continuationSeparator" w:id="0">
    <w:p w:rsidR="003B37FB" w:rsidRDefault="003B37F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15AD" w:rsidRDefault="006854B3">
    <w:pPr>
      <w:pStyle w:val="Encabezado"/>
      <w:tabs>
        <w:tab w:val="clear" w:pos="4252"/>
        <w:tab w:val="clear" w:pos="8504"/>
        <w:tab w:val="left" w:pos="2326"/>
      </w:tabs>
      <w:rPr>
        <w:rFonts w:ascii="Palatino Linotype" w:hAnsi="Palatino Linotype"/>
        <w:sz w:val="28"/>
        <w:szCs w:val="28"/>
      </w:rPr>
    </w:pPr>
    <w:r>
      <w:rPr>
        <w:rFonts w:ascii="Palatino Linotype" w:hAnsi="Palatino Linotype"/>
        <w:noProof/>
        <w:sz w:val="28"/>
        <w:szCs w:val="28"/>
        <w:lang w:val="es-MX" w:eastAsia="es-MX"/>
      </w:rPr>
      <w:drawing>
        <wp:anchor distT="0" distB="0" distL="0" distR="0" simplePos="0" relativeHeight="48" behindDoc="1" locked="0" layoutInCell="1" allowOverlap="1">
          <wp:simplePos x="0" y="0"/>
          <wp:positionH relativeFrom="column">
            <wp:align>center</wp:align>
          </wp:positionH>
          <wp:positionV relativeFrom="margin">
            <wp:align>center</wp:align>
          </wp:positionV>
          <wp:extent cx="6858635" cy="9144635"/>
          <wp:effectExtent l="0" t="0" r="0" b="0"/>
          <wp:wrapNone/>
          <wp:docPr id="17" name="WordPictureWatermark209593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ordPictureWatermark2095932798"/>
                  <pic:cNvPicPr>
                    <a:picLocks noChangeAspect="1" noChangeArrowheads="1"/>
                  </pic:cNvPicPr>
                </pic:nvPicPr>
                <pic:blipFill>
                  <a:blip r:embed="rId1"/>
                  <a:stretch>
                    <a:fillRect/>
                  </a:stretch>
                </pic:blipFill>
                <pic:spPr bwMode="auto">
                  <a:xfrm>
                    <a:off x="0" y="0"/>
                    <a:ext cx="6858635" cy="9144635"/>
                  </a:xfrm>
                  <a:prstGeom prst="rect">
                    <a:avLst/>
                  </a:prstGeom>
                </pic:spPr>
              </pic:pic>
            </a:graphicData>
          </a:graphic>
        </wp:anchor>
      </w:drawing>
    </w:r>
  </w:p>
  <w:tbl>
    <w:tblPr>
      <w:tblW w:w="9534" w:type="dxa"/>
      <w:tblInd w:w="-142" w:type="dxa"/>
      <w:tblLook w:val="04A0" w:firstRow="1" w:lastRow="0" w:firstColumn="1" w:lastColumn="0" w:noHBand="0" w:noVBand="1"/>
    </w:tblPr>
    <w:tblGrid>
      <w:gridCol w:w="3258"/>
      <w:gridCol w:w="2552"/>
      <w:gridCol w:w="3724"/>
    </w:tblGrid>
    <w:tr w:rsidR="00C115AD">
      <w:tc>
        <w:tcPr>
          <w:tcW w:w="3258" w:type="dxa"/>
          <w:vMerge w:val="restart"/>
        </w:tcPr>
        <w:p w:rsidR="00C115AD" w:rsidRDefault="006854B3">
          <w:pPr>
            <w:rPr>
              <w:rFonts w:ascii="Palatino Linotype" w:hAnsi="Palatino Linotype"/>
              <w:b/>
              <w:sz w:val="22"/>
              <w:szCs w:val="22"/>
              <w:lang w:val="es-ES_tradnl"/>
            </w:rPr>
          </w:pPr>
          <w:r>
            <w:rPr>
              <w:noProof/>
              <w:lang w:eastAsia="es-MX"/>
            </w:rPr>
            <w:drawing>
              <wp:inline distT="0" distB="0" distL="0" distR="0">
                <wp:extent cx="1663700" cy="838200"/>
                <wp:effectExtent l="0" t="0" r="0" b="0"/>
                <wp:docPr id="1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1"/>
                        <pic:cNvPicPr>
                          <a:picLocks noChangeAspect="1" noChangeArrowheads="1"/>
                        </pic:cNvPicPr>
                      </pic:nvPicPr>
                      <pic:blipFill>
                        <a:blip r:embed="rId2"/>
                        <a:stretch>
                          <a:fillRect/>
                        </a:stretch>
                      </pic:blipFill>
                      <pic:spPr bwMode="auto">
                        <a:xfrm>
                          <a:off x="0" y="0"/>
                          <a:ext cx="1663700" cy="838200"/>
                        </a:xfrm>
                        <a:prstGeom prst="rect">
                          <a:avLst/>
                        </a:prstGeom>
                      </pic:spPr>
                    </pic:pic>
                  </a:graphicData>
                </a:graphic>
              </wp:inline>
            </w:drawing>
          </w:r>
        </w:p>
      </w:tc>
      <w:tc>
        <w:tcPr>
          <w:tcW w:w="2552" w:type="dxa"/>
          <w:shd w:val="clear" w:color="auto" w:fill="auto"/>
        </w:tcPr>
        <w:p w:rsidR="00C115AD" w:rsidRDefault="006854B3">
          <w:pPr>
            <w:rPr>
              <w:rFonts w:ascii="Palatino Linotype" w:hAnsi="Palatino Linotype"/>
              <w:b/>
              <w:sz w:val="22"/>
              <w:szCs w:val="22"/>
              <w:lang w:val="es-ES_tradnl"/>
            </w:rPr>
          </w:pPr>
          <w:r>
            <w:rPr>
              <w:rFonts w:ascii="Palatino Linotype" w:hAnsi="Palatino Linotype"/>
              <w:b/>
              <w:sz w:val="22"/>
              <w:szCs w:val="22"/>
              <w:lang w:val="es-ES_tradnl"/>
            </w:rPr>
            <w:t>Recurso de revisión:</w:t>
          </w:r>
        </w:p>
      </w:tc>
      <w:tc>
        <w:tcPr>
          <w:tcW w:w="3724" w:type="dxa"/>
          <w:shd w:val="clear" w:color="auto" w:fill="auto"/>
          <w:vAlign w:val="center"/>
        </w:tcPr>
        <w:p w:rsidR="00C115AD" w:rsidRDefault="006854B3">
          <w:pPr>
            <w:jc w:val="both"/>
            <w:rPr>
              <w:rFonts w:ascii="Palatino Linotype" w:hAnsi="Palatino Linotype"/>
              <w:b/>
              <w:sz w:val="22"/>
              <w:szCs w:val="22"/>
              <w:lang w:val="es-ES_tradnl"/>
            </w:rPr>
          </w:pPr>
          <w:r>
            <w:rPr>
              <w:rFonts w:ascii="Palatino Linotype" w:hAnsi="Palatino Linotype"/>
              <w:b/>
              <w:sz w:val="22"/>
              <w:szCs w:val="22"/>
              <w:lang w:val="es-ES_tradnl"/>
            </w:rPr>
            <w:t>11519/INFOEM/IP/RR/2019 y acumulados</w:t>
          </w:r>
        </w:p>
      </w:tc>
    </w:tr>
    <w:tr w:rsidR="00C115AD">
      <w:tc>
        <w:tcPr>
          <w:tcW w:w="3258" w:type="dxa"/>
          <w:vMerge/>
        </w:tcPr>
        <w:p w:rsidR="00C115AD" w:rsidRDefault="00C115AD">
          <w:pPr>
            <w:rPr>
              <w:rFonts w:ascii="Palatino Linotype" w:hAnsi="Palatino Linotype"/>
              <w:b/>
              <w:sz w:val="22"/>
              <w:szCs w:val="22"/>
              <w:lang w:val="es-ES_tradnl"/>
            </w:rPr>
          </w:pPr>
        </w:p>
      </w:tc>
      <w:tc>
        <w:tcPr>
          <w:tcW w:w="2552" w:type="dxa"/>
          <w:shd w:val="clear" w:color="auto" w:fill="auto"/>
        </w:tcPr>
        <w:p w:rsidR="00C115AD" w:rsidRDefault="006854B3">
          <w:pPr>
            <w:rPr>
              <w:rFonts w:ascii="Palatino Linotype" w:hAnsi="Palatino Linotype"/>
              <w:b/>
              <w:sz w:val="22"/>
              <w:szCs w:val="22"/>
              <w:lang w:val="es-ES_tradnl"/>
            </w:rPr>
          </w:pPr>
          <w:r>
            <w:rPr>
              <w:rFonts w:ascii="Palatino Linotype" w:hAnsi="Palatino Linotype"/>
              <w:b/>
              <w:sz w:val="22"/>
              <w:szCs w:val="22"/>
              <w:lang w:val="es-ES_tradnl"/>
            </w:rPr>
            <w:t>Sujeto Obligado:</w:t>
          </w:r>
        </w:p>
      </w:tc>
      <w:tc>
        <w:tcPr>
          <w:tcW w:w="3724" w:type="dxa"/>
          <w:shd w:val="clear" w:color="auto" w:fill="auto"/>
          <w:vAlign w:val="center"/>
        </w:tcPr>
        <w:p w:rsidR="00C115AD" w:rsidRDefault="006854B3">
          <w:pPr>
            <w:jc w:val="both"/>
            <w:rPr>
              <w:rFonts w:ascii="Palatino Linotype" w:hAnsi="Palatino Linotype"/>
              <w:b/>
              <w:sz w:val="22"/>
              <w:szCs w:val="22"/>
            </w:rPr>
          </w:pPr>
          <w:r>
            <w:rPr>
              <w:rFonts w:ascii="Palatino Linotype" w:hAnsi="Palatino Linotype"/>
              <w:b/>
              <w:bCs/>
              <w:sz w:val="22"/>
              <w:szCs w:val="22"/>
            </w:rPr>
            <w:t>Ayuntamiento de Temamatla</w:t>
          </w:r>
        </w:p>
      </w:tc>
    </w:tr>
    <w:tr w:rsidR="00C115AD">
      <w:trPr>
        <w:trHeight w:val="228"/>
      </w:trPr>
      <w:tc>
        <w:tcPr>
          <w:tcW w:w="3258" w:type="dxa"/>
          <w:vMerge/>
        </w:tcPr>
        <w:p w:rsidR="00C115AD" w:rsidRDefault="00C115AD">
          <w:pPr>
            <w:rPr>
              <w:rFonts w:ascii="Palatino Linotype" w:hAnsi="Palatino Linotype"/>
              <w:b/>
              <w:sz w:val="22"/>
              <w:szCs w:val="22"/>
              <w:lang w:val="es-ES_tradnl"/>
            </w:rPr>
          </w:pPr>
        </w:p>
      </w:tc>
      <w:tc>
        <w:tcPr>
          <w:tcW w:w="2552" w:type="dxa"/>
          <w:shd w:val="clear" w:color="auto" w:fill="auto"/>
        </w:tcPr>
        <w:p w:rsidR="00C115AD" w:rsidRDefault="006854B3">
          <w:pPr>
            <w:rPr>
              <w:rFonts w:ascii="Palatino Linotype" w:hAnsi="Palatino Linotype"/>
              <w:b/>
              <w:sz w:val="22"/>
              <w:szCs w:val="22"/>
              <w:lang w:val="es-ES_tradnl"/>
            </w:rPr>
          </w:pPr>
          <w:r>
            <w:rPr>
              <w:rFonts w:ascii="Palatino Linotype" w:hAnsi="Palatino Linotype"/>
              <w:b/>
              <w:sz w:val="22"/>
              <w:szCs w:val="22"/>
              <w:lang w:val="es-ES_tradnl"/>
            </w:rPr>
            <w:t>Comisionada ponente:</w:t>
          </w:r>
        </w:p>
      </w:tc>
      <w:tc>
        <w:tcPr>
          <w:tcW w:w="3724" w:type="dxa"/>
          <w:shd w:val="clear" w:color="auto" w:fill="auto"/>
        </w:tcPr>
        <w:p w:rsidR="00C115AD" w:rsidRDefault="006854B3">
          <w:pPr>
            <w:jc w:val="both"/>
            <w:rPr>
              <w:rFonts w:ascii="Palatino Linotype" w:hAnsi="Palatino Linotype"/>
              <w:b/>
              <w:sz w:val="22"/>
              <w:szCs w:val="22"/>
              <w:lang w:val="es-ES_tradnl"/>
            </w:rPr>
          </w:pPr>
          <w:r>
            <w:rPr>
              <w:rFonts w:ascii="Palatino Linotype" w:hAnsi="Palatino Linotype"/>
              <w:b/>
              <w:sz w:val="22"/>
              <w:szCs w:val="22"/>
              <w:lang w:val="es-ES_tradnl"/>
            </w:rPr>
            <w:t>Eva Abaid Yapur</w:t>
          </w:r>
        </w:p>
      </w:tc>
    </w:tr>
  </w:tbl>
  <w:p w:rsidR="00C115AD" w:rsidRDefault="00C115AD">
    <w:pPr>
      <w:pStyle w:val="Encabezado"/>
      <w:tabs>
        <w:tab w:val="clear" w:pos="4252"/>
        <w:tab w:val="clear" w:pos="8504"/>
        <w:tab w:val="left" w:pos="2326"/>
      </w:tabs>
      <w:rPr>
        <w:rFonts w:ascii="Palatino Linotype" w:hAnsi="Palatino Linotype"/>
        <w:sz w:val="28"/>
        <w:szCs w:val="2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15AD" w:rsidRDefault="006854B3">
    <w:pPr>
      <w:rPr>
        <w:rFonts w:ascii="Palatino Linotype" w:hAnsi="Palatino Linotype"/>
        <w:sz w:val="28"/>
        <w:szCs w:val="28"/>
      </w:rPr>
    </w:pPr>
    <w:r>
      <w:rPr>
        <w:rFonts w:ascii="Palatino Linotype" w:hAnsi="Palatino Linotype"/>
        <w:noProof/>
        <w:sz w:val="28"/>
        <w:szCs w:val="28"/>
        <w:lang w:eastAsia="es-MX"/>
      </w:rPr>
      <w:drawing>
        <wp:anchor distT="0" distB="0" distL="0" distR="0" simplePos="0" relativeHeight="2" behindDoc="1" locked="0" layoutInCell="1" allowOverlap="1">
          <wp:simplePos x="0" y="0"/>
          <wp:positionH relativeFrom="column">
            <wp:align>center</wp:align>
          </wp:positionH>
          <wp:positionV relativeFrom="margin">
            <wp:align>center</wp:align>
          </wp:positionV>
          <wp:extent cx="6858635" cy="9144635"/>
          <wp:effectExtent l="0" t="0" r="0" b="0"/>
          <wp:wrapNone/>
          <wp:docPr id="19" name="WordPictureWatermark209593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ordPictureWatermark2095932796"/>
                  <pic:cNvPicPr>
                    <a:picLocks noChangeAspect="1" noChangeArrowheads="1"/>
                  </pic:cNvPicPr>
                </pic:nvPicPr>
                <pic:blipFill>
                  <a:blip r:embed="rId1"/>
                  <a:stretch>
                    <a:fillRect/>
                  </a:stretch>
                </pic:blipFill>
                <pic:spPr bwMode="auto">
                  <a:xfrm>
                    <a:off x="0" y="0"/>
                    <a:ext cx="6858635" cy="9144635"/>
                  </a:xfrm>
                  <a:prstGeom prst="rect">
                    <a:avLst/>
                  </a:prstGeom>
                </pic:spPr>
              </pic:pic>
            </a:graphicData>
          </a:graphic>
        </wp:anchor>
      </w:drawing>
    </w:r>
  </w:p>
  <w:tbl>
    <w:tblPr>
      <w:tblW w:w="10490" w:type="dxa"/>
      <w:tblInd w:w="-1276" w:type="dxa"/>
      <w:tblLook w:val="04A0" w:firstRow="1" w:lastRow="0" w:firstColumn="1" w:lastColumn="0" w:noHBand="0" w:noVBand="1"/>
    </w:tblPr>
    <w:tblGrid>
      <w:gridCol w:w="4251"/>
      <w:gridCol w:w="2551"/>
      <w:gridCol w:w="3688"/>
    </w:tblGrid>
    <w:tr w:rsidR="00C115AD">
      <w:tc>
        <w:tcPr>
          <w:tcW w:w="4251" w:type="dxa"/>
          <w:vMerge w:val="restart"/>
          <w:shd w:val="clear" w:color="auto" w:fill="auto"/>
        </w:tcPr>
        <w:p w:rsidR="00C115AD" w:rsidRDefault="006854B3">
          <w:pPr>
            <w:rPr>
              <w:rFonts w:ascii="Palatino Linotype" w:hAnsi="Palatino Linotype"/>
              <w:b/>
              <w:sz w:val="22"/>
              <w:szCs w:val="22"/>
              <w:lang w:val="es-ES_tradnl"/>
            </w:rPr>
          </w:pPr>
          <w:r>
            <w:rPr>
              <w:noProof/>
              <w:lang w:eastAsia="es-MX"/>
            </w:rPr>
            <w:drawing>
              <wp:inline distT="0" distB="0" distL="0" distR="0">
                <wp:extent cx="1663700" cy="838200"/>
                <wp:effectExtent l="0" t="0" r="0" b="0"/>
                <wp:docPr id="2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9"/>
                        <pic:cNvPicPr>
                          <a:picLocks noChangeAspect="1" noChangeArrowheads="1"/>
                        </pic:cNvPicPr>
                      </pic:nvPicPr>
                      <pic:blipFill>
                        <a:blip r:embed="rId2"/>
                        <a:stretch>
                          <a:fillRect/>
                        </a:stretch>
                      </pic:blipFill>
                      <pic:spPr bwMode="auto">
                        <a:xfrm>
                          <a:off x="0" y="0"/>
                          <a:ext cx="1663700" cy="838200"/>
                        </a:xfrm>
                        <a:prstGeom prst="rect">
                          <a:avLst/>
                        </a:prstGeom>
                      </pic:spPr>
                    </pic:pic>
                  </a:graphicData>
                </a:graphic>
              </wp:inline>
            </w:drawing>
          </w:r>
        </w:p>
      </w:tc>
      <w:tc>
        <w:tcPr>
          <w:tcW w:w="2551" w:type="dxa"/>
          <w:shd w:val="clear" w:color="auto" w:fill="auto"/>
        </w:tcPr>
        <w:p w:rsidR="00C115AD" w:rsidRDefault="006854B3">
          <w:pPr>
            <w:rPr>
              <w:rFonts w:ascii="Palatino Linotype" w:hAnsi="Palatino Linotype"/>
              <w:b/>
              <w:sz w:val="22"/>
              <w:szCs w:val="22"/>
              <w:lang w:val="es-ES_tradnl"/>
            </w:rPr>
          </w:pPr>
          <w:r>
            <w:rPr>
              <w:rFonts w:ascii="Palatino Linotype" w:hAnsi="Palatino Linotype"/>
              <w:b/>
              <w:sz w:val="22"/>
              <w:szCs w:val="22"/>
              <w:lang w:val="es-ES_tradnl"/>
            </w:rPr>
            <w:t>Recurso de revisión:</w:t>
          </w:r>
        </w:p>
      </w:tc>
      <w:tc>
        <w:tcPr>
          <w:tcW w:w="3688" w:type="dxa"/>
          <w:shd w:val="clear" w:color="auto" w:fill="auto"/>
          <w:vAlign w:val="center"/>
        </w:tcPr>
        <w:p w:rsidR="00C115AD" w:rsidRDefault="006854B3">
          <w:pPr>
            <w:jc w:val="both"/>
            <w:rPr>
              <w:rFonts w:ascii="Palatino Linotype" w:hAnsi="Palatino Linotype"/>
              <w:b/>
              <w:sz w:val="22"/>
              <w:szCs w:val="22"/>
              <w:lang w:val="es-ES_tradnl"/>
            </w:rPr>
          </w:pPr>
          <w:r>
            <w:rPr>
              <w:rFonts w:ascii="Palatino Linotype" w:hAnsi="Palatino Linotype"/>
              <w:b/>
              <w:sz w:val="22"/>
              <w:szCs w:val="22"/>
              <w:lang w:val="es-ES_tradnl"/>
            </w:rPr>
            <w:t>11519/INFOEM/IP/RR/2019 y acumulados</w:t>
          </w:r>
        </w:p>
      </w:tc>
    </w:tr>
    <w:tr w:rsidR="00C115AD">
      <w:tc>
        <w:tcPr>
          <w:tcW w:w="4251" w:type="dxa"/>
          <w:vMerge/>
          <w:shd w:val="clear" w:color="auto" w:fill="auto"/>
        </w:tcPr>
        <w:p w:rsidR="00C115AD" w:rsidRDefault="00C115AD">
          <w:pPr>
            <w:rPr>
              <w:rFonts w:ascii="Palatino Linotype" w:hAnsi="Palatino Linotype"/>
              <w:b/>
              <w:sz w:val="22"/>
              <w:szCs w:val="22"/>
              <w:lang w:val="es-ES_tradnl"/>
            </w:rPr>
          </w:pPr>
        </w:p>
      </w:tc>
      <w:tc>
        <w:tcPr>
          <w:tcW w:w="2551" w:type="dxa"/>
          <w:shd w:val="clear" w:color="auto" w:fill="auto"/>
        </w:tcPr>
        <w:p w:rsidR="00C115AD" w:rsidRDefault="006854B3">
          <w:pPr>
            <w:rPr>
              <w:rFonts w:ascii="Palatino Linotype" w:hAnsi="Palatino Linotype"/>
              <w:b/>
              <w:sz w:val="22"/>
              <w:szCs w:val="22"/>
              <w:lang w:val="es-ES_tradnl"/>
            </w:rPr>
          </w:pPr>
          <w:r>
            <w:rPr>
              <w:rFonts w:ascii="Palatino Linotype" w:hAnsi="Palatino Linotype"/>
              <w:b/>
              <w:sz w:val="22"/>
              <w:szCs w:val="22"/>
              <w:lang w:val="es-ES_tradnl"/>
            </w:rPr>
            <w:t>Recurrente:</w:t>
          </w:r>
        </w:p>
      </w:tc>
      <w:tc>
        <w:tcPr>
          <w:tcW w:w="3688" w:type="dxa"/>
          <w:shd w:val="clear" w:color="auto" w:fill="auto"/>
          <w:vAlign w:val="center"/>
        </w:tcPr>
        <w:p w:rsidR="00C115AD" w:rsidRDefault="00C115AD">
          <w:pPr>
            <w:jc w:val="both"/>
            <w:rPr>
              <w:rFonts w:ascii="Palatino Linotype" w:hAnsi="Palatino Linotype"/>
              <w:b/>
              <w:sz w:val="22"/>
              <w:szCs w:val="22"/>
              <w:lang w:val="es-ES_tradnl"/>
            </w:rPr>
          </w:pPr>
        </w:p>
      </w:tc>
    </w:tr>
    <w:tr w:rsidR="00C115AD">
      <w:trPr>
        <w:trHeight w:val="228"/>
      </w:trPr>
      <w:tc>
        <w:tcPr>
          <w:tcW w:w="4251" w:type="dxa"/>
          <w:vMerge/>
          <w:shd w:val="clear" w:color="auto" w:fill="auto"/>
        </w:tcPr>
        <w:p w:rsidR="00C115AD" w:rsidRDefault="00C115AD">
          <w:pPr>
            <w:rPr>
              <w:rFonts w:ascii="Palatino Linotype" w:hAnsi="Palatino Linotype"/>
              <w:b/>
              <w:sz w:val="22"/>
              <w:szCs w:val="22"/>
              <w:lang w:val="es-ES_tradnl"/>
            </w:rPr>
          </w:pPr>
        </w:p>
      </w:tc>
      <w:tc>
        <w:tcPr>
          <w:tcW w:w="2551" w:type="dxa"/>
          <w:shd w:val="clear" w:color="auto" w:fill="auto"/>
        </w:tcPr>
        <w:p w:rsidR="00C115AD" w:rsidRDefault="006854B3">
          <w:pPr>
            <w:rPr>
              <w:rFonts w:ascii="Palatino Linotype" w:hAnsi="Palatino Linotype"/>
              <w:b/>
              <w:sz w:val="22"/>
              <w:szCs w:val="22"/>
              <w:lang w:val="es-ES_tradnl"/>
            </w:rPr>
          </w:pPr>
          <w:r>
            <w:rPr>
              <w:rFonts w:ascii="Palatino Linotype" w:hAnsi="Palatino Linotype"/>
              <w:b/>
              <w:sz w:val="22"/>
              <w:szCs w:val="22"/>
              <w:lang w:val="es-ES_tradnl"/>
            </w:rPr>
            <w:t>Sujeto Obligado:</w:t>
          </w:r>
        </w:p>
      </w:tc>
      <w:tc>
        <w:tcPr>
          <w:tcW w:w="3688" w:type="dxa"/>
          <w:shd w:val="clear" w:color="auto" w:fill="auto"/>
          <w:vAlign w:val="center"/>
        </w:tcPr>
        <w:p w:rsidR="00C115AD" w:rsidRDefault="006854B3">
          <w:pPr>
            <w:jc w:val="both"/>
            <w:rPr>
              <w:rFonts w:ascii="Palatino Linotype" w:hAnsi="Palatino Linotype"/>
              <w:b/>
              <w:sz w:val="22"/>
              <w:szCs w:val="22"/>
            </w:rPr>
          </w:pPr>
          <w:r>
            <w:rPr>
              <w:rFonts w:ascii="Palatino Linotype" w:hAnsi="Palatino Linotype"/>
              <w:b/>
              <w:bCs/>
              <w:sz w:val="22"/>
              <w:szCs w:val="22"/>
            </w:rPr>
            <w:t>Ayuntamiento de Temamatla</w:t>
          </w:r>
        </w:p>
      </w:tc>
    </w:tr>
    <w:tr w:rsidR="00C115AD">
      <w:tc>
        <w:tcPr>
          <w:tcW w:w="4251" w:type="dxa"/>
          <w:vMerge/>
          <w:shd w:val="clear" w:color="auto" w:fill="auto"/>
        </w:tcPr>
        <w:p w:rsidR="00C115AD" w:rsidRDefault="00C115AD">
          <w:pPr>
            <w:rPr>
              <w:rFonts w:ascii="Palatino Linotype" w:hAnsi="Palatino Linotype"/>
              <w:b/>
              <w:sz w:val="22"/>
              <w:szCs w:val="22"/>
              <w:lang w:val="es-ES_tradnl"/>
            </w:rPr>
          </w:pPr>
        </w:p>
      </w:tc>
      <w:tc>
        <w:tcPr>
          <w:tcW w:w="2551" w:type="dxa"/>
          <w:shd w:val="clear" w:color="auto" w:fill="auto"/>
        </w:tcPr>
        <w:p w:rsidR="00C115AD" w:rsidRDefault="006854B3">
          <w:pPr>
            <w:rPr>
              <w:rFonts w:ascii="Palatino Linotype" w:hAnsi="Palatino Linotype"/>
              <w:b/>
              <w:sz w:val="22"/>
              <w:szCs w:val="22"/>
              <w:lang w:val="es-ES_tradnl"/>
            </w:rPr>
          </w:pPr>
          <w:r>
            <w:rPr>
              <w:rFonts w:ascii="Palatino Linotype" w:hAnsi="Palatino Linotype"/>
              <w:b/>
              <w:sz w:val="22"/>
              <w:szCs w:val="22"/>
              <w:lang w:val="es-ES_tradnl"/>
            </w:rPr>
            <w:t>Comisionada ponente:</w:t>
          </w:r>
        </w:p>
      </w:tc>
      <w:tc>
        <w:tcPr>
          <w:tcW w:w="3688" w:type="dxa"/>
          <w:shd w:val="clear" w:color="auto" w:fill="auto"/>
        </w:tcPr>
        <w:p w:rsidR="00C115AD" w:rsidRDefault="006854B3">
          <w:pPr>
            <w:jc w:val="both"/>
            <w:rPr>
              <w:rFonts w:ascii="Palatino Linotype" w:hAnsi="Palatino Linotype"/>
              <w:b/>
              <w:sz w:val="22"/>
              <w:szCs w:val="22"/>
              <w:lang w:val="es-ES_tradnl"/>
            </w:rPr>
          </w:pPr>
          <w:r>
            <w:rPr>
              <w:rFonts w:ascii="Palatino Linotype" w:hAnsi="Palatino Linotype"/>
              <w:b/>
              <w:sz w:val="22"/>
              <w:szCs w:val="22"/>
              <w:lang w:val="es-ES_tradnl"/>
            </w:rPr>
            <w:t>Eva Abaid Yapur</w:t>
          </w:r>
        </w:p>
      </w:tc>
    </w:tr>
  </w:tbl>
  <w:p w:rsidR="00C115AD" w:rsidRDefault="00C115AD">
    <w:pPr>
      <w:rPr>
        <w:rFonts w:ascii="Palatino Linotype" w:hAnsi="Palatino Linotype"/>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2D51FA8"/>
    <w:multiLevelType w:val="multilevel"/>
    <w:tmpl w:val="56882790"/>
    <w:lvl w:ilvl="0">
      <w:start w:val="1"/>
      <w:numFmt w:val="ordinalText"/>
      <w:lvlText w:val="%1."/>
      <w:lvlJc w:val="left"/>
      <w:pPr>
        <w:ind w:left="720" w:hanging="360"/>
      </w:pPr>
      <w:rPr>
        <w:rFonts w:hint="default"/>
        <w:b/>
        <w:caps/>
        <w:smallCaps w:val="0"/>
        <w:strike w:val="0"/>
        <w:dstrike w:val="0"/>
        <w:outline w:val="0"/>
        <w:emboss w:val="0"/>
        <w:imprint w:val="0"/>
        <w:spacing w:val="0"/>
        <w:w w:val="100"/>
        <w:kern w:val="0"/>
        <w:position w:val="0"/>
        <w:sz w:val="28"/>
        <w:vertAlign w:val="baseline"/>
      </w:rPr>
    </w:lvl>
    <w:lvl w:ilvl="1">
      <w:start w:val="1"/>
      <w:numFmt w:val="decimal"/>
      <w:lvlText w:val="%2."/>
      <w:lvlJc w:val="left"/>
      <w:pPr>
        <w:ind w:left="1080" w:hanging="360"/>
      </w:pPr>
      <w:rPr>
        <w:caps w:val="0"/>
        <w:smallCaps w:val="0"/>
        <w:strike w:val="0"/>
        <w:dstrike w:val="0"/>
        <w:outline w:val="0"/>
        <w:emboss w:val="0"/>
        <w:imprint w:val="0"/>
        <w:spacing w:val="0"/>
        <w:w w:val="100"/>
        <w:kern w:val="0"/>
        <w:position w:val="0"/>
        <w:sz w:val="24"/>
        <w:vertAlign w:val="baseline"/>
      </w:rPr>
    </w:lvl>
    <w:lvl w:ilvl="2">
      <w:start w:val="1"/>
      <w:numFmt w:val="decimal"/>
      <w:lvlText w:val="%3."/>
      <w:lvlJc w:val="left"/>
      <w:pPr>
        <w:ind w:left="1800" w:hanging="360"/>
      </w:pPr>
      <w:rPr>
        <w:caps w:val="0"/>
        <w:smallCaps w:val="0"/>
        <w:strike w:val="0"/>
        <w:dstrike w:val="0"/>
        <w:outline w:val="0"/>
        <w:emboss w:val="0"/>
        <w:imprint w:val="0"/>
        <w:spacing w:val="0"/>
        <w:w w:val="100"/>
        <w:kern w:val="0"/>
        <w:position w:val="0"/>
        <w:sz w:val="24"/>
        <w:vertAlign w:val="baseline"/>
      </w:rPr>
    </w:lvl>
    <w:lvl w:ilvl="3">
      <w:start w:val="1"/>
      <w:numFmt w:val="decimal"/>
      <w:lvlText w:val="%4."/>
      <w:lvlJc w:val="left"/>
      <w:pPr>
        <w:ind w:left="2520" w:hanging="360"/>
      </w:pPr>
      <w:rPr>
        <w:caps w:val="0"/>
        <w:smallCaps w:val="0"/>
        <w:strike w:val="0"/>
        <w:dstrike w:val="0"/>
        <w:outline w:val="0"/>
        <w:emboss w:val="0"/>
        <w:imprint w:val="0"/>
        <w:spacing w:val="0"/>
        <w:w w:val="100"/>
        <w:kern w:val="0"/>
        <w:position w:val="0"/>
        <w:sz w:val="24"/>
        <w:vertAlign w:val="baseline"/>
      </w:rPr>
    </w:lvl>
    <w:lvl w:ilvl="4">
      <w:start w:val="1"/>
      <w:numFmt w:val="decimal"/>
      <w:lvlText w:val="%5."/>
      <w:lvlJc w:val="left"/>
      <w:pPr>
        <w:ind w:left="3240" w:hanging="360"/>
      </w:pPr>
      <w:rPr>
        <w:caps w:val="0"/>
        <w:smallCaps w:val="0"/>
        <w:strike w:val="0"/>
        <w:dstrike w:val="0"/>
        <w:outline w:val="0"/>
        <w:emboss w:val="0"/>
        <w:imprint w:val="0"/>
        <w:spacing w:val="0"/>
        <w:w w:val="100"/>
        <w:kern w:val="0"/>
        <w:position w:val="0"/>
        <w:sz w:val="24"/>
        <w:vertAlign w:val="baseline"/>
      </w:rPr>
    </w:lvl>
    <w:lvl w:ilvl="5">
      <w:start w:val="1"/>
      <w:numFmt w:val="decimal"/>
      <w:lvlText w:val="%6."/>
      <w:lvlJc w:val="left"/>
      <w:pPr>
        <w:ind w:left="3960" w:hanging="360"/>
      </w:pPr>
      <w:rPr>
        <w:caps w:val="0"/>
        <w:smallCaps w:val="0"/>
        <w:strike w:val="0"/>
        <w:dstrike w:val="0"/>
        <w:outline w:val="0"/>
        <w:emboss w:val="0"/>
        <w:imprint w:val="0"/>
        <w:spacing w:val="0"/>
        <w:w w:val="100"/>
        <w:kern w:val="0"/>
        <w:position w:val="0"/>
        <w:sz w:val="24"/>
        <w:vertAlign w:val="baseline"/>
      </w:rPr>
    </w:lvl>
    <w:lvl w:ilvl="6">
      <w:start w:val="1"/>
      <w:numFmt w:val="decimal"/>
      <w:lvlText w:val="%7."/>
      <w:lvlJc w:val="left"/>
      <w:pPr>
        <w:ind w:left="4680" w:hanging="360"/>
      </w:pPr>
      <w:rPr>
        <w:caps w:val="0"/>
        <w:smallCaps w:val="0"/>
        <w:strike w:val="0"/>
        <w:dstrike w:val="0"/>
        <w:outline w:val="0"/>
        <w:emboss w:val="0"/>
        <w:imprint w:val="0"/>
        <w:spacing w:val="0"/>
        <w:w w:val="100"/>
        <w:kern w:val="0"/>
        <w:position w:val="0"/>
        <w:sz w:val="24"/>
        <w:vertAlign w:val="baseline"/>
      </w:rPr>
    </w:lvl>
    <w:lvl w:ilvl="7">
      <w:start w:val="1"/>
      <w:numFmt w:val="decimal"/>
      <w:lvlText w:val="%8."/>
      <w:lvlJc w:val="left"/>
      <w:pPr>
        <w:ind w:left="5400" w:hanging="360"/>
      </w:pPr>
      <w:rPr>
        <w:caps w:val="0"/>
        <w:smallCaps w:val="0"/>
        <w:strike w:val="0"/>
        <w:dstrike w:val="0"/>
        <w:outline w:val="0"/>
        <w:emboss w:val="0"/>
        <w:imprint w:val="0"/>
        <w:spacing w:val="0"/>
        <w:w w:val="100"/>
        <w:kern w:val="0"/>
        <w:position w:val="0"/>
        <w:sz w:val="24"/>
        <w:vertAlign w:val="baseline"/>
      </w:rPr>
    </w:lvl>
    <w:lvl w:ilvl="8">
      <w:start w:val="1"/>
      <w:numFmt w:val="decimal"/>
      <w:lvlText w:val="%9."/>
      <w:lvlJc w:val="left"/>
      <w:pPr>
        <w:ind w:left="6120" w:hanging="360"/>
      </w:pPr>
      <w:rPr>
        <w:caps w:val="0"/>
        <w:smallCaps w:val="0"/>
        <w:strike w:val="0"/>
        <w:dstrike w:val="0"/>
        <w:outline w:val="0"/>
        <w:emboss w:val="0"/>
        <w:imprint w:val="0"/>
        <w:spacing w:val="0"/>
        <w:w w:val="100"/>
        <w:kern w:val="0"/>
        <w:position w:val="0"/>
        <w:sz w:val="24"/>
        <w:vertAlign w:val="baseline"/>
      </w:rPr>
    </w:lvl>
  </w:abstractNum>
  <w:abstractNum w:abstractNumId="1">
    <w:nsid w:val="32121E26"/>
    <w:multiLevelType w:val="multilevel"/>
    <w:tmpl w:val="883CE1D0"/>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nsid w:val="376301B1"/>
    <w:multiLevelType w:val="multilevel"/>
    <w:tmpl w:val="30EA0E96"/>
    <w:lvl w:ilvl="0">
      <w:start w:val="4"/>
      <w:numFmt w:val="bullet"/>
      <w:lvlText w:val=""/>
      <w:lvlJc w:val="left"/>
      <w:pPr>
        <w:ind w:left="720" w:hanging="360"/>
      </w:pPr>
      <w:rPr>
        <w:rFonts w:ascii="Symbol" w:hAnsi="Symbol" w:cs="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nsid w:val="7DE34376"/>
    <w:multiLevelType w:val="multilevel"/>
    <w:tmpl w:val="AA389F36"/>
    <w:lvl w:ilvl="0">
      <w:start w:val="1"/>
      <w:numFmt w:val="lowerLetter"/>
      <w:lvlText w:val="%1."/>
      <w:lvlJc w:val="left"/>
      <w:pPr>
        <w:ind w:left="720" w:hanging="360"/>
      </w:pPr>
      <w:rPr>
        <w:rFonts w:cs="Courier New"/>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15AD"/>
    <w:rsid w:val="003B37FB"/>
    <w:rsid w:val="0060073D"/>
    <w:rsid w:val="006854B3"/>
    <w:rsid w:val="00AB4F4B"/>
    <w:rsid w:val="00C115AD"/>
  </w:rsids>
  <m:mathPr>
    <m:mathFont m:val="Cambria Math"/>
    <m:brkBin m:val="before"/>
    <m:brkBinSub m:val="--"/>
    <m:smallFrac m:val="0"/>
    <m:dispDef/>
    <m:lMargin m:val="0"/>
    <m:rMargin m:val="0"/>
    <m:defJc m:val="centerGroup"/>
    <m:wrapIndent m:val="1440"/>
    <m:intLim m:val="subSup"/>
    <m:naryLim m:val="undOvr"/>
  </m:mathPr>
  <w:themeFontLang w:val="es-ES_tradnl" w:eastAsia="ja-JP"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D0943B8-9BFD-4EC0-90AD-198DBF3FC0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Cs w:val="24"/>
        <w:lang w:val="es-ES_tradnl" w:eastAsia="es-E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B60B8"/>
    <w:rPr>
      <w:rFonts w:ascii="Times New Roman" w:eastAsia="Times New Roman" w:hAnsi="Times New Roman" w:cs="Times New Roman"/>
      <w:sz w:val="24"/>
      <w:lang w:val="es-MX"/>
    </w:rPr>
  </w:style>
  <w:style w:type="paragraph" w:styleId="Ttulo1">
    <w:name w:val="heading 1"/>
    <w:basedOn w:val="Normal"/>
    <w:next w:val="Normal"/>
    <w:link w:val="Ttulo1Car"/>
    <w:uiPriority w:val="9"/>
    <w:qFormat/>
    <w:rsid w:val="00CC7BDB"/>
    <w:pPr>
      <w:keepNext/>
      <w:keepLines/>
      <w:spacing w:before="240"/>
      <w:outlineLvl w:val="0"/>
    </w:pPr>
    <w:rPr>
      <w:rFonts w:asciiTheme="majorHAnsi" w:eastAsiaTheme="majorEastAsia" w:hAnsiTheme="majorHAnsi" w:cstheme="majorBidi"/>
      <w:color w:val="365F91" w:themeColor="accent1" w:themeShade="BF"/>
      <w:sz w:val="32"/>
      <w:szCs w:val="32"/>
      <w:lang w:val="es-ES"/>
    </w:rPr>
  </w:style>
  <w:style w:type="paragraph" w:styleId="Ttulo2">
    <w:name w:val="heading 2"/>
    <w:basedOn w:val="Normal"/>
    <w:next w:val="Normal"/>
    <w:link w:val="Ttulo2Car"/>
    <w:uiPriority w:val="9"/>
    <w:unhideWhenUsed/>
    <w:qFormat/>
    <w:rsid w:val="004435D7"/>
    <w:pPr>
      <w:keepNext/>
      <w:keepLines/>
      <w:spacing w:before="40" w:line="259" w:lineRule="auto"/>
      <w:outlineLvl w:val="1"/>
    </w:pPr>
    <w:rPr>
      <w:rFonts w:asciiTheme="majorHAnsi" w:eastAsiaTheme="majorEastAsia" w:hAnsiTheme="majorHAnsi" w:cstheme="majorBidi"/>
      <w:color w:val="365F91" w:themeColor="accent1" w:themeShade="BF"/>
      <w:sz w:val="26"/>
      <w:szCs w:val="26"/>
      <w:lang w:eastAsia="en-US"/>
    </w:rPr>
  </w:style>
  <w:style w:type="paragraph" w:styleId="Ttulo3">
    <w:name w:val="heading 3"/>
    <w:basedOn w:val="Normal"/>
    <w:link w:val="Ttulo3Car"/>
    <w:uiPriority w:val="9"/>
    <w:qFormat/>
    <w:rsid w:val="0071255C"/>
    <w:pPr>
      <w:spacing w:beforeAutospacing="1" w:afterAutospacing="1"/>
      <w:outlineLvl w:val="2"/>
    </w:pPr>
    <w:rPr>
      <w:b/>
      <w:bCs/>
      <w:sz w:val="27"/>
      <w:szCs w:val="27"/>
      <w:lang w:eastAsia="es-MX"/>
    </w:rPr>
  </w:style>
  <w:style w:type="paragraph" w:styleId="Ttulo4">
    <w:name w:val="heading 4"/>
    <w:basedOn w:val="Normal"/>
    <w:next w:val="Normal"/>
    <w:link w:val="Ttulo4Car"/>
    <w:uiPriority w:val="9"/>
    <w:unhideWhenUsed/>
    <w:qFormat/>
    <w:rsid w:val="00FC157F"/>
    <w:pPr>
      <w:keepNext/>
      <w:keepLines/>
      <w:spacing w:before="40"/>
      <w:outlineLvl w:val="3"/>
    </w:pPr>
    <w:rPr>
      <w:rFonts w:asciiTheme="majorHAnsi" w:eastAsiaTheme="majorEastAsia" w:hAnsiTheme="majorHAnsi" w:cstheme="majorBidi"/>
      <w:i/>
      <w:iCs/>
      <w:color w:val="365F91" w:themeColor="accent1" w:themeShade="BF"/>
      <w:lang w:val="es-ES"/>
    </w:rPr>
  </w:style>
  <w:style w:type="paragraph" w:styleId="Ttulo5">
    <w:name w:val="heading 5"/>
    <w:basedOn w:val="Normal"/>
    <w:next w:val="Normal"/>
    <w:link w:val="Ttulo5Car"/>
    <w:uiPriority w:val="9"/>
    <w:unhideWhenUsed/>
    <w:qFormat/>
    <w:rsid w:val="00FC157F"/>
    <w:pPr>
      <w:keepNext/>
      <w:keepLines/>
      <w:spacing w:before="40"/>
      <w:outlineLvl w:val="4"/>
    </w:pPr>
    <w:rPr>
      <w:rFonts w:asciiTheme="majorHAnsi" w:eastAsiaTheme="majorEastAsia" w:hAnsiTheme="majorHAnsi" w:cstheme="majorBidi"/>
      <w:color w:val="365F91" w:themeColor="accent1" w:themeShade="BF"/>
      <w:lang w:val="es-ES"/>
    </w:rPr>
  </w:style>
  <w:style w:type="paragraph" w:styleId="Ttulo6">
    <w:name w:val="heading 6"/>
    <w:basedOn w:val="Normal"/>
    <w:next w:val="Normal"/>
    <w:link w:val="Ttulo6Car"/>
    <w:uiPriority w:val="9"/>
    <w:unhideWhenUsed/>
    <w:qFormat/>
    <w:rsid w:val="00FC157F"/>
    <w:pPr>
      <w:keepNext/>
      <w:keepLines/>
      <w:spacing w:before="40"/>
      <w:outlineLvl w:val="5"/>
    </w:pPr>
    <w:rPr>
      <w:rFonts w:asciiTheme="majorHAnsi" w:eastAsiaTheme="majorEastAsia" w:hAnsiTheme="majorHAnsi" w:cstheme="majorBidi"/>
      <w:color w:val="243F60" w:themeColor="accent1" w:themeShade="7F"/>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EncabezadoCar">
    <w:name w:val="Encabezado Car"/>
    <w:basedOn w:val="Fuentedeprrafopredeter"/>
    <w:link w:val="Encabezado"/>
    <w:uiPriority w:val="99"/>
    <w:qFormat/>
    <w:rsid w:val="00C80F8C"/>
  </w:style>
  <w:style w:type="character" w:customStyle="1" w:styleId="PiedepginaCar">
    <w:name w:val="Pie de página Car"/>
    <w:basedOn w:val="Fuentedeprrafopredeter"/>
    <w:link w:val="Piedepgina"/>
    <w:uiPriority w:val="99"/>
    <w:qFormat/>
    <w:rsid w:val="00C80F8C"/>
  </w:style>
  <w:style w:type="character" w:customStyle="1" w:styleId="TextodegloboCar">
    <w:name w:val="Texto de globo Car"/>
    <w:basedOn w:val="Fuentedeprrafopredeter"/>
    <w:link w:val="Textodeglobo"/>
    <w:uiPriority w:val="99"/>
    <w:semiHidden/>
    <w:qFormat/>
    <w:rsid w:val="00C80F8C"/>
    <w:rPr>
      <w:rFonts w:ascii="Lucida Grande" w:hAnsi="Lucida Grande" w:cs="Lucida Grande"/>
      <w:sz w:val="18"/>
      <w:szCs w:val="18"/>
    </w:rPr>
  </w:style>
  <w:style w:type="character" w:customStyle="1" w:styleId="PrrafodelistaCar">
    <w:name w:val="Párrafo de lista Car"/>
    <w:link w:val="Prrafodelista"/>
    <w:uiPriority w:val="34"/>
    <w:qFormat/>
    <w:locked/>
    <w:rsid w:val="00A2780F"/>
    <w:rPr>
      <w:rFonts w:ascii="Times New Roman" w:eastAsia="Times New Roman" w:hAnsi="Times New Roman" w:cs="Times New Roman"/>
      <w:lang w:val="es-ES"/>
    </w:rPr>
  </w:style>
  <w:style w:type="character" w:styleId="Hipervnculo">
    <w:name w:val="Hyperlink"/>
    <w:uiPriority w:val="99"/>
    <w:unhideWhenUsed/>
    <w:rsid w:val="00A2780F"/>
    <w:rPr>
      <w:strike w:val="0"/>
      <w:dstrike w:val="0"/>
      <w:color w:val="035899"/>
      <w:u w:val="none"/>
      <w:effect w:val="none"/>
    </w:rPr>
  </w:style>
  <w:style w:type="character" w:styleId="Textoennegrita">
    <w:name w:val="Strong"/>
    <w:uiPriority w:val="22"/>
    <w:qFormat/>
    <w:rsid w:val="00A2780F"/>
    <w:rPr>
      <w:b/>
      <w:bCs/>
    </w:rPr>
  </w:style>
  <w:style w:type="character" w:styleId="Hipervnculovisitado">
    <w:name w:val="FollowedHyperlink"/>
    <w:basedOn w:val="Fuentedeprrafopredeter"/>
    <w:uiPriority w:val="99"/>
    <w:semiHidden/>
    <w:unhideWhenUsed/>
    <w:rsid w:val="009776B8"/>
    <w:rPr>
      <w:color w:val="800080" w:themeColor="followedHyperlink"/>
      <w:u w:val="single"/>
    </w:rPr>
  </w:style>
  <w:style w:type="character" w:customStyle="1" w:styleId="Textoindependiente2Car">
    <w:name w:val="Texto independiente 2 Car"/>
    <w:basedOn w:val="Fuentedeprrafopredeter"/>
    <w:link w:val="Textoindependiente2"/>
    <w:uiPriority w:val="99"/>
    <w:qFormat/>
    <w:rsid w:val="009776B8"/>
    <w:rPr>
      <w:rFonts w:ascii="Times New Roman" w:eastAsia="Times New Roman" w:hAnsi="Times New Roman" w:cs="Times New Roman"/>
      <w:lang w:val="es-ES"/>
    </w:rPr>
  </w:style>
  <w:style w:type="character" w:styleId="Refdecomentario">
    <w:name w:val="annotation reference"/>
    <w:basedOn w:val="Fuentedeprrafopredeter"/>
    <w:uiPriority w:val="99"/>
    <w:semiHidden/>
    <w:unhideWhenUsed/>
    <w:qFormat/>
    <w:rsid w:val="00532734"/>
    <w:rPr>
      <w:sz w:val="16"/>
      <w:szCs w:val="16"/>
    </w:rPr>
  </w:style>
  <w:style w:type="character" w:customStyle="1" w:styleId="apple-converted-space">
    <w:name w:val="apple-converted-space"/>
    <w:basedOn w:val="Fuentedeprrafopredeter"/>
    <w:qFormat/>
    <w:rsid w:val="00097B14"/>
  </w:style>
  <w:style w:type="character" w:customStyle="1" w:styleId="Listavistosa-nfasis1Car">
    <w:name w:val="Lista vistosa - Énfasis 1 Car"/>
    <w:uiPriority w:val="34"/>
    <w:qFormat/>
    <w:locked/>
    <w:rsid w:val="0015349A"/>
    <w:rPr>
      <w:rFonts w:ascii="Times New Roman" w:eastAsia="Times New Roman" w:hAnsi="Times New Roman" w:cs="Times New Roman"/>
      <w:lang w:val="es-ES"/>
    </w:rPr>
  </w:style>
  <w:style w:type="character" w:customStyle="1" w:styleId="apple-style-span">
    <w:name w:val="apple-style-span"/>
    <w:qFormat/>
    <w:rsid w:val="0015349A"/>
  </w:style>
  <w:style w:type="character" w:customStyle="1" w:styleId="TextonotapieCar">
    <w:name w:val="Texto nota pie Car"/>
    <w:basedOn w:val="Fuentedeprrafopredeter"/>
    <w:link w:val="Textonotapie"/>
    <w:uiPriority w:val="99"/>
    <w:qFormat/>
    <w:rsid w:val="0015349A"/>
    <w:rPr>
      <w:rFonts w:eastAsiaTheme="minorHAnsi"/>
      <w:sz w:val="20"/>
      <w:szCs w:val="20"/>
      <w:lang w:val="es-MX" w:eastAsia="en-US"/>
    </w:rPr>
  </w:style>
  <w:style w:type="character" w:customStyle="1" w:styleId="FootnoteCharacters">
    <w:name w:val="Footnote Characters"/>
    <w:basedOn w:val="Fuentedeprrafopredeter"/>
    <w:uiPriority w:val="99"/>
    <w:unhideWhenUsed/>
    <w:qFormat/>
    <w:rsid w:val="0015349A"/>
    <w:rPr>
      <w:vertAlign w:val="superscript"/>
    </w:rPr>
  </w:style>
  <w:style w:type="character" w:customStyle="1" w:styleId="FootnoteAnchor">
    <w:name w:val="Footnote Anchor"/>
    <w:rPr>
      <w:vertAlign w:val="superscript"/>
    </w:rPr>
  </w:style>
  <w:style w:type="character" w:customStyle="1" w:styleId="TextosinformatoCar">
    <w:name w:val="Texto sin formato Car"/>
    <w:basedOn w:val="Fuentedeprrafopredeter"/>
    <w:link w:val="Textosinformato"/>
    <w:qFormat/>
    <w:rsid w:val="0015349A"/>
    <w:rPr>
      <w:rFonts w:ascii="Courier New" w:eastAsia="Times New Roman" w:hAnsi="Courier New" w:cs="Times New Roman"/>
      <w:sz w:val="20"/>
      <w:szCs w:val="20"/>
      <w:lang w:val="es-ES"/>
    </w:rPr>
  </w:style>
  <w:style w:type="character" w:customStyle="1" w:styleId="negritas1">
    <w:name w:val="negritas1"/>
    <w:qFormat/>
    <w:rsid w:val="0015349A"/>
    <w:rPr>
      <w:rFonts w:ascii="Arial" w:hAnsi="Arial" w:cs="Arial"/>
      <w:b/>
      <w:bCs/>
      <w:sz w:val="18"/>
      <w:szCs w:val="18"/>
    </w:rPr>
  </w:style>
  <w:style w:type="character" w:customStyle="1" w:styleId="f">
    <w:name w:val="f"/>
    <w:basedOn w:val="Fuentedeprrafopredeter"/>
    <w:qFormat/>
    <w:rsid w:val="0015349A"/>
  </w:style>
  <w:style w:type="character" w:customStyle="1" w:styleId="d">
    <w:name w:val="d"/>
    <w:basedOn w:val="Fuentedeprrafopredeter"/>
    <w:qFormat/>
    <w:rsid w:val="0015349A"/>
  </w:style>
  <w:style w:type="character" w:customStyle="1" w:styleId="b">
    <w:name w:val="b"/>
    <w:basedOn w:val="Fuentedeprrafopredeter"/>
    <w:qFormat/>
    <w:rsid w:val="0015349A"/>
  </w:style>
  <w:style w:type="character" w:customStyle="1" w:styleId="k">
    <w:name w:val="k"/>
    <w:basedOn w:val="Fuentedeprrafopredeter"/>
    <w:qFormat/>
    <w:rsid w:val="0015349A"/>
  </w:style>
  <w:style w:type="character" w:customStyle="1" w:styleId="h">
    <w:name w:val="h"/>
    <w:basedOn w:val="Fuentedeprrafopredeter"/>
    <w:qFormat/>
    <w:rsid w:val="0015349A"/>
  </w:style>
  <w:style w:type="character" w:styleId="CitaHTML">
    <w:name w:val="HTML Cite"/>
    <w:uiPriority w:val="99"/>
    <w:semiHidden/>
    <w:unhideWhenUsed/>
    <w:qFormat/>
    <w:rsid w:val="0015349A"/>
    <w:rPr>
      <w:i/>
      <w:iCs/>
    </w:rPr>
  </w:style>
  <w:style w:type="character" w:customStyle="1" w:styleId="lbl-encabezado-blanco2">
    <w:name w:val="lbl-encabezado-blanco2"/>
    <w:qFormat/>
    <w:rsid w:val="00052E1B"/>
    <w:rPr>
      <w:color w:val="FFFFFF"/>
    </w:rPr>
  </w:style>
  <w:style w:type="character" w:customStyle="1" w:styleId="TextoCar">
    <w:name w:val="Texto Car"/>
    <w:link w:val="Texto"/>
    <w:qFormat/>
    <w:locked/>
    <w:rsid w:val="00AB159D"/>
    <w:rPr>
      <w:rFonts w:ascii="Arial" w:eastAsia="Times New Roman" w:hAnsi="Arial" w:cs="Arial"/>
      <w:sz w:val="18"/>
      <w:szCs w:val="18"/>
      <w:lang w:val="es-MX"/>
    </w:rPr>
  </w:style>
  <w:style w:type="character" w:customStyle="1" w:styleId="Ttulo3Car">
    <w:name w:val="Título 3 Car"/>
    <w:basedOn w:val="Fuentedeprrafopredeter"/>
    <w:link w:val="Ttulo3"/>
    <w:uiPriority w:val="9"/>
    <w:qFormat/>
    <w:rsid w:val="0071255C"/>
    <w:rPr>
      <w:rFonts w:ascii="Times New Roman" w:eastAsia="Times New Roman" w:hAnsi="Times New Roman" w:cs="Times New Roman"/>
      <w:b/>
      <w:bCs/>
      <w:sz w:val="27"/>
      <w:szCs w:val="27"/>
      <w:lang w:val="es-MX" w:eastAsia="es-MX"/>
    </w:rPr>
  </w:style>
  <w:style w:type="character" w:customStyle="1" w:styleId="ANOTACIONCar">
    <w:name w:val="ANOTACION Car"/>
    <w:link w:val="ANOTACION"/>
    <w:qFormat/>
    <w:locked/>
    <w:rsid w:val="003D3A0C"/>
    <w:rPr>
      <w:rFonts w:ascii="Times New Roman" w:eastAsia="Times New Roman" w:hAnsi="Times New Roman" w:cs="Times New Roman"/>
      <w:b/>
      <w:sz w:val="18"/>
      <w:szCs w:val="18"/>
    </w:rPr>
  </w:style>
  <w:style w:type="character" w:styleId="nfasis">
    <w:name w:val="Emphasis"/>
    <w:basedOn w:val="Fuentedeprrafopredeter"/>
    <w:uiPriority w:val="20"/>
    <w:qFormat/>
    <w:rsid w:val="0022780C"/>
    <w:rPr>
      <w:i/>
      <w:iCs/>
    </w:rPr>
  </w:style>
  <w:style w:type="character" w:customStyle="1" w:styleId="SinespaciadoCar">
    <w:name w:val="Sin espaciado Car"/>
    <w:link w:val="Sinespaciado"/>
    <w:uiPriority w:val="1"/>
    <w:qFormat/>
    <w:locked/>
    <w:rsid w:val="0088649D"/>
    <w:rPr>
      <w:rFonts w:ascii="Times New Roman" w:eastAsia="Times New Roman" w:hAnsi="Times New Roman" w:cs="Times New Roman"/>
      <w:lang w:val="es-MX"/>
    </w:rPr>
  </w:style>
  <w:style w:type="character" w:customStyle="1" w:styleId="Ttulo2Car">
    <w:name w:val="Título 2 Car"/>
    <w:basedOn w:val="Fuentedeprrafopredeter"/>
    <w:link w:val="Ttulo2"/>
    <w:uiPriority w:val="9"/>
    <w:qFormat/>
    <w:rsid w:val="004435D7"/>
    <w:rPr>
      <w:rFonts w:asciiTheme="majorHAnsi" w:eastAsiaTheme="majorEastAsia" w:hAnsiTheme="majorHAnsi" w:cstheme="majorBidi"/>
      <w:color w:val="365F91" w:themeColor="accent1" w:themeShade="BF"/>
      <w:sz w:val="26"/>
      <w:szCs w:val="26"/>
      <w:lang w:val="es-MX" w:eastAsia="en-US"/>
    </w:rPr>
  </w:style>
  <w:style w:type="character" w:customStyle="1" w:styleId="TextocomentarioCar">
    <w:name w:val="Texto comentario Car"/>
    <w:basedOn w:val="Fuentedeprrafopredeter"/>
    <w:link w:val="Textocomentario"/>
    <w:uiPriority w:val="99"/>
    <w:semiHidden/>
    <w:qFormat/>
    <w:rsid w:val="006C2EF9"/>
    <w:rPr>
      <w:rFonts w:ascii="Times New Roman" w:eastAsia="Times New Roman" w:hAnsi="Times New Roman" w:cs="Times New Roman"/>
      <w:sz w:val="20"/>
      <w:szCs w:val="20"/>
      <w:lang w:val="es-ES"/>
    </w:rPr>
  </w:style>
  <w:style w:type="character" w:customStyle="1" w:styleId="AsuntodelcomentarioCar">
    <w:name w:val="Asunto del comentario Car"/>
    <w:basedOn w:val="TextocomentarioCar"/>
    <w:link w:val="Asuntodelcomentario"/>
    <w:uiPriority w:val="99"/>
    <w:semiHidden/>
    <w:qFormat/>
    <w:rsid w:val="006C2EF9"/>
    <w:rPr>
      <w:rFonts w:ascii="Times New Roman" w:eastAsia="Times New Roman" w:hAnsi="Times New Roman" w:cs="Times New Roman"/>
      <w:b/>
      <w:bCs/>
      <w:sz w:val="20"/>
      <w:szCs w:val="20"/>
      <w:lang w:val="es-ES"/>
    </w:rPr>
  </w:style>
  <w:style w:type="character" w:customStyle="1" w:styleId="ROMANOSCar">
    <w:name w:val="ROMANOS Car"/>
    <w:link w:val="ROMANOS"/>
    <w:qFormat/>
    <w:locked/>
    <w:rsid w:val="0014538F"/>
    <w:rPr>
      <w:rFonts w:ascii="Arial" w:eastAsia="Times New Roman" w:hAnsi="Arial" w:cs="Arial"/>
      <w:sz w:val="18"/>
      <w:szCs w:val="18"/>
      <w:lang w:val="es-ES"/>
    </w:rPr>
  </w:style>
  <w:style w:type="character" w:customStyle="1" w:styleId="m1553324590483875794gmail-m8993139698400752374gmail-apple-converted-space">
    <w:name w:val="m_1553324590483875794gmail-m_8993139698400752374gmail-apple-converted-space"/>
    <w:basedOn w:val="Fuentedeprrafopredeter"/>
    <w:qFormat/>
    <w:rsid w:val="000054EA"/>
  </w:style>
  <w:style w:type="character" w:customStyle="1" w:styleId="Ninguno">
    <w:name w:val="Ninguno"/>
    <w:qFormat/>
    <w:rsid w:val="00A327E0"/>
    <w:rPr>
      <w:lang w:val="es-ES_tradnl"/>
    </w:rPr>
  </w:style>
  <w:style w:type="character" w:customStyle="1" w:styleId="Ttulo1Car">
    <w:name w:val="Título 1 Car"/>
    <w:basedOn w:val="Fuentedeprrafopredeter"/>
    <w:link w:val="Ttulo1"/>
    <w:uiPriority w:val="9"/>
    <w:qFormat/>
    <w:rsid w:val="00CC7BDB"/>
    <w:rPr>
      <w:rFonts w:asciiTheme="majorHAnsi" w:eastAsiaTheme="majorEastAsia" w:hAnsiTheme="majorHAnsi" w:cstheme="majorBidi"/>
      <w:color w:val="365F91" w:themeColor="accent1" w:themeShade="BF"/>
      <w:sz w:val="32"/>
      <w:szCs w:val="32"/>
      <w:lang w:val="es-ES"/>
    </w:rPr>
  </w:style>
  <w:style w:type="character" w:customStyle="1" w:styleId="normaltextrun">
    <w:name w:val="normaltextrun"/>
    <w:basedOn w:val="Fuentedeprrafopredeter"/>
    <w:qFormat/>
    <w:rsid w:val="00641BB8"/>
  </w:style>
  <w:style w:type="character" w:customStyle="1" w:styleId="nacep">
    <w:name w:val="n_acep"/>
    <w:basedOn w:val="Fuentedeprrafopredeter"/>
    <w:qFormat/>
    <w:rsid w:val="001C4E80"/>
  </w:style>
  <w:style w:type="character" w:customStyle="1" w:styleId="user-highlighted-active">
    <w:name w:val="user-highlighted-active"/>
    <w:basedOn w:val="Fuentedeprrafopredeter"/>
    <w:qFormat/>
    <w:rsid w:val="00967345"/>
  </w:style>
  <w:style w:type="character" w:customStyle="1" w:styleId="Ttulo4Car">
    <w:name w:val="Título 4 Car"/>
    <w:basedOn w:val="Fuentedeprrafopredeter"/>
    <w:link w:val="Ttulo4"/>
    <w:uiPriority w:val="9"/>
    <w:qFormat/>
    <w:rsid w:val="00FC157F"/>
    <w:rPr>
      <w:rFonts w:asciiTheme="majorHAnsi" w:eastAsiaTheme="majorEastAsia" w:hAnsiTheme="majorHAnsi" w:cstheme="majorBidi"/>
      <w:i/>
      <w:iCs/>
      <w:color w:val="365F91" w:themeColor="accent1" w:themeShade="BF"/>
      <w:lang w:val="es-ES"/>
    </w:rPr>
  </w:style>
  <w:style w:type="character" w:customStyle="1" w:styleId="Ttulo5Car">
    <w:name w:val="Título 5 Car"/>
    <w:basedOn w:val="Fuentedeprrafopredeter"/>
    <w:link w:val="Ttulo5"/>
    <w:uiPriority w:val="9"/>
    <w:qFormat/>
    <w:rsid w:val="00FC157F"/>
    <w:rPr>
      <w:rFonts w:asciiTheme="majorHAnsi" w:eastAsiaTheme="majorEastAsia" w:hAnsiTheme="majorHAnsi" w:cstheme="majorBidi"/>
      <w:color w:val="365F91" w:themeColor="accent1" w:themeShade="BF"/>
      <w:lang w:val="es-ES"/>
    </w:rPr>
  </w:style>
  <w:style w:type="character" w:customStyle="1" w:styleId="Ttulo6Car">
    <w:name w:val="Título 6 Car"/>
    <w:basedOn w:val="Fuentedeprrafopredeter"/>
    <w:link w:val="Ttulo6"/>
    <w:uiPriority w:val="9"/>
    <w:qFormat/>
    <w:rsid w:val="00FC157F"/>
    <w:rPr>
      <w:rFonts w:asciiTheme="majorHAnsi" w:eastAsiaTheme="majorEastAsia" w:hAnsiTheme="majorHAnsi" w:cstheme="majorBidi"/>
      <w:color w:val="243F60" w:themeColor="accent1" w:themeShade="7F"/>
      <w:lang w:val="es-ES"/>
    </w:rPr>
  </w:style>
  <w:style w:type="character" w:customStyle="1" w:styleId="TextoindependienteCar">
    <w:name w:val="Texto independiente Car"/>
    <w:basedOn w:val="Fuentedeprrafopredeter"/>
    <w:link w:val="Textoindependiente"/>
    <w:uiPriority w:val="99"/>
    <w:qFormat/>
    <w:rsid w:val="00FC157F"/>
    <w:rPr>
      <w:rFonts w:ascii="Times New Roman" w:eastAsia="Times New Roman" w:hAnsi="Times New Roman" w:cs="Times New Roman"/>
      <w:lang w:val="es-ES"/>
    </w:rPr>
  </w:style>
  <w:style w:type="character" w:customStyle="1" w:styleId="SangradetextonormalCar">
    <w:name w:val="Sangría de texto normal Car"/>
    <w:basedOn w:val="Fuentedeprrafopredeter"/>
    <w:link w:val="Sangradetextonormal"/>
    <w:uiPriority w:val="99"/>
    <w:qFormat/>
    <w:rsid w:val="00FC157F"/>
    <w:rPr>
      <w:rFonts w:ascii="Times New Roman" w:eastAsia="Times New Roman" w:hAnsi="Times New Roman" w:cs="Times New Roman"/>
      <w:lang w:val="es-ES"/>
    </w:rPr>
  </w:style>
  <w:style w:type="character" w:customStyle="1" w:styleId="Textoindependienteprimerasangra2Car">
    <w:name w:val="Texto independiente primera sangría 2 Car"/>
    <w:basedOn w:val="SangradetextonormalCar"/>
    <w:link w:val="Textoindependienteprimerasangra2"/>
    <w:uiPriority w:val="99"/>
    <w:qFormat/>
    <w:rsid w:val="00FC157F"/>
    <w:rPr>
      <w:rFonts w:ascii="Times New Roman" w:eastAsia="Times New Roman" w:hAnsi="Times New Roman" w:cs="Times New Roman"/>
      <w:lang w:val="es-ES"/>
    </w:rPr>
  </w:style>
  <w:style w:type="character" w:customStyle="1" w:styleId="numberfracccentro">
    <w:name w:val="numberfracccentro"/>
    <w:basedOn w:val="Fuentedeprrafopredeter"/>
    <w:qFormat/>
    <w:rsid w:val="004B7691"/>
  </w:style>
  <w:style w:type="character" w:customStyle="1" w:styleId="titulorubrolgt">
    <w:name w:val="titulorubrolgt"/>
    <w:basedOn w:val="Fuentedeprrafopredeter"/>
    <w:qFormat/>
    <w:rsid w:val="004B7691"/>
  </w:style>
  <w:style w:type="character" w:customStyle="1" w:styleId="TextChar">
    <w:name w:val="Text Char"/>
    <w:link w:val="Text"/>
    <w:qFormat/>
    <w:locked/>
    <w:rsid w:val="00B93B76"/>
    <w:rPr>
      <w:rFonts w:ascii="Times New Roman" w:eastAsia="Times New Roman" w:hAnsi="Times New Roman" w:cs="Times New Roman"/>
      <w:szCs w:val="20"/>
      <w:lang w:val="en-US" w:eastAsia="en-US"/>
    </w:rPr>
  </w:style>
  <w:style w:type="paragraph" w:customStyle="1" w:styleId="Heading">
    <w:name w:val="Heading"/>
    <w:basedOn w:val="Normal"/>
    <w:next w:val="Textoindependiente"/>
    <w:qFormat/>
    <w:pPr>
      <w:keepNext/>
      <w:spacing w:before="240" w:after="120"/>
    </w:pPr>
    <w:rPr>
      <w:rFonts w:ascii="Liberation Sans" w:eastAsia="Noto Sans CJK SC" w:hAnsi="Liberation Sans" w:cs="Lohit Devanagari"/>
      <w:sz w:val="28"/>
      <w:szCs w:val="28"/>
    </w:rPr>
  </w:style>
  <w:style w:type="paragraph" w:styleId="Textoindependiente">
    <w:name w:val="Body Text"/>
    <w:basedOn w:val="Normal"/>
    <w:link w:val="TextoindependienteCar"/>
    <w:uiPriority w:val="99"/>
    <w:unhideWhenUsed/>
    <w:rsid w:val="00FC157F"/>
    <w:pPr>
      <w:spacing w:after="120"/>
    </w:pPr>
    <w:rPr>
      <w:lang w:val="es-ES"/>
    </w:rPr>
  </w:style>
  <w:style w:type="paragraph" w:styleId="Lista">
    <w:name w:val="List"/>
    <w:basedOn w:val="Normal"/>
    <w:uiPriority w:val="99"/>
    <w:unhideWhenUsed/>
    <w:rsid w:val="00FC157F"/>
    <w:pPr>
      <w:ind w:left="283" w:hanging="283"/>
      <w:contextualSpacing/>
    </w:pPr>
    <w:rPr>
      <w:lang w:val="es-ES"/>
    </w:rPr>
  </w:style>
  <w:style w:type="paragraph" w:styleId="Descripcin">
    <w:name w:val="caption"/>
    <w:basedOn w:val="Normal"/>
    <w:qFormat/>
    <w:pPr>
      <w:suppressLineNumbers/>
      <w:spacing w:before="120" w:after="120"/>
    </w:pPr>
    <w:rPr>
      <w:rFonts w:cs="Lohit Devanagari"/>
      <w:i/>
      <w:iCs/>
    </w:rPr>
  </w:style>
  <w:style w:type="paragraph" w:customStyle="1" w:styleId="Index">
    <w:name w:val="Index"/>
    <w:basedOn w:val="Normal"/>
    <w:qFormat/>
    <w:pPr>
      <w:suppressLineNumbers/>
    </w:pPr>
    <w:rPr>
      <w:rFonts w:cs="Lohit Devanagari"/>
    </w:rPr>
  </w:style>
  <w:style w:type="paragraph" w:customStyle="1" w:styleId="HeaderandFooter">
    <w:name w:val="Header and Footer"/>
    <w:basedOn w:val="Normal"/>
    <w:qFormat/>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paragraph" w:styleId="Textodeglobo">
    <w:name w:val="Balloon Text"/>
    <w:basedOn w:val="Normal"/>
    <w:link w:val="TextodegloboCar"/>
    <w:uiPriority w:val="99"/>
    <w:semiHidden/>
    <w:unhideWhenUsed/>
    <w:qFormat/>
    <w:rsid w:val="00C80F8C"/>
    <w:rPr>
      <w:rFonts w:ascii="Lucida Grande" w:eastAsiaTheme="minorEastAsia" w:hAnsi="Lucida Grande" w:cs="Lucida Grande"/>
      <w:sz w:val="18"/>
      <w:szCs w:val="18"/>
      <w:lang w:val="es-ES_tradnl"/>
    </w:rPr>
  </w:style>
  <w:style w:type="paragraph" w:styleId="Prrafodelista">
    <w:name w:val="List Paragraph"/>
    <w:basedOn w:val="Normal"/>
    <w:link w:val="PrrafodelistaCar"/>
    <w:uiPriority w:val="34"/>
    <w:qFormat/>
    <w:rsid w:val="00A2780F"/>
    <w:pPr>
      <w:ind w:left="708"/>
    </w:pPr>
  </w:style>
  <w:style w:type="paragraph" w:styleId="NormalWeb">
    <w:name w:val="Normal (Web)"/>
    <w:basedOn w:val="Normal"/>
    <w:uiPriority w:val="99"/>
    <w:qFormat/>
    <w:rsid w:val="00A2780F"/>
    <w:pPr>
      <w:spacing w:beforeAutospacing="1" w:afterAutospacing="1"/>
    </w:pPr>
  </w:style>
  <w:style w:type="paragraph" w:styleId="Textoindependiente2">
    <w:name w:val="Body Text 2"/>
    <w:basedOn w:val="Normal"/>
    <w:link w:val="Textoindependiente2Car"/>
    <w:uiPriority w:val="99"/>
    <w:unhideWhenUsed/>
    <w:qFormat/>
    <w:rsid w:val="009776B8"/>
    <w:pPr>
      <w:spacing w:after="120" w:line="480" w:lineRule="auto"/>
    </w:pPr>
  </w:style>
  <w:style w:type="paragraph" w:customStyle="1" w:styleId="Default">
    <w:name w:val="Default"/>
    <w:qFormat/>
    <w:rsid w:val="004325CE"/>
    <w:rPr>
      <w:rFonts w:ascii="Arial" w:eastAsiaTheme="minorHAnsi" w:hAnsi="Arial" w:cs="Arial"/>
      <w:color w:val="000000"/>
      <w:sz w:val="24"/>
      <w:lang w:val="es-MX" w:eastAsia="en-US"/>
    </w:rPr>
  </w:style>
  <w:style w:type="paragraph" w:customStyle="1" w:styleId="Listavistosa-nfasis11">
    <w:name w:val="Lista vistosa - Énfasis 11"/>
    <w:basedOn w:val="Normal"/>
    <w:uiPriority w:val="34"/>
    <w:qFormat/>
    <w:rsid w:val="0015349A"/>
    <w:pPr>
      <w:ind w:left="708"/>
    </w:pPr>
  </w:style>
  <w:style w:type="paragraph" w:customStyle="1" w:styleId="Texto">
    <w:name w:val="Texto"/>
    <w:basedOn w:val="Normal"/>
    <w:link w:val="TextoCar"/>
    <w:qFormat/>
    <w:rsid w:val="0015349A"/>
    <w:pPr>
      <w:spacing w:after="101" w:line="216" w:lineRule="exact"/>
      <w:ind w:firstLine="288"/>
      <w:jc w:val="both"/>
    </w:pPr>
    <w:rPr>
      <w:rFonts w:ascii="Arial" w:hAnsi="Arial" w:cs="Arial"/>
      <w:sz w:val="18"/>
      <w:szCs w:val="18"/>
    </w:rPr>
  </w:style>
  <w:style w:type="paragraph" w:styleId="Textonotapie">
    <w:name w:val="footnote text"/>
    <w:basedOn w:val="Normal"/>
    <w:link w:val="TextonotapieCar"/>
    <w:uiPriority w:val="99"/>
    <w:unhideWhenUsed/>
    <w:qFormat/>
    <w:rsid w:val="0015349A"/>
    <w:rPr>
      <w:rFonts w:asciiTheme="minorHAnsi" w:eastAsiaTheme="minorHAnsi" w:hAnsiTheme="minorHAnsi" w:cstheme="minorBidi"/>
      <w:sz w:val="20"/>
      <w:szCs w:val="20"/>
      <w:lang w:eastAsia="en-US"/>
    </w:rPr>
  </w:style>
  <w:style w:type="paragraph" w:styleId="Sinespaciado">
    <w:name w:val="No Spacing"/>
    <w:link w:val="SinespaciadoCar"/>
    <w:uiPriority w:val="1"/>
    <w:qFormat/>
    <w:rsid w:val="0015349A"/>
    <w:rPr>
      <w:rFonts w:ascii="Times New Roman" w:eastAsia="Times New Roman" w:hAnsi="Times New Roman" w:cs="Times New Roman"/>
      <w:sz w:val="24"/>
      <w:lang w:val="es-MX"/>
    </w:rPr>
  </w:style>
  <w:style w:type="paragraph" w:styleId="Textosinformato">
    <w:name w:val="Plain Text"/>
    <w:basedOn w:val="Normal"/>
    <w:link w:val="TextosinformatoCar"/>
    <w:qFormat/>
    <w:rsid w:val="0015349A"/>
    <w:rPr>
      <w:rFonts w:ascii="Courier New" w:hAnsi="Courier New"/>
      <w:sz w:val="20"/>
      <w:szCs w:val="20"/>
    </w:rPr>
  </w:style>
  <w:style w:type="paragraph" w:customStyle="1" w:styleId="Standard">
    <w:name w:val="Standard"/>
    <w:qFormat/>
    <w:rsid w:val="0015349A"/>
    <w:pPr>
      <w:widowControl w:val="0"/>
      <w:textAlignment w:val="baseline"/>
    </w:pPr>
    <w:rPr>
      <w:rFonts w:ascii="Liberation Serif" w:eastAsia="DejaVu Sans" w:hAnsi="Liberation Serif" w:cs="Lohit Hindi"/>
      <w:kern w:val="2"/>
      <w:sz w:val="24"/>
      <w:lang w:val="es-MX" w:eastAsia="zh-CN" w:bidi="hi-IN"/>
    </w:rPr>
  </w:style>
  <w:style w:type="paragraph" w:customStyle="1" w:styleId="Pa2">
    <w:name w:val="Pa2"/>
    <w:basedOn w:val="Normal"/>
    <w:next w:val="Normal"/>
    <w:uiPriority w:val="99"/>
    <w:qFormat/>
    <w:rsid w:val="0015349A"/>
    <w:pPr>
      <w:spacing w:line="240" w:lineRule="atLeast"/>
    </w:pPr>
    <w:rPr>
      <w:rFonts w:ascii="Helvetica" w:hAnsi="Helvetica"/>
      <w:lang w:val="es-ES_tradnl" w:eastAsia="es-ES_tradnl"/>
    </w:rPr>
  </w:style>
  <w:style w:type="paragraph" w:customStyle="1" w:styleId="q">
    <w:name w:val="q"/>
    <w:basedOn w:val="Normal"/>
    <w:qFormat/>
    <w:rsid w:val="0015349A"/>
    <w:pPr>
      <w:spacing w:beforeAutospacing="1" w:afterAutospacing="1"/>
    </w:pPr>
    <w:rPr>
      <w:lang w:eastAsia="es-MX"/>
    </w:rPr>
  </w:style>
  <w:style w:type="paragraph" w:customStyle="1" w:styleId="RSCGnotaalpie">
    <w:name w:val="RSCG nota al pie"/>
    <w:basedOn w:val="Normal"/>
    <w:uiPriority w:val="99"/>
    <w:qFormat/>
    <w:rsid w:val="0015349A"/>
    <w:pPr>
      <w:spacing w:after="120"/>
      <w:jc w:val="both"/>
    </w:pPr>
    <w:rPr>
      <w:rFonts w:ascii="palatino" w:hAnsi="palatino" w:cstheme="minorBidi"/>
      <w:sz w:val="22"/>
      <w:szCs w:val="22"/>
      <w:lang w:eastAsia="en-US"/>
    </w:rPr>
  </w:style>
  <w:style w:type="paragraph" w:customStyle="1" w:styleId="ANOTACION">
    <w:name w:val="ANOTACION"/>
    <w:basedOn w:val="Normal"/>
    <w:link w:val="ANOTACIONCar"/>
    <w:qFormat/>
    <w:rsid w:val="003D3A0C"/>
    <w:pPr>
      <w:spacing w:before="101" w:after="101"/>
      <w:jc w:val="center"/>
    </w:pPr>
    <w:rPr>
      <w:b/>
      <w:sz w:val="18"/>
      <w:szCs w:val="18"/>
    </w:rPr>
  </w:style>
  <w:style w:type="paragraph" w:styleId="Bibliografa">
    <w:name w:val="Bibliography"/>
    <w:basedOn w:val="Normal"/>
    <w:next w:val="Normal"/>
    <w:uiPriority w:val="37"/>
    <w:semiHidden/>
    <w:unhideWhenUsed/>
    <w:qFormat/>
    <w:rsid w:val="002B0232"/>
  </w:style>
  <w:style w:type="paragraph" w:styleId="Textocomentario">
    <w:name w:val="annotation text"/>
    <w:basedOn w:val="Normal"/>
    <w:link w:val="TextocomentarioCar"/>
    <w:uiPriority w:val="99"/>
    <w:semiHidden/>
    <w:unhideWhenUsed/>
    <w:qFormat/>
    <w:rsid w:val="006C2EF9"/>
    <w:rPr>
      <w:sz w:val="20"/>
      <w:szCs w:val="20"/>
    </w:rPr>
  </w:style>
  <w:style w:type="paragraph" w:styleId="Asuntodelcomentario">
    <w:name w:val="annotation subject"/>
    <w:basedOn w:val="Textocomentario"/>
    <w:next w:val="Textocomentario"/>
    <w:link w:val="AsuntodelcomentarioCar"/>
    <w:uiPriority w:val="99"/>
    <w:semiHidden/>
    <w:unhideWhenUsed/>
    <w:qFormat/>
    <w:rsid w:val="006C2EF9"/>
    <w:rPr>
      <w:b/>
      <w:bCs/>
    </w:rPr>
  </w:style>
  <w:style w:type="paragraph" w:customStyle="1" w:styleId="ROMANOS">
    <w:name w:val="ROMANOS"/>
    <w:basedOn w:val="Normal"/>
    <w:link w:val="ROMANOSCar"/>
    <w:qFormat/>
    <w:rsid w:val="0014538F"/>
    <w:pPr>
      <w:tabs>
        <w:tab w:val="left" w:pos="720"/>
      </w:tabs>
      <w:spacing w:after="101" w:line="216" w:lineRule="exact"/>
      <w:ind w:left="720" w:hanging="432"/>
      <w:jc w:val="both"/>
    </w:pPr>
    <w:rPr>
      <w:rFonts w:ascii="Arial" w:hAnsi="Arial" w:cs="Arial"/>
      <w:sz w:val="18"/>
      <w:szCs w:val="18"/>
      <w:lang w:val="es-ES"/>
    </w:rPr>
  </w:style>
  <w:style w:type="paragraph" w:customStyle="1" w:styleId="Cuerpo">
    <w:name w:val="Cuerpo"/>
    <w:qFormat/>
    <w:rsid w:val="004F00D5"/>
    <w:pPr>
      <w:spacing w:after="160" w:line="259" w:lineRule="auto"/>
    </w:pPr>
    <w:rPr>
      <w:rFonts w:ascii="Calibri" w:eastAsia="Calibri" w:hAnsi="Calibri" w:cs="Calibri"/>
      <w:color w:val="000000"/>
      <w:sz w:val="22"/>
      <w:szCs w:val="22"/>
      <w:u w:color="000000"/>
      <w:lang w:val="de-DE"/>
    </w:rPr>
  </w:style>
  <w:style w:type="paragraph" w:customStyle="1" w:styleId="INCISO">
    <w:name w:val="INCISO"/>
    <w:basedOn w:val="Normal"/>
    <w:qFormat/>
    <w:rsid w:val="002064B3"/>
    <w:pPr>
      <w:spacing w:after="101" w:line="216" w:lineRule="exact"/>
      <w:ind w:left="1080" w:hanging="360"/>
      <w:jc w:val="both"/>
    </w:pPr>
    <w:rPr>
      <w:rFonts w:ascii="Arial" w:hAnsi="Arial" w:cs="Arial"/>
      <w:sz w:val="18"/>
      <w:szCs w:val="18"/>
      <w:lang w:val="es-ES" w:eastAsia="es-MX"/>
    </w:rPr>
  </w:style>
  <w:style w:type="paragraph" w:customStyle="1" w:styleId="n2">
    <w:name w:val="n2"/>
    <w:basedOn w:val="Normal"/>
    <w:qFormat/>
    <w:rsid w:val="001C4E80"/>
    <w:pPr>
      <w:spacing w:beforeAutospacing="1" w:afterAutospacing="1"/>
    </w:pPr>
    <w:rPr>
      <w:lang w:eastAsia="es-MX"/>
    </w:rPr>
  </w:style>
  <w:style w:type="paragraph" w:customStyle="1" w:styleId="j">
    <w:name w:val="j"/>
    <w:basedOn w:val="Normal"/>
    <w:qFormat/>
    <w:rsid w:val="001C4E80"/>
    <w:pPr>
      <w:spacing w:beforeAutospacing="1" w:afterAutospacing="1"/>
    </w:pPr>
    <w:rPr>
      <w:lang w:eastAsia="es-MX"/>
    </w:rPr>
  </w:style>
  <w:style w:type="paragraph" w:customStyle="1" w:styleId="m5212863947045306324gmail-msonormal">
    <w:name w:val="m_5212863947045306324gmail-msonormal"/>
    <w:basedOn w:val="Normal"/>
    <w:qFormat/>
    <w:rsid w:val="003A73F9"/>
    <w:pPr>
      <w:spacing w:beforeAutospacing="1" w:afterAutospacing="1"/>
    </w:pPr>
    <w:rPr>
      <w:lang w:eastAsia="es-MX"/>
    </w:rPr>
  </w:style>
  <w:style w:type="paragraph" w:styleId="Listaconvietas3">
    <w:name w:val="List Bullet 3"/>
    <w:basedOn w:val="Normal"/>
    <w:uiPriority w:val="99"/>
    <w:unhideWhenUsed/>
    <w:qFormat/>
    <w:rsid w:val="00FC157F"/>
    <w:pPr>
      <w:ind w:left="566" w:hanging="283"/>
      <w:contextualSpacing/>
    </w:pPr>
    <w:rPr>
      <w:lang w:val="es-ES"/>
    </w:rPr>
  </w:style>
  <w:style w:type="paragraph" w:styleId="Listaconvietas4">
    <w:name w:val="List Bullet 4"/>
    <w:basedOn w:val="Normal"/>
    <w:uiPriority w:val="99"/>
    <w:unhideWhenUsed/>
    <w:qFormat/>
    <w:rsid w:val="00FC157F"/>
    <w:pPr>
      <w:ind w:left="849" w:hanging="283"/>
      <w:contextualSpacing/>
    </w:pPr>
    <w:rPr>
      <w:lang w:val="es-ES"/>
    </w:rPr>
  </w:style>
  <w:style w:type="paragraph" w:styleId="Sangradetextonormal">
    <w:name w:val="Body Text Indent"/>
    <w:basedOn w:val="Normal"/>
    <w:link w:val="SangradetextonormalCar"/>
    <w:uiPriority w:val="99"/>
    <w:unhideWhenUsed/>
    <w:rsid w:val="00FC157F"/>
    <w:pPr>
      <w:spacing w:after="120"/>
      <w:ind w:left="283"/>
    </w:pPr>
    <w:rPr>
      <w:lang w:val="es-ES"/>
    </w:rPr>
  </w:style>
  <w:style w:type="paragraph" w:styleId="Textoindependienteprimerasangra2">
    <w:name w:val="Body Text First Indent 2"/>
    <w:basedOn w:val="Sangradetextonormal"/>
    <w:link w:val="Textoindependienteprimerasangra2Car"/>
    <w:uiPriority w:val="99"/>
    <w:unhideWhenUsed/>
    <w:qFormat/>
    <w:rsid w:val="00FC157F"/>
    <w:pPr>
      <w:spacing w:after="0"/>
      <w:ind w:left="360" w:firstLine="360"/>
    </w:pPr>
  </w:style>
  <w:style w:type="paragraph" w:customStyle="1" w:styleId="Text">
    <w:name w:val="Text"/>
    <w:basedOn w:val="Normal"/>
    <w:link w:val="TextChar"/>
    <w:qFormat/>
    <w:rsid w:val="00B93B76"/>
    <w:pPr>
      <w:spacing w:after="240"/>
    </w:pPr>
    <w:rPr>
      <w:szCs w:val="20"/>
      <w:lang w:val="en-US" w:eastAsia="en-US"/>
    </w:rPr>
  </w:style>
  <w:style w:type="paragraph" w:customStyle="1" w:styleId="corte5transcripcion">
    <w:name w:val="corte5 transcripcion"/>
    <w:basedOn w:val="Normal"/>
    <w:qFormat/>
    <w:rsid w:val="00B93B76"/>
    <w:pPr>
      <w:spacing w:line="360" w:lineRule="auto"/>
      <w:ind w:left="709" w:right="709"/>
      <w:jc w:val="both"/>
    </w:pPr>
    <w:rPr>
      <w:rFonts w:ascii="Arial" w:hAnsi="Arial" w:cs="Arial"/>
      <w:b/>
      <w:bCs/>
      <w:i/>
      <w:iCs/>
      <w:sz w:val="30"/>
      <w:szCs w:val="30"/>
      <w:lang w:eastAsia="es-MX"/>
    </w:rPr>
  </w:style>
  <w:style w:type="paragraph" w:customStyle="1" w:styleId="FAFunotente1">
    <w:name w:val="FA Fu?notente1"/>
    <w:basedOn w:val="Normal"/>
    <w:next w:val="Textonotapie"/>
    <w:uiPriority w:val="99"/>
    <w:qFormat/>
    <w:rsid w:val="001D2165"/>
    <w:rPr>
      <w:rFonts w:asciiTheme="minorHAnsi" w:eastAsia="Cambria" w:hAnsiTheme="minorHAnsi" w:cstheme="minorBidi"/>
      <w:sz w:val="20"/>
      <w:szCs w:val="20"/>
      <w:lang w:eastAsia="en-US"/>
    </w:rPr>
  </w:style>
  <w:style w:type="paragraph" w:customStyle="1" w:styleId="paragraph">
    <w:name w:val="paragraph"/>
    <w:basedOn w:val="Normal"/>
    <w:qFormat/>
    <w:rsid w:val="00004C7A"/>
    <w:pPr>
      <w:spacing w:beforeAutospacing="1" w:afterAutospacing="1" w:line="264" w:lineRule="auto"/>
    </w:pPr>
    <w:rPr>
      <w:rFonts w:asciiTheme="minorHAnsi" w:eastAsiaTheme="minorEastAsia" w:hAnsiTheme="minorHAnsi" w:cstheme="minorBidi"/>
      <w:sz w:val="20"/>
      <w:szCs w:val="20"/>
      <w:lang w:eastAsia="es-MX"/>
    </w:rPr>
  </w:style>
  <w:style w:type="numbering" w:customStyle="1" w:styleId="Estiloimportado2">
    <w:name w:val="Estilo importado 2"/>
    <w:qFormat/>
    <w:rsid w:val="008677B6"/>
  </w:style>
  <w:style w:type="numbering" w:customStyle="1" w:styleId="Estiloimportado1">
    <w:name w:val="Estilo importado 1"/>
    <w:qFormat/>
    <w:rsid w:val="00CC7BDB"/>
  </w:style>
  <w:style w:type="table" w:styleId="Tablaconcuadrcula">
    <w:name w:val="Table Grid"/>
    <w:basedOn w:val="Tablanormal"/>
    <w:uiPriority w:val="59"/>
    <w:rsid w:val="00AA48A5"/>
    <w:rPr>
      <w:rFonts w:eastAsiaTheme="minorHAnsi"/>
      <w:sz w:val="22"/>
      <w:szCs w:val="22"/>
      <w:lang w:val="es-MX"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
    <w:name w:val="Tabla con cuadrícula1"/>
    <w:basedOn w:val="Tablanormal"/>
    <w:uiPriority w:val="59"/>
    <w:rsid w:val="00555C12"/>
    <w:rPr>
      <w:sz w:val="22"/>
      <w:szCs w:val="22"/>
      <w:lang w:val="es-E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2">
    <w:name w:val="Tabla con cuadrícula2"/>
    <w:basedOn w:val="Tablanormal"/>
    <w:uiPriority w:val="39"/>
    <w:rsid w:val="00177F5F"/>
    <w:rPr>
      <w:sz w:val="22"/>
      <w:szCs w:val="22"/>
      <w:lang w:val="es-MX"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0.png"/><Relationship Id="rId26" Type="http://schemas.openxmlformats.org/officeDocument/2006/relationships/image" Target="media/image110.png"/><Relationship Id="rId39" Type="http://schemas.openxmlformats.org/officeDocument/2006/relationships/fontTable" Target="fontTable.xml"/><Relationship Id="rId21" Type="http://schemas.openxmlformats.org/officeDocument/2006/relationships/image" Target="media/image9.png"/><Relationship Id="rId34" Type="http://schemas.openxmlformats.org/officeDocument/2006/relationships/image" Target="media/image150.png"/><Relationship Id="rId7" Type="http://schemas.openxmlformats.org/officeDocument/2006/relationships/endnotes" Target="endnotes.xml"/><Relationship Id="rId12" Type="http://schemas.openxmlformats.org/officeDocument/2006/relationships/image" Target="media/image40.pn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0.png"/><Relationship Id="rId20" Type="http://schemas.openxmlformats.org/officeDocument/2006/relationships/image" Target="media/image80.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00.png"/><Relationship Id="rId32" Type="http://schemas.openxmlformats.org/officeDocument/2006/relationships/image" Target="media/image140.png"/><Relationship Id="rId37" Type="http://schemas.openxmlformats.org/officeDocument/2006/relationships/header" Target="header2.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20.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0.png"/><Relationship Id="rId22" Type="http://schemas.openxmlformats.org/officeDocument/2006/relationships/image" Target="media/image90.png"/><Relationship Id="rId27" Type="http://schemas.openxmlformats.org/officeDocument/2006/relationships/image" Target="media/image12.png"/><Relationship Id="rId30" Type="http://schemas.openxmlformats.org/officeDocument/2006/relationships/image" Target="media/image130.png"/><Relationship Id="rId35" Type="http://schemas.openxmlformats.org/officeDocument/2006/relationships/header" Target="header1.xml"/><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jpeg"/></Relationships>
</file>

<file path=word/_rels/header2.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BADD7C-2F51-40AB-B903-4287B5B310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8602</Words>
  <Characters>47313</Characters>
  <Application>Microsoft Office Word</Application>
  <DocSecurity>0</DocSecurity>
  <Lines>394</Lines>
  <Paragraphs>111</Paragraphs>
  <ScaleCrop>false</ScaleCrop>
  <HeadingPairs>
    <vt:vector size="2" baseType="variant">
      <vt:variant>
        <vt:lpstr>Título</vt:lpstr>
      </vt:variant>
      <vt:variant>
        <vt:i4>1</vt:i4>
      </vt:variant>
    </vt:vector>
  </HeadingPairs>
  <TitlesOfParts>
    <vt:vector size="1" baseType="lpstr">
      <vt:lpstr/>
    </vt:vector>
  </TitlesOfParts>
  <Company>INFOEM</Company>
  <LinksUpToDate>false</LinksUpToDate>
  <CharactersWithSpaces>55804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dc:description/>
  <cp:lastModifiedBy>A cid</cp:lastModifiedBy>
  <cp:revision>2</cp:revision>
  <cp:lastPrinted>2020-01-22T19:55:00Z</cp:lastPrinted>
  <dcterms:created xsi:type="dcterms:W3CDTF">2020-09-28T18:59:00Z</dcterms:created>
  <dcterms:modified xsi:type="dcterms:W3CDTF">2020-09-28T18:59:00Z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