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9F7A" w14:textId="64549F2C" w:rsidR="00A82E6A" w:rsidRPr="008B2751" w:rsidRDefault="00A07784" w:rsidP="008B2751">
      <w:pPr>
        <w:spacing w:line="360" w:lineRule="auto"/>
        <w:jc w:val="center"/>
        <w:rPr>
          <w:rFonts w:ascii="Palatino Linotype" w:hAnsi="Palatino Linotype"/>
          <w:b/>
        </w:rPr>
      </w:pPr>
      <w:r w:rsidRPr="008B2751">
        <w:rPr>
          <w:rFonts w:ascii="Palatino Linotype" w:hAnsi="Palatino Linotype"/>
          <w:b/>
        </w:rPr>
        <w:t>LÍNEAS ARGUMENTATIVAS</w:t>
      </w:r>
    </w:p>
    <w:p w14:paraId="19D6EFEB" w14:textId="77777777" w:rsidR="00A07784" w:rsidRPr="008B2751" w:rsidRDefault="00A07784" w:rsidP="008B2751">
      <w:pPr>
        <w:spacing w:line="360" w:lineRule="auto"/>
        <w:jc w:val="center"/>
        <w:rPr>
          <w:rFonts w:ascii="Palatino Linotype" w:hAnsi="Palatino Linotype"/>
          <w:b/>
        </w:rPr>
      </w:pPr>
    </w:p>
    <w:p w14:paraId="467BF1D2" w14:textId="77777777" w:rsidR="00A82E6A" w:rsidRPr="008B2751" w:rsidRDefault="00A82E6A" w:rsidP="008B2751">
      <w:pPr>
        <w:tabs>
          <w:tab w:val="left" w:pos="567"/>
        </w:tabs>
        <w:spacing w:line="360" w:lineRule="auto"/>
        <w:jc w:val="both"/>
        <w:rPr>
          <w:rFonts w:ascii="Palatino Linotype" w:hAnsi="Palatino Linotype"/>
          <w:lang w:eastAsia="es-MX"/>
        </w:rPr>
      </w:pPr>
      <w:r w:rsidRPr="008B2751">
        <w:rPr>
          <w:rFonts w:ascii="Palatino Linotype" w:hAnsi="Palatino Linotype"/>
          <w:b/>
        </w:rPr>
        <w:t xml:space="preserve">RESPUESTAS IMPRECISAS O INCOMPLETAS, DEBER DE REPARACIÓN. </w:t>
      </w:r>
      <w:r w:rsidRPr="008B2751">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BF8F1B6" w14:textId="77777777" w:rsidR="00A82E6A" w:rsidRPr="008B2751" w:rsidRDefault="00A82E6A" w:rsidP="008B2751">
      <w:pPr>
        <w:tabs>
          <w:tab w:val="left" w:pos="567"/>
        </w:tabs>
        <w:spacing w:line="360" w:lineRule="auto"/>
        <w:jc w:val="both"/>
        <w:rPr>
          <w:rFonts w:ascii="Palatino Linotype" w:hAnsi="Palatino Linotype"/>
          <w:lang w:eastAsia="es-MX"/>
        </w:rPr>
      </w:pPr>
    </w:p>
    <w:p w14:paraId="385DA697" w14:textId="77777777" w:rsidR="00A82E6A" w:rsidRPr="008B2751" w:rsidRDefault="00A82E6A" w:rsidP="008B2751">
      <w:pPr>
        <w:spacing w:line="360" w:lineRule="auto"/>
        <w:jc w:val="both"/>
        <w:rPr>
          <w:rFonts w:ascii="Palatino Linotype" w:hAnsi="Palatino Linotype" w:cs="Arial"/>
        </w:rPr>
      </w:pPr>
      <w:r w:rsidRPr="008B2751">
        <w:rPr>
          <w:rFonts w:ascii="Palatino Linotype" w:hAnsi="Palatino Linotype" w:cs="Arial"/>
          <w:b/>
        </w:rPr>
        <w:t>MODIFICACIÓN DEL ACTO IMPUGNADO, SOBRESEIMIENTO DEL RECURSO POR</w:t>
      </w:r>
      <w:r w:rsidRPr="008B2751">
        <w:rPr>
          <w:rFonts w:ascii="Palatino Linotype" w:hAnsi="Palatino Linotype" w:cs="Arial"/>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BCCAFAA" w14:textId="77777777" w:rsidR="00A82E6A" w:rsidRPr="008B2751" w:rsidRDefault="00A82E6A" w:rsidP="008B2751">
      <w:pPr>
        <w:tabs>
          <w:tab w:val="left" w:pos="567"/>
        </w:tabs>
        <w:spacing w:line="360" w:lineRule="auto"/>
        <w:jc w:val="both"/>
        <w:rPr>
          <w:rFonts w:ascii="Palatino Linotype" w:eastAsia="Calibri" w:hAnsi="Palatino Linotype" w:cs="Times New Roman"/>
          <w:b/>
        </w:rPr>
      </w:pPr>
    </w:p>
    <w:p w14:paraId="5F5E30ED" w14:textId="10B96327" w:rsidR="00BE544F" w:rsidRPr="008B2751" w:rsidRDefault="00A82E6A" w:rsidP="008B2751">
      <w:pPr>
        <w:tabs>
          <w:tab w:val="left" w:pos="567"/>
        </w:tabs>
        <w:spacing w:line="360" w:lineRule="auto"/>
        <w:jc w:val="both"/>
        <w:rPr>
          <w:rFonts w:ascii="Palatino Linotype" w:eastAsia="Calibri" w:hAnsi="Palatino Linotype" w:cs="Times New Roman"/>
        </w:rPr>
      </w:pPr>
      <w:r w:rsidRPr="008B2751">
        <w:rPr>
          <w:rFonts w:ascii="Palatino Linotype" w:eastAsia="Calibri" w:hAnsi="Palatino Linotype" w:cs="Times New Roman"/>
          <w:b/>
        </w:rPr>
        <w:t xml:space="preserve">SOBRESEIMIENTO, RAZONES PARA SU ACTUALIZACIÓN. </w:t>
      </w:r>
      <w:r w:rsidRPr="008B2751">
        <w:rPr>
          <w:rFonts w:ascii="Palatino Linotype" w:eastAsia="Calibri" w:hAnsi="Palatino Linotype" w:cs="Times New Roman"/>
        </w:rPr>
        <w:t xml:space="preserve">Para que se actualice el sobreseimiento de un recurso de revisión,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331D936E" w14:textId="77777777" w:rsidR="00A82E6A" w:rsidRPr="008B2751" w:rsidRDefault="00A82E6A" w:rsidP="008B2751">
      <w:pPr>
        <w:tabs>
          <w:tab w:val="left" w:pos="567"/>
        </w:tabs>
        <w:spacing w:line="360" w:lineRule="auto"/>
        <w:jc w:val="both"/>
        <w:rPr>
          <w:rFonts w:ascii="Palatino Linotype" w:eastAsia="Calibri" w:hAnsi="Palatino Linotype" w:cs="Times New Roman"/>
        </w:rPr>
      </w:pPr>
    </w:p>
    <w:p w14:paraId="7DC27308" w14:textId="4C836D41" w:rsidR="003D3F30" w:rsidRPr="008B2751" w:rsidRDefault="003D3F30" w:rsidP="008B2751">
      <w:pPr>
        <w:spacing w:line="360" w:lineRule="auto"/>
        <w:rPr>
          <w:rFonts w:ascii="Palatino Linotype" w:hAnsi="Palatino Linotype"/>
        </w:rPr>
      </w:pPr>
    </w:p>
    <w:p w14:paraId="31137936" w14:textId="302D1D0F" w:rsidR="00BC61B2" w:rsidRPr="008B2751" w:rsidRDefault="00A20B1F" w:rsidP="008B2751">
      <w:pPr>
        <w:spacing w:line="360" w:lineRule="auto"/>
        <w:jc w:val="center"/>
        <w:rPr>
          <w:rFonts w:ascii="Palatino Linotype" w:eastAsia="Times New Roman" w:hAnsi="Palatino Linotype" w:cs="Times New Roman"/>
          <w:b/>
        </w:rPr>
      </w:pPr>
      <w:r w:rsidRPr="008B2751">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8B2751" w:rsidRDefault="00DA7E2F" w:rsidP="008B2751">
          <w:pPr>
            <w:pStyle w:val="TtulodeTDC"/>
            <w:spacing w:before="0" w:line="360" w:lineRule="auto"/>
          </w:pPr>
        </w:p>
        <w:p w14:paraId="5B61E650" w14:textId="302DE334" w:rsidR="008B2751" w:rsidRPr="008B2751" w:rsidRDefault="00DA7E2F">
          <w:pPr>
            <w:pStyle w:val="TDC1"/>
            <w:rPr>
              <w:rFonts w:ascii="Palatino Linotype" w:hAnsi="Palatino Linotype"/>
              <w:b/>
              <w:bCs/>
              <w:noProof/>
              <w:sz w:val="22"/>
              <w:szCs w:val="22"/>
              <w:lang w:val="es-MX" w:eastAsia="es-MX"/>
            </w:rPr>
          </w:pPr>
          <w:r w:rsidRPr="008B2751">
            <w:rPr>
              <w:rFonts w:ascii="Palatino Linotype" w:hAnsi="Palatino Linotype"/>
              <w:b/>
              <w:bCs/>
            </w:rPr>
            <w:fldChar w:fldCharType="begin"/>
          </w:r>
          <w:r w:rsidRPr="008B2751">
            <w:rPr>
              <w:rFonts w:ascii="Palatino Linotype" w:hAnsi="Palatino Linotype"/>
              <w:b/>
              <w:bCs/>
            </w:rPr>
            <w:instrText xml:space="preserve"> TOC \o "1-3" \h \z \u </w:instrText>
          </w:r>
          <w:r w:rsidRPr="008B2751">
            <w:rPr>
              <w:rFonts w:ascii="Palatino Linotype" w:hAnsi="Palatino Linotype"/>
              <w:b/>
              <w:bCs/>
            </w:rPr>
            <w:fldChar w:fldCharType="separate"/>
          </w:r>
          <w:hyperlink w:anchor="_Toc30616316" w:history="1">
            <w:r w:rsidR="008B2751" w:rsidRPr="008B2751">
              <w:rPr>
                <w:rStyle w:val="Hipervnculo"/>
                <w:rFonts w:ascii="Palatino Linotype" w:eastAsia="Times New Roman" w:hAnsi="Palatino Linotype" w:cs="Times New Roman"/>
                <w:b/>
                <w:bCs/>
                <w:noProof/>
                <w:lang w:val="es-MX" w:eastAsia="en-US"/>
              </w:rPr>
              <w:t>ANTECEDENTES</w:t>
            </w:r>
            <w:r w:rsidR="008B2751" w:rsidRPr="008B2751">
              <w:rPr>
                <w:rFonts w:ascii="Palatino Linotype" w:hAnsi="Palatino Linotype"/>
                <w:b/>
                <w:bCs/>
                <w:noProof/>
                <w:webHidden/>
              </w:rPr>
              <w:tab/>
            </w:r>
            <w:r w:rsidR="008B2751" w:rsidRPr="008B2751">
              <w:rPr>
                <w:rFonts w:ascii="Palatino Linotype" w:hAnsi="Palatino Linotype"/>
                <w:b/>
                <w:bCs/>
                <w:noProof/>
                <w:webHidden/>
              </w:rPr>
              <w:fldChar w:fldCharType="begin"/>
            </w:r>
            <w:r w:rsidR="008B2751" w:rsidRPr="008B2751">
              <w:rPr>
                <w:rFonts w:ascii="Palatino Linotype" w:hAnsi="Palatino Linotype"/>
                <w:b/>
                <w:bCs/>
                <w:noProof/>
                <w:webHidden/>
              </w:rPr>
              <w:instrText xml:space="preserve"> PAGEREF _Toc30616316 \h </w:instrText>
            </w:r>
            <w:r w:rsidR="008B2751" w:rsidRPr="008B2751">
              <w:rPr>
                <w:rFonts w:ascii="Palatino Linotype" w:hAnsi="Palatino Linotype"/>
                <w:b/>
                <w:bCs/>
                <w:noProof/>
                <w:webHidden/>
              </w:rPr>
            </w:r>
            <w:r w:rsidR="008B2751" w:rsidRPr="008B2751">
              <w:rPr>
                <w:rFonts w:ascii="Palatino Linotype" w:hAnsi="Palatino Linotype"/>
                <w:b/>
                <w:bCs/>
                <w:noProof/>
                <w:webHidden/>
              </w:rPr>
              <w:fldChar w:fldCharType="separate"/>
            </w:r>
            <w:r w:rsidR="008B2751">
              <w:rPr>
                <w:rFonts w:ascii="Palatino Linotype" w:hAnsi="Palatino Linotype"/>
                <w:b/>
                <w:bCs/>
                <w:noProof/>
                <w:webHidden/>
              </w:rPr>
              <w:t>3</w:t>
            </w:r>
            <w:r w:rsidR="008B2751" w:rsidRPr="008B2751">
              <w:rPr>
                <w:rFonts w:ascii="Palatino Linotype" w:hAnsi="Palatino Linotype"/>
                <w:b/>
                <w:bCs/>
                <w:noProof/>
                <w:webHidden/>
              </w:rPr>
              <w:fldChar w:fldCharType="end"/>
            </w:r>
          </w:hyperlink>
        </w:p>
        <w:p w14:paraId="55CD62C4" w14:textId="130C0D34" w:rsidR="008B2751" w:rsidRPr="008B2751" w:rsidRDefault="00B27180">
          <w:pPr>
            <w:pStyle w:val="TDC1"/>
            <w:rPr>
              <w:rFonts w:ascii="Palatino Linotype" w:hAnsi="Palatino Linotype"/>
              <w:b/>
              <w:bCs/>
              <w:noProof/>
              <w:sz w:val="22"/>
              <w:szCs w:val="22"/>
              <w:lang w:val="es-MX" w:eastAsia="es-MX"/>
            </w:rPr>
          </w:pPr>
          <w:hyperlink w:anchor="_Toc30616317" w:history="1">
            <w:r w:rsidR="008B2751" w:rsidRPr="008B2751">
              <w:rPr>
                <w:rStyle w:val="Hipervnculo"/>
                <w:rFonts w:ascii="Palatino Linotype" w:eastAsia="MS Gothic" w:hAnsi="Palatino Linotype" w:cs="Times New Roman"/>
                <w:b/>
                <w:bCs/>
                <w:noProof/>
                <w:lang w:val="es-MX" w:eastAsia="en-US"/>
              </w:rPr>
              <w:t>CONSIDERANDO</w:t>
            </w:r>
            <w:r w:rsidR="008B2751" w:rsidRPr="008B2751">
              <w:rPr>
                <w:rFonts w:ascii="Palatino Linotype" w:hAnsi="Palatino Linotype"/>
                <w:b/>
                <w:bCs/>
                <w:noProof/>
                <w:webHidden/>
              </w:rPr>
              <w:tab/>
            </w:r>
            <w:r w:rsidR="008B2751" w:rsidRPr="008B2751">
              <w:rPr>
                <w:rFonts w:ascii="Palatino Linotype" w:hAnsi="Palatino Linotype"/>
                <w:b/>
                <w:bCs/>
                <w:noProof/>
                <w:webHidden/>
              </w:rPr>
              <w:fldChar w:fldCharType="begin"/>
            </w:r>
            <w:r w:rsidR="008B2751" w:rsidRPr="008B2751">
              <w:rPr>
                <w:rFonts w:ascii="Palatino Linotype" w:hAnsi="Palatino Linotype"/>
                <w:b/>
                <w:bCs/>
                <w:noProof/>
                <w:webHidden/>
              </w:rPr>
              <w:instrText xml:space="preserve"> PAGEREF _Toc30616317 \h </w:instrText>
            </w:r>
            <w:r w:rsidR="008B2751" w:rsidRPr="008B2751">
              <w:rPr>
                <w:rFonts w:ascii="Palatino Linotype" w:hAnsi="Palatino Linotype"/>
                <w:b/>
                <w:bCs/>
                <w:noProof/>
                <w:webHidden/>
              </w:rPr>
            </w:r>
            <w:r w:rsidR="008B2751" w:rsidRPr="008B2751">
              <w:rPr>
                <w:rFonts w:ascii="Palatino Linotype" w:hAnsi="Palatino Linotype"/>
                <w:b/>
                <w:bCs/>
                <w:noProof/>
                <w:webHidden/>
              </w:rPr>
              <w:fldChar w:fldCharType="separate"/>
            </w:r>
            <w:r w:rsidR="008B2751">
              <w:rPr>
                <w:rFonts w:ascii="Palatino Linotype" w:hAnsi="Palatino Linotype"/>
                <w:b/>
                <w:bCs/>
                <w:noProof/>
                <w:webHidden/>
              </w:rPr>
              <w:t>7</w:t>
            </w:r>
            <w:r w:rsidR="008B2751" w:rsidRPr="008B2751">
              <w:rPr>
                <w:rFonts w:ascii="Palatino Linotype" w:hAnsi="Palatino Linotype"/>
                <w:b/>
                <w:bCs/>
                <w:noProof/>
                <w:webHidden/>
              </w:rPr>
              <w:fldChar w:fldCharType="end"/>
            </w:r>
          </w:hyperlink>
        </w:p>
        <w:p w14:paraId="4352D750" w14:textId="0C01C3C9" w:rsidR="008B2751" w:rsidRPr="008B2751" w:rsidRDefault="00B27180">
          <w:pPr>
            <w:pStyle w:val="TDC2"/>
            <w:rPr>
              <w:rFonts w:ascii="Palatino Linotype" w:hAnsi="Palatino Linotype"/>
              <w:b/>
              <w:bCs/>
              <w:noProof/>
              <w:sz w:val="22"/>
              <w:szCs w:val="22"/>
              <w:lang w:val="es-MX" w:eastAsia="es-MX"/>
            </w:rPr>
          </w:pPr>
          <w:hyperlink w:anchor="_Toc30616318" w:history="1">
            <w:r w:rsidR="008B2751" w:rsidRPr="008B2751">
              <w:rPr>
                <w:rStyle w:val="Hipervnculo"/>
                <w:rFonts w:ascii="Palatino Linotype" w:eastAsia="MS Gothic" w:hAnsi="Palatino Linotype" w:cs="Times New Roman"/>
                <w:b/>
                <w:bCs/>
                <w:noProof/>
                <w:lang w:val="es-MX" w:eastAsia="en-US"/>
              </w:rPr>
              <w:t>PRIMERO. De la competencia.</w:t>
            </w:r>
            <w:r w:rsidR="008B2751" w:rsidRPr="008B2751">
              <w:rPr>
                <w:rFonts w:ascii="Palatino Linotype" w:hAnsi="Palatino Linotype"/>
                <w:b/>
                <w:bCs/>
                <w:noProof/>
                <w:webHidden/>
              </w:rPr>
              <w:tab/>
            </w:r>
            <w:r w:rsidR="008B2751" w:rsidRPr="008B2751">
              <w:rPr>
                <w:rFonts w:ascii="Palatino Linotype" w:hAnsi="Palatino Linotype"/>
                <w:b/>
                <w:bCs/>
                <w:noProof/>
                <w:webHidden/>
              </w:rPr>
              <w:fldChar w:fldCharType="begin"/>
            </w:r>
            <w:r w:rsidR="008B2751" w:rsidRPr="008B2751">
              <w:rPr>
                <w:rFonts w:ascii="Palatino Linotype" w:hAnsi="Palatino Linotype"/>
                <w:b/>
                <w:bCs/>
                <w:noProof/>
                <w:webHidden/>
              </w:rPr>
              <w:instrText xml:space="preserve"> PAGEREF _Toc30616318 \h </w:instrText>
            </w:r>
            <w:r w:rsidR="008B2751" w:rsidRPr="008B2751">
              <w:rPr>
                <w:rFonts w:ascii="Palatino Linotype" w:hAnsi="Palatino Linotype"/>
                <w:b/>
                <w:bCs/>
                <w:noProof/>
                <w:webHidden/>
              </w:rPr>
            </w:r>
            <w:r w:rsidR="008B2751" w:rsidRPr="008B2751">
              <w:rPr>
                <w:rFonts w:ascii="Palatino Linotype" w:hAnsi="Palatino Linotype"/>
                <w:b/>
                <w:bCs/>
                <w:noProof/>
                <w:webHidden/>
              </w:rPr>
              <w:fldChar w:fldCharType="separate"/>
            </w:r>
            <w:r w:rsidR="008B2751">
              <w:rPr>
                <w:rFonts w:ascii="Palatino Linotype" w:hAnsi="Palatino Linotype"/>
                <w:b/>
                <w:bCs/>
                <w:noProof/>
                <w:webHidden/>
              </w:rPr>
              <w:t>7</w:t>
            </w:r>
            <w:r w:rsidR="008B2751" w:rsidRPr="008B2751">
              <w:rPr>
                <w:rFonts w:ascii="Palatino Linotype" w:hAnsi="Palatino Linotype"/>
                <w:b/>
                <w:bCs/>
                <w:noProof/>
                <w:webHidden/>
              </w:rPr>
              <w:fldChar w:fldCharType="end"/>
            </w:r>
          </w:hyperlink>
        </w:p>
        <w:p w14:paraId="5C1AF74C" w14:textId="0D63F11A" w:rsidR="008B2751" w:rsidRPr="008B2751" w:rsidRDefault="00B27180">
          <w:pPr>
            <w:pStyle w:val="TDC2"/>
            <w:rPr>
              <w:rFonts w:ascii="Palatino Linotype" w:hAnsi="Palatino Linotype"/>
              <w:b/>
              <w:bCs/>
              <w:noProof/>
              <w:sz w:val="22"/>
              <w:szCs w:val="22"/>
              <w:lang w:val="es-MX" w:eastAsia="es-MX"/>
            </w:rPr>
          </w:pPr>
          <w:hyperlink w:anchor="_Toc30616319" w:history="1">
            <w:r w:rsidR="008B2751" w:rsidRPr="008B2751">
              <w:rPr>
                <w:rStyle w:val="Hipervnculo"/>
                <w:rFonts w:ascii="Palatino Linotype" w:eastAsia="MS Gothic" w:hAnsi="Palatino Linotype" w:cs="Times New Roman"/>
                <w:b/>
                <w:bCs/>
                <w:noProof/>
                <w:lang w:val="es-MX" w:eastAsia="en-US"/>
              </w:rPr>
              <w:t>SEGUNDO. De la oportunidad y procedencia.</w:t>
            </w:r>
            <w:r w:rsidR="008B2751" w:rsidRPr="008B2751">
              <w:rPr>
                <w:rFonts w:ascii="Palatino Linotype" w:hAnsi="Palatino Linotype"/>
                <w:b/>
                <w:bCs/>
                <w:noProof/>
                <w:webHidden/>
              </w:rPr>
              <w:tab/>
            </w:r>
            <w:r w:rsidR="008B2751" w:rsidRPr="008B2751">
              <w:rPr>
                <w:rFonts w:ascii="Palatino Linotype" w:hAnsi="Palatino Linotype"/>
                <w:b/>
                <w:bCs/>
                <w:noProof/>
                <w:webHidden/>
              </w:rPr>
              <w:fldChar w:fldCharType="begin"/>
            </w:r>
            <w:r w:rsidR="008B2751" w:rsidRPr="008B2751">
              <w:rPr>
                <w:rFonts w:ascii="Palatino Linotype" w:hAnsi="Palatino Linotype"/>
                <w:b/>
                <w:bCs/>
                <w:noProof/>
                <w:webHidden/>
              </w:rPr>
              <w:instrText xml:space="preserve"> PAGEREF _Toc30616319 \h </w:instrText>
            </w:r>
            <w:r w:rsidR="008B2751" w:rsidRPr="008B2751">
              <w:rPr>
                <w:rFonts w:ascii="Palatino Linotype" w:hAnsi="Palatino Linotype"/>
                <w:b/>
                <w:bCs/>
                <w:noProof/>
                <w:webHidden/>
              </w:rPr>
            </w:r>
            <w:r w:rsidR="008B2751" w:rsidRPr="008B2751">
              <w:rPr>
                <w:rFonts w:ascii="Palatino Linotype" w:hAnsi="Palatino Linotype"/>
                <w:b/>
                <w:bCs/>
                <w:noProof/>
                <w:webHidden/>
              </w:rPr>
              <w:fldChar w:fldCharType="separate"/>
            </w:r>
            <w:r w:rsidR="008B2751">
              <w:rPr>
                <w:rFonts w:ascii="Palatino Linotype" w:hAnsi="Palatino Linotype"/>
                <w:b/>
                <w:bCs/>
                <w:noProof/>
                <w:webHidden/>
              </w:rPr>
              <w:t>7</w:t>
            </w:r>
            <w:r w:rsidR="008B2751" w:rsidRPr="008B2751">
              <w:rPr>
                <w:rFonts w:ascii="Palatino Linotype" w:hAnsi="Palatino Linotype"/>
                <w:b/>
                <w:bCs/>
                <w:noProof/>
                <w:webHidden/>
              </w:rPr>
              <w:fldChar w:fldCharType="end"/>
            </w:r>
          </w:hyperlink>
        </w:p>
        <w:p w14:paraId="118DF348" w14:textId="05A1F894" w:rsidR="008B2751" w:rsidRPr="008B2751" w:rsidRDefault="00B27180">
          <w:pPr>
            <w:pStyle w:val="TDC1"/>
            <w:rPr>
              <w:rFonts w:ascii="Palatino Linotype" w:hAnsi="Palatino Linotype"/>
              <w:b/>
              <w:bCs/>
              <w:noProof/>
              <w:sz w:val="22"/>
              <w:szCs w:val="22"/>
              <w:lang w:val="es-MX" w:eastAsia="es-MX"/>
            </w:rPr>
          </w:pPr>
          <w:hyperlink w:anchor="_Toc30616320" w:history="1">
            <w:r w:rsidR="008B2751" w:rsidRPr="008B2751">
              <w:rPr>
                <w:rStyle w:val="Hipervnculo"/>
                <w:rFonts w:ascii="Palatino Linotype" w:eastAsia="Times New Roman" w:hAnsi="Palatino Linotype" w:cs="Times New Roman"/>
                <w:b/>
                <w:bCs/>
                <w:noProof/>
                <w:lang w:val="es-MX" w:eastAsia="en-US"/>
              </w:rPr>
              <w:t>TERCERO. De las causales de sobreseimiento.</w:t>
            </w:r>
            <w:r w:rsidR="008B2751" w:rsidRPr="008B2751">
              <w:rPr>
                <w:rFonts w:ascii="Palatino Linotype" w:hAnsi="Palatino Linotype"/>
                <w:b/>
                <w:bCs/>
                <w:noProof/>
                <w:webHidden/>
              </w:rPr>
              <w:tab/>
            </w:r>
            <w:r w:rsidR="008B2751" w:rsidRPr="008B2751">
              <w:rPr>
                <w:rFonts w:ascii="Palatino Linotype" w:hAnsi="Palatino Linotype"/>
                <w:b/>
                <w:bCs/>
                <w:noProof/>
                <w:webHidden/>
              </w:rPr>
              <w:fldChar w:fldCharType="begin"/>
            </w:r>
            <w:r w:rsidR="008B2751" w:rsidRPr="008B2751">
              <w:rPr>
                <w:rFonts w:ascii="Palatino Linotype" w:hAnsi="Palatino Linotype"/>
                <w:b/>
                <w:bCs/>
                <w:noProof/>
                <w:webHidden/>
              </w:rPr>
              <w:instrText xml:space="preserve"> PAGEREF _Toc30616320 \h </w:instrText>
            </w:r>
            <w:r w:rsidR="008B2751" w:rsidRPr="008B2751">
              <w:rPr>
                <w:rFonts w:ascii="Palatino Linotype" w:hAnsi="Palatino Linotype"/>
                <w:b/>
                <w:bCs/>
                <w:noProof/>
                <w:webHidden/>
              </w:rPr>
            </w:r>
            <w:r w:rsidR="008B2751" w:rsidRPr="008B2751">
              <w:rPr>
                <w:rFonts w:ascii="Palatino Linotype" w:hAnsi="Palatino Linotype"/>
                <w:b/>
                <w:bCs/>
                <w:noProof/>
                <w:webHidden/>
              </w:rPr>
              <w:fldChar w:fldCharType="separate"/>
            </w:r>
            <w:r w:rsidR="008B2751">
              <w:rPr>
                <w:rFonts w:ascii="Palatino Linotype" w:hAnsi="Palatino Linotype"/>
                <w:b/>
                <w:bCs/>
                <w:noProof/>
                <w:webHidden/>
              </w:rPr>
              <w:t>10</w:t>
            </w:r>
            <w:r w:rsidR="008B2751" w:rsidRPr="008B2751">
              <w:rPr>
                <w:rFonts w:ascii="Palatino Linotype" w:hAnsi="Palatino Linotype"/>
                <w:b/>
                <w:bCs/>
                <w:noProof/>
                <w:webHidden/>
              </w:rPr>
              <w:fldChar w:fldCharType="end"/>
            </w:r>
          </w:hyperlink>
        </w:p>
        <w:p w14:paraId="0DBACE60" w14:textId="2BDBD7AA" w:rsidR="008B2751" w:rsidRPr="008B2751" w:rsidRDefault="008B2751">
          <w:pPr>
            <w:pStyle w:val="TDC1"/>
            <w:rPr>
              <w:rFonts w:ascii="Palatino Linotype" w:hAnsi="Palatino Linotype"/>
              <w:b/>
              <w:bCs/>
              <w:noProof/>
              <w:sz w:val="22"/>
              <w:szCs w:val="22"/>
              <w:lang w:val="es-MX" w:eastAsia="es-MX"/>
            </w:rPr>
          </w:pPr>
          <w:r>
            <w:rPr>
              <w:rFonts w:ascii="Palatino Linotype" w:hAnsi="Palatino Linotype"/>
              <w:b/>
              <w:bCs/>
              <w:noProof/>
              <w:color w:val="0000FF" w:themeColor="hyperlink"/>
              <w:u w:val="single"/>
              <w:lang w:val="es-MX" w:eastAsia="es-MX"/>
            </w:rPr>
            <mc:AlternateContent>
              <mc:Choice Requires="wps">
                <w:drawing>
                  <wp:anchor distT="0" distB="0" distL="114300" distR="114300" simplePos="0" relativeHeight="251663360" behindDoc="0" locked="0" layoutInCell="1" allowOverlap="1" wp14:anchorId="33893A1C" wp14:editId="5702C867">
                    <wp:simplePos x="0" y="0"/>
                    <wp:positionH relativeFrom="column">
                      <wp:posOffset>316586</wp:posOffset>
                    </wp:positionH>
                    <wp:positionV relativeFrom="paragraph">
                      <wp:posOffset>349725</wp:posOffset>
                    </wp:positionV>
                    <wp:extent cx="5275384" cy="3999243"/>
                    <wp:effectExtent l="76200" t="57150" r="59055" b="77470"/>
                    <wp:wrapNone/>
                    <wp:docPr id="5" name="Conector recto 5"/>
                    <wp:cNvGraphicFramePr/>
                    <a:graphic xmlns:a="http://schemas.openxmlformats.org/drawingml/2006/main">
                      <a:graphicData uri="http://schemas.microsoft.com/office/word/2010/wordprocessingShape">
                        <wps:wsp>
                          <wps:cNvCnPr/>
                          <wps:spPr>
                            <a:xfrm flipH="1" flipV="1">
                              <a:off x="0" y="0"/>
                              <a:ext cx="5275384" cy="399924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C6DE9E6" id="Conector recto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4.95pt,27.55pt" to="440.35pt,3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" strokecolor="#4f81bd [3204]" strokeweight="3pt">
                    <v:shadow on="t" color="black" opacity="24903f" origin=",.5" offset="0,.55556mm"/>
                  </v:line>
                </w:pict>
              </mc:Fallback>
            </mc:AlternateContent>
          </w:r>
          <w:hyperlink w:anchor="_Toc30616321" w:history="1">
            <w:r w:rsidRPr="008B2751">
              <w:rPr>
                <w:rStyle w:val="Hipervnculo"/>
                <w:rFonts w:ascii="Palatino Linotype" w:eastAsiaTheme="majorEastAsia" w:hAnsi="Palatino Linotype" w:cstheme="majorBidi"/>
                <w:b/>
                <w:bCs/>
                <w:noProof/>
                <w:lang w:val="es-MX" w:eastAsia="en-US"/>
              </w:rPr>
              <w:t>R E S O L U T I V O S</w:t>
            </w:r>
            <w:r w:rsidRPr="008B2751">
              <w:rPr>
                <w:rFonts w:ascii="Palatino Linotype" w:hAnsi="Palatino Linotype"/>
                <w:b/>
                <w:bCs/>
                <w:noProof/>
                <w:webHidden/>
              </w:rPr>
              <w:tab/>
            </w:r>
            <w:r w:rsidRPr="008B2751">
              <w:rPr>
                <w:rFonts w:ascii="Palatino Linotype" w:hAnsi="Palatino Linotype"/>
                <w:b/>
                <w:bCs/>
                <w:noProof/>
                <w:webHidden/>
              </w:rPr>
              <w:fldChar w:fldCharType="begin"/>
            </w:r>
            <w:r w:rsidRPr="008B2751">
              <w:rPr>
                <w:rFonts w:ascii="Palatino Linotype" w:hAnsi="Palatino Linotype"/>
                <w:b/>
                <w:bCs/>
                <w:noProof/>
                <w:webHidden/>
              </w:rPr>
              <w:instrText xml:space="preserve"> PAGEREF _Toc30616321 \h </w:instrText>
            </w:r>
            <w:r w:rsidRPr="008B2751">
              <w:rPr>
                <w:rFonts w:ascii="Palatino Linotype" w:hAnsi="Palatino Linotype"/>
                <w:b/>
                <w:bCs/>
                <w:noProof/>
                <w:webHidden/>
              </w:rPr>
            </w:r>
            <w:r w:rsidRPr="008B2751">
              <w:rPr>
                <w:rFonts w:ascii="Palatino Linotype" w:hAnsi="Palatino Linotype"/>
                <w:b/>
                <w:bCs/>
                <w:noProof/>
                <w:webHidden/>
              </w:rPr>
              <w:fldChar w:fldCharType="separate"/>
            </w:r>
            <w:r>
              <w:rPr>
                <w:rFonts w:ascii="Palatino Linotype" w:hAnsi="Palatino Linotype"/>
                <w:b/>
                <w:bCs/>
                <w:noProof/>
                <w:webHidden/>
              </w:rPr>
              <w:t>21</w:t>
            </w:r>
            <w:r w:rsidRPr="008B2751">
              <w:rPr>
                <w:rFonts w:ascii="Palatino Linotype" w:hAnsi="Palatino Linotype"/>
                <w:b/>
                <w:bCs/>
                <w:noProof/>
                <w:webHidden/>
              </w:rPr>
              <w:fldChar w:fldCharType="end"/>
            </w:r>
          </w:hyperlink>
        </w:p>
        <w:p w14:paraId="07A9A973" w14:textId="528BFBB6" w:rsidR="00DA7E2F" w:rsidRPr="008B2751" w:rsidRDefault="00DA7E2F" w:rsidP="008B2751">
          <w:pPr>
            <w:spacing w:line="360" w:lineRule="auto"/>
            <w:jc w:val="both"/>
            <w:rPr>
              <w:rFonts w:ascii="Palatino Linotype" w:hAnsi="Palatino Linotype"/>
            </w:rPr>
          </w:pPr>
          <w:r w:rsidRPr="008B2751">
            <w:rPr>
              <w:rFonts w:ascii="Palatino Linotype" w:hAnsi="Palatino Linotype"/>
              <w:b/>
              <w:bCs/>
              <w:lang w:val="es-ES"/>
            </w:rPr>
            <w:fldChar w:fldCharType="end"/>
          </w:r>
        </w:p>
      </w:sdtContent>
    </w:sdt>
    <w:p w14:paraId="5E41A56F" w14:textId="3C01B152" w:rsidR="003D3F30" w:rsidRPr="008B2751" w:rsidRDefault="003D3F30" w:rsidP="008B2751">
      <w:pPr>
        <w:spacing w:line="360" w:lineRule="auto"/>
        <w:rPr>
          <w:rFonts w:ascii="Palatino Linotype" w:hAnsi="Palatino Linotype"/>
          <w:b/>
        </w:rPr>
      </w:pPr>
      <w:r w:rsidRPr="008B2751">
        <w:rPr>
          <w:rFonts w:ascii="Palatino Linotype" w:hAnsi="Palatino Linotype"/>
          <w:b/>
        </w:rPr>
        <w:br w:type="page"/>
      </w:r>
    </w:p>
    <w:p w14:paraId="6659FD4E" w14:textId="6E569A89" w:rsidR="00B02EEF" w:rsidRPr="008B2751" w:rsidRDefault="00B02EEF" w:rsidP="008B2751">
      <w:pPr>
        <w:tabs>
          <w:tab w:val="left" w:pos="0"/>
        </w:tabs>
        <w:spacing w:line="360" w:lineRule="auto"/>
        <w:jc w:val="both"/>
        <w:rPr>
          <w:rFonts w:ascii="Palatino Linotype" w:eastAsia="Times New Roman" w:hAnsi="Palatino Linotype" w:cs="Times New Roman"/>
        </w:rPr>
      </w:pPr>
      <w:r w:rsidRPr="008B2751">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w:t>
      </w:r>
      <w:r w:rsidR="00D6700E" w:rsidRPr="008B2751">
        <w:rPr>
          <w:rFonts w:ascii="Palatino Linotype" w:eastAsia="Times New Roman" w:hAnsi="Palatino Linotype" w:cs="Times New Roman"/>
        </w:rPr>
        <w:t>pec, Estad</w:t>
      </w:r>
      <w:r w:rsidR="004B6A3E" w:rsidRPr="008B2751">
        <w:rPr>
          <w:rFonts w:ascii="Palatino Linotype" w:eastAsia="Times New Roman" w:hAnsi="Palatino Linotype" w:cs="Times New Roman"/>
        </w:rPr>
        <w:t>o de México; de veintidós</w:t>
      </w:r>
      <w:r w:rsidR="00677735" w:rsidRPr="008B2751">
        <w:rPr>
          <w:rFonts w:ascii="Palatino Linotype" w:eastAsia="Times New Roman" w:hAnsi="Palatino Linotype" w:cs="Times New Roman"/>
        </w:rPr>
        <w:t xml:space="preserve"> </w:t>
      </w:r>
      <w:r w:rsidRPr="008B2751">
        <w:rPr>
          <w:rFonts w:ascii="Palatino Linotype" w:eastAsia="Times New Roman" w:hAnsi="Palatino Linotype" w:cs="Times New Roman"/>
        </w:rPr>
        <w:t>(</w:t>
      </w:r>
      <w:r w:rsidR="004B6A3E" w:rsidRPr="008B2751">
        <w:rPr>
          <w:rFonts w:ascii="Palatino Linotype" w:eastAsia="Times New Roman" w:hAnsi="Palatino Linotype" w:cs="Times New Roman"/>
        </w:rPr>
        <w:t>22</w:t>
      </w:r>
      <w:r w:rsidRPr="008B2751">
        <w:rPr>
          <w:rFonts w:ascii="Palatino Linotype" w:eastAsia="Times New Roman" w:hAnsi="Palatino Linotype" w:cs="Times New Roman"/>
        </w:rPr>
        <w:t>) de</w:t>
      </w:r>
      <w:r w:rsidR="004B6A3E" w:rsidRPr="008B2751">
        <w:rPr>
          <w:rFonts w:ascii="Palatino Linotype" w:eastAsia="Times New Roman" w:hAnsi="Palatino Linotype" w:cs="Times New Roman"/>
        </w:rPr>
        <w:t xml:space="preserve"> enero</w:t>
      </w:r>
      <w:r w:rsidR="00D6700E" w:rsidRPr="008B2751">
        <w:rPr>
          <w:rFonts w:ascii="Palatino Linotype" w:eastAsia="Times New Roman" w:hAnsi="Palatino Linotype" w:cs="Times New Roman"/>
        </w:rPr>
        <w:t xml:space="preserve"> </w:t>
      </w:r>
      <w:r w:rsidRPr="008B2751">
        <w:rPr>
          <w:rFonts w:ascii="Palatino Linotype" w:eastAsia="Times New Roman" w:hAnsi="Palatino Linotype" w:cs="Times New Roman"/>
        </w:rPr>
        <w:t>de dos mil</w:t>
      </w:r>
      <w:r w:rsidR="004B6A3E" w:rsidRPr="008B2751">
        <w:rPr>
          <w:rFonts w:ascii="Palatino Linotype" w:eastAsia="Times New Roman" w:hAnsi="Palatino Linotype" w:cs="Times New Roman"/>
        </w:rPr>
        <w:t xml:space="preserve"> veinte</w:t>
      </w:r>
      <w:r w:rsidRPr="008B2751">
        <w:rPr>
          <w:rFonts w:ascii="Palatino Linotype" w:eastAsia="Times New Roman" w:hAnsi="Palatino Linotype" w:cs="Times New Roman"/>
        </w:rPr>
        <w:t xml:space="preserve">. </w:t>
      </w:r>
    </w:p>
    <w:p w14:paraId="25577A5F" w14:textId="77777777" w:rsidR="00B02EEF" w:rsidRPr="008B2751" w:rsidRDefault="00B02EEF" w:rsidP="008B2751">
      <w:pPr>
        <w:tabs>
          <w:tab w:val="left" w:pos="0"/>
        </w:tabs>
        <w:spacing w:line="360" w:lineRule="auto"/>
        <w:jc w:val="both"/>
        <w:rPr>
          <w:rFonts w:ascii="Palatino Linotype" w:eastAsia="Times New Roman" w:hAnsi="Palatino Linotype" w:cs="Times New Roman"/>
        </w:rPr>
      </w:pPr>
    </w:p>
    <w:p w14:paraId="6180E9B5" w14:textId="5F696744" w:rsidR="00B02EEF" w:rsidRPr="008B2751" w:rsidRDefault="00B02EEF" w:rsidP="008B2751">
      <w:pPr>
        <w:tabs>
          <w:tab w:val="center" w:pos="4252"/>
          <w:tab w:val="right" w:pos="8504"/>
        </w:tabs>
        <w:spacing w:line="360" w:lineRule="auto"/>
        <w:jc w:val="both"/>
        <w:rPr>
          <w:rFonts w:ascii="Palatino Linotype" w:eastAsia="Times New Roman" w:hAnsi="Palatino Linotype" w:cs="Times New Roman"/>
          <w:b/>
        </w:rPr>
      </w:pPr>
      <w:r w:rsidRPr="008B2751">
        <w:rPr>
          <w:rFonts w:ascii="Palatino Linotype" w:eastAsia="Times New Roman" w:hAnsi="Palatino Linotype" w:cs="Times New Roman"/>
          <w:b/>
        </w:rPr>
        <w:t>VISTOS</w:t>
      </w:r>
      <w:r w:rsidRPr="008B2751">
        <w:rPr>
          <w:rFonts w:ascii="Palatino Linotype" w:eastAsia="Times New Roman" w:hAnsi="Palatino Linotype" w:cs="Times New Roman"/>
        </w:rPr>
        <w:t xml:space="preserve"> el expediente electrónico formado con motivo del recurso de revisión </w:t>
      </w:r>
      <w:r w:rsidR="004B6A3E" w:rsidRPr="008B2751">
        <w:rPr>
          <w:rFonts w:ascii="Palatino Linotype" w:eastAsia="Times New Roman" w:hAnsi="Palatino Linotype" w:cs="Times New Roman"/>
          <w:b/>
          <w:bCs/>
        </w:rPr>
        <w:t xml:space="preserve">08373/INFOEM/IP/RR/2019 </w:t>
      </w:r>
      <w:r w:rsidRPr="008B2751">
        <w:rPr>
          <w:rFonts w:ascii="Palatino Linotype" w:eastAsia="Times New Roman" w:hAnsi="Palatino Linotype" w:cs="Times New Roman"/>
        </w:rPr>
        <w:t xml:space="preserve">promovido </w:t>
      </w:r>
      <w:r w:rsidR="004B6A3E" w:rsidRPr="008B2751">
        <w:rPr>
          <w:rFonts w:ascii="Palatino Linotype" w:eastAsia="Times New Roman" w:hAnsi="Palatino Linotype" w:cs="Times New Roman"/>
        </w:rPr>
        <w:t xml:space="preserve">por </w:t>
      </w:r>
      <w:r w:rsidR="00116A03" w:rsidRPr="00116A03">
        <w:rPr>
          <w:rFonts w:ascii="Palatino Linotype" w:eastAsia="Times New Roman" w:hAnsi="Palatino Linotype" w:cs="Times New Roman"/>
          <w:b/>
          <w:highlight w:val="black"/>
        </w:rPr>
        <w:t>-</w:t>
      </w:r>
      <w:r w:rsidR="00116A03">
        <w:rPr>
          <w:rFonts w:ascii="Palatino Linotype" w:eastAsia="Times New Roman" w:hAnsi="Palatino Linotype" w:cs="Times New Roman"/>
          <w:b/>
          <w:highlight w:val="black"/>
        </w:rPr>
        <w:t>--------------</w:t>
      </w:r>
      <w:r w:rsidR="00116A03" w:rsidRPr="00116A03">
        <w:rPr>
          <w:rFonts w:ascii="Palatino Linotype" w:eastAsia="Times New Roman" w:hAnsi="Palatino Linotype" w:cs="Times New Roman"/>
          <w:b/>
          <w:highlight w:val="black"/>
        </w:rPr>
        <w:t>-------</w:t>
      </w:r>
      <w:r w:rsidR="004B6A3E" w:rsidRPr="008B2751">
        <w:rPr>
          <w:rFonts w:ascii="Palatino Linotype" w:eastAsia="Times New Roman" w:hAnsi="Palatino Linotype" w:cs="Times New Roman"/>
          <w:b/>
        </w:rPr>
        <w:t xml:space="preserve"> </w:t>
      </w:r>
      <w:r w:rsidRPr="008B2751">
        <w:rPr>
          <w:rFonts w:ascii="Palatino Linotype" w:eastAsia="Times New Roman" w:hAnsi="Palatino Linotype" w:cs="Arial"/>
        </w:rPr>
        <w:t xml:space="preserve">en su calidad de </w:t>
      </w:r>
      <w:r w:rsidRPr="008B2751">
        <w:rPr>
          <w:rFonts w:ascii="Palatino Linotype" w:eastAsia="Times New Roman" w:hAnsi="Palatino Linotype" w:cs="Arial"/>
          <w:b/>
        </w:rPr>
        <w:t>RECURRENTE</w:t>
      </w:r>
      <w:r w:rsidRPr="008B2751">
        <w:rPr>
          <w:rFonts w:ascii="Palatino Linotype" w:eastAsia="Times New Roman" w:hAnsi="Palatino Linotype" w:cs="Arial"/>
        </w:rPr>
        <w:t>, en contra de la respuesta del</w:t>
      </w:r>
      <w:r w:rsidR="00A95C77" w:rsidRPr="008B2751">
        <w:rPr>
          <w:rFonts w:ascii="Palatino Linotype" w:eastAsia="Times New Roman" w:hAnsi="Palatino Linotype" w:cs="Arial"/>
        </w:rPr>
        <w:t xml:space="preserve"> </w:t>
      </w:r>
      <w:r w:rsidR="004B6A3E" w:rsidRPr="008B2751">
        <w:rPr>
          <w:rFonts w:ascii="Palatino Linotype" w:eastAsia="Times New Roman" w:hAnsi="Palatino Linotype" w:cs="Arial"/>
          <w:b/>
          <w:color w:val="000000" w:themeColor="text1"/>
        </w:rPr>
        <w:t xml:space="preserve">Ayuntamiento de </w:t>
      </w:r>
      <w:proofErr w:type="spellStart"/>
      <w:r w:rsidR="004B6A3E" w:rsidRPr="008B2751">
        <w:rPr>
          <w:rFonts w:ascii="Palatino Linotype" w:eastAsia="Times New Roman" w:hAnsi="Palatino Linotype" w:cs="Arial"/>
          <w:b/>
          <w:color w:val="000000" w:themeColor="text1"/>
        </w:rPr>
        <w:t>Teoloyucan</w:t>
      </w:r>
      <w:proofErr w:type="spellEnd"/>
      <w:r w:rsidR="004B6A3E" w:rsidRPr="008B2751">
        <w:rPr>
          <w:rFonts w:ascii="Palatino Linotype" w:eastAsia="Times New Roman" w:hAnsi="Palatino Linotype" w:cs="Arial"/>
          <w:b/>
          <w:color w:val="000000" w:themeColor="text1"/>
        </w:rPr>
        <w:t xml:space="preserve"> </w:t>
      </w:r>
      <w:r w:rsidRPr="008B2751">
        <w:rPr>
          <w:rFonts w:ascii="Palatino Linotype" w:eastAsia="Times New Roman" w:hAnsi="Palatino Linotype" w:cs="Times New Roman"/>
        </w:rPr>
        <w:t>en lo sucesivo el</w:t>
      </w:r>
      <w:r w:rsidRPr="008B2751">
        <w:rPr>
          <w:rFonts w:ascii="Palatino Linotype" w:eastAsia="Times New Roman" w:hAnsi="Palatino Linotype" w:cs="Times New Roman"/>
          <w:b/>
        </w:rPr>
        <w:t xml:space="preserve"> SUJETO OBLIGADO, </w:t>
      </w:r>
      <w:r w:rsidRPr="008B2751">
        <w:rPr>
          <w:rFonts w:ascii="Palatino Linotype" w:eastAsia="Times New Roman" w:hAnsi="Palatino Linotype" w:cs="Times New Roman"/>
        </w:rPr>
        <w:t>se procede a dictar la presente resolución, con base en los siguientes:</w:t>
      </w:r>
    </w:p>
    <w:p w14:paraId="22988CC9" w14:textId="515DCB91" w:rsidR="00677735" w:rsidRPr="008B2751" w:rsidRDefault="00B02EEF" w:rsidP="008B2751">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30616316"/>
      <w:r w:rsidRPr="008B2751">
        <w:rPr>
          <w:rFonts w:ascii="Palatino Linotype" w:eastAsia="Times New Roman" w:hAnsi="Palatino Linotype" w:cs="Times New Roman"/>
          <w:b/>
          <w:lang w:val="es-MX" w:eastAsia="en-US"/>
        </w:rPr>
        <w:t>ANTECEDENTES</w:t>
      </w:r>
      <w:bookmarkEnd w:id="0"/>
      <w:bookmarkEnd w:id="1"/>
      <w:bookmarkEnd w:id="2"/>
      <w:bookmarkEnd w:id="3"/>
    </w:p>
    <w:p w14:paraId="16575DA2" w14:textId="77777777" w:rsidR="00677735" w:rsidRPr="008B2751" w:rsidRDefault="00677735" w:rsidP="008B2751">
      <w:pPr>
        <w:keepNext/>
        <w:keepLines/>
        <w:tabs>
          <w:tab w:val="left" w:pos="0"/>
        </w:tabs>
        <w:spacing w:line="360" w:lineRule="auto"/>
        <w:outlineLvl w:val="0"/>
        <w:rPr>
          <w:rFonts w:ascii="Palatino Linotype" w:eastAsia="Times New Roman" w:hAnsi="Palatino Linotype" w:cs="Times New Roman"/>
          <w:b/>
          <w:lang w:val="es-MX" w:eastAsia="en-US"/>
        </w:rPr>
      </w:pPr>
    </w:p>
    <w:p w14:paraId="03D5B8B0" w14:textId="5645AE9B" w:rsidR="00B02EEF" w:rsidRPr="008B2751" w:rsidRDefault="004B6A3E" w:rsidP="008B2751">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8B2751">
        <w:rPr>
          <w:rFonts w:ascii="Palatino Linotype" w:eastAsia="Calibri" w:hAnsi="Palatino Linotype" w:cs="Arial"/>
          <w:lang w:val="es-ES"/>
        </w:rPr>
        <w:t>El día diez (10</w:t>
      </w:r>
      <w:r w:rsidR="00B02EEF" w:rsidRPr="008B2751">
        <w:rPr>
          <w:rFonts w:ascii="Palatino Linotype" w:eastAsia="Calibri" w:hAnsi="Palatino Linotype" w:cs="Arial"/>
          <w:lang w:val="es-ES"/>
        </w:rPr>
        <w:t>) de</w:t>
      </w:r>
      <w:r w:rsidR="00D6700E" w:rsidRPr="008B2751">
        <w:rPr>
          <w:rFonts w:ascii="Palatino Linotype" w:eastAsia="Calibri" w:hAnsi="Palatino Linotype" w:cs="Arial"/>
          <w:lang w:val="es-ES"/>
        </w:rPr>
        <w:t xml:space="preserve"> octubre</w:t>
      </w:r>
      <w:r w:rsidR="00B02EEF" w:rsidRPr="008B2751">
        <w:rPr>
          <w:rFonts w:ascii="Palatino Linotype" w:eastAsia="Calibri" w:hAnsi="Palatino Linotype" w:cs="Arial"/>
          <w:lang w:val="es-ES"/>
        </w:rPr>
        <w:t xml:space="preserve"> de dos mil diecinueve</w:t>
      </w:r>
      <w:r w:rsidR="00B02EEF" w:rsidRPr="008B2751">
        <w:rPr>
          <w:rFonts w:ascii="Palatino Linotype" w:eastAsia="Calibri" w:hAnsi="Palatino Linotype" w:cs="Times New Roman"/>
          <w:lang w:val="es-ES"/>
        </w:rPr>
        <w:t xml:space="preserve"> </w:t>
      </w:r>
      <w:r w:rsidR="00B02EEF" w:rsidRPr="008B2751">
        <w:rPr>
          <w:rFonts w:ascii="Palatino Linotype" w:eastAsia="Times New Roman" w:hAnsi="Palatino Linotype" w:cs="Times New Roman"/>
        </w:rPr>
        <w:t>el</w:t>
      </w:r>
      <w:r w:rsidR="00B02EEF" w:rsidRPr="008B2751">
        <w:rPr>
          <w:rFonts w:ascii="Palatino Linotype" w:eastAsia="Times New Roman" w:hAnsi="Palatino Linotype" w:cs="Times New Roman"/>
          <w:b/>
        </w:rPr>
        <w:t xml:space="preserve"> </w:t>
      </w:r>
      <w:r w:rsidR="00B02EEF" w:rsidRPr="008B2751">
        <w:rPr>
          <w:rFonts w:ascii="Palatino Linotype" w:eastAsia="Times New Roman" w:hAnsi="Palatino Linotype" w:cs="Times New Roman"/>
        </w:rPr>
        <w:t>solicitante</w:t>
      </w:r>
      <w:r w:rsidR="00677735" w:rsidRPr="008B2751">
        <w:rPr>
          <w:rFonts w:ascii="Palatino Linotype" w:eastAsia="Times New Roman" w:hAnsi="Palatino Linotype" w:cs="Times New Roman"/>
        </w:rPr>
        <w:t xml:space="preserve"> </w:t>
      </w:r>
      <w:r w:rsidR="00116A03" w:rsidRPr="00116A03">
        <w:rPr>
          <w:rFonts w:ascii="Palatino Linotype" w:eastAsia="Times New Roman" w:hAnsi="Palatino Linotype" w:cs="Times New Roman"/>
          <w:b/>
          <w:highlight w:val="black"/>
        </w:rPr>
        <w:t>---------------</w:t>
      </w:r>
      <w:r w:rsidR="00677735" w:rsidRPr="008B2751">
        <w:rPr>
          <w:rFonts w:ascii="Palatino Linotype" w:eastAsia="Times New Roman" w:hAnsi="Palatino Linotype" w:cs="Times New Roman"/>
          <w:b/>
        </w:rPr>
        <w:t xml:space="preserve">, </w:t>
      </w:r>
      <w:r w:rsidR="00B02EEF" w:rsidRPr="008B2751">
        <w:rPr>
          <w:rFonts w:ascii="Palatino Linotype" w:eastAsia="Times New Roman" w:hAnsi="Palatino Linotype" w:cs="Times New Roman"/>
          <w:b/>
        </w:rPr>
        <w:t xml:space="preserve"> </w:t>
      </w:r>
      <w:r w:rsidR="00B02EEF" w:rsidRPr="008B2751">
        <w:rPr>
          <w:rFonts w:ascii="Palatino Linotype" w:eastAsia="Times New Roman" w:hAnsi="Palatino Linotype" w:cs="Times New Roman"/>
        </w:rPr>
        <w:t>presentó</w:t>
      </w:r>
      <w:r w:rsidR="00B02EEF" w:rsidRPr="008B2751">
        <w:rPr>
          <w:rFonts w:ascii="Palatino Linotype" w:eastAsia="Times New Roman" w:hAnsi="Palatino Linotype" w:cs="Times New Roman"/>
          <w:b/>
        </w:rPr>
        <w:t xml:space="preserve"> </w:t>
      </w:r>
      <w:r w:rsidR="00B02EEF" w:rsidRPr="008B2751">
        <w:rPr>
          <w:rFonts w:ascii="Palatino Linotype" w:eastAsia="Calibri" w:hAnsi="Palatino Linotype" w:cs="Arial"/>
          <w:lang w:val="es-ES"/>
        </w:rPr>
        <w:t xml:space="preserve">ante el </w:t>
      </w:r>
      <w:r w:rsidR="00B02EEF" w:rsidRPr="008B2751">
        <w:rPr>
          <w:rFonts w:ascii="Palatino Linotype" w:eastAsia="Calibri" w:hAnsi="Palatino Linotype" w:cs="Arial"/>
          <w:b/>
          <w:lang w:val="es-ES"/>
        </w:rPr>
        <w:t>SUJETO OBLIGADO,</w:t>
      </w:r>
      <w:r w:rsidR="00B02EEF" w:rsidRPr="008B2751">
        <w:rPr>
          <w:rFonts w:ascii="Palatino Linotype" w:eastAsia="Calibri" w:hAnsi="Palatino Linotype" w:cs="Arial"/>
        </w:rPr>
        <w:t xml:space="preserve"> vía </w:t>
      </w:r>
      <w:r w:rsidR="00B02EEF" w:rsidRPr="008B2751">
        <w:rPr>
          <w:rFonts w:ascii="Palatino Linotype" w:eastAsia="Calibri" w:hAnsi="Palatino Linotype" w:cs="Arial"/>
          <w:lang w:val="es-ES"/>
        </w:rPr>
        <w:t>Sistema de Acceso a la Información Mexiquense (</w:t>
      </w:r>
      <w:r w:rsidR="00B02EEF" w:rsidRPr="008B2751">
        <w:rPr>
          <w:rFonts w:ascii="Palatino Linotype" w:eastAsia="Calibri" w:hAnsi="Palatino Linotype" w:cs="Arial"/>
          <w:b/>
          <w:lang w:val="es-ES"/>
        </w:rPr>
        <w:t>SAIMEX</w:t>
      </w:r>
      <w:r w:rsidR="00B02EEF" w:rsidRPr="008B2751">
        <w:rPr>
          <w:rFonts w:ascii="Palatino Linotype" w:eastAsia="Calibri" w:hAnsi="Palatino Linotype" w:cs="Arial"/>
          <w:lang w:val="es-ES"/>
        </w:rPr>
        <w:t>) la solicitud de información pública registrada con el número</w:t>
      </w:r>
      <w:r w:rsidR="00D6700E" w:rsidRPr="008B2751">
        <w:rPr>
          <w:rFonts w:ascii="Palatino Linotype" w:eastAsia="Calibri" w:hAnsi="Palatino Linotype" w:cs="Arial"/>
          <w:lang w:val="es-ES"/>
        </w:rPr>
        <w:t xml:space="preserve"> </w:t>
      </w:r>
      <w:r w:rsidR="00D6700E" w:rsidRPr="008B2751">
        <w:rPr>
          <w:rFonts w:ascii="Palatino Linotype" w:eastAsia="Times New Roman" w:hAnsi="Palatino Linotype" w:cs="Times New Roman"/>
          <w:b/>
          <w:bCs/>
        </w:rPr>
        <w:t xml:space="preserve"> </w:t>
      </w:r>
      <w:r w:rsidRPr="008B2751">
        <w:rPr>
          <w:rFonts w:ascii="Palatino Linotype" w:eastAsia="Times New Roman" w:hAnsi="Palatino Linotype" w:cs="Times New Roman"/>
          <w:b/>
          <w:bCs/>
        </w:rPr>
        <w:t>00214/TEOLOYU/IP/2019</w:t>
      </w:r>
      <w:r w:rsidR="00B02EEF" w:rsidRPr="008B2751">
        <w:rPr>
          <w:rFonts w:ascii="Palatino Linotype" w:eastAsia="Calibri" w:hAnsi="Palatino Linotype" w:cs="Arial"/>
          <w:lang w:val="es-ES"/>
        </w:rPr>
        <w:t xml:space="preserve">, mediante la cual </w:t>
      </w:r>
      <w:r w:rsidR="00D6700E" w:rsidRPr="008B2751">
        <w:rPr>
          <w:rFonts w:ascii="Palatino Linotype" w:eastAsia="Calibri" w:hAnsi="Palatino Linotype" w:cs="Arial"/>
          <w:lang w:val="es-ES"/>
        </w:rPr>
        <w:t xml:space="preserve">se </w:t>
      </w:r>
      <w:r w:rsidR="00B02EEF" w:rsidRPr="008B2751">
        <w:rPr>
          <w:rFonts w:ascii="Palatino Linotype" w:eastAsia="Calibri" w:hAnsi="Palatino Linotype" w:cs="Arial"/>
          <w:lang w:val="es-ES"/>
        </w:rPr>
        <w:t>solicitó:</w:t>
      </w:r>
    </w:p>
    <w:p w14:paraId="391AE69E" w14:textId="77777777" w:rsidR="00B02EEF" w:rsidRPr="008B2751" w:rsidRDefault="00B02EEF" w:rsidP="008B2751">
      <w:pPr>
        <w:tabs>
          <w:tab w:val="left" w:pos="0"/>
        </w:tabs>
        <w:spacing w:line="360" w:lineRule="auto"/>
        <w:ind w:left="360"/>
        <w:contextualSpacing/>
        <w:jc w:val="both"/>
        <w:rPr>
          <w:rFonts w:ascii="Palatino Linotype" w:eastAsia="Calibri" w:hAnsi="Palatino Linotype" w:cs="Arial"/>
          <w:lang w:val="es-ES"/>
        </w:rPr>
      </w:pPr>
    </w:p>
    <w:p w14:paraId="580E1B75" w14:textId="63351125" w:rsidR="00B02EEF" w:rsidRPr="008B2751" w:rsidRDefault="00B02EEF" w:rsidP="008B2751">
      <w:pPr>
        <w:tabs>
          <w:tab w:val="left" w:pos="0"/>
        </w:tabs>
        <w:spacing w:line="360" w:lineRule="auto"/>
        <w:ind w:left="426" w:right="49"/>
        <w:contextualSpacing/>
        <w:jc w:val="both"/>
        <w:rPr>
          <w:rFonts w:ascii="Palatino Linotype" w:eastAsia="Times New Roman" w:hAnsi="Palatino Linotype" w:cs="Arial"/>
          <w:i/>
          <w:lang w:val="es-ES"/>
        </w:rPr>
      </w:pPr>
      <w:r w:rsidRPr="008B2751">
        <w:rPr>
          <w:rFonts w:ascii="Palatino Linotype" w:eastAsia="Times New Roman" w:hAnsi="Palatino Linotype" w:cs="Arial"/>
          <w:i/>
          <w:lang w:val="es-ES"/>
        </w:rPr>
        <w:t>“</w:t>
      </w:r>
      <w:r w:rsidR="004B6A3E" w:rsidRPr="008B2751">
        <w:rPr>
          <w:rFonts w:ascii="Palatino Linotype" w:eastAsia="Times New Roman" w:hAnsi="Palatino Linotype" w:cs="Arial"/>
          <w:i/>
          <w:lang w:val="es-ES"/>
        </w:rPr>
        <w:t>Se me precise o indique si el gobierno municipal o el ayuntamiento en lo que va de la administración autorizó o entregó permisos para desarrollo de complejos habitacionales en el territorio municipal, y si es así, indique el o los nombres o razón social de quien o quienes se les autorizó o entrego permiso, documentos y anexos del acto jurídico de la autoridad para la autorización, en formato PDF.</w:t>
      </w:r>
      <w:r w:rsidR="00A95C77" w:rsidRPr="008B2751">
        <w:rPr>
          <w:rFonts w:ascii="Palatino Linotype" w:eastAsia="Times New Roman" w:hAnsi="Palatino Linotype" w:cs="Arial"/>
          <w:i/>
          <w:lang w:val="es-ES"/>
        </w:rPr>
        <w:t>”</w:t>
      </w:r>
      <w:r w:rsidRPr="008B2751">
        <w:rPr>
          <w:rFonts w:ascii="Palatino Linotype" w:eastAsia="Times New Roman" w:hAnsi="Palatino Linotype" w:cs="Arial"/>
          <w:i/>
          <w:lang w:val="es-ES"/>
        </w:rPr>
        <w:t>(Sic)</w:t>
      </w:r>
    </w:p>
    <w:p w14:paraId="30402C19" w14:textId="77777777" w:rsidR="00B02EEF" w:rsidRPr="008B2751" w:rsidRDefault="00B02EEF" w:rsidP="008B2751">
      <w:pPr>
        <w:tabs>
          <w:tab w:val="left" w:pos="0"/>
        </w:tabs>
        <w:spacing w:line="360" w:lineRule="auto"/>
        <w:ind w:right="616"/>
        <w:jc w:val="both"/>
        <w:rPr>
          <w:rFonts w:ascii="Palatino Linotype" w:eastAsia="Times New Roman" w:hAnsi="Palatino Linotype" w:cs="Arial"/>
          <w:i/>
          <w:lang w:val="es-ES"/>
        </w:rPr>
      </w:pPr>
    </w:p>
    <w:p w14:paraId="0F8CFEFD" w14:textId="409435AB" w:rsidR="00677735" w:rsidRPr="008B2751" w:rsidRDefault="00B02EEF" w:rsidP="008B2751">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8B2751">
        <w:rPr>
          <w:rFonts w:ascii="Palatino Linotype" w:eastAsia="Calibri" w:hAnsi="Palatino Linotype" w:cs="Arial"/>
          <w:lang w:val="es-AR"/>
        </w:rPr>
        <w:t>El</w:t>
      </w:r>
      <w:r w:rsidR="004B6A3E" w:rsidRPr="008B2751">
        <w:rPr>
          <w:rFonts w:ascii="Palatino Linotype" w:eastAsia="Times New Roman" w:hAnsi="Palatino Linotype" w:cs="Arial"/>
          <w:lang w:val="es-ES"/>
        </w:rPr>
        <w:t xml:space="preserve"> día dieciocho (18</w:t>
      </w:r>
      <w:r w:rsidRPr="008B2751">
        <w:rPr>
          <w:rFonts w:ascii="Palatino Linotype" w:eastAsia="Times New Roman" w:hAnsi="Palatino Linotype" w:cs="Arial"/>
          <w:lang w:val="es-ES"/>
        </w:rPr>
        <w:t>) de</w:t>
      </w:r>
      <w:r w:rsidR="00D6700E" w:rsidRPr="008B2751">
        <w:rPr>
          <w:rFonts w:ascii="Palatino Linotype" w:eastAsia="Times New Roman" w:hAnsi="Palatino Linotype" w:cs="Arial"/>
          <w:lang w:val="es-ES"/>
        </w:rPr>
        <w:t xml:space="preserve"> octubre</w:t>
      </w:r>
      <w:r w:rsidRPr="008B2751">
        <w:rPr>
          <w:rFonts w:ascii="Palatino Linotype" w:eastAsia="Times New Roman" w:hAnsi="Palatino Linotype" w:cs="Arial"/>
          <w:lang w:val="es-ES"/>
        </w:rPr>
        <w:t xml:space="preserve"> de dos mil diecinueve, el </w:t>
      </w:r>
      <w:r w:rsidRPr="008B2751">
        <w:rPr>
          <w:rFonts w:ascii="Palatino Linotype" w:eastAsia="Times New Roman" w:hAnsi="Palatino Linotype" w:cs="Arial"/>
          <w:b/>
          <w:lang w:val="es-ES"/>
        </w:rPr>
        <w:t xml:space="preserve">SUJETO OBLIGADO </w:t>
      </w:r>
      <w:r w:rsidRPr="008B2751">
        <w:rPr>
          <w:rFonts w:ascii="Palatino Linotype" w:eastAsia="Times New Roman" w:hAnsi="Palatino Linotype" w:cs="Arial"/>
          <w:lang w:val="es-ES"/>
        </w:rPr>
        <w:t xml:space="preserve">dio respuesta a la solicitud de información al tenor de lo siguiente: </w:t>
      </w:r>
      <w:bookmarkStart w:id="4" w:name="_Toc472500652"/>
      <w:bookmarkStart w:id="5" w:name="_Toc472427085"/>
      <w:bookmarkStart w:id="6" w:name="_Toc462307683"/>
    </w:p>
    <w:p w14:paraId="400157B0" w14:textId="77777777" w:rsidR="004B6A3E" w:rsidRPr="008B2751" w:rsidRDefault="00B02EEF" w:rsidP="008B2751">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lastRenderedPageBreak/>
        <w:t>“</w:t>
      </w:r>
      <w:r w:rsidR="004B6A3E" w:rsidRPr="008B2751">
        <w:rPr>
          <w:rFonts w:ascii="Palatino Linotype" w:eastAsia="Times New Roman" w:hAnsi="Palatino Linotype" w:cs="Arial"/>
          <w:i/>
          <w:sz w:val="23"/>
          <w:szCs w:val="23"/>
          <w:lang w:val="es-ES"/>
        </w:rPr>
        <w:t>Teoloyucan, México a 18 de Octubre de 2019</w:t>
      </w:r>
    </w:p>
    <w:p w14:paraId="0E8DD6CE" w14:textId="586FE06A" w:rsidR="004B6A3E" w:rsidRPr="008B2751" w:rsidRDefault="004B6A3E" w:rsidP="008B2751">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t xml:space="preserve">Nombre del solicitante: </w:t>
      </w:r>
      <w:r w:rsidR="00116A03" w:rsidRPr="00116A03">
        <w:rPr>
          <w:rFonts w:ascii="Palatino Linotype" w:eastAsia="Times New Roman" w:hAnsi="Palatino Linotype" w:cs="Arial"/>
          <w:i/>
          <w:sz w:val="23"/>
          <w:szCs w:val="23"/>
          <w:highlight w:val="black"/>
          <w:lang w:val="es-ES"/>
        </w:rPr>
        <w:t>-</w:t>
      </w:r>
      <w:r w:rsidR="00116A03">
        <w:rPr>
          <w:rFonts w:ascii="Palatino Linotype" w:eastAsia="Times New Roman" w:hAnsi="Palatino Linotype" w:cs="Arial"/>
          <w:i/>
          <w:sz w:val="23"/>
          <w:szCs w:val="23"/>
          <w:highlight w:val="black"/>
          <w:lang w:val="es-ES"/>
        </w:rPr>
        <w:t>-------------</w:t>
      </w:r>
      <w:r w:rsidR="00116A03" w:rsidRPr="00116A03">
        <w:rPr>
          <w:rFonts w:ascii="Palatino Linotype" w:eastAsia="Times New Roman" w:hAnsi="Palatino Linotype" w:cs="Arial"/>
          <w:i/>
          <w:sz w:val="23"/>
          <w:szCs w:val="23"/>
          <w:highlight w:val="black"/>
          <w:lang w:val="es-ES"/>
        </w:rPr>
        <w:t>--</w:t>
      </w:r>
    </w:p>
    <w:p w14:paraId="72764478" w14:textId="77777777" w:rsidR="004B6A3E" w:rsidRPr="008B2751" w:rsidRDefault="004B6A3E" w:rsidP="008B2751">
      <w:pPr>
        <w:tabs>
          <w:tab w:val="left" w:pos="0"/>
        </w:tabs>
        <w:spacing w:line="360" w:lineRule="auto"/>
        <w:ind w:left="567" w:right="34"/>
        <w:contextualSpacing/>
        <w:jc w:val="right"/>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t>Folio de la solicitud: 00214/TEOLOYU/IP/2019</w:t>
      </w:r>
    </w:p>
    <w:p w14:paraId="6F278397" w14:textId="77777777" w:rsidR="004B6A3E" w:rsidRPr="008B2751" w:rsidRDefault="004B6A3E" w:rsidP="008B2751">
      <w:pPr>
        <w:tabs>
          <w:tab w:val="left" w:pos="0"/>
        </w:tabs>
        <w:spacing w:line="360" w:lineRule="auto"/>
        <w:ind w:left="567" w:right="34"/>
        <w:contextualSpacing/>
        <w:jc w:val="right"/>
        <w:rPr>
          <w:rFonts w:ascii="Palatino Linotype" w:eastAsia="Times New Roman" w:hAnsi="Palatino Linotype" w:cs="Arial"/>
          <w:i/>
          <w:sz w:val="23"/>
          <w:szCs w:val="23"/>
          <w:lang w:val="es-ES"/>
        </w:rPr>
      </w:pPr>
    </w:p>
    <w:p w14:paraId="3E2DB32B" w14:textId="77777777" w:rsidR="004B6A3E" w:rsidRPr="008B2751" w:rsidRDefault="004B6A3E" w:rsidP="008B2751">
      <w:pPr>
        <w:tabs>
          <w:tab w:val="left" w:pos="0"/>
        </w:tabs>
        <w:spacing w:line="360" w:lineRule="auto"/>
        <w:ind w:left="567" w:right="34"/>
        <w:contextualSpacing/>
        <w:jc w:val="both"/>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3F50F5" w14:textId="77777777" w:rsidR="004B6A3E" w:rsidRPr="008B2751" w:rsidRDefault="004B6A3E" w:rsidP="008B2751">
      <w:pPr>
        <w:tabs>
          <w:tab w:val="left" w:pos="0"/>
        </w:tabs>
        <w:spacing w:line="360" w:lineRule="auto"/>
        <w:ind w:left="567" w:right="34"/>
        <w:contextualSpacing/>
        <w:jc w:val="both"/>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t>Reciba un cordial y afectuosos saludo así mismo en relación a la solicitud de información le tengo por enterado que en base al artículo 12 párrafo II de La Ley de Transparencia y Acceso a la Información Publica del Estado de México y Municipios. : Que previa búsqueda dentro de los archivos y expedientes que forman parte integral de la base de datos de la dirección encargada, informo que NO obra información o documentos que hagan referencia a lo solicitado. Sin más por el momento, me despido de Usted.</w:t>
      </w:r>
    </w:p>
    <w:p w14:paraId="59F01B6F" w14:textId="77777777" w:rsidR="004B6A3E" w:rsidRPr="008B2751" w:rsidRDefault="004B6A3E" w:rsidP="008B2751">
      <w:pPr>
        <w:tabs>
          <w:tab w:val="left" w:pos="0"/>
        </w:tabs>
        <w:spacing w:line="360" w:lineRule="auto"/>
        <w:ind w:left="567" w:right="34"/>
        <w:contextualSpacing/>
        <w:jc w:val="both"/>
        <w:rPr>
          <w:rFonts w:ascii="Palatino Linotype" w:eastAsia="Times New Roman" w:hAnsi="Palatino Linotype" w:cs="Arial"/>
          <w:i/>
          <w:sz w:val="23"/>
          <w:szCs w:val="23"/>
          <w:lang w:val="es-ES"/>
        </w:rPr>
      </w:pPr>
    </w:p>
    <w:p w14:paraId="6A11CD20" w14:textId="77777777" w:rsidR="004B6A3E" w:rsidRPr="008B2751" w:rsidRDefault="004B6A3E" w:rsidP="008B2751">
      <w:pPr>
        <w:tabs>
          <w:tab w:val="left" w:pos="0"/>
        </w:tabs>
        <w:spacing w:line="360" w:lineRule="auto"/>
        <w:ind w:left="567" w:right="34"/>
        <w:contextualSpacing/>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t>ATENTAMENTE</w:t>
      </w:r>
    </w:p>
    <w:p w14:paraId="78D2857E" w14:textId="6B595A99" w:rsidR="00E57EA8" w:rsidRPr="008B2751" w:rsidRDefault="004B6A3E" w:rsidP="008B2751">
      <w:pPr>
        <w:tabs>
          <w:tab w:val="left" w:pos="0"/>
        </w:tabs>
        <w:spacing w:line="360" w:lineRule="auto"/>
        <w:ind w:left="567" w:right="34"/>
        <w:contextualSpacing/>
        <w:rPr>
          <w:rFonts w:ascii="Palatino Linotype" w:eastAsia="Times New Roman" w:hAnsi="Palatino Linotype" w:cs="Arial"/>
          <w:i/>
          <w:sz w:val="23"/>
          <w:szCs w:val="23"/>
          <w:lang w:val="es-ES"/>
        </w:rPr>
      </w:pPr>
      <w:r w:rsidRPr="008B2751">
        <w:rPr>
          <w:rFonts w:ascii="Palatino Linotype" w:eastAsia="Times New Roman" w:hAnsi="Palatino Linotype" w:cs="Arial"/>
          <w:i/>
          <w:sz w:val="23"/>
          <w:szCs w:val="23"/>
          <w:lang w:val="es-ES"/>
        </w:rPr>
        <w:t>Lic. Ana Beatriz Romero Oceguera</w:t>
      </w:r>
      <w:r w:rsidR="00B02EEF" w:rsidRPr="008B2751">
        <w:rPr>
          <w:rFonts w:ascii="Palatino Linotype" w:eastAsia="Times New Roman" w:hAnsi="Palatino Linotype" w:cs="Arial"/>
          <w:i/>
          <w:sz w:val="23"/>
          <w:szCs w:val="23"/>
          <w:lang w:val="es-ES"/>
        </w:rPr>
        <w:t>” (Sic)</w:t>
      </w:r>
    </w:p>
    <w:p w14:paraId="55481D5B" w14:textId="77777777" w:rsidR="00D6700E" w:rsidRPr="008B2751" w:rsidRDefault="00D6700E" w:rsidP="008B2751">
      <w:pPr>
        <w:tabs>
          <w:tab w:val="left" w:pos="0"/>
        </w:tabs>
        <w:spacing w:line="360" w:lineRule="auto"/>
        <w:ind w:left="567" w:right="34"/>
        <w:contextualSpacing/>
        <w:rPr>
          <w:rFonts w:ascii="Palatino Linotype" w:eastAsia="Times New Roman" w:hAnsi="Palatino Linotype" w:cs="Arial"/>
          <w:i/>
          <w:sz w:val="23"/>
          <w:szCs w:val="23"/>
          <w:lang w:val="es-ES"/>
        </w:rPr>
      </w:pPr>
    </w:p>
    <w:p w14:paraId="39A9801F" w14:textId="41EBCE28" w:rsidR="00B02EEF" w:rsidRPr="008B2751" w:rsidRDefault="00A576D4" w:rsidP="008B2751">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8B2751">
        <w:rPr>
          <w:rFonts w:ascii="Palatino Linotype" w:eastAsia="Times New Roman" w:hAnsi="Palatino Linotype" w:cs="Arial"/>
          <w:lang w:val="es-ES"/>
        </w:rPr>
        <w:t>E</w:t>
      </w:r>
      <w:r w:rsidR="00D6700E" w:rsidRPr="008B2751">
        <w:rPr>
          <w:rFonts w:ascii="Palatino Linotype" w:eastAsia="Times New Roman" w:hAnsi="Palatino Linotype" w:cs="Arial"/>
          <w:lang w:val="es-ES"/>
        </w:rPr>
        <w:t xml:space="preserve">n lo </w:t>
      </w:r>
      <w:r w:rsidR="004B6A3E" w:rsidRPr="008B2751">
        <w:rPr>
          <w:rFonts w:ascii="Palatino Linotype" w:eastAsia="Times New Roman" w:hAnsi="Palatino Linotype" w:cs="Arial"/>
          <w:lang w:val="es-ES"/>
        </w:rPr>
        <w:t>sucesivo el día treinta  (30</w:t>
      </w:r>
      <w:r w:rsidR="00B02EEF" w:rsidRPr="008B2751">
        <w:rPr>
          <w:rFonts w:ascii="Palatino Linotype" w:eastAsia="Times New Roman" w:hAnsi="Palatino Linotype" w:cs="Arial"/>
          <w:lang w:val="es-ES"/>
        </w:rPr>
        <w:t>) de</w:t>
      </w:r>
      <w:r w:rsidR="004B6A3E" w:rsidRPr="008B2751">
        <w:rPr>
          <w:rFonts w:ascii="Palatino Linotype" w:eastAsia="Times New Roman" w:hAnsi="Palatino Linotype" w:cs="Arial"/>
          <w:lang w:val="es-ES"/>
        </w:rPr>
        <w:t xml:space="preserve"> </w:t>
      </w:r>
      <w:r w:rsidR="00D6700E" w:rsidRPr="008B2751">
        <w:rPr>
          <w:rFonts w:ascii="Palatino Linotype" w:eastAsia="Times New Roman" w:hAnsi="Palatino Linotype" w:cs="Arial"/>
          <w:lang w:val="es-ES"/>
        </w:rPr>
        <w:t>octubre</w:t>
      </w:r>
      <w:r w:rsidR="00170C6B" w:rsidRPr="008B2751">
        <w:rPr>
          <w:rFonts w:ascii="Palatino Linotype" w:eastAsia="Times New Roman" w:hAnsi="Palatino Linotype" w:cs="Arial"/>
          <w:lang w:val="es-ES"/>
        </w:rPr>
        <w:t xml:space="preserve"> </w:t>
      </w:r>
      <w:r w:rsidR="00B02EEF" w:rsidRPr="008B2751">
        <w:rPr>
          <w:rFonts w:ascii="Palatino Linotype" w:eastAsia="Times New Roman" w:hAnsi="Palatino Linotype" w:cs="Arial"/>
          <w:lang w:val="es-ES"/>
        </w:rPr>
        <w:t>de dos mil diecinueve</w:t>
      </w:r>
      <w:r w:rsidR="00B02EEF" w:rsidRPr="008B2751">
        <w:rPr>
          <w:rFonts w:ascii="Palatino Linotype" w:eastAsia="Times New Roman" w:hAnsi="Palatino Linotype" w:cs="Arial"/>
          <w:b/>
          <w:lang w:val="es-ES"/>
        </w:rPr>
        <w:t>,</w:t>
      </w:r>
      <w:r w:rsidR="00B02EEF" w:rsidRPr="008B2751">
        <w:rPr>
          <w:rFonts w:ascii="Palatino Linotype" w:eastAsia="Times New Roman" w:hAnsi="Palatino Linotype" w:cs="Arial"/>
          <w:lang w:val="es-ES"/>
        </w:rPr>
        <w:t xml:space="preserve"> </w:t>
      </w:r>
      <w:r w:rsidR="00B02EEF" w:rsidRPr="008B2751">
        <w:rPr>
          <w:rFonts w:ascii="Palatino Linotype" w:eastAsia="Times New Roman" w:hAnsi="Palatino Linotype" w:cs="Arial"/>
          <w:b/>
          <w:lang w:val="es-ES"/>
        </w:rPr>
        <w:t xml:space="preserve"> </w:t>
      </w:r>
      <w:r w:rsidR="00B02EEF" w:rsidRPr="008B2751">
        <w:rPr>
          <w:rFonts w:ascii="Palatino Linotype" w:eastAsia="Times New Roman" w:hAnsi="Palatino Linotype" w:cs="Arial"/>
          <w:lang w:val="es-ES"/>
        </w:rPr>
        <w:t>el solicitante interpuso el recurso de revisión, señalando lo siguiente:</w:t>
      </w:r>
    </w:p>
    <w:p w14:paraId="36A4FC54" w14:textId="77777777" w:rsidR="00B02EEF" w:rsidRPr="008B2751" w:rsidRDefault="00B02EEF" w:rsidP="008B2751">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47F310FC" w:rsidR="00B02EEF" w:rsidRPr="008B2751" w:rsidRDefault="00B02EEF" w:rsidP="008B2751">
      <w:pPr>
        <w:tabs>
          <w:tab w:val="left" w:pos="0"/>
          <w:tab w:val="left" w:pos="8222"/>
        </w:tabs>
        <w:spacing w:line="360" w:lineRule="auto"/>
        <w:ind w:left="993" w:right="567" w:hanging="567"/>
        <w:contextualSpacing/>
        <w:jc w:val="both"/>
        <w:rPr>
          <w:rFonts w:ascii="Palatino Linotype" w:eastAsia="Calibri" w:hAnsi="Palatino Linotype" w:cs="Arial"/>
          <w:i/>
          <w:lang w:val="es-ES"/>
        </w:rPr>
      </w:pPr>
      <w:r w:rsidRPr="008B2751">
        <w:rPr>
          <w:rFonts w:ascii="Palatino Linotype" w:eastAsia="Calibri" w:hAnsi="Palatino Linotype" w:cs="Arial"/>
          <w:b/>
          <w:lang w:val="es-ES"/>
        </w:rPr>
        <w:t>a. Acto impugnado:</w:t>
      </w:r>
      <w:r w:rsidRPr="008B2751">
        <w:rPr>
          <w:rFonts w:ascii="Palatino Linotype" w:eastAsia="Calibri" w:hAnsi="Palatino Linotype" w:cs="Arial"/>
          <w:i/>
          <w:lang w:val="es-ES"/>
        </w:rPr>
        <w:t xml:space="preserve"> “</w:t>
      </w:r>
      <w:r w:rsidR="004B6A3E" w:rsidRPr="008B2751">
        <w:rPr>
          <w:rFonts w:ascii="Palatino Linotype" w:eastAsia="Calibri" w:hAnsi="Palatino Linotype" w:cs="Arial"/>
          <w:i/>
          <w:lang w:val="es-ES"/>
        </w:rPr>
        <w:t>Reciba un cordial y afectuosos saludo así mismo en relación a la solicitud de información le tengo por enterado que en base al artículo 12 párrafo II de La Ley de Transparencia y Acceso a la Información Publica del Estado de México y Municipios</w:t>
      </w:r>
      <w:proofErr w:type="gramStart"/>
      <w:r w:rsidR="004B6A3E" w:rsidRPr="008B2751">
        <w:rPr>
          <w:rFonts w:ascii="Palatino Linotype" w:eastAsia="Calibri" w:hAnsi="Palatino Linotype" w:cs="Arial"/>
          <w:i/>
          <w:lang w:val="es-ES"/>
        </w:rPr>
        <w:t>. :</w:t>
      </w:r>
      <w:proofErr w:type="gramEnd"/>
      <w:r w:rsidR="004B6A3E" w:rsidRPr="008B2751">
        <w:rPr>
          <w:rFonts w:ascii="Palatino Linotype" w:eastAsia="Calibri" w:hAnsi="Palatino Linotype" w:cs="Arial"/>
          <w:i/>
          <w:lang w:val="es-ES"/>
        </w:rPr>
        <w:t xml:space="preserve"> Que previa búsqueda dentro de los archivos y expedientes que forman parte integral de la base de datos de la dirección encargada, informo que NO obra información o documentos que hagan referencia a lo solicitado. Sin más por el momento, me despido de Usted.</w:t>
      </w:r>
      <w:r w:rsidR="00170C6B" w:rsidRPr="008B2751">
        <w:rPr>
          <w:rFonts w:ascii="Palatino Linotype" w:eastAsia="Calibri" w:hAnsi="Palatino Linotype" w:cs="Arial"/>
          <w:i/>
          <w:lang w:val="es-ES"/>
        </w:rPr>
        <w:t>"</w:t>
      </w:r>
      <w:r w:rsidRPr="008B2751">
        <w:rPr>
          <w:rFonts w:ascii="Palatino Linotype" w:eastAsia="Calibri" w:hAnsi="Palatino Linotype" w:cs="Arial"/>
          <w:i/>
          <w:lang w:val="es-ES"/>
        </w:rPr>
        <w:t xml:space="preserve">. (Sic); </w:t>
      </w:r>
    </w:p>
    <w:p w14:paraId="73EFBC55" w14:textId="77777777" w:rsidR="00B02EEF" w:rsidRPr="008B2751" w:rsidRDefault="00B02EEF" w:rsidP="008B2751">
      <w:pPr>
        <w:tabs>
          <w:tab w:val="left" w:pos="0"/>
        </w:tabs>
        <w:spacing w:line="360" w:lineRule="auto"/>
        <w:ind w:left="720"/>
        <w:contextualSpacing/>
        <w:rPr>
          <w:rFonts w:ascii="Palatino Linotype" w:eastAsia="Calibri" w:hAnsi="Palatino Linotype" w:cs="Arial"/>
          <w:i/>
          <w:lang w:val="es-ES"/>
        </w:rPr>
      </w:pPr>
    </w:p>
    <w:p w14:paraId="4F18EF9B" w14:textId="23E8389A" w:rsidR="00B02EEF" w:rsidRPr="008B2751" w:rsidRDefault="00B02EEF" w:rsidP="008B2751">
      <w:pPr>
        <w:numPr>
          <w:ilvl w:val="0"/>
          <w:numId w:val="34"/>
        </w:numPr>
        <w:tabs>
          <w:tab w:val="left" w:pos="0"/>
        </w:tabs>
        <w:spacing w:line="360" w:lineRule="auto"/>
        <w:ind w:right="567"/>
        <w:contextualSpacing/>
        <w:jc w:val="both"/>
        <w:rPr>
          <w:rFonts w:ascii="Palatino Linotype" w:eastAsia="Calibri" w:hAnsi="Palatino Linotype" w:cs="Arial"/>
          <w:i/>
          <w:lang w:val="es-ES"/>
        </w:rPr>
      </w:pPr>
      <w:r w:rsidRPr="008B2751">
        <w:rPr>
          <w:rFonts w:ascii="Palatino Linotype" w:eastAsia="MS Gothic" w:hAnsi="Palatino Linotype" w:cs="Times New Roman"/>
          <w:b/>
          <w:lang w:val="es-ES"/>
        </w:rPr>
        <w:t>Razones o Motivos de inconformidad</w:t>
      </w:r>
      <w:r w:rsidRPr="008B2751">
        <w:rPr>
          <w:rFonts w:ascii="Palatino Linotype" w:eastAsia="MS Mincho" w:hAnsi="Palatino Linotype" w:cs="Times New Roman"/>
          <w:i/>
        </w:rPr>
        <w:t>: “</w:t>
      </w:r>
      <w:r w:rsidR="004B6A3E" w:rsidRPr="008B2751">
        <w:rPr>
          <w:rFonts w:ascii="Palatino Linotype" w:eastAsia="MS Mincho" w:hAnsi="Palatino Linotype" w:cs="Times New Roman"/>
          <w:i/>
        </w:rPr>
        <w:t>El sujeto obligado hace referencia a la inexistencia de la información, pero no precisa si se autorizó o entregó permiso para desarrollos de complejos habitacionales en el territorio municipal..., es así que la inconformidad es en el sentido de la violación a mi derecho de acceso a la información pública y al procedimiento para declarar inexistencia de la información en apego a la Ley de Transparencia local, finalmente, que precise si el sujeto obligado autorizó, entregó o no permiso para desarrollos de complejos habitacionales en el territorio del municipio.</w:t>
      </w:r>
      <w:r w:rsidRPr="008B2751">
        <w:rPr>
          <w:rFonts w:ascii="Palatino Linotype" w:eastAsia="MS Mincho" w:hAnsi="Palatino Linotype" w:cs="Times New Roman"/>
          <w:i/>
        </w:rPr>
        <w:t>”</w:t>
      </w:r>
      <w:r w:rsidR="00D6700E" w:rsidRPr="008B2751">
        <w:rPr>
          <w:rFonts w:ascii="Palatino Linotype" w:eastAsia="MS Mincho" w:hAnsi="Palatino Linotype" w:cs="Times New Roman"/>
          <w:i/>
        </w:rPr>
        <w:t xml:space="preserve">. </w:t>
      </w:r>
      <w:r w:rsidRPr="008B2751">
        <w:rPr>
          <w:rFonts w:ascii="Palatino Linotype" w:eastAsia="MS Mincho" w:hAnsi="Palatino Linotype" w:cs="Times New Roman"/>
          <w:i/>
        </w:rPr>
        <w:t>(Sic)</w:t>
      </w:r>
    </w:p>
    <w:p w14:paraId="0AACE85A" w14:textId="77777777" w:rsidR="00B02EEF" w:rsidRPr="008B2751" w:rsidRDefault="00B02EEF" w:rsidP="008B2751">
      <w:pPr>
        <w:tabs>
          <w:tab w:val="left" w:pos="0"/>
        </w:tabs>
        <w:spacing w:line="360" w:lineRule="auto"/>
        <w:contextualSpacing/>
        <w:jc w:val="both"/>
        <w:rPr>
          <w:rFonts w:ascii="Palatino Linotype" w:eastAsia="Times New Roman" w:hAnsi="Palatino Linotype" w:cs="Arial"/>
        </w:rPr>
      </w:pPr>
    </w:p>
    <w:p w14:paraId="265A6C69" w14:textId="77777777" w:rsidR="00B02EEF" w:rsidRPr="008B2751" w:rsidRDefault="00B02EEF" w:rsidP="008B2751">
      <w:pPr>
        <w:numPr>
          <w:ilvl w:val="0"/>
          <w:numId w:val="33"/>
        </w:numPr>
        <w:spacing w:line="360" w:lineRule="auto"/>
        <w:ind w:left="0" w:firstLine="0"/>
        <w:contextualSpacing/>
        <w:jc w:val="both"/>
        <w:rPr>
          <w:rFonts w:ascii="Palatino Linotype" w:eastAsia="MS Mincho" w:hAnsi="Palatino Linotype" w:cs="Times New Roman"/>
          <w:i/>
          <w:color w:val="000000"/>
        </w:rPr>
      </w:pPr>
      <w:r w:rsidRPr="008B2751">
        <w:rPr>
          <w:rFonts w:ascii="Palatino Linotype" w:eastAsia="Times New Roman" w:hAnsi="Palatino Linotype" w:cs="Arial"/>
          <w:lang w:val="es-ES"/>
        </w:rPr>
        <w:t xml:space="preserve">Se registró el recurso de revisión bajo el número de expediente </w:t>
      </w:r>
      <w:r w:rsidRPr="008B2751">
        <w:rPr>
          <w:rFonts w:ascii="Palatino Linotype" w:eastAsia="MS Mincho" w:hAnsi="Palatino Linotype" w:cs="Arial"/>
          <w:bCs/>
        </w:rPr>
        <w:t xml:space="preserve">al rubro indicado, asimismo con fundamento en lo dispuesto por el </w:t>
      </w:r>
      <w:r w:rsidRPr="008B2751">
        <w:rPr>
          <w:rFonts w:ascii="Palatino Linotype" w:eastAsia="Calibri" w:hAnsi="Palatino Linotype" w:cs="Arial"/>
          <w:lang w:val="es-ES"/>
        </w:rPr>
        <w:t xml:space="preserve">artículo 185 fracción I de la Ley de Transparencia y Acceso a la Información Pública del Estado de México y Municipios </w:t>
      </w:r>
      <w:r w:rsidRPr="008B2751">
        <w:rPr>
          <w:rFonts w:ascii="Palatino Linotype" w:eastAsia="Times New Roman" w:hAnsi="Palatino Linotype" w:cs="Arial"/>
          <w:lang w:val="es-ES"/>
        </w:rPr>
        <w:t xml:space="preserve">se turnó al Comisionado José Guadalupe Luna Hernández con el objeto de </w:t>
      </w:r>
      <w:r w:rsidRPr="008B2751">
        <w:rPr>
          <w:rFonts w:ascii="Palatino Linotype" w:eastAsia="Times New Roman" w:hAnsi="Palatino Linotype" w:cs="Arial"/>
          <w:lang w:val="es-MX"/>
        </w:rPr>
        <w:t>su análisis.</w:t>
      </w:r>
    </w:p>
    <w:p w14:paraId="75FDB5F5" w14:textId="77777777" w:rsidR="00B02EEF" w:rsidRPr="008B2751" w:rsidRDefault="00B02EEF" w:rsidP="008B2751">
      <w:pPr>
        <w:spacing w:line="360" w:lineRule="auto"/>
        <w:contextualSpacing/>
        <w:rPr>
          <w:rFonts w:ascii="Palatino Linotype" w:eastAsia="Calibri" w:hAnsi="Palatino Linotype" w:cs="Arial"/>
          <w:lang w:val="es-ES"/>
        </w:rPr>
      </w:pPr>
    </w:p>
    <w:p w14:paraId="61AA8514" w14:textId="1A70F2E5" w:rsidR="00170C6B" w:rsidRPr="008B2751" w:rsidRDefault="00B02EEF" w:rsidP="008B2751">
      <w:pPr>
        <w:numPr>
          <w:ilvl w:val="0"/>
          <w:numId w:val="33"/>
        </w:numPr>
        <w:spacing w:line="360" w:lineRule="auto"/>
        <w:ind w:left="0" w:firstLine="0"/>
        <w:contextualSpacing/>
        <w:jc w:val="both"/>
        <w:rPr>
          <w:rFonts w:ascii="Palatino Linotype" w:eastAsia="MS Mincho" w:hAnsi="Palatino Linotype" w:cs="Times New Roman"/>
          <w:i/>
          <w:color w:val="000000"/>
        </w:rPr>
      </w:pPr>
      <w:r w:rsidRPr="008B2751">
        <w:rPr>
          <w:rFonts w:ascii="Palatino Linotype" w:eastAsia="Calibri" w:hAnsi="Palatino Linotype" w:cs="Arial"/>
          <w:lang w:val="es-ES"/>
        </w:rPr>
        <w:t>El Comisionado Ponente con fundamento en lo dispuesto por el artículo 185 fracción II de la ley de la materia, a través del acuerdo</w:t>
      </w:r>
      <w:r w:rsidR="00D6700E" w:rsidRPr="008B2751">
        <w:rPr>
          <w:rFonts w:ascii="Palatino Linotype" w:eastAsia="Calibri" w:hAnsi="Palatino Linotype" w:cs="Arial"/>
          <w:lang w:val="es-ES"/>
        </w:rPr>
        <w:t xml:space="preserve"> de ad</w:t>
      </w:r>
      <w:r w:rsidR="004B6A3E" w:rsidRPr="008B2751">
        <w:rPr>
          <w:rFonts w:ascii="Palatino Linotype" w:eastAsia="Calibri" w:hAnsi="Palatino Linotype" w:cs="Arial"/>
          <w:lang w:val="es-ES"/>
        </w:rPr>
        <w:t>misión de fecha cinco (05</w:t>
      </w:r>
      <w:r w:rsidRPr="008B2751">
        <w:rPr>
          <w:rFonts w:ascii="Palatino Linotype" w:eastAsia="Calibri" w:hAnsi="Palatino Linotype" w:cs="Arial"/>
          <w:lang w:val="es-ES"/>
        </w:rPr>
        <w:t>) de</w:t>
      </w:r>
      <w:r w:rsidR="004B6A3E" w:rsidRPr="008B2751">
        <w:rPr>
          <w:rFonts w:ascii="Palatino Linotype" w:eastAsia="Calibri" w:hAnsi="Palatino Linotype" w:cs="Arial"/>
          <w:lang w:val="es-ES"/>
        </w:rPr>
        <w:t xml:space="preserve"> noviembre</w:t>
      </w:r>
      <w:r w:rsidR="00D6700E" w:rsidRPr="008B2751">
        <w:rPr>
          <w:rFonts w:ascii="Palatino Linotype" w:eastAsia="Calibri" w:hAnsi="Palatino Linotype" w:cs="Arial"/>
          <w:lang w:val="es-ES"/>
        </w:rPr>
        <w:t xml:space="preserve"> </w:t>
      </w:r>
      <w:r w:rsidRPr="008B2751">
        <w:rPr>
          <w:rFonts w:ascii="Palatino Linotype" w:eastAsia="Calibri" w:hAnsi="Palatino Linotype" w:cs="Arial"/>
          <w:lang w:val="es-ES"/>
        </w:rPr>
        <w:t xml:space="preserve">de dos mil diecinueve, puso a disposición de las partes el expediente electrónico </w:t>
      </w:r>
      <w:r w:rsidRPr="008B2751">
        <w:rPr>
          <w:rFonts w:ascii="Palatino Linotype" w:eastAsia="Calibri" w:hAnsi="Palatino Linotype" w:cs="Arial"/>
        </w:rPr>
        <w:t xml:space="preserve">vía </w:t>
      </w:r>
      <w:r w:rsidRPr="008B2751">
        <w:rPr>
          <w:rFonts w:ascii="Palatino Linotype" w:eastAsia="Calibri" w:hAnsi="Palatino Linotype" w:cs="Arial"/>
          <w:lang w:val="es-ES"/>
        </w:rPr>
        <w:t xml:space="preserve">Sistema de Acceso a la Información Mexiquense </w:t>
      </w:r>
      <w:r w:rsidRPr="008B2751">
        <w:rPr>
          <w:rFonts w:ascii="Palatino Linotype" w:eastAsia="Calibri" w:hAnsi="Palatino Linotype" w:cs="Arial"/>
          <w:b/>
          <w:lang w:val="es-ES"/>
        </w:rPr>
        <w:t xml:space="preserve">(SAIMEX) </w:t>
      </w:r>
      <w:r w:rsidRPr="008B275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B2751">
        <w:rPr>
          <w:rFonts w:ascii="Palatino Linotype" w:eastAsia="Calibri" w:hAnsi="Palatino Linotype" w:cs="Arial"/>
          <w:b/>
          <w:lang w:val="es-ES"/>
        </w:rPr>
        <w:t>SUJETO OBLIGADO</w:t>
      </w:r>
      <w:r w:rsidRPr="008B2751">
        <w:rPr>
          <w:rFonts w:ascii="Palatino Linotype" w:eastAsia="Calibri" w:hAnsi="Palatino Linotype" w:cs="Arial"/>
          <w:lang w:val="es-ES"/>
        </w:rPr>
        <w:t xml:space="preserve"> presentara el Informe Justificado procedente.    </w:t>
      </w:r>
    </w:p>
    <w:p w14:paraId="1CB3CA97" w14:textId="77777777" w:rsidR="00170C6B" w:rsidRPr="008B2751" w:rsidRDefault="00170C6B" w:rsidP="008B2751">
      <w:pPr>
        <w:pStyle w:val="Prrafodelista"/>
        <w:spacing w:line="360" w:lineRule="auto"/>
        <w:rPr>
          <w:rFonts w:ascii="Palatino Linotype" w:eastAsia="Calibri" w:hAnsi="Palatino Linotype" w:cs="Arial"/>
          <w:lang w:val="es-ES"/>
        </w:rPr>
      </w:pPr>
    </w:p>
    <w:p w14:paraId="1B7D1495" w14:textId="156511D4" w:rsidR="00DB14A8" w:rsidRPr="008B2751" w:rsidRDefault="00170C6B" w:rsidP="008B2751">
      <w:pPr>
        <w:numPr>
          <w:ilvl w:val="0"/>
          <w:numId w:val="33"/>
        </w:numPr>
        <w:spacing w:line="360" w:lineRule="auto"/>
        <w:ind w:left="0" w:firstLine="0"/>
        <w:contextualSpacing/>
        <w:jc w:val="both"/>
        <w:rPr>
          <w:rFonts w:ascii="Palatino Linotype" w:eastAsia="MS Mincho" w:hAnsi="Palatino Linotype" w:cs="Times New Roman"/>
        </w:rPr>
      </w:pPr>
      <w:r w:rsidRPr="008B2751">
        <w:rPr>
          <w:rFonts w:ascii="Palatino Linotype" w:eastAsia="Calibri" w:hAnsi="Palatino Linotype" w:cs="Arial"/>
          <w:lang w:val="es-ES"/>
        </w:rPr>
        <w:t>En fecha</w:t>
      </w:r>
      <w:r w:rsidR="004B6A3E" w:rsidRPr="008B2751">
        <w:rPr>
          <w:rFonts w:ascii="Palatino Linotype" w:eastAsia="Calibri" w:hAnsi="Palatino Linotype" w:cs="Arial"/>
          <w:lang w:val="es-ES"/>
        </w:rPr>
        <w:t xml:space="preserve"> cinco </w:t>
      </w:r>
      <w:r w:rsidRPr="008B2751">
        <w:rPr>
          <w:rFonts w:ascii="Palatino Linotype" w:eastAsia="Calibri" w:hAnsi="Palatino Linotype" w:cs="Arial"/>
        </w:rPr>
        <w:t>(</w:t>
      </w:r>
      <w:r w:rsidR="004B6A3E" w:rsidRPr="008B2751">
        <w:rPr>
          <w:rFonts w:ascii="Palatino Linotype" w:eastAsia="Calibri" w:hAnsi="Palatino Linotype" w:cs="Arial"/>
        </w:rPr>
        <w:t>05</w:t>
      </w:r>
      <w:r w:rsidRPr="008B2751">
        <w:rPr>
          <w:rFonts w:ascii="Palatino Linotype" w:eastAsia="Calibri" w:hAnsi="Palatino Linotype" w:cs="Arial"/>
        </w:rPr>
        <w:t>) de</w:t>
      </w:r>
      <w:r w:rsidR="004B6A3E" w:rsidRPr="008B2751">
        <w:rPr>
          <w:rFonts w:ascii="Palatino Linotype" w:eastAsia="Calibri" w:hAnsi="Palatino Linotype" w:cs="Arial"/>
        </w:rPr>
        <w:t xml:space="preserve"> noviembre </w:t>
      </w:r>
      <w:r w:rsidRPr="008B2751">
        <w:rPr>
          <w:rFonts w:ascii="Palatino Linotype" w:eastAsia="Calibri" w:hAnsi="Palatino Linotype" w:cs="Arial"/>
        </w:rPr>
        <w:t xml:space="preserve">de dos mil diecinueve, el </w:t>
      </w:r>
      <w:r w:rsidRPr="008B2751">
        <w:rPr>
          <w:rFonts w:ascii="Palatino Linotype" w:eastAsia="Calibri" w:hAnsi="Palatino Linotype" w:cs="Arial"/>
          <w:b/>
        </w:rPr>
        <w:t>SUJETO OBLIGADO</w:t>
      </w:r>
      <w:r w:rsidRPr="008B2751">
        <w:rPr>
          <w:rFonts w:ascii="Palatino Linotype" w:eastAsia="Calibri" w:hAnsi="Palatino Linotype" w:cs="Arial"/>
        </w:rPr>
        <w:t>, rindió informe justificado, el cual  se puso a la vista de la recurrente median</w:t>
      </w:r>
      <w:r w:rsidR="004B6A3E" w:rsidRPr="008B2751">
        <w:rPr>
          <w:rFonts w:ascii="Palatino Linotype" w:eastAsia="Calibri" w:hAnsi="Palatino Linotype" w:cs="Arial"/>
        </w:rPr>
        <w:t xml:space="preserve">te acuerdo de fecha dieciséis </w:t>
      </w:r>
      <w:r w:rsidRPr="008B2751">
        <w:rPr>
          <w:rFonts w:ascii="Palatino Linotype" w:eastAsia="Calibri" w:hAnsi="Palatino Linotype" w:cs="Arial"/>
        </w:rPr>
        <w:t>(</w:t>
      </w:r>
      <w:r w:rsidR="004B6A3E" w:rsidRPr="008B2751">
        <w:rPr>
          <w:rFonts w:ascii="Palatino Linotype" w:eastAsia="Calibri" w:hAnsi="Palatino Linotype" w:cs="Arial"/>
        </w:rPr>
        <w:t>16</w:t>
      </w:r>
      <w:r w:rsidRPr="008B2751">
        <w:rPr>
          <w:rFonts w:ascii="Palatino Linotype" w:eastAsia="Calibri" w:hAnsi="Palatino Linotype" w:cs="Arial"/>
        </w:rPr>
        <w:t>) de</w:t>
      </w:r>
      <w:r w:rsidR="004B6A3E" w:rsidRPr="008B2751">
        <w:rPr>
          <w:rFonts w:ascii="Palatino Linotype" w:eastAsia="Calibri" w:hAnsi="Palatino Linotype" w:cs="Arial"/>
        </w:rPr>
        <w:t xml:space="preserve"> enero</w:t>
      </w:r>
      <w:r w:rsidRPr="008B2751">
        <w:rPr>
          <w:rFonts w:ascii="Palatino Linotype" w:eastAsia="Calibri" w:hAnsi="Palatino Linotype" w:cs="Arial"/>
        </w:rPr>
        <w:t xml:space="preserve"> de dos mil </w:t>
      </w:r>
      <w:r w:rsidR="004B6A3E" w:rsidRPr="008B2751">
        <w:rPr>
          <w:rFonts w:ascii="Palatino Linotype" w:eastAsia="Calibri" w:hAnsi="Palatino Linotype" w:cs="Arial"/>
        </w:rPr>
        <w:t>veinte</w:t>
      </w:r>
      <w:r w:rsidRPr="008B2751">
        <w:rPr>
          <w:rFonts w:ascii="Palatino Linotype" w:eastAsia="Calibri" w:hAnsi="Palatino Linotype" w:cs="Arial"/>
        </w:rPr>
        <w:t xml:space="preserve">, en virtud de que según se observó </w:t>
      </w:r>
      <w:r w:rsidR="00D6700E" w:rsidRPr="008B2751">
        <w:rPr>
          <w:rFonts w:ascii="Palatino Linotype" w:eastAsia="Calibri" w:hAnsi="Palatino Linotype" w:cs="Arial"/>
        </w:rPr>
        <w:t xml:space="preserve">no contenían información susceptible de clasificarse y </w:t>
      </w:r>
      <w:r w:rsidRPr="008B2751">
        <w:rPr>
          <w:rFonts w:ascii="Palatino Linotype" w:eastAsia="Calibri" w:hAnsi="Palatino Linotype" w:cs="Arial"/>
        </w:rPr>
        <w:t>aportaba elementos novedosos con rel</w:t>
      </w:r>
      <w:r w:rsidR="00A82E6A" w:rsidRPr="008B2751">
        <w:rPr>
          <w:rFonts w:ascii="Palatino Linotype" w:eastAsia="Calibri" w:hAnsi="Palatino Linotype" w:cs="Arial"/>
        </w:rPr>
        <w:t xml:space="preserve">ación a la respuesta primigenia y que modificaran el sentido de la presente resolución, por su parte el recurrente fue omiso en emitir manifestaciones.  </w:t>
      </w:r>
    </w:p>
    <w:p w14:paraId="6169A770" w14:textId="77777777" w:rsidR="00DB14A8" w:rsidRPr="008B2751" w:rsidRDefault="00DB14A8" w:rsidP="008B2751">
      <w:pPr>
        <w:spacing w:line="360" w:lineRule="auto"/>
        <w:contextualSpacing/>
        <w:jc w:val="both"/>
        <w:rPr>
          <w:rFonts w:ascii="Palatino Linotype" w:eastAsia="MS Mincho" w:hAnsi="Palatino Linotype" w:cs="Times New Roman"/>
        </w:rPr>
      </w:pPr>
    </w:p>
    <w:p w14:paraId="5FFACA04" w14:textId="14473E64" w:rsidR="00DB14A8" w:rsidRPr="008B2751" w:rsidRDefault="00DB14A8" w:rsidP="008B2751">
      <w:pPr>
        <w:numPr>
          <w:ilvl w:val="0"/>
          <w:numId w:val="33"/>
        </w:numPr>
        <w:spacing w:line="360" w:lineRule="auto"/>
        <w:ind w:left="0" w:firstLine="0"/>
        <w:contextualSpacing/>
        <w:jc w:val="both"/>
        <w:rPr>
          <w:rFonts w:ascii="Palatino Linotype" w:eastAsia="MS Mincho" w:hAnsi="Palatino Linotype" w:cs="Times New Roman"/>
        </w:rPr>
      </w:pPr>
      <w:r w:rsidRPr="008B2751">
        <w:rPr>
          <w:rFonts w:ascii="Palatino Linotype" w:eastAsia="Calibri" w:hAnsi="Palatino Linotype" w:cs="Arial"/>
          <w:color w:val="000000"/>
        </w:rPr>
        <w:t xml:space="preserve">El día </w:t>
      </w:r>
      <w:r w:rsidR="00BE425A" w:rsidRPr="008B2751">
        <w:rPr>
          <w:rFonts w:ascii="Palatino Linotype" w:eastAsia="Calibri" w:hAnsi="Palatino Linotype" w:cs="Arial"/>
          <w:color w:val="000000"/>
        </w:rPr>
        <w:t xml:space="preserve">diecisiete </w:t>
      </w:r>
      <w:r w:rsidRPr="008B2751">
        <w:rPr>
          <w:rFonts w:ascii="Palatino Linotype" w:eastAsia="Calibri" w:hAnsi="Palatino Linotype" w:cs="Arial"/>
          <w:color w:val="000000"/>
        </w:rPr>
        <w:t>(</w:t>
      </w:r>
      <w:r w:rsidR="00BE425A" w:rsidRPr="008B2751">
        <w:rPr>
          <w:rFonts w:ascii="Palatino Linotype" w:eastAsia="Calibri" w:hAnsi="Palatino Linotype" w:cs="Arial"/>
          <w:color w:val="000000"/>
        </w:rPr>
        <w:t>17</w:t>
      </w:r>
      <w:r w:rsidRPr="008B2751">
        <w:rPr>
          <w:rFonts w:ascii="Palatino Linotype" w:eastAsia="Calibri" w:hAnsi="Palatino Linotype" w:cs="Arial"/>
          <w:color w:val="000000"/>
        </w:rPr>
        <w:t>) de enero de dos mil veinte y con fundamento en el artículo 181 tercer párrafo de la </w:t>
      </w:r>
      <w:r w:rsidRPr="008B2751">
        <w:rPr>
          <w:rFonts w:ascii="Palatino Linotype" w:eastAsia="Calibri" w:hAnsi="Palatino Linotype" w:cs="Arial"/>
          <w:b/>
          <w:bCs/>
          <w:color w:val="000000"/>
        </w:rPr>
        <w:t>Ley de Transparencia y Acceso a la Información Pública del Estado de México y Municipios, </w:t>
      </w:r>
      <w:r w:rsidRPr="008B2751">
        <w:rPr>
          <w:rFonts w:ascii="Palatino Linotype" w:eastAsia="Calibri" w:hAnsi="Palatino Linotype" w:cs="Arial"/>
          <w:color w:val="000000"/>
        </w:rPr>
        <w:t>se notificó que el plazo de 30 días para resolver los recursos de revisión, serían ampliados por un periodo de 15 días hábiles adicionales, debido a la naturaleza, complejidad del asunto y para un mejor estudio.</w:t>
      </w:r>
    </w:p>
    <w:p w14:paraId="7FF36D49" w14:textId="7056F286" w:rsidR="00170C6B" w:rsidRPr="008B2751" w:rsidRDefault="00170C6B" w:rsidP="008B2751">
      <w:pPr>
        <w:spacing w:line="360" w:lineRule="auto"/>
        <w:contextualSpacing/>
        <w:jc w:val="both"/>
        <w:rPr>
          <w:rFonts w:ascii="Palatino Linotype" w:eastAsia="MS Mincho" w:hAnsi="Palatino Linotype" w:cs="Times New Roman"/>
          <w:i/>
          <w:color w:val="000000"/>
        </w:rPr>
      </w:pPr>
    </w:p>
    <w:p w14:paraId="0B28A6D2" w14:textId="6D3417A3" w:rsidR="00DB14A8" w:rsidRPr="008B2751" w:rsidRDefault="00DB14A8" w:rsidP="008B2751">
      <w:pPr>
        <w:numPr>
          <w:ilvl w:val="0"/>
          <w:numId w:val="33"/>
        </w:numPr>
        <w:spacing w:line="360" w:lineRule="auto"/>
        <w:ind w:left="0" w:firstLine="0"/>
        <w:contextualSpacing/>
        <w:jc w:val="both"/>
        <w:rPr>
          <w:rFonts w:ascii="Palatino Linotype" w:eastAsia="MS Mincho" w:hAnsi="Palatino Linotype" w:cs="Times New Roman"/>
          <w:b/>
        </w:rPr>
      </w:pPr>
      <w:r w:rsidRPr="008B2751">
        <w:rPr>
          <w:rFonts w:ascii="Palatino Linotype" w:eastAsia="MS Mincho" w:hAnsi="Palatino Linotype" w:cs="Times New Roman"/>
        </w:rPr>
        <w:t>El Comisionado Ponente decretó el cierre de instrucción</w:t>
      </w:r>
      <w:r w:rsidRPr="008B2751">
        <w:rPr>
          <w:rFonts w:ascii="Palatino Linotype" w:eastAsia="MS Mincho" w:hAnsi="Palatino Linotype" w:cs="Arial"/>
        </w:rPr>
        <w:t xml:space="preserve"> </w:t>
      </w:r>
      <w:r w:rsidRPr="008B2751">
        <w:rPr>
          <w:rFonts w:ascii="Palatino Linotype" w:eastAsia="MS Mincho" w:hAnsi="Palatino Linotype" w:cs="Times New Roman"/>
        </w:rPr>
        <w:t>mediant</w:t>
      </w:r>
      <w:r w:rsidR="00BE425A" w:rsidRPr="008B2751">
        <w:rPr>
          <w:rFonts w:ascii="Palatino Linotype" w:eastAsia="MS Mincho" w:hAnsi="Palatino Linotype" w:cs="Times New Roman"/>
        </w:rPr>
        <w:t>e acuerdo de fecha veintidós (22</w:t>
      </w:r>
      <w:r w:rsidRPr="008B2751">
        <w:rPr>
          <w:rFonts w:ascii="Palatino Linotype" w:eastAsia="MS Mincho" w:hAnsi="Palatino Linotype" w:cs="Times New Roman"/>
        </w:rPr>
        <w:t>) de</w:t>
      </w:r>
      <w:r w:rsidR="00BE425A" w:rsidRPr="008B2751">
        <w:rPr>
          <w:rFonts w:ascii="Palatino Linotype" w:eastAsia="MS Mincho" w:hAnsi="Palatino Linotype" w:cs="Times New Roman"/>
        </w:rPr>
        <w:t xml:space="preserve"> enero</w:t>
      </w:r>
      <w:r w:rsidRPr="008B2751">
        <w:rPr>
          <w:rFonts w:ascii="Palatino Linotype" w:eastAsia="MS Mincho" w:hAnsi="Palatino Linotype" w:cs="Times New Roman"/>
        </w:rPr>
        <w:t xml:space="preserve"> </w:t>
      </w:r>
      <w:r w:rsidR="00BE425A" w:rsidRPr="008B2751">
        <w:rPr>
          <w:rFonts w:ascii="Palatino Linotype" w:eastAsia="MS Mincho" w:hAnsi="Palatino Linotype" w:cs="Times New Roman"/>
        </w:rPr>
        <w:t>de dos mil veinte</w:t>
      </w:r>
      <w:r w:rsidRPr="008B2751">
        <w:rPr>
          <w:rFonts w:ascii="Palatino Linotype" w:eastAsia="MS Mincho" w:hAnsi="Palatino Linotype" w:cs="Times New Roman"/>
        </w:rPr>
        <w:t xml:space="preserve">, </w:t>
      </w:r>
      <w:r w:rsidRPr="008B2751">
        <w:rPr>
          <w:rFonts w:ascii="Palatino Linotype" w:eastAsia="MS Mincho" w:hAnsi="Palatino Linotype" w:cs="Arial"/>
        </w:rPr>
        <w:t xml:space="preserve">por lo que, ordenó turnar el expediente a resolución, misma que a continuación se pronuncia. </w:t>
      </w:r>
    </w:p>
    <w:p w14:paraId="32CD4E5B" w14:textId="77777777" w:rsidR="00B02EEF" w:rsidRPr="008B2751" w:rsidRDefault="00B02EEF" w:rsidP="008B2751">
      <w:pPr>
        <w:spacing w:line="360" w:lineRule="auto"/>
        <w:contextualSpacing/>
        <w:jc w:val="both"/>
        <w:rPr>
          <w:rFonts w:ascii="Palatino Linotype" w:eastAsia="MS Mincho" w:hAnsi="Palatino Linotype" w:cs="Times New Roman"/>
        </w:rPr>
      </w:pPr>
    </w:p>
    <w:p w14:paraId="0943D0CE" w14:textId="77777777" w:rsidR="00B02EEF" w:rsidRPr="008B2751" w:rsidRDefault="00B02EEF" w:rsidP="008B2751">
      <w:pPr>
        <w:keepNext/>
        <w:keepLines/>
        <w:spacing w:line="360"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30616317"/>
      <w:r w:rsidRPr="008B2751">
        <w:rPr>
          <w:rFonts w:ascii="Palatino Linotype" w:eastAsia="MS Gothic" w:hAnsi="Palatino Linotype" w:cs="Times New Roman"/>
          <w:b/>
          <w:lang w:val="es-MX" w:eastAsia="en-US"/>
        </w:rPr>
        <w:t>CONSIDERANDO</w:t>
      </w:r>
      <w:bookmarkEnd w:id="7"/>
      <w:bookmarkEnd w:id="8"/>
      <w:bookmarkEnd w:id="9"/>
    </w:p>
    <w:p w14:paraId="09AE16DA" w14:textId="77777777" w:rsidR="00B02EEF" w:rsidRPr="008B2751" w:rsidRDefault="00B02EEF" w:rsidP="008B2751">
      <w:pPr>
        <w:spacing w:line="360" w:lineRule="auto"/>
        <w:rPr>
          <w:rFonts w:ascii="Palatino Linotype" w:eastAsia="MS Mincho" w:hAnsi="Palatino Linotype" w:cs="Times New Roman"/>
          <w:lang w:val="es-MX" w:eastAsia="en-US"/>
        </w:rPr>
      </w:pPr>
    </w:p>
    <w:p w14:paraId="76AF5C85" w14:textId="77777777" w:rsidR="00B02EEF" w:rsidRPr="008B2751" w:rsidRDefault="00B02EEF" w:rsidP="008B2751">
      <w:pPr>
        <w:keepNext/>
        <w:keepLines/>
        <w:spacing w:line="360"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30616318"/>
      <w:r w:rsidRPr="008B2751">
        <w:rPr>
          <w:rFonts w:ascii="Palatino Linotype" w:eastAsia="MS Gothic" w:hAnsi="Palatino Linotype" w:cs="Times New Roman"/>
          <w:b/>
          <w:lang w:val="es-MX" w:eastAsia="en-US"/>
        </w:rPr>
        <w:t>PRIMERO. De la competencia</w:t>
      </w:r>
      <w:bookmarkEnd w:id="10"/>
      <w:bookmarkEnd w:id="11"/>
      <w:r w:rsidRPr="008B2751">
        <w:rPr>
          <w:rFonts w:ascii="Palatino Linotype" w:eastAsia="MS Gothic" w:hAnsi="Palatino Linotype" w:cs="Times New Roman"/>
          <w:b/>
          <w:lang w:val="es-MX" w:eastAsia="en-US"/>
        </w:rPr>
        <w:t>.</w:t>
      </w:r>
      <w:bookmarkEnd w:id="12"/>
    </w:p>
    <w:p w14:paraId="407D446A" w14:textId="77777777" w:rsidR="00B02EEF" w:rsidRPr="008B2751" w:rsidRDefault="00B02EEF" w:rsidP="008B2751">
      <w:pPr>
        <w:spacing w:line="360" w:lineRule="auto"/>
        <w:rPr>
          <w:rFonts w:ascii="Palatino Linotype" w:eastAsia="MS Mincho" w:hAnsi="Palatino Linotype" w:cs="Times New Roman"/>
          <w:lang w:val="es-MX" w:eastAsia="en-US"/>
        </w:rPr>
      </w:pPr>
    </w:p>
    <w:p w14:paraId="20B67824" w14:textId="63228797" w:rsidR="00B02EEF" w:rsidRPr="008B2751" w:rsidRDefault="00B02EEF" w:rsidP="008B2751">
      <w:pPr>
        <w:numPr>
          <w:ilvl w:val="0"/>
          <w:numId w:val="33"/>
        </w:numPr>
        <w:spacing w:line="360" w:lineRule="auto"/>
        <w:ind w:left="0" w:firstLine="0"/>
        <w:contextualSpacing/>
        <w:jc w:val="both"/>
        <w:rPr>
          <w:rFonts w:ascii="Palatino Linotype" w:eastAsia="Calibri" w:hAnsi="Palatino Linotype" w:cs="Times New Roman"/>
          <w:lang w:val="es-ES"/>
        </w:rPr>
      </w:pPr>
      <w:r w:rsidRPr="008B2751">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B13B95" w:rsidRPr="008B2751">
        <w:rPr>
          <w:rFonts w:ascii="Palatino Linotype" w:eastAsia="Calibri" w:hAnsi="Palatino Linotype" w:cs="Times New Roman"/>
          <w:lang w:val="es-ES"/>
        </w:rPr>
        <w:t xml:space="preserve"> segundo</w:t>
      </w:r>
      <w:r w:rsidRPr="008B2751">
        <w:rPr>
          <w:rFonts w:ascii="Palatino Linotype" w:eastAsia="Calibri" w:hAnsi="Palatino Linotype" w:cs="Times New Roman"/>
          <w:lang w:val="es-ES"/>
        </w:rPr>
        <w:t>, vigésimo</w:t>
      </w:r>
      <w:r w:rsidR="00B13B95" w:rsidRPr="008B2751">
        <w:rPr>
          <w:rFonts w:ascii="Palatino Linotype" w:eastAsia="Calibri" w:hAnsi="Palatino Linotype" w:cs="Times New Roman"/>
          <w:lang w:val="es-ES"/>
        </w:rPr>
        <w:t xml:space="preserve"> tercero</w:t>
      </w:r>
      <w:r w:rsidRPr="008B2751">
        <w:rPr>
          <w:rFonts w:ascii="Palatino Linotype" w:eastAsia="Calibri" w:hAnsi="Palatino Linotype" w:cs="Times New Roman"/>
          <w:lang w:val="es-ES"/>
        </w:rPr>
        <w:t xml:space="preserve"> y vigésimo</w:t>
      </w:r>
      <w:r w:rsidR="00B13B95" w:rsidRPr="008B2751">
        <w:rPr>
          <w:rFonts w:ascii="Palatino Linotype" w:eastAsia="Calibri" w:hAnsi="Palatino Linotype" w:cs="Times New Roman"/>
          <w:lang w:val="es-ES"/>
        </w:rPr>
        <w:t xml:space="preserve"> cuarto </w:t>
      </w:r>
      <w:r w:rsidRPr="008B2751">
        <w:rPr>
          <w:rFonts w:ascii="Palatino Linotype" w:eastAsia="Calibri" w:hAnsi="Palatino Linotype" w:cs="Times New Roman"/>
          <w:lang w:val="es-ES"/>
        </w:rPr>
        <w:t xml:space="preserve">fracciones IV y V de la Constitución Política del Estado Libre y Soberano de México; artículos 1, 2 fracción II, 13, 29, 36 fracciones I y II, 176, 178, 179, 181 párrafo tercero y 185 </w:t>
      </w:r>
      <w:r w:rsidRPr="008B2751">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32BCA8F" w14:textId="77777777" w:rsidR="00B02EEF" w:rsidRPr="008B2751" w:rsidRDefault="00B02EEF" w:rsidP="008B2751">
      <w:pPr>
        <w:spacing w:line="360" w:lineRule="auto"/>
        <w:ind w:left="426"/>
        <w:contextualSpacing/>
        <w:jc w:val="both"/>
        <w:rPr>
          <w:rFonts w:ascii="Palatino Linotype" w:eastAsia="Calibri" w:hAnsi="Palatino Linotype" w:cs="Times New Roman"/>
          <w:b/>
          <w:lang w:val="es-ES"/>
        </w:rPr>
      </w:pPr>
    </w:p>
    <w:p w14:paraId="12067C63" w14:textId="77777777" w:rsidR="00B02EEF" w:rsidRPr="008B2751" w:rsidRDefault="00B02EEF" w:rsidP="008B2751">
      <w:pPr>
        <w:keepNext/>
        <w:keepLines/>
        <w:spacing w:line="360"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30616319"/>
      <w:r w:rsidRPr="008B2751">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8B2751" w:rsidRDefault="00B02EEF" w:rsidP="008B2751">
      <w:pPr>
        <w:spacing w:line="360" w:lineRule="auto"/>
        <w:rPr>
          <w:rFonts w:ascii="Palatino Linotype" w:eastAsia="MS Mincho" w:hAnsi="Palatino Linotype" w:cs="Times New Roman"/>
          <w:lang w:val="es-MX" w:eastAsia="en-US"/>
        </w:rPr>
      </w:pPr>
    </w:p>
    <w:p w14:paraId="5F3B5A9D" w14:textId="7E2BA48F" w:rsidR="00BE544F" w:rsidRPr="008B2751" w:rsidRDefault="00B02EEF" w:rsidP="008B2751">
      <w:pPr>
        <w:numPr>
          <w:ilvl w:val="0"/>
          <w:numId w:val="33"/>
        </w:numPr>
        <w:spacing w:line="360" w:lineRule="auto"/>
        <w:ind w:left="0" w:right="49" w:firstLine="0"/>
        <w:contextualSpacing/>
        <w:jc w:val="both"/>
        <w:rPr>
          <w:rFonts w:ascii="Palatino Linotype" w:eastAsia="Calibri" w:hAnsi="Palatino Linotype" w:cs="Arial"/>
          <w:b/>
        </w:rPr>
      </w:pPr>
      <w:r w:rsidRPr="008B2751">
        <w:rPr>
          <w:rFonts w:ascii="Palatino Linotype" w:eastAsia="Calibri" w:hAnsi="Palatino Linotype" w:cs="Arial"/>
        </w:rPr>
        <w:t>El medio de impugnación fue presentado a través del Sistema de Acceso a la Información Mexiquense (SAIMEX)</w:t>
      </w:r>
      <w:r w:rsidRPr="008B2751">
        <w:rPr>
          <w:rFonts w:ascii="Palatino Linotype" w:eastAsia="Calibri" w:hAnsi="Palatino Linotype" w:cs="Arial"/>
          <w:b/>
        </w:rPr>
        <w:t>,</w:t>
      </w:r>
      <w:r w:rsidRPr="008B2751">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8B2751">
        <w:rPr>
          <w:rFonts w:ascii="Palatino Linotype" w:eastAsia="Calibri" w:hAnsi="Palatino Linotype" w:cs="Arial"/>
          <w:b/>
        </w:rPr>
        <w:t>SUJETO OBLIGADO</w:t>
      </w:r>
      <w:r w:rsidRPr="008B2751">
        <w:rPr>
          <w:rFonts w:ascii="Palatino Linotype" w:eastAsia="Calibri" w:hAnsi="Palatino Linotype" w:cs="Arial"/>
        </w:rPr>
        <w:t xml:space="preserve"> emitió</w:t>
      </w:r>
      <w:r w:rsidR="00DB14A8" w:rsidRPr="008B2751">
        <w:rPr>
          <w:rFonts w:ascii="Palatino Linotype" w:eastAsia="Calibri" w:hAnsi="Palatino Linotype" w:cs="Arial"/>
        </w:rPr>
        <w:t xml:space="preserve"> respuesta el día dieciocho (18</w:t>
      </w:r>
      <w:r w:rsidRPr="008B2751">
        <w:rPr>
          <w:rFonts w:ascii="Palatino Linotype" w:eastAsia="Calibri" w:hAnsi="Palatino Linotype" w:cs="Arial"/>
        </w:rPr>
        <w:t>) de</w:t>
      </w:r>
      <w:r w:rsidR="00181409" w:rsidRPr="008B2751">
        <w:rPr>
          <w:rFonts w:ascii="Palatino Linotype" w:eastAsia="Calibri" w:hAnsi="Palatino Linotype" w:cs="Arial"/>
        </w:rPr>
        <w:t xml:space="preserve"> octubre</w:t>
      </w:r>
      <w:r w:rsidR="00972105" w:rsidRPr="008B2751">
        <w:rPr>
          <w:rFonts w:ascii="Palatino Linotype" w:eastAsia="Calibri" w:hAnsi="Palatino Linotype" w:cs="Arial"/>
        </w:rPr>
        <w:t xml:space="preserve"> </w:t>
      </w:r>
      <w:r w:rsidRPr="008B2751">
        <w:rPr>
          <w:rFonts w:ascii="Palatino Linotype" w:eastAsia="Calibri" w:hAnsi="Palatino Linotype" w:cs="Arial"/>
        </w:rPr>
        <w:t>de dos mil diecinueve, de tal forma que el plazo para interponer el recurso</w:t>
      </w:r>
      <w:r w:rsidR="00DB14A8" w:rsidRPr="008B2751">
        <w:rPr>
          <w:rFonts w:ascii="Palatino Linotype" w:eastAsia="Calibri" w:hAnsi="Palatino Linotype" w:cs="Arial"/>
        </w:rPr>
        <w:t xml:space="preserve"> transcurrió del día veintiuno (21</w:t>
      </w:r>
      <w:r w:rsidR="00972105" w:rsidRPr="008B2751">
        <w:rPr>
          <w:rFonts w:ascii="Palatino Linotype" w:eastAsia="Calibri" w:hAnsi="Palatino Linotype" w:cs="Arial"/>
        </w:rPr>
        <w:t>) de</w:t>
      </w:r>
      <w:r w:rsidR="00282A83" w:rsidRPr="008B2751">
        <w:rPr>
          <w:rFonts w:ascii="Palatino Linotype" w:eastAsia="Calibri" w:hAnsi="Palatino Linotype" w:cs="Arial"/>
        </w:rPr>
        <w:t xml:space="preserve"> octubre al ocho (08</w:t>
      </w:r>
      <w:r w:rsidR="00181409" w:rsidRPr="008B2751">
        <w:rPr>
          <w:rFonts w:ascii="Palatino Linotype" w:eastAsia="Calibri" w:hAnsi="Palatino Linotype" w:cs="Arial"/>
        </w:rPr>
        <w:t xml:space="preserve">) de noviembre </w:t>
      </w:r>
      <w:r w:rsidRPr="008B2751">
        <w:rPr>
          <w:rFonts w:ascii="Palatino Linotype" w:eastAsia="Calibri" w:hAnsi="Palatino Linotype" w:cs="Arial"/>
        </w:rPr>
        <w:t xml:space="preserve">de dos mil diecinueve, en consecuencia, si la parte </w:t>
      </w:r>
      <w:r w:rsidRPr="008B2751">
        <w:rPr>
          <w:rFonts w:ascii="Palatino Linotype" w:eastAsia="Calibri" w:hAnsi="Palatino Linotype" w:cs="Arial"/>
          <w:b/>
        </w:rPr>
        <w:t>RECURRENTE</w:t>
      </w:r>
      <w:r w:rsidRPr="008B2751">
        <w:rPr>
          <w:rFonts w:ascii="Palatino Linotype" w:eastAsia="Calibri" w:hAnsi="Palatino Linotype" w:cs="Arial"/>
        </w:rPr>
        <w:t xml:space="preserve"> presentó su i</w:t>
      </w:r>
      <w:r w:rsidR="00282A83" w:rsidRPr="008B2751">
        <w:rPr>
          <w:rFonts w:ascii="Palatino Linotype" w:eastAsia="Calibri" w:hAnsi="Palatino Linotype" w:cs="Arial"/>
        </w:rPr>
        <w:t>nconformidad el día treinta (30</w:t>
      </w:r>
      <w:r w:rsidRPr="008B2751">
        <w:rPr>
          <w:rFonts w:ascii="Palatino Linotype" w:eastAsia="Calibri" w:hAnsi="Palatino Linotype" w:cs="Arial"/>
        </w:rPr>
        <w:t>) de</w:t>
      </w:r>
      <w:r w:rsidR="00282A83" w:rsidRPr="008B2751">
        <w:rPr>
          <w:rFonts w:ascii="Palatino Linotype" w:eastAsia="Calibri" w:hAnsi="Palatino Linotype" w:cs="Arial"/>
        </w:rPr>
        <w:t xml:space="preserve"> octubre </w:t>
      </w:r>
      <w:r w:rsidRPr="008B2751">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8B2751">
        <w:rPr>
          <w:rFonts w:ascii="Palatino Linotype" w:eastAsia="Calibri" w:hAnsi="Palatino Linotype" w:cs="Arial"/>
        </w:rPr>
        <w:t>desechamiento</w:t>
      </w:r>
      <w:proofErr w:type="spellEnd"/>
      <w:r w:rsidRPr="008B2751">
        <w:rPr>
          <w:rFonts w:ascii="Palatino Linotype" w:eastAsia="Calibri" w:hAnsi="Palatino Linotype" w:cs="Arial"/>
        </w:rPr>
        <w:t xml:space="preserve"> por extemporaneidad, el recurso de revisión que hoy nos ocupa, resulta procedente.</w:t>
      </w:r>
    </w:p>
    <w:p w14:paraId="5BE7AF8A" w14:textId="77777777" w:rsidR="00181409" w:rsidRPr="008B2751" w:rsidRDefault="00181409" w:rsidP="008B2751">
      <w:pPr>
        <w:spacing w:line="360" w:lineRule="auto"/>
        <w:ind w:right="49"/>
        <w:contextualSpacing/>
        <w:jc w:val="both"/>
        <w:rPr>
          <w:rFonts w:ascii="Palatino Linotype" w:eastAsia="Calibri" w:hAnsi="Palatino Linotype" w:cs="Arial"/>
          <w:b/>
        </w:rPr>
      </w:pPr>
    </w:p>
    <w:p w14:paraId="153283EF" w14:textId="56CCEBD9" w:rsidR="00181409" w:rsidRPr="008B2751" w:rsidRDefault="00181409" w:rsidP="008B2751">
      <w:pPr>
        <w:pStyle w:val="Prrafodelista"/>
        <w:numPr>
          <w:ilvl w:val="0"/>
          <w:numId w:val="33"/>
        </w:numPr>
        <w:spacing w:line="360" w:lineRule="auto"/>
        <w:ind w:left="0" w:right="49" w:firstLine="0"/>
        <w:jc w:val="both"/>
        <w:rPr>
          <w:rFonts w:ascii="Palatino Linotype" w:eastAsia="MS Mincho" w:hAnsi="Palatino Linotype" w:cs="Times New Roman"/>
        </w:rPr>
      </w:pPr>
      <w:r w:rsidRPr="008B2751">
        <w:rPr>
          <w:rFonts w:ascii="Palatino Linotype" w:eastAsia="Calibri" w:hAnsi="Palatino Linotype" w:cs="Times New Roman"/>
          <w:lang w:val="es-ES"/>
        </w:rPr>
        <w:t xml:space="preserve">Por otro lado, de la revisión al expediente electrónico contenido en el sistema </w:t>
      </w:r>
      <w:r w:rsidRPr="008B2751">
        <w:rPr>
          <w:rFonts w:ascii="Palatino Linotype" w:eastAsia="Calibri" w:hAnsi="Palatino Linotype" w:cs="Times New Roman"/>
          <w:b/>
          <w:lang w:val="es-ES"/>
        </w:rPr>
        <w:t>SAIMEX</w:t>
      </w:r>
      <w:r w:rsidRPr="008B2751">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8B2751">
        <w:rPr>
          <w:rFonts w:ascii="Palatino Linotype" w:eastAsia="Calibri" w:hAnsi="Palatino Linotype" w:cs="Times New Roman"/>
          <w:b/>
          <w:lang w:val="es-ES"/>
        </w:rPr>
        <w:t xml:space="preserve">no proporciona nombre para que sea </w:t>
      </w:r>
      <w:r w:rsidRPr="008B2751">
        <w:rPr>
          <w:rFonts w:ascii="Palatino Linotype" w:eastAsia="Calibri" w:hAnsi="Palatino Linotype" w:cs="Times New Roman"/>
          <w:b/>
          <w:u w:val="single"/>
          <w:lang w:val="es-ES"/>
        </w:rPr>
        <w:t>identificada</w:t>
      </w:r>
      <w:r w:rsidRPr="008B2751">
        <w:rPr>
          <w:rFonts w:ascii="Palatino Linotype" w:eastAsia="Calibri" w:hAnsi="Palatino Linotype" w:cs="Times New Roman"/>
          <w:b/>
          <w:lang w:val="es-ES"/>
        </w:rPr>
        <w:t>,</w:t>
      </w:r>
      <w:r w:rsidRPr="008B2751">
        <w:rPr>
          <w:rFonts w:ascii="Palatino Linotype" w:eastAsia="Calibri" w:hAnsi="Palatino Linotype" w:cs="Times New Roman"/>
          <w:lang w:val="es-ES"/>
        </w:rPr>
        <w:t xml:space="preserve"> por lo que no se tiene la certeza sobre su identidad, sin embargo, es importante señalar también que </w:t>
      </w:r>
      <w:r w:rsidRPr="008B2751">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DFC1F1F" w14:textId="77777777" w:rsidR="00181409" w:rsidRPr="008B2751" w:rsidRDefault="00181409" w:rsidP="008B2751">
      <w:pPr>
        <w:spacing w:line="360" w:lineRule="auto"/>
        <w:ind w:left="720"/>
        <w:contextualSpacing/>
        <w:rPr>
          <w:rFonts w:ascii="Palatino Linotype" w:eastAsia="MS Mincho" w:hAnsi="Palatino Linotype" w:cs="Times New Roman"/>
        </w:rPr>
      </w:pPr>
    </w:p>
    <w:p w14:paraId="5C42C40C" w14:textId="77777777" w:rsidR="00181409" w:rsidRPr="008B2751" w:rsidRDefault="00181409" w:rsidP="008B2751">
      <w:pPr>
        <w:numPr>
          <w:ilvl w:val="0"/>
          <w:numId w:val="33"/>
        </w:numPr>
        <w:spacing w:line="360" w:lineRule="auto"/>
        <w:ind w:left="0" w:right="49" w:firstLine="0"/>
        <w:contextualSpacing/>
        <w:jc w:val="both"/>
        <w:rPr>
          <w:rFonts w:ascii="Palatino Linotype" w:eastAsia="MS Mincho" w:hAnsi="Palatino Linotype" w:cs="Times New Roman"/>
        </w:rPr>
      </w:pPr>
      <w:r w:rsidRPr="008B2751">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867EDC2" w14:textId="77777777" w:rsidR="00181409" w:rsidRPr="008B2751" w:rsidRDefault="00181409" w:rsidP="008B2751">
      <w:pPr>
        <w:spacing w:line="360" w:lineRule="auto"/>
        <w:ind w:left="720"/>
        <w:contextualSpacing/>
        <w:rPr>
          <w:rFonts w:ascii="Palatino Linotype" w:eastAsia="Calibri" w:hAnsi="Palatino Linotype" w:cs="Times New Roman"/>
          <w:lang w:val="es-ES"/>
        </w:rPr>
      </w:pPr>
    </w:p>
    <w:p w14:paraId="1618E673" w14:textId="77777777" w:rsidR="00181409" w:rsidRPr="008B2751" w:rsidRDefault="00181409" w:rsidP="008B2751">
      <w:pPr>
        <w:numPr>
          <w:ilvl w:val="0"/>
          <w:numId w:val="33"/>
        </w:numPr>
        <w:spacing w:line="360" w:lineRule="auto"/>
        <w:ind w:left="0" w:right="49" w:firstLine="0"/>
        <w:contextualSpacing/>
        <w:jc w:val="both"/>
        <w:rPr>
          <w:rFonts w:ascii="Palatino Linotype" w:eastAsia="MS Mincho" w:hAnsi="Palatino Linotype" w:cs="Times New Roman"/>
        </w:rPr>
      </w:pPr>
      <w:r w:rsidRPr="008B275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4D7B61" w14:textId="77777777" w:rsidR="00181409" w:rsidRPr="008B2751" w:rsidRDefault="00181409" w:rsidP="008B2751">
      <w:pPr>
        <w:spacing w:line="360" w:lineRule="auto"/>
        <w:ind w:left="720"/>
        <w:contextualSpacing/>
        <w:rPr>
          <w:rFonts w:ascii="Palatino Linotype" w:eastAsia="Calibri" w:hAnsi="Palatino Linotype" w:cs="Times New Roman"/>
          <w:lang w:val="es-ES"/>
        </w:rPr>
      </w:pPr>
    </w:p>
    <w:p w14:paraId="3B831B85" w14:textId="77777777" w:rsidR="00181409" w:rsidRPr="008B2751" w:rsidRDefault="00181409" w:rsidP="008B2751">
      <w:pPr>
        <w:numPr>
          <w:ilvl w:val="0"/>
          <w:numId w:val="33"/>
        </w:numPr>
        <w:spacing w:line="360" w:lineRule="auto"/>
        <w:ind w:left="0" w:right="49" w:firstLine="0"/>
        <w:contextualSpacing/>
        <w:jc w:val="both"/>
        <w:rPr>
          <w:rFonts w:ascii="Palatino Linotype" w:eastAsia="MS Mincho" w:hAnsi="Palatino Linotype" w:cs="Times New Roman"/>
        </w:rPr>
      </w:pPr>
      <w:r w:rsidRPr="008B275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FC38AA5" w14:textId="77777777" w:rsidR="00181409" w:rsidRPr="008B2751" w:rsidRDefault="00181409" w:rsidP="008B2751">
      <w:pPr>
        <w:spacing w:line="360" w:lineRule="auto"/>
        <w:ind w:left="720"/>
        <w:contextualSpacing/>
        <w:rPr>
          <w:rFonts w:ascii="Palatino Linotype" w:eastAsia="Times New Roman" w:hAnsi="Palatino Linotype" w:cs="Arial"/>
          <w:lang w:val="es-ES"/>
        </w:rPr>
      </w:pPr>
    </w:p>
    <w:p w14:paraId="7BAAA0CC" w14:textId="77777777" w:rsidR="00181409" w:rsidRPr="008B2751" w:rsidRDefault="00181409" w:rsidP="008B2751">
      <w:pPr>
        <w:numPr>
          <w:ilvl w:val="0"/>
          <w:numId w:val="33"/>
        </w:numPr>
        <w:spacing w:line="360" w:lineRule="auto"/>
        <w:ind w:left="0" w:right="49" w:firstLine="0"/>
        <w:contextualSpacing/>
        <w:jc w:val="both"/>
        <w:rPr>
          <w:rFonts w:ascii="Palatino Linotype" w:eastAsia="MS Mincho" w:hAnsi="Palatino Linotype" w:cs="Times New Roman"/>
        </w:rPr>
      </w:pPr>
      <w:r w:rsidRPr="008B2751">
        <w:rPr>
          <w:rFonts w:ascii="Palatino Linotype" w:eastAsia="Times New Roman" w:hAnsi="Palatino Linotype" w:cs="Arial"/>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BA821ED" w14:textId="77777777" w:rsidR="00BE544F" w:rsidRPr="008B2751" w:rsidRDefault="00BE544F" w:rsidP="008B2751">
      <w:pPr>
        <w:spacing w:line="360" w:lineRule="auto"/>
        <w:ind w:right="49"/>
        <w:contextualSpacing/>
        <w:jc w:val="both"/>
        <w:rPr>
          <w:rFonts w:ascii="Palatino Linotype" w:eastAsia="Calibri" w:hAnsi="Palatino Linotype" w:cs="Arial"/>
          <w:b/>
        </w:rPr>
      </w:pPr>
    </w:p>
    <w:p w14:paraId="63976126" w14:textId="23E81D9A" w:rsidR="00B02EEF" w:rsidRPr="008B2751" w:rsidRDefault="00181409" w:rsidP="008B2751">
      <w:pPr>
        <w:numPr>
          <w:ilvl w:val="0"/>
          <w:numId w:val="33"/>
        </w:numPr>
        <w:spacing w:line="360" w:lineRule="auto"/>
        <w:ind w:left="0" w:right="49" w:firstLine="0"/>
        <w:contextualSpacing/>
        <w:jc w:val="both"/>
        <w:rPr>
          <w:rFonts w:ascii="Palatino Linotype" w:eastAsia="Calibri" w:hAnsi="Palatino Linotype" w:cs="Arial"/>
          <w:b/>
        </w:rPr>
      </w:pPr>
      <w:r w:rsidRPr="008B2751">
        <w:rPr>
          <w:rFonts w:ascii="Palatino Linotype" w:eastAsia="Calibri" w:hAnsi="Palatino Linotype" w:cs="Arial"/>
        </w:rPr>
        <w:t>Consecuentemente</w:t>
      </w:r>
      <w:r w:rsidR="00B02EEF" w:rsidRPr="008B2751">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8B2751" w:rsidRDefault="00B02EEF" w:rsidP="008B2751">
      <w:pPr>
        <w:spacing w:line="360" w:lineRule="auto"/>
        <w:ind w:right="49"/>
        <w:contextualSpacing/>
        <w:jc w:val="both"/>
        <w:rPr>
          <w:rFonts w:ascii="Palatino Linotype" w:eastAsia="Times New Roman" w:hAnsi="Palatino Linotype" w:cs="Times New Roman"/>
        </w:rPr>
      </w:pPr>
    </w:p>
    <w:p w14:paraId="07D09307" w14:textId="57364DF1" w:rsidR="00B02EEF" w:rsidRPr="008B2751" w:rsidRDefault="00B02EEF" w:rsidP="008B2751">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30616320"/>
      <w:r w:rsidRPr="008B2751">
        <w:rPr>
          <w:rFonts w:ascii="Palatino Linotype" w:eastAsia="Times New Roman" w:hAnsi="Palatino Linotype" w:cs="Times New Roman"/>
          <w:b/>
          <w:lang w:val="es-MX" w:eastAsia="en-US"/>
        </w:rPr>
        <w:t xml:space="preserve">TERCERO. </w:t>
      </w:r>
      <w:bookmarkEnd w:id="16"/>
      <w:r w:rsidR="00972105" w:rsidRPr="008B2751">
        <w:rPr>
          <w:rFonts w:ascii="Palatino Linotype" w:eastAsia="Times New Roman" w:hAnsi="Palatino Linotype" w:cs="Times New Roman"/>
          <w:b/>
          <w:lang w:val="es-MX" w:eastAsia="en-US"/>
        </w:rPr>
        <w:t>De las causales de sobreseimiento.</w:t>
      </w:r>
      <w:bookmarkEnd w:id="17"/>
      <w:r w:rsidR="00972105" w:rsidRPr="008B2751">
        <w:rPr>
          <w:rFonts w:ascii="Palatino Linotype" w:eastAsia="Times New Roman" w:hAnsi="Palatino Linotype" w:cs="Times New Roman"/>
          <w:b/>
          <w:lang w:val="es-MX" w:eastAsia="en-US"/>
        </w:rPr>
        <w:t xml:space="preserve"> </w:t>
      </w:r>
    </w:p>
    <w:p w14:paraId="67A523DF" w14:textId="77777777" w:rsidR="00B02EEF" w:rsidRPr="008B2751" w:rsidRDefault="00B02EEF" w:rsidP="008B2751">
      <w:pPr>
        <w:spacing w:line="360" w:lineRule="auto"/>
        <w:rPr>
          <w:rFonts w:ascii="Palatino Linotype" w:eastAsia="Times New Roman" w:hAnsi="Palatino Linotype" w:cs="Times New Roman"/>
          <w:lang w:val="es-MX" w:eastAsia="en-US"/>
        </w:rPr>
      </w:pPr>
    </w:p>
    <w:p w14:paraId="2807F7B4" w14:textId="7762BFA0" w:rsidR="00972105" w:rsidRPr="008B2751" w:rsidRDefault="00972105" w:rsidP="008B2751">
      <w:pPr>
        <w:pStyle w:val="Prrafodelista"/>
        <w:numPr>
          <w:ilvl w:val="0"/>
          <w:numId w:val="33"/>
        </w:numPr>
        <w:spacing w:line="360" w:lineRule="auto"/>
        <w:ind w:left="0" w:right="49" w:firstLine="0"/>
        <w:jc w:val="both"/>
        <w:rPr>
          <w:rFonts w:ascii="Palatino Linotype" w:hAnsi="Palatino Linotype" w:cs="Arial"/>
        </w:rPr>
      </w:pPr>
      <w:r w:rsidRPr="008B2751">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8B2751">
        <w:rPr>
          <w:rFonts w:ascii="Palatino Linotype" w:eastAsia="Calibri" w:hAnsi="Palatino Linotype" w:cs="Arial"/>
        </w:rPr>
        <w:t>Transparencia, Acceso a la Información Pública del Estado de México y Municipios</w:t>
      </w:r>
      <w:r w:rsidRPr="008B2751">
        <w:rPr>
          <w:rFonts w:ascii="Palatino Linotype" w:hAnsi="Palatino Linotype" w:cs="Arial"/>
        </w:rPr>
        <w:t xml:space="preserve">, y determinar la confirmación; revocación o modificación; </w:t>
      </w:r>
      <w:proofErr w:type="spellStart"/>
      <w:r w:rsidRPr="008B2751">
        <w:rPr>
          <w:rFonts w:ascii="Palatino Linotype" w:hAnsi="Palatino Linotype" w:cs="Arial"/>
        </w:rPr>
        <w:t>desechamiento</w:t>
      </w:r>
      <w:proofErr w:type="spellEnd"/>
      <w:r w:rsidRPr="008B2751">
        <w:rPr>
          <w:rFonts w:ascii="Palatino Linotype" w:hAnsi="Palatino Linotype" w:cs="Arial"/>
        </w:rPr>
        <w:t xml:space="preserve"> o </w:t>
      </w:r>
      <w:r w:rsidRPr="008B2751">
        <w:rPr>
          <w:rFonts w:ascii="Palatino Linotype" w:hAnsi="Palatino Linotype" w:cs="Arial"/>
          <w:b/>
          <w:u w:val="single"/>
        </w:rPr>
        <w:t>sobreseimiento</w:t>
      </w:r>
      <w:r w:rsidRPr="008B2751">
        <w:rPr>
          <w:rFonts w:ascii="Palatino Linotype" w:hAnsi="Palatino Linotype" w:cs="Arial"/>
        </w:rPr>
        <w:t xml:space="preserve">; y en su caso ordenar la entrega de la información con respecto a la respuesta emitida por el </w:t>
      </w:r>
      <w:r w:rsidRPr="008B2751">
        <w:rPr>
          <w:rFonts w:ascii="Palatino Linotype" w:hAnsi="Palatino Linotype" w:cs="Arial"/>
          <w:b/>
        </w:rPr>
        <w:t>SUJETO</w:t>
      </w:r>
      <w:r w:rsidRPr="008B2751">
        <w:rPr>
          <w:rFonts w:ascii="Palatino Linotype" w:hAnsi="Palatino Linotype" w:cs="Arial"/>
        </w:rPr>
        <w:t xml:space="preserve"> </w:t>
      </w:r>
      <w:r w:rsidRPr="008B2751">
        <w:rPr>
          <w:rFonts w:ascii="Palatino Linotype" w:hAnsi="Palatino Linotype" w:cs="Arial"/>
          <w:b/>
        </w:rPr>
        <w:t>OBLIGADO</w:t>
      </w:r>
      <w:r w:rsidRPr="008B2751">
        <w:rPr>
          <w:rFonts w:ascii="Palatino Linotype" w:hAnsi="Palatino Linotype" w:cs="Arial"/>
        </w:rPr>
        <w:t>.</w:t>
      </w:r>
    </w:p>
    <w:p w14:paraId="54B66DEF" w14:textId="77777777" w:rsidR="00972105" w:rsidRPr="008B2751" w:rsidRDefault="00972105" w:rsidP="008B2751">
      <w:pPr>
        <w:spacing w:line="360" w:lineRule="auto"/>
        <w:ind w:right="49"/>
        <w:contextualSpacing/>
        <w:jc w:val="both"/>
        <w:rPr>
          <w:rFonts w:ascii="Palatino Linotype" w:hAnsi="Palatino Linotype" w:cs="Arial"/>
        </w:rPr>
      </w:pPr>
    </w:p>
    <w:p w14:paraId="3CA48153" w14:textId="6BDF90DF" w:rsidR="00972105" w:rsidRPr="008B2751" w:rsidRDefault="00972105" w:rsidP="008B2751">
      <w:pPr>
        <w:numPr>
          <w:ilvl w:val="0"/>
          <w:numId w:val="33"/>
        </w:numPr>
        <w:spacing w:line="360" w:lineRule="auto"/>
        <w:ind w:left="0" w:right="49" w:firstLine="0"/>
        <w:contextualSpacing/>
        <w:jc w:val="both"/>
        <w:rPr>
          <w:rFonts w:ascii="Palatino Linotype" w:hAnsi="Palatino Linotype" w:cs="Arial"/>
        </w:rPr>
      </w:pPr>
      <w:r w:rsidRPr="008B2751">
        <w:rPr>
          <w:rFonts w:ascii="Palatino Linotype" w:eastAsia="Calibri" w:hAnsi="Palatino Linotype" w:cs="Arial"/>
          <w:color w:val="000000" w:themeColor="text1"/>
          <w:lang w:val="es-MX" w:eastAsia="en-US"/>
        </w:rPr>
        <w:t xml:space="preserve"> </w:t>
      </w:r>
      <w:r w:rsidR="00060379" w:rsidRPr="008B2751">
        <w:rPr>
          <w:rFonts w:ascii="Palatino Linotype" w:eastAsia="Calibri" w:hAnsi="Palatino Linotype" w:cs="Arial"/>
          <w:color w:val="000000" w:themeColor="text1"/>
          <w:lang w:val="es-MX" w:eastAsia="en-US"/>
        </w:rPr>
        <w:t>E</w:t>
      </w:r>
      <w:r w:rsidRPr="008B2751">
        <w:rPr>
          <w:rFonts w:ascii="Palatino Linotype" w:eastAsia="Calibri" w:hAnsi="Palatino Linotype" w:cs="Arial"/>
          <w:color w:val="000000" w:themeColor="text1"/>
          <w:lang w:val="es-MX" w:eastAsia="en-US"/>
        </w:rPr>
        <w:t>n el caso</w:t>
      </w:r>
      <w:r w:rsidR="00060379" w:rsidRPr="008B2751">
        <w:rPr>
          <w:rFonts w:ascii="Palatino Linotype" w:eastAsia="Calibri" w:hAnsi="Palatino Linotype" w:cs="Arial"/>
          <w:color w:val="000000" w:themeColor="text1"/>
          <w:lang w:val="es-MX" w:eastAsia="en-US"/>
        </w:rPr>
        <w:t xml:space="preserve"> en</w:t>
      </w:r>
      <w:r w:rsidRPr="008B2751">
        <w:rPr>
          <w:rFonts w:ascii="Palatino Linotype" w:eastAsia="Calibri" w:hAnsi="Palatino Linotype" w:cs="Arial"/>
          <w:color w:val="000000" w:themeColor="text1"/>
          <w:lang w:val="es-MX" w:eastAsia="en-US"/>
        </w:rPr>
        <w:t xml:space="preserve"> concreto y derivado del razonamiento lógico-jurídico de las constancias que obran en el expediente electrónico al rubro indicado, es de señalar que el </w:t>
      </w:r>
      <w:r w:rsidRPr="008B2751">
        <w:rPr>
          <w:rFonts w:ascii="Palatino Linotype" w:hAnsi="Palatino Linotype" w:cs="Arial"/>
          <w:color w:val="000000" w:themeColor="text1"/>
        </w:rPr>
        <w:t xml:space="preserve">ahora recurrente, solicitó conocer: </w:t>
      </w:r>
      <w:r w:rsidR="00060379" w:rsidRPr="008B2751">
        <w:rPr>
          <w:rFonts w:ascii="Palatino Linotype" w:hAnsi="Palatino Linotype" w:cs="Arial"/>
          <w:i/>
          <w:color w:val="000000" w:themeColor="text1"/>
          <w:lang w:val="es-ES"/>
        </w:rPr>
        <w:t>“…</w:t>
      </w:r>
      <w:r w:rsidR="00282A83" w:rsidRPr="008B2751">
        <w:rPr>
          <w:rFonts w:ascii="Palatino Linotype" w:hAnsi="Palatino Linotype" w:cs="Arial"/>
          <w:i/>
          <w:color w:val="000000" w:themeColor="text1"/>
          <w:lang w:val="es-ES"/>
        </w:rPr>
        <w:t>Se me precise o indique si el gobierno municipal o el ayuntamiento en lo que va de la administración autorizó o entregó permisos para desarrollo de complejos habitacionales en el territorio municipal, y si es así, indique el o los nombres o razón social de quien o quienes se les autorizó o entrego permiso, documentos y anexos del acto jurídico de la autoridad para la autorización, en formato PDF.</w:t>
      </w:r>
      <w:r w:rsidR="00060379" w:rsidRPr="008B2751">
        <w:rPr>
          <w:rFonts w:ascii="Palatino Linotype" w:hAnsi="Palatino Linotype" w:cs="Arial"/>
          <w:i/>
          <w:color w:val="000000" w:themeColor="text1"/>
          <w:lang w:val="es-ES"/>
        </w:rPr>
        <w:t>”</w:t>
      </w:r>
      <w:r w:rsidR="00DA3068" w:rsidRPr="008B2751">
        <w:rPr>
          <w:rFonts w:ascii="Palatino Linotype" w:hAnsi="Palatino Linotype" w:cs="Arial"/>
          <w:i/>
          <w:color w:val="000000" w:themeColor="text1"/>
          <w:lang w:val="es-ES"/>
        </w:rPr>
        <w:t xml:space="preserve"> (Sic)</w:t>
      </w:r>
    </w:p>
    <w:p w14:paraId="4843057A" w14:textId="77777777" w:rsidR="00060379" w:rsidRPr="008B2751" w:rsidRDefault="00060379" w:rsidP="008B2751">
      <w:pPr>
        <w:spacing w:line="360" w:lineRule="auto"/>
        <w:ind w:right="49"/>
        <w:contextualSpacing/>
        <w:jc w:val="both"/>
        <w:rPr>
          <w:rFonts w:ascii="Palatino Linotype" w:hAnsi="Palatino Linotype" w:cs="Arial"/>
        </w:rPr>
      </w:pPr>
    </w:p>
    <w:p w14:paraId="6343E8B4" w14:textId="24055E38" w:rsidR="00181409" w:rsidRPr="008B2751" w:rsidRDefault="00972105" w:rsidP="008B2751">
      <w:pPr>
        <w:numPr>
          <w:ilvl w:val="0"/>
          <w:numId w:val="33"/>
        </w:numPr>
        <w:spacing w:line="360" w:lineRule="auto"/>
        <w:ind w:left="0" w:right="49" w:firstLine="0"/>
        <w:contextualSpacing/>
        <w:jc w:val="both"/>
        <w:rPr>
          <w:rFonts w:ascii="Palatino Linotype" w:hAnsi="Palatino Linotype"/>
          <w:b/>
        </w:rPr>
      </w:pPr>
      <w:r w:rsidRPr="008B2751">
        <w:rPr>
          <w:rFonts w:ascii="Palatino Linotype" w:hAnsi="Palatino Linotype"/>
        </w:rPr>
        <w:t xml:space="preserve">En ese sentido, el </w:t>
      </w:r>
      <w:r w:rsidRPr="008B2751">
        <w:rPr>
          <w:rFonts w:ascii="Palatino Linotype" w:hAnsi="Palatino Linotype"/>
          <w:b/>
        </w:rPr>
        <w:t xml:space="preserve">SUJETO OBLIGADO, </w:t>
      </w:r>
      <w:r w:rsidRPr="008B2751">
        <w:rPr>
          <w:rFonts w:ascii="Palatino Linotype" w:hAnsi="Palatino Linotype"/>
        </w:rPr>
        <w:t>mediante su respuesta</w:t>
      </w:r>
      <w:r w:rsidRPr="008B2751">
        <w:rPr>
          <w:rFonts w:ascii="Palatino Linotype" w:hAnsi="Palatino Linotype"/>
          <w:b/>
        </w:rPr>
        <w:t xml:space="preserve"> </w:t>
      </w:r>
      <w:r w:rsidR="00DA3068" w:rsidRPr="008B2751">
        <w:rPr>
          <w:rFonts w:ascii="Palatino Linotype" w:hAnsi="Palatino Linotype"/>
        </w:rPr>
        <w:t xml:space="preserve">informó </w:t>
      </w:r>
      <w:r w:rsidR="00282A83" w:rsidRPr="008B2751">
        <w:rPr>
          <w:rFonts w:ascii="Palatino Linotype" w:hAnsi="Palatino Linotype"/>
        </w:rPr>
        <w:t>que derivado de una búsqueda dentro de sus archivos no obraban documentales en relación a lo solicitado</w:t>
      </w:r>
      <w:r w:rsidR="00181409" w:rsidRPr="008B2751">
        <w:rPr>
          <w:rFonts w:ascii="Palatino Linotype" w:hAnsi="Palatino Linotype"/>
        </w:rPr>
        <w:t xml:space="preserve">: </w:t>
      </w:r>
    </w:p>
    <w:p w14:paraId="7DD35CA7" w14:textId="77777777" w:rsidR="00181409" w:rsidRPr="008B2751" w:rsidRDefault="00181409" w:rsidP="008B2751">
      <w:pPr>
        <w:pStyle w:val="Prrafodelista"/>
        <w:spacing w:line="360" w:lineRule="auto"/>
        <w:rPr>
          <w:rFonts w:ascii="Palatino Linotype" w:hAnsi="Palatino Linotype"/>
          <w:b/>
        </w:rPr>
      </w:pPr>
    </w:p>
    <w:p w14:paraId="39695ABC" w14:textId="2646A1E4" w:rsidR="00EA7712" w:rsidRPr="008B2751" w:rsidRDefault="00116A03" w:rsidP="008B2751">
      <w:pPr>
        <w:spacing w:line="360" w:lineRule="auto"/>
        <w:ind w:right="49"/>
        <w:contextualSpacing/>
        <w:jc w:val="center"/>
        <w:rPr>
          <w:rFonts w:ascii="Palatino Linotype" w:hAnsi="Palatino Linotype"/>
          <w:b/>
        </w:rPr>
      </w:pPr>
      <w:r w:rsidRPr="008B2751">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6B4955B2" wp14:editId="70FCD50E">
                <wp:simplePos x="0" y="0"/>
                <wp:positionH relativeFrom="margin">
                  <wp:posOffset>240030</wp:posOffset>
                </wp:positionH>
                <wp:positionV relativeFrom="paragraph">
                  <wp:posOffset>2082800</wp:posOffset>
                </wp:positionV>
                <wp:extent cx="5295900" cy="371475"/>
                <wp:effectExtent l="57150" t="19050" r="76200" b="104775"/>
                <wp:wrapNone/>
                <wp:docPr id="3" name="Rectángulo 3"/>
                <wp:cNvGraphicFramePr/>
                <a:graphic xmlns:a="http://schemas.openxmlformats.org/drawingml/2006/main">
                  <a:graphicData uri="http://schemas.microsoft.com/office/word/2010/wordprocessingShape">
                    <wps:wsp>
                      <wps:cNvSpPr/>
                      <wps:spPr>
                        <a:xfrm>
                          <a:off x="0" y="0"/>
                          <a:ext cx="5295900"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2D80A" id="Rectángulo 3" o:spid="_x0000_s1026" style="position:absolute;margin-left:18.9pt;margin-top:164pt;width:417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" filled="f" strokecolor="red" strokeweight="1.5pt">
                <v:shadow on="t" color="black" opacity="22937f" origin=",.5" offset="0,.63889mm"/>
                <w10:wrap anchorx="margin"/>
              </v:rect>
            </w:pict>
          </mc:Fallback>
        </mc:AlternateContent>
      </w:r>
      <w:r w:rsidRPr="00116A03">
        <w:rPr>
          <w:rFonts w:ascii="Palatino Linotype" w:hAnsi="Palatino Linotype"/>
          <w:b/>
          <w:noProof/>
          <w:lang w:val="es-MX" w:eastAsia="es-MX"/>
        </w:rPr>
        <w:drawing>
          <wp:inline distT="0" distB="0" distL="0" distR="0" wp14:anchorId="772B35AE" wp14:editId="429020E0">
            <wp:extent cx="5612130" cy="3470956"/>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70956"/>
                    </a:xfrm>
                    <a:prstGeom prst="rect">
                      <a:avLst/>
                    </a:prstGeom>
                    <a:noFill/>
                    <a:ln>
                      <a:noFill/>
                    </a:ln>
                  </pic:spPr>
                </pic:pic>
              </a:graphicData>
            </a:graphic>
          </wp:inline>
        </w:drawing>
      </w:r>
    </w:p>
    <w:p w14:paraId="19CAC0FB" w14:textId="7F0963CD" w:rsidR="00EA7712" w:rsidRPr="008B2751" w:rsidRDefault="00EA7712" w:rsidP="008B2751">
      <w:pPr>
        <w:pStyle w:val="Prrafodelista"/>
        <w:spacing w:line="360" w:lineRule="auto"/>
        <w:ind w:left="0"/>
        <w:rPr>
          <w:rFonts w:ascii="Palatino Linotype" w:hAnsi="Palatino Linotype"/>
        </w:rPr>
      </w:pPr>
    </w:p>
    <w:p w14:paraId="509DD9AD" w14:textId="104A19D7" w:rsidR="00282A83" w:rsidRPr="008B2751" w:rsidRDefault="00EA7712" w:rsidP="008B2751">
      <w:pPr>
        <w:numPr>
          <w:ilvl w:val="0"/>
          <w:numId w:val="33"/>
        </w:numPr>
        <w:spacing w:line="360" w:lineRule="auto"/>
        <w:ind w:left="0" w:right="49" w:firstLine="0"/>
        <w:contextualSpacing/>
        <w:jc w:val="both"/>
        <w:rPr>
          <w:rFonts w:ascii="Palatino Linotype" w:hAnsi="Palatino Linotype"/>
          <w:b/>
        </w:rPr>
      </w:pPr>
      <w:r w:rsidRPr="008B2751">
        <w:rPr>
          <w:rFonts w:ascii="Palatino Linotype" w:hAnsi="Palatino Linotype"/>
        </w:rPr>
        <w:t xml:space="preserve"> </w:t>
      </w:r>
      <w:r w:rsidR="00FF0748" w:rsidRPr="008B2751">
        <w:rPr>
          <w:rFonts w:ascii="Palatino Linotype" w:hAnsi="Palatino Linotype"/>
        </w:rPr>
        <w:t xml:space="preserve">No obstante lo anterior, el hoy </w:t>
      </w:r>
      <w:r w:rsidR="00FF0748" w:rsidRPr="008B2751">
        <w:rPr>
          <w:rFonts w:ascii="Palatino Linotype" w:hAnsi="Palatino Linotype"/>
          <w:b/>
        </w:rPr>
        <w:t xml:space="preserve">RECURRENTE </w:t>
      </w:r>
      <w:r w:rsidR="00FF0748" w:rsidRPr="008B2751">
        <w:rPr>
          <w:rFonts w:ascii="Palatino Linotype" w:hAnsi="Palatino Linotype"/>
        </w:rPr>
        <w:t>se inconformó por la</w:t>
      </w:r>
      <w:r w:rsidR="00DA3068" w:rsidRPr="008B2751">
        <w:rPr>
          <w:rFonts w:ascii="Palatino Linotype" w:hAnsi="Palatino Linotype"/>
        </w:rPr>
        <w:t xml:space="preserve"> entrega de información </w:t>
      </w:r>
      <w:r w:rsidR="00181409" w:rsidRPr="008B2751">
        <w:rPr>
          <w:rFonts w:ascii="Palatino Linotype" w:hAnsi="Palatino Linotype"/>
        </w:rPr>
        <w:t xml:space="preserve">que no corresponde con lo </w:t>
      </w:r>
      <w:r w:rsidR="00A84F94" w:rsidRPr="008B2751">
        <w:rPr>
          <w:rFonts w:ascii="Palatino Linotype" w:hAnsi="Palatino Linotype"/>
        </w:rPr>
        <w:t>solicitado,</w:t>
      </w:r>
      <w:r w:rsidR="00282A83" w:rsidRPr="008B2751">
        <w:rPr>
          <w:rFonts w:ascii="Palatino Linotype" w:hAnsi="Palatino Linotype"/>
        </w:rPr>
        <w:t xml:space="preserve"> debido a que a su decir “…</w:t>
      </w:r>
      <w:r w:rsidR="00282A83" w:rsidRPr="008B2751">
        <w:rPr>
          <w:rFonts w:ascii="Palatino Linotype" w:hAnsi="Palatino Linotype"/>
          <w:i/>
          <w:color w:val="000000"/>
        </w:rPr>
        <w:t>no precisa si se autorizó o entregó permiso para desarrollos de complejos habitacionales en el territorio municipal…”</w:t>
      </w:r>
    </w:p>
    <w:p w14:paraId="35FC0B82" w14:textId="55CAEBAE" w:rsidR="00282A83" w:rsidRPr="008B2751" w:rsidRDefault="00282A83" w:rsidP="008B2751">
      <w:pPr>
        <w:spacing w:line="360" w:lineRule="auto"/>
        <w:ind w:right="49"/>
        <w:contextualSpacing/>
        <w:jc w:val="both"/>
        <w:rPr>
          <w:rFonts w:ascii="Palatino Linotype" w:hAnsi="Palatino Linotype"/>
          <w:b/>
        </w:rPr>
      </w:pPr>
    </w:p>
    <w:p w14:paraId="3C9121EC" w14:textId="59FD84E3" w:rsidR="00FF0748" w:rsidRPr="008B2751" w:rsidRDefault="00282A83" w:rsidP="008B2751">
      <w:pPr>
        <w:numPr>
          <w:ilvl w:val="0"/>
          <w:numId w:val="33"/>
        </w:numPr>
        <w:spacing w:line="360" w:lineRule="auto"/>
        <w:ind w:left="0" w:right="49" w:firstLine="0"/>
        <w:contextualSpacing/>
        <w:jc w:val="both"/>
        <w:rPr>
          <w:rFonts w:ascii="Palatino Linotype" w:hAnsi="Palatino Linotype"/>
          <w:b/>
        </w:rPr>
      </w:pPr>
      <w:r w:rsidRPr="008B2751">
        <w:rPr>
          <w:rFonts w:ascii="Palatino Linotype" w:hAnsi="Palatino Linotype"/>
        </w:rPr>
        <w:t xml:space="preserve">Así las cosas, es necesario precisar por una parte, que en su respuesta el </w:t>
      </w:r>
      <w:r w:rsidRPr="008B2751">
        <w:rPr>
          <w:rFonts w:ascii="Palatino Linotype" w:hAnsi="Palatino Linotype"/>
          <w:b/>
        </w:rPr>
        <w:t xml:space="preserve">SUJETO OBLIGADO </w:t>
      </w:r>
      <w:r w:rsidRPr="008B2751">
        <w:rPr>
          <w:rFonts w:ascii="Palatino Linotype" w:hAnsi="Palatino Linotype"/>
        </w:rPr>
        <w:t>señaló que derivado de una búsqueda no se encontró la información solicitada, no  obstante no se tenía certeza del servidor público que había emitido dicho pronunciamiento</w:t>
      </w:r>
      <w:r w:rsidR="00A84F94" w:rsidRPr="008B2751">
        <w:rPr>
          <w:rFonts w:ascii="Palatino Linotype" w:hAnsi="Palatino Linotype"/>
        </w:rPr>
        <w:t xml:space="preserve">, no obstante, </w:t>
      </w:r>
      <w:r w:rsidR="00FF0748" w:rsidRPr="008B2751">
        <w:rPr>
          <w:rFonts w:ascii="Palatino Linotype" w:hAnsi="Palatino Linotype"/>
        </w:rPr>
        <w:t xml:space="preserve"> </w:t>
      </w:r>
      <w:r w:rsidR="0043602D" w:rsidRPr="008B2751">
        <w:rPr>
          <w:rFonts w:ascii="Palatino Linotype" w:hAnsi="Palatino Linotype"/>
        </w:rPr>
        <w:t>y en un hecho posterior como lo</w:t>
      </w:r>
      <w:r w:rsidR="00FF0748" w:rsidRPr="008B2751">
        <w:rPr>
          <w:rFonts w:ascii="Palatino Linotype" w:hAnsi="Palatino Linotype"/>
        </w:rPr>
        <w:t xml:space="preserve"> es el informe justificado, el </w:t>
      </w:r>
      <w:r w:rsidR="00FF0748" w:rsidRPr="008B2751">
        <w:rPr>
          <w:rFonts w:ascii="Palatino Linotype" w:hAnsi="Palatino Linotype"/>
          <w:b/>
        </w:rPr>
        <w:t>SUJETO OBLIGADO</w:t>
      </w:r>
      <w:r w:rsidR="00A03714" w:rsidRPr="008B2751">
        <w:rPr>
          <w:rFonts w:ascii="Palatino Linotype" w:hAnsi="Palatino Linotype"/>
        </w:rPr>
        <w:t xml:space="preserve"> tiene a bien ampliar </w:t>
      </w:r>
      <w:r w:rsidR="00FF0748" w:rsidRPr="008B2751">
        <w:rPr>
          <w:rFonts w:ascii="Palatino Linotype" w:hAnsi="Palatino Linotype"/>
        </w:rPr>
        <w:t>su contestación primigenia al</w:t>
      </w:r>
      <w:r w:rsidR="00A84F94" w:rsidRPr="008B2751">
        <w:rPr>
          <w:rFonts w:ascii="Palatino Linotype" w:hAnsi="Palatino Linotype"/>
        </w:rPr>
        <w:t xml:space="preserve"> emitir el siguiente documento:</w:t>
      </w:r>
    </w:p>
    <w:p w14:paraId="2E4D0C2A" w14:textId="77777777" w:rsidR="00A84F94" w:rsidRPr="008B2751" w:rsidRDefault="00A84F94" w:rsidP="008B2751">
      <w:pPr>
        <w:spacing w:line="360" w:lineRule="auto"/>
        <w:ind w:right="49"/>
        <w:contextualSpacing/>
        <w:jc w:val="both"/>
        <w:rPr>
          <w:rFonts w:ascii="Palatino Linotype" w:hAnsi="Palatino Linotype"/>
          <w:b/>
        </w:rPr>
      </w:pPr>
    </w:p>
    <w:p w14:paraId="48F8A1ED" w14:textId="10DBB6C4" w:rsidR="00972105" w:rsidRPr="008B2751" w:rsidRDefault="00BE425A" w:rsidP="008B2751">
      <w:pPr>
        <w:spacing w:line="360" w:lineRule="auto"/>
        <w:ind w:right="49"/>
        <w:contextualSpacing/>
        <w:jc w:val="center"/>
        <w:rPr>
          <w:rFonts w:ascii="Palatino Linotype" w:hAnsi="Palatino Linotype"/>
          <w:b/>
        </w:rPr>
      </w:pPr>
      <w:r w:rsidRPr="008B2751">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63C08264" wp14:editId="2F4D7BBD">
                <wp:simplePos x="0" y="0"/>
                <wp:positionH relativeFrom="margin">
                  <wp:posOffset>291465</wp:posOffset>
                </wp:positionH>
                <wp:positionV relativeFrom="paragraph">
                  <wp:posOffset>3024505</wp:posOffset>
                </wp:positionV>
                <wp:extent cx="4886325" cy="49530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4886325" cy="4953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F4E4B8F" id="Rectángulo 6" o:spid="_x0000_s1026" style="position:absolute;margin-left:22.95pt;margin-top:238.15pt;width:384.7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" filled="f" strokecolor="red" strokeweight="1.5pt">
                <v:shadow on="t" color="black" opacity="22937f" origin=",.5" offset="0,.63889mm"/>
                <w10:wrap anchorx="margin"/>
              </v:rect>
            </w:pict>
          </mc:Fallback>
        </mc:AlternateContent>
      </w:r>
      <w:r w:rsidR="00282A83" w:rsidRPr="008B2751">
        <w:rPr>
          <w:rFonts w:ascii="Palatino Linotype" w:hAnsi="Palatino Linotype"/>
          <w:noProof/>
          <w:lang w:val="es-MX" w:eastAsia="es-MX"/>
        </w:rPr>
        <w:drawing>
          <wp:inline distT="0" distB="0" distL="0" distR="0" wp14:anchorId="3414CB58" wp14:editId="5E46EEDA">
            <wp:extent cx="5732090" cy="61436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893" t="31080" r="8011" b="5854"/>
                    <a:stretch/>
                  </pic:blipFill>
                  <pic:spPr bwMode="auto">
                    <a:xfrm>
                      <a:off x="0" y="0"/>
                      <a:ext cx="5738346" cy="6150330"/>
                    </a:xfrm>
                    <a:prstGeom prst="rect">
                      <a:avLst/>
                    </a:prstGeom>
                    <a:ln>
                      <a:noFill/>
                    </a:ln>
                    <a:extLst>
                      <a:ext uri="{53640926-AAD7-44D8-BBD7-CCE9431645EC}">
                        <a14:shadowObscured xmlns:a14="http://schemas.microsoft.com/office/drawing/2010/main"/>
                      </a:ext>
                    </a:extLst>
                  </pic:spPr>
                </pic:pic>
              </a:graphicData>
            </a:graphic>
          </wp:inline>
        </w:drawing>
      </w:r>
    </w:p>
    <w:p w14:paraId="509F1214" w14:textId="2C461FE9" w:rsidR="0043602D" w:rsidRPr="008B2751" w:rsidRDefault="00972105" w:rsidP="008B2751">
      <w:pPr>
        <w:numPr>
          <w:ilvl w:val="0"/>
          <w:numId w:val="33"/>
        </w:numPr>
        <w:spacing w:line="360" w:lineRule="auto"/>
        <w:ind w:left="0" w:right="49" w:firstLine="0"/>
        <w:contextualSpacing/>
        <w:jc w:val="both"/>
        <w:rPr>
          <w:rFonts w:ascii="Palatino Linotype" w:hAnsi="Palatino Linotype" w:cs="Arial"/>
        </w:rPr>
      </w:pPr>
      <w:r w:rsidRPr="008B2751">
        <w:rPr>
          <w:rFonts w:ascii="Palatino Linotype" w:hAnsi="Palatino Linotype"/>
        </w:rPr>
        <w:t>Al respecto,</w:t>
      </w:r>
      <w:r w:rsidR="00FF0748" w:rsidRPr="008B2751">
        <w:rPr>
          <w:rFonts w:ascii="Palatino Linotype" w:hAnsi="Palatino Linotype"/>
        </w:rPr>
        <w:t xml:space="preserve"> </w:t>
      </w:r>
      <w:r w:rsidR="0043602D" w:rsidRPr="008B2751">
        <w:rPr>
          <w:rFonts w:ascii="Palatino Linotype" w:hAnsi="Palatino Linotype"/>
        </w:rPr>
        <w:t>el Pleno de este Instituto advierte que la información remitida mediante informe ju</w:t>
      </w:r>
      <w:r w:rsidR="00A84F94" w:rsidRPr="008B2751">
        <w:rPr>
          <w:rFonts w:ascii="Palatino Linotype" w:hAnsi="Palatino Linotype"/>
        </w:rPr>
        <w:t xml:space="preserve">stificado, subsanó la respuesta </w:t>
      </w:r>
      <w:r w:rsidR="0043602D" w:rsidRPr="008B2751">
        <w:rPr>
          <w:rFonts w:ascii="Palatino Linotype" w:hAnsi="Palatino Linotype"/>
        </w:rPr>
        <w:t>otorgada en un primer momento,</w:t>
      </w:r>
      <w:r w:rsidR="00A03714" w:rsidRPr="008B2751">
        <w:rPr>
          <w:rFonts w:ascii="Palatino Linotype" w:hAnsi="Palatino Linotype"/>
        </w:rPr>
        <w:t xml:space="preserve"> ello debido a que si bien </w:t>
      </w:r>
      <w:r w:rsidR="0043602D" w:rsidRPr="008B2751">
        <w:rPr>
          <w:rFonts w:ascii="Palatino Linotype" w:hAnsi="Palatino Linotype"/>
        </w:rPr>
        <w:t xml:space="preserve">la respuesta inicial del </w:t>
      </w:r>
      <w:r w:rsidR="0043602D" w:rsidRPr="008B2751">
        <w:rPr>
          <w:rFonts w:ascii="Palatino Linotype" w:hAnsi="Palatino Linotype"/>
          <w:b/>
        </w:rPr>
        <w:t>SUJETO OBLIGADO</w:t>
      </w:r>
      <w:r w:rsidR="0043602D" w:rsidRPr="008B2751">
        <w:rPr>
          <w:rFonts w:ascii="Palatino Linotype" w:hAnsi="Palatino Linotype"/>
        </w:rPr>
        <w:t xml:space="preserve"> resultó</w:t>
      </w:r>
      <w:r w:rsidR="00BE425A" w:rsidRPr="008B2751">
        <w:rPr>
          <w:rFonts w:ascii="Palatino Linotype" w:hAnsi="Palatino Linotype"/>
        </w:rPr>
        <w:t xml:space="preserve"> no señaló el servidor público que había emitido contestación</w:t>
      </w:r>
      <w:r w:rsidR="0043602D" w:rsidRPr="008B2751">
        <w:rPr>
          <w:rFonts w:ascii="Palatino Linotype" w:hAnsi="Palatino Linotype"/>
        </w:rPr>
        <w:t xml:space="preserve">, el ente recurrido mediante informe </w:t>
      </w:r>
      <w:r w:rsidR="00A03714" w:rsidRPr="008B2751">
        <w:rPr>
          <w:rFonts w:ascii="Palatino Linotype" w:hAnsi="Palatino Linotype"/>
        </w:rPr>
        <w:t>justificado</w:t>
      </w:r>
      <w:r w:rsidR="00A84F94" w:rsidRPr="008B2751">
        <w:rPr>
          <w:rFonts w:ascii="Palatino Linotype" w:hAnsi="Palatino Linotype"/>
        </w:rPr>
        <w:t xml:space="preserve"> realizo entrega</w:t>
      </w:r>
      <w:r w:rsidR="00BE425A" w:rsidRPr="008B2751">
        <w:rPr>
          <w:rFonts w:ascii="Palatino Linotype" w:hAnsi="Palatino Linotype"/>
        </w:rPr>
        <w:t xml:space="preserve"> del oficio mediante el cual el Director de Desarrollo Urbano de Teoloyucan, ratifica que no se ha emitido permiso para el desarrollo de complejos habitacionales en el territorio municipal</w:t>
      </w:r>
      <w:r w:rsidR="0092267F" w:rsidRPr="008B2751">
        <w:rPr>
          <w:rFonts w:ascii="Palatino Linotype" w:hAnsi="Palatino Linotype"/>
        </w:rPr>
        <w:t xml:space="preserve">, </w:t>
      </w:r>
      <w:r w:rsidR="0043602D" w:rsidRPr="008B2751">
        <w:rPr>
          <w:rFonts w:ascii="Palatino Linotype" w:hAnsi="Palatino Linotype"/>
        </w:rPr>
        <w:t xml:space="preserve">modificando con ello el sentido de la presente resolución. </w:t>
      </w:r>
    </w:p>
    <w:p w14:paraId="3B82C61F" w14:textId="77777777" w:rsidR="0043602D" w:rsidRPr="008B2751" w:rsidRDefault="0043602D" w:rsidP="008B2751">
      <w:pPr>
        <w:spacing w:line="360" w:lineRule="auto"/>
        <w:ind w:right="49"/>
        <w:contextualSpacing/>
        <w:jc w:val="both"/>
        <w:rPr>
          <w:rFonts w:ascii="Palatino Linotype" w:hAnsi="Palatino Linotype" w:cs="Arial"/>
        </w:rPr>
      </w:pPr>
    </w:p>
    <w:p w14:paraId="6EA59A0D" w14:textId="706651AB" w:rsidR="00972105" w:rsidRPr="008B2751" w:rsidRDefault="00BE425A" w:rsidP="008B2751">
      <w:pPr>
        <w:numPr>
          <w:ilvl w:val="0"/>
          <w:numId w:val="33"/>
        </w:numPr>
        <w:spacing w:line="360" w:lineRule="auto"/>
        <w:ind w:left="0" w:right="49" w:firstLine="0"/>
        <w:contextualSpacing/>
        <w:jc w:val="both"/>
        <w:rPr>
          <w:rFonts w:ascii="Palatino Linotype" w:hAnsi="Palatino Linotype" w:cs="Arial"/>
        </w:rPr>
      </w:pPr>
      <w:r w:rsidRPr="008B2751">
        <w:rPr>
          <w:rFonts w:ascii="Palatino Linotype" w:hAnsi="Palatino Linotype"/>
        </w:rPr>
        <w:t xml:space="preserve">Consecuentemente </w:t>
      </w:r>
      <w:r w:rsidR="0043602D" w:rsidRPr="008B2751">
        <w:rPr>
          <w:rFonts w:ascii="Palatino Linotype" w:hAnsi="Palatino Linotype"/>
        </w:rPr>
        <w:t xml:space="preserve">es importante señalar </w:t>
      </w:r>
      <w:r w:rsidR="00972105" w:rsidRPr="008B2751">
        <w:rPr>
          <w:rFonts w:ascii="Palatino Linotype" w:eastAsia="MS Mincho" w:hAnsi="Palatino Linotype" w:cs="Times New Roman"/>
          <w:lang w:eastAsia="es-ES_tradnl"/>
        </w:rPr>
        <w:t xml:space="preserve">este resolutor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972105" w:rsidRPr="008B2751">
        <w:rPr>
          <w:rFonts w:ascii="Palatino Linotype" w:eastAsia="MS Mincho" w:hAnsi="Palatino Linotype" w:cs="Times New Roman"/>
          <w:b/>
          <w:lang w:eastAsia="es-ES_tradnl"/>
        </w:rPr>
        <w:t>(SAIMEX).</w:t>
      </w:r>
    </w:p>
    <w:p w14:paraId="6213D81C" w14:textId="77777777" w:rsidR="00972105" w:rsidRPr="008B2751" w:rsidRDefault="00972105" w:rsidP="008B2751">
      <w:pPr>
        <w:spacing w:line="360" w:lineRule="auto"/>
        <w:ind w:right="49"/>
        <w:contextualSpacing/>
        <w:jc w:val="both"/>
        <w:rPr>
          <w:rFonts w:ascii="Palatino Linotype" w:hAnsi="Palatino Linotype" w:cs="Arial"/>
        </w:rPr>
      </w:pPr>
    </w:p>
    <w:p w14:paraId="2E569FE3" w14:textId="77777777" w:rsidR="00972105" w:rsidRPr="008B2751" w:rsidRDefault="00972105" w:rsidP="008B2751">
      <w:pPr>
        <w:numPr>
          <w:ilvl w:val="0"/>
          <w:numId w:val="33"/>
        </w:numPr>
        <w:spacing w:line="360" w:lineRule="auto"/>
        <w:ind w:left="0" w:right="49" w:firstLine="0"/>
        <w:contextualSpacing/>
        <w:jc w:val="both"/>
        <w:rPr>
          <w:rFonts w:ascii="Palatino Linotype" w:hAnsi="Palatino Linotype" w:cs="Arial"/>
        </w:rPr>
      </w:pPr>
      <w:r w:rsidRPr="008B2751">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4C4088A7" w14:textId="77777777" w:rsidR="00972105" w:rsidRPr="008B2751" w:rsidRDefault="00972105" w:rsidP="008B2751">
      <w:pPr>
        <w:spacing w:line="360" w:lineRule="auto"/>
        <w:ind w:right="49"/>
        <w:contextualSpacing/>
        <w:jc w:val="both"/>
        <w:rPr>
          <w:rFonts w:ascii="Palatino Linotype" w:hAnsi="Palatino Linotype" w:cs="Arial"/>
        </w:rPr>
      </w:pPr>
    </w:p>
    <w:p w14:paraId="7F35866D" w14:textId="4372F0C5" w:rsidR="0043602D" w:rsidRPr="008B2751" w:rsidRDefault="00972105" w:rsidP="008B2751">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r w:rsidRPr="008B2751">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8B2751">
        <w:rPr>
          <w:rFonts w:ascii="Palatino Linotype" w:eastAsia="MS Mincho" w:hAnsi="Palatino Linotype" w:cs="Times New Roman"/>
          <w:i/>
          <w:sz w:val="22"/>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8B8212" w14:textId="77777777" w:rsidR="0043602D" w:rsidRPr="008B2751" w:rsidRDefault="0043602D" w:rsidP="008B2751">
      <w:pPr>
        <w:widowControl w:val="0"/>
        <w:autoSpaceDE w:val="0"/>
        <w:autoSpaceDN w:val="0"/>
        <w:adjustRightInd w:val="0"/>
        <w:spacing w:line="360" w:lineRule="auto"/>
        <w:ind w:left="567" w:right="567"/>
        <w:jc w:val="both"/>
        <w:rPr>
          <w:rFonts w:ascii="Palatino Linotype" w:eastAsia="MS Mincho" w:hAnsi="Palatino Linotype" w:cs="Times New Roman"/>
          <w:i/>
          <w:sz w:val="22"/>
          <w:lang w:eastAsia="es-ES_tradnl"/>
        </w:rPr>
      </w:pPr>
    </w:p>
    <w:p w14:paraId="125DB317" w14:textId="77777777" w:rsidR="00972105" w:rsidRPr="008B2751" w:rsidRDefault="00972105" w:rsidP="008B2751">
      <w:pPr>
        <w:widowControl w:val="0"/>
        <w:numPr>
          <w:ilvl w:val="0"/>
          <w:numId w:val="33"/>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8B2751">
        <w:rPr>
          <w:rFonts w:ascii="Palatino Linotype" w:eastAsia="MS Mincho" w:hAnsi="Palatino Linotype" w:cs="Times New Roman"/>
          <w:lang w:eastAsia="es-ES_tradnl"/>
        </w:rPr>
        <w:t xml:space="preserve">Numerales que compelen al </w:t>
      </w:r>
      <w:r w:rsidRPr="008B2751">
        <w:rPr>
          <w:rFonts w:ascii="Palatino Linotype" w:eastAsia="MS Mincho" w:hAnsi="Palatino Linotype" w:cs="Times New Roman"/>
          <w:b/>
          <w:lang w:eastAsia="es-ES_tradnl"/>
        </w:rPr>
        <w:t>SUJETO OBLIGADO</w:t>
      </w:r>
      <w:r w:rsidRPr="008B2751">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2FAC3F6A" w14:textId="77777777" w:rsidR="00972105" w:rsidRPr="008B2751" w:rsidRDefault="00972105" w:rsidP="008B2751">
      <w:pPr>
        <w:widowControl w:val="0"/>
        <w:autoSpaceDE w:val="0"/>
        <w:autoSpaceDN w:val="0"/>
        <w:adjustRightInd w:val="0"/>
        <w:spacing w:line="360" w:lineRule="auto"/>
        <w:contextualSpacing/>
        <w:jc w:val="both"/>
        <w:rPr>
          <w:rFonts w:ascii="Palatino Linotype" w:eastAsia="MS Mincho" w:hAnsi="Palatino Linotype" w:cs="Times New Roman"/>
          <w:lang w:eastAsia="es-ES_tradnl"/>
        </w:rPr>
      </w:pPr>
    </w:p>
    <w:p w14:paraId="7E0998F9" w14:textId="77777777" w:rsidR="00972105" w:rsidRPr="008B2751" w:rsidRDefault="00972105" w:rsidP="008B2751">
      <w:pPr>
        <w:numPr>
          <w:ilvl w:val="0"/>
          <w:numId w:val="38"/>
        </w:numPr>
        <w:spacing w:line="360" w:lineRule="auto"/>
        <w:ind w:left="0" w:firstLine="0"/>
        <w:contextualSpacing/>
        <w:jc w:val="both"/>
        <w:rPr>
          <w:rFonts w:ascii="Palatino Linotype" w:eastAsia="Calibri" w:hAnsi="Palatino Linotype" w:cs="Times New Roman"/>
          <w:lang w:val="es-ES"/>
        </w:rPr>
      </w:pPr>
      <w:r w:rsidRPr="008B2751">
        <w:rPr>
          <w:rFonts w:ascii="Palatino Linotype" w:eastAsia="Calibri" w:hAnsi="Palatino Linotype" w:cs="Times New Roman"/>
          <w:lang w:val="es-MX"/>
        </w:rPr>
        <w:t xml:space="preserve">Así, </w:t>
      </w:r>
      <w:r w:rsidRPr="008B2751">
        <w:rPr>
          <w:rFonts w:ascii="Palatino Linotype" w:eastAsia="Calibri" w:hAnsi="Palatino Linotype" w:cs="Times New Roman"/>
        </w:rPr>
        <w:t xml:space="preserve">por lo que hace a las causas de sobreseimiento contenidas en la fracción III del artículo 192 de la </w:t>
      </w:r>
      <w:r w:rsidRPr="008B2751">
        <w:rPr>
          <w:rFonts w:ascii="Palatino Linotype" w:eastAsia="Calibri" w:hAnsi="Palatino Linotype" w:cs="Times New Roman"/>
          <w:b/>
        </w:rPr>
        <w:t>Ley de Transparencia y Acceso a la Información Pública del Estado de México y Municipios</w:t>
      </w:r>
      <w:r w:rsidRPr="008B2751">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8B2751">
        <w:rPr>
          <w:rFonts w:ascii="Palatino Linotype" w:eastAsia="Calibri" w:hAnsi="Palatino Linotype" w:cs="Times New Roman"/>
          <w:b/>
        </w:rPr>
        <w:t>RECURRENTE</w:t>
      </w:r>
      <w:r w:rsidRPr="008B2751">
        <w:rPr>
          <w:rFonts w:ascii="Palatino Linotype" w:eastAsia="Calibri" w:hAnsi="Palatino Linotype" w:cs="Times New Roman"/>
        </w:rPr>
        <w:t xml:space="preserve"> o que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 xml:space="preserve"> </w:t>
      </w:r>
      <w:r w:rsidRPr="008B2751">
        <w:rPr>
          <w:rFonts w:ascii="Palatino Linotype" w:eastAsia="Calibri" w:hAnsi="Palatino Linotype" w:cs="Times New Roman"/>
          <w:b/>
          <w:u w:val="single"/>
        </w:rPr>
        <w:t>modifique o revoque el acto</w:t>
      </w:r>
      <w:r w:rsidRPr="008B2751">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13E95FF" w14:textId="77777777" w:rsidR="00972105" w:rsidRPr="008B2751" w:rsidRDefault="00972105" w:rsidP="008B2751">
      <w:pPr>
        <w:spacing w:line="360" w:lineRule="auto"/>
        <w:contextualSpacing/>
        <w:jc w:val="both"/>
        <w:rPr>
          <w:rFonts w:ascii="Palatino Linotype" w:eastAsia="Calibri" w:hAnsi="Palatino Linotype" w:cs="Times New Roman"/>
          <w:lang w:val="es-ES"/>
        </w:rPr>
      </w:pPr>
    </w:p>
    <w:p w14:paraId="690D361E" w14:textId="77777777" w:rsidR="00972105" w:rsidRPr="008B2751" w:rsidRDefault="00972105" w:rsidP="008B2751">
      <w:pPr>
        <w:numPr>
          <w:ilvl w:val="0"/>
          <w:numId w:val="38"/>
        </w:numPr>
        <w:spacing w:line="360" w:lineRule="auto"/>
        <w:ind w:left="0" w:firstLine="0"/>
        <w:contextualSpacing/>
        <w:jc w:val="both"/>
        <w:rPr>
          <w:rFonts w:ascii="Palatino Linotype" w:eastAsia="Calibri" w:hAnsi="Palatino Linotype" w:cs="Times New Roman"/>
          <w:lang w:val="es-ES"/>
        </w:rPr>
      </w:pPr>
      <w:r w:rsidRPr="008B2751">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w:t>
      </w:r>
    </w:p>
    <w:p w14:paraId="3AE21EF9" w14:textId="77777777" w:rsidR="00972105" w:rsidRPr="008B2751" w:rsidRDefault="00972105" w:rsidP="008B2751">
      <w:pPr>
        <w:spacing w:line="360" w:lineRule="auto"/>
        <w:contextualSpacing/>
        <w:jc w:val="both"/>
        <w:rPr>
          <w:rFonts w:ascii="Palatino Linotype" w:eastAsia="Calibri" w:hAnsi="Palatino Linotype" w:cs="Times New Roman"/>
          <w:lang w:val="es-ES"/>
        </w:rPr>
      </w:pPr>
    </w:p>
    <w:p w14:paraId="0FCB1CE3" w14:textId="77777777" w:rsidR="00972105" w:rsidRPr="008B2751" w:rsidRDefault="00972105" w:rsidP="008B2751">
      <w:pPr>
        <w:numPr>
          <w:ilvl w:val="0"/>
          <w:numId w:val="36"/>
        </w:numPr>
        <w:spacing w:line="360" w:lineRule="auto"/>
        <w:ind w:left="567" w:right="616" w:firstLine="0"/>
        <w:contextualSpacing/>
        <w:jc w:val="both"/>
        <w:rPr>
          <w:rFonts w:ascii="Palatino Linotype" w:hAnsi="Palatino Linotype" w:cs="Arial"/>
        </w:rPr>
      </w:pPr>
      <w:r w:rsidRPr="008B2751">
        <w:rPr>
          <w:rFonts w:ascii="Palatino Linotype" w:hAnsi="Palatino Linotype" w:cs="Arial"/>
          <w:b/>
        </w:rPr>
        <w:t>Modifique el acto impugnado:</w:t>
      </w:r>
      <w:r w:rsidRPr="008B2751">
        <w:rPr>
          <w:rFonts w:ascii="Palatino Linotype" w:hAnsi="Palatino Linotype" w:cs="Arial"/>
        </w:rPr>
        <w:t xml:space="preserve"> Se actualiza cuando el </w:t>
      </w:r>
      <w:r w:rsidRPr="008B2751">
        <w:rPr>
          <w:rFonts w:ascii="Palatino Linotype" w:hAnsi="Palatino Linotype" w:cs="Arial"/>
          <w:b/>
        </w:rPr>
        <w:t>SUJETO OBLIGADO</w:t>
      </w:r>
      <w:r w:rsidRPr="008B275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E1FEF8D" w14:textId="77777777" w:rsidR="00972105" w:rsidRPr="008B2751" w:rsidRDefault="00972105" w:rsidP="008B2751">
      <w:pPr>
        <w:spacing w:line="360" w:lineRule="auto"/>
        <w:ind w:left="1068" w:right="567"/>
        <w:contextualSpacing/>
        <w:jc w:val="both"/>
        <w:rPr>
          <w:rFonts w:ascii="Palatino Linotype" w:hAnsi="Palatino Linotype" w:cs="Arial"/>
        </w:rPr>
      </w:pPr>
    </w:p>
    <w:p w14:paraId="2A35F22E" w14:textId="77777777" w:rsidR="00972105" w:rsidRPr="008B2751" w:rsidRDefault="00972105" w:rsidP="008B2751">
      <w:pPr>
        <w:numPr>
          <w:ilvl w:val="0"/>
          <w:numId w:val="36"/>
        </w:numPr>
        <w:spacing w:line="360" w:lineRule="auto"/>
        <w:ind w:left="567" w:right="616" w:firstLine="0"/>
        <w:contextualSpacing/>
        <w:jc w:val="both"/>
        <w:rPr>
          <w:rFonts w:ascii="Palatino Linotype" w:hAnsi="Palatino Linotype" w:cs="Arial"/>
        </w:rPr>
      </w:pPr>
      <w:r w:rsidRPr="008B2751">
        <w:rPr>
          <w:rFonts w:ascii="Palatino Linotype" w:hAnsi="Palatino Linotype" w:cs="Arial"/>
          <w:b/>
        </w:rPr>
        <w:t>Revoque el acto impugnado:</w:t>
      </w:r>
      <w:r w:rsidRPr="008B2751">
        <w:rPr>
          <w:rFonts w:ascii="Palatino Linotype" w:hAnsi="Palatino Linotype" w:cs="Arial"/>
        </w:rPr>
        <w:t xml:space="preserve"> En este supuesto, el </w:t>
      </w:r>
      <w:r w:rsidRPr="008B2751">
        <w:rPr>
          <w:rFonts w:ascii="Palatino Linotype" w:hAnsi="Palatino Linotype" w:cs="Arial"/>
          <w:b/>
        </w:rPr>
        <w:t>SUJETO OBLIGADO</w:t>
      </w:r>
      <w:r w:rsidRPr="008B2751">
        <w:rPr>
          <w:rFonts w:ascii="Palatino Linotype" w:hAnsi="Palatino Linotype" w:cs="Arial"/>
        </w:rPr>
        <w:t xml:space="preserve"> deja sin efectos la primera respuesta y en su lugar emite otra que satisfaga lo solicitado por el particular en un primer momento.</w:t>
      </w:r>
    </w:p>
    <w:p w14:paraId="72988F39" w14:textId="77777777" w:rsidR="00972105" w:rsidRPr="008B2751" w:rsidRDefault="00972105" w:rsidP="008B2751">
      <w:pPr>
        <w:spacing w:line="360" w:lineRule="auto"/>
        <w:ind w:right="616"/>
        <w:contextualSpacing/>
        <w:jc w:val="both"/>
        <w:rPr>
          <w:rFonts w:ascii="Palatino Linotype" w:hAnsi="Palatino Linotype" w:cs="Arial"/>
        </w:rPr>
      </w:pPr>
    </w:p>
    <w:p w14:paraId="61BB669B"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D5C2D89" w14:textId="77777777" w:rsidR="00972105" w:rsidRPr="008B2751" w:rsidRDefault="00972105" w:rsidP="008B2751">
      <w:pPr>
        <w:spacing w:line="360" w:lineRule="auto"/>
        <w:contextualSpacing/>
        <w:jc w:val="both"/>
        <w:rPr>
          <w:rFonts w:ascii="Palatino Linotype" w:eastAsia="Calibri" w:hAnsi="Palatino Linotype" w:cs="Times New Roman"/>
        </w:rPr>
      </w:pPr>
    </w:p>
    <w:p w14:paraId="044BC9D3"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En el presente asunto, este Pleno advierte que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 xml:space="preserve"> con la información enviada a través del informe de justificación, </w:t>
      </w:r>
      <w:r w:rsidRPr="008B2751">
        <w:rPr>
          <w:rFonts w:ascii="Palatino Linotype" w:eastAsia="Calibri" w:hAnsi="Palatino Linotype" w:cs="Times New Roman"/>
          <w:b/>
        </w:rPr>
        <w:t>modifica</w:t>
      </w:r>
      <w:r w:rsidRPr="008B2751">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A8A4A3D" w14:textId="77777777" w:rsidR="00972105" w:rsidRPr="008B2751" w:rsidRDefault="00972105" w:rsidP="008B2751">
      <w:pPr>
        <w:spacing w:line="360" w:lineRule="auto"/>
        <w:ind w:left="720"/>
        <w:contextualSpacing/>
        <w:rPr>
          <w:rFonts w:ascii="Palatino Linotype" w:eastAsia="Calibri" w:hAnsi="Palatino Linotype" w:cs="Times New Roman"/>
        </w:rPr>
      </w:pPr>
    </w:p>
    <w:p w14:paraId="564EF4E7"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8B2751">
        <w:rPr>
          <w:rFonts w:ascii="Palatino Linotype" w:eastAsia="Calibri" w:hAnsi="Palatino Linotype" w:cs="Times New Roman"/>
          <w:b/>
        </w:rPr>
        <w:t>SUJETOS OBLIGADOS</w:t>
      </w:r>
      <w:r w:rsidRPr="008B2751">
        <w:rPr>
          <w:rFonts w:ascii="Palatino Linotype" w:eastAsia="Calibri" w:hAnsi="Palatino Linotype" w:cs="Times New Roman"/>
        </w:rPr>
        <w:t xml:space="preserve"> o la negativa de entrega de la misma, derivada de la solicitud de información pública.</w:t>
      </w:r>
    </w:p>
    <w:p w14:paraId="2E162D97" w14:textId="77777777" w:rsidR="00972105" w:rsidRPr="008B2751" w:rsidRDefault="00972105" w:rsidP="008B2751">
      <w:pPr>
        <w:spacing w:line="360" w:lineRule="auto"/>
        <w:ind w:left="720"/>
        <w:contextualSpacing/>
        <w:rPr>
          <w:rFonts w:ascii="Palatino Linotype" w:eastAsia="Calibri" w:hAnsi="Palatino Linotype" w:cs="Times New Roman"/>
        </w:rPr>
      </w:pPr>
    </w:p>
    <w:p w14:paraId="23DFD45F"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De este modo, cuando el </w:t>
      </w:r>
      <w:r w:rsidRPr="008B2751">
        <w:rPr>
          <w:rFonts w:ascii="Palatino Linotype" w:eastAsia="Calibri" w:hAnsi="Palatino Linotype" w:cs="Times New Roman"/>
          <w:b/>
        </w:rPr>
        <w:t xml:space="preserve">SUJETO OBLIGADO, </w:t>
      </w:r>
      <w:r w:rsidRPr="008B2751">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B2751">
        <w:rPr>
          <w:rFonts w:ascii="Palatino Linotype" w:eastAsia="Calibri" w:hAnsi="Palatino Linotype" w:cs="Times New Roman"/>
          <w:i/>
        </w:rPr>
        <w:t>litis</w:t>
      </w:r>
      <w:r w:rsidRPr="008B2751">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5CE3042C" w14:textId="77777777" w:rsidR="00972105" w:rsidRPr="008B2751" w:rsidRDefault="00972105" w:rsidP="008B2751">
      <w:pPr>
        <w:spacing w:line="360" w:lineRule="auto"/>
        <w:ind w:left="720"/>
        <w:contextualSpacing/>
        <w:rPr>
          <w:rFonts w:ascii="Palatino Linotype" w:eastAsia="Calibri" w:hAnsi="Palatino Linotype" w:cs="Times New Roman"/>
        </w:rPr>
      </w:pPr>
    </w:p>
    <w:p w14:paraId="0C23E6A7"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Sirve de sustento a lo anterior la siguiente jurisprudencia por contradicción, cuyo rubro, texto y datos de identificación son los siguientes:</w:t>
      </w:r>
    </w:p>
    <w:p w14:paraId="58543FE7" w14:textId="77777777" w:rsidR="00972105" w:rsidRPr="008B2751" w:rsidRDefault="00972105" w:rsidP="008B2751">
      <w:pPr>
        <w:spacing w:line="360" w:lineRule="auto"/>
        <w:ind w:left="567" w:right="616"/>
        <w:contextualSpacing/>
        <w:jc w:val="both"/>
        <w:rPr>
          <w:rFonts w:ascii="Palatino Linotype" w:eastAsia="Calibri" w:hAnsi="Palatino Linotype" w:cs="Times New Roman"/>
        </w:rPr>
      </w:pPr>
    </w:p>
    <w:p w14:paraId="33245357" w14:textId="77777777" w:rsidR="00972105" w:rsidRPr="008B2751" w:rsidRDefault="00972105" w:rsidP="008B2751">
      <w:pPr>
        <w:spacing w:line="360" w:lineRule="auto"/>
        <w:ind w:left="567" w:right="616"/>
        <w:contextualSpacing/>
        <w:jc w:val="both"/>
        <w:rPr>
          <w:rFonts w:ascii="Palatino Linotype" w:eastAsia="Calibri" w:hAnsi="Palatino Linotype" w:cs="Times New Roman"/>
          <w:i/>
          <w:sz w:val="22"/>
        </w:rPr>
      </w:pPr>
      <w:r w:rsidRPr="008B2751">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B2751">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39E02F4" w14:textId="77777777" w:rsidR="00972105" w:rsidRPr="008B2751" w:rsidRDefault="00972105" w:rsidP="008B2751">
      <w:pPr>
        <w:spacing w:line="360" w:lineRule="auto"/>
        <w:ind w:left="708"/>
        <w:contextualSpacing/>
        <w:jc w:val="both"/>
        <w:rPr>
          <w:rFonts w:ascii="Palatino Linotype" w:eastAsia="Calibri" w:hAnsi="Palatino Linotype" w:cs="Times New Roman"/>
          <w:i/>
        </w:rPr>
      </w:pPr>
    </w:p>
    <w:p w14:paraId="2FE41605"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La anterior jurisprudencia resulta aplicable al presente asunto, en dos aspectos:</w:t>
      </w:r>
    </w:p>
    <w:p w14:paraId="5C2D8D50" w14:textId="77777777" w:rsidR="00972105" w:rsidRPr="008B2751" w:rsidRDefault="00972105" w:rsidP="008B2751">
      <w:pPr>
        <w:spacing w:line="360" w:lineRule="auto"/>
        <w:ind w:left="426"/>
        <w:contextualSpacing/>
        <w:jc w:val="both"/>
        <w:rPr>
          <w:rFonts w:ascii="Palatino Linotype" w:eastAsia="Calibri" w:hAnsi="Palatino Linotype" w:cs="Times New Roman"/>
          <w:sz w:val="28"/>
        </w:rPr>
      </w:pPr>
    </w:p>
    <w:p w14:paraId="5A932B8C" w14:textId="77777777" w:rsidR="00972105" w:rsidRPr="008B2751" w:rsidRDefault="00972105" w:rsidP="008B2751">
      <w:pPr>
        <w:numPr>
          <w:ilvl w:val="0"/>
          <w:numId w:val="37"/>
        </w:numPr>
        <w:spacing w:line="360" w:lineRule="auto"/>
        <w:ind w:left="567" w:right="616" w:firstLine="0"/>
        <w:contextualSpacing/>
        <w:jc w:val="both"/>
        <w:rPr>
          <w:rFonts w:ascii="Palatino Linotype" w:eastAsia="Calibri" w:hAnsi="Palatino Linotype" w:cs="Times New Roman"/>
        </w:rPr>
      </w:pPr>
      <w:r w:rsidRPr="008B2751">
        <w:rPr>
          <w:rFonts w:ascii="Palatino Linotype" w:eastAsia="Calibri" w:hAnsi="Palatino Linotype" w:cs="Times New Roman"/>
          <w:b/>
        </w:rPr>
        <w:t>La cesación de los efectos perniciosos del acto de autoridad:</w:t>
      </w:r>
      <w:r w:rsidRPr="008B2751">
        <w:rPr>
          <w:rFonts w:ascii="Palatino Linotype" w:eastAsia="Calibri" w:hAnsi="Palatino Linotype" w:cs="Times New Roman"/>
        </w:rPr>
        <w:t xml:space="preserve"> Al respecto, la Ley de Transparencia contempla la figura jurídica del sobreseimiento cuando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 xml:space="preserve"> de </w:t>
      </w:r>
      <w:r w:rsidRPr="008B2751">
        <w:rPr>
          <w:rFonts w:ascii="Palatino Linotype" w:eastAsia="Calibri" w:hAnsi="Palatino Linotype" w:cs="Times New Roman"/>
          <w:i/>
        </w:rPr>
        <w:t>motu proprio</w:t>
      </w:r>
      <w:r w:rsidRPr="008B2751">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5AFA92DE" w14:textId="77777777" w:rsidR="00972105" w:rsidRPr="008B2751" w:rsidRDefault="00972105" w:rsidP="008B2751">
      <w:pPr>
        <w:spacing w:line="360" w:lineRule="auto"/>
        <w:ind w:left="567" w:right="616"/>
        <w:contextualSpacing/>
        <w:rPr>
          <w:rFonts w:ascii="Palatino Linotype" w:eastAsia="Calibri" w:hAnsi="Palatino Linotype" w:cs="Times New Roman"/>
        </w:rPr>
      </w:pPr>
    </w:p>
    <w:p w14:paraId="59E135E6" w14:textId="77777777" w:rsidR="00972105" w:rsidRPr="008B2751" w:rsidRDefault="00972105" w:rsidP="008B2751">
      <w:pPr>
        <w:numPr>
          <w:ilvl w:val="0"/>
          <w:numId w:val="37"/>
        </w:numPr>
        <w:spacing w:line="360" w:lineRule="auto"/>
        <w:ind w:left="567" w:right="616" w:firstLine="0"/>
        <w:contextualSpacing/>
        <w:jc w:val="both"/>
        <w:rPr>
          <w:rFonts w:ascii="Palatino Linotype" w:eastAsia="Calibri" w:hAnsi="Palatino Linotype" w:cs="Times New Roman"/>
        </w:rPr>
      </w:pPr>
      <w:r w:rsidRPr="008B2751">
        <w:rPr>
          <w:rFonts w:ascii="Palatino Linotype" w:eastAsia="Calibri" w:hAnsi="Palatino Linotype" w:cs="Times New Roman"/>
          <w:b/>
        </w:rPr>
        <w:t>El momento procesal para modificar el acto impugnado:</w:t>
      </w:r>
      <w:r w:rsidRPr="008B2751">
        <w:rPr>
          <w:rFonts w:ascii="Palatino Linotype" w:eastAsia="Calibri" w:hAnsi="Palatino Linotype" w:cs="Times New Roman"/>
        </w:rPr>
        <w:t xml:space="preserve"> Para que se actualice el sobreseimiento de un recurso de revisión,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 xml:space="preserve"> puede entregar o completar la información al momento de rendir su informe de justificación o </w:t>
      </w:r>
      <w:r w:rsidRPr="008B2751">
        <w:rPr>
          <w:rFonts w:ascii="Palatino Linotype" w:eastAsia="Calibri" w:hAnsi="Palatino Linotype" w:cs="Times New Roman"/>
          <w:b/>
          <w:u w:val="single"/>
        </w:rPr>
        <w:t>posteriormente</w:t>
      </w:r>
      <w:r w:rsidRPr="008B2751">
        <w:rPr>
          <w:rFonts w:ascii="Palatino Linotype" w:eastAsia="Calibri" w:hAnsi="Palatino Linotype" w:cs="Times New Roman"/>
        </w:rPr>
        <w:t xml:space="preserve"> a éste, siempre y cuando el Pleno del Instituto no haya dictado resolución definitiva.</w:t>
      </w:r>
    </w:p>
    <w:p w14:paraId="2FDD9DEF" w14:textId="77777777" w:rsidR="00972105" w:rsidRPr="008B2751" w:rsidRDefault="00972105" w:rsidP="008B2751">
      <w:pPr>
        <w:spacing w:line="360" w:lineRule="auto"/>
        <w:jc w:val="both"/>
        <w:rPr>
          <w:rFonts w:ascii="Palatino Linotype" w:eastAsia="Calibri" w:hAnsi="Palatino Linotype" w:cs="Times New Roman"/>
        </w:rPr>
      </w:pPr>
    </w:p>
    <w:p w14:paraId="6400AA72"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Además, de acuerdo con el procesalista Niceto Alcalá-Zamora y Castillo en su obra </w:t>
      </w:r>
      <w:r w:rsidRPr="008B2751">
        <w:rPr>
          <w:rFonts w:ascii="Palatino Linotype" w:eastAsia="Calibri" w:hAnsi="Palatino Linotype" w:cs="Times New Roman"/>
          <w:i/>
        </w:rPr>
        <w:t>“Cuestiones de Terminología Procesal”</w:t>
      </w:r>
      <w:r w:rsidRPr="008B2751">
        <w:rPr>
          <w:rFonts w:ascii="Palatino Linotype" w:eastAsia="Calibri" w:hAnsi="Palatino Linotype" w:cs="Times New Roman"/>
        </w:rPr>
        <w:t xml:space="preserve">, el sobreseimiento es </w:t>
      </w:r>
      <w:r w:rsidRPr="008B2751">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897C257" w14:textId="77777777" w:rsidR="00972105" w:rsidRPr="008B2751" w:rsidRDefault="00972105" w:rsidP="008B2751">
      <w:pPr>
        <w:spacing w:line="360" w:lineRule="auto"/>
        <w:ind w:left="426"/>
        <w:contextualSpacing/>
        <w:jc w:val="both"/>
        <w:rPr>
          <w:rFonts w:ascii="Palatino Linotype" w:eastAsia="Calibri" w:hAnsi="Palatino Linotype" w:cs="Times New Roman"/>
        </w:rPr>
      </w:pPr>
    </w:p>
    <w:p w14:paraId="41073ECD"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Eduardo Pallares, en su artículo </w:t>
      </w:r>
      <w:r w:rsidRPr="008B2751">
        <w:rPr>
          <w:rFonts w:ascii="Palatino Linotype" w:eastAsia="Calibri" w:hAnsi="Palatino Linotype" w:cs="Times New Roman"/>
          <w:i/>
        </w:rPr>
        <w:t>“La caducidad y el sobreseimiento en el amparo”</w:t>
      </w:r>
      <w:r w:rsidRPr="008B2751">
        <w:rPr>
          <w:rFonts w:ascii="Palatino Linotype" w:eastAsia="Calibri" w:hAnsi="Palatino Linotype" w:cs="Times New Roman"/>
        </w:rPr>
        <w:t xml:space="preserve">, cita la definición de Aguilera Paz, aduciendo que se </w:t>
      </w:r>
      <w:r w:rsidRPr="008B2751">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8B2751">
        <w:rPr>
          <w:rFonts w:ascii="Palatino Linotype" w:eastAsia="Calibri" w:hAnsi="Palatino Linotype" w:cs="Times New Roman"/>
        </w:rPr>
        <w:t>. Asimismo señala que existe el sobreseimiento provisional y el definitivo</w:t>
      </w:r>
      <w:r w:rsidRPr="008B2751">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4E0104FB" w14:textId="77777777" w:rsidR="00972105" w:rsidRPr="008B2751" w:rsidRDefault="00972105" w:rsidP="008B2751">
      <w:pPr>
        <w:spacing w:line="360" w:lineRule="auto"/>
        <w:ind w:left="426"/>
        <w:contextualSpacing/>
        <w:jc w:val="both"/>
        <w:rPr>
          <w:rFonts w:ascii="Palatino Linotype" w:eastAsia="Calibri" w:hAnsi="Palatino Linotype" w:cs="Times New Roman"/>
        </w:rPr>
      </w:pPr>
    </w:p>
    <w:p w14:paraId="1828E81A"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Así, para la doctrina el sobreseimiento provoca que un procedimiento se suspenda o se resuelva en definitiva </w:t>
      </w:r>
      <w:r w:rsidRPr="008B2751">
        <w:rPr>
          <w:rFonts w:ascii="Palatino Linotype" w:eastAsia="Calibri" w:hAnsi="Palatino Linotype" w:cs="Times New Roman"/>
          <w:b/>
          <w:u w:val="single"/>
        </w:rPr>
        <w:t xml:space="preserve">sin que se entre al estudio de los agravios o motivos de inconformidad. </w:t>
      </w:r>
      <w:r w:rsidRPr="008B2751">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745CFBE4" w14:textId="77777777" w:rsidR="00972105" w:rsidRPr="008B2751" w:rsidRDefault="00972105" w:rsidP="008B2751">
      <w:pPr>
        <w:spacing w:line="360" w:lineRule="auto"/>
        <w:ind w:left="426"/>
        <w:contextualSpacing/>
        <w:jc w:val="both"/>
        <w:rPr>
          <w:rFonts w:ascii="Palatino Linotype" w:eastAsia="Calibri" w:hAnsi="Palatino Linotype" w:cs="Times New Roman"/>
          <w:sz w:val="22"/>
        </w:rPr>
      </w:pPr>
    </w:p>
    <w:p w14:paraId="2E3860DA" w14:textId="77777777" w:rsidR="00972105" w:rsidRPr="008B2751" w:rsidRDefault="00972105" w:rsidP="008B2751">
      <w:pPr>
        <w:spacing w:line="360" w:lineRule="auto"/>
        <w:ind w:left="567" w:right="616"/>
        <w:contextualSpacing/>
        <w:jc w:val="both"/>
        <w:rPr>
          <w:rFonts w:ascii="Palatino Linotype" w:eastAsia="Calibri" w:hAnsi="Palatino Linotype" w:cs="Times New Roman"/>
          <w:i/>
          <w:sz w:val="22"/>
          <w:lang w:val="es-AR"/>
        </w:rPr>
      </w:pPr>
      <w:r w:rsidRPr="008B2751">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8B2751">
        <w:rPr>
          <w:rFonts w:ascii="Palatino Linotype" w:eastAsia="Calibri" w:hAnsi="Palatino Linotype" w:cs="Times New Roman"/>
          <w:i/>
          <w:sz w:val="22"/>
          <w:lang w:val="es-AR"/>
        </w:rPr>
        <w:t xml:space="preserve"> en el juicio de amparo directo </w:t>
      </w:r>
      <w:r w:rsidRPr="008B2751">
        <w:rPr>
          <w:rFonts w:ascii="Palatino Linotype" w:eastAsia="Calibri" w:hAnsi="Palatino Linotype" w:cs="Times New Roman"/>
          <w:b/>
          <w:i/>
          <w:sz w:val="22"/>
          <w:lang w:val="es-AR"/>
        </w:rPr>
        <w:t>provoca la terminación de la controversia planteada</w:t>
      </w:r>
      <w:r w:rsidRPr="008B2751">
        <w:rPr>
          <w:rFonts w:ascii="Palatino Linotype" w:eastAsia="Calibri" w:hAnsi="Palatino Linotype" w:cs="Times New Roman"/>
          <w:i/>
          <w:sz w:val="22"/>
          <w:lang w:val="es-AR"/>
        </w:rPr>
        <w:t xml:space="preserve"> por el quejoso en la demanda de amparo</w:t>
      </w:r>
      <w:r w:rsidRPr="008B2751">
        <w:rPr>
          <w:rFonts w:ascii="Palatino Linotype" w:eastAsia="Calibri" w:hAnsi="Palatino Linotype" w:cs="Times New Roman"/>
          <w:b/>
          <w:i/>
          <w:sz w:val="22"/>
          <w:lang w:val="es-AR"/>
        </w:rPr>
        <w:t>, sin hacer un pronunciamiento de fondo sobre la legalidad o ilegalidad de la sentencia reclamada</w:t>
      </w:r>
      <w:r w:rsidRPr="008B2751">
        <w:rPr>
          <w:rFonts w:ascii="Palatino Linotype" w:eastAsia="Calibri" w:hAnsi="Palatino Linotype" w:cs="Times New Roman"/>
          <w:i/>
          <w:sz w:val="22"/>
          <w:lang w:val="es-AR"/>
        </w:rPr>
        <w:t xml:space="preserve">. </w:t>
      </w:r>
      <w:r w:rsidRPr="008B2751">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B2751">
        <w:rPr>
          <w:rFonts w:ascii="Palatino Linotype" w:eastAsia="Calibri" w:hAnsi="Palatino Linotype" w:cs="Times New Roman"/>
          <w:i/>
          <w:sz w:val="22"/>
          <w:lang w:val="es-AR"/>
        </w:rPr>
        <w:t>.</w:t>
      </w:r>
    </w:p>
    <w:p w14:paraId="43E84AF6" w14:textId="77777777" w:rsidR="00972105" w:rsidRPr="008B2751" w:rsidRDefault="00972105" w:rsidP="008B2751">
      <w:pPr>
        <w:spacing w:line="360" w:lineRule="auto"/>
        <w:ind w:left="567" w:right="616"/>
        <w:contextualSpacing/>
        <w:jc w:val="both"/>
        <w:rPr>
          <w:rFonts w:ascii="Palatino Linotype" w:eastAsia="Calibri" w:hAnsi="Palatino Linotype" w:cs="Times New Roman"/>
          <w:i/>
          <w:sz w:val="22"/>
          <w:lang w:val="es-AR"/>
        </w:rPr>
      </w:pPr>
      <w:r w:rsidRPr="008B2751">
        <w:rPr>
          <w:rFonts w:ascii="Palatino Linotype" w:eastAsia="Calibri" w:hAnsi="Palatino Linotype" w:cs="Times New Roman"/>
          <w:i/>
          <w:sz w:val="22"/>
          <w:lang w:val="es-AR"/>
        </w:rPr>
        <w:t>SÉPTIMO TRIBUNAL COLEGIADO EN MATERIA CIVIL DEL PRIMER CIRCUITO.</w:t>
      </w:r>
    </w:p>
    <w:p w14:paraId="419088F2" w14:textId="77777777" w:rsidR="00972105" w:rsidRPr="008B2751" w:rsidRDefault="00972105" w:rsidP="008B2751">
      <w:pPr>
        <w:spacing w:line="360" w:lineRule="auto"/>
        <w:ind w:left="567" w:right="616"/>
        <w:contextualSpacing/>
        <w:jc w:val="both"/>
        <w:rPr>
          <w:rFonts w:ascii="Palatino Linotype" w:eastAsia="Calibri" w:hAnsi="Palatino Linotype" w:cs="Times New Roman"/>
          <w:b/>
          <w:i/>
          <w:sz w:val="22"/>
          <w:lang w:val="es-AR"/>
        </w:rPr>
      </w:pPr>
      <w:r w:rsidRPr="008B2751">
        <w:rPr>
          <w:rFonts w:ascii="Palatino Linotype" w:eastAsia="Calibri" w:hAnsi="Palatino Linotype" w:cs="Times New Roman"/>
          <w:i/>
          <w:sz w:val="22"/>
          <w:lang w:val="es-AR"/>
        </w:rPr>
        <w:t>Amparo directo 699/2008. Mariana Leticia González Steele. 13 de noviembre de 2008. Unanimidad de votos. Ponente: Sara Judith Montalvo Trejo. Secretario: Arnulfo Mateos García.</w:t>
      </w:r>
    </w:p>
    <w:p w14:paraId="60E293FD" w14:textId="77777777" w:rsidR="00972105" w:rsidRPr="008B2751" w:rsidRDefault="00972105" w:rsidP="008B2751">
      <w:pPr>
        <w:spacing w:line="360" w:lineRule="auto"/>
        <w:ind w:left="567" w:right="616"/>
        <w:contextualSpacing/>
        <w:jc w:val="both"/>
        <w:rPr>
          <w:rFonts w:ascii="Palatino Linotype" w:eastAsia="Calibri" w:hAnsi="Palatino Linotype" w:cs="Times New Roman"/>
          <w:i/>
          <w:sz w:val="22"/>
          <w:lang w:val="es-AR"/>
        </w:rPr>
      </w:pPr>
    </w:p>
    <w:p w14:paraId="6F543636" w14:textId="77777777" w:rsidR="00972105" w:rsidRPr="008B2751" w:rsidRDefault="00972105" w:rsidP="008B2751">
      <w:pPr>
        <w:spacing w:line="360" w:lineRule="auto"/>
        <w:ind w:left="567" w:right="616"/>
        <w:contextualSpacing/>
        <w:jc w:val="both"/>
        <w:rPr>
          <w:rFonts w:ascii="Palatino Linotype" w:eastAsia="Calibri" w:hAnsi="Palatino Linotype" w:cs="Times New Roman"/>
          <w:sz w:val="22"/>
          <w:lang w:val="es-AR"/>
        </w:rPr>
      </w:pPr>
      <w:r w:rsidRPr="008B2751">
        <w:rPr>
          <w:rFonts w:ascii="Palatino Linotype" w:eastAsia="Calibri" w:hAnsi="Palatino Linotype" w:cs="Times New Roman"/>
          <w:sz w:val="22"/>
          <w:lang w:val="es-AR"/>
        </w:rPr>
        <w:t>(Énfasis añadido)</w:t>
      </w:r>
    </w:p>
    <w:p w14:paraId="0CB0A5A3" w14:textId="77777777" w:rsidR="00972105" w:rsidRPr="008B2751" w:rsidRDefault="00972105" w:rsidP="008B2751">
      <w:pPr>
        <w:spacing w:line="360" w:lineRule="auto"/>
        <w:ind w:left="426"/>
        <w:contextualSpacing/>
        <w:jc w:val="both"/>
        <w:rPr>
          <w:rFonts w:ascii="Palatino Linotype" w:eastAsia="Calibri" w:hAnsi="Palatino Linotype" w:cs="Times New Roman"/>
        </w:rPr>
      </w:pPr>
    </w:p>
    <w:p w14:paraId="6FCF26F8"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916E03E" w14:textId="77777777" w:rsidR="00972105" w:rsidRPr="008B2751" w:rsidRDefault="00972105" w:rsidP="008B2751">
      <w:pPr>
        <w:spacing w:line="360" w:lineRule="auto"/>
        <w:contextualSpacing/>
        <w:jc w:val="both"/>
        <w:rPr>
          <w:rFonts w:ascii="Palatino Linotype" w:eastAsia="Calibri" w:hAnsi="Palatino Linotype" w:cs="Times New Roman"/>
        </w:rPr>
      </w:pPr>
    </w:p>
    <w:p w14:paraId="7DA596F1"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Por lo que para que se actualice el sobreseimiento de un recurso de revisión, el </w:t>
      </w:r>
      <w:r w:rsidRPr="008B2751">
        <w:rPr>
          <w:rFonts w:ascii="Palatino Linotype" w:eastAsia="Calibri" w:hAnsi="Palatino Linotype" w:cs="Times New Roman"/>
          <w:b/>
        </w:rPr>
        <w:t>SUJETO OBLIGADO</w:t>
      </w:r>
      <w:r w:rsidRPr="008B2751">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549C9575" w14:textId="77777777" w:rsidR="00972105" w:rsidRPr="008B2751" w:rsidRDefault="00972105" w:rsidP="008B2751">
      <w:pPr>
        <w:spacing w:line="360" w:lineRule="auto"/>
        <w:jc w:val="both"/>
        <w:rPr>
          <w:rFonts w:ascii="Palatino Linotype" w:eastAsia="Calibri" w:hAnsi="Palatino Linotype" w:cs="Times New Roman"/>
        </w:rPr>
      </w:pPr>
    </w:p>
    <w:p w14:paraId="161E97BA"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lang w:val="es-CO"/>
        </w:rPr>
        <w:t xml:space="preserve">Bajo ese tenor y en términos del artículo 186 fracción I este Pleno determina el </w:t>
      </w:r>
      <w:r w:rsidRPr="008B2751">
        <w:rPr>
          <w:rFonts w:ascii="Palatino Linotype" w:eastAsia="Calibri" w:hAnsi="Palatino Linotype" w:cs="Times New Roman"/>
          <w:b/>
          <w:lang w:val="es-CO"/>
        </w:rPr>
        <w:t xml:space="preserve">SOBRESEIMIENTO </w:t>
      </w:r>
      <w:r w:rsidRPr="008B2751">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2EAF7577" w14:textId="77777777" w:rsidR="00972105" w:rsidRPr="008B2751" w:rsidRDefault="00972105" w:rsidP="008B2751">
      <w:pPr>
        <w:spacing w:line="360" w:lineRule="auto"/>
        <w:ind w:left="426"/>
        <w:contextualSpacing/>
        <w:jc w:val="both"/>
        <w:rPr>
          <w:rFonts w:ascii="Palatino Linotype" w:eastAsia="Calibri" w:hAnsi="Palatino Linotype" w:cs="Times New Roman"/>
        </w:rPr>
      </w:pPr>
    </w:p>
    <w:p w14:paraId="1C3A273B" w14:textId="77777777" w:rsidR="00972105" w:rsidRPr="008B2751" w:rsidRDefault="00972105" w:rsidP="008B2751">
      <w:pPr>
        <w:numPr>
          <w:ilvl w:val="0"/>
          <w:numId w:val="39"/>
        </w:numPr>
        <w:spacing w:line="360" w:lineRule="auto"/>
        <w:ind w:left="0" w:firstLine="0"/>
        <w:contextualSpacing/>
        <w:jc w:val="both"/>
        <w:rPr>
          <w:rFonts w:ascii="Palatino Linotype" w:eastAsia="Calibri" w:hAnsi="Palatino Linotype" w:cs="Times New Roman"/>
        </w:rPr>
      </w:pPr>
      <w:r w:rsidRPr="008B2751">
        <w:rPr>
          <w:rFonts w:ascii="Palatino Linotype" w:eastAsia="Calibri" w:hAnsi="Palatino Linotype" w:cs="Times New Roman"/>
        </w:rPr>
        <w:t xml:space="preserve">Por lo anteriormente expuesto y fundado, este </w:t>
      </w:r>
      <w:r w:rsidRPr="008B2751">
        <w:rPr>
          <w:rFonts w:ascii="Palatino Linotype" w:eastAsia="Calibri" w:hAnsi="Palatino Linotype" w:cs="Times New Roman"/>
          <w:b/>
          <w:bCs/>
        </w:rPr>
        <w:t>ÓRGANO GARANTE</w:t>
      </w:r>
      <w:r w:rsidRPr="008B2751">
        <w:rPr>
          <w:rFonts w:ascii="Palatino Linotype" w:eastAsia="Calibri" w:hAnsi="Palatino Linotype" w:cs="Times New Roman"/>
        </w:rPr>
        <w:t xml:space="preserve"> emite los siguientes:</w:t>
      </w:r>
    </w:p>
    <w:p w14:paraId="0F855A11" w14:textId="3631C18F" w:rsidR="00580D8A" w:rsidRPr="008B2751" w:rsidRDefault="00580D8A" w:rsidP="008B2751">
      <w:pPr>
        <w:pStyle w:val="Prrafodelista"/>
        <w:spacing w:line="360" w:lineRule="auto"/>
        <w:rPr>
          <w:rFonts w:ascii="Palatino Linotype" w:eastAsia="Calibri" w:hAnsi="Palatino Linotype" w:cs="Times New Roman"/>
        </w:rPr>
      </w:pPr>
      <w:r w:rsidRPr="008B2751">
        <w:rPr>
          <w:rFonts w:ascii="Palatino Linotype" w:eastAsia="Calibri" w:hAnsi="Palatino Linotype" w:cs="Times New Roman"/>
          <w:noProof/>
          <w:lang w:val="es-MX" w:eastAsia="es-MX"/>
        </w:rPr>
        <mc:AlternateContent>
          <mc:Choice Requires="wps">
            <w:drawing>
              <wp:anchor distT="0" distB="0" distL="114300" distR="114300" simplePos="0" relativeHeight="251662336" behindDoc="0" locked="0" layoutInCell="1" allowOverlap="1" wp14:anchorId="2DDB52CF" wp14:editId="4B4B8CC5">
                <wp:simplePos x="0" y="0"/>
                <wp:positionH relativeFrom="margin">
                  <wp:align>left</wp:align>
                </wp:positionH>
                <wp:positionV relativeFrom="paragraph">
                  <wp:posOffset>114957</wp:posOffset>
                </wp:positionV>
                <wp:extent cx="5506120" cy="3144708"/>
                <wp:effectExtent l="38100" t="19050" r="56515" b="93980"/>
                <wp:wrapNone/>
                <wp:docPr id="4" name="Conector recto 4"/>
                <wp:cNvGraphicFramePr/>
                <a:graphic xmlns:a="http://schemas.openxmlformats.org/drawingml/2006/main">
                  <a:graphicData uri="http://schemas.microsoft.com/office/word/2010/wordprocessingShape">
                    <wps:wsp>
                      <wps:cNvCnPr/>
                      <wps:spPr>
                        <a:xfrm>
                          <a:off x="0" y="0"/>
                          <a:ext cx="5506120" cy="31447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6ED0630" id="Conector recto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05pt" to="433.55pt,2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" strokecolor="#4f81bd [3204]" strokeweight="2pt">
                <v:shadow on="t" color="black" opacity="24903f" origin=",.5" offset="0,.55556mm"/>
                <w10:wrap anchorx="margin"/>
              </v:line>
            </w:pict>
          </mc:Fallback>
        </mc:AlternateContent>
      </w:r>
    </w:p>
    <w:p w14:paraId="65C69D17" w14:textId="77777777" w:rsidR="00580D8A" w:rsidRPr="008B2751" w:rsidRDefault="00580D8A" w:rsidP="008B2751">
      <w:pPr>
        <w:spacing w:line="360" w:lineRule="auto"/>
        <w:contextualSpacing/>
        <w:jc w:val="both"/>
        <w:rPr>
          <w:rFonts w:ascii="Palatino Linotype" w:eastAsia="Calibri" w:hAnsi="Palatino Linotype" w:cs="Times New Roman"/>
        </w:rPr>
      </w:pPr>
    </w:p>
    <w:p w14:paraId="09DD086F" w14:textId="77777777" w:rsidR="00580D8A" w:rsidRPr="008B2751" w:rsidRDefault="00580D8A" w:rsidP="008B2751">
      <w:pPr>
        <w:spacing w:line="360" w:lineRule="auto"/>
        <w:contextualSpacing/>
        <w:jc w:val="both"/>
        <w:rPr>
          <w:rFonts w:ascii="Palatino Linotype" w:eastAsia="Calibri" w:hAnsi="Palatino Linotype" w:cs="Times New Roman"/>
        </w:rPr>
      </w:pPr>
    </w:p>
    <w:p w14:paraId="0F8CA995" w14:textId="77777777" w:rsidR="00580D8A" w:rsidRPr="008B2751" w:rsidRDefault="00580D8A" w:rsidP="008B2751">
      <w:pPr>
        <w:spacing w:line="360" w:lineRule="auto"/>
        <w:contextualSpacing/>
        <w:jc w:val="both"/>
        <w:rPr>
          <w:rFonts w:ascii="Palatino Linotype" w:eastAsia="Calibri" w:hAnsi="Palatino Linotype" w:cs="Times New Roman"/>
        </w:rPr>
      </w:pPr>
    </w:p>
    <w:p w14:paraId="22526916" w14:textId="77777777" w:rsidR="00580D8A" w:rsidRPr="008B2751" w:rsidRDefault="00580D8A" w:rsidP="008B2751">
      <w:pPr>
        <w:spacing w:line="360" w:lineRule="auto"/>
        <w:contextualSpacing/>
        <w:jc w:val="both"/>
        <w:rPr>
          <w:rFonts w:ascii="Palatino Linotype" w:eastAsia="Calibri" w:hAnsi="Palatino Linotype" w:cs="Times New Roman"/>
        </w:rPr>
      </w:pPr>
    </w:p>
    <w:p w14:paraId="4E962E0F" w14:textId="77777777" w:rsidR="00580D8A" w:rsidRPr="008B2751" w:rsidRDefault="00580D8A" w:rsidP="008B2751">
      <w:pPr>
        <w:spacing w:line="360" w:lineRule="auto"/>
        <w:contextualSpacing/>
        <w:jc w:val="both"/>
        <w:rPr>
          <w:rFonts w:ascii="Palatino Linotype" w:eastAsia="Calibri" w:hAnsi="Palatino Linotype" w:cs="Times New Roman"/>
        </w:rPr>
      </w:pPr>
    </w:p>
    <w:p w14:paraId="7271D0B6" w14:textId="77777777" w:rsidR="00580D8A" w:rsidRPr="008B2751" w:rsidRDefault="00580D8A" w:rsidP="008B2751">
      <w:pPr>
        <w:spacing w:line="360" w:lineRule="auto"/>
        <w:contextualSpacing/>
        <w:jc w:val="both"/>
        <w:rPr>
          <w:rFonts w:ascii="Palatino Linotype" w:eastAsia="Calibri" w:hAnsi="Palatino Linotype" w:cs="Times New Roman"/>
        </w:rPr>
      </w:pPr>
    </w:p>
    <w:p w14:paraId="1360B91A" w14:textId="77777777" w:rsidR="00580D8A" w:rsidRPr="008B2751" w:rsidRDefault="00580D8A" w:rsidP="008B2751">
      <w:pPr>
        <w:spacing w:line="360" w:lineRule="auto"/>
        <w:contextualSpacing/>
        <w:jc w:val="both"/>
        <w:rPr>
          <w:rFonts w:ascii="Palatino Linotype" w:eastAsia="Calibri" w:hAnsi="Palatino Linotype" w:cs="Times New Roman"/>
        </w:rPr>
      </w:pPr>
    </w:p>
    <w:p w14:paraId="00A9CBFA" w14:textId="77777777" w:rsidR="00580D8A" w:rsidRPr="008B2751" w:rsidRDefault="00580D8A" w:rsidP="008B2751">
      <w:pPr>
        <w:spacing w:line="360" w:lineRule="auto"/>
        <w:contextualSpacing/>
        <w:jc w:val="both"/>
        <w:rPr>
          <w:rFonts w:ascii="Palatino Linotype" w:eastAsia="Calibri" w:hAnsi="Palatino Linotype" w:cs="Times New Roman"/>
        </w:rPr>
      </w:pPr>
    </w:p>
    <w:p w14:paraId="42574275" w14:textId="77777777" w:rsidR="00580D8A" w:rsidRPr="008B2751" w:rsidRDefault="00580D8A" w:rsidP="008B2751">
      <w:pPr>
        <w:spacing w:line="360" w:lineRule="auto"/>
        <w:contextualSpacing/>
        <w:jc w:val="both"/>
        <w:rPr>
          <w:rFonts w:ascii="Palatino Linotype" w:eastAsia="Calibri" w:hAnsi="Palatino Linotype" w:cs="Times New Roman"/>
        </w:rPr>
      </w:pPr>
    </w:p>
    <w:p w14:paraId="7DFFC378" w14:textId="77777777" w:rsidR="00972105" w:rsidRPr="008B2751" w:rsidRDefault="00972105" w:rsidP="008B2751">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8" w:name="_Toc528153792"/>
      <w:bookmarkStart w:id="19" w:name="_Toc30616321"/>
      <w:r w:rsidRPr="008B2751">
        <w:rPr>
          <w:rFonts w:ascii="Palatino Linotype" w:eastAsiaTheme="majorEastAsia" w:hAnsi="Palatino Linotype" w:cstheme="majorBidi"/>
          <w:b/>
          <w:color w:val="000000" w:themeColor="text1"/>
          <w:lang w:val="es-MX" w:eastAsia="en-US"/>
        </w:rPr>
        <w:t>R E S O L U T I V O S</w:t>
      </w:r>
      <w:bookmarkEnd w:id="18"/>
      <w:bookmarkEnd w:id="19"/>
    </w:p>
    <w:p w14:paraId="57FAC5E8" w14:textId="77777777" w:rsidR="00972105" w:rsidRPr="008B2751" w:rsidRDefault="00972105" w:rsidP="008B2751">
      <w:pPr>
        <w:spacing w:line="360" w:lineRule="auto"/>
        <w:rPr>
          <w:rFonts w:ascii="Palatino Linotype" w:hAnsi="Palatino Linotype"/>
          <w:lang w:val="es-MX" w:eastAsia="en-US"/>
        </w:rPr>
      </w:pPr>
    </w:p>
    <w:p w14:paraId="4A87441A" w14:textId="331A8667" w:rsidR="00972105" w:rsidRPr="008B2751" w:rsidRDefault="00972105" w:rsidP="008B2751">
      <w:pPr>
        <w:spacing w:line="360" w:lineRule="auto"/>
        <w:jc w:val="both"/>
        <w:rPr>
          <w:rFonts w:ascii="Palatino Linotype" w:eastAsiaTheme="majorEastAsia" w:hAnsi="Palatino Linotype" w:cstheme="majorBidi"/>
          <w:color w:val="000000" w:themeColor="text1"/>
          <w:lang w:val="es-MX" w:eastAsia="en-US"/>
        </w:rPr>
      </w:pPr>
      <w:bookmarkStart w:id="20" w:name="_Toc461648588"/>
      <w:bookmarkStart w:id="21" w:name="_Toc461648680"/>
      <w:bookmarkStart w:id="22" w:name="_Toc462228047"/>
      <w:bookmarkStart w:id="23" w:name="_Toc462228127"/>
      <w:bookmarkStart w:id="24" w:name="_Toc496099787"/>
      <w:bookmarkStart w:id="25" w:name="_Toc496100164"/>
      <w:bookmarkStart w:id="26" w:name="_Toc499756976"/>
      <w:bookmarkStart w:id="27" w:name="_Toc499757019"/>
      <w:bookmarkStart w:id="28" w:name="_Toc500245736"/>
      <w:bookmarkStart w:id="29" w:name="_Toc500264545"/>
      <w:bookmarkStart w:id="30" w:name="_Toc503290282"/>
      <w:bookmarkStart w:id="31" w:name="_Toc512329343"/>
      <w:bookmarkStart w:id="32" w:name="_Toc514231051"/>
      <w:bookmarkStart w:id="33" w:name="_Toc528153793"/>
      <w:bookmarkStart w:id="34" w:name="_Toc450120669"/>
      <w:r w:rsidRPr="008B2751">
        <w:rPr>
          <w:rFonts w:ascii="Palatino Linotype" w:eastAsiaTheme="majorEastAsia" w:hAnsi="Palatino Linotype" w:cstheme="majorBidi"/>
          <w:b/>
          <w:color w:val="000000" w:themeColor="text1"/>
          <w:lang w:val="es-MX" w:eastAsia="en-US"/>
        </w:rPr>
        <w:t>PRIMERO.</w:t>
      </w:r>
      <w:r w:rsidRPr="008B2751">
        <w:rPr>
          <w:rFonts w:ascii="Palatino Linotype" w:eastAsiaTheme="majorEastAsia" w:hAnsi="Palatino Linotype" w:cstheme="majorBidi"/>
          <w:color w:val="000000" w:themeColor="text1"/>
          <w:lang w:val="es-MX" w:eastAsia="en-US"/>
        </w:rPr>
        <w:t xml:space="preserve"> Se </w:t>
      </w:r>
      <w:r w:rsidRPr="008B2751">
        <w:rPr>
          <w:rFonts w:ascii="Palatino Linotype" w:eastAsiaTheme="majorEastAsia" w:hAnsi="Palatino Linotype" w:cstheme="majorBidi"/>
          <w:b/>
          <w:color w:val="000000" w:themeColor="text1"/>
          <w:lang w:val="es-MX" w:eastAsia="en-US"/>
        </w:rPr>
        <w:t>SOBRESEE</w:t>
      </w:r>
      <w:r w:rsidRPr="008B2751">
        <w:rPr>
          <w:rFonts w:ascii="Palatino Linotype" w:eastAsiaTheme="majorEastAsia" w:hAnsi="Palatino Linotype" w:cstheme="majorBidi"/>
          <w:color w:val="000000" w:themeColor="text1"/>
          <w:lang w:val="es-MX" w:eastAsia="en-US"/>
        </w:rPr>
        <w:t xml:space="preserve"> el recurso de revisión número </w:t>
      </w:r>
      <w:r w:rsidR="00BE425A" w:rsidRPr="008B2751">
        <w:rPr>
          <w:rFonts w:ascii="Palatino Linotype" w:eastAsiaTheme="majorEastAsia" w:hAnsi="Palatino Linotype" w:cstheme="majorBidi"/>
          <w:b/>
          <w:color w:val="000000" w:themeColor="text1"/>
          <w:lang w:val="es-MX" w:eastAsia="en-US"/>
        </w:rPr>
        <w:t>0837</w:t>
      </w:r>
      <w:r w:rsidR="00452515" w:rsidRPr="008B2751">
        <w:rPr>
          <w:rFonts w:ascii="Palatino Linotype" w:eastAsiaTheme="majorEastAsia" w:hAnsi="Palatino Linotype" w:cstheme="majorBidi"/>
          <w:b/>
          <w:color w:val="000000" w:themeColor="text1"/>
          <w:lang w:val="es-MX" w:eastAsia="en-US"/>
        </w:rPr>
        <w:t>3</w:t>
      </w:r>
      <w:r w:rsidRPr="008B2751">
        <w:rPr>
          <w:rFonts w:ascii="Palatino Linotype" w:eastAsiaTheme="majorEastAsia" w:hAnsi="Palatino Linotype" w:cstheme="majorBidi"/>
          <w:b/>
          <w:color w:val="000000" w:themeColor="text1"/>
          <w:lang w:val="es-MX" w:eastAsia="en-US"/>
        </w:rPr>
        <w:t>/INFOEM/IP/RR/2019</w:t>
      </w:r>
      <w:r w:rsidRPr="008B2751">
        <w:rPr>
          <w:rFonts w:ascii="Palatino Linotype" w:eastAsiaTheme="majorEastAsia" w:hAnsi="Palatino Linotype" w:cstheme="majorBidi"/>
          <w:color w:val="000000" w:themeColor="text1"/>
          <w:lang w:val="es-MX" w:eastAsia="en-US"/>
        </w:rPr>
        <w:t xml:space="preserve"> en razón de que al </w:t>
      </w:r>
      <w:r w:rsidR="00580D8A" w:rsidRPr="008B2751">
        <w:rPr>
          <w:rFonts w:ascii="Palatino Linotype" w:eastAsiaTheme="majorEastAsia" w:hAnsi="Palatino Linotype" w:cstheme="majorBidi"/>
          <w:b/>
          <w:color w:val="000000" w:themeColor="text1"/>
          <w:lang w:val="es-MX" w:eastAsia="en-US"/>
        </w:rPr>
        <w:t>modificar</w:t>
      </w:r>
      <w:r w:rsidR="00580D8A" w:rsidRPr="008B2751">
        <w:rPr>
          <w:rFonts w:ascii="Palatino Linotype" w:eastAsiaTheme="majorEastAsia" w:hAnsi="Palatino Linotype" w:cstheme="majorBidi"/>
          <w:color w:val="000000" w:themeColor="text1"/>
          <w:lang w:val="es-MX" w:eastAsia="en-US"/>
        </w:rPr>
        <w:t xml:space="preserve"> la </w:t>
      </w:r>
      <w:r w:rsidRPr="008B2751">
        <w:rPr>
          <w:rFonts w:ascii="Palatino Linotype" w:eastAsiaTheme="majorEastAsia" w:hAnsi="Palatino Linotype" w:cstheme="majorBidi"/>
          <w:color w:val="000000" w:themeColor="text1"/>
          <w:lang w:val="es-MX" w:eastAsia="en-US"/>
        </w:rPr>
        <w:t xml:space="preserve">respuesta inicial, el recurso de revisión quedó sin materia en términos del Considerando </w:t>
      </w:r>
      <w:r w:rsidRPr="008B2751">
        <w:rPr>
          <w:rFonts w:ascii="Palatino Linotype" w:eastAsiaTheme="majorEastAsia" w:hAnsi="Palatino Linotype" w:cstheme="majorBidi"/>
          <w:b/>
          <w:color w:val="000000" w:themeColor="text1"/>
          <w:lang w:val="es-MX" w:eastAsia="en-US"/>
        </w:rPr>
        <w:t xml:space="preserve">TERCERO </w:t>
      </w:r>
      <w:r w:rsidRPr="008B2751">
        <w:rPr>
          <w:rFonts w:ascii="Palatino Linotype" w:eastAsiaTheme="majorEastAsia" w:hAnsi="Palatino Linotype" w:cstheme="majorBidi"/>
          <w:color w:val="000000" w:themeColor="text1"/>
          <w:lang w:val="es-MX" w:eastAsia="en-US"/>
        </w:rPr>
        <w:t xml:space="preserve">de la presente resolución.    </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24C65B9" w14:textId="77777777" w:rsidR="00972105" w:rsidRPr="008B2751" w:rsidRDefault="00972105" w:rsidP="008B2751">
      <w:pPr>
        <w:spacing w:line="360" w:lineRule="auto"/>
        <w:jc w:val="both"/>
        <w:rPr>
          <w:rFonts w:ascii="Palatino Linotype" w:hAnsi="Palatino Linotype" w:cs="Arial"/>
        </w:rPr>
      </w:pPr>
    </w:p>
    <w:p w14:paraId="4DA617FB" w14:textId="21362E6D" w:rsidR="00972105" w:rsidRPr="008B2751" w:rsidRDefault="00972105" w:rsidP="008B2751">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35" w:name="_Toc461648590"/>
      <w:bookmarkStart w:id="36" w:name="_Toc461648682"/>
      <w:bookmarkStart w:id="37" w:name="_Toc462228049"/>
      <w:bookmarkStart w:id="38" w:name="_Toc462228129"/>
      <w:bookmarkStart w:id="39" w:name="_Toc496099789"/>
      <w:bookmarkStart w:id="40" w:name="_Toc496100166"/>
      <w:bookmarkStart w:id="41" w:name="_Toc499756977"/>
      <w:bookmarkStart w:id="42" w:name="_Toc499757020"/>
      <w:bookmarkStart w:id="43" w:name="_Toc500245737"/>
      <w:bookmarkStart w:id="44" w:name="_Toc500264546"/>
      <w:bookmarkStart w:id="45" w:name="_Toc503290283"/>
      <w:bookmarkStart w:id="46" w:name="_Toc512329344"/>
      <w:bookmarkStart w:id="47" w:name="_Toc514231052"/>
      <w:bookmarkStart w:id="48" w:name="_Toc528153794"/>
      <w:bookmarkEnd w:id="34"/>
      <w:r w:rsidRPr="008B2751">
        <w:rPr>
          <w:rFonts w:ascii="Palatino Linotype" w:eastAsiaTheme="majorEastAsia" w:hAnsi="Palatino Linotype" w:cstheme="majorBidi"/>
          <w:b/>
          <w:color w:val="000000" w:themeColor="text1"/>
          <w:lang w:val="es-MX" w:eastAsia="en-US"/>
        </w:rPr>
        <w:t>SEGUNDO.</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B2751">
        <w:rPr>
          <w:rFonts w:ascii="Palatino Linotype" w:eastAsiaTheme="majorEastAsia" w:hAnsi="Palatino Linotype" w:cstheme="majorBidi"/>
          <w:b/>
          <w:color w:val="000000" w:themeColor="text1"/>
          <w:lang w:val="es-MX" w:eastAsia="en-US"/>
        </w:rPr>
        <w:t xml:space="preserve"> </w:t>
      </w:r>
      <w:r w:rsidRPr="008B2751">
        <w:rPr>
          <w:rFonts w:ascii="Palatino Linotype" w:eastAsia="MS Mincho" w:hAnsi="Palatino Linotype" w:cs="Arial"/>
          <w:b/>
          <w:bCs/>
          <w:color w:val="000000" w:themeColor="text1"/>
          <w:shd w:val="clear" w:color="auto" w:fill="FFFFFF"/>
        </w:rPr>
        <w:t xml:space="preserve">REMÍTASE </w:t>
      </w:r>
      <w:r w:rsidRPr="008B2751">
        <w:rPr>
          <w:rFonts w:ascii="Palatino Linotype" w:eastAsia="MS Mincho" w:hAnsi="Palatino Linotype" w:cs="Arial"/>
          <w:bCs/>
          <w:color w:val="000000" w:themeColor="text1"/>
          <w:shd w:val="clear" w:color="auto" w:fill="FFFFFF"/>
        </w:rPr>
        <w:t xml:space="preserve"> a través del Sistema de Acceso a la Información Mexiquense </w:t>
      </w:r>
      <w:r w:rsidRPr="008B2751">
        <w:rPr>
          <w:rFonts w:ascii="Palatino Linotype" w:eastAsia="MS Mincho" w:hAnsi="Palatino Linotype" w:cs="Arial"/>
          <w:b/>
          <w:bCs/>
          <w:color w:val="000000" w:themeColor="text1"/>
          <w:shd w:val="clear" w:color="auto" w:fill="FFFFFF"/>
        </w:rPr>
        <w:t xml:space="preserve">(SAIMEX) </w:t>
      </w:r>
      <w:r w:rsidRPr="008B2751">
        <w:rPr>
          <w:rFonts w:ascii="Palatino Linotype" w:eastAsia="MS Mincho" w:hAnsi="Palatino Linotype" w:cs="Arial"/>
          <w:bCs/>
          <w:color w:val="000000" w:themeColor="text1"/>
          <w:shd w:val="clear" w:color="auto" w:fill="FFFFFF"/>
        </w:rPr>
        <w:t xml:space="preserve">la presente resolución </w:t>
      </w:r>
      <w:r w:rsidRPr="008B2751">
        <w:rPr>
          <w:rFonts w:ascii="Palatino Linotype" w:eastAsia="MS Mincho" w:hAnsi="Palatino Linotype" w:cs="Times New Roman"/>
          <w:color w:val="000000" w:themeColor="text1"/>
          <w:shd w:val="clear" w:color="auto" w:fill="FFFFFF"/>
        </w:rPr>
        <w:t>al Titular de la Unidad de Transparencia del</w:t>
      </w:r>
      <w:r w:rsidRPr="008B2751">
        <w:rPr>
          <w:rFonts w:ascii="Palatino Linotype" w:eastAsia="MS Mincho" w:hAnsi="Palatino Linotype" w:cs="Times New Roman"/>
          <w:b/>
          <w:bCs/>
          <w:color w:val="000000" w:themeColor="text1"/>
          <w:shd w:val="clear" w:color="auto" w:fill="FFFFFF"/>
        </w:rPr>
        <w:t xml:space="preserve"> SUJETO OBLIGADO</w:t>
      </w:r>
      <w:r w:rsidR="00337885" w:rsidRPr="008B2751">
        <w:rPr>
          <w:rFonts w:ascii="Palatino Linotype" w:eastAsia="MS Mincho" w:hAnsi="Palatino Linotype" w:cs="Times New Roman"/>
          <w:color w:val="000000" w:themeColor="text1"/>
          <w:shd w:val="clear" w:color="auto" w:fill="FFFFFF"/>
        </w:rPr>
        <w:t>.</w:t>
      </w:r>
    </w:p>
    <w:p w14:paraId="369FC84A" w14:textId="77777777" w:rsidR="00337885" w:rsidRPr="008B2751" w:rsidRDefault="00337885" w:rsidP="008B2751">
      <w:pPr>
        <w:shd w:val="clear" w:color="auto" w:fill="FFFFFF"/>
        <w:spacing w:line="360" w:lineRule="auto"/>
        <w:jc w:val="both"/>
        <w:rPr>
          <w:rFonts w:ascii="Palatino Linotype" w:eastAsia="MS Mincho" w:hAnsi="Palatino Linotype" w:cs="Times New Roman"/>
          <w:color w:val="000000" w:themeColor="text1"/>
          <w:shd w:val="clear" w:color="auto" w:fill="FFFFFF"/>
        </w:rPr>
      </w:pPr>
    </w:p>
    <w:p w14:paraId="77F2CF52" w14:textId="6496ED0C" w:rsidR="00972105" w:rsidRPr="008B2751" w:rsidRDefault="00972105" w:rsidP="008B2751">
      <w:pPr>
        <w:spacing w:line="360" w:lineRule="auto"/>
        <w:jc w:val="both"/>
        <w:rPr>
          <w:rFonts w:ascii="Palatino Linotype" w:hAnsi="Palatino Linotype"/>
          <w:b/>
        </w:rPr>
      </w:pPr>
      <w:bookmarkStart w:id="49" w:name="_Toc496100167"/>
      <w:bookmarkStart w:id="50" w:name="_Toc499756978"/>
      <w:bookmarkStart w:id="51" w:name="_Toc499757021"/>
      <w:bookmarkStart w:id="52" w:name="_Toc500245738"/>
      <w:bookmarkStart w:id="53" w:name="_Toc500264547"/>
      <w:bookmarkStart w:id="54" w:name="_Toc503290284"/>
      <w:bookmarkStart w:id="55" w:name="_Toc512329345"/>
      <w:bookmarkStart w:id="56" w:name="_Toc514231053"/>
      <w:bookmarkStart w:id="57" w:name="_Toc528153795"/>
      <w:r w:rsidRPr="008B2751">
        <w:rPr>
          <w:rFonts w:ascii="Palatino Linotype" w:eastAsiaTheme="majorEastAsia" w:hAnsi="Palatino Linotype" w:cstheme="majorBidi"/>
          <w:b/>
          <w:color w:val="000000" w:themeColor="text1"/>
          <w:lang w:val="es-MX" w:eastAsia="en-US"/>
        </w:rPr>
        <w:t>TERCERO.</w:t>
      </w:r>
      <w:bookmarkEnd w:id="49"/>
      <w:bookmarkEnd w:id="50"/>
      <w:bookmarkEnd w:id="51"/>
      <w:bookmarkEnd w:id="52"/>
      <w:bookmarkEnd w:id="53"/>
      <w:bookmarkEnd w:id="54"/>
      <w:bookmarkEnd w:id="55"/>
      <w:bookmarkEnd w:id="56"/>
      <w:bookmarkEnd w:id="57"/>
      <w:r w:rsidRPr="008B2751">
        <w:rPr>
          <w:rFonts w:ascii="Palatino Linotype" w:eastAsia="MS Mincho" w:hAnsi="Palatino Linotype" w:cs="Times New Roman"/>
          <w:b/>
          <w:color w:val="000000" w:themeColor="text1"/>
        </w:rPr>
        <w:t xml:space="preserve"> </w:t>
      </w:r>
      <w:r w:rsidRPr="008B2751">
        <w:rPr>
          <w:rFonts w:ascii="Palatino Linotype" w:eastAsia="MS Mincho" w:hAnsi="Palatino Linotype" w:cs="Times New Roman"/>
          <w:color w:val="000000" w:themeColor="text1"/>
        </w:rPr>
        <w:t>Notifíquese a</w:t>
      </w:r>
      <w:r w:rsidR="00BE425A" w:rsidRPr="008B2751">
        <w:rPr>
          <w:rFonts w:ascii="Palatino Linotype" w:eastAsia="MS Mincho" w:hAnsi="Palatino Linotype" w:cs="Times New Roman"/>
          <w:color w:val="000000" w:themeColor="text1"/>
        </w:rPr>
        <w:t xml:space="preserve"> </w:t>
      </w:r>
      <w:r w:rsidR="00250CC6" w:rsidRPr="00250CC6">
        <w:rPr>
          <w:rFonts w:ascii="Palatino Linotype" w:eastAsia="MS Mincho" w:hAnsi="Palatino Linotype" w:cs="Times New Roman"/>
          <w:b/>
          <w:color w:val="000000" w:themeColor="text1"/>
          <w:highlight w:val="black"/>
        </w:rPr>
        <w:t>-------------</w:t>
      </w:r>
      <w:r w:rsidRPr="008B2751">
        <w:rPr>
          <w:rFonts w:ascii="Palatino Linotype" w:eastAsia="MS Mincho" w:hAnsi="Palatino Linotype" w:cs="Times New Roman"/>
          <w:b/>
          <w:color w:val="000000" w:themeColor="text1"/>
        </w:rPr>
        <w:t xml:space="preserve"> </w:t>
      </w:r>
      <w:r w:rsidRPr="008B2751">
        <w:rPr>
          <w:rFonts w:ascii="Palatino Linotype" w:eastAsia="MS Mincho" w:hAnsi="Palatino Linotype" w:cs="Times New Roman"/>
          <w:color w:val="000000" w:themeColor="text1"/>
        </w:rPr>
        <w:t>la presente resolución</w:t>
      </w:r>
      <w:r w:rsidRPr="008B2751">
        <w:rPr>
          <w:rFonts w:ascii="Palatino Linotype" w:hAnsi="Palatino Linotype" w:cs="Arial"/>
          <w:b/>
          <w:bCs/>
          <w:lang w:eastAsia="es-MX"/>
        </w:rPr>
        <w:t>.</w:t>
      </w:r>
    </w:p>
    <w:p w14:paraId="39088682" w14:textId="77777777" w:rsidR="00972105" w:rsidRPr="008B2751" w:rsidRDefault="00972105" w:rsidP="008B2751">
      <w:pPr>
        <w:spacing w:line="360" w:lineRule="auto"/>
        <w:jc w:val="both"/>
        <w:rPr>
          <w:rFonts w:ascii="Palatino Linotype" w:eastAsia="MS Mincho" w:hAnsi="Palatino Linotype" w:cs="Times New Roman"/>
          <w:color w:val="000000" w:themeColor="text1"/>
        </w:rPr>
      </w:pPr>
    </w:p>
    <w:p w14:paraId="171CFDAC" w14:textId="57505A82" w:rsidR="00972105" w:rsidRDefault="00972105" w:rsidP="008B2751">
      <w:pPr>
        <w:spacing w:line="360" w:lineRule="auto"/>
        <w:jc w:val="both"/>
        <w:rPr>
          <w:rFonts w:ascii="Palatino Linotype" w:eastAsia="Calibri" w:hAnsi="Palatino Linotype" w:cs="Arial"/>
          <w:lang w:val="es-ES" w:eastAsia="en-US"/>
        </w:rPr>
      </w:pPr>
      <w:bookmarkStart w:id="58" w:name="_Toc496100168"/>
      <w:bookmarkStart w:id="59" w:name="_Toc499757022"/>
      <w:bookmarkStart w:id="60" w:name="_Toc500245739"/>
      <w:bookmarkStart w:id="61" w:name="_Toc500264548"/>
      <w:bookmarkStart w:id="62" w:name="_Toc503290285"/>
      <w:bookmarkStart w:id="63" w:name="_Toc512329346"/>
      <w:bookmarkStart w:id="64" w:name="_Toc514231054"/>
      <w:bookmarkStart w:id="65" w:name="_Toc528153796"/>
      <w:r w:rsidRPr="008B2751">
        <w:rPr>
          <w:rFonts w:ascii="Palatino Linotype" w:eastAsiaTheme="majorEastAsia" w:hAnsi="Palatino Linotype" w:cstheme="majorBidi"/>
          <w:b/>
          <w:color w:val="000000" w:themeColor="text1"/>
          <w:lang w:val="es-MX" w:eastAsia="en-US"/>
        </w:rPr>
        <w:t>CUARTO.</w:t>
      </w:r>
      <w:bookmarkEnd w:id="58"/>
      <w:bookmarkEnd w:id="59"/>
      <w:bookmarkEnd w:id="60"/>
      <w:bookmarkEnd w:id="61"/>
      <w:bookmarkEnd w:id="62"/>
      <w:bookmarkEnd w:id="63"/>
      <w:bookmarkEnd w:id="64"/>
      <w:bookmarkEnd w:id="65"/>
      <w:r w:rsidRPr="008B2751">
        <w:rPr>
          <w:rFonts w:ascii="Palatino Linotype" w:eastAsia="MS Mincho" w:hAnsi="Palatino Linotype" w:cs="Times New Roman"/>
          <w:b/>
          <w:color w:val="000000" w:themeColor="text1"/>
        </w:rPr>
        <w:t xml:space="preserve"> </w:t>
      </w:r>
      <w:r w:rsidR="00BE425A" w:rsidRPr="008B2751">
        <w:rPr>
          <w:rFonts w:ascii="Palatino Linotype" w:eastAsia="MS Mincho" w:hAnsi="Palatino Linotype" w:cs="Times New Roman"/>
          <w:color w:val="000000" w:themeColor="text1"/>
        </w:rPr>
        <w:t xml:space="preserve">Se hace del conocimiento de </w:t>
      </w:r>
      <w:r w:rsidR="00BE425A" w:rsidRPr="008B2751">
        <w:rPr>
          <w:rFonts w:ascii="Palatino Linotype" w:eastAsia="MS Mincho" w:hAnsi="Palatino Linotype" w:cs="Times New Roman"/>
          <w:b/>
          <w:color w:val="000000" w:themeColor="text1"/>
        </w:rPr>
        <w:t xml:space="preserve"> </w:t>
      </w:r>
      <w:r w:rsidR="00250CC6" w:rsidRPr="00250CC6">
        <w:rPr>
          <w:rFonts w:ascii="Palatino Linotype" w:eastAsia="MS Mincho" w:hAnsi="Palatino Linotype" w:cs="Times New Roman"/>
          <w:b/>
          <w:color w:val="000000" w:themeColor="text1"/>
          <w:highlight w:val="black"/>
        </w:rPr>
        <w:t>-</w:t>
      </w:r>
      <w:r w:rsidR="00250CC6">
        <w:rPr>
          <w:rFonts w:ascii="Palatino Linotype" w:eastAsia="MS Mincho" w:hAnsi="Palatino Linotype" w:cs="Times New Roman"/>
          <w:b/>
          <w:color w:val="000000" w:themeColor="text1"/>
          <w:highlight w:val="black"/>
        </w:rPr>
        <w:t>-</w:t>
      </w:r>
      <w:bookmarkStart w:id="66" w:name="_GoBack"/>
      <w:bookmarkEnd w:id="66"/>
      <w:r w:rsidR="00250CC6" w:rsidRPr="00250CC6">
        <w:rPr>
          <w:rFonts w:ascii="Palatino Linotype" w:eastAsia="MS Mincho" w:hAnsi="Palatino Linotype" w:cs="Times New Roman"/>
          <w:b/>
          <w:color w:val="000000" w:themeColor="text1"/>
          <w:highlight w:val="black"/>
        </w:rPr>
        <w:t>-----------</w:t>
      </w:r>
      <w:r w:rsidR="00BE425A" w:rsidRPr="008B2751">
        <w:rPr>
          <w:rFonts w:ascii="Palatino Linotype" w:eastAsia="MS Mincho" w:hAnsi="Palatino Linotype" w:cs="Times New Roman"/>
          <w:b/>
          <w:color w:val="000000" w:themeColor="text1"/>
        </w:rPr>
        <w:t xml:space="preserve"> </w:t>
      </w:r>
      <w:r w:rsidRPr="008B2751">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8B2751">
        <w:rPr>
          <w:rFonts w:ascii="Palatino Linotype" w:eastAsia="Calibri" w:hAnsi="Palatino Linotype" w:cs="Arial"/>
          <w:lang w:val="es-ES" w:eastAsia="en-US"/>
        </w:rPr>
        <w:t xml:space="preserve"> </w:t>
      </w:r>
    </w:p>
    <w:p w14:paraId="1D110D67" w14:textId="77777777" w:rsidR="008B2751" w:rsidRPr="008B2751" w:rsidRDefault="008B2751" w:rsidP="008B2751">
      <w:pPr>
        <w:spacing w:line="360" w:lineRule="auto"/>
        <w:jc w:val="both"/>
        <w:rPr>
          <w:rFonts w:ascii="Palatino Linotype" w:eastAsia="Calibri" w:hAnsi="Palatino Linotype" w:cs="Arial"/>
          <w:lang w:val="es-ES" w:eastAsia="en-US"/>
        </w:rPr>
      </w:pPr>
    </w:p>
    <w:p w14:paraId="74E296F5" w14:textId="2EFA6FAE" w:rsidR="008B2751" w:rsidRDefault="008B2751" w:rsidP="008B2751">
      <w:pPr>
        <w:spacing w:line="360" w:lineRule="auto"/>
        <w:jc w:val="both"/>
        <w:rPr>
          <w:rFonts w:ascii="Palatino Linotype" w:eastAsia="Calibri" w:hAnsi="Palatino Linotype" w:cs="Arial"/>
          <w:lang w:val="es-MX" w:eastAsia="en-US"/>
        </w:rPr>
      </w:pPr>
      <w:r w:rsidRPr="00E83E79">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Times New Roman"/>
          <w:lang w:val="es-MX" w:eastAsia="en-US"/>
        </w:rPr>
        <w:t>;</w:t>
      </w:r>
      <w:r w:rsidRPr="00E83E79">
        <w:rPr>
          <w:rFonts w:ascii="Palatino Linotype" w:eastAsia="Calibri" w:hAnsi="Palatino Linotype" w:cs="Times New Roman"/>
          <w:lang w:val="es-MX" w:eastAsia="en-US"/>
        </w:rPr>
        <w:t xml:space="preserve"> JAVIER MARTÍNEZ CRUZ</w:t>
      </w:r>
      <w:r>
        <w:rPr>
          <w:rFonts w:ascii="Palatino Linotype" w:eastAsia="Calibri" w:hAnsi="Palatino Linotype" w:cs="Times New Roman"/>
          <w:lang w:val="es-MX" w:eastAsia="en-US"/>
        </w:rPr>
        <w:t xml:space="preserve"> Y LUIS GUSTAVO PARRA NORIEGA</w:t>
      </w:r>
      <w:r w:rsidRPr="00E83E79">
        <w:rPr>
          <w:rFonts w:ascii="Palatino Linotype" w:eastAsia="Calibri" w:hAnsi="Palatino Linotype" w:cs="Times New Roman"/>
          <w:lang w:val="es-MX" w:eastAsia="en-US"/>
        </w:rPr>
        <w:t xml:space="preserve">; EN LA </w:t>
      </w:r>
      <w:r w:rsidRPr="00194668">
        <w:rPr>
          <w:rFonts w:ascii="Palatino Linotype" w:eastAsia="Calibri" w:hAnsi="Palatino Linotype" w:cs="Times New Roman"/>
          <w:lang w:val="es-MX" w:eastAsia="en-US"/>
        </w:rPr>
        <w:t>SEGUNDA SESIÓN ORDINARIA CELEBRADA EL VEINTID</w:t>
      </w:r>
      <w:r>
        <w:rPr>
          <w:rFonts w:ascii="Palatino Linotype" w:eastAsia="Calibri" w:hAnsi="Palatino Linotype" w:cs="Times New Roman"/>
          <w:lang w:val="es-MX" w:eastAsia="en-US"/>
        </w:rPr>
        <w:t>Ó</w:t>
      </w:r>
      <w:r w:rsidRPr="00194668">
        <w:rPr>
          <w:rFonts w:ascii="Palatino Linotype" w:eastAsia="Calibri" w:hAnsi="Palatino Linotype" w:cs="Times New Roman"/>
          <w:lang w:val="es-MX" w:eastAsia="en-US"/>
        </w:rPr>
        <w:t xml:space="preserve">S (22) DE ENERO DE DOS MIL </w:t>
      </w:r>
      <w:r>
        <w:rPr>
          <w:rFonts w:ascii="Palatino Linotype" w:eastAsia="Calibri" w:hAnsi="Palatino Linotype" w:cs="Times New Roman"/>
          <w:lang w:val="es-MX" w:eastAsia="en-US"/>
        </w:rPr>
        <w:t>VEINTE</w:t>
      </w:r>
      <w:r w:rsidRPr="00E83E79">
        <w:rPr>
          <w:rFonts w:ascii="Palatino Linotype" w:eastAsia="Calibri" w:hAnsi="Palatino Linotype" w:cs="Times New Roman"/>
          <w:lang w:val="es-MX" w:eastAsia="en-US"/>
        </w:rPr>
        <w:t xml:space="preserve">, ANTE EL SECRETARIO TÉCNICO DEL PLENO </w:t>
      </w:r>
      <w:r>
        <w:rPr>
          <w:rFonts w:ascii="Palatino Linotype" w:eastAsia="Calibri" w:hAnsi="Palatino Linotype" w:cs="Times New Roman"/>
          <w:noProof/>
          <w:lang w:val="es-MX" w:eastAsia="es-MX"/>
        </w:rPr>
        <mc:AlternateContent>
          <mc:Choice Requires="wps">
            <w:drawing>
              <wp:anchor distT="0" distB="0" distL="114300" distR="114300" simplePos="0" relativeHeight="251664384" behindDoc="0" locked="0" layoutInCell="1" allowOverlap="1" wp14:anchorId="589B3196" wp14:editId="08DF8847">
                <wp:simplePos x="0" y="0"/>
                <wp:positionH relativeFrom="column">
                  <wp:posOffset>45279</wp:posOffset>
                </wp:positionH>
                <wp:positionV relativeFrom="paragraph">
                  <wp:posOffset>1226897</wp:posOffset>
                </wp:positionV>
                <wp:extent cx="5496449" cy="6300316"/>
                <wp:effectExtent l="57150" t="38100" r="47625" b="81915"/>
                <wp:wrapNone/>
                <wp:docPr id="7" name="Conector recto 7"/>
                <wp:cNvGraphicFramePr/>
                <a:graphic xmlns:a="http://schemas.openxmlformats.org/drawingml/2006/main">
                  <a:graphicData uri="http://schemas.microsoft.com/office/word/2010/wordprocessingShape">
                    <wps:wsp>
                      <wps:cNvCnPr/>
                      <wps:spPr>
                        <a:xfrm>
                          <a:off x="0" y="0"/>
                          <a:ext cx="5496449" cy="630031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3465E73"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5pt,96.6pt" to="436.35pt,5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" strokecolor="#4f81bd [3204]" strokeweight="3pt">
                <v:shadow on="t" color="black" opacity="24903f" origin=",.5" offset="0,.55556mm"/>
              </v:line>
            </w:pict>
          </mc:Fallback>
        </mc:AlternateContent>
      </w:r>
      <w:r w:rsidRPr="00E83E79">
        <w:rPr>
          <w:rFonts w:ascii="Palatino Linotype" w:eastAsia="Calibri" w:hAnsi="Palatino Linotype" w:cs="Times New Roman"/>
          <w:lang w:val="es-MX" w:eastAsia="en-US"/>
        </w:rPr>
        <w:t>ALEXIS TAPIA RAMÍREZ.</w:t>
      </w:r>
      <w:r w:rsidRPr="00E83E79">
        <w:rPr>
          <w:rFonts w:ascii="Palatino Linotype" w:eastAsia="Calibri" w:hAnsi="Palatino Linotype" w:cs="Arial"/>
          <w:lang w:val="es-MX" w:eastAsia="en-US"/>
        </w:rPr>
        <w:t xml:space="preserve"> </w:t>
      </w:r>
    </w:p>
    <w:tbl>
      <w:tblPr>
        <w:tblW w:w="10240" w:type="dxa"/>
        <w:jc w:val="center"/>
        <w:tblLayout w:type="fixed"/>
        <w:tblLook w:val="04A0" w:firstRow="1" w:lastRow="0" w:firstColumn="1" w:lastColumn="0" w:noHBand="0" w:noVBand="1"/>
      </w:tblPr>
      <w:tblGrid>
        <w:gridCol w:w="5182"/>
        <w:gridCol w:w="5058"/>
      </w:tblGrid>
      <w:tr w:rsidR="001F1692" w:rsidRPr="00C145AD" w14:paraId="14A583E2" w14:textId="77777777" w:rsidTr="00F95CA3">
        <w:trPr>
          <w:jc w:val="center"/>
        </w:trPr>
        <w:tc>
          <w:tcPr>
            <w:tcW w:w="10240" w:type="dxa"/>
            <w:gridSpan w:val="2"/>
            <w:shd w:val="clear" w:color="auto" w:fill="auto"/>
          </w:tcPr>
          <w:p w14:paraId="08B65B0B" w14:textId="77777777" w:rsidR="001F1692" w:rsidRPr="00C145AD" w:rsidRDefault="001F1692" w:rsidP="00F95CA3">
            <w:pPr>
              <w:spacing w:line="360" w:lineRule="auto"/>
              <w:rPr>
                <w:rFonts w:ascii="Palatino Linotype" w:hAnsi="Palatino Linotype" w:cs="Arial"/>
                <w:b/>
              </w:rPr>
            </w:pPr>
          </w:p>
          <w:p w14:paraId="56CF6194" w14:textId="77777777" w:rsidR="001F1692" w:rsidRDefault="001F1692" w:rsidP="00F95CA3">
            <w:pPr>
              <w:spacing w:line="360" w:lineRule="auto"/>
              <w:jc w:val="center"/>
              <w:rPr>
                <w:rFonts w:ascii="Palatino Linotype" w:hAnsi="Palatino Linotype" w:cs="Arial"/>
                <w:b/>
              </w:rPr>
            </w:pPr>
          </w:p>
          <w:p w14:paraId="6CDF4786" w14:textId="77777777" w:rsidR="001F1692" w:rsidRDefault="001F1692" w:rsidP="00F95CA3">
            <w:pPr>
              <w:spacing w:line="360" w:lineRule="auto"/>
              <w:jc w:val="center"/>
              <w:rPr>
                <w:rFonts w:ascii="Palatino Linotype" w:hAnsi="Palatino Linotype" w:cs="Arial"/>
                <w:b/>
              </w:rPr>
            </w:pPr>
          </w:p>
          <w:p w14:paraId="4CC7DAF0" w14:textId="77777777" w:rsidR="001F1692" w:rsidRDefault="001F1692" w:rsidP="00F95CA3">
            <w:pPr>
              <w:spacing w:line="360" w:lineRule="auto"/>
              <w:jc w:val="center"/>
              <w:rPr>
                <w:rFonts w:ascii="Palatino Linotype" w:hAnsi="Palatino Linotype" w:cs="Arial"/>
                <w:b/>
              </w:rPr>
            </w:pPr>
          </w:p>
          <w:p w14:paraId="2A26FB63" w14:textId="77777777" w:rsidR="001F1692" w:rsidRDefault="001F1692" w:rsidP="00F95CA3">
            <w:pPr>
              <w:spacing w:line="360" w:lineRule="auto"/>
              <w:jc w:val="center"/>
              <w:rPr>
                <w:rFonts w:ascii="Palatino Linotype" w:hAnsi="Palatino Linotype" w:cs="Arial"/>
                <w:b/>
              </w:rPr>
            </w:pPr>
          </w:p>
          <w:p w14:paraId="3486C268" w14:textId="77777777" w:rsidR="001F1692" w:rsidRDefault="001F1692" w:rsidP="00F95CA3">
            <w:pPr>
              <w:spacing w:line="360" w:lineRule="auto"/>
              <w:jc w:val="center"/>
              <w:rPr>
                <w:rFonts w:ascii="Palatino Linotype" w:hAnsi="Palatino Linotype" w:cs="Arial"/>
                <w:b/>
              </w:rPr>
            </w:pPr>
          </w:p>
          <w:p w14:paraId="30DCE786" w14:textId="77777777" w:rsidR="001F1692" w:rsidRDefault="001F1692" w:rsidP="00F95CA3">
            <w:pPr>
              <w:spacing w:line="360" w:lineRule="auto"/>
              <w:jc w:val="center"/>
              <w:rPr>
                <w:rFonts w:ascii="Palatino Linotype" w:hAnsi="Palatino Linotype" w:cs="Arial"/>
                <w:b/>
              </w:rPr>
            </w:pPr>
          </w:p>
          <w:p w14:paraId="25AACE0E" w14:textId="77777777" w:rsidR="001F1692" w:rsidRDefault="001F1692" w:rsidP="00F95CA3">
            <w:pPr>
              <w:spacing w:line="360" w:lineRule="auto"/>
              <w:jc w:val="center"/>
              <w:rPr>
                <w:rFonts w:ascii="Palatino Linotype" w:hAnsi="Palatino Linotype" w:cs="Arial"/>
                <w:b/>
              </w:rPr>
            </w:pPr>
          </w:p>
          <w:p w14:paraId="24AFC8C7" w14:textId="77777777" w:rsidR="001F1692" w:rsidRDefault="001F1692" w:rsidP="00F95CA3">
            <w:pPr>
              <w:spacing w:line="360" w:lineRule="auto"/>
              <w:jc w:val="center"/>
              <w:rPr>
                <w:rFonts w:ascii="Palatino Linotype" w:hAnsi="Palatino Linotype" w:cs="Arial"/>
                <w:b/>
              </w:rPr>
            </w:pPr>
          </w:p>
          <w:p w14:paraId="06B63E08" w14:textId="77777777" w:rsidR="001F1692" w:rsidRDefault="001F1692" w:rsidP="00F95CA3">
            <w:pPr>
              <w:spacing w:line="360" w:lineRule="auto"/>
              <w:jc w:val="center"/>
              <w:rPr>
                <w:rFonts w:ascii="Palatino Linotype" w:hAnsi="Palatino Linotype" w:cs="Arial"/>
                <w:b/>
              </w:rPr>
            </w:pPr>
          </w:p>
          <w:p w14:paraId="1876742D" w14:textId="77777777" w:rsidR="001F1692" w:rsidRDefault="001F1692" w:rsidP="00F95CA3">
            <w:pPr>
              <w:spacing w:line="360" w:lineRule="auto"/>
              <w:jc w:val="center"/>
              <w:rPr>
                <w:rFonts w:ascii="Palatino Linotype" w:hAnsi="Palatino Linotype" w:cs="Arial"/>
                <w:b/>
              </w:rPr>
            </w:pPr>
          </w:p>
          <w:p w14:paraId="1353AFD4" w14:textId="77777777" w:rsidR="001F1692" w:rsidRDefault="001F1692" w:rsidP="00F95CA3">
            <w:pPr>
              <w:spacing w:line="360" w:lineRule="auto"/>
              <w:jc w:val="center"/>
              <w:rPr>
                <w:rFonts w:ascii="Palatino Linotype" w:hAnsi="Palatino Linotype" w:cs="Arial"/>
                <w:b/>
              </w:rPr>
            </w:pPr>
          </w:p>
          <w:p w14:paraId="0C8D0474" w14:textId="77777777" w:rsidR="001F1692" w:rsidRDefault="001F1692" w:rsidP="00F95CA3">
            <w:pPr>
              <w:spacing w:line="360" w:lineRule="auto"/>
              <w:jc w:val="center"/>
              <w:rPr>
                <w:rFonts w:ascii="Palatino Linotype" w:hAnsi="Palatino Linotype" w:cs="Arial"/>
                <w:b/>
              </w:rPr>
            </w:pPr>
          </w:p>
          <w:p w14:paraId="18F07E9B" w14:textId="77777777" w:rsidR="001F1692" w:rsidRDefault="001F1692" w:rsidP="00F95CA3">
            <w:pPr>
              <w:spacing w:line="360" w:lineRule="auto"/>
              <w:jc w:val="center"/>
              <w:rPr>
                <w:rFonts w:ascii="Palatino Linotype" w:hAnsi="Palatino Linotype" w:cs="Arial"/>
                <w:b/>
              </w:rPr>
            </w:pPr>
          </w:p>
          <w:p w14:paraId="5D35B714" w14:textId="77777777" w:rsidR="001F1692" w:rsidRDefault="001F1692" w:rsidP="00F95CA3">
            <w:pPr>
              <w:spacing w:line="360" w:lineRule="auto"/>
              <w:jc w:val="center"/>
              <w:rPr>
                <w:rFonts w:ascii="Palatino Linotype" w:hAnsi="Palatino Linotype" w:cs="Arial"/>
                <w:b/>
              </w:rPr>
            </w:pPr>
          </w:p>
          <w:p w14:paraId="70BD7200" w14:textId="77777777" w:rsidR="001F1692" w:rsidRDefault="001F1692" w:rsidP="00F95CA3">
            <w:pPr>
              <w:spacing w:line="360" w:lineRule="auto"/>
              <w:rPr>
                <w:rFonts w:ascii="Palatino Linotype" w:hAnsi="Palatino Linotype" w:cs="Arial"/>
                <w:b/>
              </w:rPr>
            </w:pPr>
          </w:p>
          <w:p w14:paraId="2ECB4DE1" w14:textId="77777777" w:rsidR="001F1692" w:rsidRDefault="001F1692" w:rsidP="00F95CA3">
            <w:pPr>
              <w:spacing w:line="360" w:lineRule="auto"/>
              <w:jc w:val="center"/>
              <w:rPr>
                <w:rFonts w:ascii="Palatino Linotype" w:hAnsi="Palatino Linotype" w:cs="Arial"/>
                <w:b/>
              </w:rPr>
            </w:pPr>
          </w:p>
          <w:p w14:paraId="17FBD308" w14:textId="77777777" w:rsidR="001F1692" w:rsidRDefault="001F1692" w:rsidP="00F95CA3">
            <w:pPr>
              <w:spacing w:line="360" w:lineRule="auto"/>
              <w:jc w:val="center"/>
              <w:rPr>
                <w:rFonts w:ascii="Palatino Linotype" w:hAnsi="Palatino Linotype" w:cs="Arial"/>
                <w:b/>
              </w:rPr>
            </w:pPr>
          </w:p>
          <w:p w14:paraId="32DBA416" w14:textId="77777777" w:rsidR="001F1692" w:rsidRDefault="001F1692" w:rsidP="00F95CA3">
            <w:pPr>
              <w:spacing w:line="360" w:lineRule="auto"/>
              <w:jc w:val="center"/>
              <w:rPr>
                <w:rFonts w:ascii="Palatino Linotype" w:hAnsi="Palatino Linotype" w:cs="Arial"/>
                <w:b/>
              </w:rPr>
            </w:pPr>
          </w:p>
          <w:p w14:paraId="2F32B317" w14:textId="77777777" w:rsidR="001F1692" w:rsidRDefault="001F1692" w:rsidP="00F95CA3">
            <w:pPr>
              <w:spacing w:line="360" w:lineRule="auto"/>
              <w:jc w:val="center"/>
              <w:rPr>
                <w:rFonts w:ascii="Palatino Linotype" w:hAnsi="Palatino Linotype" w:cs="Arial"/>
                <w:b/>
              </w:rPr>
            </w:pPr>
          </w:p>
          <w:p w14:paraId="470D3DB1" w14:textId="77777777" w:rsidR="001F1692" w:rsidRDefault="001F1692" w:rsidP="00F95CA3">
            <w:pPr>
              <w:spacing w:line="360" w:lineRule="auto"/>
              <w:jc w:val="center"/>
              <w:rPr>
                <w:rFonts w:ascii="Palatino Linotype" w:hAnsi="Palatino Linotype" w:cs="Arial"/>
                <w:b/>
              </w:rPr>
            </w:pPr>
          </w:p>
          <w:p w14:paraId="62047BF3" w14:textId="77777777" w:rsidR="001F1692" w:rsidRDefault="001F1692" w:rsidP="00F95CA3">
            <w:pPr>
              <w:spacing w:line="360" w:lineRule="auto"/>
              <w:jc w:val="center"/>
              <w:rPr>
                <w:rFonts w:ascii="Palatino Linotype" w:hAnsi="Palatino Linotype" w:cs="Arial"/>
                <w:b/>
              </w:rPr>
            </w:pPr>
          </w:p>
          <w:p w14:paraId="48778F86" w14:textId="77777777" w:rsidR="001F1692" w:rsidRPr="00C145AD" w:rsidRDefault="001F1692" w:rsidP="00F95CA3">
            <w:pPr>
              <w:spacing w:line="360" w:lineRule="auto"/>
              <w:rPr>
                <w:rFonts w:ascii="Palatino Linotype" w:hAnsi="Palatino Linotype" w:cs="Arial"/>
                <w:b/>
              </w:rPr>
            </w:pPr>
          </w:p>
          <w:p w14:paraId="2DC9D8E7"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Zulema Martínez Sánchez</w:t>
            </w:r>
          </w:p>
          <w:p w14:paraId="3392EBDD"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rPr>
              <w:t>Comisionada Presidenta</w:t>
            </w:r>
          </w:p>
          <w:p w14:paraId="266F3DE0"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 xml:space="preserve">(RÚBRICA) </w:t>
            </w:r>
          </w:p>
        </w:tc>
      </w:tr>
      <w:tr w:rsidR="001F1692" w:rsidRPr="00C145AD" w14:paraId="50693BE4" w14:textId="77777777" w:rsidTr="00F95CA3">
        <w:trPr>
          <w:jc w:val="center"/>
        </w:trPr>
        <w:tc>
          <w:tcPr>
            <w:tcW w:w="5182" w:type="dxa"/>
            <w:shd w:val="clear" w:color="auto" w:fill="auto"/>
          </w:tcPr>
          <w:p w14:paraId="2CC12FD9" w14:textId="77777777" w:rsidR="001F1692" w:rsidRPr="00C145AD" w:rsidRDefault="001F1692" w:rsidP="00F95CA3">
            <w:pPr>
              <w:spacing w:line="360" w:lineRule="auto"/>
              <w:rPr>
                <w:rFonts w:ascii="Palatino Linotype" w:hAnsi="Palatino Linotype" w:cs="Arial"/>
                <w:b/>
              </w:rPr>
            </w:pPr>
          </w:p>
          <w:p w14:paraId="0A555AE5"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 xml:space="preserve">Eva </w:t>
            </w:r>
            <w:proofErr w:type="spellStart"/>
            <w:r w:rsidRPr="00C145AD">
              <w:rPr>
                <w:rFonts w:ascii="Palatino Linotype" w:hAnsi="Palatino Linotype" w:cs="Arial"/>
                <w:b/>
              </w:rPr>
              <w:t>Abaid</w:t>
            </w:r>
            <w:proofErr w:type="spellEnd"/>
            <w:r w:rsidRPr="00C145AD">
              <w:rPr>
                <w:rFonts w:ascii="Palatino Linotype" w:hAnsi="Palatino Linotype" w:cs="Arial"/>
                <w:b/>
              </w:rPr>
              <w:t xml:space="preserve"> </w:t>
            </w:r>
            <w:proofErr w:type="spellStart"/>
            <w:r w:rsidRPr="00C145AD">
              <w:rPr>
                <w:rFonts w:ascii="Palatino Linotype" w:hAnsi="Palatino Linotype" w:cs="Arial"/>
                <w:b/>
              </w:rPr>
              <w:t>Yapur</w:t>
            </w:r>
            <w:proofErr w:type="spellEnd"/>
          </w:p>
          <w:p w14:paraId="078CCC7A"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rPr>
              <w:t>Comisionada</w:t>
            </w:r>
          </w:p>
          <w:p w14:paraId="3F8D0A29"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(RÚBRICA)</w:t>
            </w:r>
          </w:p>
        </w:tc>
        <w:tc>
          <w:tcPr>
            <w:tcW w:w="5058" w:type="dxa"/>
            <w:shd w:val="clear" w:color="auto" w:fill="auto"/>
          </w:tcPr>
          <w:p w14:paraId="20CB9652" w14:textId="77777777" w:rsidR="001F1692" w:rsidRPr="00C145AD" w:rsidRDefault="001F1692" w:rsidP="00F95CA3">
            <w:pPr>
              <w:spacing w:line="360" w:lineRule="auto"/>
              <w:rPr>
                <w:rFonts w:ascii="Palatino Linotype" w:hAnsi="Palatino Linotype" w:cs="Arial"/>
                <w:b/>
              </w:rPr>
            </w:pPr>
          </w:p>
          <w:p w14:paraId="3D528FF2"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José Guadalupe Luna Hernández</w:t>
            </w:r>
          </w:p>
          <w:p w14:paraId="23690DAF"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rPr>
              <w:t>Comisionado</w:t>
            </w:r>
          </w:p>
          <w:p w14:paraId="103EB317"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(RÚBRICA)</w:t>
            </w:r>
          </w:p>
        </w:tc>
      </w:tr>
      <w:tr w:rsidR="001F1692" w:rsidRPr="00C145AD" w14:paraId="2FC2156A" w14:textId="77777777" w:rsidTr="00F95CA3">
        <w:trPr>
          <w:jc w:val="center"/>
        </w:trPr>
        <w:tc>
          <w:tcPr>
            <w:tcW w:w="5182" w:type="dxa"/>
            <w:shd w:val="clear" w:color="auto" w:fill="auto"/>
          </w:tcPr>
          <w:p w14:paraId="702B7F0E" w14:textId="77777777" w:rsidR="001F1692" w:rsidRDefault="001F1692" w:rsidP="00F95CA3">
            <w:pPr>
              <w:spacing w:line="360" w:lineRule="auto"/>
              <w:rPr>
                <w:rFonts w:ascii="Palatino Linotype" w:hAnsi="Palatino Linotype" w:cs="Arial"/>
                <w:b/>
              </w:rPr>
            </w:pPr>
          </w:p>
          <w:p w14:paraId="4FB62523" w14:textId="77777777" w:rsidR="001F1692" w:rsidRPr="00C145AD" w:rsidRDefault="001F1692" w:rsidP="00F95CA3">
            <w:pPr>
              <w:spacing w:line="360" w:lineRule="auto"/>
              <w:rPr>
                <w:rFonts w:ascii="Palatino Linotype" w:hAnsi="Palatino Linotype" w:cs="Arial"/>
                <w:b/>
              </w:rPr>
            </w:pPr>
          </w:p>
          <w:p w14:paraId="19BB7CAB" w14:textId="77777777" w:rsidR="001F1692" w:rsidRPr="00C145AD" w:rsidRDefault="001F1692" w:rsidP="00F95CA3">
            <w:pPr>
              <w:spacing w:line="360" w:lineRule="auto"/>
              <w:jc w:val="center"/>
              <w:rPr>
                <w:rFonts w:ascii="Palatino Linotype" w:hAnsi="Palatino Linotype" w:cs="Arial"/>
                <w:b/>
              </w:rPr>
            </w:pPr>
          </w:p>
          <w:p w14:paraId="48AA7480"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Javier Martínez Cruz</w:t>
            </w:r>
          </w:p>
          <w:p w14:paraId="4E443E2C"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rPr>
              <w:t>Comisionado</w:t>
            </w:r>
          </w:p>
          <w:p w14:paraId="2B11F880"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b/>
              </w:rPr>
              <w:t>(RÚBRICA)</w:t>
            </w:r>
          </w:p>
        </w:tc>
        <w:tc>
          <w:tcPr>
            <w:tcW w:w="5058" w:type="dxa"/>
            <w:shd w:val="clear" w:color="auto" w:fill="auto"/>
          </w:tcPr>
          <w:p w14:paraId="6B770A28" w14:textId="77777777" w:rsidR="001F1692" w:rsidRPr="00C145AD" w:rsidRDefault="001F1692" w:rsidP="00F95CA3">
            <w:pPr>
              <w:spacing w:line="360" w:lineRule="auto"/>
              <w:rPr>
                <w:rFonts w:ascii="Palatino Linotype" w:hAnsi="Palatino Linotype" w:cs="Arial"/>
                <w:b/>
              </w:rPr>
            </w:pPr>
          </w:p>
          <w:p w14:paraId="50CDA18F" w14:textId="77777777" w:rsidR="001F1692" w:rsidRDefault="001F1692" w:rsidP="00F95CA3">
            <w:pPr>
              <w:spacing w:line="360" w:lineRule="auto"/>
              <w:rPr>
                <w:rFonts w:ascii="Palatino Linotype" w:hAnsi="Palatino Linotype" w:cs="Arial"/>
                <w:b/>
              </w:rPr>
            </w:pPr>
          </w:p>
          <w:p w14:paraId="7BBBBCB1" w14:textId="77777777" w:rsidR="001F1692" w:rsidRPr="00C145AD" w:rsidRDefault="001F1692" w:rsidP="00F95CA3">
            <w:pPr>
              <w:spacing w:line="360" w:lineRule="auto"/>
              <w:rPr>
                <w:rFonts w:ascii="Palatino Linotype" w:hAnsi="Palatino Linotype" w:cs="Arial"/>
                <w:b/>
              </w:rPr>
            </w:pPr>
          </w:p>
          <w:p w14:paraId="6C42D905"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Luis Gustavo Parra Noriega</w:t>
            </w:r>
          </w:p>
          <w:p w14:paraId="5B8C856F"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rPr>
              <w:t>Comisionado</w:t>
            </w:r>
          </w:p>
          <w:p w14:paraId="38E7CD77"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(RÚBRICA)</w:t>
            </w:r>
          </w:p>
        </w:tc>
      </w:tr>
      <w:tr w:rsidR="001F1692" w:rsidRPr="00C145AD" w14:paraId="0882AB8C" w14:textId="77777777" w:rsidTr="00F95CA3">
        <w:trPr>
          <w:jc w:val="center"/>
        </w:trPr>
        <w:tc>
          <w:tcPr>
            <w:tcW w:w="10240" w:type="dxa"/>
            <w:gridSpan w:val="2"/>
            <w:shd w:val="clear" w:color="auto" w:fill="auto"/>
          </w:tcPr>
          <w:p w14:paraId="43BC4C6A" w14:textId="77777777" w:rsidR="001F1692" w:rsidRPr="00C145AD" w:rsidRDefault="001F1692" w:rsidP="00F95CA3">
            <w:pPr>
              <w:tabs>
                <w:tab w:val="left" w:pos="3720"/>
              </w:tabs>
              <w:spacing w:line="360" w:lineRule="auto"/>
              <w:rPr>
                <w:rFonts w:ascii="Palatino Linotype" w:hAnsi="Palatino Linotype" w:cs="Arial"/>
                <w:b/>
              </w:rPr>
            </w:pPr>
            <w:r w:rsidRPr="00C145AD">
              <w:rPr>
                <w:rFonts w:ascii="Palatino Linotype" w:hAnsi="Palatino Linotype" w:cs="Arial"/>
                <w:b/>
              </w:rPr>
              <w:tab/>
            </w:r>
          </w:p>
          <w:p w14:paraId="29CC4E3C" w14:textId="77777777" w:rsidR="001F1692" w:rsidRPr="00C145AD" w:rsidRDefault="001F1692" w:rsidP="00F95CA3">
            <w:pPr>
              <w:spacing w:line="360" w:lineRule="auto"/>
              <w:jc w:val="center"/>
              <w:rPr>
                <w:rFonts w:ascii="Palatino Linotype" w:hAnsi="Palatino Linotype" w:cs="Arial"/>
                <w:b/>
              </w:rPr>
            </w:pPr>
          </w:p>
          <w:p w14:paraId="1DE21177" w14:textId="77777777" w:rsidR="001F1692" w:rsidRPr="00C145AD" w:rsidRDefault="001F1692" w:rsidP="00F95CA3">
            <w:pPr>
              <w:spacing w:line="360" w:lineRule="auto"/>
              <w:jc w:val="center"/>
              <w:rPr>
                <w:rFonts w:ascii="Palatino Linotype" w:hAnsi="Palatino Linotype" w:cs="Arial"/>
                <w:b/>
              </w:rPr>
            </w:pPr>
            <w:r w:rsidRPr="00C145AD">
              <w:rPr>
                <w:rFonts w:ascii="Palatino Linotype" w:hAnsi="Palatino Linotype" w:cs="Arial"/>
                <w:b/>
              </w:rPr>
              <w:t>Alexis Tapia Ramírez</w:t>
            </w:r>
          </w:p>
          <w:p w14:paraId="04C4C884"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rPr>
              <w:t>Secretario Técnico del Pleno</w:t>
            </w:r>
          </w:p>
          <w:p w14:paraId="0C4D31F8" w14:textId="77777777" w:rsidR="001F1692" w:rsidRPr="00C145AD" w:rsidRDefault="001F1692" w:rsidP="00F95CA3">
            <w:pPr>
              <w:spacing w:line="360" w:lineRule="auto"/>
              <w:jc w:val="center"/>
              <w:rPr>
                <w:rFonts w:ascii="Palatino Linotype" w:hAnsi="Palatino Linotype" w:cs="Arial"/>
              </w:rPr>
            </w:pPr>
            <w:r w:rsidRPr="00C145AD">
              <w:rPr>
                <w:rFonts w:ascii="Palatino Linotype" w:hAnsi="Palatino Linotype" w:cs="Arial"/>
                <w:b/>
              </w:rPr>
              <w:t>(RÚBRICA)</w:t>
            </w:r>
            <w:r w:rsidRPr="00C145AD">
              <w:rPr>
                <w:rFonts w:ascii="Palatino Linotype" w:hAnsi="Palatino Linotype" w:cs="Arial"/>
              </w:rPr>
              <w:t xml:space="preserve"> </w:t>
            </w:r>
          </w:p>
        </w:tc>
      </w:tr>
    </w:tbl>
    <w:p w14:paraId="1F075C48" w14:textId="77777777" w:rsidR="00972105" w:rsidRPr="008B2751" w:rsidRDefault="00972105" w:rsidP="008B2751">
      <w:pPr>
        <w:spacing w:line="360" w:lineRule="auto"/>
        <w:jc w:val="both"/>
        <w:rPr>
          <w:rFonts w:ascii="Palatino Linotype" w:eastAsia="Times New Roman" w:hAnsi="Palatino Linotype" w:cs="Arial"/>
        </w:rPr>
      </w:pPr>
    </w:p>
    <w:p w14:paraId="5E967357" w14:textId="61141282" w:rsidR="00972105" w:rsidRPr="001F1692" w:rsidRDefault="00972105" w:rsidP="001F1692">
      <w:pPr>
        <w:spacing w:line="360" w:lineRule="auto"/>
        <w:jc w:val="both"/>
        <w:rPr>
          <w:rFonts w:ascii="Palatino Linotype" w:eastAsia="Times New Roman" w:hAnsi="Palatino Linotype" w:cs="Arial"/>
          <w:bCs/>
        </w:rPr>
      </w:pPr>
      <w:r w:rsidRPr="008B2751">
        <w:rPr>
          <w:rFonts w:ascii="Palatino Linotype" w:eastAsia="Times New Roman" w:hAnsi="Palatino Linotype" w:cs="Arial"/>
        </w:rPr>
        <w:t>Esta hoja corresponde a</w:t>
      </w:r>
      <w:r w:rsidR="00452515" w:rsidRPr="008B2751">
        <w:rPr>
          <w:rFonts w:ascii="Palatino Linotype" w:eastAsia="Times New Roman" w:hAnsi="Palatino Linotype" w:cs="Arial"/>
        </w:rPr>
        <w:t xml:space="preserve"> la r</w:t>
      </w:r>
      <w:r w:rsidR="00BE425A" w:rsidRPr="008B2751">
        <w:rPr>
          <w:rFonts w:ascii="Palatino Linotype" w:eastAsia="Times New Roman" w:hAnsi="Palatino Linotype" w:cs="Arial"/>
        </w:rPr>
        <w:t>esolución de fecha veintidós (22</w:t>
      </w:r>
      <w:r w:rsidRPr="008B2751">
        <w:rPr>
          <w:rFonts w:ascii="Palatino Linotype" w:eastAsia="Times New Roman" w:hAnsi="Palatino Linotype" w:cs="Arial"/>
        </w:rPr>
        <w:t>) de</w:t>
      </w:r>
      <w:r w:rsidR="00BE425A" w:rsidRPr="008B2751">
        <w:rPr>
          <w:rFonts w:ascii="Palatino Linotype" w:eastAsia="Times New Roman" w:hAnsi="Palatino Linotype" w:cs="Arial"/>
        </w:rPr>
        <w:t xml:space="preserve"> enero</w:t>
      </w:r>
      <w:r w:rsidR="00452515" w:rsidRPr="008B2751">
        <w:rPr>
          <w:rFonts w:ascii="Palatino Linotype" w:eastAsia="Times New Roman" w:hAnsi="Palatino Linotype" w:cs="Arial"/>
        </w:rPr>
        <w:t xml:space="preserve"> de </w:t>
      </w:r>
      <w:r w:rsidR="00BE425A" w:rsidRPr="008B2751">
        <w:rPr>
          <w:rFonts w:ascii="Palatino Linotype" w:eastAsia="Times New Roman" w:hAnsi="Palatino Linotype" w:cs="Arial"/>
        </w:rPr>
        <w:t>dos mil veinte</w:t>
      </w:r>
      <w:r w:rsidRPr="008B2751">
        <w:rPr>
          <w:rFonts w:ascii="Palatino Linotype" w:eastAsia="Times New Roman" w:hAnsi="Palatino Linotype" w:cs="Arial"/>
        </w:rPr>
        <w:t xml:space="preserve">, emitida en el recurso de revisión </w:t>
      </w:r>
      <w:r w:rsidR="00BE425A" w:rsidRPr="008B2751">
        <w:rPr>
          <w:rFonts w:ascii="Palatino Linotype" w:eastAsia="Times New Roman" w:hAnsi="Palatino Linotype" w:cs="Arial"/>
          <w:b/>
          <w:bCs/>
        </w:rPr>
        <w:t>08373</w:t>
      </w:r>
      <w:r w:rsidRPr="008B2751">
        <w:rPr>
          <w:rFonts w:ascii="Palatino Linotype" w:eastAsia="Times New Roman" w:hAnsi="Palatino Linotype" w:cs="Arial"/>
          <w:b/>
          <w:bCs/>
        </w:rPr>
        <w:t>/INFOEM/IP/RR/2019</w:t>
      </w:r>
      <w:r w:rsidRPr="008B2751">
        <w:rPr>
          <w:rFonts w:ascii="Palatino Linotype" w:eastAsia="Times New Roman" w:hAnsi="Palatino Linotype" w:cs="Arial"/>
          <w:bCs/>
        </w:rPr>
        <w:t>.</w:t>
      </w:r>
    </w:p>
    <w:sectPr w:rsidR="00972105" w:rsidRPr="001F1692"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64757" w14:textId="77777777" w:rsidR="00E1124D" w:rsidRDefault="00E1124D" w:rsidP="00587366">
      <w:r>
        <w:separator/>
      </w:r>
    </w:p>
  </w:endnote>
  <w:endnote w:type="continuationSeparator" w:id="0">
    <w:p w14:paraId="6C1B34FE" w14:textId="77777777" w:rsidR="00E1124D" w:rsidRDefault="00E112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72105" w:rsidRPr="00883450" w:rsidRDefault="009721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7180">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7180">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972105" w:rsidRDefault="009721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72105" w:rsidRPr="00883450" w:rsidRDefault="009721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7180" w:rsidRPr="00B271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7180" w:rsidRPr="00B27180">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972105" w:rsidRPr="00883450" w:rsidRDefault="0097210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33063" w14:textId="77777777" w:rsidR="00E1124D" w:rsidRDefault="00E1124D" w:rsidP="00587366">
      <w:r>
        <w:separator/>
      </w:r>
    </w:p>
  </w:footnote>
  <w:footnote w:type="continuationSeparator" w:id="0">
    <w:p w14:paraId="0760CA04" w14:textId="77777777" w:rsidR="00E1124D" w:rsidRDefault="00E1124D"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72105" w:rsidRDefault="00972105" w:rsidP="001C6012">
    <w:pPr>
      <w:pStyle w:val="Encabezado"/>
      <w:tabs>
        <w:tab w:val="clear" w:pos="4252"/>
        <w:tab w:val="clear" w:pos="8504"/>
        <w:tab w:val="left" w:pos="8460"/>
      </w:tabs>
    </w:pPr>
    <w:r>
      <w:tab/>
    </w:r>
  </w:p>
  <w:p w14:paraId="64F5F23E" w14:textId="390690E5" w:rsidR="00972105" w:rsidRDefault="00972105">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72105" w:rsidRPr="00674A46" w14:paraId="07F2896E" w14:textId="77777777" w:rsidTr="006E6B65">
      <w:trPr>
        <w:trHeight w:val="138"/>
        <w:jc w:val="right"/>
      </w:trPr>
      <w:tc>
        <w:tcPr>
          <w:tcW w:w="3544" w:type="dxa"/>
          <w:vAlign w:val="center"/>
        </w:tcPr>
        <w:p w14:paraId="4A5B1974" w14:textId="3F61165E" w:rsidR="00972105" w:rsidRPr="00674A46" w:rsidRDefault="00972105"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30F6895F" w:rsidR="00972105" w:rsidRPr="00674A46" w:rsidRDefault="00DB14A8" w:rsidP="00B02EEF">
          <w:pPr>
            <w:pStyle w:val="Encabezado"/>
            <w:jc w:val="both"/>
            <w:rPr>
              <w:rFonts w:ascii="Palatino Linotype" w:hAnsi="Palatino Linotype"/>
              <w:b/>
              <w:sz w:val="22"/>
              <w:szCs w:val="22"/>
            </w:rPr>
          </w:pPr>
          <w:r>
            <w:rPr>
              <w:rFonts w:ascii="Palatino Linotype" w:hAnsi="Palatino Linotype" w:cs="Arial"/>
              <w:b/>
              <w:bCs/>
              <w:sz w:val="22"/>
              <w:szCs w:val="22"/>
              <w:lang w:eastAsia="es-MX"/>
            </w:rPr>
            <w:t>08373/</w:t>
          </w:r>
          <w:r w:rsidR="00972105">
            <w:rPr>
              <w:rFonts w:ascii="Palatino Linotype" w:hAnsi="Palatino Linotype" w:cs="Arial"/>
              <w:b/>
              <w:bCs/>
              <w:sz w:val="22"/>
              <w:szCs w:val="22"/>
              <w:lang w:eastAsia="es-MX"/>
            </w:rPr>
            <w:t>INFOEM/IP/RR/2019</w:t>
          </w:r>
        </w:p>
      </w:tc>
    </w:tr>
    <w:tr w:rsidR="00972105" w:rsidRPr="00674A46" w14:paraId="1B5D8690" w14:textId="77777777" w:rsidTr="006E6B65">
      <w:trPr>
        <w:trHeight w:val="233"/>
        <w:jc w:val="right"/>
      </w:trPr>
      <w:tc>
        <w:tcPr>
          <w:tcW w:w="3544" w:type="dxa"/>
          <w:vAlign w:val="center"/>
        </w:tcPr>
        <w:p w14:paraId="3903F2C6" w14:textId="4CBD224A" w:rsidR="00972105" w:rsidRPr="00674A46" w:rsidRDefault="00972105"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78C7E718" w:rsidR="00972105" w:rsidRPr="00B75F20" w:rsidRDefault="00DB14A8" w:rsidP="00A95C77">
          <w:pPr>
            <w:pStyle w:val="Encabezado"/>
            <w:jc w:val="both"/>
            <w:rPr>
              <w:rFonts w:ascii="Palatino Linotype" w:hAnsi="Palatino Linotype"/>
              <w:b/>
              <w:sz w:val="22"/>
              <w:szCs w:val="22"/>
            </w:rPr>
          </w:pPr>
          <w:r>
            <w:rPr>
              <w:rFonts w:ascii="Palatino Linotype" w:hAnsi="Palatino Linotype"/>
              <w:b/>
              <w:sz w:val="22"/>
              <w:szCs w:val="22"/>
            </w:rPr>
            <w:t>Ayuntamiento de Teoloyucan</w:t>
          </w:r>
        </w:p>
      </w:tc>
    </w:tr>
    <w:tr w:rsidR="00972105" w:rsidRPr="00674A46" w14:paraId="095EB01B" w14:textId="77777777" w:rsidTr="006E6B65">
      <w:trPr>
        <w:trHeight w:val="321"/>
        <w:jc w:val="right"/>
      </w:trPr>
      <w:tc>
        <w:tcPr>
          <w:tcW w:w="3544" w:type="dxa"/>
          <w:vAlign w:val="center"/>
        </w:tcPr>
        <w:p w14:paraId="6E000A51" w14:textId="433C540C" w:rsidR="00972105" w:rsidRPr="00674A46" w:rsidRDefault="00972105" w:rsidP="00183769">
          <w:pPr>
            <w:ind w:right="34"/>
            <w:jc w:val="right"/>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4252" w:type="dxa"/>
          <w:vAlign w:val="center"/>
        </w:tcPr>
        <w:p w14:paraId="07560085" w14:textId="05E7D8A2" w:rsidR="00972105" w:rsidRPr="00674A46" w:rsidRDefault="009721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72105" w:rsidRDefault="0097210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72105" w:rsidRDefault="00972105" w:rsidP="00472C41">
    <w:pPr>
      <w:pStyle w:val="Encabezado"/>
      <w:tabs>
        <w:tab w:val="clear" w:pos="4252"/>
        <w:tab w:val="clear" w:pos="8504"/>
        <w:tab w:val="left" w:pos="3103"/>
      </w:tabs>
    </w:pPr>
    <w:r>
      <w:tab/>
    </w:r>
  </w:p>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972105" w:rsidRPr="00674A46" w14:paraId="0A3256F2" w14:textId="77777777" w:rsidTr="00B02EEF">
      <w:trPr>
        <w:trHeight w:val="138"/>
        <w:jc w:val="right"/>
      </w:trPr>
      <w:tc>
        <w:tcPr>
          <w:tcW w:w="2552" w:type="dxa"/>
          <w:vAlign w:val="center"/>
        </w:tcPr>
        <w:p w14:paraId="3D80769D" w14:textId="7CC6BE63" w:rsidR="00972105" w:rsidRPr="00674A46" w:rsidRDefault="00972105" w:rsidP="00B02EEF">
          <w:pPr>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3685" w:type="dxa"/>
          <w:vAlign w:val="center"/>
        </w:tcPr>
        <w:p w14:paraId="0453495E" w14:textId="7F1A3B10" w:rsidR="00972105" w:rsidRPr="00674A46" w:rsidRDefault="004B6A3E" w:rsidP="00615A24">
          <w:pPr>
            <w:pStyle w:val="Encabezado"/>
            <w:rPr>
              <w:rFonts w:ascii="Palatino Linotype" w:hAnsi="Palatino Linotype"/>
              <w:b/>
              <w:sz w:val="22"/>
              <w:szCs w:val="22"/>
            </w:rPr>
          </w:pPr>
          <w:r>
            <w:rPr>
              <w:rFonts w:ascii="Palatino Linotype" w:hAnsi="Palatino Linotype" w:cs="Arial"/>
              <w:b/>
              <w:bCs/>
              <w:sz w:val="22"/>
              <w:szCs w:val="22"/>
              <w:lang w:eastAsia="es-MX"/>
            </w:rPr>
            <w:t>08373</w:t>
          </w:r>
          <w:r w:rsidR="00972105">
            <w:rPr>
              <w:rFonts w:ascii="Palatino Linotype" w:hAnsi="Palatino Linotype" w:cs="Arial"/>
              <w:b/>
              <w:bCs/>
              <w:sz w:val="22"/>
              <w:szCs w:val="22"/>
              <w:lang w:eastAsia="es-MX"/>
            </w:rPr>
            <w:t>/INFOEM/IP/RR/2019</w:t>
          </w:r>
        </w:p>
      </w:tc>
    </w:tr>
    <w:tr w:rsidR="00972105" w:rsidRPr="00B75F20" w14:paraId="128C8B3C" w14:textId="77777777" w:rsidTr="00B02EEF">
      <w:trPr>
        <w:trHeight w:val="233"/>
        <w:jc w:val="right"/>
      </w:trPr>
      <w:tc>
        <w:tcPr>
          <w:tcW w:w="2552" w:type="dxa"/>
          <w:vAlign w:val="center"/>
        </w:tcPr>
        <w:p w14:paraId="483E3371" w14:textId="40B4DAB4" w:rsidR="00972105" w:rsidRPr="00674A46" w:rsidRDefault="00972105" w:rsidP="00B02EEF">
          <w:pPr>
            <w:rPr>
              <w:rFonts w:ascii="Palatino Linotype" w:hAnsi="Palatino Linotype"/>
              <w:b/>
              <w:sz w:val="22"/>
              <w:szCs w:val="22"/>
            </w:rPr>
          </w:pPr>
          <w:r w:rsidRPr="00674A46">
            <w:rPr>
              <w:rFonts w:ascii="Palatino Linotype" w:hAnsi="Palatino Linotype"/>
              <w:b/>
              <w:sz w:val="22"/>
              <w:szCs w:val="22"/>
            </w:rPr>
            <w:t>Recurrente:</w:t>
          </w:r>
        </w:p>
      </w:tc>
      <w:tc>
        <w:tcPr>
          <w:tcW w:w="3685" w:type="dxa"/>
        </w:tcPr>
        <w:p w14:paraId="1548525E" w14:textId="18147D80" w:rsidR="00972105" w:rsidRPr="00B75F20" w:rsidRDefault="00116A03" w:rsidP="00A95C77">
          <w:pPr>
            <w:pStyle w:val="Encabezado"/>
            <w:rPr>
              <w:rFonts w:ascii="Palatino Linotype" w:hAnsi="Palatino Linotype"/>
              <w:b/>
              <w:sz w:val="22"/>
              <w:szCs w:val="22"/>
            </w:rPr>
          </w:pPr>
          <w:r w:rsidRPr="00116A03">
            <w:rPr>
              <w:rFonts w:ascii="Palatino Linotype" w:hAnsi="Palatino Linotype"/>
              <w:b/>
              <w:sz w:val="22"/>
              <w:szCs w:val="22"/>
              <w:highlight w:val="black"/>
            </w:rPr>
            <w:t>------------------</w:t>
          </w:r>
          <w:r w:rsidR="004B6A3E">
            <w:rPr>
              <w:rFonts w:ascii="Palatino Linotype" w:hAnsi="Palatino Linotype"/>
              <w:b/>
              <w:sz w:val="22"/>
              <w:szCs w:val="22"/>
            </w:rPr>
            <w:t xml:space="preserve"> </w:t>
          </w:r>
        </w:p>
      </w:tc>
    </w:tr>
    <w:tr w:rsidR="00972105" w:rsidRPr="00674A46" w14:paraId="41BE0704" w14:textId="77777777" w:rsidTr="00B02EEF">
      <w:trPr>
        <w:trHeight w:val="321"/>
        <w:jc w:val="right"/>
      </w:trPr>
      <w:tc>
        <w:tcPr>
          <w:tcW w:w="2552" w:type="dxa"/>
          <w:vAlign w:val="center"/>
        </w:tcPr>
        <w:p w14:paraId="34C64148" w14:textId="09033DDB" w:rsidR="00972105" w:rsidRPr="00674A46" w:rsidRDefault="00972105" w:rsidP="00B02EEF">
          <w:pPr>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3685" w:type="dxa"/>
          <w:vAlign w:val="center"/>
        </w:tcPr>
        <w:p w14:paraId="34C341BF" w14:textId="00C78F90" w:rsidR="00A95C77" w:rsidRPr="00674A46" w:rsidRDefault="004B6A3E" w:rsidP="004B6A3E">
          <w:pPr>
            <w:pStyle w:val="Encabezado"/>
            <w:jc w:val="both"/>
            <w:rPr>
              <w:rFonts w:ascii="Palatino Linotype" w:hAnsi="Palatino Linotype"/>
              <w:b/>
              <w:sz w:val="22"/>
              <w:szCs w:val="22"/>
            </w:rPr>
          </w:pPr>
          <w:r>
            <w:rPr>
              <w:rFonts w:ascii="Palatino Linotype" w:hAnsi="Palatino Linotype"/>
              <w:b/>
              <w:sz w:val="22"/>
              <w:szCs w:val="22"/>
            </w:rPr>
            <w:t>Ayuntamiento de Teoloyucan</w:t>
          </w:r>
          <w:r w:rsidR="00A07784">
            <w:rPr>
              <w:rFonts w:ascii="Palatino Linotype" w:hAnsi="Palatino Linotype"/>
              <w:b/>
              <w:sz w:val="22"/>
              <w:szCs w:val="22"/>
            </w:rPr>
            <w:t xml:space="preserve">. </w:t>
          </w:r>
        </w:p>
      </w:tc>
    </w:tr>
    <w:tr w:rsidR="00972105" w:rsidRPr="00674A46" w14:paraId="0C8B6193" w14:textId="77777777" w:rsidTr="00B02EEF">
      <w:trPr>
        <w:trHeight w:val="321"/>
        <w:jc w:val="right"/>
      </w:trPr>
      <w:tc>
        <w:tcPr>
          <w:tcW w:w="2552" w:type="dxa"/>
          <w:vAlign w:val="center"/>
        </w:tcPr>
        <w:p w14:paraId="321FFAFF" w14:textId="3814537E" w:rsidR="00972105" w:rsidRPr="00674A46" w:rsidRDefault="00972105" w:rsidP="00B02EEF">
          <w:pPr>
            <w:rPr>
              <w:rFonts w:ascii="Palatino Linotype" w:hAnsi="Palatino Linotype"/>
              <w:b/>
              <w:sz w:val="22"/>
              <w:szCs w:val="22"/>
            </w:rPr>
          </w:pPr>
          <w:r w:rsidRPr="00674A46">
            <w:rPr>
              <w:rFonts w:ascii="Palatino Linotype" w:hAnsi="Palatino Linotype"/>
              <w:b/>
              <w:sz w:val="22"/>
              <w:szCs w:val="22"/>
            </w:rPr>
            <w:t xml:space="preserve">Comisionado </w:t>
          </w:r>
          <w:r>
            <w:rPr>
              <w:rFonts w:ascii="Palatino Linotype" w:hAnsi="Palatino Linotype"/>
              <w:b/>
              <w:sz w:val="22"/>
              <w:szCs w:val="22"/>
            </w:rPr>
            <w:t>P</w:t>
          </w:r>
          <w:r w:rsidRPr="00674A46">
            <w:rPr>
              <w:rFonts w:ascii="Palatino Linotype" w:hAnsi="Palatino Linotype"/>
              <w:b/>
              <w:sz w:val="22"/>
              <w:szCs w:val="22"/>
            </w:rPr>
            <w:t>onente:</w:t>
          </w:r>
        </w:p>
      </w:tc>
      <w:tc>
        <w:tcPr>
          <w:tcW w:w="3685" w:type="dxa"/>
          <w:vAlign w:val="center"/>
        </w:tcPr>
        <w:p w14:paraId="0FECDA9D" w14:textId="77777777" w:rsidR="00972105" w:rsidRPr="00674A46" w:rsidRDefault="0097210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72105" w:rsidRDefault="009721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1">
    <w:nsid w:val="4D0E6332"/>
    <w:multiLevelType w:val="hybridMultilevel"/>
    <w:tmpl w:val="604EE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25"/>
  </w:num>
  <w:num w:numId="3">
    <w:abstractNumId w:val="14"/>
  </w:num>
  <w:num w:numId="4">
    <w:abstractNumId w:val="13"/>
  </w:num>
  <w:num w:numId="5">
    <w:abstractNumId w:val="26"/>
  </w:num>
  <w:num w:numId="6">
    <w:abstractNumId w:val="28"/>
  </w:num>
  <w:num w:numId="7">
    <w:abstractNumId w:val="36"/>
  </w:num>
  <w:num w:numId="8">
    <w:abstractNumId w:val="24"/>
  </w:num>
  <w:num w:numId="9">
    <w:abstractNumId w:val="6"/>
  </w:num>
  <w:num w:numId="10">
    <w:abstractNumId w:val="32"/>
  </w:num>
  <w:num w:numId="11">
    <w:abstractNumId w:val="19"/>
  </w:num>
  <w:num w:numId="12">
    <w:abstractNumId w:val="35"/>
  </w:num>
  <w:num w:numId="13">
    <w:abstractNumId w:val="33"/>
  </w:num>
  <w:num w:numId="14">
    <w:abstractNumId w:val="4"/>
  </w:num>
  <w:num w:numId="15">
    <w:abstractNumId w:val="23"/>
  </w:num>
  <w:num w:numId="16">
    <w:abstractNumId w:val="16"/>
  </w:num>
  <w:num w:numId="17">
    <w:abstractNumId w:val="11"/>
  </w:num>
  <w:num w:numId="18">
    <w:abstractNumId w:val="38"/>
  </w:num>
  <w:num w:numId="19">
    <w:abstractNumId w:val="3"/>
  </w:num>
  <w:num w:numId="20">
    <w:abstractNumId w:val="22"/>
  </w:num>
  <w:num w:numId="21">
    <w:abstractNumId w:val="37"/>
  </w:num>
  <w:num w:numId="22">
    <w:abstractNumId w:val="1"/>
  </w:num>
  <w:num w:numId="23">
    <w:abstractNumId w:val="7"/>
  </w:num>
  <w:num w:numId="24">
    <w:abstractNumId w:val="29"/>
  </w:num>
  <w:num w:numId="25">
    <w:abstractNumId w:val="5"/>
  </w:num>
  <w:num w:numId="26">
    <w:abstractNumId w:val="8"/>
  </w:num>
  <w:num w:numId="27">
    <w:abstractNumId w:val="20"/>
  </w:num>
  <w:num w:numId="28">
    <w:abstractNumId w:val="30"/>
  </w:num>
  <w:num w:numId="29">
    <w:abstractNumId w:val="10"/>
  </w:num>
  <w:num w:numId="30">
    <w:abstractNumId w:val="15"/>
  </w:num>
  <w:num w:numId="31">
    <w:abstractNumId w:val="18"/>
  </w:num>
  <w:num w:numId="32">
    <w:abstractNumId w:val="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1"/>
  </w:num>
  <w:num w:numId="36">
    <w:abstractNumId w:val="39"/>
  </w:num>
  <w:num w:numId="37">
    <w:abstractNumId w:val="12"/>
  </w:num>
  <w:num w:numId="38">
    <w:abstractNumId w:val="34"/>
  </w:num>
  <w:num w:numId="39">
    <w:abstractNumId w:val="17"/>
  </w:num>
  <w:num w:numId="4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0BF3"/>
    <w:rsid w:val="00031F10"/>
    <w:rsid w:val="00032493"/>
    <w:rsid w:val="0003686B"/>
    <w:rsid w:val="0004072A"/>
    <w:rsid w:val="0004193F"/>
    <w:rsid w:val="00042380"/>
    <w:rsid w:val="0004686A"/>
    <w:rsid w:val="000468E2"/>
    <w:rsid w:val="0005237C"/>
    <w:rsid w:val="00052A3C"/>
    <w:rsid w:val="00054A03"/>
    <w:rsid w:val="00056A79"/>
    <w:rsid w:val="00060379"/>
    <w:rsid w:val="00061344"/>
    <w:rsid w:val="00062648"/>
    <w:rsid w:val="000631D9"/>
    <w:rsid w:val="0006407E"/>
    <w:rsid w:val="00064A37"/>
    <w:rsid w:val="00064B95"/>
    <w:rsid w:val="0007221E"/>
    <w:rsid w:val="00074573"/>
    <w:rsid w:val="0007770D"/>
    <w:rsid w:val="000800AC"/>
    <w:rsid w:val="00080BC4"/>
    <w:rsid w:val="0008230A"/>
    <w:rsid w:val="00082D11"/>
    <w:rsid w:val="000834FE"/>
    <w:rsid w:val="00084E31"/>
    <w:rsid w:val="0008542A"/>
    <w:rsid w:val="00090428"/>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C5CA3"/>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1E1"/>
    <w:rsid w:val="000F6D7E"/>
    <w:rsid w:val="00100187"/>
    <w:rsid w:val="00100DDD"/>
    <w:rsid w:val="00102D65"/>
    <w:rsid w:val="00103888"/>
    <w:rsid w:val="00107499"/>
    <w:rsid w:val="00107557"/>
    <w:rsid w:val="00107B01"/>
    <w:rsid w:val="0011167C"/>
    <w:rsid w:val="00112B02"/>
    <w:rsid w:val="00114A21"/>
    <w:rsid w:val="00116A03"/>
    <w:rsid w:val="00117441"/>
    <w:rsid w:val="0012006D"/>
    <w:rsid w:val="0012380D"/>
    <w:rsid w:val="001250B4"/>
    <w:rsid w:val="001253D1"/>
    <w:rsid w:val="00127E07"/>
    <w:rsid w:val="001318D2"/>
    <w:rsid w:val="00132C06"/>
    <w:rsid w:val="00133B79"/>
    <w:rsid w:val="00133CE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0C6B"/>
    <w:rsid w:val="00174E02"/>
    <w:rsid w:val="0017653A"/>
    <w:rsid w:val="001775DF"/>
    <w:rsid w:val="00181409"/>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1692"/>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0CC6"/>
    <w:rsid w:val="00252A20"/>
    <w:rsid w:val="00252B41"/>
    <w:rsid w:val="0025524F"/>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2A83"/>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885"/>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2A95"/>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036A"/>
    <w:rsid w:val="00412696"/>
    <w:rsid w:val="00412E24"/>
    <w:rsid w:val="00416727"/>
    <w:rsid w:val="0042068A"/>
    <w:rsid w:val="00421C86"/>
    <w:rsid w:val="0042437A"/>
    <w:rsid w:val="00424E72"/>
    <w:rsid w:val="00426D7C"/>
    <w:rsid w:val="004300ED"/>
    <w:rsid w:val="00431687"/>
    <w:rsid w:val="00432B72"/>
    <w:rsid w:val="00433016"/>
    <w:rsid w:val="004342F1"/>
    <w:rsid w:val="004349C0"/>
    <w:rsid w:val="0043602D"/>
    <w:rsid w:val="00437702"/>
    <w:rsid w:val="004401B5"/>
    <w:rsid w:val="00440800"/>
    <w:rsid w:val="004413DD"/>
    <w:rsid w:val="00442393"/>
    <w:rsid w:val="004436D7"/>
    <w:rsid w:val="00443DCB"/>
    <w:rsid w:val="00443DEB"/>
    <w:rsid w:val="0044535B"/>
    <w:rsid w:val="00445FDA"/>
    <w:rsid w:val="00447F0D"/>
    <w:rsid w:val="00450A5F"/>
    <w:rsid w:val="00451514"/>
    <w:rsid w:val="00452515"/>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6A3E"/>
    <w:rsid w:val="004B73EF"/>
    <w:rsid w:val="004C09B4"/>
    <w:rsid w:val="004C20F2"/>
    <w:rsid w:val="004C251E"/>
    <w:rsid w:val="004C3F25"/>
    <w:rsid w:val="004C4E77"/>
    <w:rsid w:val="004C525E"/>
    <w:rsid w:val="004C6796"/>
    <w:rsid w:val="004C67E2"/>
    <w:rsid w:val="004C7A27"/>
    <w:rsid w:val="004D0490"/>
    <w:rsid w:val="004D0C66"/>
    <w:rsid w:val="004D12F1"/>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44C7"/>
    <w:rsid w:val="004F489F"/>
    <w:rsid w:val="004F4958"/>
    <w:rsid w:val="004F766F"/>
    <w:rsid w:val="004F78B7"/>
    <w:rsid w:val="004F7944"/>
    <w:rsid w:val="00500224"/>
    <w:rsid w:val="00501B93"/>
    <w:rsid w:val="005041C2"/>
    <w:rsid w:val="005042D1"/>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0D8A"/>
    <w:rsid w:val="00581C0F"/>
    <w:rsid w:val="00582919"/>
    <w:rsid w:val="005849B2"/>
    <w:rsid w:val="00585172"/>
    <w:rsid w:val="00587366"/>
    <w:rsid w:val="0058757A"/>
    <w:rsid w:val="00590037"/>
    <w:rsid w:val="005918E6"/>
    <w:rsid w:val="005930CA"/>
    <w:rsid w:val="00593476"/>
    <w:rsid w:val="00594C52"/>
    <w:rsid w:val="00595511"/>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05AD"/>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77735"/>
    <w:rsid w:val="00680F25"/>
    <w:rsid w:val="00681283"/>
    <w:rsid w:val="00681F02"/>
    <w:rsid w:val="00682297"/>
    <w:rsid w:val="00685689"/>
    <w:rsid w:val="0068594B"/>
    <w:rsid w:val="00686B04"/>
    <w:rsid w:val="006901FA"/>
    <w:rsid w:val="00690ED0"/>
    <w:rsid w:val="00693427"/>
    <w:rsid w:val="00693A52"/>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099D"/>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3857"/>
    <w:rsid w:val="0089412A"/>
    <w:rsid w:val="00895536"/>
    <w:rsid w:val="00896AD4"/>
    <w:rsid w:val="00896EE4"/>
    <w:rsid w:val="008A52F3"/>
    <w:rsid w:val="008A5456"/>
    <w:rsid w:val="008A7F7D"/>
    <w:rsid w:val="008B1A5A"/>
    <w:rsid w:val="008B2751"/>
    <w:rsid w:val="008B382F"/>
    <w:rsid w:val="008B38BC"/>
    <w:rsid w:val="008B4590"/>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267F"/>
    <w:rsid w:val="00925C68"/>
    <w:rsid w:val="009315B0"/>
    <w:rsid w:val="009316E9"/>
    <w:rsid w:val="00931C93"/>
    <w:rsid w:val="0093416D"/>
    <w:rsid w:val="00937309"/>
    <w:rsid w:val="00945512"/>
    <w:rsid w:val="00945A61"/>
    <w:rsid w:val="00950154"/>
    <w:rsid w:val="00953054"/>
    <w:rsid w:val="009531D6"/>
    <w:rsid w:val="009548C1"/>
    <w:rsid w:val="00956219"/>
    <w:rsid w:val="009563A5"/>
    <w:rsid w:val="00956868"/>
    <w:rsid w:val="0095765F"/>
    <w:rsid w:val="009606E6"/>
    <w:rsid w:val="00962F40"/>
    <w:rsid w:val="00963968"/>
    <w:rsid w:val="00970F70"/>
    <w:rsid w:val="00971056"/>
    <w:rsid w:val="00972105"/>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714"/>
    <w:rsid w:val="00A03AD2"/>
    <w:rsid w:val="00A07784"/>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5EA"/>
    <w:rsid w:val="00A572BC"/>
    <w:rsid w:val="00A576D4"/>
    <w:rsid w:val="00A62B7B"/>
    <w:rsid w:val="00A67428"/>
    <w:rsid w:val="00A70CF3"/>
    <w:rsid w:val="00A7155E"/>
    <w:rsid w:val="00A74EDE"/>
    <w:rsid w:val="00A763AE"/>
    <w:rsid w:val="00A76619"/>
    <w:rsid w:val="00A76B0D"/>
    <w:rsid w:val="00A80223"/>
    <w:rsid w:val="00A81AB5"/>
    <w:rsid w:val="00A82724"/>
    <w:rsid w:val="00A82C5A"/>
    <w:rsid w:val="00A82E6A"/>
    <w:rsid w:val="00A83FF6"/>
    <w:rsid w:val="00A84F94"/>
    <w:rsid w:val="00A8620F"/>
    <w:rsid w:val="00A86AAB"/>
    <w:rsid w:val="00A8769A"/>
    <w:rsid w:val="00A90FF4"/>
    <w:rsid w:val="00A92E9F"/>
    <w:rsid w:val="00A92EC0"/>
    <w:rsid w:val="00A92EED"/>
    <w:rsid w:val="00A94E08"/>
    <w:rsid w:val="00A95C77"/>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AF7BE1"/>
    <w:rsid w:val="00B016F7"/>
    <w:rsid w:val="00B02BDD"/>
    <w:rsid w:val="00B02EEF"/>
    <w:rsid w:val="00B055B9"/>
    <w:rsid w:val="00B13B95"/>
    <w:rsid w:val="00B13D85"/>
    <w:rsid w:val="00B1541C"/>
    <w:rsid w:val="00B16296"/>
    <w:rsid w:val="00B16CC7"/>
    <w:rsid w:val="00B1786A"/>
    <w:rsid w:val="00B206D8"/>
    <w:rsid w:val="00B23E88"/>
    <w:rsid w:val="00B27180"/>
    <w:rsid w:val="00B312C7"/>
    <w:rsid w:val="00B316B9"/>
    <w:rsid w:val="00B32E58"/>
    <w:rsid w:val="00B335A2"/>
    <w:rsid w:val="00B34371"/>
    <w:rsid w:val="00B357DD"/>
    <w:rsid w:val="00B37104"/>
    <w:rsid w:val="00B406E3"/>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425A"/>
    <w:rsid w:val="00BE544F"/>
    <w:rsid w:val="00BE545A"/>
    <w:rsid w:val="00BE5CC4"/>
    <w:rsid w:val="00BE5E11"/>
    <w:rsid w:val="00BE6C95"/>
    <w:rsid w:val="00BE74FA"/>
    <w:rsid w:val="00BF0A54"/>
    <w:rsid w:val="00BF0F1C"/>
    <w:rsid w:val="00BF1B7F"/>
    <w:rsid w:val="00BF2346"/>
    <w:rsid w:val="00BF3B85"/>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56CAE"/>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00E"/>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068"/>
    <w:rsid w:val="00DA3A4F"/>
    <w:rsid w:val="00DA42C0"/>
    <w:rsid w:val="00DA52A2"/>
    <w:rsid w:val="00DA57B0"/>
    <w:rsid w:val="00DA7E2F"/>
    <w:rsid w:val="00DB0C0B"/>
    <w:rsid w:val="00DB14A8"/>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124D"/>
    <w:rsid w:val="00E12D1C"/>
    <w:rsid w:val="00E14307"/>
    <w:rsid w:val="00E15B2C"/>
    <w:rsid w:val="00E16412"/>
    <w:rsid w:val="00E165DD"/>
    <w:rsid w:val="00E16A98"/>
    <w:rsid w:val="00E227C3"/>
    <w:rsid w:val="00E22843"/>
    <w:rsid w:val="00E24C79"/>
    <w:rsid w:val="00E26881"/>
    <w:rsid w:val="00E26DFE"/>
    <w:rsid w:val="00E2713B"/>
    <w:rsid w:val="00E32DDF"/>
    <w:rsid w:val="00E33108"/>
    <w:rsid w:val="00E34657"/>
    <w:rsid w:val="00E34706"/>
    <w:rsid w:val="00E405AF"/>
    <w:rsid w:val="00E43ABE"/>
    <w:rsid w:val="00E44057"/>
    <w:rsid w:val="00E445BD"/>
    <w:rsid w:val="00E47A5F"/>
    <w:rsid w:val="00E507A5"/>
    <w:rsid w:val="00E528D2"/>
    <w:rsid w:val="00E54E89"/>
    <w:rsid w:val="00E57EA8"/>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712"/>
    <w:rsid w:val="00EA7B64"/>
    <w:rsid w:val="00EB02F9"/>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10D6B"/>
    <w:rsid w:val="00F12CDC"/>
    <w:rsid w:val="00F13E45"/>
    <w:rsid w:val="00F13F34"/>
    <w:rsid w:val="00F147C6"/>
    <w:rsid w:val="00F21705"/>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29D"/>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7171"/>
    <w:rsid w:val="00FE7904"/>
    <w:rsid w:val="00FE79C6"/>
    <w:rsid w:val="00FF0748"/>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7186111">
      <w:bodyDiv w:val="1"/>
      <w:marLeft w:val="0"/>
      <w:marRight w:val="0"/>
      <w:marTop w:val="0"/>
      <w:marBottom w:val="0"/>
      <w:divBdr>
        <w:top w:val="none" w:sz="0" w:space="0" w:color="auto"/>
        <w:left w:val="none" w:sz="0" w:space="0" w:color="auto"/>
        <w:bottom w:val="none" w:sz="0" w:space="0" w:color="auto"/>
        <w:right w:val="none" w:sz="0" w:space="0" w:color="auto"/>
      </w:divBdr>
    </w:div>
    <w:div w:id="59101082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366E-C773-48C5-9378-0CD8E7CB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4283</Words>
  <Characters>23558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2019-05-31T00:09:00Z</cp:lastPrinted>
  <dcterms:created xsi:type="dcterms:W3CDTF">2020-01-17T01:34:00Z</dcterms:created>
  <dcterms:modified xsi:type="dcterms:W3CDTF">2020-02-13T20:37:00Z</dcterms:modified>
</cp:coreProperties>
</file>