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40" w:rsidRPr="00CB2E7B" w:rsidRDefault="00C02AF0" w:rsidP="00625340">
      <w:pPr>
        <w:spacing w:after="0" w:line="360" w:lineRule="auto"/>
        <w:jc w:val="both"/>
        <w:rPr>
          <w:rFonts w:ascii="Palatino Linotype" w:hAnsi="Palatino Linotype" w:cs="Arial"/>
          <w:b/>
          <w:sz w:val="24"/>
          <w:szCs w:val="24"/>
        </w:rPr>
      </w:pPr>
      <w:bookmarkStart w:id="0" w:name="_GoBack"/>
      <w:bookmarkEnd w:id="0"/>
      <w:r w:rsidRPr="00CB2E7B">
        <w:rPr>
          <w:rFonts w:ascii="Palatino Linotype" w:hAnsi="Palatino Linotype" w:cs="Arial"/>
          <w:b/>
          <w:sz w:val="24"/>
          <w:szCs w:val="24"/>
        </w:rPr>
        <w:t>VOTO</w:t>
      </w:r>
      <w:r w:rsidR="00625340" w:rsidRPr="00CB2E7B">
        <w:rPr>
          <w:rFonts w:ascii="Palatino Linotype" w:hAnsi="Palatino Linotype" w:cs="Arial"/>
          <w:b/>
          <w:sz w:val="24"/>
          <w:szCs w:val="24"/>
        </w:rPr>
        <w:t xml:space="preserve"> PARTICULAR DEL COMISIONADO JOSÉ GUADALUPE LUNA HERNÁNDEZ EN EL RECURSO DE REVISIÓN </w:t>
      </w:r>
      <w:r w:rsidR="00713DA8">
        <w:rPr>
          <w:rFonts w:ascii="Palatino Linotype" w:hAnsi="Palatino Linotype" w:cs="Arial"/>
          <w:b/>
          <w:sz w:val="24"/>
          <w:szCs w:val="24"/>
        </w:rPr>
        <w:t>02085</w:t>
      </w:r>
      <w:r w:rsidR="00625340" w:rsidRPr="00CB2E7B">
        <w:rPr>
          <w:rFonts w:ascii="Palatino Linotype" w:hAnsi="Palatino Linotype" w:cs="Arial"/>
          <w:b/>
          <w:sz w:val="24"/>
          <w:szCs w:val="24"/>
        </w:rPr>
        <w:t>/INFOEM/IP/RR/201</w:t>
      </w:r>
      <w:r w:rsidR="00F3751F">
        <w:rPr>
          <w:rFonts w:ascii="Palatino Linotype" w:hAnsi="Palatino Linotype" w:cs="Arial"/>
          <w:b/>
          <w:sz w:val="24"/>
          <w:szCs w:val="24"/>
        </w:rPr>
        <w:t>9</w:t>
      </w:r>
      <w:r w:rsidR="00D42114" w:rsidRPr="00CB2E7B">
        <w:rPr>
          <w:rFonts w:ascii="Palatino Linotype" w:hAnsi="Palatino Linotype" w:cs="Arial"/>
          <w:b/>
          <w:sz w:val="24"/>
          <w:szCs w:val="24"/>
        </w:rPr>
        <w:t>.</w:t>
      </w:r>
    </w:p>
    <w:p w:rsidR="00625340" w:rsidRPr="005E1309" w:rsidRDefault="00625340" w:rsidP="00625340">
      <w:pPr>
        <w:spacing w:after="0" w:line="360" w:lineRule="auto"/>
        <w:jc w:val="both"/>
        <w:rPr>
          <w:rFonts w:ascii="Palatino Linotype" w:hAnsi="Palatino Linotype" w:cs="Arial"/>
          <w:b/>
          <w:sz w:val="10"/>
          <w:szCs w:val="24"/>
        </w:rPr>
      </w:pPr>
    </w:p>
    <w:p w:rsidR="005E1309" w:rsidRDefault="002D5499" w:rsidP="003B4A57">
      <w:pPr>
        <w:spacing w:after="0" w:line="360" w:lineRule="auto"/>
        <w:jc w:val="both"/>
        <w:rPr>
          <w:rFonts w:ascii="Palatino Linotype" w:hAnsi="Palatino Linotype" w:cs="Arial"/>
          <w:b/>
          <w:sz w:val="24"/>
          <w:szCs w:val="24"/>
        </w:rPr>
      </w:pPr>
      <w:r w:rsidRPr="00CB2E7B">
        <w:rPr>
          <w:rFonts w:ascii="Palatino Linotype" w:hAnsi="Palatino Linotype" w:cs="Arial"/>
          <w:b/>
          <w:sz w:val="24"/>
          <w:szCs w:val="24"/>
        </w:rPr>
        <w:t>Resumen del voto</w:t>
      </w:r>
      <w:r w:rsidR="00625340" w:rsidRPr="00CB2E7B">
        <w:rPr>
          <w:rFonts w:ascii="Palatino Linotype" w:hAnsi="Palatino Linotype" w:cs="Arial"/>
          <w:b/>
          <w:sz w:val="24"/>
          <w:szCs w:val="24"/>
        </w:rPr>
        <w:t>:</w:t>
      </w:r>
      <w:r w:rsidR="00F7333F" w:rsidRPr="00CB2E7B">
        <w:rPr>
          <w:rFonts w:ascii="Palatino Linotype" w:hAnsi="Palatino Linotype" w:cs="Arial"/>
          <w:b/>
          <w:sz w:val="24"/>
          <w:szCs w:val="24"/>
        </w:rPr>
        <w:t xml:space="preserve"> </w:t>
      </w:r>
    </w:p>
    <w:p w:rsidR="005E1309" w:rsidRPr="005E1309" w:rsidRDefault="005E1309" w:rsidP="003B4A57">
      <w:pPr>
        <w:spacing w:after="0" w:line="360" w:lineRule="auto"/>
        <w:jc w:val="both"/>
        <w:rPr>
          <w:rFonts w:ascii="Palatino Linotype" w:hAnsi="Palatino Linotype" w:cs="Arial"/>
          <w:b/>
          <w:sz w:val="10"/>
          <w:szCs w:val="24"/>
        </w:rPr>
      </w:pPr>
    </w:p>
    <w:p w:rsidR="005E1309" w:rsidRPr="00F23005" w:rsidRDefault="005E1309" w:rsidP="005E1309">
      <w:pPr>
        <w:spacing w:after="0" w:line="360" w:lineRule="auto"/>
        <w:jc w:val="both"/>
        <w:rPr>
          <w:rFonts w:ascii="Palatino Linotype" w:hAnsi="Palatino Linotype" w:cs="Arial"/>
          <w:sz w:val="23"/>
          <w:szCs w:val="23"/>
        </w:rPr>
      </w:pPr>
      <w:r w:rsidRPr="00F23005">
        <w:rPr>
          <w:rFonts w:ascii="Palatino Linotype" w:eastAsia="Calibri" w:hAnsi="Palatino Linotype" w:cs="Arial"/>
          <w:sz w:val="23"/>
          <w:szCs w:val="23"/>
        </w:rPr>
        <w:t>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5E1309" w:rsidRPr="00F23005" w:rsidRDefault="005E1309" w:rsidP="003B4A57">
      <w:pPr>
        <w:spacing w:after="0" w:line="360" w:lineRule="auto"/>
        <w:jc w:val="both"/>
        <w:rPr>
          <w:rFonts w:ascii="Palatino Linotype" w:hAnsi="Palatino Linotype" w:cs="Arial"/>
          <w:b/>
          <w:sz w:val="23"/>
          <w:szCs w:val="23"/>
        </w:rPr>
      </w:pPr>
    </w:p>
    <w:p w:rsidR="00F23005" w:rsidRPr="00F23005" w:rsidRDefault="00F23005" w:rsidP="00F23005">
      <w:pPr>
        <w:spacing w:line="336" w:lineRule="auto"/>
        <w:jc w:val="both"/>
        <w:rPr>
          <w:rFonts w:ascii="Palatino Linotype" w:hAnsi="Palatino Linotype" w:cs="Arial"/>
          <w:sz w:val="23"/>
          <w:szCs w:val="23"/>
        </w:rPr>
      </w:pPr>
      <w:r w:rsidRPr="00F23005">
        <w:rPr>
          <w:rFonts w:ascii="Palatino Linotype" w:hAnsi="Palatino Linotype" w:cs="Arial"/>
          <w:sz w:val="23"/>
          <w:szCs w:val="23"/>
        </w:rPr>
        <w:t>Si bien es cierto que los miembros operativos de las Direcciones de Seguridad Ciudadana realizan actividades que, por la naturaleza de su cargo presume que se encuentren en un nivel de seguridad personal menor al de otros servidores públicos, cuando los particulares soliciten información referente a ellos como lo son nombres y comprobante de pago de cualquier índole, deberá ordenarse su entrega de manera disociada, a fin de lograr un balance entre el derecho de acceso a la información pública y la necesidad de proteger la integridad de los miembros de la Dirección de Seguridad.</w:t>
      </w:r>
    </w:p>
    <w:p w:rsidR="00F23005" w:rsidRPr="00F23005" w:rsidRDefault="00F23005" w:rsidP="00F23005">
      <w:pPr>
        <w:spacing w:line="336" w:lineRule="auto"/>
        <w:jc w:val="both"/>
        <w:rPr>
          <w:rFonts w:ascii="Palatino Linotype" w:hAnsi="Palatino Linotype" w:cs="Arial"/>
          <w:sz w:val="14"/>
          <w:szCs w:val="23"/>
        </w:rPr>
      </w:pPr>
    </w:p>
    <w:p w:rsidR="00F23005" w:rsidRPr="00F23005" w:rsidRDefault="00F23005" w:rsidP="00F23005">
      <w:pPr>
        <w:spacing w:line="336" w:lineRule="auto"/>
        <w:jc w:val="both"/>
        <w:rPr>
          <w:rFonts w:ascii="Palatino Linotype" w:hAnsi="Palatino Linotype" w:cs="Arial"/>
          <w:sz w:val="23"/>
          <w:szCs w:val="23"/>
        </w:rPr>
      </w:pPr>
      <w:r w:rsidRPr="00F23005">
        <w:rPr>
          <w:rFonts w:ascii="Palatino Linotype" w:hAnsi="Palatino Linotype" w:cs="Arial"/>
          <w:sz w:val="23"/>
          <w:szCs w:val="23"/>
        </w:rPr>
        <w:t>A su vez, es de agregar que a pesar de que existe normatividad en materia de seguridad pública que prevé el tipo de información susceptible de reservarse, no debe perderse de vista que para acreditar que la misma encuadra en la hipótesis jurídica, es necesario el análisis individualizado al caso concreto, cuya aplicación de la prueba de daño resulta ser fundamental para determinar el riesgo o perjuicio que se ocasionaría con su divulgación, de lo contrario se estaría trasgrediendo desde un inicio el derecho humano de acceso a la información.</w:t>
      </w:r>
    </w:p>
    <w:sdt>
      <w:sdtPr>
        <w:rPr>
          <w:b/>
          <w:szCs w:val="24"/>
          <w:lang w:val="es-ES"/>
        </w:rPr>
        <w:id w:val="-1339223820"/>
        <w:docPartObj>
          <w:docPartGallery w:val="Table of Contents"/>
          <w:docPartUnique/>
        </w:docPartObj>
      </w:sdtPr>
      <w:sdtEndPr>
        <w:rPr>
          <w:b w:val="0"/>
          <w:bCs/>
        </w:rPr>
      </w:sdtEndPr>
      <w:sdtContent>
        <w:p w:rsidR="00625340" w:rsidRPr="00CB2E7B" w:rsidRDefault="00625340" w:rsidP="005E1309">
          <w:pPr>
            <w:spacing w:after="0" w:line="360" w:lineRule="auto"/>
            <w:jc w:val="both"/>
            <w:rPr>
              <w:szCs w:val="24"/>
            </w:rPr>
          </w:pPr>
          <w:r w:rsidRPr="00CB2E7B">
            <w:rPr>
              <w:szCs w:val="24"/>
              <w:lang w:val="es-ES"/>
            </w:rPr>
            <w:t>Índice</w:t>
          </w:r>
        </w:p>
        <w:p w:rsidR="00F23005" w:rsidRDefault="00625340">
          <w:pPr>
            <w:pStyle w:val="TDC1"/>
            <w:tabs>
              <w:tab w:val="left" w:pos="440"/>
              <w:tab w:val="right" w:leader="dot" w:pos="8828"/>
            </w:tabs>
            <w:rPr>
              <w:rFonts w:eastAsiaTheme="minorEastAsia"/>
              <w:noProof/>
              <w:lang w:eastAsia="es-MX"/>
            </w:rPr>
          </w:pPr>
          <w:r w:rsidRPr="00CB2E7B">
            <w:rPr>
              <w:rFonts w:ascii="Palatino Linotype" w:hAnsi="Palatino Linotype"/>
              <w:b/>
              <w:sz w:val="24"/>
              <w:szCs w:val="24"/>
            </w:rPr>
            <w:fldChar w:fldCharType="begin"/>
          </w:r>
          <w:r w:rsidRPr="00CB2E7B">
            <w:rPr>
              <w:rFonts w:ascii="Palatino Linotype" w:hAnsi="Palatino Linotype"/>
              <w:b/>
              <w:sz w:val="24"/>
              <w:szCs w:val="24"/>
            </w:rPr>
            <w:instrText xml:space="preserve"> TOC \o "1-3" \h \z \u </w:instrText>
          </w:r>
          <w:r w:rsidRPr="00CB2E7B">
            <w:rPr>
              <w:rFonts w:ascii="Palatino Linotype" w:hAnsi="Palatino Linotype"/>
              <w:b/>
              <w:sz w:val="24"/>
              <w:szCs w:val="24"/>
            </w:rPr>
            <w:fldChar w:fldCharType="separate"/>
          </w:r>
          <w:hyperlink w:anchor="_Toc11082583" w:history="1">
            <w:r w:rsidR="00F23005" w:rsidRPr="00C11C32">
              <w:rPr>
                <w:rStyle w:val="Hipervnculo"/>
                <w:noProof/>
              </w:rPr>
              <w:t>A.</w:t>
            </w:r>
            <w:r w:rsidR="00F23005">
              <w:rPr>
                <w:rFonts w:eastAsiaTheme="minorEastAsia"/>
                <w:noProof/>
                <w:lang w:eastAsia="es-MX"/>
              </w:rPr>
              <w:tab/>
            </w:r>
            <w:r w:rsidR="00F23005" w:rsidRPr="00C11C32">
              <w:rPr>
                <w:rStyle w:val="Hipervnculo"/>
                <w:noProof/>
              </w:rPr>
              <w:t>CONSIDERACIONES GENERALES.</w:t>
            </w:r>
            <w:r w:rsidR="00F23005">
              <w:rPr>
                <w:noProof/>
                <w:webHidden/>
              </w:rPr>
              <w:tab/>
            </w:r>
            <w:r w:rsidR="00F23005">
              <w:rPr>
                <w:noProof/>
                <w:webHidden/>
              </w:rPr>
              <w:fldChar w:fldCharType="begin"/>
            </w:r>
            <w:r w:rsidR="00F23005">
              <w:rPr>
                <w:noProof/>
                <w:webHidden/>
              </w:rPr>
              <w:instrText xml:space="preserve"> PAGEREF _Toc11082583 \h </w:instrText>
            </w:r>
            <w:r w:rsidR="00F23005">
              <w:rPr>
                <w:noProof/>
                <w:webHidden/>
              </w:rPr>
            </w:r>
            <w:r w:rsidR="00F23005">
              <w:rPr>
                <w:noProof/>
                <w:webHidden/>
              </w:rPr>
              <w:fldChar w:fldCharType="separate"/>
            </w:r>
            <w:r w:rsidR="00F23005">
              <w:rPr>
                <w:noProof/>
                <w:webHidden/>
              </w:rPr>
              <w:t>3</w:t>
            </w:r>
            <w:r w:rsidR="00F23005">
              <w:rPr>
                <w:noProof/>
                <w:webHidden/>
              </w:rPr>
              <w:fldChar w:fldCharType="end"/>
            </w:r>
          </w:hyperlink>
        </w:p>
        <w:p w:rsidR="00F23005" w:rsidRDefault="008E6EF7">
          <w:pPr>
            <w:pStyle w:val="TDC1"/>
            <w:tabs>
              <w:tab w:val="left" w:pos="440"/>
              <w:tab w:val="right" w:leader="dot" w:pos="8828"/>
            </w:tabs>
            <w:rPr>
              <w:rFonts w:eastAsiaTheme="minorEastAsia"/>
              <w:noProof/>
              <w:lang w:eastAsia="es-MX"/>
            </w:rPr>
          </w:pPr>
          <w:hyperlink w:anchor="_Toc11082584" w:history="1">
            <w:r w:rsidR="00F23005" w:rsidRPr="00C11C32">
              <w:rPr>
                <w:rStyle w:val="Hipervnculo"/>
                <w:noProof/>
              </w:rPr>
              <w:t>B.</w:t>
            </w:r>
            <w:r w:rsidR="00F23005">
              <w:rPr>
                <w:rFonts w:eastAsiaTheme="minorEastAsia"/>
                <w:noProof/>
                <w:lang w:eastAsia="es-MX"/>
              </w:rPr>
              <w:tab/>
            </w:r>
            <w:r w:rsidR="00F23005" w:rsidRPr="00C11C32">
              <w:rPr>
                <w:rStyle w:val="Hipervnculo"/>
                <w:noProof/>
              </w:rPr>
              <w:t>DE LOS REQUERIMIENTOS PLANTEADOS.</w:t>
            </w:r>
            <w:r w:rsidR="00F23005">
              <w:rPr>
                <w:noProof/>
                <w:webHidden/>
              </w:rPr>
              <w:tab/>
            </w:r>
            <w:r w:rsidR="00F23005">
              <w:rPr>
                <w:noProof/>
                <w:webHidden/>
              </w:rPr>
              <w:fldChar w:fldCharType="begin"/>
            </w:r>
            <w:r w:rsidR="00F23005">
              <w:rPr>
                <w:noProof/>
                <w:webHidden/>
              </w:rPr>
              <w:instrText xml:space="preserve"> PAGEREF _Toc11082584 \h </w:instrText>
            </w:r>
            <w:r w:rsidR="00F23005">
              <w:rPr>
                <w:noProof/>
                <w:webHidden/>
              </w:rPr>
            </w:r>
            <w:r w:rsidR="00F23005">
              <w:rPr>
                <w:noProof/>
                <w:webHidden/>
              </w:rPr>
              <w:fldChar w:fldCharType="separate"/>
            </w:r>
            <w:r w:rsidR="00F23005">
              <w:rPr>
                <w:noProof/>
                <w:webHidden/>
              </w:rPr>
              <w:t>5</w:t>
            </w:r>
            <w:r w:rsidR="00F23005">
              <w:rPr>
                <w:noProof/>
                <w:webHidden/>
              </w:rPr>
              <w:fldChar w:fldCharType="end"/>
            </w:r>
          </w:hyperlink>
        </w:p>
        <w:p w:rsidR="00F23005" w:rsidRDefault="008E6EF7">
          <w:pPr>
            <w:pStyle w:val="TDC1"/>
            <w:tabs>
              <w:tab w:val="left" w:pos="440"/>
              <w:tab w:val="right" w:leader="dot" w:pos="8828"/>
            </w:tabs>
            <w:rPr>
              <w:rFonts w:eastAsiaTheme="minorEastAsia"/>
              <w:noProof/>
              <w:lang w:eastAsia="es-MX"/>
            </w:rPr>
          </w:pPr>
          <w:hyperlink w:anchor="_Toc11082585" w:history="1">
            <w:r w:rsidR="00F23005" w:rsidRPr="00C11C32">
              <w:rPr>
                <w:rStyle w:val="Hipervnculo"/>
                <w:noProof/>
              </w:rPr>
              <w:t>C.</w:t>
            </w:r>
            <w:r w:rsidR="00F23005">
              <w:rPr>
                <w:rFonts w:eastAsiaTheme="minorEastAsia"/>
                <w:noProof/>
                <w:lang w:eastAsia="es-MX"/>
              </w:rPr>
              <w:tab/>
            </w:r>
            <w:r w:rsidR="00F23005" w:rsidRPr="00C11C32">
              <w:rPr>
                <w:rStyle w:val="Hipervnculo"/>
                <w:noProof/>
              </w:rPr>
              <w:t>DEL PRONUNCIAMIENTO SIMPLE</w:t>
            </w:r>
            <w:r w:rsidR="00F23005">
              <w:rPr>
                <w:noProof/>
                <w:webHidden/>
              </w:rPr>
              <w:tab/>
            </w:r>
            <w:r w:rsidR="00F23005">
              <w:rPr>
                <w:noProof/>
                <w:webHidden/>
              </w:rPr>
              <w:fldChar w:fldCharType="begin"/>
            </w:r>
            <w:r w:rsidR="00F23005">
              <w:rPr>
                <w:noProof/>
                <w:webHidden/>
              </w:rPr>
              <w:instrText xml:space="preserve"> PAGEREF _Toc11082585 \h </w:instrText>
            </w:r>
            <w:r w:rsidR="00F23005">
              <w:rPr>
                <w:noProof/>
                <w:webHidden/>
              </w:rPr>
            </w:r>
            <w:r w:rsidR="00F23005">
              <w:rPr>
                <w:noProof/>
                <w:webHidden/>
              </w:rPr>
              <w:fldChar w:fldCharType="separate"/>
            </w:r>
            <w:r w:rsidR="00F23005">
              <w:rPr>
                <w:noProof/>
                <w:webHidden/>
              </w:rPr>
              <w:t>5</w:t>
            </w:r>
            <w:r w:rsidR="00F23005">
              <w:rPr>
                <w:noProof/>
                <w:webHidden/>
              </w:rPr>
              <w:fldChar w:fldCharType="end"/>
            </w:r>
          </w:hyperlink>
        </w:p>
        <w:p w:rsidR="00F23005" w:rsidRDefault="008E6EF7">
          <w:pPr>
            <w:pStyle w:val="TDC2"/>
            <w:tabs>
              <w:tab w:val="left" w:pos="660"/>
              <w:tab w:val="right" w:leader="dot" w:pos="8828"/>
            </w:tabs>
            <w:rPr>
              <w:rFonts w:eastAsiaTheme="minorEastAsia"/>
              <w:noProof/>
              <w:lang w:eastAsia="es-MX"/>
            </w:rPr>
          </w:pPr>
          <w:hyperlink w:anchor="_Toc11082586" w:history="1">
            <w:r w:rsidR="00F23005" w:rsidRPr="00C11C32">
              <w:rPr>
                <w:rStyle w:val="Hipervnculo"/>
                <w:rFonts w:ascii="Palatino Linotype" w:hAnsi="Palatino Linotype"/>
                <w:b/>
                <w:noProof/>
              </w:rPr>
              <w:t>i.</w:t>
            </w:r>
            <w:r w:rsidR="00F23005">
              <w:rPr>
                <w:rFonts w:eastAsiaTheme="minorEastAsia"/>
                <w:noProof/>
                <w:lang w:eastAsia="es-MX"/>
              </w:rPr>
              <w:tab/>
            </w:r>
            <w:r w:rsidR="00F23005" w:rsidRPr="00C11C32">
              <w:rPr>
                <w:rStyle w:val="Hipervnculo"/>
                <w:rFonts w:ascii="Palatino Linotype" w:hAnsi="Palatino Linotype"/>
                <w:b/>
                <w:noProof/>
              </w:rPr>
              <w:t>Del Derecho de Acceso a la información pública y el deber de motivar.</w:t>
            </w:r>
            <w:r w:rsidR="00F23005">
              <w:rPr>
                <w:noProof/>
                <w:webHidden/>
              </w:rPr>
              <w:tab/>
            </w:r>
            <w:r w:rsidR="00F23005">
              <w:rPr>
                <w:noProof/>
                <w:webHidden/>
              </w:rPr>
              <w:fldChar w:fldCharType="begin"/>
            </w:r>
            <w:r w:rsidR="00F23005">
              <w:rPr>
                <w:noProof/>
                <w:webHidden/>
              </w:rPr>
              <w:instrText xml:space="preserve"> PAGEREF _Toc11082586 \h </w:instrText>
            </w:r>
            <w:r w:rsidR="00F23005">
              <w:rPr>
                <w:noProof/>
                <w:webHidden/>
              </w:rPr>
            </w:r>
            <w:r w:rsidR="00F23005">
              <w:rPr>
                <w:noProof/>
                <w:webHidden/>
              </w:rPr>
              <w:fldChar w:fldCharType="separate"/>
            </w:r>
            <w:r w:rsidR="00F23005">
              <w:rPr>
                <w:noProof/>
                <w:webHidden/>
              </w:rPr>
              <w:t>6</w:t>
            </w:r>
            <w:r w:rsidR="00F23005">
              <w:rPr>
                <w:noProof/>
                <w:webHidden/>
              </w:rPr>
              <w:fldChar w:fldCharType="end"/>
            </w:r>
          </w:hyperlink>
        </w:p>
        <w:p w:rsidR="00F23005" w:rsidRDefault="008E6EF7">
          <w:pPr>
            <w:pStyle w:val="TDC2"/>
            <w:tabs>
              <w:tab w:val="left" w:pos="660"/>
              <w:tab w:val="right" w:leader="dot" w:pos="8828"/>
            </w:tabs>
            <w:rPr>
              <w:rFonts w:eastAsiaTheme="minorEastAsia"/>
              <w:noProof/>
              <w:lang w:eastAsia="es-MX"/>
            </w:rPr>
          </w:pPr>
          <w:hyperlink w:anchor="_Toc11082587" w:history="1">
            <w:r w:rsidR="00F23005" w:rsidRPr="00C11C32">
              <w:rPr>
                <w:rStyle w:val="Hipervnculo"/>
                <w:rFonts w:ascii="Palatino Linotype" w:eastAsia="Calibri" w:hAnsi="Palatino Linotype"/>
                <w:b/>
                <w:noProof/>
              </w:rPr>
              <w:t>ii.</w:t>
            </w:r>
            <w:r w:rsidR="00F23005">
              <w:rPr>
                <w:rFonts w:eastAsiaTheme="minorEastAsia"/>
                <w:noProof/>
                <w:lang w:eastAsia="es-MX"/>
              </w:rPr>
              <w:tab/>
            </w:r>
            <w:r w:rsidR="00F23005" w:rsidRPr="00C11C32">
              <w:rPr>
                <w:rStyle w:val="Hipervnculo"/>
                <w:rFonts w:ascii="Palatino Linotype" w:eastAsia="Calibri" w:hAnsi="Palatino Linotype"/>
                <w:b/>
                <w:noProof/>
              </w:rPr>
              <w:t>De la fundamentación y motivación.</w:t>
            </w:r>
            <w:r w:rsidR="00F23005">
              <w:rPr>
                <w:noProof/>
                <w:webHidden/>
              </w:rPr>
              <w:tab/>
            </w:r>
            <w:r w:rsidR="00F23005">
              <w:rPr>
                <w:noProof/>
                <w:webHidden/>
              </w:rPr>
              <w:fldChar w:fldCharType="begin"/>
            </w:r>
            <w:r w:rsidR="00F23005">
              <w:rPr>
                <w:noProof/>
                <w:webHidden/>
              </w:rPr>
              <w:instrText xml:space="preserve"> PAGEREF _Toc11082587 \h </w:instrText>
            </w:r>
            <w:r w:rsidR="00F23005">
              <w:rPr>
                <w:noProof/>
                <w:webHidden/>
              </w:rPr>
            </w:r>
            <w:r w:rsidR="00F23005">
              <w:rPr>
                <w:noProof/>
                <w:webHidden/>
              </w:rPr>
              <w:fldChar w:fldCharType="separate"/>
            </w:r>
            <w:r w:rsidR="00F23005">
              <w:rPr>
                <w:noProof/>
                <w:webHidden/>
              </w:rPr>
              <w:t>11</w:t>
            </w:r>
            <w:r w:rsidR="00F23005">
              <w:rPr>
                <w:noProof/>
                <w:webHidden/>
              </w:rPr>
              <w:fldChar w:fldCharType="end"/>
            </w:r>
          </w:hyperlink>
        </w:p>
        <w:p w:rsidR="00F23005" w:rsidRDefault="008E6EF7">
          <w:pPr>
            <w:pStyle w:val="TDC1"/>
            <w:tabs>
              <w:tab w:val="left" w:pos="440"/>
              <w:tab w:val="right" w:leader="dot" w:pos="8828"/>
            </w:tabs>
            <w:rPr>
              <w:rFonts w:eastAsiaTheme="minorEastAsia"/>
              <w:noProof/>
              <w:lang w:eastAsia="es-MX"/>
            </w:rPr>
          </w:pPr>
          <w:hyperlink w:anchor="_Toc11082588" w:history="1">
            <w:r w:rsidR="00F23005" w:rsidRPr="00C11C32">
              <w:rPr>
                <w:rStyle w:val="Hipervnculo"/>
                <w:noProof/>
              </w:rPr>
              <w:t>D.</w:t>
            </w:r>
            <w:r w:rsidR="00F23005">
              <w:rPr>
                <w:rFonts w:eastAsiaTheme="minorEastAsia"/>
                <w:noProof/>
                <w:lang w:eastAsia="es-MX"/>
              </w:rPr>
              <w:tab/>
            </w:r>
            <w:r w:rsidR="00F23005" w:rsidRPr="00C11C32">
              <w:rPr>
                <w:rStyle w:val="Hipervnculo"/>
                <w:noProof/>
              </w:rPr>
              <w:t>De los elementos de seguridad pública</w:t>
            </w:r>
            <w:r w:rsidR="00F23005">
              <w:rPr>
                <w:noProof/>
                <w:webHidden/>
              </w:rPr>
              <w:tab/>
            </w:r>
            <w:r w:rsidR="00F23005">
              <w:rPr>
                <w:noProof/>
                <w:webHidden/>
              </w:rPr>
              <w:fldChar w:fldCharType="begin"/>
            </w:r>
            <w:r w:rsidR="00F23005">
              <w:rPr>
                <w:noProof/>
                <w:webHidden/>
              </w:rPr>
              <w:instrText xml:space="preserve"> PAGEREF _Toc11082588 \h </w:instrText>
            </w:r>
            <w:r w:rsidR="00F23005">
              <w:rPr>
                <w:noProof/>
                <w:webHidden/>
              </w:rPr>
            </w:r>
            <w:r w:rsidR="00F23005">
              <w:rPr>
                <w:noProof/>
                <w:webHidden/>
              </w:rPr>
              <w:fldChar w:fldCharType="separate"/>
            </w:r>
            <w:r w:rsidR="00F23005">
              <w:rPr>
                <w:noProof/>
                <w:webHidden/>
              </w:rPr>
              <w:t>18</w:t>
            </w:r>
            <w:r w:rsidR="00F23005">
              <w:rPr>
                <w:noProof/>
                <w:webHidden/>
              </w:rPr>
              <w:fldChar w:fldCharType="end"/>
            </w:r>
          </w:hyperlink>
        </w:p>
        <w:p w:rsidR="00F23005" w:rsidRDefault="008E6EF7">
          <w:pPr>
            <w:pStyle w:val="TDC2"/>
            <w:tabs>
              <w:tab w:val="left" w:pos="660"/>
              <w:tab w:val="right" w:leader="dot" w:pos="8828"/>
            </w:tabs>
            <w:rPr>
              <w:rFonts w:eastAsiaTheme="minorEastAsia"/>
              <w:noProof/>
              <w:lang w:eastAsia="es-MX"/>
            </w:rPr>
          </w:pPr>
          <w:hyperlink w:anchor="_Toc11082589" w:history="1">
            <w:r w:rsidR="00F23005" w:rsidRPr="00C11C32">
              <w:rPr>
                <w:rStyle w:val="Hipervnculo"/>
                <w:rFonts w:ascii="Palatino Linotype" w:hAnsi="Palatino Linotype"/>
                <w:b/>
                <w:noProof/>
              </w:rPr>
              <w:t>I.</w:t>
            </w:r>
            <w:r w:rsidR="00F23005">
              <w:rPr>
                <w:rFonts w:eastAsiaTheme="minorEastAsia"/>
                <w:noProof/>
                <w:lang w:eastAsia="es-MX"/>
              </w:rPr>
              <w:tab/>
            </w:r>
            <w:r w:rsidR="00F23005" w:rsidRPr="00C11C32">
              <w:rPr>
                <w:rStyle w:val="Hipervnculo"/>
                <w:rFonts w:ascii="Palatino Linotype" w:hAnsi="Palatino Linotype"/>
                <w:b/>
                <w:noProof/>
              </w:rPr>
              <w:t>De la disociación.</w:t>
            </w:r>
            <w:r w:rsidR="00F23005">
              <w:rPr>
                <w:noProof/>
                <w:webHidden/>
              </w:rPr>
              <w:tab/>
            </w:r>
            <w:r w:rsidR="00F23005">
              <w:rPr>
                <w:noProof/>
                <w:webHidden/>
              </w:rPr>
              <w:fldChar w:fldCharType="begin"/>
            </w:r>
            <w:r w:rsidR="00F23005">
              <w:rPr>
                <w:noProof/>
                <w:webHidden/>
              </w:rPr>
              <w:instrText xml:space="preserve"> PAGEREF _Toc11082589 \h </w:instrText>
            </w:r>
            <w:r w:rsidR="00F23005">
              <w:rPr>
                <w:noProof/>
                <w:webHidden/>
              </w:rPr>
            </w:r>
            <w:r w:rsidR="00F23005">
              <w:rPr>
                <w:noProof/>
                <w:webHidden/>
              </w:rPr>
              <w:fldChar w:fldCharType="separate"/>
            </w:r>
            <w:r w:rsidR="00F23005">
              <w:rPr>
                <w:noProof/>
                <w:webHidden/>
              </w:rPr>
              <w:t>24</w:t>
            </w:r>
            <w:r w:rsidR="00F23005">
              <w:rPr>
                <w:noProof/>
                <w:webHidden/>
              </w:rPr>
              <w:fldChar w:fldCharType="end"/>
            </w:r>
          </w:hyperlink>
        </w:p>
        <w:p w:rsidR="00F23005" w:rsidRDefault="008E6EF7">
          <w:pPr>
            <w:pStyle w:val="TDC1"/>
            <w:tabs>
              <w:tab w:val="left" w:pos="440"/>
              <w:tab w:val="right" w:leader="dot" w:pos="8828"/>
            </w:tabs>
            <w:rPr>
              <w:rFonts w:eastAsiaTheme="minorEastAsia"/>
              <w:noProof/>
              <w:lang w:eastAsia="es-MX"/>
            </w:rPr>
          </w:pPr>
          <w:hyperlink w:anchor="_Toc11082590" w:history="1">
            <w:r w:rsidR="00F23005" w:rsidRPr="00C11C32">
              <w:rPr>
                <w:rStyle w:val="Hipervnculo"/>
                <w:noProof/>
              </w:rPr>
              <w:t>E.</w:t>
            </w:r>
            <w:r w:rsidR="00F23005">
              <w:rPr>
                <w:rFonts w:eastAsiaTheme="minorEastAsia"/>
                <w:noProof/>
                <w:lang w:eastAsia="es-MX"/>
              </w:rPr>
              <w:tab/>
            </w:r>
            <w:r w:rsidR="00F23005" w:rsidRPr="00C11C32">
              <w:rPr>
                <w:rStyle w:val="Hipervnculo"/>
                <w:noProof/>
              </w:rPr>
              <w:t>Conclusión</w:t>
            </w:r>
            <w:r w:rsidR="00F23005">
              <w:rPr>
                <w:noProof/>
                <w:webHidden/>
              </w:rPr>
              <w:tab/>
            </w:r>
            <w:r w:rsidR="00F23005">
              <w:rPr>
                <w:noProof/>
                <w:webHidden/>
              </w:rPr>
              <w:fldChar w:fldCharType="begin"/>
            </w:r>
            <w:r w:rsidR="00F23005">
              <w:rPr>
                <w:noProof/>
                <w:webHidden/>
              </w:rPr>
              <w:instrText xml:space="preserve"> PAGEREF _Toc11082590 \h </w:instrText>
            </w:r>
            <w:r w:rsidR="00F23005">
              <w:rPr>
                <w:noProof/>
                <w:webHidden/>
              </w:rPr>
            </w:r>
            <w:r w:rsidR="00F23005">
              <w:rPr>
                <w:noProof/>
                <w:webHidden/>
              </w:rPr>
              <w:fldChar w:fldCharType="separate"/>
            </w:r>
            <w:r w:rsidR="00F23005">
              <w:rPr>
                <w:noProof/>
                <w:webHidden/>
              </w:rPr>
              <w:t>26</w:t>
            </w:r>
            <w:r w:rsidR="00F23005">
              <w:rPr>
                <w:noProof/>
                <w:webHidden/>
              </w:rPr>
              <w:fldChar w:fldCharType="end"/>
            </w:r>
          </w:hyperlink>
        </w:p>
        <w:p w:rsidR="00625340" w:rsidRPr="00CB2E7B" w:rsidRDefault="00625340">
          <w:pPr>
            <w:rPr>
              <w:rFonts w:ascii="Palatino Linotype" w:hAnsi="Palatino Linotype"/>
              <w:b/>
              <w:bCs/>
              <w:sz w:val="24"/>
              <w:szCs w:val="24"/>
              <w:lang w:val="es-ES"/>
            </w:rPr>
          </w:pPr>
          <w:r w:rsidRPr="00CB2E7B">
            <w:rPr>
              <w:rFonts w:ascii="Palatino Linotype" w:hAnsi="Palatino Linotype"/>
              <w:b/>
              <w:bCs/>
              <w:sz w:val="24"/>
              <w:szCs w:val="24"/>
              <w:lang w:val="es-ES"/>
            </w:rPr>
            <w:fldChar w:fldCharType="end"/>
          </w:r>
        </w:p>
      </w:sdtContent>
    </w:sdt>
    <w:p w:rsidR="00F72F39" w:rsidRDefault="00F72F39" w:rsidP="00D35091">
      <w:pPr>
        <w:rPr>
          <w:rFonts w:ascii="Palatino Linotype" w:hAnsi="Palatino Linotype"/>
          <w:sz w:val="24"/>
          <w:szCs w:val="24"/>
        </w:rPr>
      </w:pPr>
    </w:p>
    <w:p w:rsidR="008D4603" w:rsidRDefault="008D4603" w:rsidP="00D35091">
      <w:pPr>
        <w:rPr>
          <w:rFonts w:ascii="Palatino Linotype" w:hAnsi="Palatino Linotype"/>
          <w:sz w:val="24"/>
          <w:szCs w:val="24"/>
        </w:rPr>
      </w:pPr>
    </w:p>
    <w:p w:rsidR="00FD0C70" w:rsidRDefault="00FD0C70" w:rsidP="00D35091">
      <w:pPr>
        <w:rPr>
          <w:rFonts w:ascii="Palatino Linotype" w:hAnsi="Palatino Linotype"/>
          <w:sz w:val="24"/>
          <w:szCs w:val="24"/>
        </w:rPr>
      </w:pPr>
    </w:p>
    <w:p w:rsidR="00F3751F" w:rsidRDefault="00F3751F" w:rsidP="00D35091">
      <w:pPr>
        <w:rPr>
          <w:rFonts w:ascii="Palatino Linotype" w:hAnsi="Palatino Linotype"/>
          <w:sz w:val="24"/>
          <w:szCs w:val="24"/>
        </w:rPr>
      </w:pPr>
    </w:p>
    <w:p w:rsidR="001A3C33" w:rsidRDefault="001A3C33" w:rsidP="00D35091">
      <w:pPr>
        <w:rPr>
          <w:rFonts w:ascii="Palatino Linotype" w:hAnsi="Palatino Linotype"/>
          <w:sz w:val="24"/>
          <w:szCs w:val="24"/>
        </w:rPr>
      </w:pPr>
    </w:p>
    <w:p w:rsidR="001A3C33" w:rsidRDefault="001A3C33" w:rsidP="00D35091">
      <w:pPr>
        <w:rPr>
          <w:rFonts w:ascii="Palatino Linotype" w:hAnsi="Palatino Linotype"/>
          <w:sz w:val="24"/>
          <w:szCs w:val="24"/>
        </w:rPr>
      </w:pPr>
    </w:p>
    <w:p w:rsidR="001A3C33" w:rsidRDefault="001A3C33" w:rsidP="00D35091">
      <w:pPr>
        <w:rPr>
          <w:rFonts w:ascii="Palatino Linotype" w:hAnsi="Palatino Linotype"/>
          <w:sz w:val="24"/>
          <w:szCs w:val="24"/>
        </w:rPr>
      </w:pPr>
    </w:p>
    <w:p w:rsidR="001A3C33" w:rsidRDefault="001A3C33" w:rsidP="00D35091">
      <w:pPr>
        <w:rPr>
          <w:rFonts w:ascii="Palatino Linotype" w:hAnsi="Palatino Linotype"/>
          <w:sz w:val="24"/>
          <w:szCs w:val="24"/>
        </w:rPr>
      </w:pPr>
    </w:p>
    <w:p w:rsidR="001A3C33" w:rsidRDefault="001A3C33" w:rsidP="00D35091">
      <w:pPr>
        <w:rPr>
          <w:rFonts w:ascii="Palatino Linotype" w:hAnsi="Palatino Linotype"/>
          <w:sz w:val="24"/>
          <w:szCs w:val="24"/>
        </w:rPr>
      </w:pPr>
    </w:p>
    <w:p w:rsidR="001A3C33" w:rsidRDefault="001A3C33" w:rsidP="00D35091">
      <w:pPr>
        <w:rPr>
          <w:rFonts w:ascii="Palatino Linotype" w:hAnsi="Palatino Linotype"/>
          <w:sz w:val="24"/>
          <w:szCs w:val="24"/>
        </w:rPr>
      </w:pPr>
    </w:p>
    <w:p w:rsidR="001A3C33" w:rsidRDefault="001A3C33" w:rsidP="00D35091">
      <w:pPr>
        <w:rPr>
          <w:rFonts w:ascii="Palatino Linotype" w:hAnsi="Palatino Linotype"/>
          <w:sz w:val="24"/>
          <w:szCs w:val="24"/>
        </w:rPr>
      </w:pPr>
    </w:p>
    <w:p w:rsidR="00F23005" w:rsidRDefault="00F23005" w:rsidP="00D35091">
      <w:pPr>
        <w:rPr>
          <w:rFonts w:ascii="Palatino Linotype" w:hAnsi="Palatino Linotype"/>
          <w:sz w:val="24"/>
          <w:szCs w:val="24"/>
        </w:rPr>
      </w:pPr>
    </w:p>
    <w:p w:rsidR="00625340" w:rsidRPr="00CB2E7B" w:rsidRDefault="00452002" w:rsidP="003E4DF1">
      <w:pPr>
        <w:pStyle w:val="Ttulo1"/>
        <w:numPr>
          <w:ilvl w:val="0"/>
          <w:numId w:val="2"/>
        </w:numPr>
        <w:ind w:left="993" w:hanging="567"/>
        <w:rPr>
          <w:szCs w:val="24"/>
        </w:rPr>
      </w:pPr>
      <w:bookmarkStart w:id="1" w:name="_Toc11082583"/>
      <w:r w:rsidRPr="00CB2E7B">
        <w:rPr>
          <w:szCs w:val="24"/>
        </w:rPr>
        <w:lastRenderedPageBreak/>
        <w:t>CONSIDERACIONES GENERALES.</w:t>
      </w:r>
      <w:bookmarkEnd w:id="1"/>
    </w:p>
    <w:p w:rsidR="003431E5" w:rsidRPr="00CB2E7B" w:rsidRDefault="003431E5" w:rsidP="003431E5">
      <w:pPr>
        <w:rPr>
          <w:rFonts w:ascii="Palatino Linotype" w:hAnsi="Palatino Linotype"/>
          <w:sz w:val="24"/>
          <w:szCs w:val="24"/>
        </w:rPr>
      </w:pPr>
    </w:p>
    <w:p w:rsidR="00625340" w:rsidRPr="00CB2E7B" w:rsidRDefault="00703F02" w:rsidP="003E4DF1">
      <w:pPr>
        <w:pStyle w:val="Prrafodelista"/>
        <w:numPr>
          <w:ilvl w:val="0"/>
          <w:numId w:val="1"/>
        </w:numPr>
        <w:spacing w:after="0" w:line="360" w:lineRule="auto"/>
        <w:ind w:left="426"/>
        <w:jc w:val="both"/>
        <w:rPr>
          <w:rFonts w:ascii="Palatino Linotype" w:hAnsi="Palatino Linotype" w:cs="Arial"/>
          <w:b/>
          <w:sz w:val="24"/>
          <w:szCs w:val="24"/>
        </w:rPr>
      </w:pPr>
      <w:r w:rsidRPr="00CB2E7B">
        <w:rPr>
          <w:rFonts w:ascii="Palatino Linotype" w:eastAsia="Times New Roman" w:hAnsi="Palatino Linotype" w:cs="Arial"/>
          <w:sz w:val="24"/>
          <w:szCs w:val="24"/>
          <w:lang w:val="es-ES_tradnl"/>
        </w:rPr>
        <w:t xml:space="preserve">He concurrido con mi </w:t>
      </w:r>
      <w:r w:rsidR="00C02AF0" w:rsidRPr="00CB2E7B">
        <w:rPr>
          <w:rFonts w:ascii="Palatino Linotype" w:eastAsia="Times New Roman" w:hAnsi="Palatino Linotype" w:cs="Arial"/>
          <w:sz w:val="24"/>
          <w:szCs w:val="24"/>
          <w:lang w:val="es-ES_tradnl"/>
        </w:rPr>
        <w:t>voto</w:t>
      </w:r>
      <w:r w:rsidR="00625340" w:rsidRPr="00CB2E7B">
        <w:rPr>
          <w:rFonts w:ascii="Palatino Linotype" w:eastAsia="Times New Roman" w:hAnsi="Palatino Linotype" w:cs="Arial"/>
          <w:sz w:val="24"/>
          <w:szCs w:val="24"/>
          <w:lang w:val="es-ES_tradnl"/>
        </w:rPr>
        <w:t xml:space="preserve"> particular de la presente resolución emitida </w:t>
      </w:r>
      <w:r w:rsidR="00625340" w:rsidRPr="00CB2E7B">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713DA8">
        <w:rPr>
          <w:rFonts w:ascii="Palatino Linotype" w:hAnsi="Palatino Linotype" w:cs="Arial"/>
          <w:sz w:val="24"/>
          <w:szCs w:val="24"/>
        </w:rPr>
        <w:t xml:space="preserve">Vigésima Primera </w:t>
      </w:r>
      <w:r w:rsidR="00D42114" w:rsidRPr="00CB2E7B">
        <w:rPr>
          <w:rFonts w:ascii="Palatino Linotype" w:hAnsi="Palatino Linotype" w:cs="Arial"/>
          <w:sz w:val="24"/>
          <w:szCs w:val="24"/>
        </w:rPr>
        <w:t>Sesión O</w:t>
      </w:r>
      <w:r w:rsidR="00F9751B" w:rsidRPr="00CB2E7B">
        <w:rPr>
          <w:rFonts w:ascii="Palatino Linotype" w:hAnsi="Palatino Linotype" w:cs="Arial"/>
          <w:sz w:val="24"/>
          <w:szCs w:val="24"/>
        </w:rPr>
        <w:t xml:space="preserve">rdinaria celebrada el </w:t>
      </w:r>
      <w:r w:rsidR="00175E9F" w:rsidRPr="00CB2E7B">
        <w:rPr>
          <w:rFonts w:ascii="Palatino Linotype" w:hAnsi="Palatino Linotype" w:cs="Arial"/>
          <w:sz w:val="24"/>
          <w:szCs w:val="24"/>
        </w:rPr>
        <w:t xml:space="preserve">día </w:t>
      </w:r>
      <w:r w:rsidR="00713DA8">
        <w:rPr>
          <w:rFonts w:ascii="Palatino Linotype" w:hAnsi="Palatino Linotype" w:cs="Arial"/>
          <w:sz w:val="24"/>
          <w:szCs w:val="24"/>
        </w:rPr>
        <w:t>cinco</w:t>
      </w:r>
      <w:r w:rsidR="00F9751B" w:rsidRPr="00CB2E7B">
        <w:rPr>
          <w:rFonts w:ascii="Palatino Linotype" w:hAnsi="Palatino Linotype" w:cs="Arial"/>
          <w:sz w:val="24"/>
          <w:szCs w:val="24"/>
        </w:rPr>
        <w:t xml:space="preserve"> </w:t>
      </w:r>
      <w:r w:rsidR="00787C3A" w:rsidRPr="00CB2E7B">
        <w:rPr>
          <w:rFonts w:ascii="Palatino Linotype" w:hAnsi="Palatino Linotype" w:cs="Arial"/>
          <w:sz w:val="24"/>
          <w:szCs w:val="24"/>
        </w:rPr>
        <w:t>(</w:t>
      </w:r>
      <w:r w:rsidR="00713DA8">
        <w:rPr>
          <w:rFonts w:ascii="Palatino Linotype" w:hAnsi="Palatino Linotype" w:cs="Arial"/>
          <w:sz w:val="24"/>
          <w:szCs w:val="24"/>
        </w:rPr>
        <w:t>5</w:t>
      </w:r>
      <w:r w:rsidR="00787C3A" w:rsidRPr="00CB2E7B">
        <w:rPr>
          <w:rFonts w:ascii="Palatino Linotype" w:hAnsi="Palatino Linotype" w:cs="Arial"/>
          <w:sz w:val="24"/>
          <w:szCs w:val="24"/>
        </w:rPr>
        <w:t xml:space="preserve">) </w:t>
      </w:r>
      <w:r w:rsidR="00175E9F" w:rsidRPr="00CB2E7B">
        <w:rPr>
          <w:rFonts w:ascii="Palatino Linotype" w:hAnsi="Palatino Linotype" w:cs="Arial"/>
          <w:sz w:val="24"/>
          <w:szCs w:val="24"/>
        </w:rPr>
        <w:t xml:space="preserve">de </w:t>
      </w:r>
      <w:r w:rsidR="00713DA8">
        <w:rPr>
          <w:rFonts w:ascii="Palatino Linotype" w:hAnsi="Palatino Linotype" w:cs="Arial"/>
          <w:sz w:val="24"/>
          <w:szCs w:val="24"/>
        </w:rPr>
        <w:t>junio</w:t>
      </w:r>
      <w:r w:rsidR="00F72F39">
        <w:rPr>
          <w:rFonts w:ascii="Palatino Linotype" w:hAnsi="Palatino Linotype" w:cs="Arial"/>
          <w:sz w:val="24"/>
          <w:szCs w:val="24"/>
        </w:rPr>
        <w:t xml:space="preserve"> </w:t>
      </w:r>
      <w:r w:rsidR="00F9751B" w:rsidRPr="00CB2E7B">
        <w:rPr>
          <w:rFonts w:ascii="Palatino Linotype" w:hAnsi="Palatino Linotype" w:cs="Arial"/>
          <w:sz w:val="24"/>
          <w:szCs w:val="24"/>
        </w:rPr>
        <w:t>de dos mil dieci</w:t>
      </w:r>
      <w:r w:rsidR="00213DF0">
        <w:rPr>
          <w:rFonts w:ascii="Palatino Linotype" w:hAnsi="Palatino Linotype" w:cs="Arial"/>
          <w:sz w:val="24"/>
          <w:szCs w:val="24"/>
        </w:rPr>
        <w:t>nueve</w:t>
      </w:r>
      <w:r w:rsidR="00625340" w:rsidRPr="00CB2E7B">
        <w:rPr>
          <w:rFonts w:ascii="Palatino Linotype" w:hAnsi="Palatino Linotype" w:cs="Arial"/>
          <w:sz w:val="24"/>
          <w:szCs w:val="24"/>
        </w:rPr>
        <w:t xml:space="preserve">, en el recurso de revisión promovido en contra de la respuesta </w:t>
      </w:r>
      <w:r w:rsidR="00B02F56" w:rsidRPr="00CB2E7B">
        <w:rPr>
          <w:rFonts w:ascii="Palatino Linotype" w:hAnsi="Palatino Linotype" w:cs="Arial"/>
          <w:sz w:val="24"/>
          <w:szCs w:val="24"/>
        </w:rPr>
        <w:t>de</w:t>
      </w:r>
      <w:r w:rsidRPr="00CB2E7B">
        <w:rPr>
          <w:rFonts w:ascii="Palatino Linotype" w:hAnsi="Palatino Linotype" w:cs="Arial"/>
          <w:sz w:val="24"/>
          <w:szCs w:val="24"/>
        </w:rPr>
        <w:t>l</w:t>
      </w:r>
      <w:r w:rsidR="00B02F56" w:rsidRPr="00CB2E7B">
        <w:rPr>
          <w:rFonts w:ascii="Palatino Linotype" w:hAnsi="Palatino Linotype" w:cs="Arial"/>
          <w:sz w:val="24"/>
          <w:szCs w:val="24"/>
        </w:rPr>
        <w:t xml:space="preserve"> </w:t>
      </w:r>
      <w:r w:rsidR="00F3751F">
        <w:rPr>
          <w:rFonts w:ascii="Palatino Linotype" w:hAnsi="Palatino Linotype"/>
          <w:b/>
        </w:rPr>
        <w:t xml:space="preserve">Ayuntamiento de </w:t>
      </w:r>
      <w:r w:rsidR="00713DA8">
        <w:rPr>
          <w:rFonts w:ascii="Palatino Linotype" w:hAnsi="Palatino Linotype"/>
          <w:b/>
        </w:rPr>
        <w:t>Valle de Chalco Solidaridad</w:t>
      </w:r>
      <w:r w:rsidR="00625340" w:rsidRPr="00CB2E7B">
        <w:rPr>
          <w:rFonts w:ascii="Palatino Linotype" w:hAnsi="Palatino Linotype" w:cs="Arial"/>
          <w:sz w:val="24"/>
          <w:szCs w:val="24"/>
        </w:rPr>
        <w:t xml:space="preserve">, procedimiento al que se le asignó el número de expediente </w:t>
      </w:r>
      <w:r w:rsidR="00713DA8">
        <w:rPr>
          <w:rFonts w:ascii="Palatino Linotype" w:hAnsi="Palatino Linotype"/>
          <w:b/>
          <w:sz w:val="24"/>
          <w:szCs w:val="24"/>
        </w:rPr>
        <w:t>02085</w:t>
      </w:r>
      <w:r w:rsidR="00F3751F">
        <w:rPr>
          <w:rFonts w:ascii="Palatino Linotype" w:hAnsi="Palatino Linotype"/>
          <w:b/>
          <w:sz w:val="24"/>
          <w:szCs w:val="24"/>
        </w:rPr>
        <w:t>/INFOEM/IP/RR/2019</w:t>
      </w:r>
      <w:r w:rsidR="00625340" w:rsidRPr="004B096A">
        <w:rPr>
          <w:rFonts w:ascii="Palatino Linotype" w:hAnsi="Palatino Linotype" w:cs="Arial"/>
          <w:b/>
          <w:sz w:val="24"/>
          <w:szCs w:val="24"/>
        </w:rPr>
        <w:t>.</w:t>
      </w:r>
      <w:r w:rsidR="007D1923">
        <w:rPr>
          <w:rFonts w:ascii="Palatino Linotype" w:hAnsi="Palatino Linotype" w:cs="Arial"/>
          <w:b/>
          <w:sz w:val="24"/>
          <w:szCs w:val="24"/>
        </w:rPr>
        <w:t xml:space="preserve"> </w:t>
      </w:r>
    </w:p>
    <w:p w:rsidR="00D35091" w:rsidRPr="00CB2E7B" w:rsidRDefault="00D35091" w:rsidP="00530CB3">
      <w:pPr>
        <w:pStyle w:val="Prrafodelista"/>
        <w:spacing w:after="0" w:line="360" w:lineRule="auto"/>
        <w:ind w:left="426"/>
        <w:jc w:val="both"/>
        <w:rPr>
          <w:rFonts w:ascii="Palatino Linotype" w:hAnsi="Palatino Linotype" w:cs="Arial"/>
          <w:b/>
          <w:sz w:val="24"/>
          <w:szCs w:val="24"/>
        </w:rPr>
      </w:pPr>
    </w:p>
    <w:p w:rsidR="002D2293" w:rsidRPr="002D2293" w:rsidRDefault="00DA4B4E" w:rsidP="003E4DF1">
      <w:pPr>
        <w:pStyle w:val="Prrafodelista"/>
        <w:numPr>
          <w:ilvl w:val="0"/>
          <w:numId w:val="1"/>
        </w:numPr>
        <w:spacing w:after="0" w:line="360" w:lineRule="auto"/>
        <w:ind w:left="426"/>
        <w:jc w:val="both"/>
        <w:rPr>
          <w:rFonts w:ascii="Palatino Linotype" w:hAnsi="Palatino Linotype" w:cs="Arial"/>
          <w:b/>
          <w:sz w:val="24"/>
          <w:szCs w:val="24"/>
        </w:rPr>
      </w:pPr>
      <w:r w:rsidRPr="009D5257">
        <w:rPr>
          <w:rFonts w:ascii="Palatino Linotype" w:hAnsi="Palatino Linotype" w:cs="Arial"/>
          <w:sz w:val="24"/>
          <w:szCs w:val="24"/>
        </w:rPr>
        <w:t xml:space="preserve">La resolución </w:t>
      </w:r>
      <w:r w:rsidR="00340665" w:rsidRPr="009D5257">
        <w:rPr>
          <w:rFonts w:ascii="Palatino Linotype" w:hAnsi="Palatino Linotype" w:cs="Arial"/>
          <w:sz w:val="24"/>
          <w:szCs w:val="24"/>
        </w:rPr>
        <w:t xml:space="preserve">puntualmente </w:t>
      </w:r>
      <w:r w:rsidRPr="009D5257">
        <w:rPr>
          <w:rFonts w:ascii="Palatino Linotype" w:hAnsi="Palatino Linotype" w:cs="Arial"/>
          <w:sz w:val="24"/>
          <w:szCs w:val="24"/>
        </w:rPr>
        <w:t xml:space="preserve">determina </w:t>
      </w:r>
      <w:r w:rsidR="002D2293" w:rsidRPr="002D2293">
        <w:rPr>
          <w:rFonts w:ascii="Palatino Linotype" w:hAnsi="Palatino Linotype" w:cs="Arial"/>
          <w:b/>
          <w:sz w:val="24"/>
          <w:szCs w:val="24"/>
        </w:rPr>
        <w:t>MODIFICAR</w:t>
      </w:r>
      <w:r w:rsidR="00726689" w:rsidRPr="009D5257">
        <w:rPr>
          <w:rFonts w:ascii="Palatino Linotype" w:hAnsi="Palatino Linotype" w:cs="Arial"/>
          <w:sz w:val="24"/>
          <w:szCs w:val="24"/>
        </w:rPr>
        <w:t xml:space="preserve"> </w:t>
      </w:r>
      <w:r w:rsidR="002D2293">
        <w:rPr>
          <w:rFonts w:ascii="Palatino Linotype" w:hAnsi="Palatino Linotype" w:cs="Arial"/>
          <w:sz w:val="24"/>
          <w:szCs w:val="24"/>
        </w:rPr>
        <w:t xml:space="preserve">la respuesta del Sujeto Obligado y </w:t>
      </w:r>
      <w:r w:rsidR="002D2293" w:rsidRPr="001B2CAF">
        <w:rPr>
          <w:rFonts w:ascii="Palatino Linotype" w:hAnsi="Palatino Linotype" w:cs="Arial"/>
          <w:b/>
          <w:sz w:val="24"/>
          <w:szCs w:val="24"/>
        </w:rPr>
        <w:t>ORDENAR</w:t>
      </w:r>
      <w:r w:rsidR="002D2293">
        <w:rPr>
          <w:rFonts w:ascii="Palatino Linotype" w:hAnsi="Palatino Linotype" w:cs="Arial"/>
          <w:sz w:val="24"/>
          <w:szCs w:val="24"/>
        </w:rPr>
        <w:t xml:space="preserve"> entregar la siguiente información:</w:t>
      </w:r>
    </w:p>
    <w:p w:rsidR="00713DA8" w:rsidRPr="0068523B" w:rsidRDefault="00F3751F" w:rsidP="00713DA8">
      <w:pPr>
        <w:pStyle w:val="Prrafodelista"/>
        <w:spacing w:before="240" w:after="0" w:line="360" w:lineRule="auto"/>
        <w:ind w:left="1080"/>
        <w:contextualSpacing w:val="0"/>
        <w:jc w:val="both"/>
        <w:rPr>
          <w:rFonts w:ascii="Palatino Linotype" w:hAnsi="Palatino Linotype" w:cs="Arial"/>
        </w:rPr>
      </w:pPr>
      <w:r w:rsidRPr="00F3751F">
        <w:rPr>
          <w:rFonts w:ascii="Palatino Linotype" w:hAnsi="Palatino Linotype" w:cs="Arial"/>
          <w:i/>
        </w:rPr>
        <w:t>“</w:t>
      </w:r>
      <w:r w:rsidR="00713DA8">
        <w:rPr>
          <w:rFonts w:ascii="Palatino Linotype" w:hAnsi="Palatino Linotype" w:cs="Arial"/>
          <w:i/>
        </w:rPr>
        <w:t xml:space="preserve">1. Nomina general correspondiente al periodo comprendido del uno al quince de febrero de dos mil diecinueve. </w:t>
      </w:r>
    </w:p>
    <w:p w:rsidR="00713DA8" w:rsidRDefault="00713DA8" w:rsidP="00713DA8">
      <w:pPr>
        <w:pStyle w:val="Prrafodelista"/>
        <w:spacing w:before="240" w:after="0" w:line="360" w:lineRule="auto"/>
        <w:ind w:left="1080"/>
        <w:contextualSpacing w:val="0"/>
        <w:jc w:val="both"/>
        <w:rPr>
          <w:rFonts w:ascii="Palatino Linotype" w:hAnsi="Palatino Linotype" w:cs="Arial"/>
          <w:i/>
        </w:rPr>
      </w:pPr>
      <w:r>
        <w:rPr>
          <w:rFonts w:ascii="Palatino Linotype" w:hAnsi="Palatino Linotype" w:cs="Arial"/>
          <w:i/>
        </w:rPr>
        <w:t xml:space="preserve">2. Lista de raya correspondiente al periodo comprendido del uno al quince de febrero de dos mil diecinueve. </w:t>
      </w:r>
    </w:p>
    <w:p w:rsidR="001A3C33" w:rsidRDefault="001A3C33" w:rsidP="00713DA8">
      <w:pPr>
        <w:pStyle w:val="Prrafodelista"/>
        <w:spacing w:before="240" w:after="0" w:line="360" w:lineRule="auto"/>
        <w:ind w:left="1080"/>
        <w:contextualSpacing w:val="0"/>
        <w:jc w:val="both"/>
        <w:rPr>
          <w:rFonts w:ascii="Palatino Linotype" w:hAnsi="Palatino Linotype" w:cs="Arial"/>
          <w:i/>
        </w:rPr>
      </w:pPr>
    </w:p>
    <w:p w:rsidR="00713DA8" w:rsidRDefault="00713DA8" w:rsidP="00713DA8">
      <w:pPr>
        <w:pStyle w:val="Prrafodelista"/>
        <w:spacing w:before="240" w:line="360" w:lineRule="auto"/>
        <w:ind w:left="1080"/>
        <w:jc w:val="both"/>
        <w:rPr>
          <w:rFonts w:ascii="Palatino Linotype" w:hAnsi="Palatino Linotype" w:cs="Arial"/>
          <w:i/>
        </w:rPr>
      </w:pPr>
      <w:r>
        <w:rPr>
          <w:rFonts w:ascii="Palatino Linotype" w:hAnsi="Palatino Linotype" w:cs="Arial"/>
          <w:i/>
        </w:rPr>
        <w:t xml:space="preserve">Para el caso de que </w:t>
      </w:r>
      <w:r>
        <w:rPr>
          <w:rFonts w:ascii="Palatino Linotype" w:hAnsi="Palatino Linotype" w:cs="Arial"/>
          <w:b/>
          <w:i/>
        </w:rPr>
        <w:t xml:space="preserve">El Sujeto Obligado </w:t>
      </w:r>
      <w:r>
        <w:rPr>
          <w:rFonts w:ascii="Palatino Linotype" w:hAnsi="Palatino Linotype" w:cs="Arial"/>
          <w:i/>
        </w:rPr>
        <w:t xml:space="preserve">no haya generado la información relativa al numeral 2), bastará con que lo haga del conocimiento del </w:t>
      </w:r>
      <w:r>
        <w:rPr>
          <w:rFonts w:ascii="Palatino Linotype" w:hAnsi="Palatino Linotype" w:cs="Arial"/>
          <w:b/>
          <w:i/>
        </w:rPr>
        <w:t>Recurrente</w:t>
      </w:r>
      <w:r>
        <w:rPr>
          <w:rFonts w:ascii="Palatino Linotype" w:hAnsi="Palatino Linotype" w:cs="Arial"/>
          <w:i/>
        </w:rPr>
        <w:t xml:space="preserve"> al momento de dar cumplimiento a la presente resolución. </w:t>
      </w:r>
    </w:p>
    <w:p w:rsidR="00713DA8" w:rsidRDefault="00713DA8" w:rsidP="00713DA8">
      <w:pPr>
        <w:pStyle w:val="Prrafodelista"/>
        <w:spacing w:before="240" w:line="360" w:lineRule="auto"/>
        <w:ind w:left="1080"/>
        <w:jc w:val="both"/>
        <w:rPr>
          <w:rFonts w:ascii="Palatino Linotype" w:hAnsi="Palatino Linotype" w:cs="Arial"/>
          <w:i/>
        </w:rPr>
      </w:pPr>
    </w:p>
    <w:p w:rsidR="00F3751F" w:rsidRPr="00F3751F" w:rsidRDefault="00713DA8" w:rsidP="00713DA8">
      <w:pPr>
        <w:pStyle w:val="Prrafodelista"/>
        <w:spacing w:before="240" w:line="360" w:lineRule="auto"/>
        <w:ind w:left="1080"/>
        <w:jc w:val="both"/>
        <w:rPr>
          <w:rFonts w:ascii="Palatino Linotype" w:hAnsi="Palatino Linotype" w:cs="Arial"/>
          <w:i/>
        </w:rPr>
      </w:pPr>
      <w:r>
        <w:rPr>
          <w:rFonts w:ascii="Palatino Linotype" w:hAnsi="Palatino Linotype" w:cs="Arial"/>
          <w:i/>
        </w:rPr>
        <w:lastRenderedPageBreak/>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r w:rsidR="00F3751F" w:rsidRPr="00F3751F">
        <w:rPr>
          <w:rFonts w:ascii="Palatino Linotype" w:hAnsi="Palatino Linotype" w:cs="Arial"/>
          <w:i/>
        </w:rPr>
        <w:t>”</w:t>
      </w:r>
    </w:p>
    <w:p w:rsidR="00FD0C70" w:rsidRDefault="00FD0C70" w:rsidP="00FD0C70">
      <w:pPr>
        <w:pStyle w:val="Prrafodelista"/>
        <w:spacing w:after="0" w:line="360" w:lineRule="auto"/>
        <w:ind w:left="426"/>
        <w:jc w:val="both"/>
        <w:rPr>
          <w:rFonts w:ascii="Palatino Linotype" w:hAnsi="Palatino Linotype" w:cs="Arial"/>
          <w:sz w:val="24"/>
          <w:szCs w:val="24"/>
        </w:rPr>
      </w:pPr>
    </w:p>
    <w:p w:rsidR="000708B6" w:rsidRDefault="002D2293" w:rsidP="000708B6">
      <w:pPr>
        <w:pStyle w:val="Prrafodelista"/>
        <w:numPr>
          <w:ilvl w:val="0"/>
          <w:numId w:val="1"/>
        </w:numPr>
        <w:spacing w:after="0" w:line="360" w:lineRule="auto"/>
        <w:ind w:left="426"/>
        <w:jc w:val="both"/>
        <w:rPr>
          <w:rFonts w:ascii="Palatino Linotype" w:hAnsi="Palatino Linotype" w:cs="Arial"/>
          <w:sz w:val="24"/>
          <w:szCs w:val="24"/>
        </w:rPr>
      </w:pPr>
      <w:r w:rsidRPr="002D2293">
        <w:rPr>
          <w:rFonts w:ascii="Palatino Linotype" w:hAnsi="Palatino Linotype" w:cs="Arial"/>
          <w:sz w:val="24"/>
          <w:szCs w:val="24"/>
        </w:rPr>
        <w:t xml:space="preserve">Mi voto particular se deriva </w:t>
      </w:r>
      <w:r w:rsidR="00F3751F">
        <w:rPr>
          <w:rFonts w:ascii="Palatino Linotype" w:hAnsi="Palatino Linotype" w:cs="Arial"/>
          <w:sz w:val="24"/>
          <w:szCs w:val="24"/>
        </w:rPr>
        <w:t xml:space="preserve">de </w:t>
      </w:r>
      <w:r w:rsidR="00713DA8">
        <w:rPr>
          <w:rFonts w:ascii="Palatino Linotype" w:hAnsi="Palatino Linotype" w:cs="Arial"/>
          <w:sz w:val="24"/>
          <w:szCs w:val="24"/>
        </w:rPr>
        <w:t>dos</w:t>
      </w:r>
      <w:r w:rsidR="00F3751F">
        <w:rPr>
          <w:rFonts w:ascii="Palatino Linotype" w:hAnsi="Palatino Linotype" w:cs="Arial"/>
          <w:sz w:val="24"/>
          <w:szCs w:val="24"/>
        </w:rPr>
        <w:t xml:space="preserve"> aspectos medulares, </w:t>
      </w:r>
      <w:r w:rsidR="000708B6">
        <w:rPr>
          <w:rFonts w:ascii="Palatino Linotype" w:hAnsi="Palatino Linotype" w:cs="Arial"/>
          <w:sz w:val="24"/>
          <w:szCs w:val="24"/>
        </w:rPr>
        <w:t>siendo los siguientes:</w:t>
      </w:r>
    </w:p>
    <w:p w:rsidR="001A3C33" w:rsidRDefault="001A3C33" w:rsidP="001A3C33">
      <w:pPr>
        <w:pStyle w:val="Prrafodelista"/>
        <w:spacing w:after="0" w:line="360" w:lineRule="auto"/>
        <w:ind w:left="426"/>
        <w:jc w:val="both"/>
        <w:rPr>
          <w:rFonts w:ascii="Palatino Linotype" w:hAnsi="Palatino Linotype" w:cs="Arial"/>
          <w:sz w:val="24"/>
          <w:szCs w:val="24"/>
        </w:rPr>
      </w:pPr>
    </w:p>
    <w:p w:rsidR="000708B6" w:rsidRDefault="000708B6" w:rsidP="000708B6">
      <w:pPr>
        <w:pStyle w:val="Prrafodelista"/>
        <w:numPr>
          <w:ilvl w:val="0"/>
          <w:numId w:val="19"/>
        </w:numPr>
        <w:spacing w:after="0" w:line="360" w:lineRule="auto"/>
        <w:jc w:val="both"/>
        <w:rPr>
          <w:rFonts w:ascii="Palatino Linotype" w:hAnsi="Palatino Linotype" w:cs="Arial"/>
          <w:sz w:val="24"/>
          <w:szCs w:val="24"/>
        </w:rPr>
      </w:pPr>
      <w:r>
        <w:rPr>
          <w:rFonts w:ascii="Palatino Linotype" w:hAnsi="Palatino Linotype" w:cs="Arial"/>
          <w:sz w:val="24"/>
          <w:szCs w:val="24"/>
        </w:rPr>
        <w:t>Se estableció que en caso de que no se haya generado la información sólo bastará con que lo haga de conocimiento del particular, siendo un pronunciamiento simple;</w:t>
      </w:r>
    </w:p>
    <w:p w:rsidR="00713DA8" w:rsidRPr="00713DA8" w:rsidRDefault="000708B6" w:rsidP="00713DA8">
      <w:pPr>
        <w:pStyle w:val="Prrafodelista"/>
        <w:numPr>
          <w:ilvl w:val="0"/>
          <w:numId w:val="19"/>
        </w:num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estipuló </w:t>
      </w:r>
      <w:r w:rsidR="00713DA8">
        <w:rPr>
          <w:rFonts w:ascii="Palatino Linotype" w:hAnsi="Palatino Linotype" w:cs="Arial"/>
          <w:sz w:val="24"/>
          <w:szCs w:val="24"/>
        </w:rPr>
        <w:t xml:space="preserve">en el estudio de la resolución que, el nombre de los elementos de seguridad pública </w:t>
      </w:r>
      <w:r w:rsidR="00713DA8" w:rsidRPr="00713DA8">
        <w:rPr>
          <w:rFonts w:ascii="Palatino Linotype" w:hAnsi="Palatino Linotype" w:cs="Arial"/>
        </w:rPr>
        <w:t xml:space="preserve">y que en los documentos a los cuales piden acceso contienen información de interés público, que pudiera poner en riesgo la vida de los servidores públicos, por lo que la ponencia resolutora si bien señaló que pese a la naturaleza de la información, la misma era susceptible de entregarse, en versión pública, era pertinente testar los datos personales, criterio que no comparto, pues en el caso particular es viable ordenar su entrega </w:t>
      </w:r>
      <w:r w:rsidR="00713DA8" w:rsidRPr="00713DA8">
        <w:rPr>
          <w:rFonts w:ascii="Palatino Linotype" w:hAnsi="Palatino Linotype" w:cs="Arial"/>
          <w:b/>
        </w:rPr>
        <w:t xml:space="preserve">disociando </w:t>
      </w:r>
      <w:r w:rsidR="00713DA8" w:rsidRPr="00713DA8">
        <w:rPr>
          <w:rFonts w:ascii="Palatino Linotype" w:hAnsi="Palatino Linotype" w:cs="Arial"/>
        </w:rPr>
        <w:t>la información referente a los nombres, y no sólo testarlos u ordenarlos clasificar como información reservada.</w:t>
      </w:r>
    </w:p>
    <w:p w:rsidR="00713DA8" w:rsidRDefault="00713DA8" w:rsidP="00713DA8">
      <w:pPr>
        <w:pStyle w:val="Prrafodelista"/>
        <w:spacing w:after="0" w:line="360" w:lineRule="auto"/>
        <w:ind w:left="1146"/>
        <w:jc w:val="both"/>
        <w:rPr>
          <w:rFonts w:ascii="Palatino Linotype" w:hAnsi="Palatino Linotype" w:cs="Arial"/>
          <w:sz w:val="24"/>
          <w:szCs w:val="24"/>
        </w:rPr>
      </w:pPr>
    </w:p>
    <w:p w:rsidR="00D42114" w:rsidRDefault="00625340" w:rsidP="001A3C33">
      <w:pPr>
        <w:pStyle w:val="Prrafodelista"/>
        <w:numPr>
          <w:ilvl w:val="0"/>
          <w:numId w:val="1"/>
        </w:numPr>
        <w:spacing w:before="240" w:after="240" w:line="360" w:lineRule="auto"/>
        <w:ind w:left="426"/>
        <w:jc w:val="both"/>
        <w:rPr>
          <w:rFonts w:ascii="Palatino Linotype" w:hAnsi="Palatino Linotype" w:cs="Arial"/>
          <w:sz w:val="24"/>
          <w:szCs w:val="24"/>
        </w:rPr>
      </w:pPr>
      <w:r w:rsidRPr="00CB2E7B">
        <w:rPr>
          <w:rFonts w:ascii="Palatino Linotype" w:hAnsi="Palatino Linotype" w:cs="Arial"/>
          <w:sz w:val="24"/>
          <w:szCs w:val="24"/>
        </w:rPr>
        <w:lastRenderedPageBreak/>
        <w:t>Por tal motivo y e</w:t>
      </w:r>
      <w:r w:rsidR="006F18A4" w:rsidRPr="00CB2E7B">
        <w:rPr>
          <w:rFonts w:ascii="Palatino Linotype" w:hAnsi="Palatino Linotype" w:cs="Arial"/>
          <w:sz w:val="24"/>
          <w:szCs w:val="24"/>
        </w:rPr>
        <w:t>n términos de lo señalado por el</w:t>
      </w:r>
      <w:r w:rsidRPr="00CB2E7B">
        <w:rPr>
          <w:rFonts w:ascii="Palatino Linotype" w:hAnsi="Palatino Linotype" w:cs="Arial"/>
          <w:sz w:val="24"/>
          <w:szCs w:val="24"/>
        </w:rPr>
        <w:t xml:space="preserve"> artículo </w:t>
      </w:r>
      <w:r w:rsidR="006F18A4" w:rsidRPr="00CB2E7B">
        <w:rPr>
          <w:rFonts w:ascii="Palatino Linotype" w:hAnsi="Palatino Linotype" w:cs="Arial"/>
          <w:sz w:val="24"/>
          <w:szCs w:val="24"/>
        </w:rPr>
        <w:t>14</w:t>
      </w:r>
      <w:r w:rsidRPr="00CB2E7B">
        <w:rPr>
          <w:rFonts w:ascii="Palatino Linotype" w:hAnsi="Palatino Linotype" w:cs="Arial"/>
          <w:sz w:val="24"/>
          <w:szCs w:val="24"/>
        </w:rPr>
        <w:t xml:space="preserve"> fracción X</w:t>
      </w:r>
      <w:r w:rsidR="00F313D4" w:rsidRPr="00CB2E7B">
        <w:rPr>
          <w:rFonts w:ascii="Palatino Linotype" w:hAnsi="Palatino Linotype" w:cs="Arial"/>
          <w:sz w:val="24"/>
          <w:szCs w:val="24"/>
        </w:rPr>
        <w:t>I</w:t>
      </w:r>
      <w:r w:rsidRPr="00CB2E7B">
        <w:rPr>
          <w:rFonts w:ascii="Palatino Linotype" w:hAnsi="Palatino Linotype" w:cs="Arial"/>
          <w:sz w:val="24"/>
          <w:szCs w:val="24"/>
        </w:rPr>
        <w:t xml:space="preserve"> del Reglamento Interior del Instituto de Transparencia y Acceso a la Información Pública del Estado de México y Municipios formulo la presente</w:t>
      </w:r>
      <w:r w:rsidR="00703F02" w:rsidRPr="00CB2E7B">
        <w:rPr>
          <w:rFonts w:ascii="Palatino Linotype" w:hAnsi="Palatino Linotype" w:cs="Arial"/>
          <w:sz w:val="24"/>
          <w:szCs w:val="24"/>
        </w:rPr>
        <w:t xml:space="preserve"> </w:t>
      </w:r>
      <w:r w:rsidR="00C02AF0" w:rsidRPr="00CB2E7B">
        <w:rPr>
          <w:rFonts w:ascii="Palatino Linotype" w:hAnsi="Palatino Linotype" w:cs="Arial"/>
          <w:sz w:val="24"/>
          <w:szCs w:val="24"/>
        </w:rPr>
        <w:t>voto</w:t>
      </w:r>
      <w:r w:rsidRPr="00CB2E7B">
        <w:rPr>
          <w:rFonts w:ascii="Palatino Linotype" w:hAnsi="Palatino Linotype" w:cs="Arial"/>
          <w:sz w:val="24"/>
          <w:szCs w:val="24"/>
        </w:rPr>
        <w:t xml:space="preserve"> particular.</w:t>
      </w:r>
    </w:p>
    <w:p w:rsidR="002D2293" w:rsidRPr="002D2293" w:rsidRDefault="002D2293" w:rsidP="002D2293">
      <w:pPr>
        <w:pStyle w:val="Prrafodelista"/>
        <w:rPr>
          <w:rFonts w:ascii="Palatino Linotype" w:hAnsi="Palatino Linotype" w:cs="Arial"/>
          <w:sz w:val="24"/>
          <w:szCs w:val="24"/>
        </w:rPr>
      </w:pPr>
    </w:p>
    <w:p w:rsidR="002D2293" w:rsidRDefault="00452002" w:rsidP="003E4DF1">
      <w:pPr>
        <w:pStyle w:val="Ttulo1"/>
        <w:numPr>
          <w:ilvl w:val="0"/>
          <w:numId w:val="2"/>
        </w:numPr>
      </w:pPr>
      <w:bookmarkStart w:id="2" w:name="_Toc11082584"/>
      <w:r>
        <w:t>DE LOS REQUERIMIENTOS PLANTEADOS.</w:t>
      </w:r>
      <w:bookmarkEnd w:id="2"/>
    </w:p>
    <w:p w:rsidR="002D2293" w:rsidRDefault="002D2293" w:rsidP="002D2293">
      <w:pPr>
        <w:pStyle w:val="Prrafodelista"/>
        <w:spacing w:before="240" w:after="240" w:line="360" w:lineRule="auto"/>
        <w:jc w:val="both"/>
        <w:rPr>
          <w:rFonts w:ascii="Palatino Linotype" w:hAnsi="Palatino Linotype" w:cs="Arial"/>
          <w:sz w:val="24"/>
          <w:szCs w:val="24"/>
        </w:rPr>
      </w:pPr>
    </w:p>
    <w:p w:rsidR="000708B6" w:rsidRDefault="002D2293" w:rsidP="003E4DF1">
      <w:pPr>
        <w:pStyle w:val="Prrafodelista"/>
        <w:numPr>
          <w:ilvl w:val="0"/>
          <w:numId w:val="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 xml:space="preserve">Se solicitó al Sujeto Obligado </w:t>
      </w:r>
      <w:r w:rsidR="000708B6">
        <w:rPr>
          <w:rFonts w:ascii="Palatino Linotype" w:hAnsi="Palatino Linotype" w:cs="Arial"/>
          <w:sz w:val="24"/>
          <w:szCs w:val="24"/>
        </w:rPr>
        <w:t>lo siguiente:</w:t>
      </w:r>
    </w:p>
    <w:p w:rsidR="000708B6" w:rsidRDefault="000708B6" w:rsidP="000708B6">
      <w:pPr>
        <w:pStyle w:val="Prrafodelista"/>
        <w:spacing w:before="240" w:after="240" w:line="360" w:lineRule="auto"/>
        <w:ind w:left="426"/>
        <w:jc w:val="both"/>
        <w:rPr>
          <w:rFonts w:ascii="Palatino Linotype" w:hAnsi="Palatino Linotype" w:cs="Arial"/>
          <w:sz w:val="24"/>
          <w:szCs w:val="24"/>
        </w:rPr>
      </w:pPr>
    </w:p>
    <w:p w:rsidR="001D56E7" w:rsidRPr="001D56E7" w:rsidRDefault="001D56E7" w:rsidP="001D56E7">
      <w:pPr>
        <w:pStyle w:val="Prrafodelista"/>
        <w:numPr>
          <w:ilvl w:val="0"/>
          <w:numId w:val="21"/>
        </w:numPr>
        <w:tabs>
          <w:tab w:val="left" w:pos="709"/>
        </w:tabs>
        <w:spacing w:before="240" w:after="0" w:line="360" w:lineRule="auto"/>
        <w:ind w:right="51"/>
        <w:contextualSpacing w:val="0"/>
        <w:jc w:val="both"/>
        <w:rPr>
          <w:rFonts w:ascii="Palatino Linotype" w:hAnsi="Palatino Linotype" w:cs="Arial"/>
          <w:sz w:val="24"/>
          <w:szCs w:val="24"/>
        </w:rPr>
      </w:pPr>
      <w:r>
        <w:rPr>
          <w:rFonts w:ascii="Palatino Linotype" w:hAnsi="Palatino Linotype" w:cs="Arial"/>
          <w:bCs/>
          <w:lang w:eastAsia="es-MX"/>
        </w:rPr>
        <w:t>Nómina de la primera quincena de 2019, que incluya lista de raya, operativa y sindicalizados.</w:t>
      </w:r>
    </w:p>
    <w:p w:rsidR="000708B6" w:rsidRDefault="001D56E7" w:rsidP="001D56E7">
      <w:pPr>
        <w:pStyle w:val="Prrafodelista"/>
        <w:tabs>
          <w:tab w:val="left" w:pos="709"/>
        </w:tabs>
        <w:spacing w:before="240" w:after="0" w:line="360" w:lineRule="auto"/>
        <w:ind w:right="51"/>
        <w:contextualSpacing w:val="0"/>
        <w:jc w:val="both"/>
        <w:rPr>
          <w:rFonts w:ascii="Palatino Linotype" w:hAnsi="Palatino Linotype" w:cs="Arial"/>
          <w:sz w:val="24"/>
          <w:szCs w:val="24"/>
        </w:rPr>
      </w:pPr>
      <w:r>
        <w:rPr>
          <w:rFonts w:ascii="Palatino Linotype" w:hAnsi="Palatino Linotype" w:cs="Arial"/>
          <w:sz w:val="24"/>
          <w:szCs w:val="24"/>
        </w:rPr>
        <w:t xml:space="preserve"> </w:t>
      </w:r>
    </w:p>
    <w:p w:rsidR="00096250" w:rsidRDefault="001D56E7" w:rsidP="003E4DF1">
      <w:pPr>
        <w:pStyle w:val="Prrafodelista"/>
        <w:numPr>
          <w:ilvl w:val="0"/>
          <w:numId w:val="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El Sujeto Obligado no remitió respuesta ni informe justificado, siendo esto la inconformidad del recurrente.</w:t>
      </w:r>
    </w:p>
    <w:p w:rsidR="00096250" w:rsidRDefault="00096250" w:rsidP="00096250">
      <w:pPr>
        <w:pStyle w:val="Prrafodelista"/>
        <w:spacing w:before="240" w:after="240" w:line="360" w:lineRule="auto"/>
        <w:ind w:left="426"/>
        <w:jc w:val="both"/>
        <w:rPr>
          <w:rFonts w:ascii="Palatino Linotype" w:hAnsi="Palatino Linotype" w:cs="Arial"/>
          <w:sz w:val="24"/>
          <w:szCs w:val="24"/>
        </w:rPr>
      </w:pPr>
    </w:p>
    <w:p w:rsidR="005E1309" w:rsidRPr="0083373E" w:rsidRDefault="00452002" w:rsidP="005E1309">
      <w:pPr>
        <w:pStyle w:val="Ttulo1"/>
        <w:numPr>
          <w:ilvl w:val="0"/>
          <w:numId w:val="2"/>
        </w:numPr>
        <w:rPr>
          <w:b w:val="0"/>
          <w:color w:val="000000" w:themeColor="text1"/>
        </w:rPr>
      </w:pPr>
      <w:bookmarkStart w:id="3" w:name="_Toc273073"/>
      <w:bookmarkStart w:id="4" w:name="_Toc2684132"/>
      <w:bookmarkStart w:id="5" w:name="_Toc11082585"/>
      <w:r w:rsidRPr="0083373E">
        <w:rPr>
          <w:color w:val="000000" w:themeColor="text1"/>
        </w:rPr>
        <w:t>DEL PRONUNCIAMIENTO SIMPLE</w:t>
      </w:r>
      <w:bookmarkEnd w:id="3"/>
      <w:bookmarkEnd w:id="4"/>
      <w:bookmarkEnd w:id="5"/>
    </w:p>
    <w:p w:rsidR="005E1309" w:rsidRPr="00530CB3" w:rsidRDefault="005E1309" w:rsidP="005E1309"/>
    <w:p w:rsidR="005E1309" w:rsidRPr="005E1309" w:rsidRDefault="00096250" w:rsidP="005E1309">
      <w:pPr>
        <w:pStyle w:val="Prrafodelista"/>
        <w:numPr>
          <w:ilvl w:val="0"/>
          <w:numId w:val="1"/>
        </w:numPr>
        <w:spacing w:before="240" w:after="240" w:line="360" w:lineRule="auto"/>
        <w:ind w:left="426" w:right="49"/>
        <w:jc w:val="both"/>
        <w:rPr>
          <w:rFonts w:ascii="Palatino Linotype" w:eastAsia="Times New Roman" w:hAnsi="Palatino Linotype" w:cs="Arial"/>
          <w:i/>
          <w:sz w:val="24"/>
        </w:rPr>
      </w:pPr>
      <w:r>
        <w:rPr>
          <w:rFonts w:ascii="Palatino Linotype" w:eastAsia="Times New Roman" w:hAnsi="Palatino Linotype" w:cs="Arial"/>
          <w:sz w:val="24"/>
        </w:rPr>
        <w:t xml:space="preserve">El primer aspecto sobre el cual formulo el presente voto particular es en razón de que el Comisionado ponente </w:t>
      </w:r>
      <w:r w:rsidR="005E1309" w:rsidRPr="005E1309">
        <w:rPr>
          <w:rFonts w:ascii="Palatino Linotype" w:eastAsia="Times New Roman" w:hAnsi="Palatino Linotype" w:cs="Arial"/>
          <w:sz w:val="24"/>
        </w:rPr>
        <w:t>manifestó que</w:t>
      </w:r>
      <w:r>
        <w:rPr>
          <w:rFonts w:ascii="Palatino Linotype" w:eastAsia="Times New Roman" w:hAnsi="Palatino Linotype" w:cs="Arial"/>
          <w:sz w:val="24"/>
        </w:rPr>
        <w:t>,</w:t>
      </w:r>
      <w:r w:rsidR="005E1309" w:rsidRPr="005E1309">
        <w:rPr>
          <w:rFonts w:ascii="Palatino Linotype" w:eastAsia="Times New Roman" w:hAnsi="Palatino Linotype" w:cs="Arial"/>
          <w:sz w:val="24"/>
        </w:rPr>
        <w:t xml:space="preserve"> en el caso de que el </w:t>
      </w:r>
      <w:r w:rsidR="005E1309" w:rsidRPr="005E1309">
        <w:rPr>
          <w:rFonts w:ascii="Palatino Linotype" w:eastAsia="Times New Roman" w:hAnsi="Palatino Linotype" w:cs="Arial"/>
          <w:b/>
          <w:sz w:val="24"/>
        </w:rPr>
        <w:t xml:space="preserve">SUJETO OBLIGADO </w:t>
      </w:r>
      <w:r w:rsidR="005E1309" w:rsidRPr="005E1309">
        <w:rPr>
          <w:rFonts w:ascii="Palatino Linotype" w:eastAsia="Times New Roman" w:hAnsi="Palatino Linotype" w:cs="Arial"/>
          <w:sz w:val="24"/>
        </w:rPr>
        <w:t>no cuente con la información, bastará con que se pronuncie al respecto y lo haga del conocimiento del particular.</w:t>
      </w:r>
    </w:p>
    <w:p w:rsidR="005E1309" w:rsidRDefault="00096250" w:rsidP="005E1309">
      <w:pPr>
        <w:numPr>
          <w:ilvl w:val="0"/>
          <w:numId w:val="1"/>
        </w:numPr>
        <w:spacing w:after="0" w:line="360" w:lineRule="auto"/>
        <w:ind w:left="426" w:right="49" w:hanging="426"/>
        <w:contextualSpacing/>
        <w:jc w:val="both"/>
        <w:rPr>
          <w:rFonts w:ascii="Palatino Linotype" w:eastAsia="Calibri" w:hAnsi="Palatino Linotype" w:cs="Arial"/>
          <w:sz w:val="24"/>
          <w:szCs w:val="24"/>
        </w:rPr>
      </w:pPr>
      <w:r>
        <w:rPr>
          <w:rFonts w:ascii="Palatino Linotype" w:eastAsia="Calibri" w:hAnsi="Palatino Linotype" w:cs="Arial"/>
          <w:sz w:val="24"/>
          <w:szCs w:val="24"/>
        </w:rPr>
        <w:lastRenderedPageBreak/>
        <w:t>E</w:t>
      </w:r>
      <w:r w:rsidR="005E1309" w:rsidRPr="00427B79">
        <w:rPr>
          <w:rFonts w:ascii="Palatino Linotype" w:eastAsia="Calibri" w:hAnsi="Palatino Linotype" w:cs="Arial"/>
          <w:sz w:val="24"/>
          <w:szCs w:val="24"/>
        </w:rPr>
        <w:t xml:space="preserve">l </w:t>
      </w:r>
      <w:r w:rsidR="005E1309" w:rsidRPr="00427B79">
        <w:rPr>
          <w:rFonts w:ascii="Palatino Linotype" w:eastAsia="Calibri" w:hAnsi="Palatino Linotype" w:cs="Arial"/>
          <w:b/>
          <w:sz w:val="24"/>
          <w:szCs w:val="24"/>
        </w:rPr>
        <w:t>SUJETO OBLIGADO</w:t>
      </w:r>
      <w:r w:rsidR="005E1309" w:rsidRPr="00427B79">
        <w:rPr>
          <w:rFonts w:ascii="Palatino Linotype" w:eastAsia="Calibri" w:hAnsi="Palatino Linotype" w:cs="Arial"/>
          <w:sz w:val="24"/>
          <w:szCs w:val="24"/>
        </w:rPr>
        <w:t xml:space="preserve"> en cuestión debe de demostrar que no genera, posee o administre la informa</w:t>
      </w:r>
      <w:r w:rsidR="005E1309">
        <w:rPr>
          <w:rFonts w:ascii="Palatino Linotype" w:eastAsia="Calibri" w:hAnsi="Palatino Linotype" w:cs="Arial"/>
          <w:sz w:val="24"/>
          <w:szCs w:val="24"/>
        </w:rPr>
        <w:t xml:space="preserve">ción que requiere el particular, debiendo motivar su respuesta en función de las causas que hayan generado tales circunstancias. </w:t>
      </w:r>
    </w:p>
    <w:p w:rsidR="005E1309" w:rsidRPr="00427B79" w:rsidRDefault="005E1309" w:rsidP="005E1309">
      <w:pPr>
        <w:spacing w:after="0" w:line="360" w:lineRule="auto"/>
        <w:ind w:left="426" w:right="49"/>
        <w:contextualSpacing/>
        <w:jc w:val="both"/>
        <w:rPr>
          <w:rFonts w:ascii="Palatino Linotype" w:eastAsia="Calibri" w:hAnsi="Palatino Linotype" w:cs="Arial"/>
          <w:sz w:val="24"/>
          <w:szCs w:val="24"/>
        </w:rPr>
      </w:pPr>
    </w:p>
    <w:p w:rsidR="005E1309" w:rsidRPr="00096250" w:rsidRDefault="005E1309" w:rsidP="00452002">
      <w:pPr>
        <w:pStyle w:val="Ttulo2"/>
        <w:numPr>
          <w:ilvl w:val="0"/>
          <w:numId w:val="13"/>
        </w:numPr>
        <w:ind w:left="567" w:hanging="284"/>
        <w:rPr>
          <w:rFonts w:ascii="Palatino Linotype" w:hAnsi="Palatino Linotype"/>
          <w:b/>
          <w:color w:val="auto"/>
          <w:sz w:val="24"/>
        </w:rPr>
      </w:pPr>
      <w:r w:rsidRPr="00096250">
        <w:rPr>
          <w:rFonts w:ascii="Palatino Linotype" w:hAnsi="Palatino Linotype"/>
          <w:b/>
          <w:color w:val="auto"/>
          <w:sz w:val="24"/>
        </w:rPr>
        <w:t xml:space="preserve">  </w:t>
      </w:r>
      <w:bookmarkStart w:id="6" w:name="_Toc273074"/>
      <w:bookmarkStart w:id="7" w:name="_Toc2684133"/>
      <w:bookmarkStart w:id="8" w:name="_Toc11082586"/>
      <w:r w:rsidRPr="00096250">
        <w:rPr>
          <w:rFonts w:ascii="Palatino Linotype" w:hAnsi="Palatino Linotype"/>
          <w:b/>
          <w:color w:val="auto"/>
          <w:sz w:val="24"/>
        </w:rPr>
        <w:t>Del Derecho de Acceso a la información pública y el deber de motivar.</w:t>
      </w:r>
      <w:bookmarkEnd w:id="6"/>
      <w:bookmarkEnd w:id="7"/>
      <w:bookmarkEnd w:id="8"/>
    </w:p>
    <w:p w:rsidR="005E1309" w:rsidRDefault="005E1309" w:rsidP="005E1309">
      <w:pPr>
        <w:pStyle w:val="Prrafodelista"/>
        <w:spacing w:line="360" w:lineRule="auto"/>
        <w:ind w:left="426"/>
        <w:jc w:val="both"/>
        <w:rPr>
          <w:rFonts w:ascii="Palatino Linotype" w:hAnsi="Palatino Linotype" w:cs="Arial"/>
          <w:sz w:val="24"/>
          <w:szCs w:val="24"/>
        </w:rPr>
      </w:pPr>
    </w:p>
    <w:p w:rsidR="005E1309" w:rsidRPr="00427B79" w:rsidRDefault="005E1309" w:rsidP="005E1309">
      <w:pPr>
        <w:pStyle w:val="Prrafodelista"/>
        <w:numPr>
          <w:ilvl w:val="0"/>
          <w:numId w:val="1"/>
        </w:numPr>
        <w:spacing w:after="0" w:line="360" w:lineRule="auto"/>
        <w:ind w:left="426" w:hanging="426"/>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5E1309" w:rsidRPr="00427B79" w:rsidRDefault="005E1309" w:rsidP="005E1309">
      <w:pPr>
        <w:pStyle w:val="Prrafodelista"/>
        <w:spacing w:after="0" w:line="360" w:lineRule="auto"/>
        <w:ind w:left="426" w:hanging="426"/>
        <w:jc w:val="both"/>
        <w:rPr>
          <w:rFonts w:ascii="Palatino Linotype" w:hAnsi="Palatino Linotype" w:cs="Arial"/>
          <w:sz w:val="24"/>
          <w:szCs w:val="24"/>
        </w:rPr>
      </w:pPr>
    </w:p>
    <w:p w:rsidR="005E1309" w:rsidRPr="00427B79" w:rsidRDefault="005E1309" w:rsidP="005E1309">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5E1309" w:rsidRPr="00427B79" w:rsidRDefault="005E1309" w:rsidP="005E1309">
      <w:pPr>
        <w:pStyle w:val="Prrafodelista"/>
        <w:spacing w:before="240" w:after="240" w:line="360" w:lineRule="auto"/>
        <w:ind w:left="426" w:hanging="426"/>
        <w:jc w:val="both"/>
        <w:rPr>
          <w:rFonts w:ascii="Palatino Linotype" w:hAnsi="Palatino Linotype" w:cs="Arial"/>
          <w:sz w:val="24"/>
          <w:szCs w:val="24"/>
        </w:rPr>
      </w:pPr>
    </w:p>
    <w:p w:rsidR="005E1309" w:rsidRPr="00427B79" w:rsidRDefault="005E1309" w:rsidP="005E1309">
      <w:pPr>
        <w:pStyle w:val="Prrafodelista"/>
        <w:numPr>
          <w:ilvl w:val="0"/>
          <w:numId w:val="8"/>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5E1309" w:rsidRPr="00427B79" w:rsidRDefault="005E1309" w:rsidP="005E1309">
      <w:pPr>
        <w:pStyle w:val="Prrafodelista"/>
        <w:numPr>
          <w:ilvl w:val="0"/>
          <w:numId w:val="8"/>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5E1309" w:rsidRPr="00427B79" w:rsidRDefault="005E1309" w:rsidP="005E1309">
      <w:pPr>
        <w:pStyle w:val="Prrafodelista"/>
        <w:numPr>
          <w:ilvl w:val="0"/>
          <w:numId w:val="8"/>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5E1309" w:rsidRPr="00427B79" w:rsidRDefault="005E1309" w:rsidP="005E1309">
      <w:pPr>
        <w:pStyle w:val="Prrafodelista"/>
        <w:numPr>
          <w:ilvl w:val="0"/>
          <w:numId w:val="8"/>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5E1309" w:rsidRPr="00427B79" w:rsidRDefault="005E1309" w:rsidP="005E1309">
      <w:pPr>
        <w:pStyle w:val="Prrafodelista"/>
        <w:numPr>
          <w:ilvl w:val="0"/>
          <w:numId w:val="8"/>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5E1309" w:rsidRPr="00427B79" w:rsidRDefault="005E1309" w:rsidP="005E1309">
      <w:pPr>
        <w:pStyle w:val="Prrafodelista"/>
        <w:numPr>
          <w:ilvl w:val="0"/>
          <w:numId w:val="8"/>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5E1309" w:rsidRPr="00427B79" w:rsidRDefault="005E1309" w:rsidP="005E1309">
      <w:pPr>
        <w:pStyle w:val="Prrafodelista"/>
        <w:autoSpaceDE w:val="0"/>
        <w:autoSpaceDN w:val="0"/>
        <w:adjustRightInd w:val="0"/>
        <w:spacing w:before="240" w:after="240" w:line="360" w:lineRule="auto"/>
        <w:ind w:left="426" w:right="616" w:hanging="426"/>
        <w:jc w:val="both"/>
        <w:rPr>
          <w:rFonts w:ascii="Palatino Linotype" w:hAnsi="Palatino Linotype" w:cs="Arial"/>
          <w:bCs/>
          <w:color w:val="000000" w:themeColor="text1"/>
          <w:sz w:val="24"/>
          <w:szCs w:val="24"/>
        </w:rPr>
      </w:pPr>
    </w:p>
    <w:p w:rsidR="005E1309" w:rsidRPr="00427B79" w:rsidRDefault="005E1309" w:rsidP="005E1309">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w:t>
      </w:r>
      <w:r w:rsidRPr="00427B79">
        <w:rPr>
          <w:rFonts w:ascii="Palatino Linotype" w:hAnsi="Palatino Linotype" w:cs="Arial"/>
          <w:sz w:val="24"/>
          <w:szCs w:val="24"/>
        </w:rPr>
        <w:lastRenderedPageBreak/>
        <w:t>ejercicio de sus atribuciones legales o que por cualquier circunstancia obre en sus archivos.</w:t>
      </w:r>
    </w:p>
    <w:p w:rsidR="005E1309" w:rsidRPr="00427B79" w:rsidRDefault="005E1309" w:rsidP="005E1309">
      <w:pPr>
        <w:pStyle w:val="Prrafodelista"/>
        <w:spacing w:before="240" w:after="240" w:line="360" w:lineRule="auto"/>
        <w:ind w:left="426" w:hanging="426"/>
        <w:jc w:val="both"/>
        <w:rPr>
          <w:rFonts w:ascii="Palatino Linotype" w:hAnsi="Palatino Linotype" w:cs="Arial"/>
          <w:sz w:val="24"/>
          <w:szCs w:val="24"/>
        </w:rPr>
      </w:pPr>
    </w:p>
    <w:p w:rsidR="005E1309" w:rsidRPr="00427B79" w:rsidRDefault="005E1309" w:rsidP="005E1309">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5E1309" w:rsidRPr="00427B79" w:rsidRDefault="005E1309" w:rsidP="005E1309">
      <w:pPr>
        <w:pStyle w:val="Prrafodelista"/>
        <w:spacing w:before="240" w:after="240" w:line="360" w:lineRule="auto"/>
        <w:ind w:left="426" w:hanging="426"/>
        <w:jc w:val="both"/>
        <w:rPr>
          <w:rFonts w:ascii="Palatino Linotype" w:hAnsi="Palatino Linotype" w:cs="Arial"/>
          <w:sz w:val="24"/>
          <w:szCs w:val="24"/>
        </w:rPr>
      </w:pPr>
    </w:p>
    <w:p w:rsidR="005E1309" w:rsidRPr="00427B79" w:rsidRDefault="005E1309" w:rsidP="005E1309">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5E1309" w:rsidRPr="00427B79" w:rsidRDefault="005E1309" w:rsidP="005E1309">
      <w:pPr>
        <w:pStyle w:val="Prrafodelista"/>
        <w:spacing w:before="240" w:after="240" w:line="360" w:lineRule="auto"/>
        <w:ind w:left="426" w:hanging="426"/>
        <w:jc w:val="both"/>
        <w:rPr>
          <w:rFonts w:ascii="Palatino Linotype" w:hAnsi="Palatino Linotype" w:cs="Arial"/>
          <w:sz w:val="24"/>
          <w:szCs w:val="24"/>
        </w:rPr>
      </w:pPr>
    </w:p>
    <w:p w:rsidR="005E1309" w:rsidRPr="00427B79" w:rsidRDefault="005E1309" w:rsidP="005E1309">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w:t>
      </w:r>
      <w:r w:rsidRPr="00427B79">
        <w:rPr>
          <w:rFonts w:ascii="Palatino Linotype" w:hAnsi="Palatino Linotype"/>
          <w:sz w:val="24"/>
          <w:szCs w:val="24"/>
        </w:rPr>
        <w:lastRenderedPageBreak/>
        <w:t>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5E1309" w:rsidRPr="00427B79" w:rsidRDefault="005E1309" w:rsidP="005E1309">
      <w:pPr>
        <w:pStyle w:val="Prrafodelista"/>
        <w:spacing w:before="240" w:after="240" w:line="360" w:lineRule="auto"/>
        <w:ind w:left="426" w:hanging="426"/>
        <w:jc w:val="both"/>
        <w:rPr>
          <w:rFonts w:ascii="Palatino Linotype" w:hAnsi="Palatino Linotype" w:cs="Arial"/>
          <w:sz w:val="24"/>
          <w:szCs w:val="24"/>
        </w:rPr>
      </w:pPr>
    </w:p>
    <w:p w:rsidR="005E1309" w:rsidRPr="00427B79" w:rsidRDefault="005E1309" w:rsidP="005E1309">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5E1309" w:rsidRPr="00427B79" w:rsidRDefault="005E1309" w:rsidP="005E1309">
      <w:pPr>
        <w:pStyle w:val="Prrafodelista"/>
        <w:spacing w:before="240" w:after="240" w:line="360" w:lineRule="auto"/>
        <w:ind w:left="426" w:hanging="426"/>
        <w:jc w:val="both"/>
        <w:rPr>
          <w:rFonts w:ascii="Palatino Linotype" w:hAnsi="Palatino Linotype" w:cs="Arial"/>
          <w:sz w:val="24"/>
          <w:szCs w:val="24"/>
        </w:rPr>
      </w:pPr>
    </w:p>
    <w:p w:rsidR="005E1309" w:rsidRPr="00427B79" w:rsidRDefault="005E1309" w:rsidP="005E1309">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5E1309" w:rsidRPr="00427B79" w:rsidRDefault="005E1309" w:rsidP="005E1309">
      <w:pPr>
        <w:pStyle w:val="Prrafodelista"/>
        <w:spacing w:before="240" w:after="240" w:line="360" w:lineRule="auto"/>
        <w:ind w:left="426" w:hanging="426"/>
        <w:jc w:val="both"/>
        <w:rPr>
          <w:rFonts w:ascii="Palatino Linotype" w:hAnsi="Palatino Linotype" w:cs="Arial"/>
          <w:sz w:val="24"/>
          <w:szCs w:val="24"/>
          <w:highlight w:val="lightGray"/>
        </w:rPr>
      </w:pPr>
    </w:p>
    <w:p w:rsidR="005E1309" w:rsidRPr="00D35B4C" w:rsidRDefault="005E1309" w:rsidP="005E1309">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D35B4C">
        <w:rPr>
          <w:rFonts w:ascii="Palatino Linotype" w:hAnsi="Palatino Linotype"/>
          <w:sz w:val="24"/>
          <w:szCs w:val="24"/>
        </w:rPr>
        <w:t xml:space="preserve">En efecto, la Ley de Transparencia y Acceso a la Información Pública del Estado de México y Municipios, su propósito es transparentar el ejercicio de la función </w:t>
      </w:r>
      <w:r w:rsidRPr="00D35B4C">
        <w:rPr>
          <w:rFonts w:ascii="Palatino Linotype" w:hAnsi="Palatino Linotype"/>
          <w:sz w:val="24"/>
          <w:szCs w:val="24"/>
        </w:rPr>
        <w:lastRenderedPageBreak/>
        <w:t>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5E1309" w:rsidRPr="00D35B4C" w:rsidRDefault="005E1309" w:rsidP="005E1309">
      <w:pPr>
        <w:pStyle w:val="Prrafodelista"/>
        <w:spacing w:before="240" w:after="240" w:line="360" w:lineRule="auto"/>
        <w:ind w:left="426" w:hanging="426"/>
        <w:jc w:val="both"/>
        <w:rPr>
          <w:rFonts w:ascii="Palatino Linotype" w:hAnsi="Palatino Linotype" w:cs="Arial"/>
          <w:sz w:val="24"/>
          <w:szCs w:val="24"/>
        </w:rPr>
      </w:pPr>
    </w:p>
    <w:p w:rsidR="005E1309" w:rsidRPr="00D35B4C" w:rsidRDefault="005E1309" w:rsidP="005E1309">
      <w:pPr>
        <w:pStyle w:val="Prrafodelista"/>
        <w:numPr>
          <w:ilvl w:val="0"/>
          <w:numId w:val="1"/>
        </w:numPr>
        <w:pBdr>
          <w:top w:val="nil"/>
          <w:left w:val="nil"/>
          <w:bottom w:val="nil"/>
          <w:right w:val="nil"/>
          <w:between w:val="nil"/>
          <w:bar w:val="nil"/>
        </w:pBdr>
        <w:spacing w:before="240" w:after="240" w:line="360" w:lineRule="auto"/>
        <w:ind w:left="426" w:hanging="426"/>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5E1309" w:rsidRPr="006A0497" w:rsidRDefault="005E1309" w:rsidP="005E1309">
      <w:pPr>
        <w:pStyle w:val="Prrafodelista"/>
        <w:numPr>
          <w:ilvl w:val="0"/>
          <w:numId w:val="1"/>
        </w:numPr>
        <w:spacing w:before="240" w:after="240" w:line="360" w:lineRule="auto"/>
        <w:ind w:left="426" w:hanging="426"/>
        <w:jc w:val="both"/>
        <w:rPr>
          <w:rFonts w:ascii="Palatino Linotype" w:hAnsi="Palatino Linotype"/>
          <w:bCs/>
          <w:color w:val="000000" w:themeColor="text1"/>
          <w:sz w:val="24"/>
          <w:szCs w:val="24"/>
        </w:rPr>
      </w:pPr>
      <w:r w:rsidRPr="006A0497">
        <w:rPr>
          <w:rFonts w:ascii="Palatino Linotype" w:hAnsi="Palatino Linotype"/>
          <w:sz w:val="24"/>
          <w:szCs w:val="24"/>
        </w:rPr>
        <w:t>Bajo la tesitura de lo anteriormente expuesto</w:t>
      </w:r>
      <w:r w:rsidRPr="006A0497">
        <w:rPr>
          <w:rFonts w:ascii="Palatino Linotype" w:hAnsi="Palatino Linotype"/>
          <w:bCs/>
          <w:color w:val="000000" w:themeColor="text1"/>
          <w:sz w:val="24"/>
          <w:szCs w:val="24"/>
        </w:rPr>
        <w:t xml:space="preserve"> </w:t>
      </w:r>
      <w:r w:rsidRPr="006A0497">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5E1309" w:rsidRPr="006A0497" w:rsidRDefault="005E1309" w:rsidP="005E1309">
      <w:pPr>
        <w:pStyle w:val="Prrafodelista"/>
        <w:spacing w:before="240" w:after="240" w:line="360" w:lineRule="auto"/>
        <w:ind w:left="426" w:hanging="426"/>
        <w:jc w:val="both"/>
        <w:rPr>
          <w:rFonts w:ascii="Palatino Linotype" w:hAnsi="Palatino Linotype"/>
          <w:bCs/>
          <w:color w:val="000000" w:themeColor="text1"/>
          <w:sz w:val="24"/>
          <w:szCs w:val="24"/>
        </w:rPr>
      </w:pPr>
    </w:p>
    <w:p w:rsidR="005E1309" w:rsidRPr="006A0497" w:rsidRDefault="005E1309" w:rsidP="005E1309">
      <w:pPr>
        <w:pStyle w:val="Prrafodelista"/>
        <w:numPr>
          <w:ilvl w:val="0"/>
          <w:numId w:val="1"/>
        </w:numPr>
        <w:spacing w:before="240" w:after="240" w:line="360" w:lineRule="auto"/>
        <w:ind w:left="426" w:hanging="426"/>
        <w:jc w:val="both"/>
        <w:rPr>
          <w:rFonts w:ascii="Palatino Linotype" w:hAnsi="Palatino Linotype"/>
          <w:bCs/>
          <w:color w:val="000000" w:themeColor="text1"/>
          <w:sz w:val="24"/>
          <w:szCs w:val="24"/>
        </w:rPr>
      </w:pPr>
      <w:r w:rsidRPr="006A0497">
        <w:rPr>
          <w:rFonts w:ascii="Palatino Linotype" w:hAnsi="Palatino Linotype"/>
          <w:bCs/>
          <w:color w:val="000000" w:themeColor="text1"/>
          <w:sz w:val="24"/>
          <w:szCs w:val="24"/>
        </w:rPr>
        <w:t xml:space="preserve">Por lo que si en los puntos resolutivos se está ordenando al </w:t>
      </w:r>
      <w:r w:rsidRPr="006A0497">
        <w:rPr>
          <w:rFonts w:ascii="Palatino Linotype" w:hAnsi="Palatino Linotype"/>
          <w:b/>
          <w:bCs/>
          <w:color w:val="000000" w:themeColor="text1"/>
          <w:sz w:val="24"/>
          <w:szCs w:val="24"/>
        </w:rPr>
        <w:t>SUJETO OBLIGADO</w:t>
      </w:r>
      <w:r w:rsidRPr="006A0497">
        <w:rPr>
          <w:rFonts w:ascii="Palatino Linotype" w:hAnsi="Palatino Linotype"/>
          <w:bCs/>
          <w:color w:val="000000" w:themeColor="text1"/>
          <w:sz w:val="24"/>
          <w:szCs w:val="24"/>
        </w:rPr>
        <w:t xml:space="preserve"> </w:t>
      </w:r>
      <w:r w:rsidRPr="006A0497">
        <w:rPr>
          <w:rFonts w:ascii="Palatino Linotype" w:hAnsi="Palatino Linotype" w:cs="Arial"/>
          <w:sz w:val="24"/>
          <w:szCs w:val="24"/>
        </w:rPr>
        <w:t xml:space="preserve">realizar una búsqueda de la información solicitada en términos del Considerando </w:t>
      </w:r>
      <w:r w:rsidRPr="006A0497">
        <w:rPr>
          <w:rFonts w:ascii="Palatino Linotype" w:hAnsi="Palatino Linotype" w:cs="Arial"/>
          <w:b/>
          <w:sz w:val="24"/>
          <w:szCs w:val="24"/>
        </w:rPr>
        <w:t>CUARTO</w:t>
      </w:r>
      <w:r w:rsidRPr="006A0497">
        <w:rPr>
          <w:rFonts w:ascii="Palatino Linotype" w:hAnsi="Palatino Linotype" w:cs="Arial"/>
          <w:sz w:val="24"/>
          <w:szCs w:val="24"/>
        </w:rPr>
        <w:t>, y entregarla al particular ya no cabe la manifestación simple y llana, sino que se deben observar dos puntos importantes:</w:t>
      </w:r>
    </w:p>
    <w:p w:rsidR="005E1309" w:rsidRPr="00427B79" w:rsidRDefault="005E1309" w:rsidP="005E1309">
      <w:pPr>
        <w:pStyle w:val="Prrafodelista"/>
        <w:spacing w:before="240" w:after="240" w:line="360" w:lineRule="auto"/>
        <w:ind w:left="426" w:hanging="426"/>
        <w:jc w:val="both"/>
        <w:rPr>
          <w:rFonts w:ascii="Palatino Linotype" w:hAnsi="Palatino Linotype"/>
          <w:bCs/>
          <w:color w:val="000000" w:themeColor="text1"/>
          <w:sz w:val="24"/>
          <w:szCs w:val="24"/>
          <w:highlight w:val="lightGray"/>
        </w:rPr>
      </w:pPr>
    </w:p>
    <w:p w:rsidR="005E1309" w:rsidRPr="00D35B4C" w:rsidRDefault="005E1309" w:rsidP="005E1309">
      <w:pPr>
        <w:pStyle w:val="Prrafodelista"/>
        <w:numPr>
          <w:ilvl w:val="0"/>
          <w:numId w:val="9"/>
        </w:numPr>
        <w:spacing w:before="240" w:after="240" w:line="360" w:lineRule="auto"/>
        <w:ind w:left="851" w:right="616" w:hanging="426"/>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5E1309" w:rsidRPr="00D35B4C" w:rsidRDefault="005E1309" w:rsidP="005E1309">
      <w:pPr>
        <w:pStyle w:val="Prrafodelista"/>
        <w:spacing w:before="240" w:after="240" w:line="360" w:lineRule="auto"/>
        <w:ind w:left="851" w:right="616" w:hanging="426"/>
        <w:jc w:val="both"/>
        <w:rPr>
          <w:rFonts w:ascii="Palatino Linotype" w:hAnsi="Palatino Linotype"/>
          <w:bCs/>
          <w:color w:val="000000" w:themeColor="text1"/>
          <w:sz w:val="24"/>
          <w:szCs w:val="24"/>
        </w:rPr>
      </w:pPr>
    </w:p>
    <w:p w:rsidR="005E1309" w:rsidRPr="00D35B4C" w:rsidRDefault="005E1309" w:rsidP="005E1309">
      <w:pPr>
        <w:pStyle w:val="Prrafodelista"/>
        <w:numPr>
          <w:ilvl w:val="0"/>
          <w:numId w:val="9"/>
        </w:numPr>
        <w:spacing w:before="240" w:after="240" w:line="360" w:lineRule="auto"/>
        <w:ind w:left="851" w:right="616" w:hanging="426"/>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5E1309" w:rsidRPr="00427B79" w:rsidRDefault="005E1309" w:rsidP="005E1309">
      <w:pPr>
        <w:pStyle w:val="Prrafodelista"/>
        <w:spacing w:before="240" w:after="240" w:line="360" w:lineRule="auto"/>
        <w:ind w:left="426" w:hanging="426"/>
        <w:jc w:val="both"/>
        <w:rPr>
          <w:rFonts w:ascii="Palatino Linotype" w:hAnsi="Palatino Linotype"/>
          <w:sz w:val="24"/>
          <w:szCs w:val="24"/>
          <w:highlight w:val="lightGray"/>
        </w:rPr>
      </w:pPr>
    </w:p>
    <w:p w:rsidR="005E1309" w:rsidRPr="00B22B30" w:rsidRDefault="005E1309" w:rsidP="005E1309">
      <w:pPr>
        <w:pStyle w:val="Prrafodelista"/>
        <w:numPr>
          <w:ilvl w:val="0"/>
          <w:numId w:val="1"/>
        </w:numPr>
        <w:pBdr>
          <w:top w:val="nil"/>
          <w:left w:val="nil"/>
          <w:bottom w:val="nil"/>
          <w:right w:val="nil"/>
          <w:between w:val="nil"/>
          <w:bar w:val="nil"/>
        </w:pBdr>
        <w:spacing w:before="240" w:after="240" w:line="360" w:lineRule="auto"/>
        <w:ind w:left="426" w:hanging="426"/>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Pr>
          <w:rFonts w:ascii="Palatino Linotype" w:hAnsi="Palatino Linotype" w:cs="Arial"/>
          <w:sz w:val="24"/>
          <w:szCs w:val="24"/>
        </w:rPr>
        <w:t>y me permito manifestar lo siguiente en el presente voto particular:</w:t>
      </w:r>
    </w:p>
    <w:p w:rsidR="005E1309" w:rsidRPr="00452002" w:rsidRDefault="005E1309" w:rsidP="00452002">
      <w:pPr>
        <w:pStyle w:val="Ttulo2"/>
        <w:numPr>
          <w:ilvl w:val="0"/>
          <w:numId w:val="13"/>
        </w:numPr>
        <w:ind w:left="567" w:hanging="284"/>
        <w:rPr>
          <w:rFonts w:ascii="Palatino Linotype" w:eastAsia="Calibri" w:hAnsi="Palatino Linotype"/>
          <w:b/>
          <w:color w:val="auto"/>
          <w:sz w:val="24"/>
        </w:rPr>
      </w:pPr>
      <w:bookmarkStart w:id="9" w:name="_Toc273075"/>
      <w:bookmarkStart w:id="10" w:name="_Toc2684134"/>
      <w:bookmarkStart w:id="11" w:name="_Toc11082587"/>
      <w:r w:rsidRPr="00452002">
        <w:rPr>
          <w:rFonts w:ascii="Palatino Linotype" w:eastAsia="Calibri" w:hAnsi="Palatino Linotype"/>
          <w:b/>
          <w:color w:val="auto"/>
          <w:sz w:val="24"/>
        </w:rPr>
        <w:t>De la fundamentación y motivación.</w:t>
      </w:r>
      <w:bookmarkEnd w:id="9"/>
      <w:bookmarkEnd w:id="10"/>
      <w:bookmarkEnd w:id="11"/>
    </w:p>
    <w:p w:rsidR="005E1309" w:rsidRPr="00427B79" w:rsidRDefault="005E1309" w:rsidP="005E1309">
      <w:pPr>
        <w:spacing w:after="0" w:line="360" w:lineRule="auto"/>
        <w:ind w:left="426" w:hanging="426"/>
        <w:contextualSpacing/>
        <w:jc w:val="both"/>
        <w:rPr>
          <w:rFonts w:ascii="Palatino Linotype" w:eastAsia="Calibri" w:hAnsi="Palatino Linotype" w:cs="Arial"/>
          <w:sz w:val="24"/>
          <w:szCs w:val="24"/>
        </w:rPr>
      </w:pPr>
    </w:p>
    <w:p w:rsidR="005E1309" w:rsidRPr="00427B79" w:rsidRDefault="005E1309" w:rsidP="005E1309">
      <w:pPr>
        <w:numPr>
          <w:ilvl w:val="0"/>
          <w:numId w:val="1"/>
        </w:numPr>
        <w:spacing w:after="0"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5E1309" w:rsidRPr="00427B79" w:rsidRDefault="005E1309" w:rsidP="005E1309">
      <w:pPr>
        <w:spacing w:after="0" w:line="360" w:lineRule="auto"/>
        <w:ind w:left="426" w:right="618" w:hanging="426"/>
        <w:contextualSpacing/>
        <w:jc w:val="both"/>
        <w:rPr>
          <w:rFonts w:ascii="Palatino Linotype" w:eastAsiaTheme="minorEastAsia" w:hAnsi="Palatino Linotype" w:cs="Arial"/>
          <w:sz w:val="24"/>
          <w:szCs w:val="24"/>
          <w:lang w:val="es-ES_tradnl" w:eastAsia="es-ES"/>
        </w:rPr>
      </w:pPr>
    </w:p>
    <w:p w:rsidR="005E1309" w:rsidRPr="00B73B30" w:rsidRDefault="005E1309" w:rsidP="005E1309">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 xml:space="preserve">La debida fundamentación y motivación legal, deben entenderse, por lo primero, la cita del precepto legal aplicable al caso, y por </w:t>
      </w:r>
      <w:r w:rsidRPr="00B73B30">
        <w:rPr>
          <w:rFonts w:ascii="Palatino Linotype" w:eastAsiaTheme="minorEastAsia" w:hAnsi="Palatino Linotype" w:cs="Arial"/>
          <w:i/>
          <w:u w:val="single"/>
          <w:lang w:val="es-ES_tradnl" w:eastAsia="es-ES"/>
        </w:rPr>
        <w:lastRenderedPageBreak/>
        <w:t>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5E1309" w:rsidRPr="00B73B30" w:rsidRDefault="005E1309" w:rsidP="005E1309">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5E1309" w:rsidRPr="00B73B30" w:rsidRDefault="005E1309" w:rsidP="005E1309">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5E1309" w:rsidRPr="00B73B30" w:rsidRDefault="005E1309" w:rsidP="005E1309">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5E1309" w:rsidRPr="00B73B30" w:rsidRDefault="005E1309" w:rsidP="005E1309">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5E1309" w:rsidRPr="00B73B30" w:rsidRDefault="005E1309" w:rsidP="005E1309">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5E1309" w:rsidRPr="00B73B30" w:rsidRDefault="005E1309" w:rsidP="005E1309">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5E1309" w:rsidRPr="00427B79" w:rsidRDefault="005E1309" w:rsidP="005E1309">
      <w:pPr>
        <w:spacing w:after="0" w:line="360" w:lineRule="auto"/>
        <w:ind w:left="426" w:hanging="426"/>
        <w:contextualSpacing/>
        <w:jc w:val="both"/>
        <w:rPr>
          <w:rFonts w:ascii="Palatino Linotype" w:eastAsiaTheme="minorEastAsia" w:hAnsi="Palatino Linotype" w:cs="Arial"/>
          <w:sz w:val="24"/>
          <w:szCs w:val="24"/>
          <w:lang w:val="es-ES" w:eastAsia="es-ES"/>
        </w:rPr>
      </w:pPr>
    </w:p>
    <w:p w:rsidR="005E1309" w:rsidRPr="00427B79" w:rsidRDefault="005E1309" w:rsidP="005E1309">
      <w:pPr>
        <w:numPr>
          <w:ilvl w:val="0"/>
          <w:numId w:val="1"/>
        </w:numPr>
        <w:spacing w:after="0"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E1309" w:rsidRPr="00427B79" w:rsidRDefault="005E1309" w:rsidP="005E1309">
      <w:pPr>
        <w:spacing w:after="0" w:line="360" w:lineRule="auto"/>
        <w:ind w:left="426" w:hanging="426"/>
        <w:contextualSpacing/>
        <w:jc w:val="both"/>
        <w:rPr>
          <w:rFonts w:ascii="Palatino Linotype" w:eastAsia="Calibri" w:hAnsi="Palatino Linotype" w:cs="Arial"/>
          <w:sz w:val="24"/>
          <w:szCs w:val="24"/>
        </w:rPr>
      </w:pPr>
    </w:p>
    <w:p w:rsidR="005E1309" w:rsidRDefault="005E1309" w:rsidP="005E1309">
      <w:pPr>
        <w:numPr>
          <w:ilvl w:val="0"/>
          <w:numId w:val="1"/>
        </w:numPr>
        <w:spacing w:after="0"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Pr>
          <w:rFonts w:ascii="Palatino Linotype" w:eastAsia="Calibri" w:hAnsi="Palatino Linotype" w:cs="Arial"/>
          <w:sz w:val="24"/>
          <w:szCs w:val="24"/>
        </w:rPr>
        <w:t>que en consecuencia contradice en primer lugar</w:t>
      </w:r>
      <w:r w:rsidRPr="00D35B4C">
        <w:rPr>
          <w:rFonts w:ascii="Palatino Linotype" w:eastAsia="Calibri" w:hAnsi="Palatino Linotype" w:cs="Arial"/>
          <w:sz w:val="24"/>
          <w:szCs w:val="24"/>
        </w:rPr>
        <w:t xml:space="preserve"> </w:t>
      </w:r>
      <w:r>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en razón de que el acto de autoridad que realizó el Secretaría de Finanzas del Estado de México en respuesta a la solicitud carece de fundamentación y motivación, lo que en consecuencia no brinda seguridad y certidumbre jurídica al particular, imposibilitando conocer si la postura</w:t>
      </w:r>
      <w:r>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5E1309" w:rsidRDefault="005E1309" w:rsidP="005E1309">
      <w:pPr>
        <w:pStyle w:val="Prrafodelista"/>
        <w:ind w:left="426"/>
        <w:rPr>
          <w:rFonts w:ascii="Palatino Linotype" w:eastAsia="Calibri" w:hAnsi="Palatino Linotype" w:cs="Arial"/>
          <w:sz w:val="24"/>
          <w:szCs w:val="24"/>
        </w:rPr>
      </w:pPr>
    </w:p>
    <w:p w:rsidR="005E1309" w:rsidRDefault="005E1309" w:rsidP="005E1309">
      <w:pPr>
        <w:numPr>
          <w:ilvl w:val="0"/>
          <w:numId w:val="1"/>
        </w:numPr>
        <w:spacing w:after="0" w:line="360" w:lineRule="auto"/>
        <w:ind w:left="426" w:hanging="426"/>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el mismo deberá fundar y motivar</w:t>
      </w:r>
      <w:r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5E1309" w:rsidRDefault="005E1309" w:rsidP="005E1309">
      <w:pPr>
        <w:pStyle w:val="Prrafodelista"/>
        <w:ind w:left="426" w:hanging="426"/>
        <w:rPr>
          <w:rFonts w:ascii="Palatino Linotype" w:eastAsia="Calibri" w:hAnsi="Palatino Linotype" w:cs="Arial"/>
          <w:sz w:val="24"/>
          <w:szCs w:val="24"/>
          <w:lang w:val="es-ES_tradnl"/>
        </w:rPr>
      </w:pPr>
    </w:p>
    <w:p w:rsidR="005E1309" w:rsidRPr="00A22908" w:rsidRDefault="005E1309" w:rsidP="005E1309">
      <w:pPr>
        <w:numPr>
          <w:ilvl w:val="0"/>
          <w:numId w:val="1"/>
        </w:numPr>
        <w:spacing w:after="0" w:line="360" w:lineRule="auto"/>
        <w:ind w:left="426" w:hanging="426"/>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5E1309" w:rsidRPr="00A22908" w:rsidRDefault="005E1309" w:rsidP="005E1309">
      <w:pPr>
        <w:spacing w:after="0" w:line="360" w:lineRule="auto"/>
        <w:ind w:left="426" w:hanging="426"/>
        <w:contextualSpacing/>
        <w:jc w:val="both"/>
        <w:rPr>
          <w:rFonts w:ascii="Palatino Linotype" w:eastAsia="Calibri" w:hAnsi="Palatino Linotype" w:cs="Arial"/>
          <w:sz w:val="24"/>
          <w:szCs w:val="24"/>
          <w:lang w:val="es-ES"/>
        </w:rPr>
      </w:pPr>
    </w:p>
    <w:p w:rsidR="005E1309" w:rsidRPr="00A22908" w:rsidRDefault="005E1309" w:rsidP="005E1309">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5E1309" w:rsidRPr="00A22908" w:rsidRDefault="005E1309" w:rsidP="005E1309">
      <w:pPr>
        <w:spacing w:after="0" w:line="360" w:lineRule="auto"/>
        <w:ind w:left="426" w:hanging="426"/>
        <w:contextualSpacing/>
        <w:jc w:val="both"/>
        <w:rPr>
          <w:rFonts w:ascii="Palatino Linotype" w:eastAsia="Calibri" w:hAnsi="Palatino Linotype" w:cs="Arial"/>
          <w:sz w:val="24"/>
          <w:szCs w:val="24"/>
          <w:lang w:val="es-ES_tradnl"/>
        </w:rPr>
      </w:pPr>
    </w:p>
    <w:p w:rsidR="005E1309" w:rsidRPr="00DB2E2D" w:rsidRDefault="005E1309" w:rsidP="005E1309">
      <w:pPr>
        <w:pStyle w:val="Prrafodelista"/>
        <w:numPr>
          <w:ilvl w:val="0"/>
          <w:numId w:val="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5E1309" w:rsidRPr="00DB2E2D" w:rsidRDefault="005E1309" w:rsidP="005E1309">
      <w:pPr>
        <w:pStyle w:val="Prrafodelista"/>
        <w:spacing w:after="0" w:line="360" w:lineRule="auto"/>
        <w:ind w:left="426" w:hanging="426"/>
        <w:jc w:val="both"/>
        <w:rPr>
          <w:rFonts w:ascii="Palatino Linotype" w:eastAsia="Calibri" w:hAnsi="Palatino Linotype" w:cs="Arial"/>
          <w:sz w:val="24"/>
          <w:szCs w:val="24"/>
          <w:lang w:val="es-ES_tradnl"/>
        </w:rPr>
      </w:pPr>
    </w:p>
    <w:p w:rsidR="005E1309" w:rsidRPr="00DB2E2D" w:rsidRDefault="005E1309" w:rsidP="005E1309">
      <w:pPr>
        <w:pStyle w:val="Prrafodelista"/>
        <w:numPr>
          <w:ilvl w:val="0"/>
          <w:numId w:val="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5E1309" w:rsidRPr="00DB2E2D" w:rsidRDefault="005E1309" w:rsidP="005E1309">
      <w:pPr>
        <w:pStyle w:val="Prrafodelista"/>
        <w:spacing w:after="0" w:line="360" w:lineRule="auto"/>
        <w:ind w:left="426" w:hanging="426"/>
        <w:jc w:val="both"/>
        <w:rPr>
          <w:rFonts w:ascii="Palatino Linotype" w:eastAsia="Calibri" w:hAnsi="Palatino Linotype" w:cs="Arial"/>
          <w:sz w:val="24"/>
          <w:szCs w:val="24"/>
          <w:lang w:val="es-ES_tradnl"/>
        </w:rPr>
      </w:pPr>
    </w:p>
    <w:p w:rsidR="005E1309" w:rsidRPr="00DB2E2D" w:rsidRDefault="005E1309" w:rsidP="005E1309">
      <w:pPr>
        <w:pStyle w:val="Prrafodelista"/>
        <w:numPr>
          <w:ilvl w:val="0"/>
          <w:numId w:val="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5E1309" w:rsidRPr="00DB2E2D" w:rsidRDefault="005E1309" w:rsidP="005E1309">
      <w:pPr>
        <w:pStyle w:val="Prrafodelista"/>
        <w:ind w:left="426" w:hanging="426"/>
        <w:rPr>
          <w:rFonts w:ascii="Palatino Linotype" w:eastAsia="Calibri" w:hAnsi="Palatino Linotype" w:cs="Arial"/>
          <w:sz w:val="24"/>
          <w:szCs w:val="24"/>
          <w:lang w:val="es-ES_tradnl"/>
        </w:rPr>
      </w:pPr>
    </w:p>
    <w:p w:rsidR="005E1309" w:rsidRPr="00DB2E2D" w:rsidRDefault="005E1309" w:rsidP="005E1309">
      <w:pPr>
        <w:pStyle w:val="Prrafodelista"/>
        <w:numPr>
          <w:ilvl w:val="0"/>
          <w:numId w:val="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5E1309" w:rsidRPr="00DB2E2D" w:rsidRDefault="005E1309" w:rsidP="005E1309">
      <w:pPr>
        <w:spacing w:after="0" w:line="360" w:lineRule="auto"/>
        <w:ind w:left="426" w:right="616" w:hanging="426"/>
        <w:contextualSpacing/>
        <w:jc w:val="both"/>
        <w:rPr>
          <w:rFonts w:ascii="Palatino Linotype" w:eastAsia="Calibri" w:hAnsi="Palatino Linotype" w:cs="Arial"/>
          <w:i/>
          <w:sz w:val="24"/>
          <w:szCs w:val="24"/>
          <w:lang w:val="es-ES_tradnl"/>
        </w:rPr>
      </w:pPr>
    </w:p>
    <w:p w:rsidR="005E1309" w:rsidRPr="00DB2E2D" w:rsidRDefault="005E1309" w:rsidP="005E1309">
      <w:pPr>
        <w:pStyle w:val="Prrafodelista"/>
        <w:numPr>
          <w:ilvl w:val="0"/>
          <w:numId w:val="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5E1309" w:rsidRPr="00DB2E2D" w:rsidRDefault="005E1309" w:rsidP="005E1309">
      <w:pPr>
        <w:pStyle w:val="Prrafodelista"/>
        <w:spacing w:after="0" w:line="360" w:lineRule="auto"/>
        <w:ind w:left="426" w:hanging="426"/>
        <w:jc w:val="both"/>
        <w:rPr>
          <w:rFonts w:ascii="Palatino Linotype" w:eastAsia="Calibri" w:hAnsi="Palatino Linotype" w:cs="Arial"/>
          <w:sz w:val="24"/>
          <w:szCs w:val="24"/>
          <w:lang w:val="es-ES_tradnl"/>
        </w:rPr>
      </w:pPr>
    </w:p>
    <w:p w:rsidR="005E1309" w:rsidRPr="00DB2E2D" w:rsidRDefault="005E1309" w:rsidP="005E1309">
      <w:pPr>
        <w:pStyle w:val="Prrafodelista"/>
        <w:numPr>
          <w:ilvl w:val="0"/>
          <w:numId w:val="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w:t>
      </w:r>
      <w:r w:rsidRPr="00DB2E2D">
        <w:rPr>
          <w:rFonts w:ascii="Palatino Linotype" w:eastAsia="Calibri" w:hAnsi="Palatino Linotype" w:cs="Arial"/>
          <w:sz w:val="24"/>
          <w:szCs w:val="24"/>
          <w:lang w:val="es-ES_tradnl"/>
        </w:rPr>
        <w:lastRenderedPageBreak/>
        <w:t>este modo, la persona que se sienta afectada pueda impugnar la decisión, permitiéndole una real y auténtica defensa.</w:t>
      </w:r>
    </w:p>
    <w:p w:rsidR="005E1309" w:rsidRPr="00A22908" w:rsidRDefault="005E1309" w:rsidP="005E1309">
      <w:pPr>
        <w:pStyle w:val="Prrafodelista"/>
        <w:spacing w:after="0" w:line="360" w:lineRule="auto"/>
        <w:ind w:left="426" w:hanging="426"/>
        <w:jc w:val="both"/>
        <w:rPr>
          <w:rFonts w:ascii="Palatino Linotype" w:eastAsia="Calibri" w:hAnsi="Palatino Linotype" w:cs="Arial"/>
          <w:sz w:val="24"/>
          <w:szCs w:val="24"/>
          <w:lang w:val="es-ES_tradnl"/>
        </w:rPr>
      </w:pPr>
    </w:p>
    <w:p w:rsidR="005E1309" w:rsidRPr="00427B79" w:rsidRDefault="005E1309" w:rsidP="005E1309">
      <w:pPr>
        <w:numPr>
          <w:ilvl w:val="0"/>
          <w:numId w:val="1"/>
        </w:numPr>
        <w:spacing w:after="0"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Pr>
          <w:rFonts w:ascii="Palatino Linotype" w:eastAsia="Calibri" w:hAnsi="Palatino Linotype" w:cs="Arial"/>
          <w:sz w:val="24"/>
          <w:szCs w:val="24"/>
        </w:rPr>
        <w:t xml:space="preserve"> por no encontrarse dentro de sus </w:t>
      </w:r>
      <w:r w:rsidRPr="0083488C">
        <w:rPr>
          <w:rFonts w:ascii="Palatino Linotype" w:hAnsi="Palatino Linotype"/>
          <w:sz w:val="24"/>
          <w:szCs w:val="24"/>
        </w:rPr>
        <w:t>facultades, competencias o funcione</w:t>
      </w:r>
      <w:r>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5E1309" w:rsidRPr="00427B79" w:rsidRDefault="005E1309" w:rsidP="005E1309">
      <w:pPr>
        <w:spacing w:after="0" w:line="360" w:lineRule="auto"/>
        <w:ind w:left="426" w:hanging="426"/>
        <w:contextualSpacing/>
        <w:jc w:val="both"/>
        <w:rPr>
          <w:b/>
          <w:bCs/>
          <w:sz w:val="24"/>
          <w:szCs w:val="24"/>
        </w:rPr>
      </w:pPr>
    </w:p>
    <w:p w:rsidR="005E1309" w:rsidRPr="00DB2E2D" w:rsidRDefault="005E1309" w:rsidP="005E1309">
      <w:pPr>
        <w:spacing w:after="0" w:line="360" w:lineRule="auto"/>
        <w:ind w:left="567" w:right="616"/>
        <w:contextualSpacing/>
        <w:jc w:val="both"/>
        <w:rPr>
          <w:rFonts w:ascii="Palatino Linotype" w:eastAsia="Calibri" w:hAnsi="Palatino Linotype" w:cs="Arial"/>
          <w:i/>
          <w:szCs w:val="24"/>
        </w:rPr>
      </w:pPr>
      <w:r w:rsidRPr="00DB2E2D">
        <w:rPr>
          <w:rFonts w:ascii="Palatino Linotype" w:hAnsi="Palatino Linotype"/>
          <w:b/>
          <w:bCs/>
          <w:i/>
          <w:szCs w:val="24"/>
        </w:rPr>
        <w:t xml:space="preserve">Artículo 20. </w:t>
      </w:r>
      <w:r w:rsidRPr="00DB2E2D">
        <w:rPr>
          <w:rFonts w:ascii="Palatino Linotype" w:hAnsi="Palatino Linotype"/>
          <w:i/>
          <w:szCs w:val="24"/>
        </w:rPr>
        <w:t xml:space="preserve">Ante la negativa del acceso a la información </w:t>
      </w:r>
      <w:r w:rsidRPr="00DB2E2D">
        <w:rPr>
          <w:rFonts w:ascii="Palatino Linotype" w:hAnsi="Palatino Linotype"/>
          <w:b/>
          <w:i/>
          <w:szCs w:val="24"/>
        </w:rPr>
        <w:t>o su inexistencia</w:t>
      </w:r>
      <w:r w:rsidRPr="00DB2E2D">
        <w:rPr>
          <w:rFonts w:ascii="Palatino Linotype" w:hAnsi="Palatino Linotype"/>
          <w:i/>
          <w:szCs w:val="24"/>
        </w:rPr>
        <w:t xml:space="preserve">, el sujeto obligado deberá demostrar que la información solicitada está prevista en alguna de las excepciones contenidas en esta Ley o, en su caso, </w:t>
      </w:r>
      <w:r w:rsidRPr="00DB2E2D">
        <w:rPr>
          <w:rFonts w:ascii="Palatino Linotype" w:hAnsi="Palatino Linotype"/>
          <w:b/>
          <w:i/>
          <w:szCs w:val="24"/>
        </w:rPr>
        <w:t>demostrar que la información no se refiere a alguna de sus facultades, competencias o funciones.</w:t>
      </w:r>
    </w:p>
    <w:p w:rsidR="005E1309" w:rsidRPr="00427B79" w:rsidRDefault="005E1309" w:rsidP="005E1309">
      <w:pPr>
        <w:spacing w:after="0" w:line="360" w:lineRule="auto"/>
        <w:ind w:left="426" w:hanging="426"/>
        <w:contextualSpacing/>
        <w:jc w:val="both"/>
        <w:rPr>
          <w:rFonts w:ascii="Palatino Linotype" w:eastAsia="Calibri" w:hAnsi="Palatino Linotype" w:cs="Arial"/>
          <w:sz w:val="24"/>
          <w:szCs w:val="24"/>
        </w:rPr>
      </w:pPr>
    </w:p>
    <w:p w:rsidR="005E1309" w:rsidRPr="0083488C" w:rsidRDefault="005E1309" w:rsidP="005E1309">
      <w:pPr>
        <w:pStyle w:val="Prrafodelista"/>
        <w:numPr>
          <w:ilvl w:val="0"/>
          <w:numId w:val="1"/>
        </w:numPr>
        <w:spacing w:after="0" w:line="360" w:lineRule="auto"/>
        <w:ind w:left="426" w:hanging="426"/>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5E1309" w:rsidRPr="0083488C" w:rsidRDefault="005E1309" w:rsidP="005E1309">
      <w:pPr>
        <w:spacing w:after="0" w:line="360" w:lineRule="auto"/>
        <w:ind w:left="426" w:hanging="426"/>
        <w:jc w:val="both"/>
        <w:rPr>
          <w:rFonts w:ascii="Palatino Linotype" w:eastAsia="Calibri" w:hAnsi="Palatino Linotype" w:cs="Arial"/>
          <w:sz w:val="24"/>
          <w:szCs w:val="24"/>
        </w:rPr>
      </w:pPr>
    </w:p>
    <w:p w:rsidR="005E1309" w:rsidRDefault="005E1309" w:rsidP="005E1309">
      <w:pPr>
        <w:tabs>
          <w:tab w:val="left" w:pos="284"/>
        </w:tabs>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w:t>
      </w:r>
      <w:r w:rsidRPr="0083488C">
        <w:rPr>
          <w:rFonts w:ascii="Palatino Linotype" w:hAnsi="Palatino Linotype" w:cs="Times New Roman"/>
          <w:i/>
        </w:rPr>
        <w:lastRenderedPageBreak/>
        <w:t>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5E1309" w:rsidRPr="0083488C" w:rsidRDefault="005E1309" w:rsidP="005E1309">
      <w:pPr>
        <w:tabs>
          <w:tab w:val="left" w:pos="284"/>
        </w:tabs>
        <w:autoSpaceDE w:val="0"/>
        <w:autoSpaceDN w:val="0"/>
        <w:adjustRightInd w:val="0"/>
        <w:spacing w:after="0" w:line="360" w:lineRule="auto"/>
        <w:ind w:left="567" w:right="616"/>
        <w:jc w:val="both"/>
        <w:rPr>
          <w:rFonts w:ascii="Palatino Linotype" w:hAnsi="Palatino Linotype" w:cs="Times New Roman"/>
          <w:i/>
        </w:rPr>
      </w:pPr>
    </w:p>
    <w:p w:rsidR="005E1309" w:rsidRPr="00C60111" w:rsidRDefault="005E1309" w:rsidP="005E1309">
      <w:pPr>
        <w:numPr>
          <w:ilvl w:val="0"/>
          <w:numId w:val="1"/>
        </w:numPr>
        <w:spacing w:after="0" w:line="360" w:lineRule="auto"/>
        <w:ind w:left="426" w:hanging="426"/>
        <w:contextualSpacing/>
        <w:jc w:val="both"/>
        <w:rPr>
          <w:rFonts w:ascii="Palatino Linotype" w:hAnsi="Palatino Linotype"/>
          <w:sz w:val="24"/>
          <w:szCs w:val="24"/>
        </w:rPr>
      </w:pPr>
      <w:r w:rsidRPr="00C60111">
        <w:rPr>
          <w:rFonts w:ascii="Palatino Linotype" w:eastAsia="Calibri" w:hAnsi="Palatino Linotype" w:cs="Arial"/>
          <w:sz w:val="24"/>
          <w:szCs w:val="24"/>
        </w:rPr>
        <w:t>Por lo anteriormente expuesto, se concluye que para los casos en que la información que el particular solicitó sea inexistente de acuerdo con el artículo 20 de la Ley, la autoridad debe informar al particular especificando los elementos que le permitan tener la seguridad de que los criterios de búsqueda fueron exhaustivos, así como señalar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5E1309" w:rsidRPr="00C60111" w:rsidRDefault="005E1309" w:rsidP="005E1309">
      <w:pPr>
        <w:spacing w:after="0" w:line="360" w:lineRule="auto"/>
        <w:ind w:left="426" w:hanging="426"/>
        <w:contextualSpacing/>
        <w:jc w:val="both"/>
        <w:rPr>
          <w:rFonts w:ascii="Palatino Linotype" w:hAnsi="Palatino Linotype"/>
          <w:sz w:val="24"/>
          <w:szCs w:val="24"/>
        </w:rPr>
      </w:pPr>
    </w:p>
    <w:p w:rsidR="005E1309" w:rsidRPr="00C60111" w:rsidRDefault="005E1309" w:rsidP="005E1309">
      <w:pPr>
        <w:numPr>
          <w:ilvl w:val="0"/>
          <w:numId w:val="1"/>
        </w:numPr>
        <w:spacing w:after="0" w:line="360" w:lineRule="auto"/>
        <w:ind w:left="426" w:hanging="426"/>
        <w:contextualSpacing/>
        <w:jc w:val="both"/>
        <w:rPr>
          <w:rFonts w:ascii="Palatino Linotype" w:hAnsi="Palatino Linotype"/>
          <w:sz w:val="24"/>
          <w:szCs w:val="24"/>
        </w:rPr>
      </w:pPr>
      <w:r w:rsidRPr="00C60111">
        <w:rPr>
          <w:rFonts w:ascii="Palatino Linotype" w:eastAsia="Calibri" w:hAnsi="Palatino Linotype" w:cs="Arial"/>
          <w:sz w:val="24"/>
          <w:szCs w:val="24"/>
        </w:rPr>
        <w:t>T</w:t>
      </w:r>
      <w:r w:rsidRPr="00C60111">
        <w:rPr>
          <w:rFonts w:ascii="Palatino Linotype" w:eastAsia="Calibri" w:hAnsi="Palatino Linotype"/>
          <w:sz w:val="24"/>
          <w:szCs w:val="24"/>
        </w:rPr>
        <w:t>al circunstancia no puede tener como resultado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5E1309" w:rsidRDefault="005E1309" w:rsidP="002D2293">
      <w:pPr>
        <w:pStyle w:val="Prrafodelista"/>
        <w:rPr>
          <w:rFonts w:ascii="Palatino Linotype" w:hAnsi="Palatino Linotype" w:cs="Arial"/>
          <w:sz w:val="24"/>
          <w:szCs w:val="24"/>
        </w:rPr>
      </w:pPr>
    </w:p>
    <w:p w:rsidR="0080047C" w:rsidRDefault="001D56E7" w:rsidP="00EF0FA1">
      <w:pPr>
        <w:pStyle w:val="Ttulo1"/>
        <w:numPr>
          <w:ilvl w:val="0"/>
          <w:numId w:val="2"/>
        </w:numPr>
        <w:ind w:left="1134" w:hanging="708"/>
        <w:rPr>
          <w:szCs w:val="24"/>
        </w:rPr>
      </w:pPr>
      <w:bookmarkStart w:id="12" w:name="_Toc11082588"/>
      <w:r w:rsidRPr="001D56E7">
        <w:rPr>
          <w:szCs w:val="24"/>
        </w:rPr>
        <w:t>De los elementos de seguridad pública</w:t>
      </w:r>
      <w:bookmarkEnd w:id="12"/>
    </w:p>
    <w:p w:rsidR="001D56E7" w:rsidRPr="001D56E7" w:rsidRDefault="001D56E7" w:rsidP="001D56E7"/>
    <w:p w:rsidR="001D56E7" w:rsidRDefault="001D56E7" w:rsidP="001D56E7">
      <w:pPr>
        <w:pStyle w:val="Prrafodelista"/>
        <w:numPr>
          <w:ilvl w:val="0"/>
          <w:numId w:val="1"/>
        </w:numPr>
        <w:tabs>
          <w:tab w:val="left" w:pos="851"/>
        </w:tabs>
        <w:spacing w:after="0" w:line="360" w:lineRule="auto"/>
        <w:ind w:left="426" w:hanging="426"/>
        <w:jc w:val="both"/>
        <w:rPr>
          <w:rFonts w:ascii="Palatino Linotype" w:hAnsi="Palatino Linotype" w:cs="Arial"/>
        </w:rPr>
      </w:pPr>
      <w:r>
        <w:rPr>
          <w:rFonts w:ascii="Palatino Linotype" w:hAnsi="Palatino Linotype" w:cs="Arial"/>
        </w:rPr>
        <w:t>D</w:t>
      </w:r>
      <w:r w:rsidRPr="00017A61">
        <w:rPr>
          <w:rFonts w:ascii="Palatino Linotype" w:hAnsi="Palatino Linotype" w:cs="Arial"/>
        </w:rPr>
        <w:t xml:space="preserve">e lo </w:t>
      </w:r>
      <w:r>
        <w:rPr>
          <w:rFonts w:ascii="Palatino Linotype" w:hAnsi="Palatino Linotype" w:cs="Arial"/>
        </w:rPr>
        <w:t>requerido</w:t>
      </w:r>
      <w:r w:rsidRPr="00017A61">
        <w:rPr>
          <w:rFonts w:ascii="Palatino Linotype" w:hAnsi="Palatino Linotype" w:cs="Arial"/>
        </w:rPr>
        <w:t xml:space="preserve"> </w:t>
      </w:r>
      <w:r>
        <w:rPr>
          <w:rFonts w:ascii="Palatino Linotype" w:hAnsi="Palatino Linotype" w:cs="Arial"/>
        </w:rPr>
        <w:t>en la solicitud de información, la P</w:t>
      </w:r>
      <w:r w:rsidRPr="00017A61">
        <w:rPr>
          <w:rFonts w:ascii="Palatino Linotype" w:hAnsi="Palatino Linotype" w:cs="Arial"/>
        </w:rPr>
        <w:t xml:space="preserve">onencia </w:t>
      </w:r>
      <w:r>
        <w:rPr>
          <w:rFonts w:ascii="Palatino Linotype" w:hAnsi="Palatino Linotype" w:cs="Arial"/>
        </w:rPr>
        <w:t xml:space="preserve">Resolutora </w:t>
      </w:r>
      <w:r w:rsidRPr="00017A61">
        <w:rPr>
          <w:rFonts w:ascii="Palatino Linotype" w:hAnsi="Palatino Linotype" w:cs="Arial"/>
        </w:rPr>
        <w:t xml:space="preserve">determinó que derivado de las atribuciones, facultades y competencias del </w:t>
      </w:r>
      <w:r w:rsidRPr="00017A61">
        <w:rPr>
          <w:rFonts w:ascii="Palatino Linotype" w:hAnsi="Palatino Linotype" w:cs="Arial"/>
          <w:b/>
        </w:rPr>
        <w:t xml:space="preserve">SUJETO OBLIGADO, </w:t>
      </w:r>
      <w:r w:rsidRPr="00017A61">
        <w:rPr>
          <w:rFonts w:ascii="Palatino Linotype" w:hAnsi="Palatino Linotype" w:cs="Arial"/>
        </w:rPr>
        <w:t>era dable ordenar</w:t>
      </w:r>
      <w:r>
        <w:rPr>
          <w:rFonts w:ascii="Palatino Linotype" w:hAnsi="Palatino Linotype" w:cs="Arial"/>
        </w:rPr>
        <w:t xml:space="preserve"> se pusiera </w:t>
      </w:r>
      <w:r w:rsidRPr="00017A61">
        <w:rPr>
          <w:rFonts w:ascii="Palatino Linotype" w:hAnsi="Palatino Linotype" w:cs="Arial"/>
        </w:rPr>
        <w:t xml:space="preserve"> </w:t>
      </w:r>
      <w:r>
        <w:rPr>
          <w:rFonts w:ascii="Palatino Linotype" w:hAnsi="Palatino Linotype" w:cs="Arial"/>
        </w:rPr>
        <w:t>disposición de la particular</w:t>
      </w:r>
      <w:r w:rsidRPr="00017A61">
        <w:rPr>
          <w:rFonts w:ascii="Palatino Linotype" w:hAnsi="Palatino Linotype" w:cs="Arial"/>
        </w:rPr>
        <w:t xml:space="preserve"> la información </w:t>
      </w:r>
      <w:r>
        <w:rPr>
          <w:rFonts w:ascii="Palatino Linotype" w:hAnsi="Palatino Linotype" w:cs="Arial"/>
        </w:rPr>
        <w:t>señalada en párrafos anteriores.</w:t>
      </w:r>
    </w:p>
    <w:p w:rsidR="001D56E7" w:rsidRDefault="001D56E7" w:rsidP="001D56E7">
      <w:pPr>
        <w:pStyle w:val="Prrafodelista"/>
        <w:tabs>
          <w:tab w:val="left" w:pos="426"/>
        </w:tabs>
        <w:spacing w:line="360" w:lineRule="auto"/>
        <w:ind w:left="0"/>
        <w:jc w:val="both"/>
        <w:rPr>
          <w:rFonts w:ascii="Palatino Linotype" w:hAnsi="Palatino Linotype" w:cs="Arial"/>
        </w:rPr>
      </w:pPr>
    </w:p>
    <w:p w:rsidR="001D56E7" w:rsidRPr="00B664BB" w:rsidRDefault="001D56E7" w:rsidP="001D56E7">
      <w:pPr>
        <w:pStyle w:val="Prrafodelista"/>
        <w:numPr>
          <w:ilvl w:val="0"/>
          <w:numId w:val="1"/>
        </w:numPr>
        <w:tabs>
          <w:tab w:val="left" w:pos="426"/>
        </w:tabs>
        <w:spacing w:after="0" w:line="360" w:lineRule="auto"/>
        <w:ind w:left="426" w:hanging="426"/>
        <w:jc w:val="both"/>
        <w:rPr>
          <w:rFonts w:ascii="Palatino Linotype" w:hAnsi="Palatino Linotype" w:cs="Arial"/>
        </w:rPr>
      </w:pPr>
      <w:r w:rsidRPr="00B664BB">
        <w:rPr>
          <w:rFonts w:ascii="Palatino Linotype" w:hAnsi="Palatino Linotype" w:cs="Arial"/>
        </w:rPr>
        <w:t>No obstante,</w:t>
      </w:r>
      <w:r>
        <w:rPr>
          <w:rFonts w:ascii="Palatino Linotype" w:hAnsi="Palatino Linotype" w:cs="Arial"/>
        </w:rPr>
        <w:t xml:space="preserve"> del mismo modo señaló que los nombres de los elementos de seguridad es información que debe clasificarse como reservada. </w:t>
      </w:r>
      <w:r w:rsidR="001A3C33">
        <w:rPr>
          <w:rFonts w:ascii="Palatino Linotype" w:hAnsi="Palatino Linotype" w:cs="Arial"/>
        </w:rPr>
        <w:t>S</w:t>
      </w:r>
      <w:r w:rsidRPr="00B664BB">
        <w:rPr>
          <w:rFonts w:ascii="Palatino Linotype" w:hAnsi="Palatino Linotype" w:cs="Arial"/>
        </w:rPr>
        <w:t xml:space="preserve">i bien es cierto que, tanto el nombre, como los cargos y funciones de los servidores públicos son información de naturaleza pública e incluso desde el nivel de mandos medios a superiores constituye parte de las obligaciones de transparencia establecidas en el artículo 92 de la Ley de Transparencia y Acceso a la información Pública del Estado de México y Municipios, también es cierto que, el caso particular de los nombres de los servidores públicos con funciones operativas, como es el caso de policías, ha cobrado relevancia desde hace varios años, en virtud de que su identificación los hace vulnerables en el combate a la </w:t>
      </w:r>
      <w:r w:rsidRPr="00B664BB">
        <w:rPr>
          <w:rFonts w:ascii="Palatino Linotype" w:hAnsi="Palatino Linotype" w:cs="Arial"/>
        </w:rPr>
        <w:lastRenderedPageBreak/>
        <w:t>delincuencia, por lo que proporcionarlos puede llegar a poner en riesgo su vida, salud o seguridad, propiciando un detrimento en el esfuerzo que realiza el Ayuntamien</w:t>
      </w:r>
      <w:r>
        <w:rPr>
          <w:rFonts w:ascii="Palatino Linotype" w:hAnsi="Palatino Linotype" w:cs="Arial"/>
        </w:rPr>
        <w:t>to para garantizar la seguridad; considerando con ello ordenar dichos documentos, en versión pública clasificando lo relativo al nombre de los servidores públicos que tienen asignadas funciones operativas en materia de seguridad pública.</w:t>
      </w:r>
    </w:p>
    <w:p w:rsidR="001D56E7" w:rsidRDefault="001D56E7" w:rsidP="001D56E7">
      <w:pPr>
        <w:pStyle w:val="Prrafodelista"/>
        <w:tabs>
          <w:tab w:val="left" w:pos="426"/>
        </w:tabs>
        <w:spacing w:line="360" w:lineRule="auto"/>
        <w:ind w:left="426" w:hanging="426"/>
        <w:jc w:val="both"/>
        <w:rPr>
          <w:rFonts w:ascii="Palatino Linotype" w:hAnsi="Palatino Linotype" w:cs="Arial"/>
        </w:rPr>
      </w:pPr>
    </w:p>
    <w:p w:rsidR="001D56E7" w:rsidRDefault="001A3C33" w:rsidP="001D56E7">
      <w:pPr>
        <w:pStyle w:val="Prrafodelista"/>
        <w:numPr>
          <w:ilvl w:val="0"/>
          <w:numId w:val="1"/>
        </w:numPr>
        <w:tabs>
          <w:tab w:val="left" w:pos="426"/>
        </w:tabs>
        <w:spacing w:after="0" w:line="360" w:lineRule="auto"/>
        <w:ind w:left="426" w:hanging="426"/>
        <w:jc w:val="both"/>
        <w:rPr>
          <w:rFonts w:ascii="Palatino Linotype" w:hAnsi="Palatino Linotype" w:cs="Arial"/>
        </w:rPr>
      </w:pPr>
      <w:r>
        <w:rPr>
          <w:rFonts w:ascii="Palatino Linotype" w:hAnsi="Palatino Linotype" w:cs="Arial"/>
        </w:rPr>
        <w:t>Es necesario referir que,</w:t>
      </w:r>
      <w:r w:rsidR="001D56E7" w:rsidRPr="00017A61">
        <w:rPr>
          <w:rFonts w:ascii="Palatino Linotype" w:hAnsi="Palatino Linotype" w:cs="Arial"/>
        </w:rPr>
        <w:t xml:space="preserve"> </w:t>
      </w:r>
      <w:r w:rsidR="001D56E7">
        <w:rPr>
          <w:rFonts w:ascii="Palatino Linotype" w:hAnsi="Palatino Linotype" w:cs="Arial"/>
        </w:rPr>
        <w:t xml:space="preserve">si bien </w:t>
      </w:r>
      <w:r w:rsidR="001D56E7" w:rsidRPr="00017A61">
        <w:rPr>
          <w:rFonts w:ascii="Palatino Linotype" w:hAnsi="Palatino Linotype" w:cs="Arial"/>
        </w:rPr>
        <w:t>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w:t>
      </w:r>
    </w:p>
    <w:p w:rsidR="001D56E7" w:rsidRDefault="001D56E7" w:rsidP="001D56E7">
      <w:pPr>
        <w:pStyle w:val="Prrafodelista"/>
        <w:spacing w:line="360" w:lineRule="auto"/>
        <w:ind w:left="426" w:hanging="426"/>
        <w:jc w:val="both"/>
        <w:rPr>
          <w:rFonts w:ascii="Palatino Linotype" w:hAnsi="Palatino Linotype" w:cs="Arial"/>
        </w:rPr>
      </w:pPr>
    </w:p>
    <w:p w:rsidR="001D56E7" w:rsidRDefault="001D56E7" w:rsidP="001D56E7">
      <w:pPr>
        <w:pStyle w:val="Prrafodelista"/>
        <w:numPr>
          <w:ilvl w:val="0"/>
          <w:numId w:val="1"/>
        </w:numPr>
        <w:tabs>
          <w:tab w:val="left" w:pos="426"/>
        </w:tabs>
        <w:spacing w:after="0" w:line="360" w:lineRule="auto"/>
        <w:ind w:left="426" w:hanging="426"/>
        <w:jc w:val="both"/>
        <w:rPr>
          <w:rFonts w:ascii="Palatino Linotype" w:hAnsi="Palatino Linotype" w:cs="Arial"/>
        </w:rPr>
      </w:pPr>
      <w:r w:rsidRPr="00B664BB">
        <w:rPr>
          <w:rFonts w:ascii="Palatino Linotype" w:hAnsi="Palatino Linotype" w:cs="Arial"/>
        </w:rPr>
        <w:t xml:space="preserve">Asimismo, se determinó procedente que sobre los documentos que contengan datos personales confidenciales, así como la información reservada que ha sido analizada, </w:t>
      </w:r>
      <w:r>
        <w:rPr>
          <w:rFonts w:ascii="Palatino Linotype" w:hAnsi="Palatino Linotype" w:cs="Arial"/>
        </w:rPr>
        <w:t xml:space="preserve">el </w:t>
      </w:r>
      <w:r w:rsidRPr="00AC5011">
        <w:rPr>
          <w:rFonts w:ascii="Palatino Linotype" w:hAnsi="Palatino Linotype" w:cs="Arial"/>
          <w:b/>
        </w:rPr>
        <w:t>SUJETO OBLIGADO</w:t>
      </w:r>
      <w:r>
        <w:rPr>
          <w:rFonts w:ascii="Palatino Linotype" w:hAnsi="Palatino Linotype" w:cs="Arial"/>
        </w:rPr>
        <w:t xml:space="preserve"> debería e</w:t>
      </w:r>
      <w:r w:rsidRPr="00B664BB">
        <w:rPr>
          <w:rFonts w:ascii="Palatino Linotype" w:hAnsi="Palatino Linotype" w:cs="Arial"/>
        </w:rPr>
        <w:t xml:space="preserve">laborar la versión pública correspondiente y emitir el acuerdo de clasificación </w:t>
      </w:r>
      <w:r>
        <w:rPr>
          <w:rFonts w:ascii="Palatino Linotype" w:hAnsi="Palatino Linotype" w:cs="Arial"/>
        </w:rPr>
        <w:t>a través de su</w:t>
      </w:r>
      <w:r w:rsidRPr="00B664BB">
        <w:rPr>
          <w:rFonts w:ascii="Palatino Linotype" w:hAnsi="Palatino Linotype" w:cs="Arial"/>
        </w:rPr>
        <w:t xml:space="preserve"> Comité de Transparencia, según lo dispuesto en los artículos 49, fracciones II y VIII, 140, fracciones IV y VI, 143, fracción I y 149 de la Ley de Transparencia y Acceso a la Información Pública del Estado de México.</w:t>
      </w:r>
    </w:p>
    <w:p w:rsidR="001D56E7" w:rsidRDefault="001D56E7" w:rsidP="001D56E7">
      <w:pPr>
        <w:pStyle w:val="Prrafodelista"/>
        <w:tabs>
          <w:tab w:val="left" w:pos="426"/>
        </w:tabs>
        <w:spacing w:line="360" w:lineRule="auto"/>
        <w:ind w:left="426" w:hanging="426"/>
        <w:jc w:val="both"/>
        <w:rPr>
          <w:rFonts w:ascii="Palatino Linotype" w:hAnsi="Palatino Linotype" w:cs="Arial"/>
        </w:rPr>
      </w:pPr>
    </w:p>
    <w:p w:rsidR="001D56E7" w:rsidRPr="00017A61" w:rsidRDefault="001D56E7" w:rsidP="001D56E7">
      <w:pPr>
        <w:pStyle w:val="Prrafodelista"/>
        <w:numPr>
          <w:ilvl w:val="0"/>
          <w:numId w:val="1"/>
        </w:numPr>
        <w:tabs>
          <w:tab w:val="left" w:pos="426"/>
        </w:tabs>
        <w:spacing w:after="0" w:line="360" w:lineRule="auto"/>
        <w:ind w:left="426" w:hanging="426"/>
        <w:jc w:val="both"/>
        <w:rPr>
          <w:rFonts w:ascii="Palatino Linotype" w:hAnsi="Palatino Linotype" w:cs="Arial"/>
        </w:rPr>
      </w:pPr>
      <w:r>
        <w:rPr>
          <w:rFonts w:ascii="Palatino Linotype" w:hAnsi="Palatino Linotype" w:cs="Arial"/>
        </w:rPr>
        <w:t>Por lo anteriormente expuesto es que esta P</w:t>
      </w:r>
      <w:r w:rsidRPr="00017A61">
        <w:rPr>
          <w:rFonts w:ascii="Palatino Linotype" w:hAnsi="Palatino Linotype" w:cs="Arial"/>
        </w:rPr>
        <w:t xml:space="preserve">onencia no comparte </w:t>
      </w:r>
      <w:r>
        <w:rPr>
          <w:rFonts w:ascii="Palatino Linotype" w:hAnsi="Palatino Linotype" w:cs="Arial"/>
        </w:rPr>
        <w:t xml:space="preserve">en su totalidad el criterio adoptado al momento de ordenar la entrega de la información, por los siguientes argumentos que a continuación se expondrán. </w:t>
      </w:r>
    </w:p>
    <w:p w:rsidR="001D56E7" w:rsidRPr="00017A61" w:rsidRDefault="001D56E7" w:rsidP="001D56E7">
      <w:pPr>
        <w:pStyle w:val="Prrafodelista"/>
        <w:spacing w:line="360" w:lineRule="auto"/>
        <w:ind w:left="426" w:hanging="426"/>
        <w:rPr>
          <w:rFonts w:ascii="Palatino Linotype" w:hAnsi="Palatino Linotype" w:cs="Arial"/>
        </w:rPr>
      </w:pPr>
    </w:p>
    <w:p w:rsidR="001D56E7" w:rsidRDefault="001D56E7" w:rsidP="001D56E7">
      <w:pPr>
        <w:pStyle w:val="Prrafodelista"/>
        <w:numPr>
          <w:ilvl w:val="0"/>
          <w:numId w:val="1"/>
        </w:numPr>
        <w:tabs>
          <w:tab w:val="left" w:pos="426"/>
        </w:tabs>
        <w:spacing w:after="0" w:line="360" w:lineRule="auto"/>
        <w:ind w:left="426" w:hanging="426"/>
        <w:jc w:val="both"/>
        <w:rPr>
          <w:rFonts w:ascii="Palatino Linotype" w:hAnsi="Palatino Linotype" w:cs="Arial"/>
        </w:rPr>
      </w:pPr>
      <w:r>
        <w:rPr>
          <w:rFonts w:ascii="Palatino Linotype" w:hAnsi="Palatino Linotype" w:cs="Arial"/>
        </w:rPr>
        <w:lastRenderedPageBreak/>
        <w:t>Derivado de lo anterior</w:t>
      </w:r>
      <w:r w:rsidRPr="00AC5011">
        <w:rPr>
          <w:rFonts w:ascii="Palatino Linotype" w:hAnsi="Palatino Linotype" w:cs="Arial"/>
        </w:rPr>
        <w:t xml:space="preserve">, si bien es cierto que la información referente al personal operativo de seguridad pública debería ser clasificada, </w:t>
      </w:r>
      <w:r>
        <w:rPr>
          <w:rFonts w:ascii="Palatino Linotype" w:hAnsi="Palatino Linotype" w:cs="Arial"/>
        </w:rPr>
        <w:t>por</w:t>
      </w:r>
      <w:r w:rsidRPr="00AC5011">
        <w:rPr>
          <w:rFonts w:ascii="Palatino Linotype" w:hAnsi="Palatino Linotype" w:cs="Arial"/>
        </w:rPr>
        <w:t xml:space="preserve"> realizar funciones que tienen que ver con el combate a la delincuencia, y que dar a conocer sus nombre</w:t>
      </w:r>
      <w:r>
        <w:rPr>
          <w:rFonts w:ascii="Palatino Linotype" w:hAnsi="Palatino Linotype" w:cs="Arial"/>
        </w:rPr>
        <w:t>s</w:t>
      </w:r>
      <w:r w:rsidRPr="00AC5011">
        <w:rPr>
          <w:rFonts w:ascii="Palatino Linotype" w:hAnsi="Palatino Linotype" w:cs="Arial"/>
        </w:rPr>
        <w:t xml:space="preserve"> puede poner en riesgo su vida, seguridad y salud; también es cierto que al ser servidores públicos que reciben </w:t>
      </w:r>
      <w:r>
        <w:rPr>
          <w:rFonts w:ascii="Palatino Linotype" w:hAnsi="Palatino Linotype" w:cs="Arial"/>
        </w:rPr>
        <w:t xml:space="preserve">sus remuneraciones mediante la aplicación de </w:t>
      </w:r>
      <w:r w:rsidRPr="00AC5011">
        <w:rPr>
          <w:rFonts w:ascii="Palatino Linotype" w:hAnsi="Palatino Linotype" w:cs="Arial"/>
        </w:rPr>
        <w:t>recursos públicos</w:t>
      </w:r>
      <w:r>
        <w:rPr>
          <w:rFonts w:ascii="Palatino Linotype" w:hAnsi="Palatino Linotype" w:cs="Arial"/>
        </w:rPr>
        <w:t>, por ende</w:t>
      </w:r>
      <w:r w:rsidRPr="00AC5011">
        <w:rPr>
          <w:rFonts w:ascii="Palatino Linotype" w:hAnsi="Palatino Linotype" w:cs="Arial"/>
        </w:rPr>
        <w:t xml:space="preserve"> el régimen de protección de sus datos personales como lo son sus nombres se encuentran en un umbral de mayor publicidad al de los particulares, de modo que se debió buscar un punto de encuentro entre el derecho de acceso a la información y la protección de la identidad de los se</w:t>
      </w:r>
      <w:r>
        <w:rPr>
          <w:rFonts w:ascii="Palatino Linotype" w:hAnsi="Palatino Linotype" w:cs="Arial"/>
        </w:rPr>
        <w:t xml:space="preserve">rvidores públicos que se desenvuelven como </w:t>
      </w:r>
      <w:r w:rsidRPr="00AC5011">
        <w:rPr>
          <w:rFonts w:ascii="Palatino Linotype" w:hAnsi="Palatino Linotype" w:cs="Arial"/>
        </w:rPr>
        <w:t>miembros de la seguridad pública.</w:t>
      </w:r>
    </w:p>
    <w:p w:rsidR="001D56E7" w:rsidRDefault="001D56E7" w:rsidP="001D56E7">
      <w:pPr>
        <w:pStyle w:val="Prrafodelista"/>
        <w:tabs>
          <w:tab w:val="left" w:pos="426"/>
        </w:tabs>
        <w:spacing w:line="360" w:lineRule="auto"/>
        <w:ind w:left="426" w:hanging="426"/>
        <w:jc w:val="both"/>
        <w:rPr>
          <w:rFonts w:ascii="Palatino Linotype" w:hAnsi="Palatino Linotype" w:cs="Arial"/>
        </w:rPr>
      </w:pPr>
    </w:p>
    <w:p w:rsidR="001D56E7" w:rsidRDefault="001D56E7" w:rsidP="001D56E7">
      <w:pPr>
        <w:pStyle w:val="Prrafodelista"/>
        <w:numPr>
          <w:ilvl w:val="0"/>
          <w:numId w:val="1"/>
        </w:numPr>
        <w:tabs>
          <w:tab w:val="left" w:pos="426"/>
        </w:tabs>
        <w:spacing w:after="0" w:line="360" w:lineRule="auto"/>
        <w:ind w:left="426" w:hanging="426"/>
        <w:jc w:val="both"/>
        <w:rPr>
          <w:rFonts w:ascii="Palatino Linotype" w:hAnsi="Palatino Linotype" w:cs="Arial"/>
        </w:rPr>
      </w:pPr>
      <w:r>
        <w:rPr>
          <w:rFonts w:ascii="Palatino Linotype" w:hAnsi="Palatino Linotype" w:cs="Arial"/>
        </w:rPr>
        <w:t xml:space="preserve">Asimismo, </w:t>
      </w:r>
      <w:r w:rsidRPr="002611CF">
        <w:rPr>
          <w:rFonts w:ascii="Palatino Linotype" w:hAnsi="Palatino Linotype" w:cs="Arial"/>
        </w:rPr>
        <w:t>no se debe pasar por alto que toda la información generada, poseída o administrada por un ente público es pública y debe ser puesta a disposición de la ciudadanía de conformidad con el artículo 4 de la Ley de Transparencia y acceso a la Información Pública del Estado de México y Municipios, el cual dicta lo siguiente:</w:t>
      </w:r>
    </w:p>
    <w:p w:rsidR="001D56E7" w:rsidRPr="002611CF" w:rsidRDefault="001D56E7" w:rsidP="001D56E7">
      <w:pPr>
        <w:pStyle w:val="Prrafodelista"/>
        <w:tabs>
          <w:tab w:val="left" w:pos="426"/>
        </w:tabs>
        <w:spacing w:line="360" w:lineRule="auto"/>
        <w:ind w:left="426" w:hanging="426"/>
        <w:jc w:val="both"/>
        <w:rPr>
          <w:rFonts w:ascii="Palatino Linotype" w:hAnsi="Palatino Linotype" w:cs="Arial"/>
        </w:rPr>
      </w:pPr>
    </w:p>
    <w:p w:rsidR="001D56E7" w:rsidRPr="002611CF" w:rsidRDefault="001D56E7" w:rsidP="001A3C33">
      <w:pPr>
        <w:tabs>
          <w:tab w:val="left" w:pos="1276"/>
        </w:tabs>
        <w:spacing w:line="276" w:lineRule="auto"/>
        <w:ind w:left="567" w:right="616"/>
        <w:jc w:val="both"/>
        <w:rPr>
          <w:rFonts w:ascii="Palatino Linotype" w:hAnsi="Palatino Linotype" w:cs="Arial"/>
          <w:i/>
        </w:rPr>
      </w:pPr>
      <w:r w:rsidRPr="002611CF">
        <w:rPr>
          <w:rFonts w:ascii="Palatino Linotype" w:hAnsi="Palatino Linotype" w:cs="Arial"/>
          <w:i/>
        </w:rPr>
        <w:t>“</w:t>
      </w:r>
      <w:r w:rsidRPr="002611CF">
        <w:rPr>
          <w:rFonts w:ascii="Palatino Linotype" w:hAnsi="Palatino Linotype" w:cs="Arial"/>
          <w:b/>
          <w:i/>
        </w:rPr>
        <w:t>Artículo 4.</w:t>
      </w:r>
      <w:r w:rsidRPr="002611CF">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1D56E7" w:rsidRPr="002611CF" w:rsidRDefault="001D56E7" w:rsidP="001A3C33">
      <w:pPr>
        <w:pStyle w:val="Prrafodelista"/>
        <w:tabs>
          <w:tab w:val="left" w:pos="1276"/>
        </w:tabs>
        <w:spacing w:line="276" w:lineRule="auto"/>
        <w:ind w:left="567" w:right="616"/>
        <w:jc w:val="both"/>
        <w:rPr>
          <w:rFonts w:ascii="Palatino Linotype" w:hAnsi="Palatino Linotype" w:cs="Arial"/>
          <w:i/>
        </w:rPr>
      </w:pPr>
    </w:p>
    <w:p w:rsidR="001D56E7" w:rsidRDefault="001D56E7" w:rsidP="001A3C33">
      <w:pPr>
        <w:tabs>
          <w:tab w:val="left" w:pos="1276"/>
        </w:tabs>
        <w:spacing w:line="276" w:lineRule="auto"/>
        <w:ind w:left="567" w:right="616"/>
        <w:jc w:val="both"/>
        <w:rPr>
          <w:rFonts w:ascii="Palatino Linotype" w:hAnsi="Palatino Linotype" w:cs="Arial"/>
          <w:i/>
        </w:rPr>
      </w:pPr>
      <w:r w:rsidRPr="002611CF">
        <w:rPr>
          <w:rFonts w:ascii="Palatino Linotype" w:hAnsi="Palatino Linotype" w:cs="Arial"/>
          <w:b/>
          <w:i/>
        </w:rPr>
        <w:t>Toda la información generada, obtenida, adquirida, transformada, administrada o en posesión de los sujetos obligados es pública y accesible de manera permanente a cualquier persona,</w:t>
      </w:r>
      <w:r w:rsidRPr="002611CF">
        <w:rPr>
          <w:rFonts w:ascii="Palatino Linotype" w:hAnsi="Palatino Linotype" w:cs="Arial"/>
          <w:i/>
        </w:rPr>
        <w:t xml:space="preserve"> en los términos y condiciones que se establezcan en los tratados internacionales de los que el Estado mexicano sea parte, en la Ley General, la presente Ley y demás disposiciones de la materia, privilegiando el </w:t>
      </w:r>
      <w:r w:rsidRPr="002611CF">
        <w:rPr>
          <w:rFonts w:ascii="Palatino Linotype" w:hAnsi="Palatino Linotype" w:cs="Arial"/>
          <w:i/>
        </w:rPr>
        <w:lastRenderedPageBreak/>
        <w:t xml:space="preserve">principio de máxima publicidad de la información. Solo podrá ser clasificada excepcionalmente como reservada temporalmente por razones de interés público, en los términos de las causas legítimas y estrictamente necesarias previstas por esta Ley. </w:t>
      </w:r>
    </w:p>
    <w:p w:rsidR="001D56E7" w:rsidRPr="002611CF" w:rsidRDefault="001D56E7" w:rsidP="001A3C33">
      <w:pPr>
        <w:tabs>
          <w:tab w:val="left" w:pos="1276"/>
        </w:tabs>
        <w:spacing w:line="276" w:lineRule="auto"/>
        <w:ind w:left="567" w:right="616"/>
        <w:jc w:val="both"/>
        <w:rPr>
          <w:rFonts w:ascii="Palatino Linotype" w:hAnsi="Palatino Linotype" w:cs="Arial"/>
          <w:i/>
        </w:rPr>
      </w:pPr>
    </w:p>
    <w:p w:rsidR="001D56E7" w:rsidRDefault="001D56E7" w:rsidP="001A3C33">
      <w:pPr>
        <w:tabs>
          <w:tab w:val="left" w:pos="1276"/>
        </w:tabs>
        <w:spacing w:line="276" w:lineRule="auto"/>
        <w:ind w:left="567" w:right="616"/>
        <w:jc w:val="both"/>
        <w:rPr>
          <w:rFonts w:ascii="Palatino Linotype" w:hAnsi="Palatino Linotype" w:cs="Arial"/>
          <w:i/>
        </w:rPr>
      </w:pPr>
      <w:r w:rsidRPr="002611CF">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1D56E7" w:rsidRPr="002611CF" w:rsidRDefault="001D56E7" w:rsidP="001A3C33">
      <w:pPr>
        <w:tabs>
          <w:tab w:val="left" w:pos="1276"/>
        </w:tabs>
        <w:spacing w:line="276" w:lineRule="auto"/>
        <w:ind w:left="567" w:right="616"/>
        <w:jc w:val="both"/>
        <w:rPr>
          <w:rFonts w:ascii="Palatino Linotype" w:hAnsi="Palatino Linotype" w:cs="Arial"/>
          <w:i/>
        </w:rPr>
      </w:pPr>
    </w:p>
    <w:p w:rsidR="001D56E7" w:rsidRPr="002611CF" w:rsidRDefault="001D56E7" w:rsidP="001A3C33">
      <w:pPr>
        <w:tabs>
          <w:tab w:val="left" w:pos="1276"/>
        </w:tabs>
        <w:spacing w:line="276" w:lineRule="auto"/>
        <w:ind w:left="567" w:right="616"/>
        <w:jc w:val="both"/>
        <w:rPr>
          <w:rFonts w:ascii="Palatino Linotype" w:hAnsi="Palatino Linotype" w:cs="Arial"/>
        </w:rPr>
      </w:pPr>
      <w:r w:rsidRPr="002611CF">
        <w:rPr>
          <w:rFonts w:ascii="Palatino Linotype" w:hAnsi="Palatino Linotype" w:cs="Arial"/>
        </w:rPr>
        <w:t>(Énfasis añadido)</w:t>
      </w:r>
    </w:p>
    <w:p w:rsidR="001D56E7" w:rsidRDefault="001D56E7" w:rsidP="001D56E7">
      <w:pPr>
        <w:pStyle w:val="Prrafodelista"/>
        <w:numPr>
          <w:ilvl w:val="0"/>
          <w:numId w:val="1"/>
        </w:numPr>
        <w:tabs>
          <w:tab w:val="left" w:pos="284"/>
          <w:tab w:val="left" w:pos="426"/>
        </w:tabs>
        <w:spacing w:after="0" w:line="360" w:lineRule="auto"/>
        <w:ind w:left="426" w:hanging="426"/>
        <w:jc w:val="both"/>
        <w:rPr>
          <w:rFonts w:ascii="Palatino Linotype" w:hAnsi="Palatino Linotype" w:cs="Arial"/>
        </w:rPr>
      </w:pPr>
      <w:r>
        <w:rPr>
          <w:rFonts w:ascii="Palatino Linotype" w:hAnsi="Palatino Linotype" w:cs="Arial"/>
        </w:rPr>
        <w:t xml:space="preserve">Bajo ese contexto, no está por demás referir que la información a la que pretendía acceder la particular, como lo son los documentos en donde se ordenó clasificar la información correspondiente a los nombres de los elementos de seguridad pública con funciones operativas, constituyen una obligación de </w:t>
      </w:r>
      <w:r w:rsidRPr="002611CF">
        <w:rPr>
          <w:rFonts w:ascii="Palatino Linotype" w:hAnsi="Palatino Linotype" w:cs="Arial"/>
        </w:rPr>
        <w:t xml:space="preserve">transparencia que el </w:t>
      </w:r>
      <w:r w:rsidRPr="002611CF">
        <w:rPr>
          <w:rFonts w:ascii="Palatino Linotype" w:hAnsi="Palatino Linotype" w:cs="Arial"/>
          <w:b/>
        </w:rPr>
        <w:t>SUJETO OBLIGADO</w:t>
      </w:r>
      <w:r w:rsidRPr="002611CF">
        <w:rPr>
          <w:rFonts w:ascii="Palatino Linotype" w:hAnsi="Palatino Linotype" w:cs="Arial"/>
        </w:rPr>
        <w:t xml:space="preserve"> se encuentra constreñido a dar publicidad</w:t>
      </w:r>
      <w:r>
        <w:rPr>
          <w:rFonts w:ascii="Palatino Linotype" w:hAnsi="Palatino Linotype" w:cs="Arial"/>
        </w:rPr>
        <w:t>, la cual corresponde en</w:t>
      </w:r>
      <w:r w:rsidR="00CA2FD1">
        <w:rPr>
          <w:rFonts w:ascii="Palatino Linotype" w:hAnsi="Palatino Linotype" w:cs="Arial"/>
        </w:rPr>
        <w:t xml:space="preserve"> todo caso a las remuneraciones.</w:t>
      </w:r>
    </w:p>
    <w:p w:rsidR="001D56E7" w:rsidRDefault="001D56E7" w:rsidP="001D56E7">
      <w:pPr>
        <w:pStyle w:val="Prrafodelista"/>
        <w:tabs>
          <w:tab w:val="left" w:pos="284"/>
          <w:tab w:val="left" w:pos="426"/>
        </w:tabs>
        <w:spacing w:line="360" w:lineRule="auto"/>
        <w:ind w:left="426" w:hanging="426"/>
        <w:jc w:val="both"/>
        <w:rPr>
          <w:rFonts w:ascii="Palatino Linotype" w:hAnsi="Palatino Linotype" w:cs="Arial"/>
        </w:rPr>
      </w:pPr>
    </w:p>
    <w:p w:rsidR="001D56E7" w:rsidRPr="00BF7F15" w:rsidRDefault="001D56E7" w:rsidP="001D56E7">
      <w:pPr>
        <w:pStyle w:val="Prrafodelista"/>
        <w:numPr>
          <w:ilvl w:val="0"/>
          <w:numId w:val="1"/>
        </w:numPr>
        <w:tabs>
          <w:tab w:val="left" w:pos="426"/>
        </w:tabs>
        <w:spacing w:after="0" w:line="360" w:lineRule="auto"/>
        <w:ind w:left="426" w:hanging="426"/>
        <w:jc w:val="both"/>
        <w:rPr>
          <w:rFonts w:ascii="Palatino Linotype" w:hAnsi="Palatino Linotype" w:cs="Arial"/>
        </w:rPr>
      </w:pPr>
      <w:r w:rsidRPr="00F3702C">
        <w:rPr>
          <w:rFonts w:ascii="Palatino Linotype" w:hAnsi="Palatino Linotype" w:cs="Arial"/>
        </w:rPr>
        <w:t>Ahora, como en reiteradas ocasiones han establecido diversos órganos jurisdiccionales, ningún derecho es absoluto, es decir, existen límites y restricciones al mismo</w:t>
      </w:r>
      <w:r>
        <w:rPr>
          <w:rFonts w:ascii="Palatino Linotype" w:hAnsi="Palatino Linotype" w:cs="Arial"/>
        </w:rPr>
        <w:t xml:space="preserve">, constituyéndose </w:t>
      </w:r>
      <w:r w:rsidRPr="00F3702C">
        <w:rPr>
          <w:rFonts w:ascii="Palatino Linotype" w:hAnsi="Palatino Linotype" w:cs="Arial"/>
        </w:rPr>
        <w:t xml:space="preserve">la clasificación de información </w:t>
      </w:r>
      <w:r>
        <w:rPr>
          <w:rFonts w:ascii="Palatino Linotype" w:hAnsi="Palatino Linotype" w:cs="Arial"/>
        </w:rPr>
        <w:t xml:space="preserve">como ese </w:t>
      </w:r>
      <w:r w:rsidRPr="00F3702C">
        <w:rPr>
          <w:rFonts w:ascii="Palatino Linotype" w:hAnsi="Palatino Linotype" w:cs="Arial"/>
        </w:rPr>
        <w:t>acto excepcional de restricción de derechos</w:t>
      </w:r>
      <w:r>
        <w:rPr>
          <w:rFonts w:ascii="Palatino Linotype" w:hAnsi="Palatino Linotype" w:cs="Arial"/>
        </w:rPr>
        <w:t>.</w:t>
      </w:r>
    </w:p>
    <w:p w:rsidR="001D56E7" w:rsidRDefault="001D56E7" w:rsidP="001D56E7">
      <w:pPr>
        <w:pStyle w:val="Prrafodelista"/>
        <w:tabs>
          <w:tab w:val="left" w:pos="426"/>
        </w:tabs>
        <w:spacing w:line="360" w:lineRule="auto"/>
        <w:ind w:left="426" w:hanging="426"/>
        <w:jc w:val="both"/>
        <w:rPr>
          <w:rFonts w:ascii="Palatino Linotype" w:hAnsi="Palatino Linotype" w:cs="Arial"/>
        </w:rPr>
      </w:pPr>
    </w:p>
    <w:p w:rsidR="001D56E7" w:rsidRDefault="001D56E7" w:rsidP="001D56E7">
      <w:pPr>
        <w:pStyle w:val="Prrafodelista"/>
        <w:numPr>
          <w:ilvl w:val="0"/>
          <w:numId w:val="1"/>
        </w:numPr>
        <w:tabs>
          <w:tab w:val="left" w:pos="426"/>
        </w:tabs>
        <w:spacing w:after="0" w:line="360" w:lineRule="auto"/>
        <w:ind w:left="426" w:hanging="426"/>
        <w:jc w:val="both"/>
        <w:rPr>
          <w:rFonts w:ascii="Palatino Linotype" w:hAnsi="Palatino Linotype" w:cs="Arial"/>
        </w:rPr>
      </w:pPr>
      <w:r>
        <w:rPr>
          <w:rFonts w:ascii="Palatino Linotype" w:hAnsi="Palatino Linotype" w:cs="Arial"/>
        </w:rPr>
        <w:t xml:space="preserve">Sin embargo, para que dicha clasificación resulte procedente </w:t>
      </w:r>
      <w:r w:rsidRPr="00F3702C">
        <w:rPr>
          <w:rFonts w:ascii="Palatino Linotype" w:hAnsi="Palatino Linotype" w:cs="Arial"/>
        </w:rPr>
        <w:t>no basta con que el supuesto jurídico se encuentre previsto en la normatividad, ni que por el simple hecho de considerarse información en materia de seguridad pública</w:t>
      </w:r>
      <w:r>
        <w:rPr>
          <w:rFonts w:ascii="Palatino Linotype" w:hAnsi="Palatino Linotype" w:cs="Arial"/>
        </w:rPr>
        <w:t xml:space="preserve"> tenga por esa sola </w:t>
      </w:r>
      <w:r>
        <w:rPr>
          <w:rFonts w:ascii="Palatino Linotype" w:hAnsi="Palatino Linotype" w:cs="Arial"/>
        </w:rPr>
        <w:lastRenderedPageBreak/>
        <w:t>característica la categoría de reservada, ya que para ello deberá analizarse el caso concreto que se presente, mediante la aplicación de la prueba de daño para determinar si la difusión puede generar un daño a intereses relevantes y protegidos constitucionalmente.</w:t>
      </w:r>
    </w:p>
    <w:p w:rsidR="001D56E7" w:rsidRDefault="001D56E7" w:rsidP="001D56E7">
      <w:pPr>
        <w:pStyle w:val="Prrafodelista"/>
        <w:tabs>
          <w:tab w:val="left" w:pos="426"/>
        </w:tabs>
        <w:spacing w:line="360" w:lineRule="auto"/>
        <w:ind w:left="426" w:hanging="426"/>
        <w:jc w:val="both"/>
        <w:rPr>
          <w:rFonts w:ascii="Palatino Linotype" w:hAnsi="Palatino Linotype" w:cs="Arial"/>
        </w:rPr>
      </w:pPr>
    </w:p>
    <w:p w:rsidR="001D56E7" w:rsidRDefault="001D56E7" w:rsidP="001D56E7">
      <w:pPr>
        <w:pStyle w:val="Prrafodelista"/>
        <w:numPr>
          <w:ilvl w:val="0"/>
          <w:numId w:val="1"/>
        </w:numPr>
        <w:tabs>
          <w:tab w:val="left" w:pos="426"/>
        </w:tabs>
        <w:spacing w:after="0" w:line="360" w:lineRule="auto"/>
        <w:ind w:left="426" w:hanging="426"/>
        <w:jc w:val="both"/>
        <w:rPr>
          <w:rFonts w:ascii="Palatino Linotype" w:hAnsi="Palatino Linotype" w:cs="Arial"/>
        </w:rPr>
      </w:pPr>
      <w:r>
        <w:rPr>
          <w:rFonts w:ascii="Palatino Linotype" w:hAnsi="Palatino Linotype" w:cs="Arial"/>
        </w:rPr>
        <w:t>E</w:t>
      </w:r>
      <w:r w:rsidRPr="007C1ADC">
        <w:rPr>
          <w:rFonts w:ascii="Palatino Linotype" w:hAnsi="Palatino Linotype" w:cs="Arial"/>
        </w:rPr>
        <w:t>n este caso, es menester referir que la Ponencia Resolutora advirtió que 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w:t>
      </w:r>
      <w:r>
        <w:rPr>
          <w:rFonts w:ascii="Palatino Linotype" w:hAnsi="Palatino Linotype" w:cs="Arial"/>
        </w:rPr>
        <w:t>ica con motivo de sus funciones; no obstante, como ya se ha manifestado, para valorar si realmente el daño que se ocasionaría con la difusión de la información resulta mayor al interés de darla a conocer a la ciudadanía, se debe aplicar la prueba de daño, no sólo realizar la previa reserva; valoración y estudio del caso concreto que únicamente le compete a los Sujetos Obligados que se encuentran en posesión o administración de la información requerida.</w:t>
      </w:r>
    </w:p>
    <w:p w:rsidR="001D56E7" w:rsidRPr="007C1ADC" w:rsidRDefault="001D56E7" w:rsidP="001D56E7">
      <w:pPr>
        <w:pStyle w:val="Prrafodelista"/>
        <w:tabs>
          <w:tab w:val="left" w:pos="426"/>
        </w:tabs>
        <w:spacing w:line="360" w:lineRule="auto"/>
        <w:ind w:left="426" w:hanging="426"/>
        <w:jc w:val="both"/>
        <w:rPr>
          <w:rFonts w:ascii="Palatino Linotype" w:hAnsi="Palatino Linotype" w:cs="Arial"/>
        </w:rPr>
      </w:pPr>
    </w:p>
    <w:p w:rsidR="001D56E7" w:rsidRPr="00CA2FD1" w:rsidRDefault="001D56E7" w:rsidP="001D56E7">
      <w:pPr>
        <w:pStyle w:val="Prrafodelista"/>
        <w:numPr>
          <w:ilvl w:val="0"/>
          <w:numId w:val="1"/>
        </w:numPr>
        <w:tabs>
          <w:tab w:val="left" w:pos="426"/>
        </w:tabs>
        <w:spacing w:after="0" w:line="360" w:lineRule="auto"/>
        <w:ind w:left="426" w:hanging="426"/>
        <w:jc w:val="both"/>
        <w:rPr>
          <w:rFonts w:ascii="Palatino Linotype" w:hAnsi="Palatino Linotype" w:cs="Arial"/>
        </w:rPr>
      </w:pPr>
      <w:r w:rsidRPr="00CA2FD1">
        <w:rPr>
          <w:rFonts w:ascii="Palatino Linotype" w:hAnsi="Palatino Linotype" w:cs="Arial"/>
        </w:rPr>
        <w:t>Robustece lo anterior el Comunicado de Prensa de la Suprema Corte de Justicia de la Nación No. 044/2019, emitido el treinta (30) de abril de dos mil diecinueve, aplicable al presente asunto como criterio orientador, cuya literalidad es la siguiente:</w:t>
      </w:r>
    </w:p>
    <w:p w:rsidR="001D56E7" w:rsidRPr="00CA2FD1" w:rsidRDefault="001D56E7" w:rsidP="001A3C33">
      <w:pPr>
        <w:pStyle w:val="Prrafodelista"/>
        <w:tabs>
          <w:tab w:val="left" w:pos="851"/>
        </w:tabs>
        <w:spacing w:line="360" w:lineRule="auto"/>
        <w:ind w:left="567" w:right="616"/>
        <w:jc w:val="both"/>
        <w:rPr>
          <w:rFonts w:ascii="Palatino Linotype" w:hAnsi="Palatino Linotype" w:cs="Arial"/>
        </w:rPr>
      </w:pPr>
    </w:p>
    <w:p w:rsidR="001D56E7" w:rsidRPr="00CA2FD1" w:rsidRDefault="001D56E7" w:rsidP="001A3C33">
      <w:pPr>
        <w:pStyle w:val="Prrafodelista"/>
        <w:tabs>
          <w:tab w:val="left" w:pos="851"/>
        </w:tabs>
        <w:spacing w:line="276" w:lineRule="auto"/>
        <w:ind w:left="567" w:right="616"/>
        <w:jc w:val="center"/>
        <w:rPr>
          <w:rFonts w:ascii="Palatino Linotype" w:hAnsi="Palatino Linotype" w:cs="Arial"/>
          <w:b/>
          <w:i/>
        </w:rPr>
      </w:pPr>
      <w:r w:rsidRPr="00CA2FD1">
        <w:rPr>
          <w:rFonts w:ascii="Palatino Linotype" w:hAnsi="Palatino Linotype" w:cs="Arial"/>
          <w:b/>
          <w:i/>
        </w:rPr>
        <w:t>“LA INFORMACIÓN EN MATERIA DE SEGURIDAD PÚBLICA NO TIENE POR ESA SOLA CARACTERÍSTICA LA CATEGORÍA DE RESERVADA</w:t>
      </w:r>
    </w:p>
    <w:p w:rsidR="001D56E7" w:rsidRPr="00CA2FD1" w:rsidRDefault="001D56E7" w:rsidP="001A3C33">
      <w:pPr>
        <w:pStyle w:val="Prrafodelista"/>
        <w:tabs>
          <w:tab w:val="left" w:pos="851"/>
        </w:tabs>
        <w:spacing w:line="276" w:lineRule="auto"/>
        <w:ind w:left="567" w:right="616"/>
        <w:jc w:val="both"/>
        <w:rPr>
          <w:rFonts w:ascii="Palatino Linotype" w:hAnsi="Palatino Linotype" w:cs="Arial"/>
          <w:i/>
        </w:rPr>
      </w:pPr>
    </w:p>
    <w:p w:rsidR="001D56E7" w:rsidRPr="00CA2FD1" w:rsidRDefault="001D56E7" w:rsidP="001A3C33">
      <w:pPr>
        <w:pStyle w:val="Prrafodelista"/>
        <w:tabs>
          <w:tab w:val="left" w:pos="851"/>
        </w:tabs>
        <w:spacing w:line="276" w:lineRule="auto"/>
        <w:ind w:left="567" w:right="616"/>
        <w:jc w:val="both"/>
        <w:rPr>
          <w:rFonts w:ascii="Palatino Linotype" w:hAnsi="Palatino Linotype" w:cs="Arial"/>
          <w:i/>
        </w:rPr>
      </w:pPr>
      <w:r w:rsidRPr="00CA2FD1">
        <w:rPr>
          <w:rFonts w:ascii="Palatino Linotype" w:hAnsi="Palatino Linotype" w:cs="Arial"/>
          <w:i/>
        </w:rPr>
        <w:t xml:space="preserve">La Suprema Corte de Justicia de la Nación, en sesión del Tribunal Pleno, invalidó parte de un artículo de la Ley del Sistema Estatal de Seguridad Pública de Chihuahua, donde </w:t>
      </w:r>
      <w:r w:rsidRPr="00CA2FD1">
        <w:rPr>
          <w:rFonts w:ascii="Palatino Linotype" w:hAnsi="Palatino Linotype" w:cs="Arial"/>
          <w:i/>
        </w:rPr>
        <w:lastRenderedPageBreak/>
        <w:t>se precisaba que la información contenida en las bases de datos y registros del sistema, tendría el carácter de reservada, es decir, que la ciudadanía no tendría acceso a ella a ninguno de los datos allí contenidos.</w:t>
      </w:r>
    </w:p>
    <w:p w:rsidR="001D56E7" w:rsidRPr="00CA2FD1" w:rsidRDefault="001D56E7" w:rsidP="001A3C33">
      <w:pPr>
        <w:pStyle w:val="Prrafodelista"/>
        <w:tabs>
          <w:tab w:val="left" w:pos="851"/>
        </w:tabs>
        <w:spacing w:line="276" w:lineRule="auto"/>
        <w:ind w:left="567" w:right="616"/>
        <w:jc w:val="both"/>
        <w:rPr>
          <w:rFonts w:ascii="Palatino Linotype" w:hAnsi="Palatino Linotype" w:cs="Arial"/>
          <w:i/>
        </w:rPr>
      </w:pPr>
    </w:p>
    <w:p w:rsidR="001D56E7" w:rsidRPr="00CA2FD1" w:rsidRDefault="001D56E7" w:rsidP="001A3C33">
      <w:pPr>
        <w:pStyle w:val="Prrafodelista"/>
        <w:tabs>
          <w:tab w:val="left" w:pos="851"/>
        </w:tabs>
        <w:spacing w:line="276" w:lineRule="auto"/>
        <w:ind w:left="567" w:right="616"/>
        <w:jc w:val="both"/>
        <w:rPr>
          <w:rFonts w:ascii="Palatino Linotype" w:hAnsi="Palatino Linotype" w:cs="Arial"/>
          <w:i/>
        </w:rPr>
      </w:pPr>
      <w:r w:rsidRPr="00CA2FD1">
        <w:rPr>
          <w:rFonts w:ascii="Palatino Linotype" w:hAnsi="Palatino Linotype" w:cs="Arial"/>
          <w:i/>
        </w:rPr>
        <w:t>Lo anterior al considerar que esta disposición establecía de manera previa una reserva total e indeterminada, respecto de información que no debería ser clasificada de esa forma.</w:t>
      </w:r>
    </w:p>
    <w:p w:rsidR="001D56E7" w:rsidRPr="00CA2FD1" w:rsidRDefault="001D56E7" w:rsidP="001A3C33">
      <w:pPr>
        <w:pStyle w:val="Prrafodelista"/>
        <w:tabs>
          <w:tab w:val="left" w:pos="851"/>
        </w:tabs>
        <w:spacing w:line="276" w:lineRule="auto"/>
        <w:ind w:left="567" w:right="616"/>
        <w:jc w:val="both"/>
        <w:rPr>
          <w:rFonts w:ascii="Palatino Linotype" w:hAnsi="Palatino Linotype" w:cs="Arial"/>
          <w:i/>
        </w:rPr>
      </w:pPr>
    </w:p>
    <w:p w:rsidR="001D56E7" w:rsidRPr="00CA2FD1" w:rsidRDefault="001D56E7" w:rsidP="001A3C33">
      <w:pPr>
        <w:pStyle w:val="Prrafodelista"/>
        <w:tabs>
          <w:tab w:val="left" w:pos="851"/>
        </w:tabs>
        <w:spacing w:line="276" w:lineRule="auto"/>
        <w:ind w:left="567" w:right="616"/>
        <w:jc w:val="both"/>
        <w:rPr>
          <w:rFonts w:ascii="Palatino Linotype" w:hAnsi="Palatino Linotype" w:cs="Arial"/>
          <w:i/>
        </w:rPr>
      </w:pPr>
      <w:r w:rsidRPr="00CA2FD1">
        <w:rPr>
          <w:rFonts w:ascii="Palatino Linotype" w:hAnsi="Palatino Linotype" w:cs="Arial"/>
          <w:i/>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rsidR="001D56E7" w:rsidRPr="00CA2FD1" w:rsidRDefault="001D56E7" w:rsidP="001A3C33">
      <w:pPr>
        <w:pStyle w:val="Prrafodelista"/>
        <w:tabs>
          <w:tab w:val="left" w:pos="851"/>
        </w:tabs>
        <w:spacing w:line="276" w:lineRule="auto"/>
        <w:ind w:left="567" w:right="616"/>
        <w:jc w:val="both"/>
        <w:rPr>
          <w:rFonts w:ascii="Palatino Linotype" w:hAnsi="Palatino Linotype" w:cs="Arial"/>
          <w:i/>
        </w:rPr>
      </w:pPr>
      <w:r w:rsidRPr="00CA2FD1">
        <w:rPr>
          <w:rFonts w:ascii="Palatino Linotype" w:hAnsi="Palatino Linotype" w:cs="Arial"/>
          <w:i/>
        </w:rPr>
        <w:t>En este sentido, la reserva previa también es contraria al principio de máxima publicidad, ya que establece categorías de información que no debe ser entregada, sin que se lleve a cabo una prueba del daño que ocasionaría su divulgación.</w:t>
      </w:r>
    </w:p>
    <w:p w:rsidR="001D56E7" w:rsidRPr="00CA2FD1" w:rsidRDefault="001D56E7" w:rsidP="001A3C33">
      <w:pPr>
        <w:pStyle w:val="Prrafodelista"/>
        <w:tabs>
          <w:tab w:val="left" w:pos="851"/>
        </w:tabs>
        <w:spacing w:line="276" w:lineRule="auto"/>
        <w:ind w:left="567" w:right="616"/>
        <w:jc w:val="both"/>
        <w:rPr>
          <w:rFonts w:ascii="Palatino Linotype" w:hAnsi="Palatino Linotype" w:cs="Arial"/>
          <w:i/>
        </w:rPr>
      </w:pPr>
    </w:p>
    <w:p w:rsidR="001D56E7" w:rsidRPr="00CA2FD1" w:rsidRDefault="001D56E7" w:rsidP="001A3C33">
      <w:pPr>
        <w:pStyle w:val="Prrafodelista"/>
        <w:tabs>
          <w:tab w:val="left" w:pos="851"/>
        </w:tabs>
        <w:spacing w:line="276" w:lineRule="auto"/>
        <w:ind w:left="567" w:right="616"/>
        <w:jc w:val="both"/>
        <w:rPr>
          <w:rFonts w:ascii="Palatino Linotype" w:hAnsi="Palatino Linotype" w:cs="Arial"/>
          <w:i/>
        </w:rPr>
      </w:pPr>
      <w:r w:rsidRPr="00CA2FD1">
        <w:rPr>
          <w:rFonts w:ascii="Palatino Linotype" w:hAnsi="Palatino Linotype" w:cs="Arial"/>
          <w:i/>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rsidR="001D56E7" w:rsidRPr="00CA2FD1" w:rsidRDefault="001D56E7" w:rsidP="001A3C33">
      <w:pPr>
        <w:pStyle w:val="Prrafodelista"/>
        <w:tabs>
          <w:tab w:val="left" w:pos="851"/>
        </w:tabs>
        <w:spacing w:line="276" w:lineRule="auto"/>
        <w:ind w:left="567" w:right="616"/>
        <w:jc w:val="both"/>
        <w:rPr>
          <w:rFonts w:ascii="Palatino Linotype" w:hAnsi="Palatino Linotype" w:cs="Arial"/>
          <w:i/>
        </w:rPr>
      </w:pPr>
    </w:p>
    <w:p w:rsidR="001D56E7" w:rsidRPr="00CA2FD1" w:rsidRDefault="001D56E7" w:rsidP="001A3C33">
      <w:pPr>
        <w:pStyle w:val="Prrafodelista"/>
        <w:tabs>
          <w:tab w:val="left" w:pos="851"/>
        </w:tabs>
        <w:spacing w:line="276" w:lineRule="auto"/>
        <w:ind w:left="567" w:right="616"/>
        <w:jc w:val="both"/>
        <w:rPr>
          <w:rFonts w:ascii="Palatino Linotype" w:hAnsi="Palatino Linotype" w:cs="Arial"/>
        </w:rPr>
      </w:pPr>
      <w:r w:rsidRPr="00CA2FD1">
        <w:rPr>
          <w:rFonts w:ascii="Palatino Linotype" w:hAnsi="Palatino Linotype" w:cs="Arial"/>
        </w:rPr>
        <w:t>(Énfasis añadido)</w:t>
      </w:r>
    </w:p>
    <w:p w:rsidR="001D56E7" w:rsidRPr="00CA2FD1" w:rsidRDefault="001D56E7" w:rsidP="001D56E7">
      <w:pPr>
        <w:tabs>
          <w:tab w:val="left" w:pos="426"/>
        </w:tabs>
        <w:spacing w:line="276" w:lineRule="auto"/>
        <w:ind w:left="426" w:right="616" w:hanging="426"/>
        <w:jc w:val="both"/>
        <w:rPr>
          <w:rFonts w:ascii="Palatino Linotype" w:hAnsi="Palatino Linotype" w:cs="Arial"/>
        </w:rPr>
      </w:pPr>
    </w:p>
    <w:p w:rsidR="001D56E7" w:rsidRDefault="001D56E7" w:rsidP="001D56E7">
      <w:pPr>
        <w:pStyle w:val="Prrafodelista"/>
        <w:numPr>
          <w:ilvl w:val="0"/>
          <w:numId w:val="1"/>
        </w:numPr>
        <w:tabs>
          <w:tab w:val="left" w:pos="426"/>
        </w:tabs>
        <w:spacing w:after="0" w:line="360" w:lineRule="auto"/>
        <w:ind w:left="426" w:hanging="426"/>
        <w:jc w:val="both"/>
        <w:rPr>
          <w:rFonts w:ascii="Palatino Linotype" w:hAnsi="Palatino Linotype" w:cs="Arial"/>
        </w:rPr>
      </w:pPr>
      <w:r w:rsidRPr="00CA2FD1">
        <w:rPr>
          <w:rFonts w:ascii="Palatino Linotype" w:hAnsi="Palatino Linotype" w:cs="Arial"/>
        </w:rPr>
        <w:t>Como se desprende del comunicado antes</w:t>
      </w:r>
      <w:r>
        <w:rPr>
          <w:rFonts w:ascii="Palatino Linotype" w:hAnsi="Palatino Linotype" w:cs="Arial"/>
        </w:rPr>
        <w:t xml:space="preserve">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w:t>
      </w:r>
      <w:r>
        <w:rPr>
          <w:rFonts w:ascii="Palatino Linotype" w:hAnsi="Palatino Linotype" w:cs="Arial"/>
        </w:rPr>
        <w:lastRenderedPageBreak/>
        <w:t>de la prueba de daño, con la que se acredita ese riesgo de difundirla, lo cual resulta contrario al principio de máxima publicidad, además de generar con ello una vulneración al derecho de acceso a la información pública.</w:t>
      </w:r>
    </w:p>
    <w:p w:rsidR="001D56E7" w:rsidRDefault="001D56E7" w:rsidP="001D56E7">
      <w:pPr>
        <w:pStyle w:val="Prrafodelista"/>
        <w:tabs>
          <w:tab w:val="left" w:pos="426"/>
        </w:tabs>
        <w:spacing w:line="360" w:lineRule="auto"/>
        <w:ind w:left="426" w:hanging="426"/>
        <w:jc w:val="both"/>
        <w:rPr>
          <w:rFonts w:ascii="Palatino Linotype" w:hAnsi="Palatino Linotype" w:cs="Arial"/>
        </w:rPr>
      </w:pPr>
    </w:p>
    <w:p w:rsidR="001D56E7" w:rsidRDefault="001D56E7" w:rsidP="001D56E7">
      <w:pPr>
        <w:pStyle w:val="Prrafodelista"/>
        <w:numPr>
          <w:ilvl w:val="0"/>
          <w:numId w:val="1"/>
        </w:numPr>
        <w:tabs>
          <w:tab w:val="left" w:pos="426"/>
        </w:tabs>
        <w:spacing w:after="0" w:line="360" w:lineRule="auto"/>
        <w:ind w:left="426" w:hanging="426"/>
        <w:jc w:val="both"/>
        <w:rPr>
          <w:rFonts w:ascii="Palatino Linotype" w:hAnsi="Palatino Linotype" w:cs="Arial"/>
        </w:rPr>
      </w:pPr>
      <w:r>
        <w:rPr>
          <w:rFonts w:ascii="Palatino Linotype" w:hAnsi="Palatino Linotype" w:cs="Arial"/>
        </w:rPr>
        <w:t xml:space="preserve">Por lo anterior, es que a este Órgano Garante le corresponde realizar un análisis de la información solicitada en el caso concreto y bajo el principio de máxima publicidad hacer efectiva su entrega, es decir, si existen probabilidades de entregar la información, a pesar de que la misma encuadre en la hipótesis jurídica por la cual se deba hacer una clasificación, brindar el acceso, como bien lo puede ser, en este caso, a través de la disociación. </w:t>
      </w:r>
    </w:p>
    <w:p w:rsidR="001D56E7" w:rsidRPr="00017A61" w:rsidRDefault="001D56E7" w:rsidP="001D56E7">
      <w:pPr>
        <w:pStyle w:val="Prrafodelista"/>
        <w:tabs>
          <w:tab w:val="left" w:pos="426"/>
        </w:tabs>
        <w:spacing w:line="360" w:lineRule="auto"/>
        <w:ind w:left="426" w:hanging="426"/>
        <w:jc w:val="both"/>
        <w:rPr>
          <w:rFonts w:ascii="Palatino Linotype" w:hAnsi="Palatino Linotype" w:cs="Arial"/>
        </w:rPr>
      </w:pPr>
    </w:p>
    <w:p w:rsidR="001D56E7" w:rsidRPr="00CA2FD1" w:rsidRDefault="001D56E7" w:rsidP="00CA2FD1">
      <w:pPr>
        <w:pStyle w:val="Ttulo2"/>
        <w:numPr>
          <w:ilvl w:val="0"/>
          <w:numId w:val="24"/>
        </w:numPr>
        <w:rPr>
          <w:rFonts w:ascii="Palatino Linotype" w:hAnsi="Palatino Linotype"/>
          <w:b/>
          <w:color w:val="auto"/>
          <w:sz w:val="24"/>
        </w:rPr>
      </w:pPr>
      <w:bookmarkStart w:id="13" w:name="_Toc8208625"/>
      <w:bookmarkStart w:id="14" w:name="_Toc11082589"/>
      <w:r w:rsidRPr="00CA2FD1">
        <w:rPr>
          <w:rFonts w:ascii="Palatino Linotype" w:hAnsi="Palatino Linotype"/>
          <w:b/>
          <w:color w:val="auto"/>
          <w:sz w:val="24"/>
        </w:rPr>
        <w:t>De la disociación.</w:t>
      </w:r>
      <w:bookmarkEnd w:id="13"/>
      <w:bookmarkEnd w:id="14"/>
      <w:r w:rsidRPr="00CA2FD1">
        <w:rPr>
          <w:rFonts w:ascii="Palatino Linotype" w:hAnsi="Palatino Linotype"/>
          <w:b/>
          <w:color w:val="auto"/>
          <w:sz w:val="24"/>
        </w:rPr>
        <w:t xml:space="preserve"> </w:t>
      </w:r>
    </w:p>
    <w:p w:rsidR="001D56E7" w:rsidRPr="00017A61" w:rsidRDefault="001D56E7" w:rsidP="001D56E7">
      <w:pPr>
        <w:spacing w:line="360" w:lineRule="auto"/>
        <w:ind w:left="426" w:hanging="426"/>
      </w:pPr>
    </w:p>
    <w:p w:rsidR="001D56E7" w:rsidRPr="00DC25D0" w:rsidRDefault="001D56E7" w:rsidP="001D56E7">
      <w:pPr>
        <w:pStyle w:val="Prrafodelista"/>
        <w:numPr>
          <w:ilvl w:val="0"/>
          <w:numId w:val="1"/>
        </w:numPr>
        <w:pBdr>
          <w:top w:val="nil"/>
          <w:left w:val="nil"/>
          <w:bottom w:val="nil"/>
          <w:right w:val="nil"/>
          <w:between w:val="nil"/>
          <w:bar w:val="nil"/>
        </w:pBdr>
        <w:tabs>
          <w:tab w:val="left" w:pos="426"/>
        </w:tabs>
        <w:spacing w:after="0" w:line="360" w:lineRule="auto"/>
        <w:ind w:left="426" w:hanging="426"/>
        <w:jc w:val="both"/>
        <w:rPr>
          <w:rFonts w:ascii="Palatino Linotype" w:hAnsi="Palatino Linotype"/>
        </w:rPr>
      </w:pPr>
      <w:r w:rsidRPr="00DC25D0">
        <w:rPr>
          <w:rFonts w:ascii="Palatino Linotype" w:hAnsi="Palatino Linotype"/>
        </w:rPr>
        <w:t xml:space="preserve">Derivado de la información que se ordenó entregar, si bien en ella se pudieran advertir los nombres de los elementos de seguridad pública con funciones operativas, y en virtud de que a este Órgano Garante; por un lado, le corresponde tutelar el derecho de acceso a la información; y, por el otro, la protección de datos personales, más cuando se trata de servidores públicos dedicados a realizar funciones operativas en materia de seguridad pública, a mi consideración la información </w:t>
      </w:r>
      <w:r>
        <w:rPr>
          <w:rFonts w:ascii="Palatino Linotype" w:hAnsi="Palatino Linotype"/>
        </w:rPr>
        <w:t xml:space="preserve">requerida por la particular, </w:t>
      </w:r>
      <w:r w:rsidRPr="00DC25D0">
        <w:rPr>
          <w:rFonts w:ascii="Palatino Linotype" w:hAnsi="Palatino Linotype"/>
        </w:rPr>
        <w:t>correspondiente a “</w:t>
      </w:r>
      <w:r w:rsidRPr="00967499">
        <w:rPr>
          <w:rFonts w:ascii="Palatino Linotype" w:hAnsi="Palatino Linotype"/>
          <w:b/>
        </w:rPr>
        <w:t xml:space="preserve">los documentos en donde constará el nombre, el número de todo el personal adscrito a la Dirección de General </w:t>
      </w:r>
      <w:r>
        <w:rPr>
          <w:rFonts w:ascii="Palatino Linotype" w:hAnsi="Palatino Linotype"/>
          <w:b/>
        </w:rPr>
        <w:t xml:space="preserve">de Seguridad Ciudadana y Tránsito, </w:t>
      </w:r>
      <w:r w:rsidRPr="00967499">
        <w:rPr>
          <w:rFonts w:ascii="Palatino Linotype" w:hAnsi="Palatino Linotype"/>
          <w:b/>
        </w:rPr>
        <w:t>desglosado por cargo y sueldo, tant</w:t>
      </w:r>
      <w:r w:rsidR="00CA2FD1">
        <w:rPr>
          <w:rFonts w:ascii="Palatino Linotype" w:hAnsi="Palatino Linotype"/>
          <w:b/>
        </w:rPr>
        <w:t>o de seguridad como de tránsito</w:t>
      </w:r>
      <w:r w:rsidRPr="00DC25D0">
        <w:rPr>
          <w:rFonts w:ascii="Palatino Linotype" w:hAnsi="Palatino Linotype"/>
        </w:rPr>
        <w:t>”, se debió ordenar de manera disocia</w:t>
      </w:r>
      <w:r>
        <w:rPr>
          <w:rFonts w:ascii="Palatino Linotype" w:hAnsi="Palatino Linotype"/>
        </w:rPr>
        <w:t xml:space="preserve">da, de tal manera que </w:t>
      </w:r>
      <w:r w:rsidRPr="00DC25D0">
        <w:rPr>
          <w:rFonts w:ascii="Palatino Linotype" w:hAnsi="Palatino Linotype"/>
        </w:rPr>
        <w:t xml:space="preserve">los datos personales de los policías no pueden asociarse a sus titulares, ni permitir </w:t>
      </w:r>
      <w:r>
        <w:rPr>
          <w:rFonts w:ascii="Palatino Linotype" w:hAnsi="Palatino Linotype"/>
        </w:rPr>
        <w:t xml:space="preserve">que </w:t>
      </w:r>
      <w:r w:rsidRPr="00DC25D0">
        <w:rPr>
          <w:rFonts w:ascii="Palatino Linotype" w:hAnsi="Palatino Linotype"/>
        </w:rPr>
        <w:t xml:space="preserve">por su estructura, contenido o grado de </w:t>
      </w:r>
      <w:r w:rsidRPr="00DC25D0">
        <w:rPr>
          <w:rFonts w:ascii="Palatino Linotype" w:hAnsi="Palatino Linotype"/>
        </w:rPr>
        <w:lastRenderedPageBreak/>
        <w:t xml:space="preserve">desagregación, </w:t>
      </w:r>
      <w:r>
        <w:rPr>
          <w:rFonts w:ascii="Palatino Linotype" w:hAnsi="Palatino Linotype"/>
        </w:rPr>
        <w:t xml:space="preserve">se pueda hacer </w:t>
      </w:r>
      <w:r w:rsidRPr="00DC25D0">
        <w:rPr>
          <w:rFonts w:ascii="Palatino Linotype" w:hAnsi="Palatino Linotype"/>
        </w:rPr>
        <w:t>la identifi</w:t>
      </w:r>
      <w:r>
        <w:rPr>
          <w:rFonts w:ascii="Palatino Linotype" w:hAnsi="Palatino Linotype"/>
        </w:rPr>
        <w:t xml:space="preserve">cación individual de los mismos, logrando con ello un balance entre el derecho de acceso a la información y la protección de datos personales, </w:t>
      </w:r>
      <w:r w:rsidRPr="00DC25D0">
        <w:rPr>
          <w:rFonts w:ascii="Palatino Linotype" w:hAnsi="Palatino Linotype"/>
        </w:rPr>
        <w:t xml:space="preserve">tal y como lo establece el artículo 4 fracción XVI de la </w:t>
      </w:r>
      <w:r w:rsidRPr="00DC25D0">
        <w:rPr>
          <w:rFonts w:ascii="Palatino Linotype" w:hAnsi="Palatino Linotype"/>
          <w:b/>
        </w:rPr>
        <w:t>Ley de Protección de Datos Personales en Posesión de Sujetos Obligados  del Estado de México y Municipios</w:t>
      </w:r>
      <w:r w:rsidRPr="00DC25D0">
        <w:rPr>
          <w:rFonts w:ascii="Palatino Linotype" w:hAnsi="Palatino Linotype"/>
        </w:rPr>
        <w:t>, que refiere:</w:t>
      </w:r>
    </w:p>
    <w:p w:rsidR="001D56E7" w:rsidRPr="0001698D" w:rsidRDefault="001D56E7" w:rsidP="001D56E7">
      <w:pPr>
        <w:spacing w:line="360" w:lineRule="auto"/>
        <w:ind w:left="426" w:right="616" w:hanging="426"/>
        <w:jc w:val="both"/>
        <w:rPr>
          <w:rFonts w:ascii="Palatino Linotype" w:hAnsi="Palatino Linotype"/>
          <w:i/>
        </w:rPr>
      </w:pPr>
    </w:p>
    <w:p w:rsidR="001D56E7" w:rsidRPr="00DC25D0" w:rsidRDefault="001D56E7" w:rsidP="001A3C33">
      <w:pPr>
        <w:pStyle w:val="Prrafodelista"/>
        <w:tabs>
          <w:tab w:val="left" w:pos="7938"/>
        </w:tabs>
        <w:spacing w:line="360" w:lineRule="auto"/>
        <w:ind w:left="567" w:right="616"/>
        <w:jc w:val="both"/>
        <w:rPr>
          <w:rFonts w:ascii="Palatino Linotype" w:hAnsi="Palatino Linotype"/>
          <w:i/>
        </w:rPr>
      </w:pPr>
      <w:r w:rsidRPr="00DC25D0">
        <w:rPr>
          <w:rFonts w:ascii="Palatino Linotype" w:hAnsi="Palatino Linotype"/>
          <w:i/>
        </w:rPr>
        <w:t>“</w:t>
      </w:r>
      <w:r w:rsidRPr="00DC25D0">
        <w:rPr>
          <w:rFonts w:ascii="Palatino Linotype" w:hAnsi="Palatino Linotype"/>
          <w:b/>
          <w:i/>
        </w:rPr>
        <w:t>Artículo 4</w:t>
      </w:r>
      <w:r w:rsidRPr="00DC25D0">
        <w:rPr>
          <w:rFonts w:ascii="Palatino Linotype" w:hAnsi="Palatino Linotype"/>
          <w:i/>
        </w:rPr>
        <w:t>.- Para los efectos de esta Ley se entenderá por:</w:t>
      </w:r>
    </w:p>
    <w:p w:rsidR="001D56E7" w:rsidRPr="00DC25D0" w:rsidRDefault="001D56E7" w:rsidP="001A3C33">
      <w:pPr>
        <w:pStyle w:val="Prrafodelista"/>
        <w:tabs>
          <w:tab w:val="left" w:pos="7938"/>
        </w:tabs>
        <w:spacing w:line="360" w:lineRule="auto"/>
        <w:ind w:left="567" w:right="616"/>
        <w:jc w:val="both"/>
        <w:rPr>
          <w:rFonts w:ascii="Palatino Linotype" w:hAnsi="Palatino Linotype"/>
          <w:i/>
        </w:rPr>
      </w:pPr>
      <w:r>
        <w:rPr>
          <w:rFonts w:ascii="Palatino Linotype" w:hAnsi="Palatino Linotype"/>
          <w:i/>
        </w:rPr>
        <w:t>(</w:t>
      </w:r>
      <w:r w:rsidRPr="00DC25D0">
        <w:rPr>
          <w:rFonts w:ascii="Palatino Linotype" w:hAnsi="Palatino Linotype"/>
          <w:i/>
        </w:rPr>
        <w:t>…</w:t>
      </w:r>
      <w:r>
        <w:rPr>
          <w:rFonts w:ascii="Palatino Linotype" w:hAnsi="Palatino Linotype"/>
          <w:i/>
        </w:rPr>
        <w:t>)</w:t>
      </w:r>
    </w:p>
    <w:p w:rsidR="001D56E7" w:rsidRDefault="001D56E7" w:rsidP="001A3C33">
      <w:pPr>
        <w:pStyle w:val="Prrafodelista"/>
        <w:tabs>
          <w:tab w:val="left" w:pos="7938"/>
        </w:tabs>
        <w:spacing w:line="360" w:lineRule="auto"/>
        <w:ind w:left="567" w:right="616"/>
        <w:jc w:val="both"/>
        <w:rPr>
          <w:rFonts w:ascii="Palatino Linotype" w:hAnsi="Palatino Linotype"/>
          <w:i/>
        </w:rPr>
      </w:pPr>
      <w:r w:rsidRPr="00DC25D0">
        <w:rPr>
          <w:rFonts w:ascii="Palatino Linotype" w:hAnsi="Palatino Linotype"/>
          <w:b/>
          <w:i/>
        </w:rPr>
        <w:t>XVI. Disociación</w:t>
      </w:r>
      <w:r w:rsidRPr="00DC25D0">
        <w:rPr>
          <w:rFonts w:ascii="Palatino Linotype" w:hAnsi="Palatino Linotype"/>
          <w:i/>
        </w:rPr>
        <w:t>: al procedimiento por el que los datos personales no pueden asociarse a la o el titular, ni permitir por su estructura, contenido o grado de desagregación, la identificación individual del mismo;</w:t>
      </w:r>
    </w:p>
    <w:p w:rsidR="001D56E7" w:rsidRDefault="001D56E7" w:rsidP="001A3C33">
      <w:pPr>
        <w:pStyle w:val="Prrafodelista"/>
        <w:tabs>
          <w:tab w:val="left" w:pos="7938"/>
        </w:tabs>
        <w:spacing w:line="360" w:lineRule="auto"/>
        <w:ind w:left="567" w:right="616"/>
        <w:jc w:val="both"/>
        <w:rPr>
          <w:rFonts w:ascii="Palatino Linotype" w:hAnsi="Palatino Linotype"/>
          <w:i/>
        </w:rPr>
      </w:pPr>
      <w:r>
        <w:rPr>
          <w:rFonts w:ascii="Palatino Linotype" w:hAnsi="Palatino Linotype"/>
          <w:i/>
        </w:rPr>
        <w:t>(…)</w:t>
      </w:r>
      <w:r w:rsidRPr="00DC25D0">
        <w:rPr>
          <w:rFonts w:ascii="Palatino Linotype" w:hAnsi="Palatino Linotype"/>
          <w:i/>
        </w:rPr>
        <w:t>”</w:t>
      </w:r>
    </w:p>
    <w:p w:rsidR="001D56E7" w:rsidRPr="00967499" w:rsidRDefault="001D56E7" w:rsidP="001A3C33">
      <w:pPr>
        <w:pStyle w:val="Prrafodelista"/>
        <w:tabs>
          <w:tab w:val="left" w:pos="7938"/>
        </w:tabs>
        <w:spacing w:line="360" w:lineRule="auto"/>
        <w:ind w:left="567" w:right="616"/>
        <w:jc w:val="both"/>
        <w:rPr>
          <w:rFonts w:ascii="Palatino Linotype" w:hAnsi="Palatino Linotype"/>
        </w:rPr>
      </w:pPr>
      <w:r>
        <w:rPr>
          <w:rFonts w:ascii="Palatino Linotype" w:hAnsi="Palatino Linotype"/>
        </w:rPr>
        <w:t>(Énfasis añadido)</w:t>
      </w:r>
    </w:p>
    <w:p w:rsidR="001D56E7" w:rsidRPr="00017A61" w:rsidRDefault="001D56E7" w:rsidP="001D56E7">
      <w:pPr>
        <w:pStyle w:val="Prrafodelista"/>
        <w:tabs>
          <w:tab w:val="left" w:pos="7938"/>
        </w:tabs>
        <w:spacing w:line="360" w:lineRule="auto"/>
        <w:ind w:left="426" w:right="333" w:hanging="426"/>
        <w:jc w:val="both"/>
        <w:rPr>
          <w:rFonts w:ascii="Palatino Linotype" w:hAnsi="Palatino Linotype"/>
          <w:i/>
        </w:rPr>
      </w:pPr>
    </w:p>
    <w:p w:rsidR="001D56E7" w:rsidRPr="00E36F32" w:rsidRDefault="001D56E7" w:rsidP="001D56E7">
      <w:pPr>
        <w:pStyle w:val="Prrafodelista"/>
        <w:numPr>
          <w:ilvl w:val="0"/>
          <w:numId w:val="1"/>
        </w:numPr>
        <w:tabs>
          <w:tab w:val="left" w:pos="426"/>
        </w:tabs>
        <w:spacing w:after="0" w:line="360" w:lineRule="auto"/>
        <w:ind w:left="426" w:right="49" w:hanging="426"/>
        <w:jc w:val="both"/>
        <w:rPr>
          <w:rFonts w:ascii="Palatino Linotype" w:hAnsi="Palatino Linotype"/>
        </w:rPr>
      </w:pPr>
      <w:r>
        <w:rPr>
          <w:rFonts w:ascii="Palatino Linotype" w:hAnsi="Palatino Linotype" w:cs="Arial"/>
        </w:rPr>
        <w:t xml:space="preserve">De tal manera que, se insiste, se debió ordenar la información con los datos disociados, por ejemplo, tanto del documento </w:t>
      </w:r>
      <w:r w:rsidRPr="00967499">
        <w:rPr>
          <w:rFonts w:ascii="Palatino Linotype" w:hAnsi="Palatino Linotype" w:cs="Arial"/>
        </w:rPr>
        <w:t>donde constará el nombre, el número de todo el personal adscrito a la Dirección de General desglosado por cargo y sueldo, tanto de seguridad como de tránsito</w:t>
      </w:r>
      <w:r>
        <w:rPr>
          <w:rFonts w:ascii="Palatino Linotype" w:hAnsi="Palatino Linotype" w:cs="Arial"/>
        </w:rPr>
        <w:t xml:space="preserve">, se debió ordenar ambos documentos, dejando los datos precisados por la Ponencia Resolutora, pero por cuanto hace a los nombres de dichos servidores públicos, elaborar </w:t>
      </w:r>
      <w:r>
        <w:rPr>
          <w:rFonts w:ascii="Palatino Linotype" w:eastAsia="MS Mincho" w:hAnsi="Palatino Linotype"/>
        </w:rPr>
        <w:t>en una lista de por orden alfabético sin especificar sus cargos, para con ello garantizar tanto el derechos de acceso a la información de la particular, como la protección de los datos personales de los titulares de la información dada la naturaleza de sus funciones.</w:t>
      </w:r>
    </w:p>
    <w:p w:rsidR="001D56E7" w:rsidRPr="00D84524" w:rsidRDefault="001D56E7" w:rsidP="001A3C33">
      <w:pPr>
        <w:pStyle w:val="Ttulo1"/>
        <w:numPr>
          <w:ilvl w:val="0"/>
          <w:numId w:val="2"/>
        </w:numPr>
        <w:spacing w:before="0" w:line="360" w:lineRule="auto"/>
      </w:pPr>
      <w:bookmarkStart w:id="15" w:name="_Toc8208626"/>
      <w:bookmarkStart w:id="16" w:name="_Toc11082590"/>
      <w:r w:rsidRPr="00D84524">
        <w:lastRenderedPageBreak/>
        <w:t>Conclusión</w:t>
      </w:r>
      <w:bookmarkEnd w:id="15"/>
      <w:bookmarkEnd w:id="16"/>
    </w:p>
    <w:p w:rsidR="001D56E7" w:rsidRPr="00017A61" w:rsidRDefault="001D56E7" w:rsidP="001D56E7">
      <w:pPr>
        <w:pStyle w:val="Prrafodelista"/>
        <w:spacing w:line="360" w:lineRule="auto"/>
        <w:ind w:left="426" w:hanging="426"/>
        <w:jc w:val="both"/>
        <w:rPr>
          <w:rFonts w:ascii="Palatino Linotype" w:hAnsi="Palatino Linotype"/>
        </w:rPr>
      </w:pPr>
    </w:p>
    <w:p w:rsidR="001D56E7" w:rsidRPr="00E77954" w:rsidRDefault="001D56E7" w:rsidP="001D56E7">
      <w:pPr>
        <w:pStyle w:val="Prrafodelista"/>
        <w:numPr>
          <w:ilvl w:val="0"/>
          <w:numId w:val="1"/>
        </w:numPr>
        <w:pBdr>
          <w:top w:val="nil"/>
          <w:left w:val="nil"/>
          <w:bottom w:val="nil"/>
          <w:right w:val="nil"/>
          <w:between w:val="nil"/>
          <w:bar w:val="nil"/>
        </w:pBdr>
        <w:tabs>
          <w:tab w:val="left" w:pos="426"/>
        </w:tabs>
        <w:spacing w:after="0" w:line="360" w:lineRule="auto"/>
        <w:ind w:left="426" w:hanging="426"/>
        <w:jc w:val="both"/>
        <w:rPr>
          <w:rFonts w:ascii="Palatino Linotype" w:eastAsia="Calibri" w:hAnsi="Palatino Linotype" w:cs="Arial"/>
        </w:rPr>
      </w:pPr>
      <w:r>
        <w:rPr>
          <w:rFonts w:ascii="Palatino Linotype" w:hAnsi="Palatino Linotype"/>
        </w:rPr>
        <w:t xml:space="preserve">Así, el </w:t>
      </w:r>
      <w:r>
        <w:rPr>
          <w:rFonts w:ascii="Palatino Linotype" w:hAnsi="Palatino Linotype"/>
          <w:b/>
        </w:rPr>
        <w:t>SUJETO OBLIGAD</w:t>
      </w:r>
      <w:r w:rsidRPr="000860D6">
        <w:rPr>
          <w:rFonts w:ascii="Palatino Linotype" w:hAnsi="Palatino Linotype"/>
          <w:b/>
        </w:rPr>
        <w:t>O</w:t>
      </w:r>
      <w:r>
        <w:rPr>
          <w:rFonts w:ascii="Palatino Linotype" w:hAnsi="Palatino Linotype"/>
        </w:rPr>
        <w:t xml:space="preserve"> atendiendo los argumentos, efectivamente debe</w:t>
      </w:r>
      <w:r w:rsidRPr="00017A61">
        <w:rPr>
          <w:rFonts w:ascii="Palatino Linotype" w:hAnsi="Palatino Linotype"/>
        </w:rPr>
        <w:t xml:space="preserve"> proporcionar la documentación</w:t>
      </w:r>
      <w:r>
        <w:rPr>
          <w:rFonts w:ascii="Palatino Linotype" w:hAnsi="Palatino Linotype"/>
        </w:rPr>
        <w:t xml:space="preserve">, pero aplicando a los documentos antes señalados la disociación, </w:t>
      </w:r>
      <w:r w:rsidRPr="00017A61">
        <w:rPr>
          <w:rFonts w:ascii="Palatino Linotype" w:hAnsi="Palatino Linotype"/>
        </w:rPr>
        <w:t xml:space="preserve">ya que </w:t>
      </w:r>
      <w:r w:rsidRPr="00017A61">
        <w:rPr>
          <w:rFonts w:ascii="Palatino Linotype" w:hAnsi="Palatino Linotype"/>
          <w:color w:val="000000" w:themeColor="text1"/>
        </w:rPr>
        <w:t xml:space="preserve">actuar como se propone en la resolución resulta una carga desproporcionada que limita </w:t>
      </w:r>
      <w:r>
        <w:rPr>
          <w:rFonts w:ascii="Palatino Linotype" w:hAnsi="Palatino Linotype"/>
          <w:color w:val="000000" w:themeColor="text1"/>
        </w:rPr>
        <w:t xml:space="preserve">el </w:t>
      </w:r>
      <w:r w:rsidRPr="00017A61">
        <w:rPr>
          <w:rFonts w:ascii="Palatino Linotype" w:hAnsi="Palatino Linotype"/>
          <w:color w:val="000000" w:themeColor="text1"/>
        </w:rPr>
        <w:t>derecho</w:t>
      </w:r>
      <w:r>
        <w:rPr>
          <w:rFonts w:ascii="Palatino Linotype" w:hAnsi="Palatino Linotype"/>
          <w:color w:val="000000" w:themeColor="text1"/>
        </w:rPr>
        <w:t xml:space="preserve"> de acceso a la información de la particular, que, a su vez </w:t>
      </w:r>
      <w:r w:rsidRPr="00017A61">
        <w:rPr>
          <w:rFonts w:ascii="Palatino Linotype" w:hAnsi="Palatino Linotype"/>
          <w:color w:val="000000" w:themeColor="text1"/>
        </w:rPr>
        <w:t>afecta el ejercicio de control popular de los actos de gobierno, debilita el debate público informado que, a la larga, sólo puede contribuir al fortalecimiento de la sociedad democrática.</w:t>
      </w:r>
    </w:p>
    <w:p w:rsidR="00FD0C70" w:rsidRDefault="00FD0C70" w:rsidP="00FD0C70">
      <w:pPr>
        <w:pStyle w:val="Prrafodelista"/>
      </w:pPr>
    </w:p>
    <w:p w:rsidR="00DD16B7" w:rsidRDefault="00DD16B7" w:rsidP="00FD0C70">
      <w:pPr>
        <w:pStyle w:val="Prrafodelista"/>
      </w:pPr>
    </w:p>
    <w:p w:rsidR="001A3C33" w:rsidRDefault="001A3C33" w:rsidP="00FD0C70">
      <w:pPr>
        <w:pStyle w:val="Prrafodelista"/>
      </w:pPr>
    </w:p>
    <w:p w:rsidR="001A3C33" w:rsidRDefault="001A3C33" w:rsidP="00FD0C70">
      <w:pPr>
        <w:pStyle w:val="Prrafodelista"/>
      </w:pPr>
    </w:p>
    <w:p w:rsidR="001A3C33" w:rsidRDefault="001A3C33" w:rsidP="00FD0C70">
      <w:pPr>
        <w:pStyle w:val="Prrafodelista"/>
      </w:pPr>
    </w:p>
    <w:p w:rsidR="001C20EF" w:rsidRDefault="001C20EF" w:rsidP="00FD0C70">
      <w:pPr>
        <w:pStyle w:val="Prrafodelista"/>
      </w:pPr>
    </w:p>
    <w:p w:rsidR="00FD0C70" w:rsidRPr="001B2CAF" w:rsidRDefault="00FD0C70" w:rsidP="00FD0C70">
      <w:pPr>
        <w:spacing w:after="0" w:line="360" w:lineRule="auto"/>
        <w:ind w:left="426"/>
        <w:contextualSpacing/>
        <w:jc w:val="both"/>
      </w:pPr>
    </w:p>
    <w:p w:rsidR="00625340" w:rsidRPr="00CB2E7B" w:rsidRDefault="007A14A8" w:rsidP="00625340">
      <w:pPr>
        <w:spacing w:line="360" w:lineRule="auto"/>
        <w:jc w:val="center"/>
        <w:rPr>
          <w:rFonts w:ascii="Palatino Linotype" w:eastAsia="Calibri" w:hAnsi="Palatino Linotype" w:cs="Arial"/>
          <w:b/>
          <w:sz w:val="24"/>
          <w:szCs w:val="24"/>
        </w:rPr>
      </w:pPr>
      <w:r w:rsidRPr="00CB2E7B">
        <w:rPr>
          <w:rFonts w:ascii="Palatino Linotype" w:eastAsia="Calibri" w:hAnsi="Palatino Linotype" w:cs="Arial"/>
          <w:b/>
          <w:sz w:val="24"/>
          <w:szCs w:val="24"/>
        </w:rPr>
        <w:t>J</w:t>
      </w:r>
      <w:r w:rsidR="00625340" w:rsidRPr="00CB2E7B">
        <w:rPr>
          <w:rFonts w:ascii="Palatino Linotype" w:eastAsia="Calibri" w:hAnsi="Palatino Linotype" w:cs="Arial"/>
          <w:b/>
          <w:sz w:val="24"/>
          <w:szCs w:val="24"/>
        </w:rPr>
        <w:t>OSÉ GUADALUPE LUNA HERNÁNDEZ</w:t>
      </w:r>
    </w:p>
    <w:p w:rsidR="00625340" w:rsidRDefault="009749F9" w:rsidP="00625340">
      <w:pPr>
        <w:spacing w:line="360" w:lineRule="auto"/>
        <w:jc w:val="center"/>
        <w:rPr>
          <w:rFonts w:ascii="Palatino Linotype" w:eastAsia="Calibri" w:hAnsi="Palatino Linotype" w:cs="Arial"/>
          <w:b/>
          <w:sz w:val="24"/>
          <w:szCs w:val="24"/>
        </w:rPr>
      </w:pPr>
      <w:r w:rsidRPr="00CB2E7B">
        <w:rPr>
          <w:rFonts w:ascii="Palatino Linotype" w:eastAsia="Calibri" w:hAnsi="Palatino Linotype" w:cs="Arial"/>
          <w:b/>
          <w:sz w:val="24"/>
          <w:szCs w:val="24"/>
        </w:rPr>
        <w:t>C</w:t>
      </w:r>
      <w:r w:rsidR="00625340" w:rsidRPr="00CB2E7B">
        <w:rPr>
          <w:rFonts w:ascii="Palatino Linotype" w:eastAsia="Calibri" w:hAnsi="Palatino Linotype" w:cs="Arial"/>
          <w:b/>
          <w:sz w:val="24"/>
          <w:szCs w:val="24"/>
        </w:rPr>
        <w:t>OMISIONADO</w:t>
      </w:r>
    </w:p>
    <w:p w:rsidR="00F23005" w:rsidRDefault="00F23005" w:rsidP="00DB6CC1">
      <w:pPr>
        <w:spacing w:line="360" w:lineRule="auto"/>
        <w:rPr>
          <w:rFonts w:ascii="Palatino Linotype" w:eastAsia="Calibri" w:hAnsi="Palatino Linotype" w:cs="Arial"/>
          <w:b/>
          <w:sz w:val="24"/>
          <w:szCs w:val="24"/>
        </w:rPr>
      </w:pPr>
    </w:p>
    <w:p w:rsidR="00DB6CC1" w:rsidRPr="00CB2E7B" w:rsidRDefault="00DB6CC1" w:rsidP="00DB6CC1">
      <w:pPr>
        <w:spacing w:line="360" w:lineRule="auto"/>
        <w:rPr>
          <w:rFonts w:ascii="Palatino Linotype" w:hAnsi="Palatino Linotype"/>
          <w:sz w:val="24"/>
          <w:szCs w:val="24"/>
        </w:rPr>
      </w:pPr>
      <w:r w:rsidRPr="00CB2E7B">
        <w:rPr>
          <w:rFonts w:ascii="Palatino Linotype" w:eastAsia="Calibri" w:hAnsi="Palatino Linotype" w:cs="Arial"/>
          <w:b/>
          <w:sz w:val="24"/>
          <w:szCs w:val="24"/>
        </w:rPr>
        <w:t>JGLH/ADM</w:t>
      </w:r>
    </w:p>
    <w:sectPr w:rsidR="00DB6CC1" w:rsidRPr="00CB2E7B" w:rsidSect="00267F73">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EF7" w:rsidRDefault="008E6EF7" w:rsidP="00DC559A">
      <w:pPr>
        <w:spacing w:after="0" w:line="240" w:lineRule="auto"/>
      </w:pPr>
      <w:r>
        <w:separator/>
      </w:r>
    </w:p>
  </w:endnote>
  <w:endnote w:type="continuationSeparator" w:id="0">
    <w:p w:rsidR="008E6EF7" w:rsidRDefault="008E6EF7"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FD0C70" w:rsidRDefault="00FD0C7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84D71">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84D71">
              <w:rPr>
                <w:b/>
                <w:bCs/>
                <w:noProof/>
              </w:rPr>
              <w:t>26</w:t>
            </w:r>
            <w:r>
              <w:rPr>
                <w:b/>
                <w:bCs/>
                <w:sz w:val="24"/>
                <w:szCs w:val="24"/>
              </w:rPr>
              <w:fldChar w:fldCharType="end"/>
            </w:r>
          </w:p>
        </w:sdtContent>
      </w:sdt>
    </w:sdtContent>
  </w:sdt>
  <w:p w:rsidR="00FD0C70" w:rsidRDefault="00FD0C70" w:rsidP="00B8728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EF7" w:rsidRDefault="008E6EF7" w:rsidP="00DC559A">
      <w:pPr>
        <w:spacing w:after="0" w:line="240" w:lineRule="auto"/>
      </w:pPr>
      <w:r>
        <w:separator/>
      </w:r>
    </w:p>
  </w:footnote>
  <w:footnote w:type="continuationSeparator" w:id="0">
    <w:p w:rsidR="008E6EF7" w:rsidRDefault="008E6EF7" w:rsidP="00DC5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C70" w:rsidRDefault="008E6EF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9264;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C70" w:rsidRDefault="008E6EF7">
    <w:pPr>
      <w:pStyle w:val="Encabezado"/>
    </w:pPr>
    <w:r>
      <w:rPr>
        <w:noProof/>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4" o:spid="_x0000_s2052" type="#_x0000_t136" style="position:absolute;margin-left:0;margin-top:0;width:566.4pt;height:56.6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FD0C70" w:rsidRDefault="00FD0C7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C70" w:rsidRDefault="008E6EF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2BE0"/>
    <w:multiLevelType w:val="hybridMultilevel"/>
    <w:tmpl w:val="F2D2F74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975335"/>
    <w:multiLevelType w:val="hybridMultilevel"/>
    <w:tmpl w:val="9B70ABD2"/>
    <w:lvl w:ilvl="0" w:tplc="1772DF74">
      <w:start w:val="1"/>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C843FD"/>
    <w:multiLevelType w:val="hybridMultilevel"/>
    <w:tmpl w:val="5BF06E9A"/>
    <w:lvl w:ilvl="0" w:tplc="83FAB79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83737C7"/>
    <w:multiLevelType w:val="hybridMultilevel"/>
    <w:tmpl w:val="74020A9A"/>
    <w:lvl w:ilvl="0" w:tplc="B94663A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075127"/>
    <w:multiLevelType w:val="hybridMultilevel"/>
    <w:tmpl w:val="961E7FE0"/>
    <w:lvl w:ilvl="0" w:tplc="52ECA3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7A6CD1"/>
    <w:multiLevelType w:val="hybridMultilevel"/>
    <w:tmpl w:val="5532F562"/>
    <w:lvl w:ilvl="0" w:tplc="64D80B86">
      <w:start w:val="1"/>
      <w:numFmt w:val="upperRoman"/>
      <w:lvlText w:val="%1."/>
      <w:lvlJc w:val="left"/>
      <w:pPr>
        <w:ind w:left="861" w:hanging="720"/>
      </w:pPr>
      <w:rPr>
        <w:rFonts w:hint="default"/>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7" w15:restartNumberingAfterBreak="0">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3E5810"/>
    <w:multiLevelType w:val="hybridMultilevel"/>
    <w:tmpl w:val="78A241F8"/>
    <w:lvl w:ilvl="0" w:tplc="CACA3A86">
      <w:start w:val="1"/>
      <w:numFmt w:val="upperRoman"/>
      <w:lvlText w:val="%1."/>
      <w:lvlJc w:val="left"/>
      <w:pPr>
        <w:ind w:left="1080" w:hanging="720"/>
      </w:pPr>
      <w:rPr>
        <w:rFonts w:hint="default"/>
      </w:rPr>
    </w:lvl>
    <w:lvl w:ilvl="1" w:tplc="5158227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AC644B1"/>
    <w:multiLevelType w:val="hybridMultilevel"/>
    <w:tmpl w:val="523C4D8C"/>
    <w:lvl w:ilvl="0" w:tplc="CD82912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1061A7D"/>
    <w:multiLevelType w:val="hybridMultilevel"/>
    <w:tmpl w:val="46360CF8"/>
    <w:lvl w:ilvl="0" w:tplc="080A0019">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91E178F"/>
    <w:multiLevelType w:val="hybridMultilevel"/>
    <w:tmpl w:val="9A1A76C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B3F46EF"/>
    <w:multiLevelType w:val="hybridMultilevel"/>
    <w:tmpl w:val="E822E6F0"/>
    <w:lvl w:ilvl="0" w:tplc="080A0001">
      <w:start w:val="1"/>
      <w:numFmt w:val="bullet"/>
      <w:lvlText w:val=""/>
      <w:lvlJc w:val="left"/>
      <w:pPr>
        <w:ind w:left="720" w:hanging="360"/>
      </w:pPr>
      <w:rPr>
        <w:rFonts w:ascii="Symbol" w:hAnsi="Symbol"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42F315E"/>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7B00EC2"/>
    <w:multiLevelType w:val="hybridMultilevel"/>
    <w:tmpl w:val="4AD661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8B7CAA"/>
    <w:multiLevelType w:val="hybridMultilevel"/>
    <w:tmpl w:val="9BF460F0"/>
    <w:lvl w:ilvl="0" w:tplc="080A000B">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15:restartNumberingAfterBreak="0">
    <w:nsid w:val="6C4F5F28"/>
    <w:multiLevelType w:val="hybridMultilevel"/>
    <w:tmpl w:val="7868AAF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180848"/>
    <w:multiLevelType w:val="hybridMultilevel"/>
    <w:tmpl w:val="ADAC331E"/>
    <w:lvl w:ilvl="0" w:tplc="98E63B2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6318EF"/>
    <w:multiLevelType w:val="hybridMultilevel"/>
    <w:tmpl w:val="EF669B56"/>
    <w:lvl w:ilvl="0" w:tplc="856AA21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ACD5082"/>
    <w:multiLevelType w:val="hybridMultilevel"/>
    <w:tmpl w:val="F1D29DBA"/>
    <w:lvl w:ilvl="0" w:tplc="9418DF10">
      <w:start w:val="1"/>
      <w:numFmt w:val="lowerLetter"/>
      <w:lvlText w:val="%1)"/>
      <w:lvlJc w:val="lef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2" w15:restartNumberingAfterBreak="0">
    <w:nsid w:val="7BFD75B0"/>
    <w:multiLevelType w:val="hybridMultilevel"/>
    <w:tmpl w:val="25B4B77C"/>
    <w:lvl w:ilvl="0" w:tplc="3D7E576C">
      <w:start w:val="1"/>
      <w:numFmt w:val="low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3"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3"/>
  </w:num>
  <w:num w:numId="3">
    <w:abstractNumId w:val="1"/>
  </w:num>
  <w:num w:numId="4">
    <w:abstractNumId w:val="19"/>
  </w:num>
  <w:num w:numId="5">
    <w:abstractNumId w:val="12"/>
  </w:num>
  <w:num w:numId="6">
    <w:abstractNumId w:val="11"/>
  </w:num>
  <w:num w:numId="7">
    <w:abstractNumId w:val="8"/>
  </w:num>
  <w:num w:numId="8">
    <w:abstractNumId w:val="3"/>
  </w:num>
  <w:num w:numId="9">
    <w:abstractNumId w:val="20"/>
  </w:num>
  <w:num w:numId="10">
    <w:abstractNumId w:val="21"/>
  </w:num>
  <w:num w:numId="11">
    <w:abstractNumId w:val="2"/>
  </w:num>
  <w:num w:numId="12">
    <w:abstractNumId w:val="22"/>
  </w:num>
  <w:num w:numId="13">
    <w:abstractNumId w:val="9"/>
  </w:num>
  <w:num w:numId="14">
    <w:abstractNumId w:val="0"/>
  </w:num>
  <w:num w:numId="15">
    <w:abstractNumId w:val="10"/>
  </w:num>
  <w:num w:numId="16">
    <w:abstractNumId w:val="18"/>
  </w:num>
  <w:num w:numId="17">
    <w:abstractNumId w:val="4"/>
  </w:num>
  <w:num w:numId="18">
    <w:abstractNumId w:val="15"/>
  </w:num>
  <w:num w:numId="19">
    <w:abstractNumId w:val="16"/>
  </w:num>
  <w:num w:numId="20">
    <w:abstractNumId w:val="17"/>
  </w:num>
  <w:num w:numId="21">
    <w:abstractNumId w:val="13"/>
  </w:num>
  <w:num w:numId="22">
    <w:abstractNumId w:val="14"/>
  </w:num>
  <w:num w:numId="23">
    <w:abstractNumId w:val="6"/>
  </w:num>
  <w:num w:numId="2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338"/>
    <w:rsid w:val="00005556"/>
    <w:rsid w:val="00013F62"/>
    <w:rsid w:val="000161B6"/>
    <w:rsid w:val="0002112E"/>
    <w:rsid w:val="000227F4"/>
    <w:rsid w:val="00024F2A"/>
    <w:rsid w:val="00026199"/>
    <w:rsid w:val="0002684D"/>
    <w:rsid w:val="00037C7C"/>
    <w:rsid w:val="00064D2B"/>
    <w:rsid w:val="000708B6"/>
    <w:rsid w:val="00085C1A"/>
    <w:rsid w:val="00096250"/>
    <w:rsid w:val="000A12BD"/>
    <w:rsid w:val="000A3711"/>
    <w:rsid w:val="000A56C5"/>
    <w:rsid w:val="000D5811"/>
    <w:rsid w:val="000D79A0"/>
    <w:rsid w:val="000E43AB"/>
    <w:rsid w:val="000F4071"/>
    <w:rsid w:val="000F5099"/>
    <w:rsid w:val="001065F1"/>
    <w:rsid w:val="00123E07"/>
    <w:rsid w:val="00123E1D"/>
    <w:rsid w:val="00134DA0"/>
    <w:rsid w:val="00141135"/>
    <w:rsid w:val="00145961"/>
    <w:rsid w:val="001620F1"/>
    <w:rsid w:val="00175E9F"/>
    <w:rsid w:val="00183A1B"/>
    <w:rsid w:val="00184A6D"/>
    <w:rsid w:val="00187E2D"/>
    <w:rsid w:val="001A3C33"/>
    <w:rsid w:val="001B2CAF"/>
    <w:rsid w:val="001B2F10"/>
    <w:rsid w:val="001B78B7"/>
    <w:rsid w:val="001C20EF"/>
    <w:rsid w:val="001D09E6"/>
    <w:rsid w:val="001D465C"/>
    <w:rsid w:val="001D56E7"/>
    <w:rsid w:val="001F1A7A"/>
    <w:rsid w:val="00203EB6"/>
    <w:rsid w:val="0020553B"/>
    <w:rsid w:val="00213DF0"/>
    <w:rsid w:val="00220BB9"/>
    <w:rsid w:val="00225758"/>
    <w:rsid w:val="002376B4"/>
    <w:rsid w:val="0025332E"/>
    <w:rsid w:val="00260A10"/>
    <w:rsid w:val="00267F73"/>
    <w:rsid w:val="00274EF3"/>
    <w:rsid w:val="00284349"/>
    <w:rsid w:val="002948E5"/>
    <w:rsid w:val="002959E9"/>
    <w:rsid w:val="002A6EF1"/>
    <w:rsid w:val="002B4023"/>
    <w:rsid w:val="002C430B"/>
    <w:rsid w:val="002D2293"/>
    <w:rsid w:val="002D2CD0"/>
    <w:rsid w:val="002D5499"/>
    <w:rsid w:val="002D63B3"/>
    <w:rsid w:val="00300947"/>
    <w:rsid w:val="00306AE2"/>
    <w:rsid w:val="00311D9E"/>
    <w:rsid w:val="0031350A"/>
    <w:rsid w:val="00323DF8"/>
    <w:rsid w:val="00332BDF"/>
    <w:rsid w:val="00336BC3"/>
    <w:rsid w:val="00340665"/>
    <w:rsid w:val="0034151E"/>
    <w:rsid w:val="003431E5"/>
    <w:rsid w:val="0036287F"/>
    <w:rsid w:val="00384C92"/>
    <w:rsid w:val="00384D71"/>
    <w:rsid w:val="00393382"/>
    <w:rsid w:val="0039566E"/>
    <w:rsid w:val="003B4A57"/>
    <w:rsid w:val="003B6EC6"/>
    <w:rsid w:val="003C1450"/>
    <w:rsid w:val="003C2FFB"/>
    <w:rsid w:val="003C35BC"/>
    <w:rsid w:val="003C7564"/>
    <w:rsid w:val="003E275E"/>
    <w:rsid w:val="003E4DF1"/>
    <w:rsid w:val="004058E2"/>
    <w:rsid w:val="004074C0"/>
    <w:rsid w:val="00432104"/>
    <w:rsid w:val="00435284"/>
    <w:rsid w:val="00452002"/>
    <w:rsid w:val="00460017"/>
    <w:rsid w:val="004665BF"/>
    <w:rsid w:val="004727BE"/>
    <w:rsid w:val="004800C4"/>
    <w:rsid w:val="0048383C"/>
    <w:rsid w:val="004A69D6"/>
    <w:rsid w:val="004B096A"/>
    <w:rsid w:val="004B4E07"/>
    <w:rsid w:val="004C273D"/>
    <w:rsid w:val="004C3125"/>
    <w:rsid w:val="004C6910"/>
    <w:rsid w:val="004C73FB"/>
    <w:rsid w:val="004D1010"/>
    <w:rsid w:val="004F3292"/>
    <w:rsid w:val="00517976"/>
    <w:rsid w:val="00526BA8"/>
    <w:rsid w:val="00530CB3"/>
    <w:rsid w:val="00541CF2"/>
    <w:rsid w:val="005429BB"/>
    <w:rsid w:val="00546237"/>
    <w:rsid w:val="005471F8"/>
    <w:rsid w:val="00561153"/>
    <w:rsid w:val="0056327C"/>
    <w:rsid w:val="00570DFF"/>
    <w:rsid w:val="00571B97"/>
    <w:rsid w:val="00585BED"/>
    <w:rsid w:val="0059666F"/>
    <w:rsid w:val="005A4257"/>
    <w:rsid w:val="005B54CA"/>
    <w:rsid w:val="005E1309"/>
    <w:rsid w:val="005E324F"/>
    <w:rsid w:val="005E6A45"/>
    <w:rsid w:val="005F53BB"/>
    <w:rsid w:val="00602A7F"/>
    <w:rsid w:val="00611AB9"/>
    <w:rsid w:val="006207D7"/>
    <w:rsid w:val="00623541"/>
    <w:rsid w:val="00625340"/>
    <w:rsid w:val="00660259"/>
    <w:rsid w:val="00674F8B"/>
    <w:rsid w:val="006773C0"/>
    <w:rsid w:val="00684D61"/>
    <w:rsid w:val="006903DD"/>
    <w:rsid w:val="0069542E"/>
    <w:rsid w:val="006B5BD5"/>
    <w:rsid w:val="006D22C2"/>
    <w:rsid w:val="006E4346"/>
    <w:rsid w:val="006E775A"/>
    <w:rsid w:val="006E7A8B"/>
    <w:rsid w:val="006F18A4"/>
    <w:rsid w:val="00703F02"/>
    <w:rsid w:val="0070418E"/>
    <w:rsid w:val="00712288"/>
    <w:rsid w:val="00713DA8"/>
    <w:rsid w:val="00726689"/>
    <w:rsid w:val="00740D72"/>
    <w:rsid w:val="007477B8"/>
    <w:rsid w:val="00756A7F"/>
    <w:rsid w:val="00764FF6"/>
    <w:rsid w:val="007715FF"/>
    <w:rsid w:val="00771D7C"/>
    <w:rsid w:val="00771F1D"/>
    <w:rsid w:val="00781495"/>
    <w:rsid w:val="0078520D"/>
    <w:rsid w:val="0078690A"/>
    <w:rsid w:val="00787C3A"/>
    <w:rsid w:val="00797A7B"/>
    <w:rsid w:val="007A13C3"/>
    <w:rsid w:val="007A14A8"/>
    <w:rsid w:val="007A2EC0"/>
    <w:rsid w:val="007A6841"/>
    <w:rsid w:val="007B4C9B"/>
    <w:rsid w:val="007D1923"/>
    <w:rsid w:val="007D5A9C"/>
    <w:rsid w:val="007D69A7"/>
    <w:rsid w:val="007E514B"/>
    <w:rsid w:val="0080047C"/>
    <w:rsid w:val="0080411B"/>
    <w:rsid w:val="008107BE"/>
    <w:rsid w:val="00815B5D"/>
    <w:rsid w:val="00824147"/>
    <w:rsid w:val="00841881"/>
    <w:rsid w:val="00870BA6"/>
    <w:rsid w:val="00890D79"/>
    <w:rsid w:val="008A491D"/>
    <w:rsid w:val="008B4955"/>
    <w:rsid w:val="008D4603"/>
    <w:rsid w:val="008E6EF7"/>
    <w:rsid w:val="008F435F"/>
    <w:rsid w:val="00900C7B"/>
    <w:rsid w:val="00917801"/>
    <w:rsid w:val="0092289B"/>
    <w:rsid w:val="00927436"/>
    <w:rsid w:val="00952495"/>
    <w:rsid w:val="00957F5D"/>
    <w:rsid w:val="00963FCC"/>
    <w:rsid w:val="00964B55"/>
    <w:rsid w:val="009749F9"/>
    <w:rsid w:val="00992F9E"/>
    <w:rsid w:val="00995EEC"/>
    <w:rsid w:val="009B6AAE"/>
    <w:rsid w:val="009C6D1F"/>
    <w:rsid w:val="009D4B91"/>
    <w:rsid w:val="009D4F10"/>
    <w:rsid w:val="009D5257"/>
    <w:rsid w:val="009E08AF"/>
    <w:rsid w:val="009F7309"/>
    <w:rsid w:val="009F7767"/>
    <w:rsid w:val="00A11153"/>
    <w:rsid w:val="00A143D1"/>
    <w:rsid w:val="00A2127D"/>
    <w:rsid w:val="00A3273A"/>
    <w:rsid w:val="00A37917"/>
    <w:rsid w:val="00A538FC"/>
    <w:rsid w:val="00A66803"/>
    <w:rsid w:val="00A67ADB"/>
    <w:rsid w:val="00A801BF"/>
    <w:rsid w:val="00A828B4"/>
    <w:rsid w:val="00A912FC"/>
    <w:rsid w:val="00A947EF"/>
    <w:rsid w:val="00AA45BE"/>
    <w:rsid w:val="00AC07BB"/>
    <w:rsid w:val="00AE30E5"/>
    <w:rsid w:val="00AE455C"/>
    <w:rsid w:val="00AE7918"/>
    <w:rsid w:val="00B02F56"/>
    <w:rsid w:val="00B06DD6"/>
    <w:rsid w:val="00B14EBC"/>
    <w:rsid w:val="00B17543"/>
    <w:rsid w:val="00B3063B"/>
    <w:rsid w:val="00B43601"/>
    <w:rsid w:val="00B47F96"/>
    <w:rsid w:val="00B76303"/>
    <w:rsid w:val="00B82949"/>
    <w:rsid w:val="00B87289"/>
    <w:rsid w:val="00BC3314"/>
    <w:rsid w:val="00BC7E6A"/>
    <w:rsid w:val="00BD29B2"/>
    <w:rsid w:val="00BD586B"/>
    <w:rsid w:val="00BE26FB"/>
    <w:rsid w:val="00BE6E85"/>
    <w:rsid w:val="00BF0ED2"/>
    <w:rsid w:val="00C00F08"/>
    <w:rsid w:val="00C02AF0"/>
    <w:rsid w:val="00C137A0"/>
    <w:rsid w:val="00C142A8"/>
    <w:rsid w:val="00C230CB"/>
    <w:rsid w:val="00C31FAC"/>
    <w:rsid w:val="00C320A9"/>
    <w:rsid w:val="00C42733"/>
    <w:rsid w:val="00C54DC0"/>
    <w:rsid w:val="00C60B48"/>
    <w:rsid w:val="00C618BE"/>
    <w:rsid w:val="00C75139"/>
    <w:rsid w:val="00C91DDB"/>
    <w:rsid w:val="00CA1D90"/>
    <w:rsid w:val="00CA2FD1"/>
    <w:rsid w:val="00CB290D"/>
    <w:rsid w:val="00CB2E7B"/>
    <w:rsid w:val="00CC7D48"/>
    <w:rsid w:val="00CD3FD7"/>
    <w:rsid w:val="00CD49FA"/>
    <w:rsid w:val="00CD65AA"/>
    <w:rsid w:val="00CD766A"/>
    <w:rsid w:val="00CD77B9"/>
    <w:rsid w:val="00CE64A4"/>
    <w:rsid w:val="00CE6C44"/>
    <w:rsid w:val="00CF05D3"/>
    <w:rsid w:val="00D02606"/>
    <w:rsid w:val="00D0514A"/>
    <w:rsid w:val="00D13632"/>
    <w:rsid w:val="00D35091"/>
    <w:rsid w:val="00D42114"/>
    <w:rsid w:val="00D4328A"/>
    <w:rsid w:val="00D4396D"/>
    <w:rsid w:val="00D5029F"/>
    <w:rsid w:val="00D60041"/>
    <w:rsid w:val="00D62508"/>
    <w:rsid w:val="00D7244B"/>
    <w:rsid w:val="00D72D15"/>
    <w:rsid w:val="00D90189"/>
    <w:rsid w:val="00D91003"/>
    <w:rsid w:val="00D95D5E"/>
    <w:rsid w:val="00DA1785"/>
    <w:rsid w:val="00DA4B4E"/>
    <w:rsid w:val="00DA53FB"/>
    <w:rsid w:val="00DB2E2D"/>
    <w:rsid w:val="00DB3E9F"/>
    <w:rsid w:val="00DB6CC1"/>
    <w:rsid w:val="00DC35D1"/>
    <w:rsid w:val="00DC559A"/>
    <w:rsid w:val="00DD16B7"/>
    <w:rsid w:val="00DE456D"/>
    <w:rsid w:val="00DF36B0"/>
    <w:rsid w:val="00E015EC"/>
    <w:rsid w:val="00E3333F"/>
    <w:rsid w:val="00E40A86"/>
    <w:rsid w:val="00E419FE"/>
    <w:rsid w:val="00E52153"/>
    <w:rsid w:val="00E56EEA"/>
    <w:rsid w:val="00E61BE7"/>
    <w:rsid w:val="00E661C7"/>
    <w:rsid w:val="00E800CE"/>
    <w:rsid w:val="00E85FDE"/>
    <w:rsid w:val="00E940EB"/>
    <w:rsid w:val="00E94D66"/>
    <w:rsid w:val="00E96644"/>
    <w:rsid w:val="00E974FA"/>
    <w:rsid w:val="00E97690"/>
    <w:rsid w:val="00EA3ED5"/>
    <w:rsid w:val="00EB2AB4"/>
    <w:rsid w:val="00EC0BB6"/>
    <w:rsid w:val="00ED4F35"/>
    <w:rsid w:val="00ED5A5F"/>
    <w:rsid w:val="00EF5CBC"/>
    <w:rsid w:val="00F02D41"/>
    <w:rsid w:val="00F11351"/>
    <w:rsid w:val="00F12695"/>
    <w:rsid w:val="00F12DC5"/>
    <w:rsid w:val="00F15522"/>
    <w:rsid w:val="00F23005"/>
    <w:rsid w:val="00F237C4"/>
    <w:rsid w:val="00F313D4"/>
    <w:rsid w:val="00F3485F"/>
    <w:rsid w:val="00F358A9"/>
    <w:rsid w:val="00F36ACA"/>
    <w:rsid w:val="00F3751F"/>
    <w:rsid w:val="00F4017D"/>
    <w:rsid w:val="00F42DD4"/>
    <w:rsid w:val="00F54D5C"/>
    <w:rsid w:val="00F62245"/>
    <w:rsid w:val="00F67EC8"/>
    <w:rsid w:val="00F72C33"/>
    <w:rsid w:val="00F72F39"/>
    <w:rsid w:val="00F7333F"/>
    <w:rsid w:val="00F77A03"/>
    <w:rsid w:val="00F84DA1"/>
    <w:rsid w:val="00F96926"/>
    <w:rsid w:val="00F9751B"/>
    <w:rsid w:val="00FA00F2"/>
    <w:rsid w:val="00FA79F7"/>
    <w:rsid w:val="00FB30FD"/>
    <w:rsid w:val="00FB4059"/>
    <w:rsid w:val="00FC0FE3"/>
    <w:rsid w:val="00FC3ED9"/>
    <w:rsid w:val="00FD0C70"/>
    <w:rsid w:val="00FF2FD5"/>
    <w:rsid w:val="00FF7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FEFDFA4B-1353-4144-877A-49210307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40"/>
  </w:style>
  <w:style w:type="paragraph" w:styleId="Ttulo1">
    <w:name w:val="heading 1"/>
    <w:basedOn w:val="Normal"/>
    <w:next w:val="Normal"/>
    <w:link w:val="Ttulo1Car"/>
    <w:uiPriority w:val="9"/>
    <w:qFormat/>
    <w:rsid w:val="00625340"/>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F73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C7D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0514A"/>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C559A"/>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625340"/>
    <w:rPr>
      <w:rFonts w:ascii="Palatino Linotype" w:eastAsiaTheme="majorEastAsia" w:hAnsi="Palatino Linotype" w:cstheme="majorBidi"/>
      <w:b/>
      <w:sz w:val="24"/>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585BED"/>
    <w:pPr>
      <w:spacing w:after="100"/>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2055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53B"/>
    <w:rPr>
      <w:rFonts w:ascii="Segoe UI" w:hAnsi="Segoe UI" w:cs="Segoe UI"/>
      <w:sz w:val="18"/>
      <w:szCs w:val="18"/>
    </w:rPr>
  </w:style>
  <w:style w:type="paragraph" w:customStyle="1" w:styleId="Default">
    <w:name w:val="Default"/>
    <w:rsid w:val="00ED4F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703F02"/>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styleId="Tablaconcuadrcula">
    <w:name w:val="Table Grid"/>
    <w:basedOn w:val="Tablanormal"/>
    <w:uiPriority w:val="39"/>
    <w:rsid w:val="001B2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1B2F10"/>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1B2F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uiPriority w:val="9"/>
    <w:rsid w:val="00D0514A"/>
    <w:rPr>
      <w:rFonts w:asciiTheme="majorHAnsi" w:eastAsiaTheme="majorEastAsia" w:hAnsiTheme="majorHAnsi" w:cstheme="majorBidi"/>
      <w:i/>
      <w:iCs/>
      <w:color w:val="2E74B5" w:themeColor="accent1" w:themeShade="BF"/>
      <w:sz w:val="24"/>
      <w:szCs w:val="24"/>
      <w:lang w:val="es-ES" w:eastAsia="es-ES"/>
    </w:rPr>
  </w:style>
  <w:style w:type="character" w:customStyle="1" w:styleId="Ttulo2Car">
    <w:name w:val="Título 2 Car"/>
    <w:basedOn w:val="Fuentedeprrafopredeter"/>
    <w:link w:val="Ttulo2"/>
    <w:uiPriority w:val="9"/>
    <w:rsid w:val="00F7333F"/>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A2127D"/>
    <w:pPr>
      <w:spacing w:after="100"/>
      <w:ind w:left="220"/>
    </w:pPr>
  </w:style>
  <w:style w:type="character" w:customStyle="1" w:styleId="apple-converted-space">
    <w:name w:val="apple-converted-space"/>
    <w:basedOn w:val="Fuentedeprrafopredeter"/>
    <w:rsid w:val="000A3711"/>
  </w:style>
  <w:style w:type="character" w:customStyle="1" w:styleId="Ttulo3Car">
    <w:name w:val="Título 3 Car"/>
    <w:basedOn w:val="Fuentedeprrafopredeter"/>
    <w:link w:val="Ttulo3"/>
    <w:uiPriority w:val="9"/>
    <w:rsid w:val="00CC7D48"/>
    <w:rPr>
      <w:rFonts w:asciiTheme="majorHAnsi" w:eastAsiaTheme="majorEastAsia" w:hAnsiTheme="majorHAnsi" w:cstheme="majorBidi"/>
      <w:color w:val="1F4D78" w:themeColor="accent1" w:themeShade="7F"/>
      <w:sz w:val="24"/>
      <w:szCs w:val="24"/>
    </w:rPr>
  </w:style>
  <w:style w:type="paragraph" w:styleId="TDC3">
    <w:name w:val="toc 3"/>
    <w:basedOn w:val="Normal"/>
    <w:next w:val="Normal"/>
    <w:autoRedefine/>
    <w:uiPriority w:val="39"/>
    <w:unhideWhenUsed/>
    <w:rsid w:val="00CC7D4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9CC02-710D-4481-B1A5-8A3F2610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5433</Words>
  <Characters>29882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35245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 INFOEM</cp:lastModifiedBy>
  <cp:revision>2</cp:revision>
  <cp:lastPrinted>2019-06-10T23:13:00Z</cp:lastPrinted>
  <dcterms:created xsi:type="dcterms:W3CDTF">2019-07-09T17:12:00Z</dcterms:created>
  <dcterms:modified xsi:type="dcterms:W3CDTF">2019-07-09T17:12:00Z</dcterms:modified>
</cp:coreProperties>
</file>