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084"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Metepec, Estado de México</w:t>
      </w:r>
      <w:r w:rsidRPr="00F617DA">
        <w:rPr>
          <w:rFonts w:ascii="Palatino Linotype" w:eastAsia="Times New Roman" w:hAnsi="Palatino Linotype" w:cs="Arial"/>
          <w:color w:val="000000"/>
          <w:sz w:val="24"/>
          <w:szCs w:val="24"/>
          <w:lang w:eastAsia="es-MX"/>
        </w:rPr>
        <w:t xml:space="preserve">, </w:t>
      </w:r>
      <w:r w:rsidRPr="005A4030">
        <w:rPr>
          <w:rFonts w:ascii="Palatino Linotype" w:eastAsia="Times New Roman" w:hAnsi="Palatino Linotype" w:cs="Arial"/>
          <w:color w:val="000000"/>
          <w:sz w:val="24"/>
          <w:szCs w:val="24"/>
          <w:lang w:eastAsia="es-MX"/>
        </w:rPr>
        <w:t xml:space="preserve">a </w:t>
      </w:r>
      <w:r w:rsidR="00A42E66">
        <w:rPr>
          <w:rFonts w:ascii="Palatino Linotype" w:eastAsia="Times New Roman" w:hAnsi="Palatino Linotype" w:cs="Arial"/>
          <w:color w:val="000000"/>
          <w:sz w:val="24"/>
          <w:szCs w:val="24"/>
          <w:lang w:eastAsia="es-MX"/>
        </w:rPr>
        <w:t>catorce de agosto</w:t>
      </w:r>
      <w:r w:rsidR="00396D7E">
        <w:rPr>
          <w:rFonts w:ascii="Palatino Linotype" w:eastAsia="Times New Roman" w:hAnsi="Palatino Linotype" w:cs="Arial"/>
          <w:color w:val="000000"/>
          <w:sz w:val="24"/>
          <w:szCs w:val="24"/>
          <w:lang w:eastAsia="es-MX"/>
        </w:rPr>
        <w:t xml:space="preserve"> de dos mil diecinueve</w:t>
      </w:r>
      <w:r w:rsidRPr="005A4030">
        <w:rPr>
          <w:rFonts w:ascii="Palatino Linotype" w:eastAsia="Times New Roman" w:hAnsi="Palatino Linotype" w:cs="Arial"/>
          <w:color w:val="000000"/>
          <w:sz w:val="24"/>
          <w:szCs w:val="24"/>
          <w:lang w:eastAsia="es-MX"/>
        </w:rPr>
        <w:t>.</w:t>
      </w:r>
    </w:p>
    <w:p w:rsidR="00480084" w:rsidRPr="00F07740" w:rsidRDefault="00480084" w:rsidP="00480084">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480084" w:rsidRDefault="00480084" w:rsidP="00480084">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415220" w:rsidRPr="00415220">
        <w:rPr>
          <w:rFonts w:ascii="Palatino Linotype" w:hAnsi="Palatino Linotype" w:cs="Arial"/>
          <w:b/>
          <w:bCs/>
          <w:sz w:val="24"/>
          <w:lang w:eastAsia="es-MX"/>
        </w:rPr>
        <w:t>04870/INFOEM/IP/RR/2019</w:t>
      </w:r>
      <w:r w:rsidRPr="009B1B26">
        <w:rPr>
          <w:rFonts w:ascii="Palatino Linotype" w:hAnsi="Palatino Linotype" w:cs="Arial"/>
          <w:sz w:val="24"/>
        </w:rPr>
        <w:t>, interpuesto por</w:t>
      </w:r>
      <w:r w:rsidR="00396D7E">
        <w:rPr>
          <w:rFonts w:ascii="Palatino Linotype" w:hAnsi="Palatino Linotype" w:cs="Arial"/>
          <w:sz w:val="24"/>
        </w:rPr>
        <w:t xml:space="preserve"> el C.</w:t>
      </w:r>
      <w:r w:rsidRPr="009B1B26">
        <w:rPr>
          <w:rFonts w:ascii="Palatino Linotype" w:hAnsi="Palatino Linotype" w:cs="Arial"/>
          <w:sz w:val="24"/>
        </w:rPr>
        <w:t xml:space="preserve"> </w:t>
      </w:r>
      <w:r w:rsidR="002A0D91">
        <w:rPr>
          <w:rFonts w:ascii="Palatino Linotype" w:hAnsi="Palatino Linotype" w:cs="Arial"/>
          <w:b/>
          <w:sz w:val="24"/>
        </w:rPr>
        <w:t>xxxxxxxxxxxxxxxxxxxxxxxxxxxxxx</w:t>
      </w:r>
      <w:bookmarkStart w:id="0" w:name="_GoBack"/>
      <w:bookmarkEnd w:id="0"/>
      <w:r w:rsidRPr="009B1B26">
        <w:rPr>
          <w:rFonts w:ascii="Palatino Linotype" w:hAnsi="Palatino Linotype" w:cs="Arial"/>
          <w:b/>
          <w:sz w:val="24"/>
          <w:szCs w:val="24"/>
        </w:rPr>
        <w:t xml:space="preserve"> </w:t>
      </w:r>
      <w:r w:rsidRPr="009B1B26">
        <w:rPr>
          <w:rFonts w:ascii="Palatino Linotype" w:hAnsi="Palatino Linotype" w:cs="Arial"/>
          <w:sz w:val="24"/>
        </w:rPr>
        <w:t xml:space="preserve">en lo sucesivo </w:t>
      </w:r>
      <w:r w:rsidRPr="009B1B26">
        <w:rPr>
          <w:rFonts w:ascii="Palatino Linotype" w:hAnsi="Palatino Linotype" w:cs="Arial"/>
          <w:b/>
          <w:sz w:val="24"/>
        </w:rPr>
        <w:t>El Recurrente</w:t>
      </w:r>
      <w:r w:rsidR="00513534">
        <w:rPr>
          <w:rFonts w:ascii="Palatino Linotype" w:hAnsi="Palatino Linotype" w:cs="Arial"/>
          <w:sz w:val="24"/>
        </w:rPr>
        <w:t>, en contra de la respuesta de</w:t>
      </w:r>
      <w:r w:rsidR="001347C2">
        <w:rPr>
          <w:rFonts w:ascii="Palatino Linotype" w:hAnsi="Palatino Linotype" w:cs="Arial"/>
          <w:sz w:val="24"/>
        </w:rPr>
        <w:t>l</w:t>
      </w:r>
      <w:r w:rsidRPr="009B1B26">
        <w:rPr>
          <w:rFonts w:ascii="Palatino Linotype" w:hAnsi="Palatino Linotype" w:cs="Arial"/>
          <w:sz w:val="24"/>
        </w:rPr>
        <w:t xml:space="preserve"> </w:t>
      </w:r>
      <w:r w:rsidR="00415220" w:rsidRPr="00415220">
        <w:rPr>
          <w:rFonts w:ascii="Palatino Linotype" w:hAnsi="Palatino Linotype" w:cs="Arial"/>
          <w:b/>
          <w:sz w:val="24"/>
        </w:rPr>
        <w:t>Ayuntamiento de Toluca</w:t>
      </w:r>
      <w:r w:rsidRPr="009B1B26">
        <w:rPr>
          <w:rFonts w:ascii="Palatino Linotype" w:hAnsi="Palatino Linotype" w:cs="Arial"/>
          <w:sz w:val="24"/>
        </w:rPr>
        <w:t>, en lo subsecuente</w:t>
      </w:r>
      <w:r w:rsidRPr="009B1B26">
        <w:rPr>
          <w:rFonts w:ascii="Palatino Linotype" w:hAnsi="Palatino Linotype" w:cs="Arial"/>
          <w:b/>
          <w:sz w:val="24"/>
          <w:szCs w:val="24"/>
        </w:rPr>
        <w:t xml:space="preserve"> El Sujeto Obligado, </w:t>
      </w:r>
      <w:r w:rsidRPr="009B1B26">
        <w:rPr>
          <w:rFonts w:ascii="Palatino Linotype" w:hAnsi="Palatino Linotype" w:cs="Arial"/>
          <w:sz w:val="24"/>
          <w:szCs w:val="24"/>
        </w:rPr>
        <w:t>se procede a</w:t>
      </w:r>
      <w:r w:rsidRPr="009B1B26">
        <w:rPr>
          <w:rFonts w:ascii="Palatino Linotype" w:hAnsi="Palatino Linotype" w:cs="Arial"/>
          <w:sz w:val="24"/>
        </w:rPr>
        <w:t xml:space="preserve"> dictar la presente resolución.</w:t>
      </w:r>
    </w:p>
    <w:p w:rsidR="00480084" w:rsidRDefault="00480084" w:rsidP="00480084">
      <w:pPr>
        <w:tabs>
          <w:tab w:val="left" w:pos="1701"/>
        </w:tabs>
        <w:spacing w:before="240" w:line="360" w:lineRule="auto"/>
        <w:jc w:val="both"/>
        <w:rPr>
          <w:rFonts w:ascii="Palatino Linotype" w:hAnsi="Palatino Linotype" w:cs="Arial"/>
          <w:sz w:val="24"/>
        </w:rPr>
      </w:pPr>
    </w:p>
    <w:p w:rsidR="00480084" w:rsidRPr="00F205B9" w:rsidRDefault="00480084" w:rsidP="00480084">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480084" w:rsidRDefault="00480084" w:rsidP="00480084">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80084" w:rsidRDefault="00480084" w:rsidP="00FD06E7">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A42E66">
        <w:rPr>
          <w:rFonts w:ascii="Palatino Linotype" w:hAnsi="Palatino Linotype" w:cs="Arial"/>
          <w:sz w:val="24"/>
        </w:rPr>
        <w:t>veintisiete de marzo</w:t>
      </w:r>
      <w:r w:rsidR="004220AE">
        <w:rPr>
          <w:rFonts w:ascii="Palatino Linotype" w:hAnsi="Palatino Linotype" w:cs="Arial"/>
          <w:sz w:val="24"/>
        </w:rPr>
        <w:t xml:space="preserve"> de dos mil diecinueve</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415220" w:rsidRPr="00415220">
        <w:rPr>
          <w:rFonts w:ascii="Palatino Linotype" w:hAnsi="Palatino Linotype" w:cs="Arial"/>
          <w:b/>
          <w:sz w:val="24"/>
        </w:rPr>
        <w:t>00232/TOLUCA/IP/2019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FD06E7" w:rsidRDefault="00FD06E7" w:rsidP="00FD06E7">
      <w:pPr>
        <w:spacing w:after="0" w:line="360" w:lineRule="auto"/>
        <w:jc w:val="both"/>
        <w:rPr>
          <w:rFonts w:ascii="Palatino Linotype" w:hAnsi="Palatino Linotype" w:cs="Arial"/>
          <w:sz w:val="24"/>
        </w:rPr>
      </w:pPr>
    </w:p>
    <w:p w:rsidR="00794CC7" w:rsidRDefault="00480084" w:rsidP="00530A89">
      <w:pPr>
        <w:spacing w:after="0"/>
        <w:ind w:left="851" w:right="850"/>
        <w:jc w:val="both"/>
        <w:rPr>
          <w:rFonts w:ascii="Palatino Linotype" w:eastAsia="Times New Roman" w:hAnsi="Palatino Linotype" w:cs="Times New Roman"/>
          <w:i/>
          <w:lang w:val="es-ES_tradnl" w:eastAsia="es-ES"/>
        </w:rPr>
      </w:pPr>
      <w:r w:rsidRPr="00FE0484">
        <w:rPr>
          <w:rFonts w:ascii="Palatino Linotype" w:eastAsia="Times New Roman" w:hAnsi="Palatino Linotype" w:cs="Times New Roman"/>
          <w:i/>
          <w:lang w:val="es-ES_tradnl" w:eastAsia="es-ES"/>
        </w:rPr>
        <w:t>“</w:t>
      </w:r>
      <w:r w:rsidR="00415220" w:rsidRPr="00415220">
        <w:rPr>
          <w:rFonts w:ascii="Palatino Linotype" w:eastAsia="Times New Roman" w:hAnsi="Palatino Linotype" w:cs="Times New Roman"/>
          <w:i/>
          <w:lang w:val="es-ES_tradnl" w:eastAsia="es-ES"/>
        </w:rPr>
        <w:t>Solicito la documentación relativa al proceso de adquisición y colocación de banderas correspondientes a diferentes países en las cornisas de la estructura metálica de la Plaza González Arratia, así como la documentación que justifique la toma de dicha decisión por parte de las autoridades municipales de Toluca.</w:t>
      </w:r>
      <w:r w:rsidRPr="00DE246E">
        <w:rPr>
          <w:rFonts w:ascii="Palatino Linotype" w:eastAsia="Times New Roman" w:hAnsi="Palatino Linotype" w:cs="Times New Roman"/>
          <w:i/>
          <w:lang w:val="es-ES_tradnl" w:eastAsia="es-ES"/>
        </w:rPr>
        <w:t>” [Sic]</w:t>
      </w:r>
    </w:p>
    <w:p w:rsidR="00530A89" w:rsidRPr="00530A89" w:rsidRDefault="00530A89" w:rsidP="00530A89">
      <w:pPr>
        <w:spacing w:after="0"/>
        <w:ind w:left="851" w:right="850"/>
        <w:jc w:val="both"/>
        <w:rPr>
          <w:rFonts w:ascii="Palatino Linotype" w:eastAsia="Times New Roman" w:hAnsi="Palatino Linotype" w:cs="Times New Roman"/>
          <w:i/>
          <w:lang w:val="es-ES_tradnl" w:eastAsia="es-ES"/>
        </w:rPr>
      </w:pPr>
    </w:p>
    <w:p w:rsidR="00480084"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530A89">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rsidR="00480084" w:rsidRPr="008A12F6" w:rsidRDefault="00480084" w:rsidP="00480084">
      <w:pPr>
        <w:spacing w:before="240" w:line="240" w:lineRule="auto"/>
        <w:ind w:right="850"/>
        <w:jc w:val="both"/>
        <w:rPr>
          <w:rFonts w:ascii="Palatino Linotype" w:eastAsia="Times New Roman" w:hAnsi="Palatino Linotype" w:cs="Times New Roman"/>
          <w:sz w:val="24"/>
          <w:szCs w:val="24"/>
          <w:lang w:val="es-ES_tradnl" w:eastAsia="es-ES"/>
        </w:rPr>
      </w:pPr>
    </w:p>
    <w:p w:rsidR="00C95B47" w:rsidRPr="00DA0890" w:rsidRDefault="00C95B47" w:rsidP="00C95B47">
      <w:pPr>
        <w:spacing w:before="240" w:line="360" w:lineRule="auto"/>
        <w:jc w:val="both"/>
        <w:rPr>
          <w:rFonts w:ascii="Palatino Linotype" w:hAnsi="Palatino Linotype" w:cs="Arial"/>
          <w:b/>
          <w:sz w:val="28"/>
          <w:szCs w:val="28"/>
        </w:rPr>
      </w:pPr>
      <w:r w:rsidRPr="00DA0890">
        <w:rPr>
          <w:rFonts w:ascii="Palatino Linotype" w:hAnsi="Palatino Linotype" w:cs="Arial"/>
          <w:b/>
          <w:sz w:val="28"/>
          <w:szCs w:val="28"/>
        </w:rPr>
        <w:t>SEGUNDO. De la prórroga para emitir respuesta.</w:t>
      </w:r>
    </w:p>
    <w:p w:rsidR="00C95B47" w:rsidRPr="00A74137" w:rsidRDefault="00C95B47" w:rsidP="00480084">
      <w:pPr>
        <w:spacing w:before="240" w:line="360" w:lineRule="auto"/>
        <w:jc w:val="both"/>
        <w:rPr>
          <w:rFonts w:ascii="Palatino Linotype" w:hAnsi="Palatino Linotype" w:cs="Arial"/>
          <w:sz w:val="24"/>
        </w:rPr>
      </w:pPr>
      <w:r w:rsidRPr="00011FD7">
        <w:rPr>
          <w:rFonts w:ascii="Palatino Linotype" w:hAnsi="Palatino Linotype" w:cs="Arial"/>
          <w:sz w:val="24"/>
        </w:rPr>
        <w:t xml:space="preserve">Del expediente electrónico del </w:t>
      </w:r>
      <w:r w:rsidRPr="00011FD7">
        <w:rPr>
          <w:rFonts w:ascii="Palatino Linotype" w:hAnsi="Palatino Linotype" w:cs="Arial"/>
          <w:b/>
          <w:sz w:val="24"/>
        </w:rPr>
        <w:t>SAIMEX</w:t>
      </w:r>
      <w:r w:rsidRPr="00011FD7">
        <w:rPr>
          <w:rFonts w:ascii="Palatino Linotype" w:hAnsi="Palatino Linotype" w:cs="Arial"/>
          <w:sz w:val="24"/>
        </w:rPr>
        <w:t xml:space="preserve">, se aprecia que </w:t>
      </w:r>
      <w:r w:rsidRPr="00011FD7">
        <w:rPr>
          <w:rFonts w:ascii="Palatino Linotype" w:hAnsi="Palatino Linotype" w:cs="Arial"/>
          <w:b/>
          <w:sz w:val="24"/>
        </w:rPr>
        <w:t>el sujeto obligado,</w:t>
      </w:r>
      <w:r w:rsidRPr="00011FD7">
        <w:rPr>
          <w:rFonts w:ascii="Palatino Linotype" w:hAnsi="Palatino Linotype" w:cs="Arial"/>
          <w:sz w:val="24"/>
        </w:rPr>
        <w:t xml:space="preserve"> </w:t>
      </w:r>
      <w:r>
        <w:rPr>
          <w:rFonts w:ascii="Palatino Linotype" w:hAnsi="Palatino Linotype" w:cs="Arial"/>
          <w:sz w:val="24"/>
        </w:rPr>
        <w:t xml:space="preserve">en fecha </w:t>
      </w:r>
      <w:r w:rsidR="00DA0890">
        <w:rPr>
          <w:rFonts w:ascii="Palatino Linotype" w:hAnsi="Palatino Linotype" w:cs="Arial"/>
          <w:sz w:val="24"/>
        </w:rPr>
        <w:t>veinticuatro de abril</w:t>
      </w:r>
      <w:r>
        <w:rPr>
          <w:rFonts w:ascii="Palatino Linotype" w:hAnsi="Palatino Linotype" w:cs="Arial"/>
          <w:sz w:val="24"/>
        </w:rPr>
        <w:t xml:space="preserve"> de dos mil diecinueve notifico al </w:t>
      </w:r>
      <w:r w:rsidR="00DA0890">
        <w:rPr>
          <w:rFonts w:ascii="Palatino Linotype" w:hAnsi="Palatino Linotype" w:cs="Arial"/>
          <w:b/>
          <w:sz w:val="24"/>
        </w:rPr>
        <w:t>R</w:t>
      </w:r>
      <w:r>
        <w:rPr>
          <w:rFonts w:ascii="Palatino Linotype" w:hAnsi="Palatino Linotype" w:cs="Arial"/>
          <w:b/>
          <w:sz w:val="24"/>
        </w:rPr>
        <w:t>ecurrente</w:t>
      </w:r>
      <w:r>
        <w:rPr>
          <w:rFonts w:ascii="Palatino Linotype" w:hAnsi="Palatino Linotype" w:cs="Arial"/>
          <w:sz w:val="24"/>
        </w:rPr>
        <w:t xml:space="preserve"> que el plazo de quince días hábiles para emitir su respuesta había sido prorrogado por siete días hábiles, </w:t>
      </w:r>
      <w:r w:rsidR="00DA0890" w:rsidRPr="00DA0890">
        <w:rPr>
          <w:rFonts w:ascii="Palatino Linotype" w:hAnsi="Palatino Linotype" w:cs="Arial"/>
          <w:sz w:val="24"/>
        </w:rPr>
        <w:t>derivado de que se requiere realizar el análisis e integración de la información, toda vez que diferentes Dependencias de la Administración Pública del Municipio de Toluca se encuentran involucradas</w:t>
      </w:r>
      <w:r>
        <w:rPr>
          <w:rFonts w:ascii="Palatino Linotype" w:hAnsi="Palatino Linotype" w:cs="Arial"/>
          <w:sz w:val="24"/>
        </w:rPr>
        <w:t>, empero no pasa desapercibido para este Órgano Garante, que dicha prorroga no fue emitida conforme al procedimiento establecido en las Ley de Transparencia local.</w:t>
      </w:r>
    </w:p>
    <w:p w:rsidR="00C95B47" w:rsidRDefault="00C95B47" w:rsidP="00480084">
      <w:pPr>
        <w:spacing w:before="240" w:line="360" w:lineRule="auto"/>
        <w:jc w:val="both"/>
        <w:rPr>
          <w:rFonts w:ascii="Palatino Linotype" w:hAnsi="Palatino Linotype" w:cs="Arial"/>
          <w:b/>
          <w:sz w:val="28"/>
        </w:rPr>
      </w:pPr>
    </w:p>
    <w:p w:rsidR="00480084" w:rsidRDefault="00A74137" w:rsidP="00480084">
      <w:pPr>
        <w:spacing w:before="240" w:line="360" w:lineRule="auto"/>
        <w:jc w:val="both"/>
        <w:rPr>
          <w:rFonts w:ascii="Palatino Linotype" w:hAnsi="Palatino Linotype" w:cs="Arial"/>
          <w:b/>
          <w:sz w:val="28"/>
        </w:rPr>
      </w:pPr>
      <w:r>
        <w:rPr>
          <w:rFonts w:ascii="Palatino Linotype" w:hAnsi="Palatino Linotype" w:cs="Arial"/>
          <w:b/>
          <w:sz w:val="28"/>
        </w:rPr>
        <w:t>TERCERO</w:t>
      </w:r>
      <w:r w:rsidR="00480084">
        <w:rPr>
          <w:rFonts w:ascii="Palatino Linotype" w:hAnsi="Palatino Linotype" w:cs="Arial"/>
          <w:b/>
          <w:sz w:val="28"/>
        </w:rPr>
        <w:t xml:space="preserve">. </w:t>
      </w:r>
      <w:r w:rsidR="00480084" w:rsidRPr="00165D6E">
        <w:rPr>
          <w:rFonts w:ascii="Palatino Linotype" w:hAnsi="Palatino Linotype" w:cs="Arial"/>
          <w:b/>
          <w:sz w:val="28"/>
          <w:szCs w:val="20"/>
        </w:rPr>
        <w:t xml:space="preserve">De la respuesta </w:t>
      </w:r>
      <w:r w:rsidR="00480084">
        <w:rPr>
          <w:rFonts w:ascii="Palatino Linotype" w:hAnsi="Palatino Linotype" w:cs="Arial"/>
          <w:b/>
          <w:sz w:val="28"/>
          <w:szCs w:val="20"/>
        </w:rPr>
        <w:t>del Sujeto Obligado</w:t>
      </w:r>
      <w:r w:rsidR="00480084" w:rsidRPr="00165D6E">
        <w:rPr>
          <w:rFonts w:ascii="Palatino Linotype" w:hAnsi="Palatino Linotype" w:cs="Arial"/>
          <w:b/>
          <w:sz w:val="28"/>
          <w:szCs w:val="20"/>
        </w:rPr>
        <w:t>.</w:t>
      </w:r>
    </w:p>
    <w:p w:rsidR="00530A89" w:rsidRDefault="00480084" w:rsidP="00530A89">
      <w:pPr>
        <w:spacing w:before="240" w:line="360" w:lineRule="auto"/>
        <w:jc w:val="both"/>
        <w:rPr>
          <w:rFonts w:ascii="Palatino Linotype" w:hAnsi="Palatino Linotype" w:cs="Arial"/>
          <w:sz w:val="24"/>
        </w:rPr>
      </w:pPr>
      <w:r w:rsidRPr="00527AD8">
        <w:rPr>
          <w:rFonts w:ascii="Palatino Linotype" w:hAnsi="Palatino Linotype" w:cs="Arial"/>
          <w:sz w:val="24"/>
        </w:rPr>
        <w:t xml:space="preserve">En el expediente electrónico </w:t>
      </w:r>
      <w:r w:rsidRPr="00527AD8">
        <w:rPr>
          <w:rFonts w:ascii="Palatino Linotype" w:hAnsi="Palatino Linotype" w:cs="Arial"/>
          <w:b/>
          <w:sz w:val="24"/>
        </w:rPr>
        <w:t>SAIMEX</w:t>
      </w:r>
      <w:r w:rsidRPr="00527AD8">
        <w:rPr>
          <w:rFonts w:ascii="Palatino Linotype" w:hAnsi="Palatino Linotype" w:cs="Arial"/>
          <w:sz w:val="24"/>
        </w:rPr>
        <w:t xml:space="preserve">, se aprecia que </w:t>
      </w:r>
      <w:r w:rsidRPr="00527AD8">
        <w:rPr>
          <w:rFonts w:ascii="Palatino Linotype" w:hAnsi="Palatino Linotype" w:cs="Arial"/>
          <w:b/>
          <w:sz w:val="24"/>
        </w:rPr>
        <w:t>El Sujeto Obligado</w:t>
      </w:r>
      <w:r w:rsidRPr="00527AD8">
        <w:rPr>
          <w:rFonts w:ascii="Palatino Linotype" w:hAnsi="Palatino Linotype" w:cs="Arial"/>
          <w:sz w:val="24"/>
        </w:rPr>
        <w:t xml:space="preserve"> dio respuesta a la solicitud</w:t>
      </w:r>
      <w:r>
        <w:rPr>
          <w:rFonts w:ascii="Palatino Linotype" w:hAnsi="Palatino Linotype" w:cs="Arial"/>
          <w:sz w:val="24"/>
        </w:rPr>
        <w:t xml:space="preserve"> de información</w:t>
      </w:r>
      <w:r w:rsidRPr="00527AD8">
        <w:rPr>
          <w:rFonts w:ascii="Palatino Linotype" w:hAnsi="Palatino Linotype" w:cs="Arial"/>
          <w:sz w:val="24"/>
        </w:rPr>
        <w:t xml:space="preserve"> en fecha </w:t>
      </w:r>
      <w:r w:rsidR="00A74137">
        <w:rPr>
          <w:rFonts w:ascii="Palatino Linotype" w:hAnsi="Palatino Linotype" w:cs="Arial"/>
          <w:sz w:val="24"/>
        </w:rPr>
        <w:t>siete</w:t>
      </w:r>
      <w:r w:rsidR="004220AE">
        <w:rPr>
          <w:rFonts w:ascii="Palatino Linotype" w:hAnsi="Palatino Linotype" w:cs="Arial"/>
          <w:sz w:val="24"/>
        </w:rPr>
        <w:t xml:space="preserve"> de mayo</w:t>
      </w:r>
      <w:r w:rsidR="00530A89">
        <w:rPr>
          <w:rFonts w:ascii="Palatino Linotype" w:hAnsi="Palatino Linotype" w:cs="Arial"/>
          <w:sz w:val="24"/>
        </w:rPr>
        <w:t xml:space="preserve"> de dos mil diecinueve</w:t>
      </w:r>
      <w:r w:rsidRPr="00527AD8">
        <w:rPr>
          <w:rFonts w:ascii="Palatino Linotype" w:hAnsi="Palatino Linotype" w:cs="Arial"/>
          <w:sz w:val="24"/>
        </w:rPr>
        <w:t xml:space="preserve">, </w:t>
      </w:r>
      <w:r w:rsidR="00FE12EC" w:rsidRPr="00FE12EC">
        <w:rPr>
          <w:rFonts w:ascii="Palatino Linotype" w:hAnsi="Palatino Linotype" w:cs="Arial"/>
          <w:sz w:val="24"/>
        </w:rPr>
        <w:t>en los términos siguientes:</w:t>
      </w:r>
    </w:p>
    <w:p w:rsidR="00530A89" w:rsidRDefault="00530A89" w:rsidP="00530A89">
      <w:pPr>
        <w:spacing w:after="0" w:line="240" w:lineRule="auto"/>
        <w:ind w:left="567" w:right="567"/>
        <w:jc w:val="both"/>
        <w:rPr>
          <w:rFonts w:ascii="Palatino Linotype" w:hAnsi="Palatino Linotype" w:cs="Arial"/>
          <w:i/>
          <w:noProof/>
          <w:szCs w:val="24"/>
          <w:lang w:eastAsia="es-MX"/>
        </w:rPr>
      </w:pPr>
    </w:p>
    <w:p w:rsidR="00A74137" w:rsidRPr="00A74137" w:rsidRDefault="00FE12EC" w:rsidP="00A74137">
      <w:pPr>
        <w:spacing w:after="0" w:line="240" w:lineRule="auto"/>
        <w:ind w:left="567" w:right="567"/>
        <w:jc w:val="right"/>
        <w:rPr>
          <w:rFonts w:ascii="Palatino Linotype" w:hAnsi="Palatino Linotype" w:cs="Arial"/>
          <w:i/>
          <w:noProof/>
          <w:szCs w:val="24"/>
          <w:lang w:eastAsia="es-MX"/>
        </w:rPr>
      </w:pPr>
      <w:r>
        <w:rPr>
          <w:rFonts w:ascii="Palatino Linotype" w:hAnsi="Palatino Linotype" w:cs="Arial"/>
          <w:i/>
          <w:noProof/>
          <w:szCs w:val="24"/>
          <w:lang w:eastAsia="es-MX"/>
        </w:rPr>
        <w:t>“</w:t>
      </w:r>
      <w:r w:rsidR="00A74137" w:rsidRPr="00A74137">
        <w:rPr>
          <w:rFonts w:ascii="Palatino Linotype" w:hAnsi="Palatino Linotype" w:cs="Arial"/>
          <w:i/>
          <w:noProof/>
          <w:szCs w:val="24"/>
          <w:lang w:eastAsia="es-MX"/>
        </w:rPr>
        <w:t>Folio de la solicitud: 00232/TOLUCA/IP/2019</w:t>
      </w:r>
    </w:p>
    <w:p w:rsidR="00A74137" w:rsidRDefault="00A74137" w:rsidP="00A74137">
      <w:pPr>
        <w:spacing w:after="0" w:line="240" w:lineRule="auto"/>
        <w:ind w:left="567" w:right="567"/>
        <w:jc w:val="right"/>
        <w:rPr>
          <w:rFonts w:ascii="Palatino Linotype" w:hAnsi="Palatino Linotype" w:cs="Arial"/>
          <w:i/>
          <w:noProof/>
          <w:szCs w:val="24"/>
          <w:lang w:eastAsia="es-MX"/>
        </w:rPr>
      </w:pPr>
    </w:p>
    <w:p w:rsidR="00A74137" w:rsidRDefault="00A74137" w:rsidP="00A74137">
      <w:pPr>
        <w:spacing w:after="0" w:line="240" w:lineRule="auto"/>
        <w:ind w:left="567" w:right="567"/>
        <w:jc w:val="both"/>
        <w:rPr>
          <w:rFonts w:ascii="Palatino Linotype" w:hAnsi="Palatino Linotype" w:cs="Arial"/>
          <w:i/>
          <w:noProof/>
          <w:szCs w:val="24"/>
          <w:lang w:eastAsia="es-MX"/>
        </w:rPr>
      </w:pPr>
      <w:r w:rsidRPr="00A74137">
        <w:rPr>
          <w:rFonts w:ascii="Palatino Linotype" w:hAnsi="Palatino Linotype" w:cs="Arial"/>
          <w:i/>
          <w:noProof/>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74137" w:rsidRPr="00A74137" w:rsidRDefault="00A74137" w:rsidP="00A74137">
      <w:pPr>
        <w:spacing w:after="0" w:line="240" w:lineRule="auto"/>
        <w:ind w:left="567" w:right="567"/>
        <w:jc w:val="both"/>
        <w:rPr>
          <w:rFonts w:ascii="Palatino Linotype" w:hAnsi="Palatino Linotype" w:cs="Arial"/>
          <w:i/>
          <w:noProof/>
          <w:szCs w:val="24"/>
          <w:lang w:eastAsia="es-MX"/>
        </w:rPr>
      </w:pPr>
    </w:p>
    <w:p w:rsidR="00A74137" w:rsidRDefault="00A74137" w:rsidP="00A74137">
      <w:pPr>
        <w:spacing w:after="0" w:line="240" w:lineRule="auto"/>
        <w:ind w:left="567" w:right="567"/>
        <w:jc w:val="both"/>
        <w:rPr>
          <w:rFonts w:ascii="Palatino Linotype" w:hAnsi="Palatino Linotype" w:cs="Arial"/>
          <w:i/>
          <w:noProof/>
          <w:szCs w:val="24"/>
          <w:lang w:eastAsia="es-MX"/>
        </w:rPr>
      </w:pPr>
      <w:r w:rsidRPr="00A74137">
        <w:rPr>
          <w:rFonts w:ascii="Palatino Linotype" w:hAnsi="Palatino Linotype" w:cs="Arial"/>
          <w:i/>
          <w:noProof/>
          <w:szCs w:val="24"/>
          <w:lang w:eastAsia="es-MX"/>
        </w:rPr>
        <w:t>Con fundamento en los artículos 4, 7, 23 fracción lV, 53 fracciones ll, lV y V de la Ley de Transparencia y Acceso a la Información Pública del Estado de México y Municipios, y en atención a su solicitud 00232/TOLUCA/IP/2019 mediante la cual requiere lo siguiente: “Solicito la documentación relativa al proceso de adquisición y colocación de banderas correspondientes a diferentes países en las cornisas de la estructura metálica de la Plaza González Arratia, así como la documentación que justifique la toma de dicha decisión por parte de las autoridades municipales de Toluca.” Sic Al respecto la Dirección General de Servicios Públicos y la Dirección General de Administración envían información en formato pdf. Sin más por el momento reciba un cordial saludo.</w:t>
      </w:r>
    </w:p>
    <w:p w:rsidR="00A74137" w:rsidRPr="00A74137" w:rsidRDefault="00A74137" w:rsidP="00A74137">
      <w:pPr>
        <w:spacing w:after="0" w:line="240" w:lineRule="auto"/>
        <w:ind w:left="567" w:right="567"/>
        <w:jc w:val="both"/>
        <w:rPr>
          <w:rFonts w:ascii="Palatino Linotype" w:hAnsi="Palatino Linotype" w:cs="Arial"/>
          <w:i/>
          <w:noProof/>
          <w:szCs w:val="24"/>
          <w:lang w:eastAsia="es-MX"/>
        </w:rPr>
      </w:pPr>
    </w:p>
    <w:p w:rsidR="00A74137" w:rsidRPr="00A74137" w:rsidRDefault="00A74137" w:rsidP="00A74137">
      <w:pPr>
        <w:spacing w:after="0" w:line="240" w:lineRule="auto"/>
        <w:ind w:left="567" w:right="567"/>
        <w:jc w:val="both"/>
        <w:rPr>
          <w:rFonts w:ascii="Palatino Linotype" w:hAnsi="Palatino Linotype" w:cs="Arial"/>
          <w:i/>
          <w:noProof/>
          <w:szCs w:val="24"/>
          <w:lang w:eastAsia="es-MX"/>
        </w:rPr>
      </w:pPr>
      <w:r w:rsidRPr="00A74137">
        <w:rPr>
          <w:rFonts w:ascii="Palatino Linotype" w:hAnsi="Palatino Linotype" w:cs="Arial"/>
          <w:i/>
          <w:noProof/>
          <w:szCs w:val="24"/>
          <w:lang w:eastAsia="es-MX"/>
        </w:rPr>
        <w:t>ATENTAMENTE</w:t>
      </w:r>
    </w:p>
    <w:p w:rsidR="00513534" w:rsidRDefault="00A74137" w:rsidP="00A74137">
      <w:pPr>
        <w:spacing w:after="0" w:line="240" w:lineRule="auto"/>
        <w:ind w:left="567" w:right="567"/>
        <w:jc w:val="both"/>
        <w:rPr>
          <w:rFonts w:ascii="Palatino Linotype" w:hAnsi="Palatino Linotype" w:cs="Arial"/>
          <w:i/>
          <w:noProof/>
          <w:szCs w:val="24"/>
          <w:lang w:eastAsia="es-MX"/>
        </w:rPr>
      </w:pPr>
      <w:r w:rsidRPr="00A74137">
        <w:rPr>
          <w:rFonts w:ascii="Palatino Linotype" w:hAnsi="Palatino Linotype" w:cs="Arial"/>
          <w:i/>
          <w:noProof/>
          <w:szCs w:val="24"/>
          <w:lang w:eastAsia="es-MX"/>
        </w:rPr>
        <w:t>MTRA. LORENA NAVARRETE CASTAÑEDA</w:t>
      </w:r>
      <w:r w:rsidR="00FE12EC">
        <w:rPr>
          <w:rFonts w:ascii="Palatino Linotype" w:hAnsi="Palatino Linotype" w:cs="Arial"/>
          <w:i/>
          <w:noProof/>
          <w:szCs w:val="24"/>
          <w:lang w:eastAsia="es-MX"/>
        </w:rPr>
        <w:t>” (sic)</w:t>
      </w:r>
    </w:p>
    <w:p w:rsidR="00530A89" w:rsidRPr="001347C2" w:rsidRDefault="00530A89" w:rsidP="00530A89">
      <w:pPr>
        <w:spacing w:after="0" w:line="240" w:lineRule="auto"/>
        <w:ind w:left="567" w:right="567"/>
        <w:jc w:val="both"/>
        <w:rPr>
          <w:rFonts w:ascii="Palatino Linotype" w:hAnsi="Palatino Linotype" w:cs="Arial"/>
          <w:i/>
          <w:szCs w:val="24"/>
        </w:rPr>
      </w:pPr>
    </w:p>
    <w:p w:rsidR="00530A89" w:rsidRDefault="00530A89" w:rsidP="00530A89">
      <w:pPr>
        <w:spacing w:before="240" w:after="120" w:line="360" w:lineRule="auto"/>
        <w:jc w:val="both"/>
        <w:rPr>
          <w:rFonts w:ascii="Palatino Linotype" w:hAnsi="Palatino Linotype" w:cs="Arial"/>
          <w:b/>
          <w:sz w:val="28"/>
        </w:rPr>
      </w:pPr>
      <w:r>
        <w:rPr>
          <w:rFonts w:ascii="Palatino Linotype" w:hAnsi="Palatino Linotype" w:cs="Arial"/>
          <w:sz w:val="24"/>
          <w:szCs w:val="24"/>
        </w:rPr>
        <w:t xml:space="preserve">Adjuntando para tal efecto </w:t>
      </w:r>
      <w:r w:rsidR="00B54219">
        <w:rPr>
          <w:rFonts w:ascii="Palatino Linotype" w:hAnsi="Palatino Linotype" w:cs="Arial"/>
          <w:sz w:val="24"/>
          <w:szCs w:val="24"/>
        </w:rPr>
        <w:t>los</w:t>
      </w:r>
      <w:r>
        <w:rPr>
          <w:rFonts w:ascii="Palatino Linotype" w:hAnsi="Palatino Linotype" w:cs="Arial"/>
          <w:sz w:val="24"/>
          <w:szCs w:val="24"/>
        </w:rPr>
        <w:t xml:space="preserve"> archivo</w:t>
      </w:r>
      <w:r w:rsidR="00B54219">
        <w:rPr>
          <w:rFonts w:ascii="Palatino Linotype" w:hAnsi="Palatino Linotype" w:cs="Arial"/>
          <w:sz w:val="24"/>
          <w:szCs w:val="24"/>
        </w:rPr>
        <w:t>s</w:t>
      </w:r>
      <w:r>
        <w:rPr>
          <w:rFonts w:ascii="Palatino Linotype" w:hAnsi="Palatino Linotype" w:cs="Arial"/>
          <w:sz w:val="24"/>
          <w:szCs w:val="24"/>
        </w:rPr>
        <w:t xml:space="preserve"> electrónico</w:t>
      </w:r>
      <w:r w:rsidR="00B54219">
        <w:rPr>
          <w:rFonts w:ascii="Palatino Linotype" w:hAnsi="Palatino Linotype" w:cs="Arial"/>
          <w:sz w:val="24"/>
          <w:szCs w:val="24"/>
        </w:rPr>
        <w:t>s</w:t>
      </w:r>
      <w:r>
        <w:rPr>
          <w:rFonts w:ascii="Palatino Linotype" w:hAnsi="Palatino Linotype" w:cs="Arial"/>
          <w:sz w:val="24"/>
          <w:szCs w:val="24"/>
        </w:rPr>
        <w:t xml:space="preserve"> denominado</w:t>
      </w:r>
      <w:r w:rsidR="00B54219">
        <w:rPr>
          <w:rFonts w:ascii="Palatino Linotype" w:hAnsi="Palatino Linotype" w:cs="Arial"/>
          <w:sz w:val="24"/>
          <w:szCs w:val="24"/>
        </w:rPr>
        <w:t>s</w:t>
      </w:r>
      <w:r>
        <w:rPr>
          <w:rFonts w:ascii="Palatino Linotype" w:hAnsi="Palatino Linotype" w:cs="Arial"/>
          <w:sz w:val="24"/>
          <w:szCs w:val="24"/>
        </w:rPr>
        <w:t xml:space="preserve"> “</w:t>
      </w:r>
      <w:r w:rsidR="00B54219" w:rsidRPr="00B54219">
        <w:rPr>
          <w:rFonts w:ascii="Palatino Linotype" w:hAnsi="Palatino Linotype"/>
          <w:b/>
          <w:sz w:val="24"/>
          <w:szCs w:val="24"/>
        </w:rPr>
        <w:t>BANDERAS.pdf</w:t>
      </w:r>
      <w:r>
        <w:rPr>
          <w:rFonts w:ascii="Palatino Linotype" w:hAnsi="Palatino Linotype" w:cs="Arial"/>
          <w:sz w:val="24"/>
          <w:szCs w:val="24"/>
        </w:rPr>
        <w:t>”</w:t>
      </w:r>
      <w:r w:rsidR="00B54219">
        <w:rPr>
          <w:rFonts w:ascii="Palatino Linotype" w:hAnsi="Palatino Linotype" w:cs="Arial"/>
          <w:sz w:val="24"/>
          <w:szCs w:val="24"/>
        </w:rPr>
        <w:t xml:space="preserve"> y</w:t>
      </w:r>
      <w:r w:rsidR="007F6813">
        <w:rPr>
          <w:rFonts w:ascii="Palatino Linotype" w:hAnsi="Palatino Linotype" w:cs="Arial"/>
          <w:sz w:val="24"/>
          <w:szCs w:val="24"/>
        </w:rPr>
        <w:t xml:space="preserve"> “</w:t>
      </w:r>
      <w:r w:rsidR="00B54219" w:rsidRPr="00B54219">
        <w:rPr>
          <w:rFonts w:ascii="Palatino Linotype" w:hAnsi="Palatino Linotype" w:cs="Arial"/>
          <w:b/>
          <w:bCs/>
          <w:sz w:val="24"/>
          <w:szCs w:val="24"/>
        </w:rPr>
        <w:t>saimex 232.pdf</w:t>
      </w:r>
      <w:r w:rsidR="00B54219">
        <w:rPr>
          <w:rFonts w:ascii="Palatino Linotype" w:hAnsi="Palatino Linotype" w:cs="Arial"/>
          <w:sz w:val="24"/>
          <w:szCs w:val="24"/>
        </w:rPr>
        <w:t>”</w:t>
      </w:r>
      <w:r>
        <w:rPr>
          <w:rFonts w:ascii="Palatino Linotype" w:hAnsi="Palatino Linotype" w:cs="Arial"/>
          <w:sz w:val="24"/>
          <w:szCs w:val="24"/>
        </w:rPr>
        <w:t xml:space="preserve">; </w:t>
      </w:r>
      <w:r w:rsidR="00B54219">
        <w:rPr>
          <w:rFonts w:ascii="Palatino Linotype" w:hAnsi="Palatino Linotype" w:cs="Arial"/>
          <w:sz w:val="24"/>
          <w:szCs w:val="24"/>
        </w:rPr>
        <w:t>los</w:t>
      </w:r>
      <w:r>
        <w:rPr>
          <w:rFonts w:ascii="Palatino Linotype" w:hAnsi="Palatino Linotype" w:cs="Arial"/>
          <w:sz w:val="24"/>
          <w:szCs w:val="24"/>
        </w:rPr>
        <w:t xml:space="preserve"> cual</w:t>
      </w:r>
      <w:r w:rsidR="00B54219">
        <w:rPr>
          <w:rFonts w:ascii="Palatino Linotype" w:hAnsi="Palatino Linotype" w:cs="Arial"/>
          <w:sz w:val="24"/>
          <w:szCs w:val="24"/>
        </w:rPr>
        <w:t>es</w:t>
      </w:r>
      <w:r>
        <w:rPr>
          <w:rFonts w:ascii="Palatino Linotype" w:hAnsi="Palatino Linotype" w:cs="Arial"/>
          <w:sz w:val="24"/>
          <w:szCs w:val="24"/>
        </w:rPr>
        <w:t xml:space="preserve"> no se </w:t>
      </w:r>
      <w:r w:rsidRPr="00AF0D60">
        <w:rPr>
          <w:rFonts w:ascii="Palatino Linotype" w:hAnsi="Palatino Linotype" w:cs="Arial"/>
          <w:sz w:val="24"/>
          <w:szCs w:val="24"/>
        </w:rPr>
        <w:t>inserta</w:t>
      </w:r>
      <w:r w:rsidR="00B54219">
        <w:rPr>
          <w:rFonts w:ascii="Palatino Linotype" w:hAnsi="Palatino Linotype" w:cs="Arial"/>
          <w:sz w:val="24"/>
          <w:szCs w:val="24"/>
        </w:rPr>
        <w:t>n</w:t>
      </w:r>
      <w:r w:rsidRPr="00AF0D60">
        <w:rPr>
          <w:rFonts w:ascii="Palatino Linotype" w:hAnsi="Palatino Linotype" w:cs="Arial"/>
          <w:sz w:val="24"/>
          <w:szCs w:val="24"/>
        </w:rPr>
        <w:t xml:space="preserve"> en el presente apartado por ser del conocimiento de las partes, </w:t>
      </w:r>
      <w:r>
        <w:rPr>
          <w:rFonts w:ascii="Palatino Linotype" w:hAnsi="Palatino Linotype" w:cs="Arial"/>
          <w:sz w:val="24"/>
          <w:szCs w:val="24"/>
        </w:rPr>
        <w:t xml:space="preserve">sin </w:t>
      </w:r>
      <w:r w:rsidR="00E836CC">
        <w:rPr>
          <w:rFonts w:ascii="Palatino Linotype" w:hAnsi="Palatino Linotype" w:cs="Arial"/>
          <w:sz w:val="24"/>
          <w:szCs w:val="24"/>
        </w:rPr>
        <w:t>embargo,</w:t>
      </w:r>
      <w:r w:rsidRPr="00AF0D60">
        <w:rPr>
          <w:rFonts w:ascii="Palatino Linotype" w:hAnsi="Palatino Linotype" w:cs="Arial"/>
          <w:sz w:val="24"/>
          <w:szCs w:val="24"/>
        </w:rPr>
        <w:t xml:space="preserve"> habrá de hacerse el análisis y estudio correspondiente en párrafos posteriores.</w:t>
      </w:r>
    </w:p>
    <w:p w:rsidR="00513534" w:rsidRPr="00530A89" w:rsidRDefault="00513534" w:rsidP="00530A89">
      <w:pPr>
        <w:spacing w:before="240" w:line="360" w:lineRule="auto"/>
        <w:jc w:val="both"/>
        <w:rPr>
          <w:rFonts w:ascii="Palatino Linotype" w:hAnsi="Palatino Linotype" w:cs="Arial"/>
          <w:b/>
          <w:sz w:val="24"/>
          <w:szCs w:val="24"/>
        </w:rPr>
      </w:pPr>
    </w:p>
    <w:p w:rsidR="00480084" w:rsidRPr="00441A94" w:rsidRDefault="007F6813" w:rsidP="00480084">
      <w:pPr>
        <w:spacing w:before="240" w:line="360" w:lineRule="auto"/>
        <w:jc w:val="both"/>
        <w:rPr>
          <w:rFonts w:ascii="Palatino Linotype" w:hAnsi="Palatino Linotype" w:cs="Arial"/>
          <w:b/>
          <w:sz w:val="28"/>
        </w:rPr>
      </w:pPr>
      <w:r>
        <w:rPr>
          <w:rFonts w:ascii="Palatino Linotype" w:hAnsi="Palatino Linotype" w:cs="Arial"/>
          <w:b/>
          <w:sz w:val="28"/>
        </w:rPr>
        <w:t>CUARTO</w:t>
      </w:r>
      <w:r w:rsidR="00480084" w:rsidRPr="00AE76F5">
        <w:rPr>
          <w:rFonts w:ascii="Palatino Linotype" w:hAnsi="Palatino Linotype" w:cs="Arial"/>
          <w:b/>
          <w:sz w:val="28"/>
        </w:rPr>
        <w:t xml:space="preserve">. </w:t>
      </w:r>
      <w:r w:rsidR="00480084" w:rsidRPr="00AE76F5">
        <w:rPr>
          <w:rFonts w:ascii="Palatino Linotype" w:hAnsi="Palatino Linotype"/>
          <w:b/>
          <w:sz w:val="28"/>
        </w:rPr>
        <w:t>Del recurso de revisión.</w:t>
      </w:r>
    </w:p>
    <w:p w:rsidR="00480084" w:rsidRDefault="00480084" w:rsidP="00480084">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154FB8">
        <w:rPr>
          <w:rFonts w:ascii="Palatino Linotype" w:hAnsi="Palatino Linotype" w:cs="Arial"/>
          <w:sz w:val="24"/>
          <w:szCs w:val="24"/>
        </w:rPr>
        <w:t xml:space="preserve">por </w:t>
      </w:r>
      <w:r w:rsidR="00154FB8" w:rsidRPr="00513534">
        <w:rPr>
          <w:rFonts w:ascii="Palatino Linotype" w:hAnsi="Palatino Linotype" w:cs="Arial"/>
          <w:b/>
          <w:sz w:val="24"/>
          <w:szCs w:val="24"/>
        </w:rPr>
        <w:t>El Sujeto O</w:t>
      </w:r>
      <w:r w:rsidRPr="00513534">
        <w:rPr>
          <w:rFonts w:ascii="Palatino Linotype" w:hAnsi="Palatino Linotype" w:cs="Arial"/>
          <w:b/>
          <w:sz w:val="24"/>
          <w:szCs w:val="24"/>
        </w:rPr>
        <w:t>bligado</w:t>
      </w:r>
      <w:r w:rsidRPr="00441A94">
        <w:rPr>
          <w:rFonts w:ascii="Palatino Linotype" w:hAnsi="Palatino Linotype" w:cs="Arial"/>
          <w:sz w:val="24"/>
          <w:szCs w:val="24"/>
        </w:rPr>
        <w:t xml:space="preserve">, </w:t>
      </w:r>
      <w:r>
        <w:rPr>
          <w:rFonts w:ascii="Palatino Linotype" w:hAnsi="Palatino Linotype" w:cs="Arial"/>
          <w:b/>
          <w:sz w:val="24"/>
          <w:szCs w:val="24"/>
        </w:rPr>
        <w:t>El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654F49">
        <w:rPr>
          <w:rFonts w:ascii="Palatino Linotype" w:hAnsi="Palatino Linotype" w:cs="Arial"/>
          <w:sz w:val="24"/>
          <w:szCs w:val="24"/>
        </w:rPr>
        <w:t>veintiocho</w:t>
      </w:r>
      <w:r w:rsidR="00BA5735">
        <w:rPr>
          <w:rFonts w:ascii="Palatino Linotype" w:hAnsi="Palatino Linotype" w:cs="Arial"/>
          <w:sz w:val="24"/>
          <w:szCs w:val="24"/>
        </w:rPr>
        <w:t xml:space="preserve"> de mayo</w:t>
      </w:r>
      <w:r w:rsidR="00530A89">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54F49" w:rsidRPr="00654F49">
        <w:rPr>
          <w:rFonts w:ascii="Palatino Linotype" w:hAnsi="Palatino Linotype" w:cs="Arial"/>
          <w:b/>
          <w:bCs/>
          <w:sz w:val="24"/>
          <w:szCs w:val="24"/>
          <w:lang w:eastAsia="es-MX"/>
        </w:rPr>
        <w:t>04870/INFOEM/IP/RR/2019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912B4" w:rsidRDefault="00480084" w:rsidP="00E912B4">
      <w:pPr>
        <w:spacing w:before="240" w:after="240"/>
        <w:jc w:val="both"/>
        <w:rPr>
          <w:rFonts w:ascii="Palatino Linotype" w:hAnsi="Palatino Linotype" w:cs="Arial"/>
          <w:b/>
          <w:sz w:val="24"/>
        </w:rPr>
      </w:pPr>
      <w:r>
        <w:rPr>
          <w:rFonts w:ascii="Palatino Linotype" w:hAnsi="Palatino Linotype" w:cs="Arial"/>
          <w:b/>
          <w:sz w:val="24"/>
        </w:rPr>
        <w:t>Acto Impugnado:</w:t>
      </w:r>
    </w:p>
    <w:p w:rsidR="00480084" w:rsidRPr="00B15A94" w:rsidRDefault="00480084" w:rsidP="00E912B4">
      <w:pPr>
        <w:spacing w:before="240" w:after="240"/>
        <w:ind w:left="851" w:right="850"/>
        <w:jc w:val="both"/>
        <w:rPr>
          <w:rFonts w:ascii="Palatino Linotype" w:hAnsi="Palatino Linotype" w:cs="Arial"/>
          <w:i/>
        </w:rPr>
      </w:pPr>
      <w:r w:rsidRPr="00B15A94">
        <w:rPr>
          <w:rFonts w:ascii="Palatino Linotype" w:hAnsi="Palatino Linotype" w:cs="Arial"/>
          <w:i/>
        </w:rPr>
        <w:t>“</w:t>
      </w:r>
      <w:r w:rsidR="00654F49" w:rsidRPr="00654F49">
        <w:rPr>
          <w:rFonts w:ascii="Palatino Linotype" w:hAnsi="Palatino Linotype" w:cs="Arial"/>
          <w:i/>
        </w:rPr>
        <w:t>La incompleta, oscura e imprecisa respuesta dada por el sujeto obligado.</w:t>
      </w:r>
      <w:r w:rsidRPr="00B15A94">
        <w:rPr>
          <w:rFonts w:ascii="Palatino Linotype" w:hAnsi="Palatino Linotype" w:cs="Arial"/>
          <w:i/>
        </w:rPr>
        <w:t>"[sic]</w:t>
      </w:r>
    </w:p>
    <w:p w:rsidR="00480084" w:rsidRDefault="00480084" w:rsidP="00E912B4">
      <w:pPr>
        <w:spacing w:before="240" w:after="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480084" w:rsidRPr="004469D5" w:rsidRDefault="00480084" w:rsidP="00E912B4">
      <w:pPr>
        <w:spacing w:before="240" w:after="240"/>
        <w:ind w:left="851" w:right="850"/>
        <w:jc w:val="both"/>
        <w:rPr>
          <w:rFonts w:ascii="Palatino Linotype" w:hAnsi="Palatino Linotype" w:cs="Arial"/>
          <w:i/>
        </w:rPr>
      </w:pPr>
      <w:r w:rsidRPr="004469D5">
        <w:rPr>
          <w:rFonts w:ascii="Palatino Linotype" w:hAnsi="Palatino Linotype" w:cs="Arial"/>
          <w:i/>
        </w:rPr>
        <w:lastRenderedPageBreak/>
        <w:t>“</w:t>
      </w:r>
      <w:r w:rsidR="00654F49" w:rsidRPr="00654F49">
        <w:rPr>
          <w:rFonts w:ascii="Palatino Linotype" w:hAnsi="Palatino Linotype" w:cs="Arial"/>
          <w:i/>
        </w:rPr>
        <w:t>Se hacen valer en el documento anexo.</w:t>
      </w:r>
      <w:r w:rsidRPr="004469D5">
        <w:rPr>
          <w:rFonts w:ascii="Palatino Linotype" w:hAnsi="Palatino Linotype" w:cs="Arial"/>
          <w:i/>
        </w:rPr>
        <w:t>” [sic]</w:t>
      </w:r>
    </w:p>
    <w:p w:rsidR="00654F49" w:rsidRDefault="00654F49" w:rsidP="00480084">
      <w:pPr>
        <w:spacing w:before="240" w:line="360" w:lineRule="auto"/>
        <w:jc w:val="both"/>
        <w:rPr>
          <w:rFonts w:ascii="Palatino Linotype" w:hAnsi="Palatino Linotype" w:cs="Arial"/>
          <w:sz w:val="24"/>
          <w:szCs w:val="24"/>
        </w:rPr>
      </w:pPr>
    </w:p>
    <w:p w:rsidR="00480084" w:rsidRDefault="00654F49"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Adjuntando para tal efecto el archivo electrónico denominado “</w:t>
      </w:r>
      <w:r w:rsidRPr="00654F49">
        <w:rPr>
          <w:rFonts w:ascii="Palatino Linotype" w:hAnsi="Palatino Linotype" w:cs="Arial"/>
          <w:sz w:val="24"/>
          <w:szCs w:val="24"/>
        </w:rPr>
        <w:t>232 Inconformidad.pdf</w:t>
      </w:r>
      <w:r>
        <w:rPr>
          <w:rFonts w:ascii="Palatino Linotype" w:hAnsi="Palatino Linotype" w:cs="Arial"/>
          <w:sz w:val="24"/>
          <w:szCs w:val="24"/>
        </w:rPr>
        <w:t xml:space="preserve">” mismo que contiene los archivos entregados en respuesta por el Sujeto Obligado, así como las razones o motivos de inconformidad siguientes: </w:t>
      </w:r>
    </w:p>
    <w:p w:rsidR="00654F49" w:rsidRPr="00B15A94" w:rsidRDefault="00654F49" w:rsidP="0072315C">
      <w:pPr>
        <w:spacing w:before="240" w:after="240"/>
        <w:ind w:left="851" w:right="850"/>
        <w:jc w:val="both"/>
        <w:rPr>
          <w:rFonts w:ascii="Palatino Linotype" w:hAnsi="Palatino Linotype" w:cs="Arial"/>
          <w:i/>
        </w:rPr>
      </w:pPr>
      <w:r w:rsidRPr="00B15A94">
        <w:rPr>
          <w:rFonts w:ascii="Palatino Linotype" w:hAnsi="Palatino Linotype" w:cs="Arial"/>
          <w:i/>
        </w:rPr>
        <w:t>“</w:t>
      </w:r>
      <w:r w:rsidRPr="00654F49">
        <w:rPr>
          <w:rFonts w:ascii="Palatino Linotype" w:hAnsi="Palatino Linotype" w:cs="Arial"/>
          <w:i/>
        </w:rPr>
        <w:t>En este sentido, la respuesta dada por el sujeto obligado me causa agravio en virtud de únicamente hace de mi conocimiento cierto documento que pretende justificar por qué las autoridades municipales adquirieron y colocaron banderas correspondientes a diferentes países en las cornisas de la estructura metálica de la Plaza González Arratia, ello en virtud de que el Director de Alumbrado Público y Mantenimiento de Espacios Públicos no es la instancia encargada de los asuntos culturales ni internacionales del municipio de Toluca. Además de lo anterior, la respuesta dada por el sujeto obligado me causa agravio, en virtud de que NUEVAMENTE, el C. Director de Recursos Materiales informa que “…dicho procedimiento adquisitivo continúa en proceso de integración”, sin aportar mayores elementos que abonen a la transparencia y rendición de cuentas por la adquisición y colocación de banderas, es decir, omitió de forma deliberada la documentación relativa al proceso de adquisición de las citadas banderas. Manifiesto al comisionado ponente que se trata de un actuar irregular del sujeto obligado en la atención de la solicitud de acceso a la información con número de folio 00232/TOLUCA/IP/2019, cuya intención es engañar al solicitante, entregándole información que no atiende, no satisface y no corresponde la expectativa prevista en el ejercicio del derecho constitucional a saber que todo ciudadano tiene, sin mentiras y sin engaños por parte de las autoridades o administradores. Por lo expuesto, solicito al INFOEM: ÚNICO.- Revocar la respuesta dada por el sujeto obligado, ordenándole en consecuencia entregar elementos que abonen a la transparencia y rendición de cuentas, privilegiando el principio de máxima publicidad, entregando para tales efectos la documentación relativa al proceso de adquisición de las banderas a que se refiere la solicitud de acceso a la información pública con número de folio 00232/TOLUCA/IP/2019.</w:t>
      </w:r>
      <w:r w:rsidRPr="00B15A94">
        <w:rPr>
          <w:rFonts w:ascii="Palatino Linotype" w:hAnsi="Palatino Linotype" w:cs="Arial"/>
          <w:i/>
        </w:rPr>
        <w:t>"[sic]</w:t>
      </w:r>
    </w:p>
    <w:p w:rsidR="00654F49" w:rsidRDefault="00654F49" w:rsidP="00480084">
      <w:pPr>
        <w:spacing w:before="240" w:line="360" w:lineRule="auto"/>
        <w:jc w:val="both"/>
        <w:rPr>
          <w:rFonts w:ascii="Palatino Linotype" w:hAnsi="Palatino Linotype" w:cs="Arial"/>
          <w:sz w:val="24"/>
          <w:szCs w:val="24"/>
        </w:rPr>
      </w:pPr>
    </w:p>
    <w:p w:rsidR="00654F49" w:rsidRDefault="00654F49" w:rsidP="00480084">
      <w:pPr>
        <w:spacing w:before="240" w:line="360" w:lineRule="auto"/>
        <w:jc w:val="both"/>
        <w:rPr>
          <w:rFonts w:ascii="Palatino Linotype" w:hAnsi="Palatino Linotype"/>
          <w:color w:val="000000"/>
          <w:sz w:val="24"/>
          <w:szCs w:val="24"/>
        </w:rPr>
      </w:pPr>
    </w:p>
    <w:p w:rsidR="00480084" w:rsidRDefault="009E65FE" w:rsidP="0048008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480084" w:rsidRPr="008551ED">
        <w:rPr>
          <w:rFonts w:ascii="Palatino Linotype" w:hAnsi="Palatino Linotype" w:cs="Arial"/>
          <w:b/>
          <w:sz w:val="24"/>
          <w:szCs w:val="24"/>
        </w:rPr>
        <w:t xml:space="preserve">. </w:t>
      </w:r>
      <w:r w:rsidR="00480084" w:rsidRPr="0087163A">
        <w:rPr>
          <w:rFonts w:ascii="Palatino Linotype" w:hAnsi="Palatino Linotype" w:cs="Arial"/>
          <w:b/>
          <w:sz w:val="28"/>
          <w:szCs w:val="28"/>
        </w:rPr>
        <w:t>Del turno del recurso de revisión.</w:t>
      </w:r>
    </w:p>
    <w:p w:rsidR="00480084" w:rsidRDefault="00480084" w:rsidP="0048008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Presidenta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9E65FE">
        <w:rPr>
          <w:rFonts w:ascii="Palatino Linotype" w:hAnsi="Palatino Linotype" w:cs="Arial"/>
          <w:sz w:val="24"/>
          <w:szCs w:val="24"/>
        </w:rPr>
        <w:t>tres de junio</w:t>
      </w:r>
      <w:r w:rsidR="00371743">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A715C3" w:rsidRDefault="00A715C3" w:rsidP="00480084">
      <w:pPr>
        <w:spacing w:before="240" w:line="360" w:lineRule="auto"/>
        <w:jc w:val="both"/>
        <w:rPr>
          <w:rFonts w:ascii="Palatino Linotype" w:hAnsi="Palatino Linotype" w:cs="Arial"/>
          <w:sz w:val="24"/>
          <w:szCs w:val="24"/>
        </w:rPr>
      </w:pPr>
    </w:p>
    <w:p w:rsidR="00480084" w:rsidRDefault="009E65FE" w:rsidP="00480084">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480084" w:rsidRPr="008551ED">
        <w:rPr>
          <w:rFonts w:ascii="Palatino Linotype" w:hAnsi="Palatino Linotype" w:cs="Arial"/>
          <w:b/>
          <w:sz w:val="24"/>
          <w:szCs w:val="24"/>
        </w:rPr>
        <w:t>.</w:t>
      </w:r>
      <w:r w:rsidR="00480084">
        <w:rPr>
          <w:rFonts w:ascii="Palatino Linotype" w:hAnsi="Palatino Linotype" w:cs="Arial"/>
          <w:b/>
          <w:sz w:val="24"/>
          <w:szCs w:val="24"/>
        </w:rPr>
        <w:t xml:space="preserve"> </w:t>
      </w:r>
      <w:r w:rsidR="00480084" w:rsidRPr="0087163A">
        <w:rPr>
          <w:rFonts w:ascii="Palatino Linotype" w:hAnsi="Palatino Linotype" w:cs="Arial"/>
          <w:b/>
          <w:sz w:val="28"/>
          <w:szCs w:val="28"/>
        </w:rPr>
        <w:t>De la etapa de instrucción.</w:t>
      </w:r>
    </w:p>
    <w:p w:rsidR="009E65FE" w:rsidRDefault="009E65FE" w:rsidP="009E65F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Pr>
          <w:rFonts w:ascii="Palatino Linotype" w:hAnsi="Palatino Linotype" w:cs="Arial"/>
          <w:b/>
          <w:sz w:val="24"/>
          <w:szCs w:val="24"/>
        </w:rPr>
        <w:t>E</w:t>
      </w:r>
      <w:r w:rsidRPr="007E2D30">
        <w:rPr>
          <w:rFonts w:ascii="Palatino Linotype" w:hAnsi="Palatino Linotype" w:cs="Arial"/>
          <w:b/>
          <w:sz w:val="24"/>
          <w:szCs w:val="24"/>
        </w:rPr>
        <w:t xml:space="preserve">l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Pr>
          <w:rFonts w:ascii="Palatino Linotype" w:hAnsi="Palatino Linotype" w:cs="Arial"/>
          <w:b/>
          <w:sz w:val="24"/>
          <w:szCs w:val="24"/>
        </w:rPr>
        <w:t>E</w:t>
      </w:r>
      <w:r w:rsidRPr="007E2D30">
        <w:rPr>
          <w:rFonts w:ascii="Palatino Linotype" w:hAnsi="Palatino Linotype" w:cs="Arial"/>
          <w:b/>
          <w:sz w:val="24"/>
          <w:szCs w:val="24"/>
        </w:rPr>
        <w:t>l</w:t>
      </w:r>
      <w:r>
        <w:rPr>
          <w:rFonts w:ascii="Palatino Linotype" w:hAnsi="Palatino Linotype" w:cs="Arial"/>
          <w:b/>
          <w:sz w:val="24"/>
          <w:szCs w:val="24"/>
        </w:rPr>
        <w:t xml:space="preserve"> 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rsidR="009E65FE" w:rsidRDefault="009E65FE" w:rsidP="009E65FE">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1312" behindDoc="0" locked="0" layoutInCell="1" allowOverlap="1" wp14:anchorId="3407CE12" wp14:editId="2A796AFF">
                <wp:simplePos x="0" y="0"/>
                <wp:positionH relativeFrom="column">
                  <wp:posOffset>1601647</wp:posOffset>
                </wp:positionH>
                <wp:positionV relativeFrom="paragraph">
                  <wp:posOffset>210007</wp:posOffset>
                </wp:positionV>
                <wp:extent cx="1034339" cy="297180"/>
                <wp:effectExtent l="19050" t="19050" r="13970" b="26670"/>
                <wp:wrapNone/>
                <wp:docPr id="3" name="Rectángulo 3"/>
                <wp:cNvGraphicFramePr/>
                <a:graphic xmlns:a="http://schemas.openxmlformats.org/drawingml/2006/main">
                  <a:graphicData uri="http://schemas.microsoft.com/office/word/2010/wordprocessingShape">
                    <wps:wsp>
                      <wps:cNvSpPr/>
                      <wps:spPr>
                        <a:xfrm>
                          <a:off x="0" y="0"/>
                          <a:ext cx="1034339" cy="2971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C019D8" id="Rectángulo 3" o:spid="_x0000_s1026" style="position:absolute;margin-left:126.1pt;margin-top:16.55pt;width:81.45pt;height:23.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" filled="f" strokecolor="#c00000" strokeweight="2.25pt"/>
            </w:pict>
          </mc:Fallback>
        </mc:AlternateContent>
      </w:r>
      <w:r w:rsidRPr="009E65FE">
        <w:rPr>
          <w:rFonts w:ascii="Palatino Linotype" w:hAnsi="Palatino Linotype" w:cs="Arial"/>
          <w:noProof/>
          <w:sz w:val="24"/>
          <w:szCs w:val="24"/>
          <w:lang w:eastAsia="es-MX"/>
        </w:rPr>
        <w:drawing>
          <wp:inline distT="0" distB="0" distL="0" distR="0" wp14:anchorId="5C3DCF59" wp14:editId="5D7C160F">
            <wp:extent cx="5575012" cy="1557833"/>
            <wp:effectExtent l="190500" t="190500" r="197485" b="1949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4733" cy="1568932"/>
                    </a:xfrm>
                    <a:prstGeom prst="rect">
                      <a:avLst/>
                    </a:prstGeom>
                    <a:noFill/>
                    <a:ln>
                      <a:noFill/>
                    </a:ln>
                    <a:effectLst>
                      <a:outerShdw blurRad="190500" algn="ctr" rotWithShape="0">
                        <a:prstClr val="black">
                          <a:alpha val="70000"/>
                        </a:prstClr>
                      </a:outerShdw>
                    </a:effectLst>
                  </pic:spPr>
                </pic:pic>
              </a:graphicData>
            </a:graphic>
          </wp:inline>
        </w:drawing>
      </w:r>
    </w:p>
    <w:p w:rsidR="009E65FE" w:rsidRDefault="009E65FE" w:rsidP="009E65FE">
      <w:pPr>
        <w:spacing w:after="0" w:line="240" w:lineRule="auto"/>
        <w:jc w:val="both"/>
        <w:rPr>
          <w:rFonts w:ascii="Palatino Linotype" w:hAnsi="Palatino Linotype" w:cs="Arial"/>
          <w:sz w:val="24"/>
          <w:szCs w:val="24"/>
        </w:rPr>
      </w:pPr>
    </w:p>
    <w:p w:rsidR="009E65FE" w:rsidRDefault="009E65FE" w:rsidP="009E65FE">
      <w:pPr>
        <w:spacing w:after="0" w:line="360" w:lineRule="auto"/>
        <w:jc w:val="both"/>
        <w:rPr>
          <w:rFonts w:ascii="Palatino Linotype" w:hAnsi="Palatino Linotype"/>
          <w:sz w:val="24"/>
          <w:szCs w:val="24"/>
        </w:rPr>
      </w:pPr>
      <w:r w:rsidRPr="0053687A">
        <w:rPr>
          <w:rFonts w:ascii="Palatino Linotype" w:hAnsi="Palatino Linotype"/>
          <w:sz w:val="24"/>
          <w:szCs w:val="24"/>
        </w:rPr>
        <w:lastRenderedPageBreak/>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t xml:space="preserve">se decretó el cierre de instrucción con fecha </w:t>
      </w:r>
      <w:r w:rsidR="00D82453">
        <w:rPr>
          <w:rFonts w:ascii="Palatino Linotype" w:hAnsi="Palatino Linotype"/>
          <w:sz w:val="24"/>
          <w:szCs w:val="24"/>
        </w:rPr>
        <w:t>diecisiete de junio</w:t>
      </w:r>
      <w:r>
        <w:rPr>
          <w:rFonts w:ascii="Palatino Linotype" w:hAnsi="Palatino Linotype"/>
          <w:sz w:val="24"/>
          <w:szCs w:val="24"/>
        </w:rPr>
        <w:t xml:space="preserve"> de dos mil diecinueve</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sz w:val="24"/>
          <w:szCs w:val="24"/>
        </w:rPr>
        <w:t>olución que en derecho proceda.</w:t>
      </w:r>
    </w:p>
    <w:p w:rsidR="001406C8" w:rsidRDefault="001406C8" w:rsidP="00480084">
      <w:pPr>
        <w:spacing w:before="240" w:line="360" w:lineRule="auto"/>
        <w:jc w:val="both"/>
        <w:rPr>
          <w:rFonts w:ascii="Palatino Linotype" w:hAnsi="Palatino Linotype" w:cs="Arial"/>
          <w:sz w:val="24"/>
          <w:szCs w:val="24"/>
        </w:rPr>
      </w:pPr>
    </w:p>
    <w:p w:rsidR="00DF30C3" w:rsidRPr="00DF30C3" w:rsidRDefault="00DF30C3" w:rsidP="00DF30C3">
      <w:pPr>
        <w:spacing w:after="0" w:line="360" w:lineRule="auto"/>
        <w:jc w:val="both"/>
        <w:rPr>
          <w:rFonts w:ascii="Palatino Linotype" w:eastAsia="Calibri" w:hAnsi="Palatino Linotype" w:cs="Arial"/>
          <w:sz w:val="28"/>
          <w:szCs w:val="28"/>
        </w:rPr>
      </w:pPr>
      <w:r w:rsidRPr="00DF30C3">
        <w:rPr>
          <w:rFonts w:ascii="Palatino Linotype" w:eastAsia="Calibri" w:hAnsi="Palatino Linotype" w:cs="Times New Roman"/>
          <w:b/>
          <w:sz w:val="28"/>
          <w:szCs w:val="28"/>
        </w:rPr>
        <w:t>SÉPTIMO. De la ampliación del término para resolver.</w:t>
      </w:r>
    </w:p>
    <w:p w:rsidR="00DF30C3" w:rsidRDefault="00DF30C3" w:rsidP="00DF30C3">
      <w:pPr>
        <w:spacing w:after="0" w:line="360" w:lineRule="auto"/>
        <w:jc w:val="both"/>
        <w:rPr>
          <w:rFonts w:ascii="Palatino Linotype" w:hAnsi="Palatino Linotype" w:cs="Arial"/>
          <w:sz w:val="24"/>
          <w:szCs w:val="24"/>
        </w:rPr>
      </w:pPr>
      <w:r w:rsidRPr="00DF30C3">
        <w:rPr>
          <w:rFonts w:ascii="Palatino Linotype" w:eastAsia="Calibri" w:hAnsi="Palatino Linotype" w:cs="Arial"/>
          <w:sz w:val="24"/>
          <w:szCs w:val="24"/>
        </w:rPr>
        <w:t xml:space="preserve">En fecha </w:t>
      </w:r>
      <w:r w:rsidR="00D82453">
        <w:rPr>
          <w:rFonts w:ascii="Palatino Linotype" w:eastAsia="Calibri" w:hAnsi="Palatino Linotype" w:cs="Arial"/>
          <w:sz w:val="24"/>
          <w:szCs w:val="24"/>
        </w:rPr>
        <w:t>veintinueve</w:t>
      </w:r>
      <w:r w:rsidR="003C3B23">
        <w:rPr>
          <w:rFonts w:ascii="Palatino Linotype" w:eastAsia="Calibri" w:hAnsi="Palatino Linotype" w:cs="Arial"/>
          <w:sz w:val="24"/>
          <w:szCs w:val="24"/>
        </w:rPr>
        <w:t xml:space="preserve"> de julio</w:t>
      </w:r>
      <w:r>
        <w:rPr>
          <w:rFonts w:ascii="Palatino Linotype" w:eastAsia="Calibri" w:hAnsi="Palatino Linotype" w:cs="Arial"/>
          <w:sz w:val="24"/>
          <w:szCs w:val="24"/>
        </w:rPr>
        <w:t xml:space="preserve"> de dos mil diecinueve</w:t>
      </w:r>
      <w:r w:rsidRPr="00DF30C3">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rsidR="00DF30C3" w:rsidRDefault="00DF30C3" w:rsidP="00480084">
      <w:pPr>
        <w:spacing w:before="240" w:line="360" w:lineRule="auto"/>
        <w:jc w:val="both"/>
        <w:rPr>
          <w:rFonts w:ascii="Palatino Linotype" w:hAnsi="Palatino Linotype" w:cs="Arial"/>
          <w:sz w:val="24"/>
          <w:szCs w:val="24"/>
        </w:rPr>
      </w:pPr>
    </w:p>
    <w:p w:rsidR="00B95CD4" w:rsidRDefault="00B95CD4" w:rsidP="00480084">
      <w:pPr>
        <w:spacing w:before="240" w:line="360" w:lineRule="auto"/>
        <w:jc w:val="both"/>
        <w:rPr>
          <w:rFonts w:ascii="Palatino Linotype" w:hAnsi="Palatino Linotype" w:cs="Arial"/>
          <w:sz w:val="24"/>
          <w:szCs w:val="24"/>
        </w:rPr>
      </w:pPr>
    </w:p>
    <w:p w:rsidR="00480084" w:rsidRPr="00552DB8" w:rsidRDefault="00480084" w:rsidP="00480084">
      <w:pPr>
        <w:spacing w:before="240" w:line="360" w:lineRule="auto"/>
        <w:jc w:val="center"/>
        <w:rPr>
          <w:rFonts w:ascii="Palatino Linotype" w:hAnsi="Palatino Linotype" w:cs="Arial"/>
          <w:b/>
          <w:sz w:val="28"/>
          <w:szCs w:val="28"/>
        </w:rPr>
      </w:pPr>
      <w:r w:rsidRPr="00552DB8">
        <w:rPr>
          <w:rFonts w:ascii="Palatino Linotype" w:hAnsi="Palatino Linotype" w:cs="Arial"/>
          <w:b/>
          <w:sz w:val="28"/>
          <w:szCs w:val="28"/>
        </w:rPr>
        <w:t xml:space="preserve">C O N S I D E R A N D O </w:t>
      </w:r>
    </w:p>
    <w:p w:rsidR="00480084" w:rsidRPr="00911081"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480084" w:rsidRDefault="00480084" w:rsidP="00480084">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w:t>
      </w:r>
      <w:r w:rsidRPr="00025A37">
        <w:rPr>
          <w:rFonts w:ascii="Palatino Linotype" w:hAnsi="Palatino Linotype" w:cs="Arial"/>
          <w:sz w:val="24"/>
        </w:rPr>
        <w:lastRenderedPageBreak/>
        <w:t xml:space="preserve">artículos 6, apartado A, fracción IV de la Constitución Política de los Estados Unidos Mexicanos, 5, párrafos </w:t>
      </w:r>
      <w:r>
        <w:rPr>
          <w:rFonts w:ascii="Palatino Linotype" w:hAnsi="Palatino Linotype" w:cs="Arial"/>
          <w:sz w:val="24"/>
        </w:rPr>
        <w:t>vigésimo</w:t>
      </w:r>
      <w:r w:rsidR="005C094F">
        <w:rPr>
          <w:rFonts w:ascii="Palatino Linotype" w:hAnsi="Palatino Linotype" w:cs="Arial"/>
          <w:sz w:val="24"/>
        </w:rPr>
        <w:t xml:space="preserve"> segundo</w:t>
      </w:r>
      <w:r>
        <w:rPr>
          <w:rFonts w:ascii="Palatino Linotype" w:hAnsi="Palatino Linotype" w:cs="Arial"/>
          <w:sz w:val="24"/>
        </w:rPr>
        <w:t xml:space="preserve">, vigésimo </w:t>
      </w:r>
      <w:r w:rsidR="005C094F">
        <w:rPr>
          <w:rFonts w:ascii="Palatino Linotype" w:hAnsi="Palatino Linotype" w:cs="Arial"/>
          <w:sz w:val="24"/>
        </w:rPr>
        <w:t>tercero</w:t>
      </w:r>
      <w:r>
        <w:rPr>
          <w:rFonts w:ascii="Palatino Linotype" w:hAnsi="Palatino Linotype" w:cs="Arial"/>
          <w:sz w:val="24"/>
        </w:rPr>
        <w:t xml:space="preserve"> y vigésimo </w:t>
      </w:r>
      <w:r w:rsidR="005C094F">
        <w:rPr>
          <w:rFonts w:ascii="Palatino Linotype" w:hAnsi="Palatino Linotype" w:cs="Arial"/>
          <w:sz w:val="24"/>
        </w:rPr>
        <w:t>cuarto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480084" w:rsidRDefault="00480084" w:rsidP="00480084">
      <w:pPr>
        <w:spacing w:before="240" w:line="360" w:lineRule="auto"/>
        <w:jc w:val="both"/>
        <w:rPr>
          <w:rFonts w:ascii="Palatino Linotype" w:hAnsi="Palatino Linotype" w:cs="Arial"/>
          <w:sz w:val="24"/>
        </w:rPr>
      </w:pP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AA45BA" w:rsidRPr="001F2E04" w:rsidRDefault="00480084" w:rsidP="0000481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Default="00004810" w:rsidP="00480084">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00480084" w:rsidRPr="00D24A52">
        <w:rPr>
          <w:rFonts w:ascii="Palatino Linotype" w:hAnsi="Palatino Linotype" w:cs="Arial"/>
          <w:b/>
        </w:rPr>
        <w:t xml:space="preserve">. </w:t>
      </w:r>
      <w:r w:rsidR="00480084" w:rsidRPr="0087163A">
        <w:rPr>
          <w:rFonts w:ascii="Palatino Linotype" w:hAnsi="Palatino Linotype" w:cs="Arial"/>
          <w:b/>
          <w:sz w:val="28"/>
          <w:szCs w:val="28"/>
        </w:rPr>
        <w:t>De las causas de improcedencia.</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A94477">
        <w:rPr>
          <w:rFonts w:ascii="Palatino Linotype" w:hAnsi="Palatino Linotype" w:cs="Arial"/>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xml:space="preserve">, la cual permite </w:t>
      </w:r>
      <w:r>
        <w:rPr>
          <w:rFonts w:ascii="Palatino Linotype" w:hAnsi="Palatino Linotype" w:cs="Arial"/>
        </w:rPr>
        <w:lastRenderedPageBreak/>
        <w:t>dilucidar alguna causal que impida el estudio y resolución, cuando una vez admitido el recurso de revisión se advierta una causa de improcedencia que permita sobreseerlo, sin estudiar el fondo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480084" w:rsidRDefault="00480084" w:rsidP="00480084">
      <w:pPr>
        <w:pStyle w:val="Prrafodelista"/>
        <w:autoSpaceDE w:val="0"/>
        <w:autoSpaceDN w:val="0"/>
        <w:adjustRightInd w:val="0"/>
        <w:spacing w:before="240" w:after="160" w:line="360" w:lineRule="auto"/>
        <w:ind w:left="0"/>
        <w:jc w:val="both"/>
        <w:rPr>
          <w:rFonts w:ascii="Palatino Linotype" w:hAnsi="Palatino Linotype" w:cs="Arial"/>
        </w:rPr>
      </w:pPr>
    </w:p>
    <w:p w:rsidR="00480084" w:rsidRPr="008C3CD8" w:rsidRDefault="00004810" w:rsidP="00480084">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480084" w:rsidRPr="008C3CD8">
        <w:rPr>
          <w:rFonts w:ascii="Palatino Linotype" w:hAnsi="Palatino Linotype" w:cs="Arial"/>
          <w:b/>
          <w:sz w:val="28"/>
          <w:szCs w:val="28"/>
        </w:rPr>
        <w:t>.</w:t>
      </w:r>
      <w:r w:rsidR="00480084" w:rsidRPr="008C3CD8">
        <w:rPr>
          <w:rFonts w:ascii="Palatino Linotype" w:hAnsi="Palatino Linotype" w:cs="Arial"/>
          <w:sz w:val="28"/>
          <w:szCs w:val="28"/>
        </w:rPr>
        <w:t xml:space="preserve"> </w:t>
      </w:r>
      <w:r w:rsidR="00480084" w:rsidRPr="008C3CD8">
        <w:rPr>
          <w:rFonts w:ascii="Palatino Linotype" w:hAnsi="Palatino Linotype" w:cs="Arial"/>
          <w:b/>
          <w:sz w:val="28"/>
          <w:szCs w:val="28"/>
        </w:rPr>
        <w:t>Estudio y resolución del asunto.</w:t>
      </w:r>
    </w:p>
    <w:p w:rsidR="00480084" w:rsidRDefault="00480084" w:rsidP="00552DB8">
      <w:pPr>
        <w:pStyle w:val="Prrafodelista"/>
        <w:autoSpaceDE w:val="0"/>
        <w:autoSpaceDN w:val="0"/>
        <w:adjustRightInd w:val="0"/>
        <w:spacing w:line="360" w:lineRule="auto"/>
        <w:ind w:left="0"/>
        <w:jc w:val="both"/>
        <w:rPr>
          <w:rFonts w:ascii="Palatino Linotype" w:hAnsi="Palatino Linotype" w:cs="Arial"/>
        </w:rPr>
      </w:pPr>
      <w:r w:rsidRPr="00B23AF6">
        <w:rPr>
          <w:rFonts w:ascii="Palatino Linotype" w:hAnsi="Palatino Linotype" w:cs="Aria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927E5" w:rsidRDefault="003927E5" w:rsidP="00552DB8">
      <w:pPr>
        <w:pStyle w:val="Prrafodelista"/>
        <w:autoSpaceDE w:val="0"/>
        <w:autoSpaceDN w:val="0"/>
        <w:adjustRightInd w:val="0"/>
        <w:spacing w:line="360" w:lineRule="auto"/>
        <w:ind w:left="0"/>
        <w:jc w:val="both"/>
        <w:rPr>
          <w:rFonts w:ascii="Palatino Linotype" w:hAnsi="Palatino Linotype" w:cs="Arial"/>
        </w:rPr>
      </w:pPr>
    </w:p>
    <w:p w:rsidR="003927E5" w:rsidRDefault="008306CB" w:rsidP="003516C4">
      <w:pPr>
        <w:pStyle w:val="Prrafodelista"/>
        <w:autoSpaceDE w:val="0"/>
        <w:autoSpaceDN w:val="0"/>
        <w:adjustRightInd w:val="0"/>
        <w:spacing w:after="240" w:line="360" w:lineRule="auto"/>
        <w:ind w:left="0"/>
        <w:jc w:val="both"/>
        <w:rPr>
          <w:rFonts w:ascii="Palatino Linotype" w:hAnsi="Palatino Linotype" w:cs="Arial"/>
        </w:rPr>
      </w:pPr>
      <w:r w:rsidRPr="008306CB">
        <w:rPr>
          <w:rFonts w:ascii="Palatino Linotype" w:hAnsi="Palatino Linotype" w:cs="Arial"/>
        </w:rPr>
        <w:lastRenderedPageBreak/>
        <w:t>Como se enunció en los antecedentes de la presente resolución</w:t>
      </w:r>
      <w:r>
        <w:rPr>
          <w:rFonts w:ascii="Palatino Linotype" w:hAnsi="Palatino Linotype" w:cs="Arial"/>
        </w:rPr>
        <w:t xml:space="preserve">, </w:t>
      </w:r>
      <w:r w:rsidR="003927E5" w:rsidRPr="003927E5">
        <w:rPr>
          <w:rFonts w:ascii="Palatino Linotype" w:hAnsi="Palatino Linotype" w:cs="Arial"/>
        </w:rPr>
        <w:t xml:space="preserve">en fecha </w:t>
      </w:r>
      <w:r w:rsidR="00765429">
        <w:rPr>
          <w:rFonts w:ascii="Palatino Linotype" w:hAnsi="Palatino Linotype" w:cs="Arial"/>
        </w:rPr>
        <w:t>veintisiete de marzo</w:t>
      </w:r>
      <w:r w:rsidR="00934715">
        <w:rPr>
          <w:rFonts w:ascii="Palatino Linotype" w:hAnsi="Palatino Linotype" w:cs="Arial"/>
        </w:rPr>
        <w:t xml:space="preserve"> de dos mil diecinueve</w:t>
      </w:r>
      <w:r w:rsidR="003927E5">
        <w:rPr>
          <w:rFonts w:ascii="Palatino Linotype" w:hAnsi="Palatino Linotype" w:cs="Arial"/>
        </w:rPr>
        <w:t xml:space="preserve">, </w:t>
      </w:r>
      <w:r w:rsidR="003927E5" w:rsidRPr="003927E5">
        <w:rPr>
          <w:rFonts w:ascii="Palatino Linotype" w:hAnsi="Palatino Linotype" w:cs="Arial"/>
          <w:b/>
        </w:rPr>
        <w:t>El Recurrente</w:t>
      </w:r>
      <w:r w:rsidR="003927E5" w:rsidRPr="003927E5">
        <w:rPr>
          <w:rFonts w:ascii="Palatino Linotype" w:hAnsi="Palatino Linotype" w:cs="Arial"/>
        </w:rPr>
        <w:t xml:space="preserve"> realizó la solicit</w:t>
      </w:r>
      <w:r w:rsidR="00A46BB1">
        <w:rPr>
          <w:rFonts w:ascii="Palatino Linotype" w:hAnsi="Palatino Linotype" w:cs="Arial"/>
        </w:rPr>
        <w:t>ud de acceso a la información con número de</w:t>
      </w:r>
      <w:r w:rsidR="003927E5" w:rsidRPr="003927E5">
        <w:rPr>
          <w:rFonts w:ascii="Palatino Linotype" w:hAnsi="Palatino Linotype" w:cs="Arial"/>
        </w:rPr>
        <w:t xml:space="preserve"> folio </w:t>
      </w:r>
      <w:r w:rsidR="00765429" w:rsidRPr="00765429">
        <w:rPr>
          <w:rFonts w:ascii="Palatino Linotype" w:hAnsi="Palatino Linotype" w:cs="Arial"/>
          <w:b/>
        </w:rPr>
        <w:t>00232/TOLUCA/IP/2019</w:t>
      </w:r>
      <w:r w:rsidR="003927E5" w:rsidRPr="003927E5">
        <w:rPr>
          <w:rFonts w:ascii="Palatino Linotype" w:hAnsi="Palatino Linotype" w:cs="Arial"/>
        </w:rPr>
        <w:t>, requiriendo</w:t>
      </w:r>
      <w:r w:rsidR="00765429">
        <w:rPr>
          <w:rFonts w:ascii="Palatino Linotype" w:hAnsi="Palatino Linotype" w:cs="Arial"/>
        </w:rPr>
        <w:t xml:space="preserve"> la documentación relativa a </w:t>
      </w:r>
      <w:r w:rsidR="00765429" w:rsidRPr="00765429">
        <w:rPr>
          <w:rFonts w:ascii="Palatino Linotype" w:hAnsi="Palatino Linotype" w:cs="Arial"/>
        </w:rPr>
        <w:t>colocación de banderas correspondientes a diferentes países en las cornisas de la estructura metálica de la Plaza González Arratia</w:t>
      </w:r>
      <w:r w:rsidR="0057551B">
        <w:rPr>
          <w:rFonts w:ascii="Palatino Linotype" w:hAnsi="Palatino Linotype" w:cs="Arial"/>
        </w:rPr>
        <w:t xml:space="preserve"> </w:t>
      </w:r>
      <w:r w:rsidR="003803C4">
        <w:rPr>
          <w:rFonts w:ascii="Palatino Linotype" w:hAnsi="Palatino Linotype" w:cs="Arial"/>
        </w:rPr>
        <w:t>lo siguiente</w:t>
      </w:r>
      <w:r w:rsidR="00270BB1">
        <w:rPr>
          <w:rFonts w:ascii="Palatino Linotype" w:hAnsi="Palatino Linotype" w:cs="Arial"/>
        </w:rPr>
        <w:t>:</w:t>
      </w:r>
    </w:p>
    <w:p w:rsidR="00270BB1" w:rsidRDefault="00765429"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El proceso de adquisición</w:t>
      </w:r>
      <w:r w:rsidR="004871CB">
        <w:rPr>
          <w:rFonts w:ascii="Palatino Linotype" w:hAnsi="Palatino Linotype" w:cs="Arial"/>
        </w:rPr>
        <w:t>.</w:t>
      </w:r>
    </w:p>
    <w:p w:rsidR="003803C4" w:rsidRDefault="00765429" w:rsidP="00270BB1">
      <w:pPr>
        <w:pStyle w:val="Prrafodelista"/>
        <w:numPr>
          <w:ilvl w:val="0"/>
          <w:numId w:val="18"/>
        </w:numPr>
        <w:autoSpaceDE w:val="0"/>
        <w:autoSpaceDN w:val="0"/>
        <w:adjustRightInd w:val="0"/>
        <w:spacing w:line="360" w:lineRule="auto"/>
        <w:jc w:val="both"/>
        <w:rPr>
          <w:rFonts w:ascii="Palatino Linotype" w:hAnsi="Palatino Linotype" w:cs="Arial"/>
        </w:rPr>
      </w:pPr>
      <w:r>
        <w:rPr>
          <w:rFonts w:ascii="Palatino Linotype" w:hAnsi="Palatino Linotype" w:cs="Arial"/>
        </w:rPr>
        <w:t>L</w:t>
      </w:r>
      <w:r w:rsidRPr="00765429">
        <w:rPr>
          <w:rFonts w:ascii="Palatino Linotype" w:hAnsi="Palatino Linotype" w:cs="Arial"/>
        </w:rPr>
        <w:t>a documentación que justifique la toma de dicha decisión por parte de las autoridades municipales de Toluca</w:t>
      </w:r>
      <w:r w:rsidR="003803C4">
        <w:rPr>
          <w:rFonts w:ascii="Palatino Linotype" w:hAnsi="Palatino Linotype" w:cs="Arial"/>
        </w:rPr>
        <w:t>.</w:t>
      </w:r>
    </w:p>
    <w:p w:rsidR="00765429" w:rsidRDefault="00765429" w:rsidP="00594373">
      <w:pPr>
        <w:spacing w:after="0" w:line="360" w:lineRule="auto"/>
        <w:jc w:val="both"/>
        <w:rPr>
          <w:rFonts w:ascii="Palatino Linotype" w:hAnsi="Palatino Linotype" w:cs="Arial"/>
          <w:sz w:val="24"/>
          <w:szCs w:val="24"/>
        </w:rPr>
      </w:pPr>
    </w:p>
    <w:p w:rsidR="00594373" w:rsidRDefault="00934715" w:rsidP="00594373">
      <w:pPr>
        <w:spacing w:after="0" w:line="360" w:lineRule="auto"/>
        <w:jc w:val="both"/>
        <w:rPr>
          <w:rFonts w:ascii="Palatino Linotype" w:hAnsi="Palatino Linotype" w:cs="Arial"/>
          <w:sz w:val="24"/>
          <w:szCs w:val="24"/>
        </w:rPr>
      </w:pPr>
      <w:r w:rsidRPr="00934715">
        <w:rPr>
          <w:rFonts w:ascii="Palatino Linotype" w:hAnsi="Palatino Linotype" w:cs="Arial"/>
          <w:sz w:val="24"/>
          <w:szCs w:val="24"/>
        </w:rPr>
        <w:t>Atento</w:t>
      </w:r>
      <w:r>
        <w:rPr>
          <w:rFonts w:ascii="Palatino Linotype" w:hAnsi="Palatino Linotype" w:cs="Arial"/>
          <w:sz w:val="24"/>
          <w:szCs w:val="24"/>
        </w:rPr>
        <w:t xml:space="preserve"> a la solicitud de información</w:t>
      </w:r>
      <w:r w:rsidR="00594373">
        <w:rPr>
          <w:rFonts w:ascii="Palatino Linotype" w:hAnsi="Palatino Linotype" w:cs="Arial"/>
          <w:sz w:val="24"/>
          <w:szCs w:val="24"/>
        </w:rPr>
        <w:t xml:space="preserve">, </w:t>
      </w:r>
      <w:r w:rsidR="00594373" w:rsidRPr="004B22DA">
        <w:rPr>
          <w:rFonts w:ascii="Palatino Linotype" w:hAnsi="Palatino Linotype" w:cs="Arial"/>
          <w:b/>
          <w:sz w:val="24"/>
          <w:szCs w:val="24"/>
        </w:rPr>
        <w:t>El</w:t>
      </w:r>
      <w:r w:rsidR="00594373">
        <w:rPr>
          <w:rFonts w:ascii="Palatino Linotype" w:hAnsi="Palatino Linotype" w:cs="Arial"/>
          <w:sz w:val="24"/>
          <w:szCs w:val="24"/>
        </w:rPr>
        <w:t xml:space="preserve"> </w:t>
      </w:r>
      <w:r w:rsidR="00594373">
        <w:rPr>
          <w:rFonts w:ascii="Palatino Linotype" w:hAnsi="Palatino Linotype" w:cs="Arial"/>
          <w:b/>
          <w:sz w:val="24"/>
          <w:szCs w:val="24"/>
        </w:rPr>
        <w:t>Sujeto Obligado</w:t>
      </w:r>
      <w:r w:rsidR="00594373">
        <w:rPr>
          <w:rFonts w:ascii="Palatino Linotype" w:hAnsi="Palatino Linotype" w:cs="Arial"/>
          <w:sz w:val="24"/>
          <w:szCs w:val="24"/>
        </w:rPr>
        <w:t xml:space="preserve"> en fecha </w:t>
      </w:r>
      <w:r w:rsidR="00765429">
        <w:rPr>
          <w:rFonts w:ascii="Palatino Linotype" w:hAnsi="Palatino Linotype" w:cs="Arial"/>
          <w:sz w:val="24"/>
          <w:szCs w:val="24"/>
        </w:rPr>
        <w:t>siete</w:t>
      </w:r>
      <w:r w:rsidR="000C30A3">
        <w:rPr>
          <w:rFonts w:ascii="Palatino Linotype" w:hAnsi="Palatino Linotype" w:cs="Arial"/>
          <w:sz w:val="24"/>
          <w:szCs w:val="24"/>
        </w:rPr>
        <w:t xml:space="preserve"> de mayo de dos mil diecinueve</w:t>
      </w:r>
      <w:r w:rsidR="00594373">
        <w:rPr>
          <w:rFonts w:ascii="Palatino Linotype" w:hAnsi="Palatino Linotype" w:cs="Arial"/>
          <w:b/>
          <w:sz w:val="24"/>
          <w:szCs w:val="24"/>
        </w:rPr>
        <w:t xml:space="preserve">, </w:t>
      </w:r>
      <w:r w:rsidR="00594373">
        <w:rPr>
          <w:rFonts w:ascii="Palatino Linotype" w:hAnsi="Palatino Linotype" w:cs="Arial"/>
          <w:sz w:val="24"/>
          <w:szCs w:val="24"/>
        </w:rPr>
        <w:t xml:space="preserve">emitió su respuesta, </w:t>
      </w:r>
      <w:r w:rsidRPr="00934715">
        <w:rPr>
          <w:rFonts w:ascii="Palatino Linotype" w:hAnsi="Palatino Linotype" w:cs="Arial"/>
          <w:sz w:val="24"/>
          <w:szCs w:val="24"/>
        </w:rPr>
        <w:t xml:space="preserve">remitiendo </w:t>
      </w:r>
      <w:r w:rsidR="00765429">
        <w:rPr>
          <w:rFonts w:ascii="Palatino Linotype" w:hAnsi="Palatino Linotype" w:cs="Arial"/>
          <w:sz w:val="24"/>
          <w:szCs w:val="24"/>
        </w:rPr>
        <w:t>dos</w:t>
      </w:r>
      <w:r w:rsidRPr="00934715">
        <w:rPr>
          <w:rFonts w:ascii="Palatino Linotype" w:hAnsi="Palatino Linotype" w:cs="Arial"/>
          <w:sz w:val="24"/>
          <w:szCs w:val="24"/>
        </w:rPr>
        <w:t xml:space="preserve"> archivo</w:t>
      </w:r>
      <w:r w:rsidR="00765429">
        <w:rPr>
          <w:rFonts w:ascii="Palatino Linotype" w:hAnsi="Palatino Linotype" w:cs="Arial"/>
          <w:sz w:val="24"/>
          <w:szCs w:val="24"/>
        </w:rPr>
        <w:t>s</w:t>
      </w:r>
      <w:r w:rsidRPr="00934715">
        <w:rPr>
          <w:rFonts w:ascii="Palatino Linotype" w:hAnsi="Palatino Linotype" w:cs="Arial"/>
          <w:sz w:val="24"/>
          <w:szCs w:val="24"/>
        </w:rPr>
        <w:t xml:space="preserve"> electrónico</w:t>
      </w:r>
      <w:r w:rsidR="00765429">
        <w:rPr>
          <w:rFonts w:ascii="Palatino Linotype" w:hAnsi="Palatino Linotype" w:cs="Arial"/>
          <w:sz w:val="24"/>
          <w:szCs w:val="24"/>
        </w:rPr>
        <w:t>s</w:t>
      </w:r>
      <w:r w:rsidRPr="00934715">
        <w:rPr>
          <w:rFonts w:ascii="Palatino Linotype" w:hAnsi="Palatino Linotype" w:cs="Arial"/>
          <w:sz w:val="24"/>
          <w:szCs w:val="24"/>
        </w:rPr>
        <w:t xml:space="preserve">, en </w:t>
      </w:r>
      <w:r w:rsidR="00765429">
        <w:rPr>
          <w:rFonts w:ascii="Palatino Linotype" w:hAnsi="Palatino Linotype" w:cs="Arial"/>
          <w:sz w:val="24"/>
          <w:szCs w:val="24"/>
        </w:rPr>
        <w:t>los</w:t>
      </w:r>
      <w:r w:rsidRPr="00934715">
        <w:rPr>
          <w:rFonts w:ascii="Palatino Linotype" w:hAnsi="Palatino Linotype" w:cs="Arial"/>
          <w:sz w:val="24"/>
          <w:szCs w:val="24"/>
        </w:rPr>
        <w:t xml:space="preserve"> cual</w:t>
      </w:r>
      <w:r w:rsidR="00765429">
        <w:rPr>
          <w:rFonts w:ascii="Palatino Linotype" w:hAnsi="Palatino Linotype" w:cs="Arial"/>
          <w:sz w:val="24"/>
          <w:szCs w:val="24"/>
        </w:rPr>
        <w:t>es</w:t>
      </w:r>
      <w:r w:rsidRPr="00934715">
        <w:rPr>
          <w:rFonts w:ascii="Palatino Linotype" w:hAnsi="Palatino Linotype" w:cs="Arial"/>
          <w:sz w:val="24"/>
          <w:szCs w:val="24"/>
        </w:rPr>
        <w:t xml:space="preserve"> manifestó lo siguiente</w:t>
      </w:r>
      <w:r w:rsidR="00594373">
        <w:rPr>
          <w:rFonts w:ascii="Palatino Linotype" w:hAnsi="Palatino Linotype" w:cs="Arial"/>
          <w:sz w:val="24"/>
          <w:szCs w:val="24"/>
        </w:rPr>
        <w:t>:</w:t>
      </w:r>
    </w:p>
    <w:p w:rsidR="00934715" w:rsidRDefault="00934715" w:rsidP="00594373">
      <w:pPr>
        <w:spacing w:after="0" w:line="360" w:lineRule="auto"/>
        <w:jc w:val="both"/>
        <w:rPr>
          <w:rFonts w:ascii="Palatino Linotype" w:hAnsi="Palatino Linotype" w:cs="Arial"/>
          <w:sz w:val="24"/>
          <w:szCs w:val="24"/>
        </w:rPr>
      </w:pPr>
    </w:p>
    <w:p w:rsidR="00956F11" w:rsidRPr="00210136" w:rsidRDefault="00765429" w:rsidP="00956F11">
      <w:pPr>
        <w:pStyle w:val="Prrafodelista"/>
        <w:numPr>
          <w:ilvl w:val="0"/>
          <w:numId w:val="24"/>
        </w:numPr>
        <w:spacing w:after="240" w:line="360" w:lineRule="auto"/>
        <w:jc w:val="both"/>
        <w:rPr>
          <w:rFonts w:ascii="Palatino Linotype" w:hAnsi="Palatino Linotype" w:cs="Arial"/>
        </w:rPr>
      </w:pPr>
      <w:r w:rsidRPr="00765429">
        <w:rPr>
          <w:rFonts w:ascii="Palatino Linotype" w:hAnsi="Palatino Linotype" w:cs="Arial"/>
          <w:b/>
        </w:rPr>
        <w:t>BANDERAS.pdf</w:t>
      </w:r>
      <w:r w:rsidR="00934715" w:rsidRPr="00956F11">
        <w:rPr>
          <w:rFonts w:ascii="Palatino Linotype" w:hAnsi="Palatino Linotype" w:cs="Arial"/>
        </w:rPr>
        <w:t>:</w:t>
      </w:r>
      <w:r w:rsidR="00875AD8" w:rsidRPr="00956F11">
        <w:rPr>
          <w:rFonts w:ascii="Palatino Linotype" w:hAnsi="Palatino Linotype" w:cs="Arial"/>
        </w:rPr>
        <w:t xml:space="preserve"> Archivo electrónico que contiene </w:t>
      </w:r>
      <w:r>
        <w:rPr>
          <w:rFonts w:ascii="Palatino Linotype" w:hAnsi="Palatino Linotype" w:cs="Arial"/>
        </w:rPr>
        <w:t>un</w:t>
      </w:r>
      <w:r w:rsidR="00875AD8" w:rsidRPr="00956F11">
        <w:rPr>
          <w:rFonts w:ascii="Palatino Linotype" w:hAnsi="Palatino Linotype" w:cs="Arial"/>
        </w:rPr>
        <w:t xml:space="preserve"> oficio</w:t>
      </w:r>
      <w:r>
        <w:rPr>
          <w:rFonts w:ascii="Palatino Linotype" w:hAnsi="Palatino Linotype" w:cs="Arial"/>
        </w:rPr>
        <w:t xml:space="preserve"> de fecha 08 de abril de 2019</w:t>
      </w:r>
      <w:r w:rsidR="00C53C4B" w:rsidRPr="00956F11">
        <w:rPr>
          <w:rFonts w:ascii="Palatino Linotype" w:hAnsi="Palatino Linotype" w:cs="Arial"/>
        </w:rPr>
        <w:t>,</w:t>
      </w:r>
      <w:r w:rsidR="00875AD8" w:rsidRPr="00956F11">
        <w:rPr>
          <w:rFonts w:ascii="Palatino Linotype" w:hAnsi="Palatino Linotype" w:cs="Arial"/>
        </w:rPr>
        <w:t xml:space="preserve"> signado por </w:t>
      </w:r>
      <w:r w:rsidR="00956F11" w:rsidRPr="00956F11">
        <w:rPr>
          <w:rFonts w:ascii="Palatino Linotype" w:hAnsi="Palatino Linotype" w:cs="Arial"/>
        </w:rPr>
        <w:t xml:space="preserve">el </w:t>
      </w:r>
      <w:r>
        <w:rPr>
          <w:rFonts w:ascii="Palatino Linotype" w:hAnsi="Palatino Linotype" w:cs="Arial"/>
        </w:rPr>
        <w:t>Encargado de la Delegación Administrativa</w:t>
      </w:r>
      <w:r w:rsidR="00875AD8" w:rsidRPr="00956F11">
        <w:rPr>
          <w:rFonts w:ascii="Palatino Linotype" w:hAnsi="Palatino Linotype" w:cs="Arial"/>
        </w:rPr>
        <w:t xml:space="preserve"> y remitido a</w:t>
      </w:r>
      <w:r>
        <w:rPr>
          <w:rFonts w:ascii="Palatino Linotype" w:hAnsi="Palatino Linotype" w:cs="Arial"/>
        </w:rPr>
        <w:t>l</w:t>
      </w:r>
      <w:r w:rsidR="00956F11" w:rsidRPr="00956F11">
        <w:rPr>
          <w:rFonts w:ascii="Palatino Linotype" w:hAnsi="Palatino Linotype" w:cs="Arial"/>
        </w:rPr>
        <w:t xml:space="preserve"> </w:t>
      </w:r>
      <w:r>
        <w:rPr>
          <w:rFonts w:ascii="Palatino Linotype" w:hAnsi="Palatino Linotype" w:cs="Arial"/>
        </w:rPr>
        <w:t>Director General de Servicios Públicos</w:t>
      </w:r>
      <w:r w:rsidR="00956F11" w:rsidRPr="00956F11">
        <w:rPr>
          <w:rFonts w:ascii="Palatino Linotype" w:hAnsi="Palatino Linotype" w:cs="Arial"/>
        </w:rPr>
        <w:t xml:space="preserve">, ambos del Municipio de </w:t>
      </w:r>
      <w:r>
        <w:rPr>
          <w:rFonts w:ascii="Palatino Linotype" w:hAnsi="Palatino Linotype" w:cs="Arial"/>
        </w:rPr>
        <w:t>Toluca</w:t>
      </w:r>
      <w:r w:rsidR="00875AD8" w:rsidRPr="00956F11">
        <w:rPr>
          <w:rFonts w:ascii="Palatino Linotype" w:hAnsi="Palatino Linotype" w:cs="Arial"/>
        </w:rPr>
        <w:t xml:space="preserve">, </w:t>
      </w:r>
      <w:r w:rsidR="00956F11" w:rsidRPr="00956F11">
        <w:rPr>
          <w:rFonts w:ascii="Palatino Linotype" w:hAnsi="Palatino Linotype" w:cs="Arial"/>
        </w:rPr>
        <w:t>mediante el cual informa que</w:t>
      </w:r>
      <w:r w:rsidR="00E836CC">
        <w:rPr>
          <w:rFonts w:ascii="Palatino Linotype" w:hAnsi="Palatino Linotype" w:cs="Arial"/>
        </w:rPr>
        <w:t xml:space="preserve">, </w:t>
      </w:r>
      <w:r>
        <w:rPr>
          <w:rFonts w:ascii="Palatino Linotype" w:hAnsi="Palatino Linotype" w:cs="Arial"/>
        </w:rPr>
        <w:t>esa Dirección General realizó un oficio solicitando a la Dirección General de Administración les proporcionara dichas banderas, el proceso de adquisición lo lleva a cabo la Dirección antes mencionada, por lo cual no es posible atender dicha petición de manera favorable.</w:t>
      </w:r>
    </w:p>
    <w:p w:rsidR="00E836CC" w:rsidRDefault="00E836CC" w:rsidP="0028011E">
      <w:pPr>
        <w:spacing w:after="240" w:line="360" w:lineRule="auto"/>
        <w:ind w:left="709"/>
        <w:jc w:val="both"/>
        <w:rPr>
          <w:rFonts w:ascii="Palatino Linotype" w:hAnsi="Palatino Linotype" w:cs="Arial"/>
          <w:sz w:val="24"/>
          <w:szCs w:val="24"/>
        </w:rPr>
      </w:pPr>
      <w:r w:rsidRPr="00210136">
        <w:rPr>
          <w:rFonts w:ascii="Palatino Linotype" w:hAnsi="Palatino Linotype" w:cs="Arial"/>
          <w:sz w:val="24"/>
          <w:szCs w:val="24"/>
        </w:rPr>
        <w:t xml:space="preserve">Asimismo, </w:t>
      </w:r>
      <w:r w:rsidR="00765429">
        <w:rPr>
          <w:rFonts w:ascii="Palatino Linotype" w:hAnsi="Palatino Linotype" w:cs="Arial"/>
          <w:sz w:val="24"/>
          <w:szCs w:val="24"/>
        </w:rPr>
        <w:t xml:space="preserve">remite el memorándum No. MEMORANDUM/DAPyMEP/0433/201, </w:t>
      </w:r>
      <w:r w:rsidR="0028011E" w:rsidRPr="0028011E">
        <w:rPr>
          <w:rFonts w:ascii="Palatino Linotype" w:hAnsi="Palatino Linotype" w:cs="Arial"/>
          <w:sz w:val="24"/>
          <w:szCs w:val="24"/>
        </w:rPr>
        <w:t xml:space="preserve">signado por el </w:t>
      </w:r>
      <w:r w:rsidR="0028011E">
        <w:rPr>
          <w:rFonts w:ascii="Palatino Linotype" w:hAnsi="Palatino Linotype" w:cs="Arial"/>
          <w:sz w:val="24"/>
          <w:szCs w:val="24"/>
        </w:rPr>
        <w:t xml:space="preserve">Director de Alumbrado </w:t>
      </w:r>
      <w:r w:rsidR="0028011E">
        <w:rPr>
          <w:rFonts w:ascii="Palatino Linotype" w:hAnsi="Palatino Linotype" w:cs="Arial"/>
          <w:sz w:val="24"/>
          <w:szCs w:val="24"/>
        </w:rPr>
        <w:lastRenderedPageBreak/>
        <w:t>Público y Mantenimiento de Espacios Públicos</w:t>
      </w:r>
      <w:r w:rsidR="0028011E" w:rsidRPr="0028011E">
        <w:rPr>
          <w:rFonts w:ascii="Palatino Linotype" w:hAnsi="Palatino Linotype" w:cs="Arial"/>
          <w:sz w:val="24"/>
          <w:szCs w:val="24"/>
        </w:rPr>
        <w:t xml:space="preserve"> y remitido al Director General de Servicios Públicos, ambos del Municipio de Toluca</w:t>
      </w:r>
      <w:r w:rsidR="0028011E">
        <w:rPr>
          <w:rFonts w:ascii="Palatino Linotype" w:hAnsi="Palatino Linotype" w:cs="Arial"/>
          <w:sz w:val="24"/>
          <w:szCs w:val="24"/>
        </w:rPr>
        <w:t xml:space="preserve">, mediante el cual </w:t>
      </w:r>
      <w:r w:rsidRPr="00210136">
        <w:rPr>
          <w:rFonts w:ascii="Palatino Linotype" w:hAnsi="Palatino Linotype" w:cs="Arial"/>
          <w:sz w:val="24"/>
          <w:szCs w:val="24"/>
        </w:rPr>
        <w:t xml:space="preserve">manifiesta </w:t>
      </w:r>
      <w:r w:rsidR="009A2E60" w:rsidRPr="00210136">
        <w:rPr>
          <w:rFonts w:ascii="Palatino Linotype" w:hAnsi="Palatino Linotype" w:cs="Arial"/>
          <w:sz w:val="24"/>
          <w:szCs w:val="24"/>
        </w:rPr>
        <w:t>que,</w:t>
      </w:r>
      <w:r w:rsidRPr="00210136">
        <w:rPr>
          <w:rFonts w:ascii="Palatino Linotype" w:hAnsi="Palatino Linotype" w:cs="Arial"/>
          <w:sz w:val="24"/>
          <w:szCs w:val="24"/>
        </w:rPr>
        <w:t xml:space="preserve"> </w:t>
      </w:r>
      <w:r w:rsidR="0028011E">
        <w:rPr>
          <w:rFonts w:ascii="Palatino Linotype" w:hAnsi="Palatino Linotype" w:cs="Arial"/>
          <w:sz w:val="24"/>
          <w:szCs w:val="24"/>
        </w:rPr>
        <w:t>la decisión se hizo basada en el fomento a la cultura de la ciudad de Toluca con sus ciudades hermanas a lo largo de su historia, siendo las banderas de esos países las que encabezan las cornisas de la estructura de la Plaza González Arratia</w:t>
      </w:r>
      <w:r w:rsidR="00C21391">
        <w:rPr>
          <w:rFonts w:ascii="Palatino Linotype" w:hAnsi="Palatino Linotype" w:cs="Arial"/>
          <w:sz w:val="24"/>
          <w:szCs w:val="24"/>
        </w:rPr>
        <w:t>.</w:t>
      </w:r>
    </w:p>
    <w:p w:rsidR="0028011E" w:rsidRPr="008F6DD9" w:rsidRDefault="0028011E" w:rsidP="00730864">
      <w:pPr>
        <w:pStyle w:val="Prrafodelista"/>
        <w:numPr>
          <w:ilvl w:val="0"/>
          <w:numId w:val="24"/>
        </w:numPr>
        <w:spacing w:after="240" w:line="360" w:lineRule="auto"/>
        <w:ind w:left="360"/>
        <w:jc w:val="both"/>
        <w:rPr>
          <w:rFonts w:ascii="Palatino Linotype" w:hAnsi="Palatino Linotype" w:cs="Arial"/>
          <w:b/>
          <w:bCs/>
        </w:rPr>
      </w:pPr>
      <w:r w:rsidRPr="008F6DD9">
        <w:rPr>
          <w:rFonts w:ascii="Palatino Linotype" w:hAnsi="Palatino Linotype" w:cs="Arial"/>
          <w:b/>
          <w:bCs/>
        </w:rPr>
        <w:t xml:space="preserve">saimex 232.pdf: </w:t>
      </w:r>
      <w:r w:rsidRPr="008F6DD9">
        <w:rPr>
          <w:rFonts w:ascii="Palatino Linotype" w:hAnsi="Palatino Linotype" w:cs="Arial"/>
        </w:rPr>
        <w:t xml:space="preserve">Archivo electrónico que contiene el oficio No. DRM/643/2019, signado por el Director de Recursos Materiales y remitido al Servidor Público Habilitado de la Dirección General de Administración, ambos del Municipio de Toluca, mediante el cual </w:t>
      </w:r>
      <w:r w:rsidR="008F6DD9" w:rsidRPr="008F6DD9">
        <w:rPr>
          <w:rFonts w:ascii="Palatino Linotype" w:hAnsi="Palatino Linotype" w:cs="Arial"/>
        </w:rPr>
        <w:t>manifiesta</w:t>
      </w:r>
      <w:r w:rsidRPr="008F6DD9">
        <w:rPr>
          <w:rFonts w:ascii="Palatino Linotype" w:hAnsi="Palatino Linotype" w:cs="Arial"/>
        </w:rPr>
        <w:t xml:space="preserve"> que</w:t>
      </w:r>
      <w:r w:rsidR="008F6DD9" w:rsidRPr="008F6DD9">
        <w:rPr>
          <w:rFonts w:ascii="Palatino Linotype" w:hAnsi="Palatino Linotype" w:cs="Arial"/>
        </w:rPr>
        <w:t xml:space="preserve"> en atención a la solicitud 002/TOLUCA/IP/2019, informa que</w:t>
      </w:r>
      <w:r w:rsidRPr="008F6DD9">
        <w:rPr>
          <w:rFonts w:ascii="Palatino Linotype" w:hAnsi="Palatino Linotype" w:cs="Arial"/>
        </w:rPr>
        <w:t xml:space="preserve">, </w:t>
      </w:r>
      <w:r w:rsidR="008F6DD9" w:rsidRPr="008F6DD9">
        <w:rPr>
          <w:rFonts w:ascii="Palatino Linotype" w:hAnsi="Palatino Linotype" w:cs="Arial"/>
        </w:rPr>
        <w:t xml:space="preserve">el expediente de dicho procedimiento administrativo continua en proceso de integración. </w:t>
      </w:r>
    </w:p>
    <w:p w:rsidR="00E0548C" w:rsidRDefault="00E0548C" w:rsidP="000C468F">
      <w:pPr>
        <w:pStyle w:val="Prrafodelista"/>
        <w:autoSpaceDE w:val="0"/>
        <w:autoSpaceDN w:val="0"/>
        <w:adjustRightInd w:val="0"/>
        <w:spacing w:before="120" w:after="120" w:line="360" w:lineRule="auto"/>
        <w:ind w:left="0"/>
        <w:rPr>
          <w:rFonts w:ascii="Palatino Linotype" w:hAnsi="Palatino Linotype" w:cs="Arial"/>
        </w:rPr>
      </w:pPr>
    </w:p>
    <w:p w:rsidR="00696DE5" w:rsidRDefault="00696DE5" w:rsidP="00696DE5">
      <w:pPr>
        <w:spacing w:after="0" w:line="360" w:lineRule="auto"/>
        <w:jc w:val="both"/>
        <w:rPr>
          <w:rFonts w:ascii="Palatino Linotype" w:hAnsi="Palatino Linotype" w:cs="Arial"/>
          <w:sz w:val="24"/>
          <w:szCs w:val="24"/>
        </w:rPr>
      </w:pPr>
      <w:r w:rsidRPr="00696DE5">
        <w:rPr>
          <w:rFonts w:ascii="Palatino Linotype" w:hAnsi="Palatino Linotype" w:cs="Arial"/>
          <w:sz w:val="24"/>
          <w:szCs w:val="24"/>
        </w:rPr>
        <w:t xml:space="preserve">Inconforme con la respuesta del </w:t>
      </w:r>
      <w:r w:rsidRPr="00696DE5">
        <w:rPr>
          <w:rFonts w:ascii="Palatino Linotype" w:hAnsi="Palatino Linotype" w:cs="Arial"/>
          <w:b/>
          <w:sz w:val="24"/>
          <w:szCs w:val="24"/>
        </w:rPr>
        <w:t xml:space="preserve">Sujeto Obligado, El Recurrente </w:t>
      </w:r>
      <w:r w:rsidRPr="00696DE5">
        <w:rPr>
          <w:rFonts w:ascii="Palatino Linotype" w:hAnsi="Palatino Linotype" w:cs="Arial"/>
          <w:sz w:val="24"/>
          <w:szCs w:val="24"/>
        </w:rPr>
        <w:t xml:space="preserve">interpuso recurso de revisión el </w:t>
      </w:r>
      <w:r w:rsidR="00A46087">
        <w:rPr>
          <w:rFonts w:ascii="Palatino Linotype" w:hAnsi="Palatino Linotype" w:cs="Arial"/>
          <w:sz w:val="24"/>
          <w:szCs w:val="24"/>
        </w:rPr>
        <w:t>diecisiete de mayo</w:t>
      </w:r>
      <w:r w:rsidRPr="00696DE5">
        <w:rPr>
          <w:rFonts w:ascii="Palatino Linotype" w:hAnsi="Palatino Linotype" w:cs="Arial"/>
          <w:sz w:val="24"/>
          <w:szCs w:val="24"/>
        </w:rPr>
        <w:t xml:space="preserve">, admitiéndose el </w:t>
      </w:r>
      <w:r w:rsidR="00A46087">
        <w:rPr>
          <w:rFonts w:ascii="Palatino Linotype" w:hAnsi="Palatino Linotype" w:cs="Arial"/>
          <w:sz w:val="24"/>
          <w:szCs w:val="24"/>
        </w:rPr>
        <w:t>veintitrés de mayo</w:t>
      </w:r>
      <w:r w:rsidRPr="00696DE5">
        <w:rPr>
          <w:rFonts w:ascii="Palatino Linotype" w:hAnsi="Palatino Linotype" w:cs="Arial"/>
          <w:sz w:val="24"/>
          <w:szCs w:val="24"/>
        </w:rPr>
        <w:t xml:space="preserve">, ambos del año </w:t>
      </w:r>
      <w:r w:rsidR="00594373">
        <w:rPr>
          <w:rFonts w:ascii="Palatino Linotype" w:hAnsi="Palatino Linotype" w:cs="Arial"/>
          <w:sz w:val="24"/>
          <w:szCs w:val="24"/>
        </w:rPr>
        <w:t xml:space="preserve">dos mil </w:t>
      </w:r>
      <w:r w:rsidR="00D805DC">
        <w:rPr>
          <w:rFonts w:ascii="Palatino Linotype" w:hAnsi="Palatino Linotype" w:cs="Arial"/>
          <w:sz w:val="24"/>
          <w:szCs w:val="24"/>
        </w:rPr>
        <w:t>diecinueve</w:t>
      </w:r>
      <w:r w:rsidRPr="00696DE5">
        <w:rPr>
          <w:rFonts w:ascii="Palatino Linotype" w:hAnsi="Palatino Linotype" w:cs="Arial"/>
          <w:sz w:val="24"/>
          <w:szCs w:val="24"/>
        </w:rPr>
        <w:t>. Señalando como</w:t>
      </w:r>
      <w:r w:rsidR="00903B55">
        <w:rPr>
          <w:rFonts w:ascii="Palatino Linotype" w:hAnsi="Palatino Linotype" w:cs="Arial"/>
          <w:sz w:val="24"/>
          <w:szCs w:val="24"/>
        </w:rPr>
        <w:t xml:space="preserve"> acto impugnado</w:t>
      </w:r>
      <w:r w:rsidR="009A2E60">
        <w:rPr>
          <w:rFonts w:ascii="Palatino Linotype" w:hAnsi="Palatino Linotype" w:cs="Arial"/>
          <w:sz w:val="24"/>
          <w:szCs w:val="24"/>
        </w:rPr>
        <w:t xml:space="preserve"> lo siguiente “</w:t>
      </w:r>
      <w:r w:rsidR="008F6DD9" w:rsidRPr="008F6DD9">
        <w:rPr>
          <w:rFonts w:ascii="Palatino Linotype" w:hAnsi="Palatino Linotype" w:cs="Arial"/>
          <w:i/>
          <w:iCs/>
        </w:rPr>
        <w:t>La incompleta, oscura e imprecisa respuesta dada por el sujeto obligado.</w:t>
      </w:r>
      <w:r w:rsidR="009A2E60" w:rsidRPr="009A2E60">
        <w:rPr>
          <w:rFonts w:ascii="Palatino Linotype" w:hAnsi="Palatino Linotype" w:cs="Arial"/>
          <w:b/>
          <w:i/>
        </w:rPr>
        <w:t xml:space="preserve"> [Sic]</w:t>
      </w:r>
      <w:r w:rsidR="009A2E60">
        <w:rPr>
          <w:rFonts w:ascii="Palatino Linotype" w:hAnsi="Palatino Linotype" w:cs="Arial"/>
          <w:sz w:val="24"/>
          <w:szCs w:val="24"/>
        </w:rPr>
        <w:t xml:space="preserve"> y como</w:t>
      </w:r>
      <w:r w:rsidR="00903B55">
        <w:rPr>
          <w:rFonts w:ascii="Palatino Linotype" w:hAnsi="Palatino Linotype" w:cs="Arial"/>
          <w:sz w:val="24"/>
          <w:szCs w:val="24"/>
        </w:rPr>
        <w:t xml:space="preserve"> </w:t>
      </w:r>
      <w:r w:rsidRPr="00696DE5">
        <w:rPr>
          <w:rFonts w:ascii="Palatino Linotype" w:hAnsi="Palatino Linotype" w:cs="Arial"/>
          <w:sz w:val="24"/>
          <w:szCs w:val="24"/>
        </w:rPr>
        <w:t xml:space="preserve"> razones o motivos de inconformidad:</w:t>
      </w:r>
      <w:r w:rsidR="009A2E60">
        <w:rPr>
          <w:rFonts w:ascii="Palatino Linotype" w:hAnsi="Palatino Linotype" w:cs="Arial"/>
          <w:sz w:val="24"/>
          <w:szCs w:val="24"/>
        </w:rPr>
        <w:t xml:space="preserve"> “</w:t>
      </w:r>
      <w:r w:rsidR="008F6DD9" w:rsidRPr="008F6DD9">
        <w:rPr>
          <w:rFonts w:ascii="Palatino Linotype" w:hAnsi="Palatino Linotype" w:cs="Arial"/>
          <w:i/>
          <w:iCs/>
        </w:rPr>
        <w:t xml:space="preserve">En este sentido, la respuesta dada por el sujeto obligado me causa agravio en virtud de </w:t>
      </w:r>
      <w:r w:rsidR="008F6DD9" w:rsidRPr="00E4066D">
        <w:rPr>
          <w:rFonts w:ascii="Palatino Linotype" w:hAnsi="Palatino Linotype" w:cs="Arial"/>
          <w:b/>
          <w:bCs/>
          <w:i/>
          <w:iCs/>
        </w:rPr>
        <w:t>únicamente hace de mi conocimiento cierto documento que pretende justificar por qué las autoridades municipales adquirieron y colocaron banderas correspondientes a diferentes países en las cornisas de la estructura metálica de la Plaza González Arratia</w:t>
      </w:r>
      <w:r w:rsidR="008F6DD9" w:rsidRPr="008F6DD9">
        <w:rPr>
          <w:rFonts w:ascii="Palatino Linotype" w:hAnsi="Palatino Linotype" w:cs="Arial"/>
          <w:i/>
          <w:iCs/>
        </w:rPr>
        <w:t xml:space="preserve">, ello en virtud de que el Director de Alumbrado Público y Mantenimiento de Espacios Públicos no es la instancia encargada de los asuntos culturales ni internacionales del municipio de Toluca. Además de lo anterior, </w:t>
      </w:r>
      <w:r w:rsidR="008F6DD9" w:rsidRPr="008F6DD9">
        <w:rPr>
          <w:rFonts w:ascii="Palatino Linotype" w:hAnsi="Palatino Linotype" w:cs="Arial"/>
          <w:i/>
          <w:iCs/>
        </w:rPr>
        <w:lastRenderedPageBreak/>
        <w:t xml:space="preserve">la respuesta dada por el sujeto obligado me causa agravio, en virtud de que NUEVAMENTE, el C. Director de Recursos Materiales informa que “…dicho procedimiento adquisitivo continúa en proceso de integración”, sin aportar mayores elementos que abonen a la transparencia y rendición de cuentas por la adquisición y colocación de banderas, es decir, </w:t>
      </w:r>
      <w:r w:rsidR="008F6DD9" w:rsidRPr="00E4066D">
        <w:rPr>
          <w:rFonts w:ascii="Palatino Linotype" w:hAnsi="Palatino Linotype" w:cs="Arial"/>
          <w:b/>
          <w:bCs/>
          <w:i/>
          <w:iCs/>
        </w:rPr>
        <w:t>omitió de forma deliberada la documentación relativa al proceso de adquisición de las citadas banderas</w:t>
      </w:r>
      <w:r w:rsidR="008F6DD9" w:rsidRPr="008F6DD9">
        <w:rPr>
          <w:rFonts w:ascii="Palatino Linotype" w:hAnsi="Palatino Linotype" w:cs="Arial"/>
          <w:i/>
          <w:iCs/>
        </w:rPr>
        <w:t xml:space="preserve">. Manifiesto al comisionado ponente que se trata de un actuar irregular del sujeto obligado en la atención de la solicitud de acceso a la información con número de folio 00232/TOLUCA/IP/2019, cuya intención es engañar al solicitante, entregándole información que no atiende, no satisface y no corresponde la expectativa prevista en el ejercicio del derecho constitucional a saber que todo ciudadano tiene, sin mentiras y sin engaños por parte de las autoridades o administradores. Por lo expuesto, solicito al INFOEM: ÚNICO.- Revocar la respuesta dada por el sujeto obligado, ordenándole en consecuencia entregar elementos que abonen a la transparencia y rendición de cuentas, privilegiando el principio de máxima publicidad, </w:t>
      </w:r>
      <w:r w:rsidR="008F6DD9" w:rsidRPr="00E4066D">
        <w:rPr>
          <w:rFonts w:ascii="Palatino Linotype" w:hAnsi="Palatino Linotype" w:cs="Arial"/>
          <w:b/>
          <w:bCs/>
          <w:i/>
          <w:iCs/>
        </w:rPr>
        <w:t>entregando para tales efectos la documentación relativa al proceso de adquisición de las banderas a que se refiere la solicitud de acceso a la información pública con número de folio 00232/TOLUCA/IP/2019</w:t>
      </w:r>
      <w:r w:rsidR="008F6DD9" w:rsidRPr="008F6DD9">
        <w:rPr>
          <w:rFonts w:ascii="Palatino Linotype" w:hAnsi="Palatino Linotype" w:cs="Arial"/>
          <w:i/>
          <w:iCs/>
        </w:rPr>
        <w:t>.</w:t>
      </w:r>
      <w:r w:rsidR="008F6DD9">
        <w:rPr>
          <w:rFonts w:ascii="Palatino Linotype" w:hAnsi="Palatino Linotype" w:cs="Arial"/>
          <w:i/>
          <w:iCs/>
        </w:rPr>
        <w:t>”</w:t>
      </w:r>
      <w:r w:rsidR="009A2E60" w:rsidRPr="009A2E60">
        <w:rPr>
          <w:rFonts w:ascii="Palatino Linotype" w:hAnsi="Palatino Linotype" w:cs="Arial"/>
          <w:b/>
          <w:i/>
        </w:rPr>
        <w:t xml:space="preserve"> [Sic]</w:t>
      </w:r>
      <w:r w:rsidR="009A2E60" w:rsidRPr="009A2E60">
        <w:rPr>
          <w:rFonts w:ascii="Palatino Linotype" w:hAnsi="Palatino Linotype" w:cs="Arial"/>
        </w:rPr>
        <w:t>.</w:t>
      </w:r>
    </w:p>
    <w:p w:rsidR="005061E3" w:rsidRDefault="005061E3" w:rsidP="00B80EBB">
      <w:pPr>
        <w:autoSpaceDE w:val="0"/>
        <w:autoSpaceDN w:val="0"/>
        <w:adjustRightInd w:val="0"/>
        <w:spacing w:after="0" w:line="360" w:lineRule="auto"/>
        <w:jc w:val="both"/>
        <w:rPr>
          <w:rFonts w:ascii="Palatino Linotype" w:hAnsi="Palatino Linotype" w:cs="Arial"/>
          <w:sz w:val="24"/>
          <w:szCs w:val="24"/>
        </w:rPr>
      </w:pPr>
    </w:p>
    <w:p w:rsidR="00B80EBB" w:rsidRPr="00B80EBB" w:rsidRDefault="00B80EBB" w:rsidP="00B80EBB">
      <w:pPr>
        <w:autoSpaceDE w:val="0"/>
        <w:autoSpaceDN w:val="0"/>
        <w:adjustRightInd w:val="0"/>
        <w:spacing w:after="0" w:line="360" w:lineRule="auto"/>
        <w:jc w:val="both"/>
        <w:rPr>
          <w:rFonts w:ascii="Palatino Linotype" w:hAnsi="Palatino Linotype" w:cs="Arial"/>
          <w:sz w:val="24"/>
          <w:szCs w:val="24"/>
        </w:rPr>
      </w:pPr>
      <w:r w:rsidRPr="00B80EBB">
        <w:rPr>
          <w:rFonts w:ascii="Palatino Linotype" w:hAnsi="Palatino Linotype" w:cs="Arial"/>
          <w:sz w:val="24"/>
          <w:szCs w:val="24"/>
        </w:rPr>
        <w:t xml:space="preserve">Del medio de impugnación que nos ocupa, se advierte que </w:t>
      </w:r>
      <w:r w:rsidRPr="00B80EBB">
        <w:rPr>
          <w:rFonts w:ascii="Palatino Linotype" w:hAnsi="Palatino Linotype" w:cs="Arial"/>
          <w:b/>
          <w:sz w:val="24"/>
          <w:szCs w:val="24"/>
        </w:rPr>
        <w:t>El Recurrente</w:t>
      </w:r>
      <w:r w:rsidRPr="00B80EBB">
        <w:rPr>
          <w:rFonts w:ascii="Palatino Linotype" w:hAnsi="Palatino Linotype" w:cs="Arial"/>
          <w:sz w:val="24"/>
          <w:szCs w:val="24"/>
        </w:rPr>
        <w:t xml:space="preserve"> realiza argumentos a guisa de agravio que a su decir le causó el acto materia del presente recurso, en el cual arguye</w:t>
      </w:r>
      <w:r w:rsidR="004B5C80">
        <w:rPr>
          <w:rFonts w:ascii="Palatino Linotype" w:hAnsi="Palatino Linotype" w:cs="Arial"/>
          <w:sz w:val="24"/>
          <w:szCs w:val="24"/>
        </w:rPr>
        <w:t xml:space="preserve"> medularmente</w:t>
      </w:r>
      <w:r w:rsidRPr="00B80EBB">
        <w:rPr>
          <w:rFonts w:ascii="Palatino Linotype" w:hAnsi="Palatino Linotype" w:cs="Arial"/>
          <w:sz w:val="24"/>
          <w:szCs w:val="24"/>
        </w:rPr>
        <w:t xml:space="preserve"> </w:t>
      </w:r>
      <w:r w:rsidR="00894BC3">
        <w:rPr>
          <w:rFonts w:ascii="Palatino Linotype" w:hAnsi="Palatino Linotype" w:cs="Arial"/>
          <w:sz w:val="24"/>
          <w:szCs w:val="24"/>
        </w:rPr>
        <w:t xml:space="preserve">la </w:t>
      </w:r>
      <w:r w:rsidR="00807142">
        <w:rPr>
          <w:rFonts w:ascii="Palatino Linotype" w:hAnsi="Palatino Linotype" w:cs="Arial"/>
          <w:sz w:val="24"/>
          <w:szCs w:val="24"/>
        </w:rPr>
        <w:t xml:space="preserve">entrega de información </w:t>
      </w:r>
      <w:r w:rsidR="00E4066D">
        <w:rPr>
          <w:rFonts w:ascii="Palatino Linotype" w:hAnsi="Palatino Linotype" w:cs="Arial"/>
          <w:sz w:val="24"/>
          <w:szCs w:val="24"/>
        </w:rPr>
        <w:t>incompleta</w:t>
      </w:r>
      <w:r w:rsidR="009604FD">
        <w:rPr>
          <w:rFonts w:ascii="Palatino Linotype" w:hAnsi="Palatino Linotype" w:cs="Arial"/>
          <w:b/>
          <w:sz w:val="24"/>
          <w:szCs w:val="24"/>
        </w:rPr>
        <w:t xml:space="preserve">, </w:t>
      </w:r>
      <w:r w:rsidR="009604FD">
        <w:rPr>
          <w:rFonts w:ascii="Palatino Linotype" w:hAnsi="Palatino Linotype" w:cs="Arial"/>
          <w:sz w:val="24"/>
          <w:szCs w:val="24"/>
        </w:rPr>
        <w:t>r</w:t>
      </w:r>
      <w:r w:rsidR="009604FD" w:rsidRPr="009604FD">
        <w:rPr>
          <w:rFonts w:ascii="Palatino Linotype" w:hAnsi="Palatino Linotype" w:cs="Arial"/>
          <w:sz w:val="24"/>
          <w:szCs w:val="24"/>
        </w:rPr>
        <w:t>esultando procedente la interposición del recurso de revisión cuando el Sujeto Obligado no hace entrega de la información</w:t>
      </w:r>
      <w:r w:rsidR="00894BC3">
        <w:rPr>
          <w:rFonts w:ascii="Palatino Linotype" w:hAnsi="Palatino Linotype" w:cs="Arial"/>
          <w:sz w:val="24"/>
          <w:szCs w:val="24"/>
        </w:rPr>
        <w:t xml:space="preserve"> requerida</w:t>
      </w:r>
      <w:r w:rsidR="009604FD" w:rsidRPr="009604FD">
        <w:rPr>
          <w:rFonts w:ascii="Palatino Linotype" w:hAnsi="Palatino Linotype" w:cs="Arial"/>
          <w:sz w:val="24"/>
          <w:szCs w:val="24"/>
        </w:rPr>
        <w:t xml:space="preserve">; en ese tenor se precisa que la materia sobre la cual versará el estudio del asunto, consiste en verificar si </w:t>
      </w:r>
      <w:r w:rsidR="009604FD" w:rsidRPr="009604FD">
        <w:rPr>
          <w:rFonts w:ascii="Palatino Linotype" w:hAnsi="Palatino Linotype" w:cs="Arial"/>
          <w:b/>
          <w:sz w:val="24"/>
          <w:szCs w:val="24"/>
        </w:rPr>
        <w:t>El Sujeto Obligado</w:t>
      </w:r>
      <w:r w:rsidR="009604FD" w:rsidRPr="009604FD">
        <w:rPr>
          <w:rFonts w:ascii="Palatino Linotype" w:hAnsi="Palatino Linotype" w:cs="Arial"/>
          <w:sz w:val="24"/>
          <w:szCs w:val="24"/>
        </w:rPr>
        <w:t xml:space="preserve"> atendió el requerimiento formulado por el hoy </w:t>
      </w:r>
      <w:r w:rsidR="009604FD" w:rsidRPr="009604FD">
        <w:rPr>
          <w:rFonts w:ascii="Palatino Linotype" w:hAnsi="Palatino Linotype" w:cs="Arial"/>
          <w:b/>
          <w:sz w:val="24"/>
          <w:szCs w:val="24"/>
        </w:rPr>
        <w:t>Recurrente</w:t>
      </w:r>
      <w:r w:rsidR="009604FD" w:rsidRPr="009604FD">
        <w:rPr>
          <w:rFonts w:ascii="Palatino Linotype" w:hAnsi="Palatino Linotype" w:cs="Arial"/>
          <w:sz w:val="24"/>
          <w:szCs w:val="24"/>
        </w:rPr>
        <w:t>, otorgando la respuesta que en derecho corresponde.</w:t>
      </w:r>
    </w:p>
    <w:p w:rsidR="00005C1E" w:rsidRPr="00005C1E" w:rsidRDefault="00005C1E" w:rsidP="00005C1E">
      <w:pPr>
        <w:autoSpaceDE w:val="0"/>
        <w:autoSpaceDN w:val="0"/>
        <w:adjustRightInd w:val="0"/>
        <w:spacing w:line="360" w:lineRule="auto"/>
        <w:jc w:val="both"/>
        <w:rPr>
          <w:rFonts w:ascii="Palatino Linotype" w:hAnsi="Palatino Linotype" w:cs="Arial"/>
          <w:b/>
        </w:rPr>
      </w:pPr>
    </w:p>
    <w:p w:rsidR="002844F7" w:rsidRDefault="002844F7" w:rsidP="002844F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una vez establecido lo anterior y con el propósito de resolver con apego a la normatividad aplicable el recurso materia de esta resolución, este Instituto considera necesario establecer si la respuesta remitida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2844F7" w:rsidRPr="004E6B5B" w:rsidRDefault="002844F7" w:rsidP="002844F7">
      <w:pPr>
        <w:pStyle w:val="Sinespaciado"/>
        <w:spacing w:line="360" w:lineRule="auto"/>
        <w:jc w:val="both"/>
        <w:rPr>
          <w:rFonts w:ascii="Palatino Linotype" w:hAnsi="Palatino Linotype"/>
        </w:rPr>
      </w:pPr>
    </w:p>
    <w:p w:rsidR="002844F7" w:rsidRDefault="002844F7" w:rsidP="002844F7">
      <w:pPr>
        <w:pStyle w:val="Sinespaciado"/>
        <w:spacing w:line="360" w:lineRule="auto"/>
        <w:jc w:val="both"/>
        <w:rPr>
          <w:rFonts w:ascii="Palatino Linotype" w:hAnsi="Palatino Linotype"/>
          <w:color w:val="000000"/>
        </w:rPr>
      </w:pPr>
      <w:r w:rsidRPr="004E6B5B">
        <w:rPr>
          <w:rFonts w:ascii="Palatino Linotype" w:hAnsi="Palatino Linotype"/>
        </w:rPr>
        <w:t xml:space="preserve">En primer lugar </w:t>
      </w:r>
      <w:r w:rsidRPr="004E6B5B">
        <w:rPr>
          <w:rFonts w:ascii="Palatino Linotype" w:hAnsi="Palatino Linotype"/>
          <w:color w:val="000000"/>
        </w:rPr>
        <w:t>es de advertirse lo siguiente</w:t>
      </w:r>
      <w:r>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2844F7" w:rsidRPr="004E6B5B" w:rsidRDefault="002844F7" w:rsidP="002844F7">
      <w:pPr>
        <w:pStyle w:val="Sinespaciado"/>
        <w:spacing w:line="360" w:lineRule="auto"/>
        <w:jc w:val="both"/>
        <w:rPr>
          <w:rFonts w:ascii="Palatino Linotype" w:hAnsi="Palatino Linotype"/>
          <w:color w:val="000000"/>
        </w:rPr>
      </w:pPr>
    </w:p>
    <w:p w:rsidR="002844F7" w:rsidRPr="004E6B5B" w:rsidRDefault="002844F7" w:rsidP="002844F7">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2844F7" w:rsidRPr="004E6B5B" w:rsidRDefault="002844F7" w:rsidP="002844F7">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2844F7" w:rsidRPr="004E6B5B" w:rsidRDefault="002844F7" w:rsidP="002844F7">
      <w:pPr>
        <w:pStyle w:val="Sinespaciado"/>
        <w:ind w:left="851" w:right="851"/>
        <w:jc w:val="both"/>
        <w:rPr>
          <w:rFonts w:ascii="Palatino Linotype" w:hAnsi="Palatino Linotype"/>
          <w:i/>
          <w:sz w:val="22"/>
          <w:szCs w:val="22"/>
        </w:rPr>
      </w:pPr>
    </w:p>
    <w:p w:rsidR="002844F7" w:rsidRPr="003D1776" w:rsidRDefault="002844F7" w:rsidP="003D1776">
      <w:pPr>
        <w:pStyle w:val="Sinespaciado"/>
        <w:numPr>
          <w:ilvl w:val="0"/>
          <w:numId w:val="20"/>
        </w:numPr>
        <w:ind w:left="851" w:right="851"/>
        <w:jc w:val="both"/>
        <w:rPr>
          <w:rFonts w:ascii="Palatino Linotype" w:hAnsi="Palatino Linotype"/>
          <w:i/>
          <w:sz w:val="22"/>
          <w:szCs w:val="22"/>
        </w:rPr>
      </w:pPr>
      <w:r w:rsidRPr="004E6B5B">
        <w:rPr>
          <w:rFonts w:ascii="Palatino Linotype" w:hAnsi="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4E6B5B">
        <w:rPr>
          <w:rFonts w:ascii="Palatino Linotype" w:hAnsi="Palatino Linotype"/>
          <w:i/>
          <w:sz w:val="22"/>
          <w:szCs w:val="22"/>
        </w:rPr>
        <w:lastRenderedPageBreak/>
        <w:t>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10B9A" w:rsidRDefault="00810B9A" w:rsidP="002844F7">
      <w:pPr>
        <w:pStyle w:val="Sinespaciado"/>
        <w:spacing w:line="360" w:lineRule="auto"/>
        <w:jc w:val="both"/>
        <w:rPr>
          <w:rFonts w:ascii="Palatino Linotype" w:hAnsi="Palatino Linotype" w:cs="Arial"/>
        </w:rPr>
      </w:pPr>
    </w:p>
    <w:p w:rsidR="002844F7"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2844F7" w:rsidRPr="004E6B5B" w:rsidRDefault="002844F7" w:rsidP="002844F7">
      <w:pPr>
        <w:pStyle w:val="Sinespaciado"/>
        <w:ind w:left="567" w:right="567"/>
        <w:jc w:val="both"/>
        <w:rPr>
          <w:rFonts w:ascii="Palatino Linotype" w:hAnsi="Palatino Linotype"/>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44F7" w:rsidRPr="006376FA" w:rsidRDefault="002844F7" w:rsidP="002844F7">
      <w:pPr>
        <w:pStyle w:val="Sinespaciado"/>
        <w:ind w:left="851" w:right="851"/>
        <w:jc w:val="both"/>
        <w:rPr>
          <w:rFonts w:ascii="Palatino Linotype" w:hAnsi="Palatino Linotype"/>
          <w:bCs/>
          <w:i/>
          <w:sz w:val="22"/>
          <w:szCs w:val="22"/>
        </w:rPr>
      </w:pPr>
    </w:p>
    <w:p w:rsidR="002844F7" w:rsidRPr="006376FA" w:rsidRDefault="002844F7" w:rsidP="002844F7">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2844F7" w:rsidRPr="006376FA" w:rsidRDefault="002844F7" w:rsidP="002844F7">
      <w:pPr>
        <w:pStyle w:val="Sinespaciado"/>
        <w:ind w:left="851" w:right="851"/>
        <w:jc w:val="both"/>
        <w:rPr>
          <w:rFonts w:ascii="Palatino Linotype" w:hAnsi="Palatino Linotype"/>
          <w:i/>
          <w:sz w:val="22"/>
          <w:szCs w:val="22"/>
        </w:rPr>
      </w:pPr>
    </w:p>
    <w:p w:rsidR="002844F7" w:rsidRPr="006376FA" w:rsidRDefault="002844F7" w:rsidP="002844F7">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lastRenderedPageBreak/>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2844F7" w:rsidRPr="006376FA" w:rsidRDefault="002844F7" w:rsidP="002844F7">
      <w:pPr>
        <w:pStyle w:val="Sinespaciado"/>
        <w:ind w:left="851" w:right="851"/>
        <w:jc w:val="both"/>
        <w:rPr>
          <w:rFonts w:ascii="Palatino Linotype" w:hAnsi="Palatino Linotype"/>
          <w:i/>
          <w:sz w:val="22"/>
          <w:szCs w:val="22"/>
        </w:rPr>
      </w:pPr>
    </w:p>
    <w:p w:rsidR="002844F7" w:rsidRPr="004E6B5B" w:rsidRDefault="002844F7" w:rsidP="002844F7">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sz w:val="22"/>
          <w:szCs w:val="22"/>
        </w:rPr>
        <w:t>.</w:t>
      </w:r>
    </w:p>
    <w:p w:rsidR="002844F7" w:rsidRPr="004E6B5B" w:rsidRDefault="002844F7" w:rsidP="002844F7">
      <w:pPr>
        <w:pStyle w:val="Sinespaciado"/>
        <w:spacing w:line="360" w:lineRule="auto"/>
        <w:jc w:val="both"/>
        <w:rPr>
          <w:rFonts w:ascii="Palatino Linotype" w:hAnsi="Palatino Linotype"/>
        </w:rPr>
      </w:pPr>
    </w:p>
    <w:p w:rsidR="002844F7" w:rsidRPr="004E6B5B" w:rsidRDefault="002844F7" w:rsidP="002844F7">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2844F7" w:rsidRDefault="002844F7" w:rsidP="002844F7">
      <w:pPr>
        <w:pStyle w:val="Sinespaciado"/>
        <w:spacing w:line="360" w:lineRule="auto"/>
        <w:jc w:val="both"/>
        <w:rPr>
          <w:rFonts w:ascii="Palatino Linotype" w:hAnsi="Palatino Linotype" w:cs="Arial"/>
        </w:rPr>
      </w:pPr>
    </w:p>
    <w:p w:rsidR="003D1776" w:rsidRPr="00FC7592" w:rsidRDefault="003D1776" w:rsidP="003D1776">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En ese orden de ideas, es </w:t>
      </w:r>
      <w:r w:rsidRPr="00FC7592">
        <w:rPr>
          <w:rFonts w:ascii="Palatino Linotype" w:eastAsia="Times New Roman" w:hAnsi="Palatino Linotype" w:cs="Times New Roman"/>
          <w:sz w:val="24"/>
          <w:szCs w:val="24"/>
          <w:lang w:eastAsia="es-ES"/>
        </w:rPr>
        <w:t xml:space="preserve">de precisar que se obvia el análisis de la competencia por parte del </w:t>
      </w:r>
      <w:r w:rsidRPr="00FC759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para generar, administrar o poseer la información solicitada, dado que éste ha asumido la misma, en razón de que </w:t>
      </w:r>
      <w:r w:rsidRPr="002844F7">
        <w:rPr>
          <w:rFonts w:ascii="Palatino Linotype" w:eastAsia="Times New Roman" w:hAnsi="Palatino Linotype" w:cs="Times New Roman"/>
          <w:sz w:val="24"/>
          <w:szCs w:val="24"/>
          <w:lang w:eastAsia="es-ES"/>
        </w:rPr>
        <w:t>en su respuesta, manifiesta que</w:t>
      </w:r>
      <w:r w:rsidR="009C13E2">
        <w:rPr>
          <w:rFonts w:ascii="Palatino Linotype" w:eastAsia="Times New Roman" w:hAnsi="Palatino Linotype" w:cs="Times New Roman"/>
          <w:sz w:val="24"/>
          <w:szCs w:val="24"/>
          <w:lang w:eastAsia="es-ES"/>
        </w:rPr>
        <w:t xml:space="preserve"> </w:t>
      </w:r>
      <w:r w:rsidR="00EB7854" w:rsidRPr="00EB7854">
        <w:rPr>
          <w:rFonts w:ascii="Palatino Linotype" w:eastAsia="Times New Roman" w:hAnsi="Palatino Linotype" w:cs="Times New Roman"/>
          <w:sz w:val="24"/>
          <w:szCs w:val="24"/>
          <w:lang w:eastAsia="es-ES"/>
        </w:rPr>
        <w:t>el expediente de dicho procedimiento administrativo continua en proceso de integración</w:t>
      </w:r>
      <w:r w:rsidRPr="00FC7592">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por lo tanto, el hecho de que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xml:space="preserve"> haya inte</w:t>
      </w:r>
      <w:r>
        <w:rPr>
          <w:rFonts w:ascii="Palatino Linotype" w:eastAsia="Times New Roman" w:hAnsi="Palatino Linotype" w:cs="Times New Roman"/>
          <w:sz w:val="24"/>
          <w:szCs w:val="24"/>
          <w:lang w:eastAsia="es-ES"/>
        </w:rPr>
        <w:t>ntado otorgar lo solicitado al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Recurrente</w:t>
      </w:r>
      <w:r w:rsidRPr="00FC7592">
        <w:rPr>
          <w:rFonts w:ascii="Palatino Linotype" w:eastAsia="Times New Roman" w:hAnsi="Palatino Linotype" w:cs="Times New Roman"/>
          <w:sz w:val="24"/>
          <w:szCs w:val="24"/>
          <w:lang w:eastAsia="es-ES"/>
        </w:rPr>
        <w:t xml:space="preserv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3D1776" w:rsidRPr="00FC7592" w:rsidRDefault="003D1776" w:rsidP="003D1776">
      <w:pPr>
        <w:spacing w:after="0" w:line="360" w:lineRule="auto"/>
        <w:jc w:val="both"/>
        <w:rPr>
          <w:rFonts w:ascii="Palatino Linotype" w:eastAsia="Times New Roman" w:hAnsi="Palatino Linotype" w:cs="Times New Roman"/>
          <w:sz w:val="24"/>
          <w:szCs w:val="24"/>
          <w:lang w:eastAsia="es-ES"/>
        </w:rPr>
      </w:pPr>
    </w:p>
    <w:p w:rsidR="002844F7" w:rsidRPr="00B5583F" w:rsidRDefault="003D1776" w:rsidP="002844F7">
      <w:pPr>
        <w:spacing w:after="0" w:line="360" w:lineRule="auto"/>
        <w:jc w:val="both"/>
        <w:rPr>
          <w:rFonts w:ascii="Palatino Linotype" w:eastAsia="Times New Roman" w:hAnsi="Palatino Linotype" w:cs="Times New Roman"/>
          <w:sz w:val="24"/>
          <w:szCs w:val="24"/>
          <w:lang w:eastAsia="es-ES"/>
        </w:rPr>
      </w:pPr>
      <w:r w:rsidRPr="00FC7592">
        <w:rPr>
          <w:rFonts w:ascii="Palatino Linotype" w:eastAsia="Times New Roman" w:hAnsi="Palatino Linotype" w:cs="Times New Roman"/>
          <w:sz w:val="24"/>
          <w:szCs w:val="24"/>
          <w:lang w:eastAsia="es-ES"/>
        </w:rPr>
        <w:t xml:space="preserve">De </w:t>
      </w:r>
      <w:r w:rsidR="00370978" w:rsidRPr="00FC7592">
        <w:rPr>
          <w:rFonts w:ascii="Palatino Linotype" w:eastAsia="Times New Roman" w:hAnsi="Palatino Linotype" w:cs="Times New Roman"/>
          <w:sz w:val="24"/>
          <w:szCs w:val="24"/>
          <w:lang w:eastAsia="es-ES"/>
        </w:rPr>
        <w:t>hecho,</w:t>
      </w:r>
      <w:r w:rsidRPr="00FC7592">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Pr>
          <w:rFonts w:ascii="Palatino Linotype" w:eastAsia="Times New Roman" w:hAnsi="Palatino Linotype" w:cs="Times New Roman"/>
          <w:sz w:val="24"/>
          <w:szCs w:val="24"/>
          <w:lang w:eastAsia="es-ES"/>
        </w:rPr>
        <w:t xml:space="preserve">a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w:t>
      </w:r>
      <w:r>
        <w:rPr>
          <w:rFonts w:ascii="Palatino Linotype" w:eastAsia="Times New Roman" w:hAnsi="Palatino Linotype" w:cs="Times New Roman"/>
          <w:sz w:val="24"/>
          <w:szCs w:val="24"/>
          <w:lang w:eastAsia="es-ES"/>
        </w:rPr>
        <w:t xml:space="preserve">mida por </w:t>
      </w:r>
      <w:r w:rsidRPr="002844F7">
        <w:rPr>
          <w:rFonts w:ascii="Palatino Linotype" w:eastAsia="Times New Roman" w:hAnsi="Palatino Linotype" w:cs="Times New Roman"/>
          <w:b/>
          <w:sz w:val="24"/>
          <w:szCs w:val="24"/>
          <w:lang w:eastAsia="es-ES"/>
        </w:rPr>
        <w:t>El</w:t>
      </w:r>
      <w:r w:rsidRPr="00FC7592">
        <w:rPr>
          <w:rFonts w:ascii="Palatino Linotype" w:eastAsia="Times New Roman" w:hAnsi="Palatino Linotype" w:cs="Times New Roman"/>
          <w:sz w:val="24"/>
          <w:szCs w:val="24"/>
          <w:lang w:eastAsia="es-ES"/>
        </w:rPr>
        <w:t xml:space="preserve"> </w:t>
      </w:r>
      <w:r w:rsidRPr="00B90932">
        <w:rPr>
          <w:rFonts w:ascii="Palatino Linotype" w:eastAsia="Times New Roman" w:hAnsi="Palatino Linotype" w:cs="Times New Roman"/>
          <w:b/>
          <w:sz w:val="24"/>
          <w:szCs w:val="24"/>
          <w:lang w:eastAsia="es-ES"/>
        </w:rPr>
        <w:t>Sujeto Obligado</w:t>
      </w:r>
      <w:r w:rsidRPr="00FC7592">
        <w:rPr>
          <w:rFonts w:ascii="Palatino Linotype" w:eastAsia="Times New Roman" w:hAnsi="Palatino Linotype" w:cs="Times New Roman"/>
          <w:sz w:val="24"/>
          <w:szCs w:val="24"/>
          <w:lang w:eastAsia="es-ES"/>
        </w:rPr>
        <w:t>.</w:t>
      </w:r>
    </w:p>
    <w:p w:rsidR="00C600A2" w:rsidRDefault="00C600A2" w:rsidP="002844F7">
      <w:pPr>
        <w:spacing w:after="0" w:line="360" w:lineRule="auto"/>
        <w:jc w:val="both"/>
        <w:rPr>
          <w:rFonts w:ascii="Palatino Linotype" w:eastAsia="Times New Roman" w:hAnsi="Palatino Linotype" w:cs="Times New Roman"/>
          <w:sz w:val="24"/>
          <w:szCs w:val="24"/>
          <w:lang w:eastAsia="es-ES"/>
        </w:rPr>
      </w:pPr>
    </w:p>
    <w:p w:rsidR="002844F7" w:rsidRDefault="002844F7" w:rsidP="002844F7">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Ahora bien, </w:t>
      </w:r>
      <w:r w:rsidR="00810B9A" w:rsidRPr="00810B9A">
        <w:rPr>
          <w:rFonts w:ascii="Palatino Linotype" w:hAnsi="Palatino Linotype"/>
        </w:rPr>
        <w:t xml:space="preserve">es importante precisar </w:t>
      </w:r>
      <w:r w:rsidR="00370978" w:rsidRPr="00810B9A">
        <w:rPr>
          <w:rFonts w:ascii="Palatino Linotype" w:hAnsi="Palatino Linotype"/>
        </w:rPr>
        <w:t>que,</w:t>
      </w:r>
      <w:r w:rsidR="00810B9A" w:rsidRPr="00810B9A">
        <w:rPr>
          <w:rFonts w:ascii="Palatino Linotype" w:hAnsi="Palatino Linotype"/>
        </w:rPr>
        <w:t xml:space="preserve"> de la solicitud de información, así como la respuesta proporcionada a la misma y la información remitida mediante informe justificado, se desprenden diversos documentos, y con el fin de facilitar el estudio, es necesario realizar un cuadro comparativo, para mejor proveer respecto de lo peticionado y lo entregado, el cual se vislumbra en los términos siguientes:</w:t>
      </w:r>
    </w:p>
    <w:p w:rsidR="00810B9A" w:rsidRDefault="00810B9A" w:rsidP="002844F7">
      <w:pPr>
        <w:pStyle w:val="Prrafodelista"/>
        <w:autoSpaceDE w:val="0"/>
        <w:autoSpaceDN w:val="0"/>
        <w:adjustRightInd w:val="0"/>
        <w:spacing w:line="360" w:lineRule="auto"/>
        <w:ind w:left="0"/>
        <w:jc w:val="both"/>
        <w:rPr>
          <w:rFonts w:ascii="Palatino Linotype" w:hAnsi="Palatino Linotype"/>
        </w:rPr>
      </w:pPr>
    </w:p>
    <w:tbl>
      <w:tblPr>
        <w:tblStyle w:val="Tablaconcuadrcula"/>
        <w:tblW w:w="0" w:type="auto"/>
        <w:tblLook w:val="04A0" w:firstRow="1" w:lastRow="0" w:firstColumn="1" w:lastColumn="0" w:noHBand="0" w:noVBand="1"/>
      </w:tblPr>
      <w:tblGrid>
        <w:gridCol w:w="3539"/>
        <w:gridCol w:w="3544"/>
        <w:gridCol w:w="1979"/>
      </w:tblGrid>
      <w:tr w:rsidR="00810B9A" w:rsidTr="00505C5E">
        <w:trPr>
          <w:trHeight w:val="651"/>
        </w:trPr>
        <w:tc>
          <w:tcPr>
            <w:tcW w:w="3539" w:type="dxa"/>
            <w:shd w:val="clear" w:color="auto" w:fill="BFBFBF" w:themeFill="background1" w:themeFillShade="BF"/>
            <w:vAlign w:val="center"/>
          </w:tcPr>
          <w:p w:rsidR="00810B9A" w:rsidRPr="00671FDB" w:rsidRDefault="00810B9A" w:rsidP="00A46E99">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Solicitud</w:t>
            </w:r>
          </w:p>
        </w:tc>
        <w:tc>
          <w:tcPr>
            <w:tcW w:w="3544" w:type="dxa"/>
            <w:shd w:val="clear" w:color="auto" w:fill="BFBFBF" w:themeFill="background1" w:themeFillShade="BF"/>
            <w:vAlign w:val="center"/>
          </w:tcPr>
          <w:p w:rsidR="00810B9A" w:rsidRPr="00671FDB" w:rsidRDefault="00810B9A" w:rsidP="00A46E99">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Respuesta</w:t>
            </w:r>
          </w:p>
        </w:tc>
        <w:tc>
          <w:tcPr>
            <w:tcW w:w="1979" w:type="dxa"/>
            <w:shd w:val="clear" w:color="auto" w:fill="BFBFBF" w:themeFill="background1" w:themeFillShade="BF"/>
            <w:vAlign w:val="center"/>
          </w:tcPr>
          <w:p w:rsidR="00810B9A" w:rsidRPr="00671FDB" w:rsidRDefault="00810B9A" w:rsidP="00A46E99">
            <w:pPr>
              <w:spacing w:line="360" w:lineRule="auto"/>
              <w:jc w:val="center"/>
              <w:rPr>
                <w:rFonts w:ascii="Palatino Linotype" w:hAnsi="Palatino Linotype"/>
                <w:b/>
                <w:sz w:val="24"/>
                <w:szCs w:val="24"/>
                <w:lang w:eastAsia="es-MX"/>
              </w:rPr>
            </w:pPr>
            <w:r w:rsidRPr="00671FDB">
              <w:rPr>
                <w:rFonts w:ascii="Palatino Linotype" w:hAnsi="Palatino Linotype"/>
                <w:b/>
                <w:sz w:val="24"/>
                <w:szCs w:val="24"/>
                <w:lang w:eastAsia="es-MX"/>
              </w:rPr>
              <w:t>Colma</w:t>
            </w:r>
          </w:p>
        </w:tc>
      </w:tr>
      <w:tr w:rsidR="001E66D9" w:rsidTr="001E66D9">
        <w:trPr>
          <w:trHeight w:val="651"/>
        </w:trPr>
        <w:tc>
          <w:tcPr>
            <w:tcW w:w="9062" w:type="dxa"/>
            <w:gridSpan w:val="3"/>
            <w:shd w:val="clear" w:color="auto" w:fill="auto"/>
            <w:vAlign w:val="center"/>
          </w:tcPr>
          <w:p w:rsidR="001E66D9" w:rsidRPr="001E66D9" w:rsidRDefault="001E66D9" w:rsidP="001E66D9">
            <w:pPr>
              <w:jc w:val="center"/>
              <w:rPr>
                <w:rFonts w:ascii="Palatino Linotype" w:hAnsi="Palatino Linotype"/>
                <w:bCs/>
                <w:lang w:eastAsia="es-MX"/>
              </w:rPr>
            </w:pPr>
            <w:r>
              <w:rPr>
                <w:rFonts w:ascii="Palatino Linotype" w:hAnsi="Palatino Linotype"/>
                <w:bCs/>
                <w:lang w:eastAsia="es-MX"/>
              </w:rPr>
              <w:t xml:space="preserve">De </w:t>
            </w:r>
            <w:r w:rsidR="00505C5E" w:rsidRPr="00505C5E">
              <w:rPr>
                <w:rFonts w:ascii="Palatino Linotype" w:hAnsi="Palatino Linotype"/>
                <w:bCs/>
                <w:lang w:eastAsia="es-MX"/>
              </w:rPr>
              <w:t>documentación relativa a colocación de banderas correspondientes a diferentes países en las cornisas de la estructura metálica de la Plaza González Arratia lo siguiente</w:t>
            </w:r>
            <w:r w:rsidRPr="001E66D9">
              <w:rPr>
                <w:rFonts w:ascii="Palatino Linotype" w:hAnsi="Palatino Linotype"/>
                <w:bCs/>
                <w:lang w:eastAsia="es-MX"/>
              </w:rPr>
              <w:t>:</w:t>
            </w:r>
          </w:p>
        </w:tc>
      </w:tr>
      <w:tr w:rsidR="001E66D9" w:rsidRPr="00A65D9E" w:rsidTr="00505C5E">
        <w:tc>
          <w:tcPr>
            <w:tcW w:w="3539" w:type="dxa"/>
            <w:vAlign w:val="center"/>
          </w:tcPr>
          <w:p w:rsidR="001E66D9" w:rsidRPr="00CD707F" w:rsidRDefault="00256153" w:rsidP="00CD707F">
            <w:pPr>
              <w:autoSpaceDE w:val="0"/>
              <w:autoSpaceDN w:val="0"/>
              <w:adjustRightInd w:val="0"/>
              <w:rPr>
                <w:rFonts w:ascii="Palatino Linotype" w:hAnsi="Palatino Linotype" w:cs="Arial"/>
              </w:rPr>
            </w:pPr>
            <w:r>
              <w:rPr>
                <w:rFonts w:ascii="Palatino Linotype" w:hAnsi="Palatino Linotype" w:cs="Arial"/>
              </w:rPr>
              <w:t xml:space="preserve">1.- </w:t>
            </w:r>
            <w:r w:rsidR="00505C5E" w:rsidRPr="00505C5E">
              <w:rPr>
                <w:rFonts w:ascii="Palatino Linotype" w:hAnsi="Palatino Linotype" w:cs="Arial"/>
              </w:rPr>
              <w:t>El proceso de adquisición</w:t>
            </w:r>
            <w:r w:rsidR="00FD5ED6">
              <w:rPr>
                <w:rFonts w:ascii="Palatino Linotype" w:hAnsi="Palatino Linotype" w:cs="Arial"/>
              </w:rPr>
              <w:t>.</w:t>
            </w:r>
          </w:p>
        </w:tc>
        <w:tc>
          <w:tcPr>
            <w:tcW w:w="3544" w:type="dxa"/>
            <w:vAlign w:val="center"/>
          </w:tcPr>
          <w:p w:rsidR="001E66D9" w:rsidRPr="00A65D9E" w:rsidRDefault="001E66D9" w:rsidP="001E66D9">
            <w:pPr>
              <w:spacing w:before="240" w:after="240"/>
              <w:rPr>
                <w:rFonts w:ascii="Palatino Linotype" w:hAnsi="Palatino Linotype"/>
                <w:lang w:eastAsia="es-MX"/>
              </w:rPr>
            </w:pPr>
            <w:r>
              <w:rPr>
                <w:rFonts w:ascii="Palatino Linotype" w:hAnsi="Palatino Linotype"/>
                <w:lang w:eastAsia="es-MX"/>
              </w:rPr>
              <w:t>“</w:t>
            </w:r>
            <w:r w:rsidR="00505C5E" w:rsidRPr="00505C5E">
              <w:rPr>
                <w:rFonts w:ascii="Palatino Linotype" w:hAnsi="Palatino Linotype"/>
                <w:lang w:eastAsia="es-MX"/>
              </w:rPr>
              <w:t>el expediente de dicho procedimiento administrativo continua en proceso de integración</w:t>
            </w:r>
            <w:r>
              <w:rPr>
                <w:rFonts w:ascii="Palatino Linotype" w:hAnsi="Palatino Linotype"/>
                <w:lang w:eastAsia="es-MX"/>
              </w:rPr>
              <w:t>”</w:t>
            </w:r>
          </w:p>
        </w:tc>
        <w:tc>
          <w:tcPr>
            <w:tcW w:w="1979" w:type="dxa"/>
            <w:vAlign w:val="center"/>
          </w:tcPr>
          <w:p w:rsidR="001E66D9" w:rsidRPr="00256153" w:rsidRDefault="00FD5ED6" w:rsidP="001E66D9">
            <w:pPr>
              <w:spacing w:before="240" w:after="240"/>
              <w:jc w:val="center"/>
              <w:rPr>
                <w:rFonts w:ascii="Palatino Linotype" w:hAnsi="Palatino Linotype"/>
                <w:b/>
                <w:lang w:eastAsia="es-MX"/>
              </w:rPr>
            </w:pPr>
            <w:r w:rsidRPr="00256153">
              <w:rPr>
                <w:rFonts w:ascii="Palatino Linotype" w:hAnsi="Palatino Linotype"/>
                <w:b/>
                <w:lang w:eastAsia="es-MX"/>
              </w:rPr>
              <w:t>No colma</w:t>
            </w:r>
          </w:p>
        </w:tc>
      </w:tr>
      <w:tr w:rsidR="00505C5E" w:rsidRPr="00A65D9E" w:rsidTr="00505C5E">
        <w:tc>
          <w:tcPr>
            <w:tcW w:w="3539" w:type="dxa"/>
            <w:vAlign w:val="center"/>
          </w:tcPr>
          <w:p w:rsidR="00505C5E" w:rsidRPr="00CD707F" w:rsidRDefault="00505C5E" w:rsidP="00505C5E">
            <w:pPr>
              <w:autoSpaceDE w:val="0"/>
              <w:autoSpaceDN w:val="0"/>
              <w:adjustRightInd w:val="0"/>
              <w:rPr>
                <w:rFonts w:ascii="Palatino Linotype" w:hAnsi="Palatino Linotype" w:cs="Arial"/>
              </w:rPr>
            </w:pPr>
            <w:r>
              <w:rPr>
                <w:rFonts w:ascii="Palatino Linotype" w:hAnsi="Palatino Linotype" w:cs="Arial"/>
              </w:rPr>
              <w:t xml:space="preserve">2.- </w:t>
            </w:r>
            <w:bookmarkStart w:id="1" w:name="_Hlk15580397"/>
            <w:r w:rsidRPr="00505C5E">
              <w:rPr>
                <w:rFonts w:ascii="Palatino Linotype" w:hAnsi="Palatino Linotype" w:cs="Arial"/>
              </w:rPr>
              <w:t>La documentación que justifique la toma de dicha decisión por parte de las autoridades municipales de Toluca</w:t>
            </w:r>
            <w:bookmarkEnd w:id="1"/>
            <w:r>
              <w:rPr>
                <w:rFonts w:ascii="Palatino Linotype" w:hAnsi="Palatino Linotype" w:cs="Arial"/>
              </w:rPr>
              <w:t>.</w:t>
            </w:r>
          </w:p>
        </w:tc>
        <w:tc>
          <w:tcPr>
            <w:tcW w:w="3544" w:type="dxa"/>
            <w:vAlign w:val="center"/>
          </w:tcPr>
          <w:p w:rsidR="00505C5E" w:rsidRDefault="00505C5E" w:rsidP="00505C5E">
            <w:pPr>
              <w:spacing w:before="240" w:after="240"/>
              <w:jc w:val="both"/>
              <w:rPr>
                <w:rFonts w:ascii="Palatino Linotype" w:hAnsi="Palatino Linotype"/>
                <w:lang w:eastAsia="es-MX"/>
              </w:rPr>
            </w:pPr>
            <w:r w:rsidRPr="00570DF1">
              <w:rPr>
                <w:rFonts w:ascii="Palatino Linotype" w:hAnsi="Palatino Linotype"/>
                <w:lang w:eastAsia="es-MX"/>
              </w:rPr>
              <w:t>“</w:t>
            </w:r>
            <w:r w:rsidRPr="00505C5E">
              <w:rPr>
                <w:rFonts w:ascii="Palatino Linotype" w:hAnsi="Palatino Linotype"/>
                <w:lang w:eastAsia="es-MX"/>
              </w:rPr>
              <w:t xml:space="preserve">la decisión se hizo basada en el fomento a la cultura de la ciudad de Toluca con sus ciudades hermanas a lo largo de su historia, siendo las banderas de esos países </w:t>
            </w:r>
            <w:r w:rsidRPr="00505C5E">
              <w:rPr>
                <w:rFonts w:ascii="Palatino Linotype" w:hAnsi="Palatino Linotype"/>
                <w:lang w:eastAsia="es-MX"/>
              </w:rPr>
              <w:lastRenderedPageBreak/>
              <w:t>las que encabezan las cornisas de la estructura de la Plaza González Arratia</w:t>
            </w:r>
            <w:r>
              <w:rPr>
                <w:rFonts w:ascii="Palatino Linotype" w:hAnsi="Palatino Linotype"/>
                <w:lang w:eastAsia="es-MX"/>
              </w:rPr>
              <w:t>”</w:t>
            </w:r>
          </w:p>
        </w:tc>
        <w:tc>
          <w:tcPr>
            <w:tcW w:w="1979" w:type="dxa"/>
            <w:vAlign w:val="center"/>
          </w:tcPr>
          <w:p w:rsidR="00505C5E" w:rsidRPr="00FD4315" w:rsidRDefault="00505C5E" w:rsidP="00505C5E">
            <w:pPr>
              <w:spacing w:before="240" w:after="240"/>
              <w:jc w:val="center"/>
              <w:rPr>
                <w:rFonts w:ascii="Palatino Linotype" w:hAnsi="Palatino Linotype"/>
                <w:lang w:eastAsia="es-MX"/>
              </w:rPr>
            </w:pPr>
            <w:r w:rsidRPr="00A51B82">
              <w:rPr>
                <w:rFonts w:ascii="Palatino Linotype" w:hAnsi="Palatino Linotype"/>
                <w:b/>
                <w:sz w:val="28"/>
                <w:szCs w:val="28"/>
                <w:lang w:eastAsia="es-MX"/>
              </w:rPr>
              <w:lastRenderedPageBreak/>
              <w:sym w:font="Wingdings" w:char="F0FC"/>
            </w:r>
          </w:p>
        </w:tc>
      </w:tr>
    </w:tbl>
    <w:p w:rsidR="002844F7" w:rsidRDefault="002844F7" w:rsidP="00154FB8">
      <w:pPr>
        <w:pStyle w:val="Prrafodelista"/>
        <w:autoSpaceDE w:val="0"/>
        <w:autoSpaceDN w:val="0"/>
        <w:adjustRightInd w:val="0"/>
        <w:spacing w:line="360" w:lineRule="auto"/>
        <w:ind w:left="0"/>
        <w:jc w:val="both"/>
        <w:rPr>
          <w:rFonts w:ascii="Palatino Linotype" w:hAnsi="Palatino Linotype" w:cs="Arial"/>
        </w:rPr>
      </w:pPr>
    </w:p>
    <w:p w:rsidR="00691FC7" w:rsidRPr="00B03E33" w:rsidRDefault="00691FC7" w:rsidP="00691FC7">
      <w:pPr>
        <w:spacing w:after="0" w:line="360" w:lineRule="auto"/>
        <w:jc w:val="both"/>
        <w:rPr>
          <w:rFonts w:ascii="Palatino Linotype" w:eastAsia="Times New Roman" w:hAnsi="Palatino Linotype" w:cs="Arial"/>
          <w:sz w:val="24"/>
          <w:szCs w:val="24"/>
          <w:lang w:val="es-ES" w:eastAsia="es-ES"/>
        </w:rPr>
      </w:pPr>
      <w:r w:rsidRPr="00691FC7">
        <w:rPr>
          <w:rFonts w:ascii="Palatino Linotype" w:eastAsia="Calibri" w:hAnsi="Palatino Linotype" w:cs="Times New Roman"/>
          <w:sz w:val="24"/>
          <w:szCs w:val="24"/>
          <w:lang w:eastAsia="es-MX"/>
        </w:rPr>
        <w:t xml:space="preserve">Del cuadro anterior, podemos concluir que únicamente fue colmado </w:t>
      </w:r>
      <w:r w:rsidR="00856CF5">
        <w:rPr>
          <w:rFonts w:ascii="Palatino Linotype" w:eastAsia="Calibri" w:hAnsi="Palatino Linotype" w:cs="Times New Roman"/>
          <w:sz w:val="24"/>
          <w:szCs w:val="24"/>
          <w:lang w:eastAsia="es-MX"/>
        </w:rPr>
        <w:t>el</w:t>
      </w:r>
      <w:r w:rsidRPr="00691FC7">
        <w:rPr>
          <w:rFonts w:ascii="Palatino Linotype" w:eastAsia="Calibri" w:hAnsi="Palatino Linotype" w:cs="Times New Roman"/>
          <w:sz w:val="24"/>
          <w:szCs w:val="24"/>
          <w:lang w:eastAsia="es-MX"/>
        </w:rPr>
        <w:t xml:space="preserve"> punto 2 de la solicitud de información por parte del </w:t>
      </w:r>
      <w:r w:rsidRPr="00691FC7">
        <w:rPr>
          <w:rFonts w:ascii="Palatino Linotype" w:eastAsia="Calibri" w:hAnsi="Palatino Linotype" w:cs="Times New Roman"/>
          <w:b/>
          <w:sz w:val="24"/>
          <w:szCs w:val="24"/>
          <w:lang w:eastAsia="es-MX"/>
        </w:rPr>
        <w:t>Sujeto Obligado</w:t>
      </w:r>
      <w:r w:rsidRPr="00691FC7">
        <w:rPr>
          <w:rFonts w:ascii="Palatino Linotype" w:eastAsia="Calibri" w:hAnsi="Palatino Linotype" w:cs="Times New Roman"/>
          <w:sz w:val="24"/>
          <w:szCs w:val="24"/>
          <w:lang w:eastAsia="es-MX"/>
        </w:rPr>
        <w:t>, ello al informar</w:t>
      </w:r>
      <w:r>
        <w:rPr>
          <w:rFonts w:ascii="Palatino Linotype" w:eastAsia="Calibri" w:hAnsi="Palatino Linotype" w:cs="Times New Roman"/>
          <w:sz w:val="24"/>
          <w:szCs w:val="24"/>
          <w:lang w:eastAsia="es-MX"/>
        </w:rPr>
        <w:t xml:space="preserve"> a través del </w:t>
      </w:r>
      <w:r w:rsidR="00B03E33" w:rsidRPr="00B03E33">
        <w:rPr>
          <w:rFonts w:ascii="Palatino Linotype" w:eastAsia="Calibri" w:hAnsi="Palatino Linotype" w:cs="Times New Roman"/>
          <w:sz w:val="24"/>
          <w:szCs w:val="24"/>
          <w:lang w:eastAsia="es-MX"/>
        </w:rPr>
        <w:t>Director de Alumbrado Público y Mantenimiento de Espacios Públicos</w:t>
      </w:r>
      <w:r>
        <w:rPr>
          <w:rFonts w:ascii="Palatino Linotype" w:eastAsia="Calibri" w:hAnsi="Palatino Linotype" w:cs="Times New Roman"/>
          <w:sz w:val="24"/>
          <w:szCs w:val="24"/>
          <w:lang w:eastAsia="es-MX"/>
        </w:rPr>
        <w:t>, que</w:t>
      </w:r>
      <w:r w:rsidRPr="00691FC7">
        <w:rPr>
          <w:rFonts w:ascii="Palatino Linotype" w:eastAsia="Calibri" w:hAnsi="Palatino Linotype" w:cs="Times New Roman"/>
          <w:sz w:val="24"/>
          <w:szCs w:val="24"/>
          <w:lang w:eastAsia="es-MX"/>
        </w:rPr>
        <w:t xml:space="preserve"> </w:t>
      </w:r>
      <w:r w:rsidR="00B03E33" w:rsidRPr="00B03E33">
        <w:rPr>
          <w:rFonts w:ascii="Palatino Linotype" w:eastAsia="Calibri" w:hAnsi="Palatino Linotype" w:cs="Times New Roman"/>
          <w:sz w:val="24"/>
          <w:szCs w:val="24"/>
          <w:lang w:eastAsia="es-MX"/>
        </w:rPr>
        <w:t>la decisión se hizo basada en el fomento a la cultura de la ciudad de Toluca con sus ciudades hermanas a lo largo de su historia, siendo las banderas de esos países las que encabezan las cornisas de la estructura de la Plaza González Arratia</w:t>
      </w:r>
      <w:r w:rsidR="009D1F0D">
        <w:rPr>
          <w:rFonts w:ascii="Palatino Linotype" w:eastAsia="Calibri" w:hAnsi="Palatino Linotype" w:cs="Times New Roman"/>
          <w:sz w:val="24"/>
          <w:szCs w:val="24"/>
          <w:lang w:eastAsia="es-MX"/>
        </w:rPr>
        <w:t>,</w:t>
      </w:r>
      <w:r w:rsidR="009D1F0D">
        <w:rPr>
          <w:rFonts w:ascii="Palatino Linotype" w:eastAsia="Times New Roman" w:hAnsi="Palatino Linotype" w:cs="Arial"/>
          <w:sz w:val="24"/>
          <w:szCs w:val="24"/>
          <w:lang w:eastAsia="es-ES"/>
        </w:rPr>
        <w:t xml:space="preserve"> en ese sentido</w:t>
      </w:r>
      <w:r w:rsidRPr="00691FC7">
        <w:rPr>
          <w:rFonts w:ascii="Palatino Linotype" w:eastAsia="Calibri" w:hAnsi="Palatino Linotype" w:cs="Arial"/>
          <w:sz w:val="24"/>
          <w:szCs w:val="24"/>
        </w:rPr>
        <w:t xml:space="preserve">,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691FC7" w:rsidRPr="00691FC7" w:rsidRDefault="00691FC7" w:rsidP="00691FC7">
      <w:pPr>
        <w:spacing w:after="0" w:line="360" w:lineRule="auto"/>
        <w:jc w:val="both"/>
        <w:rPr>
          <w:rFonts w:ascii="Palatino Linotype" w:eastAsia="Calibri" w:hAnsi="Palatino Linotype" w:cs="Arial"/>
          <w:bCs/>
          <w:sz w:val="24"/>
          <w:szCs w:val="24"/>
        </w:rPr>
      </w:pPr>
    </w:p>
    <w:p w:rsidR="00691FC7" w:rsidRPr="00691FC7" w:rsidRDefault="00691FC7" w:rsidP="00691FC7">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691FC7" w:rsidRPr="00691FC7" w:rsidRDefault="00691FC7" w:rsidP="00691FC7">
      <w:pPr>
        <w:spacing w:after="0" w:line="360" w:lineRule="auto"/>
        <w:jc w:val="both"/>
        <w:rPr>
          <w:rFonts w:ascii="Palatino Linotype" w:eastAsia="Calibri" w:hAnsi="Palatino Linotype" w:cs="Times New Roman"/>
          <w:color w:val="000000"/>
          <w:sz w:val="24"/>
          <w:szCs w:val="24"/>
        </w:rPr>
      </w:pPr>
    </w:p>
    <w:p w:rsidR="00691FC7" w:rsidRPr="00691FC7" w:rsidRDefault="00691FC7" w:rsidP="00691FC7">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691FC7">
        <w:rPr>
          <w:rFonts w:ascii="Palatino Linotype" w:eastAsia="Calibri" w:hAnsi="Palatino Linotype" w:cs="Times New Roman"/>
          <w:i/>
          <w:color w:val="000000"/>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91FC7" w:rsidRPr="00691FC7" w:rsidRDefault="00691FC7" w:rsidP="00691FC7">
      <w:pPr>
        <w:spacing w:after="0" w:line="360" w:lineRule="auto"/>
        <w:ind w:right="51"/>
        <w:jc w:val="both"/>
        <w:rPr>
          <w:rFonts w:ascii="Palatino Linotype" w:eastAsia="Calibri" w:hAnsi="Palatino Linotype" w:cs="Arial"/>
          <w:sz w:val="24"/>
          <w:szCs w:val="24"/>
        </w:rPr>
      </w:pPr>
    </w:p>
    <w:p w:rsidR="00B03E33" w:rsidRDefault="00B03E33" w:rsidP="007D66CA">
      <w:pPr>
        <w:spacing w:after="0" w:line="360" w:lineRule="auto"/>
        <w:ind w:right="51"/>
        <w:jc w:val="both"/>
        <w:rPr>
          <w:rFonts w:ascii="Palatino Linotype" w:eastAsia="Calibri" w:hAnsi="Palatino Linotype" w:cs="Arial"/>
          <w:sz w:val="24"/>
          <w:szCs w:val="24"/>
        </w:rPr>
      </w:pPr>
    </w:p>
    <w:p w:rsidR="008D67DA" w:rsidRPr="00091561" w:rsidRDefault="00B03E33" w:rsidP="008D67DA">
      <w:pPr>
        <w:spacing w:line="360" w:lineRule="auto"/>
        <w:jc w:val="both"/>
        <w:rPr>
          <w:rFonts w:ascii="Palatino Linotype" w:eastAsia="Calibri" w:hAnsi="Palatino Linotype" w:cs="Arial"/>
          <w:sz w:val="24"/>
          <w:szCs w:val="24"/>
          <w:lang w:eastAsia="es-MX"/>
        </w:rPr>
      </w:pPr>
      <w:r>
        <w:rPr>
          <w:rFonts w:ascii="Palatino Linotype" w:eastAsia="Calibri" w:hAnsi="Palatino Linotype" w:cs="Arial"/>
          <w:sz w:val="24"/>
          <w:szCs w:val="24"/>
        </w:rPr>
        <w:t xml:space="preserve">Aunado a lo antes expuesto, </w:t>
      </w:r>
      <w:r w:rsidR="008D67DA">
        <w:rPr>
          <w:rFonts w:ascii="Palatino Linotype" w:eastAsia="Calibri" w:hAnsi="Palatino Linotype" w:cs="Arial"/>
          <w:sz w:val="24"/>
          <w:szCs w:val="24"/>
        </w:rPr>
        <w:t xml:space="preserve">advertimos </w:t>
      </w:r>
      <w:r w:rsidR="008D67DA" w:rsidRPr="00091561">
        <w:rPr>
          <w:rFonts w:ascii="Palatino Linotype" w:eastAsia="Calibri" w:hAnsi="Palatino Linotype" w:cs="Arial"/>
          <w:sz w:val="24"/>
          <w:szCs w:val="24"/>
        </w:rPr>
        <w:t xml:space="preserve">que el </w:t>
      </w:r>
      <w:r w:rsidR="008D67DA" w:rsidRPr="00091561">
        <w:rPr>
          <w:rFonts w:ascii="Palatino Linotype" w:eastAsia="Calibri" w:hAnsi="Palatino Linotype" w:cs="Arial"/>
          <w:b/>
          <w:sz w:val="24"/>
          <w:szCs w:val="24"/>
        </w:rPr>
        <w:t>Recurrente</w:t>
      </w:r>
      <w:r w:rsidR="008D67DA">
        <w:rPr>
          <w:rFonts w:ascii="Palatino Linotype" w:eastAsia="Calibri" w:hAnsi="Palatino Linotype" w:cs="Arial"/>
          <w:sz w:val="24"/>
          <w:szCs w:val="24"/>
        </w:rPr>
        <w:t xml:space="preserve"> está conforme</w:t>
      </w:r>
      <w:r w:rsidR="008D67DA" w:rsidRPr="00584185">
        <w:t xml:space="preserve"> </w:t>
      </w:r>
      <w:r w:rsidR="008D67DA">
        <w:rPr>
          <w:rFonts w:ascii="Palatino Linotype" w:eastAsia="Calibri" w:hAnsi="Palatino Linotype" w:cs="Arial"/>
          <w:sz w:val="24"/>
          <w:szCs w:val="24"/>
        </w:rPr>
        <w:t>con la respuesta emitida por el</w:t>
      </w:r>
      <w:r w:rsidR="008D67DA" w:rsidRPr="00584185">
        <w:rPr>
          <w:rFonts w:ascii="Palatino Linotype" w:eastAsia="Calibri" w:hAnsi="Palatino Linotype" w:cs="Arial"/>
          <w:sz w:val="24"/>
          <w:szCs w:val="24"/>
        </w:rPr>
        <w:t xml:space="preserve"> </w:t>
      </w:r>
      <w:r w:rsidR="008D67DA" w:rsidRPr="00584185">
        <w:rPr>
          <w:rFonts w:ascii="Palatino Linotype" w:eastAsia="Calibri" w:hAnsi="Palatino Linotype" w:cs="Arial"/>
          <w:b/>
          <w:sz w:val="24"/>
          <w:szCs w:val="24"/>
        </w:rPr>
        <w:t>Sujeto Obligado</w:t>
      </w:r>
      <w:r w:rsidR="008D67DA">
        <w:rPr>
          <w:rFonts w:ascii="Palatino Linotype" w:eastAsia="Calibri" w:hAnsi="Palatino Linotype" w:cs="Arial"/>
          <w:b/>
          <w:sz w:val="24"/>
          <w:szCs w:val="24"/>
        </w:rPr>
        <w:t xml:space="preserve"> </w:t>
      </w:r>
      <w:r w:rsidR="008D67DA">
        <w:rPr>
          <w:rFonts w:ascii="Palatino Linotype" w:eastAsia="Calibri" w:hAnsi="Palatino Linotype" w:cs="Arial"/>
          <w:sz w:val="24"/>
          <w:szCs w:val="24"/>
        </w:rPr>
        <w:t>referente</w:t>
      </w:r>
      <w:r w:rsidR="008D67DA" w:rsidRPr="00091561">
        <w:rPr>
          <w:rFonts w:ascii="Palatino Linotype" w:eastAsia="Calibri" w:hAnsi="Palatino Linotype" w:cs="Arial"/>
          <w:sz w:val="24"/>
          <w:szCs w:val="24"/>
        </w:rPr>
        <w:t xml:space="preserve"> a </w:t>
      </w:r>
      <w:r w:rsidR="008D67DA">
        <w:rPr>
          <w:rFonts w:ascii="Palatino Linotype" w:eastAsia="Calibri" w:hAnsi="Palatino Linotype" w:cs="Arial"/>
          <w:sz w:val="24"/>
          <w:szCs w:val="24"/>
        </w:rPr>
        <w:t>l</w:t>
      </w:r>
      <w:r w:rsidR="008D67DA" w:rsidRPr="008D67DA">
        <w:rPr>
          <w:rFonts w:ascii="Palatino Linotype" w:eastAsia="Calibri" w:hAnsi="Palatino Linotype" w:cs="Arial"/>
          <w:sz w:val="24"/>
          <w:szCs w:val="24"/>
        </w:rPr>
        <w:t>a documentación que justifique la toma de dicha decisión por parte de las autoridades municipales de Toluca</w:t>
      </w:r>
      <w:r w:rsidR="008D67DA" w:rsidRPr="00091561">
        <w:rPr>
          <w:rFonts w:ascii="Palatino Linotype" w:eastAsia="Calibri" w:hAnsi="Palatino Linotype" w:cs="Arial"/>
          <w:sz w:val="24"/>
          <w:szCs w:val="24"/>
        </w:rPr>
        <w:t>,</w:t>
      </w:r>
      <w:r w:rsidR="002F7D91" w:rsidRPr="002F7D91">
        <w:t xml:space="preserve"> </w:t>
      </w:r>
      <w:r w:rsidR="002F7D91" w:rsidRPr="002F7D91">
        <w:rPr>
          <w:rFonts w:ascii="Palatino Linotype" w:eastAsia="Calibri" w:hAnsi="Palatino Linotype" w:cs="Arial"/>
          <w:sz w:val="24"/>
          <w:szCs w:val="24"/>
        </w:rPr>
        <w:t>relativa a colocación de banderas correspondientes a diferentes países en las cornisas de la estructura metálica de la Plaza González Arratia</w:t>
      </w:r>
      <w:r w:rsidR="002F7D91">
        <w:rPr>
          <w:rFonts w:ascii="Palatino Linotype" w:eastAsia="Calibri" w:hAnsi="Palatino Linotype" w:cs="Arial"/>
          <w:sz w:val="24"/>
          <w:szCs w:val="24"/>
        </w:rPr>
        <w:t>,</w:t>
      </w:r>
      <w:r w:rsidR="008D67DA" w:rsidRPr="00091561">
        <w:rPr>
          <w:rFonts w:ascii="Palatino Linotype" w:eastAsia="Calibri" w:hAnsi="Palatino Linotype" w:cs="Arial"/>
          <w:sz w:val="24"/>
          <w:szCs w:val="24"/>
        </w:rPr>
        <w:t xml:space="preserve"> ya que expresamente manifestó en </w:t>
      </w:r>
      <w:r w:rsidR="008D67DA">
        <w:rPr>
          <w:rFonts w:ascii="Palatino Linotype" w:eastAsia="Calibri" w:hAnsi="Palatino Linotype" w:cs="Arial"/>
          <w:sz w:val="24"/>
          <w:szCs w:val="24"/>
        </w:rPr>
        <w:t xml:space="preserve">sus razones o motivos de inconformidad que </w:t>
      </w:r>
      <w:r w:rsidR="002F7D91">
        <w:rPr>
          <w:rFonts w:ascii="Palatino Linotype" w:eastAsia="Calibri" w:hAnsi="Palatino Linotype" w:cs="Arial"/>
          <w:sz w:val="24"/>
          <w:szCs w:val="24"/>
        </w:rPr>
        <w:t>“</w:t>
      </w:r>
      <w:r w:rsidR="002F7D91" w:rsidRPr="002F7D91">
        <w:rPr>
          <w:rFonts w:ascii="Palatino Linotype" w:eastAsia="Calibri" w:hAnsi="Palatino Linotype" w:cs="Arial"/>
          <w:sz w:val="24"/>
          <w:szCs w:val="24"/>
        </w:rPr>
        <w:t>únicamente hace de mi conocimiento cierto documento que pretende justificar por qué las autoridades municipales adquirieron y colocaron banderas correspondientes a diferentes países en las cornisas de la estructura metálica de la Plaza González Arratia</w:t>
      </w:r>
      <w:r w:rsidR="002F7D91">
        <w:rPr>
          <w:rFonts w:ascii="Palatino Linotype" w:eastAsia="Calibri" w:hAnsi="Palatino Linotype" w:cs="Arial"/>
          <w:sz w:val="24"/>
          <w:szCs w:val="24"/>
        </w:rPr>
        <w:t>”</w:t>
      </w:r>
      <w:r w:rsidR="008D67DA" w:rsidRPr="00091561">
        <w:rPr>
          <w:rFonts w:ascii="Palatino Linotype" w:eastAsia="Calibri" w:hAnsi="Palatino Linotype" w:cs="Arial"/>
          <w:sz w:val="24"/>
          <w:szCs w:val="24"/>
        </w:rPr>
        <w:t xml:space="preserve">; </w:t>
      </w:r>
      <w:r w:rsidR="008D67DA" w:rsidRPr="007D4B37">
        <w:rPr>
          <w:rFonts w:ascii="Palatino Linotype" w:eastAsia="Calibri" w:hAnsi="Palatino Linotype" w:cs="Arial"/>
          <w:sz w:val="24"/>
          <w:szCs w:val="24"/>
        </w:rPr>
        <w:t>por lo que puede colegirse que la respuesta fue parcialmente consentida.</w:t>
      </w:r>
    </w:p>
    <w:p w:rsidR="008D67DA" w:rsidRPr="00091561" w:rsidRDefault="008D67DA" w:rsidP="008D67DA">
      <w:pPr>
        <w:spacing w:after="0" w:line="240" w:lineRule="auto"/>
        <w:rPr>
          <w:rFonts w:ascii="Times New Roman" w:eastAsia="Times New Roman" w:hAnsi="Times New Roman" w:cs="Times New Roman"/>
          <w:sz w:val="24"/>
          <w:szCs w:val="24"/>
          <w:lang w:eastAsia="es-ES"/>
        </w:rPr>
      </w:pPr>
    </w:p>
    <w:p w:rsidR="008D67DA" w:rsidRPr="00091561" w:rsidRDefault="008D67DA" w:rsidP="008D67DA">
      <w:pPr>
        <w:spacing w:line="360" w:lineRule="auto"/>
        <w:jc w:val="both"/>
        <w:rPr>
          <w:rFonts w:ascii="Palatino Linotype" w:eastAsia="Calibri" w:hAnsi="Palatino Linotype" w:cs="Arial"/>
          <w:sz w:val="24"/>
          <w:szCs w:val="24"/>
        </w:rPr>
      </w:pPr>
      <w:r w:rsidRPr="00091561">
        <w:rPr>
          <w:rFonts w:ascii="Palatino Linotype" w:eastAsia="Calibri" w:hAnsi="Palatino Linotype" w:cs="Arial"/>
          <w:sz w:val="24"/>
          <w:szCs w:val="24"/>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8D67DA" w:rsidRDefault="008D67DA" w:rsidP="008D67DA">
      <w:pPr>
        <w:spacing w:after="0" w:line="240" w:lineRule="auto"/>
        <w:ind w:left="567" w:right="567"/>
        <w:jc w:val="both"/>
        <w:rPr>
          <w:rFonts w:ascii="Palatino Linotype" w:eastAsia="Calibri" w:hAnsi="Palatino Linotype" w:cs="Arial"/>
          <w:i/>
          <w:sz w:val="24"/>
          <w:szCs w:val="24"/>
          <w:lang w:eastAsia="es-MX"/>
        </w:rPr>
      </w:pPr>
      <w:r w:rsidRPr="00091561">
        <w:rPr>
          <w:rFonts w:ascii="Palatino Linotype" w:eastAsia="Calibri" w:hAnsi="Palatino Linotype" w:cs="Arial"/>
          <w:sz w:val="24"/>
          <w:szCs w:val="24"/>
          <w:lang w:eastAsia="es-MX"/>
        </w:rPr>
        <w:t>“</w:t>
      </w:r>
      <w:r w:rsidRPr="00091561">
        <w:rPr>
          <w:rFonts w:ascii="Palatino Linotype" w:eastAsia="Calibri" w:hAnsi="Palatino Linotype" w:cs="Arial"/>
          <w:b/>
          <w:i/>
          <w:sz w:val="24"/>
          <w:szCs w:val="24"/>
          <w:lang w:eastAsia="es-MX"/>
        </w:rPr>
        <w:t>REVISIÓN EN AMPARO. LOS RESOLUTIVOS NO COMBATIDOS DEBEN DECLARARSE FIRMES</w:t>
      </w:r>
      <w:r w:rsidRPr="00091561">
        <w:rPr>
          <w:rFonts w:ascii="Palatino Linotype" w:eastAsia="Calibri" w:hAnsi="Palatino Linotype" w:cs="Arial"/>
          <w:i/>
          <w:sz w:val="24"/>
          <w:szCs w:val="24"/>
          <w:lang w:eastAsia="es-MX"/>
        </w:rPr>
        <w:t xml:space="preserve">. Cuando algún resolutivo de la sentencia impugnada afecta a la recurrente, y ésta no expresa agravio en contra de las consideraciones que le sirven de base, dicho resolutivo debe declararse firme. Esto </w:t>
      </w:r>
      <w:r w:rsidRPr="00091561">
        <w:rPr>
          <w:rFonts w:ascii="Palatino Linotype" w:eastAsia="Calibri" w:hAnsi="Palatino Linotype" w:cs="Arial"/>
          <w:i/>
          <w:sz w:val="24"/>
          <w:szCs w:val="24"/>
          <w:lang w:eastAsia="es-MX"/>
        </w:rPr>
        <w:lastRenderedPageBreak/>
        <w:t>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D67DA" w:rsidRPr="00091561" w:rsidRDefault="008D67DA" w:rsidP="008D67DA">
      <w:pPr>
        <w:spacing w:after="0" w:line="240" w:lineRule="auto"/>
        <w:ind w:left="567" w:right="567"/>
        <w:jc w:val="both"/>
        <w:rPr>
          <w:rFonts w:ascii="Palatino Linotype" w:eastAsia="Calibri" w:hAnsi="Palatino Linotype" w:cs="Arial"/>
          <w:i/>
          <w:sz w:val="24"/>
          <w:szCs w:val="24"/>
          <w:lang w:eastAsia="es-MX"/>
        </w:rPr>
      </w:pPr>
    </w:p>
    <w:p w:rsidR="008D67DA" w:rsidRPr="00091561" w:rsidRDefault="008D67DA" w:rsidP="008D67DA">
      <w:pPr>
        <w:spacing w:after="0" w:line="240" w:lineRule="auto"/>
        <w:rPr>
          <w:rFonts w:ascii="Times New Roman" w:eastAsia="Times New Roman" w:hAnsi="Times New Roman" w:cs="Times New Roman"/>
          <w:sz w:val="24"/>
          <w:szCs w:val="24"/>
          <w:lang w:eastAsia="es-ES"/>
        </w:rPr>
      </w:pPr>
    </w:p>
    <w:p w:rsidR="008D67DA" w:rsidRPr="00091561" w:rsidRDefault="008D67DA" w:rsidP="008D67DA">
      <w:pPr>
        <w:spacing w:after="0" w:line="360" w:lineRule="auto"/>
        <w:jc w:val="both"/>
        <w:rPr>
          <w:rFonts w:ascii="Palatino Linotype" w:eastAsia="Calibri" w:hAnsi="Palatino Linotype" w:cs="Arial"/>
          <w:sz w:val="24"/>
          <w:szCs w:val="24"/>
          <w:lang w:eastAsia="es-MX"/>
        </w:rPr>
      </w:pPr>
      <w:r w:rsidRPr="00091561">
        <w:rPr>
          <w:rFonts w:ascii="Palatino Linotype" w:eastAsia="Calibri" w:hAnsi="Palatino Linotype" w:cs="Arial"/>
          <w:sz w:val="24"/>
          <w:szCs w:val="24"/>
          <w:lang w:eastAsia="es-MX"/>
        </w:rPr>
        <w:t xml:space="preserve">Así, la parte de la solicitud sobre la que no se expresó inconformidad, debe declararse consentida por el hoy </w:t>
      </w:r>
      <w:r w:rsidRPr="00091561">
        <w:rPr>
          <w:rFonts w:ascii="Palatino Linotype" w:eastAsia="Calibri" w:hAnsi="Palatino Linotype" w:cs="Arial"/>
          <w:b/>
          <w:sz w:val="24"/>
          <w:szCs w:val="24"/>
          <w:lang w:eastAsia="es-MX"/>
        </w:rPr>
        <w:t>Recurrente</w:t>
      </w:r>
      <w:r w:rsidRPr="00091561">
        <w:rPr>
          <w:rFonts w:ascii="Palatino Linotype" w:eastAsia="Calibri"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8D67DA" w:rsidRPr="00091561" w:rsidRDefault="008D67DA" w:rsidP="008D67DA">
      <w:pPr>
        <w:spacing w:after="0" w:line="240" w:lineRule="auto"/>
        <w:rPr>
          <w:rFonts w:ascii="Times New Roman" w:eastAsia="Times New Roman" w:hAnsi="Times New Roman" w:cs="Times New Roman"/>
          <w:sz w:val="24"/>
          <w:szCs w:val="24"/>
          <w:lang w:eastAsia="es-ES"/>
        </w:rPr>
      </w:pPr>
    </w:p>
    <w:p w:rsidR="008D67DA" w:rsidRPr="00091561" w:rsidRDefault="008D67DA" w:rsidP="008D67DA">
      <w:pPr>
        <w:spacing w:after="0" w:line="240" w:lineRule="auto"/>
        <w:ind w:left="567" w:right="567"/>
        <w:jc w:val="both"/>
        <w:rPr>
          <w:rFonts w:ascii="Palatino Linotype" w:eastAsia="Calibri" w:hAnsi="Palatino Linotype" w:cs="Arial"/>
          <w:i/>
          <w:sz w:val="24"/>
          <w:szCs w:val="24"/>
          <w:lang w:eastAsia="es-MX"/>
        </w:rPr>
      </w:pPr>
      <w:r w:rsidRPr="00091561">
        <w:rPr>
          <w:rFonts w:ascii="Palatino Linotype" w:eastAsia="Calibri" w:hAnsi="Palatino Linotype" w:cs="Arial"/>
          <w:i/>
          <w:sz w:val="24"/>
          <w:szCs w:val="24"/>
          <w:lang w:eastAsia="es-MX"/>
        </w:rPr>
        <w:t>“</w:t>
      </w:r>
      <w:r w:rsidRPr="00091561">
        <w:rPr>
          <w:rFonts w:ascii="Palatino Linotype" w:eastAsia="Calibri" w:hAnsi="Palatino Linotype" w:cs="Arial"/>
          <w:b/>
          <w:i/>
          <w:sz w:val="24"/>
          <w:szCs w:val="24"/>
          <w:lang w:eastAsia="es-MX"/>
        </w:rPr>
        <w:t>ACTOS CONSENTIDOS. SON LOS QUE NO SE IMPUGNAN MEDIANTE EL RECURSO IDÓNEO</w:t>
      </w:r>
      <w:r w:rsidRPr="00091561">
        <w:rPr>
          <w:rFonts w:ascii="Palatino Linotype" w:eastAsia="Calibri" w:hAnsi="Palatino Linotype" w:cs="Arial"/>
          <w:i/>
          <w:sz w:val="24"/>
          <w:szCs w:val="24"/>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D67DA" w:rsidRPr="00091561" w:rsidRDefault="008D67DA" w:rsidP="008D67DA">
      <w:pPr>
        <w:spacing w:after="0" w:line="240" w:lineRule="auto"/>
        <w:ind w:left="567" w:right="567"/>
        <w:jc w:val="both"/>
        <w:rPr>
          <w:rFonts w:ascii="Palatino Linotype" w:eastAsia="Calibri" w:hAnsi="Palatino Linotype" w:cs="Arial"/>
          <w:i/>
          <w:sz w:val="40"/>
          <w:szCs w:val="24"/>
          <w:lang w:eastAsia="es-MX"/>
        </w:rPr>
      </w:pPr>
    </w:p>
    <w:p w:rsidR="00691FC7" w:rsidRPr="00691FC7" w:rsidRDefault="008D67DA" w:rsidP="002F7D91">
      <w:pPr>
        <w:spacing w:after="0" w:line="360" w:lineRule="auto"/>
        <w:jc w:val="both"/>
        <w:rPr>
          <w:rFonts w:ascii="Palatino Linotype" w:eastAsia="Calibri" w:hAnsi="Palatino Linotype" w:cs="Arial"/>
          <w:sz w:val="24"/>
          <w:szCs w:val="24"/>
          <w:lang w:eastAsia="es-MX"/>
        </w:rPr>
      </w:pPr>
      <w:r w:rsidRPr="00091561">
        <w:rPr>
          <w:rFonts w:ascii="Palatino Linotype" w:eastAsia="Calibri" w:hAnsi="Palatino Linotype" w:cs="Arial"/>
          <w:sz w:val="24"/>
          <w:szCs w:val="24"/>
          <w:lang w:eastAsia="es-MX"/>
        </w:rPr>
        <w:t xml:space="preserve">No obstante, </w:t>
      </w:r>
      <w:r>
        <w:rPr>
          <w:rFonts w:ascii="Palatino Linotype" w:eastAsia="Calibri" w:hAnsi="Palatino Linotype" w:cs="Arial"/>
          <w:sz w:val="24"/>
          <w:szCs w:val="24"/>
          <w:lang w:eastAsia="es-MX"/>
        </w:rPr>
        <w:t>como ya ha quedado establecido, el</w:t>
      </w:r>
      <w:r w:rsidRPr="00091561">
        <w:rPr>
          <w:rFonts w:ascii="Palatino Linotype" w:eastAsia="Calibri" w:hAnsi="Palatino Linotype" w:cs="Arial"/>
          <w:b/>
          <w:sz w:val="24"/>
          <w:szCs w:val="24"/>
          <w:lang w:eastAsia="es-MX"/>
        </w:rPr>
        <w:t xml:space="preserve"> Recurrente</w:t>
      </w:r>
      <w:r w:rsidRPr="00091561">
        <w:rPr>
          <w:rFonts w:ascii="Palatino Linotype" w:eastAsia="Calibri" w:hAnsi="Palatino Linotype" w:cs="Arial"/>
          <w:sz w:val="24"/>
          <w:szCs w:val="24"/>
          <w:lang w:eastAsia="es-MX"/>
        </w:rPr>
        <w:t xml:space="preserve"> se inconforma únicamente por </w:t>
      </w:r>
      <w:r w:rsidRPr="00B11D07">
        <w:rPr>
          <w:rFonts w:ascii="Palatino Linotype" w:eastAsia="Calibri" w:hAnsi="Palatino Linotype" w:cs="Arial"/>
          <w:sz w:val="24"/>
          <w:szCs w:val="24"/>
          <w:lang w:eastAsia="es-MX"/>
        </w:rPr>
        <w:t xml:space="preserve">la información </w:t>
      </w:r>
      <w:r>
        <w:rPr>
          <w:rFonts w:ascii="Palatino Linotype" w:eastAsia="Calibri" w:hAnsi="Palatino Linotype" w:cs="Arial"/>
          <w:sz w:val="24"/>
          <w:szCs w:val="24"/>
          <w:lang w:eastAsia="es-MX"/>
        </w:rPr>
        <w:t xml:space="preserve">faltante </w:t>
      </w:r>
      <w:r w:rsidR="002F7D91">
        <w:rPr>
          <w:rFonts w:ascii="Palatino Linotype" w:eastAsia="Calibri" w:hAnsi="Palatino Linotype" w:cs="Arial"/>
          <w:sz w:val="24"/>
          <w:szCs w:val="24"/>
          <w:lang w:eastAsia="es-MX"/>
        </w:rPr>
        <w:t>correspondiente a</w:t>
      </w:r>
      <w:r w:rsidR="002F7D91" w:rsidRPr="002F7D91">
        <w:rPr>
          <w:rFonts w:ascii="Palatino Linotype" w:eastAsia="Calibri" w:hAnsi="Palatino Linotype" w:cs="Arial"/>
          <w:sz w:val="24"/>
          <w:szCs w:val="24"/>
          <w:lang w:eastAsia="es-MX"/>
        </w:rPr>
        <w:t xml:space="preserve"> la documentación relativa al proceso de adquisición de las banderas a que se refiere la solicitud de acceso a la información pública con número de folio 00232/TOLUCA/IP/2019</w:t>
      </w:r>
      <w:r>
        <w:rPr>
          <w:rFonts w:ascii="Palatino Linotype" w:eastAsia="Calibri" w:hAnsi="Palatino Linotype" w:cs="Arial"/>
          <w:sz w:val="24"/>
          <w:szCs w:val="24"/>
          <w:lang w:eastAsia="es-MX"/>
        </w:rPr>
        <w:t xml:space="preserve">, por ello </w:t>
      </w:r>
      <w:r w:rsidRPr="008058A2">
        <w:rPr>
          <w:rFonts w:ascii="Palatino Linotype" w:hAnsi="Palatino Linotype"/>
          <w:sz w:val="24"/>
          <w:szCs w:val="24"/>
        </w:rPr>
        <w:t xml:space="preserve">y con </w:t>
      </w:r>
      <w:r>
        <w:rPr>
          <w:rFonts w:ascii="Palatino Linotype" w:hAnsi="Palatino Linotype"/>
          <w:sz w:val="24"/>
          <w:szCs w:val="24"/>
        </w:rPr>
        <w:t>el fin de facilitar el estudio</w:t>
      </w:r>
      <w:r w:rsidRPr="00AC1299">
        <w:rPr>
          <w:rFonts w:ascii="Palatino Linotype" w:hAnsi="Palatino Linotype"/>
          <w:sz w:val="24"/>
          <w:szCs w:val="24"/>
          <w:lang w:eastAsia="es-MX"/>
        </w:rPr>
        <w:t>, podemos concluir que única</w:t>
      </w:r>
      <w:r>
        <w:rPr>
          <w:rFonts w:ascii="Palatino Linotype" w:hAnsi="Palatino Linotype"/>
          <w:sz w:val="24"/>
          <w:szCs w:val="24"/>
          <w:lang w:eastAsia="es-MX"/>
        </w:rPr>
        <w:t>mente se tiene por colmado</w:t>
      </w:r>
      <w:r w:rsidRPr="00AC1299">
        <w:rPr>
          <w:rFonts w:ascii="Palatino Linotype" w:hAnsi="Palatino Linotype"/>
          <w:sz w:val="24"/>
          <w:szCs w:val="24"/>
          <w:lang w:eastAsia="es-MX"/>
        </w:rPr>
        <w:t xml:space="preserve"> </w:t>
      </w:r>
      <w:r>
        <w:rPr>
          <w:rFonts w:ascii="Palatino Linotype" w:hAnsi="Palatino Linotype"/>
          <w:sz w:val="24"/>
          <w:szCs w:val="24"/>
          <w:lang w:eastAsia="es-MX"/>
        </w:rPr>
        <w:t xml:space="preserve">el punto </w:t>
      </w:r>
      <w:r>
        <w:rPr>
          <w:rFonts w:ascii="Palatino Linotype" w:hAnsi="Palatino Linotype"/>
          <w:sz w:val="24"/>
          <w:szCs w:val="24"/>
          <w:lang w:eastAsia="es-MX"/>
        </w:rPr>
        <w:lastRenderedPageBreak/>
        <w:t>petitorio</w:t>
      </w:r>
      <w:r w:rsidR="002F7D91">
        <w:rPr>
          <w:rFonts w:ascii="Palatino Linotype" w:hAnsi="Palatino Linotype"/>
          <w:sz w:val="24"/>
          <w:szCs w:val="24"/>
          <w:lang w:eastAsia="es-MX"/>
        </w:rPr>
        <w:t xml:space="preserve"> número 2</w:t>
      </w:r>
      <w:r>
        <w:rPr>
          <w:rFonts w:ascii="Palatino Linotype" w:hAnsi="Palatino Linotype"/>
          <w:sz w:val="24"/>
          <w:szCs w:val="24"/>
          <w:lang w:eastAsia="es-MX"/>
        </w:rPr>
        <w:t xml:space="preserve"> </w:t>
      </w:r>
      <w:r w:rsidRPr="00AC1299">
        <w:rPr>
          <w:rFonts w:ascii="Palatino Linotype" w:hAnsi="Palatino Linotype"/>
          <w:sz w:val="24"/>
          <w:szCs w:val="24"/>
          <w:lang w:eastAsia="es-MX"/>
        </w:rPr>
        <w:t>correspondiente a</w:t>
      </w:r>
      <w:r>
        <w:rPr>
          <w:rFonts w:ascii="Palatino Linotype" w:hAnsi="Palatino Linotype"/>
          <w:sz w:val="24"/>
          <w:szCs w:val="24"/>
          <w:lang w:eastAsia="es-MX"/>
        </w:rPr>
        <w:t xml:space="preserve"> la entrega de </w:t>
      </w:r>
      <w:r w:rsidR="002F7D91">
        <w:rPr>
          <w:rFonts w:ascii="Palatino Linotype" w:hAnsi="Palatino Linotype"/>
          <w:sz w:val="24"/>
          <w:szCs w:val="24"/>
          <w:lang w:eastAsia="es-MX"/>
        </w:rPr>
        <w:t>l</w:t>
      </w:r>
      <w:r w:rsidR="002F7D91" w:rsidRPr="002F7D91">
        <w:rPr>
          <w:rFonts w:ascii="Palatino Linotype" w:hAnsi="Palatino Linotype"/>
          <w:sz w:val="24"/>
          <w:szCs w:val="24"/>
          <w:lang w:eastAsia="es-MX"/>
        </w:rPr>
        <w:t>a documentación que justifique la toma de dicha decisión por parte de las autoridades municipales de Toluca</w:t>
      </w:r>
      <w:r w:rsidR="002F7D91" w:rsidRPr="002F7D91">
        <w:t xml:space="preserve"> </w:t>
      </w:r>
      <w:r w:rsidR="002F7D91" w:rsidRPr="002F7D91">
        <w:rPr>
          <w:rFonts w:ascii="Palatino Linotype" w:hAnsi="Palatino Linotype"/>
          <w:sz w:val="24"/>
          <w:szCs w:val="24"/>
          <w:lang w:eastAsia="es-MX"/>
        </w:rPr>
        <w:t>relativa a colocación de banderas correspondientes a diferentes países en las cornisas de la estructura metálica de la Plaza González Arratia</w:t>
      </w:r>
      <w:r w:rsidRPr="00AC1299">
        <w:rPr>
          <w:rFonts w:ascii="Palatino Linotype" w:hAnsi="Palatino Linotype"/>
          <w:sz w:val="24"/>
          <w:szCs w:val="24"/>
          <w:lang w:eastAsia="es-MX"/>
        </w:rPr>
        <w:t>, ello al remitir los documentos con las formalidades requeri</w:t>
      </w:r>
      <w:r>
        <w:rPr>
          <w:rFonts w:ascii="Palatino Linotype" w:hAnsi="Palatino Linotype"/>
          <w:sz w:val="24"/>
          <w:szCs w:val="24"/>
          <w:lang w:eastAsia="es-MX"/>
        </w:rPr>
        <w:t>das por el entonces solicitante.</w:t>
      </w:r>
    </w:p>
    <w:p w:rsidR="008611A8" w:rsidRDefault="008611A8" w:rsidP="00154FB8">
      <w:pPr>
        <w:pStyle w:val="Prrafodelista"/>
        <w:autoSpaceDE w:val="0"/>
        <w:autoSpaceDN w:val="0"/>
        <w:adjustRightInd w:val="0"/>
        <w:spacing w:line="360" w:lineRule="auto"/>
        <w:ind w:left="0"/>
        <w:jc w:val="both"/>
        <w:rPr>
          <w:rFonts w:ascii="Palatino Linotype" w:hAnsi="Palatino Linotype" w:cs="Arial"/>
        </w:rPr>
      </w:pPr>
    </w:p>
    <w:p w:rsidR="008611A8" w:rsidRDefault="008611A8" w:rsidP="008611A8">
      <w:pPr>
        <w:spacing w:after="0" w:line="360" w:lineRule="auto"/>
        <w:jc w:val="both"/>
        <w:rPr>
          <w:rFonts w:ascii="Palatino Linotype" w:hAnsi="Palatino Linotype" w:cs="Arial"/>
          <w:sz w:val="24"/>
          <w:szCs w:val="24"/>
        </w:rPr>
      </w:pPr>
      <w:r>
        <w:rPr>
          <w:rFonts w:ascii="Palatino Linotype" w:hAnsi="Palatino Linotype" w:cs="Arial"/>
          <w:sz w:val="24"/>
          <w:szCs w:val="24"/>
        </w:rPr>
        <w:t>Ahora bien, respecto a</w:t>
      </w:r>
      <w:r w:rsidR="00D6439C">
        <w:rPr>
          <w:rFonts w:ascii="Palatino Linotype" w:hAnsi="Palatino Linotype" w:cs="Arial"/>
          <w:sz w:val="24"/>
          <w:szCs w:val="24"/>
        </w:rPr>
        <w:t xml:space="preserve">l punto </w:t>
      </w:r>
      <w:r w:rsidR="00C82BFB">
        <w:rPr>
          <w:rFonts w:ascii="Palatino Linotype" w:hAnsi="Palatino Linotype" w:cs="Arial"/>
          <w:sz w:val="24"/>
          <w:szCs w:val="24"/>
        </w:rPr>
        <w:t>1</w:t>
      </w:r>
      <w:r>
        <w:rPr>
          <w:rFonts w:ascii="Palatino Linotype" w:hAnsi="Palatino Linotype" w:cs="Arial"/>
          <w:sz w:val="24"/>
          <w:szCs w:val="24"/>
        </w:rPr>
        <w:t xml:space="preserve"> de la solicitud de acceso a </w:t>
      </w:r>
      <w:r w:rsidR="00D6439C">
        <w:rPr>
          <w:rFonts w:ascii="Palatino Linotype" w:hAnsi="Palatino Linotype" w:cs="Arial"/>
          <w:sz w:val="24"/>
          <w:szCs w:val="24"/>
        </w:rPr>
        <w:t xml:space="preserve">la información, correspondiente </w:t>
      </w:r>
      <w:r w:rsidR="00C82BFB" w:rsidRPr="00C82BFB">
        <w:rPr>
          <w:rFonts w:ascii="Palatino Linotype" w:hAnsi="Palatino Linotype" w:cs="Arial"/>
          <w:sz w:val="24"/>
          <w:szCs w:val="24"/>
        </w:rPr>
        <w:t>a</w:t>
      </w:r>
      <w:r w:rsidR="002F7D91" w:rsidRPr="002F7D91">
        <w:rPr>
          <w:rFonts w:ascii="Palatino Linotype" w:hAnsi="Palatino Linotype" w:cs="Arial"/>
          <w:sz w:val="24"/>
          <w:szCs w:val="24"/>
        </w:rPr>
        <w:t>l proceso de adquisición</w:t>
      </w:r>
      <w:r w:rsidR="002F7D91" w:rsidRPr="002F7D91">
        <w:t xml:space="preserve"> </w:t>
      </w:r>
      <w:r w:rsidR="002F7D91" w:rsidRPr="002F7D91">
        <w:rPr>
          <w:rFonts w:ascii="Palatino Linotype" w:hAnsi="Palatino Linotype" w:cs="Arial"/>
          <w:sz w:val="24"/>
          <w:szCs w:val="24"/>
        </w:rPr>
        <w:t>relativa a colocación de banderas correspondientes a diferentes países en las cornisas de la estructura metálica de la Plaza González Arratia</w:t>
      </w:r>
      <w:r w:rsidR="00A46E99">
        <w:rPr>
          <w:rFonts w:ascii="Palatino Linotype" w:hAnsi="Palatino Linotype" w:cs="Arial"/>
          <w:sz w:val="24"/>
          <w:szCs w:val="24"/>
        </w:rPr>
        <w:t xml:space="preserve">, </w:t>
      </w:r>
      <w:r w:rsidR="00A46E99" w:rsidRPr="00A46E99">
        <w:rPr>
          <w:rFonts w:ascii="Palatino Linotype" w:hAnsi="Palatino Linotype" w:cs="Arial"/>
          <w:b/>
          <w:sz w:val="24"/>
          <w:szCs w:val="24"/>
        </w:rPr>
        <w:t>El S</w:t>
      </w:r>
      <w:r w:rsidRPr="00A46E99">
        <w:rPr>
          <w:rFonts w:ascii="Palatino Linotype" w:hAnsi="Palatino Linotype" w:cs="Arial"/>
          <w:b/>
          <w:sz w:val="24"/>
          <w:szCs w:val="24"/>
        </w:rPr>
        <w:t>ujet</w:t>
      </w:r>
      <w:r w:rsidR="00A46E99" w:rsidRPr="00A46E99">
        <w:rPr>
          <w:rFonts w:ascii="Palatino Linotype" w:hAnsi="Palatino Linotype" w:cs="Arial"/>
          <w:b/>
          <w:sz w:val="24"/>
          <w:szCs w:val="24"/>
        </w:rPr>
        <w:t>o O</w:t>
      </w:r>
      <w:r w:rsidRPr="00A46E99">
        <w:rPr>
          <w:rFonts w:ascii="Palatino Linotype" w:hAnsi="Palatino Linotype" w:cs="Arial"/>
          <w:b/>
          <w:sz w:val="24"/>
          <w:szCs w:val="24"/>
        </w:rPr>
        <w:t>bligado</w:t>
      </w:r>
      <w:r w:rsidRPr="00CB2ED7">
        <w:rPr>
          <w:rFonts w:ascii="Palatino Linotype" w:hAnsi="Palatino Linotype" w:cs="Arial"/>
          <w:sz w:val="24"/>
          <w:szCs w:val="24"/>
        </w:rPr>
        <w:t xml:space="preserve"> </w:t>
      </w:r>
      <w:r w:rsidR="00931FE9">
        <w:rPr>
          <w:rFonts w:ascii="Palatino Linotype" w:hAnsi="Palatino Linotype" w:cs="Arial"/>
          <w:sz w:val="24"/>
          <w:szCs w:val="24"/>
        </w:rPr>
        <w:t>manifestó</w:t>
      </w:r>
      <w:r w:rsidR="00A46E99">
        <w:rPr>
          <w:rFonts w:ascii="Palatino Linotype" w:hAnsi="Palatino Linotype" w:cs="Arial"/>
          <w:sz w:val="24"/>
          <w:szCs w:val="24"/>
        </w:rPr>
        <w:t xml:space="preserve"> en su respuesta primigenia, que</w:t>
      </w:r>
      <w:r w:rsidR="00761D2E">
        <w:rPr>
          <w:rFonts w:ascii="Palatino Linotype" w:hAnsi="Palatino Linotype" w:cs="Arial"/>
          <w:sz w:val="24"/>
          <w:szCs w:val="24"/>
        </w:rPr>
        <w:t xml:space="preserve"> </w:t>
      </w:r>
      <w:r w:rsidR="002F7D91" w:rsidRPr="002F7D91">
        <w:rPr>
          <w:rFonts w:ascii="Palatino Linotype" w:hAnsi="Palatino Linotype" w:cs="Arial"/>
          <w:sz w:val="24"/>
          <w:szCs w:val="24"/>
        </w:rPr>
        <w:t>el expediente de dicho procedimiento administrativo continua en proceso de integración</w:t>
      </w:r>
      <w:r w:rsidR="00761D2E">
        <w:rPr>
          <w:rFonts w:ascii="Palatino Linotype" w:hAnsi="Palatino Linotype" w:cs="Arial"/>
          <w:sz w:val="24"/>
          <w:szCs w:val="24"/>
        </w:rPr>
        <w:t>,</w:t>
      </w:r>
      <w:r w:rsidR="00761D2E" w:rsidRPr="00761D2E">
        <w:rPr>
          <w:rFonts w:ascii="Palatino Linotype" w:hAnsi="Palatino Linotype" w:cs="Arial"/>
          <w:sz w:val="24"/>
          <w:szCs w:val="24"/>
        </w:rPr>
        <w:t xml:space="preserve"> no </w:t>
      </w:r>
      <w:r w:rsidR="00761D2E">
        <w:rPr>
          <w:rFonts w:ascii="Palatino Linotype" w:hAnsi="Palatino Linotype" w:cs="Arial"/>
          <w:sz w:val="24"/>
          <w:szCs w:val="24"/>
        </w:rPr>
        <w:t>colmando así la pretensión del</w:t>
      </w:r>
      <w:r w:rsidR="00761D2E" w:rsidRPr="00761D2E">
        <w:rPr>
          <w:rFonts w:ascii="Palatino Linotype" w:hAnsi="Palatino Linotype" w:cs="Arial"/>
          <w:sz w:val="24"/>
          <w:szCs w:val="24"/>
        </w:rPr>
        <w:t xml:space="preserve"> </w:t>
      </w:r>
      <w:r w:rsidR="00761D2E" w:rsidRPr="00761D2E">
        <w:rPr>
          <w:rFonts w:ascii="Palatino Linotype" w:hAnsi="Palatino Linotype" w:cs="Arial"/>
          <w:b/>
          <w:sz w:val="24"/>
          <w:szCs w:val="24"/>
        </w:rPr>
        <w:t>Recurrente</w:t>
      </w:r>
      <w:r w:rsidR="00761D2E">
        <w:rPr>
          <w:rFonts w:ascii="Palatino Linotype" w:hAnsi="Palatino Linotype" w:cs="Arial"/>
          <w:b/>
          <w:sz w:val="24"/>
          <w:szCs w:val="24"/>
        </w:rPr>
        <w:t>,</w:t>
      </w:r>
      <w:r w:rsidRPr="00CB2ED7">
        <w:rPr>
          <w:rFonts w:ascii="Palatino Linotype" w:hAnsi="Palatino Linotype" w:cs="Arial"/>
          <w:sz w:val="24"/>
          <w:szCs w:val="24"/>
        </w:rPr>
        <w:t xml:space="preserve"> por lo que lo procedente es hacer estudio del marco normativo del</w:t>
      </w:r>
      <w:r w:rsidR="00A46E99">
        <w:rPr>
          <w:rFonts w:ascii="Palatino Linotype" w:hAnsi="Palatino Linotype" w:cs="Arial"/>
          <w:sz w:val="24"/>
          <w:szCs w:val="24"/>
        </w:rPr>
        <w:t xml:space="preserve"> </w:t>
      </w:r>
      <w:r w:rsidR="00A46E99" w:rsidRPr="00A46E99">
        <w:rPr>
          <w:rFonts w:ascii="Palatino Linotype" w:hAnsi="Palatino Linotype" w:cs="Arial"/>
          <w:b/>
          <w:sz w:val="24"/>
          <w:szCs w:val="24"/>
        </w:rPr>
        <w:t>Sujeto O</w:t>
      </w:r>
      <w:r w:rsidRPr="00A46E99">
        <w:rPr>
          <w:rFonts w:ascii="Palatino Linotype" w:hAnsi="Palatino Linotype" w:cs="Arial"/>
          <w:b/>
          <w:sz w:val="24"/>
          <w:szCs w:val="24"/>
        </w:rPr>
        <w:t>bligado</w:t>
      </w:r>
      <w:r w:rsidRPr="009B44CE">
        <w:rPr>
          <w:rFonts w:ascii="Palatino Linotype" w:hAnsi="Palatino Linotype" w:cs="Arial"/>
          <w:sz w:val="24"/>
          <w:szCs w:val="24"/>
        </w:rPr>
        <w:t xml:space="preserve"> para determinar si dentro de sus funciones, facultades y/o atribuciones le asisten las de tener en sus archivos la información solicitada</w:t>
      </w:r>
      <w:r w:rsidR="00AD19EF">
        <w:rPr>
          <w:rFonts w:ascii="Palatino Linotype" w:hAnsi="Palatino Linotype" w:cs="Arial"/>
          <w:sz w:val="24"/>
          <w:szCs w:val="24"/>
        </w:rPr>
        <w:t xml:space="preserve"> en el punto petitorio</w:t>
      </w:r>
      <w:r w:rsidR="00A46E99">
        <w:rPr>
          <w:rFonts w:ascii="Palatino Linotype" w:hAnsi="Palatino Linotype" w:cs="Arial"/>
          <w:sz w:val="24"/>
          <w:szCs w:val="24"/>
        </w:rPr>
        <w:t xml:space="preserve"> del presente apartado</w:t>
      </w:r>
      <w:r w:rsidRPr="009B44CE">
        <w:rPr>
          <w:rFonts w:ascii="Palatino Linotype" w:hAnsi="Palatino Linotype" w:cs="Arial"/>
          <w:sz w:val="24"/>
          <w:szCs w:val="24"/>
        </w:rPr>
        <w:t>.</w:t>
      </w:r>
    </w:p>
    <w:p w:rsidR="008611A8" w:rsidRDefault="008611A8" w:rsidP="008611A8">
      <w:pPr>
        <w:spacing w:after="0" w:line="360" w:lineRule="auto"/>
        <w:jc w:val="both"/>
        <w:rPr>
          <w:rFonts w:ascii="Palatino Linotype" w:hAnsi="Palatino Linotype" w:cs="Arial"/>
          <w:sz w:val="24"/>
          <w:szCs w:val="24"/>
        </w:rPr>
      </w:pPr>
    </w:p>
    <w:p w:rsidR="009249DB" w:rsidRPr="009249DB" w:rsidRDefault="008611A8" w:rsidP="009249DB">
      <w:pPr>
        <w:pStyle w:val="Sinespaciado"/>
        <w:spacing w:line="360" w:lineRule="auto"/>
        <w:jc w:val="both"/>
        <w:rPr>
          <w:rFonts w:ascii="Palatino Linotype" w:hAnsi="Palatino Linotype"/>
        </w:rPr>
      </w:pPr>
      <w:r>
        <w:rPr>
          <w:rFonts w:ascii="Palatino Linotype" w:hAnsi="Palatino Linotype"/>
          <w:lang w:eastAsia="es-MX"/>
        </w:rPr>
        <w:t xml:space="preserve">Por lo anterior, </w:t>
      </w:r>
      <w:r w:rsidRPr="004B2378">
        <w:rPr>
          <w:rFonts w:ascii="Palatino Linotype" w:hAnsi="Palatino Linotype"/>
          <w:lang w:eastAsia="es-MX"/>
        </w:rPr>
        <w:t>es necesario señalar el contenido de</w:t>
      </w:r>
      <w:r w:rsidR="00A96C73">
        <w:rPr>
          <w:rFonts w:ascii="Palatino Linotype" w:hAnsi="Palatino Linotype"/>
          <w:lang w:eastAsia="es-MX"/>
        </w:rPr>
        <w:t xml:space="preserve"> los artículos </w:t>
      </w:r>
      <w:r w:rsidR="009249DB" w:rsidRPr="009249DB">
        <w:rPr>
          <w:rFonts w:ascii="Palatino Linotype" w:hAnsi="Palatino Linotype"/>
        </w:rPr>
        <w:t>31, 53, 96, 99, 100, 101 de la Ley Orgánica Municipal del Estado de México</w:t>
      </w:r>
      <w:r w:rsidR="009249DB" w:rsidRPr="009249DB">
        <w:rPr>
          <w:rFonts w:ascii="Palatino Linotype" w:hAnsi="Palatino Linotype"/>
          <w:b/>
        </w:rPr>
        <w:t xml:space="preserve">; </w:t>
      </w:r>
      <w:r w:rsidR="009249DB" w:rsidRPr="009249DB">
        <w:rPr>
          <w:rFonts w:ascii="Palatino Linotype" w:hAnsi="Palatino Linotype"/>
        </w:rPr>
        <w:t>normatividad invocada que dispone a la literalidad:</w:t>
      </w:r>
    </w:p>
    <w:p w:rsidR="009249DB" w:rsidRPr="009249DB" w:rsidRDefault="009249DB" w:rsidP="009249DB">
      <w:pPr>
        <w:spacing w:after="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 xml:space="preserve">Artículo 31.- </w:t>
      </w:r>
      <w:r w:rsidRPr="009249DB">
        <w:rPr>
          <w:rFonts w:ascii="Palatino Linotype" w:eastAsia="Times New Roman" w:hAnsi="Palatino Linotype" w:cs="Times New Roman"/>
          <w:i/>
          <w:lang w:eastAsia="es-ES"/>
        </w:rPr>
        <w:t>Son atribuciones de los ayuntamientos</w:t>
      </w:r>
      <w:r w:rsidRPr="009249DB">
        <w:rPr>
          <w:rFonts w:ascii="Palatino Linotype" w:eastAsia="Times New Roman" w:hAnsi="Palatino Linotype" w:cs="Times New Roman"/>
          <w:b/>
          <w:i/>
          <w:lang w:eastAsia="es-ES"/>
        </w:rPr>
        <w:t>:</w:t>
      </w:r>
    </w:p>
    <w:p w:rsidR="009249DB" w:rsidRP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 xml:space="preserve">VII. Convenir, contratar o concesionar, </w:t>
      </w:r>
      <w:r w:rsidRPr="009249DB">
        <w:rPr>
          <w:rFonts w:ascii="Palatino Linotype" w:eastAsia="Times New Roman" w:hAnsi="Palatino Linotype" w:cs="Times New Roman"/>
          <w:i/>
          <w:lang w:eastAsia="es-ES"/>
        </w:rPr>
        <w:t xml:space="preserve">en términos de ley, </w:t>
      </w:r>
      <w:r w:rsidRPr="009249DB">
        <w:rPr>
          <w:rFonts w:ascii="Palatino Linotype" w:eastAsia="Times New Roman" w:hAnsi="Palatino Linotype" w:cs="Times New Roman"/>
          <w:b/>
          <w:i/>
          <w:lang w:eastAsia="es-ES"/>
        </w:rPr>
        <w:t xml:space="preserve">la ejecución de obras y la prestación de servicios públicos, con el Estado, con otros municipios </w:t>
      </w:r>
      <w:r w:rsidRPr="009249DB">
        <w:rPr>
          <w:rFonts w:ascii="Palatino Linotype" w:eastAsia="Times New Roman" w:hAnsi="Palatino Linotype" w:cs="Times New Roman"/>
          <w:i/>
          <w:lang w:eastAsia="es-ES"/>
        </w:rPr>
        <w:t>de la entidad o con particulares, recabando, cuando proceda, la autorización de la Legislatura del Estado</w:t>
      </w:r>
      <w:r w:rsidRPr="009249DB">
        <w:rPr>
          <w:rFonts w:ascii="Palatino Linotype" w:eastAsia="Times New Roman" w:hAnsi="Palatino Linotype" w:cs="Times New Roman"/>
          <w:b/>
          <w:i/>
          <w:lang w:eastAsia="es-ES"/>
        </w:rPr>
        <w:t>;</w:t>
      </w:r>
    </w:p>
    <w:p w:rsidR="009249DB" w:rsidRP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w:t>
      </w:r>
    </w:p>
    <w:p w:rsidR="009249DB" w:rsidRP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lastRenderedPageBreak/>
        <w:t>XVIII. Administrar su hacienda en términos de ley, y controlar a través del presidente y síndico la aplicación del presupuesto de egresos del municipio;</w:t>
      </w:r>
    </w:p>
    <w:p w:rsidR="009249DB" w:rsidRP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 xml:space="preserve">XIX. Aprobar anualmente a más tardar el 20 de diciembre, su Presupuesto de Egresos, </w:t>
      </w:r>
      <w:r w:rsidRPr="009249DB">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9249DB">
        <w:rPr>
          <w:rFonts w:ascii="Palatino Linotype" w:eastAsia="Times New Roman" w:hAnsi="Palatino Linotype" w:cs="Times New Roman"/>
          <w:b/>
          <w:i/>
          <w:lang w:eastAsia="es-ES"/>
        </w:rPr>
        <w:t xml:space="preserve">… </w:t>
      </w:r>
    </w:p>
    <w:p w:rsidR="009249DB" w:rsidRDefault="009249DB" w:rsidP="009249DB">
      <w:pPr>
        <w:spacing w:after="120" w:line="240" w:lineRule="auto"/>
        <w:ind w:left="851" w:right="851"/>
        <w:jc w:val="both"/>
        <w:rPr>
          <w:rFonts w:ascii="Palatino Linotype" w:eastAsia="Times New Roman" w:hAnsi="Palatino Linotype" w:cs="Times New Roman"/>
          <w:b/>
          <w:i/>
          <w:lang w:eastAsia="es-ES"/>
        </w:rPr>
      </w:pPr>
      <w:r w:rsidRPr="009249DB">
        <w:rPr>
          <w:rFonts w:ascii="Palatino Linotype" w:eastAsia="Times New Roman" w:hAnsi="Palatino Linotype" w:cs="Times New Roman"/>
          <w:b/>
          <w:i/>
          <w:lang w:eastAsia="es-ES"/>
        </w:rPr>
        <w:t>(…)</w:t>
      </w:r>
    </w:p>
    <w:p w:rsidR="009249DB" w:rsidRPr="009249DB" w:rsidRDefault="009249DB" w:rsidP="00CA0516">
      <w:pPr>
        <w:autoSpaceDE w:val="0"/>
        <w:autoSpaceDN w:val="0"/>
        <w:adjustRightInd w:val="0"/>
        <w:spacing w:after="120" w:line="240" w:lineRule="auto"/>
        <w:ind w:right="616"/>
        <w:jc w:val="both"/>
        <w:rPr>
          <w:rFonts w:ascii="Palatino Linotype" w:eastAsia="Times New Roman" w:hAnsi="Palatino Linotype" w:cs="Times New Roman"/>
          <w:b/>
          <w:i/>
          <w:lang w:val="es-ES" w:eastAsia="es-ES"/>
        </w:rPr>
      </w:pP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Artículo 99.</w:t>
      </w:r>
      <w:r w:rsidRPr="009249DB">
        <w:rPr>
          <w:rFonts w:ascii="Palatino Linotype" w:eastAsia="Times New Roman" w:hAnsi="Palatino Linotype" w:cs="Times New Roman"/>
          <w:i/>
          <w:lang w:val="es-ES" w:eastAsia="es-ES"/>
        </w:rPr>
        <w:t xml:space="preserve">- </w:t>
      </w:r>
      <w:r w:rsidRPr="009249DB">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9249DB">
        <w:rPr>
          <w:rFonts w:ascii="Palatino Linotype" w:eastAsia="Times New Roman" w:hAnsi="Palatino Linotype" w:cs="Times New Roman"/>
          <w:i/>
          <w:lang w:val="es-ES" w:eastAsia="es-ES"/>
        </w:rPr>
        <w:t>, para su consideración y aprobación.</w:t>
      </w: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9249DB">
        <w:rPr>
          <w:rFonts w:ascii="Palatino Linotype" w:eastAsia="Times New Roman" w:hAnsi="Palatino Linotype" w:cs="Times New Roman"/>
          <w:b/>
          <w:i/>
          <w:lang w:val="es-ES" w:eastAsia="es-ES"/>
        </w:rPr>
        <w:t xml:space="preserve">Artículo 100.- </w:t>
      </w:r>
      <w:r w:rsidRPr="009249DB">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9249DB">
        <w:rPr>
          <w:rFonts w:ascii="Palatino Linotype" w:eastAsia="Times New Roman" w:hAnsi="Palatino Linotype" w:cs="Times New Roman"/>
          <w:i/>
          <w:u w:val="single"/>
          <w:lang w:val="es-ES" w:eastAsia="es-ES"/>
        </w:rPr>
        <w:t xml:space="preserve"> </w:t>
      </w: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rsidR="009249DB" w:rsidRPr="009249DB" w:rsidRDefault="009249DB" w:rsidP="009249DB">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Artículo 101.-</w:t>
      </w:r>
      <w:r w:rsidRPr="009249DB">
        <w:rPr>
          <w:rFonts w:ascii="Palatino Linotype" w:eastAsia="Times New Roman" w:hAnsi="Palatino Linotype" w:cs="Times New Roman"/>
          <w:i/>
          <w:lang w:val="es-ES" w:eastAsia="es-ES"/>
        </w:rPr>
        <w:t xml:space="preserve"> El proyecto del presupuesto de egresos se integrará básicamente con: </w:t>
      </w:r>
    </w:p>
    <w:p w:rsidR="009249DB" w:rsidRPr="009249DB" w:rsidRDefault="009249DB" w:rsidP="009249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I.</w:t>
      </w:r>
      <w:r w:rsidRPr="009249DB">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rsidR="009249DB" w:rsidRPr="009249DB" w:rsidRDefault="009249DB" w:rsidP="009249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II.</w:t>
      </w:r>
      <w:r w:rsidRPr="009249DB">
        <w:rPr>
          <w:rFonts w:ascii="Palatino Linotype" w:eastAsia="Times New Roman" w:hAnsi="Palatino Linotype" w:cs="Times New Roman"/>
          <w:i/>
          <w:lang w:val="es-ES" w:eastAsia="es-ES"/>
        </w:rPr>
        <w:t xml:space="preserve"> Estimación de los ingresos y gastos del ejercicio fiscal calendarizados; </w:t>
      </w:r>
    </w:p>
    <w:p w:rsidR="009249DB" w:rsidRPr="009249DB" w:rsidRDefault="009249DB" w:rsidP="009249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9249DB">
        <w:rPr>
          <w:rFonts w:ascii="Palatino Linotype" w:eastAsia="Times New Roman" w:hAnsi="Palatino Linotype" w:cs="Times New Roman"/>
          <w:b/>
          <w:i/>
          <w:lang w:val="es-ES" w:eastAsia="es-ES"/>
        </w:rPr>
        <w:t>III</w:t>
      </w:r>
      <w:r w:rsidRPr="009249DB">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r w:rsidRPr="009249DB">
        <w:rPr>
          <w:rFonts w:ascii="Palatino Linotype" w:eastAsia="Times New Roman" w:hAnsi="Palatino Linotype" w:cs="Times New Roman"/>
          <w:b/>
          <w:i/>
          <w:lang w:val="es-ES" w:eastAsia="es-ES"/>
        </w:rPr>
        <w:t xml:space="preserve"> </w:t>
      </w:r>
      <w:r w:rsidRPr="009249DB">
        <w:rPr>
          <w:rFonts w:ascii="Palatino Linotype" w:eastAsia="Calibri" w:hAnsi="Palatino Linotype" w:cs="Times New Roman"/>
          <w:b/>
          <w:i/>
        </w:rPr>
        <w:t>[Sic]</w:t>
      </w:r>
    </w:p>
    <w:p w:rsidR="009249DB" w:rsidRPr="009249DB" w:rsidRDefault="009249DB" w:rsidP="009249DB">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p>
    <w:p w:rsidR="009249DB" w:rsidRPr="009249DB" w:rsidRDefault="009249DB" w:rsidP="009249DB">
      <w:pPr>
        <w:spacing w:after="0" w:line="360" w:lineRule="auto"/>
        <w:jc w:val="both"/>
        <w:rPr>
          <w:rFonts w:ascii="Palatino Linotype" w:eastAsia="Calibri" w:hAnsi="Palatino Linotype" w:cs="Times New Roman"/>
          <w:sz w:val="24"/>
          <w:szCs w:val="24"/>
        </w:rPr>
      </w:pPr>
      <w:r w:rsidRPr="009249DB">
        <w:rPr>
          <w:rFonts w:ascii="Palatino Linotype" w:eastAsia="Calibri" w:hAnsi="Palatino Linotype" w:cs="Times New Roman"/>
          <w:sz w:val="24"/>
          <w:szCs w:val="24"/>
        </w:rPr>
        <w:t>Del análisis sistemático y armónico de la normatividad previamente plasmada se desprende que el presidente municipal presentará anualmente al Ayuntamiento a más tardar el 20 de diciembre el proyecto del presupuesto de egresos y la forma en que estará integrado el proyecto del presupuesto de egresos que habrá de ser aprobado por el cabildo municipal.</w:t>
      </w:r>
    </w:p>
    <w:p w:rsidR="009249DB" w:rsidRPr="009249DB" w:rsidRDefault="009249DB" w:rsidP="009249DB">
      <w:pPr>
        <w:spacing w:after="0" w:line="360" w:lineRule="auto"/>
        <w:jc w:val="both"/>
        <w:rPr>
          <w:rFonts w:ascii="Palatino Linotype" w:eastAsia="Calibri" w:hAnsi="Palatino Linotype" w:cs="Times New Roman"/>
          <w:sz w:val="24"/>
          <w:szCs w:val="24"/>
        </w:rPr>
      </w:pPr>
    </w:p>
    <w:p w:rsidR="009249DB" w:rsidRPr="009249DB" w:rsidRDefault="009249DB" w:rsidP="009249DB">
      <w:pPr>
        <w:spacing w:after="0" w:line="360" w:lineRule="auto"/>
        <w:contextualSpacing/>
        <w:jc w:val="both"/>
        <w:rPr>
          <w:rFonts w:ascii="Palatino Linotype" w:eastAsia="Calibri" w:hAnsi="Palatino Linotype" w:cs="Times New Roman"/>
          <w:sz w:val="24"/>
        </w:rPr>
      </w:pPr>
      <w:r w:rsidRPr="009249DB">
        <w:rPr>
          <w:rFonts w:ascii="Palatino Linotype" w:eastAsia="Calibri" w:hAnsi="Palatino Linotype" w:cs="Times New Roman"/>
          <w:sz w:val="24"/>
          <w:szCs w:val="24"/>
        </w:rPr>
        <w:lastRenderedPageBreak/>
        <w:t>Aunado a lo anteriormente expuesto</w:t>
      </w:r>
      <w:r w:rsidRPr="009249DB">
        <w:rPr>
          <w:rFonts w:ascii="Palatino Linotype" w:eastAsia="Calibri" w:hAnsi="Palatino Linotype" w:cs="Times New Roman"/>
          <w:sz w:val="24"/>
          <w:lang w:val="es-AR"/>
        </w:rPr>
        <w:t xml:space="preserve"> es importante señalar que el </w:t>
      </w:r>
      <w:r w:rsidRPr="009249DB">
        <w:rPr>
          <w:rFonts w:ascii="Palatino Linotype" w:eastAsia="Calibri" w:hAnsi="Palatino Linotype" w:cs="Times New Roman"/>
          <w:b/>
          <w:sz w:val="24"/>
        </w:rPr>
        <w:t>Manual para la Planeación, Programación y Presupuestación Municipal para el Ejercicio Fiscal 2019</w:t>
      </w:r>
      <w:r w:rsidRPr="009249DB">
        <w:rPr>
          <w:rFonts w:ascii="Palatino Linotype" w:eastAsia="Calibri" w:hAnsi="Palatino Linotype" w:cs="Times New Roman"/>
          <w:sz w:val="24"/>
        </w:rPr>
        <w:t>, dentro de su Marco Conceptual numeral 1.2, definen al presupuesto como:</w:t>
      </w:r>
    </w:p>
    <w:p w:rsidR="009249DB" w:rsidRPr="009249DB" w:rsidRDefault="009249DB" w:rsidP="009249DB">
      <w:pPr>
        <w:spacing w:after="0" w:line="240" w:lineRule="auto"/>
        <w:rPr>
          <w:rFonts w:ascii="Times New Roman" w:eastAsia="MS Mincho" w:hAnsi="Times New Roman" w:cs="Times New Roman"/>
          <w:sz w:val="14"/>
          <w:szCs w:val="24"/>
          <w:lang w:eastAsia="es-ES"/>
        </w:rPr>
      </w:pP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b/>
          <w:i/>
        </w:rPr>
      </w:pPr>
      <w:r w:rsidRPr="009249DB">
        <w:rPr>
          <w:rFonts w:ascii="Palatino Linotype" w:eastAsia="Calibri" w:hAnsi="Palatino Linotype" w:cs="Times New Roman"/>
          <w:i/>
        </w:rPr>
        <w:t>“</w:t>
      </w:r>
      <w:r w:rsidRPr="009249DB">
        <w:rPr>
          <w:rFonts w:ascii="Palatino Linotype" w:eastAsia="Calibri" w:hAnsi="Palatino Linotype" w:cs="Times New Roman"/>
          <w:b/>
          <w:i/>
        </w:rPr>
        <w:t>I.2 Marco Conceptual</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Definición del Presupuesto.-</w:t>
      </w:r>
      <w:r w:rsidRPr="009249DB">
        <w:rPr>
          <w:rFonts w:ascii="Palatino Linotype" w:eastAsia="Calibri" w:hAnsi="Palatino Linotype" w:cs="Times New Roman"/>
          <w:i/>
        </w:rPr>
        <w:t xml:space="preserve"> Con base en lo que establece el artículo 285, del Código Financiero del Estado de México y Municipios, el </w:t>
      </w:r>
      <w:r w:rsidRPr="009249DB">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9249DB">
        <w:rPr>
          <w:rFonts w:ascii="Palatino Linotype" w:eastAsia="Calibri" w:hAnsi="Palatino Linotype" w:cs="Times New Roman"/>
          <w:i/>
        </w:rPr>
        <w:t>.</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En otra perspectiva, </w:t>
      </w:r>
      <w:r w:rsidRPr="009249DB">
        <w:rPr>
          <w:rFonts w:ascii="Palatino Linotype" w:eastAsia="Calibri" w:hAnsi="Palatino Linotype" w:cs="Times New Roman"/>
          <w:b/>
          <w:bCs/>
          <w:i/>
        </w:rPr>
        <w:t>el presupuesto puede definirse como “la expresión contable de los gastos de un determinado período</w:t>
      </w:r>
      <w:r w:rsidRPr="009249DB">
        <w:rPr>
          <w:rFonts w:ascii="Palatino Linotype" w:eastAsia="Calibri" w:hAnsi="Palatino Linotype" w:cs="Times New Roman"/>
          <w:i/>
        </w:rPr>
        <w:t>, obteniendo los límites de autorización por parte del Cabildo para cumplir con los fines políticos, económicos y sociales para dar cumplimiento al mandato legal”.</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Para efecto de este manual, </w:t>
      </w:r>
      <w:r w:rsidRPr="009249DB">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9249DB">
        <w:rPr>
          <w:rFonts w:ascii="Palatino Linotype" w:eastAsia="Calibri" w:hAnsi="Palatino Linotype" w:cs="Times New Roman"/>
          <w:i/>
        </w:rPr>
        <w:t>.</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El presupuesto público involucra los planes, políticas, programas, proyectos, estrategias y objetivos del municipio, como medio efectivo de control del gasto público</w:t>
      </w:r>
      <w:r w:rsidRPr="009249DB">
        <w:rPr>
          <w:rFonts w:ascii="Palatino Linotype" w:eastAsia="Calibri" w:hAnsi="Palatino Linotype" w:cs="Times New Roman"/>
          <w:i/>
        </w:rPr>
        <w:t xml:space="preserve"> y en ellos se fundamentan las diferentes alternativas de asignación de recursos para gastos e inversiones.</w:t>
      </w:r>
    </w:p>
    <w:p w:rsidR="009249DB" w:rsidRPr="009249DB" w:rsidRDefault="009249DB" w:rsidP="009249DB">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w:t>
      </w:r>
      <w:r w:rsidRPr="009249DB">
        <w:rPr>
          <w:rFonts w:ascii="Palatino Linotype" w:eastAsia="Calibri" w:hAnsi="Palatino Linotype" w:cs="Times New Roman"/>
          <w:i/>
        </w:rPr>
        <w:t>”</w:t>
      </w:r>
    </w:p>
    <w:p w:rsidR="009249DB" w:rsidRPr="009249DB" w:rsidRDefault="009249DB" w:rsidP="009249DB">
      <w:pPr>
        <w:spacing w:before="240" w:after="240" w:line="360" w:lineRule="auto"/>
        <w:contextualSpacing/>
        <w:jc w:val="both"/>
        <w:rPr>
          <w:rFonts w:ascii="Palatino Linotype" w:eastAsia="Calibri" w:hAnsi="Palatino Linotype" w:cs="Times New Roman"/>
          <w:sz w:val="24"/>
        </w:rPr>
      </w:pPr>
    </w:p>
    <w:p w:rsidR="009249DB" w:rsidRPr="009249DB" w:rsidRDefault="009249DB" w:rsidP="009249DB">
      <w:pPr>
        <w:spacing w:before="240" w:after="240" w:line="360" w:lineRule="auto"/>
        <w:contextualSpacing/>
        <w:jc w:val="both"/>
        <w:rPr>
          <w:rFonts w:ascii="Palatino Linotype" w:eastAsia="Calibri" w:hAnsi="Palatino Linotype" w:cs="Times New Roman"/>
          <w:sz w:val="24"/>
        </w:rPr>
      </w:pPr>
      <w:r w:rsidRPr="009249DB">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w:t>
      </w:r>
      <w:r w:rsidRPr="009249DB">
        <w:rPr>
          <w:rFonts w:ascii="Palatino Linotype" w:eastAsia="Calibri" w:hAnsi="Palatino Linotype" w:cs="Times New Roman"/>
          <w:sz w:val="24"/>
        </w:rPr>
        <w:lastRenderedPageBreak/>
        <w:t xml:space="preserve">presupuesto se lleva a cabo una organización para la asignación de recursos públicos, actividad en donde identifican las estructuras programáticas, administrativas y del gasto para la orientación, asignación y ejercicio del recurso, asimismo </w:t>
      </w:r>
      <w:r w:rsidRPr="009249DB">
        <w:rPr>
          <w:rFonts w:ascii="Palatino Linotype" w:eastAsia="Calibri" w:hAnsi="Palatino Linotype" w:cs="Times New Roman"/>
          <w:sz w:val="24"/>
          <w:u w:val="single"/>
        </w:rPr>
        <w:t xml:space="preserve">establece que el presupuesto público involucra los planes, políticas, programas, proyectos, </w:t>
      </w:r>
      <w:r w:rsidRPr="009249DB">
        <w:rPr>
          <w:rFonts w:ascii="Palatino Linotype" w:eastAsia="Calibri" w:hAnsi="Palatino Linotype" w:cs="Times New Roman"/>
          <w:bCs/>
          <w:sz w:val="24"/>
          <w:u w:val="single"/>
        </w:rPr>
        <w:t>estrategias y objetivos del municipio, como medio efectivo de control del gasto público</w:t>
      </w:r>
      <w:r w:rsidRPr="009249DB">
        <w:rPr>
          <w:rFonts w:ascii="Palatino Linotype" w:eastAsia="Calibri" w:hAnsi="Palatino Linotype" w:cs="Times New Roman"/>
          <w:sz w:val="24"/>
          <w:u w:val="single"/>
        </w:rPr>
        <w:t>.</w:t>
      </w:r>
    </w:p>
    <w:p w:rsidR="009249DB" w:rsidRPr="009249DB" w:rsidRDefault="009249DB" w:rsidP="009249DB">
      <w:pPr>
        <w:spacing w:after="0" w:line="360" w:lineRule="auto"/>
        <w:jc w:val="both"/>
        <w:rPr>
          <w:rFonts w:ascii="Palatino Linotype" w:eastAsia="Calibri" w:hAnsi="Palatino Linotype" w:cs="Times New Roman"/>
          <w:sz w:val="24"/>
          <w:szCs w:val="24"/>
        </w:rPr>
      </w:pPr>
    </w:p>
    <w:p w:rsidR="009249DB" w:rsidRPr="009249DB" w:rsidRDefault="009249DB" w:rsidP="009249DB">
      <w:pPr>
        <w:spacing w:after="0" w:line="360" w:lineRule="auto"/>
        <w:jc w:val="both"/>
        <w:rPr>
          <w:rFonts w:ascii="Palatino Linotype" w:eastAsia="Calibri" w:hAnsi="Palatino Linotype" w:cs="Arial"/>
          <w:sz w:val="24"/>
          <w:szCs w:val="24"/>
          <w:lang w:val="es-ES" w:eastAsia="es-ES"/>
        </w:rPr>
      </w:pPr>
      <w:r w:rsidRPr="009249DB">
        <w:rPr>
          <w:rFonts w:ascii="Palatino Linotype" w:eastAsia="Calibri" w:hAnsi="Palatino Linotype" w:cs="Times New Roman"/>
          <w:sz w:val="24"/>
          <w:szCs w:val="24"/>
        </w:rPr>
        <w:t xml:space="preserve">Adicionalmente, a lo antes expuesto, resulta oportuno señalar </w:t>
      </w:r>
      <w:r w:rsidRPr="009249DB">
        <w:rPr>
          <w:rFonts w:ascii="Palatino Linotype" w:eastAsia="Calibri" w:hAnsi="Palatino Linotype" w:cs="Arial"/>
          <w:sz w:val="24"/>
          <w:szCs w:val="24"/>
          <w:lang w:val="es-ES" w:eastAsia="es-ES"/>
        </w:rPr>
        <w:t xml:space="preserve">lo dispuesto en </w:t>
      </w:r>
      <w:r w:rsidR="00E67B85" w:rsidRPr="00E67B85">
        <w:rPr>
          <w:rFonts w:ascii="Palatino Linotype" w:eastAsia="Calibri" w:hAnsi="Palatino Linotype" w:cs="Arial"/>
          <w:sz w:val="24"/>
          <w:szCs w:val="24"/>
          <w:lang w:eastAsia="es-ES"/>
        </w:rPr>
        <w:t xml:space="preserve">Ley </w:t>
      </w:r>
      <w:r w:rsidR="00E67B85">
        <w:rPr>
          <w:rFonts w:ascii="Palatino Linotype" w:eastAsia="Calibri" w:hAnsi="Palatino Linotype" w:cs="Arial"/>
          <w:sz w:val="24"/>
          <w:szCs w:val="24"/>
          <w:lang w:eastAsia="es-ES"/>
        </w:rPr>
        <w:t>d</w:t>
      </w:r>
      <w:r w:rsidR="00E67B85" w:rsidRPr="00E67B85">
        <w:rPr>
          <w:rFonts w:ascii="Palatino Linotype" w:eastAsia="Calibri" w:hAnsi="Palatino Linotype" w:cs="Arial"/>
          <w:sz w:val="24"/>
          <w:szCs w:val="24"/>
          <w:lang w:eastAsia="es-ES"/>
        </w:rPr>
        <w:t xml:space="preserve">e Adquisiciones </w:t>
      </w:r>
      <w:r w:rsidR="00E67B85">
        <w:rPr>
          <w:rFonts w:ascii="Palatino Linotype" w:eastAsia="Calibri" w:hAnsi="Palatino Linotype" w:cs="Arial"/>
          <w:sz w:val="24"/>
          <w:szCs w:val="24"/>
          <w:lang w:eastAsia="es-ES"/>
        </w:rPr>
        <w:t>d</w:t>
      </w:r>
      <w:r w:rsidR="00E67B85" w:rsidRPr="00E67B85">
        <w:rPr>
          <w:rFonts w:ascii="Palatino Linotype" w:eastAsia="Calibri" w:hAnsi="Palatino Linotype" w:cs="Arial"/>
          <w:sz w:val="24"/>
          <w:szCs w:val="24"/>
          <w:lang w:eastAsia="es-ES"/>
        </w:rPr>
        <w:t xml:space="preserve">e Bienes Muebles </w:t>
      </w:r>
      <w:r w:rsidR="00E67B85">
        <w:rPr>
          <w:rFonts w:ascii="Palatino Linotype" w:eastAsia="Calibri" w:hAnsi="Palatino Linotype" w:cs="Arial"/>
          <w:sz w:val="24"/>
          <w:szCs w:val="24"/>
          <w:lang w:eastAsia="es-ES"/>
        </w:rPr>
        <w:t>y</w:t>
      </w:r>
      <w:r w:rsidR="00E67B85" w:rsidRPr="00E67B85">
        <w:rPr>
          <w:rFonts w:ascii="Palatino Linotype" w:eastAsia="Calibri" w:hAnsi="Palatino Linotype" w:cs="Arial"/>
          <w:sz w:val="24"/>
          <w:szCs w:val="24"/>
          <w:lang w:eastAsia="es-ES"/>
        </w:rPr>
        <w:t xml:space="preserve"> Servicios </w:t>
      </w:r>
      <w:r w:rsidR="00E67B85">
        <w:rPr>
          <w:rFonts w:ascii="Palatino Linotype" w:eastAsia="Calibri" w:hAnsi="Palatino Linotype" w:cs="Arial"/>
          <w:sz w:val="24"/>
          <w:szCs w:val="24"/>
          <w:lang w:eastAsia="es-ES"/>
        </w:rPr>
        <w:t>d</w:t>
      </w:r>
      <w:r w:rsidR="00E67B85" w:rsidRPr="00E67B85">
        <w:rPr>
          <w:rFonts w:ascii="Palatino Linotype" w:eastAsia="Calibri" w:hAnsi="Palatino Linotype" w:cs="Arial"/>
          <w:sz w:val="24"/>
          <w:szCs w:val="24"/>
          <w:lang w:eastAsia="es-ES"/>
        </w:rPr>
        <w:t xml:space="preserve">el Estado </w:t>
      </w:r>
      <w:r w:rsidR="00E67B85">
        <w:rPr>
          <w:rFonts w:ascii="Palatino Linotype" w:eastAsia="Calibri" w:hAnsi="Palatino Linotype" w:cs="Arial"/>
          <w:sz w:val="24"/>
          <w:szCs w:val="24"/>
          <w:lang w:eastAsia="es-ES"/>
        </w:rPr>
        <w:t>d</w:t>
      </w:r>
      <w:r w:rsidR="00E67B85" w:rsidRPr="00E67B85">
        <w:rPr>
          <w:rFonts w:ascii="Palatino Linotype" w:eastAsia="Calibri" w:hAnsi="Palatino Linotype" w:cs="Arial"/>
          <w:sz w:val="24"/>
          <w:szCs w:val="24"/>
          <w:lang w:eastAsia="es-ES"/>
        </w:rPr>
        <w:t>e México</w:t>
      </w:r>
      <w:r w:rsidRPr="009249DB">
        <w:rPr>
          <w:rFonts w:ascii="Palatino Linotype" w:eastAsia="Calibri" w:hAnsi="Palatino Linotype" w:cs="Arial"/>
          <w:sz w:val="24"/>
          <w:szCs w:val="24"/>
          <w:lang w:val="es-ES" w:eastAsia="es-ES"/>
        </w:rPr>
        <w:t xml:space="preserve">, </w:t>
      </w:r>
      <w:r w:rsidR="00E67B85">
        <w:rPr>
          <w:rFonts w:ascii="Palatino Linotype" w:eastAsia="Calibri" w:hAnsi="Palatino Linotype" w:cs="Arial"/>
          <w:sz w:val="24"/>
          <w:szCs w:val="24"/>
          <w:lang w:val="es-ES" w:eastAsia="es-ES"/>
        </w:rPr>
        <w:t>la</w:t>
      </w:r>
      <w:r w:rsidRPr="009249DB">
        <w:rPr>
          <w:rFonts w:ascii="Palatino Linotype" w:eastAsia="Calibri" w:hAnsi="Palatino Linotype" w:cs="Arial"/>
          <w:sz w:val="24"/>
          <w:szCs w:val="24"/>
          <w:lang w:val="es-ES" w:eastAsia="es-ES"/>
        </w:rPr>
        <w:t xml:space="preserve"> cual refiere: </w:t>
      </w:r>
    </w:p>
    <w:p w:rsidR="009249DB" w:rsidRPr="009249DB" w:rsidRDefault="009249DB" w:rsidP="009249DB">
      <w:pPr>
        <w:tabs>
          <w:tab w:val="left" w:pos="8647"/>
        </w:tabs>
        <w:spacing w:after="0" w:line="240" w:lineRule="auto"/>
        <w:ind w:right="51"/>
        <w:jc w:val="both"/>
        <w:rPr>
          <w:rFonts w:ascii="Palatino Linotype" w:eastAsia="Calibri" w:hAnsi="Palatino Linotype" w:cs="Arial"/>
          <w:sz w:val="24"/>
          <w:szCs w:val="24"/>
          <w:lang w:val="es-ES" w:eastAsia="es-ES"/>
        </w:rPr>
      </w:pPr>
    </w:p>
    <w:p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r w:rsidR="00E67B85" w:rsidRPr="00E67B85">
        <w:rPr>
          <w:rFonts w:ascii="Palatino Linotype" w:eastAsia="Calibri" w:hAnsi="Palatino Linotype" w:cs="Times New Roman"/>
          <w:b/>
          <w:bCs/>
          <w:i/>
          <w:lang w:eastAsia="es-ES"/>
        </w:rPr>
        <w:t>Artículo 1.- La presente ley es de orden público y tiene por objeto regular los actos relativos a la planeación, programación, presupuestación, ejecución y control de la adquisición y arrendamiento de bienes muebles, y la contratación de servicios de cualquier naturaleza, que realicen los poderes del Estado, los municipios y los tribunales administrativos, así como los organismos auxiliares y fideicomisos públicos, de carácter estatal o municipal</w:t>
      </w:r>
      <w:r w:rsidRPr="009249DB">
        <w:rPr>
          <w:rFonts w:ascii="Palatino Linotype" w:eastAsia="Calibri" w:hAnsi="Palatino Linotype" w:cs="Times New Roman"/>
          <w:i/>
          <w:lang w:val="es-ES" w:eastAsia="es-ES"/>
        </w:rPr>
        <w:t xml:space="preserve">: </w:t>
      </w:r>
    </w:p>
    <w:p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rsidR="00E67B85" w:rsidRDefault="00E67B85" w:rsidP="009249DB">
      <w:pPr>
        <w:spacing w:after="0" w:line="240" w:lineRule="auto"/>
        <w:ind w:left="851" w:right="901"/>
        <w:jc w:val="both"/>
        <w:rPr>
          <w:rFonts w:ascii="Palatino Linotype" w:eastAsia="Calibri" w:hAnsi="Palatino Linotype" w:cs="Times New Roman"/>
          <w:i/>
          <w:lang w:eastAsia="es-ES"/>
        </w:rPr>
      </w:pPr>
      <w:r w:rsidRPr="00E67B85">
        <w:rPr>
          <w:rFonts w:ascii="Palatino Linotype" w:eastAsia="Calibri" w:hAnsi="Palatino Linotype" w:cs="Times New Roman"/>
          <w:b/>
          <w:bCs/>
          <w:i/>
          <w:lang w:eastAsia="es-ES"/>
        </w:rPr>
        <w:t>Artículo 3</w:t>
      </w:r>
      <w:r w:rsidRPr="00E67B85">
        <w:rPr>
          <w:rFonts w:ascii="Palatino Linotype" w:eastAsia="Calibri" w:hAnsi="Palatino Linotype" w:cs="Times New Roman"/>
          <w:i/>
          <w:lang w:eastAsia="es-ES"/>
        </w:rPr>
        <w:t xml:space="preserve">.- </w:t>
      </w:r>
      <w:r w:rsidRPr="00E67B85">
        <w:rPr>
          <w:rFonts w:ascii="Palatino Linotype" w:eastAsia="Calibri" w:hAnsi="Palatino Linotype" w:cs="Times New Roman"/>
          <w:b/>
          <w:bCs/>
          <w:i/>
          <w:lang w:eastAsia="es-ES"/>
        </w:rPr>
        <w:t>Para los efectos de esta ley, en las adquisiciones, arrendamientos y servicios, quedan comprendidos</w:t>
      </w:r>
      <w:r w:rsidRPr="00E67B85">
        <w:rPr>
          <w:rFonts w:ascii="Palatino Linotype" w:eastAsia="Calibri" w:hAnsi="Palatino Linotype" w:cs="Times New Roman"/>
          <w:i/>
          <w:lang w:eastAsia="es-ES"/>
        </w:rPr>
        <w:t xml:space="preserve">: </w:t>
      </w:r>
    </w:p>
    <w:p w:rsidR="00E67B85" w:rsidRDefault="00E67B85" w:rsidP="009249DB">
      <w:pPr>
        <w:spacing w:after="0" w:line="240" w:lineRule="auto"/>
        <w:ind w:left="851" w:right="901"/>
        <w:jc w:val="both"/>
        <w:rPr>
          <w:rFonts w:ascii="Palatino Linotype" w:eastAsia="Calibri" w:hAnsi="Palatino Linotype" w:cs="Times New Roman"/>
          <w:i/>
          <w:lang w:eastAsia="es-ES"/>
        </w:rPr>
      </w:pPr>
    </w:p>
    <w:p w:rsidR="00E67B85" w:rsidRPr="00E67B85" w:rsidRDefault="00E67B85" w:rsidP="00E67B85">
      <w:pPr>
        <w:spacing w:after="120" w:line="240" w:lineRule="auto"/>
        <w:ind w:left="851" w:right="902"/>
        <w:jc w:val="both"/>
        <w:rPr>
          <w:rFonts w:ascii="Palatino Linotype" w:eastAsia="Calibri" w:hAnsi="Palatino Linotype" w:cs="Times New Roman"/>
          <w:b/>
          <w:bCs/>
          <w:i/>
          <w:lang w:eastAsia="es-ES"/>
        </w:rPr>
      </w:pPr>
      <w:r w:rsidRPr="00E67B85">
        <w:rPr>
          <w:rFonts w:ascii="Palatino Linotype" w:eastAsia="Calibri" w:hAnsi="Palatino Linotype" w:cs="Times New Roman"/>
          <w:b/>
          <w:bCs/>
          <w:i/>
          <w:lang w:eastAsia="es-ES"/>
        </w:rPr>
        <w:t>I.</w:t>
      </w:r>
      <w:r w:rsidRPr="00E67B85">
        <w:rPr>
          <w:rFonts w:ascii="Palatino Linotype" w:eastAsia="Calibri" w:hAnsi="Palatino Linotype" w:cs="Times New Roman"/>
          <w:i/>
          <w:lang w:eastAsia="es-ES"/>
        </w:rPr>
        <w:t xml:space="preserve"> </w:t>
      </w:r>
      <w:r w:rsidRPr="00E67B85">
        <w:rPr>
          <w:rFonts w:ascii="Palatino Linotype" w:eastAsia="Calibri" w:hAnsi="Palatino Linotype" w:cs="Times New Roman"/>
          <w:b/>
          <w:bCs/>
          <w:i/>
          <w:lang w:eastAsia="es-ES"/>
        </w:rPr>
        <w:t>La adquisición y arrendamiento de toda clase de bienes muebles;</w:t>
      </w:r>
    </w:p>
    <w:p w:rsidR="00E67B85" w:rsidRDefault="00E67B85" w:rsidP="00E67B85">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b/>
          <w:bCs/>
          <w:i/>
          <w:lang w:eastAsia="es-ES"/>
        </w:rPr>
        <w:t>II. La adquisición de bienes muebles que deban incorporarse, adherirse o destinarse a un bien inmueble</w:t>
      </w:r>
      <w:r w:rsidRPr="00E67B85">
        <w:rPr>
          <w:rFonts w:ascii="Palatino Linotype" w:eastAsia="Calibri" w:hAnsi="Palatino Linotype" w:cs="Times New Roman"/>
          <w:i/>
          <w:lang w:eastAsia="es-ES"/>
        </w:rPr>
        <w:t xml:space="preserve">; </w:t>
      </w:r>
    </w:p>
    <w:p w:rsidR="00E67B85" w:rsidRDefault="00E67B85" w:rsidP="00E67B85">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III. El arrendamiento financiero de bienes muebles;</w:t>
      </w:r>
    </w:p>
    <w:p w:rsidR="00E67B85" w:rsidRDefault="00E67B85" w:rsidP="00E67B85">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IV. La contratación de los servicios relacionados con bienes muebles que se encuentran incorporados o adheridos a bienes inmuebles, cuyo mantenimiento no implique, en forma alguna, modificación al propio bien inmueble; </w:t>
      </w:r>
    </w:p>
    <w:p w:rsidR="00E67B85" w:rsidRDefault="00E67B85" w:rsidP="00E67B85">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V. La contratación de los servicios de reconstrucción y mantenimiento de bienes muebles; </w:t>
      </w:r>
    </w:p>
    <w:p w:rsidR="00E67B85" w:rsidRDefault="00E67B85" w:rsidP="00E67B85">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VI. La contratación de los servicios de maquila, seguros y transportación, así como de los de limpieza y vigilancia de bienes inmuebles; y </w:t>
      </w:r>
    </w:p>
    <w:p w:rsidR="009249DB" w:rsidRPr="009249DB" w:rsidRDefault="00E67B85" w:rsidP="00E67B85">
      <w:pPr>
        <w:spacing w:after="120" w:line="240" w:lineRule="auto"/>
        <w:ind w:left="851" w:right="902"/>
        <w:jc w:val="both"/>
        <w:rPr>
          <w:rFonts w:ascii="Palatino Linotype" w:eastAsia="Calibri" w:hAnsi="Palatino Linotype" w:cs="Times New Roman"/>
          <w:i/>
          <w:lang w:val="es-ES" w:eastAsia="es-ES"/>
        </w:rPr>
      </w:pPr>
      <w:r w:rsidRPr="00E67B85">
        <w:rPr>
          <w:rFonts w:ascii="Palatino Linotype" w:eastAsia="Calibri" w:hAnsi="Palatino Linotype" w:cs="Times New Roman"/>
          <w:i/>
          <w:lang w:eastAsia="es-ES"/>
        </w:rPr>
        <w:lastRenderedPageBreak/>
        <w:t xml:space="preserve">VII. En general, la contratación de servicios de cualquier naturaleza, cuya prestación genere una obligación de pago y no se encuentren regulados, en forma específica, por alguna otra disposición legal. </w:t>
      </w:r>
      <w:r w:rsidR="009249DB" w:rsidRPr="009249DB">
        <w:rPr>
          <w:rFonts w:ascii="Palatino Linotype" w:eastAsia="Calibri" w:hAnsi="Palatino Linotype" w:cs="Times New Roman"/>
          <w:i/>
          <w:lang w:val="es-ES" w:eastAsia="es-ES"/>
        </w:rPr>
        <w:t xml:space="preserve"> </w:t>
      </w:r>
    </w:p>
    <w:p w:rsidR="009249DB" w:rsidRPr="009249DB" w:rsidRDefault="009249DB" w:rsidP="009249DB">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rsidR="009249DB" w:rsidRDefault="00E67B85" w:rsidP="009249DB">
      <w:pPr>
        <w:spacing w:after="0" w:line="240" w:lineRule="auto"/>
        <w:ind w:left="851" w:right="901"/>
        <w:jc w:val="both"/>
        <w:rPr>
          <w:rFonts w:ascii="Palatino Linotype" w:eastAsia="Calibri" w:hAnsi="Palatino Linotype" w:cs="Times New Roman"/>
          <w:i/>
          <w:lang w:val="es-ES" w:eastAsia="es-ES"/>
        </w:rPr>
      </w:pPr>
      <w:r w:rsidRPr="00E67B85">
        <w:rPr>
          <w:rFonts w:ascii="Palatino Linotype" w:eastAsia="Calibri" w:hAnsi="Palatino Linotype" w:cs="Times New Roman"/>
          <w:b/>
          <w:i/>
          <w:lang w:eastAsia="es-ES"/>
        </w:rPr>
        <w:t>Artículo 5.- El gasto destinado a las adquisiciones</w:t>
      </w:r>
      <w:r w:rsidRPr="00E67B85">
        <w:rPr>
          <w:rFonts w:ascii="Palatino Linotype" w:eastAsia="Calibri" w:hAnsi="Palatino Linotype" w:cs="Times New Roman"/>
          <w:bCs/>
          <w:i/>
          <w:lang w:eastAsia="es-ES"/>
        </w:rPr>
        <w:t xml:space="preserve">, arrendamientos y servicios </w:t>
      </w:r>
      <w:r w:rsidRPr="00E67B85">
        <w:rPr>
          <w:rFonts w:ascii="Palatino Linotype" w:eastAsia="Calibri" w:hAnsi="Palatino Linotype" w:cs="Times New Roman"/>
          <w:b/>
          <w:i/>
          <w:lang w:eastAsia="es-ES"/>
        </w:rPr>
        <w:t>se sujetará a las disposiciones anuales del presupuesto de egresos del gobierno del Estado de México</w:t>
      </w:r>
      <w:r w:rsidRPr="00E67B85">
        <w:rPr>
          <w:rFonts w:ascii="Palatino Linotype" w:eastAsia="Calibri" w:hAnsi="Palatino Linotype" w:cs="Times New Roman"/>
          <w:bCs/>
          <w:i/>
          <w:lang w:eastAsia="es-ES"/>
        </w:rPr>
        <w:t>, así como a lo previsto en el Código Financiero del Estado de México y Municipios y demás disposiciones legales aplicables, según sea el caso</w:t>
      </w:r>
      <w:r w:rsidRPr="00E67B85">
        <w:rPr>
          <w:rFonts w:ascii="Palatino Linotype" w:eastAsia="Calibri" w:hAnsi="Palatino Linotype" w:cs="Times New Roman"/>
          <w:b/>
          <w:i/>
          <w:lang w:eastAsia="es-ES"/>
        </w:rPr>
        <w:t xml:space="preserve">. </w:t>
      </w:r>
      <w:r w:rsidR="009249DB" w:rsidRPr="009249DB">
        <w:rPr>
          <w:rFonts w:ascii="Palatino Linotype" w:eastAsia="Calibri" w:hAnsi="Palatino Linotype" w:cs="Times New Roman"/>
          <w:i/>
          <w:lang w:val="es-ES" w:eastAsia="es-ES"/>
        </w:rPr>
        <w:t xml:space="preserve"> </w:t>
      </w:r>
    </w:p>
    <w:p w:rsidR="00B40BC7" w:rsidRDefault="00B40BC7" w:rsidP="009249DB">
      <w:pPr>
        <w:spacing w:after="0" w:line="240" w:lineRule="auto"/>
        <w:ind w:left="851" w:right="901"/>
        <w:jc w:val="both"/>
        <w:rPr>
          <w:rFonts w:ascii="Palatino Linotype" w:eastAsia="Calibri" w:hAnsi="Palatino Linotype" w:cs="Times New Roman"/>
          <w:i/>
          <w:lang w:val="es-ES"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 xml:space="preserve">Artículo 12.- </w:t>
      </w:r>
      <w:r w:rsidRPr="00E67B85">
        <w:rPr>
          <w:rFonts w:ascii="Palatino Linotype" w:eastAsia="Times New Roman" w:hAnsi="Palatino Linotype" w:cs="Times New Roman"/>
          <w:bCs/>
          <w:i/>
          <w:lang w:eastAsia="es-ES"/>
        </w:rPr>
        <w:t xml:space="preserve">Las adquisiciones, arrendamientos y servicios que las dependencias requieran para la realización de las funciones y programas que tienen encomendados, deberán determinarse con base en la planeación racional de sus necesidades.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13</w:t>
      </w:r>
      <w:r w:rsidRPr="00E67B85">
        <w:rPr>
          <w:rFonts w:ascii="Palatino Linotype" w:eastAsia="Times New Roman" w:hAnsi="Palatino Linotype" w:cs="Times New Roman"/>
          <w:bCs/>
          <w:i/>
          <w:lang w:eastAsia="es-ES"/>
        </w:rPr>
        <w:t xml:space="preserve">.- Las dependencias deberán planear en forma anual sus adquisiciones, arrendamientos y servicios, tomando en consideración, según corresponda, lo siguiente: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Los objetivos, estrategias y líneas de acción establecidos en el Plan de Desarrollo del Estado de México; los criterios generales de política social fijados por el titular del Poder Ejecutivo; y las previsiones contenidas en los programas sectoriales; </w:t>
      </w:r>
    </w:p>
    <w:p w:rsidR="00713427" w:rsidRDefault="00713427"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Los objetivos, estrategias y líneas de acción establecidos en los planes de desarrollo municipal; y </w:t>
      </w:r>
    </w:p>
    <w:p w:rsidR="00713427" w:rsidRDefault="00713427"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III. Las actividades sustantivas que desarrollen para cumplir con los programas prioritarios que tienen bajo su responsabilidad. </w:t>
      </w:r>
    </w:p>
    <w:p w:rsidR="00713427" w:rsidRDefault="00713427"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Para la planeación de las adquisiciones, arrendamientos y servicios, el área administrativa y el área financiera establecerán, de manera conjunta, las normas que deberán observarse.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14</w:t>
      </w:r>
      <w:r w:rsidRPr="00E67B85">
        <w:rPr>
          <w:rFonts w:ascii="Palatino Linotype" w:eastAsia="Times New Roman" w:hAnsi="Palatino Linotype" w:cs="Times New Roman"/>
          <w:bCs/>
          <w:i/>
          <w:lang w:eastAsia="es-ES"/>
        </w:rPr>
        <w:t xml:space="preserve">.- Las dependencias deberán formular sus programas anuales de adquisiciones, arrendamientos y servicios, tomando en consideración lo siguiente: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Los bienes y servicios que solucionen de manera adecuada sus necesidades de operación, ajustándose, en su caso, a las normas contenidas en la Ley Federal sobre Metrología y Normalización; </w:t>
      </w:r>
    </w:p>
    <w:p w:rsidR="00713427" w:rsidRDefault="00713427"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lastRenderedPageBreak/>
        <w:t xml:space="preserve">II. Los recursos financieros y las existencias físicas disponibles; </w:t>
      </w:r>
    </w:p>
    <w:p w:rsidR="00713427" w:rsidRDefault="00713427"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III. Los plazos estimados en los que se requerirán los bienes y servicios; </w:t>
      </w:r>
    </w:p>
    <w:p w:rsidR="00713427" w:rsidRDefault="00713427"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IV. Las políticas y procedimientos que establezca el área administrativa para optimizar las adquisiciones, arrendamientos y servicios.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En el caso de los organismos auxiliares, las políticas y procedimientos serán establecidos por el área administrativa del Poder Ejecutivo o del municipio, según corresponda; y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V. Las demás previsiones que deban considerarse para la adecuada planeación y operación de los programas correspondientes.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Los programas anuales de adquisiciones, arrendamientos y servicios deberán presentarse, a más tardar el treinta de octubre de cada año, en la forma que señale el área administrativa, previa opinión del área financiera.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15</w:t>
      </w:r>
      <w:r w:rsidRPr="00E67B85">
        <w:rPr>
          <w:rFonts w:ascii="Palatino Linotype" w:eastAsia="Times New Roman" w:hAnsi="Palatino Linotype" w:cs="Times New Roman"/>
          <w:bCs/>
          <w:i/>
          <w:lang w:eastAsia="es-ES"/>
        </w:rPr>
        <w:t xml:space="preserve">.- Los programas de adquisiciones, arrendamientos y servicios deberán contener, como mínimo, lo siguiente: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La codificación y descripción de los bienes y servicios que se requieran, conforme a los catálogos de artículos y de servicios que se integren;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La calendarización de la adquisición y arrendamiento de bienes muebles, y la contratación de servicios que se solicite; y </w:t>
      </w:r>
    </w:p>
    <w:p w:rsidR="00E67B85" w:rsidRDefault="00E67B85" w:rsidP="00B40BC7">
      <w:pPr>
        <w:spacing w:after="0" w:line="240" w:lineRule="auto"/>
        <w:ind w:left="851" w:right="899"/>
        <w:jc w:val="both"/>
        <w:rPr>
          <w:rFonts w:ascii="Palatino Linotype" w:eastAsia="Times New Roman" w:hAnsi="Palatino Linotype" w:cs="Times New Roman"/>
          <w:bCs/>
          <w:i/>
          <w:lang w:eastAsia="es-ES"/>
        </w:rPr>
      </w:pPr>
    </w:p>
    <w:p w:rsidR="00B40BC7" w:rsidRDefault="00E67B85" w:rsidP="00B40BC7">
      <w:pPr>
        <w:spacing w:after="0" w:line="240" w:lineRule="auto"/>
        <w:ind w:left="851" w:right="899"/>
        <w:jc w:val="both"/>
        <w:rPr>
          <w:rFonts w:ascii="Palatino Linotype" w:eastAsia="Times New Roman" w:hAnsi="Palatino Linotype" w:cs="Times New Roman"/>
          <w:b/>
          <w:i/>
          <w:lang w:eastAsia="es-ES"/>
        </w:rPr>
      </w:pPr>
      <w:r w:rsidRPr="00E67B85">
        <w:rPr>
          <w:rFonts w:ascii="Palatino Linotype" w:eastAsia="Times New Roman" w:hAnsi="Palatino Linotype" w:cs="Times New Roman"/>
          <w:bCs/>
          <w:i/>
          <w:lang w:eastAsia="es-ES"/>
        </w:rPr>
        <w:t>III. El costo estimado de los bienes y servicios, calculado con base en los importes presupuestales asignados por el área financiera</w:t>
      </w:r>
      <w:r w:rsidRPr="00E67B85">
        <w:rPr>
          <w:rFonts w:ascii="Palatino Linotype" w:eastAsia="Times New Roman" w:hAnsi="Palatino Linotype" w:cs="Times New Roman"/>
          <w:b/>
          <w:i/>
          <w:lang w:eastAsia="es-ES"/>
        </w:rPr>
        <w:t>.</w:t>
      </w:r>
    </w:p>
    <w:p w:rsidR="00E67B85" w:rsidRDefault="00283E4B" w:rsidP="00B40BC7">
      <w:pPr>
        <w:spacing w:after="0" w:line="240" w:lineRule="auto"/>
        <w:ind w:left="851" w:right="899"/>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713427" w:rsidRDefault="00713427" w:rsidP="00B40BC7">
      <w:pPr>
        <w:spacing w:after="0" w:line="240" w:lineRule="auto"/>
        <w:ind w:left="851" w:right="899"/>
        <w:jc w:val="both"/>
        <w:rPr>
          <w:rFonts w:ascii="Palatino Linotype" w:eastAsia="Times New Roman" w:hAnsi="Palatino Linotype" w:cs="Times New Roman"/>
          <w:b/>
          <w:i/>
          <w:lang w:eastAsia="es-ES"/>
        </w:rPr>
      </w:pP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 xml:space="preserve">Artículo 27.- </w:t>
      </w:r>
      <w:r w:rsidRPr="00713427">
        <w:rPr>
          <w:rFonts w:ascii="Palatino Linotype" w:eastAsia="Times New Roman" w:hAnsi="Palatino Linotype" w:cs="Times New Roman"/>
          <w:b/>
          <w:i/>
          <w:lang w:eastAsia="es-ES"/>
        </w:rPr>
        <w:t>Los actos relacionados con las adquisiciones</w:t>
      </w:r>
      <w:r w:rsidRPr="00283E4B">
        <w:rPr>
          <w:rFonts w:ascii="Palatino Linotype" w:eastAsia="Times New Roman" w:hAnsi="Palatino Linotype" w:cs="Times New Roman"/>
          <w:bCs/>
          <w:i/>
          <w:lang w:eastAsia="es-ES"/>
        </w:rPr>
        <w:t xml:space="preserve">, arrendamientos y servicios </w:t>
      </w:r>
      <w:r w:rsidRPr="00713427">
        <w:rPr>
          <w:rFonts w:ascii="Palatino Linotype" w:eastAsia="Times New Roman" w:hAnsi="Palatino Linotype" w:cs="Times New Roman"/>
          <w:b/>
          <w:i/>
          <w:lang w:eastAsia="es-ES"/>
        </w:rPr>
        <w:t>se llevarán a cabo por el órgano ejecutor, a través de los procedimientos siguientes</w:t>
      </w:r>
      <w:r w:rsidRPr="00283E4B">
        <w:rPr>
          <w:rFonts w:ascii="Palatino Linotype" w:eastAsia="Times New Roman" w:hAnsi="Palatino Linotype" w:cs="Times New Roman"/>
          <w:bCs/>
          <w:i/>
          <w:lang w:eastAsia="es-ES"/>
        </w:rPr>
        <w:t xml:space="preserve">: </w:t>
      </w:r>
    </w:p>
    <w:p w:rsidR="00713427" w:rsidRDefault="00713427" w:rsidP="00B40BC7">
      <w:pPr>
        <w:spacing w:after="0" w:line="240" w:lineRule="auto"/>
        <w:ind w:left="851" w:right="899"/>
        <w:jc w:val="both"/>
        <w:rPr>
          <w:rFonts w:ascii="Palatino Linotype" w:eastAsia="Times New Roman" w:hAnsi="Palatino Linotype" w:cs="Times New Roman"/>
          <w:bCs/>
          <w:i/>
          <w:lang w:eastAsia="es-ES"/>
        </w:rPr>
      </w:pPr>
    </w:p>
    <w:p w:rsidR="00283E4B" w:rsidRPr="00713427" w:rsidRDefault="00283E4B" w:rsidP="00B40BC7">
      <w:pPr>
        <w:spacing w:after="0" w:line="240" w:lineRule="auto"/>
        <w:ind w:left="851" w:right="899"/>
        <w:jc w:val="both"/>
        <w:rPr>
          <w:rFonts w:ascii="Palatino Linotype" w:eastAsia="Times New Roman" w:hAnsi="Palatino Linotype" w:cs="Times New Roman"/>
          <w:bCs/>
          <w:i/>
          <w:u w:val="single"/>
          <w:lang w:eastAsia="es-ES"/>
        </w:rPr>
      </w:pPr>
      <w:r w:rsidRPr="00283E4B">
        <w:rPr>
          <w:rFonts w:ascii="Palatino Linotype" w:eastAsia="Times New Roman" w:hAnsi="Palatino Linotype" w:cs="Times New Roman"/>
          <w:bCs/>
          <w:i/>
          <w:lang w:eastAsia="es-ES"/>
        </w:rPr>
        <w:t xml:space="preserve">I. </w:t>
      </w:r>
      <w:r w:rsidRPr="00713427">
        <w:rPr>
          <w:rFonts w:ascii="Palatino Linotype" w:eastAsia="Times New Roman" w:hAnsi="Palatino Linotype" w:cs="Times New Roman"/>
          <w:bCs/>
          <w:i/>
          <w:u w:val="single"/>
          <w:lang w:eastAsia="es-ES"/>
        </w:rPr>
        <w:t xml:space="preserve">Licitación pública; </w:t>
      </w:r>
    </w:p>
    <w:p w:rsidR="00713427" w:rsidRPr="00713427" w:rsidRDefault="00713427" w:rsidP="00B40BC7">
      <w:pPr>
        <w:spacing w:after="0" w:line="240" w:lineRule="auto"/>
        <w:ind w:left="851" w:right="899"/>
        <w:jc w:val="both"/>
        <w:rPr>
          <w:rFonts w:ascii="Palatino Linotype" w:eastAsia="Times New Roman" w:hAnsi="Palatino Linotype" w:cs="Times New Roman"/>
          <w:bCs/>
          <w:i/>
          <w:u w:val="single"/>
          <w:lang w:eastAsia="es-ES"/>
        </w:rPr>
      </w:pPr>
    </w:p>
    <w:p w:rsidR="00283E4B" w:rsidRPr="00713427" w:rsidRDefault="00283E4B" w:rsidP="00B40BC7">
      <w:pPr>
        <w:spacing w:after="0" w:line="240" w:lineRule="auto"/>
        <w:ind w:left="851" w:right="899"/>
        <w:jc w:val="both"/>
        <w:rPr>
          <w:rFonts w:ascii="Palatino Linotype" w:eastAsia="Times New Roman" w:hAnsi="Palatino Linotype" w:cs="Times New Roman"/>
          <w:bCs/>
          <w:i/>
          <w:u w:val="single"/>
          <w:lang w:eastAsia="es-ES"/>
        </w:rPr>
      </w:pPr>
      <w:r w:rsidRPr="00713427">
        <w:rPr>
          <w:rFonts w:ascii="Palatino Linotype" w:eastAsia="Times New Roman" w:hAnsi="Palatino Linotype" w:cs="Times New Roman"/>
          <w:bCs/>
          <w:i/>
          <w:u w:val="single"/>
          <w:lang w:eastAsia="es-ES"/>
        </w:rPr>
        <w:t xml:space="preserve">II. Licitación restringida; y </w:t>
      </w:r>
    </w:p>
    <w:p w:rsidR="00713427" w:rsidRPr="00713427" w:rsidRDefault="00713427" w:rsidP="00B40BC7">
      <w:pPr>
        <w:spacing w:after="0" w:line="240" w:lineRule="auto"/>
        <w:ind w:left="851" w:right="899"/>
        <w:jc w:val="both"/>
        <w:rPr>
          <w:rFonts w:ascii="Palatino Linotype" w:eastAsia="Times New Roman" w:hAnsi="Palatino Linotype" w:cs="Times New Roman"/>
          <w:bCs/>
          <w:i/>
          <w:u w:val="single"/>
          <w:lang w:eastAsia="es-ES"/>
        </w:rPr>
      </w:pPr>
    </w:p>
    <w:p w:rsidR="00283E4B" w:rsidRPr="00713427" w:rsidRDefault="00283E4B" w:rsidP="00B40BC7">
      <w:pPr>
        <w:spacing w:after="0" w:line="240" w:lineRule="auto"/>
        <w:ind w:left="851" w:right="899"/>
        <w:jc w:val="both"/>
        <w:rPr>
          <w:rFonts w:ascii="Palatino Linotype" w:eastAsia="Times New Roman" w:hAnsi="Palatino Linotype" w:cs="Times New Roman"/>
          <w:bCs/>
          <w:i/>
          <w:u w:val="single"/>
          <w:lang w:eastAsia="es-ES"/>
        </w:rPr>
      </w:pPr>
      <w:r w:rsidRPr="00713427">
        <w:rPr>
          <w:rFonts w:ascii="Palatino Linotype" w:eastAsia="Times New Roman" w:hAnsi="Palatino Linotype" w:cs="Times New Roman"/>
          <w:bCs/>
          <w:i/>
          <w:u w:val="single"/>
          <w:lang w:eastAsia="es-ES"/>
        </w:rPr>
        <w:lastRenderedPageBreak/>
        <w:t xml:space="preserve">III. Adjudicación directa. </w:t>
      </w: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28</w:t>
      </w:r>
      <w:r w:rsidRPr="00283E4B">
        <w:rPr>
          <w:rFonts w:ascii="Palatino Linotype" w:eastAsia="Times New Roman" w:hAnsi="Palatino Linotype" w:cs="Times New Roman"/>
          <w:bCs/>
          <w:i/>
          <w:lang w:eastAsia="es-ES"/>
        </w:rPr>
        <w:t xml:space="preserve">.- </w:t>
      </w:r>
      <w:r w:rsidRPr="00713427">
        <w:rPr>
          <w:rFonts w:ascii="Palatino Linotype" w:eastAsia="Times New Roman" w:hAnsi="Palatino Linotype" w:cs="Times New Roman"/>
          <w:b/>
          <w:i/>
          <w:lang w:eastAsia="es-ES"/>
        </w:rPr>
        <w:t>Las adquisiciones</w:t>
      </w:r>
      <w:r w:rsidRPr="00283E4B">
        <w:rPr>
          <w:rFonts w:ascii="Palatino Linotype" w:eastAsia="Times New Roman" w:hAnsi="Palatino Linotype" w:cs="Times New Roman"/>
          <w:bCs/>
          <w:i/>
          <w:lang w:eastAsia="es-ES"/>
        </w:rPr>
        <w:t xml:space="preserve">, arrendamientos y servicios </w:t>
      </w:r>
      <w:r w:rsidRPr="007D4974">
        <w:rPr>
          <w:rFonts w:ascii="Palatino Linotype" w:eastAsia="Times New Roman" w:hAnsi="Palatino Linotype" w:cs="Times New Roman"/>
          <w:b/>
          <w:i/>
          <w:lang w:eastAsia="es-ES"/>
        </w:rPr>
        <w:t>se llevarán a cabo y se adjudicarán por medio de licitaciones públicas</w:t>
      </w:r>
      <w:r w:rsidRPr="00283E4B">
        <w:rPr>
          <w:rFonts w:ascii="Palatino Linotype" w:eastAsia="Times New Roman" w:hAnsi="Palatino Linotype" w:cs="Times New Roman"/>
          <w:bCs/>
          <w:i/>
          <w:lang w:eastAsia="es-ES"/>
        </w:rPr>
        <w:t xml:space="preserve"> mediante convocatoria pública, para que se presenten propuestas en sobre cerrado, que será abierto públicamente, a fin de asegurar a las instituciones públicas, las mejores condiciones disponibles en cuanto a precio, calidad, financiamiento, oportunidad y demás circunstancias pertinentes, de acuerdo a lo que establece la presente ley.</w:t>
      </w: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Cs/>
          <w:i/>
          <w:lang w:eastAsia="es-ES"/>
        </w:rPr>
        <w:t>La licitación restringida y la adjudicación directa se llevarán a cabo sólo en los casos de excepción que expresamente autorice esta ley.</w:t>
      </w: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54</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Los contratos serán elaborados en términos de la presente ley; de las bases de la licitación o de las solicitudes de cotización, según corresponda del fallo de adjudicación relativo</w:t>
      </w:r>
      <w:r w:rsidRPr="00283E4B">
        <w:rPr>
          <w:rFonts w:ascii="Palatino Linotype" w:eastAsia="Times New Roman" w:hAnsi="Palatino Linotype" w:cs="Times New Roman"/>
          <w:bCs/>
          <w:i/>
          <w:lang w:eastAsia="es-ES"/>
        </w:rPr>
        <w:t xml:space="preserve">; y de las demás disposiciones legales aplicables. Asimismo, contendrán las condiciones que el oferente incluyó en su propuesta. </w:t>
      </w: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62</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Los órganos de control interno establecerán la forma y términos en que los órganos ejecutores y los órganos usuarios les deberán remitir la información relacionada con los actos materia de esta ley</w:t>
      </w:r>
      <w:r w:rsidRPr="00283E4B">
        <w:rPr>
          <w:rFonts w:ascii="Palatino Linotype" w:eastAsia="Times New Roman" w:hAnsi="Palatino Linotype" w:cs="Times New Roman"/>
          <w:bCs/>
          <w:i/>
          <w:lang w:eastAsia="es-ES"/>
        </w:rPr>
        <w:t xml:space="preserve">. </w:t>
      </w: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r w:rsidRPr="007D4974">
        <w:rPr>
          <w:rFonts w:ascii="Palatino Linotype" w:eastAsia="Times New Roman" w:hAnsi="Palatino Linotype" w:cs="Times New Roman"/>
          <w:b/>
          <w:i/>
          <w:lang w:eastAsia="es-ES"/>
        </w:rPr>
        <w:t>Para tal efecto, los órganos ejecutores y los órganos usuarios conservarán en forma ordenada y sistematizada toda la documentación comprobatoria de los actos y contratos relativos, cuando menos por un período de cinco años, contado a partir de la fecha en que los mismos fueron celebrados</w:t>
      </w:r>
      <w:r w:rsidRPr="00283E4B">
        <w:rPr>
          <w:rFonts w:ascii="Palatino Linotype" w:eastAsia="Times New Roman" w:hAnsi="Palatino Linotype" w:cs="Times New Roman"/>
          <w:bCs/>
          <w:i/>
          <w:lang w:eastAsia="es-ES"/>
        </w:rPr>
        <w:t xml:space="preserve">. </w:t>
      </w: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r w:rsidRPr="007D4974">
        <w:rPr>
          <w:rFonts w:ascii="Palatino Linotype" w:eastAsia="Times New Roman" w:hAnsi="Palatino Linotype" w:cs="Times New Roman"/>
          <w:b/>
          <w:i/>
          <w:lang w:eastAsia="es-ES"/>
        </w:rPr>
        <w:t>Artículo 63</w:t>
      </w:r>
      <w:r w:rsidRPr="00283E4B">
        <w:rPr>
          <w:rFonts w:ascii="Palatino Linotype" w:eastAsia="Times New Roman" w:hAnsi="Palatino Linotype" w:cs="Times New Roman"/>
          <w:bCs/>
          <w:i/>
          <w:lang w:eastAsia="es-ES"/>
        </w:rPr>
        <w:t xml:space="preserve">.- Las áreas administrativas y los órganos de control interno podrán verificar, en cualquier tiempo, en el ejercicio de sus respectivas atribuciones, que las adquisiciones, arrendamientos y servicios, se realicen conforme a lo establecido en esta ley, en otras disposiciones legales aplicables y en los programas y presupuestos autorizados. Para tal efecto, podrán solicitar a lo servidores públicos y a los oferentes, los datos e informes relacionados con los actos de que se trate. </w:t>
      </w: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p>
    <w:p w:rsidR="00283E4B" w:rsidRDefault="00283E4B" w:rsidP="00B40BC7">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Cs/>
          <w:i/>
          <w:lang w:eastAsia="es-ES"/>
        </w:rPr>
        <w:t>En el caso de los organismos auxiliares, la función de verificación corresponderá al área administrativa y al órgano de control interno del Poder Ejecutivo o del municipio, según sea el caso.</w:t>
      </w:r>
    </w:p>
    <w:p w:rsidR="00B40BC7" w:rsidRPr="00B40BC7" w:rsidRDefault="00B40BC7" w:rsidP="00B40BC7">
      <w:pPr>
        <w:spacing w:after="0" w:line="240" w:lineRule="auto"/>
        <w:ind w:left="851" w:right="899"/>
        <w:jc w:val="both"/>
        <w:rPr>
          <w:rFonts w:ascii="Palatino Linotype" w:eastAsia="Times New Roman" w:hAnsi="Palatino Linotype" w:cs="Arial"/>
          <w:lang w:eastAsia="es-ES"/>
        </w:rPr>
      </w:pPr>
    </w:p>
    <w:p w:rsidR="009249DB" w:rsidRPr="007D4974" w:rsidRDefault="00B40BC7" w:rsidP="007D4974">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(Énfasis añadido)</w:t>
      </w:r>
    </w:p>
    <w:p w:rsidR="007D4974" w:rsidRDefault="009249DB" w:rsidP="009249DB">
      <w:pPr>
        <w:autoSpaceDE w:val="0"/>
        <w:autoSpaceDN w:val="0"/>
        <w:adjustRightInd w:val="0"/>
        <w:spacing w:after="0" w:line="360" w:lineRule="auto"/>
        <w:jc w:val="both"/>
        <w:rPr>
          <w:rFonts w:ascii="Palatino Linotype" w:eastAsia="Calibri" w:hAnsi="Palatino Linotype" w:cs="Arial"/>
          <w:sz w:val="24"/>
          <w:szCs w:val="24"/>
          <w:lang w:eastAsia="es-ES"/>
        </w:rPr>
      </w:pPr>
      <w:r w:rsidRPr="009249DB">
        <w:rPr>
          <w:rFonts w:ascii="Palatino Linotype" w:eastAsia="Calibri" w:hAnsi="Palatino Linotype" w:cs="Arial"/>
          <w:sz w:val="24"/>
          <w:szCs w:val="24"/>
        </w:rPr>
        <w:lastRenderedPageBreak/>
        <w:t xml:space="preserve">De los preceptos referidos, advertimos que </w:t>
      </w:r>
      <w:r w:rsidR="007D4974">
        <w:rPr>
          <w:rFonts w:ascii="Palatino Linotype" w:eastAsia="Calibri" w:hAnsi="Palatino Linotype" w:cs="Arial"/>
          <w:sz w:val="24"/>
          <w:szCs w:val="24"/>
        </w:rPr>
        <w:t xml:space="preserve">la </w:t>
      </w:r>
      <w:r w:rsidR="007D4974" w:rsidRPr="00E67B85">
        <w:rPr>
          <w:rFonts w:ascii="Palatino Linotype" w:eastAsia="Calibri" w:hAnsi="Palatino Linotype" w:cs="Arial"/>
          <w:sz w:val="24"/>
          <w:szCs w:val="24"/>
          <w:lang w:eastAsia="es-ES"/>
        </w:rPr>
        <w:t xml:space="preserve">Ley </w:t>
      </w:r>
      <w:r w:rsidR="007D4974">
        <w:rPr>
          <w:rFonts w:ascii="Palatino Linotype" w:eastAsia="Calibri" w:hAnsi="Palatino Linotype" w:cs="Arial"/>
          <w:sz w:val="24"/>
          <w:szCs w:val="24"/>
          <w:lang w:eastAsia="es-ES"/>
        </w:rPr>
        <w:t>d</w:t>
      </w:r>
      <w:r w:rsidR="007D4974" w:rsidRPr="00E67B85">
        <w:rPr>
          <w:rFonts w:ascii="Palatino Linotype" w:eastAsia="Calibri" w:hAnsi="Palatino Linotype" w:cs="Arial"/>
          <w:sz w:val="24"/>
          <w:szCs w:val="24"/>
          <w:lang w:eastAsia="es-ES"/>
        </w:rPr>
        <w:t xml:space="preserve">e Adquisiciones </w:t>
      </w:r>
      <w:r w:rsidR="007D4974">
        <w:rPr>
          <w:rFonts w:ascii="Palatino Linotype" w:eastAsia="Calibri" w:hAnsi="Palatino Linotype" w:cs="Arial"/>
          <w:sz w:val="24"/>
          <w:szCs w:val="24"/>
          <w:lang w:eastAsia="es-ES"/>
        </w:rPr>
        <w:t>d</w:t>
      </w:r>
      <w:r w:rsidR="007D4974" w:rsidRPr="00E67B85">
        <w:rPr>
          <w:rFonts w:ascii="Palatino Linotype" w:eastAsia="Calibri" w:hAnsi="Palatino Linotype" w:cs="Arial"/>
          <w:sz w:val="24"/>
          <w:szCs w:val="24"/>
          <w:lang w:eastAsia="es-ES"/>
        </w:rPr>
        <w:t xml:space="preserve">e Bienes Muebles </w:t>
      </w:r>
      <w:r w:rsidR="007D4974">
        <w:rPr>
          <w:rFonts w:ascii="Palatino Linotype" w:eastAsia="Calibri" w:hAnsi="Palatino Linotype" w:cs="Arial"/>
          <w:sz w:val="24"/>
          <w:szCs w:val="24"/>
          <w:lang w:eastAsia="es-ES"/>
        </w:rPr>
        <w:t>y</w:t>
      </w:r>
      <w:r w:rsidR="007D4974" w:rsidRPr="00E67B85">
        <w:rPr>
          <w:rFonts w:ascii="Palatino Linotype" w:eastAsia="Calibri" w:hAnsi="Palatino Linotype" w:cs="Arial"/>
          <w:sz w:val="24"/>
          <w:szCs w:val="24"/>
          <w:lang w:eastAsia="es-ES"/>
        </w:rPr>
        <w:t xml:space="preserve"> Servicios </w:t>
      </w:r>
      <w:r w:rsidR="007D4974">
        <w:rPr>
          <w:rFonts w:ascii="Palatino Linotype" w:eastAsia="Calibri" w:hAnsi="Palatino Linotype" w:cs="Arial"/>
          <w:sz w:val="24"/>
          <w:szCs w:val="24"/>
          <w:lang w:eastAsia="es-ES"/>
        </w:rPr>
        <w:t>d</w:t>
      </w:r>
      <w:r w:rsidR="007D4974" w:rsidRPr="00E67B85">
        <w:rPr>
          <w:rFonts w:ascii="Palatino Linotype" w:eastAsia="Calibri" w:hAnsi="Palatino Linotype" w:cs="Arial"/>
          <w:sz w:val="24"/>
          <w:szCs w:val="24"/>
          <w:lang w:eastAsia="es-ES"/>
        </w:rPr>
        <w:t xml:space="preserve">el Estado </w:t>
      </w:r>
      <w:r w:rsidR="007D4974">
        <w:rPr>
          <w:rFonts w:ascii="Palatino Linotype" w:eastAsia="Calibri" w:hAnsi="Palatino Linotype" w:cs="Arial"/>
          <w:sz w:val="24"/>
          <w:szCs w:val="24"/>
          <w:lang w:eastAsia="es-ES"/>
        </w:rPr>
        <w:t>d</w:t>
      </w:r>
      <w:r w:rsidR="007D4974" w:rsidRPr="00E67B85">
        <w:rPr>
          <w:rFonts w:ascii="Palatino Linotype" w:eastAsia="Calibri" w:hAnsi="Palatino Linotype" w:cs="Arial"/>
          <w:sz w:val="24"/>
          <w:szCs w:val="24"/>
          <w:lang w:eastAsia="es-ES"/>
        </w:rPr>
        <w:t>e México</w:t>
      </w:r>
      <w:r w:rsidR="007D4974">
        <w:rPr>
          <w:rFonts w:ascii="Palatino Linotype" w:eastAsia="Calibri" w:hAnsi="Palatino Linotype" w:cs="Arial"/>
          <w:sz w:val="24"/>
          <w:szCs w:val="24"/>
          <w:lang w:eastAsia="es-ES"/>
        </w:rPr>
        <w:t xml:space="preserve"> </w:t>
      </w:r>
      <w:r w:rsidR="007D4974" w:rsidRPr="007D4974">
        <w:rPr>
          <w:rFonts w:ascii="Palatino Linotype" w:eastAsia="Calibri" w:hAnsi="Palatino Linotype" w:cs="Arial"/>
          <w:sz w:val="24"/>
          <w:szCs w:val="24"/>
          <w:lang w:eastAsia="es-ES"/>
        </w:rPr>
        <w:t>tiene por objeto regular los actos relativos a la planeación, programación, presupuestación, ejecución y control de la adquisición y arrendamiento de bienes muebles, y la contratación de servicios de cualquier naturaleza, que realicen los poderes del Estado, los municipios y los tribunales administrativos</w:t>
      </w:r>
      <w:r w:rsidR="007D4974">
        <w:rPr>
          <w:rFonts w:ascii="Palatino Linotype" w:eastAsia="Calibri" w:hAnsi="Palatino Linotype" w:cs="Arial"/>
          <w:sz w:val="24"/>
          <w:szCs w:val="24"/>
          <w:lang w:eastAsia="es-ES"/>
        </w:rPr>
        <w:t>.</w:t>
      </w:r>
    </w:p>
    <w:p w:rsidR="007D4974" w:rsidRDefault="007D4974" w:rsidP="009249DB">
      <w:pPr>
        <w:autoSpaceDE w:val="0"/>
        <w:autoSpaceDN w:val="0"/>
        <w:adjustRightInd w:val="0"/>
        <w:spacing w:after="0" w:line="360" w:lineRule="auto"/>
        <w:jc w:val="both"/>
        <w:rPr>
          <w:rFonts w:ascii="Palatino Linotype" w:eastAsia="Calibri" w:hAnsi="Palatino Linotype" w:cs="Arial"/>
          <w:sz w:val="24"/>
          <w:szCs w:val="24"/>
          <w:lang w:eastAsia="es-ES"/>
        </w:rPr>
      </w:pPr>
    </w:p>
    <w:p w:rsidR="007D4974" w:rsidRDefault="007D4974" w:rsidP="009249DB">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 igual forma establece que en las adquisiciones referidas, queden comprendidas la de bienes muebles </w:t>
      </w:r>
      <w:r w:rsidRPr="007D4974">
        <w:rPr>
          <w:rFonts w:ascii="Palatino Linotype" w:eastAsia="Calibri" w:hAnsi="Palatino Linotype" w:cs="Arial"/>
          <w:sz w:val="24"/>
          <w:szCs w:val="24"/>
        </w:rPr>
        <w:t>que deban incorporarse, adherirse o destinarse a un bien inmueble</w:t>
      </w:r>
      <w:r>
        <w:rPr>
          <w:rFonts w:ascii="Palatino Linotype" w:eastAsia="Calibri" w:hAnsi="Palatino Linotype" w:cs="Arial"/>
          <w:sz w:val="24"/>
          <w:szCs w:val="24"/>
        </w:rPr>
        <w:t xml:space="preserve"> las cuales se sujetarán a las disposiciones anuales del presupuesto de egresos </w:t>
      </w:r>
      <w:r w:rsidRPr="007D4974">
        <w:rPr>
          <w:rFonts w:ascii="Palatino Linotype" w:eastAsia="Calibri" w:hAnsi="Palatino Linotype" w:cs="Arial"/>
          <w:sz w:val="24"/>
          <w:szCs w:val="24"/>
        </w:rPr>
        <w:t>del gobierno del Estado de México, así como a lo previsto en el Código Financiero del Estado de México y Municipios y demás disposiciones legales aplicables, según sea el caso</w:t>
      </w:r>
      <w:r>
        <w:rPr>
          <w:rFonts w:ascii="Palatino Linotype" w:eastAsia="Calibri" w:hAnsi="Palatino Linotype" w:cs="Arial"/>
          <w:sz w:val="24"/>
          <w:szCs w:val="24"/>
        </w:rPr>
        <w:t>.</w:t>
      </w:r>
    </w:p>
    <w:p w:rsidR="00111B35" w:rsidRDefault="00111B35" w:rsidP="009249DB">
      <w:pPr>
        <w:autoSpaceDE w:val="0"/>
        <w:autoSpaceDN w:val="0"/>
        <w:adjustRightInd w:val="0"/>
        <w:spacing w:after="0" w:line="360" w:lineRule="auto"/>
        <w:jc w:val="both"/>
        <w:rPr>
          <w:rFonts w:ascii="Palatino Linotype" w:eastAsia="Calibri" w:hAnsi="Palatino Linotype" w:cs="Arial"/>
          <w:sz w:val="24"/>
          <w:szCs w:val="24"/>
        </w:rPr>
      </w:pPr>
    </w:p>
    <w:p w:rsidR="007D4974" w:rsidRDefault="00111B35" w:rsidP="009249DB">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Continuando con el análisis de los preceptos referidos, podemos advertir que</w:t>
      </w:r>
      <w:r w:rsidR="007D4974" w:rsidRPr="007D4974">
        <w:t xml:space="preserve"> </w:t>
      </w:r>
      <w:r w:rsidR="007D4974">
        <w:rPr>
          <w:rFonts w:ascii="Palatino Linotype" w:eastAsia="Calibri" w:hAnsi="Palatino Linotype" w:cs="Arial"/>
          <w:sz w:val="24"/>
          <w:szCs w:val="24"/>
        </w:rPr>
        <w:t>l</w:t>
      </w:r>
      <w:r w:rsidR="007D4974" w:rsidRPr="007D4974">
        <w:rPr>
          <w:rFonts w:ascii="Palatino Linotype" w:eastAsia="Calibri" w:hAnsi="Palatino Linotype" w:cs="Arial"/>
          <w:sz w:val="24"/>
          <w:szCs w:val="24"/>
        </w:rPr>
        <w:t xml:space="preserve">os actos relacionados con las adquisiciones, se llevarán a cabo por el órgano ejecutor, a través de los procedimientos </w:t>
      </w:r>
      <w:r w:rsidR="007D4974">
        <w:rPr>
          <w:rFonts w:ascii="Palatino Linotype" w:eastAsia="Calibri" w:hAnsi="Palatino Linotype" w:cs="Arial"/>
          <w:sz w:val="24"/>
          <w:szCs w:val="24"/>
        </w:rPr>
        <w:t xml:space="preserve">de licitación pública, licitación restringida o Adjudicación directa, y para tal efecto se deberán elaborar contratos </w:t>
      </w:r>
      <w:r w:rsidR="00145388" w:rsidRPr="00145388">
        <w:rPr>
          <w:rFonts w:ascii="Palatino Linotype" w:eastAsia="Calibri" w:hAnsi="Palatino Linotype" w:cs="Arial"/>
          <w:sz w:val="24"/>
          <w:szCs w:val="24"/>
        </w:rPr>
        <w:t>de las bases de la licitación o de las solicitudes de cotización, según corresponda del fallo de adjudicación relativo</w:t>
      </w:r>
      <w:r w:rsidR="00145388">
        <w:rPr>
          <w:rFonts w:ascii="Palatino Linotype" w:eastAsia="Calibri" w:hAnsi="Palatino Linotype" w:cs="Arial"/>
          <w:sz w:val="24"/>
          <w:szCs w:val="24"/>
        </w:rPr>
        <w:t>.</w:t>
      </w:r>
    </w:p>
    <w:p w:rsidR="00143ABA" w:rsidRDefault="00143ABA" w:rsidP="009249DB">
      <w:pPr>
        <w:autoSpaceDE w:val="0"/>
        <w:autoSpaceDN w:val="0"/>
        <w:adjustRightInd w:val="0"/>
        <w:spacing w:after="0" w:line="360" w:lineRule="auto"/>
        <w:jc w:val="both"/>
        <w:rPr>
          <w:rFonts w:ascii="Palatino Linotype" w:eastAsia="Calibri" w:hAnsi="Palatino Linotype" w:cs="Arial"/>
          <w:b/>
          <w:bCs/>
          <w:sz w:val="24"/>
          <w:szCs w:val="24"/>
        </w:rPr>
      </w:pPr>
    </w:p>
    <w:p w:rsidR="00E44768" w:rsidRDefault="00143ABA" w:rsidP="00143ABA">
      <w:pPr>
        <w:autoSpaceDE w:val="0"/>
        <w:autoSpaceDN w:val="0"/>
        <w:adjustRightInd w:val="0"/>
        <w:spacing w:after="0" w:line="360" w:lineRule="auto"/>
        <w:jc w:val="both"/>
        <w:rPr>
          <w:rFonts w:ascii="Palatino Linotype" w:eastAsia="Calibri" w:hAnsi="Palatino Linotype" w:cs="Arial"/>
          <w:sz w:val="24"/>
          <w:szCs w:val="24"/>
        </w:rPr>
      </w:pPr>
      <w:r w:rsidRPr="00143ABA">
        <w:rPr>
          <w:rFonts w:ascii="Palatino Linotype" w:eastAsia="Calibri" w:hAnsi="Palatino Linotype" w:cs="Arial"/>
          <w:sz w:val="24"/>
          <w:szCs w:val="24"/>
        </w:rPr>
        <w:t xml:space="preserve">Asimismo, se establece </w:t>
      </w:r>
      <w:r w:rsidR="00CD0C56" w:rsidRPr="00143ABA">
        <w:rPr>
          <w:rFonts w:ascii="Palatino Linotype" w:eastAsia="Calibri" w:hAnsi="Palatino Linotype" w:cs="Arial"/>
          <w:sz w:val="24"/>
          <w:szCs w:val="24"/>
        </w:rPr>
        <w:t>que,</w:t>
      </w:r>
      <w:r>
        <w:rPr>
          <w:rFonts w:ascii="Palatino Linotype" w:eastAsia="Calibri" w:hAnsi="Palatino Linotype" w:cs="Arial"/>
          <w:sz w:val="24"/>
          <w:szCs w:val="24"/>
        </w:rPr>
        <w:t xml:space="preserve"> </w:t>
      </w:r>
      <w:r w:rsidR="00E44768">
        <w:rPr>
          <w:rFonts w:ascii="Palatino Linotype" w:eastAsia="Calibri" w:hAnsi="Palatino Linotype" w:cs="Arial"/>
          <w:sz w:val="24"/>
          <w:szCs w:val="24"/>
        </w:rPr>
        <w:t xml:space="preserve">para cualquiera de las modalidades descritas con anterioridad, </w:t>
      </w:r>
      <w:r w:rsidR="00145388" w:rsidRPr="00145388">
        <w:rPr>
          <w:rFonts w:ascii="Palatino Linotype" w:eastAsia="Calibri" w:hAnsi="Palatino Linotype" w:cs="Arial"/>
          <w:sz w:val="24"/>
          <w:szCs w:val="24"/>
        </w:rPr>
        <w:t xml:space="preserve">los órganos ejecutores y los órganos usuarios </w:t>
      </w:r>
      <w:r w:rsidR="00145388" w:rsidRPr="00145388">
        <w:rPr>
          <w:rFonts w:ascii="Palatino Linotype" w:eastAsia="Calibri" w:hAnsi="Palatino Linotype" w:cs="Arial"/>
          <w:b/>
          <w:bCs/>
          <w:sz w:val="24"/>
          <w:szCs w:val="24"/>
          <w:u w:val="single"/>
        </w:rPr>
        <w:t xml:space="preserve">conservarán en forma ordenada y sistematizada toda la documentación comprobatoria de los actos y </w:t>
      </w:r>
      <w:r w:rsidR="00145388" w:rsidRPr="00145388">
        <w:rPr>
          <w:rFonts w:ascii="Palatino Linotype" w:eastAsia="Calibri" w:hAnsi="Palatino Linotype" w:cs="Arial"/>
          <w:b/>
          <w:bCs/>
          <w:sz w:val="24"/>
          <w:szCs w:val="24"/>
          <w:u w:val="single"/>
        </w:rPr>
        <w:lastRenderedPageBreak/>
        <w:t>contratos relativos, cuando menos por un período de cinco años</w:t>
      </w:r>
      <w:r w:rsidR="00145388" w:rsidRPr="00145388">
        <w:rPr>
          <w:rFonts w:ascii="Palatino Linotype" w:eastAsia="Calibri" w:hAnsi="Palatino Linotype" w:cs="Arial"/>
          <w:sz w:val="24"/>
          <w:szCs w:val="24"/>
        </w:rPr>
        <w:t>, contado a partir de la fecha en que los mismos fueron celebrados</w:t>
      </w:r>
      <w:r w:rsidR="00E44768">
        <w:rPr>
          <w:rFonts w:ascii="Palatino Linotype" w:eastAsia="Calibri" w:hAnsi="Palatino Linotype" w:cs="Arial"/>
          <w:sz w:val="24"/>
          <w:szCs w:val="24"/>
        </w:rPr>
        <w:t>.</w:t>
      </w:r>
    </w:p>
    <w:p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p>
    <w:p w:rsidR="00E44768" w:rsidRDefault="00E44768" w:rsidP="00143ABA">
      <w:pPr>
        <w:autoSpaceDE w:val="0"/>
        <w:autoSpaceDN w:val="0"/>
        <w:adjustRightInd w:val="0"/>
        <w:spacing w:after="0" w:line="360" w:lineRule="auto"/>
        <w:jc w:val="both"/>
        <w:rPr>
          <w:rFonts w:ascii="Palatino Linotype" w:eastAsia="Calibri" w:hAnsi="Palatino Linotype" w:cs="Arial"/>
          <w:sz w:val="24"/>
          <w:szCs w:val="24"/>
        </w:rPr>
      </w:pPr>
      <w:r w:rsidRPr="00E44768">
        <w:rPr>
          <w:rFonts w:ascii="Palatino Linotype" w:eastAsia="Calibri" w:hAnsi="Palatino Linotype" w:cs="Arial"/>
          <w:sz w:val="24"/>
          <w:szCs w:val="24"/>
        </w:rPr>
        <w:t xml:space="preserve">En ese orden de ideas, advertimos que para la </w:t>
      </w:r>
      <w:r w:rsidR="00145388">
        <w:rPr>
          <w:rFonts w:ascii="Palatino Linotype" w:eastAsia="Calibri" w:hAnsi="Palatino Linotype" w:cs="Arial"/>
          <w:sz w:val="24"/>
          <w:szCs w:val="24"/>
        </w:rPr>
        <w:t xml:space="preserve">adquisición de las banderas referidas con anterioridad, si bien </w:t>
      </w:r>
      <w:r w:rsidRPr="00E44768">
        <w:rPr>
          <w:rFonts w:ascii="Palatino Linotype" w:eastAsia="Calibri" w:hAnsi="Palatino Linotype" w:cs="Arial"/>
          <w:sz w:val="24"/>
          <w:szCs w:val="24"/>
        </w:rPr>
        <w:t xml:space="preserve">el Sujeto Obligado informó que </w:t>
      </w:r>
      <w:r w:rsidR="00145388" w:rsidRPr="00145388">
        <w:rPr>
          <w:rFonts w:ascii="Palatino Linotype" w:eastAsia="Calibri" w:hAnsi="Palatino Linotype" w:cs="Arial"/>
          <w:sz w:val="24"/>
          <w:szCs w:val="24"/>
        </w:rPr>
        <w:t>el expediente de dicho procedimiento administrativo continua en proceso de integración</w:t>
      </w:r>
      <w:r w:rsidRPr="00E44768">
        <w:rPr>
          <w:rFonts w:ascii="Palatino Linotype" w:eastAsia="Calibri" w:hAnsi="Palatino Linotype" w:cs="Arial"/>
          <w:sz w:val="24"/>
          <w:szCs w:val="24"/>
        </w:rPr>
        <w:t xml:space="preserve">, </w:t>
      </w:r>
      <w:r w:rsidR="00145388">
        <w:rPr>
          <w:rFonts w:ascii="Palatino Linotype" w:eastAsia="Calibri" w:hAnsi="Palatino Linotype" w:cs="Arial"/>
          <w:sz w:val="24"/>
          <w:szCs w:val="24"/>
        </w:rPr>
        <w:t xml:space="preserve">este debe contar con </w:t>
      </w:r>
      <w:bookmarkStart w:id="2" w:name="_Hlk15585292"/>
      <w:r w:rsidR="00145388">
        <w:rPr>
          <w:rFonts w:ascii="Palatino Linotype" w:eastAsia="Calibri" w:hAnsi="Palatino Linotype" w:cs="Arial"/>
          <w:sz w:val="24"/>
          <w:szCs w:val="24"/>
        </w:rPr>
        <w:t>el expediente del procedimiento de adquisición requerido</w:t>
      </w:r>
      <w:bookmarkEnd w:id="2"/>
      <w:r w:rsidR="00145388">
        <w:rPr>
          <w:rFonts w:ascii="Palatino Linotype" w:eastAsia="Calibri" w:hAnsi="Palatino Linotype" w:cs="Arial"/>
          <w:sz w:val="24"/>
          <w:szCs w:val="24"/>
        </w:rPr>
        <w:t>, toda vez que ha manifestado que dichas banderas han sido colocadas en la plaza referida por el entonces solicitante</w:t>
      </w:r>
      <w:r w:rsidRPr="00E44768">
        <w:rPr>
          <w:rFonts w:ascii="Palatino Linotype" w:eastAsia="Calibri" w:hAnsi="Palatino Linotype" w:cs="Arial"/>
          <w:sz w:val="24"/>
          <w:szCs w:val="24"/>
        </w:rPr>
        <w:t xml:space="preserve">, además contar con los registros contables, financieros y administrativos, que pudieran soportar </w:t>
      </w:r>
      <w:r w:rsidR="00145388">
        <w:rPr>
          <w:rFonts w:ascii="Palatino Linotype" w:eastAsia="Calibri" w:hAnsi="Palatino Linotype" w:cs="Arial"/>
          <w:sz w:val="24"/>
          <w:szCs w:val="24"/>
        </w:rPr>
        <w:t>la adquisición de los bienes en comento</w:t>
      </w:r>
      <w:r w:rsidR="00675A8D">
        <w:rPr>
          <w:rFonts w:ascii="Palatino Linotype" w:eastAsia="Calibri" w:hAnsi="Palatino Linotype" w:cs="Arial"/>
          <w:sz w:val="24"/>
          <w:szCs w:val="24"/>
        </w:rPr>
        <w:t>.</w:t>
      </w:r>
    </w:p>
    <w:p w:rsidR="00DB7325" w:rsidRDefault="00DB7325" w:rsidP="00143ABA">
      <w:pPr>
        <w:autoSpaceDE w:val="0"/>
        <w:autoSpaceDN w:val="0"/>
        <w:adjustRightInd w:val="0"/>
        <w:spacing w:after="0" w:line="360" w:lineRule="auto"/>
        <w:jc w:val="both"/>
        <w:rPr>
          <w:rFonts w:ascii="Palatino Linotype" w:eastAsia="Calibri" w:hAnsi="Palatino Linotype" w:cs="Arial"/>
          <w:sz w:val="24"/>
          <w:szCs w:val="24"/>
        </w:rPr>
      </w:pPr>
    </w:p>
    <w:p w:rsidR="00DB7325" w:rsidRPr="00C13913" w:rsidRDefault="00DB7325" w:rsidP="00DB7325">
      <w:pPr>
        <w:spacing w:after="0" w:line="360" w:lineRule="auto"/>
        <w:ind w:right="142"/>
        <w:jc w:val="both"/>
        <w:rPr>
          <w:rFonts w:ascii="Palatino Linotype" w:eastAsia="Times New Roman" w:hAnsi="Palatino Linotype" w:cs="Times New Roman"/>
          <w:sz w:val="24"/>
          <w:szCs w:val="24"/>
          <w:lang w:val="es-ES_tradnl" w:eastAsia="es-ES"/>
        </w:rPr>
      </w:pPr>
      <w:r>
        <w:rPr>
          <w:rFonts w:ascii="Palatino Linotype" w:eastAsia="Calibri" w:hAnsi="Palatino Linotype" w:cs="Times New Roman"/>
          <w:sz w:val="24"/>
          <w:szCs w:val="24"/>
          <w:lang w:eastAsia="es-MX"/>
        </w:rPr>
        <w:t>Aunado a lo antes expuesto</w:t>
      </w:r>
      <w:r w:rsidRPr="00C13913">
        <w:rPr>
          <w:rFonts w:ascii="Palatino Linotype" w:eastAsia="Calibri" w:hAnsi="Palatino Linotype" w:cs="Times New Roman"/>
          <w:sz w:val="24"/>
          <w:szCs w:val="24"/>
          <w:lang w:eastAsia="es-MX"/>
        </w:rPr>
        <w:t xml:space="preserve">, cabe señalar que la información referida forma parte de las Obligaciones de Transparencia Comunes del </w:t>
      </w:r>
      <w:r w:rsidRPr="00C13913">
        <w:rPr>
          <w:rFonts w:ascii="Palatino Linotype" w:eastAsia="Calibri" w:hAnsi="Palatino Linotype" w:cs="Times New Roman"/>
          <w:b/>
          <w:sz w:val="24"/>
          <w:szCs w:val="24"/>
          <w:lang w:eastAsia="es-MX"/>
        </w:rPr>
        <w:t>Sujeto Obligado</w:t>
      </w:r>
      <w:r w:rsidRPr="00C13913">
        <w:rPr>
          <w:rFonts w:ascii="Palatino Linotype" w:eastAsia="Calibri" w:hAnsi="Palatino Linotype" w:cs="Times New Roman"/>
          <w:sz w:val="24"/>
          <w:szCs w:val="24"/>
          <w:lang w:eastAsia="es-MX"/>
        </w:rPr>
        <w:t>,</w:t>
      </w:r>
      <w:r w:rsidRPr="00C13913">
        <w:rPr>
          <w:rFonts w:ascii="Palatino Linotype" w:eastAsia="Times New Roman" w:hAnsi="Palatino Linotype" w:cs="Times New Roman"/>
          <w:sz w:val="24"/>
          <w:szCs w:val="24"/>
          <w:lang w:eastAsia="es-MX"/>
        </w:rPr>
        <w:t xml:space="preserve"> lo que nos </w:t>
      </w:r>
      <w:r w:rsidRPr="00C13913">
        <w:rPr>
          <w:rFonts w:ascii="Palatino Linotype" w:eastAsia="Times New Roman" w:hAnsi="Palatino Linotype" w:cs="Times New Roman"/>
          <w:sz w:val="24"/>
          <w:szCs w:val="24"/>
          <w:lang w:val="es-ES_tradnl" w:eastAsia="es-ES"/>
        </w:rPr>
        <w:t>permite traer a colación lo dispuesto por la fracción XX</w:t>
      </w:r>
      <w:r>
        <w:rPr>
          <w:rFonts w:ascii="Palatino Linotype" w:eastAsia="Times New Roman" w:hAnsi="Palatino Linotype" w:cs="Times New Roman"/>
          <w:sz w:val="24"/>
          <w:szCs w:val="24"/>
          <w:lang w:val="es-ES_tradnl" w:eastAsia="es-ES"/>
        </w:rPr>
        <w:t>I</w:t>
      </w:r>
      <w:r w:rsidRPr="00C13913">
        <w:rPr>
          <w:rFonts w:ascii="Palatino Linotype" w:eastAsia="Times New Roman" w:hAnsi="Palatino Linotype" w:cs="Times New Roman"/>
          <w:sz w:val="24"/>
          <w:szCs w:val="24"/>
          <w:lang w:val="es-ES_tradnl" w:eastAsia="es-ES"/>
        </w:rPr>
        <w:t>X del artículo 92 de la Ley de Transparencia y Acceso a la Información Pública del Estado de México y Municipios en el cual se aprecia lo siguiente:</w:t>
      </w:r>
    </w:p>
    <w:p w:rsidR="00DB7325" w:rsidRPr="00C13913" w:rsidRDefault="00DB7325" w:rsidP="00DB7325">
      <w:pPr>
        <w:tabs>
          <w:tab w:val="left" w:pos="851"/>
        </w:tabs>
        <w:spacing w:before="120" w:after="120" w:line="240" w:lineRule="auto"/>
        <w:ind w:left="851" w:right="851"/>
        <w:jc w:val="both"/>
        <w:rPr>
          <w:rFonts w:ascii="Palatino Linotype" w:eastAsia="Calibri" w:hAnsi="Palatino Linotype" w:cs="Arial"/>
          <w:i/>
        </w:rPr>
      </w:pPr>
      <w:r w:rsidRPr="00C13913">
        <w:rPr>
          <w:rFonts w:ascii="Palatino Linotype" w:eastAsia="Calibri" w:hAnsi="Palatino Linotype" w:cs="Arial"/>
          <w:i/>
        </w:rPr>
        <w:t>“</w:t>
      </w:r>
      <w:r w:rsidRPr="00C13913">
        <w:rPr>
          <w:rFonts w:ascii="Palatino Linotype" w:eastAsia="Calibri" w:hAnsi="Palatino Linotype" w:cs="Arial"/>
          <w:b/>
          <w:i/>
        </w:rPr>
        <w:t>Artículo 92</w:t>
      </w:r>
      <w:r w:rsidRPr="00C13913">
        <w:rPr>
          <w:rFonts w:ascii="Palatino Linotype" w:eastAsia="Calibri" w:hAnsi="Palatino Linotype" w:cs="Arial"/>
          <w:i/>
        </w:rPr>
        <w:t xml:space="preserve">. </w:t>
      </w:r>
      <w:r w:rsidRPr="00C13913">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C13913">
        <w:rPr>
          <w:rFonts w:ascii="Palatino Linotype" w:eastAsia="Calibri" w:hAnsi="Palatino Linotype" w:cs="Arial"/>
          <w:i/>
        </w:rPr>
        <w:t xml:space="preserve">, de acuerdo con sus facultades, atribuciones, funciones u objeto social, según corresponda, la información, </w:t>
      </w:r>
      <w:r w:rsidRPr="00C13913">
        <w:rPr>
          <w:rFonts w:ascii="Palatino Linotype" w:eastAsia="Calibri" w:hAnsi="Palatino Linotype" w:cs="Arial"/>
          <w:b/>
          <w:i/>
          <w:u w:val="single"/>
        </w:rPr>
        <w:t>por lo menos, de los temas, documentos y políticas que a continuación se señalan</w:t>
      </w:r>
      <w:r w:rsidRPr="00C13913">
        <w:rPr>
          <w:rFonts w:ascii="Palatino Linotype" w:eastAsia="Calibri" w:hAnsi="Palatino Linotype" w:cs="Arial"/>
          <w:i/>
        </w:rPr>
        <w:t>:</w:t>
      </w:r>
    </w:p>
    <w:p w:rsidR="00DB7325" w:rsidRPr="00C13913" w:rsidRDefault="00DB7325" w:rsidP="00DB7325">
      <w:pPr>
        <w:tabs>
          <w:tab w:val="left" w:pos="851"/>
        </w:tabs>
        <w:spacing w:before="120" w:after="120" w:line="240" w:lineRule="auto"/>
        <w:ind w:left="851" w:right="851"/>
        <w:jc w:val="both"/>
        <w:rPr>
          <w:rFonts w:ascii="Calibri" w:eastAsia="Calibri" w:hAnsi="Calibri" w:cs="Times New Roman"/>
        </w:rPr>
      </w:pP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XXIX. </w:t>
      </w:r>
      <w:r w:rsidRPr="00EC3FE0">
        <w:rPr>
          <w:rFonts w:ascii="Palatino Linotype" w:eastAsia="Calibri" w:hAnsi="Palatino Linotype" w:cs="Times New Roman"/>
          <w:bCs/>
          <w:i/>
        </w:rPr>
        <w:t xml:space="preserve">La información sobre los procesos y resultados sobre </w:t>
      </w:r>
      <w:r w:rsidRPr="00EC3FE0">
        <w:rPr>
          <w:rFonts w:ascii="Palatino Linotype" w:eastAsia="Calibri" w:hAnsi="Palatino Linotype" w:cs="Times New Roman"/>
          <w:b/>
          <w:i/>
          <w:u w:val="single"/>
        </w:rPr>
        <w:t>procedimientos de adjudicación directa, invitación restringida y licitación de cualquier naturaleza</w:t>
      </w:r>
      <w:r w:rsidRPr="00EC3FE0">
        <w:rPr>
          <w:rFonts w:ascii="Palatino Linotype" w:eastAsia="Calibri" w:hAnsi="Palatino Linotype" w:cs="Times New Roman"/>
          <w:bCs/>
          <w:i/>
        </w:rPr>
        <w:t>, incluyendo la versión pública del expediente respectivo y de los contratos celebrados, que deberán contener, por los menos, lo siguiente</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a) </w:t>
      </w:r>
      <w:r w:rsidRPr="00EC3FE0">
        <w:rPr>
          <w:rFonts w:ascii="Palatino Linotype" w:eastAsia="Calibri" w:hAnsi="Palatino Linotype" w:cs="Times New Roman"/>
          <w:bCs/>
          <w:i/>
        </w:rPr>
        <w:t>De licitaciones públicas o procedimientos de invitación restringida</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lastRenderedPageBreak/>
        <w:t xml:space="preserve">1) </w:t>
      </w:r>
      <w:r w:rsidRPr="00EC3FE0">
        <w:rPr>
          <w:rFonts w:ascii="Palatino Linotype" w:eastAsia="Calibri" w:hAnsi="Palatino Linotype" w:cs="Times New Roman"/>
          <w:bCs/>
          <w:i/>
        </w:rPr>
        <w:t>La convocatoria o invitación emitida, así como los fundamentos legales aplicados para llevarla a cabo</w:t>
      </w:r>
      <w:r w:rsidRPr="00C13913">
        <w:rPr>
          <w:rFonts w:ascii="Palatino Linotype" w:eastAsia="Calibri" w:hAnsi="Palatino Linotype" w:cs="Times New Roman"/>
          <w:b/>
          <w:i/>
        </w:rPr>
        <w:t xml:space="preserve">; </w:t>
      </w:r>
    </w:p>
    <w:p w:rsidR="00DB7325" w:rsidRPr="00DB7325" w:rsidRDefault="00DB7325" w:rsidP="00DB7325">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2) </w:t>
      </w:r>
      <w:r w:rsidRPr="00DB7325">
        <w:rPr>
          <w:rFonts w:ascii="Palatino Linotype" w:eastAsia="Calibri" w:hAnsi="Palatino Linotype" w:cs="Times New Roman"/>
          <w:bCs/>
          <w:i/>
        </w:rPr>
        <w:t xml:space="preserve">Los nombres de los participantes o invitados;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DB7325">
        <w:rPr>
          <w:rFonts w:ascii="Palatino Linotype" w:eastAsia="Calibri" w:hAnsi="Palatino Linotype" w:cs="Times New Roman"/>
          <w:bCs/>
          <w:i/>
        </w:rPr>
        <w:t>3) El nombre del ganador y las razones que lo justifican</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4) </w:t>
      </w:r>
      <w:r w:rsidRPr="00EC3FE0">
        <w:rPr>
          <w:rFonts w:ascii="Palatino Linotype" w:eastAsia="Calibri" w:hAnsi="Palatino Linotype" w:cs="Times New Roman"/>
          <w:bCs/>
          <w:i/>
        </w:rPr>
        <w:t>El área solicitante y la responsable de su ejecución</w:t>
      </w:r>
      <w:r w:rsidRPr="00C13913">
        <w:rPr>
          <w:rFonts w:ascii="Palatino Linotype" w:eastAsia="Calibri" w:hAnsi="Palatino Linotype" w:cs="Times New Roman"/>
          <w:b/>
          <w:i/>
        </w:rPr>
        <w:t xml:space="preserve">; </w:t>
      </w:r>
    </w:p>
    <w:p w:rsidR="00DB7325" w:rsidRPr="00EC3FE0"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5) </w:t>
      </w:r>
      <w:r w:rsidRPr="00EC3FE0">
        <w:rPr>
          <w:rFonts w:ascii="Palatino Linotype" w:eastAsia="Calibri" w:hAnsi="Palatino Linotype" w:cs="Times New Roman"/>
          <w:bCs/>
          <w:i/>
        </w:rPr>
        <w:t>Las convocatorias e invitaciones emitidas</w:t>
      </w:r>
      <w:r w:rsidRPr="00EC3FE0">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EC3FE0">
        <w:rPr>
          <w:rFonts w:ascii="Palatino Linotype" w:eastAsia="Calibri" w:hAnsi="Palatino Linotype" w:cs="Times New Roman"/>
          <w:b/>
          <w:i/>
        </w:rPr>
        <w:t xml:space="preserve">6) </w:t>
      </w:r>
      <w:r w:rsidRPr="00EC3FE0">
        <w:rPr>
          <w:rFonts w:ascii="Palatino Linotype" w:eastAsia="Calibri" w:hAnsi="Palatino Linotype" w:cs="Times New Roman"/>
          <w:bCs/>
          <w:i/>
        </w:rPr>
        <w:t>Los dictámenes y fallo de adjudicación</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7) </w:t>
      </w:r>
      <w:r w:rsidRPr="00EC3FE0">
        <w:rPr>
          <w:rFonts w:ascii="Palatino Linotype" w:eastAsia="Calibri" w:hAnsi="Palatino Linotype" w:cs="Times New Roman"/>
          <w:bCs/>
          <w:i/>
        </w:rPr>
        <w:t>El contrato y, en su caso, sus anexos</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9) </w:t>
      </w:r>
      <w:r w:rsidRPr="00EC3FE0">
        <w:rPr>
          <w:rFonts w:ascii="Palatino Linotype" w:eastAsia="Calibri" w:hAnsi="Palatino Linotype" w:cs="Times New Roman"/>
          <w:bCs/>
          <w:i/>
        </w:rPr>
        <w:t>La partida presupuestal, de conformidad con el clasificador por objeto del gasto, en el caso de ser aplicable</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Origen de los recursos especificando si son federales, estatales o municipales, así como el tipo de fondo de participación o aportación respectiva</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11) </w:t>
      </w:r>
      <w:r w:rsidRPr="00EC3FE0">
        <w:rPr>
          <w:rFonts w:ascii="Palatino Linotype" w:eastAsia="Calibri" w:hAnsi="Palatino Linotype" w:cs="Times New Roman"/>
          <w:bCs/>
          <w:i/>
        </w:rPr>
        <w:t>Los convenios modificatorios que, en su caso, sean firmados, precisando el objeto y la fecha de celebración</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12) </w:t>
      </w:r>
      <w:r w:rsidRPr="00EC3FE0">
        <w:rPr>
          <w:rFonts w:ascii="Palatino Linotype" w:eastAsia="Calibri" w:hAnsi="Palatino Linotype" w:cs="Times New Roman"/>
          <w:bCs/>
          <w:i/>
        </w:rPr>
        <w:t>Los informes de avance físico y financiero sobre las obras o servicios contratados</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13) </w:t>
      </w:r>
      <w:r w:rsidRPr="00EC3FE0">
        <w:rPr>
          <w:rFonts w:ascii="Palatino Linotype" w:eastAsia="Calibri" w:hAnsi="Palatino Linotype" w:cs="Times New Roman"/>
          <w:bCs/>
          <w:i/>
        </w:rPr>
        <w:t>El convenio de terminación</w:t>
      </w:r>
      <w:r w:rsidRPr="00C13913">
        <w:rPr>
          <w:rFonts w:ascii="Palatino Linotype" w:eastAsia="Calibri" w:hAnsi="Palatino Linotype" w:cs="Times New Roman"/>
          <w:b/>
          <w:i/>
        </w:rPr>
        <w:t xml:space="preserve">; y </w:t>
      </w:r>
    </w:p>
    <w:p w:rsidR="00DB7325" w:rsidRPr="00DB7325" w:rsidRDefault="00DB7325" w:rsidP="00DB7325">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14) </w:t>
      </w:r>
      <w:r w:rsidRPr="00DB7325">
        <w:rPr>
          <w:rFonts w:ascii="Palatino Linotype" w:eastAsia="Calibri" w:hAnsi="Palatino Linotype" w:cs="Times New Roman"/>
          <w:bCs/>
          <w:i/>
        </w:rPr>
        <w:t xml:space="preserve">El finiquito.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DB7325">
        <w:rPr>
          <w:rFonts w:ascii="Palatino Linotype" w:eastAsia="Calibri" w:hAnsi="Palatino Linotype" w:cs="Times New Roman"/>
          <w:bCs/>
          <w:i/>
        </w:rPr>
        <w:t>b) De las adjudicaciones directas</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 </w:t>
      </w:r>
      <w:r w:rsidRPr="00EC3FE0">
        <w:rPr>
          <w:rFonts w:ascii="Palatino Linotype" w:eastAsia="Calibri" w:hAnsi="Palatino Linotype" w:cs="Times New Roman"/>
          <w:bCs/>
          <w:i/>
        </w:rPr>
        <w:t>La propuesta enviada por el participante</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2) </w:t>
      </w:r>
      <w:r w:rsidRPr="00EC3FE0">
        <w:rPr>
          <w:rFonts w:ascii="Palatino Linotype" w:eastAsia="Calibri" w:hAnsi="Palatino Linotype" w:cs="Times New Roman"/>
          <w:bCs/>
          <w:i/>
        </w:rPr>
        <w:t>Los motivos y fundamentos legales aplicados para llevarla a cabo</w:t>
      </w:r>
      <w:r w:rsidRPr="00C13913">
        <w:rPr>
          <w:rFonts w:ascii="Palatino Linotype" w:eastAsia="Calibri" w:hAnsi="Palatino Linotype" w:cs="Times New Roman"/>
          <w:b/>
          <w:i/>
        </w:rPr>
        <w:t xml:space="preserve">;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3) </w:t>
      </w:r>
      <w:r w:rsidRPr="00EC3FE0">
        <w:rPr>
          <w:rFonts w:ascii="Palatino Linotype" w:eastAsia="Calibri" w:hAnsi="Palatino Linotype" w:cs="Times New Roman"/>
          <w:bCs/>
          <w:i/>
        </w:rPr>
        <w:t>La autorización del ejercicio de la opción</w:t>
      </w:r>
      <w:r w:rsidRPr="00C13913">
        <w:rPr>
          <w:rFonts w:ascii="Palatino Linotype" w:eastAsia="Calibri" w:hAnsi="Palatino Linotype" w:cs="Times New Roman"/>
          <w:b/>
          <w:i/>
        </w:rPr>
        <w:t xml:space="preserve">; </w:t>
      </w:r>
    </w:p>
    <w:p w:rsidR="00DB7325" w:rsidRPr="00DB7325" w:rsidRDefault="00DB7325" w:rsidP="00DB7325">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4) </w:t>
      </w:r>
      <w:r w:rsidRPr="00DB7325">
        <w:rPr>
          <w:rFonts w:ascii="Palatino Linotype" w:eastAsia="Calibri" w:hAnsi="Palatino Linotype" w:cs="Times New Roman"/>
          <w:bCs/>
          <w:i/>
        </w:rPr>
        <w:t xml:space="preserve">En su caso, las cotizaciones consideradas, especificando los nombres de los proveedores y sus montos; </w:t>
      </w:r>
    </w:p>
    <w:p w:rsidR="00DB7325" w:rsidRPr="00DB7325" w:rsidRDefault="00DB7325" w:rsidP="00DB7325">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5) El nombre de la persona física o jurídica colectiva adjudicada; </w:t>
      </w:r>
    </w:p>
    <w:p w:rsidR="00DB7325" w:rsidRPr="00DB7325" w:rsidRDefault="00DB7325" w:rsidP="00DB7325">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6) La unidad administrativa solicitante y la responsable de su ejecución; </w:t>
      </w:r>
    </w:p>
    <w:p w:rsidR="00DB7325" w:rsidRPr="00DB7325" w:rsidRDefault="00DB7325" w:rsidP="00DB7325">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7) El número, fecha, el monto del contrato y el plazo de entrega o de ejecución de los servicios u obra; </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lastRenderedPageBreak/>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w:t>
      </w:r>
    </w:p>
    <w:p w:rsidR="00DB7325" w:rsidRDefault="00DB7325" w:rsidP="00DB7325">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 9) </w:t>
      </w:r>
      <w:r w:rsidRPr="00EC3FE0">
        <w:rPr>
          <w:rFonts w:ascii="Palatino Linotype" w:eastAsia="Calibri" w:hAnsi="Palatino Linotype" w:cs="Times New Roman"/>
          <w:bCs/>
          <w:i/>
        </w:rPr>
        <w:t>Los informes de avance sobre las obras o servicios contratados</w:t>
      </w:r>
      <w:r w:rsidRPr="00C13913">
        <w:rPr>
          <w:rFonts w:ascii="Palatino Linotype" w:eastAsia="Calibri" w:hAnsi="Palatino Linotype" w:cs="Times New Roman"/>
          <w:b/>
          <w:i/>
        </w:rPr>
        <w:t xml:space="preserve">; </w:t>
      </w:r>
    </w:p>
    <w:p w:rsidR="00DB7325" w:rsidRPr="00DB7325" w:rsidRDefault="00DB7325" w:rsidP="00DB7325">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El convenio de terminación</w:t>
      </w:r>
      <w:r w:rsidRPr="00DB7325">
        <w:rPr>
          <w:rFonts w:ascii="Palatino Linotype" w:eastAsia="Calibri" w:hAnsi="Palatino Linotype" w:cs="Times New Roman"/>
          <w:bCs/>
          <w:i/>
        </w:rPr>
        <w:t xml:space="preserve">; y </w:t>
      </w:r>
    </w:p>
    <w:p w:rsidR="00DB7325" w:rsidRPr="00DB7325" w:rsidRDefault="00DB7325" w:rsidP="00DB7325">
      <w:pPr>
        <w:tabs>
          <w:tab w:val="left" w:pos="851"/>
        </w:tabs>
        <w:spacing w:before="120" w:after="120" w:line="240" w:lineRule="auto"/>
        <w:ind w:left="851" w:right="851"/>
        <w:jc w:val="both"/>
        <w:rPr>
          <w:rFonts w:ascii="Palatino Linotype" w:eastAsia="Calibri" w:hAnsi="Palatino Linotype" w:cs="Arial"/>
          <w:bCs/>
          <w:i/>
        </w:rPr>
      </w:pPr>
      <w:r w:rsidRPr="00DB7325">
        <w:rPr>
          <w:rFonts w:ascii="Palatino Linotype" w:eastAsia="Calibri" w:hAnsi="Palatino Linotype" w:cs="Times New Roman"/>
          <w:bCs/>
          <w:i/>
        </w:rPr>
        <w:t>11) El finiquito.;</w:t>
      </w:r>
    </w:p>
    <w:p w:rsidR="00DB7325" w:rsidRPr="00C13913" w:rsidRDefault="00DB7325" w:rsidP="00DB7325">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rsidR="00DB7325" w:rsidRPr="00C13913" w:rsidRDefault="00DB7325" w:rsidP="00DB7325">
      <w:pPr>
        <w:spacing w:after="0" w:line="360" w:lineRule="auto"/>
        <w:jc w:val="both"/>
        <w:rPr>
          <w:rFonts w:ascii="Palatino Linotype" w:eastAsia="Calibri" w:hAnsi="Palatino Linotype" w:cs="Arial"/>
          <w:sz w:val="24"/>
          <w:szCs w:val="24"/>
        </w:rPr>
      </w:pPr>
      <w:r w:rsidRPr="00C13913">
        <w:rPr>
          <w:rFonts w:ascii="Palatino Linotype" w:eastAsia="Calibri" w:hAnsi="Palatino Linotype" w:cs="Times New Roman"/>
          <w:sz w:val="24"/>
          <w:szCs w:val="24"/>
        </w:rPr>
        <w:t xml:space="preserve">Del numeral citado, se observa que </w:t>
      </w:r>
      <w:r w:rsidRPr="00C13913">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C13913">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rsidR="00EB66EF" w:rsidRPr="009249DB" w:rsidRDefault="00EB66EF" w:rsidP="009249DB">
      <w:pPr>
        <w:autoSpaceDE w:val="0"/>
        <w:autoSpaceDN w:val="0"/>
        <w:adjustRightInd w:val="0"/>
        <w:spacing w:after="0" w:line="360" w:lineRule="auto"/>
        <w:jc w:val="both"/>
        <w:rPr>
          <w:rFonts w:ascii="Palatino Linotype" w:eastAsia="Calibri" w:hAnsi="Palatino Linotype" w:cs="Arial"/>
          <w:sz w:val="24"/>
          <w:szCs w:val="24"/>
        </w:rPr>
      </w:pPr>
    </w:p>
    <w:p w:rsidR="009249DB" w:rsidRDefault="009249DB" w:rsidP="009249DB">
      <w:pPr>
        <w:autoSpaceDE w:val="0"/>
        <w:autoSpaceDN w:val="0"/>
        <w:adjustRightInd w:val="0"/>
        <w:spacing w:after="0" w:line="360" w:lineRule="auto"/>
        <w:jc w:val="both"/>
        <w:rPr>
          <w:rFonts w:ascii="Palatino Linotype" w:eastAsia="Calibri" w:hAnsi="Palatino Linotype" w:cs="Arial"/>
          <w:sz w:val="24"/>
          <w:szCs w:val="24"/>
        </w:rPr>
      </w:pPr>
      <w:r w:rsidRPr="009249DB">
        <w:rPr>
          <w:rFonts w:ascii="Palatino Linotype" w:eastAsia="Calibri" w:hAnsi="Palatino Linotype" w:cs="Arial"/>
          <w:sz w:val="24"/>
          <w:szCs w:val="24"/>
        </w:rPr>
        <w:t xml:space="preserve">En tal tesitura, es de precisarse que resultan </w:t>
      </w:r>
      <w:r w:rsidR="00E635D2">
        <w:rPr>
          <w:rFonts w:ascii="Palatino Linotype" w:eastAsia="Calibri" w:hAnsi="Palatino Linotype" w:cs="Arial"/>
          <w:sz w:val="24"/>
          <w:szCs w:val="24"/>
        </w:rPr>
        <w:t xml:space="preserve">parcialmente </w:t>
      </w:r>
      <w:r w:rsidRPr="009249DB">
        <w:rPr>
          <w:rFonts w:ascii="Palatino Linotype" w:eastAsia="Calibri" w:hAnsi="Palatino Linotype" w:cs="Arial"/>
          <w:sz w:val="24"/>
          <w:szCs w:val="24"/>
        </w:rPr>
        <w:t xml:space="preserve">fundadas las razones o motivos de inconformidad planteados por </w:t>
      </w:r>
      <w:r w:rsidRPr="009249DB">
        <w:rPr>
          <w:rFonts w:ascii="Palatino Linotype" w:eastAsia="Calibri" w:hAnsi="Palatino Linotype" w:cs="Arial"/>
          <w:b/>
          <w:sz w:val="24"/>
          <w:szCs w:val="24"/>
        </w:rPr>
        <w:t>El Recurrente</w:t>
      </w:r>
      <w:r w:rsidRPr="009249DB">
        <w:rPr>
          <w:rFonts w:ascii="Palatino Linotype" w:eastAsia="Calibri" w:hAnsi="Palatino Linotype" w:cs="Arial"/>
          <w:sz w:val="24"/>
          <w:szCs w:val="24"/>
        </w:rPr>
        <w:t>, toda vez que</w:t>
      </w:r>
      <w:r w:rsidR="00292117">
        <w:rPr>
          <w:rFonts w:ascii="Palatino Linotype" w:eastAsia="Calibri" w:hAnsi="Palatino Linotype" w:cs="Arial"/>
          <w:sz w:val="24"/>
          <w:szCs w:val="24"/>
        </w:rPr>
        <w:t>, si bien,</w:t>
      </w:r>
      <w:r w:rsidRPr="009249DB">
        <w:rPr>
          <w:rFonts w:ascii="Palatino Linotype" w:eastAsia="Calibri" w:hAnsi="Palatino Linotype" w:cs="Arial"/>
          <w:sz w:val="24"/>
          <w:szCs w:val="24"/>
        </w:rPr>
        <w:t xml:space="preserve"> </w:t>
      </w:r>
      <w:r w:rsidRPr="009249DB">
        <w:rPr>
          <w:rFonts w:ascii="Palatino Linotype" w:eastAsia="Calibri" w:hAnsi="Palatino Linotype" w:cs="Arial"/>
          <w:b/>
          <w:sz w:val="24"/>
          <w:szCs w:val="24"/>
        </w:rPr>
        <w:t>El Sujeto Obligado</w:t>
      </w:r>
      <w:r w:rsidRPr="009249DB">
        <w:rPr>
          <w:rFonts w:ascii="Palatino Linotype" w:eastAsia="Calibri" w:hAnsi="Palatino Linotype" w:cs="Arial"/>
          <w:sz w:val="24"/>
          <w:szCs w:val="24"/>
        </w:rPr>
        <w:t xml:space="preserve"> informó mediante respuesta primigenia que</w:t>
      </w:r>
      <w:r w:rsidR="00DF69CE">
        <w:rPr>
          <w:rFonts w:ascii="Palatino Linotype" w:eastAsia="Calibri" w:hAnsi="Palatino Linotype" w:cs="Arial"/>
          <w:sz w:val="24"/>
          <w:szCs w:val="24"/>
        </w:rPr>
        <w:t>,</w:t>
      </w:r>
      <w:r w:rsidR="00292117">
        <w:rPr>
          <w:rFonts w:ascii="Palatino Linotype" w:eastAsia="Calibri" w:hAnsi="Palatino Linotype" w:cs="Arial"/>
          <w:sz w:val="24"/>
          <w:szCs w:val="24"/>
        </w:rPr>
        <w:t xml:space="preserve"> en lo que respecta </w:t>
      </w:r>
      <w:r w:rsidR="00DF69CE" w:rsidRPr="00DF69CE">
        <w:rPr>
          <w:rFonts w:ascii="Palatino Linotype" w:eastAsia="Calibri" w:hAnsi="Palatino Linotype" w:cs="Arial"/>
          <w:sz w:val="24"/>
          <w:szCs w:val="24"/>
        </w:rPr>
        <w:t>al proceso de adquisición relativa a colocación de banderas correspondientes a diferentes países en las cornisas de la estructura metálica de la Plaza González Arratia</w:t>
      </w:r>
      <w:r w:rsidR="00DF69CE" w:rsidRPr="00DF69CE">
        <w:t xml:space="preserve"> </w:t>
      </w:r>
      <w:r w:rsidR="00DF69CE" w:rsidRPr="00DF69CE">
        <w:rPr>
          <w:rFonts w:ascii="Palatino Linotype" w:eastAsia="Calibri" w:hAnsi="Palatino Linotype" w:cs="Arial"/>
          <w:sz w:val="24"/>
          <w:szCs w:val="24"/>
        </w:rPr>
        <w:t>el expediente de dicho procedimiento administrativo continua en proceso de integración</w:t>
      </w:r>
      <w:r w:rsidR="00292117">
        <w:rPr>
          <w:rFonts w:ascii="Palatino Linotype" w:eastAsia="Calibri" w:hAnsi="Palatino Linotype" w:cs="Arial"/>
          <w:sz w:val="24"/>
          <w:szCs w:val="24"/>
        </w:rPr>
        <w:t xml:space="preserve">, éste no </w:t>
      </w:r>
      <w:r w:rsidR="00DF69CE">
        <w:rPr>
          <w:rFonts w:ascii="Palatino Linotype" w:eastAsia="Calibri" w:hAnsi="Palatino Linotype" w:cs="Arial"/>
          <w:sz w:val="24"/>
          <w:szCs w:val="24"/>
        </w:rPr>
        <w:t xml:space="preserve"> entregó </w:t>
      </w:r>
      <w:r w:rsidR="00DF69CE" w:rsidRPr="00DF69CE">
        <w:rPr>
          <w:rFonts w:ascii="Palatino Linotype" w:eastAsia="Calibri" w:hAnsi="Palatino Linotype" w:cs="Arial"/>
          <w:sz w:val="24"/>
          <w:szCs w:val="24"/>
        </w:rPr>
        <w:t>el expediente del procedimiento de adquisición requerido</w:t>
      </w:r>
      <w:r w:rsidRPr="009249DB">
        <w:rPr>
          <w:rFonts w:ascii="Palatino Linotype" w:eastAsia="Calibri" w:hAnsi="Palatino Linotype" w:cs="Arial"/>
          <w:sz w:val="24"/>
          <w:szCs w:val="24"/>
        </w:rPr>
        <w:t>,</w:t>
      </w:r>
      <w:r w:rsidR="00DF69CE">
        <w:rPr>
          <w:rFonts w:ascii="Palatino Linotype" w:eastAsia="Calibri" w:hAnsi="Palatino Linotype" w:cs="Arial"/>
          <w:sz w:val="24"/>
          <w:szCs w:val="24"/>
        </w:rPr>
        <w:t xml:space="preserve"> en ese sentido, </w:t>
      </w:r>
      <w:r w:rsidRPr="009249DB">
        <w:rPr>
          <w:rFonts w:ascii="Palatino Linotype" w:eastAsia="Calibri" w:hAnsi="Palatino Linotype" w:cs="Arial"/>
          <w:sz w:val="24"/>
          <w:szCs w:val="24"/>
        </w:rPr>
        <w:t xml:space="preserve"> toda vez que ha sido demostrada la fuente obligacional del </w:t>
      </w:r>
      <w:r w:rsidRPr="009249DB">
        <w:rPr>
          <w:rFonts w:ascii="Palatino Linotype" w:eastAsia="Calibri" w:hAnsi="Palatino Linotype" w:cs="Arial"/>
          <w:b/>
          <w:sz w:val="24"/>
          <w:szCs w:val="24"/>
        </w:rPr>
        <w:t>Sujeto Obligado</w:t>
      </w:r>
      <w:r w:rsidRPr="009249DB">
        <w:rPr>
          <w:rFonts w:ascii="Palatino Linotype" w:eastAsia="Calibri" w:hAnsi="Palatino Linotype" w:cs="Arial"/>
          <w:sz w:val="24"/>
          <w:szCs w:val="24"/>
        </w:rPr>
        <w:t xml:space="preserve"> de generar, poseer y administrar las documentales correspondientes a la </w:t>
      </w:r>
      <w:r w:rsidR="00DF69CE">
        <w:rPr>
          <w:rFonts w:ascii="Palatino Linotype" w:eastAsia="Calibri" w:hAnsi="Palatino Linotype" w:cs="Arial"/>
          <w:sz w:val="24"/>
          <w:szCs w:val="24"/>
        </w:rPr>
        <w:t>adquisición de los bienes referidos en la solicitud de información</w:t>
      </w:r>
      <w:r w:rsidRPr="009249DB">
        <w:rPr>
          <w:rFonts w:ascii="Palatino Linotype" w:eastAsia="Calibri" w:hAnsi="Palatino Linotype" w:cs="Arial"/>
          <w:sz w:val="24"/>
          <w:szCs w:val="24"/>
        </w:rPr>
        <w:t xml:space="preserve">, es que se colige que </w:t>
      </w:r>
      <w:r w:rsidRPr="009249DB">
        <w:rPr>
          <w:rFonts w:ascii="Palatino Linotype" w:eastAsia="Calibri" w:hAnsi="Palatino Linotype" w:cs="Arial"/>
          <w:b/>
          <w:sz w:val="24"/>
          <w:szCs w:val="24"/>
        </w:rPr>
        <w:t>El Sujeto Obligado</w:t>
      </w:r>
      <w:r w:rsidRPr="009249DB">
        <w:rPr>
          <w:rFonts w:ascii="Palatino Linotype" w:eastAsia="Calibri" w:hAnsi="Palatino Linotype" w:cs="Arial"/>
          <w:sz w:val="24"/>
          <w:szCs w:val="24"/>
        </w:rPr>
        <w:t xml:space="preserve"> </w:t>
      </w:r>
      <w:r w:rsidRPr="009249DB">
        <w:rPr>
          <w:rFonts w:ascii="Palatino Linotype" w:eastAsia="Calibri" w:hAnsi="Palatino Linotype" w:cs="Arial"/>
          <w:sz w:val="24"/>
          <w:szCs w:val="24"/>
          <w:lang w:eastAsia="es-MX"/>
        </w:rPr>
        <w:t xml:space="preserve">se encuentra en posibilidad de entregar el documento o documentos en donde conste </w:t>
      </w:r>
      <w:r w:rsidR="00292117">
        <w:rPr>
          <w:rFonts w:ascii="Palatino Linotype" w:eastAsia="Calibri" w:hAnsi="Palatino Linotype" w:cs="Arial"/>
          <w:sz w:val="24"/>
          <w:szCs w:val="24"/>
          <w:lang w:eastAsia="es-MX"/>
        </w:rPr>
        <w:t xml:space="preserve">el </w:t>
      </w:r>
      <w:r w:rsidR="00292117" w:rsidRPr="00292117">
        <w:rPr>
          <w:rFonts w:ascii="Palatino Linotype" w:eastAsia="Calibri" w:hAnsi="Palatino Linotype" w:cs="Arial"/>
          <w:sz w:val="24"/>
          <w:szCs w:val="24"/>
          <w:lang w:eastAsia="es-MX"/>
        </w:rPr>
        <w:t xml:space="preserve">expediente del procedimiento </w:t>
      </w:r>
      <w:r w:rsidR="00DF69CE">
        <w:rPr>
          <w:rFonts w:ascii="Palatino Linotype" w:eastAsia="Calibri" w:hAnsi="Palatino Linotype" w:cs="Arial"/>
          <w:sz w:val="24"/>
          <w:szCs w:val="24"/>
          <w:lang w:eastAsia="es-MX"/>
        </w:rPr>
        <w:t xml:space="preserve">de adquisición </w:t>
      </w:r>
      <w:r w:rsidR="00DF69CE" w:rsidRPr="00DF69CE">
        <w:rPr>
          <w:rFonts w:ascii="Palatino Linotype" w:eastAsia="Calibri" w:hAnsi="Palatino Linotype" w:cs="Arial"/>
          <w:sz w:val="24"/>
          <w:szCs w:val="24"/>
          <w:lang w:eastAsia="es-MX"/>
        </w:rPr>
        <w:t xml:space="preserve">de </w:t>
      </w:r>
      <w:r w:rsidR="00DF69CE" w:rsidRPr="00DF69CE">
        <w:rPr>
          <w:rFonts w:ascii="Palatino Linotype" w:eastAsia="Calibri" w:hAnsi="Palatino Linotype" w:cs="Arial"/>
          <w:sz w:val="24"/>
          <w:szCs w:val="24"/>
          <w:lang w:eastAsia="es-MX"/>
        </w:rPr>
        <w:lastRenderedPageBreak/>
        <w:t>banderas correspondientes a diferentes países en las cornisas de la estructura metálica de la Plaza González Arratia</w:t>
      </w:r>
      <w:r w:rsidR="00292117" w:rsidRPr="00292117">
        <w:rPr>
          <w:rFonts w:ascii="Palatino Linotype" w:eastAsia="Calibri" w:hAnsi="Palatino Linotype" w:cs="Arial"/>
          <w:sz w:val="24"/>
          <w:szCs w:val="24"/>
          <w:lang w:eastAsia="es-MX"/>
        </w:rPr>
        <w:t>, en versión pública de ser procedente</w:t>
      </w:r>
      <w:r w:rsidRPr="009249DB">
        <w:rPr>
          <w:rFonts w:ascii="Palatino Linotype" w:eastAsia="Calibri" w:hAnsi="Palatino Linotype" w:cs="Arial"/>
          <w:sz w:val="24"/>
          <w:szCs w:val="24"/>
          <w:lang w:eastAsia="es-MX"/>
        </w:rPr>
        <w:t>.</w:t>
      </w:r>
    </w:p>
    <w:p w:rsidR="004E118A" w:rsidRDefault="004E118A" w:rsidP="009249DB">
      <w:pPr>
        <w:autoSpaceDE w:val="0"/>
        <w:autoSpaceDN w:val="0"/>
        <w:adjustRightInd w:val="0"/>
        <w:spacing w:after="0" w:line="360" w:lineRule="auto"/>
        <w:jc w:val="both"/>
        <w:rPr>
          <w:rFonts w:ascii="Palatino Linotype" w:eastAsia="Calibri" w:hAnsi="Palatino Linotype" w:cs="Arial"/>
          <w:sz w:val="24"/>
          <w:szCs w:val="24"/>
          <w:lang w:eastAsia="es-MX"/>
        </w:rPr>
      </w:pPr>
    </w:p>
    <w:p w:rsidR="004E118A" w:rsidRPr="004E118A" w:rsidRDefault="004E118A" w:rsidP="004E118A">
      <w:pPr>
        <w:spacing w:after="0" w:line="360" w:lineRule="auto"/>
        <w:jc w:val="both"/>
        <w:rPr>
          <w:rFonts w:ascii="Palatino Linotype" w:eastAsia="Calibri" w:hAnsi="Palatino Linotype" w:cs="Arial"/>
          <w:b/>
          <w:i/>
          <w:sz w:val="26"/>
          <w:szCs w:val="26"/>
          <w:u w:val="single"/>
        </w:rPr>
      </w:pPr>
      <w:r w:rsidRPr="004E118A">
        <w:rPr>
          <w:rFonts w:ascii="Palatino Linotype" w:eastAsia="Calibri" w:hAnsi="Palatino Linotype" w:cs="Arial"/>
          <w:b/>
          <w:i/>
          <w:sz w:val="26"/>
          <w:szCs w:val="26"/>
          <w:u w:val="single"/>
        </w:rPr>
        <w:t>DE LA VERSIÓN PÚBLICA.</w:t>
      </w: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3.</w:t>
      </w:r>
      <w:r w:rsidRPr="004E118A">
        <w:rPr>
          <w:rFonts w:ascii="Palatino Linotype" w:eastAsia="Calibri" w:hAnsi="Palatino Linotype" w:cs="Arial"/>
          <w:i/>
        </w:rPr>
        <w:t xml:space="preserve"> Para los efectos de la presente Ley se entenderá por:</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IX. Datos personales:</w:t>
      </w:r>
      <w:r w:rsidRPr="004E118A">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clasificada:</w:t>
      </w:r>
      <w:r w:rsidRPr="004E118A">
        <w:rPr>
          <w:rFonts w:ascii="Palatino Linotype" w:eastAsia="Calibri" w:hAnsi="Palatino Linotype" w:cs="Arial"/>
          <w:i/>
        </w:rPr>
        <w:t xml:space="preserve"> Aquella considerada por la presente Ley como reservada o confidencial;</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XXI.</w:t>
      </w:r>
      <w:r w:rsidRPr="004E118A">
        <w:rPr>
          <w:rFonts w:ascii="Palatino Linotype" w:eastAsia="Calibri" w:hAnsi="Palatino Linotype" w:cs="Arial"/>
          <w:i/>
        </w:rPr>
        <w:t xml:space="preserve"> </w:t>
      </w:r>
      <w:r w:rsidRPr="004E118A">
        <w:rPr>
          <w:rFonts w:ascii="Palatino Linotype" w:eastAsia="Calibri" w:hAnsi="Palatino Linotype" w:cs="Arial"/>
          <w:b/>
          <w:i/>
        </w:rPr>
        <w:t>Información confidencial:</w:t>
      </w:r>
      <w:r w:rsidRPr="004E118A">
        <w:rPr>
          <w:rFonts w:ascii="Palatino Linotype" w:eastAsia="Calibri"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XLV.</w:t>
      </w:r>
      <w:r w:rsidRPr="004E118A">
        <w:rPr>
          <w:rFonts w:ascii="Palatino Linotype" w:eastAsia="Calibri" w:hAnsi="Palatino Linotype" w:cs="Arial"/>
          <w:i/>
        </w:rPr>
        <w:t xml:space="preserve"> </w:t>
      </w:r>
      <w:r w:rsidRPr="004E118A">
        <w:rPr>
          <w:rFonts w:ascii="Palatino Linotype" w:eastAsia="Calibri" w:hAnsi="Palatino Linotype" w:cs="Arial"/>
          <w:b/>
          <w:i/>
        </w:rPr>
        <w:t>Versión pública:</w:t>
      </w:r>
      <w:r w:rsidRPr="004E118A">
        <w:rPr>
          <w:rFonts w:ascii="Palatino Linotype" w:eastAsia="Calibri" w:hAnsi="Palatino Linotype" w:cs="Arial"/>
          <w:i/>
        </w:rPr>
        <w:t xml:space="preserve"> Documento en el que se elimine, suprime o borra la información clasificada como reservada o confidencial para permitir su acceso.</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 xml:space="preserve">Artículo 91. </w:t>
      </w:r>
      <w:r w:rsidRPr="004E118A">
        <w:rPr>
          <w:rFonts w:ascii="Palatino Linotype" w:eastAsia="Calibri" w:hAnsi="Palatino Linotype" w:cs="Arial"/>
          <w:i/>
        </w:rPr>
        <w:t>El acceso a la información pública será restringido excepcionalmente, cuando ésta sea clasificada como reservada o confidencial.</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Artículo 132.</w:t>
      </w:r>
      <w:r w:rsidRPr="004E118A">
        <w:rPr>
          <w:rFonts w:ascii="Palatino Linotype" w:eastAsia="Calibri" w:hAnsi="Palatino Linotype" w:cs="Arial"/>
          <w:i/>
        </w:rPr>
        <w:t xml:space="preserve"> </w:t>
      </w:r>
      <w:r w:rsidRPr="004E118A">
        <w:rPr>
          <w:rFonts w:ascii="Palatino Linotype" w:eastAsia="Calibri" w:hAnsi="Palatino Linotype" w:cs="Arial"/>
          <w:i/>
          <w:u w:val="single"/>
        </w:rPr>
        <w:t>La clasificación de la información se llevará a cabo en el momento en que</w:t>
      </w:r>
      <w:r w:rsidRPr="004E118A">
        <w:rPr>
          <w:rFonts w:ascii="Palatino Linotype" w:eastAsia="Calibri" w:hAnsi="Palatino Linotype" w:cs="Arial"/>
          <w:i/>
        </w:rPr>
        <w:t>:</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w:t>
      </w:r>
      <w:r w:rsidRPr="004E118A">
        <w:rPr>
          <w:rFonts w:ascii="Palatino Linotype" w:eastAsia="Calibri" w:hAnsi="Palatino Linotype" w:cs="Arial"/>
          <w:i/>
        </w:rPr>
        <w:t xml:space="preserve"> Se reciba una solicitud de acceso a la información;</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determine mediante resolución de autoridad competente; o</w:t>
      </w:r>
    </w:p>
    <w:p w:rsidR="004E118A" w:rsidRPr="004E118A" w:rsidRDefault="004E118A" w:rsidP="004E118A">
      <w:pPr>
        <w:spacing w:after="0" w:line="240" w:lineRule="auto"/>
        <w:ind w:left="567" w:right="567"/>
        <w:jc w:val="both"/>
        <w:rPr>
          <w:rFonts w:ascii="Palatino Linotype" w:eastAsia="Calibri" w:hAnsi="Palatino Linotype" w:cs="Arial"/>
          <w:i/>
          <w:u w:val="single"/>
        </w:rPr>
      </w:pPr>
      <w:r w:rsidRPr="004E118A">
        <w:rPr>
          <w:rFonts w:ascii="Palatino Linotype" w:eastAsia="Calibri" w:hAnsi="Palatino Linotype" w:cs="Arial"/>
          <w:b/>
          <w:i/>
        </w:rPr>
        <w:t>III.</w:t>
      </w:r>
      <w:r w:rsidRPr="004E118A">
        <w:rPr>
          <w:rFonts w:ascii="Palatino Linotype" w:eastAsia="Calibri" w:hAnsi="Palatino Linotype" w:cs="Arial"/>
          <w:i/>
        </w:rPr>
        <w:t xml:space="preserve"> </w:t>
      </w:r>
      <w:r w:rsidRPr="004E118A">
        <w:rPr>
          <w:rFonts w:ascii="Palatino Linotype" w:eastAsia="Calibri" w:hAnsi="Palatino Linotype" w:cs="Arial"/>
          <w:i/>
          <w:u w:val="single"/>
        </w:rPr>
        <w:t>Se generen versiones públicas para dar cumplimiento a las obligaciones de transparencia previstas en esta Ley.</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w:t>
      </w:r>
    </w:p>
    <w:p w:rsidR="004E118A" w:rsidRPr="004E118A" w:rsidRDefault="004E118A" w:rsidP="004E118A">
      <w:pPr>
        <w:spacing w:after="0" w:line="360" w:lineRule="auto"/>
        <w:jc w:val="both"/>
        <w:rPr>
          <w:rFonts w:ascii="Palatino Linotype" w:eastAsia="Calibri" w:hAnsi="Palatino Linotype" w:cs="Arial"/>
          <w:i/>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 xml:space="preserve">Por otro lado, los </w:t>
      </w:r>
      <w:r w:rsidRPr="004E118A">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4E118A">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Entorno a lo que aquí nos interesa, los Lineamientos Quincuagésimo sexto, Quincuagésimo séptimo y Quincuagésimo octavo, establecen lo siguiente:</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sexto.</w:t>
      </w:r>
      <w:r w:rsidRPr="004E118A">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4E118A" w:rsidRPr="004E118A" w:rsidRDefault="004E118A" w:rsidP="004E118A">
      <w:pPr>
        <w:spacing w:after="0" w:line="240" w:lineRule="auto"/>
        <w:ind w:left="567" w:right="567"/>
        <w:jc w:val="both"/>
        <w:rPr>
          <w:rFonts w:ascii="Palatino Linotype" w:eastAsia="Calibri" w:hAnsi="Palatino Linotype" w:cs="Arial"/>
          <w:i/>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séptimo.</w:t>
      </w:r>
      <w:r w:rsidRPr="004E118A">
        <w:rPr>
          <w:rFonts w:ascii="Palatino Linotype" w:eastAsia="Calibri" w:hAnsi="Palatino Linotype" w:cs="Arial"/>
          <w:i/>
        </w:rPr>
        <w:t xml:space="preserve"> Se considera, en principio, como información pública y no podrá omitirse de las versiones públicas la siguiente: </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 La relativa a las Obligaciones de Transparencia que contempla el Título V de la Ley General y las demás disposiciones legales aplicables; </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4E118A" w:rsidRPr="004E118A" w:rsidRDefault="004E118A" w:rsidP="004E118A">
      <w:pPr>
        <w:spacing w:after="0" w:line="240" w:lineRule="auto"/>
        <w:ind w:left="567" w:right="567"/>
        <w:jc w:val="both"/>
        <w:rPr>
          <w:rFonts w:ascii="Palatino Linotype" w:eastAsia="Calibri" w:hAnsi="Palatino Linotype" w:cs="Arial"/>
          <w:i/>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rsidR="004E118A" w:rsidRPr="004E118A" w:rsidRDefault="004E118A" w:rsidP="004E118A">
      <w:pPr>
        <w:spacing w:after="0" w:line="240" w:lineRule="auto"/>
        <w:ind w:left="567" w:right="567"/>
        <w:jc w:val="both"/>
        <w:rPr>
          <w:rFonts w:ascii="Palatino Linotype" w:eastAsia="Calibri" w:hAnsi="Palatino Linotype" w:cs="Arial"/>
          <w:i/>
        </w:rPr>
      </w:pPr>
    </w:p>
    <w:p w:rsidR="004E118A" w:rsidRPr="004E118A" w:rsidRDefault="004E118A" w:rsidP="004E118A">
      <w:pPr>
        <w:spacing w:after="0" w:line="240" w:lineRule="auto"/>
        <w:ind w:left="567" w:right="567"/>
        <w:jc w:val="both"/>
        <w:rPr>
          <w:rFonts w:ascii="Palatino Linotype" w:eastAsia="Calibri" w:hAnsi="Palatino Linotype" w:cs="Arial"/>
          <w:i/>
        </w:rPr>
      </w:pPr>
      <w:r w:rsidRPr="004E118A">
        <w:rPr>
          <w:rFonts w:ascii="Palatino Linotype" w:eastAsia="Calibri" w:hAnsi="Palatino Linotype" w:cs="Arial"/>
          <w:b/>
          <w:i/>
        </w:rPr>
        <w:t>Quincuagésimo octavo.</w:t>
      </w:r>
      <w:r w:rsidRPr="004E118A">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rsidR="004E118A" w:rsidRPr="004E118A" w:rsidRDefault="004E118A" w:rsidP="004E118A">
      <w:pPr>
        <w:spacing w:after="0" w:line="360" w:lineRule="auto"/>
        <w:jc w:val="both"/>
        <w:rPr>
          <w:rFonts w:ascii="Palatino Linotype" w:eastAsia="Calibri" w:hAnsi="Palatino Linotype" w:cs="Arial"/>
          <w:i/>
          <w:sz w:val="24"/>
          <w:szCs w:val="24"/>
        </w:rPr>
      </w:pPr>
    </w:p>
    <w:p w:rsidR="004E118A" w:rsidRPr="004E118A" w:rsidRDefault="004E118A" w:rsidP="004E118A">
      <w:pPr>
        <w:spacing w:after="0" w:line="360" w:lineRule="auto"/>
        <w:jc w:val="both"/>
        <w:rPr>
          <w:rFonts w:ascii="Palatino Linotype" w:eastAsia="Calibri" w:hAnsi="Palatino Linotype" w:cs="Arial"/>
          <w:i/>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4E118A" w:rsidRPr="004E118A" w:rsidRDefault="004E118A" w:rsidP="004E118A">
      <w:pPr>
        <w:spacing w:after="0" w:line="360" w:lineRule="auto"/>
        <w:jc w:val="both"/>
        <w:rPr>
          <w:rFonts w:ascii="Palatino Linotype" w:eastAsia="Calibri" w:hAnsi="Palatino Linotype" w:cs="Arial"/>
          <w:sz w:val="24"/>
          <w:szCs w:val="24"/>
        </w:rPr>
      </w:pPr>
    </w:p>
    <w:p w:rsidR="004E118A" w:rsidRPr="004E118A" w:rsidRDefault="004E118A" w:rsidP="004E118A">
      <w:pPr>
        <w:spacing w:after="0" w:line="360" w:lineRule="auto"/>
        <w:jc w:val="both"/>
        <w:rPr>
          <w:rFonts w:ascii="Palatino Linotype" w:eastAsia="Calibri" w:hAnsi="Palatino Linotype" w:cs="Arial"/>
          <w:sz w:val="24"/>
          <w:szCs w:val="24"/>
        </w:rPr>
      </w:pPr>
      <w:r w:rsidRPr="004E118A">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rsidR="004E118A" w:rsidRPr="009249DB" w:rsidRDefault="004E118A" w:rsidP="009249DB">
      <w:pPr>
        <w:autoSpaceDE w:val="0"/>
        <w:autoSpaceDN w:val="0"/>
        <w:adjustRightInd w:val="0"/>
        <w:spacing w:after="0" w:line="360" w:lineRule="auto"/>
        <w:jc w:val="both"/>
        <w:rPr>
          <w:rFonts w:ascii="Palatino Linotype" w:eastAsia="Calibri" w:hAnsi="Palatino Linotype" w:cs="Arial"/>
          <w:sz w:val="24"/>
          <w:szCs w:val="24"/>
          <w:lang w:eastAsia="es-MX"/>
        </w:rPr>
      </w:pPr>
    </w:p>
    <w:p w:rsidR="00A87CAD" w:rsidRPr="00A87CAD" w:rsidRDefault="00A87CAD" w:rsidP="00F55A76">
      <w:pPr>
        <w:spacing w:after="0" w:line="360" w:lineRule="auto"/>
        <w:jc w:val="both"/>
        <w:rPr>
          <w:rFonts w:ascii="Palatino Linotype" w:hAnsi="Palatino Linotype" w:cs="Arial"/>
          <w:bCs/>
          <w:sz w:val="24"/>
          <w:szCs w:val="24"/>
        </w:rPr>
      </w:pPr>
    </w:p>
    <w:p w:rsidR="00F55A76" w:rsidRPr="00A87CAD" w:rsidRDefault="00F55A76" w:rsidP="00F55A76">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lastRenderedPageBreak/>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rsidR="00F55A76" w:rsidRPr="00657FEF" w:rsidRDefault="00F55A76" w:rsidP="00F55A76">
      <w:pPr>
        <w:spacing w:after="120" w:line="360" w:lineRule="auto"/>
        <w:jc w:val="both"/>
        <w:rPr>
          <w:rFonts w:ascii="Palatino Linotype" w:hAnsi="Palatino Linotype" w:cs="Arial"/>
          <w:sz w:val="24"/>
          <w:szCs w:val="24"/>
        </w:rPr>
      </w:pPr>
    </w:p>
    <w:p w:rsidR="00F55A76" w:rsidRPr="00AB2C05" w:rsidRDefault="0079211F" w:rsidP="00F55A76">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mente,</w:t>
      </w:r>
      <w:r w:rsidR="00F55A76" w:rsidRPr="00AB2C05">
        <w:rPr>
          <w:rFonts w:ascii="Palatino Linotype" w:eastAsia="Calibri" w:hAnsi="Palatino Linotype" w:cs="Times New Roman"/>
          <w:sz w:val="24"/>
          <w:szCs w:val="24"/>
        </w:rPr>
        <w:t xml:space="preserve"> y en mérito de lo expuesto en líneas anteriores, resultan </w:t>
      </w:r>
      <w:r>
        <w:rPr>
          <w:rFonts w:ascii="Palatino Linotype" w:eastAsia="Calibri" w:hAnsi="Palatino Linotype" w:cs="Times New Roman"/>
          <w:sz w:val="24"/>
          <w:szCs w:val="24"/>
        </w:rPr>
        <w:t xml:space="preserve">parcialmente </w:t>
      </w:r>
      <w:r w:rsidR="00F55A76" w:rsidRPr="00AB2C05">
        <w:rPr>
          <w:rFonts w:ascii="Palatino Linotype" w:eastAsia="Calibri" w:hAnsi="Palatino Linotype" w:cs="Times New Roman"/>
          <w:sz w:val="24"/>
          <w:szCs w:val="24"/>
        </w:rPr>
        <w:t xml:space="preserve">fundados los motivos de inconformidad vertidos por el </w:t>
      </w:r>
      <w:r w:rsidR="00F55A76" w:rsidRPr="00AB2C05">
        <w:rPr>
          <w:rFonts w:ascii="Palatino Linotype" w:eastAsia="Calibri" w:hAnsi="Palatino Linotype" w:cs="Times New Roman"/>
          <w:b/>
          <w:sz w:val="24"/>
          <w:szCs w:val="24"/>
        </w:rPr>
        <w:t>Recurrente</w:t>
      </w:r>
      <w:r w:rsidR="00F55A76"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del Estado de México y Municipios, se </w:t>
      </w:r>
      <w:r w:rsidR="000E0DE3">
        <w:rPr>
          <w:rFonts w:ascii="Palatino Linotype" w:eastAsia="Calibri" w:hAnsi="Palatino Linotype" w:cs="Times New Roman"/>
          <w:b/>
          <w:sz w:val="24"/>
          <w:szCs w:val="24"/>
        </w:rPr>
        <w:t>MODIFICA</w:t>
      </w:r>
      <w:r w:rsidR="00F55A76" w:rsidRPr="00AB2C05">
        <w:rPr>
          <w:rFonts w:ascii="Palatino Linotype" w:eastAsia="Calibri" w:hAnsi="Palatino Linotype" w:cs="Times New Roman"/>
          <w:b/>
          <w:sz w:val="24"/>
          <w:szCs w:val="24"/>
        </w:rPr>
        <w:t xml:space="preserve"> </w:t>
      </w:r>
      <w:r w:rsidR="00F55A76" w:rsidRPr="00AB2C05">
        <w:rPr>
          <w:rFonts w:ascii="Palatino Linotype" w:eastAsia="Calibri" w:hAnsi="Palatino Linotype" w:cs="Times New Roman"/>
          <w:sz w:val="24"/>
          <w:szCs w:val="24"/>
        </w:rPr>
        <w:t xml:space="preserve">la respuesta a la solicitud de información </w:t>
      </w:r>
      <w:r w:rsidR="00211639" w:rsidRPr="00211639">
        <w:rPr>
          <w:rFonts w:ascii="Palatino Linotype" w:eastAsia="Calibri" w:hAnsi="Palatino Linotype" w:cs="Arial"/>
          <w:b/>
          <w:sz w:val="24"/>
          <w:szCs w:val="24"/>
        </w:rPr>
        <w:t>00232/TOLUCA/IP/2019</w:t>
      </w:r>
      <w:r w:rsidR="00F55A76" w:rsidRPr="00AB2C05">
        <w:rPr>
          <w:rFonts w:ascii="Palatino Linotype" w:eastAsia="Calibri" w:hAnsi="Palatino Linotype" w:cs="Arial"/>
          <w:b/>
          <w:sz w:val="24"/>
          <w:szCs w:val="24"/>
        </w:rPr>
        <w:t xml:space="preserve">, </w:t>
      </w:r>
      <w:r w:rsidR="00F55A76" w:rsidRPr="00AB2C05">
        <w:rPr>
          <w:rFonts w:ascii="Palatino Linotype" w:eastAsia="Calibri" w:hAnsi="Palatino Linotype" w:cs="Times New Roman"/>
          <w:sz w:val="24"/>
          <w:szCs w:val="24"/>
        </w:rPr>
        <w:t>que ha sido materia del presente fallo.</w:t>
      </w:r>
    </w:p>
    <w:p w:rsidR="00F55A76" w:rsidRPr="00AB2C05" w:rsidRDefault="00F55A76" w:rsidP="00F55A76">
      <w:pPr>
        <w:spacing w:after="0" w:line="360" w:lineRule="auto"/>
        <w:jc w:val="both"/>
        <w:rPr>
          <w:rFonts w:ascii="Arial" w:eastAsia="Calibri" w:hAnsi="Arial" w:cs="Arial"/>
          <w:b/>
          <w:bCs/>
          <w:color w:val="333333"/>
          <w:sz w:val="24"/>
          <w:szCs w:val="24"/>
        </w:rPr>
      </w:pPr>
    </w:p>
    <w:p w:rsidR="00F55A76" w:rsidRDefault="00F55A76" w:rsidP="009B0D88">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rsidR="004D3382" w:rsidRDefault="004D3382"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both"/>
        <w:rPr>
          <w:rFonts w:ascii="Palatino Linotype" w:eastAsia="Calibri" w:hAnsi="Palatino Linotype" w:cs="Times New Roman"/>
          <w:sz w:val="24"/>
          <w:szCs w:val="24"/>
        </w:rPr>
      </w:pP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r w:rsidRPr="00AB2C05">
        <w:rPr>
          <w:rFonts w:ascii="Palatino Linotype" w:eastAsia="Times New Roman" w:hAnsi="Palatino Linotype" w:cs="Times New Roman"/>
          <w:b/>
          <w:bCs/>
          <w:spacing w:val="60"/>
          <w:sz w:val="24"/>
          <w:szCs w:val="24"/>
          <w:lang w:val="es-ES_tradnl"/>
        </w:rPr>
        <w:t>SE    RESUELVE</w:t>
      </w:r>
    </w:p>
    <w:p w:rsidR="00F55A76" w:rsidRPr="00AB2C05" w:rsidRDefault="00F55A76" w:rsidP="00F55A76">
      <w:pPr>
        <w:spacing w:after="0" w:line="360" w:lineRule="auto"/>
        <w:jc w:val="center"/>
        <w:rPr>
          <w:rFonts w:ascii="Palatino Linotype" w:eastAsia="Times New Roman" w:hAnsi="Palatino Linotype" w:cs="Times New Roman"/>
          <w:b/>
          <w:bCs/>
          <w:spacing w:val="60"/>
          <w:sz w:val="24"/>
          <w:szCs w:val="24"/>
          <w:lang w:val="es-ES_tradnl"/>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lang w:val="es-ES_tradnl"/>
        </w:rPr>
        <w:t>PRIMERO.</w:t>
      </w:r>
      <w:r w:rsidRPr="00AB2C05">
        <w:rPr>
          <w:rFonts w:ascii="Palatino Linotype" w:eastAsia="Calibri" w:hAnsi="Palatino Linotype" w:cs="Arial"/>
          <w:sz w:val="24"/>
          <w:szCs w:val="24"/>
          <w:lang w:val="es-ES_tradnl"/>
        </w:rPr>
        <w:t xml:space="preserve"> </w:t>
      </w:r>
      <w:r w:rsidRPr="00AB2C05">
        <w:rPr>
          <w:rFonts w:ascii="Palatino Linotype" w:eastAsia="Calibri" w:hAnsi="Palatino Linotype" w:cs="Arial"/>
          <w:sz w:val="24"/>
          <w:szCs w:val="24"/>
        </w:rPr>
        <w:t>Se</w:t>
      </w:r>
      <w:r w:rsidRPr="00AB2C05">
        <w:rPr>
          <w:rFonts w:ascii="Palatino Linotype" w:eastAsia="Calibri" w:hAnsi="Palatino Linotype" w:cs="Arial"/>
          <w:b/>
          <w:sz w:val="24"/>
          <w:szCs w:val="24"/>
        </w:rPr>
        <w:t xml:space="preserve"> </w:t>
      </w:r>
      <w:r w:rsidR="000E0DE3">
        <w:rPr>
          <w:rFonts w:ascii="Palatino Linotype" w:eastAsia="Calibri" w:hAnsi="Palatino Linotype" w:cs="Arial"/>
          <w:b/>
          <w:sz w:val="24"/>
          <w:szCs w:val="24"/>
        </w:rPr>
        <w:t>MODIFICA</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la respuesta</w:t>
      </w:r>
      <w:r>
        <w:rPr>
          <w:rFonts w:ascii="Palatino Linotype" w:eastAsia="Calibri" w:hAnsi="Palatino Linotype" w:cs="Arial"/>
          <w:sz w:val="24"/>
          <w:szCs w:val="24"/>
        </w:rPr>
        <w:t xml:space="preserve"> entregada por E</w:t>
      </w:r>
      <w:r w:rsidRPr="00AB2C05">
        <w:rPr>
          <w:rFonts w:ascii="Palatino Linotype" w:eastAsia="Calibri" w:hAnsi="Palatino Linotype" w:cs="Arial"/>
          <w:sz w:val="24"/>
          <w:szCs w:val="24"/>
        </w:rPr>
        <w:t xml:space="preserve">l </w:t>
      </w:r>
      <w:r w:rsidRPr="00AB2C05">
        <w:rPr>
          <w:rFonts w:ascii="Palatino Linotype" w:eastAsia="Calibri" w:hAnsi="Palatino Linotype" w:cs="Arial"/>
          <w:b/>
          <w:sz w:val="24"/>
          <w:szCs w:val="24"/>
        </w:rPr>
        <w:t>Sujeto Obligado</w:t>
      </w:r>
      <w:r w:rsidRPr="00AB2C05">
        <w:rPr>
          <w:rFonts w:ascii="Palatino Linotype" w:eastAsia="Calibri" w:hAnsi="Palatino Linotype" w:cs="Arial"/>
          <w:sz w:val="24"/>
          <w:szCs w:val="24"/>
        </w:rPr>
        <w:t>,</w:t>
      </w:r>
      <w:r w:rsidRPr="00FA677F">
        <w:rPr>
          <w:rFonts w:ascii="Palatino Linotype" w:hAnsi="Palatino Linotype" w:cs="Arial"/>
          <w:sz w:val="24"/>
          <w:szCs w:val="24"/>
        </w:rPr>
        <w:t xml:space="preserve"> </w:t>
      </w:r>
      <w:r>
        <w:rPr>
          <w:rFonts w:ascii="Palatino Linotype" w:hAnsi="Palatino Linotype" w:cs="Arial"/>
          <w:sz w:val="24"/>
          <w:szCs w:val="24"/>
        </w:rPr>
        <w:t xml:space="preserve">a </w:t>
      </w:r>
      <w:r w:rsidRPr="00A05065">
        <w:rPr>
          <w:rFonts w:ascii="Palatino Linotype" w:hAnsi="Palatino Linotype" w:cs="Arial"/>
          <w:sz w:val="24"/>
          <w:szCs w:val="24"/>
        </w:rPr>
        <w:t xml:space="preserve">la solicitud de </w:t>
      </w:r>
      <w:r>
        <w:rPr>
          <w:rFonts w:ascii="Palatino Linotype" w:hAnsi="Palatino Linotype" w:cs="Arial"/>
          <w:sz w:val="24"/>
          <w:szCs w:val="24"/>
        </w:rPr>
        <w:t xml:space="preserve">información número </w:t>
      </w:r>
      <w:r w:rsidR="00211639" w:rsidRPr="00211639">
        <w:rPr>
          <w:rFonts w:ascii="Palatino Linotype" w:hAnsi="Palatino Linotype" w:cs="Arial"/>
          <w:b/>
          <w:sz w:val="24"/>
        </w:rPr>
        <w:t>00232/TOLUCA/IP/2019</w:t>
      </w:r>
      <w:r>
        <w:rPr>
          <w:rFonts w:ascii="Palatino Linotype" w:hAnsi="Palatino Linotype" w:cs="Arial"/>
          <w:b/>
          <w:sz w:val="24"/>
          <w:szCs w:val="24"/>
        </w:rPr>
        <w:t>,</w:t>
      </w:r>
      <w:r w:rsidRPr="00AB2C05">
        <w:rPr>
          <w:rFonts w:ascii="Palatino Linotype" w:eastAsia="Calibri" w:hAnsi="Palatino Linotype" w:cs="Arial"/>
          <w:sz w:val="24"/>
          <w:szCs w:val="24"/>
        </w:rPr>
        <w:t xml:space="preserve"> por resultar</w:t>
      </w:r>
      <w:r w:rsidR="00FE6D83">
        <w:rPr>
          <w:rFonts w:ascii="Palatino Linotype" w:eastAsia="Calibri" w:hAnsi="Palatino Linotype" w:cs="Arial"/>
          <w:sz w:val="24"/>
          <w:szCs w:val="24"/>
        </w:rPr>
        <w:t xml:space="preserve"> parcialmente</w:t>
      </w:r>
      <w:r w:rsidRPr="00AB2C05">
        <w:rPr>
          <w:rFonts w:ascii="Palatino Linotype" w:eastAsia="Calibri" w:hAnsi="Palatino Linotype" w:cs="Arial"/>
          <w:sz w:val="24"/>
          <w:szCs w:val="24"/>
        </w:rPr>
        <w:t xml:space="preserve"> fundados los motivos de inconformidad </w:t>
      </w:r>
      <w:r>
        <w:rPr>
          <w:rFonts w:ascii="Palatino Linotype" w:eastAsia="Calibri" w:hAnsi="Palatino Linotype" w:cs="Arial"/>
          <w:sz w:val="24"/>
          <w:szCs w:val="24"/>
        </w:rPr>
        <w:t>que arguye</w:t>
      </w:r>
      <w:r w:rsidRPr="00AB2C05">
        <w:rPr>
          <w:rFonts w:ascii="Palatino Linotype" w:eastAsia="Calibri" w:hAnsi="Palatino Linotype" w:cs="Arial"/>
          <w:sz w:val="24"/>
          <w:szCs w:val="24"/>
        </w:rPr>
        <w:t xml:space="preserve"> el Recurrente, </w:t>
      </w:r>
      <w:r w:rsidRPr="00FA677F">
        <w:rPr>
          <w:rFonts w:ascii="Palatino Linotype" w:eastAsia="Calibri" w:hAnsi="Palatino Linotype" w:cs="Arial"/>
          <w:sz w:val="24"/>
          <w:szCs w:val="24"/>
        </w:rPr>
        <w:t xml:space="preserve">en términos del Considerando </w:t>
      </w:r>
      <w:r w:rsidR="000E0DE3">
        <w:rPr>
          <w:rFonts w:ascii="Palatino Linotype" w:eastAsia="Calibri" w:hAnsi="Palatino Linotype" w:cs="Arial"/>
          <w:b/>
          <w:sz w:val="24"/>
          <w:szCs w:val="24"/>
        </w:rPr>
        <w:t>CUARTO</w:t>
      </w:r>
      <w:r w:rsidRPr="00FA677F">
        <w:rPr>
          <w:rFonts w:ascii="Palatino Linotype" w:eastAsia="Calibri" w:hAnsi="Palatino Linotype" w:cs="Arial"/>
          <w:sz w:val="24"/>
          <w:szCs w:val="24"/>
        </w:rPr>
        <w:t xml:space="preserve"> de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120" w:line="360" w:lineRule="auto"/>
        <w:ind w:right="51"/>
        <w:jc w:val="both"/>
        <w:rPr>
          <w:rFonts w:ascii="Palatino Linotype" w:eastAsia="Calibri" w:hAnsi="Palatino Linotype" w:cs="Arial"/>
          <w:sz w:val="24"/>
          <w:szCs w:val="24"/>
        </w:rPr>
      </w:pPr>
      <w:r w:rsidRPr="00AB2C05">
        <w:rPr>
          <w:rFonts w:ascii="Palatino Linotype" w:eastAsia="Calibri" w:hAnsi="Palatino Linotype" w:cs="Arial"/>
          <w:b/>
          <w:sz w:val="28"/>
          <w:szCs w:val="28"/>
        </w:rPr>
        <w:lastRenderedPageBreak/>
        <w:t>SEGUNDO.</w:t>
      </w:r>
      <w:r w:rsidRPr="00AB2C05">
        <w:rPr>
          <w:rFonts w:ascii="Palatino Linotype" w:eastAsia="Calibri" w:hAnsi="Palatino Linotype" w:cs="Arial"/>
          <w:sz w:val="24"/>
          <w:szCs w:val="24"/>
        </w:rPr>
        <w:t xml:space="preserve"> 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 xml:space="preserve">Sujeto Obligado </w:t>
      </w:r>
      <w:r w:rsidRPr="00AB2C05">
        <w:rPr>
          <w:rFonts w:ascii="Palatino Linotype" w:eastAsia="Calibri" w:hAnsi="Palatino Linotype" w:cs="Arial"/>
          <w:sz w:val="24"/>
          <w:szCs w:val="24"/>
        </w:rPr>
        <w:t xml:space="preserve">haga entrega al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a través del SAIMEX,</w:t>
      </w:r>
      <w:r w:rsidR="00FE6D83">
        <w:rPr>
          <w:rFonts w:ascii="Palatino Linotype" w:eastAsia="Calibri" w:hAnsi="Palatino Linotype" w:cs="Arial"/>
          <w:sz w:val="24"/>
          <w:szCs w:val="24"/>
        </w:rPr>
        <w:t xml:space="preserve"> en versión pública de ser procedente, </w:t>
      </w:r>
      <w:r>
        <w:rPr>
          <w:rFonts w:ascii="Palatino Linotype" w:eastAsia="Calibri" w:hAnsi="Palatino Linotype" w:cs="Arial"/>
          <w:sz w:val="24"/>
          <w:szCs w:val="24"/>
        </w:rPr>
        <w:t>en términos del C</w:t>
      </w:r>
      <w:r w:rsidRPr="00CA7662">
        <w:rPr>
          <w:rFonts w:ascii="Palatino Linotype" w:eastAsia="Calibri" w:hAnsi="Palatino Linotype" w:cs="Arial"/>
          <w:sz w:val="24"/>
          <w:szCs w:val="24"/>
        </w:rPr>
        <w:t xml:space="preserve">onsiderando </w:t>
      </w:r>
      <w:r w:rsidR="000E0DE3">
        <w:rPr>
          <w:rFonts w:ascii="Palatino Linotype" w:eastAsia="Calibri" w:hAnsi="Palatino Linotype" w:cs="Arial"/>
          <w:b/>
          <w:sz w:val="24"/>
          <w:szCs w:val="24"/>
        </w:rPr>
        <w:t>CUARTO</w:t>
      </w:r>
      <w:r w:rsidRPr="00CA7662">
        <w:rPr>
          <w:rFonts w:ascii="Palatino Linotype" w:eastAsia="Calibri" w:hAnsi="Palatino Linotype" w:cs="Arial"/>
          <w:sz w:val="24"/>
          <w:szCs w:val="24"/>
        </w:rPr>
        <w:t xml:space="preserve"> de la presente resolución</w:t>
      </w:r>
      <w:r>
        <w:rPr>
          <w:rFonts w:ascii="Palatino Linotype" w:eastAsia="Calibri" w:hAnsi="Palatino Linotype" w:cs="Arial"/>
          <w:sz w:val="24"/>
          <w:szCs w:val="24"/>
        </w:rPr>
        <w:t>,</w:t>
      </w:r>
      <w:r w:rsidRPr="00AB2C05">
        <w:rPr>
          <w:rFonts w:ascii="Palatino Linotype" w:eastAsia="Calibri" w:hAnsi="Palatino Linotype" w:cs="Arial"/>
          <w:sz w:val="24"/>
          <w:szCs w:val="24"/>
        </w:rPr>
        <w:t xml:space="preserve"> </w:t>
      </w:r>
      <w:r w:rsidR="00280BF3" w:rsidRPr="00280BF3">
        <w:rPr>
          <w:rFonts w:ascii="Palatino Linotype" w:eastAsia="Calibri" w:hAnsi="Palatino Linotype" w:cs="Arial"/>
          <w:sz w:val="24"/>
          <w:szCs w:val="24"/>
        </w:rPr>
        <w:t>del documento o documentos en donde conste lo siguiente</w:t>
      </w:r>
      <w:r w:rsidR="00280BF3">
        <w:rPr>
          <w:rFonts w:ascii="Palatino Linotype" w:eastAsia="Calibri" w:hAnsi="Palatino Linotype" w:cs="Arial"/>
          <w:sz w:val="24"/>
          <w:szCs w:val="24"/>
        </w:rPr>
        <w:t>:</w:t>
      </w:r>
    </w:p>
    <w:p w:rsidR="00D86272" w:rsidRDefault="00D86272" w:rsidP="0069598B">
      <w:pPr>
        <w:spacing w:after="0" w:line="360" w:lineRule="auto"/>
        <w:jc w:val="both"/>
        <w:rPr>
          <w:rFonts w:ascii="Palatino Linotype" w:eastAsia="Times New Roman" w:hAnsi="Palatino Linotype" w:cs="Times New Roman"/>
          <w:sz w:val="24"/>
          <w:szCs w:val="24"/>
          <w:lang w:val="es-ES" w:eastAsia="es-MX"/>
        </w:rPr>
      </w:pPr>
    </w:p>
    <w:p w:rsidR="00F55A76" w:rsidRPr="00C56FDF" w:rsidRDefault="00C56FDF" w:rsidP="00280BF3">
      <w:pPr>
        <w:numPr>
          <w:ilvl w:val="0"/>
          <w:numId w:val="21"/>
        </w:numPr>
        <w:spacing w:after="0" w:line="360" w:lineRule="auto"/>
        <w:jc w:val="both"/>
        <w:rPr>
          <w:rFonts w:ascii="Palatino Linotype" w:eastAsia="Times New Roman" w:hAnsi="Palatino Linotype" w:cs="Times New Roman"/>
          <w:sz w:val="24"/>
          <w:szCs w:val="24"/>
          <w:lang w:val="es-ES" w:eastAsia="es-MX"/>
        </w:rPr>
      </w:pPr>
      <w:r>
        <w:rPr>
          <w:rFonts w:ascii="Palatino Linotype" w:hAnsi="Palatino Linotype" w:cs="Arial"/>
          <w:sz w:val="24"/>
          <w:szCs w:val="24"/>
        </w:rPr>
        <w:t>El</w:t>
      </w:r>
      <w:r w:rsidR="00211639" w:rsidRPr="00211639">
        <w:rPr>
          <w:rFonts w:ascii="Palatino Linotype" w:hAnsi="Palatino Linotype" w:cs="Arial"/>
          <w:sz w:val="24"/>
          <w:szCs w:val="24"/>
        </w:rPr>
        <w:t xml:space="preserve"> expediente del procedimiento de adquisición de banderas </w:t>
      </w:r>
      <w:r>
        <w:rPr>
          <w:rFonts w:ascii="Palatino Linotype" w:hAnsi="Palatino Linotype" w:cs="Arial"/>
          <w:sz w:val="24"/>
          <w:szCs w:val="24"/>
        </w:rPr>
        <w:t>referid</w:t>
      </w:r>
      <w:r w:rsidR="00211639">
        <w:rPr>
          <w:rFonts w:ascii="Palatino Linotype" w:hAnsi="Palatino Linotype" w:cs="Arial"/>
          <w:sz w:val="24"/>
          <w:szCs w:val="24"/>
        </w:rPr>
        <w:t>a</w:t>
      </w:r>
      <w:r>
        <w:rPr>
          <w:rFonts w:ascii="Palatino Linotype" w:hAnsi="Palatino Linotype" w:cs="Arial"/>
          <w:sz w:val="24"/>
          <w:szCs w:val="24"/>
        </w:rPr>
        <w:t>s</w:t>
      </w:r>
      <w:r w:rsidR="00F34ABF">
        <w:rPr>
          <w:rFonts w:ascii="Palatino Linotype" w:hAnsi="Palatino Linotype" w:cs="Arial"/>
          <w:sz w:val="24"/>
          <w:szCs w:val="24"/>
        </w:rPr>
        <w:t xml:space="preserve"> en la</w:t>
      </w:r>
      <w:r>
        <w:rPr>
          <w:rFonts w:ascii="Palatino Linotype" w:hAnsi="Palatino Linotype" w:cs="Arial"/>
          <w:sz w:val="24"/>
          <w:szCs w:val="24"/>
        </w:rPr>
        <w:t xml:space="preserve"> </w:t>
      </w:r>
      <w:r w:rsidR="00211639" w:rsidRPr="00211639">
        <w:rPr>
          <w:rFonts w:ascii="Palatino Linotype" w:hAnsi="Palatino Linotype" w:cs="Arial"/>
          <w:sz w:val="24"/>
          <w:szCs w:val="24"/>
        </w:rPr>
        <w:t>solicitud de información número 00232/TOLUCA/IP/2019</w:t>
      </w:r>
      <w:r w:rsidR="00D10809">
        <w:rPr>
          <w:rFonts w:ascii="Palatino Linotype" w:hAnsi="Palatino Linotype" w:cs="Arial"/>
          <w:sz w:val="24"/>
          <w:szCs w:val="24"/>
        </w:rPr>
        <w:t>.</w:t>
      </w:r>
    </w:p>
    <w:p w:rsidR="00C56FDF" w:rsidRDefault="00C56FDF" w:rsidP="00C56FDF">
      <w:pPr>
        <w:spacing w:after="0" w:line="240" w:lineRule="auto"/>
        <w:ind w:left="993" w:right="425"/>
        <w:jc w:val="both"/>
        <w:rPr>
          <w:rFonts w:ascii="Palatino Linotype" w:hAnsi="Palatino Linotype" w:cs="Arial"/>
          <w:i/>
        </w:rPr>
      </w:pPr>
    </w:p>
    <w:p w:rsidR="00C56FDF" w:rsidRPr="00C56FDF" w:rsidRDefault="00C56FDF" w:rsidP="00C56FDF">
      <w:pPr>
        <w:spacing w:after="0" w:line="240" w:lineRule="auto"/>
        <w:ind w:left="993" w:right="425"/>
        <w:jc w:val="both"/>
        <w:rPr>
          <w:rFonts w:ascii="Palatino Linotype" w:hAnsi="Palatino Linotype" w:cs="Arial"/>
          <w:i/>
        </w:rPr>
      </w:pPr>
      <w:r>
        <w:rPr>
          <w:rFonts w:ascii="Palatino Linotype" w:hAnsi="Palatino Linotype" w:cs="Arial"/>
          <w:i/>
        </w:rPr>
        <w:t>En el supuesto de que la información respecto de la que se ordena la entrega en el presente Resolutivo contenga datos susceptibles de clasificar, se deberá generar y entregar la versión pública correspondiente acompañada del acuerdo de clasificación, en términos de lo señalado en el Considerando CUARTO y en los artículos 49 fracción VIII, 132 fracción II de la Ley de Transparencia y Acceso a la Información Pública del Estado de México y Municipios y demás normatividad aplicable.</w:t>
      </w:r>
    </w:p>
    <w:p w:rsidR="00F55A76" w:rsidRPr="00AB2C05" w:rsidRDefault="00F55A76" w:rsidP="00F55A76">
      <w:pPr>
        <w:spacing w:before="120" w:after="120" w:line="360" w:lineRule="auto"/>
        <w:jc w:val="both"/>
        <w:rPr>
          <w:rFonts w:ascii="Palatino Linotype" w:eastAsia="Calibri" w:hAnsi="Palatino Linotype" w:cs="Arial"/>
          <w:sz w:val="24"/>
          <w:szCs w:val="24"/>
        </w:rPr>
      </w:pPr>
    </w:p>
    <w:p w:rsidR="00F55A76" w:rsidRPr="00AB2C05" w:rsidRDefault="00F55A76" w:rsidP="00F55A76">
      <w:pPr>
        <w:autoSpaceDE w:val="0"/>
        <w:autoSpaceDN w:val="0"/>
        <w:adjustRightInd w:val="0"/>
        <w:spacing w:after="0" w:line="360" w:lineRule="auto"/>
        <w:ind w:right="49"/>
        <w:jc w:val="both"/>
        <w:rPr>
          <w:rFonts w:ascii="Palatino Linotype" w:eastAsia="Calibri" w:hAnsi="Palatino Linotype" w:cs="Arial"/>
          <w:i/>
          <w:lang w:eastAsia="es-MX"/>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55A76" w:rsidRPr="00DA21F2" w:rsidRDefault="00F55A76" w:rsidP="00F55A76">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F55A76" w:rsidRDefault="00F55A76" w:rsidP="00F55A76">
      <w:pPr>
        <w:pStyle w:val="Sinespaciado"/>
        <w:spacing w:line="360" w:lineRule="auto"/>
        <w:jc w:val="both"/>
        <w:rPr>
          <w:rFonts w:ascii="Palatino Linotype" w:eastAsia="Calibri" w:hAnsi="Palatino Linotype" w:cs="Arial"/>
          <w:lang w:eastAsia="en-US"/>
        </w:rPr>
      </w:pPr>
      <w:r w:rsidRPr="00AB2C05">
        <w:rPr>
          <w:rFonts w:ascii="Palatino Linotype" w:eastAsia="Calibri" w:hAnsi="Palatino Linotype" w:cs="Arial"/>
          <w:b/>
          <w:sz w:val="28"/>
          <w:szCs w:val="28"/>
          <w:lang w:eastAsia="en-US"/>
        </w:rPr>
        <w:t>CUARTO.</w:t>
      </w:r>
      <w:r w:rsidRPr="00AB2C05">
        <w:rPr>
          <w:rFonts w:ascii="Palatino Linotype" w:eastAsia="Calibri" w:hAnsi="Palatino Linotype" w:cs="Arial"/>
          <w:b/>
          <w:lang w:eastAsia="en-US"/>
        </w:rPr>
        <w:t xml:space="preserve"> </w:t>
      </w:r>
      <w:r w:rsidRPr="00AB2C05">
        <w:rPr>
          <w:rFonts w:ascii="Palatino Linotype" w:eastAsia="Calibri" w:hAnsi="Palatino Linotype" w:cs="Arial"/>
          <w:lang w:eastAsia="en-US"/>
        </w:rPr>
        <w:t xml:space="preserve">Notifíquese al Recurrente la presente resolución y hágase de su conocimiento que en caso de considerar que le causa algún perjuicio, podrá promover el Juicio de Amparo en los términos de las leyes aplicables, de acuerdo a lo estipulado </w:t>
      </w:r>
      <w:r w:rsidRPr="00AB2C05">
        <w:rPr>
          <w:rFonts w:ascii="Palatino Linotype" w:eastAsia="Calibri" w:hAnsi="Palatino Linotype" w:cs="Arial"/>
          <w:lang w:eastAsia="en-US"/>
        </w:rPr>
        <w:lastRenderedPageBreak/>
        <w:t>por el artículo 196 de la Ley de Transparencia y Acceso a la Información Pública del Estado de México y Municipios.</w:t>
      </w:r>
    </w:p>
    <w:p w:rsidR="007B734A" w:rsidRDefault="007B734A" w:rsidP="00F55A76">
      <w:pPr>
        <w:pStyle w:val="Sinespaciado"/>
        <w:spacing w:line="360" w:lineRule="auto"/>
        <w:jc w:val="both"/>
        <w:rPr>
          <w:rFonts w:ascii="Palatino Linotype" w:eastAsia="Calibri" w:hAnsi="Palatino Linotype" w:cs="Arial"/>
          <w:lang w:eastAsia="en-US"/>
        </w:rPr>
      </w:pPr>
    </w:p>
    <w:p w:rsidR="00F55A76" w:rsidRPr="004B5A91" w:rsidRDefault="00F55A76" w:rsidP="00F55A76">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F55A76" w:rsidRPr="0040149E" w:rsidRDefault="00F55A76" w:rsidP="00F55A76">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 JOSÉ GUADALUPE LUNA HERNÁNDEZ</w:t>
      </w:r>
      <w:r w:rsidR="002A1015">
        <w:rPr>
          <w:rFonts w:ascii="Palatino Linotype" w:eastAsia="Arial Unicode MS" w:hAnsi="Palatino Linotype"/>
        </w:rPr>
        <w:t>,</w:t>
      </w:r>
      <w:r w:rsidR="004D3382">
        <w:rPr>
          <w:rFonts w:ascii="Palatino Linotype" w:eastAsia="Arial Unicode MS" w:hAnsi="Palatino Linotype"/>
        </w:rPr>
        <w:t xml:space="preserve"> </w:t>
      </w:r>
      <w:r>
        <w:rPr>
          <w:rFonts w:ascii="Palatino Linotype" w:eastAsia="Arial Unicode MS" w:hAnsi="Palatino Linotype"/>
        </w:rPr>
        <w:t>JAVIER MARTÍNEZ CRUZ</w:t>
      </w:r>
      <w:r w:rsidRPr="00DA21F2">
        <w:t xml:space="preserve"> </w:t>
      </w:r>
      <w:r w:rsidRPr="00DA21F2">
        <w:rPr>
          <w:rFonts w:ascii="Palatino Linotype" w:eastAsia="Arial Unicode MS" w:hAnsi="Palatino Linotype"/>
        </w:rPr>
        <w:t>Y LUIS GUSTAVO PARRA NORIEGA</w:t>
      </w:r>
      <w:r>
        <w:rPr>
          <w:rFonts w:ascii="Palatino Linotype" w:eastAsia="Arial Unicode MS" w:hAnsi="Palatino Linotype"/>
        </w:rPr>
        <w:t>,</w:t>
      </w:r>
      <w:r w:rsidRPr="0040149E">
        <w:rPr>
          <w:rFonts w:ascii="Palatino Linotype" w:eastAsia="Arial Unicode MS" w:hAnsi="Palatino Linotype"/>
        </w:rPr>
        <w:t xml:space="preserve"> EN LA </w:t>
      </w:r>
      <w:r w:rsidR="002A1015">
        <w:rPr>
          <w:rFonts w:ascii="Palatino Linotype" w:eastAsia="Arial Unicode MS" w:hAnsi="Palatino Linotype"/>
        </w:rPr>
        <w:t xml:space="preserve">VIGÉSIMA </w:t>
      </w:r>
      <w:r w:rsidR="009B0D88">
        <w:rPr>
          <w:rFonts w:ascii="Palatino Linotype" w:eastAsia="Arial Unicode MS" w:hAnsi="Palatino Linotype"/>
        </w:rPr>
        <w:t>NOVENA</w:t>
      </w:r>
      <w:r>
        <w:rPr>
          <w:rFonts w:ascii="Palatino Linotype" w:eastAsia="Arial Unicode MS" w:hAnsi="Palatino Linotype"/>
        </w:rPr>
        <w:t xml:space="preserve"> </w:t>
      </w:r>
      <w:r w:rsidRPr="0040149E">
        <w:rPr>
          <w:rFonts w:ascii="Palatino Linotype" w:eastAsia="Arial Unicode MS" w:hAnsi="Palatino Linotype"/>
        </w:rPr>
        <w:t>SESIÓN ORDINARIA</w:t>
      </w:r>
      <w:r w:rsidRPr="0040149E">
        <w:rPr>
          <w:rFonts w:ascii="Palatino Linotype" w:hAnsi="Palatino Linotype"/>
        </w:rPr>
        <w:t xml:space="preserve"> CELEBRADA EL </w:t>
      </w:r>
      <w:r w:rsidR="009B0D88">
        <w:rPr>
          <w:rFonts w:ascii="Palatino Linotype" w:hAnsi="Palatino Linotype"/>
        </w:rPr>
        <w:t>CATORCE DE AGOSTO</w:t>
      </w:r>
      <w:r w:rsidR="00425372">
        <w:rPr>
          <w:rFonts w:ascii="Palatino Linotype" w:hAnsi="Palatino Linotype"/>
        </w:rPr>
        <w:t xml:space="preserve"> DE DOS MIL DI</w:t>
      </w:r>
      <w:r w:rsidR="009B0D88">
        <w:rPr>
          <w:rFonts w:ascii="Palatino Linotype" w:hAnsi="Palatino Linotype"/>
        </w:rPr>
        <w:t>E</w:t>
      </w:r>
      <w:r w:rsidR="00425372">
        <w:rPr>
          <w:rFonts w:ascii="Palatino Linotype" w:hAnsi="Palatino Linotype"/>
        </w:rPr>
        <w:t>CINUEVE</w:t>
      </w:r>
      <w:r w:rsidRPr="0040149E">
        <w:rPr>
          <w:rFonts w:ascii="Palatino Linotype" w:hAnsi="Palatino Linotype"/>
        </w:rPr>
        <w:t>, ANTE EL SECRETARIO TÉCNICO DEL PL</w:t>
      </w:r>
      <w:r w:rsidR="0077464A">
        <w:rPr>
          <w:rFonts w:ascii="Palatino Linotype" w:hAnsi="Palatino Linotype"/>
        </w:rPr>
        <w:t>ENO, ALEXIS TAPIA RAMÍREZ.</w:t>
      </w:r>
      <w:r w:rsidR="004D3382">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55A76" w:rsidRPr="006149F1" w:rsidTr="00A46E99">
        <w:tc>
          <w:tcPr>
            <w:tcW w:w="9062" w:type="dxa"/>
            <w:gridSpan w:val="2"/>
          </w:tcPr>
          <w:p w:rsidR="00F55A76" w:rsidRPr="006149F1" w:rsidRDefault="00F55A76" w:rsidP="00A46E99">
            <w:pPr>
              <w:pStyle w:val="Sinespaciado"/>
              <w:jc w:val="center"/>
              <w:rPr>
                <w:rFonts w:ascii="Palatino Linotype" w:hAnsi="Palatino Linotype"/>
                <w:b/>
              </w:rPr>
            </w:pPr>
          </w:p>
          <w:p w:rsidR="00F55A76" w:rsidRPr="006149F1" w:rsidRDefault="00F55A76" w:rsidP="003326EE">
            <w:pPr>
              <w:pStyle w:val="Sinespaciado"/>
              <w:rPr>
                <w:rFonts w:ascii="Palatino Linotype" w:hAnsi="Palatino Linotype"/>
                <w:b/>
              </w:rPr>
            </w:pPr>
          </w:p>
          <w:p w:rsidR="00F55A76" w:rsidRDefault="00F55A76" w:rsidP="00A46E99">
            <w:pPr>
              <w:pStyle w:val="Sinespaciado"/>
              <w:jc w:val="center"/>
              <w:rPr>
                <w:rFonts w:ascii="Palatino Linotype" w:hAnsi="Palatino Linotype"/>
                <w:b/>
              </w:rPr>
            </w:pPr>
          </w:p>
          <w:p w:rsidR="00B31809" w:rsidRDefault="00B31809" w:rsidP="00A46E99">
            <w:pPr>
              <w:pStyle w:val="Sinespaciado"/>
              <w:jc w:val="center"/>
              <w:rPr>
                <w:rFonts w:ascii="Palatino Linotype" w:hAnsi="Palatino Linotype"/>
                <w:b/>
              </w:rPr>
            </w:pPr>
          </w:p>
          <w:p w:rsidR="00B31809" w:rsidRPr="006149F1" w:rsidRDefault="00B31809" w:rsidP="00A46E99">
            <w:pPr>
              <w:pStyle w:val="Sinespaciado"/>
              <w:jc w:val="center"/>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Zulema Martínez Sánchez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 Presidenta</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rsidTr="00A46E99">
        <w:tc>
          <w:tcPr>
            <w:tcW w:w="4531" w:type="dxa"/>
          </w:tcPr>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Eva Abaid Yapur</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Comisionada</w:t>
            </w:r>
          </w:p>
          <w:p w:rsidR="00F55A76" w:rsidRPr="006149F1" w:rsidRDefault="00F55A76" w:rsidP="00A46E99">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José Guadalupe Luna Hernández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r w:rsidR="00F55A76" w:rsidRPr="006149F1" w:rsidTr="00A46E99">
        <w:tc>
          <w:tcPr>
            <w:tcW w:w="4531" w:type="dxa"/>
          </w:tcPr>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Javier Martínez Cruz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Comisionado</w:t>
            </w:r>
          </w:p>
          <w:p w:rsidR="00F55A76" w:rsidRPr="006149F1" w:rsidRDefault="00F55A76" w:rsidP="00A46E99">
            <w:pPr>
              <w:pStyle w:val="Sinespaciado"/>
              <w:jc w:val="center"/>
              <w:rPr>
                <w:rFonts w:ascii="Palatino Linotype" w:hAnsi="Palatino Linotype"/>
                <w:b/>
              </w:rPr>
            </w:pPr>
            <w:r w:rsidRPr="006149F1">
              <w:rPr>
                <w:rFonts w:ascii="Palatino Linotype" w:hAnsi="Palatino Linotype"/>
              </w:rPr>
              <w:t>(Rúbrica)</w:t>
            </w:r>
          </w:p>
        </w:tc>
        <w:tc>
          <w:tcPr>
            <w:tcW w:w="4531" w:type="dxa"/>
          </w:tcPr>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p>
          <w:p w:rsidR="00F55A76" w:rsidRDefault="00F55A76" w:rsidP="00A46E99">
            <w:pPr>
              <w:pStyle w:val="Sinespaciado"/>
              <w:jc w:val="center"/>
              <w:rPr>
                <w:rFonts w:ascii="Palatino Linotype" w:hAnsi="Palatino Linotype"/>
                <w:b/>
              </w:rPr>
            </w:pPr>
            <w:r>
              <w:rPr>
                <w:rFonts w:ascii="Palatino Linotype" w:hAnsi="Palatino Linotype"/>
                <w:b/>
              </w:rPr>
              <w:t>Luis Gustavo Parra Noriega</w:t>
            </w:r>
          </w:p>
          <w:p w:rsidR="00F55A76" w:rsidRDefault="00F55A76" w:rsidP="00A46E99">
            <w:pPr>
              <w:pStyle w:val="Sinespaciado"/>
              <w:jc w:val="center"/>
              <w:rPr>
                <w:rFonts w:ascii="Palatino Linotype" w:hAnsi="Palatino Linotype"/>
              </w:rPr>
            </w:pPr>
            <w:r>
              <w:rPr>
                <w:rFonts w:ascii="Palatino Linotype" w:hAnsi="Palatino Linotype"/>
              </w:rPr>
              <w:t>Comisionado</w:t>
            </w:r>
          </w:p>
          <w:p w:rsidR="00F55A76" w:rsidRPr="00F91340" w:rsidRDefault="00F55A76" w:rsidP="00A46E99">
            <w:pPr>
              <w:pStyle w:val="Sinespaciado"/>
              <w:jc w:val="center"/>
              <w:rPr>
                <w:rFonts w:ascii="Palatino Linotype" w:hAnsi="Palatino Linotype"/>
              </w:rPr>
            </w:pPr>
            <w:r>
              <w:rPr>
                <w:rFonts w:ascii="Palatino Linotype" w:hAnsi="Palatino Linotype"/>
              </w:rPr>
              <w:t>(Rúbrica)</w:t>
            </w:r>
          </w:p>
        </w:tc>
      </w:tr>
      <w:tr w:rsidR="00F55A76" w:rsidRPr="006149F1" w:rsidTr="00A46E99">
        <w:tc>
          <w:tcPr>
            <w:tcW w:w="9062" w:type="dxa"/>
            <w:gridSpan w:val="2"/>
          </w:tcPr>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Pr="006149F1" w:rsidRDefault="00F55A76" w:rsidP="00A46E99">
            <w:pPr>
              <w:pStyle w:val="Sinespaciado"/>
              <w:jc w:val="both"/>
              <w:rPr>
                <w:rFonts w:ascii="Palatino Linotype" w:hAnsi="Palatino Linotype"/>
                <w:b/>
              </w:rPr>
            </w:pPr>
          </w:p>
          <w:p w:rsidR="00F55A76" w:rsidRDefault="00F55A76" w:rsidP="00A46E99">
            <w:pPr>
              <w:pStyle w:val="Sinespaciado"/>
              <w:jc w:val="both"/>
              <w:rPr>
                <w:rFonts w:ascii="Palatino Linotype" w:hAnsi="Palatino Linotype"/>
                <w:b/>
              </w:rPr>
            </w:pPr>
          </w:p>
          <w:p w:rsidR="00F55A76" w:rsidRPr="006149F1" w:rsidRDefault="00F55A76" w:rsidP="00A46E99">
            <w:pPr>
              <w:pStyle w:val="Sinespaciado"/>
              <w:jc w:val="center"/>
              <w:rPr>
                <w:rFonts w:ascii="Palatino Linotype" w:hAnsi="Palatino Linotype"/>
                <w:b/>
              </w:rPr>
            </w:pPr>
            <w:r w:rsidRPr="006149F1">
              <w:rPr>
                <w:rFonts w:ascii="Palatino Linotype" w:hAnsi="Palatino Linotype"/>
                <w:b/>
              </w:rPr>
              <w:t>Alexis Tapia Ramírez</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Secretario Técnico del Pleno</w:t>
            </w:r>
          </w:p>
          <w:p w:rsidR="00F55A76" w:rsidRPr="006149F1" w:rsidRDefault="00F55A76" w:rsidP="00A46E99">
            <w:pPr>
              <w:pStyle w:val="Sinespaciado"/>
              <w:jc w:val="center"/>
              <w:rPr>
                <w:rFonts w:ascii="Palatino Linotype" w:hAnsi="Palatino Linotype"/>
              </w:rPr>
            </w:pPr>
            <w:r w:rsidRPr="006149F1">
              <w:rPr>
                <w:rFonts w:ascii="Palatino Linotype" w:hAnsi="Palatino Linotype"/>
              </w:rPr>
              <w:t>(Rúbrica)</w:t>
            </w:r>
          </w:p>
        </w:tc>
      </w:tr>
    </w:tbl>
    <w:p w:rsidR="00F55A76" w:rsidRDefault="00F55A76" w:rsidP="00F55A76">
      <w:pPr>
        <w:spacing w:after="0" w:line="276" w:lineRule="auto"/>
        <w:jc w:val="both"/>
        <w:rPr>
          <w:rFonts w:ascii="Palatino Linotype" w:hAnsi="Palatino Linotype" w:cs="Arial"/>
          <w:sz w:val="18"/>
          <w:szCs w:val="18"/>
        </w:rPr>
      </w:pPr>
    </w:p>
    <w:p w:rsidR="00F55A76" w:rsidRDefault="00F55A76" w:rsidP="00F55A76">
      <w:pPr>
        <w:spacing w:after="0" w:line="276" w:lineRule="auto"/>
        <w:jc w:val="both"/>
        <w:rPr>
          <w:rFonts w:ascii="Palatino Linotype" w:hAnsi="Palatino Linotype" w:cs="Arial"/>
          <w:sz w:val="18"/>
          <w:szCs w:val="18"/>
        </w:rPr>
      </w:pPr>
    </w:p>
    <w:p w:rsidR="003326EE" w:rsidRDefault="003326EE" w:rsidP="00F55A76">
      <w:pPr>
        <w:spacing w:after="0" w:line="276" w:lineRule="auto"/>
        <w:jc w:val="both"/>
        <w:rPr>
          <w:rFonts w:ascii="Palatino Linotype" w:hAnsi="Palatino Linotype" w:cs="Arial"/>
          <w:sz w:val="18"/>
          <w:szCs w:val="18"/>
        </w:rPr>
      </w:pPr>
    </w:p>
    <w:p w:rsidR="00F55A76" w:rsidRPr="0040149E" w:rsidRDefault="00F55A76" w:rsidP="00F55A76">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9B0D88">
        <w:rPr>
          <w:rFonts w:ascii="Palatino Linotype" w:hAnsi="Palatino Linotype" w:cs="Arial"/>
          <w:sz w:val="18"/>
          <w:szCs w:val="18"/>
        </w:rPr>
        <w:t>catorce de agosto</w:t>
      </w:r>
      <w:r w:rsidR="00D83258">
        <w:rPr>
          <w:rFonts w:ascii="Palatino Linotype" w:hAnsi="Palatino Linotype" w:cs="Arial"/>
          <w:sz w:val="18"/>
          <w:szCs w:val="18"/>
        </w:rPr>
        <w:t xml:space="preserve"> de dos mil diecinueve</w:t>
      </w:r>
      <w:r w:rsidR="00480E5B">
        <w:rPr>
          <w:rFonts w:ascii="Palatino Linotype" w:hAnsi="Palatino Linotype" w:cs="Arial"/>
          <w:sz w:val="18"/>
          <w:szCs w:val="18"/>
        </w:rPr>
        <w:t>, emitida en el recurso</w:t>
      </w:r>
      <w:r w:rsidRPr="0040149E">
        <w:rPr>
          <w:rFonts w:ascii="Palatino Linotype" w:hAnsi="Palatino Linotype" w:cs="Arial"/>
          <w:sz w:val="18"/>
          <w:szCs w:val="18"/>
        </w:rPr>
        <w:t xml:space="preserve"> de revisión </w:t>
      </w:r>
      <w:r w:rsidR="009B0D88" w:rsidRPr="009B0D88">
        <w:rPr>
          <w:rFonts w:ascii="Palatino Linotype" w:hAnsi="Palatino Linotype" w:cs="Arial"/>
          <w:sz w:val="18"/>
          <w:szCs w:val="18"/>
        </w:rPr>
        <w:t>04870/INFOEM/IP/RR/2019</w:t>
      </w:r>
      <w:r w:rsidRPr="0040149E">
        <w:rPr>
          <w:rFonts w:ascii="Palatino Linotype" w:hAnsi="Palatino Linotype" w:cs="Arial"/>
          <w:sz w:val="18"/>
          <w:szCs w:val="18"/>
        </w:rPr>
        <w:t>.</w:t>
      </w:r>
    </w:p>
    <w:p w:rsidR="005A4030" w:rsidRPr="00353A9C" w:rsidRDefault="00F55A76" w:rsidP="00353A9C">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5A4030" w:rsidRPr="00353A9C" w:rsidSect="00F1529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BC7" w:rsidRDefault="00A30BC7" w:rsidP="00480084">
      <w:pPr>
        <w:spacing w:after="0" w:line="240" w:lineRule="auto"/>
      </w:pPr>
      <w:r>
        <w:separator/>
      </w:r>
    </w:p>
  </w:endnote>
  <w:endnote w:type="continuationSeparator" w:id="0">
    <w:p w:rsidR="00A30BC7" w:rsidRDefault="00A30BC7" w:rsidP="0048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1E" w:rsidRPr="000B69FA" w:rsidRDefault="0028011E"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0D91">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0D91">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1E" w:rsidRPr="000B69FA" w:rsidRDefault="0028011E" w:rsidP="00F1529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0D9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A0D91">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BC7" w:rsidRDefault="00A30BC7" w:rsidP="00480084">
      <w:pPr>
        <w:spacing w:after="0" w:line="240" w:lineRule="auto"/>
      </w:pPr>
      <w:r>
        <w:separator/>
      </w:r>
    </w:p>
  </w:footnote>
  <w:footnote w:type="continuationSeparator" w:id="0">
    <w:p w:rsidR="00A30BC7" w:rsidRDefault="00A30BC7" w:rsidP="00480084">
      <w:pPr>
        <w:spacing w:after="0" w:line="240" w:lineRule="auto"/>
      </w:pPr>
      <w:r>
        <w:continuationSeparator/>
      </w:r>
    </w:p>
  </w:footnote>
  <w:footnote w:id="1">
    <w:p w:rsidR="0028011E" w:rsidRPr="00615B4B" w:rsidRDefault="0028011E" w:rsidP="0048008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28011E" w:rsidRPr="00615B4B" w:rsidRDefault="0028011E" w:rsidP="0048008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11E" w:rsidRDefault="0028011E">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28011E" w:rsidTr="00F1529A">
      <w:trPr>
        <w:trHeight w:val="227"/>
      </w:trPr>
      <w:tc>
        <w:tcPr>
          <w:tcW w:w="4962" w:type="dxa"/>
          <w:hideMark/>
        </w:tcPr>
        <w:p w:rsidR="0028011E" w:rsidRDefault="0028011E"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28011E" w:rsidRDefault="0028011E" w:rsidP="00F1529A">
          <w:pPr>
            <w:spacing w:after="120" w:line="256" w:lineRule="auto"/>
            <w:ind w:left="-778" w:right="214" w:firstLine="1585"/>
            <w:jc w:val="right"/>
            <w:rPr>
              <w:rFonts w:ascii="Palatino Linotype" w:hAnsi="Palatino Linotype" w:cs="Arial"/>
              <w:szCs w:val="20"/>
            </w:rPr>
          </w:pPr>
          <w:r w:rsidRPr="00415220">
            <w:rPr>
              <w:rFonts w:ascii="Palatino Linotype" w:hAnsi="Palatino Linotype" w:cs="Arial"/>
              <w:bCs/>
              <w:sz w:val="24"/>
              <w:lang w:eastAsia="es-MX"/>
            </w:rPr>
            <w:t>04870/INFOEM/IP/RR/2019</w:t>
          </w:r>
        </w:p>
      </w:tc>
    </w:tr>
    <w:tr w:rsidR="0028011E" w:rsidTr="00F1529A">
      <w:trPr>
        <w:trHeight w:val="242"/>
      </w:trPr>
      <w:tc>
        <w:tcPr>
          <w:tcW w:w="4962" w:type="dxa"/>
          <w:hideMark/>
        </w:tcPr>
        <w:p w:rsidR="0028011E" w:rsidRDefault="0028011E"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28011E" w:rsidRDefault="0028011E" w:rsidP="00F1529A">
          <w:pPr>
            <w:spacing w:after="120" w:line="256" w:lineRule="auto"/>
            <w:ind w:left="-486" w:right="214" w:firstLine="284"/>
            <w:jc w:val="right"/>
            <w:rPr>
              <w:rFonts w:ascii="Palatino Linotype" w:hAnsi="Palatino Linotype" w:cs="Arial"/>
              <w:szCs w:val="20"/>
            </w:rPr>
          </w:pPr>
          <w:r w:rsidRPr="00415220">
            <w:rPr>
              <w:rFonts w:ascii="Palatino Linotype" w:hAnsi="Palatino Linotype" w:cs="Arial"/>
              <w:szCs w:val="20"/>
            </w:rPr>
            <w:t>Ayuntamiento de Toluca</w:t>
          </w:r>
        </w:p>
      </w:tc>
    </w:tr>
    <w:tr w:rsidR="0028011E" w:rsidTr="00F1529A">
      <w:trPr>
        <w:trHeight w:val="342"/>
      </w:trPr>
      <w:tc>
        <w:tcPr>
          <w:tcW w:w="4962" w:type="dxa"/>
          <w:hideMark/>
        </w:tcPr>
        <w:p w:rsidR="0028011E" w:rsidRDefault="0028011E"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28011E" w:rsidRDefault="0028011E"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011E" w:rsidRDefault="002801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28011E" w:rsidTr="00F1529A">
      <w:trPr>
        <w:trHeight w:val="227"/>
      </w:trPr>
      <w:tc>
        <w:tcPr>
          <w:tcW w:w="5529" w:type="dxa"/>
          <w:hideMark/>
        </w:tcPr>
        <w:p w:rsidR="0028011E" w:rsidRDefault="0028011E"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28011E" w:rsidRPr="00B4142F" w:rsidRDefault="0028011E" w:rsidP="00480084">
          <w:pPr>
            <w:spacing w:after="120" w:line="256" w:lineRule="auto"/>
            <w:ind w:left="-486" w:right="214" w:firstLine="1408"/>
            <w:jc w:val="right"/>
            <w:rPr>
              <w:rFonts w:ascii="Palatino Linotype" w:hAnsi="Palatino Linotype" w:cs="Arial"/>
              <w:szCs w:val="20"/>
            </w:rPr>
          </w:pPr>
          <w:r w:rsidRPr="00415220">
            <w:rPr>
              <w:rFonts w:ascii="Palatino Linotype" w:hAnsi="Palatino Linotype" w:cs="Arial"/>
              <w:bCs/>
              <w:sz w:val="24"/>
              <w:lang w:eastAsia="es-MX"/>
            </w:rPr>
            <w:t>04870/INFOEM/IP/RR/2019</w:t>
          </w:r>
        </w:p>
      </w:tc>
    </w:tr>
    <w:tr w:rsidR="0028011E" w:rsidTr="00F1529A">
      <w:trPr>
        <w:trHeight w:val="196"/>
      </w:trPr>
      <w:tc>
        <w:tcPr>
          <w:tcW w:w="5529" w:type="dxa"/>
          <w:hideMark/>
        </w:tcPr>
        <w:p w:rsidR="0028011E" w:rsidRDefault="0028011E"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28011E" w:rsidRPr="00F06FED" w:rsidRDefault="002A0D91" w:rsidP="00F1529A">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xxxxxxxxxxxxxxxxxxxxxxxxxxxxxx</w:t>
          </w:r>
        </w:p>
      </w:tc>
    </w:tr>
    <w:tr w:rsidR="0028011E" w:rsidTr="00F1529A">
      <w:trPr>
        <w:trHeight w:val="242"/>
      </w:trPr>
      <w:tc>
        <w:tcPr>
          <w:tcW w:w="5529" w:type="dxa"/>
          <w:hideMark/>
        </w:tcPr>
        <w:p w:rsidR="0028011E" w:rsidRDefault="0028011E" w:rsidP="00F1529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28011E" w:rsidRDefault="0028011E" w:rsidP="00480084">
          <w:pPr>
            <w:spacing w:after="120" w:line="256" w:lineRule="auto"/>
            <w:ind w:left="-495" w:right="214" w:firstLine="567"/>
            <w:jc w:val="right"/>
            <w:rPr>
              <w:rFonts w:ascii="Palatino Linotype" w:hAnsi="Palatino Linotype" w:cs="Arial"/>
              <w:szCs w:val="20"/>
            </w:rPr>
          </w:pPr>
          <w:r w:rsidRPr="00415220">
            <w:rPr>
              <w:rFonts w:ascii="Palatino Linotype" w:hAnsi="Palatino Linotype" w:cs="Arial"/>
              <w:szCs w:val="20"/>
            </w:rPr>
            <w:t>Ayuntamiento de Toluca</w:t>
          </w:r>
        </w:p>
      </w:tc>
    </w:tr>
    <w:tr w:rsidR="0028011E" w:rsidTr="00F1529A">
      <w:trPr>
        <w:trHeight w:val="342"/>
      </w:trPr>
      <w:tc>
        <w:tcPr>
          <w:tcW w:w="5529" w:type="dxa"/>
          <w:hideMark/>
        </w:tcPr>
        <w:p w:rsidR="0028011E" w:rsidRDefault="0028011E" w:rsidP="00F1529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28011E" w:rsidRDefault="0028011E" w:rsidP="00F1529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011E" w:rsidRDefault="002801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1B419C"/>
    <w:multiLevelType w:val="hybridMultilevel"/>
    <w:tmpl w:val="8F02D3A4"/>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06662A"/>
    <w:multiLevelType w:val="hybridMultilevel"/>
    <w:tmpl w:val="51D0F7E8"/>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374545"/>
    <w:multiLevelType w:val="hybridMultilevel"/>
    <w:tmpl w:val="57466DA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51AA2921"/>
    <w:multiLevelType w:val="hybridMultilevel"/>
    <w:tmpl w:val="25989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4A2155C"/>
    <w:multiLevelType w:val="hybridMultilevel"/>
    <w:tmpl w:val="95D69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5531798"/>
    <w:multiLevelType w:val="hybridMultilevel"/>
    <w:tmpl w:val="AF4C7E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1D73FBA"/>
    <w:multiLevelType w:val="hybridMultilevel"/>
    <w:tmpl w:val="A8E600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7D3445"/>
    <w:multiLevelType w:val="hybridMultilevel"/>
    <w:tmpl w:val="E586CB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E276BE"/>
    <w:multiLevelType w:val="hybridMultilevel"/>
    <w:tmpl w:val="7F72C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4B202A"/>
    <w:multiLevelType w:val="hybridMultilevel"/>
    <w:tmpl w:val="3B8E1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72376C"/>
    <w:multiLevelType w:val="hybridMultilevel"/>
    <w:tmpl w:val="C26C58E6"/>
    <w:lvl w:ilvl="0" w:tplc="FBAA2E04">
      <w:start w:val="1"/>
      <w:numFmt w:val="lowerLetter"/>
      <w:lvlText w:val="%1)"/>
      <w:lvlJc w:val="left"/>
      <w:pPr>
        <w:ind w:left="4188" w:hanging="360"/>
      </w:pPr>
      <w:rPr>
        <w:rFonts w:hint="default"/>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3"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
  </w:num>
  <w:num w:numId="4">
    <w:abstractNumId w:val="22"/>
  </w:num>
  <w:num w:numId="5">
    <w:abstractNumId w:val="5"/>
  </w:num>
  <w:num w:numId="6">
    <w:abstractNumId w:val="16"/>
  </w:num>
  <w:num w:numId="7">
    <w:abstractNumId w:val="0"/>
  </w:num>
  <w:num w:numId="8">
    <w:abstractNumId w:val="1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3"/>
  </w:num>
  <w:num w:numId="12">
    <w:abstractNumId w:val="10"/>
  </w:num>
  <w:num w:numId="13">
    <w:abstractNumId w:val="3"/>
  </w:num>
  <w:num w:numId="14">
    <w:abstractNumId w:val="7"/>
  </w:num>
  <w:num w:numId="15">
    <w:abstractNumId w:val="1"/>
  </w:num>
  <w:num w:numId="16">
    <w:abstractNumId w:val="18"/>
  </w:num>
  <w:num w:numId="17">
    <w:abstractNumId w:val="11"/>
  </w:num>
  <w:num w:numId="18">
    <w:abstractNumId w:val="21"/>
  </w:num>
  <w:num w:numId="19">
    <w:abstractNumId w:val="14"/>
  </w:num>
  <w:num w:numId="20">
    <w:abstractNumId w:val="9"/>
  </w:num>
  <w:num w:numId="21">
    <w:abstractNumId w:val="6"/>
  </w:num>
  <w:num w:numId="22">
    <w:abstractNumId w:val="13"/>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084"/>
    <w:rsid w:val="000015EB"/>
    <w:rsid w:val="00002D6F"/>
    <w:rsid w:val="00004810"/>
    <w:rsid w:val="00005C1E"/>
    <w:rsid w:val="00006902"/>
    <w:rsid w:val="00023BF4"/>
    <w:rsid w:val="00034259"/>
    <w:rsid w:val="0003592D"/>
    <w:rsid w:val="00035EAF"/>
    <w:rsid w:val="000379CA"/>
    <w:rsid w:val="00051128"/>
    <w:rsid w:val="00054FC7"/>
    <w:rsid w:val="00060799"/>
    <w:rsid w:val="00063191"/>
    <w:rsid w:val="00063480"/>
    <w:rsid w:val="00075CF7"/>
    <w:rsid w:val="00086438"/>
    <w:rsid w:val="00090203"/>
    <w:rsid w:val="000A1A11"/>
    <w:rsid w:val="000A7912"/>
    <w:rsid w:val="000A7F1B"/>
    <w:rsid w:val="000B74B2"/>
    <w:rsid w:val="000C30A3"/>
    <w:rsid w:val="000C468F"/>
    <w:rsid w:val="000D14B2"/>
    <w:rsid w:val="000D4E80"/>
    <w:rsid w:val="000E0DE3"/>
    <w:rsid w:val="000E4158"/>
    <w:rsid w:val="000F046B"/>
    <w:rsid w:val="00111164"/>
    <w:rsid w:val="00111B35"/>
    <w:rsid w:val="00114C59"/>
    <w:rsid w:val="0011760B"/>
    <w:rsid w:val="001249BE"/>
    <w:rsid w:val="001347C2"/>
    <w:rsid w:val="001406C8"/>
    <w:rsid w:val="001424E8"/>
    <w:rsid w:val="00143940"/>
    <w:rsid w:val="00143ABA"/>
    <w:rsid w:val="00145388"/>
    <w:rsid w:val="001477D9"/>
    <w:rsid w:val="00154315"/>
    <w:rsid w:val="0015487A"/>
    <w:rsid w:val="00154FB8"/>
    <w:rsid w:val="00156DEF"/>
    <w:rsid w:val="00163832"/>
    <w:rsid w:val="00170AF6"/>
    <w:rsid w:val="00177920"/>
    <w:rsid w:val="001837E3"/>
    <w:rsid w:val="00191583"/>
    <w:rsid w:val="00191D0A"/>
    <w:rsid w:val="0019222F"/>
    <w:rsid w:val="00196FE8"/>
    <w:rsid w:val="001B195A"/>
    <w:rsid w:val="001C0777"/>
    <w:rsid w:val="001C1777"/>
    <w:rsid w:val="001C359E"/>
    <w:rsid w:val="001C3A01"/>
    <w:rsid w:val="001E4F19"/>
    <w:rsid w:val="001E66D9"/>
    <w:rsid w:val="00210136"/>
    <w:rsid w:val="00211639"/>
    <w:rsid w:val="002223AA"/>
    <w:rsid w:val="0022376B"/>
    <w:rsid w:val="002304DA"/>
    <w:rsid w:val="00234632"/>
    <w:rsid w:val="0024220F"/>
    <w:rsid w:val="00244967"/>
    <w:rsid w:val="00247434"/>
    <w:rsid w:val="00256153"/>
    <w:rsid w:val="00257991"/>
    <w:rsid w:val="00270BB1"/>
    <w:rsid w:val="002719C7"/>
    <w:rsid w:val="002723A5"/>
    <w:rsid w:val="0027603A"/>
    <w:rsid w:val="00276251"/>
    <w:rsid w:val="00276401"/>
    <w:rsid w:val="0028011E"/>
    <w:rsid w:val="00280BF3"/>
    <w:rsid w:val="00283E4B"/>
    <w:rsid w:val="002841E8"/>
    <w:rsid w:val="002844F7"/>
    <w:rsid w:val="00284DF8"/>
    <w:rsid w:val="00291E56"/>
    <w:rsid w:val="00292117"/>
    <w:rsid w:val="002A0D91"/>
    <w:rsid w:val="002A1015"/>
    <w:rsid w:val="002B0BC0"/>
    <w:rsid w:val="002B1006"/>
    <w:rsid w:val="002D27CC"/>
    <w:rsid w:val="002D615E"/>
    <w:rsid w:val="002E674E"/>
    <w:rsid w:val="002F0772"/>
    <w:rsid w:val="002F768E"/>
    <w:rsid w:val="002F7D91"/>
    <w:rsid w:val="00303848"/>
    <w:rsid w:val="0030431E"/>
    <w:rsid w:val="00311FB9"/>
    <w:rsid w:val="00324CF1"/>
    <w:rsid w:val="003326EE"/>
    <w:rsid w:val="00336B96"/>
    <w:rsid w:val="003379F4"/>
    <w:rsid w:val="00343DD7"/>
    <w:rsid w:val="003516C4"/>
    <w:rsid w:val="0035354D"/>
    <w:rsid w:val="00353A9C"/>
    <w:rsid w:val="00356D34"/>
    <w:rsid w:val="00357FCF"/>
    <w:rsid w:val="00367201"/>
    <w:rsid w:val="003704DC"/>
    <w:rsid w:val="00370978"/>
    <w:rsid w:val="00371743"/>
    <w:rsid w:val="00375CEE"/>
    <w:rsid w:val="0037756C"/>
    <w:rsid w:val="003803C4"/>
    <w:rsid w:val="00380605"/>
    <w:rsid w:val="00385232"/>
    <w:rsid w:val="003868E4"/>
    <w:rsid w:val="003927E5"/>
    <w:rsid w:val="00396D7E"/>
    <w:rsid w:val="003A22A9"/>
    <w:rsid w:val="003B65B6"/>
    <w:rsid w:val="003B67B6"/>
    <w:rsid w:val="003C3B23"/>
    <w:rsid w:val="003D1776"/>
    <w:rsid w:val="003D2A01"/>
    <w:rsid w:val="003D3C28"/>
    <w:rsid w:val="003E5CC2"/>
    <w:rsid w:val="00412EBF"/>
    <w:rsid w:val="004136D8"/>
    <w:rsid w:val="00415220"/>
    <w:rsid w:val="0041578D"/>
    <w:rsid w:val="004220AE"/>
    <w:rsid w:val="00425372"/>
    <w:rsid w:val="004332BA"/>
    <w:rsid w:val="004374E8"/>
    <w:rsid w:val="0044245B"/>
    <w:rsid w:val="00453565"/>
    <w:rsid w:val="004555F0"/>
    <w:rsid w:val="004610DE"/>
    <w:rsid w:val="00470ED3"/>
    <w:rsid w:val="00480084"/>
    <w:rsid w:val="00480E5B"/>
    <w:rsid w:val="0048671B"/>
    <w:rsid w:val="004871CB"/>
    <w:rsid w:val="00487EC4"/>
    <w:rsid w:val="004911F1"/>
    <w:rsid w:val="00492799"/>
    <w:rsid w:val="00495723"/>
    <w:rsid w:val="004A0452"/>
    <w:rsid w:val="004A37C6"/>
    <w:rsid w:val="004B5C80"/>
    <w:rsid w:val="004B64D6"/>
    <w:rsid w:val="004C5D94"/>
    <w:rsid w:val="004D3382"/>
    <w:rsid w:val="004E118A"/>
    <w:rsid w:val="004E4B85"/>
    <w:rsid w:val="004F0648"/>
    <w:rsid w:val="004F31B3"/>
    <w:rsid w:val="00505C5E"/>
    <w:rsid w:val="005061E3"/>
    <w:rsid w:val="0051239C"/>
    <w:rsid w:val="00513534"/>
    <w:rsid w:val="0052400B"/>
    <w:rsid w:val="005260D9"/>
    <w:rsid w:val="0053014F"/>
    <w:rsid w:val="00530A89"/>
    <w:rsid w:val="005375BE"/>
    <w:rsid w:val="00552DB8"/>
    <w:rsid w:val="00553258"/>
    <w:rsid w:val="0055649B"/>
    <w:rsid w:val="00561D5C"/>
    <w:rsid w:val="00570DF1"/>
    <w:rsid w:val="005733EB"/>
    <w:rsid w:val="005738C6"/>
    <w:rsid w:val="005751B6"/>
    <w:rsid w:val="0057551B"/>
    <w:rsid w:val="005776C1"/>
    <w:rsid w:val="0059374F"/>
    <w:rsid w:val="00594236"/>
    <w:rsid w:val="00594373"/>
    <w:rsid w:val="005A4030"/>
    <w:rsid w:val="005A4644"/>
    <w:rsid w:val="005A59BA"/>
    <w:rsid w:val="005B62DA"/>
    <w:rsid w:val="005B6542"/>
    <w:rsid w:val="005B6571"/>
    <w:rsid w:val="005B7325"/>
    <w:rsid w:val="005C094F"/>
    <w:rsid w:val="005D0D72"/>
    <w:rsid w:val="005D1D32"/>
    <w:rsid w:val="005E26CB"/>
    <w:rsid w:val="005E3355"/>
    <w:rsid w:val="005E4E28"/>
    <w:rsid w:val="005F4443"/>
    <w:rsid w:val="005F557F"/>
    <w:rsid w:val="005F6614"/>
    <w:rsid w:val="006024C5"/>
    <w:rsid w:val="00617DB9"/>
    <w:rsid w:val="0062752A"/>
    <w:rsid w:val="006343BC"/>
    <w:rsid w:val="00636107"/>
    <w:rsid w:val="0064450B"/>
    <w:rsid w:val="0064677C"/>
    <w:rsid w:val="00651D8E"/>
    <w:rsid w:val="006543F1"/>
    <w:rsid w:val="00654F49"/>
    <w:rsid w:val="00663F8B"/>
    <w:rsid w:val="00673181"/>
    <w:rsid w:val="00675A8D"/>
    <w:rsid w:val="006826A3"/>
    <w:rsid w:val="00691FC7"/>
    <w:rsid w:val="0069598B"/>
    <w:rsid w:val="00696DE5"/>
    <w:rsid w:val="00697442"/>
    <w:rsid w:val="006A1565"/>
    <w:rsid w:val="006A3D87"/>
    <w:rsid w:val="006C00AF"/>
    <w:rsid w:val="006C37E9"/>
    <w:rsid w:val="006E6C32"/>
    <w:rsid w:val="006F0B49"/>
    <w:rsid w:val="006F0CC6"/>
    <w:rsid w:val="006F426F"/>
    <w:rsid w:val="0070738B"/>
    <w:rsid w:val="00710CD8"/>
    <w:rsid w:val="00713427"/>
    <w:rsid w:val="00715254"/>
    <w:rsid w:val="00715563"/>
    <w:rsid w:val="0072315C"/>
    <w:rsid w:val="00730050"/>
    <w:rsid w:val="00735025"/>
    <w:rsid w:val="00761339"/>
    <w:rsid w:val="00761D2E"/>
    <w:rsid w:val="00762869"/>
    <w:rsid w:val="007642F5"/>
    <w:rsid w:val="00765429"/>
    <w:rsid w:val="007660BD"/>
    <w:rsid w:val="00766737"/>
    <w:rsid w:val="00773DF9"/>
    <w:rsid w:val="0077464A"/>
    <w:rsid w:val="00781BAD"/>
    <w:rsid w:val="0079211F"/>
    <w:rsid w:val="00794CC7"/>
    <w:rsid w:val="007953A1"/>
    <w:rsid w:val="007972E6"/>
    <w:rsid w:val="0079742F"/>
    <w:rsid w:val="007A3D86"/>
    <w:rsid w:val="007A62DB"/>
    <w:rsid w:val="007B452C"/>
    <w:rsid w:val="007B734A"/>
    <w:rsid w:val="007D143E"/>
    <w:rsid w:val="007D311E"/>
    <w:rsid w:val="007D4974"/>
    <w:rsid w:val="007D4DFF"/>
    <w:rsid w:val="007D5034"/>
    <w:rsid w:val="007D66CA"/>
    <w:rsid w:val="007E45BC"/>
    <w:rsid w:val="007F6813"/>
    <w:rsid w:val="007F776B"/>
    <w:rsid w:val="00807142"/>
    <w:rsid w:val="0081043E"/>
    <w:rsid w:val="00810B9A"/>
    <w:rsid w:val="00814CE6"/>
    <w:rsid w:val="00815818"/>
    <w:rsid w:val="00821F5B"/>
    <w:rsid w:val="0082345D"/>
    <w:rsid w:val="008306CB"/>
    <w:rsid w:val="008364AF"/>
    <w:rsid w:val="008471A2"/>
    <w:rsid w:val="00853FE5"/>
    <w:rsid w:val="00856CF5"/>
    <w:rsid w:val="008611A8"/>
    <w:rsid w:val="008665F7"/>
    <w:rsid w:val="0086687C"/>
    <w:rsid w:val="0086783F"/>
    <w:rsid w:val="008679D5"/>
    <w:rsid w:val="008728A7"/>
    <w:rsid w:val="00875AD8"/>
    <w:rsid w:val="00877039"/>
    <w:rsid w:val="00884278"/>
    <w:rsid w:val="00894BC3"/>
    <w:rsid w:val="008C1D7F"/>
    <w:rsid w:val="008C4E70"/>
    <w:rsid w:val="008D53F2"/>
    <w:rsid w:val="008D67DA"/>
    <w:rsid w:val="008D7705"/>
    <w:rsid w:val="008E53DD"/>
    <w:rsid w:val="008E78A8"/>
    <w:rsid w:val="008F5795"/>
    <w:rsid w:val="008F6DD9"/>
    <w:rsid w:val="008F6EFE"/>
    <w:rsid w:val="00903B55"/>
    <w:rsid w:val="0090691B"/>
    <w:rsid w:val="00916152"/>
    <w:rsid w:val="009248A3"/>
    <w:rsid w:val="009249DB"/>
    <w:rsid w:val="00931FE9"/>
    <w:rsid w:val="00934715"/>
    <w:rsid w:val="009512A6"/>
    <w:rsid w:val="00956F11"/>
    <w:rsid w:val="009604FD"/>
    <w:rsid w:val="00963CAB"/>
    <w:rsid w:val="00966F6B"/>
    <w:rsid w:val="009676EF"/>
    <w:rsid w:val="00970C65"/>
    <w:rsid w:val="00971CE4"/>
    <w:rsid w:val="0097266B"/>
    <w:rsid w:val="00973658"/>
    <w:rsid w:val="00983369"/>
    <w:rsid w:val="00985FA0"/>
    <w:rsid w:val="009900E9"/>
    <w:rsid w:val="00993879"/>
    <w:rsid w:val="00996B89"/>
    <w:rsid w:val="009A2E60"/>
    <w:rsid w:val="009A38F1"/>
    <w:rsid w:val="009A3961"/>
    <w:rsid w:val="009A513C"/>
    <w:rsid w:val="009B0D88"/>
    <w:rsid w:val="009C13E2"/>
    <w:rsid w:val="009C6D1C"/>
    <w:rsid w:val="009C6E17"/>
    <w:rsid w:val="009D1B1F"/>
    <w:rsid w:val="009D1F0D"/>
    <w:rsid w:val="009D6ACE"/>
    <w:rsid w:val="009E65FE"/>
    <w:rsid w:val="009F7987"/>
    <w:rsid w:val="00A06A28"/>
    <w:rsid w:val="00A260B9"/>
    <w:rsid w:val="00A30BC7"/>
    <w:rsid w:val="00A33447"/>
    <w:rsid w:val="00A42E66"/>
    <w:rsid w:val="00A45FB0"/>
    <w:rsid w:val="00A46087"/>
    <w:rsid w:val="00A46BB1"/>
    <w:rsid w:val="00A46E99"/>
    <w:rsid w:val="00A50CCC"/>
    <w:rsid w:val="00A51B82"/>
    <w:rsid w:val="00A563A6"/>
    <w:rsid w:val="00A56F6C"/>
    <w:rsid w:val="00A6456E"/>
    <w:rsid w:val="00A65EFD"/>
    <w:rsid w:val="00A67194"/>
    <w:rsid w:val="00A715C3"/>
    <w:rsid w:val="00A736F0"/>
    <w:rsid w:val="00A74137"/>
    <w:rsid w:val="00A877E4"/>
    <w:rsid w:val="00A87CAD"/>
    <w:rsid w:val="00A87CBD"/>
    <w:rsid w:val="00A959C5"/>
    <w:rsid w:val="00A96C73"/>
    <w:rsid w:val="00AA10EA"/>
    <w:rsid w:val="00AA1AAF"/>
    <w:rsid w:val="00AA1AD7"/>
    <w:rsid w:val="00AA45BA"/>
    <w:rsid w:val="00AA7038"/>
    <w:rsid w:val="00AA76D8"/>
    <w:rsid w:val="00AB24BB"/>
    <w:rsid w:val="00AD19EF"/>
    <w:rsid w:val="00AD7486"/>
    <w:rsid w:val="00AE33F3"/>
    <w:rsid w:val="00AE74B0"/>
    <w:rsid w:val="00AE76F5"/>
    <w:rsid w:val="00AF1CE8"/>
    <w:rsid w:val="00AF1D50"/>
    <w:rsid w:val="00B03E33"/>
    <w:rsid w:val="00B05EAC"/>
    <w:rsid w:val="00B23AF6"/>
    <w:rsid w:val="00B25DF6"/>
    <w:rsid w:val="00B26CAB"/>
    <w:rsid w:val="00B31809"/>
    <w:rsid w:val="00B31E2A"/>
    <w:rsid w:val="00B32CD4"/>
    <w:rsid w:val="00B34600"/>
    <w:rsid w:val="00B34B29"/>
    <w:rsid w:val="00B367F9"/>
    <w:rsid w:val="00B372AB"/>
    <w:rsid w:val="00B405BB"/>
    <w:rsid w:val="00B40BC7"/>
    <w:rsid w:val="00B42A75"/>
    <w:rsid w:val="00B42FA4"/>
    <w:rsid w:val="00B54219"/>
    <w:rsid w:val="00B5583F"/>
    <w:rsid w:val="00B55D27"/>
    <w:rsid w:val="00B618AD"/>
    <w:rsid w:val="00B66438"/>
    <w:rsid w:val="00B70BD6"/>
    <w:rsid w:val="00B753F9"/>
    <w:rsid w:val="00B80EBB"/>
    <w:rsid w:val="00B95CD4"/>
    <w:rsid w:val="00BA5735"/>
    <w:rsid w:val="00BB3182"/>
    <w:rsid w:val="00BB4B1B"/>
    <w:rsid w:val="00BC4312"/>
    <w:rsid w:val="00BD635F"/>
    <w:rsid w:val="00BE46B3"/>
    <w:rsid w:val="00C14532"/>
    <w:rsid w:val="00C21391"/>
    <w:rsid w:val="00C3645B"/>
    <w:rsid w:val="00C375C5"/>
    <w:rsid w:val="00C40085"/>
    <w:rsid w:val="00C44DAB"/>
    <w:rsid w:val="00C538B3"/>
    <w:rsid w:val="00C53C4B"/>
    <w:rsid w:val="00C56FDF"/>
    <w:rsid w:val="00C600A2"/>
    <w:rsid w:val="00C738FA"/>
    <w:rsid w:val="00C82BFB"/>
    <w:rsid w:val="00C833A0"/>
    <w:rsid w:val="00C95B47"/>
    <w:rsid w:val="00CA0516"/>
    <w:rsid w:val="00CA08C1"/>
    <w:rsid w:val="00CA0A09"/>
    <w:rsid w:val="00CA688E"/>
    <w:rsid w:val="00CB3333"/>
    <w:rsid w:val="00CB50EF"/>
    <w:rsid w:val="00CD09A0"/>
    <w:rsid w:val="00CD0C56"/>
    <w:rsid w:val="00CD540A"/>
    <w:rsid w:val="00CD707F"/>
    <w:rsid w:val="00CE015D"/>
    <w:rsid w:val="00CF154F"/>
    <w:rsid w:val="00CF7867"/>
    <w:rsid w:val="00D04DE3"/>
    <w:rsid w:val="00D05962"/>
    <w:rsid w:val="00D10809"/>
    <w:rsid w:val="00D1187C"/>
    <w:rsid w:val="00D122FA"/>
    <w:rsid w:val="00D2236C"/>
    <w:rsid w:val="00D23177"/>
    <w:rsid w:val="00D25841"/>
    <w:rsid w:val="00D30AF3"/>
    <w:rsid w:val="00D315E0"/>
    <w:rsid w:val="00D430C7"/>
    <w:rsid w:val="00D60349"/>
    <w:rsid w:val="00D62DA8"/>
    <w:rsid w:val="00D6439C"/>
    <w:rsid w:val="00D805DC"/>
    <w:rsid w:val="00D81BE8"/>
    <w:rsid w:val="00D82453"/>
    <w:rsid w:val="00D83258"/>
    <w:rsid w:val="00D8622F"/>
    <w:rsid w:val="00D86272"/>
    <w:rsid w:val="00D9057B"/>
    <w:rsid w:val="00D93CF3"/>
    <w:rsid w:val="00D94076"/>
    <w:rsid w:val="00D9518A"/>
    <w:rsid w:val="00DA0890"/>
    <w:rsid w:val="00DB62C2"/>
    <w:rsid w:val="00DB7325"/>
    <w:rsid w:val="00DB7EE6"/>
    <w:rsid w:val="00DD13E2"/>
    <w:rsid w:val="00DD79F6"/>
    <w:rsid w:val="00DE1297"/>
    <w:rsid w:val="00DF30C3"/>
    <w:rsid w:val="00DF69CE"/>
    <w:rsid w:val="00DF7579"/>
    <w:rsid w:val="00E0494D"/>
    <w:rsid w:val="00E0548C"/>
    <w:rsid w:val="00E10202"/>
    <w:rsid w:val="00E21F9D"/>
    <w:rsid w:val="00E316F2"/>
    <w:rsid w:val="00E35D19"/>
    <w:rsid w:val="00E37AE0"/>
    <w:rsid w:val="00E4066D"/>
    <w:rsid w:val="00E44768"/>
    <w:rsid w:val="00E45477"/>
    <w:rsid w:val="00E51096"/>
    <w:rsid w:val="00E61A3B"/>
    <w:rsid w:val="00E635D2"/>
    <w:rsid w:val="00E67B85"/>
    <w:rsid w:val="00E74D93"/>
    <w:rsid w:val="00E82BD5"/>
    <w:rsid w:val="00E836CC"/>
    <w:rsid w:val="00E912B4"/>
    <w:rsid w:val="00E92B25"/>
    <w:rsid w:val="00E934FB"/>
    <w:rsid w:val="00E9597A"/>
    <w:rsid w:val="00EA4ED6"/>
    <w:rsid w:val="00EA620E"/>
    <w:rsid w:val="00EA6DEC"/>
    <w:rsid w:val="00EB66EF"/>
    <w:rsid w:val="00EB7854"/>
    <w:rsid w:val="00ED005B"/>
    <w:rsid w:val="00ED5267"/>
    <w:rsid w:val="00EF00F9"/>
    <w:rsid w:val="00EF157F"/>
    <w:rsid w:val="00F011E4"/>
    <w:rsid w:val="00F04BE9"/>
    <w:rsid w:val="00F06599"/>
    <w:rsid w:val="00F149A2"/>
    <w:rsid w:val="00F1529A"/>
    <w:rsid w:val="00F22AAF"/>
    <w:rsid w:val="00F272C8"/>
    <w:rsid w:val="00F34ABF"/>
    <w:rsid w:val="00F3731B"/>
    <w:rsid w:val="00F379AB"/>
    <w:rsid w:val="00F55A76"/>
    <w:rsid w:val="00F615BD"/>
    <w:rsid w:val="00F6382A"/>
    <w:rsid w:val="00F74ABA"/>
    <w:rsid w:val="00F81872"/>
    <w:rsid w:val="00F82680"/>
    <w:rsid w:val="00F913C4"/>
    <w:rsid w:val="00F92B56"/>
    <w:rsid w:val="00FA52F4"/>
    <w:rsid w:val="00FA5916"/>
    <w:rsid w:val="00FB5826"/>
    <w:rsid w:val="00FC468A"/>
    <w:rsid w:val="00FD06E7"/>
    <w:rsid w:val="00FD2FF7"/>
    <w:rsid w:val="00FD5ED6"/>
    <w:rsid w:val="00FE0484"/>
    <w:rsid w:val="00FE12EC"/>
    <w:rsid w:val="00FE6D83"/>
    <w:rsid w:val="00FE73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E68012C-9BA0-46E6-8784-E4DBEE37A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084"/>
  </w:style>
  <w:style w:type="paragraph" w:styleId="Ttulo3">
    <w:name w:val="heading 3"/>
    <w:basedOn w:val="Normal"/>
    <w:link w:val="Ttulo3Car"/>
    <w:uiPriority w:val="9"/>
    <w:qFormat/>
    <w:rsid w:val="00E934F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8008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8008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8008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8008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008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8008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80084"/>
    <w:rPr>
      <w:vertAlign w:val="superscript"/>
    </w:rPr>
  </w:style>
  <w:style w:type="character" w:styleId="Hipervnculo">
    <w:name w:val="Hyperlink"/>
    <w:basedOn w:val="Fuentedeprrafopredeter"/>
    <w:uiPriority w:val="99"/>
    <w:unhideWhenUsed/>
    <w:rsid w:val="00480084"/>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008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0084"/>
    <w:rPr>
      <w:sz w:val="20"/>
      <w:szCs w:val="20"/>
    </w:rPr>
  </w:style>
  <w:style w:type="paragraph" w:customStyle="1" w:styleId="Default">
    <w:name w:val="Default"/>
    <w:rsid w:val="00480084"/>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48008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80084"/>
    <w:rPr>
      <w:b/>
      <w:bCs/>
    </w:rPr>
  </w:style>
  <w:style w:type="character" w:customStyle="1" w:styleId="SinespaciadoCar">
    <w:name w:val="Sin espaciado Car"/>
    <w:aliases w:val="Francesa Car"/>
    <w:link w:val="Sinespaciado"/>
    <w:uiPriority w:val="1"/>
    <w:locked/>
    <w:rsid w:val="00480084"/>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E934F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E934F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5A40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4030"/>
    <w:rPr>
      <w:rFonts w:ascii="Segoe UI" w:hAnsi="Segoe UI" w:cs="Segoe UI"/>
      <w:sz w:val="18"/>
      <w:szCs w:val="18"/>
    </w:rPr>
  </w:style>
  <w:style w:type="table" w:styleId="Tablaconcuadrcula">
    <w:name w:val="Table Grid"/>
    <w:basedOn w:val="Tablanormal"/>
    <w:uiPriority w:val="39"/>
    <w:rsid w:val="0081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2603">
      <w:bodyDiv w:val="1"/>
      <w:marLeft w:val="0"/>
      <w:marRight w:val="0"/>
      <w:marTop w:val="0"/>
      <w:marBottom w:val="0"/>
      <w:divBdr>
        <w:top w:val="none" w:sz="0" w:space="0" w:color="auto"/>
        <w:left w:val="none" w:sz="0" w:space="0" w:color="auto"/>
        <w:bottom w:val="none" w:sz="0" w:space="0" w:color="auto"/>
        <w:right w:val="none" w:sz="0" w:space="0" w:color="auto"/>
      </w:divBdr>
    </w:div>
    <w:div w:id="173611639">
      <w:bodyDiv w:val="1"/>
      <w:marLeft w:val="0"/>
      <w:marRight w:val="0"/>
      <w:marTop w:val="0"/>
      <w:marBottom w:val="0"/>
      <w:divBdr>
        <w:top w:val="none" w:sz="0" w:space="0" w:color="auto"/>
        <w:left w:val="none" w:sz="0" w:space="0" w:color="auto"/>
        <w:bottom w:val="none" w:sz="0" w:space="0" w:color="auto"/>
        <w:right w:val="none" w:sz="0" w:space="0" w:color="auto"/>
      </w:divBdr>
    </w:div>
    <w:div w:id="520094587">
      <w:bodyDiv w:val="1"/>
      <w:marLeft w:val="0"/>
      <w:marRight w:val="0"/>
      <w:marTop w:val="0"/>
      <w:marBottom w:val="0"/>
      <w:divBdr>
        <w:top w:val="none" w:sz="0" w:space="0" w:color="auto"/>
        <w:left w:val="none" w:sz="0" w:space="0" w:color="auto"/>
        <w:bottom w:val="none" w:sz="0" w:space="0" w:color="auto"/>
        <w:right w:val="none" w:sz="0" w:space="0" w:color="auto"/>
      </w:divBdr>
    </w:div>
    <w:div w:id="728768018">
      <w:bodyDiv w:val="1"/>
      <w:marLeft w:val="0"/>
      <w:marRight w:val="0"/>
      <w:marTop w:val="0"/>
      <w:marBottom w:val="0"/>
      <w:divBdr>
        <w:top w:val="none" w:sz="0" w:space="0" w:color="auto"/>
        <w:left w:val="none" w:sz="0" w:space="0" w:color="auto"/>
        <w:bottom w:val="none" w:sz="0" w:space="0" w:color="auto"/>
        <w:right w:val="none" w:sz="0" w:space="0" w:color="auto"/>
      </w:divBdr>
    </w:div>
    <w:div w:id="1177965593">
      <w:bodyDiv w:val="1"/>
      <w:marLeft w:val="0"/>
      <w:marRight w:val="0"/>
      <w:marTop w:val="0"/>
      <w:marBottom w:val="0"/>
      <w:divBdr>
        <w:top w:val="none" w:sz="0" w:space="0" w:color="auto"/>
        <w:left w:val="none" w:sz="0" w:space="0" w:color="auto"/>
        <w:bottom w:val="none" w:sz="0" w:space="0" w:color="auto"/>
        <w:right w:val="none" w:sz="0" w:space="0" w:color="auto"/>
      </w:divBdr>
    </w:div>
    <w:div w:id="1274553064">
      <w:bodyDiv w:val="1"/>
      <w:marLeft w:val="0"/>
      <w:marRight w:val="0"/>
      <w:marTop w:val="0"/>
      <w:marBottom w:val="0"/>
      <w:divBdr>
        <w:top w:val="none" w:sz="0" w:space="0" w:color="auto"/>
        <w:left w:val="none" w:sz="0" w:space="0" w:color="auto"/>
        <w:bottom w:val="none" w:sz="0" w:space="0" w:color="auto"/>
        <w:right w:val="none" w:sz="0" w:space="0" w:color="auto"/>
      </w:divBdr>
    </w:div>
    <w:div w:id="1313368219">
      <w:bodyDiv w:val="1"/>
      <w:marLeft w:val="0"/>
      <w:marRight w:val="0"/>
      <w:marTop w:val="0"/>
      <w:marBottom w:val="0"/>
      <w:divBdr>
        <w:top w:val="none" w:sz="0" w:space="0" w:color="auto"/>
        <w:left w:val="none" w:sz="0" w:space="0" w:color="auto"/>
        <w:bottom w:val="none" w:sz="0" w:space="0" w:color="auto"/>
        <w:right w:val="none" w:sz="0" w:space="0" w:color="auto"/>
      </w:divBdr>
    </w:div>
    <w:div w:id="1351563139">
      <w:bodyDiv w:val="1"/>
      <w:marLeft w:val="0"/>
      <w:marRight w:val="0"/>
      <w:marTop w:val="0"/>
      <w:marBottom w:val="0"/>
      <w:divBdr>
        <w:top w:val="none" w:sz="0" w:space="0" w:color="auto"/>
        <w:left w:val="none" w:sz="0" w:space="0" w:color="auto"/>
        <w:bottom w:val="none" w:sz="0" w:space="0" w:color="auto"/>
        <w:right w:val="none" w:sz="0" w:space="0" w:color="auto"/>
      </w:divBdr>
    </w:div>
    <w:div w:id="162013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FD336-0062-44E9-B616-0E6A65D1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9227</Words>
  <Characters>50750</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2019-08-19T19:50:00Z</cp:lastPrinted>
  <dcterms:created xsi:type="dcterms:W3CDTF">2019-08-30T17:10:00Z</dcterms:created>
  <dcterms:modified xsi:type="dcterms:W3CDTF">2019-08-30T17:10:00Z</dcterms:modified>
</cp:coreProperties>
</file>