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5CC27605"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C2C84">
        <w:rPr>
          <w:rFonts w:ascii="Palatino Linotype" w:eastAsia="Times New Roman" w:hAnsi="Palatino Linotype" w:cs="Arial"/>
          <w:color w:val="000000"/>
          <w:sz w:val="24"/>
          <w:szCs w:val="24"/>
          <w:lang w:eastAsia="es-MX"/>
        </w:rPr>
        <w:t>veintiséis de febrero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4B9A9777"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C2382D">
        <w:rPr>
          <w:rFonts w:ascii="Palatino Linotype" w:hAnsi="Palatino Linotype" w:cs="Arial"/>
          <w:b/>
          <w:bCs/>
          <w:sz w:val="24"/>
          <w:lang w:eastAsia="es-MX"/>
        </w:rPr>
        <w:t>9230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2821FA">
        <w:rPr>
          <w:rFonts w:ascii="Palatino Linotype" w:hAnsi="Palatino Linotype" w:cs="Arial"/>
          <w:sz w:val="24"/>
        </w:rPr>
        <w:t xml:space="preserve">el </w:t>
      </w:r>
      <w:r w:rsidR="002821FA" w:rsidRPr="002821FA">
        <w:rPr>
          <w:rFonts w:ascii="Palatino Linotype" w:hAnsi="Palatino Linotype" w:cs="Arial"/>
          <w:b/>
          <w:bCs/>
          <w:sz w:val="24"/>
        </w:rPr>
        <w:t xml:space="preserve">C. </w:t>
      </w:r>
      <w:r w:rsidR="00A42837" w:rsidRPr="00A42837">
        <w:rPr>
          <w:rFonts w:ascii="Palatino Linotype" w:hAnsi="Palatino Linotype" w:cs="Arial"/>
          <w:b/>
          <w:bCs/>
          <w:sz w:val="24"/>
        </w:rPr>
        <w:t>XXXXXXXXXXXXXX</w:t>
      </w:r>
      <w:bookmarkStart w:id="0" w:name="_GoBack"/>
      <w:bookmarkEnd w:id="0"/>
      <w:r w:rsidR="002821FA">
        <w:rPr>
          <w:rFonts w:ascii="Palatino Linotype" w:hAnsi="Palatino Linotype" w:cs="Arial"/>
          <w:sz w:val="24"/>
        </w:rPr>
        <w:t xml:space="preserve">, a quien en lo sucesivo se le denominara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C2382D" w:rsidRPr="00C2382D">
        <w:rPr>
          <w:rFonts w:ascii="Palatino Linotype" w:hAnsi="Palatino Linotype" w:cs="Arial"/>
          <w:b/>
          <w:sz w:val="24"/>
          <w:szCs w:val="24"/>
        </w:rPr>
        <w:t>Ayuntamiento de Isidro Fabela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510E3738"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2382D">
        <w:rPr>
          <w:rFonts w:ascii="Palatino Linotype" w:hAnsi="Palatino Linotype" w:cs="Arial"/>
          <w:sz w:val="24"/>
        </w:rPr>
        <w:t>veintinueve</w:t>
      </w:r>
      <w:r w:rsidR="00163618">
        <w:rPr>
          <w:rFonts w:ascii="Palatino Linotype" w:hAnsi="Palatino Linotype" w:cs="Arial"/>
          <w:sz w:val="24"/>
        </w:rPr>
        <w:t xml:space="preserve"> de octubre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2382D" w:rsidRPr="00C2382D">
        <w:rPr>
          <w:rFonts w:ascii="Palatino Linotype" w:hAnsi="Palatino Linotype" w:cs="Arial"/>
          <w:b/>
          <w:sz w:val="24"/>
        </w:rPr>
        <w:t>00057/ISIFABE/IP/2019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61302667"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C2382D" w:rsidRPr="00C2382D">
        <w:rPr>
          <w:rFonts w:ascii="Palatino Linotype" w:hAnsi="Palatino Linotype"/>
          <w:i/>
          <w:color w:val="000000"/>
        </w:rPr>
        <w:t>Número de cursos de asesoramiento y fomento de la ética del servicio público, se han impartido a los servidores públicos del ayuntamiento. Número de cursos de actualización y capacitación se han impartido a los servidores públicos del ayuntamiento.</w:t>
      </w:r>
      <w:r w:rsidRPr="00DE246E">
        <w:rPr>
          <w:rFonts w:ascii="Palatino Linotype" w:eastAsia="Times New Roman" w:hAnsi="Palatino Linotype" w:cs="Times New Roman"/>
          <w:i/>
          <w:lang w:val="es-ES_tradnl" w:eastAsia="es-ES"/>
        </w:rPr>
        <w:t>” [Sic]</w:t>
      </w:r>
    </w:p>
    <w:p w14:paraId="5F28E3CD" w14:textId="050D4548"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44FB0627"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C2382D">
        <w:rPr>
          <w:rFonts w:ascii="Palatino Linotype" w:hAnsi="Palatino Linotype" w:cs="Arial"/>
          <w:sz w:val="24"/>
          <w:szCs w:val="24"/>
        </w:rPr>
        <w:t>nueve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C2382D">
        <w:rPr>
          <w:rFonts w:ascii="Palatino Linotype" w:hAnsi="Palatino Linotype" w:cs="Arial"/>
          <w:b/>
          <w:bCs/>
          <w:sz w:val="24"/>
          <w:szCs w:val="24"/>
          <w:lang w:eastAsia="es-MX"/>
        </w:rPr>
        <w:t>9230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1A72B6C5"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C2382D" w:rsidRPr="00C2382D">
        <w:rPr>
          <w:rFonts w:ascii="Palatino Linotype" w:hAnsi="Palatino Linotype"/>
          <w:i/>
          <w:color w:val="000000"/>
        </w:rPr>
        <w:t>No hay información adjunta a la respuesta, cabe mencionar que la información que se solicita es de toda la administración municipal de manera generalizada y respecto del año 2019.</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3288C725"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C2382D" w:rsidRPr="00C2382D">
        <w:rPr>
          <w:rFonts w:ascii="Palatino Linotype" w:hAnsi="Palatino Linotype" w:cs="Arial"/>
          <w:i/>
        </w:rPr>
        <w:t>No hay información adjunta a la respuesta, cabe mencionar que la información que se solicita es de toda la administración municipal de manera generalizada y respecto del año 2019</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64B94494"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C2382D">
        <w:rPr>
          <w:rFonts w:ascii="Palatino Linotype" w:hAnsi="Palatino Linotype" w:cs="Arial"/>
          <w:sz w:val="24"/>
          <w:szCs w:val="24"/>
        </w:rPr>
        <w:t>trece de diciembre</w:t>
      </w:r>
      <w:r w:rsidR="00EB0246">
        <w:rPr>
          <w:rFonts w:ascii="Palatino Linotype" w:hAnsi="Palatino Linotype" w:cs="Arial"/>
          <w:sz w:val="24"/>
          <w:szCs w:val="24"/>
        </w:rPr>
        <w:t xml:space="preserve"> de dos </w:t>
      </w:r>
      <w:r w:rsidR="00EB0246">
        <w:rPr>
          <w:rFonts w:ascii="Palatino Linotype" w:hAnsi="Palatino Linotype" w:cs="Arial"/>
          <w:sz w:val="24"/>
          <w:szCs w:val="24"/>
        </w:rPr>
        <w:lastRenderedPageBreak/>
        <w:t>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08CC0B5C"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090733">
        <w:rPr>
          <w:rFonts w:ascii="Palatino Linotype" w:hAnsi="Palatino Linotype" w:cs="Arial"/>
          <w:sz w:val="24"/>
          <w:szCs w:val="24"/>
        </w:rPr>
        <w:t>diez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5CA99EA0"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90733">
        <w:rPr>
          <w:rFonts w:ascii="Palatino Linotype" w:hAnsi="Palatino Linotype" w:cs="Arial"/>
          <w:sz w:val="24"/>
          <w:szCs w:val="24"/>
        </w:rPr>
        <w:t>doce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w:t>
      </w:r>
      <w:r w:rsidR="00A902C6">
        <w:rPr>
          <w:rFonts w:ascii="Palatino Linotype" w:hAnsi="Palatino Linotype" w:cs="Arial"/>
          <w:sz w:val="24"/>
        </w:rPr>
        <w:lastRenderedPageBreak/>
        <w:t xml:space="preserve">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E60CF88"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14:paraId="6306932F"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E4958CE" w14:textId="77777777"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2EE08B70" w14:textId="77777777"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7520ECB"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14:paraId="220E6A0C" w14:textId="77777777"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1E072235"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77777777"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5C026283" w14:textId="744180AC"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 xml:space="preserve">“Número de cursos de asesoramiento y fomento de la ética del servicio público, se han impartido a los servidores públicos del ayuntamiento. Número de cursos de actualización y capacitación se han impartido a los servidores públicos del ayuntamiento.” </w:t>
      </w:r>
      <w:r>
        <w:rPr>
          <w:rFonts w:ascii="Palatino Linotype" w:hAnsi="Palatino Linotype"/>
          <w:sz w:val="22"/>
        </w:rPr>
        <w:t>(Sic)</w:t>
      </w:r>
    </w:p>
    <w:p w14:paraId="7D097EB8"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704F4A5C"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lastRenderedPageBreak/>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lastRenderedPageBreak/>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xml:space="preserve">, de conformidad con el artículo </w:t>
      </w:r>
      <w:r w:rsidRPr="003A13C9">
        <w:rPr>
          <w:rFonts w:ascii="Palatino Linotype" w:hAnsi="Palatino Linotype" w:cs="Arial"/>
          <w:color w:val="000000" w:themeColor="text1"/>
          <w:sz w:val="24"/>
          <w:szCs w:val="24"/>
        </w:rPr>
        <w:lastRenderedPageBreak/>
        <w:t>3, fracción XI de la Ley de Transparencia y Acceso a la Información Pública del Estado de México y Municipios, como se aprecia a continuación:</w:t>
      </w: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481F5874"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p>
    <w:p w14:paraId="759145E2"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A13C9">
        <w:rPr>
          <w:rFonts w:ascii="Palatino Linotype" w:hAnsi="Palatino Linotype" w:cs="Arial"/>
          <w:b/>
          <w:bCs/>
          <w:i/>
          <w:sz w:val="24"/>
          <w:szCs w:val="24"/>
        </w:rPr>
        <w:t>…</w:t>
      </w:r>
      <w:r w:rsidRPr="003A13C9">
        <w:rPr>
          <w:rFonts w:ascii="Palatino Linotype" w:hAnsi="Palatino Linotype" w:cs="Arial"/>
          <w:bCs/>
          <w:i/>
          <w:sz w:val="24"/>
          <w:szCs w:val="24"/>
        </w:rPr>
        <w:t>”</w:t>
      </w:r>
    </w:p>
    <w:p w14:paraId="7B3887E3"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De esta forma, es esencial establecer los supuestos que deben actualizarse para que pueda generarse la información solicitada, por lo que al tratar la solicitud a tramites, licencias y autorizaciones, debemos remitirnos primeramente a lo dispuesto en la Ley Orgánica Municipal del Estado de México, específicamente en lo que señala el artículo 48 que establece de forma general las atribuciones del Presidente Municipal:</w:t>
      </w:r>
    </w:p>
    <w:p w14:paraId="2B1936B3" w14:textId="77777777" w:rsidR="003A13C9" w:rsidRPr="003A13C9" w:rsidRDefault="003A13C9" w:rsidP="003A13C9">
      <w:pPr>
        <w:spacing w:before="240" w:line="360" w:lineRule="auto"/>
        <w:ind w:left="709" w:right="757"/>
        <w:jc w:val="both"/>
        <w:rPr>
          <w:rFonts w:ascii="Palatino Linotype" w:hAnsi="Palatino Linotype" w:cs="Arial"/>
          <w:i/>
          <w:sz w:val="24"/>
          <w:szCs w:val="24"/>
        </w:rPr>
      </w:pPr>
      <w:r w:rsidRPr="003A13C9">
        <w:rPr>
          <w:rFonts w:ascii="Palatino Linotype" w:hAnsi="Palatino Linotype" w:cs="Arial"/>
          <w:i/>
          <w:sz w:val="24"/>
          <w:szCs w:val="24"/>
        </w:rPr>
        <w:t>“</w:t>
      </w:r>
      <w:r w:rsidRPr="003A13C9">
        <w:rPr>
          <w:rFonts w:ascii="Palatino Linotype" w:hAnsi="Palatino Linotype" w:cs="Arial"/>
          <w:b/>
          <w:i/>
          <w:sz w:val="24"/>
          <w:szCs w:val="24"/>
        </w:rPr>
        <w:t>Artículo 48.- El presidente municipal tiene las siguientes atribuciones:</w:t>
      </w:r>
      <w:r w:rsidRPr="003A13C9">
        <w:rPr>
          <w:rFonts w:ascii="Palatino Linotype" w:hAnsi="Palatino Linotype" w:cs="Arial"/>
          <w:i/>
          <w:sz w:val="24"/>
          <w:szCs w:val="24"/>
        </w:rPr>
        <w:t>:</w:t>
      </w:r>
    </w:p>
    <w:p w14:paraId="15A4480B" w14:textId="77777777" w:rsidR="003A13C9" w:rsidRPr="003A13C9" w:rsidRDefault="003A13C9" w:rsidP="003A13C9">
      <w:pPr>
        <w:spacing w:before="240" w:line="360" w:lineRule="auto"/>
        <w:ind w:left="709" w:right="757"/>
        <w:jc w:val="both"/>
        <w:rPr>
          <w:rFonts w:ascii="Palatino Linotype" w:hAnsi="Palatino Linotype" w:cs="Arial"/>
          <w:i/>
          <w:sz w:val="24"/>
          <w:szCs w:val="24"/>
        </w:rPr>
      </w:pPr>
      <w:r w:rsidRPr="003A13C9">
        <w:rPr>
          <w:rFonts w:ascii="Palatino Linotype" w:hAnsi="Palatino Linotype" w:cs="Arial"/>
          <w:i/>
          <w:sz w:val="24"/>
          <w:szCs w:val="24"/>
        </w:rPr>
        <w:t>…</w:t>
      </w:r>
    </w:p>
    <w:p w14:paraId="134A929F" w14:textId="77777777" w:rsidR="003A13C9" w:rsidRPr="003A13C9" w:rsidRDefault="003A13C9" w:rsidP="003A13C9">
      <w:pPr>
        <w:spacing w:before="240" w:line="360" w:lineRule="auto"/>
        <w:ind w:left="709" w:right="757"/>
        <w:jc w:val="both"/>
        <w:rPr>
          <w:rFonts w:ascii="Palatino Linotype" w:hAnsi="Palatino Linotype" w:cs="Arial"/>
          <w:i/>
          <w:sz w:val="24"/>
          <w:szCs w:val="24"/>
        </w:rPr>
      </w:pPr>
      <w:r w:rsidRPr="003A13C9">
        <w:rPr>
          <w:rFonts w:ascii="Palatino Linotype" w:hAnsi="Palatino Linotype" w:cs="Arial"/>
          <w:i/>
          <w:sz w:val="24"/>
          <w:szCs w:val="24"/>
        </w:rPr>
        <w:lastRenderedPageBreak/>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0417CA35"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sz w:val="24"/>
          <w:szCs w:val="24"/>
        </w:rPr>
        <w:t>De tal forma que el</w:t>
      </w:r>
      <w:r w:rsidRPr="003A13C9">
        <w:rPr>
          <w:rFonts w:ascii="Palatino Linotype" w:hAnsi="Palatino Linotype" w:cs="Arial"/>
          <w:color w:val="000000" w:themeColor="text1"/>
          <w:sz w:val="24"/>
          <w:szCs w:val="24"/>
        </w:rPr>
        <w:t xml:space="preserve"> artículo 48, fracción XVII de la Ley Orgánica Municipal del Estado de México establece que el Presidente Municipal se encuentra obligado a promover el desarrollo institucional del Ayuntamiento, entendido como el conjunto de acciones sistemáticas que hagan más eficiente la administración pública municipal </w:t>
      </w:r>
      <w:r w:rsidRPr="003A13C9">
        <w:rPr>
          <w:rFonts w:ascii="Palatino Linotype" w:hAnsi="Palatino Linotype" w:cs="Arial"/>
          <w:b/>
          <w:color w:val="000000" w:themeColor="text1"/>
          <w:sz w:val="24"/>
          <w:szCs w:val="24"/>
        </w:rPr>
        <w:t>mediante la capacitación y profesionalización de los servidores públicos municipales</w:t>
      </w:r>
      <w:r w:rsidRPr="003A13C9">
        <w:rPr>
          <w:rFonts w:ascii="Palatino Linotype" w:hAnsi="Palatino Linotype" w:cs="Arial"/>
          <w:color w:val="000000" w:themeColor="text1"/>
          <w:sz w:val="24"/>
          <w:szCs w:val="24"/>
        </w:rPr>
        <w:t>, la elaboración de planes y programas de mejora administrativa, el uso de tecnologías de información y comunicación en las áreas de la gestión, implantación de indicadores del desempeño o de eficiencia en el gasto público, entre otros de la misma naturaleza, siendo importante precisar que los resultados de las acciones implementadas deben formar parte del informe anual que emite el Edil.</w:t>
      </w:r>
    </w:p>
    <w:p w14:paraId="7F73DE3B"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r w:rsidRPr="003A13C9">
        <w:rPr>
          <w:rFonts w:ascii="Palatino Linotype" w:hAnsi="Palatino Linotype" w:cs="Arial"/>
          <w:color w:val="000000" w:themeColor="text1"/>
        </w:rPr>
        <w:t xml:space="preserve">Asimismo, el diverso artículo 145 de la Ley Orgánica Municipal del Estado de México dispone que en cada municipio debe establecerse un sistema de mérito y reconocimiento al servicio público municipal con los siguientes objetivos: (i) mejorar la capacidad de los recursos humanos, estimulados por la capacitación o motivación </w:t>
      </w:r>
      <w:r w:rsidRPr="003A13C9">
        <w:rPr>
          <w:rFonts w:ascii="Palatino Linotype" w:hAnsi="Palatino Linotype" w:cs="Arial"/>
          <w:color w:val="000000" w:themeColor="text1"/>
        </w:rPr>
        <w:lastRenderedPageBreak/>
        <w:t>de los servidores públicos municipales; (ii) mejorar la calidad de los servicios públicos; y, (iii) desarrollar un sistema efectivo de capacitación y desarrollo.</w:t>
      </w:r>
    </w:p>
    <w:p w14:paraId="6E1750F5"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r w:rsidRPr="003A13C9">
        <w:rPr>
          <w:rFonts w:ascii="Palatino Linotype" w:hAnsi="Palatino Linotype" w:cs="Arial"/>
          <w:color w:val="000000" w:themeColor="text1"/>
        </w:rPr>
        <w:t>Por su parte, el diverso artículo 147 de la Legislación en cita dicta que la Comisión Municipal de Evaluación y Reconocimiento del Servicio Público Municipal debe diseñar y operar un sistema de méritos y reconocimientos a la función pública en áreas técnicas; aplicar exámenes de oposición a los candidatos a ocupar los puestos en áreas técnicas; emitir dictámenes sobre el desempeño de los servidores públicos de áreas técnicas; celebrar evaluaciones cada seis meses a los servidores públicos de áreas técnicas; llevar un expediente individual de cada una de las personas que colaboran en la Administración Pública Municipal de manera permanente, donde consten los aspectos de las fracciones anteriores para la promoción y desarrollo del personal; y, promover la capacitación y especialización permanente del personal que labora en las áreas técnicas.</w:t>
      </w:r>
    </w:p>
    <w:p w14:paraId="32503DBA"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r w:rsidRPr="003A13C9">
        <w:rPr>
          <w:rFonts w:ascii="Palatino Linotype" w:hAnsi="Palatino Linotype" w:cs="Arial"/>
          <w:color w:val="000000" w:themeColor="text1"/>
        </w:rPr>
        <w:t xml:space="preserve">En otro sentido, es de señalarse que la Ley de Responsabilidades Administrativas del Estado de México y Municipios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14:paraId="4B5CC975"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p>
    <w:p w14:paraId="1CA918BA" w14:textId="25D852D2"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r w:rsidRPr="003A13C9">
        <w:rPr>
          <w:rFonts w:ascii="Palatino Linotype" w:hAnsi="Palatino Linotype" w:cs="Arial"/>
          <w:color w:val="000000" w:themeColor="text1"/>
        </w:rPr>
        <w:t xml:space="preserve">En esa virtud, el artículo 2, fracción V de dicha legislación establece como objeto de Ley, el crear las bases para que todo ente público establezca políticas eficaces de ética </w:t>
      </w:r>
      <w:r w:rsidRPr="003A13C9">
        <w:rPr>
          <w:rFonts w:ascii="Palatino Linotype" w:hAnsi="Palatino Linotype" w:cs="Arial"/>
          <w:color w:val="000000" w:themeColor="text1"/>
        </w:rPr>
        <w:lastRenderedPageBreak/>
        <w:t>pública y responsabilidad en el servicio público; mientras que el diverso artículo 16 establece que 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 en coordinación con lo dispuesto en la Ley del Sistema.</w:t>
      </w:r>
    </w:p>
    <w:p w14:paraId="1E265C22"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r w:rsidRPr="003A13C9">
        <w:rPr>
          <w:rFonts w:ascii="Palatino Linotype" w:hAnsi="Palatino Linotype" w:cs="Arial"/>
          <w:color w:val="000000" w:themeColor="text1"/>
        </w:rPr>
        <w:t>Así las cosas, el artículo 17 de la Ley de Responsabilidades Administrativas del Estado de México y Municipios dispone que los servidores públicos deben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deben hacerse del conocimiento de sus servidores públicos; así como, darle la máxima publicidad.</w:t>
      </w:r>
    </w:p>
    <w:p w14:paraId="37F7A45E"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cs="Arial"/>
          <w:color w:val="000000" w:themeColor="text1"/>
        </w:rPr>
      </w:pPr>
      <w:r w:rsidRPr="003A13C9">
        <w:rPr>
          <w:rFonts w:ascii="Palatino Linotype" w:hAnsi="Palatino Linotype" w:cs="Arial"/>
          <w:color w:val="000000" w:themeColor="text1"/>
        </w:rPr>
        <w:t>En atención a ello, el diverso artículo 18 de la Legislación en cita prevé que los órganos internos de control deben evaluar anualmente el resultado de las acciones específicas que hayan implementado y proponer en su caso, las modificaciones que resulten procedentes, informando de ello a la Secretaría de la Contraloría, o al Presidente Municipal, en los términos que éstos dispongan.</w:t>
      </w:r>
    </w:p>
    <w:p w14:paraId="148937A1" w14:textId="77777777" w:rsidR="003A13C9" w:rsidRPr="003A13C9" w:rsidRDefault="003A13C9" w:rsidP="003A13C9">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rPr>
      </w:pPr>
      <w:r w:rsidRPr="003A13C9">
        <w:rPr>
          <w:rFonts w:ascii="Palatino Linotype" w:hAnsi="Palatino Linotype" w:cs="Arial"/>
          <w:color w:val="000000" w:themeColor="text1"/>
        </w:rPr>
        <w:t>En esa virtud,</w:t>
      </w:r>
      <w:r w:rsidRPr="003A13C9">
        <w:rPr>
          <w:rFonts w:ascii="Palatino Linotype" w:hAnsi="Palatino Linotype"/>
        </w:rPr>
        <w:t xml:space="preserve"> ante la fuente obligacional descrita en los párrafos que anteceden, los artículos 18 y 19 de la Ley de Transparencia y Acceso a la Información Pública del </w:t>
      </w:r>
      <w:r w:rsidRPr="003A13C9">
        <w:rPr>
          <w:rFonts w:ascii="Palatino Linotype" w:hAnsi="Palatino Linotype"/>
        </w:rPr>
        <w:lastRenderedPageBreak/>
        <w:t xml:space="preserve">Estado de México y Municipios establecen que los sujetos obligados deben documentar todo acto que derive del ejercicio de sus facultades, competencias o funciones y que se presume que la información debe existir si se refiere a dichas facultades, competencias y/o funciones. Por ello, esta Ponencia Resolutora estima que </w:t>
      </w:r>
      <w:r w:rsidRPr="003A13C9">
        <w:rPr>
          <w:rFonts w:ascii="Palatino Linotype" w:hAnsi="Palatino Linotype"/>
          <w:b/>
        </w:rPr>
        <w:t>EL SUJETO OBLIGADO</w:t>
      </w:r>
      <w:r w:rsidRPr="003A13C9">
        <w:rPr>
          <w:rFonts w:ascii="Palatino Linotype" w:hAnsi="Palatino Linotype"/>
        </w:rPr>
        <w:t xml:space="preserve"> cuenta con documentos mediante los cuales puede satisfacer la solicitud de acceso a la información pública, los cuales debe entregar en </w:t>
      </w:r>
      <w:r w:rsidRPr="003A13C9">
        <w:rPr>
          <w:rFonts w:ascii="Palatino Linotype" w:hAnsi="Palatino Linotype"/>
          <w:b/>
        </w:rPr>
        <w:t>versión pública</w:t>
      </w:r>
      <w:r w:rsidRPr="003A13C9">
        <w:rPr>
          <w:rFonts w:ascii="Palatino Linotype" w:hAnsi="Palatino Linotype"/>
        </w:rPr>
        <w:t xml:space="preserve"> de ser procedente.</w:t>
      </w:r>
    </w:p>
    <w:p w14:paraId="0FF24A23" w14:textId="77777777" w:rsidR="003A13C9" w:rsidRPr="003A13C9" w:rsidRDefault="003A13C9" w:rsidP="003A13C9">
      <w:pPr>
        <w:ind w:right="757"/>
        <w:jc w:val="both"/>
        <w:rPr>
          <w:rFonts w:ascii="Palatino Linotype" w:hAnsi="Palatino Linotype" w:cs="Arial"/>
          <w:i/>
        </w:rPr>
      </w:pPr>
    </w:p>
    <w:p w14:paraId="74F6F898"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14:paraId="41ABCE0A"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w:t>
      </w:r>
      <w:r w:rsidRPr="00BF2F26">
        <w:rPr>
          <w:rFonts w:ascii="Palatino Linotype" w:eastAsia="Calibri" w:hAnsi="Palatino Linotype" w:cs="Arial"/>
          <w:sz w:val="24"/>
        </w:rPr>
        <w:lastRenderedPageBreak/>
        <w:t>rendición de cuentas y a la transparencia en el ejercicio de las atribuciones que tienen conferidas.</w:t>
      </w:r>
    </w:p>
    <w:p w14:paraId="27809DE9"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C77DFD">
        <w:rPr>
          <w:rFonts w:ascii="Palatino Linotype" w:hAnsi="Palatino Linotype"/>
          <w:sz w:val="24"/>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072031D5"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3A13C9" w:rsidRPr="00C2382D">
        <w:rPr>
          <w:rFonts w:ascii="Palatino Linotype" w:hAnsi="Palatino Linotype" w:cs="Arial"/>
          <w:b/>
          <w:sz w:val="24"/>
        </w:rPr>
        <w:t>00057/ISIFABE/IP/2019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4511F36F" w14:textId="77777777" w:rsidR="00FE43D2" w:rsidRDefault="00FE43D2" w:rsidP="00A27459">
      <w:pPr>
        <w:spacing w:before="240" w:line="360" w:lineRule="auto"/>
        <w:jc w:val="both"/>
        <w:rPr>
          <w:rFonts w:ascii="Palatino Linotype" w:hAnsi="Palatino Linotype" w:cs="Arial"/>
          <w:sz w:val="24"/>
        </w:rPr>
      </w:pPr>
    </w:p>
    <w:p w14:paraId="5CB4C0FD" w14:textId="72B1442D"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1591690A" w14:textId="77777777" w:rsidR="009C2C84" w:rsidRDefault="009C2C84" w:rsidP="00A27459">
      <w:pPr>
        <w:spacing w:before="240" w:line="360" w:lineRule="auto"/>
        <w:jc w:val="center"/>
        <w:rPr>
          <w:rFonts w:ascii="Palatino Linotype" w:eastAsia="Times New Roman" w:hAnsi="Palatino Linotype"/>
          <w:b/>
          <w:bCs/>
          <w:spacing w:val="60"/>
          <w:sz w:val="28"/>
          <w:lang w:val="es-ES_tradnl"/>
        </w:rPr>
      </w:pPr>
    </w:p>
    <w:p w14:paraId="1D5C97AF" w14:textId="06776467" w:rsidR="00240EC2" w:rsidRDefault="00A27459" w:rsidP="00537EA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00875571">
        <w:rPr>
          <w:rFonts w:ascii="Palatino Linotype" w:hAnsi="Palatino Linotype" w:cs="Arial"/>
          <w:b/>
          <w:sz w:val="24"/>
          <w:szCs w:val="24"/>
        </w:rPr>
        <w:t>Cuarto</w:t>
      </w:r>
      <w:r>
        <w:rPr>
          <w:rFonts w:ascii="Palatino Linotype" w:hAnsi="Palatino Linotype" w:cs="Arial"/>
          <w:sz w:val="24"/>
          <w:szCs w:val="24"/>
        </w:rPr>
        <w:t>, de la presente resolución.</w:t>
      </w:r>
    </w:p>
    <w:p w14:paraId="2D5366A3" w14:textId="77777777" w:rsidR="009C2C84" w:rsidRDefault="009C2C84" w:rsidP="00537EA8">
      <w:pPr>
        <w:tabs>
          <w:tab w:val="left" w:pos="8647"/>
        </w:tabs>
        <w:spacing w:before="240" w:line="360" w:lineRule="auto"/>
        <w:ind w:right="51"/>
        <w:jc w:val="both"/>
        <w:rPr>
          <w:rFonts w:ascii="Palatino Linotype" w:hAnsi="Palatino Linotype" w:cs="Arial"/>
          <w:sz w:val="24"/>
          <w:szCs w:val="24"/>
        </w:rPr>
      </w:pPr>
    </w:p>
    <w:p w14:paraId="0433CC06" w14:textId="3F4F3567" w:rsidR="0042338B"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3A13C9" w:rsidRPr="00C2382D">
        <w:rPr>
          <w:rFonts w:ascii="Palatino Linotype" w:hAnsi="Palatino Linotype" w:cs="Arial"/>
          <w:b/>
          <w:sz w:val="24"/>
        </w:rPr>
        <w:t>00057/ISIFABE/IP/2019</w:t>
      </w:r>
      <w:r w:rsidR="006F001B">
        <w:rPr>
          <w:rFonts w:ascii="Palatino Linotype" w:hAnsi="Palatino Linotype" w:cs="Arial"/>
          <w:b/>
          <w:sz w:val="24"/>
        </w:rPr>
        <w:t xml:space="preserve">, </w:t>
      </w:r>
      <w:r w:rsidR="009C2C84" w:rsidRPr="009C2C84">
        <w:rPr>
          <w:rFonts w:ascii="Palatino Linotype" w:hAnsi="Palatino Linotype" w:cs="Arial"/>
          <w:sz w:val="24"/>
          <w:szCs w:val="24"/>
        </w:rPr>
        <w:t xml:space="preserve">y haga entrega en su caso de la información </w:t>
      </w:r>
      <w:r w:rsidR="009C2C84" w:rsidRPr="009C2C84">
        <w:rPr>
          <w:rFonts w:ascii="Palatino Linotype" w:hAnsi="Palatino Linotype" w:cs="Arial"/>
          <w:sz w:val="24"/>
          <w:szCs w:val="24"/>
        </w:rPr>
        <w:lastRenderedPageBreak/>
        <w:t>solicitada, en términos del considerando cuarto de esta resolución, vía Sistema de Acceso a la Información Mexiquense (SAIMEX).</w:t>
      </w:r>
    </w:p>
    <w:p w14:paraId="5CC07A12" w14:textId="77777777" w:rsidR="009C2C84" w:rsidRDefault="009C2C84" w:rsidP="00537EA8">
      <w:pPr>
        <w:tabs>
          <w:tab w:val="left" w:pos="8647"/>
        </w:tabs>
        <w:spacing w:before="240" w:line="360" w:lineRule="auto"/>
        <w:ind w:right="51"/>
        <w:jc w:val="both"/>
        <w:rPr>
          <w:rFonts w:ascii="Palatino Linotype" w:hAnsi="Palatino Linotype" w:cs="Arial"/>
          <w:sz w:val="24"/>
          <w:lang w:eastAsia="es-MX"/>
        </w:rPr>
      </w:pPr>
    </w:p>
    <w:p w14:paraId="34752449" w14:textId="5F17F395" w:rsidR="00A27459"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00CF21E5" w:rsidRPr="00226C6A">
        <w:rPr>
          <w:rFonts w:ascii="Palatino Linotype" w:hAnsi="Palatino Linotype" w:cs="Arial"/>
          <w:b/>
          <w:sz w:val="24"/>
          <w:szCs w:val="24"/>
        </w:rPr>
        <w:t>Notifíquese</w:t>
      </w:r>
      <w:r w:rsidR="00CF21E5"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4E87C50" w14:textId="77777777" w:rsidR="009C2C84" w:rsidRDefault="009C2C84" w:rsidP="00537EA8">
      <w:pPr>
        <w:tabs>
          <w:tab w:val="left" w:pos="8647"/>
        </w:tabs>
        <w:spacing w:before="240" w:line="360" w:lineRule="auto"/>
        <w:ind w:right="51"/>
        <w:jc w:val="both"/>
        <w:rPr>
          <w:rFonts w:ascii="Palatino Linotype" w:hAnsi="Palatino Linotype" w:cs="Arial"/>
          <w:sz w:val="24"/>
          <w:szCs w:val="24"/>
        </w:rPr>
      </w:pPr>
    </w:p>
    <w:p w14:paraId="0CFDE69B" w14:textId="55F5D317" w:rsidR="00CF21E5" w:rsidRDefault="00A27459" w:rsidP="00537EA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CF21E5" w:rsidRPr="00D24D81">
        <w:rPr>
          <w:rFonts w:ascii="Palatino Linotype" w:hAnsi="Palatino Linotype" w:cs="Arial"/>
          <w:b/>
          <w:bCs/>
          <w:sz w:val="24"/>
          <w:szCs w:val="24"/>
        </w:rPr>
        <w:t>Notifíquese</w:t>
      </w:r>
      <w:r w:rsidR="00CF21E5" w:rsidRPr="00D24D81">
        <w:rPr>
          <w:rFonts w:ascii="Palatino Linotype" w:hAnsi="Palatino Linotype" w:cs="Arial"/>
        </w:rPr>
        <w:t xml:space="preserve"> </w:t>
      </w:r>
      <w:r w:rsidR="00D24D81">
        <w:rPr>
          <w:rFonts w:ascii="Palatino Linotype" w:hAnsi="Palatino Linotype" w:cs="Arial"/>
          <w:sz w:val="24"/>
          <w:szCs w:val="24"/>
        </w:rPr>
        <w:t>la resolución al recurrente</w:t>
      </w:r>
      <w:r w:rsidR="00537EA8">
        <w:rPr>
          <w:rFonts w:ascii="Palatino Linotype" w:hAnsi="Palatino Linotype" w:cs="Arial"/>
          <w:sz w:val="24"/>
          <w:szCs w:val="24"/>
        </w:rPr>
        <w:t xml:space="preserve"> y h</w:t>
      </w:r>
      <w:r w:rsidR="00537EA8" w:rsidRPr="00537EA8">
        <w:rPr>
          <w:rFonts w:ascii="Palatino Linotype" w:hAnsi="Palatino Linotype" w:cs="Arial"/>
          <w:sz w:val="24"/>
          <w:szCs w:val="24"/>
        </w:rPr>
        <w:t xml:space="preserve">ágasele del conocimiento </w:t>
      </w:r>
      <w:r w:rsidR="00537EA8">
        <w:rPr>
          <w:rFonts w:ascii="Palatino Linotype" w:hAnsi="Palatino Linotype" w:cs="Arial"/>
          <w:sz w:val="24"/>
          <w:szCs w:val="24"/>
        </w:rPr>
        <w:t>que</w:t>
      </w:r>
      <w:r w:rsidR="00537EA8"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B004E0" w14:textId="77777777" w:rsidR="009C2C84" w:rsidRDefault="009C2C84" w:rsidP="00537EA8">
      <w:pPr>
        <w:autoSpaceDE w:val="0"/>
        <w:autoSpaceDN w:val="0"/>
        <w:adjustRightInd w:val="0"/>
        <w:spacing w:before="240" w:line="360" w:lineRule="auto"/>
        <w:jc w:val="both"/>
        <w:rPr>
          <w:rFonts w:ascii="Palatino Linotype" w:hAnsi="Palatino Linotype" w:cs="Arial"/>
          <w:sz w:val="24"/>
          <w:szCs w:val="24"/>
        </w:rPr>
      </w:pPr>
    </w:p>
    <w:p w14:paraId="038472DF" w14:textId="77777777" w:rsidR="00A27459" w:rsidRDefault="00CF21E5"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00537EA8" w:rsidRPr="00CF21E5">
        <w:rPr>
          <w:rFonts w:ascii="Palatino Linotype" w:eastAsia="MS Mincho" w:hAnsi="Palatino Linotype" w:cs="Times New Roman"/>
          <w:b/>
          <w:bCs/>
          <w:sz w:val="24"/>
          <w:szCs w:val="24"/>
          <w:lang w:val="es-ES_tradnl" w:eastAsia="es-ES"/>
        </w:rPr>
        <w:t>Gírese</w:t>
      </w:r>
      <w:r w:rsidR="00537EA8" w:rsidRPr="00E93981">
        <w:rPr>
          <w:rFonts w:ascii="Palatino Linotype" w:eastAsia="MS Mincho" w:hAnsi="Palatino Linotype" w:cs="Times New Roman"/>
          <w:sz w:val="24"/>
          <w:szCs w:val="24"/>
          <w:lang w:val="es-ES_tradnl" w:eastAsia="es-ES"/>
        </w:rPr>
        <w:t xml:space="preserve"> oficio al Contralor Interno y Órgano </w:t>
      </w:r>
      <w:r w:rsidR="00537EA8"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537EA8">
        <w:rPr>
          <w:rFonts w:ascii="Palatino Linotype" w:eastAsia="MS Mincho" w:hAnsi="Palatino Linotype" w:cs="Times New Roman"/>
          <w:b/>
          <w:sz w:val="24"/>
          <w:szCs w:val="24"/>
          <w:lang w:val="es-ES_tradnl" w:eastAsia="es-ES"/>
        </w:rPr>
        <w:t>cuarto</w:t>
      </w:r>
      <w:r w:rsidR="00537EA8">
        <w:rPr>
          <w:rFonts w:ascii="Palatino Linotype" w:eastAsia="MS Mincho" w:hAnsi="Palatino Linotype" w:cs="Times New Roman"/>
          <w:sz w:val="24"/>
          <w:szCs w:val="24"/>
          <w:lang w:val="es-ES_tradnl" w:eastAsia="es-ES"/>
        </w:rPr>
        <w:t>.</w:t>
      </w:r>
    </w:p>
    <w:p w14:paraId="1BC024D6" w14:textId="77777777" w:rsidR="007C3E68" w:rsidRPr="005F2890" w:rsidRDefault="007C3E68" w:rsidP="007C3E68">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lastRenderedPageBreak/>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B378F16" w14:textId="77777777" w:rsidR="007348F5" w:rsidRDefault="007348F5" w:rsidP="00537EA8">
      <w:pPr>
        <w:autoSpaceDE w:val="0"/>
        <w:autoSpaceDN w:val="0"/>
        <w:adjustRightInd w:val="0"/>
        <w:spacing w:before="240" w:line="360" w:lineRule="auto"/>
        <w:jc w:val="both"/>
        <w:rPr>
          <w:rFonts w:ascii="Palatino Linotype" w:hAnsi="Palatino Linotype" w:cs="Arial"/>
          <w:sz w:val="24"/>
          <w:szCs w:val="24"/>
        </w:rPr>
      </w:pPr>
    </w:p>
    <w:p w14:paraId="52AA6665" w14:textId="0A214188" w:rsidR="00DE20E1" w:rsidRDefault="00673F66" w:rsidP="00673F6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UNANIMIDAD DE VOTOS </w:t>
      </w:r>
      <w:r w:rsidR="00DE20E1">
        <w:rPr>
          <w:rFonts w:ascii="Palatino Linotype" w:hAnsi="Palatino Linotype" w:cs="Arial"/>
          <w:sz w:val="24"/>
          <w:szCs w:val="24"/>
        </w:rPr>
        <w:t xml:space="preserve">DE LOS PRESENTES </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7348F5">
        <w:rPr>
          <w:rFonts w:ascii="Palatino Linotype" w:hAnsi="Palatino Linotype" w:cs="Arial"/>
          <w:sz w:val="24"/>
          <w:szCs w:val="24"/>
        </w:rPr>
        <w:t xml:space="preserve">SÉPTIMA SESIÓN ORDINARIA CELEBRADA EL </w:t>
      </w:r>
      <w:r w:rsidR="00934EC4">
        <w:rPr>
          <w:rFonts w:ascii="Palatino Linotype" w:hAnsi="Palatino Linotype" w:cs="Arial"/>
          <w:sz w:val="24"/>
          <w:szCs w:val="24"/>
        </w:rPr>
        <w:t>VEINTISÉIS DE FEBRERO DE DOS MIL VEINTE</w:t>
      </w:r>
      <w:r>
        <w:rPr>
          <w:rFonts w:ascii="Palatino Linotype" w:hAnsi="Palatino Linotype" w:cs="Arial"/>
          <w:sz w:val="24"/>
          <w:szCs w:val="24"/>
        </w:rPr>
        <w:t>, ANTE EL SECRETARIO TÉCNICO DEL PLENO, ALEXIS TAPIA RAMÍREZ.--------------------</w:t>
      </w:r>
      <w:r w:rsidR="009C2C84">
        <w:rPr>
          <w:rFonts w:ascii="Palatino Linotype" w:hAnsi="Palatino Linotype" w:cs="Arial"/>
          <w:sz w:val="24"/>
          <w:szCs w:val="24"/>
        </w:rPr>
        <w:t>----------------------------------------------------------------------------------------------------------------------------------------------------------------------------------------------------------------------------------------------------------------------------------------------------------------------------------------------------------------------------------------------------------------------------------------------------------------------------------------------------------------------------------------------------------------------------------------------------------------------------------------------------------------------------------------------------------------------------------------------------------------------------------------------------------------------------------------------------------------------------------------------------------------------------------------</w:t>
      </w:r>
      <w:r w:rsidR="00934EC4">
        <w:rPr>
          <w:rFonts w:ascii="Palatino Linotype" w:hAnsi="Palatino Linotype" w:cs="Arial"/>
          <w:sz w:val="24"/>
          <w:szCs w:val="24"/>
        </w:rPr>
        <w:t>------------------------------------------------------------------------------</w:t>
      </w:r>
    </w:p>
    <w:p w14:paraId="14C292BE" w14:textId="77777777" w:rsidR="00934EC4" w:rsidRDefault="00934EC4" w:rsidP="00673F66">
      <w:pPr>
        <w:spacing w:before="240"/>
        <w:jc w:val="both"/>
        <w:rPr>
          <w:rFonts w:ascii="Palatino Linotype" w:hAnsi="Palatino Linotype"/>
        </w:rPr>
      </w:pPr>
    </w:p>
    <w:p w14:paraId="6E01F017" w14:textId="77777777" w:rsidR="00673F66" w:rsidRDefault="00673F66" w:rsidP="00673F6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1552" behindDoc="0" locked="0" layoutInCell="1" allowOverlap="1" wp14:anchorId="276CFA50" wp14:editId="1ACBA8FB">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C74E35"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A100478"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38858CB"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6CFA50"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05C74E35"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A100478"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638858CB"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B648662" w14:textId="77777777" w:rsidR="00673F66" w:rsidRPr="00D54B7D" w:rsidRDefault="00673F66" w:rsidP="00673F66">
      <w:pPr>
        <w:spacing w:before="240"/>
        <w:jc w:val="both"/>
        <w:rPr>
          <w:rFonts w:ascii="Palatino Linotype" w:hAnsi="Palatino Linotype"/>
        </w:rPr>
      </w:pPr>
    </w:p>
    <w:p w14:paraId="3A844A53" w14:textId="77777777" w:rsidR="00673F66" w:rsidRPr="00D54B7D" w:rsidRDefault="00673F66" w:rsidP="00673F66">
      <w:pPr>
        <w:spacing w:before="240"/>
        <w:jc w:val="center"/>
        <w:rPr>
          <w:rFonts w:ascii="Palatino Linotype" w:hAnsi="Palatino Linotype"/>
        </w:rPr>
      </w:pPr>
    </w:p>
    <w:p w14:paraId="00241B23" w14:textId="77777777" w:rsidR="00673F66" w:rsidRDefault="00673F66" w:rsidP="00673F66">
      <w:pPr>
        <w:spacing w:before="240"/>
        <w:rPr>
          <w:rFonts w:ascii="Palatino Linotype" w:hAnsi="Palatino Linotype"/>
          <w:b/>
        </w:rPr>
      </w:pPr>
    </w:p>
    <w:p w14:paraId="0431BE0C" w14:textId="77777777" w:rsidR="00673F66" w:rsidRDefault="00673F66" w:rsidP="00673F66">
      <w:pPr>
        <w:spacing w:before="240"/>
        <w:rPr>
          <w:rFonts w:ascii="Palatino Linotype" w:hAnsi="Palatino Linotype"/>
          <w:b/>
        </w:rPr>
      </w:pPr>
    </w:p>
    <w:p w14:paraId="03548BE9" w14:textId="77777777" w:rsidR="00673F66" w:rsidRDefault="00673F66" w:rsidP="00673F6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121E5777" wp14:editId="310E1F23">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40F39C"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FCE9C5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506D6D" w14:textId="440675F8" w:rsidR="00673F66" w:rsidRDefault="00934EC4" w:rsidP="00673F66">
                            <w:pPr>
                              <w:spacing w:line="240" w:lineRule="auto"/>
                              <w:jc w:val="center"/>
                              <w:rPr>
                                <w:rFonts w:ascii="Palatino Linotype" w:hAnsi="Palatino Linotype"/>
                                <w:sz w:val="24"/>
                                <w:szCs w:val="24"/>
                              </w:rPr>
                            </w:pPr>
                            <w:r>
                              <w:rPr>
                                <w:rFonts w:ascii="Palatino Linotype" w:hAnsi="Palatino Linotype"/>
                                <w:sz w:val="24"/>
                                <w:szCs w:val="24"/>
                              </w:rPr>
                              <w:t>(Rúbrica</w:t>
                            </w:r>
                            <w:r w:rsidR="00673F66">
                              <w:rPr>
                                <w:rFonts w:ascii="Palatino Linotype" w:hAnsi="Palatino Linotype"/>
                                <w:sz w:val="24"/>
                                <w:szCs w:val="24"/>
                              </w:rPr>
                              <w:t>)</w:t>
                            </w:r>
                          </w:p>
                          <w:p w14:paraId="2C82D4CD" w14:textId="77777777" w:rsidR="00673F66" w:rsidRDefault="00673F66" w:rsidP="00673F66">
                            <w:pPr>
                              <w:spacing w:line="240" w:lineRule="auto"/>
                              <w:jc w:val="center"/>
                              <w:rPr>
                                <w:rFonts w:ascii="Palatino Linotype" w:hAnsi="Palatino Linotype"/>
                                <w:sz w:val="24"/>
                                <w:szCs w:val="24"/>
                              </w:rPr>
                            </w:pPr>
                          </w:p>
                          <w:p w14:paraId="322A8D06" w14:textId="77777777" w:rsidR="00673F66" w:rsidRPr="00797B31" w:rsidRDefault="00673F66" w:rsidP="00673F6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E5777" id="Cuadro de texto 35" o:spid="_x0000_s1027" type="#_x0000_t202" style="position:absolute;margin-left:149.05pt;margin-top:.9pt;width:200.25pt;height:73.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D40F39C"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FCE9C5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506D6D" w14:textId="440675F8" w:rsidR="00673F66" w:rsidRDefault="00934EC4" w:rsidP="00673F66">
                      <w:pPr>
                        <w:spacing w:line="240" w:lineRule="auto"/>
                        <w:jc w:val="center"/>
                        <w:rPr>
                          <w:rFonts w:ascii="Palatino Linotype" w:hAnsi="Palatino Linotype"/>
                          <w:sz w:val="24"/>
                          <w:szCs w:val="24"/>
                        </w:rPr>
                      </w:pPr>
                      <w:r>
                        <w:rPr>
                          <w:rFonts w:ascii="Palatino Linotype" w:hAnsi="Palatino Linotype"/>
                          <w:sz w:val="24"/>
                          <w:szCs w:val="24"/>
                        </w:rPr>
                        <w:t>(Rúbrica</w:t>
                      </w:r>
                      <w:r w:rsidR="00673F66">
                        <w:rPr>
                          <w:rFonts w:ascii="Palatino Linotype" w:hAnsi="Palatino Linotype"/>
                          <w:sz w:val="24"/>
                          <w:szCs w:val="24"/>
                        </w:rPr>
                        <w:t>)</w:t>
                      </w:r>
                    </w:p>
                    <w:p w14:paraId="2C82D4CD" w14:textId="77777777" w:rsidR="00673F66" w:rsidRDefault="00673F66" w:rsidP="00673F66">
                      <w:pPr>
                        <w:spacing w:line="240" w:lineRule="auto"/>
                        <w:jc w:val="center"/>
                        <w:rPr>
                          <w:rFonts w:ascii="Palatino Linotype" w:hAnsi="Palatino Linotype"/>
                          <w:sz w:val="24"/>
                          <w:szCs w:val="24"/>
                        </w:rPr>
                      </w:pPr>
                    </w:p>
                    <w:p w14:paraId="322A8D06" w14:textId="77777777" w:rsidR="00673F66" w:rsidRPr="00797B31" w:rsidRDefault="00673F66" w:rsidP="00673F6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05CD5052" wp14:editId="308EFBA8">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D2573E"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2169D206"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73AAE441"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7E0374AA" w14:textId="77777777" w:rsidR="00673F66" w:rsidRPr="00EF2FC0" w:rsidRDefault="00673F66" w:rsidP="00673F66">
                            <w:pPr>
                              <w:jc w:val="center"/>
                              <w:rPr>
                                <w:rFonts w:ascii="Palatino Linotype" w:hAnsi="Palatino Linotype"/>
                                <w:sz w:val="24"/>
                                <w:szCs w:val="24"/>
                              </w:rPr>
                            </w:pPr>
                          </w:p>
                          <w:p w14:paraId="659FA30E" w14:textId="77777777" w:rsidR="00673F66" w:rsidRDefault="00673F66" w:rsidP="00673F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D5052" id="Cuadro de texto 22" o:spid="_x0000_s1028" type="#_x0000_t202" style="position:absolute;margin-left:0;margin-top:1.65pt;width:153pt;height:78.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75D2573E"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2169D206"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73AAE441"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7E0374AA" w14:textId="77777777" w:rsidR="00673F66" w:rsidRPr="00EF2FC0" w:rsidRDefault="00673F66" w:rsidP="00673F66">
                      <w:pPr>
                        <w:jc w:val="center"/>
                        <w:rPr>
                          <w:rFonts w:ascii="Palatino Linotype" w:hAnsi="Palatino Linotype"/>
                          <w:sz w:val="24"/>
                          <w:szCs w:val="24"/>
                        </w:rPr>
                      </w:pPr>
                    </w:p>
                    <w:p w14:paraId="659FA30E" w14:textId="77777777" w:rsidR="00673F66" w:rsidRDefault="00673F66" w:rsidP="00673F66">
                      <w:pPr>
                        <w:jc w:val="center"/>
                      </w:pPr>
                    </w:p>
                  </w:txbxContent>
                </v:textbox>
                <w10:wrap anchorx="margin"/>
              </v:shape>
            </w:pict>
          </mc:Fallback>
        </mc:AlternateContent>
      </w:r>
    </w:p>
    <w:p w14:paraId="5D88184F" w14:textId="77777777" w:rsidR="00673F66" w:rsidRPr="00D54B7D" w:rsidRDefault="00673F66" w:rsidP="00673F66">
      <w:pPr>
        <w:spacing w:before="240"/>
        <w:rPr>
          <w:rFonts w:ascii="Palatino Linotype" w:hAnsi="Palatino Linotype"/>
          <w:b/>
        </w:rPr>
      </w:pPr>
    </w:p>
    <w:p w14:paraId="49197E3D" w14:textId="77777777" w:rsidR="00673F66" w:rsidRPr="00D54B7D" w:rsidRDefault="00673F66" w:rsidP="00673F66">
      <w:pPr>
        <w:spacing w:before="240"/>
        <w:rPr>
          <w:rFonts w:ascii="Palatino Linotype" w:hAnsi="Palatino Linotype"/>
          <w:b/>
        </w:rPr>
      </w:pPr>
    </w:p>
    <w:p w14:paraId="720CB755" w14:textId="77777777" w:rsidR="00673F66" w:rsidRDefault="00673F66" w:rsidP="00673F66">
      <w:pPr>
        <w:spacing w:before="240"/>
        <w:rPr>
          <w:rFonts w:ascii="Palatino Linotype" w:hAnsi="Palatino Linotype"/>
          <w:b/>
        </w:rPr>
      </w:pPr>
    </w:p>
    <w:p w14:paraId="6CE23B87" w14:textId="77777777" w:rsidR="00673F66" w:rsidRDefault="00673F66" w:rsidP="00673F66">
      <w:pPr>
        <w:spacing w:before="240"/>
        <w:rPr>
          <w:rFonts w:ascii="Palatino Linotype" w:hAnsi="Palatino Linotype"/>
          <w:b/>
          <w:sz w:val="18"/>
          <w:szCs w:val="18"/>
        </w:rPr>
      </w:pPr>
    </w:p>
    <w:p w14:paraId="3E12896D" w14:textId="77777777" w:rsidR="00673F66" w:rsidRPr="00B93570" w:rsidRDefault="00673F66" w:rsidP="00673F6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785939C3" wp14:editId="1209F6F6">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073175"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E013916"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FF7C3E7"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3F2356A0" w14:textId="77777777" w:rsidR="00673F66" w:rsidRPr="00EF2FC0" w:rsidRDefault="00673F66" w:rsidP="00673F66">
                            <w:pPr>
                              <w:spacing w:line="240" w:lineRule="auto"/>
                              <w:jc w:val="center"/>
                              <w:rPr>
                                <w:rFonts w:ascii="Palatino Linotype" w:hAnsi="Palatino Linotype"/>
                                <w:sz w:val="24"/>
                                <w:szCs w:val="24"/>
                              </w:rPr>
                            </w:pPr>
                          </w:p>
                          <w:p w14:paraId="49BF0C92"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39C3" id="Cuadro de texto 6" o:spid="_x0000_s1029" type="#_x0000_t202" style="position:absolute;margin-left:358.05pt;margin-top:19.05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6B073175"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E013916"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FF7C3E7"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3F2356A0" w14:textId="77777777" w:rsidR="00673F66" w:rsidRPr="00EF2FC0" w:rsidRDefault="00673F66" w:rsidP="00673F66">
                      <w:pPr>
                        <w:spacing w:line="240" w:lineRule="auto"/>
                        <w:jc w:val="center"/>
                        <w:rPr>
                          <w:rFonts w:ascii="Palatino Linotype" w:hAnsi="Palatino Linotype"/>
                          <w:sz w:val="24"/>
                          <w:szCs w:val="24"/>
                        </w:rPr>
                      </w:pPr>
                    </w:p>
                    <w:p w14:paraId="49BF0C92" w14:textId="77777777" w:rsidR="00673F66" w:rsidRDefault="00673F66" w:rsidP="00673F6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353FE6E" wp14:editId="68548B3D">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983AAF"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0FFED4"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AFC7C8"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490296A" w14:textId="77777777" w:rsidR="00673F66" w:rsidRPr="00EF2FC0" w:rsidRDefault="00673F66" w:rsidP="00673F66">
                            <w:pPr>
                              <w:spacing w:line="240" w:lineRule="auto"/>
                              <w:jc w:val="center"/>
                              <w:rPr>
                                <w:rFonts w:ascii="Palatino Linotype" w:hAnsi="Palatino Linotype"/>
                                <w:sz w:val="24"/>
                                <w:szCs w:val="24"/>
                              </w:rPr>
                            </w:pPr>
                          </w:p>
                          <w:p w14:paraId="29918540"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FE6E" id="Cuadro de texto 7" o:spid="_x0000_s1030" type="#_x0000_t202" style="position:absolute;margin-left:85.5pt;margin-top:18.25pt;width:168pt;height:7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03983AAF"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20FFED4"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AFC7C8"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490296A" w14:textId="77777777" w:rsidR="00673F66" w:rsidRPr="00EF2FC0" w:rsidRDefault="00673F66" w:rsidP="00673F66">
                      <w:pPr>
                        <w:spacing w:line="240" w:lineRule="auto"/>
                        <w:jc w:val="center"/>
                        <w:rPr>
                          <w:rFonts w:ascii="Palatino Linotype" w:hAnsi="Palatino Linotype"/>
                          <w:sz w:val="24"/>
                          <w:szCs w:val="24"/>
                        </w:rPr>
                      </w:pPr>
                    </w:p>
                    <w:p w14:paraId="29918540" w14:textId="77777777" w:rsidR="00673F66" w:rsidRDefault="00673F66" w:rsidP="00673F66"/>
                  </w:txbxContent>
                </v:textbox>
                <w10:wrap anchorx="page"/>
              </v:shape>
            </w:pict>
          </mc:Fallback>
        </mc:AlternateContent>
      </w:r>
    </w:p>
    <w:p w14:paraId="682EFD47" w14:textId="77777777" w:rsidR="00673F66" w:rsidRDefault="00673F66" w:rsidP="00673F66">
      <w:pPr>
        <w:spacing w:before="240"/>
        <w:rPr>
          <w:rFonts w:ascii="Palatino Linotype" w:hAnsi="Palatino Linotype"/>
          <w:b/>
        </w:rPr>
      </w:pPr>
    </w:p>
    <w:p w14:paraId="6DB76F19" w14:textId="77777777" w:rsidR="00673F66" w:rsidRDefault="00673F66" w:rsidP="00673F66">
      <w:pPr>
        <w:spacing w:before="240"/>
        <w:rPr>
          <w:rFonts w:ascii="Palatino Linotype" w:hAnsi="Palatino Linotype"/>
          <w:b/>
        </w:rPr>
      </w:pPr>
    </w:p>
    <w:p w14:paraId="312DF7E9" w14:textId="77777777" w:rsidR="00DE20E1" w:rsidRDefault="00DE20E1" w:rsidP="00673F66">
      <w:pPr>
        <w:spacing w:before="240"/>
        <w:rPr>
          <w:rFonts w:ascii="Palatino Linotype" w:hAnsi="Palatino Linotype" w:cs="Arial"/>
          <w:szCs w:val="20"/>
        </w:rPr>
      </w:pPr>
    </w:p>
    <w:p w14:paraId="758D8548" w14:textId="77777777" w:rsidR="00934EC4" w:rsidRDefault="00934EC4" w:rsidP="00673F66">
      <w:pPr>
        <w:spacing w:before="240"/>
        <w:rPr>
          <w:rFonts w:ascii="Palatino Linotype" w:hAnsi="Palatino Linotype" w:cs="Arial"/>
          <w:szCs w:val="20"/>
        </w:rPr>
      </w:pPr>
    </w:p>
    <w:p w14:paraId="4B8C79CA" w14:textId="18A9C7A6" w:rsidR="00673F66" w:rsidRDefault="00673F66" w:rsidP="00673F6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0E6E95BB" wp14:editId="4372CFFF">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8CD3C2"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3FA46E4D"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2285BFD"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15DAE7D" w14:textId="77777777" w:rsidR="00673F66" w:rsidRDefault="00673F66" w:rsidP="00673F66">
                            <w:pPr>
                              <w:spacing w:after="0" w:line="240" w:lineRule="auto"/>
                              <w:jc w:val="center"/>
                              <w:rPr>
                                <w:rFonts w:ascii="Palatino Linotype" w:hAnsi="Palatino Linotype"/>
                                <w:sz w:val="24"/>
                                <w:szCs w:val="24"/>
                              </w:rPr>
                            </w:pPr>
                          </w:p>
                          <w:p w14:paraId="01FBA005" w14:textId="77777777" w:rsidR="00673F66" w:rsidRPr="00EF2FC0" w:rsidRDefault="00673F66" w:rsidP="00673F66">
                            <w:pPr>
                              <w:jc w:val="center"/>
                              <w:rPr>
                                <w:rFonts w:ascii="Palatino Linotype" w:hAnsi="Palatino Linotype"/>
                                <w:sz w:val="24"/>
                                <w:szCs w:val="24"/>
                              </w:rPr>
                            </w:pPr>
                          </w:p>
                          <w:p w14:paraId="2D36928C"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95BB" id="Cuadro de texto 24" o:spid="_x0000_s1031" type="#_x0000_t202" style="position:absolute;margin-left:190.5pt;margin-top:27.35pt;width:248.25pt;height: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128CD3C2"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3FA46E4D"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2285BFD"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15DAE7D" w14:textId="77777777" w:rsidR="00673F66" w:rsidRDefault="00673F66" w:rsidP="00673F66">
                      <w:pPr>
                        <w:spacing w:after="0" w:line="240" w:lineRule="auto"/>
                        <w:jc w:val="center"/>
                        <w:rPr>
                          <w:rFonts w:ascii="Palatino Linotype" w:hAnsi="Palatino Linotype"/>
                          <w:sz w:val="24"/>
                          <w:szCs w:val="24"/>
                        </w:rPr>
                      </w:pPr>
                    </w:p>
                    <w:p w14:paraId="01FBA005" w14:textId="77777777" w:rsidR="00673F66" w:rsidRPr="00EF2FC0" w:rsidRDefault="00673F66" w:rsidP="00673F66">
                      <w:pPr>
                        <w:jc w:val="center"/>
                        <w:rPr>
                          <w:rFonts w:ascii="Palatino Linotype" w:hAnsi="Palatino Linotype"/>
                          <w:sz w:val="24"/>
                          <w:szCs w:val="24"/>
                        </w:rPr>
                      </w:pPr>
                    </w:p>
                    <w:p w14:paraId="2D36928C" w14:textId="77777777" w:rsidR="00673F66" w:rsidRDefault="00673F66" w:rsidP="00673F66"/>
                  </w:txbxContent>
                </v:textbox>
                <w10:wrap anchorx="page"/>
              </v:shape>
            </w:pict>
          </mc:Fallback>
        </mc:AlternateContent>
      </w:r>
    </w:p>
    <w:p w14:paraId="6729138C" w14:textId="77777777" w:rsidR="00673F66" w:rsidRDefault="00673F66" w:rsidP="00673F66">
      <w:pPr>
        <w:spacing w:before="240"/>
        <w:rPr>
          <w:rFonts w:ascii="Palatino Linotype" w:hAnsi="Palatino Linotype" w:cs="Arial"/>
          <w:sz w:val="18"/>
          <w:szCs w:val="18"/>
        </w:rPr>
      </w:pPr>
    </w:p>
    <w:p w14:paraId="2DDFC18B" w14:textId="77777777" w:rsidR="00673F66" w:rsidRDefault="00673F66" w:rsidP="00673F66">
      <w:pPr>
        <w:spacing w:before="240"/>
        <w:jc w:val="both"/>
        <w:rPr>
          <w:rFonts w:ascii="Palatino Linotype" w:hAnsi="Palatino Linotype" w:cs="Arial"/>
          <w:sz w:val="18"/>
          <w:szCs w:val="18"/>
        </w:rPr>
      </w:pPr>
    </w:p>
    <w:p w14:paraId="7C10C99C" w14:textId="77777777" w:rsidR="00DE20E1" w:rsidRDefault="00DE20E1" w:rsidP="00673F66">
      <w:pPr>
        <w:spacing w:before="240"/>
        <w:jc w:val="both"/>
        <w:rPr>
          <w:rFonts w:ascii="Palatino Linotype" w:hAnsi="Palatino Linotype" w:cs="Arial"/>
          <w:sz w:val="18"/>
          <w:szCs w:val="18"/>
        </w:rPr>
      </w:pPr>
    </w:p>
    <w:p w14:paraId="2B1356E4" w14:textId="77777777" w:rsidR="00673F66" w:rsidRDefault="00673F66" w:rsidP="00673F66">
      <w:pPr>
        <w:spacing w:after="0" w:line="240" w:lineRule="auto"/>
        <w:jc w:val="both"/>
        <w:rPr>
          <w:rFonts w:ascii="Palatino Linotype" w:hAnsi="Palatino Linotype" w:cs="Arial"/>
          <w:sz w:val="16"/>
          <w:szCs w:val="16"/>
        </w:rPr>
      </w:pPr>
    </w:p>
    <w:p w14:paraId="1FF92DFD" w14:textId="1C020788" w:rsidR="00673F66" w:rsidRPr="002052F6" w:rsidRDefault="00673F66" w:rsidP="00673F6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934EC4">
        <w:rPr>
          <w:rFonts w:ascii="Palatino Linotype" w:hAnsi="Palatino Linotype" w:cs="Arial"/>
          <w:sz w:val="16"/>
          <w:szCs w:val="16"/>
        </w:rPr>
        <w:t>veintiséis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934EC4">
        <w:rPr>
          <w:rFonts w:ascii="Palatino Linotype" w:hAnsi="Palatino Linotype" w:cs="Arial"/>
          <w:bCs/>
          <w:sz w:val="16"/>
          <w:szCs w:val="16"/>
          <w:lang w:eastAsia="es-MX"/>
        </w:rPr>
        <w:t>9230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35660F7D" w14:textId="77777777" w:rsidR="00DD13E2" w:rsidRDefault="00673F66" w:rsidP="00673F66">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5A44" w14:textId="77777777" w:rsidR="00526E24" w:rsidRDefault="00526E24" w:rsidP="00E15E85">
      <w:pPr>
        <w:spacing w:after="0" w:line="240" w:lineRule="auto"/>
      </w:pPr>
      <w:r>
        <w:separator/>
      </w:r>
    </w:p>
  </w:endnote>
  <w:endnote w:type="continuationSeparator" w:id="0">
    <w:p w14:paraId="09DD1450" w14:textId="77777777" w:rsidR="00526E24" w:rsidRDefault="00526E2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914BA" w14:textId="77777777" w:rsidR="00526E24" w:rsidRDefault="00526E24" w:rsidP="00E15E85">
      <w:pPr>
        <w:spacing w:after="0" w:line="240" w:lineRule="auto"/>
      </w:pPr>
      <w:r>
        <w:separator/>
      </w:r>
    </w:p>
  </w:footnote>
  <w:footnote w:type="continuationSeparator" w:id="0">
    <w:p w14:paraId="40C008EC" w14:textId="77777777" w:rsidR="00526E24" w:rsidRDefault="00526E24" w:rsidP="00E15E85">
      <w:pPr>
        <w:spacing w:after="0" w:line="240" w:lineRule="auto"/>
      </w:pPr>
      <w:r>
        <w:continuationSeparator/>
      </w:r>
    </w:p>
  </w:footnote>
  <w:footnote w:id="1">
    <w:p w14:paraId="3563C4AF" w14:textId="77777777" w:rsidR="002821FA" w:rsidRPr="00911081" w:rsidRDefault="002821F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7D4324" w14:textId="77777777" w:rsidR="002821FA" w:rsidRPr="00911081" w:rsidRDefault="002821F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52847B6B"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2382D">
            <w:rPr>
              <w:rFonts w:ascii="Palatino Linotype" w:hAnsi="Palatino Linotype" w:cs="Arial"/>
              <w:bCs/>
              <w:sz w:val="24"/>
              <w:lang w:eastAsia="es-MX"/>
            </w:rPr>
            <w:t>9230</w:t>
          </w:r>
          <w:r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48E2001F" w:rsidR="002821FA" w:rsidRPr="005D58CA" w:rsidRDefault="00C2382D" w:rsidP="00BA65E0">
          <w:pPr>
            <w:spacing w:after="120" w:line="256" w:lineRule="auto"/>
            <w:ind w:left="-486" w:right="214" w:firstLine="284"/>
            <w:jc w:val="right"/>
            <w:rPr>
              <w:rFonts w:ascii="Palatino Linotype" w:hAnsi="Palatino Linotype" w:cs="Arial"/>
              <w:sz w:val="24"/>
            </w:rPr>
          </w:pPr>
          <w:r w:rsidRPr="00C2382D">
            <w:rPr>
              <w:rFonts w:ascii="Palatino Linotype" w:hAnsi="Palatino Linotype" w:cs="Arial"/>
              <w:sz w:val="24"/>
            </w:rPr>
            <w:t>Ayuntamiento de Isidro Fabela</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3C580C38"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850A1">
            <w:rPr>
              <w:rFonts w:ascii="Palatino Linotype" w:hAnsi="Palatino Linotype" w:cs="Arial"/>
              <w:bCs/>
              <w:sz w:val="24"/>
              <w:lang w:eastAsia="es-MX"/>
            </w:rPr>
            <w:t>9230</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42127E76" w:rsidR="002821FA" w:rsidRPr="005D58CA" w:rsidRDefault="00A42837" w:rsidP="00E15E85">
          <w:pPr>
            <w:spacing w:after="120" w:line="256" w:lineRule="auto"/>
            <w:ind w:left="-486" w:right="214" w:firstLine="567"/>
            <w:jc w:val="right"/>
            <w:rPr>
              <w:rFonts w:ascii="Palatino Linotype" w:hAnsi="Palatino Linotype" w:cs="Arial"/>
              <w:sz w:val="24"/>
              <w:szCs w:val="24"/>
            </w:rPr>
          </w:pPr>
          <w:r>
            <w:rPr>
              <w:rFonts w:ascii="Palatino Linotype" w:hAnsi="Palatino Linotype" w:cs="Arial"/>
              <w:sz w:val="24"/>
              <w:szCs w:val="24"/>
            </w:rPr>
            <w:t>XXXXXXXXXXXXXX</w:t>
          </w: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0979EBB1" w:rsidR="002821FA" w:rsidRPr="005D58CA" w:rsidRDefault="00C2382D" w:rsidP="0015550A">
          <w:pPr>
            <w:spacing w:after="120" w:line="256" w:lineRule="auto"/>
            <w:ind w:left="-495" w:right="214" w:firstLine="567"/>
            <w:jc w:val="right"/>
            <w:rPr>
              <w:rFonts w:ascii="Palatino Linotype" w:hAnsi="Palatino Linotype" w:cs="Arial"/>
              <w:sz w:val="24"/>
              <w:szCs w:val="24"/>
            </w:rPr>
          </w:pPr>
          <w:r w:rsidRPr="00C2382D">
            <w:rPr>
              <w:rFonts w:ascii="Palatino Linotype" w:hAnsi="Palatino Linotype" w:cs="Arial"/>
              <w:sz w:val="24"/>
              <w:szCs w:val="24"/>
            </w:rPr>
            <w:t>Ayuntamiento de Isidro Fabela</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5"/>
  </w:num>
  <w:num w:numId="4">
    <w:abstractNumId w:val="16"/>
  </w:num>
  <w:num w:numId="5">
    <w:abstractNumId w:val="29"/>
  </w:num>
  <w:num w:numId="6">
    <w:abstractNumId w:val="10"/>
  </w:num>
  <w:num w:numId="7">
    <w:abstractNumId w:val="36"/>
  </w:num>
  <w:num w:numId="8">
    <w:abstractNumId w:val="19"/>
  </w:num>
  <w:num w:numId="9">
    <w:abstractNumId w:val="11"/>
  </w:num>
  <w:num w:numId="10">
    <w:abstractNumId w:val="34"/>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38"/>
  </w:num>
  <w:num w:numId="21">
    <w:abstractNumId w:val="14"/>
  </w:num>
  <w:num w:numId="22">
    <w:abstractNumId w:val="17"/>
  </w:num>
  <w:num w:numId="23">
    <w:abstractNumId w:val="9"/>
  </w:num>
  <w:num w:numId="24">
    <w:abstractNumId w:val="6"/>
  </w:num>
  <w:num w:numId="25">
    <w:abstractNumId w:val="5"/>
  </w:num>
  <w:num w:numId="26">
    <w:abstractNumId w:val="32"/>
  </w:num>
  <w:num w:numId="27">
    <w:abstractNumId w:val="39"/>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5"/>
  </w:num>
  <w:num w:numId="35">
    <w:abstractNumId w:val="12"/>
  </w:num>
  <w:num w:numId="36">
    <w:abstractNumId w:val="20"/>
  </w:num>
  <w:num w:numId="37">
    <w:abstractNumId w:val="28"/>
  </w:num>
  <w:num w:numId="38">
    <w:abstractNumId w:val="37"/>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E3297"/>
    <w:rsid w:val="0040048F"/>
    <w:rsid w:val="00415FB5"/>
    <w:rsid w:val="0042338B"/>
    <w:rsid w:val="004254FE"/>
    <w:rsid w:val="00437C82"/>
    <w:rsid w:val="00470C7E"/>
    <w:rsid w:val="00492244"/>
    <w:rsid w:val="004A2BFB"/>
    <w:rsid w:val="004C28F1"/>
    <w:rsid w:val="004C3693"/>
    <w:rsid w:val="004C5AC6"/>
    <w:rsid w:val="004D0557"/>
    <w:rsid w:val="004E6DB3"/>
    <w:rsid w:val="004F05B2"/>
    <w:rsid w:val="00523067"/>
    <w:rsid w:val="00526E24"/>
    <w:rsid w:val="00527856"/>
    <w:rsid w:val="00527C6A"/>
    <w:rsid w:val="005329E8"/>
    <w:rsid w:val="00537EA8"/>
    <w:rsid w:val="005733EB"/>
    <w:rsid w:val="0057576D"/>
    <w:rsid w:val="00576C26"/>
    <w:rsid w:val="005820BF"/>
    <w:rsid w:val="00587783"/>
    <w:rsid w:val="005C7580"/>
    <w:rsid w:val="005D58CA"/>
    <w:rsid w:val="00611799"/>
    <w:rsid w:val="00614FDD"/>
    <w:rsid w:val="00616784"/>
    <w:rsid w:val="006221C5"/>
    <w:rsid w:val="00631B59"/>
    <w:rsid w:val="00653B08"/>
    <w:rsid w:val="00654B56"/>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3E68"/>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30EB"/>
    <w:rsid w:val="008D6D31"/>
    <w:rsid w:val="008E0E21"/>
    <w:rsid w:val="008E5141"/>
    <w:rsid w:val="008E7408"/>
    <w:rsid w:val="008F7A52"/>
    <w:rsid w:val="00911A00"/>
    <w:rsid w:val="00912E5A"/>
    <w:rsid w:val="009306B4"/>
    <w:rsid w:val="00934EC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2C84"/>
    <w:rsid w:val="009C75A5"/>
    <w:rsid w:val="009E3B36"/>
    <w:rsid w:val="009E5A3D"/>
    <w:rsid w:val="009F7948"/>
    <w:rsid w:val="00A01250"/>
    <w:rsid w:val="00A14247"/>
    <w:rsid w:val="00A27459"/>
    <w:rsid w:val="00A372F6"/>
    <w:rsid w:val="00A42837"/>
    <w:rsid w:val="00A459D0"/>
    <w:rsid w:val="00A45C8D"/>
    <w:rsid w:val="00A65C79"/>
    <w:rsid w:val="00A70873"/>
    <w:rsid w:val="00A817AC"/>
    <w:rsid w:val="00A902C6"/>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06EB"/>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9E38-5233-974B-94D9-6613E8D5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27</Pages>
  <Words>5955</Words>
  <Characters>32755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68</cp:revision>
  <cp:lastPrinted>2020-02-27T17:57:00Z</cp:lastPrinted>
  <dcterms:created xsi:type="dcterms:W3CDTF">2019-01-22T19:49:00Z</dcterms:created>
  <dcterms:modified xsi:type="dcterms:W3CDTF">2020-04-14T18:20:00Z</dcterms:modified>
</cp:coreProperties>
</file>